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wmf" ContentType="image/x-wmf"/>
  <Default Extension="tiff" ContentType="image/tif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7"/>
        <w:spacing w:before="0" w:beforeLines="0" w:after="0" w:afterLines="0"/>
        <w:rPr>
          <w:rFonts w:cs="Times New Roman"/>
          <w:color w:val="auto"/>
        </w:rPr>
        <w:sectPr>
          <w:headerReference r:id="rId7" w:type="first"/>
          <w:footerReference r:id="rId10" w:type="first"/>
          <w:headerReference r:id="rId5" w:type="default"/>
          <w:footerReference r:id="rId8" w:type="default"/>
          <w:headerReference r:id="rId6" w:type="even"/>
          <w:footerReference r:id="rId9" w:type="even"/>
          <w:pgSz w:w="11906" w:h="16838"/>
          <w:pgMar w:top="1701" w:right="1797" w:bottom="1984" w:left="1797" w:header="851" w:footer="992" w:gutter="0"/>
          <w:pgBorders>
            <w:top w:val="none" w:sz="0" w:space="0"/>
            <w:left w:val="none" w:sz="0" w:space="0"/>
            <w:bottom w:val="none" w:sz="0" w:space="0"/>
            <w:right w:val="none" w:sz="0" w:space="0"/>
          </w:pgBorders>
          <w:pgNumType w:start="1"/>
          <w:cols w:space="720" w:num="1"/>
          <w:docGrid w:type="lines" w:linePitch="312" w:charSpace="0"/>
        </w:sectPr>
      </w:pPr>
    </w:p>
    <w:p>
      <w:pPr>
        <w:pStyle w:val="7"/>
        <w:spacing w:before="0" w:beforeLines="0" w:after="0" w:afterLines="0"/>
        <w:rPr>
          <w:rFonts w:cs="Times New Roman"/>
          <w:color w:val="auto"/>
          <w:sz w:val="36"/>
          <w:szCs w:val="36"/>
        </w:rPr>
      </w:pPr>
      <w:bookmarkStart w:id="0" w:name="_Toc20997"/>
      <w:bookmarkStart w:id="1" w:name="_Toc24100"/>
      <w:bookmarkStart w:id="2" w:name="_Toc20597"/>
      <w:bookmarkStart w:id="3" w:name="_Toc18345"/>
      <w:bookmarkStart w:id="4" w:name="_Toc109803203"/>
      <w:r>
        <w:rPr>
          <w:rFonts w:hint="eastAsia" w:cs="Times New Roman"/>
          <w:color w:val="auto"/>
          <w:sz w:val="36"/>
          <w:szCs w:val="36"/>
        </w:rPr>
        <w:t>山东朗净新材料科技有限公司</w:t>
      </w:r>
      <w:bookmarkEnd w:id="0"/>
      <w:bookmarkEnd w:id="1"/>
      <w:bookmarkEnd w:id="2"/>
      <w:bookmarkEnd w:id="3"/>
      <w:bookmarkEnd w:id="4"/>
    </w:p>
    <w:p>
      <w:pPr>
        <w:pStyle w:val="7"/>
        <w:spacing w:before="0" w:beforeLines="0" w:after="0" w:afterLines="0"/>
        <w:rPr>
          <w:rFonts w:cs="Times New Roman"/>
          <w:color w:val="auto"/>
          <w:sz w:val="36"/>
          <w:szCs w:val="36"/>
          <w:lang w:val="en-US"/>
        </w:rPr>
      </w:pPr>
      <w:bookmarkStart w:id="5" w:name="_Toc24844"/>
      <w:bookmarkStart w:id="6" w:name="_Toc109803204"/>
      <w:bookmarkStart w:id="7" w:name="_Toc23774"/>
      <w:bookmarkStart w:id="8" w:name="_Toc7199"/>
      <w:bookmarkStart w:id="9" w:name="_Toc26418"/>
      <w:r>
        <w:rPr>
          <w:rFonts w:hint="eastAsia" w:cs="Times New Roman"/>
          <w:color w:val="auto"/>
          <w:sz w:val="36"/>
          <w:szCs w:val="36"/>
        </w:rPr>
        <w:t>年产</w:t>
      </w:r>
      <w:r>
        <w:rPr>
          <w:rFonts w:hint="eastAsia" w:cs="Times New Roman"/>
          <w:color w:val="auto"/>
          <w:sz w:val="36"/>
          <w:szCs w:val="36"/>
          <w:lang w:val="en-US"/>
        </w:rPr>
        <w:t>1200吨丙交酯和1000吨聚乳酸</w:t>
      </w:r>
      <w:bookmarkEnd w:id="5"/>
      <w:bookmarkEnd w:id="6"/>
      <w:bookmarkEnd w:id="7"/>
      <w:bookmarkEnd w:id="8"/>
      <w:bookmarkEnd w:id="9"/>
    </w:p>
    <w:p>
      <w:pPr>
        <w:pStyle w:val="7"/>
        <w:spacing w:before="0" w:beforeLines="0" w:after="0" w:afterLines="0"/>
        <w:rPr>
          <w:rFonts w:cs="Times New Roman"/>
          <w:color w:val="auto"/>
          <w:sz w:val="36"/>
          <w:szCs w:val="36"/>
        </w:rPr>
      </w:pPr>
      <w:bookmarkStart w:id="10" w:name="_Toc109803205"/>
      <w:bookmarkStart w:id="11" w:name="_Toc8856"/>
      <w:bookmarkStart w:id="12" w:name="_Toc32380"/>
      <w:bookmarkStart w:id="13" w:name="_Toc15416"/>
      <w:bookmarkStart w:id="14" w:name="_Toc30029"/>
      <w:r>
        <w:rPr>
          <w:rFonts w:hint="eastAsia" w:cs="Times New Roman"/>
          <w:color w:val="auto"/>
          <w:sz w:val="36"/>
          <w:szCs w:val="36"/>
          <w:lang w:val="en-US"/>
        </w:rPr>
        <w:t>新材料示范线项目</w:t>
      </w:r>
      <w:bookmarkEnd w:id="10"/>
      <w:bookmarkEnd w:id="11"/>
      <w:bookmarkEnd w:id="12"/>
      <w:bookmarkEnd w:id="13"/>
      <w:bookmarkEnd w:id="14"/>
    </w:p>
    <w:p>
      <w:pPr>
        <w:ind w:firstLine="480"/>
        <w:jc w:val="center"/>
        <w:rPr>
          <w:color w:val="auto"/>
        </w:rPr>
      </w:pPr>
    </w:p>
    <w:p>
      <w:pPr>
        <w:ind w:firstLine="480"/>
        <w:jc w:val="center"/>
        <w:rPr>
          <w:color w:val="auto"/>
        </w:rPr>
      </w:pPr>
    </w:p>
    <w:p>
      <w:pPr>
        <w:pStyle w:val="7"/>
        <w:keepNext w:val="0"/>
        <w:keepLines w:val="0"/>
        <w:spacing w:before="0" w:beforeLines="0" w:after="0" w:afterLines="0"/>
        <w:rPr>
          <w:rFonts w:cs="Times New Roman"/>
          <w:b/>
          <w:bCs/>
          <w:color w:val="auto"/>
          <w:sz w:val="48"/>
          <w:szCs w:val="48"/>
        </w:rPr>
      </w:pPr>
      <w:bookmarkStart w:id="15" w:name="_Toc21232"/>
      <w:bookmarkStart w:id="16" w:name="_Toc26015"/>
      <w:bookmarkStart w:id="17" w:name="_Toc109803206"/>
      <w:bookmarkStart w:id="18" w:name="_Toc31406"/>
      <w:bookmarkStart w:id="19" w:name="_Toc32215"/>
      <w:r>
        <w:rPr>
          <w:rFonts w:cs="Times New Roman"/>
          <w:b/>
          <w:bCs/>
          <w:color w:val="auto"/>
          <w:sz w:val="48"/>
          <w:szCs w:val="48"/>
        </w:rPr>
        <w:t>环境影响报告书</w:t>
      </w:r>
      <w:bookmarkEnd w:id="15"/>
      <w:bookmarkEnd w:id="16"/>
      <w:bookmarkEnd w:id="17"/>
      <w:bookmarkEnd w:id="18"/>
      <w:bookmarkEnd w:id="19"/>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jc w:val="center"/>
        <w:rPr>
          <w:color w:val="auto"/>
        </w:rPr>
      </w:pPr>
    </w:p>
    <w:p>
      <w:pPr>
        <w:ind w:firstLine="480"/>
        <w:jc w:val="center"/>
        <w:rPr>
          <w:color w:val="auto"/>
        </w:rPr>
      </w:pPr>
    </w:p>
    <w:p>
      <w:pPr>
        <w:ind w:firstLine="480"/>
        <w:jc w:val="center"/>
        <w:rPr>
          <w:color w:val="auto"/>
        </w:rPr>
      </w:pPr>
    </w:p>
    <w:p>
      <w:pPr>
        <w:spacing w:line="360" w:lineRule="auto"/>
        <w:ind w:firstLine="480"/>
        <w:jc w:val="center"/>
        <w:rPr>
          <w:rFonts w:eastAsia="黑体"/>
          <w:color w:val="auto"/>
        </w:rPr>
      </w:pPr>
      <w:r>
        <w:rPr>
          <w:rFonts w:eastAsia="黑体"/>
          <w:color w:val="auto"/>
        </w:rPr>
        <w:t>建设单位：</w:t>
      </w:r>
      <w:r>
        <w:rPr>
          <w:rFonts w:hint="eastAsia" w:eastAsia="黑体"/>
          <w:color w:val="auto"/>
        </w:rPr>
        <w:t>山东朗净新材料科技有限公司</w:t>
      </w:r>
    </w:p>
    <w:p>
      <w:pPr>
        <w:spacing w:line="360" w:lineRule="auto"/>
        <w:ind w:firstLine="480"/>
        <w:jc w:val="center"/>
        <w:rPr>
          <w:rFonts w:eastAsia="黑体"/>
          <w:color w:val="auto"/>
        </w:rPr>
      </w:pPr>
      <w:r>
        <w:rPr>
          <w:rFonts w:eastAsia="黑体"/>
          <w:color w:val="auto"/>
        </w:rPr>
        <w:t>编制单位：山东典图生态环境工程有限公司</w:t>
      </w:r>
    </w:p>
    <w:p>
      <w:pPr>
        <w:spacing w:line="360" w:lineRule="auto"/>
        <w:ind w:firstLine="480"/>
        <w:jc w:val="center"/>
        <w:rPr>
          <w:rFonts w:eastAsia="黑体"/>
          <w:color w:val="auto"/>
        </w:rPr>
      </w:pPr>
      <w:r>
        <w:rPr>
          <w:rFonts w:eastAsia="黑体"/>
          <w:color w:val="auto"/>
        </w:rPr>
        <w:t>二〇二</w:t>
      </w:r>
      <w:r>
        <w:rPr>
          <w:rFonts w:hint="eastAsia" w:eastAsia="黑体"/>
          <w:color w:val="auto"/>
        </w:rPr>
        <w:t>二</w:t>
      </w:r>
      <w:r>
        <w:rPr>
          <w:rFonts w:eastAsia="黑体"/>
          <w:color w:val="auto"/>
        </w:rPr>
        <w:t>年</w:t>
      </w:r>
      <w:r>
        <w:rPr>
          <w:rFonts w:hint="eastAsia" w:eastAsia="黑体"/>
          <w:color w:val="auto"/>
          <w:lang w:val="en-US" w:eastAsia="zh-CN"/>
        </w:rPr>
        <w:t>十</w:t>
      </w:r>
      <w:r>
        <w:rPr>
          <w:rFonts w:eastAsia="黑体"/>
          <w:color w:val="auto"/>
        </w:rPr>
        <w:t>月</w:t>
      </w:r>
    </w:p>
    <w:p>
      <w:pPr>
        <w:ind w:firstLine="480"/>
        <w:rPr>
          <w:color w:val="auto"/>
        </w:rPr>
        <w:sectPr>
          <w:footerReference r:id="rId11" w:type="default"/>
          <w:type w:val="continuous"/>
          <w:pgSz w:w="11906" w:h="16838"/>
          <w:pgMar w:top="1701" w:right="1797" w:bottom="1984" w:left="1797" w:header="851" w:footer="992" w:gutter="0"/>
          <w:pgBorders>
            <w:top w:val="none" w:sz="0" w:space="0"/>
            <w:left w:val="none" w:sz="0" w:space="0"/>
            <w:bottom w:val="none" w:sz="0" w:space="0"/>
            <w:right w:val="none" w:sz="0" w:space="0"/>
          </w:pgBorders>
          <w:pgNumType w:start="1"/>
          <w:cols w:space="720" w:num="1"/>
          <w:docGrid w:type="lines" w:linePitch="312" w:charSpace="0"/>
        </w:sectPr>
      </w:pPr>
    </w:p>
    <w:p>
      <w:pPr>
        <w:pStyle w:val="2"/>
        <w:spacing w:after="0"/>
        <w:ind w:firstLine="0" w:firstLineChars="0"/>
        <w:jc w:val="center"/>
        <w:outlineLvl w:val="0"/>
        <w:rPr>
          <w:rFonts w:ascii="黑体" w:hAnsi="黑体" w:eastAsia="黑体" w:cs="黑体"/>
          <w:color w:val="auto"/>
          <w:sz w:val="32"/>
          <w:szCs w:val="32"/>
        </w:rPr>
      </w:pPr>
      <w:bookmarkStart w:id="20" w:name="_Toc29049"/>
      <w:r>
        <w:rPr>
          <w:rFonts w:hint="eastAsia" w:ascii="黑体" w:hAnsi="黑体" w:eastAsia="黑体" w:cs="黑体"/>
          <w:color w:val="auto"/>
          <w:sz w:val="32"/>
          <w:szCs w:val="32"/>
        </w:rPr>
        <w:t>概  述</w:t>
      </w:r>
      <w:bookmarkEnd w:id="20"/>
    </w:p>
    <w:p>
      <w:pPr>
        <w:pStyle w:val="2"/>
        <w:spacing w:after="0"/>
        <w:ind w:firstLine="0" w:firstLineChars="0"/>
        <w:outlineLvl w:val="1"/>
        <w:rPr>
          <w:b/>
          <w:bCs/>
          <w:color w:val="auto"/>
          <w:sz w:val="28"/>
          <w:szCs w:val="28"/>
        </w:rPr>
      </w:pPr>
      <w:bookmarkStart w:id="21" w:name="_Toc15711"/>
      <w:r>
        <w:rPr>
          <w:b/>
          <w:bCs/>
          <w:color w:val="auto"/>
          <w:sz w:val="28"/>
          <w:szCs w:val="28"/>
        </w:rPr>
        <w:t>一、项目概况</w:t>
      </w:r>
      <w:bookmarkEnd w:id="21"/>
    </w:p>
    <w:p>
      <w:pPr>
        <w:ind w:firstLine="480"/>
        <w:rPr>
          <w:color w:val="auto"/>
          <w:szCs w:val="24"/>
        </w:rPr>
      </w:pPr>
      <w:r>
        <w:rPr>
          <w:color w:val="auto"/>
          <w:szCs w:val="24"/>
        </w:rPr>
        <w:t>山东朗净新材料科技有限公司成立于2020年11月</w:t>
      </w:r>
      <w:r>
        <w:rPr>
          <w:rFonts w:hint="eastAsia"/>
          <w:color w:val="auto"/>
          <w:szCs w:val="24"/>
        </w:rPr>
        <w:t>，由北京朗净汇明生物科技有限公司投资成立，法人代表陈清文。</w:t>
      </w:r>
      <w:r>
        <w:rPr>
          <w:color w:val="auto"/>
          <w:szCs w:val="24"/>
        </w:rPr>
        <w:t>厂区占地面积为</w:t>
      </w:r>
      <w:r>
        <w:rPr>
          <w:rFonts w:hint="eastAsia"/>
          <w:color w:val="auto"/>
          <w:szCs w:val="24"/>
        </w:rPr>
        <w:t>13443</w:t>
      </w:r>
      <w:r>
        <w:rPr>
          <w:color w:val="auto"/>
          <w:szCs w:val="24"/>
        </w:rPr>
        <w:t>m</w:t>
      </w:r>
      <w:r>
        <w:rPr>
          <w:color w:val="auto"/>
          <w:szCs w:val="24"/>
          <w:vertAlign w:val="superscript"/>
        </w:rPr>
        <w:t>2</w:t>
      </w:r>
      <w:r>
        <w:rPr>
          <w:color w:val="auto"/>
          <w:szCs w:val="24"/>
        </w:rPr>
        <w:t>，位于</w:t>
      </w:r>
      <w:r>
        <w:rPr>
          <w:rFonts w:hint="eastAsia"/>
          <w:color w:val="auto"/>
          <w:szCs w:val="24"/>
        </w:rPr>
        <w:t>山东省</w:t>
      </w:r>
      <w:r>
        <w:rPr>
          <w:color w:val="auto"/>
          <w:szCs w:val="24"/>
        </w:rPr>
        <w:t>淄博市</w:t>
      </w:r>
      <w:r>
        <w:rPr>
          <w:rFonts w:hint="eastAsia"/>
          <w:color w:val="auto"/>
          <w:szCs w:val="24"/>
        </w:rPr>
        <w:t>张店区房镇镇淄博科技工业园兴园路19号</w:t>
      </w:r>
      <w:r>
        <w:rPr>
          <w:color w:val="auto"/>
          <w:szCs w:val="24"/>
        </w:rPr>
        <w:t>（中心地理坐标：E118.</w:t>
      </w:r>
      <w:r>
        <w:rPr>
          <w:rFonts w:hint="eastAsia"/>
          <w:color w:val="auto"/>
          <w:szCs w:val="24"/>
        </w:rPr>
        <w:t>002306°</w:t>
      </w:r>
      <w:r>
        <w:rPr>
          <w:color w:val="auto"/>
          <w:szCs w:val="24"/>
        </w:rPr>
        <w:t>，N36.</w:t>
      </w:r>
      <w:r>
        <w:rPr>
          <w:rFonts w:hint="eastAsia"/>
          <w:color w:val="auto"/>
          <w:szCs w:val="24"/>
        </w:rPr>
        <w:t>859949°</w:t>
      </w:r>
      <w:r>
        <w:rPr>
          <w:color w:val="auto"/>
          <w:szCs w:val="24"/>
        </w:rPr>
        <w:t>）；</w:t>
      </w:r>
      <w:r>
        <w:rPr>
          <w:color w:val="auto"/>
          <w:szCs w:val="22"/>
        </w:rPr>
        <w:t>主要从事</w:t>
      </w:r>
      <w:r>
        <w:rPr>
          <w:rFonts w:hint="eastAsia"/>
          <w:color w:val="auto"/>
          <w:szCs w:val="22"/>
        </w:rPr>
        <w:t>新材料技术推广服务；生物基材料技术研发；生物基材</w:t>
      </w:r>
      <w:r>
        <w:rPr>
          <w:rFonts w:hint="eastAsia"/>
          <w:color w:val="auto"/>
          <w:szCs w:val="24"/>
        </w:rPr>
        <w:t>料聚合技术研发；生物基材料制造</w:t>
      </w:r>
      <w:r>
        <w:rPr>
          <w:color w:val="auto"/>
          <w:szCs w:val="24"/>
        </w:rPr>
        <w:t>。</w:t>
      </w:r>
    </w:p>
    <w:p>
      <w:pPr>
        <w:pStyle w:val="2"/>
        <w:spacing w:after="0"/>
        <w:ind w:firstLine="480"/>
        <w:rPr>
          <w:color w:val="auto"/>
        </w:rPr>
      </w:pPr>
      <w:r>
        <w:rPr>
          <w:color w:val="auto"/>
        </w:rPr>
        <w:t>山东朗净新材料科技有限公司拟投资10000万元建设年产1200吨丙交酯和1000吨聚乳酸新材料示范线项目，该项目已取得山东省建设项目备案证明（项目代码：2201-370303-89-01-892093）。项目主要建设</w:t>
      </w:r>
      <w:r>
        <w:rPr>
          <w:rFonts w:hint="eastAsia"/>
          <w:color w:val="auto"/>
        </w:rPr>
        <w:t>一条</w:t>
      </w:r>
      <w:r>
        <w:rPr>
          <w:color w:val="auto"/>
        </w:rPr>
        <w:t>1200吨/年丙交酯及1000吨/年聚乳酸新材料生产线，以L-乳酸为原料，采用脱水、</w:t>
      </w:r>
      <w:r>
        <w:rPr>
          <w:rFonts w:hint="eastAsia"/>
          <w:color w:val="auto"/>
        </w:rPr>
        <w:t>酯化</w:t>
      </w:r>
      <w:r>
        <w:rPr>
          <w:color w:val="auto"/>
        </w:rPr>
        <w:t>工艺生产丙交酯；生产的丙交酯一部分作为产品销售，一部分再经</w:t>
      </w:r>
      <w:r>
        <w:rPr>
          <w:rFonts w:hint="eastAsia"/>
          <w:color w:val="auto"/>
        </w:rPr>
        <w:t>聚合</w:t>
      </w:r>
      <w:r>
        <w:rPr>
          <w:color w:val="auto"/>
        </w:rPr>
        <w:t>工序后生产聚乳酸。</w:t>
      </w:r>
      <w:r>
        <w:rPr>
          <w:rFonts w:hint="eastAsia"/>
          <w:color w:val="auto"/>
        </w:rPr>
        <w:t>该项目的原材料为可持续再生的植物资源，生产的丙交酯是生产聚乳酸的主要原材料，具有广阔的市场空间。聚乳酸是一种理想的绿色高分子可降解材料，被广泛用于食品包装、生物医学、农业及改性复合材料等领域。该项目的建设具有较好的环境效益、经济效益和社会效益，有利于提升生态文明、推动“无废城市”建设。</w:t>
      </w:r>
    </w:p>
    <w:p>
      <w:pPr>
        <w:pStyle w:val="2"/>
        <w:spacing w:after="0"/>
        <w:ind w:firstLine="0" w:firstLineChars="0"/>
        <w:outlineLvl w:val="1"/>
        <w:rPr>
          <w:b/>
          <w:bCs/>
          <w:color w:val="auto"/>
          <w:sz w:val="28"/>
          <w:szCs w:val="28"/>
        </w:rPr>
      </w:pPr>
      <w:bookmarkStart w:id="22" w:name="_Toc118"/>
      <w:r>
        <w:rPr>
          <w:rFonts w:hint="eastAsia"/>
          <w:b/>
          <w:bCs/>
          <w:color w:val="auto"/>
          <w:sz w:val="28"/>
          <w:szCs w:val="28"/>
        </w:rPr>
        <w:t>二</w:t>
      </w:r>
      <w:r>
        <w:rPr>
          <w:b/>
          <w:bCs/>
          <w:color w:val="auto"/>
          <w:sz w:val="28"/>
          <w:szCs w:val="28"/>
        </w:rPr>
        <w:t>、环境影响评价工作历程</w:t>
      </w:r>
      <w:bookmarkEnd w:id="22"/>
    </w:p>
    <w:p>
      <w:pPr>
        <w:adjustRightInd w:val="0"/>
        <w:snapToGrid w:val="0"/>
        <w:ind w:firstLine="480"/>
        <w:rPr>
          <w:color w:val="auto"/>
          <w:szCs w:val="22"/>
        </w:rPr>
      </w:pPr>
      <w:r>
        <w:rPr>
          <w:color w:val="auto"/>
          <w:szCs w:val="22"/>
        </w:rPr>
        <w:t>项目组接受委托后，立即组织人员到项目所在地进行了现场踏勘与实地调查，收集有关项目基础资料，根据项目排污特点及周边地区的环境特征，确定以环境空气影响、地下水影响和环境风险为评价工作重点，开展环境现状调查监测与评价工作，在工程分析基础上，对各环境要素进行影响预测与评价。建设单位在环境影响评价期间进行了公众参与工作，深入细致的了解了公众对项目建设的意见，并单独形成公众参与说明，同报告书一同上报。</w:t>
      </w:r>
    </w:p>
    <w:p>
      <w:pPr>
        <w:ind w:firstLine="0" w:firstLineChars="0"/>
        <w:outlineLvl w:val="1"/>
        <w:rPr>
          <w:b/>
          <w:bCs/>
          <w:color w:val="auto"/>
          <w:sz w:val="28"/>
          <w:szCs w:val="28"/>
        </w:rPr>
      </w:pPr>
      <w:bookmarkStart w:id="23" w:name="_Toc12615"/>
      <w:r>
        <w:rPr>
          <w:rFonts w:hint="eastAsia"/>
          <w:b/>
          <w:bCs/>
          <w:color w:val="auto"/>
          <w:sz w:val="28"/>
          <w:szCs w:val="28"/>
        </w:rPr>
        <w:t>三、分析判定相关情况</w:t>
      </w:r>
      <w:bookmarkEnd w:id="23"/>
    </w:p>
    <w:p>
      <w:pPr>
        <w:pStyle w:val="2"/>
        <w:spacing w:after="0"/>
        <w:ind w:firstLine="482"/>
        <w:rPr>
          <w:b/>
          <w:bCs/>
          <w:color w:val="auto"/>
        </w:rPr>
      </w:pPr>
      <w:r>
        <w:rPr>
          <w:rFonts w:hint="eastAsia"/>
          <w:b/>
          <w:bCs/>
          <w:color w:val="auto"/>
        </w:rPr>
        <w:t>1、环评类别判定</w:t>
      </w:r>
    </w:p>
    <w:p>
      <w:pPr>
        <w:pStyle w:val="21"/>
        <w:widowControl/>
        <w:shd w:val="clear" w:color="auto" w:fill="FFFFFF"/>
        <w:ind w:firstLine="480"/>
        <w:rPr>
          <w:rFonts w:hint="eastAsia" w:eastAsia="宋体"/>
          <w:color w:val="auto"/>
          <w:szCs w:val="24"/>
          <w:lang w:val="en-US" w:eastAsia="zh-CN"/>
        </w:rPr>
      </w:pPr>
      <w:r>
        <w:rPr>
          <w:color w:val="auto"/>
          <w:szCs w:val="24"/>
        </w:rPr>
        <w:t>拟建项目属于《建设项目环境影响评价分类管理名录》（2021版）</w:t>
      </w:r>
      <w:r>
        <w:rPr>
          <w:rFonts w:hint="eastAsia"/>
          <w:color w:val="auto"/>
          <w:szCs w:val="24"/>
        </w:rPr>
        <w:t>“</w:t>
      </w:r>
      <w:r>
        <w:rPr>
          <w:bCs/>
          <w:color w:val="auto"/>
          <w:szCs w:val="24"/>
        </w:rPr>
        <w:t>二十五、化学纤维制造业</w:t>
      </w:r>
      <w:r>
        <w:rPr>
          <w:rFonts w:hint="eastAsia"/>
          <w:color w:val="auto"/>
          <w:szCs w:val="24"/>
        </w:rPr>
        <w:t>”</w:t>
      </w:r>
      <w:r>
        <w:rPr>
          <w:color w:val="auto"/>
          <w:szCs w:val="24"/>
        </w:rPr>
        <w:t>—“</w:t>
      </w:r>
      <w:r>
        <w:rPr>
          <w:rFonts w:hint="eastAsia"/>
          <w:color w:val="auto"/>
          <w:szCs w:val="24"/>
        </w:rPr>
        <w:t>51</w:t>
      </w:r>
      <w:r>
        <w:rPr>
          <w:color w:val="auto"/>
          <w:szCs w:val="24"/>
        </w:rPr>
        <w:t>生物基材料制造 283”—“生物基化学纤维制造（单纯纺丝的除外）”，故应编制环境影响报告书。</w:t>
      </w:r>
      <w:r>
        <w:rPr>
          <w:rFonts w:hint="eastAsia"/>
          <w:color w:val="auto"/>
          <w:szCs w:val="24"/>
          <w:lang w:val="en-US" w:eastAsia="zh-CN"/>
        </w:rPr>
        <w:t>本项目产品丙交酯属于其他生物基产品中的生物基聚酯，聚乳酸属于生物降解生物基塑料原料中的聚乳酸(PLA)，因此都属于</w:t>
      </w:r>
      <w:r>
        <w:rPr>
          <w:color w:val="auto"/>
          <w:szCs w:val="24"/>
        </w:rPr>
        <w:t>生物基材料制造</w:t>
      </w:r>
      <w:r>
        <w:rPr>
          <w:rFonts w:hint="eastAsia"/>
          <w:color w:val="auto"/>
          <w:szCs w:val="24"/>
          <w:lang w:eastAsia="zh-CN"/>
        </w:rPr>
        <w:t>。</w:t>
      </w:r>
    </w:p>
    <w:p>
      <w:pPr>
        <w:pStyle w:val="21"/>
        <w:widowControl/>
        <w:numPr>
          <w:ilvl w:val="0"/>
          <w:numId w:val="2"/>
        </w:numPr>
        <w:shd w:val="clear" w:color="auto" w:fill="FFFFFF"/>
        <w:spacing w:line="440" w:lineRule="atLeast"/>
        <w:ind w:firstLine="482"/>
        <w:rPr>
          <w:color w:val="auto"/>
        </w:rPr>
      </w:pPr>
      <w:r>
        <w:rPr>
          <w:b/>
          <w:bCs/>
          <w:color w:val="auto"/>
          <w:szCs w:val="24"/>
        </w:rPr>
        <w:t>产业政策相符性判定</w:t>
      </w:r>
    </w:p>
    <w:p>
      <w:pPr>
        <w:pStyle w:val="21"/>
        <w:widowControl/>
        <w:shd w:val="clear" w:color="auto" w:fill="FFFFFF"/>
        <w:spacing w:line="440" w:lineRule="atLeast"/>
        <w:ind w:firstLine="480"/>
        <w:jc w:val="both"/>
        <w:rPr>
          <w:color w:val="auto"/>
        </w:rPr>
      </w:pPr>
      <w:r>
        <w:rPr>
          <w:color w:val="auto"/>
        </w:rPr>
        <w:t>拟建项目属于《产业结构调整指导目录（2019年本）》“鼓励类”第十九项“轻工”第3条“生物可降解塑料及其系列产品开发、生产与应用，农用塑料节水器材和长寿命（三年及以上）功能性农用薄膜的开发、生产”，为国家鼓励类项目。</w:t>
      </w:r>
      <w:r>
        <w:rPr>
          <w:rFonts w:hint="eastAsia"/>
          <w:color w:val="auto"/>
        </w:rPr>
        <w:t>拟建</w:t>
      </w:r>
      <w:r>
        <w:rPr>
          <w:color w:val="auto"/>
        </w:rPr>
        <w:t>项目于202</w:t>
      </w:r>
      <w:r>
        <w:rPr>
          <w:rFonts w:hint="eastAsia"/>
          <w:color w:val="auto"/>
        </w:rPr>
        <w:t>2</w:t>
      </w:r>
      <w:r>
        <w:rPr>
          <w:color w:val="auto"/>
        </w:rPr>
        <w:t>年</w:t>
      </w:r>
      <w:r>
        <w:rPr>
          <w:rFonts w:hint="eastAsia"/>
          <w:color w:val="auto"/>
        </w:rPr>
        <w:t>1</w:t>
      </w:r>
      <w:r>
        <w:rPr>
          <w:color w:val="auto"/>
        </w:rPr>
        <w:t>月1</w:t>
      </w:r>
      <w:r>
        <w:rPr>
          <w:rFonts w:hint="eastAsia"/>
          <w:color w:val="auto"/>
        </w:rPr>
        <w:t>0</w:t>
      </w:r>
      <w:r>
        <w:rPr>
          <w:color w:val="auto"/>
        </w:rPr>
        <w:t>日取得山东省建设项目备案证明，项目代码为</w:t>
      </w:r>
      <w:r>
        <w:rPr>
          <w:rFonts w:hint="eastAsia"/>
          <w:color w:val="auto"/>
        </w:rPr>
        <w:t>2201-370303-89-01-892093</w:t>
      </w:r>
      <w:r>
        <w:rPr>
          <w:color w:val="auto"/>
        </w:rPr>
        <w:t>。</w:t>
      </w:r>
    </w:p>
    <w:p>
      <w:pPr>
        <w:spacing w:line="440" w:lineRule="atLeast"/>
        <w:ind w:firstLine="480"/>
        <w:rPr>
          <w:color w:val="auto"/>
        </w:rPr>
      </w:pPr>
      <w:r>
        <w:rPr>
          <w:color w:val="auto"/>
        </w:rPr>
        <w:t>本项目行业为C</w:t>
      </w:r>
      <w:r>
        <w:rPr>
          <w:rFonts w:hint="eastAsia"/>
          <w:color w:val="auto"/>
        </w:rPr>
        <w:t>2832生物基、淀粉基新材料制造，</w:t>
      </w:r>
      <w:r>
        <w:rPr>
          <w:color w:val="auto"/>
        </w:rPr>
        <w:t>根据《关于“两高”项目管理</w:t>
      </w:r>
      <w:r>
        <w:rPr>
          <w:rFonts w:hint="eastAsia"/>
          <w:color w:val="auto"/>
        </w:rPr>
        <w:t>有关事项</w:t>
      </w:r>
      <w:r>
        <w:rPr>
          <w:color w:val="auto"/>
        </w:rPr>
        <w:t>的通知》（鲁</w:t>
      </w:r>
      <w:r>
        <w:rPr>
          <w:rFonts w:hint="eastAsia"/>
          <w:color w:val="auto"/>
        </w:rPr>
        <w:t>发改工业</w:t>
      </w:r>
      <w:r>
        <w:rPr>
          <w:color w:val="auto"/>
        </w:rPr>
        <w:t>[20</w:t>
      </w:r>
      <w:r>
        <w:rPr>
          <w:rFonts w:hint="eastAsia"/>
          <w:color w:val="auto"/>
        </w:rPr>
        <w:t>22</w:t>
      </w:r>
      <w:r>
        <w:rPr>
          <w:color w:val="auto"/>
        </w:rPr>
        <w:t>]</w:t>
      </w:r>
      <w:r>
        <w:rPr>
          <w:rFonts w:hint="eastAsia"/>
          <w:color w:val="auto"/>
        </w:rPr>
        <w:t>255</w:t>
      </w:r>
      <w:r>
        <w:rPr>
          <w:color w:val="auto"/>
        </w:rPr>
        <w:t>号）</w:t>
      </w:r>
      <w:r>
        <w:rPr>
          <w:rFonts w:hint="eastAsia"/>
          <w:color w:val="auto"/>
        </w:rPr>
        <w:t>中的《山东省“两高”项目管理目录（2022年版）》</w:t>
      </w:r>
      <w:r>
        <w:rPr>
          <w:color w:val="auto"/>
        </w:rPr>
        <w:t>，</w:t>
      </w:r>
      <w:r>
        <w:rPr>
          <w:rFonts w:hint="eastAsia"/>
          <w:color w:val="auto"/>
        </w:rPr>
        <w:t>本项目</w:t>
      </w:r>
      <w:r>
        <w:rPr>
          <w:color w:val="auto"/>
        </w:rPr>
        <w:t>不属于“两高”项目。本项目位于</w:t>
      </w:r>
      <w:r>
        <w:rPr>
          <w:color w:val="auto"/>
          <w:szCs w:val="24"/>
        </w:rPr>
        <w:t>淄博市</w:t>
      </w:r>
      <w:r>
        <w:rPr>
          <w:rFonts w:hint="eastAsia"/>
          <w:color w:val="auto"/>
          <w:szCs w:val="24"/>
        </w:rPr>
        <w:t>张店区房镇镇淄博科技工业园兴园路19号，本项目为</w:t>
      </w:r>
      <w:r>
        <w:rPr>
          <w:color w:val="auto"/>
          <w:szCs w:val="24"/>
        </w:rPr>
        <w:t>生物基化学纤维制造</w:t>
      </w:r>
      <w:r>
        <w:rPr>
          <w:rFonts w:hint="eastAsia"/>
          <w:color w:val="auto"/>
          <w:szCs w:val="24"/>
        </w:rPr>
        <w:t>项目，属于淄博科技工业园产业定位中的新材料类，符合淄博科技工业园产业发展定位要求。</w:t>
      </w:r>
      <w:r>
        <w:rPr>
          <w:rFonts w:hint="eastAsia"/>
          <w:color w:val="auto"/>
          <w:szCs w:val="24"/>
          <w:lang w:val="en-US" w:eastAsia="zh-CN"/>
        </w:rPr>
        <w:t>本项目产品丙交酯属于其他生物基产品中的生物基聚酯，聚乳酸属于生物降解生物基塑料原料中的聚乳酸(PLA)，因此都属于</w:t>
      </w:r>
      <w:r>
        <w:rPr>
          <w:color w:val="auto"/>
          <w:szCs w:val="24"/>
        </w:rPr>
        <w:t>生物基材料制造</w:t>
      </w:r>
      <w:r>
        <w:rPr>
          <w:rFonts w:hint="eastAsia"/>
          <w:color w:val="auto"/>
          <w:szCs w:val="24"/>
          <w:lang w:eastAsia="zh-CN"/>
        </w:rPr>
        <w:t>。</w:t>
      </w:r>
    </w:p>
    <w:p>
      <w:pPr>
        <w:pStyle w:val="21"/>
        <w:widowControl/>
        <w:shd w:val="clear" w:color="auto" w:fill="FFFFFF"/>
        <w:spacing w:line="440" w:lineRule="atLeast"/>
        <w:ind w:firstLine="482"/>
        <w:rPr>
          <w:b/>
          <w:bCs/>
          <w:color w:val="auto"/>
          <w:szCs w:val="24"/>
        </w:rPr>
      </w:pPr>
      <w:r>
        <w:rPr>
          <w:b/>
          <w:bCs/>
          <w:color w:val="auto"/>
          <w:szCs w:val="24"/>
        </w:rPr>
        <w:t>3、规划相符性判定</w:t>
      </w:r>
    </w:p>
    <w:p>
      <w:pPr>
        <w:pStyle w:val="21"/>
        <w:widowControl/>
        <w:shd w:val="clear" w:color="auto" w:fill="FFFFFF"/>
        <w:spacing w:line="440" w:lineRule="atLeast"/>
        <w:ind w:firstLine="480"/>
        <w:rPr>
          <w:color w:val="auto"/>
          <w:szCs w:val="24"/>
        </w:rPr>
      </w:pPr>
      <w:r>
        <w:rPr>
          <w:color w:val="auto"/>
        </w:rPr>
        <w:t>拟建项目</w:t>
      </w:r>
      <w:r>
        <w:rPr>
          <w:color w:val="auto"/>
          <w:szCs w:val="24"/>
        </w:rPr>
        <w:t>位于</w:t>
      </w:r>
      <w:r>
        <w:rPr>
          <w:rFonts w:hint="eastAsia"/>
          <w:color w:val="auto"/>
          <w:szCs w:val="24"/>
        </w:rPr>
        <w:t>淄博科技工业园</w:t>
      </w:r>
      <w:r>
        <w:rPr>
          <w:color w:val="auto"/>
          <w:szCs w:val="24"/>
        </w:rPr>
        <w:t>，符合</w:t>
      </w:r>
      <w:r>
        <w:rPr>
          <w:color w:val="auto"/>
        </w:rPr>
        <w:t>《山东省生态保护红线规划》（2016-2020年）、《淄博市城市总体规划》（2011-2020）、张店区总体规划和淄博科技工业园规划</w:t>
      </w:r>
      <w:r>
        <w:rPr>
          <w:color w:val="auto"/>
          <w:szCs w:val="24"/>
        </w:rPr>
        <w:t>等相关规划要求。项目用地为工业用地，符合</w:t>
      </w:r>
      <w:r>
        <w:rPr>
          <w:rFonts w:hint="eastAsia"/>
          <w:color w:val="auto"/>
          <w:szCs w:val="24"/>
        </w:rPr>
        <w:t>淄博科技工业园</w:t>
      </w:r>
      <w:r>
        <w:rPr>
          <w:rFonts w:hint="eastAsia"/>
          <w:color w:val="auto"/>
          <w:szCs w:val="24"/>
          <w:lang w:val="en-US" w:eastAsia="zh-CN"/>
        </w:rPr>
        <w:t>规划及</w:t>
      </w:r>
      <w:r>
        <w:rPr>
          <w:color w:val="auto"/>
          <w:szCs w:val="24"/>
        </w:rPr>
        <w:t>土地利用现状。</w:t>
      </w:r>
    </w:p>
    <w:p>
      <w:pPr>
        <w:spacing w:line="440" w:lineRule="atLeast"/>
        <w:ind w:firstLine="482"/>
        <w:rPr>
          <w:color w:val="auto"/>
        </w:rPr>
      </w:pPr>
      <w:bookmarkStart w:id="24" w:name="_Toc19969"/>
      <w:bookmarkStart w:id="25" w:name="_Toc30940"/>
      <w:bookmarkStart w:id="26" w:name="_Toc24236"/>
      <w:bookmarkStart w:id="27" w:name="_Toc18016"/>
      <w:bookmarkStart w:id="28" w:name="_Toc12699"/>
      <w:bookmarkStart w:id="29" w:name="_Toc14385"/>
      <w:bookmarkStart w:id="30" w:name="_Toc7975"/>
      <w:bookmarkStart w:id="31" w:name="_Toc22467"/>
      <w:bookmarkStart w:id="32" w:name="_Toc11883"/>
      <w:bookmarkStart w:id="33" w:name="_Toc23843"/>
      <w:r>
        <w:rPr>
          <w:b/>
          <w:bCs/>
          <w:color w:val="auto"/>
        </w:rPr>
        <w:t>4、规划环境影响评价结论及审查意见的符合性分析</w:t>
      </w:r>
      <w:bookmarkEnd w:id="24"/>
      <w:bookmarkEnd w:id="25"/>
      <w:bookmarkEnd w:id="26"/>
      <w:bookmarkEnd w:id="27"/>
      <w:bookmarkEnd w:id="28"/>
      <w:bookmarkEnd w:id="29"/>
      <w:bookmarkEnd w:id="30"/>
      <w:bookmarkEnd w:id="31"/>
      <w:bookmarkEnd w:id="32"/>
      <w:bookmarkEnd w:id="33"/>
    </w:p>
    <w:p>
      <w:pPr>
        <w:spacing w:line="440" w:lineRule="atLeast"/>
        <w:ind w:firstLine="480"/>
        <w:rPr>
          <w:color w:val="auto"/>
        </w:rPr>
      </w:pPr>
      <w:r>
        <w:rPr>
          <w:color w:val="auto"/>
        </w:rPr>
        <w:t>拟建项目符合</w:t>
      </w:r>
      <w:r>
        <w:rPr>
          <w:rFonts w:hint="eastAsia"/>
          <w:color w:val="auto"/>
          <w:lang w:eastAsia="zh-CN"/>
        </w:rPr>
        <w:t>《</w:t>
      </w:r>
      <w:r>
        <w:rPr>
          <w:color w:val="auto"/>
        </w:rPr>
        <w:t>淄博科技工业园环境影响评价报告书</w:t>
      </w:r>
      <w:r>
        <w:rPr>
          <w:rFonts w:hint="eastAsia"/>
          <w:color w:val="auto"/>
          <w:lang w:eastAsia="zh-CN"/>
        </w:rPr>
        <w:t>》</w:t>
      </w:r>
      <w:r>
        <w:rPr>
          <w:color w:val="auto"/>
        </w:rPr>
        <w:t>评价结论及其审查意见（淄环审【</w:t>
      </w:r>
      <w:r>
        <w:rPr>
          <w:rFonts w:hint="eastAsia"/>
          <w:color w:val="auto"/>
          <w:lang w:val="en-US" w:eastAsia="zh-CN"/>
        </w:rPr>
        <w:t>2007</w:t>
      </w:r>
      <w:r>
        <w:rPr>
          <w:color w:val="auto"/>
        </w:rPr>
        <w:t>】</w:t>
      </w:r>
      <w:r>
        <w:rPr>
          <w:rFonts w:hint="eastAsia"/>
          <w:color w:val="auto"/>
          <w:lang w:val="en-US" w:eastAsia="zh-CN"/>
        </w:rPr>
        <w:t>45</w:t>
      </w:r>
      <w:r>
        <w:rPr>
          <w:color w:val="auto"/>
        </w:rPr>
        <w:t>号）</w:t>
      </w:r>
      <w:r>
        <w:rPr>
          <w:rFonts w:hint="eastAsia"/>
          <w:color w:val="auto"/>
          <w:lang w:eastAsia="zh-CN"/>
        </w:rPr>
        <w:t>、</w:t>
      </w:r>
      <w:r>
        <w:rPr>
          <w:color w:val="auto"/>
        </w:rPr>
        <w:t>《淄博科技工业园环境影响跟踪评价报告书》评价结论及其审查意见（淄环审【2018】34号）的要求。</w:t>
      </w:r>
    </w:p>
    <w:p>
      <w:pPr>
        <w:pStyle w:val="21"/>
        <w:widowControl/>
        <w:shd w:val="clear" w:color="auto" w:fill="FFFFFF"/>
        <w:spacing w:line="440" w:lineRule="atLeast"/>
        <w:ind w:firstLine="482"/>
        <w:rPr>
          <w:b/>
          <w:bCs/>
          <w:color w:val="auto"/>
          <w:szCs w:val="24"/>
        </w:rPr>
      </w:pPr>
      <w:r>
        <w:rPr>
          <w:b/>
          <w:bCs/>
          <w:color w:val="auto"/>
          <w:szCs w:val="24"/>
        </w:rPr>
        <w:t>5、“三线一单”符合性判定</w:t>
      </w:r>
    </w:p>
    <w:p>
      <w:pPr>
        <w:adjustRightInd w:val="0"/>
        <w:snapToGrid w:val="0"/>
        <w:spacing w:line="440" w:lineRule="atLeast"/>
        <w:ind w:firstLine="480"/>
        <w:rPr>
          <w:color w:val="auto"/>
          <w:szCs w:val="24"/>
        </w:rPr>
      </w:pPr>
      <w:r>
        <w:rPr>
          <w:color w:val="auto"/>
          <w:szCs w:val="24"/>
        </w:rPr>
        <w:t>（1）生态保护红线</w:t>
      </w:r>
    </w:p>
    <w:p>
      <w:pPr>
        <w:ind w:firstLine="480"/>
        <w:rPr>
          <w:color w:val="auto"/>
        </w:rPr>
      </w:pPr>
      <w:r>
        <w:rPr>
          <w:color w:val="auto"/>
        </w:rPr>
        <w:t>根据《山东省生态保护红线规划》（2016-2020年），</w:t>
      </w:r>
      <w:r>
        <w:rPr>
          <w:rFonts w:hint="eastAsia"/>
          <w:color w:val="auto"/>
        </w:rPr>
        <w:t>淄博市张店区</w:t>
      </w:r>
      <w:r>
        <w:rPr>
          <w:color w:val="auto"/>
        </w:rPr>
        <w:t>生态保护红线区共有</w:t>
      </w:r>
      <w:r>
        <w:rPr>
          <w:rFonts w:hint="eastAsia"/>
          <w:color w:val="auto"/>
        </w:rPr>
        <w:t>一</w:t>
      </w:r>
      <w:r>
        <w:rPr>
          <w:color w:val="auto"/>
        </w:rPr>
        <w:t>处</w:t>
      </w:r>
      <w:r>
        <w:rPr>
          <w:rFonts w:hint="eastAsia"/>
          <w:color w:val="auto"/>
        </w:rPr>
        <w:t>，</w:t>
      </w:r>
      <w:r>
        <w:rPr>
          <w:color w:val="auto"/>
        </w:rPr>
        <w:t>为：四宝山以西生物多样性维护生态保护红线区</w:t>
      </w:r>
      <w:r>
        <w:rPr>
          <w:rFonts w:hint="eastAsia"/>
          <w:color w:val="auto"/>
        </w:rPr>
        <w:t>（SD-03-B4-03）。本项目位于</w:t>
      </w:r>
      <w:r>
        <w:rPr>
          <w:rFonts w:hint="eastAsia"/>
          <w:color w:val="auto"/>
          <w:szCs w:val="24"/>
        </w:rPr>
        <w:t>张店区房镇镇淄博科技工业园兴园路19号</w:t>
      </w:r>
      <w:r>
        <w:rPr>
          <w:color w:val="auto"/>
          <w:szCs w:val="24"/>
        </w:rPr>
        <w:t>（中心地理坐标：E118.</w:t>
      </w:r>
      <w:r>
        <w:rPr>
          <w:rFonts w:hint="eastAsia"/>
          <w:color w:val="auto"/>
          <w:szCs w:val="24"/>
        </w:rPr>
        <w:t>002306°</w:t>
      </w:r>
      <w:r>
        <w:rPr>
          <w:color w:val="auto"/>
          <w:szCs w:val="24"/>
        </w:rPr>
        <w:t>，N36.</w:t>
      </w:r>
      <w:r>
        <w:rPr>
          <w:rFonts w:hint="eastAsia"/>
          <w:color w:val="auto"/>
          <w:szCs w:val="24"/>
        </w:rPr>
        <w:t>859949°</w:t>
      </w:r>
      <w:r>
        <w:rPr>
          <w:color w:val="auto"/>
          <w:szCs w:val="24"/>
        </w:rPr>
        <w:t>）</w:t>
      </w:r>
      <w:r>
        <w:rPr>
          <w:rFonts w:hint="eastAsia"/>
          <w:color w:val="auto"/>
          <w:szCs w:val="24"/>
        </w:rPr>
        <w:t>，与本项目最近的生态红线区域为</w:t>
      </w:r>
      <w:r>
        <w:rPr>
          <w:color w:val="auto"/>
        </w:rPr>
        <w:t>四宝山以西生物多样性维护生态保护红线区</w:t>
      </w:r>
      <w:r>
        <w:rPr>
          <w:rFonts w:hint="eastAsia"/>
          <w:color w:val="auto"/>
        </w:rPr>
        <w:t>（SD-03-B4-03），位于本项目东南侧8600m处，本项目不在山东省生态保护红线范围内。</w:t>
      </w:r>
    </w:p>
    <w:p>
      <w:pPr>
        <w:ind w:firstLine="480"/>
        <w:rPr>
          <w:color w:val="auto"/>
          <w:szCs w:val="24"/>
        </w:rPr>
      </w:pPr>
      <w:r>
        <w:rPr>
          <w:color w:val="auto"/>
          <w:szCs w:val="24"/>
        </w:rPr>
        <w:t>（2）资源利用上线</w:t>
      </w:r>
    </w:p>
    <w:p>
      <w:pPr>
        <w:ind w:firstLine="480"/>
        <w:rPr>
          <w:color w:val="auto"/>
          <w:szCs w:val="24"/>
        </w:rPr>
      </w:pPr>
      <w:r>
        <w:rPr>
          <w:color w:val="auto"/>
          <w:szCs w:val="24"/>
        </w:rPr>
        <w:t>项目用水由</w:t>
      </w:r>
      <w:r>
        <w:rPr>
          <w:rFonts w:hint="eastAsia"/>
          <w:color w:val="auto"/>
          <w:szCs w:val="24"/>
        </w:rPr>
        <w:t>张店区市政供水管网</w:t>
      </w:r>
      <w:r>
        <w:rPr>
          <w:color w:val="auto"/>
          <w:szCs w:val="24"/>
        </w:rPr>
        <w:t>供给，用电由园区电网供应，</w:t>
      </w:r>
      <w:r>
        <w:rPr>
          <w:color w:val="auto"/>
        </w:rPr>
        <w:t>园区现有资源供应能力能够满足项目需要</w:t>
      </w:r>
      <w:r>
        <w:rPr>
          <w:color w:val="auto"/>
          <w:szCs w:val="24"/>
        </w:rPr>
        <w:t>，符合资源利用上线的要求。</w:t>
      </w:r>
    </w:p>
    <w:p>
      <w:pPr>
        <w:ind w:left="480" w:leftChars="200" w:firstLine="0" w:firstLineChars="0"/>
        <w:rPr>
          <w:color w:val="auto"/>
          <w:szCs w:val="24"/>
        </w:rPr>
      </w:pPr>
      <w:r>
        <w:rPr>
          <w:color w:val="auto"/>
          <w:szCs w:val="24"/>
        </w:rPr>
        <w:t>（3）环境质量底线</w:t>
      </w:r>
    </w:p>
    <w:p>
      <w:pPr>
        <w:pStyle w:val="21"/>
        <w:widowControl/>
        <w:shd w:val="clear" w:color="auto" w:fill="FFFFFF"/>
        <w:ind w:firstLine="480"/>
        <w:rPr>
          <w:color w:val="auto"/>
          <w:szCs w:val="24"/>
        </w:rPr>
      </w:pPr>
      <w:r>
        <w:rPr>
          <w:color w:val="auto"/>
          <w:szCs w:val="24"/>
        </w:rPr>
        <w:t>项目废气能够达标排放，</w:t>
      </w:r>
      <w:r>
        <w:rPr>
          <w:rFonts w:hint="eastAsia"/>
          <w:color w:val="auto"/>
          <w:szCs w:val="24"/>
        </w:rPr>
        <w:t>废水经污水处理站处理后排入光大水务（淄博）有限公司水质净化</w:t>
      </w:r>
      <w:r>
        <w:rPr>
          <w:rFonts w:hint="eastAsia"/>
          <w:color w:val="auto"/>
          <w:szCs w:val="24"/>
          <w:lang w:eastAsia="zh-CN"/>
        </w:rPr>
        <w:t>三分厂</w:t>
      </w:r>
      <w:r>
        <w:rPr>
          <w:rFonts w:hint="eastAsia"/>
          <w:color w:val="auto"/>
          <w:szCs w:val="24"/>
        </w:rPr>
        <w:t>处理后排入猪龙河，</w:t>
      </w:r>
      <w:r>
        <w:rPr>
          <w:color w:val="auto"/>
          <w:szCs w:val="24"/>
        </w:rPr>
        <w:t>生活垃圾委托环卫部门处置，危险废物委托有资质的单位处置，</w:t>
      </w:r>
      <w:r>
        <w:rPr>
          <w:rFonts w:hint="eastAsia"/>
          <w:color w:val="auto"/>
          <w:szCs w:val="24"/>
        </w:rPr>
        <w:t>一般工业固废</w:t>
      </w:r>
      <w:r>
        <w:rPr>
          <w:color w:val="auto"/>
          <w:szCs w:val="24"/>
        </w:rPr>
        <w:t>收集后</w:t>
      </w:r>
      <w:r>
        <w:rPr>
          <w:rFonts w:hint="eastAsia"/>
          <w:color w:val="auto"/>
          <w:szCs w:val="24"/>
        </w:rPr>
        <w:t>统一外售</w:t>
      </w:r>
      <w:r>
        <w:rPr>
          <w:color w:val="auto"/>
          <w:szCs w:val="24"/>
        </w:rPr>
        <w:t>。本项目建成后生产设备产生的噪声经过隔音、消音及距离衰减后，对周围声环境的影响可接受。近距离无声环境敏感点，项目对声环境影响较小。项目厂址土壤环境质量满足《土壤环境质量 建设用地土壤污染风险管控标准（试行）》（GB36600-2018）标准要求。项目建设过程中将采取严格的防渗措施，确保生产装置区及罐区不与土壤表层直接接触。淄博市、</w:t>
      </w:r>
      <w:r>
        <w:rPr>
          <w:rFonts w:hint="eastAsia"/>
          <w:color w:val="auto"/>
          <w:szCs w:val="24"/>
        </w:rPr>
        <w:t>张店</w:t>
      </w:r>
      <w:r>
        <w:rPr>
          <w:color w:val="auto"/>
          <w:szCs w:val="24"/>
        </w:rPr>
        <w:t>区政府已出台多项环境空气、地表水、地下水等整治、防控措施。</w:t>
      </w:r>
      <w:r>
        <w:rPr>
          <w:rFonts w:hint="eastAsia"/>
          <w:color w:val="auto"/>
          <w:szCs w:val="24"/>
        </w:rPr>
        <w:t>本</w:t>
      </w:r>
      <w:r>
        <w:rPr>
          <w:color w:val="auto"/>
        </w:rPr>
        <w:t>项目投产后，不影响区域内主要污染物总量减排</w:t>
      </w:r>
      <w:r>
        <w:rPr>
          <w:color w:val="auto"/>
          <w:szCs w:val="24"/>
        </w:rPr>
        <w:t>，项目的建设符合环境质量底线的要求。</w:t>
      </w:r>
    </w:p>
    <w:p>
      <w:pPr>
        <w:ind w:left="480" w:leftChars="200" w:firstLine="0" w:firstLineChars="0"/>
        <w:rPr>
          <w:color w:val="auto"/>
          <w:szCs w:val="24"/>
        </w:rPr>
      </w:pPr>
      <w:r>
        <w:rPr>
          <w:color w:val="auto"/>
          <w:szCs w:val="24"/>
        </w:rPr>
        <w:t>（4）环境准入</w:t>
      </w:r>
      <w:r>
        <w:rPr>
          <w:rFonts w:hint="eastAsia"/>
          <w:color w:val="auto"/>
          <w:szCs w:val="24"/>
        </w:rPr>
        <w:t>清单</w:t>
      </w:r>
    </w:p>
    <w:p>
      <w:pPr>
        <w:pStyle w:val="21"/>
        <w:widowControl/>
        <w:shd w:val="clear" w:color="auto" w:fill="FFFFFF"/>
        <w:ind w:firstLine="480"/>
        <w:rPr>
          <w:color w:val="auto"/>
          <w:szCs w:val="24"/>
        </w:rPr>
      </w:pPr>
      <w:r>
        <w:rPr>
          <w:rFonts w:hint="eastAsia"/>
          <w:color w:val="auto"/>
          <w:szCs w:val="24"/>
        </w:rPr>
        <w:t>本项目位于山东省淄博市张店区房镇镇淄博科技工业园兴园路19号。本项目符合</w:t>
      </w:r>
      <w:r>
        <w:rPr>
          <w:color w:val="auto"/>
          <w:szCs w:val="24"/>
        </w:rPr>
        <w:t>《淄博市生态环境委员会办公室关于印发《淄博市“三线一单”生态环境准入清单》的通知 》（淄环委办[2021]24号）</w:t>
      </w:r>
      <w:r>
        <w:rPr>
          <w:rFonts w:hint="eastAsia"/>
          <w:color w:val="auto"/>
          <w:szCs w:val="24"/>
        </w:rPr>
        <w:t>中张店区淄博科技工业园准入清单。</w:t>
      </w:r>
    </w:p>
    <w:p>
      <w:pPr>
        <w:ind w:firstLine="482"/>
        <w:rPr>
          <w:b/>
          <w:bCs/>
          <w:color w:val="auto"/>
        </w:rPr>
      </w:pPr>
      <w:r>
        <w:rPr>
          <w:b/>
          <w:bCs/>
          <w:color w:val="auto"/>
        </w:rPr>
        <w:t>6、与《淄博市“三线一单”生态环境分区管控方案》的符合性分析</w:t>
      </w:r>
    </w:p>
    <w:p>
      <w:pPr>
        <w:pStyle w:val="21"/>
        <w:widowControl/>
        <w:shd w:val="clear" w:color="auto" w:fill="FFFFFF"/>
        <w:ind w:firstLine="480"/>
        <w:rPr>
          <w:color w:val="auto"/>
        </w:rPr>
      </w:pPr>
      <w:r>
        <w:rPr>
          <w:color w:val="auto"/>
        </w:rPr>
        <w:t>根据《淄博市人民政府关于印发淄博市“三线一单”生态环境分区管控方案的通知》（淄政字〔2021〕49号）文件要求，本项目占地范围属于重点管控单元，且本项目符合淄博市生态环境分区总体管控要求。</w:t>
      </w:r>
    </w:p>
    <w:p>
      <w:pPr>
        <w:pStyle w:val="21"/>
        <w:widowControl/>
        <w:shd w:val="clear" w:color="auto" w:fill="FFFFFF"/>
        <w:ind w:firstLine="482"/>
        <w:rPr>
          <w:b/>
          <w:bCs/>
          <w:color w:val="auto"/>
          <w:szCs w:val="24"/>
        </w:rPr>
      </w:pPr>
      <w:r>
        <w:rPr>
          <w:rFonts w:hint="eastAsia"/>
          <w:b/>
          <w:bCs/>
          <w:color w:val="auto"/>
          <w:szCs w:val="24"/>
        </w:rPr>
        <w:t>7</w:t>
      </w:r>
      <w:r>
        <w:rPr>
          <w:b/>
          <w:bCs/>
          <w:color w:val="auto"/>
          <w:szCs w:val="24"/>
        </w:rPr>
        <w:t>、环境要素评价等级判定</w:t>
      </w:r>
    </w:p>
    <w:p>
      <w:pPr>
        <w:pStyle w:val="21"/>
        <w:widowControl/>
        <w:shd w:val="clear" w:color="auto" w:fill="FFFFFF"/>
        <w:ind w:firstLine="480"/>
        <w:rPr>
          <w:color w:val="auto"/>
          <w:szCs w:val="24"/>
        </w:rPr>
      </w:pPr>
      <w:r>
        <w:rPr>
          <w:color w:val="auto"/>
          <w:szCs w:val="24"/>
        </w:rPr>
        <w:t>根据工程分析、污染物排放种类及源强、周边环境特征，结合各环境要素环境影响评价技术导则的规定，确定本项目环境空气评价等级为</w:t>
      </w:r>
      <w:r>
        <w:rPr>
          <w:rFonts w:hint="eastAsia"/>
          <w:color w:val="auto"/>
          <w:szCs w:val="24"/>
        </w:rPr>
        <w:t>二级</w:t>
      </w:r>
      <w:r>
        <w:rPr>
          <w:color w:val="auto"/>
          <w:szCs w:val="24"/>
        </w:rPr>
        <w:t>，地表水评价等级为三级B，地下水评价等级为</w:t>
      </w:r>
      <w:r>
        <w:rPr>
          <w:rFonts w:hint="eastAsia"/>
          <w:color w:val="auto"/>
          <w:szCs w:val="24"/>
        </w:rPr>
        <w:t>三级</w:t>
      </w:r>
      <w:r>
        <w:rPr>
          <w:color w:val="auto"/>
          <w:szCs w:val="24"/>
        </w:rPr>
        <w:t>，土壤评价等级为</w:t>
      </w:r>
      <w:r>
        <w:rPr>
          <w:rFonts w:hint="eastAsia"/>
          <w:color w:val="auto"/>
          <w:szCs w:val="24"/>
        </w:rPr>
        <w:t>二</w:t>
      </w:r>
      <w:r>
        <w:rPr>
          <w:color w:val="auto"/>
          <w:szCs w:val="24"/>
        </w:rPr>
        <w:t>级，声环境评价等级为</w:t>
      </w:r>
      <w:r>
        <w:rPr>
          <w:rFonts w:hint="eastAsia"/>
          <w:color w:val="auto"/>
          <w:szCs w:val="24"/>
          <w:lang w:val="en-US" w:eastAsia="zh-CN"/>
        </w:rPr>
        <w:t>二</w:t>
      </w:r>
      <w:r>
        <w:rPr>
          <w:color w:val="auto"/>
          <w:szCs w:val="24"/>
        </w:rPr>
        <w:t>级，环境风险评价为</w:t>
      </w:r>
      <w:r>
        <w:rPr>
          <w:rFonts w:hint="eastAsia"/>
          <w:color w:val="auto"/>
          <w:szCs w:val="24"/>
        </w:rPr>
        <w:t>简单分析</w:t>
      </w:r>
      <w:r>
        <w:rPr>
          <w:color w:val="auto"/>
          <w:szCs w:val="24"/>
        </w:rPr>
        <w:t>。</w:t>
      </w:r>
    </w:p>
    <w:p>
      <w:pPr>
        <w:ind w:firstLine="0" w:firstLineChars="0"/>
        <w:outlineLvl w:val="1"/>
        <w:rPr>
          <w:b/>
          <w:bCs/>
          <w:color w:val="auto"/>
          <w:sz w:val="28"/>
          <w:szCs w:val="28"/>
        </w:rPr>
      </w:pPr>
      <w:bookmarkStart w:id="34" w:name="_Toc9540"/>
      <w:r>
        <w:rPr>
          <w:rFonts w:hint="eastAsia"/>
          <w:b/>
          <w:bCs/>
          <w:color w:val="auto"/>
          <w:sz w:val="28"/>
          <w:szCs w:val="28"/>
        </w:rPr>
        <w:t>四、</w:t>
      </w:r>
      <w:r>
        <w:rPr>
          <w:b/>
          <w:bCs/>
          <w:color w:val="auto"/>
          <w:sz w:val="28"/>
          <w:szCs w:val="28"/>
        </w:rPr>
        <w:t>关注的主要环境问题及环境影响</w:t>
      </w:r>
      <w:bookmarkEnd w:id="34"/>
    </w:p>
    <w:p>
      <w:pPr>
        <w:pStyle w:val="21"/>
        <w:widowControl/>
        <w:shd w:val="clear" w:color="auto" w:fill="FFFFFF"/>
        <w:ind w:left="547" w:leftChars="228" w:firstLine="0" w:firstLineChars="0"/>
        <w:rPr>
          <w:b/>
          <w:bCs/>
          <w:color w:val="auto"/>
          <w:szCs w:val="22"/>
        </w:rPr>
      </w:pPr>
      <w:r>
        <w:rPr>
          <w:b/>
          <w:bCs/>
          <w:color w:val="auto"/>
          <w:szCs w:val="22"/>
        </w:rPr>
        <w:t>1、关注的主要环境问题</w:t>
      </w:r>
    </w:p>
    <w:p>
      <w:pPr>
        <w:pStyle w:val="21"/>
        <w:widowControl/>
        <w:shd w:val="clear" w:color="auto" w:fill="FFFFFF"/>
        <w:ind w:left="547" w:leftChars="228" w:firstLine="0" w:firstLineChars="0"/>
        <w:rPr>
          <w:color w:val="auto"/>
          <w:szCs w:val="22"/>
        </w:rPr>
      </w:pPr>
      <w:r>
        <w:rPr>
          <w:color w:val="auto"/>
          <w:szCs w:val="22"/>
        </w:rPr>
        <w:t>根据项目的特点，本次评价主要关注的环境问题包括：</w:t>
      </w:r>
    </w:p>
    <w:p>
      <w:pPr>
        <w:pStyle w:val="13"/>
        <w:ind w:firstLine="480"/>
        <w:rPr>
          <w:color w:val="auto"/>
          <w:szCs w:val="22"/>
        </w:rPr>
      </w:pPr>
      <w:r>
        <w:rPr>
          <w:color w:val="auto"/>
          <w:szCs w:val="22"/>
        </w:rPr>
        <w:t>（1）项目</w:t>
      </w:r>
      <w:r>
        <w:rPr>
          <w:color w:val="auto"/>
        </w:rPr>
        <w:t>污染防治措施的技术可行性、经济技术可行性与实现污染物长期稳定达标排放的可行性，污染物排放总量是否满足控制区</w:t>
      </w:r>
      <w:r>
        <w:rPr>
          <w:color w:val="auto"/>
          <w:szCs w:val="24"/>
        </w:rPr>
        <w:t>污染物排放总量减排要求</w:t>
      </w:r>
      <w:r>
        <w:rPr>
          <w:color w:val="auto"/>
        </w:rPr>
        <w:t>。</w:t>
      </w:r>
    </w:p>
    <w:p>
      <w:pPr>
        <w:pStyle w:val="21"/>
        <w:widowControl/>
        <w:shd w:val="clear" w:color="auto" w:fill="FFFFFF"/>
        <w:ind w:firstLine="480"/>
        <w:rPr>
          <w:color w:val="auto"/>
          <w:szCs w:val="22"/>
        </w:rPr>
      </w:pPr>
      <w:r>
        <w:rPr>
          <w:color w:val="auto"/>
          <w:szCs w:val="22"/>
        </w:rPr>
        <w:t>（2）</w:t>
      </w:r>
      <w:r>
        <w:rPr>
          <w:color w:val="auto"/>
        </w:rPr>
        <w:t>关注大气环境、土壤、地下水影响的可接受性</w:t>
      </w:r>
      <w:r>
        <w:rPr>
          <w:color w:val="auto"/>
          <w:szCs w:val="22"/>
        </w:rPr>
        <w:t>。</w:t>
      </w:r>
    </w:p>
    <w:p>
      <w:pPr>
        <w:pStyle w:val="21"/>
        <w:widowControl/>
        <w:shd w:val="clear" w:color="auto" w:fill="FFFFFF"/>
        <w:ind w:firstLine="480"/>
        <w:rPr>
          <w:color w:val="auto"/>
          <w:szCs w:val="22"/>
        </w:rPr>
      </w:pPr>
      <w:r>
        <w:rPr>
          <w:color w:val="auto"/>
          <w:szCs w:val="22"/>
        </w:rPr>
        <w:t>（3）关注环境风险对周边环境的影响，以及环境风险防范措施可</w:t>
      </w:r>
      <w:r>
        <w:rPr>
          <w:rFonts w:hint="eastAsia"/>
          <w:color w:val="auto"/>
          <w:szCs w:val="22"/>
          <w:lang w:val="en-US" w:eastAsia="zh-CN"/>
        </w:rPr>
        <w:t>行性</w:t>
      </w:r>
      <w:r>
        <w:rPr>
          <w:color w:val="auto"/>
          <w:szCs w:val="22"/>
        </w:rPr>
        <w:t>。</w:t>
      </w:r>
    </w:p>
    <w:p>
      <w:pPr>
        <w:pStyle w:val="21"/>
        <w:widowControl/>
        <w:shd w:val="clear" w:color="auto" w:fill="FFFFFF"/>
        <w:ind w:left="547" w:leftChars="228" w:firstLine="0" w:firstLineChars="0"/>
        <w:rPr>
          <w:b/>
          <w:bCs/>
          <w:color w:val="auto"/>
          <w:szCs w:val="22"/>
        </w:rPr>
      </w:pPr>
      <w:r>
        <w:rPr>
          <w:b/>
          <w:bCs/>
          <w:color w:val="auto"/>
          <w:szCs w:val="22"/>
        </w:rPr>
        <w:t>2、项目的主要环境影响</w:t>
      </w:r>
    </w:p>
    <w:p>
      <w:pPr>
        <w:ind w:firstLine="480"/>
        <w:rPr>
          <w:color w:val="auto"/>
        </w:rPr>
      </w:pPr>
      <w:r>
        <w:rPr>
          <w:color w:val="auto"/>
        </w:rPr>
        <w:t>（1）废气产生排放情况及治理措施</w:t>
      </w:r>
    </w:p>
    <w:p>
      <w:pPr>
        <w:ind w:firstLine="480"/>
        <w:rPr>
          <w:color w:val="auto"/>
        </w:rPr>
      </w:pPr>
      <w:r>
        <w:rPr>
          <w:color w:val="auto"/>
        </w:rPr>
        <w:t>1）有组织废气</w:t>
      </w:r>
    </w:p>
    <w:p>
      <w:pPr>
        <w:ind w:firstLine="480"/>
        <w:rPr>
          <w:color w:val="auto"/>
        </w:rPr>
      </w:pPr>
      <w:r>
        <w:rPr>
          <w:rFonts w:hint="eastAsia"/>
          <w:color w:val="auto"/>
        </w:rPr>
        <w:t>本项目有组织废气包括生产过程中产生的G1-脱水不凝气、G</w:t>
      </w:r>
      <w:r>
        <w:rPr>
          <w:rFonts w:hint="eastAsia"/>
          <w:color w:val="auto"/>
          <w:lang w:val="en-US" w:eastAsia="zh-CN"/>
        </w:rPr>
        <w:t>2</w:t>
      </w:r>
      <w:r>
        <w:rPr>
          <w:rFonts w:hint="eastAsia"/>
          <w:color w:val="auto"/>
        </w:rPr>
        <w:t>-</w:t>
      </w:r>
      <w:r>
        <w:rPr>
          <w:rFonts w:hint="eastAsia"/>
          <w:color w:val="auto"/>
          <w:lang w:val="en-US" w:eastAsia="zh-CN"/>
        </w:rPr>
        <w:t>低聚</w:t>
      </w:r>
      <w:r>
        <w:rPr>
          <w:rFonts w:hint="eastAsia"/>
          <w:color w:val="auto"/>
        </w:rPr>
        <w:t>不凝气、G4-酯化不凝气、G5-精制不凝气、G6-脱挥废气</w:t>
      </w:r>
      <w:r>
        <w:rPr>
          <w:rFonts w:hint="eastAsia"/>
          <w:color w:val="auto"/>
          <w:lang w:val="en-US" w:eastAsia="zh-CN"/>
        </w:rPr>
        <w:t>及污水处理站废气</w:t>
      </w:r>
      <w:r>
        <w:rPr>
          <w:rFonts w:hint="eastAsia"/>
          <w:color w:val="auto"/>
        </w:rPr>
        <w:t>，经收集后通过废气处理装置（</w:t>
      </w:r>
      <w:r>
        <w:rPr>
          <w:rFonts w:hint="eastAsia"/>
          <w:color w:val="auto"/>
          <w:lang w:eastAsia="zh-CN"/>
        </w:rPr>
        <w:t>碱喷淋</w:t>
      </w:r>
      <w:r>
        <w:rPr>
          <w:rFonts w:hint="eastAsia"/>
          <w:color w:val="auto"/>
        </w:rPr>
        <w:t>+活性炭吸附）处理后</w:t>
      </w:r>
      <w:r>
        <w:rPr>
          <w:color w:val="auto"/>
        </w:rPr>
        <w:t>由15m排气筒（DA00</w:t>
      </w:r>
      <w:r>
        <w:rPr>
          <w:rFonts w:hint="eastAsia"/>
          <w:color w:val="auto"/>
        </w:rPr>
        <w:t>1</w:t>
      </w:r>
      <w:r>
        <w:rPr>
          <w:color w:val="auto"/>
        </w:rPr>
        <w:t>）排放，VOCs排放满足《挥发性有机物排放标准 第6 部分：有机化工行业》（DB 37/ 2801.6-2018）表1 有机化工企业或生产设施VOCs 排放限值要求（3.0kg/h，60mg/m</w:t>
      </w:r>
      <w:r>
        <w:rPr>
          <w:color w:val="auto"/>
          <w:vertAlign w:val="superscript"/>
        </w:rPr>
        <w:t>3</w:t>
      </w:r>
      <w:r>
        <w:rPr>
          <w:color w:val="auto"/>
        </w:rPr>
        <w:t>）；</w:t>
      </w:r>
      <w:r>
        <w:rPr>
          <w:rFonts w:hint="eastAsia"/>
          <w:color w:val="auto"/>
        </w:rPr>
        <w:t>锅炉燃烧产生的颗粒物、二氧化硫、氮氧化物满足《</w:t>
      </w:r>
      <w:r>
        <w:rPr>
          <w:color w:val="auto"/>
        </w:rPr>
        <w:t>锅炉大气污染物排放标准》（DB37/2374—2018）表2新建锅炉大气污染物排放浓度限值中重点控制区排放限值</w:t>
      </w:r>
      <w:r>
        <w:rPr>
          <w:rFonts w:hint="eastAsia"/>
          <w:color w:val="auto"/>
        </w:rPr>
        <w:t>。</w:t>
      </w:r>
    </w:p>
    <w:p>
      <w:pPr>
        <w:ind w:firstLine="480"/>
        <w:rPr>
          <w:color w:val="auto"/>
        </w:rPr>
      </w:pPr>
      <w:r>
        <w:rPr>
          <w:rFonts w:hint="eastAsia"/>
          <w:color w:val="auto"/>
        </w:rPr>
        <w:t>2）无组织废气</w:t>
      </w:r>
    </w:p>
    <w:p>
      <w:pPr>
        <w:ind w:firstLine="480"/>
        <w:rPr>
          <w:color w:val="auto"/>
        </w:rPr>
      </w:pPr>
      <w:r>
        <w:rPr>
          <w:rFonts w:hint="eastAsia"/>
          <w:color w:val="auto"/>
          <w:lang w:val="en-US" w:eastAsia="zh-CN"/>
        </w:rPr>
        <w:t>本项目生产过程中的无组织废气包括催化剂A投料及配置过程中产生的颗粒物G3通过密闭操作等措施降低无组织颗粒物的产生、干燥废气G7经过干燥机自带两级除尘器（旋风除尘器+袋式除尘器）处理后无组织排放；</w:t>
      </w:r>
      <w:r>
        <w:rPr>
          <w:rFonts w:hint="eastAsia"/>
          <w:color w:val="auto"/>
        </w:rPr>
        <w:t>乳酸原料</w:t>
      </w:r>
      <w:r>
        <w:rPr>
          <w:color w:val="auto"/>
        </w:rPr>
        <w:t>采用密闭集输</w:t>
      </w:r>
      <w:r>
        <w:rPr>
          <w:rFonts w:hint="eastAsia"/>
          <w:color w:val="auto"/>
        </w:rPr>
        <w:t>送</w:t>
      </w:r>
      <w:r>
        <w:rPr>
          <w:color w:val="auto"/>
        </w:rPr>
        <w:t>、装卸采用顶部浸没式或底部装卸及气液平衡鹤管，定期进行泄漏检测与修复等措施后，项目厂界无组织VOCs满足《挥发性有机物排放标准 第6 部分：有机化工行业》（DB 37/ 2801.6-2018）表3厂界监控点浓度限值（2.0mg/m</w:t>
      </w:r>
      <w:r>
        <w:rPr>
          <w:color w:val="auto"/>
          <w:vertAlign w:val="superscript"/>
        </w:rPr>
        <w:t>3</w:t>
      </w:r>
      <w:r>
        <w:rPr>
          <w:color w:val="auto"/>
        </w:rPr>
        <w:t>）；无组织颗粒物厂界浓度满足《大气污染物综合排放标准》（GB16297-1996）表2中无组织排放监控浓度限值要求（颗粒物1.0mg/m</w:t>
      </w:r>
      <w:r>
        <w:rPr>
          <w:color w:val="auto"/>
          <w:vertAlign w:val="superscript"/>
        </w:rPr>
        <w:t>3</w:t>
      </w:r>
      <w:r>
        <w:rPr>
          <w:color w:val="auto"/>
        </w:rPr>
        <w:t>）。正常生产情况下，厂区内VOCs无组织排放浓度能够满足《挥发性有机物无组织排放控制标准》（GB 37822-2019）表A1厂区内VOCs无组织排放限值要求（VOCs小时平均浓度</w:t>
      </w:r>
      <w:r>
        <w:rPr>
          <w:rFonts w:hint="eastAsia"/>
          <w:color w:val="auto"/>
        </w:rPr>
        <w:t>10</w:t>
      </w:r>
      <w:r>
        <w:rPr>
          <w:color w:val="auto"/>
        </w:rPr>
        <w:t>mg/m</w:t>
      </w:r>
      <w:r>
        <w:rPr>
          <w:color w:val="auto"/>
          <w:vertAlign w:val="superscript"/>
        </w:rPr>
        <w:t>3</w:t>
      </w:r>
      <w:r>
        <w:rPr>
          <w:color w:val="auto"/>
        </w:rPr>
        <w:t>、一次浓度值</w:t>
      </w:r>
      <w:r>
        <w:rPr>
          <w:rFonts w:hint="eastAsia"/>
          <w:color w:val="auto"/>
        </w:rPr>
        <w:t>3</w:t>
      </w:r>
      <w:r>
        <w:rPr>
          <w:color w:val="auto"/>
        </w:rPr>
        <w:t>0mg/m</w:t>
      </w:r>
      <w:r>
        <w:rPr>
          <w:color w:val="auto"/>
          <w:vertAlign w:val="superscript"/>
        </w:rPr>
        <w:t>3</w:t>
      </w:r>
      <w:r>
        <w:rPr>
          <w:color w:val="auto"/>
        </w:rPr>
        <w:t>）。</w:t>
      </w:r>
      <w:r>
        <w:rPr>
          <w:rFonts w:hint="eastAsia"/>
          <w:color w:val="auto"/>
          <w:lang w:val="en-US" w:eastAsia="zh-CN"/>
        </w:rPr>
        <w:t>污水处理站</w:t>
      </w:r>
      <w:r>
        <w:rPr>
          <w:rFonts w:hint="eastAsia"/>
          <w:color w:val="auto"/>
        </w:rPr>
        <w:t>无组织硫化氢、氨</w:t>
      </w:r>
      <w:r>
        <w:rPr>
          <w:rFonts w:hint="eastAsia"/>
          <w:color w:val="auto"/>
          <w:lang w:eastAsia="zh-CN"/>
        </w:rPr>
        <w:t>、</w:t>
      </w:r>
      <w:r>
        <w:rPr>
          <w:rFonts w:hint="eastAsia"/>
          <w:color w:val="auto"/>
          <w:lang w:val="en-US" w:eastAsia="zh-CN"/>
        </w:rPr>
        <w:t>臭气浓度</w:t>
      </w:r>
      <w:r>
        <w:rPr>
          <w:rFonts w:hint="eastAsia"/>
          <w:color w:val="auto"/>
        </w:rPr>
        <w:t>执行《有机化工企业污水处理厂（站）挥发性有机物及恶臭污染物排放标准》（DB37/3161-2018）表2厂界监控点浓度限值</w:t>
      </w:r>
      <w:r>
        <w:rPr>
          <w:rFonts w:hint="eastAsia"/>
          <w:color w:val="auto"/>
          <w:lang w:eastAsia="zh-CN"/>
        </w:rPr>
        <w:t>（</w:t>
      </w:r>
      <w:r>
        <w:rPr>
          <w:rFonts w:hint="eastAsia"/>
          <w:color w:val="auto"/>
          <w:lang w:val="en-US" w:eastAsia="zh-CN"/>
        </w:rPr>
        <w:t>硫化氢0.03</w:t>
      </w:r>
      <w:r>
        <w:rPr>
          <w:color w:val="auto"/>
        </w:rPr>
        <w:t>mg/m</w:t>
      </w:r>
      <w:r>
        <w:rPr>
          <w:color w:val="auto"/>
          <w:vertAlign w:val="superscript"/>
        </w:rPr>
        <w:t>3</w:t>
      </w:r>
      <w:r>
        <w:rPr>
          <w:rFonts w:hint="eastAsia"/>
          <w:color w:val="auto"/>
          <w:vertAlign w:val="baseline"/>
          <w:lang w:eastAsia="zh-CN"/>
        </w:rPr>
        <w:t>、</w:t>
      </w:r>
      <w:r>
        <w:rPr>
          <w:rFonts w:hint="eastAsia"/>
          <w:color w:val="auto"/>
          <w:vertAlign w:val="baseline"/>
          <w:lang w:val="en-US" w:eastAsia="zh-CN"/>
        </w:rPr>
        <w:t>氨1.0</w:t>
      </w:r>
      <w:r>
        <w:rPr>
          <w:color w:val="auto"/>
        </w:rPr>
        <w:t>mg/m</w:t>
      </w:r>
      <w:r>
        <w:rPr>
          <w:color w:val="auto"/>
          <w:vertAlign w:val="superscript"/>
        </w:rPr>
        <w:t>3</w:t>
      </w:r>
      <w:r>
        <w:rPr>
          <w:rFonts w:hint="eastAsia"/>
          <w:color w:val="auto"/>
          <w:vertAlign w:val="baseline"/>
          <w:lang w:eastAsia="zh-CN"/>
        </w:rPr>
        <w:t>、</w:t>
      </w:r>
      <w:r>
        <w:rPr>
          <w:rFonts w:hint="eastAsia"/>
          <w:color w:val="auto"/>
          <w:vertAlign w:val="baseline"/>
          <w:lang w:val="en-US" w:eastAsia="zh-CN"/>
        </w:rPr>
        <w:t>臭气浓度20（无量纲）</w:t>
      </w:r>
      <w:r>
        <w:rPr>
          <w:rFonts w:hint="eastAsia"/>
          <w:color w:val="auto"/>
          <w:lang w:eastAsia="zh-CN"/>
        </w:rPr>
        <w:t>）。</w:t>
      </w:r>
    </w:p>
    <w:p>
      <w:pPr>
        <w:ind w:firstLine="480"/>
        <w:rPr>
          <w:color w:val="auto"/>
        </w:rPr>
      </w:pPr>
      <w:r>
        <w:rPr>
          <w:color w:val="auto"/>
        </w:rPr>
        <w:t>本项目实施后</w:t>
      </w:r>
      <w:r>
        <w:rPr>
          <w:rFonts w:hint="eastAsia"/>
          <w:color w:val="auto"/>
        </w:rPr>
        <w:t>废气污染物可达标排放，污染物排放量较小</w:t>
      </w:r>
      <w:r>
        <w:rPr>
          <w:color w:val="auto"/>
        </w:rPr>
        <w:t>，</w:t>
      </w:r>
      <w:r>
        <w:rPr>
          <w:rFonts w:hint="eastAsia"/>
          <w:color w:val="auto"/>
        </w:rPr>
        <w:t>不影响</w:t>
      </w:r>
      <w:r>
        <w:rPr>
          <w:color w:val="auto"/>
        </w:rPr>
        <w:t>区域环境空气</w:t>
      </w:r>
      <w:r>
        <w:rPr>
          <w:rFonts w:hint="eastAsia"/>
          <w:color w:val="auto"/>
        </w:rPr>
        <w:t>整体</w:t>
      </w:r>
      <w:r>
        <w:rPr>
          <w:color w:val="auto"/>
        </w:rPr>
        <w:t>改善</w:t>
      </w:r>
      <w:r>
        <w:rPr>
          <w:rFonts w:hint="eastAsia"/>
          <w:color w:val="auto"/>
        </w:rPr>
        <w:t>的趋势</w:t>
      </w:r>
      <w:r>
        <w:rPr>
          <w:color w:val="auto"/>
        </w:rPr>
        <w:t>。</w:t>
      </w:r>
    </w:p>
    <w:p>
      <w:pPr>
        <w:ind w:firstLine="480"/>
        <w:rPr>
          <w:color w:val="auto"/>
        </w:rPr>
      </w:pPr>
      <w:r>
        <w:rPr>
          <w:color w:val="auto"/>
        </w:rPr>
        <w:t>（2）废水产生排放情况及治理措施</w:t>
      </w:r>
    </w:p>
    <w:p>
      <w:pPr>
        <w:adjustRightInd w:val="0"/>
        <w:snapToGrid w:val="0"/>
        <w:ind w:firstLine="480"/>
        <w:rPr>
          <w:color w:val="auto"/>
          <w:szCs w:val="24"/>
        </w:rPr>
      </w:pPr>
      <w:r>
        <w:rPr>
          <w:rFonts w:hint="eastAsia"/>
          <w:color w:val="auto"/>
          <w:szCs w:val="24"/>
        </w:rPr>
        <w:t>本项目废水主要为</w:t>
      </w:r>
      <w:r>
        <w:rPr>
          <w:color w:val="auto"/>
        </w:rPr>
        <w:t>循环冷却系统排水、化验室排水、</w:t>
      </w:r>
      <w:r>
        <w:rPr>
          <w:rFonts w:hint="eastAsia"/>
          <w:color w:val="auto"/>
        </w:rPr>
        <w:t>喷淋塔废水</w:t>
      </w:r>
      <w:r>
        <w:rPr>
          <w:color w:val="auto"/>
        </w:rPr>
        <w:t>、地面清洗废水、生活废水</w:t>
      </w:r>
      <w:r>
        <w:rPr>
          <w:rFonts w:hint="eastAsia"/>
          <w:color w:val="auto"/>
        </w:rPr>
        <w:t>和生产废水</w:t>
      </w:r>
      <w:r>
        <w:rPr>
          <w:color w:val="auto"/>
        </w:rPr>
        <w:t>。</w:t>
      </w:r>
      <w:r>
        <w:rPr>
          <w:rFonts w:hint="eastAsia"/>
          <w:color w:val="auto"/>
        </w:rPr>
        <w:t>生活污水直接排入市政污水管网由光大水务（淄博）有限公司水质净化</w:t>
      </w:r>
      <w:r>
        <w:rPr>
          <w:rFonts w:hint="eastAsia"/>
          <w:color w:val="auto"/>
          <w:lang w:eastAsia="zh-CN"/>
        </w:rPr>
        <w:t>三分厂</w:t>
      </w:r>
      <w:r>
        <w:rPr>
          <w:rFonts w:hint="eastAsia"/>
          <w:color w:val="auto"/>
        </w:rPr>
        <w:t>处理，其余</w:t>
      </w:r>
      <w:r>
        <w:rPr>
          <w:color w:val="auto"/>
        </w:rPr>
        <w:t>废水经</w:t>
      </w:r>
      <w:r>
        <w:rPr>
          <w:rFonts w:hint="eastAsia"/>
          <w:color w:val="auto"/>
        </w:rPr>
        <w:t>厂区污水处理站</w:t>
      </w:r>
      <w:r>
        <w:rPr>
          <w:color w:val="auto"/>
        </w:rPr>
        <w:t>处理后水质达到</w:t>
      </w:r>
      <w:r>
        <w:rPr>
          <w:rFonts w:hint="eastAsia"/>
          <w:color w:val="auto"/>
          <w:lang w:val="en-US" w:eastAsia="zh-CN"/>
        </w:rPr>
        <w:t>《污水综合排放标准》（GB8978-1996）三级标准及光大水务（淄博）有限公司水质净化三分厂纳管水质要求后</w:t>
      </w:r>
      <w:r>
        <w:rPr>
          <w:color w:val="auto"/>
        </w:rPr>
        <w:t>，</w:t>
      </w:r>
      <w:r>
        <w:rPr>
          <w:rFonts w:hint="eastAsia"/>
          <w:color w:val="auto"/>
        </w:rPr>
        <w:t>与生活污水排入光大水务（淄博）有限公司水质净化</w:t>
      </w:r>
      <w:r>
        <w:rPr>
          <w:rFonts w:hint="eastAsia"/>
          <w:color w:val="auto"/>
          <w:lang w:eastAsia="zh-CN"/>
        </w:rPr>
        <w:t>三分厂</w:t>
      </w:r>
      <w:r>
        <w:rPr>
          <w:rFonts w:hint="eastAsia"/>
          <w:color w:val="auto"/>
        </w:rPr>
        <w:t>处理</w:t>
      </w:r>
      <w:r>
        <w:rPr>
          <w:color w:val="auto"/>
        </w:rPr>
        <w:t>。</w:t>
      </w:r>
      <w:r>
        <w:rPr>
          <w:rFonts w:hint="eastAsia"/>
          <w:color w:val="auto"/>
        </w:rPr>
        <w:t>不直接排入环境，对周围地表水水质影响较小。</w:t>
      </w:r>
    </w:p>
    <w:p>
      <w:pPr>
        <w:adjustRightInd w:val="0"/>
        <w:snapToGrid w:val="0"/>
        <w:ind w:firstLine="480"/>
        <w:rPr>
          <w:color w:val="auto"/>
          <w:szCs w:val="24"/>
        </w:rPr>
      </w:pPr>
      <w:r>
        <w:rPr>
          <w:color w:val="auto"/>
          <w:szCs w:val="24"/>
        </w:rPr>
        <w:t>（3）噪声产生排放情况及治理措施</w:t>
      </w:r>
    </w:p>
    <w:p>
      <w:pPr>
        <w:ind w:firstLine="480"/>
        <w:rPr>
          <w:color w:val="auto"/>
          <w:szCs w:val="24"/>
        </w:rPr>
      </w:pPr>
      <w:r>
        <w:rPr>
          <w:color w:val="auto"/>
        </w:rPr>
        <w:t>本项目主要噪声源为</w:t>
      </w:r>
      <w:r>
        <w:rPr>
          <w:rFonts w:hint="eastAsia"/>
          <w:color w:val="auto"/>
        </w:rPr>
        <w:t>造粒机、</w:t>
      </w:r>
      <w:r>
        <w:rPr>
          <w:rFonts w:hint="eastAsia"/>
          <w:color w:val="auto"/>
          <w:lang w:val="en-US" w:eastAsia="zh-CN"/>
        </w:rPr>
        <w:t>干燥机</w:t>
      </w:r>
      <w:r>
        <w:rPr>
          <w:rFonts w:hint="eastAsia"/>
          <w:color w:val="auto"/>
        </w:rPr>
        <w:t>、</w:t>
      </w:r>
      <w:r>
        <w:rPr>
          <w:color w:val="auto"/>
        </w:rPr>
        <w:t>风机、泵类等设备，对以上噪声源将分别采取密闭车间、加隔声罩、基础减振等多种措施进行降噪处理，对各厂界的贡献值较小。本项目的东</w:t>
      </w:r>
      <w:r>
        <w:rPr>
          <w:rFonts w:hint="eastAsia"/>
          <w:color w:val="auto"/>
        </w:rPr>
        <w:t>、</w:t>
      </w:r>
      <w:r>
        <w:rPr>
          <w:color w:val="auto"/>
        </w:rPr>
        <w:t>南、西、北厂界昼、夜间噪声均能满足《工业企业厂界环境噪声排放标准》（GB12348-2008）中的</w:t>
      </w:r>
      <w:r>
        <w:rPr>
          <w:rFonts w:hint="eastAsia"/>
          <w:color w:val="auto"/>
          <w:lang w:eastAsia="zh-CN"/>
        </w:rPr>
        <w:t>2类标准</w:t>
      </w:r>
      <w:r>
        <w:rPr>
          <w:color w:val="auto"/>
        </w:rPr>
        <w:t>要求</w:t>
      </w:r>
      <w:r>
        <w:rPr>
          <w:rFonts w:hint="eastAsia"/>
          <w:color w:val="auto"/>
        </w:rPr>
        <w:t>。</w:t>
      </w:r>
    </w:p>
    <w:p>
      <w:pPr>
        <w:adjustRightInd w:val="0"/>
        <w:snapToGrid w:val="0"/>
        <w:ind w:firstLine="480"/>
        <w:rPr>
          <w:color w:val="auto"/>
          <w:szCs w:val="24"/>
        </w:rPr>
      </w:pPr>
      <w:r>
        <w:rPr>
          <w:color w:val="auto"/>
          <w:szCs w:val="24"/>
        </w:rPr>
        <w:t>（4）固废产生排放情况及治理措施</w:t>
      </w:r>
    </w:p>
    <w:p>
      <w:pPr>
        <w:widowControl/>
        <w:adjustRightInd w:val="0"/>
        <w:ind w:firstLine="480"/>
        <w:jc w:val="left"/>
        <w:rPr>
          <w:color w:val="auto"/>
        </w:rPr>
      </w:pPr>
      <w:r>
        <w:rPr>
          <w:rFonts w:hint="eastAsia"/>
          <w:color w:val="auto"/>
        </w:rPr>
        <w:t>本项目主要固废包括</w:t>
      </w:r>
      <w:r>
        <w:rPr>
          <w:color w:val="auto"/>
        </w:rPr>
        <w:t>废包装袋、废包装桶、</w:t>
      </w:r>
      <w:r>
        <w:rPr>
          <w:rFonts w:hint="eastAsia"/>
          <w:color w:val="auto"/>
          <w:lang w:val="en-US" w:eastAsia="zh-CN"/>
        </w:rPr>
        <w:t>高沸物、罐底残渣、</w:t>
      </w:r>
      <w:r>
        <w:rPr>
          <w:color w:val="auto"/>
        </w:rPr>
        <w:t>污水站污泥、废活性炭、废润滑油、化验室废试剂瓶、化验室废液、</w:t>
      </w:r>
      <w:r>
        <w:rPr>
          <w:rFonts w:hint="eastAsia"/>
          <w:color w:val="auto"/>
          <w:lang w:val="en-US" w:eastAsia="zh-CN"/>
        </w:rPr>
        <w:t>废导热油、</w:t>
      </w:r>
      <w:r>
        <w:rPr>
          <w:color w:val="auto"/>
        </w:rPr>
        <w:t>生活垃圾等</w:t>
      </w:r>
      <w:r>
        <w:rPr>
          <w:rFonts w:hint="eastAsia"/>
          <w:color w:val="auto"/>
        </w:rPr>
        <w:t>。</w:t>
      </w:r>
    </w:p>
    <w:p>
      <w:pPr>
        <w:pStyle w:val="2"/>
        <w:spacing w:after="0"/>
        <w:ind w:firstLine="480"/>
        <w:rPr>
          <w:color w:val="auto"/>
        </w:rPr>
      </w:pPr>
      <w:r>
        <w:rPr>
          <w:rFonts w:hint="eastAsia"/>
          <w:color w:val="auto"/>
        </w:rPr>
        <w:t>一般工业固废主要是</w:t>
      </w:r>
      <w:r>
        <w:rPr>
          <w:color w:val="auto"/>
        </w:rPr>
        <w:t>废包装袋、废包装桶</w:t>
      </w:r>
      <w:r>
        <w:rPr>
          <w:rFonts w:hint="eastAsia"/>
          <w:color w:val="auto"/>
        </w:rPr>
        <w:t>、</w:t>
      </w:r>
      <w:r>
        <w:rPr>
          <w:color w:val="auto"/>
        </w:rPr>
        <w:t>污水</w:t>
      </w:r>
      <w:r>
        <w:rPr>
          <w:rFonts w:hint="eastAsia"/>
          <w:color w:val="auto"/>
        </w:rPr>
        <w:t>处理</w:t>
      </w:r>
      <w:r>
        <w:rPr>
          <w:color w:val="auto"/>
        </w:rPr>
        <w:t>站污泥</w:t>
      </w:r>
      <w:r>
        <w:rPr>
          <w:rFonts w:hint="eastAsia"/>
          <w:color w:val="auto"/>
        </w:rPr>
        <w:t>，</w:t>
      </w:r>
      <w:r>
        <w:rPr>
          <w:color w:val="auto"/>
        </w:rPr>
        <w:t>废包装袋、废包装桶</w:t>
      </w:r>
      <w:r>
        <w:rPr>
          <w:rFonts w:hint="eastAsia"/>
          <w:color w:val="auto"/>
        </w:rPr>
        <w:t>收集后定期外售，</w:t>
      </w:r>
      <w:r>
        <w:rPr>
          <w:color w:val="auto"/>
        </w:rPr>
        <w:t>污水</w:t>
      </w:r>
      <w:r>
        <w:rPr>
          <w:rFonts w:hint="eastAsia"/>
          <w:color w:val="auto"/>
        </w:rPr>
        <w:t>处理</w:t>
      </w:r>
      <w:r>
        <w:rPr>
          <w:color w:val="auto"/>
        </w:rPr>
        <w:t>站污泥</w:t>
      </w:r>
      <w:r>
        <w:rPr>
          <w:rFonts w:hint="eastAsia"/>
          <w:color w:val="auto"/>
        </w:rPr>
        <w:t>泥饼定期外运至有资质单位处置。</w:t>
      </w:r>
    </w:p>
    <w:p>
      <w:pPr>
        <w:ind w:firstLine="480"/>
        <w:rPr>
          <w:color w:val="auto"/>
        </w:rPr>
      </w:pPr>
      <w:r>
        <w:rPr>
          <w:rFonts w:hint="eastAsia"/>
          <w:color w:val="auto"/>
        </w:rPr>
        <w:t>危险废物主要是</w:t>
      </w:r>
      <w:r>
        <w:rPr>
          <w:color w:val="auto"/>
        </w:rPr>
        <w:t>废活性炭、废润滑油、化验室废试剂瓶、化验室废液</w:t>
      </w:r>
      <w:r>
        <w:rPr>
          <w:rFonts w:hint="eastAsia"/>
          <w:color w:val="auto"/>
          <w:lang w:eastAsia="zh-CN"/>
        </w:rPr>
        <w:t>、</w:t>
      </w:r>
      <w:r>
        <w:rPr>
          <w:rFonts w:hint="eastAsia"/>
          <w:color w:val="auto"/>
          <w:lang w:val="en-US" w:eastAsia="zh-CN"/>
        </w:rPr>
        <w:t>高沸物、罐底残渣、废导热油</w:t>
      </w:r>
      <w:r>
        <w:rPr>
          <w:rFonts w:hint="eastAsia"/>
          <w:color w:val="auto"/>
        </w:rPr>
        <w:t>，</w:t>
      </w:r>
      <w:r>
        <w:rPr>
          <w:color w:val="auto"/>
        </w:rPr>
        <w:t>废润滑油</w:t>
      </w:r>
      <w:r>
        <w:rPr>
          <w:rFonts w:hint="eastAsia"/>
          <w:color w:val="auto"/>
          <w:lang w:eastAsia="zh-CN"/>
        </w:rPr>
        <w:t>、</w:t>
      </w:r>
      <w:r>
        <w:rPr>
          <w:rFonts w:hint="eastAsia"/>
          <w:color w:val="auto"/>
          <w:lang w:val="en-US" w:eastAsia="zh-CN"/>
        </w:rPr>
        <w:t>废导热油</w:t>
      </w:r>
      <w:r>
        <w:rPr>
          <w:color w:val="auto"/>
        </w:rPr>
        <w:t>定期更换后收集至包装桶，</w:t>
      </w:r>
      <w:r>
        <w:rPr>
          <w:rFonts w:hint="eastAsia"/>
          <w:color w:val="auto"/>
          <w:lang w:val="en-US" w:eastAsia="zh-CN"/>
        </w:rPr>
        <w:t>高沸物、罐底残渣收集至包装桶，</w:t>
      </w:r>
      <w:r>
        <w:rPr>
          <w:color w:val="auto"/>
        </w:rPr>
        <w:t>由叉车转运至危废暂存间；化验室废液装桶后与废试剂瓶转运至危废暂存间；废活性炭更换后收集到</w:t>
      </w:r>
      <w:r>
        <w:rPr>
          <w:rFonts w:hint="eastAsia"/>
          <w:color w:val="auto"/>
        </w:rPr>
        <w:t>包装桶内</w:t>
      </w:r>
      <w:r>
        <w:rPr>
          <w:color w:val="auto"/>
        </w:rPr>
        <w:t>，由叉车转运至危废暂存间；所产危废均委托有资质单位处置。</w:t>
      </w:r>
    </w:p>
    <w:p>
      <w:pPr>
        <w:pStyle w:val="2"/>
        <w:spacing w:after="0"/>
        <w:ind w:firstLine="480"/>
        <w:rPr>
          <w:color w:val="auto"/>
        </w:rPr>
      </w:pPr>
      <w:r>
        <w:rPr>
          <w:rFonts w:hint="eastAsia"/>
          <w:color w:val="auto"/>
        </w:rPr>
        <w:t>生活垃圾由环卫部门定期清运。</w:t>
      </w:r>
    </w:p>
    <w:p>
      <w:pPr>
        <w:widowControl/>
        <w:adjustRightInd w:val="0"/>
        <w:ind w:firstLine="480"/>
        <w:jc w:val="left"/>
        <w:rPr>
          <w:color w:val="auto"/>
          <w:kern w:val="0"/>
          <w:szCs w:val="22"/>
        </w:rPr>
      </w:pPr>
      <w:r>
        <w:rPr>
          <w:color w:val="auto"/>
        </w:rPr>
        <w:t>（5）</w:t>
      </w:r>
      <w:r>
        <w:rPr>
          <w:color w:val="auto"/>
          <w:kern w:val="0"/>
          <w:szCs w:val="22"/>
        </w:rPr>
        <w:t>土壤及地下水环境</w:t>
      </w:r>
    </w:p>
    <w:p>
      <w:pPr>
        <w:widowControl/>
        <w:adjustRightInd w:val="0"/>
        <w:ind w:firstLine="480"/>
        <w:jc w:val="left"/>
        <w:rPr>
          <w:color w:val="auto"/>
          <w:kern w:val="0"/>
          <w:szCs w:val="22"/>
        </w:rPr>
      </w:pPr>
      <w:r>
        <w:rPr>
          <w:color w:val="auto"/>
          <w:kern w:val="0"/>
          <w:szCs w:val="22"/>
        </w:rPr>
        <w:t>项目在生产区、储存区、原料输送管线等存在土壤及地下水污染风险的设施处设计、建设和安装有关防腐蚀、防泄漏设施，防止有毒有害物质污染土壤和地下水。在做好各项防渗措施和严格管理的情况下，</w:t>
      </w:r>
      <w:r>
        <w:rPr>
          <w:rFonts w:hint="eastAsia"/>
          <w:color w:val="auto"/>
          <w:kern w:val="0"/>
          <w:szCs w:val="22"/>
        </w:rPr>
        <w:t>拟建项目</w:t>
      </w:r>
      <w:r>
        <w:rPr>
          <w:color w:val="auto"/>
          <w:kern w:val="0"/>
          <w:szCs w:val="22"/>
        </w:rPr>
        <w:t>对周围土壤及地下水环境的影响较小。</w:t>
      </w:r>
    </w:p>
    <w:p>
      <w:pPr>
        <w:widowControl/>
        <w:adjustRightInd w:val="0"/>
        <w:ind w:left="480" w:leftChars="200" w:firstLine="0" w:firstLineChars="0"/>
        <w:jc w:val="left"/>
        <w:rPr>
          <w:color w:val="auto"/>
          <w:kern w:val="0"/>
          <w:szCs w:val="22"/>
        </w:rPr>
      </w:pPr>
      <w:r>
        <w:rPr>
          <w:color w:val="auto"/>
          <w:kern w:val="0"/>
          <w:szCs w:val="22"/>
        </w:rPr>
        <w:t>（6）环境风险</w:t>
      </w:r>
    </w:p>
    <w:p>
      <w:pPr>
        <w:ind w:firstLine="480"/>
        <w:rPr>
          <w:color w:val="auto"/>
        </w:rPr>
      </w:pPr>
      <w:r>
        <w:rPr>
          <w:rFonts w:hint="eastAsia"/>
          <w:color w:val="auto"/>
          <w:kern w:val="0"/>
          <w:szCs w:val="22"/>
        </w:rPr>
        <w:t>拟建</w:t>
      </w:r>
      <w:r>
        <w:rPr>
          <w:color w:val="auto"/>
          <w:kern w:val="0"/>
          <w:szCs w:val="22"/>
        </w:rPr>
        <w:t>项目在落实三级防控体系、风险防范措施及应急预案要求后，项目环境风险水平可接受。</w:t>
      </w:r>
    </w:p>
    <w:p>
      <w:pPr>
        <w:adjustRightInd w:val="0"/>
        <w:snapToGrid w:val="0"/>
        <w:ind w:left="547" w:leftChars="228" w:firstLine="0" w:firstLineChars="0"/>
        <w:outlineLvl w:val="1"/>
        <w:rPr>
          <w:b/>
          <w:bCs/>
          <w:color w:val="auto"/>
          <w:szCs w:val="22"/>
        </w:rPr>
      </w:pPr>
      <w:bookmarkStart w:id="35" w:name="_Toc6127"/>
      <w:r>
        <w:rPr>
          <w:b/>
          <w:bCs/>
          <w:color w:val="auto"/>
          <w:szCs w:val="22"/>
        </w:rPr>
        <w:t>五、环境影响评价主要结论</w:t>
      </w:r>
      <w:bookmarkEnd w:id="35"/>
    </w:p>
    <w:p>
      <w:pPr>
        <w:ind w:firstLine="480"/>
        <w:jc w:val="left"/>
        <w:rPr>
          <w:color w:val="auto"/>
        </w:rPr>
      </w:pPr>
      <w:r>
        <w:rPr>
          <w:color w:val="auto"/>
        </w:rPr>
        <w:t>项目符合国家及地方产业政策要求，选址符合城市及园区规划，落实各项污染治理措施后，项目污染物达标排放。</w:t>
      </w:r>
      <w:r>
        <w:rPr>
          <w:rFonts w:hint="eastAsia"/>
          <w:color w:val="auto"/>
        </w:rPr>
        <w:t>拟建项目</w:t>
      </w:r>
      <w:r>
        <w:rPr>
          <w:color w:val="auto"/>
        </w:rPr>
        <w:t>实施后污染物排放总量符合总量控制要求，工程风险能够有效控制，公众支持本项目建设。在充分落实报告提出的各项污染防治措施后，从环保角度分析，项目建设是可行的。</w:t>
      </w:r>
    </w:p>
    <w:p>
      <w:pPr>
        <w:adjustRightInd w:val="0"/>
        <w:snapToGrid w:val="0"/>
        <w:ind w:firstLine="480"/>
        <w:rPr>
          <w:color w:val="auto"/>
        </w:rPr>
      </w:pPr>
      <w:r>
        <w:rPr>
          <w:color w:val="auto"/>
          <w:szCs w:val="22"/>
        </w:rPr>
        <w:t>在</w:t>
      </w:r>
      <w:r>
        <w:rPr>
          <w:color w:val="auto"/>
          <w:szCs w:val="24"/>
        </w:rPr>
        <w:t>本报告的编制过程中，得到淄博市生态环境局、淄博市生态环境局</w:t>
      </w:r>
      <w:r>
        <w:rPr>
          <w:rFonts w:hint="eastAsia"/>
          <w:color w:val="auto"/>
          <w:szCs w:val="24"/>
        </w:rPr>
        <w:t>张店</w:t>
      </w:r>
      <w:r>
        <w:rPr>
          <w:color w:val="auto"/>
          <w:szCs w:val="24"/>
        </w:rPr>
        <w:t>分局和有关专家的热情指导和大力支持，</w:t>
      </w:r>
      <w:r>
        <w:rPr>
          <w:color w:val="auto"/>
        </w:rPr>
        <w:t>得到了生态环境保护部门、建设单位、设计单位的大力支持与积极配合</w:t>
      </w:r>
      <w:r>
        <w:rPr>
          <w:color w:val="auto"/>
          <w:szCs w:val="24"/>
        </w:rPr>
        <w:t>，在此表示衷心感谢！</w:t>
      </w:r>
    </w:p>
    <w:p>
      <w:pPr>
        <w:adjustRightInd w:val="0"/>
        <w:snapToGrid w:val="0"/>
        <w:ind w:firstLine="0" w:firstLineChars="0"/>
        <w:jc w:val="right"/>
        <w:rPr>
          <w:color w:val="auto"/>
          <w:szCs w:val="24"/>
        </w:rPr>
      </w:pPr>
      <w:r>
        <w:rPr>
          <w:color w:val="auto"/>
          <w:szCs w:val="24"/>
        </w:rPr>
        <w:t xml:space="preserve">                                                          项目组</w:t>
      </w:r>
    </w:p>
    <w:p>
      <w:pPr>
        <w:adjustRightInd w:val="0"/>
        <w:snapToGrid w:val="0"/>
        <w:ind w:firstLine="0" w:firstLineChars="0"/>
        <w:jc w:val="right"/>
        <w:rPr>
          <w:color w:val="auto"/>
        </w:rPr>
      </w:pPr>
      <w:r>
        <w:rPr>
          <w:color w:val="auto"/>
          <w:szCs w:val="24"/>
        </w:rPr>
        <w:t>20</w:t>
      </w:r>
      <w:r>
        <w:rPr>
          <w:rFonts w:hint="eastAsia"/>
          <w:color w:val="auto"/>
          <w:szCs w:val="24"/>
        </w:rPr>
        <w:t>22</w:t>
      </w:r>
      <w:r>
        <w:rPr>
          <w:color w:val="auto"/>
          <w:szCs w:val="24"/>
        </w:rPr>
        <w:t>年</w:t>
      </w:r>
      <w:r>
        <w:rPr>
          <w:rFonts w:hint="eastAsia"/>
          <w:color w:val="auto"/>
          <w:szCs w:val="24"/>
          <w:lang w:val="en-US" w:eastAsia="zh-CN"/>
        </w:rPr>
        <w:t>8</w:t>
      </w:r>
      <w:r>
        <w:rPr>
          <w:color w:val="auto"/>
        </w:rPr>
        <w:t>月</w:t>
      </w:r>
    </w:p>
    <w:p>
      <w:pPr>
        <w:pStyle w:val="2"/>
        <w:spacing w:after="0"/>
        <w:ind w:firstLine="480"/>
        <w:rPr>
          <w:color w:val="auto"/>
        </w:rPr>
      </w:pPr>
    </w:p>
    <w:p>
      <w:pPr>
        <w:ind w:firstLine="480"/>
        <w:rPr>
          <w:color w:val="auto"/>
        </w:rPr>
        <w:sectPr>
          <w:headerReference r:id="rId12" w:type="default"/>
          <w:footerReference r:id="rId13" w:type="default"/>
          <w:pgSz w:w="11906" w:h="16838"/>
          <w:pgMar w:top="1417" w:right="1417" w:bottom="1417" w:left="1417" w:header="851" w:footer="992" w:gutter="0"/>
          <w:pgBorders>
            <w:top w:val="none" w:sz="0" w:space="0"/>
            <w:left w:val="none" w:sz="0" w:space="0"/>
            <w:bottom w:val="none" w:sz="0" w:space="0"/>
            <w:right w:val="none" w:sz="0" w:space="0"/>
          </w:pgBorders>
          <w:pgNumType w:start="1"/>
          <w:cols w:space="720" w:num="1"/>
          <w:docGrid w:type="lines" w:linePitch="312" w:charSpace="0"/>
        </w:sectPr>
      </w:pPr>
    </w:p>
    <w:sdt>
      <w:sdtPr>
        <w:rPr>
          <w:rFonts w:hint="eastAsia" w:ascii="黑体" w:hAnsi="黑体" w:eastAsia="黑体" w:cs="黑体"/>
          <w:color w:val="auto"/>
          <w:sz w:val="40"/>
          <w:szCs w:val="40"/>
        </w:rPr>
        <w:id w:val="147481864"/>
        <w15:color w:val="DBDBDB"/>
        <w:docPartObj>
          <w:docPartGallery w:val="Table of Contents"/>
          <w:docPartUnique/>
        </w:docPartObj>
      </w:sdtPr>
      <w:sdtEndPr>
        <w:rPr>
          <w:rFonts w:hint="default" w:ascii="Times New Roman" w:hAnsi="Times New Roman" w:eastAsia="宋体" w:cs="Times New Roman"/>
          <w:b/>
          <w:color w:val="auto"/>
          <w:sz w:val="24"/>
          <w:szCs w:val="24"/>
        </w:rPr>
      </w:sdtEndPr>
      <w:sdtContent>
        <w:p>
          <w:pPr>
            <w:spacing w:line="240" w:lineRule="auto"/>
            <w:ind w:firstLine="0" w:firstLineChars="0"/>
            <w:jc w:val="center"/>
            <w:rPr>
              <w:rFonts w:ascii="黑体" w:hAnsi="黑体" w:eastAsia="黑体" w:cs="黑体"/>
              <w:color w:val="auto"/>
              <w:sz w:val="48"/>
              <w:szCs w:val="40"/>
            </w:rPr>
          </w:pPr>
          <w:r>
            <w:rPr>
              <w:rFonts w:hint="eastAsia" w:ascii="黑体" w:hAnsi="黑体" w:eastAsia="黑体" w:cs="黑体"/>
              <w:color w:val="auto"/>
              <w:sz w:val="48"/>
              <w:szCs w:val="40"/>
            </w:rPr>
            <w:t>目 录</w:t>
          </w:r>
        </w:p>
        <w:p>
          <w:pPr>
            <w:pStyle w:val="18"/>
            <w:tabs>
              <w:tab w:val="right" w:leader="dot" w:pos="9072"/>
            </w:tabs>
            <w:rPr>
              <w:rFonts w:hint="default" w:ascii="Times New Roman" w:hAnsi="Times New Roman" w:eastAsia="黑体" w:cs="Times New Roman"/>
              <w:color w:val="auto"/>
            </w:rPr>
          </w:pPr>
          <w:r>
            <w:rPr>
              <w:color w:val="auto"/>
            </w:rPr>
            <w:fldChar w:fldCharType="begin"/>
          </w:r>
          <w:r>
            <w:rPr>
              <w:color w:val="auto"/>
            </w:rPr>
            <w:instrText xml:space="preserve"> TOC \o "1-2" \h \z \u </w:instrText>
          </w:r>
          <w:r>
            <w:rPr>
              <w:color w:val="auto"/>
            </w:rPr>
            <w:fldChar w:fldCharType="separate"/>
          </w:r>
        </w:p>
        <w:p>
          <w:pPr>
            <w:pStyle w:val="18"/>
            <w:tabs>
              <w:tab w:val="right" w:leader="dot" w:pos="9072"/>
            </w:tabs>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HYPERLINK \l _Toc29049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rPr>
            <w:t>概  述</w:t>
          </w:r>
          <w:r>
            <w:rPr>
              <w:rFonts w:hint="default" w:ascii="Times New Roman" w:hAnsi="Times New Roman" w:eastAsia="黑体" w:cs="Times New Roman"/>
              <w:color w:val="auto"/>
              <w:sz w:val="28"/>
              <w:szCs w:val="28"/>
            </w:rPr>
            <w:tab/>
          </w: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PAGEREF _Toc29049 \h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rPr>
            <w:t>1</w:t>
          </w:r>
          <w:r>
            <w:rPr>
              <w:rFonts w:hint="default" w:ascii="Times New Roman" w:hAnsi="Times New Roman" w:eastAsia="黑体" w:cs="Times New Roman"/>
              <w:color w:val="auto"/>
              <w:sz w:val="28"/>
              <w:szCs w:val="28"/>
            </w:rPr>
            <w:fldChar w:fldCharType="end"/>
          </w:r>
          <w:r>
            <w:rPr>
              <w:rFonts w:hint="default" w:ascii="Times New Roman" w:hAnsi="Times New Roman" w:eastAsia="黑体" w:cs="Times New Roman"/>
              <w:color w:val="auto"/>
              <w:sz w:val="28"/>
              <w:szCs w:val="28"/>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_Toc15711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bCs/>
              <w:color w:val="auto"/>
              <w:szCs w:val="28"/>
            </w:rPr>
            <w:t>一、项目概况</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_Toc15711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1</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_Toc118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bCs/>
              <w:color w:val="auto"/>
              <w:szCs w:val="28"/>
            </w:rPr>
            <w:t>二、环境影响评价工作历程</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_Toc118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1</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_Toc12615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bCs/>
              <w:color w:val="auto"/>
              <w:szCs w:val="28"/>
            </w:rPr>
            <w:t>三、分析判定相关情况</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_Toc12615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1</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_Toc9540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bCs/>
              <w:color w:val="auto"/>
              <w:szCs w:val="28"/>
            </w:rPr>
            <w:t>四、关注的主要环境问题及环境影响</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_Toc9540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3</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_Toc6127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bCs/>
              <w:color w:val="auto"/>
              <w:szCs w:val="22"/>
            </w:rPr>
            <w:t>五、环境影响评价主要结论</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_Toc6127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5</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18"/>
            <w:tabs>
              <w:tab w:val="right" w:leader="dot" w:pos="9072"/>
            </w:tabs>
            <w:rPr>
              <w:rFonts w:hint="default" w:ascii="Times New Roman" w:hAnsi="Times New Roman" w:eastAsia="黑体" w:cs="Times New Roman"/>
              <w:color w:val="auto"/>
              <w:sz w:val="28"/>
              <w:szCs w:val="28"/>
            </w:rPr>
          </w:pP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HYPERLINK \l _Toc28220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rPr>
            <w:t>1 总则</w:t>
          </w:r>
          <w:r>
            <w:rPr>
              <w:rFonts w:hint="default" w:ascii="Times New Roman" w:hAnsi="Times New Roman" w:eastAsia="黑体" w:cs="Times New Roman"/>
              <w:color w:val="auto"/>
              <w:sz w:val="28"/>
              <w:szCs w:val="28"/>
            </w:rPr>
            <w:tab/>
          </w: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PAGEREF _Toc28220 \h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rPr>
            <w:t>6</w:t>
          </w:r>
          <w:r>
            <w:rPr>
              <w:rFonts w:hint="default" w:ascii="Times New Roman" w:hAnsi="Times New Roman" w:eastAsia="黑体" w:cs="Times New Roman"/>
              <w:color w:val="auto"/>
              <w:sz w:val="28"/>
              <w:szCs w:val="28"/>
            </w:rPr>
            <w:fldChar w:fldCharType="end"/>
          </w:r>
          <w:r>
            <w:rPr>
              <w:rFonts w:hint="default" w:ascii="Times New Roman" w:hAnsi="Times New Roman" w:eastAsia="黑体" w:cs="Times New Roman"/>
              <w:color w:val="auto"/>
              <w:sz w:val="28"/>
              <w:szCs w:val="28"/>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_Toc20954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1.1编制依据</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_Toc20954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6</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_Toc24347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bCs/>
              <w:color w:val="auto"/>
              <w:szCs w:val="30"/>
              <w:highlight w:val="none"/>
            </w:rPr>
            <w:t>1.2评价原则</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_Toc24347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13</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_Toc3065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bCs/>
              <w:color w:val="auto"/>
              <w:szCs w:val="30"/>
              <w:highlight w:val="none"/>
            </w:rPr>
            <w:t>1.3环境影响评价的工作</w:t>
          </w:r>
          <w:r>
            <w:rPr>
              <w:rFonts w:hint="default" w:ascii="Times New Roman" w:hAnsi="Times New Roman" w:eastAsia="黑体" w:cs="Times New Roman"/>
              <w:bCs/>
              <w:color w:val="auto"/>
              <w:szCs w:val="30"/>
              <w:highlight w:val="none"/>
              <w:lang w:eastAsia="zh-CN"/>
            </w:rPr>
            <w:t>程序</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_Toc3065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13</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_Toc20653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1.</w:t>
          </w:r>
          <w:r>
            <w:rPr>
              <w:rFonts w:hint="default" w:ascii="Times New Roman" w:hAnsi="Times New Roman" w:eastAsia="黑体" w:cs="Times New Roman"/>
              <w:color w:val="auto"/>
              <w:lang w:val="en-US" w:eastAsia="zh-CN"/>
            </w:rPr>
            <w:t>4</w:t>
          </w:r>
          <w:r>
            <w:rPr>
              <w:rFonts w:hint="default" w:ascii="Times New Roman" w:hAnsi="Times New Roman" w:eastAsia="黑体" w:cs="Times New Roman"/>
              <w:color w:val="auto"/>
            </w:rPr>
            <w:t>评价目的</w:t>
          </w:r>
          <w:r>
            <w:rPr>
              <w:rFonts w:hint="default" w:ascii="Times New Roman" w:hAnsi="Times New Roman" w:eastAsia="黑体" w:cs="Times New Roman"/>
              <w:color w:val="auto"/>
              <w:lang w:val="en-US" w:eastAsia="zh-CN"/>
            </w:rPr>
            <w:t>与指导思想</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_Toc20653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14</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_Toc1304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lang w:val="en-US" w:eastAsia="zh-CN"/>
            </w:rPr>
            <w:t>1.5环境影响识别和评价因子筛选</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_Toc1304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15</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_Toc29431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1.</w:t>
          </w:r>
          <w:r>
            <w:rPr>
              <w:rFonts w:hint="default" w:ascii="Times New Roman" w:hAnsi="Times New Roman" w:eastAsia="黑体" w:cs="Times New Roman"/>
              <w:color w:val="auto"/>
              <w:lang w:val="en-US" w:eastAsia="zh-CN"/>
            </w:rPr>
            <w:t>6</w:t>
          </w:r>
          <w:r>
            <w:rPr>
              <w:rFonts w:hint="default" w:ascii="Times New Roman" w:hAnsi="Times New Roman" w:eastAsia="黑体" w:cs="Times New Roman"/>
              <w:color w:val="auto"/>
            </w:rPr>
            <w:t>评价标准</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_Toc29431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17</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_Toc4071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1.</w:t>
          </w:r>
          <w:r>
            <w:rPr>
              <w:rFonts w:hint="default" w:ascii="Times New Roman" w:hAnsi="Times New Roman" w:eastAsia="黑体" w:cs="Times New Roman"/>
              <w:color w:val="auto"/>
              <w:lang w:val="en-US" w:eastAsia="zh-CN"/>
            </w:rPr>
            <w:t>7</w:t>
          </w:r>
          <w:r>
            <w:rPr>
              <w:rFonts w:hint="default" w:ascii="Times New Roman" w:hAnsi="Times New Roman" w:eastAsia="黑体" w:cs="Times New Roman"/>
              <w:color w:val="auto"/>
            </w:rPr>
            <w:t>评价等级及重点保护目标</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_Toc4071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25</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18"/>
            <w:tabs>
              <w:tab w:val="right" w:leader="dot" w:pos="9072"/>
            </w:tabs>
            <w:rPr>
              <w:rFonts w:hint="default" w:ascii="Times New Roman" w:hAnsi="Times New Roman" w:eastAsia="黑体" w:cs="Times New Roman"/>
              <w:color w:val="auto"/>
              <w:sz w:val="28"/>
              <w:szCs w:val="28"/>
            </w:rPr>
          </w:pP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HYPERLINK \l _Toc11682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bCs/>
              <w:color w:val="auto"/>
              <w:sz w:val="28"/>
              <w:szCs w:val="28"/>
              <w:lang w:val="en-US" w:bidi="ar-SA"/>
            </w:rPr>
            <w:t>2 拟建项目工程分析</w:t>
          </w:r>
          <w:r>
            <w:rPr>
              <w:rFonts w:hint="default" w:ascii="Times New Roman" w:hAnsi="Times New Roman" w:eastAsia="黑体" w:cs="Times New Roman"/>
              <w:color w:val="auto"/>
              <w:sz w:val="28"/>
              <w:szCs w:val="28"/>
            </w:rPr>
            <w:tab/>
          </w: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PAGEREF _Toc11682 \h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rPr>
            <w:t>32</w:t>
          </w:r>
          <w:r>
            <w:rPr>
              <w:rFonts w:hint="default" w:ascii="Times New Roman" w:hAnsi="Times New Roman" w:eastAsia="黑体" w:cs="Times New Roman"/>
              <w:color w:val="auto"/>
              <w:sz w:val="28"/>
              <w:szCs w:val="28"/>
            </w:rPr>
            <w:fldChar w:fldCharType="end"/>
          </w:r>
          <w:r>
            <w:rPr>
              <w:rFonts w:hint="default" w:ascii="Times New Roman" w:hAnsi="Times New Roman" w:eastAsia="黑体" w:cs="Times New Roman"/>
              <w:color w:val="auto"/>
              <w:sz w:val="28"/>
              <w:szCs w:val="28"/>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_Toc15936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bCs/>
              <w:color w:val="auto"/>
              <w:szCs w:val="32"/>
            </w:rPr>
            <w:t>2.1建设项目基本情况</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_Toc15936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32</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_Toc14506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bCs/>
              <w:color w:val="auto"/>
              <w:szCs w:val="32"/>
            </w:rPr>
            <w:t>2.2建设项目概况</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_Toc14506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35</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_Toc18319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bCs/>
              <w:color w:val="auto"/>
              <w:szCs w:val="32"/>
            </w:rPr>
            <w:t>2.3工艺流程分析</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_Toc18319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53</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_Toc13333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bCs/>
              <w:color w:val="auto"/>
              <w:szCs w:val="32"/>
            </w:rPr>
            <w:t>2.4产污环节</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_Toc13333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63</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_Toc23456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bCs/>
              <w:color w:val="auto"/>
            </w:rPr>
            <w:t>2.5主要污染物产生、治理及排放情况</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_Toc23456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64</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_Toc30648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bCs/>
              <w:color w:val="auto"/>
            </w:rPr>
            <w:t>2.6清洁生产分析</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_Toc30648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83</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_Toc18613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bCs/>
              <w:color w:val="auto"/>
            </w:rPr>
            <w:t>2.7工程分析小结</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_Toc18613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85</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18"/>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HYPERLINK \l _Toc3484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lang w:val="en-US"/>
            </w:rPr>
            <w:t xml:space="preserve">3  </w:t>
          </w:r>
          <w:r>
            <w:rPr>
              <w:rFonts w:hint="default" w:ascii="Times New Roman" w:hAnsi="Times New Roman" w:eastAsia="黑体" w:cs="Times New Roman"/>
              <w:color w:val="auto"/>
              <w:sz w:val="28"/>
              <w:szCs w:val="28"/>
              <w:lang w:val="en-US" w:eastAsia="zh-CN"/>
            </w:rPr>
            <w:t>区域环境现状调查</w:t>
          </w:r>
          <w:r>
            <w:rPr>
              <w:rFonts w:hint="default" w:ascii="Times New Roman" w:hAnsi="Times New Roman" w:eastAsia="黑体" w:cs="Times New Roman"/>
              <w:color w:val="auto"/>
              <w:sz w:val="28"/>
              <w:szCs w:val="28"/>
            </w:rPr>
            <w:tab/>
          </w: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PAGEREF _Toc3484 \h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rPr>
            <w:t>86</w:t>
          </w:r>
          <w:r>
            <w:rPr>
              <w:rFonts w:hint="default" w:ascii="Times New Roman" w:hAnsi="Times New Roman" w:eastAsia="黑体" w:cs="Times New Roman"/>
              <w:color w:val="auto"/>
              <w:sz w:val="28"/>
              <w:szCs w:val="28"/>
            </w:rPr>
            <w:fldChar w:fldCharType="end"/>
          </w:r>
          <w:r>
            <w:rPr>
              <w:rFonts w:hint="default" w:ascii="Times New Roman" w:hAnsi="Times New Roman" w:eastAsia="黑体" w:cs="Times New Roman"/>
              <w:color w:val="auto"/>
              <w:sz w:val="28"/>
              <w:szCs w:val="28"/>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_Toc24640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3.1自然环境</w:t>
          </w:r>
          <w:r>
            <w:rPr>
              <w:rFonts w:hint="default" w:ascii="Times New Roman" w:hAnsi="Times New Roman" w:eastAsia="黑体" w:cs="Times New Roman"/>
              <w:color w:val="auto"/>
              <w:lang w:val="en-US" w:eastAsia="zh-CN"/>
            </w:rPr>
            <w:t>现状调查与评价</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_Toc24640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86</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_Toc27005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lang w:val="en-US" w:eastAsia="zh-CN"/>
            </w:rPr>
            <w:t>3.2区域环境质量概况</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_Toc27005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91</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_Toc23226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3.3</w:t>
          </w:r>
          <w:r>
            <w:rPr>
              <w:rFonts w:hint="default" w:ascii="Times New Roman" w:hAnsi="Times New Roman" w:eastAsia="黑体" w:cs="Times New Roman"/>
              <w:color w:val="auto"/>
              <w:lang w:val="en-US" w:eastAsia="zh-CN"/>
            </w:rPr>
            <w:t>环境保护目标调查</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_Toc23226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92</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18"/>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HYPERLINK \l _Toc28375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lang w:val="en-US"/>
            </w:rPr>
            <w:t>4</w:t>
          </w:r>
          <w:r>
            <w:rPr>
              <w:rFonts w:hint="default" w:ascii="Times New Roman" w:hAnsi="Times New Roman" w:eastAsia="黑体" w:cs="Times New Roman"/>
              <w:color w:val="auto"/>
              <w:sz w:val="28"/>
              <w:szCs w:val="28"/>
            </w:rPr>
            <w:t xml:space="preserve"> 环境现状调查与评价</w:t>
          </w:r>
          <w:r>
            <w:rPr>
              <w:rFonts w:hint="default" w:ascii="Times New Roman" w:hAnsi="Times New Roman" w:eastAsia="黑体" w:cs="Times New Roman"/>
              <w:color w:val="auto"/>
              <w:sz w:val="28"/>
              <w:szCs w:val="28"/>
            </w:rPr>
            <w:tab/>
          </w: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PAGEREF _Toc28375 \h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rPr>
            <w:t>94</w:t>
          </w:r>
          <w:r>
            <w:rPr>
              <w:rFonts w:hint="default" w:ascii="Times New Roman" w:hAnsi="Times New Roman" w:eastAsia="黑体" w:cs="Times New Roman"/>
              <w:color w:val="auto"/>
              <w:sz w:val="28"/>
              <w:szCs w:val="28"/>
            </w:rPr>
            <w:fldChar w:fldCharType="end"/>
          </w:r>
          <w:r>
            <w:rPr>
              <w:rFonts w:hint="default" w:ascii="Times New Roman" w:hAnsi="Times New Roman" w:eastAsia="黑体" w:cs="Times New Roman"/>
              <w:color w:val="auto"/>
              <w:sz w:val="28"/>
              <w:szCs w:val="28"/>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_Toc3827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4.1环境空气现状调查与评价</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_Toc3827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94</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_Toc7541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4.2地表水环境现状调查与评价</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_Toc7541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107</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_Toc22750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4.3地下水环境现状调查与评价</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_Toc22750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116</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_Toc6026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4.4声环境现状调查与评价</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_Toc6026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127</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_Toc22463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4.5土壤环境现状调查与评价</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_Toc22463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131</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18"/>
            <w:tabs>
              <w:tab w:val="right" w:leader="dot" w:pos="9072"/>
            </w:tabs>
            <w:rPr>
              <w:rFonts w:hint="default" w:ascii="Times New Roman" w:hAnsi="Times New Roman" w:eastAsia="黑体" w:cs="Times New Roman"/>
              <w:color w:val="auto"/>
              <w:sz w:val="28"/>
              <w:szCs w:val="28"/>
            </w:rPr>
          </w:pP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HYPERLINK \l _Toc18159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lang w:val="en-US"/>
            </w:rPr>
            <w:t>5</w:t>
          </w:r>
          <w:r>
            <w:rPr>
              <w:rFonts w:hint="default" w:ascii="Times New Roman" w:hAnsi="Times New Roman" w:eastAsia="黑体" w:cs="Times New Roman"/>
              <w:color w:val="auto"/>
              <w:sz w:val="28"/>
              <w:szCs w:val="28"/>
            </w:rPr>
            <w:t xml:space="preserve"> 环境影响预测与评价</w:t>
          </w:r>
          <w:r>
            <w:rPr>
              <w:rFonts w:hint="default" w:ascii="Times New Roman" w:hAnsi="Times New Roman" w:eastAsia="黑体" w:cs="Times New Roman"/>
              <w:color w:val="auto"/>
              <w:sz w:val="28"/>
              <w:szCs w:val="28"/>
            </w:rPr>
            <w:tab/>
          </w: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PAGEREF _Toc18159 \h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rPr>
            <w:t>152</w:t>
          </w:r>
          <w:r>
            <w:rPr>
              <w:rFonts w:hint="default" w:ascii="Times New Roman" w:hAnsi="Times New Roman" w:eastAsia="黑体" w:cs="Times New Roman"/>
              <w:color w:val="auto"/>
              <w:sz w:val="28"/>
              <w:szCs w:val="28"/>
            </w:rPr>
            <w:fldChar w:fldCharType="end"/>
          </w:r>
          <w:r>
            <w:rPr>
              <w:rFonts w:hint="default" w:ascii="Times New Roman" w:hAnsi="Times New Roman" w:eastAsia="黑体" w:cs="Times New Roman"/>
              <w:color w:val="auto"/>
              <w:sz w:val="28"/>
              <w:szCs w:val="28"/>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_Toc16088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5.1运营期环境空气影响预测与评价</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_Toc16088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152</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_Toc3470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5.2运营期地表水环境影响分析</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_Toc3470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176</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_Toc20560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5.3地下水环境影响</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_Toc20560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182</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_Toc17614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5.4运营期噪声环境影响评价</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_Toc17614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201</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_Toc5299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5.5运营期固体废物环境影响评价</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_Toc5299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210</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_Toc12755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5.6运营期土壤环境影响评价</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_Toc12755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215</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_Toc13624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5.7绿化方案</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_Toc13624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225</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_Toc22316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5.8生态环境影响分析</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_Toc22316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226</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18"/>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HYPERLINK \l _Toc30615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lang w:val="en-US"/>
            </w:rPr>
            <w:t>6 环境风险评价</w:t>
          </w:r>
          <w:r>
            <w:rPr>
              <w:rFonts w:hint="default" w:ascii="Times New Roman" w:hAnsi="Times New Roman" w:eastAsia="黑体" w:cs="Times New Roman"/>
              <w:color w:val="auto"/>
              <w:sz w:val="28"/>
              <w:szCs w:val="28"/>
            </w:rPr>
            <w:tab/>
          </w: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PAGEREF _Toc30615 \h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rPr>
            <w:t>227</w:t>
          </w:r>
          <w:r>
            <w:rPr>
              <w:rFonts w:hint="default" w:ascii="Times New Roman" w:hAnsi="Times New Roman" w:eastAsia="黑体" w:cs="Times New Roman"/>
              <w:color w:val="auto"/>
              <w:sz w:val="28"/>
              <w:szCs w:val="28"/>
            </w:rPr>
            <w:fldChar w:fldCharType="end"/>
          </w:r>
          <w:r>
            <w:rPr>
              <w:rFonts w:hint="default" w:ascii="Times New Roman" w:hAnsi="Times New Roman" w:eastAsia="黑体" w:cs="Times New Roman"/>
              <w:color w:val="auto"/>
              <w:sz w:val="28"/>
              <w:szCs w:val="28"/>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_Toc9072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6.1风险调查</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_Toc9072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227</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_Toc22726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6.2环境风险潜势初判</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_Toc22726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235</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_Toc11666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6.3评价工作等级确定</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_Toc11666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236</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_Toc12920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6.4环境风险识别</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_Toc12920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237</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_Toc13528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6.5环境风险分析</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_Toc13528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242</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_Toc27059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6.6环境风险管理</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_Toc27059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243</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_Toc2468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6.7环境风险评价小结</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_Toc2468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253</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18"/>
            <w:tabs>
              <w:tab w:val="right" w:leader="dot" w:pos="9072"/>
            </w:tabs>
            <w:rPr>
              <w:rFonts w:hint="default" w:ascii="Times New Roman" w:hAnsi="Times New Roman" w:eastAsia="黑体" w:cs="Times New Roman"/>
              <w:color w:val="auto"/>
              <w:sz w:val="28"/>
              <w:szCs w:val="28"/>
            </w:rPr>
          </w:pP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HYPERLINK \l _Toc22265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lang w:val="en-US"/>
            </w:rPr>
            <w:t>7 施工期环境影响分析</w:t>
          </w:r>
          <w:r>
            <w:rPr>
              <w:rFonts w:hint="default" w:ascii="Times New Roman" w:hAnsi="Times New Roman" w:eastAsia="黑体" w:cs="Times New Roman"/>
              <w:color w:val="auto"/>
              <w:sz w:val="28"/>
              <w:szCs w:val="28"/>
            </w:rPr>
            <w:tab/>
          </w: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PAGEREF _Toc22265 \h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rPr>
            <w:t>255</w:t>
          </w:r>
          <w:r>
            <w:rPr>
              <w:rFonts w:hint="default" w:ascii="Times New Roman" w:hAnsi="Times New Roman" w:eastAsia="黑体" w:cs="Times New Roman"/>
              <w:color w:val="auto"/>
              <w:sz w:val="28"/>
              <w:szCs w:val="28"/>
            </w:rPr>
            <w:fldChar w:fldCharType="end"/>
          </w:r>
          <w:r>
            <w:rPr>
              <w:rFonts w:hint="default" w:ascii="Times New Roman" w:hAnsi="Times New Roman" w:eastAsia="黑体" w:cs="Times New Roman"/>
              <w:color w:val="auto"/>
              <w:sz w:val="28"/>
              <w:szCs w:val="28"/>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_Toc28016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7.1施工期环境影响因素与控制措施</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_Toc28016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255</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_Toc23768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7.2施工期环境影响分析</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_Toc23768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257</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18"/>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HYPERLINK \l _Toc11174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rPr>
            <w:t>8 环境保护措施及其技术、经济论证</w:t>
          </w:r>
          <w:r>
            <w:rPr>
              <w:rFonts w:hint="default" w:ascii="Times New Roman" w:hAnsi="Times New Roman" w:eastAsia="黑体" w:cs="Times New Roman"/>
              <w:color w:val="auto"/>
              <w:sz w:val="28"/>
              <w:szCs w:val="28"/>
            </w:rPr>
            <w:tab/>
          </w: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PAGEREF _Toc11174 \h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rPr>
            <w:t>261</w:t>
          </w:r>
          <w:r>
            <w:rPr>
              <w:rFonts w:hint="default" w:ascii="Times New Roman" w:hAnsi="Times New Roman" w:eastAsia="黑体" w:cs="Times New Roman"/>
              <w:color w:val="auto"/>
              <w:sz w:val="28"/>
              <w:szCs w:val="28"/>
            </w:rPr>
            <w:fldChar w:fldCharType="end"/>
          </w:r>
          <w:r>
            <w:rPr>
              <w:rFonts w:hint="default" w:ascii="Times New Roman" w:hAnsi="Times New Roman" w:eastAsia="黑体" w:cs="Times New Roman"/>
              <w:color w:val="auto"/>
              <w:sz w:val="28"/>
              <w:szCs w:val="28"/>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_Toc2014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8.1废气污染防治措施及其技术、经济论证</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_Toc2014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261</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_Toc31292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8.2废水污染防治措施及其技术、经济论证</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_Toc31292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270</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_Toc11075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8.3固体废物处置措施及经济可行性分析</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_Toc11075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273</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_Toc26687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8.4噪声控制措施分析</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_Toc26687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275</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18"/>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HYPERLINK \l _Toc18372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rPr>
            <w:t>9环境经济损益分析</w:t>
          </w:r>
          <w:r>
            <w:rPr>
              <w:rFonts w:hint="default" w:ascii="Times New Roman" w:hAnsi="Times New Roman" w:eastAsia="黑体" w:cs="Times New Roman"/>
              <w:color w:val="auto"/>
              <w:sz w:val="28"/>
              <w:szCs w:val="28"/>
            </w:rPr>
            <w:tab/>
          </w: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PAGEREF _Toc18372 \h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rPr>
            <w:t>277</w:t>
          </w:r>
          <w:r>
            <w:rPr>
              <w:rFonts w:hint="default" w:ascii="Times New Roman" w:hAnsi="Times New Roman" w:eastAsia="黑体" w:cs="Times New Roman"/>
              <w:color w:val="auto"/>
              <w:sz w:val="28"/>
              <w:szCs w:val="28"/>
            </w:rPr>
            <w:fldChar w:fldCharType="end"/>
          </w:r>
          <w:r>
            <w:rPr>
              <w:rFonts w:hint="default" w:ascii="Times New Roman" w:hAnsi="Times New Roman" w:eastAsia="黑体" w:cs="Times New Roman"/>
              <w:color w:val="auto"/>
              <w:sz w:val="28"/>
              <w:szCs w:val="28"/>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_Toc4535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9.1经济效益分析</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_Toc4535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277</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_Toc13962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9.2环保投资及效益分析</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_Toc13962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277</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_Toc8207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9.3社会效益分析</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_Toc8207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279</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_Toc20226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9.4小结</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_Toc20226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279</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18"/>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HYPERLINK \l _Toc18271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rPr>
            <w:t>10环境管理与监测计划</w:t>
          </w:r>
          <w:r>
            <w:rPr>
              <w:rFonts w:hint="default" w:ascii="Times New Roman" w:hAnsi="Times New Roman" w:eastAsia="黑体" w:cs="Times New Roman"/>
              <w:color w:val="auto"/>
              <w:sz w:val="28"/>
              <w:szCs w:val="28"/>
            </w:rPr>
            <w:tab/>
          </w: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PAGEREF _Toc18271 \h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rPr>
            <w:t>280</w:t>
          </w:r>
          <w:r>
            <w:rPr>
              <w:rFonts w:hint="default" w:ascii="Times New Roman" w:hAnsi="Times New Roman" w:eastAsia="黑体" w:cs="Times New Roman"/>
              <w:color w:val="auto"/>
              <w:sz w:val="28"/>
              <w:szCs w:val="28"/>
            </w:rPr>
            <w:fldChar w:fldCharType="end"/>
          </w:r>
          <w:r>
            <w:rPr>
              <w:rFonts w:hint="default" w:ascii="Times New Roman" w:hAnsi="Times New Roman" w:eastAsia="黑体" w:cs="Times New Roman"/>
              <w:color w:val="auto"/>
              <w:sz w:val="28"/>
              <w:szCs w:val="28"/>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_Toc27930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10.1环境管理</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_Toc27930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280</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_Toc13349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10.2污染源排放清单及管理要求</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_Toc13349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284</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_Toc18497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10.3环境监测计划</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_Toc18497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289</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18"/>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HYPERLINK \l _Toc23141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rPr>
            <w:t>11污染物排放总量控制分析</w:t>
          </w:r>
          <w:r>
            <w:rPr>
              <w:rFonts w:hint="default" w:ascii="Times New Roman" w:hAnsi="Times New Roman" w:eastAsia="黑体" w:cs="Times New Roman"/>
              <w:color w:val="auto"/>
              <w:sz w:val="28"/>
              <w:szCs w:val="28"/>
            </w:rPr>
            <w:tab/>
          </w: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PAGEREF _Toc23141 \h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rPr>
            <w:t>291</w:t>
          </w:r>
          <w:r>
            <w:rPr>
              <w:rFonts w:hint="default" w:ascii="Times New Roman" w:hAnsi="Times New Roman" w:eastAsia="黑体" w:cs="Times New Roman"/>
              <w:color w:val="auto"/>
              <w:sz w:val="28"/>
              <w:szCs w:val="28"/>
            </w:rPr>
            <w:fldChar w:fldCharType="end"/>
          </w:r>
          <w:r>
            <w:rPr>
              <w:rFonts w:hint="default" w:ascii="Times New Roman" w:hAnsi="Times New Roman" w:eastAsia="黑体" w:cs="Times New Roman"/>
              <w:color w:val="auto"/>
              <w:sz w:val="28"/>
              <w:szCs w:val="28"/>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_Toc23038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11.1总量控制对象</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_Toc23038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291</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_Toc5338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11.2拟建项目总量申请指标</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_Toc5338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291</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18"/>
            <w:tabs>
              <w:tab w:val="right" w:leader="dot" w:pos="9072"/>
            </w:tabs>
            <w:rPr>
              <w:rFonts w:hint="default" w:ascii="Times New Roman" w:hAnsi="Times New Roman" w:eastAsia="黑体" w:cs="Times New Roman"/>
              <w:color w:val="auto"/>
              <w:sz w:val="28"/>
              <w:szCs w:val="28"/>
            </w:rPr>
          </w:pP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HYPERLINK \l _Toc25667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rPr>
            <w:t>12项目建设合理性论证</w:t>
          </w:r>
          <w:r>
            <w:rPr>
              <w:rFonts w:hint="default" w:ascii="Times New Roman" w:hAnsi="Times New Roman" w:eastAsia="黑体" w:cs="Times New Roman"/>
              <w:color w:val="auto"/>
              <w:sz w:val="28"/>
              <w:szCs w:val="28"/>
            </w:rPr>
            <w:tab/>
          </w: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PAGEREF _Toc25667 \h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rPr>
            <w:t>292</w:t>
          </w:r>
          <w:r>
            <w:rPr>
              <w:rFonts w:hint="default" w:ascii="Times New Roman" w:hAnsi="Times New Roman" w:eastAsia="黑体" w:cs="Times New Roman"/>
              <w:color w:val="auto"/>
              <w:sz w:val="28"/>
              <w:szCs w:val="28"/>
            </w:rPr>
            <w:fldChar w:fldCharType="end"/>
          </w:r>
          <w:r>
            <w:rPr>
              <w:rFonts w:hint="default" w:ascii="Times New Roman" w:hAnsi="Times New Roman" w:eastAsia="黑体" w:cs="Times New Roman"/>
              <w:color w:val="auto"/>
              <w:sz w:val="28"/>
              <w:szCs w:val="28"/>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_Toc12098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12.1政策符合性分析</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_Toc12098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292</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_Toc14084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12.2项目选址的合理性分析</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_Toc14084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319</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_Toc26666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12.3小结</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_Toc26666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324</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18"/>
            <w:tabs>
              <w:tab w:val="right" w:leader="dot" w:pos="9072"/>
            </w:tabs>
            <w:rPr>
              <w:rFonts w:hint="default" w:ascii="Times New Roman" w:hAnsi="Times New Roman" w:eastAsia="黑体" w:cs="Times New Roman"/>
              <w:color w:val="auto"/>
              <w:sz w:val="28"/>
              <w:szCs w:val="28"/>
            </w:rPr>
          </w:pP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HYPERLINK \l _Toc13153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rPr>
            <w:t>1</w:t>
          </w:r>
          <w:r>
            <w:rPr>
              <w:rFonts w:hint="default" w:ascii="Times New Roman" w:hAnsi="Times New Roman" w:eastAsia="黑体" w:cs="Times New Roman"/>
              <w:color w:val="auto"/>
              <w:sz w:val="28"/>
              <w:szCs w:val="28"/>
              <w:lang w:val="en-US"/>
            </w:rPr>
            <w:t>3</w:t>
          </w:r>
          <w:r>
            <w:rPr>
              <w:rFonts w:hint="default" w:ascii="Times New Roman" w:hAnsi="Times New Roman" w:eastAsia="黑体" w:cs="Times New Roman"/>
              <w:color w:val="auto"/>
              <w:sz w:val="28"/>
              <w:szCs w:val="28"/>
            </w:rPr>
            <w:t>评价结论及建议</w:t>
          </w:r>
          <w:r>
            <w:rPr>
              <w:rFonts w:hint="default" w:ascii="Times New Roman" w:hAnsi="Times New Roman" w:eastAsia="黑体" w:cs="Times New Roman"/>
              <w:color w:val="auto"/>
              <w:sz w:val="28"/>
              <w:szCs w:val="28"/>
            </w:rPr>
            <w:tab/>
          </w:r>
          <w:r>
            <w:rPr>
              <w:rFonts w:hint="default" w:ascii="Times New Roman" w:hAnsi="Times New Roman" w:eastAsia="黑体" w:cs="Times New Roman"/>
              <w:color w:val="auto"/>
              <w:sz w:val="28"/>
              <w:szCs w:val="28"/>
            </w:rPr>
            <w:fldChar w:fldCharType="begin"/>
          </w:r>
          <w:r>
            <w:rPr>
              <w:rFonts w:hint="default" w:ascii="Times New Roman" w:hAnsi="Times New Roman" w:eastAsia="黑体" w:cs="Times New Roman"/>
              <w:color w:val="auto"/>
              <w:sz w:val="28"/>
              <w:szCs w:val="28"/>
            </w:rPr>
            <w:instrText xml:space="preserve"> PAGEREF _Toc13153 \h </w:instrText>
          </w:r>
          <w:r>
            <w:rPr>
              <w:rFonts w:hint="default" w:ascii="Times New Roman" w:hAnsi="Times New Roman" w:eastAsia="黑体" w:cs="Times New Roman"/>
              <w:color w:val="auto"/>
              <w:sz w:val="28"/>
              <w:szCs w:val="28"/>
            </w:rPr>
            <w:fldChar w:fldCharType="separate"/>
          </w:r>
          <w:r>
            <w:rPr>
              <w:rFonts w:hint="default" w:ascii="Times New Roman" w:hAnsi="Times New Roman" w:eastAsia="黑体" w:cs="Times New Roman"/>
              <w:color w:val="auto"/>
              <w:sz w:val="28"/>
              <w:szCs w:val="28"/>
            </w:rPr>
            <w:t>325</w:t>
          </w:r>
          <w:r>
            <w:rPr>
              <w:rFonts w:hint="default" w:ascii="Times New Roman" w:hAnsi="Times New Roman" w:eastAsia="黑体" w:cs="Times New Roman"/>
              <w:color w:val="auto"/>
              <w:sz w:val="28"/>
              <w:szCs w:val="28"/>
            </w:rPr>
            <w:fldChar w:fldCharType="end"/>
          </w:r>
          <w:r>
            <w:rPr>
              <w:rFonts w:hint="default" w:ascii="Times New Roman" w:hAnsi="Times New Roman" w:eastAsia="黑体" w:cs="Times New Roman"/>
              <w:color w:val="auto"/>
              <w:sz w:val="28"/>
              <w:szCs w:val="28"/>
            </w:rPr>
            <w:fldChar w:fldCharType="end"/>
          </w:r>
        </w:p>
        <w:p>
          <w:pPr>
            <w:pStyle w:val="20"/>
            <w:tabs>
              <w:tab w:val="right" w:leader="dot" w:pos="9072"/>
            </w:tabs>
            <w:rPr>
              <w:rFonts w:hint="default" w:ascii="Times New Roman" w:hAnsi="Times New Roman" w:eastAsia="黑体" w:cs="Times New Roman"/>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_Toc19958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13.1评价结论</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_Toc19958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325</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0"/>
            <w:tabs>
              <w:tab w:val="right" w:leader="dot" w:pos="9072"/>
            </w:tabs>
            <w:rPr>
              <w:color w:val="auto"/>
            </w:rPr>
          </w:pPr>
          <w:r>
            <w:rPr>
              <w:rFonts w:hint="default" w:ascii="Times New Roman" w:hAnsi="Times New Roman" w:eastAsia="黑体" w:cs="Times New Roman"/>
              <w:color w:val="auto"/>
              <w:szCs w:val="20"/>
            </w:rPr>
            <w:fldChar w:fldCharType="begin"/>
          </w:r>
          <w:r>
            <w:rPr>
              <w:rFonts w:hint="default" w:ascii="Times New Roman" w:hAnsi="Times New Roman" w:eastAsia="黑体" w:cs="Times New Roman"/>
              <w:color w:val="auto"/>
              <w:szCs w:val="20"/>
            </w:rPr>
            <w:instrText xml:space="preserve"> HYPERLINK \l _Toc257 </w:instrText>
          </w:r>
          <w:r>
            <w:rPr>
              <w:rFonts w:hint="default" w:ascii="Times New Roman" w:hAnsi="Times New Roman" w:eastAsia="黑体" w:cs="Times New Roman"/>
              <w:color w:val="auto"/>
              <w:szCs w:val="20"/>
            </w:rPr>
            <w:fldChar w:fldCharType="separate"/>
          </w:r>
          <w:r>
            <w:rPr>
              <w:rFonts w:hint="default" w:ascii="Times New Roman" w:hAnsi="Times New Roman" w:eastAsia="黑体" w:cs="Times New Roman"/>
              <w:color w:val="auto"/>
            </w:rPr>
            <w:t>13.2措施与建议</w:t>
          </w:r>
          <w:r>
            <w:rPr>
              <w:rFonts w:hint="default" w:ascii="Times New Roman" w:hAnsi="Times New Roman" w:eastAsia="黑体" w:cs="Times New Roman"/>
              <w:color w:val="auto"/>
            </w:rPr>
            <w:tab/>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PAGEREF _Toc257 \h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330</w:t>
          </w:r>
          <w:r>
            <w:rPr>
              <w:rFonts w:hint="default" w:ascii="Times New Roman" w:hAnsi="Times New Roman" w:eastAsia="黑体" w:cs="Times New Roman"/>
              <w:color w:val="auto"/>
            </w:rPr>
            <w:fldChar w:fldCharType="end"/>
          </w:r>
          <w:r>
            <w:rPr>
              <w:rFonts w:hint="default" w:ascii="Times New Roman" w:hAnsi="Times New Roman" w:eastAsia="黑体" w:cs="Times New Roman"/>
              <w:color w:val="auto"/>
              <w:szCs w:val="20"/>
            </w:rPr>
            <w:fldChar w:fldCharType="end"/>
          </w:r>
        </w:p>
        <w:p>
          <w:pPr>
            <w:pStyle w:val="2"/>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黑体" w:hAnsi="黑体" w:eastAsia="黑体" w:cs="黑体"/>
              <w:color w:val="auto"/>
              <w:sz w:val="28"/>
              <w:szCs w:val="28"/>
              <w:lang w:val="en-US" w:eastAsia="zh-CN"/>
            </w:rPr>
          </w:pPr>
          <w:r>
            <w:rPr>
              <w:color w:val="auto"/>
              <w:szCs w:val="20"/>
            </w:rPr>
            <w:fldChar w:fldCharType="end"/>
          </w:r>
          <w:r>
            <w:rPr>
              <w:rFonts w:hint="eastAsia" w:ascii="黑体" w:hAnsi="黑体" w:eastAsia="黑体" w:cs="黑体"/>
              <w:color w:val="auto"/>
              <w:sz w:val="28"/>
              <w:szCs w:val="28"/>
              <w:lang w:val="en-US" w:eastAsia="zh-CN"/>
            </w:rPr>
            <w:t>附件：</w:t>
          </w:r>
        </w:p>
        <w:p>
          <w:pPr>
            <w:pStyle w:val="2"/>
            <w:keepNext w:val="0"/>
            <w:keepLines w:val="0"/>
            <w:pageBreakBefore w:val="0"/>
            <w:widowControl w:val="0"/>
            <w:kinsoku/>
            <w:wordWrap/>
            <w:overflowPunct/>
            <w:topLinePunct w:val="0"/>
            <w:autoSpaceDE/>
            <w:autoSpaceDN/>
            <w:bidi w:val="0"/>
            <w:adjustRightInd/>
            <w:snapToGrid/>
            <w:ind w:firstLine="960" w:firstLineChars="400"/>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附件1：委托书</w:t>
          </w:r>
        </w:p>
        <w:p>
          <w:pPr>
            <w:pStyle w:val="2"/>
            <w:keepNext w:val="0"/>
            <w:keepLines w:val="0"/>
            <w:pageBreakBefore w:val="0"/>
            <w:widowControl w:val="0"/>
            <w:kinsoku/>
            <w:wordWrap/>
            <w:overflowPunct/>
            <w:topLinePunct w:val="0"/>
            <w:autoSpaceDE/>
            <w:autoSpaceDN/>
            <w:bidi w:val="0"/>
            <w:adjustRightInd/>
            <w:snapToGrid/>
            <w:ind w:firstLine="960" w:firstLineChars="400"/>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附件2：提供材料真实性证明</w:t>
          </w:r>
        </w:p>
        <w:p>
          <w:pPr>
            <w:pStyle w:val="2"/>
            <w:keepNext w:val="0"/>
            <w:keepLines w:val="0"/>
            <w:pageBreakBefore w:val="0"/>
            <w:widowControl w:val="0"/>
            <w:kinsoku/>
            <w:wordWrap/>
            <w:overflowPunct/>
            <w:topLinePunct w:val="0"/>
            <w:autoSpaceDE/>
            <w:autoSpaceDN/>
            <w:bidi w:val="0"/>
            <w:adjustRightInd/>
            <w:snapToGrid/>
            <w:ind w:firstLine="960" w:firstLineChars="400"/>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附件3：企业营业执照</w:t>
          </w:r>
        </w:p>
        <w:p>
          <w:pPr>
            <w:pStyle w:val="2"/>
            <w:keepNext w:val="0"/>
            <w:keepLines w:val="0"/>
            <w:pageBreakBefore w:val="0"/>
            <w:widowControl w:val="0"/>
            <w:kinsoku/>
            <w:wordWrap/>
            <w:overflowPunct/>
            <w:topLinePunct w:val="0"/>
            <w:autoSpaceDE/>
            <w:autoSpaceDN/>
            <w:bidi w:val="0"/>
            <w:adjustRightInd/>
            <w:snapToGrid/>
            <w:ind w:firstLine="960" w:firstLineChars="400"/>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附件4：项目备案证明</w:t>
          </w:r>
        </w:p>
        <w:p>
          <w:pPr>
            <w:pStyle w:val="2"/>
            <w:keepNext w:val="0"/>
            <w:keepLines w:val="0"/>
            <w:pageBreakBefore w:val="0"/>
            <w:widowControl w:val="0"/>
            <w:kinsoku/>
            <w:wordWrap/>
            <w:overflowPunct/>
            <w:topLinePunct w:val="0"/>
            <w:autoSpaceDE/>
            <w:autoSpaceDN/>
            <w:bidi w:val="0"/>
            <w:adjustRightInd/>
            <w:snapToGrid/>
            <w:ind w:firstLine="960" w:firstLineChars="400"/>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附件5：租赁合同</w:t>
          </w:r>
        </w:p>
        <w:p>
          <w:pPr>
            <w:pStyle w:val="2"/>
            <w:keepNext w:val="0"/>
            <w:keepLines w:val="0"/>
            <w:pageBreakBefore w:val="0"/>
            <w:widowControl w:val="0"/>
            <w:kinsoku/>
            <w:wordWrap/>
            <w:overflowPunct/>
            <w:topLinePunct w:val="0"/>
            <w:autoSpaceDE/>
            <w:autoSpaceDN/>
            <w:bidi w:val="0"/>
            <w:adjustRightInd/>
            <w:snapToGrid/>
            <w:ind w:firstLine="960" w:firstLineChars="400"/>
            <w:textAlignment w:val="auto"/>
            <w:rPr>
              <w:rFonts w:hint="default" w:ascii="Times New Roman" w:hAnsi="Times New Roman" w:eastAsia="黑体" w:cs="Times New Roman"/>
              <w:b w:val="0"/>
              <w:bCs w:val="0"/>
              <w:color w:val="auto"/>
              <w:sz w:val="24"/>
              <w:szCs w:val="24"/>
              <w:lang w:val="en-US" w:eastAsia="zh-CN"/>
            </w:rPr>
          </w:pPr>
          <w:r>
            <w:rPr>
              <w:rFonts w:hint="eastAsia" w:ascii="Times New Roman" w:hAnsi="Times New Roman" w:eastAsia="黑体" w:cs="Times New Roman"/>
              <w:b w:val="0"/>
              <w:bCs w:val="0"/>
              <w:color w:val="auto"/>
              <w:sz w:val="24"/>
              <w:szCs w:val="24"/>
              <w:lang w:val="en-US" w:eastAsia="zh-CN"/>
            </w:rPr>
            <w:t>附件6:园区新建导热油炉许可证明</w:t>
          </w:r>
        </w:p>
        <w:p>
          <w:pPr>
            <w:pStyle w:val="2"/>
            <w:keepNext w:val="0"/>
            <w:keepLines w:val="0"/>
            <w:pageBreakBefore w:val="0"/>
            <w:widowControl w:val="0"/>
            <w:kinsoku/>
            <w:wordWrap/>
            <w:overflowPunct/>
            <w:topLinePunct w:val="0"/>
            <w:autoSpaceDE/>
            <w:autoSpaceDN/>
            <w:bidi w:val="0"/>
            <w:adjustRightInd/>
            <w:snapToGrid/>
            <w:ind w:firstLine="960" w:firstLineChars="400"/>
            <w:textAlignment w:val="auto"/>
            <w:rPr>
              <w:rFonts w:hint="eastAsia" w:ascii="Times New Roman" w:hAnsi="Times New Roman" w:eastAsia="黑体" w:cs="Times New Roman"/>
              <w:b w:val="0"/>
              <w:bCs w:val="0"/>
              <w:color w:val="auto"/>
              <w:sz w:val="24"/>
              <w:szCs w:val="24"/>
              <w:lang w:val="en-US" w:eastAsia="zh-CN"/>
            </w:rPr>
          </w:pPr>
          <w:r>
            <w:rPr>
              <w:rFonts w:hint="eastAsia" w:ascii="Times New Roman" w:hAnsi="Times New Roman" w:eastAsia="黑体" w:cs="Times New Roman"/>
              <w:b w:val="0"/>
              <w:bCs w:val="0"/>
              <w:color w:val="auto"/>
              <w:sz w:val="24"/>
              <w:szCs w:val="24"/>
              <w:lang w:val="en-US" w:eastAsia="zh-CN"/>
            </w:rPr>
            <w:t>附件7：技术研发试验历程</w:t>
          </w:r>
        </w:p>
        <w:p>
          <w:pPr>
            <w:pStyle w:val="2"/>
            <w:keepNext w:val="0"/>
            <w:keepLines w:val="0"/>
            <w:pageBreakBefore w:val="0"/>
            <w:widowControl w:val="0"/>
            <w:kinsoku/>
            <w:wordWrap/>
            <w:overflowPunct/>
            <w:topLinePunct w:val="0"/>
            <w:autoSpaceDE/>
            <w:autoSpaceDN/>
            <w:bidi w:val="0"/>
            <w:adjustRightInd/>
            <w:snapToGrid/>
            <w:ind w:firstLine="960" w:firstLineChars="400"/>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附件</w:t>
          </w:r>
          <w:r>
            <w:rPr>
              <w:rFonts w:hint="eastAsia" w:eastAsia="黑体" w:cs="Times New Roman"/>
              <w:b w:val="0"/>
              <w:bCs w:val="0"/>
              <w:color w:val="auto"/>
              <w:sz w:val="24"/>
              <w:szCs w:val="24"/>
              <w:lang w:val="en-US" w:eastAsia="zh-CN"/>
            </w:rPr>
            <w:t>8</w:t>
          </w:r>
          <w:r>
            <w:rPr>
              <w:rFonts w:hint="default" w:ascii="Times New Roman" w:hAnsi="Times New Roman" w:eastAsia="黑体" w:cs="Times New Roman"/>
              <w:b w:val="0"/>
              <w:bCs w:val="0"/>
              <w:color w:val="auto"/>
              <w:sz w:val="24"/>
              <w:szCs w:val="24"/>
              <w:lang w:val="en-US" w:eastAsia="zh-CN"/>
            </w:rPr>
            <w:t>：环境质量监测报告</w:t>
          </w:r>
        </w:p>
        <w:p>
          <w:pPr>
            <w:pStyle w:val="2"/>
            <w:keepNext w:val="0"/>
            <w:keepLines w:val="0"/>
            <w:pageBreakBefore w:val="0"/>
            <w:widowControl w:val="0"/>
            <w:kinsoku/>
            <w:wordWrap/>
            <w:overflowPunct/>
            <w:topLinePunct w:val="0"/>
            <w:autoSpaceDE/>
            <w:autoSpaceDN/>
            <w:bidi w:val="0"/>
            <w:adjustRightInd/>
            <w:snapToGrid/>
            <w:ind w:firstLine="960" w:firstLineChars="400"/>
            <w:textAlignment w:val="auto"/>
            <w:rPr>
              <w:rFonts w:hint="default" w:ascii="Times New Roman" w:hAnsi="Times New Roman" w:eastAsia="黑体" w:cs="Times New Roman"/>
              <w:b w:val="0"/>
              <w:bCs w:val="0"/>
              <w:color w:val="auto"/>
              <w:sz w:val="24"/>
              <w:szCs w:val="24"/>
              <w:highlight w:val="none"/>
              <w:lang w:val="en-US" w:eastAsia="zh-CN"/>
            </w:rPr>
          </w:pPr>
          <w:r>
            <w:rPr>
              <w:rFonts w:hint="default" w:ascii="Times New Roman" w:hAnsi="Times New Roman" w:eastAsia="黑体" w:cs="Times New Roman"/>
              <w:b w:val="0"/>
              <w:bCs w:val="0"/>
              <w:color w:val="auto"/>
              <w:sz w:val="24"/>
              <w:szCs w:val="24"/>
              <w:lang w:val="en-US" w:eastAsia="zh-CN"/>
            </w:rPr>
            <w:t>附件</w:t>
          </w:r>
          <w:r>
            <w:rPr>
              <w:rFonts w:hint="eastAsia" w:eastAsia="黑体" w:cs="Times New Roman"/>
              <w:b w:val="0"/>
              <w:bCs w:val="0"/>
              <w:color w:val="auto"/>
              <w:sz w:val="24"/>
              <w:szCs w:val="24"/>
              <w:lang w:val="en-US" w:eastAsia="zh-CN"/>
            </w:rPr>
            <w:t>9</w:t>
          </w:r>
          <w:r>
            <w:rPr>
              <w:rFonts w:hint="default" w:ascii="Times New Roman" w:hAnsi="Times New Roman" w:eastAsia="黑体" w:cs="Times New Roman"/>
              <w:b w:val="0"/>
              <w:bCs w:val="0"/>
              <w:color w:val="auto"/>
              <w:sz w:val="24"/>
              <w:szCs w:val="24"/>
              <w:lang w:val="en-US" w:eastAsia="zh-CN"/>
            </w:rPr>
            <w:t>：</w:t>
          </w:r>
          <w:r>
            <w:rPr>
              <w:rFonts w:hint="default" w:ascii="Times New Roman" w:hAnsi="Times New Roman" w:eastAsia="黑体" w:cs="Times New Roman"/>
              <w:b w:val="0"/>
              <w:bCs w:val="0"/>
              <w:color w:val="auto"/>
              <w:sz w:val="24"/>
              <w:szCs w:val="24"/>
              <w:highlight w:val="none"/>
              <w:lang w:val="en-US" w:eastAsia="zh-CN"/>
            </w:rPr>
            <w:t>淄博市生态环境局</w:t>
          </w:r>
          <w:r>
            <w:rPr>
              <w:rFonts w:hint="eastAsia" w:eastAsia="黑体" w:cs="Times New Roman"/>
              <w:b w:val="0"/>
              <w:bCs w:val="0"/>
              <w:color w:val="auto"/>
              <w:sz w:val="24"/>
              <w:szCs w:val="24"/>
              <w:highlight w:val="none"/>
              <w:lang w:val="en-US" w:eastAsia="zh-CN"/>
            </w:rPr>
            <w:t>《</w:t>
          </w:r>
          <w:r>
            <w:rPr>
              <w:rFonts w:hint="default" w:ascii="Times New Roman" w:hAnsi="Times New Roman" w:eastAsia="黑体" w:cs="Times New Roman"/>
              <w:b w:val="0"/>
              <w:bCs w:val="0"/>
              <w:color w:val="auto"/>
              <w:sz w:val="24"/>
              <w:szCs w:val="24"/>
              <w:highlight w:val="none"/>
              <w:lang w:val="en-US" w:eastAsia="zh-CN"/>
            </w:rPr>
            <w:t>关于淄博科技工业园环境影响报告书的审查意见</w:t>
          </w:r>
          <w:r>
            <w:rPr>
              <w:rFonts w:hint="eastAsia" w:eastAsia="黑体" w:cs="Times New Roman"/>
              <w:b w:val="0"/>
              <w:bCs w:val="0"/>
              <w:color w:val="auto"/>
              <w:sz w:val="24"/>
              <w:szCs w:val="24"/>
              <w:highlight w:val="none"/>
              <w:lang w:val="en-US" w:eastAsia="zh-CN"/>
            </w:rPr>
            <w:t>》</w:t>
          </w:r>
        </w:p>
        <w:p>
          <w:pPr>
            <w:pStyle w:val="2"/>
            <w:keepNext w:val="0"/>
            <w:keepLines w:val="0"/>
            <w:pageBreakBefore w:val="0"/>
            <w:widowControl w:val="0"/>
            <w:kinsoku/>
            <w:wordWrap/>
            <w:overflowPunct/>
            <w:topLinePunct w:val="0"/>
            <w:autoSpaceDE/>
            <w:autoSpaceDN/>
            <w:bidi w:val="0"/>
            <w:adjustRightInd/>
            <w:snapToGrid/>
            <w:ind w:left="480" w:leftChars="200" w:firstLine="480" w:firstLineChars="200"/>
            <w:textAlignment w:val="auto"/>
            <w:rPr>
              <w:color w:val="auto"/>
            </w:rPr>
            <w:sectPr>
              <w:footerReference r:id="rId14" w:type="default"/>
              <w:pgSz w:w="11906" w:h="16838"/>
              <w:pgMar w:top="1417" w:right="1417" w:bottom="1417" w:left="1417" w:header="851" w:footer="992" w:gutter="0"/>
              <w:pgBorders>
                <w:top w:val="none" w:sz="0" w:space="0"/>
                <w:left w:val="none" w:sz="0" w:space="0"/>
                <w:bottom w:val="none" w:sz="0" w:space="0"/>
                <w:right w:val="none" w:sz="0" w:space="0"/>
              </w:pgBorders>
              <w:pgNumType w:start="1"/>
              <w:cols w:space="720" w:num="1"/>
              <w:docGrid w:type="lines" w:linePitch="312" w:charSpace="0"/>
            </w:sectPr>
          </w:pPr>
          <w:r>
            <w:rPr>
              <w:rFonts w:hint="eastAsia" w:ascii="Times New Roman" w:hAnsi="Times New Roman" w:eastAsia="黑体" w:cs="Times New Roman"/>
              <w:b w:val="0"/>
              <w:bCs w:val="0"/>
              <w:color w:val="auto"/>
              <w:sz w:val="24"/>
              <w:szCs w:val="24"/>
              <w:lang w:val="en-US" w:eastAsia="zh-CN"/>
            </w:rPr>
            <w:t>附件</w:t>
          </w:r>
          <w:r>
            <w:rPr>
              <w:rFonts w:hint="eastAsia" w:eastAsia="黑体" w:cs="Times New Roman"/>
              <w:b w:val="0"/>
              <w:bCs w:val="0"/>
              <w:color w:val="auto"/>
              <w:sz w:val="24"/>
              <w:szCs w:val="24"/>
              <w:lang w:val="en-US" w:eastAsia="zh-CN"/>
            </w:rPr>
            <w:t>10</w:t>
          </w:r>
          <w:r>
            <w:rPr>
              <w:rFonts w:hint="eastAsia" w:ascii="Times New Roman" w:hAnsi="Times New Roman" w:eastAsia="黑体" w:cs="Times New Roman"/>
              <w:b w:val="0"/>
              <w:bCs w:val="0"/>
              <w:color w:val="auto"/>
              <w:sz w:val="24"/>
              <w:szCs w:val="24"/>
              <w:lang w:val="en-US" w:eastAsia="zh-CN"/>
            </w:rPr>
            <w:t>：淄博市环境保护局《关于淄博科技工业园环境影响跟踪评价报告书的审查意见》</w:t>
          </w:r>
        </w:p>
      </w:sdtContent>
    </w:sdt>
    <w:p>
      <w:pPr>
        <w:pStyle w:val="2"/>
        <w:spacing w:after="0"/>
        <w:ind w:firstLine="0" w:firstLineChars="0"/>
        <w:jc w:val="center"/>
        <w:outlineLvl w:val="0"/>
        <w:rPr>
          <w:rFonts w:ascii="黑体" w:hAnsi="黑体" w:eastAsia="黑体" w:cs="黑体"/>
          <w:color w:val="auto"/>
          <w:sz w:val="32"/>
          <w:szCs w:val="32"/>
        </w:rPr>
      </w:pPr>
      <w:bookmarkStart w:id="36" w:name="_Toc28220"/>
      <w:r>
        <w:rPr>
          <w:rFonts w:hint="eastAsia" w:ascii="黑体" w:hAnsi="黑体" w:eastAsia="黑体" w:cs="黑体"/>
          <w:color w:val="auto"/>
          <w:sz w:val="32"/>
          <w:szCs w:val="32"/>
        </w:rPr>
        <w:t>1 总则</w:t>
      </w:r>
      <w:bookmarkEnd w:id="36"/>
    </w:p>
    <w:p>
      <w:pPr>
        <w:pStyle w:val="8"/>
        <w:spacing w:before="0" w:beforeLines="0" w:after="0" w:afterLines="0"/>
        <w:rPr>
          <w:color w:val="auto"/>
        </w:rPr>
      </w:pPr>
      <w:bookmarkStart w:id="37" w:name="_Toc20954"/>
      <w:r>
        <w:rPr>
          <w:rFonts w:hint="eastAsia"/>
          <w:color w:val="auto"/>
        </w:rPr>
        <w:t>1.1编制依据</w:t>
      </w:r>
      <w:bookmarkEnd w:id="37"/>
    </w:p>
    <w:p>
      <w:pPr>
        <w:pStyle w:val="9"/>
        <w:spacing w:before="0" w:beforeLines="0" w:after="0" w:afterLines="0"/>
        <w:rPr>
          <w:color w:val="auto"/>
        </w:rPr>
      </w:pPr>
      <w:r>
        <w:rPr>
          <w:rFonts w:hint="eastAsia"/>
          <w:color w:val="auto"/>
        </w:rPr>
        <w:t>1.1.1国家法律、法规及政策依据</w:t>
      </w:r>
    </w:p>
    <w:p>
      <w:pPr>
        <w:numPr>
          <w:ilvl w:val="0"/>
          <w:numId w:val="3"/>
        </w:numPr>
        <w:ind w:firstLine="480"/>
        <w:rPr>
          <w:color w:val="auto"/>
          <w:szCs w:val="24"/>
        </w:rPr>
      </w:pPr>
      <w:r>
        <w:rPr>
          <w:color w:val="auto"/>
          <w:szCs w:val="24"/>
        </w:rPr>
        <w:t>《中华人民共和国环境保护法》（2014.4.24</w:t>
      </w:r>
      <w:r>
        <w:rPr>
          <w:color w:val="auto"/>
        </w:rPr>
        <w:fldChar w:fldCharType="begin"/>
      </w:r>
      <w:r>
        <w:rPr>
          <w:color w:val="auto"/>
        </w:rPr>
        <w:instrText xml:space="preserve"> HYPERLINK "https://baike.sogou.com/v4997747.htm?fromTitle=%E4%B8%AD%E5%8D%8E%E4%BA%BA%E6%B0%91%E5%85%B1%E5%92%8C%E5%9B%BD%E7%8E%AF%E5%A2%83%E4%BF%9D%E6%8A%A4%E6%B3%95" \l "quote3" </w:instrText>
      </w:r>
      <w:r>
        <w:rPr>
          <w:color w:val="auto"/>
        </w:rPr>
        <w:fldChar w:fldCharType="separate"/>
      </w:r>
      <w:r>
        <w:rPr>
          <w:color w:val="auto"/>
        </w:rPr>
        <w:fldChar w:fldCharType="end"/>
      </w:r>
      <w:r>
        <w:rPr>
          <w:color w:val="auto"/>
          <w:szCs w:val="24"/>
        </w:rPr>
        <w:t>修订）；</w:t>
      </w:r>
    </w:p>
    <w:p>
      <w:pPr>
        <w:numPr>
          <w:ilvl w:val="0"/>
          <w:numId w:val="3"/>
        </w:numPr>
        <w:ind w:firstLine="480"/>
        <w:rPr>
          <w:color w:val="auto"/>
          <w:szCs w:val="24"/>
        </w:rPr>
      </w:pPr>
      <w:r>
        <w:rPr>
          <w:color w:val="auto"/>
          <w:szCs w:val="24"/>
        </w:rPr>
        <w:t>《中华人民共和国环境影响评价法》（2018.12.29</w:t>
      </w:r>
      <w:r>
        <w:rPr>
          <w:color w:val="auto"/>
        </w:rPr>
        <w:fldChar w:fldCharType="begin"/>
      </w:r>
      <w:r>
        <w:rPr>
          <w:color w:val="auto"/>
        </w:rPr>
        <w:instrText xml:space="preserve"> HYPERLINK "https://baike.sogou.com/v4997747.htm?fromTitle=%E4%B8%AD%E5%8D%8E%E4%BA%BA%E6%B0%91%E5%85%B1%E5%92%8C%E5%9B%BD%E7%8E%AF%E5%A2%83%E4%BF%9D%E6%8A%A4%E6%B3%95" \l "quote3" </w:instrText>
      </w:r>
      <w:r>
        <w:rPr>
          <w:color w:val="auto"/>
        </w:rPr>
        <w:fldChar w:fldCharType="separate"/>
      </w:r>
      <w:r>
        <w:rPr>
          <w:color w:val="auto"/>
        </w:rPr>
        <w:fldChar w:fldCharType="end"/>
      </w:r>
      <w:r>
        <w:rPr>
          <w:color w:val="auto"/>
          <w:szCs w:val="24"/>
        </w:rPr>
        <w:t>修订）；</w:t>
      </w:r>
    </w:p>
    <w:p>
      <w:pPr>
        <w:numPr>
          <w:ilvl w:val="0"/>
          <w:numId w:val="3"/>
        </w:numPr>
        <w:ind w:firstLine="480"/>
        <w:rPr>
          <w:color w:val="auto"/>
          <w:szCs w:val="24"/>
        </w:rPr>
      </w:pPr>
      <w:r>
        <w:rPr>
          <w:color w:val="auto"/>
          <w:szCs w:val="24"/>
        </w:rPr>
        <w:t>《中华人民共和国大气污染防治法》（2018.10.26修订）；</w:t>
      </w:r>
    </w:p>
    <w:p>
      <w:pPr>
        <w:numPr>
          <w:ilvl w:val="0"/>
          <w:numId w:val="3"/>
        </w:numPr>
        <w:ind w:firstLine="480"/>
        <w:rPr>
          <w:color w:val="auto"/>
          <w:szCs w:val="24"/>
        </w:rPr>
      </w:pPr>
      <w:r>
        <w:rPr>
          <w:color w:val="auto"/>
          <w:szCs w:val="24"/>
        </w:rPr>
        <w:t>《中华人民共和国水污染防治法》（2017.6.27修订）；</w:t>
      </w:r>
    </w:p>
    <w:p>
      <w:pPr>
        <w:numPr>
          <w:ilvl w:val="0"/>
          <w:numId w:val="3"/>
        </w:numPr>
        <w:ind w:firstLine="480"/>
        <w:rPr>
          <w:color w:val="auto"/>
          <w:szCs w:val="24"/>
        </w:rPr>
      </w:pPr>
      <w:r>
        <w:rPr>
          <w:color w:val="auto"/>
          <w:szCs w:val="24"/>
        </w:rPr>
        <w:t>《中华人民共和国固体废物污染环境防治法》（2020.9.1施行）；</w:t>
      </w:r>
    </w:p>
    <w:p>
      <w:pPr>
        <w:numPr>
          <w:ilvl w:val="0"/>
          <w:numId w:val="3"/>
        </w:numPr>
        <w:ind w:firstLine="480"/>
        <w:rPr>
          <w:color w:val="auto"/>
          <w:szCs w:val="24"/>
        </w:rPr>
      </w:pPr>
      <w:r>
        <w:rPr>
          <w:color w:val="auto"/>
          <w:szCs w:val="24"/>
        </w:rPr>
        <w:t>《中华人民共和国环境噪声污染防治法》（</w:t>
      </w:r>
      <w:r>
        <w:rPr>
          <w:rFonts w:hint="eastAsia"/>
          <w:color w:val="auto"/>
          <w:szCs w:val="24"/>
        </w:rPr>
        <w:t>2021.12.24</w:t>
      </w:r>
      <w:r>
        <w:rPr>
          <w:color w:val="auto"/>
          <w:szCs w:val="24"/>
        </w:rPr>
        <w:t>修订）；</w:t>
      </w:r>
    </w:p>
    <w:p>
      <w:pPr>
        <w:numPr>
          <w:ilvl w:val="0"/>
          <w:numId w:val="3"/>
        </w:numPr>
        <w:ind w:firstLine="480"/>
        <w:rPr>
          <w:color w:val="auto"/>
          <w:szCs w:val="24"/>
        </w:rPr>
      </w:pPr>
      <w:r>
        <w:rPr>
          <w:color w:val="auto"/>
          <w:szCs w:val="24"/>
        </w:rPr>
        <w:t>《中华人民共和国土壤污染防治法》（2019.1.1施行）；</w:t>
      </w:r>
    </w:p>
    <w:p>
      <w:pPr>
        <w:numPr>
          <w:ilvl w:val="0"/>
          <w:numId w:val="3"/>
        </w:numPr>
        <w:ind w:firstLine="480"/>
        <w:rPr>
          <w:color w:val="auto"/>
          <w:szCs w:val="24"/>
        </w:rPr>
      </w:pPr>
      <w:r>
        <w:rPr>
          <w:color w:val="auto"/>
          <w:szCs w:val="24"/>
        </w:rPr>
        <w:t>《中华人民共和国清洁生产促进法》（2012.2.29修订）；</w:t>
      </w:r>
    </w:p>
    <w:p>
      <w:pPr>
        <w:numPr>
          <w:ilvl w:val="0"/>
          <w:numId w:val="3"/>
        </w:numPr>
        <w:ind w:firstLine="480"/>
        <w:rPr>
          <w:color w:val="auto"/>
          <w:szCs w:val="24"/>
        </w:rPr>
      </w:pPr>
      <w:r>
        <w:rPr>
          <w:color w:val="auto"/>
          <w:szCs w:val="24"/>
        </w:rPr>
        <w:t>《中华人民共和国安全生产法》（2014修正）；</w:t>
      </w:r>
    </w:p>
    <w:p>
      <w:pPr>
        <w:numPr>
          <w:ilvl w:val="0"/>
          <w:numId w:val="3"/>
        </w:numPr>
        <w:ind w:firstLine="480"/>
        <w:rPr>
          <w:color w:val="auto"/>
          <w:szCs w:val="24"/>
        </w:rPr>
      </w:pPr>
      <w:r>
        <w:rPr>
          <w:rFonts w:hint="eastAsia"/>
          <w:color w:val="auto"/>
          <w:lang w:eastAsia="zh-CN"/>
        </w:rPr>
        <w:t>《</w:t>
      </w:r>
      <w:r>
        <w:rPr>
          <w:rFonts w:hint="eastAsia"/>
          <w:color w:val="auto"/>
          <w:lang w:val="en-US" w:eastAsia="zh-CN"/>
        </w:rPr>
        <w:t>中华人民共和国土地管理管理法</w:t>
      </w:r>
      <w:r>
        <w:rPr>
          <w:rFonts w:hint="eastAsia"/>
          <w:color w:val="auto"/>
          <w:lang w:eastAsia="zh-CN"/>
        </w:rPr>
        <w:t>》（</w:t>
      </w:r>
      <w:r>
        <w:rPr>
          <w:rFonts w:hint="eastAsia"/>
          <w:color w:val="auto"/>
          <w:lang w:val="en-US" w:eastAsia="zh-CN"/>
        </w:rPr>
        <w:t>2019年修订</w:t>
      </w:r>
      <w:r>
        <w:rPr>
          <w:rFonts w:hint="eastAsia"/>
          <w:color w:val="auto"/>
          <w:lang w:eastAsia="zh-CN"/>
        </w:rPr>
        <w:t>）；</w:t>
      </w:r>
    </w:p>
    <w:p>
      <w:pPr>
        <w:numPr>
          <w:ilvl w:val="0"/>
          <w:numId w:val="3"/>
        </w:numPr>
        <w:ind w:firstLine="480"/>
        <w:rPr>
          <w:color w:val="auto"/>
          <w:szCs w:val="24"/>
        </w:rPr>
      </w:pPr>
      <w:r>
        <w:rPr>
          <w:color w:val="auto"/>
          <w:szCs w:val="24"/>
        </w:rPr>
        <w:t>《建设项目环境保护管理条例》（国务院令第682号，2017.10.1）；</w:t>
      </w:r>
    </w:p>
    <w:p>
      <w:pPr>
        <w:numPr>
          <w:ilvl w:val="0"/>
          <w:numId w:val="3"/>
        </w:numPr>
        <w:ind w:firstLine="480"/>
        <w:rPr>
          <w:color w:val="auto"/>
          <w:szCs w:val="24"/>
        </w:rPr>
      </w:pPr>
      <w:r>
        <w:rPr>
          <w:color w:val="auto"/>
          <w:szCs w:val="24"/>
        </w:rPr>
        <w:t>《排污许可管理条例》（国务院令 第736号，2021.1.29）；</w:t>
      </w:r>
    </w:p>
    <w:p>
      <w:pPr>
        <w:numPr>
          <w:ilvl w:val="0"/>
          <w:numId w:val="3"/>
        </w:numPr>
        <w:ind w:firstLine="480"/>
        <w:rPr>
          <w:color w:val="auto"/>
        </w:rPr>
      </w:pPr>
      <w:r>
        <w:rPr>
          <w:rFonts w:hint="eastAsia"/>
          <w:color w:val="auto"/>
          <w:szCs w:val="24"/>
        </w:rPr>
        <w:t>《地下水管理条例》（国务院令 第748号，2021.11.09）；</w:t>
      </w:r>
    </w:p>
    <w:p>
      <w:pPr>
        <w:numPr>
          <w:ilvl w:val="0"/>
          <w:numId w:val="3"/>
        </w:numPr>
        <w:ind w:firstLine="480"/>
        <w:rPr>
          <w:color w:val="auto"/>
          <w:szCs w:val="24"/>
        </w:rPr>
      </w:pPr>
      <w:r>
        <w:rPr>
          <w:color w:val="auto"/>
          <w:szCs w:val="24"/>
        </w:rPr>
        <w:t>《建设项目环境影响评价分类管理名录（2021年版）》（部令 第16号）（2021年1月1日施行）；</w:t>
      </w:r>
    </w:p>
    <w:p>
      <w:pPr>
        <w:numPr>
          <w:ilvl w:val="0"/>
          <w:numId w:val="3"/>
        </w:numPr>
        <w:ind w:firstLine="480"/>
        <w:rPr>
          <w:color w:val="auto"/>
          <w:szCs w:val="24"/>
        </w:rPr>
      </w:pPr>
      <w:r>
        <w:rPr>
          <w:color w:val="auto"/>
          <w:szCs w:val="24"/>
        </w:rPr>
        <w:t>《环境影响评价公众参与办法》（2018年7月16日，2019年1月1日实施）；</w:t>
      </w:r>
    </w:p>
    <w:p>
      <w:pPr>
        <w:numPr>
          <w:ilvl w:val="0"/>
          <w:numId w:val="3"/>
        </w:numPr>
        <w:ind w:firstLine="480"/>
        <w:rPr>
          <w:color w:val="auto"/>
          <w:szCs w:val="24"/>
        </w:rPr>
      </w:pPr>
      <w:r>
        <w:rPr>
          <w:color w:val="auto"/>
          <w:szCs w:val="24"/>
        </w:rPr>
        <w:t>《产业结构调整指导目录（2019年本）》（国家发改委第29号令2019.10.30）；</w:t>
      </w:r>
    </w:p>
    <w:p>
      <w:pPr>
        <w:numPr>
          <w:ilvl w:val="0"/>
          <w:numId w:val="3"/>
        </w:numPr>
        <w:ind w:firstLine="480"/>
        <w:rPr>
          <w:color w:val="auto"/>
          <w:szCs w:val="24"/>
        </w:rPr>
      </w:pPr>
      <w:r>
        <w:rPr>
          <w:color w:val="auto"/>
          <w:szCs w:val="24"/>
        </w:rPr>
        <w:t>《关于进一步加强环境影响评价管理防范环境风险的通知》环发[2012]77号文；</w:t>
      </w:r>
    </w:p>
    <w:p>
      <w:pPr>
        <w:numPr>
          <w:ilvl w:val="0"/>
          <w:numId w:val="3"/>
        </w:numPr>
        <w:ind w:firstLine="480"/>
        <w:rPr>
          <w:color w:val="auto"/>
          <w:szCs w:val="24"/>
        </w:rPr>
      </w:pPr>
      <w:r>
        <w:rPr>
          <w:color w:val="auto"/>
          <w:szCs w:val="24"/>
        </w:rPr>
        <w:t>《关于切实加强风险防范严格环境影响评价管理的通知》（环发[2012]98号）</w:t>
      </w:r>
      <w:r>
        <w:rPr>
          <w:rFonts w:hint="eastAsia"/>
          <w:color w:val="auto"/>
          <w:szCs w:val="24"/>
        </w:rPr>
        <w:t>；</w:t>
      </w:r>
    </w:p>
    <w:p>
      <w:pPr>
        <w:numPr>
          <w:ilvl w:val="0"/>
          <w:numId w:val="3"/>
        </w:numPr>
        <w:ind w:firstLine="480"/>
        <w:rPr>
          <w:color w:val="auto"/>
          <w:szCs w:val="24"/>
        </w:rPr>
      </w:pPr>
      <w:r>
        <w:rPr>
          <w:color w:val="auto"/>
          <w:szCs w:val="24"/>
        </w:rPr>
        <w:t>《限制用地项目目录（2012年本）》和《禁止用地项目目录（2012年本）；</w:t>
      </w:r>
    </w:p>
    <w:p>
      <w:pPr>
        <w:numPr>
          <w:ilvl w:val="0"/>
          <w:numId w:val="3"/>
        </w:numPr>
        <w:ind w:firstLine="480"/>
        <w:rPr>
          <w:color w:val="auto"/>
          <w:szCs w:val="24"/>
        </w:rPr>
      </w:pPr>
      <w:r>
        <w:rPr>
          <w:color w:val="auto"/>
          <w:szCs w:val="24"/>
        </w:rPr>
        <w:t>《国家危险废物名录》（2021年版）（2021年1月1日施行）；</w:t>
      </w:r>
    </w:p>
    <w:p>
      <w:pPr>
        <w:numPr>
          <w:ilvl w:val="0"/>
          <w:numId w:val="3"/>
        </w:numPr>
        <w:ind w:firstLine="480"/>
        <w:rPr>
          <w:color w:val="auto"/>
          <w:szCs w:val="24"/>
        </w:rPr>
      </w:pPr>
      <w:r>
        <w:rPr>
          <w:color w:val="auto"/>
          <w:szCs w:val="24"/>
        </w:rPr>
        <w:t>《关于切实加强环境影响评价监督管理工作的通知》（环办[2013]104号）；</w:t>
      </w:r>
    </w:p>
    <w:p>
      <w:pPr>
        <w:numPr>
          <w:ilvl w:val="0"/>
          <w:numId w:val="3"/>
        </w:numPr>
        <w:ind w:firstLine="480"/>
        <w:rPr>
          <w:color w:val="auto"/>
          <w:szCs w:val="22"/>
        </w:rPr>
      </w:pPr>
      <w:r>
        <w:rPr>
          <w:color w:val="auto"/>
          <w:szCs w:val="22"/>
        </w:rPr>
        <w:t>《关于以改善环境质量为核心加强环境影响评价管理的通知》（环环评[2016]150号）；</w:t>
      </w:r>
    </w:p>
    <w:p>
      <w:pPr>
        <w:numPr>
          <w:ilvl w:val="0"/>
          <w:numId w:val="3"/>
        </w:numPr>
        <w:ind w:firstLine="480"/>
        <w:rPr>
          <w:color w:val="auto"/>
          <w:szCs w:val="24"/>
        </w:rPr>
      </w:pPr>
      <w:r>
        <w:rPr>
          <w:color w:val="auto"/>
          <w:szCs w:val="24"/>
        </w:rPr>
        <w:t>《建设项目危险废物环境影响评价指南》（环境保护部公告2017年第43号）；</w:t>
      </w:r>
    </w:p>
    <w:p>
      <w:pPr>
        <w:numPr>
          <w:ilvl w:val="0"/>
          <w:numId w:val="3"/>
        </w:numPr>
        <w:ind w:firstLine="480"/>
        <w:rPr>
          <w:color w:val="auto"/>
        </w:rPr>
      </w:pPr>
      <w:r>
        <w:rPr>
          <w:color w:val="auto"/>
        </w:rPr>
        <w:t>《关于做好环境影响评价制度与排污许可制衔接相关工作的通知》（环办环评[2017]84号）；</w:t>
      </w:r>
    </w:p>
    <w:p>
      <w:pPr>
        <w:numPr>
          <w:ilvl w:val="0"/>
          <w:numId w:val="3"/>
        </w:numPr>
        <w:ind w:firstLine="480"/>
        <w:rPr>
          <w:color w:val="auto"/>
          <w:szCs w:val="22"/>
        </w:rPr>
      </w:pPr>
      <w:r>
        <w:rPr>
          <w:color w:val="auto"/>
          <w:szCs w:val="24"/>
        </w:rPr>
        <w:t>《重点行业挥发性有机物综合治理方案》（环大气[2019]53号）；</w:t>
      </w:r>
    </w:p>
    <w:p>
      <w:pPr>
        <w:numPr>
          <w:ilvl w:val="0"/>
          <w:numId w:val="3"/>
        </w:numPr>
        <w:ind w:firstLine="480"/>
        <w:rPr>
          <w:color w:val="auto"/>
          <w:szCs w:val="22"/>
        </w:rPr>
      </w:pPr>
      <w:r>
        <w:rPr>
          <w:color w:val="auto"/>
          <w:szCs w:val="22"/>
        </w:rPr>
        <w:t>《建设项目环境影响报告书（表）编制监督管理办法》（部令9号）；</w:t>
      </w:r>
    </w:p>
    <w:p>
      <w:pPr>
        <w:numPr>
          <w:ilvl w:val="0"/>
          <w:numId w:val="3"/>
        </w:numPr>
        <w:ind w:firstLine="480"/>
        <w:rPr>
          <w:color w:val="auto"/>
          <w:szCs w:val="24"/>
        </w:rPr>
      </w:pPr>
      <w:r>
        <w:rPr>
          <w:color w:val="auto"/>
          <w:szCs w:val="24"/>
        </w:rPr>
        <w:t>《关于印发环境应急资源调查指南（试行）的通知》（环办应急[2019]17号）；</w:t>
      </w:r>
    </w:p>
    <w:p>
      <w:pPr>
        <w:numPr>
          <w:ilvl w:val="0"/>
          <w:numId w:val="3"/>
        </w:numPr>
        <w:ind w:firstLine="480"/>
        <w:rPr>
          <w:color w:val="auto"/>
          <w:szCs w:val="22"/>
        </w:rPr>
      </w:pPr>
      <w:r>
        <w:rPr>
          <w:color w:val="auto"/>
          <w:szCs w:val="24"/>
        </w:rPr>
        <w:t>《关于加强重点行业建设项目区域削减措施监督管理的通知》（环办环评</w:t>
      </w:r>
      <w:r>
        <w:rPr>
          <w:color w:val="auto"/>
        </w:rPr>
        <w:t>[</w:t>
      </w:r>
      <w:r>
        <w:rPr>
          <w:color w:val="auto"/>
          <w:szCs w:val="24"/>
        </w:rPr>
        <w:t>2020</w:t>
      </w:r>
      <w:r>
        <w:rPr>
          <w:color w:val="auto"/>
        </w:rPr>
        <w:t>]</w:t>
      </w:r>
      <w:r>
        <w:rPr>
          <w:color w:val="auto"/>
          <w:szCs w:val="24"/>
        </w:rPr>
        <w:t>36号）；</w:t>
      </w:r>
    </w:p>
    <w:p>
      <w:pPr>
        <w:numPr>
          <w:ilvl w:val="0"/>
          <w:numId w:val="3"/>
        </w:numPr>
        <w:ind w:firstLine="480"/>
        <w:rPr>
          <w:color w:val="auto"/>
          <w:szCs w:val="22"/>
        </w:rPr>
      </w:pPr>
      <w:r>
        <w:rPr>
          <w:color w:val="auto"/>
          <w:szCs w:val="22"/>
        </w:rPr>
        <w:t>《关于加强高耗能、高排放建设项目生态环境源头防控的指导意见》（环环评</w:t>
      </w:r>
      <w:r>
        <w:rPr>
          <w:color w:val="auto"/>
        </w:rPr>
        <w:t>[</w:t>
      </w:r>
      <w:r>
        <w:rPr>
          <w:color w:val="auto"/>
          <w:szCs w:val="22"/>
        </w:rPr>
        <w:t>2021</w:t>
      </w:r>
      <w:r>
        <w:rPr>
          <w:color w:val="auto"/>
        </w:rPr>
        <w:t>]</w:t>
      </w:r>
      <w:r>
        <w:rPr>
          <w:color w:val="auto"/>
          <w:szCs w:val="22"/>
        </w:rPr>
        <w:t>45号）；</w:t>
      </w:r>
    </w:p>
    <w:p>
      <w:pPr>
        <w:numPr>
          <w:ilvl w:val="0"/>
          <w:numId w:val="3"/>
        </w:numPr>
        <w:ind w:firstLine="480"/>
        <w:rPr>
          <w:color w:val="auto"/>
          <w:szCs w:val="22"/>
        </w:rPr>
      </w:pPr>
      <w:r>
        <w:rPr>
          <w:color w:val="auto"/>
          <w:szCs w:val="22"/>
        </w:rPr>
        <w:t>《关于发布&lt;排放源统计调查产排污核算方法和系数手册&gt;的公告》（公告 2021年 第24号）；</w:t>
      </w:r>
    </w:p>
    <w:p>
      <w:pPr>
        <w:numPr>
          <w:ilvl w:val="0"/>
          <w:numId w:val="3"/>
        </w:numPr>
        <w:ind w:firstLine="480"/>
        <w:rPr>
          <w:color w:val="auto"/>
          <w:szCs w:val="22"/>
        </w:rPr>
      </w:pPr>
      <w:r>
        <w:rPr>
          <w:color w:val="auto"/>
          <w:szCs w:val="22"/>
        </w:rPr>
        <w:t>《关于加快解决当前挥发性有机物治理突出问题的通知》（环大气</w:t>
      </w:r>
      <w:r>
        <w:rPr>
          <w:color w:val="auto"/>
        </w:rPr>
        <w:t>[</w:t>
      </w:r>
      <w:r>
        <w:rPr>
          <w:color w:val="auto"/>
          <w:szCs w:val="22"/>
        </w:rPr>
        <w:t>2021</w:t>
      </w:r>
      <w:r>
        <w:rPr>
          <w:color w:val="auto"/>
        </w:rPr>
        <w:t>]</w:t>
      </w:r>
      <w:r>
        <w:rPr>
          <w:color w:val="auto"/>
          <w:szCs w:val="22"/>
        </w:rPr>
        <w:t>65号）；</w:t>
      </w:r>
    </w:p>
    <w:p>
      <w:pPr>
        <w:numPr>
          <w:ilvl w:val="0"/>
          <w:numId w:val="3"/>
        </w:numPr>
        <w:ind w:firstLine="480"/>
        <w:rPr>
          <w:color w:val="auto"/>
          <w:szCs w:val="22"/>
        </w:rPr>
      </w:pPr>
      <w:r>
        <w:rPr>
          <w:color w:val="auto"/>
          <w:szCs w:val="22"/>
        </w:rPr>
        <w:t>《关于进一步加强产业园区规划环境影响评价工作的意见》（环环评</w:t>
      </w:r>
      <w:r>
        <w:rPr>
          <w:color w:val="auto"/>
        </w:rPr>
        <w:t>[</w:t>
      </w:r>
      <w:r>
        <w:rPr>
          <w:color w:val="auto"/>
          <w:szCs w:val="22"/>
        </w:rPr>
        <w:t>2020</w:t>
      </w:r>
      <w:r>
        <w:rPr>
          <w:color w:val="auto"/>
        </w:rPr>
        <w:t>]</w:t>
      </w:r>
      <w:r>
        <w:rPr>
          <w:color w:val="auto"/>
          <w:szCs w:val="22"/>
        </w:rPr>
        <w:t>65号）；</w:t>
      </w:r>
    </w:p>
    <w:p>
      <w:pPr>
        <w:numPr>
          <w:ilvl w:val="0"/>
          <w:numId w:val="3"/>
        </w:numPr>
        <w:ind w:firstLine="480"/>
        <w:rPr>
          <w:color w:val="auto"/>
          <w:szCs w:val="22"/>
        </w:rPr>
      </w:pPr>
      <w:r>
        <w:rPr>
          <w:rFonts w:hint="eastAsia"/>
          <w:color w:val="auto"/>
          <w:szCs w:val="22"/>
        </w:rPr>
        <w:t>《</w:t>
      </w:r>
      <w:r>
        <w:rPr>
          <w:color w:val="auto"/>
          <w:szCs w:val="22"/>
        </w:rPr>
        <w:t>关于“十四五”推进沿黄重点地区工业项目入园及严控高污染、高耗水、高耗能项目的通知</w:t>
      </w:r>
      <w:r>
        <w:rPr>
          <w:rFonts w:hint="eastAsia"/>
          <w:color w:val="auto"/>
          <w:szCs w:val="22"/>
        </w:rPr>
        <w:t>》（</w:t>
      </w:r>
      <w:r>
        <w:rPr>
          <w:color w:val="auto"/>
          <w:szCs w:val="22"/>
        </w:rPr>
        <w:t>发改办产业</w:t>
      </w:r>
      <w:r>
        <w:rPr>
          <w:color w:val="auto"/>
        </w:rPr>
        <w:t>[</w:t>
      </w:r>
      <w:r>
        <w:rPr>
          <w:color w:val="auto"/>
          <w:szCs w:val="22"/>
        </w:rPr>
        <w:t>2021</w:t>
      </w:r>
      <w:r>
        <w:rPr>
          <w:color w:val="auto"/>
        </w:rPr>
        <w:t>]</w:t>
      </w:r>
      <w:r>
        <w:rPr>
          <w:color w:val="auto"/>
          <w:szCs w:val="22"/>
        </w:rPr>
        <w:t>635号</w:t>
      </w:r>
      <w:r>
        <w:rPr>
          <w:rFonts w:hint="eastAsia"/>
          <w:color w:val="auto"/>
          <w:szCs w:val="22"/>
        </w:rPr>
        <w:t>）；</w:t>
      </w:r>
    </w:p>
    <w:p>
      <w:pPr>
        <w:numPr>
          <w:ilvl w:val="0"/>
          <w:numId w:val="3"/>
        </w:numPr>
        <w:ind w:firstLine="480"/>
        <w:rPr>
          <w:color w:val="auto"/>
          <w:szCs w:val="22"/>
        </w:rPr>
      </w:pPr>
      <w:r>
        <w:rPr>
          <w:color w:val="auto"/>
          <w:szCs w:val="22"/>
        </w:rPr>
        <w:t>《关于开展重点行业建设项目碳排放环境影响评价试点的通知》（环办环评函</w:t>
      </w:r>
      <w:r>
        <w:rPr>
          <w:color w:val="auto"/>
        </w:rPr>
        <w:t>[</w:t>
      </w:r>
      <w:r>
        <w:rPr>
          <w:color w:val="auto"/>
          <w:szCs w:val="22"/>
        </w:rPr>
        <w:t>2021</w:t>
      </w:r>
      <w:r>
        <w:rPr>
          <w:color w:val="auto"/>
        </w:rPr>
        <w:t>]</w:t>
      </w:r>
      <w:r>
        <w:rPr>
          <w:color w:val="auto"/>
          <w:szCs w:val="22"/>
        </w:rPr>
        <w:t>346号）</w:t>
      </w:r>
      <w:r>
        <w:rPr>
          <w:rFonts w:hint="eastAsia"/>
          <w:color w:val="auto"/>
          <w:szCs w:val="22"/>
        </w:rPr>
        <w:t>；</w:t>
      </w:r>
    </w:p>
    <w:p>
      <w:pPr>
        <w:numPr>
          <w:ilvl w:val="0"/>
          <w:numId w:val="3"/>
        </w:numPr>
        <w:ind w:firstLine="480"/>
        <w:rPr>
          <w:color w:val="auto"/>
          <w:szCs w:val="22"/>
        </w:rPr>
      </w:pPr>
      <w:r>
        <w:rPr>
          <w:rFonts w:hint="eastAsia"/>
          <w:color w:val="auto"/>
          <w:szCs w:val="22"/>
        </w:rPr>
        <w:t>《关于实施“三线一单”生态环境分区管控的指导意见（试行）》（环环评</w:t>
      </w:r>
      <w:r>
        <w:rPr>
          <w:color w:val="auto"/>
          <w:szCs w:val="22"/>
        </w:rPr>
        <w:t>[</w:t>
      </w:r>
      <w:r>
        <w:rPr>
          <w:rFonts w:hint="eastAsia"/>
          <w:color w:val="auto"/>
          <w:szCs w:val="22"/>
        </w:rPr>
        <w:t>2021</w:t>
      </w:r>
      <w:r>
        <w:rPr>
          <w:color w:val="auto"/>
          <w:szCs w:val="22"/>
        </w:rPr>
        <w:t>]</w:t>
      </w:r>
      <w:r>
        <w:rPr>
          <w:rFonts w:hint="eastAsia"/>
          <w:color w:val="auto"/>
          <w:szCs w:val="22"/>
          <w:lang w:eastAsia="zh-CN"/>
        </w:rPr>
        <w:t>15</w:t>
      </w:r>
      <w:r>
        <w:rPr>
          <w:rFonts w:hint="eastAsia"/>
          <w:color w:val="auto"/>
          <w:szCs w:val="22"/>
        </w:rPr>
        <w:t>号）；</w:t>
      </w:r>
    </w:p>
    <w:p>
      <w:pPr>
        <w:numPr>
          <w:ilvl w:val="0"/>
          <w:numId w:val="3"/>
        </w:numPr>
        <w:ind w:firstLine="480"/>
        <w:rPr>
          <w:color w:val="auto"/>
          <w:szCs w:val="22"/>
        </w:rPr>
      </w:pPr>
      <w:r>
        <w:rPr>
          <w:rFonts w:hint="eastAsia"/>
          <w:color w:val="auto"/>
          <w:szCs w:val="22"/>
        </w:rPr>
        <w:t>《关于印发&lt;“十四五”全国危险废物规范化环境管理评估工作方案&gt;》的通知》（环办固体</w:t>
      </w:r>
      <w:r>
        <w:rPr>
          <w:color w:val="auto"/>
        </w:rPr>
        <w:t>[</w:t>
      </w:r>
      <w:r>
        <w:rPr>
          <w:rFonts w:hint="eastAsia"/>
          <w:color w:val="auto"/>
          <w:szCs w:val="22"/>
        </w:rPr>
        <w:t>2021</w:t>
      </w:r>
      <w:r>
        <w:rPr>
          <w:color w:val="auto"/>
        </w:rPr>
        <w:t>]</w:t>
      </w:r>
      <w:r>
        <w:rPr>
          <w:rFonts w:hint="eastAsia"/>
          <w:color w:val="auto"/>
          <w:szCs w:val="22"/>
        </w:rPr>
        <w:t>20号）；</w:t>
      </w:r>
    </w:p>
    <w:p>
      <w:pPr>
        <w:pStyle w:val="13"/>
        <w:ind w:firstLine="480"/>
        <w:rPr>
          <w:color w:val="auto"/>
        </w:rPr>
      </w:pPr>
      <w:r>
        <w:rPr>
          <w:rFonts w:hint="eastAsia"/>
          <w:color w:val="auto"/>
          <w:szCs w:val="22"/>
          <w:lang w:val="en-US" w:eastAsia="zh-CN"/>
        </w:rPr>
        <w:t>37</w:t>
      </w:r>
      <w:r>
        <w:rPr>
          <w:rFonts w:hint="eastAsia"/>
          <w:color w:val="auto"/>
          <w:szCs w:val="22"/>
        </w:rPr>
        <w:t>、</w:t>
      </w:r>
      <w:r>
        <w:rPr>
          <w:rFonts w:hint="eastAsia"/>
          <w:color w:val="auto"/>
        </w:rPr>
        <w:t>国务院办公厅《关于印发“无废城市”建设试点工作方案的通知》（国办发</w:t>
      </w:r>
      <w:r>
        <w:rPr>
          <w:color w:val="auto"/>
        </w:rPr>
        <w:t>[</w:t>
      </w:r>
      <w:r>
        <w:rPr>
          <w:rFonts w:hint="eastAsia"/>
          <w:color w:val="auto"/>
          <w:szCs w:val="22"/>
        </w:rPr>
        <w:t>2018</w:t>
      </w:r>
      <w:r>
        <w:rPr>
          <w:color w:val="auto"/>
        </w:rPr>
        <w:t>]</w:t>
      </w:r>
      <w:r>
        <w:rPr>
          <w:rFonts w:hint="eastAsia"/>
          <w:color w:val="auto"/>
        </w:rPr>
        <w:t>128 号）；</w:t>
      </w:r>
    </w:p>
    <w:p>
      <w:pPr>
        <w:pStyle w:val="13"/>
        <w:ind w:firstLine="480"/>
        <w:rPr>
          <w:color w:val="auto"/>
        </w:rPr>
      </w:pPr>
      <w:r>
        <w:rPr>
          <w:rFonts w:hint="eastAsia"/>
          <w:color w:val="auto"/>
        </w:rPr>
        <w:t>3</w:t>
      </w:r>
      <w:r>
        <w:rPr>
          <w:rFonts w:hint="eastAsia"/>
          <w:color w:val="auto"/>
          <w:lang w:val="en-US" w:eastAsia="zh-CN"/>
        </w:rPr>
        <w:t>8</w:t>
      </w:r>
      <w:r>
        <w:rPr>
          <w:rFonts w:hint="eastAsia"/>
          <w:color w:val="auto"/>
        </w:rPr>
        <w:t>、国务院《关于加快建立健全绿色低碳循环发展经济体系的指导意见》（国发</w:t>
      </w:r>
      <w:r>
        <w:rPr>
          <w:color w:val="auto"/>
        </w:rPr>
        <w:t>[</w:t>
      </w:r>
      <w:r>
        <w:rPr>
          <w:rFonts w:hint="eastAsia"/>
          <w:color w:val="auto"/>
        </w:rPr>
        <w:t>2021</w:t>
      </w:r>
      <w:r>
        <w:rPr>
          <w:color w:val="auto"/>
        </w:rPr>
        <w:t>]</w:t>
      </w:r>
      <w:r>
        <w:rPr>
          <w:rFonts w:hint="eastAsia"/>
          <w:color w:val="auto"/>
        </w:rPr>
        <w:t>4号）；</w:t>
      </w:r>
    </w:p>
    <w:p>
      <w:pPr>
        <w:pStyle w:val="13"/>
        <w:ind w:firstLine="480"/>
        <w:rPr>
          <w:color w:val="auto"/>
        </w:rPr>
      </w:pPr>
      <w:r>
        <w:rPr>
          <w:rFonts w:hint="eastAsia"/>
          <w:color w:val="auto"/>
        </w:rPr>
        <w:t>3</w:t>
      </w:r>
      <w:r>
        <w:rPr>
          <w:rFonts w:hint="eastAsia"/>
          <w:color w:val="auto"/>
          <w:lang w:val="en-US" w:eastAsia="zh-CN"/>
        </w:rPr>
        <w:t>9</w:t>
      </w:r>
      <w:r>
        <w:rPr>
          <w:rFonts w:hint="eastAsia"/>
          <w:color w:val="auto"/>
        </w:rPr>
        <w:t>、国务院《关于全面加强生态环境保护坚决打好污染防治攻坚战的意见》；</w:t>
      </w:r>
    </w:p>
    <w:p>
      <w:pPr>
        <w:pStyle w:val="13"/>
        <w:ind w:firstLine="480"/>
        <w:rPr>
          <w:color w:val="auto"/>
        </w:rPr>
      </w:pPr>
      <w:r>
        <w:rPr>
          <w:rFonts w:hint="eastAsia"/>
          <w:color w:val="auto"/>
          <w:lang w:val="en-US" w:eastAsia="zh-CN"/>
        </w:rPr>
        <w:t>40</w:t>
      </w:r>
      <w:r>
        <w:rPr>
          <w:rFonts w:hint="eastAsia"/>
          <w:color w:val="auto"/>
        </w:rPr>
        <w:t>、中共中央 国务院关于深入打好污染防治攻坚战的意见（2021 年 11 月 2 日）；</w:t>
      </w:r>
    </w:p>
    <w:p>
      <w:pPr>
        <w:pStyle w:val="13"/>
        <w:ind w:firstLine="480"/>
        <w:rPr>
          <w:color w:val="auto"/>
        </w:rPr>
      </w:pPr>
      <w:r>
        <w:rPr>
          <w:rFonts w:hint="eastAsia"/>
          <w:color w:val="auto"/>
        </w:rPr>
        <w:t>4</w:t>
      </w:r>
      <w:r>
        <w:rPr>
          <w:rFonts w:hint="eastAsia"/>
          <w:color w:val="auto"/>
          <w:lang w:val="en-US" w:eastAsia="zh-CN"/>
        </w:rPr>
        <w:t>1</w:t>
      </w:r>
      <w:r>
        <w:rPr>
          <w:rFonts w:hint="eastAsia"/>
          <w:color w:val="auto"/>
        </w:rPr>
        <w:t>、中共中央办公厅 国务院办公厅印发《关于构建现代环境治理体系的指导意见》；</w:t>
      </w:r>
    </w:p>
    <w:p>
      <w:pPr>
        <w:pStyle w:val="13"/>
        <w:ind w:firstLine="480"/>
        <w:rPr>
          <w:rFonts w:hint="eastAsia"/>
          <w:color w:val="auto"/>
          <w:lang w:eastAsia="zh-CN"/>
        </w:rPr>
      </w:pPr>
      <w:r>
        <w:rPr>
          <w:rFonts w:hint="eastAsia"/>
          <w:color w:val="auto"/>
        </w:rPr>
        <w:t>4</w:t>
      </w:r>
      <w:r>
        <w:rPr>
          <w:rFonts w:hint="eastAsia"/>
          <w:color w:val="auto"/>
          <w:lang w:val="en-US" w:eastAsia="zh-CN"/>
        </w:rPr>
        <w:t>2</w:t>
      </w:r>
      <w:r>
        <w:rPr>
          <w:rFonts w:hint="eastAsia"/>
          <w:color w:val="auto"/>
        </w:rPr>
        <w:t>、关于印发《“十四五”时期“无废城市”建设工作方案》的通知（环固体</w:t>
      </w:r>
      <w:r>
        <w:rPr>
          <w:color w:val="auto"/>
        </w:rPr>
        <w:t>[</w:t>
      </w:r>
      <w:r>
        <w:rPr>
          <w:rFonts w:hint="eastAsia"/>
          <w:color w:val="auto"/>
          <w:szCs w:val="22"/>
        </w:rPr>
        <w:t>2021</w:t>
      </w:r>
      <w:r>
        <w:rPr>
          <w:color w:val="auto"/>
        </w:rPr>
        <w:t>]</w:t>
      </w:r>
      <w:r>
        <w:rPr>
          <w:rFonts w:hint="eastAsia"/>
          <w:color w:val="auto"/>
        </w:rPr>
        <w:t>114 号）</w:t>
      </w:r>
      <w:r>
        <w:rPr>
          <w:rFonts w:hint="eastAsia"/>
          <w:color w:val="auto"/>
          <w:lang w:eastAsia="zh-CN"/>
        </w:rPr>
        <w:t>；</w:t>
      </w:r>
    </w:p>
    <w:p>
      <w:pPr>
        <w:pStyle w:val="13"/>
        <w:ind w:firstLine="480"/>
        <w:rPr>
          <w:rFonts w:hint="eastAsia"/>
          <w:color w:val="auto"/>
          <w:lang w:eastAsia="zh-CN"/>
        </w:rPr>
      </w:pPr>
      <w:r>
        <w:rPr>
          <w:rFonts w:hint="eastAsia"/>
          <w:color w:val="auto"/>
          <w:lang w:val="en-US" w:eastAsia="zh-CN"/>
        </w:rPr>
        <w:t>43、</w:t>
      </w:r>
      <w:r>
        <w:rPr>
          <w:rFonts w:hint="eastAsia"/>
          <w:color w:val="auto"/>
        </w:rPr>
        <w:t>《中华人民共和国国民经济和社会发展第十四个五年规划和2035年远景目标纲要》</w:t>
      </w:r>
      <w:r>
        <w:rPr>
          <w:rFonts w:hint="eastAsia"/>
          <w:color w:val="auto"/>
          <w:lang w:eastAsia="zh-CN"/>
        </w:rPr>
        <w:t>；</w:t>
      </w:r>
    </w:p>
    <w:p>
      <w:pPr>
        <w:pStyle w:val="13"/>
        <w:ind w:firstLine="480"/>
        <w:rPr>
          <w:rFonts w:hint="eastAsia" w:eastAsia="宋体"/>
          <w:color w:val="auto"/>
          <w:lang w:eastAsia="zh-CN"/>
        </w:rPr>
      </w:pPr>
      <w:r>
        <w:rPr>
          <w:rFonts w:hint="eastAsia"/>
          <w:color w:val="auto"/>
          <w:lang w:val="en-US" w:eastAsia="zh-CN"/>
        </w:rPr>
        <w:t>44、</w:t>
      </w:r>
      <w:r>
        <w:rPr>
          <w:rFonts w:hint="eastAsia"/>
          <w:color w:val="auto"/>
        </w:rPr>
        <w:t>生态环境部办公厅</w:t>
      </w:r>
      <w:r>
        <w:rPr>
          <w:rFonts w:hint="eastAsia"/>
          <w:color w:val="auto"/>
          <w:lang w:eastAsia="zh-CN"/>
        </w:rPr>
        <w:t>《</w:t>
      </w:r>
      <w:r>
        <w:rPr>
          <w:rFonts w:hint="eastAsia"/>
          <w:color w:val="auto"/>
        </w:rPr>
        <w:t>关于开展工业固体废物排污许可管理工作的通知</w:t>
      </w:r>
      <w:r>
        <w:rPr>
          <w:rFonts w:hint="eastAsia"/>
          <w:color w:val="auto"/>
          <w:lang w:eastAsia="zh-CN"/>
        </w:rPr>
        <w:t>》（</w:t>
      </w:r>
      <w:r>
        <w:rPr>
          <w:rFonts w:hint="eastAsia"/>
          <w:color w:val="auto"/>
          <w:lang w:val="en-US" w:eastAsia="zh-CN"/>
        </w:rPr>
        <w:t>环办环评[2021]26号</w:t>
      </w:r>
      <w:r>
        <w:rPr>
          <w:rFonts w:hint="eastAsia"/>
          <w:color w:val="auto"/>
          <w:lang w:eastAsia="zh-CN"/>
        </w:rPr>
        <w:t>）。</w:t>
      </w:r>
    </w:p>
    <w:p>
      <w:pPr>
        <w:pStyle w:val="13"/>
        <w:ind w:firstLine="480"/>
        <w:rPr>
          <w:rFonts w:hint="eastAsia"/>
          <w:color w:val="auto"/>
          <w:lang w:val="en-US" w:eastAsia="zh-CN"/>
        </w:rPr>
      </w:pPr>
      <w:r>
        <w:rPr>
          <w:rFonts w:hint="eastAsia"/>
          <w:color w:val="auto"/>
          <w:lang w:val="en-US" w:eastAsia="zh-CN"/>
        </w:rPr>
        <w:t>45、国务院《关于印发“十四五”节能减排综合工作方案的通知》（国发[2021]33号）；</w:t>
      </w:r>
    </w:p>
    <w:p>
      <w:pPr>
        <w:pStyle w:val="13"/>
        <w:ind w:firstLine="480"/>
        <w:rPr>
          <w:rFonts w:hint="eastAsia"/>
          <w:color w:val="auto"/>
          <w:lang w:val="en-US" w:eastAsia="zh-CN"/>
        </w:rPr>
      </w:pPr>
      <w:r>
        <w:rPr>
          <w:rFonts w:hint="eastAsia"/>
          <w:color w:val="auto"/>
          <w:lang w:val="en-US" w:eastAsia="zh-CN"/>
        </w:rPr>
        <w:t>46、《关于印发“十四五”土壤、地下水和农村生态环境保护规划的通知》（环土壤）[2021]120号）；</w:t>
      </w:r>
    </w:p>
    <w:p>
      <w:pPr>
        <w:pStyle w:val="13"/>
        <w:ind w:firstLine="480"/>
        <w:rPr>
          <w:rFonts w:hint="default"/>
          <w:color w:val="auto"/>
          <w:lang w:val="en-US" w:eastAsia="zh-CN"/>
        </w:rPr>
      </w:pPr>
      <w:r>
        <w:rPr>
          <w:rFonts w:hint="eastAsia"/>
          <w:color w:val="auto"/>
          <w:lang w:val="en-US" w:eastAsia="zh-CN"/>
        </w:rPr>
        <w:t>47、关于印发《“十四五”环境影响评价与排污许可工作试试方案》的通知（环环评[2022]26号））。</w:t>
      </w:r>
    </w:p>
    <w:p>
      <w:pPr>
        <w:pStyle w:val="9"/>
        <w:spacing w:before="0" w:beforeLines="0" w:after="0" w:afterLines="0"/>
        <w:rPr>
          <w:color w:val="auto"/>
        </w:rPr>
      </w:pPr>
      <w:r>
        <w:rPr>
          <w:rFonts w:hint="eastAsia"/>
          <w:color w:val="auto"/>
        </w:rPr>
        <w:t>1.1.2山东省法规及政策依据</w:t>
      </w:r>
    </w:p>
    <w:p>
      <w:pPr>
        <w:numPr>
          <w:ilvl w:val="0"/>
          <w:numId w:val="4"/>
        </w:numPr>
        <w:ind w:left="0" w:firstLine="480"/>
        <w:rPr>
          <w:color w:val="auto"/>
        </w:rPr>
      </w:pPr>
      <w:r>
        <w:rPr>
          <w:color w:val="auto"/>
        </w:rPr>
        <w:t>《山东省环境保护条例》（2018.11.30</w:t>
      </w:r>
      <w:r>
        <w:rPr>
          <w:color w:val="auto"/>
        </w:rPr>
        <w:fldChar w:fldCharType="begin"/>
      </w:r>
      <w:r>
        <w:rPr>
          <w:color w:val="auto"/>
        </w:rPr>
        <w:instrText xml:space="preserve"> HYPERLINK "https://baike.sogou.com/v4997747.htm?fromTitle=%E4%B8%AD%E5%8D%8E%E4%BA%BA%E6%B0%91%E5%85%B1%E5%92%8C%E5%9B%BD%E7%8E%AF%E5%A2%83%E4%BF%9D%E6%8A%A4%E6%B3%95" \l "quote3" </w:instrText>
      </w:r>
      <w:r>
        <w:rPr>
          <w:color w:val="auto"/>
        </w:rPr>
        <w:fldChar w:fldCharType="separate"/>
      </w:r>
      <w:r>
        <w:rPr>
          <w:color w:val="auto"/>
        </w:rPr>
        <w:fldChar w:fldCharType="end"/>
      </w:r>
      <w:r>
        <w:rPr>
          <w:color w:val="auto"/>
          <w:szCs w:val="24"/>
        </w:rPr>
        <w:t>修订</w:t>
      </w:r>
      <w:r>
        <w:rPr>
          <w:color w:val="auto"/>
        </w:rPr>
        <w:t>）；</w:t>
      </w:r>
    </w:p>
    <w:p>
      <w:pPr>
        <w:numPr>
          <w:ilvl w:val="0"/>
          <w:numId w:val="4"/>
        </w:numPr>
        <w:ind w:left="0" w:firstLine="480"/>
        <w:rPr>
          <w:color w:val="auto"/>
        </w:rPr>
      </w:pPr>
      <w:r>
        <w:rPr>
          <w:color w:val="auto"/>
        </w:rPr>
        <w:t>《山东省水污染防治条例》（2018.11.30</w:t>
      </w:r>
      <w:r>
        <w:rPr>
          <w:color w:val="auto"/>
        </w:rPr>
        <w:fldChar w:fldCharType="begin"/>
      </w:r>
      <w:r>
        <w:rPr>
          <w:color w:val="auto"/>
        </w:rPr>
        <w:instrText xml:space="preserve"> HYPERLINK "https://baike.sogou.com/v4997747.htm?fromTitle=%E4%B8%AD%E5%8D%8E%E4%BA%BA%E6%B0%91%E5%85%B1%E5%92%8C%E5%9B%BD%E7%8E%AF%E5%A2%83%E4%BF%9D%E6%8A%A4%E6%B3%95" \l "quote3" </w:instrText>
      </w:r>
      <w:r>
        <w:rPr>
          <w:color w:val="auto"/>
        </w:rPr>
        <w:fldChar w:fldCharType="separate"/>
      </w:r>
      <w:r>
        <w:rPr>
          <w:color w:val="auto"/>
        </w:rPr>
        <w:fldChar w:fldCharType="end"/>
      </w:r>
      <w:r>
        <w:rPr>
          <w:color w:val="auto"/>
          <w:szCs w:val="24"/>
        </w:rPr>
        <w:t>修订</w:t>
      </w:r>
      <w:r>
        <w:rPr>
          <w:color w:val="auto"/>
        </w:rPr>
        <w:t>）；</w:t>
      </w:r>
    </w:p>
    <w:p>
      <w:pPr>
        <w:numPr>
          <w:ilvl w:val="0"/>
          <w:numId w:val="4"/>
        </w:numPr>
        <w:ind w:left="0" w:firstLine="480"/>
        <w:rPr>
          <w:color w:val="auto"/>
          <w:szCs w:val="22"/>
        </w:rPr>
      </w:pPr>
      <w:r>
        <w:rPr>
          <w:color w:val="auto"/>
        </w:rPr>
        <w:t>《山东省大气污</w:t>
      </w:r>
      <w:r>
        <w:rPr>
          <w:color w:val="auto"/>
          <w:szCs w:val="22"/>
        </w:rPr>
        <w:t>染防治条例》（2018.11.30</w:t>
      </w:r>
      <w:r>
        <w:rPr>
          <w:color w:val="auto"/>
        </w:rPr>
        <w:fldChar w:fldCharType="begin"/>
      </w:r>
      <w:r>
        <w:rPr>
          <w:color w:val="auto"/>
        </w:rPr>
        <w:instrText xml:space="preserve"> HYPERLINK "https://baike.sogou.com/v4997747.htm?fromTitle=%E4%B8%AD%E5%8D%8E%E4%BA%BA%E6%B0%91%E5%85%B1%E5%92%8C%E5%9B%BD%E7%8E%AF%E5%A2%83%E4%BF%9D%E6%8A%A4%E6%B3%95" \l "quote3" </w:instrText>
      </w:r>
      <w:r>
        <w:rPr>
          <w:color w:val="auto"/>
        </w:rPr>
        <w:fldChar w:fldCharType="separate"/>
      </w:r>
      <w:r>
        <w:rPr>
          <w:color w:val="auto"/>
        </w:rPr>
        <w:fldChar w:fldCharType="end"/>
      </w:r>
      <w:r>
        <w:rPr>
          <w:color w:val="auto"/>
          <w:szCs w:val="24"/>
        </w:rPr>
        <w:t>修订</w:t>
      </w:r>
      <w:r>
        <w:rPr>
          <w:color w:val="auto"/>
          <w:szCs w:val="22"/>
        </w:rPr>
        <w:t>）；</w:t>
      </w:r>
    </w:p>
    <w:p>
      <w:pPr>
        <w:numPr>
          <w:ilvl w:val="0"/>
          <w:numId w:val="4"/>
        </w:numPr>
        <w:ind w:left="0" w:firstLine="480"/>
        <w:rPr>
          <w:color w:val="auto"/>
        </w:rPr>
      </w:pPr>
      <w:r>
        <w:rPr>
          <w:color w:val="auto"/>
          <w:szCs w:val="22"/>
        </w:rPr>
        <w:t>《山东省环境噪声污染防治条例》（2018.1.23施行）；</w:t>
      </w:r>
    </w:p>
    <w:p>
      <w:pPr>
        <w:numPr>
          <w:ilvl w:val="0"/>
          <w:numId w:val="4"/>
        </w:numPr>
        <w:ind w:left="0" w:firstLine="480"/>
        <w:rPr>
          <w:color w:val="auto"/>
          <w:szCs w:val="22"/>
        </w:rPr>
      </w:pPr>
      <w:r>
        <w:rPr>
          <w:color w:val="auto"/>
          <w:szCs w:val="22"/>
        </w:rPr>
        <w:t>《山东省土壤污染防治条例》（2020.1.1施行）；</w:t>
      </w:r>
    </w:p>
    <w:p>
      <w:pPr>
        <w:numPr>
          <w:ilvl w:val="0"/>
          <w:numId w:val="4"/>
        </w:numPr>
        <w:ind w:left="0" w:firstLine="480"/>
        <w:rPr>
          <w:color w:val="auto"/>
          <w:szCs w:val="22"/>
        </w:rPr>
      </w:pPr>
      <w:r>
        <w:rPr>
          <w:color w:val="auto"/>
          <w:szCs w:val="22"/>
        </w:rPr>
        <w:t>《关于进一步加强建设项目固体废物环境管理的通知》（鲁环办函[2016]141号）；</w:t>
      </w:r>
    </w:p>
    <w:p>
      <w:pPr>
        <w:numPr>
          <w:ilvl w:val="0"/>
          <w:numId w:val="4"/>
        </w:numPr>
        <w:ind w:left="0" w:firstLine="480"/>
        <w:rPr>
          <w:color w:val="auto"/>
          <w:szCs w:val="22"/>
        </w:rPr>
      </w:pPr>
      <w:r>
        <w:rPr>
          <w:color w:val="auto"/>
          <w:szCs w:val="22"/>
        </w:rPr>
        <w:t>《山东省实施〈中华人民共和国环境影响评价法〉办法》（2018.11）；</w:t>
      </w:r>
    </w:p>
    <w:p>
      <w:pPr>
        <w:numPr>
          <w:ilvl w:val="0"/>
          <w:numId w:val="4"/>
        </w:numPr>
        <w:ind w:left="0" w:firstLine="480"/>
        <w:rPr>
          <w:color w:val="auto"/>
        </w:rPr>
      </w:pPr>
      <w:r>
        <w:rPr>
          <w:color w:val="auto"/>
          <w:szCs w:val="22"/>
        </w:rPr>
        <w:t>《山东省重点行业挥发性有机物专项治理方案》（鲁环发[2016]162号）；</w:t>
      </w:r>
    </w:p>
    <w:p>
      <w:pPr>
        <w:numPr>
          <w:ilvl w:val="0"/>
          <w:numId w:val="4"/>
        </w:numPr>
        <w:ind w:left="0" w:firstLine="480"/>
        <w:rPr>
          <w:color w:val="auto"/>
          <w:szCs w:val="22"/>
        </w:rPr>
      </w:pPr>
      <w:r>
        <w:rPr>
          <w:color w:val="auto"/>
          <w:szCs w:val="22"/>
        </w:rPr>
        <w:t>《关于进一步严把环评关口严控新增大气污染物排放的通知》（鲁环函[2017]561号）；</w:t>
      </w:r>
    </w:p>
    <w:p>
      <w:pPr>
        <w:numPr>
          <w:ilvl w:val="0"/>
          <w:numId w:val="4"/>
        </w:numPr>
        <w:ind w:left="0" w:firstLine="480"/>
        <w:rPr>
          <w:color w:val="auto"/>
          <w:szCs w:val="22"/>
        </w:rPr>
      </w:pPr>
      <w:r>
        <w:rPr>
          <w:color w:val="auto"/>
          <w:szCs w:val="22"/>
        </w:rPr>
        <w:t>《山东省人民政府关于印发山东省国民经济和社会发展第十四个五年规划和2035年远景目标纲要的通知</w:t>
      </w:r>
      <w:r>
        <w:rPr>
          <w:rFonts w:hint="eastAsia"/>
          <w:color w:val="auto"/>
          <w:szCs w:val="22"/>
        </w:rPr>
        <w:t>》（</w:t>
      </w:r>
      <w:r>
        <w:rPr>
          <w:color w:val="auto"/>
          <w:szCs w:val="22"/>
        </w:rPr>
        <w:t>鲁政发[20</w:t>
      </w:r>
      <w:r>
        <w:rPr>
          <w:rFonts w:hint="eastAsia"/>
          <w:color w:val="auto"/>
          <w:szCs w:val="22"/>
        </w:rPr>
        <w:t>21</w:t>
      </w:r>
      <w:r>
        <w:rPr>
          <w:color w:val="auto"/>
          <w:szCs w:val="22"/>
        </w:rPr>
        <w:t>]5号</w:t>
      </w:r>
      <w:r>
        <w:rPr>
          <w:rFonts w:hint="eastAsia"/>
          <w:color w:val="auto"/>
          <w:szCs w:val="22"/>
        </w:rPr>
        <w:t>）</w:t>
      </w:r>
      <w:r>
        <w:rPr>
          <w:color w:val="auto"/>
          <w:szCs w:val="22"/>
        </w:rPr>
        <w:t>；</w:t>
      </w:r>
    </w:p>
    <w:p>
      <w:pPr>
        <w:numPr>
          <w:ilvl w:val="0"/>
          <w:numId w:val="4"/>
        </w:numPr>
        <w:ind w:left="0" w:firstLine="480"/>
        <w:rPr>
          <w:color w:val="auto"/>
          <w:szCs w:val="22"/>
        </w:rPr>
      </w:pPr>
      <w:r>
        <w:rPr>
          <w:color w:val="auto"/>
          <w:szCs w:val="22"/>
        </w:rPr>
        <w:t>《关于印发山东省土壤污染防治工作的通知》（鲁政发[2016]37号）；</w:t>
      </w:r>
    </w:p>
    <w:p>
      <w:pPr>
        <w:numPr>
          <w:ilvl w:val="0"/>
          <w:numId w:val="4"/>
        </w:numPr>
        <w:ind w:left="0" w:firstLine="480"/>
        <w:rPr>
          <w:color w:val="auto"/>
          <w:szCs w:val="24"/>
        </w:rPr>
      </w:pPr>
      <w:r>
        <w:rPr>
          <w:color w:val="auto"/>
          <w:szCs w:val="24"/>
        </w:rPr>
        <w:t>《山东省生态环境厅关于贯彻落实&lt;排污许可制全面支撑打好污染防治攻坚战工作方案&gt;的实施意见》（鲁环发[2018]5号）；</w:t>
      </w:r>
    </w:p>
    <w:p>
      <w:pPr>
        <w:numPr>
          <w:ilvl w:val="0"/>
          <w:numId w:val="4"/>
        </w:numPr>
        <w:ind w:left="0" w:firstLine="480"/>
        <w:rPr>
          <w:color w:val="auto"/>
        </w:rPr>
      </w:pPr>
      <w:r>
        <w:rPr>
          <w:color w:val="auto"/>
          <w:szCs w:val="24"/>
        </w:rPr>
        <w:t>《山东省人民政府办公厅关于印发山东省推进运输结构调整工作实施方案（2018-2020年）的通知》（鲁政办发[2018]38号）；</w:t>
      </w:r>
    </w:p>
    <w:p>
      <w:pPr>
        <w:numPr>
          <w:ilvl w:val="0"/>
          <w:numId w:val="4"/>
        </w:numPr>
        <w:ind w:left="0" w:firstLine="480"/>
        <w:rPr>
          <w:color w:val="auto"/>
        </w:rPr>
      </w:pPr>
      <w:r>
        <w:rPr>
          <w:color w:val="auto"/>
        </w:rPr>
        <w:t>《山东省建设用地控制标准》（2019年版）；</w:t>
      </w:r>
    </w:p>
    <w:p>
      <w:pPr>
        <w:numPr>
          <w:ilvl w:val="0"/>
          <w:numId w:val="4"/>
        </w:numPr>
        <w:ind w:left="0" w:firstLine="480"/>
        <w:rPr>
          <w:color w:val="auto"/>
        </w:rPr>
      </w:pPr>
      <w:r>
        <w:rPr>
          <w:color w:val="auto"/>
        </w:rPr>
        <w:t>《关于印发山东省扬尘污染综合整治方案的通知》（鲁环发</w:t>
      </w:r>
      <w:r>
        <w:rPr>
          <w:color w:val="auto"/>
          <w:szCs w:val="24"/>
        </w:rPr>
        <w:t>[2019]</w:t>
      </w:r>
      <w:r>
        <w:rPr>
          <w:color w:val="auto"/>
        </w:rPr>
        <w:t>112号）；</w:t>
      </w:r>
    </w:p>
    <w:p>
      <w:pPr>
        <w:numPr>
          <w:ilvl w:val="0"/>
          <w:numId w:val="4"/>
        </w:numPr>
        <w:ind w:left="0" w:firstLine="480"/>
        <w:rPr>
          <w:color w:val="auto"/>
          <w:szCs w:val="22"/>
        </w:rPr>
      </w:pPr>
      <w:r>
        <w:rPr>
          <w:color w:val="auto"/>
          <w:szCs w:val="22"/>
        </w:rPr>
        <w:t>《山东省生态环境厅关于印发山东省建设项目主要大气污染物排放总量替代指标核算及管理办法的通知》（鲁环发[2019]132号）；</w:t>
      </w:r>
    </w:p>
    <w:p>
      <w:pPr>
        <w:numPr>
          <w:ilvl w:val="0"/>
          <w:numId w:val="4"/>
        </w:numPr>
        <w:ind w:left="0" w:firstLine="480"/>
        <w:rPr>
          <w:color w:val="auto"/>
          <w:szCs w:val="22"/>
        </w:rPr>
      </w:pPr>
      <w:r>
        <w:rPr>
          <w:color w:val="auto"/>
          <w:szCs w:val="22"/>
        </w:rPr>
        <w:t>《山东省人民政府办公厅关于印发山东省危险废物专项排查整治方案的通知》（鲁政办字[2019]58号）；</w:t>
      </w:r>
    </w:p>
    <w:p>
      <w:pPr>
        <w:numPr>
          <w:ilvl w:val="0"/>
          <w:numId w:val="4"/>
        </w:numPr>
        <w:ind w:left="0" w:firstLine="480"/>
        <w:rPr>
          <w:color w:val="auto"/>
          <w:szCs w:val="22"/>
        </w:rPr>
      </w:pPr>
      <w:r>
        <w:rPr>
          <w:color w:val="auto"/>
          <w:szCs w:val="22"/>
        </w:rPr>
        <w:t>《山东省人民政府办公厅关于印发山东省突发环境事件应急预案的通知》（鲁政办字[2020]50号）；</w:t>
      </w:r>
    </w:p>
    <w:p>
      <w:pPr>
        <w:numPr>
          <w:ilvl w:val="0"/>
          <w:numId w:val="4"/>
        </w:numPr>
        <w:ind w:left="0" w:firstLine="480"/>
        <w:rPr>
          <w:color w:val="auto"/>
          <w:szCs w:val="24"/>
        </w:rPr>
      </w:pPr>
      <w:r>
        <w:rPr>
          <w:color w:val="auto"/>
          <w:szCs w:val="22"/>
        </w:rPr>
        <w:t>《山东省人民政府办公厅关于印发山东省重污染天气应急预案的通知》（鲁政办字[2020]83号）；</w:t>
      </w:r>
    </w:p>
    <w:p>
      <w:pPr>
        <w:numPr>
          <w:ilvl w:val="0"/>
          <w:numId w:val="4"/>
        </w:numPr>
        <w:ind w:left="0" w:firstLine="480"/>
        <w:rPr>
          <w:color w:val="auto"/>
          <w:szCs w:val="22"/>
        </w:rPr>
      </w:pPr>
      <w:r>
        <w:rPr>
          <w:color w:val="auto"/>
          <w:szCs w:val="24"/>
        </w:rPr>
        <w:t>《山东省生态环境厅关于严格执行山东省大气污染物排放标准的通知》（鲁环发[2019]126号）；</w:t>
      </w:r>
    </w:p>
    <w:p>
      <w:pPr>
        <w:numPr>
          <w:ilvl w:val="0"/>
          <w:numId w:val="4"/>
        </w:numPr>
        <w:ind w:left="0" w:firstLine="480"/>
        <w:rPr>
          <w:color w:val="auto"/>
          <w:szCs w:val="24"/>
        </w:rPr>
      </w:pPr>
      <w:r>
        <w:rPr>
          <w:color w:val="auto"/>
          <w:szCs w:val="24"/>
        </w:rPr>
        <w:t>《山东省生态环境厅关于印发&lt;山东省涉挥发性有机物企业分行业治理指导意见&gt;的通知》</w:t>
      </w:r>
      <w:r>
        <w:rPr>
          <w:color w:val="auto"/>
          <w:szCs w:val="22"/>
        </w:rPr>
        <w:t>（鲁环发[2019]146号）；</w:t>
      </w:r>
    </w:p>
    <w:p>
      <w:pPr>
        <w:numPr>
          <w:ilvl w:val="0"/>
          <w:numId w:val="4"/>
        </w:numPr>
        <w:ind w:left="0" w:firstLine="480"/>
        <w:rPr>
          <w:color w:val="auto"/>
          <w:szCs w:val="24"/>
        </w:rPr>
      </w:pPr>
      <w:r>
        <w:rPr>
          <w:color w:val="auto"/>
          <w:szCs w:val="22"/>
        </w:rPr>
        <w:t>《山东省加强污染源头防治</w:t>
      </w:r>
      <w:r>
        <w:rPr>
          <w:color w:val="auto"/>
          <w:szCs w:val="24"/>
        </w:rPr>
        <w:t>推进“四减四增”三年行动方案（2018-2020年）》；</w:t>
      </w:r>
    </w:p>
    <w:p>
      <w:pPr>
        <w:numPr>
          <w:ilvl w:val="0"/>
          <w:numId w:val="4"/>
        </w:numPr>
        <w:ind w:left="0" w:firstLine="480"/>
        <w:rPr>
          <w:color w:val="auto"/>
          <w:szCs w:val="24"/>
        </w:rPr>
      </w:pPr>
      <w:r>
        <w:rPr>
          <w:color w:val="auto"/>
          <w:szCs w:val="24"/>
        </w:rPr>
        <w:t>《山东省生态环境厅关于贯彻落实排污许可制全面支撑打好污染防治攻坚战工作方案的实施意见》（鲁环发〔2018〕5号）；</w:t>
      </w:r>
    </w:p>
    <w:p>
      <w:pPr>
        <w:numPr>
          <w:ilvl w:val="0"/>
          <w:numId w:val="4"/>
        </w:numPr>
        <w:ind w:left="0" w:firstLine="480"/>
        <w:rPr>
          <w:color w:val="auto"/>
          <w:szCs w:val="22"/>
        </w:rPr>
      </w:pPr>
      <w:r>
        <w:rPr>
          <w:rFonts w:hint="eastAsia"/>
          <w:color w:val="auto"/>
          <w:szCs w:val="24"/>
        </w:rPr>
        <w:t>《山东省生态环境委员会关于印发山东省新一轮“四减四增”三年行动方案（2021—2023年）的通知》（鲁环委〔2021〕3号）</w:t>
      </w:r>
      <w:r>
        <w:rPr>
          <w:color w:val="auto"/>
          <w:szCs w:val="22"/>
        </w:rPr>
        <w:t>；</w:t>
      </w:r>
    </w:p>
    <w:p>
      <w:pPr>
        <w:numPr>
          <w:ilvl w:val="0"/>
          <w:numId w:val="4"/>
        </w:numPr>
        <w:ind w:left="0" w:firstLine="480"/>
        <w:rPr>
          <w:color w:val="auto"/>
          <w:szCs w:val="24"/>
        </w:rPr>
      </w:pPr>
      <w:r>
        <w:rPr>
          <w:color w:val="auto"/>
          <w:szCs w:val="24"/>
        </w:rPr>
        <w:t>《山东省生态环境厅关于印发山东省重点排污单位名录制定和污染源自动监测安装联网管理规定的通知》（鲁环发[2019]134号）；</w:t>
      </w:r>
    </w:p>
    <w:p>
      <w:pPr>
        <w:numPr>
          <w:ilvl w:val="0"/>
          <w:numId w:val="4"/>
        </w:numPr>
        <w:ind w:left="0" w:firstLine="480"/>
        <w:rPr>
          <w:color w:val="auto"/>
          <w:szCs w:val="24"/>
        </w:rPr>
      </w:pPr>
      <w:r>
        <w:rPr>
          <w:color w:val="auto"/>
          <w:szCs w:val="24"/>
        </w:rPr>
        <w:t>《山东省生态环境厅 山东省住房和城乡建设厅关于加强工业企业和城市污水处理厂监管及总氮指标排放控制的通知》（鲁环发[2019]125号）；</w:t>
      </w:r>
    </w:p>
    <w:p>
      <w:pPr>
        <w:numPr>
          <w:ilvl w:val="0"/>
          <w:numId w:val="4"/>
        </w:numPr>
        <w:ind w:left="0" w:firstLine="480"/>
        <w:rPr>
          <w:color w:val="auto"/>
          <w:szCs w:val="24"/>
        </w:rPr>
      </w:pPr>
      <w:r>
        <w:rPr>
          <w:color w:val="auto"/>
          <w:szCs w:val="24"/>
        </w:rPr>
        <w:t>《山东省生态环境厅 山东省自然资源厅关于进一步加强土壤污染重点监管单位管理工作的通知》（鲁环发[2020]5号）；</w:t>
      </w:r>
    </w:p>
    <w:p>
      <w:pPr>
        <w:numPr>
          <w:ilvl w:val="0"/>
          <w:numId w:val="4"/>
        </w:numPr>
        <w:ind w:left="0" w:firstLine="480"/>
        <w:rPr>
          <w:color w:val="auto"/>
          <w:szCs w:val="22"/>
        </w:rPr>
      </w:pPr>
      <w:r>
        <w:rPr>
          <w:rFonts w:hint="eastAsia"/>
          <w:color w:val="auto"/>
          <w:szCs w:val="24"/>
          <w:lang w:val="en-US" w:eastAsia="zh-CN"/>
        </w:rPr>
        <w:t>山东省生态环境厅</w:t>
      </w:r>
      <w:r>
        <w:rPr>
          <w:color w:val="auto"/>
          <w:szCs w:val="24"/>
        </w:rPr>
        <w:t>《关于印发山东省固定污染源自动监控管理</w:t>
      </w:r>
      <w:r>
        <w:rPr>
          <w:rFonts w:hint="eastAsia"/>
          <w:color w:val="auto"/>
          <w:szCs w:val="24"/>
          <w:lang w:val="en-US" w:eastAsia="zh-CN"/>
        </w:rPr>
        <w:t>规定</w:t>
      </w:r>
      <w:r>
        <w:rPr>
          <w:color w:val="auto"/>
          <w:szCs w:val="24"/>
        </w:rPr>
        <w:t>的通知》（鲁环发[20</w:t>
      </w:r>
      <w:r>
        <w:rPr>
          <w:rFonts w:hint="eastAsia"/>
          <w:color w:val="auto"/>
          <w:szCs w:val="24"/>
          <w:lang w:val="en-US" w:eastAsia="zh-CN"/>
        </w:rPr>
        <w:t>11</w:t>
      </w:r>
      <w:r>
        <w:rPr>
          <w:color w:val="auto"/>
          <w:szCs w:val="24"/>
        </w:rPr>
        <w:t>]</w:t>
      </w:r>
      <w:r>
        <w:rPr>
          <w:rFonts w:hint="eastAsia"/>
          <w:color w:val="auto"/>
          <w:szCs w:val="24"/>
          <w:lang w:val="en-US" w:eastAsia="zh-CN"/>
        </w:rPr>
        <w:t>12</w:t>
      </w:r>
      <w:r>
        <w:rPr>
          <w:color w:val="auto"/>
          <w:szCs w:val="24"/>
        </w:rPr>
        <w:t>号）；</w:t>
      </w:r>
    </w:p>
    <w:p>
      <w:pPr>
        <w:numPr>
          <w:ilvl w:val="0"/>
          <w:numId w:val="4"/>
        </w:numPr>
        <w:ind w:left="0" w:firstLine="480"/>
        <w:rPr>
          <w:color w:val="auto"/>
        </w:rPr>
      </w:pPr>
      <w:r>
        <w:rPr>
          <w:color w:val="auto"/>
        </w:rPr>
        <w:t>《山东省生态厅关于开展全省环境风险企业环境安全隐患排查治理专项行动的通知》（鲁环函[2019]101号）；</w:t>
      </w:r>
    </w:p>
    <w:p>
      <w:pPr>
        <w:numPr>
          <w:ilvl w:val="0"/>
          <w:numId w:val="4"/>
        </w:numPr>
        <w:ind w:left="0" w:firstLine="480"/>
        <w:rPr>
          <w:color w:val="auto"/>
          <w:szCs w:val="24"/>
        </w:rPr>
      </w:pPr>
      <w:r>
        <w:rPr>
          <w:color w:val="auto"/>
          <w:szCs w:val="24"/>
        </w:rPr>
        <w:t>《山东省生态环境厅关于进一步加强危险废物污染防治工作的指导意见》（鲁环发[2020]29号）；</w:t>
      </w:r>
    </w:p>
    <w:p>
      <w:pPr>
        <w:numPr>
          <w:ilvl w:val="0"/>
          <w:numId w:val="4"/>
        </w:numPr>
        <w:ind w:left="0" w:firstLine="480"/>
        <w:rPr>
          <w:color w:val="auto"/>
          <w:szCs w:val="24"/>
        </w:rPr>
      </w:pPr>
      <w:r>
        <w:rPr>
          <w:color w:val="auto"/>
          <w:szCs w:val="24"/>
        </w:rPr>
        <w:t>《山东省生态环境厅关于印发山东省工业企业无组织排放分行业管控指导意见的通知》（鲁环发[2020]30号）；</w:t>
      </w:r>
    </w:p>
    <w:p>
      <w:pPr>
        <w:numPr>
          <w:ilvl w:val="0"/>
          <w:numId w:val="4"/>
        </w:numPr>
        <w:ind w:left="0" w:firstLine="480"/>
        <w:rPr>
          <w:color w:val="auto"/>
        </w:rPr>
      </w:pPr>
      <w:r>
        <w:rPr>
          <w:color w:val="auto"/>
        </w:rPr>
        <w:t>《关于加强“两高”项目管理的通知》（鲁政办字</w:t>
      </w:r>
      <w:r>
        <w:rPr>
          <w:color w:val="auto"/>
          <w:szCs w:val="24"/>
        </w:rPr>
        <w:t>[2021]57号</w:t>
      </w:r>
      <w:r>
        <w:rPr>
          <w:color w:val="auto"/>
        </w:rPr>
        <w:t>）；</w:t>
      </w:r>
    </w:p>
    <w:p>
      <w:pPr>
        <w:numPr>
          <w:ilvl w:val="0"/>
          <w:numId w:val="4"/>
        </w:numPr>
        <w:ind w:left="0" w:firstLine="480"/>
        <w:rPr>
          <w:color w:val="auto"/>
        </w:rPr>
      </w:pPr>
      <w:r>
        <w:rPr>
          <w:color w:val="auto"/>
          <w:szCs w:val="24"/>
        </w:rPr>
        <w:t>《关于进一步做好挥发性有机物治理工作的通知》（鲁环字〔2021〕8号）；</w:t>
      </w:r>
    </w:p>
    <w:p>
      <w:pPr>
        <w:numPr>
          <w:ilvl w:val="0"/>
          <w:numId w:val="4"/>
        </w:numPr>
        <w:ind w:left="0" w:firstLine="480"/>
        <w:rPr>
          <w:color w:val="auto"/>
        </w:rPr>
      </w:pPr>
      <w:r>
        <w:rPr>
          <w:color w:val="auto"/>
          <w:szCs w:val="24"/>
        </w:rPr>
        <w:t>《关于严格项目审批工作坚决防止新上“散乱污”项目的通知》（鲁环字[2021]58号）；</w:t>
      </w:r>
    </w:p>
    <w:p>
      <w:pPr>
        <w:numPr>
          <w:ilvl w:val="0"/>
          <w:numId w:val="4"/>
        </w:numPr>
        <w:ind w:left="0" w:firstLine="480"/>
        <w:rPr>
          <w:color w:val="auto"/>
        </w:rPr>
      </w:pPr>
      <w:r>
        <w:rPr>
          <w:color w:val="auto"/>
          <w:szCs w:val="24"/>
        </w:rPr>
        <w:t>山东省生态环境委员会办公室关于印发山东省深入打好蓝天保卫战行动计划（2021—2025年）、山东省深入打好碧水保卫战行动计划（2021—2025年）、山东省深入打好净土保卫战行动计划（2021—2025年）的通知（鲁环委办〔2021〕30号）</w:t>
      </w:r>
      <w:r>
        <w:rPr>
          <w:rFonts w:hint="eastAsia"/>
          <w:color w:val="auto"/>
          <w:szCs w:val="24"/>
        </w:rPr>
        <w:t>；</w:t>
      </w:r>
    </w:p>
    <w:p>
      <w:pPr>
        <w:numPr>
          <w:ilvl w:val="0"/>
          <w:numId w:val="4"/>
        </w:numPr>
        <w:ind w:left="0" w:firstLine="480"/>
        <w:rPr>
          <w:color w:val="auto"/>
          <w:szCs w:val="24"/>
        </w:rPr>
      </w:pPr>
      <w:r>
        <w:rPr>
          <w:rFonts w:hint="eastAsia"/>
          <w:color w:val="auto"/>
          <w:szCs w:val="24"/>
        </w:rPr>
        <w:t>《</w:t>
      </w:r>
      <w:r>
        <w:rPr>
          <w:color w:val="auto"/>
          <w:szCs w:val="24"/>
        </w:rPr>
        <w:t>山东省人民政府关于印发山东省“十四五”生态环境保护规划的通知</w:t>
      </w:r>
      <w:r>
        <w:rPr>
          <w:rFonts w:hint="eastAsia"/>
          <w:color w:val="auto"/>
          <w:szCs w:val="24"/>
        </w:rPr>
        <w:t>》（</w:t>
      </w:r>
      <w:r>
        <w:rPr>
          <w:color w:val="auto"/>
          <w:szCs w:val="24"/>
        </w:rPr>
        <w:t>鲁政发〔2021〕12号</w:t>
      </w:r>
      <w:r>
        <w:rPr>
          <w:rFonts w:hint="eastAsia"/>
          <w:color w:val="auto"/>
          <w:szCs w:val="24"/>
        </w:rPr>
        <w:t>）；</w:t>
      </w:r>
    </w:p>
    <w:p>
      <w:pPr>
        <w:numPr>
          <w:ilvl w:val="0"/>
          <w:numId w:val="4"/>
        </w:numPr>
        <w:ind w:left="0" w:firstLine="480"/>
        <w:rPr>
          <w:color w:val="auto"/>
          <w:szCs w:val="24"/>
        </w:rPr>
      </w:pPr>
      <w:r>
        <w:rPr>
          <w:rFonts w:hint="eastAsia"/>
          <w:color w:val="auto"/>
          <w:szCs w:val="24"/>
        </w:rPr>
        <w:t>《关于“两高”项目管理有关事项的通知》（鲁发改工业[2022]255号）；</w:t>
      </w:r>
    </w:p>
    <w:p>
      <w:pPr>
        <w:numPr>
          <w:ilvl w:val="0"/>
          <w:numId w:val="4"/>
        </w:numPr>
        <w:ind w:left="0" w:firstLine="480"/>
        <w:rPr>
          <w:color w:val="auto"/>
        </w:rPr>
      </w:pPr>
      <w:r>
        <w:rPr>
          <w:color w:val="auto"/>
          <w:szCs w:val="24"/>
        </w:rPr>
        <w:t>《关于印发山东省 2021-2022 年秋冬季大气污染综合治理攻坚行动方案的通知》</w:t>
      </w:r>
      <w:r>
        <w:rPr>
          <w:color w:val="auto"/>
        </w:rPr>
        <w:t>（鲁环发[2021]9号）</w:t>
      </w:r>
      <w:r>
        <w:rPr>
          <w:rFonts w:hint="eastAsia"/>
          <w:color w:val="auto"/>
          <w:lang w:eastAsia="zh-CN"/>
        </w:rPr>
        <w:t>；</w:t>
      </w:r>
    </w:p>
    <w:p>
      <w:pPr>
        <w:numPr>
          <w:ilvl w:val="0"/>
          <w:numId w:val="4"/>
        </w:numPr>
        <w:ind w:left="0" w:firstLine="480"/>
        <w:rPr>
          <w:color w:val="auto"/>
        </w:rPr>
      </w:pPr>
      <w:r>
        <w:rPr>
          <w:rFonts w:hint="eastAsia"/>
          <w:color w:val="auto"/>
          <w:lang w:eastAsia="zh-CN"/>
        </w:rPr>
        <w:t>《</w:t>
      </w:r>
      <w:r>
        <w:rPr>
          <w:rStyle w:val="25"/>
          <w:rFonts w:hint="default" w:ascii="Times New Roman" w:hAnsi="Times New Roman" w:eastAsia="宋体" w:cs="Times New Roman"/>
          <w:b w:val="0"/>
          <w:bCs w:val="0"/>
          <w:i w:val="0"/>
          <w:iCs w:val="0"/>
          <w:caps w:val="0"/>
          <w:color w:val="auto"/>
          <w:spacing w:val="0"/>
          <w:sz w:val="24"/>
          <w:szCs w:val="24"/>
        </w:rPr>
        <w:t>山东省生态环境厅关于实行危险废物分级分类管理的通知</w:t>
      </w:r>
      <w:r>
        <w:rPr>
          <w:rFonts w:hint="default" w:ascii="Times New Roman" w:hAnsi="Times New Roman" w:eastAsia="宋体"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lang w:eastAsia="zh-CN"/>
        </w:rPr>
        <w:t>；</w:t>
      </w:r>
    </w:p>
    <w:p>
      <w:pPr>
        <w:numPr>
          <w:ilvl w:val="0"/>
          <w:numId w:val="4"/>
        </w:numPr>
        <w:ind w:left="0" w:firstLine="480"/>
        <w:rPr>
          <w:color w:val="auto"/>
        </w:rPr>
      </w:pPr>
      <w:r>
        <w:rPr>
          <w:rFonts w:hint="eastAsia" w:ascii="Times New Roman" w:hAnsi="Times New Roman" w:eastAsia="宋体" w:cs="Times New Roman"/>
          <w:b w:val="0"/>
          <w:bCs w:val="0"/>
          <w:color w:val="auto"/>
          <w:sz w:val="24"/>
          <w:szCs w:val="24"/>
          <w:lang w:val="en-US" w:eastAsia="zh-CN"/>
        </w:rPr>
        <w:t>关于印发《山东省“三线一单”管理暂行办法》的通知</w:t>
      </w:r>
      <w:r>
        <w:rPr>
          <w:rFonts w:hint="eastAsia" w:cs="Times New Roman"/>
          <w:b w:val="0"/>
          <w:bCs w:val="0"/>
          <w:color w:val="auto"/>
          <w:sz w:val="24"/>
          <w:szCs w:val="24"/>
          <w:lang w:val="en-US" w:eastAsia="zh-CN"/>
        </w:rPr>
        <w:t>（鲁环发</w:t>
      </w:r>
      <w:r>
        <w:rPr>
          <w:color w:val="auto"/>
        </w:rPr>
        <w:t>[2021]</w:t>
      </w:r>
      <w:r>
        <w:rPr>
          <w:rFonts w:hint="eastAsia"/>
          <w:color w:val="auto"/>
          <w:lang w:val="en-US" w:eastAsia="zh-CN"/>
        </w:rPr>
        <w:t>16</w:t>
      </w:r>
      <w:r>
        <w:rPr>
          <w:color w:val="auto"/>
        </w:rPr>
        <w:t>号</w:t>
      </w:r>
      <w:r>
        <w:rPr>
          <w:rFonts w:hint="eastAsia"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rPr>
        <w:t>。</w:t>
      </w:r>
    </w:p>
    <w:p>
      <w:pPr>
        <w:pStyle w:val="9"/>
        <w:spacing w:before="0" w:beforeLines="0" w:after="0" w:afterLines="0"/>
        <w:rPr>
          <w:color w:val="auto"/>
        </w:rPr>
      </w:pPr>
      <w:r>
        <w:rPr>
          <w:color w:val="auto"/>
        </w:rPr>
        <w:t>1.1.3淄博市及</w:t>
      </w:r>
      <w:r>
        <w:rPr>
          <w:rFonts w:hint="eastAsia"/>
          <w:color w:val="auto"/>
        </w:rPr>
        <w:t>张店区</w:t>
      </w:r>
      <w:r>
        <w:rPr>
          <w:color w:val="auto"/>
        </w:rPr>
        <w:t>政策</w:t>
      </w:r>
    </w:p>
    <w:p>
      <w:pPr>
        <w:numPr>
          <w:ilvl w:val="0"/>
          <w:numId w:val="5"/>
        </w:numPr>
        <w:ind w:left="0" w:firstLine="480" w:firstLineChars="200"/>
        <w:rPr>
          <w:color w:val="auto"/>
        </w:rPr>
      </w:pPr>
      <w:r>
        <w:rPr>
          <w:color w:val="auto"/>
        </w:rPr>
        <w:t>《关于对全市涉水企业增建缓冲应急池的通知》（淄环发[2012]102号）；</w:t>
      </w:r>
    </w:p>
    <w:p>
      <w:pPr>
        <w:numPr>
          <w:ilvl w:val="0"/>
          <w:numId w:val="5"/>
        </w:numPr>
        <w:ind w:left="0" w:firstLine="480" w:firstLineChars="200"/>
        <w:rPr>
          <w:color w:val="auto"/>
        </w:rPr>
      </w:pPr>
      <w:r>
        <w:rPr>
          <w:color w:val="auto"/>
        </w:rPr>
        <w:t>《关于印发全市扬尘污染防治专项行动实施方案的通知》（淄生态办[2015]6号）；</w:t>
      </w:r>
    </w:p>
    <w:p>
      <w:pPr>
        <w:numPr>
          <w:ilvl w:val="0"/>
          <w:numId w:val="5"/>
        </w:numPr>
        <w:ind w:left="0" w:firstLine="480" w:firstLineChars="200"/>
        <w:rPr>
          <w:color w:val="auto"/>
        </w:rPr>
      </w:pPr>
      <w:r>
        <w:rPr>
          <w:rFonts w:hint="eastAsia"/>
          <w:color w:val="auto"/>
        </w:rPr>
        <w:t>《关于印发&lt;淄博市2022年工业企业扬尘污染深度治理方案&gt;的通知》（淄环发[2022]27号）；</w:t>
      </w:r>
    </w:p>
    <w:p>
      <w:pPr>
        <w:numPr>
          <w:ilvl w:val="0"/>
          <w:numId w:val="5"/>
        </w:numPr>
        <w:ind w:left="0" w:firstLine="480" w:firstLineChars="200"/>
        <w:rPr>
          <w:color w:val="auto"/>
        </w:rPr>
      </w:pPr>
      <w:r>
        <w:rPr>
          <w:color w:val="auto"/>
        </w:rPr>
        <w:t>《淄博市人民政府办公厅关于划定&lt;淄博市大气污染物排放控制区&gt;的通知》（淄政办字[2016]116号）；</w:t>
      </w:r>
    </w:p>
    <w:p>
      <w:pPr>
        <w:numPr>
          <w:ilvl w:val="0"/>
          <w:numId w:val="5"/>
        </w:numPr>
        <w:ind w:left="0" w:firstLine="480" w:firstLineChars="200"/>
        <w:rPr>
          <w:color w:val="auto"/>
        </w:rPr>
      </w:pPr>
      <w:r>
        <w:rPr>
          <w:color w:val="auto"/>
        </w:rPr>
        <w:t>《淄博市</w:t>
      </w:r>
      <w:r>
        <w:rPr>
          <w:rFonts w:hint="eastAsia"/>
          <w:color w:val="auto"/>
          <w:lang w:val="en-US" w:eastAsia="zh-CN"/>
        </w:rPr>
        <w:t>环境保护局</w:t>
      </w:r>
      <w:r>
        <w:rPr>
          <w:color w:val="auto"/>
        </w:rPr>
        <w:t>关于明确重点行业执行标准和无组织排放控制要求的通知》（淄环发[2017]71号）；</w:t>
      </w:r>
    </w:p>
    <w:p>
      <w:pPr>
        <w:numPr>
          <w:ilvl w:val="0"/>
          <w:numId w:val="5"/>
        </w:numPr>
        <w:ind w:left="0" w:firstLine="480" w:firstLineChars="200"/>
        <w:rPr>
          <w:color w:val="auto"/>
        </w:rPr>
      </w:pPr>
      <w:r>
        <w:rPr>
          <w:color w:val="auto"/>
        </w:rPr>
        <w:t>《淄博市人民政府关于印发淄博市土壤污染防治工作方案的通知》（淄政发[2017]10号）；</w:t>
      </w:r>
    </w:p>
    <w:p>
      <w:pPr>
        <w:numPr>
          <w:ilvl w:val="0"/>
          <w:numId w:val="5"/>
        </w:numPr>
        <w:ind w:left="0" w:firstLine="480" w:firstLineChars="200"/>
        <w:rPr>
          <w:color w:val="auto"/>
        </w:rPr>
      </w:pPr>
      <w:r>
        <w:rPr>
          <w:color w:val="auto"/>
        </w:rPr>
        <w:t>《关于明确全市重点行业大气污染物排放限值有关执行要求的通知》（淄环发[2018]24号）；</w:t>
      </w:r>
    </w:p>
    <w:p>
      <w:pPr>
        <w:numPr>
          <w:ilvl w:val="0"/>
          <w:numId w:val="5"/>
        </w:numPr>
        <w:ind w:left="0" w:firstLine="480" w:firstLineChars="200"/>
        <w:rPr>
          <w:color w:val="auto"/>
        </w:rPr>
      </w:pPr>
      <w:r>
        <w:rPr>
          <w:color w:val="auto"/>
        </w:rPr>
        <w:t>《</w:t>
      </w:r>
      <w:r>
        <w:rPr>
          <w:rFonts w:hint="eastAsia"/>
          <w:color w:val="auto"/>
        </w:rPr>
        <w:t>淄博市生态环境委员会关于印发《淄博市新一轮“四减四增”三年行动方案》的通知</w:t>
      </w:r>
      <w:r>
        <w:rPr>
          <w:color w:val="auto"/>
        </w:rPr>
        <w:t>》</w:t>
      </w:r>
      <w:r>
        <w:rPr>
          <w:rFonts w:hint="eastAsia"/>
          <w:color w:val="auto"/>
        </w:rPr>
        <w:t>（淄环委[2022]1号）</w:t>
      </w:r>
      <w:r>
        <w:rPr>
          <w:color w:val="auto"/>
        </w:rPr>
        <w:t>；</w:t>
      </w:r>
    </w:p>
    <w:p>
      <w:pPr>
        <w:numPr>
          <w:ilvl w:val="0"/>
          <w:numId w:val="5"/>
        </w:numPr>
        <w:ind w:left="0" w:firstLine="480" w:firstLineChars="200"/>
        <w:rPr>
          <w:color w:val="auto"/>
        </w:rPr>
      </w:pPr>
      <w:r>
        <w:rPr>
          <w:color w:val="auto"/>
        </w:rPr>
        <w:t>《关于规范市级建设项目主要污染物排放总量确认的通知》（淄环函[2019]10号）；</w:t>
      </w:r>
    </w:p>
    <w:p>
      <w:pPr>
        <w:numPr>
          <w:ilvl w:val="0"/>
          <w:numId w:val="5"/>
        </w:numPr>
        <w:ind w:left="0" w:firstLine="480" w:firstLineChars="200"/>
        <w:rPr>
          <w:color w:val="auto"/>
        </w:rPr>
      </w:pPr>
      <w:r>
        <w:rPr>
          <w:color w:val="auto"/>
        </w:rPr>
        <w:t>《关于进一步做好全市重点排污企业事业单位环境信息公开的通知》（淄环发[2019]32号）；</w:t>
      </w:r>
    </w:p>
    <w:p>
      <w:pPr>
        <w:numPr>
          <w:ilvl w:val="0"/>
          <w:numId w:val="5"/>
        </w:numPr>
        <w:ind w:left="0" w:firstLine="480" w:firstLineChars="200"/>
        <w:rPr>
          <w:color w:val="auto"/>
        </w:rPr>
      </w:pPr>
      <w:r>
        <w:rPr>
          <w:color w:val="auto"/>
        </w:rPr>
        <w:t>《淄博市城区噪声标准适用区域划分及管理规定》（淄政办字[2019]43号）；</w:t>
      </w:r>
    </w:p>
    <w:p>
      <w:pPr>
        <w:numPr>
          <w:ilvl w:val="0"/>
          <w:numId w:val="5"/>
        </w:numPr>
        <w:ind w:left="0" w:firstLine="480" w:firstLineChars="200"/>
        <w:rPr>
          <w:color w:val="auto"/>
        </w:rPr>
      </w:pPr>
      <w:r>
        <w:rPr>
          <w:color w:val="auto"/>
        </w:rPr>
        <w:t>《淄博市饮用水水源保护区划分方案》的通知（淄环发[2019]46号）；</w:t>
      </w:r>
    </w:p>
    <w:p>
      <w:pPr>
        <w:numPr>
          <w:ilvl w:val="0"/>
          <w:numId w:val="5"/>
        </w:numPr>
        <w:ind w:left="0" w:firstLine="480" w:firstLineChars="200"/>
        <w:rPr>
          <w:color w:val="auto"/>
        </w:rPr>
      </w:pPr>
      <w:r>
        <w:rPr>
          <w:color w:val="auto"/>
        </w:rPr>
        <w:t>《关于明确全市重点行业大气污染物排放限值有关执行要求的通知》（淄环发[2019]100号）；</w:t>
      </w:r>
    </w:p>
    <w:p>
      <w:pPr>
        <w:numPr>
          <w:ilvl w:val="0"/>
          <w:numId w:val="5"/>
        </w:numPr>
        <w:ind w:left="0" w:firstLine="480" w:firstLineChars="200"/>
        <w:rPr>
          <w:color w:val="auto"/>
        </w:rPr>
      </w:pPr>
      <w:r>
        <w:rPr>
          <w:color w:val="auto"/>
        </w:rPr>
        <w:t>《关于转发进一步加强重点监管单位管理工作的通知》的通知（淄环函[2020]28号）；</w:t>
      </w:r>
    </w:p>
    <w:p>
      <w:pPr>
        <w:numPr>
          <w:ilvl w:val="0"/>
          <w:numId w:val="5"/>
        </w:numPr>
        <w:ind w:left="0" w:firstLine="480" w:firstLineChars="200"/>
        <w:rPr>
          <w:color w:val="auto"/>
        </w:rPr>
      </w:pPr>
      <w:r>
        <w:rPr>
          <w:color w:val="auto"/>
        </w:rPr>
        <w:t>《关于加快推进重点行业挥发性有机物综合治理工作的通知》（淄环发[2020]31号）；</w:t>
      </w:r>
    </w:p>
    <w:p>
      <w:pPr>
        <w:numPr>
          <w:ilvl w:val="0"/>
          <w:numId w:val="5"/>
        </w:numPr>
        <w:ind w:left="0" w:firstLine="480" w:firstLineChars="200"/>
        <w:rPr>
          <w:color w:val="auto"/>
        </w:rPr>
      </w:pPr>
      <w:r>
        <w:rPr>
          <w:color w:val="auto"/>
        </w:rPr>
        <w:t>《关于发布淄博市生态环境局审批环境影响评价文件的建设项目目录（2021年本）的通知》（淄环发[2021]7号）；</w:t>
      </w:r>
    </w:p>
    <w:p>
      <w:pPr>
        <w:numPr>
          <w:ilvl w:val="0"/>
          <w:numId w:val="5"/>
        </w:numPr>
        <w:ind w:left="0" w:firstLine="480" w:firstLineChars="200"/>
        <w:rPr>
          <w:color w:val="auto"/>
        </w:rPr>
      </w:pPr>
      <w:r>
        <w:rPr>
          <w:color w:val="auto"/>
        </w:rPr>
        <w:t>《关于统筹使用“十四五”建设项目主要大气污染物总量指标的通知》（淄环函[2021]55号）；</w:t>
      </w:r>
    </w:p>
    <w:p>
      <w:pPr>
        <w:numPr>
          <w:ilvl w:val="0"/>
          <w:numId w:val="5"/>
        </w:numPr>
        <w:ind w:left="0" w:firstLine="480" w:firstLineChars="200"/>
        <w:rPr>
          <w:color w:val="auto"/>
        </w:rPr>
      </w:pPr>
      <w:r>
        <w:rPr>
          <w:color w:val="auto"/>
        </w:rPr>
        <w:t>《关于做好严格项目审批工作坚决防止新上“散乱污”项目的函》（淄环函[2021]28号）；</w:t>
      </w:r>
    </w:p>
    <w:p>
      <w:pPr>
        <w:numPr>
          <w:ilvl w:val="0"/>
          <w:numId w:val="5"/>
        </w:numPr>
        <w:ind w:left="0" w:firstLine="480" w:firstLineChars="200"/>
        <w:rPr>
          <w:color w:val="auto"/>
        </w:rPr>
      </w:pPr>
      <w:r>
        <w:rPr>
          <w:color w:val="auto"/>
        </w:rPr>
        <w:t>《关于印发淄博市“三线一单”生态环境分区管控方案的通知》（淄政字[2021]49号）；</w:t>
      </w:r>
    </w:p>
    <w:p>
      <w:pPr>
        <w:numPr>
          <w:ilvl w:val="0"/>
          <w:numId w:val="5"/>
        </w:numPr>
        <w:ind w:left="0" w:firstLine="480" w:firstLineChars="200"/>
        <w:rPr>
          <w:color w:val="auto"/>
        </w:rPr>
      </w:pPr>
      <w:r>
        <w:rPr>
          <w:color w:val="auto"/>
        </w:rPr>
        <w:t>《关于进一步加强土壤污染重点监管单位环境管理的通知》（淄环函〔2021〕33号）；</w:t>
      </w:r>
    </w:p>
    <w:p>
      <w:pPr>
        <w:pStyle w:val="2"/>
        <w:spacing w:after="0"/>
        <w:ind w:firstLine="480"/>
        <w:rPr>
          <w:color w:val="auto"/>
        </w:rPr>
      </w:pPr>
      <w:r>
        <w:rPr>
          <w:rFonts w:hint="eastAsia"/>
          <w:color w:val="auto"/>
        </w:rPr>
        <w:t>2</w:t>
      </w:r>
      <w:r>
        <w:rPr>
          <w:rFonts w:hint="eastAsia"/>
          <w:color w:val="auto"/>
          <w:lang w:val="en-US" w:eastAsia="zh-CN"/>
        </w:rPr>
        <w:t>2</w:t>
      </w:r>
      <w:r>
        <w:rPr>
          <w:rFonts w:hint="eastAsia"/>
          <w:color w:val="auto"/>
        </w:rPr>
        <w:t>、淄博市生态环境局</w:t>
      </w:r>
      <w:r>
        <w:rPr>
          <w:color w:val="auto"/>
        </w:rPr>
        <w:t>关于印发 《2022年度淄博市挥发性有机物治理和臭氧污染管控方案》的通知</w:t>
      </w:r>
      <w:r>
        <w:rPr>
          <w:rFonts w:hint="eastAsia"/>
          <w:color w:val="auto"/>
        </w:rPr>
        <w:t>（淄环委办[2022]12号）；</w:t>
      </w:r>
    </w:p>
    <w:p>
      <w:pPr>
        <w:ind w:firstLine="480"/>
        <w:rPr>
          <w:color w:val="auto"/>
          <w:szCs w:val="24"/>
        </w:rPr>
      </w:pPr>
      <w:r>
        <w:rPr>
          <w:rFonts w:hint="eastAsia"/>
          <w:color w:val="auto"/>
          <w:szCs w:val="24"/>
        </w:rPr>
        <w:t>2</w:t>
      </w:r>
      <w:r>
        <w:rPr>
          <w:rFonts w:hint="eastAsia"/>
          <w:color w:val="auto"/>
          <w:szCs w:val="24"/>
          <w:lang w:val="en-US" w:eastAsia="zh-CN"/>
        </w:rPr>
        <w:t>3</w:t>
      </w:r>
      <w:r>
        <w:rPr>
          <w:rFonts w:hint="eastAsia"/>
          <w:color w:val="auto"/>
          <w:szCs w:val="24"/>
        </w:rPr>
        <w:t>、</w:t>
      </w:r>
      <w:r>
        <w:rPr>
          <w:rFonts w:hint="eastAsia"/>
          <w:color w:val="auto"/>
        </w:rPr>
        <w:t>淄博市生态环境局</w:t>
      </w:r>
      <w:r>
        <w:rPr>
          <w:rFonts w:hint="eastAsia"/>
          <w:color w:val="auto"/>
          <w:szCs w:val="24"/>
        </w:rPr>
        <w:t>关于印发《全市工业企业大气污染治理品质提升实施方案》的通知（淄环委办[2022]10号）；</w:t>
      </w:r>
    </w:p>
    <w:p>
      <w:pPr>
        <w:pStyle w:val="2"/>
        <w:spacing w:after="0"/>
        <w:ind w:firstLine="480"/>
        <w:rPr>
          <w:color w:val="auto"/>
        </w:rPr>
      </w:pPr>
      <w:r>
        <w:rPr>
          <w:rFonts w:hint="eastAsia"/>
          <w:color w:val="auto"/>
        </w:rPr>
        <w:t>2</w:t>
      </w:r>
      <w:r>
        <w:rPr>
          <w:rFonts w:hint="eastAsia"/>
          <w:color w:val="auto"/>
          <w:lang w:val="en-US" w:eastAsia="zh-CN"/>
        </w:rPr>
        <w:t>4</w:t>
      </w:r>
      <w:r>
        <w:rPr>
          <w:rFonts w:hint="eastAsia"/>
          <w:color w:val="auto"/>
        </w:rPr>
        <w:t>、淄博市生态环境局关于印发 《淄博市2022年工业企业扬尘污染深度治理方案》的通知（淄环发[2022]27号）</w:t>
      </w:r>
    </w:p>
    <w:p>
      <w:pPr>
        <w:ind w:firstLine="480"/>
        <w:rPr>
          <w:color w:val="auto"/>
          <w:szCs w:val="24"/>
        </w:rPr>
      </w:pPr>
      <w:r>
        <w:rPr>
          <w:rFonts w:hint="eastAsia"/>
          <w:color w:val="auto"/>
          <w:szCs w:val="24"/>
        </w:rPr>
        <w:t>2</w:t>
      </w:r>
      <w:r>
        <w:rPr>
          <w:rFonts w:hint="eastAsia"/>
          <w:color w:val="auto"/>
          <w:szCs w:val="24"/>
          <w:lang w:val="en-US" w:eastAsia="zh-CN"/>
        </w:rPr>
        <w:t>5</w:t>
      </w:r>
      <w:r>
        <w:rPr>
          <w:rFonts w:hint="eastAsia"/>
          <w:color w:val="auto"/>
          <w:szCs w:val="24"/>
        </w:rPr>
        <w:t>、《淄博市生态环境局关于印发&lt;淄博市 2021-2022 年秋冬季大气污染综合治理攻坚行动实施方案&gt;的通知》（淄环发[2021]141 号）；</w:t>
      </w:r>
    </w:p>
    <w:p>
      <w:pPr>
        <w:pStyle w:val="2"/>
        <w:spacing w:after="0"/>
        <w:ind w:firstLine="480"/>
        <w:rPr>
          <w:color w:val="auto"/>
        </w:rPr>
      </w:pPr>
      <w:r>
        <w:rPr>
          <w:rFonts w:hint="eastAsia"/>
          <w:color w:val="auto"/>
        </w:rPr>
        <w:t>2</w:t>
      </w:r>
      <w:r>
        <w:rPr>
          <w:rFonts w:hint="eastAsia"/>
          <w:color w:val="auto"/>
          <w:lang w:val="en-US" w:eastAsia="zh-CN"/>
        </w:rPr>
        <w:t>6</w:t>
      </w:r>
      <w:r>
        <w:rPr>
          <w:rFonts w:hint="eastAsia"/>
          <w:color w:val="auto"/>
        </w:rPr>
        <w:t>、《淄博市生态环境委员会办公室关于印发&lt;淄博市“三线一单”生态环境准入清单&gt;的通知》（淄环委办[2021]24号）；</w:t>
      </w:r>
    </w:p>
    <w:p>
      <w:pPr>
        <w:pStyle w:val="13"/>
        <w:ind w:firstLine="480"/>
        <w:rPr>
          <w:color w:val="auto"/>
        </w:rPr>
      </w:pPr>
      <w:r>
        <w:rPr>
          <w:rFonts w:hint="eastAsia"/>
          <w:color w:val="auto"/>
          <w:lang w:val="en-US" w:eastAsia="zh-CN"/>
        </w:rPr>
        <w:t>27</w:t>
      </w:r>
      <w:r>
        <w:rPr>
          <w:rFonts w:hint="eastAsia"/>
          <w:color w:val="auto"/>
        </w:rPr>
        <w:t>、淄博市人民政府关于印发《淄博市“十四五”生态环境保护规划》的通知淄政字〔2021〕107 号；</w:t>
      </w:r>
    </w:p>
    <w:p>
      <w:pPr>
        <w:pStyle w:val="13"/>
        <w:ind w:firstLine="480"/>
        <w:rPr>
          <w:rFonts w:hint="eastAsia"/>
          <w:color w:val="auto"/>
          <w:lang w:eastAsia="zh-CN"/>
        </w:rPr>
      </w:pPr>
      <w:r>
        <w:rPr>
          <w:rFonts w:hint="eastAsia"/>
          <w:color w:val="auto"/>
          <w:lang w:val="en-US" w:eastAsia="zh-CN"/>
        </w:rPr>
        <w:t>28</w:t>
      </w:r>
      <w:r>
        <w:rPr>
          <w:rFonts w:hint="eastAsia"/>
          <w:color w:val="auto"/>
        </w:rPr>
        <w:t>、中共淄博市委办公室淄博市人民政府办公室关于印发《淄博市实施减碳降碳十大行动工作方案》的通知</w:t>
      </w:r>
      <w:r>
        <w:rPr>
          <w:rFonts w:hint="eastAsia"/>
          <w:color w:val="auto"/>
          <w:lang w:eastAsia="zh-CN"/>
        </w:rPr>
        <w:t>；</w:t>
      </w:r>
    </w:p>
    <w:p>
      <w:pPr>
        <w:pStyle w:val="13"/>
        <w:ind w:firstLine="480"/>
        <w:rPr>
          <w:rFonts w:hint="eastAsia"/>
          <w:color w:val="auto"/>
          <w:lang w:val="en-US" w:eastAsia="zh-CN"/>
        </w:rPr>
      </w:pPr>
      <w:r>
        <w:rPr>
          <w:rFonts w:hint="default"/>
          <w:color w:val="auto"/>
          <w:lang w:val="en-US" w:eastAsia="zh-CN"/>
        </w:rPr>
        <w:t>29、关于发布《淄博市一般工业固体废物规范化管理评估办法》、《淄博市重金属规范化管理评估办法》的通知</w:t>
      </w:r>
      <w:r>
        <w:rPr>
          <w:rFonts w:hint="eastAsia"/>
          <w:color w:val="auto"/>
          <w:lang w:val="en-US" w:eastAsia="zh-CN"/>
        </w:rPr>
        <w:t>（淄环发[2020]90号）；</w:t>
      </w:r>
    </w:p>
    <w:p>
      <w:pPr>
        <w:pStyle w:val="13"/>
        <w:ind w:firstLine="480"/>
        <w:rPr>
          <w:rFonts w:hint="eastAsia"/>
          <w:color w:val="auto"/>
          <w:lang w:val="en-US" w:eastAsia="zh-CN"/>
        </w:rPr>
      </w:pPr>
      <w:r>
        <w:rPr>
          <w:rFonts w:hint="eastAsia"/>
          <w:color w:val="auto"/>
          <w:lang w:val="en-US" w:eastAsia="zh-CN"/>
        </w:rPr>
        <w:t>30、《淄博市污染源自动监控条例》（2021.12.3批准）。</w:t>
      </w:r>
    </w:p>
    <w:p>
      <w:pPr>
        <w:pStyle w:val="9"/>
        <w:spacing w:before="0" w:beforeLines="0" w:after="0" w:afterLines="0"/>
        <w:rPr>
          <w:color w:val="auto"/>
        </w:rPr>
      </w:pPr>
      <w:r>
        <w:rPr>
          <w:color w:val="auto"/>
        </w:rPr>
        <w:fldChar w:fldCharType="begin"/>
      </w:r>
      <w:r>
        <w:rPr>
          <w:color w:val="auto"/>
        </w:rPr>
        <w:instrText xml:space="preserve"> HYPERLINK \l "_Toc28590" </w:instrText>
      </w:r>
      <w:r>
        <w:rPr>
          <w:color w:val="auto"/>
        </w:rPr>
        <w:fldChar w:fldCharType="separate"/>
      </w:r>
      <w:r>
        <w:rPr>
          <w:color w:val="auto"/>
        </w:rPr>
        <w:t>1.1.4环评技术规范</w:t>
      </w:r>
      <w:r>
        <w:rPr>
          <w:color w:val="auto"/>
        </w:rPr>
        <w:fldChar w:fldCharType="end"/>
      </w:r>
    </w:p>
    <w:p>
      <w:pPr>
        <w:numPr>
          <w:ilvl w:val="0"/>
          <w:numId w:val="6"/>
        </w:numPr>
        <w:spacing w:line="440" w:lineRule="atLeast"/>
        <w:ind w:left="0" w:firstLine="480" w:firstLineChars="200"/>
        <w:jc w:val="left"/>
        <w:rPr>
          <w:color w:val="auto"/>
        </w:rPr>
      </w:pPr>
      <w:r>
        <w:rPr>
          <w:color w:val="auto"/>
        </w:rPr>
        <w:t>《环境影响评价技术导则 总纲》（HJ2.1-2016）；</w:t>
      </w:r>
    </w:p>
    <w:p>
      <w:pPr>
        <w:numPr>
          <w:ilvl w:val="0"/>
          <w:numId w:val="6"/>
        </w:numPr>
        <w:spacing w:line="440" w:lineRule="atLeast"/>
        <w:ind w:left="0" w:firstLine="480" w:firstLineChars="200"/>
        <w:jc w:val="left"/>
        <w:rPr>
          <w:color w:val="auto"/>
        </w:rPr>
      </w:pPr>
      <w:r>
        <w:rPr>
          <w:color w:val="auto"/>
        </w:rPr>
        <w:t>《环境影响评价技术导则 大气环境》（HJ2.2-2018）；</w:t>
      </w:r>
    </w:p>
    <w:p>
      <w:pPr>
        <w:numPr>
          <w:ilvl w:val="0"/>
          <w:numId w:val="6"/>
        </w:numPr>
        <w:spacing w:line="440" w:lineRule="atLeast"/>
        <w:ind w:left="0" w:firstLine="480" w:firstLineChars="200"/>
        <w:jc w:val="left"/>
        <w:rPr>
          <w:color w:val="auto"/>
        </w:rPr>
      </w:pPr>
      <w:r>
        <w:rPr>
          <w:color w:val="auto"/>
        </w:rPr>
        <w:t>《环境影响评价技术导则 地表水环境》（HJ2.3-2018）；</w:t>
      </w:r>
    </w:p>
    <w:p>
      <w:pPr>
        <w:numPr>
          <w:ilvl w:val="0"/>
          <w:numId w:val="6"/>
        </w:numPr>
        <w:spacing w:line="440" w:lineRule="atLeast"/>
        <w:ind w:left="0" w:firstLine="480" w:firstLineChars="200"/>
        <w:jc w:val="left"/>
        <w:rPr>
          <w:color w:val="auto"/>
        </w:rPr>
      </w:pPr>
      <w:r>
        <w:rPr>
          <w:color w:val="auto"/>
        </w:rPr>
        <w:t>《环境影响评价技术导则 声环境》（HJ2.4-20</w:t>
      </w:r>
      <w:r>
        <w:rPr>
          <w:rFonts w:hint="eastAsia"/>
          <w:color w:val="auto"/>
        </w:rPr>
        <w:t>21</w:t>
      </w:r>
      <w:r>
        <w:rPr>
          <w:color w:val="auto"/>
        </w:rPr>
        <w:t>）；</w:t>
      </w:r>
    </w:p>
    <w:p>
      <w:pPr>
        <w:numPr>
          <w:ilvl w:val="0"/>
          <w:numId w:val="6"/>
        </w:numPr>
        <w:spacing w:line="440" w:lineRule="atLeast"/>
        <w:ind w:left="0" w:firstLine="480" w:firstLineChars="200"/>
        <w:jc w:val="left"/>
        <w:rPr>
          <w:color w:val="auto"/>
        </w:rPr>
      </w:pPr>
      <w:r>
        <w:rPr>
          <w:color w:val="auto"/>
        </w:rPr>
        <w:t>《建设项目环境风险评价技术导则》（HJ169-2018）；</w:t>
      </w:r>
    </w:p>
    <w:p>
      <w:pPr>
        <w:numPr>
          <w:ilvl w:val="0"/>
          <w:numId w:val="6"/>
        </w:numPr>
        <w:spacing w:line="440" w:lineRule="atLeast"/>
        <w:ind w:left="0" w:firstLine="480" w:firstLineChars="200"/>
        <w:jc w:val="left"/>
        <w:rPr>
          <w:color w:val="auto"/>
        </w:rPr>
      </w:pPr>
      <w:r>
        <w:rPr>
          <w:color w:val="auto"/>
        </w:rPr>
        <w:t>《环境影响评价技术导则 生态影响》（HJ19-20</w:t>
      </w:r>
      <w:r>
        <w:rPr>
          <w:rFonts w:hint="eastAsia"/>
          <w:color w:val="auto"/>
        </w:rPr>
        <w:t>22</w:t>
      </w:r>
      <w:r>
        <w:rPr>
          <w:color w:val="auto"/>
        </w:rPr>
        <w:t>）；</w:t>
      </w:r>
    </w:p>
    <w:p>
      <w:pPr>
        <w:numPr>
          <w:ilvl w:val="0"/>
          <w:numId w:val="6"/>
        </w:numPr>
        <w:spacing w:line="440" w:lineRule="atLeast"/>
        <w:ind w:left="0" w:firstLine="480" w:firstLineChars="200"/>
        <w:jc w:val="left"/>
        <w:rPr>
          <w:color w:val="auto"/>
        </w:rPr>
      </w:pPr>
      <w:r>
        <w:rPr>
          <w:color w:val="auto"/>
        </w:rPr>
        <w:t>《环境影响评价技术导则 地下水环境》（HJ610-2016）；</w:t>
      </w:r>
    </w:p>
    <w:p>
      <w:pPr>
        <w:numPr>
          <w:ilvl w:val="0"/>
          <w:numId w:val="6"/>
        </w:numPr>
        <w:spacing w:line="440" w:lineRule="atLeast"/>
        <w:ind w:left="0" w:firstLine="480" w:firstLineChars="200"/>
        <w:jc w:val="left"/>
        <w:rPr>
          <w:color w:val="auto"/>
        </w:rPr>
      </w:pPr>
      <w:r>
        <w:rPr>
          <w:color w:val="auto"/>
        </w:rPr>
        <w:t>《环境影响评价技术导则 土壤环境（试行）》（HJ 964-2018）；</w:t>
      </w:r>
    </w:p>
    <w:p>
      <w:pPr>
        <w:numPr>
          <w:ilvl w:val="0"/>
          <w:numId w:val="6"/>
        </w:numPr>
        <w:spacing w:line="440" w:lineRule="atLeast"/>
        <w:ind w:left="0" w:firstLine="480" w:firstLineChars="200"/>
        <w:jc w:val="left"/>
        <w:rPr>
          <w:color w:val="auto"/>
        </w:rPr>
      </w:pPr>
      <w:r>
        <w:rPr>
          <w:color w:val="auto"/>
        </w:rPr>
        <w:t>《大气污染治理工程技术导则》（HJ2000-2010）；</w:t>
      </w:r>
    </w:p>
    <w:p>
      <w:pPr>
        <w:numPr>
          <w:ilvl w:val="0"/>
          <w:numId w:val="6"/>
        </w:numPr>
        <w:spacing w:line="440" w:lineRule="atLeast"/>
        <w:ind w:left="0" w:firstLine="480" w:firstLineChars="200"/>
        <w:jc w:val="left"/>
        <w:rPr>
          <w:color w:val="auto"/>
        </w:rPr>
      </w:pPr>
      <w:r>
        <w:rPr>
          <w:color w:val="auto"/>
        </w:rPr>
        <w:t>《水污染治理工程技术导则》（HJ2005-2012）；</w:t>
      </w:r>
    </w:p>
    <w:p>
      <w:pPr>
        <w:numPr>
          <w:ilvl w:val="0"/>
          <w:numId w:val="6"/>
        </w:numPr>
        <w:spacing w:line="440" w:lineRule="atLeast"/>
        <w:ind w:left="0" w:firstLine="480" w:firstLineChars="200"/>
        <w:jc w:val="left"/>
        <w:rPr>
          <w:color w:val="auto"/>
        </w:rPr>
      </w:pPr>
      <w:r>
        <w:rPr>
          <w:color w:val="auto"/>
          <w:szCs w:val="24"/>
        </w:rPr>
        <w:t>《事故状态下水体污染的预防与控制技术要求》（Q/SY1190-2013）；</w:t>
      </w:r>
      <w:r>
        <w:rPr>
          <w:color w:val="auto"/>
        </w:rPr>
        <w:t xml:space="preserve"> </w:t>
      </w:r>
    </w:p>
    <w:p>
      <w:pPr>
        <w:numPr>
          <w:ilvl w:val="0"/>
          <w:numId w:val="6"/>
        </w:numPr>
        <w:spacing w:line="440" w:lineRule="atLeast"/>
        <w:ind w:left="0" w:firstLine="480" w:firstLineChars="200"/>
        <w:jc w:val="left"/>
        <w:rPr>
          <w:color w:val="auto"/>
        </w:rPr>
      </w:pPr>
      <w:r>
        <w:rPr>
          <w:color w:val="auto"/>
        </w:rPr>
        <w:t>《排污单位自行监测技术指南 总则》（HJ819-2017）；</w:t>
      </w:r>
    </w:p>
    <w:p>
      <w:pPr>
        <w:numPr>
          <w:ilvl w:val="0"/>
          <w:numId w:val="6"/>
        </w:numPr>
        <w:spacing w:line="440" w:lineRule="atLeast"/>
        <w:ind w:left="0" w:firstLine="480" w:firstLineChars="200"/>
        <w:jc w:val="left"/>
        <w:rPr>
          <w:color w:val="auto"/>
        </w:rPr>
      </w:pPr>
      <w:r>
        <w:rPr>
          <w:color w:val="auto"/>
        </w:rPr>
        <w:t xml:space="preserve">《排污单位自行监测技术指南 </w:t>
      </w:r>
      <w:r>
        <w:rPr>
          <w:rFonts w:hint="eastAsia"/>
          <w:color w:val="auto"/>
        </w:rPr>
        <w:t>化学纤维制造业</w:t>
      </w:r>
      <w:r>
        <w:rPr>
          <w:color w:val="auto"/>
        </w:rPr>
        <w:t>》（HJ</w:t>
      </w:r>
      <w:r>
        <w:rPr>
          <w:rFonts w:hint="eastAsia"/>
          <w:color w:val="auto"/>
        </w:rPr>
        <w:t>1139</w:t>
      </w:r>
      <w:r>
        <w:rPr>
          <w:color w:val="auto"/>
        </w:rPr>
        <w:t>-20</w:t>
      </w:r>
      <w:r>
        <w:rPr>
          <w:rFonts w:hint="eastAsia"/>
          <w:color w:val="auto"/>
        </w:rPr>
        <w:t>20</w:t>
      </w:r>
      <w:r>
        <w:rPr>
          <w:color w:val="auto"/>
        </w:rPr>
        <w:t>）；</w:t>
      </w:r>
    </w:p>
    <w:p>
      <w:pPr>
        <w:numPr>
          <w:ilvl w:val="0"/>
          <w:numId w:val="6"/>
        </w:numPr>
        <w:spacing w:line="440" w:lineRule="atLeast"/>
        <w:ind w:left="0" w:firstLine="480" w:firstLineChars="200"/>
        <w:jc w:val="left"/>
        <w:rPr>
          <w:color w:val="auto"/>
          <w:szCs w:val="22"/>
        </w:rPr>
      </w:pPr>
      <w:r>
        <w:rPr>
          <w:color w:val="auto"/>
        </w:rPr>
        <w:t>《固体废物鉴别标准 通则》（GB 34330-2017）；</w:t>
      </w:r>
    </w:p>
    <w:p>
      <w:pPr>
        <w:numPr>
          <w:ilvl w:val="0"/>
          <w:numId w:val="6"/>
        </w:numPr>
        <w:spacing w:line="440" w:lineRule="atLeast"/>
        <w:ind w:left="0" w:firstLine="480" w:firstLineChars="200"/>
        <w:jc w:val="left"/>
        <w:rPr>
          <w:color w:val="auto"/>
        </w:rPr>
      </w:pPr>
      <w:r>
        <w:rPr>
          <w:color w:val="auto"/>
          <w:szCs w:val="22"/>
        </w:rPr>
        <w:t>《山东省污水排放口环境信息公</w:t>
      </w:r>
      <w:r>
        <w:rPr>
          <w:color w:val="auto"/>
        </w:rPr>
        <w:t>开技术规范》（DB37/T 2643-2014）；</w:t>
      </w:r>
    </w:p>
    <w:p>
      <w:pPr>
        <w:widowControl/>
        <w:numPr>
          <w:ilvl w:val="0"/>
          <w:numId w:val="6"/>
        </w:numPr>
        <w:ind w:left="0" w:firstLine="480" w:firstLineChars="200"/>
        <w:jc w:val="left"/>
        <w:rPr>
          <w:color w:val="auto"/>
          <w:kern w:val="0"/>
          <w:szCs w:val="24"/>
        </w:rPr>
      </w:pPr>
      <w:r>
        <w:rPr>
          <w:color w:val="auto"/>
          <w:kern w:val="0"/>
          <w:szCs w:val="24"/>
        </w:rPr>
        <w:t xml:space="preserve">《排污许可证申请与核发技术规范 </w:t>
      </w:r>
      <w:r>
        <w:rPr>
          <w:rFonts w:hint="eastAsia"/>
          <w:color w:val="auto"/>
          <w:kern w:val="0"/>
          <w:szCs w:val="24"/>
        </w:rPr>
        <w:t>化学纤维制造业</w:t>
      </w:r>
      <w:r>
        <w:rPr>
          <w:color w:val="auto"/>
          <w:kern w:val="0"/>
          <w:szCs w:val="24"/>
        </w:rPr>
        <w:t xml:space="preserve">》（HJ </w:t>
      </w:r>
      <w:r>
        <w:rPr>
          <w:rFonts w:hint="eastAsia"/>
          <w:color w:val="auto"/>
          <w:kern w:val="0"/>
          <w:szCs w:val="24"/>
        </w:rPr>
        <w:t>1102</w:t>
      </w:r>
      <w:r>
        <w:rPr>
          <w:color w:val="auto"/>
          <w:kern w:val="0"/>
          <w:szCs w:val="24"/>
        </w:rPr>
        <w:t>-20</w:t>
      </w:r>
      <w:r>
        <w:rPr>
          <w:rFonts w:hint="eastAsia"/>
          <w:color w:val="auto"/>
          <w:kern w:val="0"/>
          <w:szCs w:val="24"/>
        </w:rPr>
        <w:t>20</w:t>
      </w:r>
      <w:r>
        <w:rPr>
          <w:color w:val="auto"/>
          <w:kern w:val="0"/>
          <w:szCs w:val="24"/>
        </w:rPr>
        <w:t>）；</w:t>
      </w:r>
    </w:p>
    <w:p>
      <w:pPr>
        <w:numPr>
          <w:ilvl w:val="0"/>
          <w:numId w:val="6"/>
        </w:numPr>
        <w:ind w:left="0" w:firstLine="480" w:firstLineChars="200"/>
        <w:rPr>
          <w:color w:val="auto"/>
        </w:rPr>
      </w:pPr>
      <w:r>
        <w:rPr>
          <w:color w:val="auto"/>
        </w:rPr>
        <w:t>《排污许可证申请与核发技术规范 总则》（HJ942-2018）</w:t>
      </w:r>
      <w:r>
        <w:rPr>
          <w:rFonts w:hint="eastAsia"/>
          <w:color w:val="auto"/>
        </w:rPr>
        <w:t>；</w:t>
      </w:r>
    </w:p>
    <w:p>
      <w:pPr>
        <w:pStyle w:val="2"/>
        <w:spacing w:after="0"/>
        <w:ind w:firstLine="480"/>
        <w:rPr>
          <w:color w:val="auto"/>
        </w:rPr>
      </w:pPr>
      <w:r>
        <w:rPr>
          <w:rFonts w:hint="eastAsia"/>
          <w:color w:val="auto"/>
        </w:rPr>
        <w:t>18、《挥发性有机物治理实用手册》（2020年）；</w:t>
      </w:r>
    </w:p>
    <w:p>
      <w:pPr>
        <w:pStyle w:val="2"/>
        <w:spacing w:after="0"/>
        <w:ind w:firstLine="480"/>
        <w:rPr>
          <w:color w:val="auto"/>
        </w:rPr>
      </w:pPr>
      <w:r>
        <w:rPr>
          <w:rFonts w:hint="eastAsia"/>
          <w:color w:val="auto"/>
        </w:rPr>
        <w:t>19、《污染源源强核算技术指南 准则》（HJ884-2018）；</w:t>
      </w:r>
    </w:p>
    <w:p>
      <w:pPr>
        <w:pStyle w:val="2"/>
        <w:spacing w:after="0"/>
        <w:ind w:firstLine="480"/>
        <w:rPr>
          <w:rFonts w:hint="eastAsia"/>
          <w:color w:val="auto"/>
          <w:lang w:eastAsia="zh-CN"/>
        </w:rPr>
      </w:pPr>
      <w:r>
        <w:rPr>
          <w:rFonts w:hint="eastAsia"/>
          <w:color w:val="auto"/>
        </w:rPr>
        <w:t>20、《危险废物管理计划和管理台账制定技术导则》（HJ1259-2022）</w:t>
      </w:r>
      <w:r>
        <w:rPr>
          <w:rFonts w:hint="eastAsia"/>
          <w:color w:val="auto"/>
          <w:lang w:eastAsia="zh-CN"/>
        </w:rPr>
        <w:t>；</w:t>
      </w:r>
    </w:p>
    <w:p>
      <w:pPr>
        <w:pStyle w:val="2"/>
        <w:spacing w:after="0"/>
        <w:ind w:firstLine="480"/>
        <w:rPr>
          <w:rFonts w:hint="eastAsia"/>
          <w:color w:val="auto"/>
          <w:lang w:val="en-US" w:eastAsia="zh-CN"/>
        </w:rPr>
      </w:pPr>
      <w:r>
        <w:rPr>
          <w:rFonts w:hint="eastAsia"/>
          <w:color w:val="auto"/>
          <w:lang w:val="en-US" w:eastAsia="zh-CN"/>
        </w:rPr>
        <w:t>21、关于发布《一般工业固体废物管理台账制定指南（试行）》的公告（公告 2021年第82号）</w:t>
      </w:r>
    </w:p>
    <w:p>
      <w:pPr>
        <w:pStyle w:val="2"/>
        <w:spacing w:after="0"/>
        <w:ind w:firstLine="480"/>
        <w:rPr>
          <w:color w:val="auto"/>
        </w:rPr>
      </w:pPr>
      <w:r>
        <w:rPr>
          <w:rFonts w:hint="eastAsia"/>
          <w:color w:val="auto"/>
          <w:lang w:val="en-US" w:eastAsia="zh-CN"/>
        </w:rPr>
        <w:t>22、《突发环境事件应急监测技术规范》（HJ589-2021）</w:t>
      </w:r>
      <w:r>
        <w:rPr>
          <w:rFonts w:hint="eastAsia"/>
          <w:color w:val="auto"/>
        </w:rPr>
        <w:t>。</w:t>
      </w:r>
    </w:p>
    <w:p>
      <w:pPr>
        <w:pStyle w:val="9"/>
        <w:spacing w:before="0" w:beforeLines="0" w:after="0" w:afterLines="0"/>
        <w:rPr>
          <w:color w:val="auto"/>
        </w:rPr>
      </w:pPr>
      <w:r>
        <w:rPr>
          <w:color w:val="auto"/>
        </w:rPr>
        <w:fldChar w:fldCharType="begin"/>
      </w:r>
      <w:r>
        <w:rPr>
          <w:color w:val="auto"/>
        </w:rPr>
        <w:instrText xml:space="preserve"> HYPERLINK \l "_Toc3021" </w:instrText>
      </w:r>
      <w:r>
        <w:rPr>
          <w:color w:val="auto"/>
        </w:rPr>
        <w:fldChar w:fldCharType="separate"/>
      </w:r>
      <w:r>
        <w:rPr>
          <w:color w:val="auto"/>
        </w:rPr>
        <w:t>1.1.</w:t>
      </w:r>
      <w:r>
        <w:rPr>
          <w:rFonts w:hint="eastAsia"/>
          <w:color w:val="auto"/>
        </w:rPr>
        <w:t>5</w:t>
      </w:r>
      <w:r>
        <w:rPr>
          <w:color w:val="auto"/>
        </w:rPr>
        <w:t>项目依据</w:t>
      </w:r>
      <w:r>
        <w:rPr>
          <w:color w:val="auto"/>
        </w:rPr>
        <w:fldChar w:fldCharType="end"/>
      </w:r>
    </w:p>
    <w:p>
      <w:pPr>
        <w:pStyle w:val="2"/>
        <w:numPr>
          <w:ilvl w:val="0"/>
          <w:numId w:val="7"/>
        </w:numPr>
        <w:spacing w:after="0"/>
        <w:ind w:firstLine="480"/>
        <w:rPr>
          <w:color w:val="auto"/>
        </w:rPr>
      </w:pPr>
      <w:r>
        <w:rPr>
          <w:rFonts w:hint="eastAsia"/>
          <w:color w:val="auto"/>
        </w:rPr>
        <w:t>山东朗净新材料科技有限公司年产1200吨丙交酯和1000吨聚乳酸新材料示范线项目</w:t>
      </w:r>
      <w:r>
        <w:rPr>
          <w:color w:val="auto"/>
        </w:rPr>
        <w:t>环境影响评价委托书；</w:t>
      </w:r>
    </w:p>
    <w:p>
      <w:pPr>
        <w:numPr>
          <w:ilvl w:val="0"/>
          <w:numId w:val="7"/>
        </w:numPr>
        <w:ind w:firstLine="480"/>
        <w:rPr>
          <w:color w:val="auto"/>
        </w:rPr>
      </w:pPr>
      <w:r>
        <w:rPr>
          <w:rFonts w:hint="eastAsia"/>
          <w:color w:val="auto"/>
        </w:rPr>
        <w:t>山东朗净新材料科技有限公司年产1200吨丙交酯和1000吨聚乳酸新材料示范线项目备案文件；</w:t>
      </w:r>
    </w:p>
    <w:p>
      <w:pPr>
        <w:numPr>
          <w:ilvl w:val="0"/>
          <w:numId w:val="7"/>
        </w:numPr>
        <w:ind w:firstLine="480"/>
        <w:rPr>
          <w:rFonts w:hint="eastAsia"/>
          <w:color w:val="auto"/>
          <w:lang w:eastAsia="zh-CN"/>
        </w:rPr>
      </w:pPr>
      <w:r>
        <w:rPr>
          <w:rFonts w:hint="eastAsia"/>
          <w:color w:val="auto"/>
          <w:lang w:eastAsia="zh-CN"/>
        </w:rPr>
        <w:t>《</w:t>
      </w:r>
      <w:r>
        <w:rPr>
          <w:rFonts w:hint="eastAsia"/>
          <w:color w:val="auto"/>
        </w:rPr>
        <w:t>淄博科技工业园环境影响评价报告书</w:t>
      </w:r>
      <w:r>
        <w:rPr>
          <w:rFonts w:hint="eastAsia"/>
          <w:color w:val="auto"/>
          <w:lang w:eastAsia="zh-CN"/>
        </w:rPr>
        <w:t>》</w:t>
      </w:r>
      <w:r>
        <w:rPr>
          <w:rFonts w:hint="eastAsia"/>
          <w:color w:val="auto"/>
        </w:rPr>
        <w:t>评价结论及其审查意见（淄环审【</w:t>
      </w:r>
      <w:r>
        <w:rPr>
          <w:rFonts w:hint="eastAsia"/>
          <w:color w:val="auto"/>
          <w:lang w:val="en-US" w:eastAsia="zh-CN"/>
        </w:rPr>
        <w:t>2007</w:t>
      </w:r>
      <w:r>
        <w:rPr>
          <w:rFonts w:hint="eastAsia"/>
          <w:color w:val="auto"/>
        </w:rPr>
        <w:t>】</w:t>
      </w:r>
      <w:r>
        <w:rPr>
          <w:rFonts w:hint="eastAsia"/>
          <w:color w:val="auto"/>
          <w:lang w:val="en-US" w:eastAsia="zh-CN"/>
        </w:rPr>
        <w:t>45</w:t>
      </w:r>
      <w:r>
        <w:rPr>
          <w:rFonts w:hint="eastAsia"/>
          <w:color w:val="auto"/>
        </w:rPr>
        <w:t>号）</w:t>
      </w:r>
    </w:p>
    <w:p>
      <w:pPr>
        <w:numPr>
          <w:ilvl w:val="0"/>
          <w:numId w:val="7"/>
        </w:numPr>
        <w:ind w:firstLine="480"/>
        <w:rPr>
          <w:color w:val="auto"/>
        </w:rPr>
      </w:pPr>
      <w:r>
        <w:rPr>
          <w:color w:val="auto"/>
        </w:rPr>
        <w:t>《淄博科技工业园环境影响跟踪评价报告书》</w:t>
      </w:r>
      <w:r>
        <w:rPr>
          <w:rFonts w:hint="eastAsia"/>
          <w:color w:val="auto"/>
        </w:rPr>
        <w:t>及其审查意见</w:t>
      </w:r>
      <w:r>
        <w:rPr>
          <w:color w:val="auto"/>
        </w:rPr>
        <w:t>（淄环审【2018】34号）</w:t>
      </w:r>
      <w:r>
        <w:rPr>
          <w:rFonts w:hint="eastAsia"/>
          <w:color w:val="auto"/>
        </w:rPr>
        <w:t>；</w:t>
      </w:r>
    </w:p>
    <w:p>
      <w:pPr>
        <w:numPr>
          <w:ilvl w:val="0"/>
          <w:numId w:val="7"/>
        </w:numPr>
        <w:ind w:firstLine="480"/>
        <w:rPr>
          <w:color w:val="auto"/>
        </w:rPr>
      </w:pPr>
      <w:r>
        <w:rPr>
          <w:color w:val="auto"/>
        </w:rPr>
        <w:t>建设单位公众参与</w:t>
      </w:r>
      <w:r>
        <w:rPr>
          <w:rFonts w:hint="eastAsia"/>
          <w:color w:val="auto"/>
        </w:rPr>
        <w:t>说明；</w:t>
      </w:r>
    </w:p>
    <w:p>
      <w:pPr>
        <w:numPr>
          <w:ilvl w:val="0"/>
          <w:numId w:val="7"/>
        </w:numPr>
        <w:ind w:firstLine="480"/>
        <w:rPr>
          <w:color w:val="auto"/>
        </w:rPr>
      </w:pPr>
      <w:r>
        <w:rPr>
          <w:rFonts w:hint="eastAsia"/>
          <w:color w:val="auto"/>
        </w:rPr>
        <w:t>《聚乳酸》（GB/T29284-2012）；</w:t>
      </w:r>
    </w:p>
    <w:p>
      <w:pPr>
        <w:numPr>
          <w:ilvl w:val="0"/>
          <w:numId w:val="7"/>
        </w:numPr>
        <w:ind w:firstLine="480"/>
        <w:rPr>
          <w:color w:val="auto"/>
        </w:rPr>
      </w:pPr>
      <w:r>
        <w:rPr>
          <w:rFonts w:hint="eastAsia"/>
          <w:color w:val="auto"/>
        </w:rPr>
        <w:t>《饲料添加剂 有机酸通用要求》（</w:t>
      </w:r>
      <w:r>
        <w:rPr>
          <w:color w:val="auto"/>
        </w:rPr>
        <w:t>GB/T 22142-2008</w:t>
      </w:r>
      <w:r>
        <w:rPr>
          <w:rFonts w:hint="eastAsia"/>
          <w:color w:val="auto"/>
        </w:rPr>
        <w:t>）；</w:t>
      </w:r>
    </w:p>
    <w:p>
      <w:pPr>
        <w:numPr>
          <w:ilvl w:val="0"/>
          <w:numId w:val="7"/>
        </w:numPr>
        <w:ind w:firstLine="480"/>
        <w:rPr>
          <w:color w:val="auto"/>
        </w:rPr>
      </w:pPr>
      <w:r>
        <w:rPr>
          <w:rFonts w:hint="eastAsia"/>
          <w:color w:val="auto"/>
        </w:rPr>
        <w:t>项目关的其他资料。</w:t>
      </w:r>
    </w:p>
    <w:p>
      <w:pPr>
        <w:keepNext/>
        <w:keepLines/>
        <w:ind w:firstLine="0" w:firstLineChars="0"/>
        <w:outlineLvl w:val="1"/>
        <w:rPr>
          <w:rFonts w:hint="eastAsia" w:ascii="黑体" w:hAnsi="黑体" w:eastAsia="黑体" w:cs="黑体"/>
          <w:b w:val="0"/>
          <w:bCs w:val="0"/>
          <w:color w:val="auto"/>
          <w:sz w:val="28"/>
          <w:szCs w:val="28"/>
          <w:highlight w:val="none"/>
        </w:rPr>
      </w:pPr>
      <w:bookmarkStart w:id="38" w:name="_Toc530732600"/>
      <w:bookmarkStart w:id="39" w:name="_Toc489693577"/>
      <w:bookmarkStart w:id="40" w:name="_Toc8315"/>
      <w:bookmarkStart w:id="41" w:name="_Toc24347"/>
      <w:bookmarkStart w:id="42" w:name="_Toc14647_WPSOffice_Level2"/>
      <w:bookmarkStart w:id="43" w:name="_Toc6277_WPSOffice_Level2"/>
      <w:bookmarkStart w:id="44" w:name="_Toc8240"/>
      <w:bookmarkStart w:id="45" w:name="_Toc14983"/>
      <w:r>
        <w:rPr>
          <w:rFonts w:hint="eastAsia" w:ascii="黑体" w:hAnsi="黑体" w:eastAsia="黑体" w:cs="黑体"/>
          <w:b w:val="0"/>
          <w:bCs w:val="0"/>
          <w:color w:val="auto"/>
          <w:sz w:val="28"/>
          <w:szCs w:val="28"/>
          <w:highlight w:val="none"/>
        </w:rPr>
        <w:t>1.2评价原则</w:t>
      </w:r>
      <w:bookmarkEnd w:id="38"/>
      <w:bookmarkEnd w:id="39"/>
      <w:bookmarkEnd w:id="40"/>
      <w:bookmarkEnd w:id="41"/>
    </w:p>
    <w:p>
      <w:pPr>
        <w:tabs>
          <w:tab w:val="left" w:pos="1260"/>
        </w:tabs>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突出环境影响评价的源头预防作用，坚持保护和改善环境质量。</w:t>
      </w:r>
    </w:p>
    <w:p>
      <w:pPr>
        <w:tabs>
          <w:tab w:val="left" w:pos="1260"/>
        </w:tabs>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a）依法评价</w:t>
      </w:r>
    </w:p>
    <w:p>
      <w:pPr>
        <w:tabs>
          <w:tab w:val="left" w:pos="1260"/>
        </w:tabs>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贯彻执行我国环境保护相关法律法规、标准、政策和规划等，优化项目建设，服务环境管理。</w:t>
      </w:r>
    </w:p>
    <w:p>
      <w:pPr>
        <w:tabs>
          <w:tab w:val="left" w:pos="1260"/>
        </w:tabs>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b）科学评价</w:t>
      </w:r>
    </w:p>
    <w:p>
      <w:pPr>
        <w:tabs>
          <w:tab w:val="left" w:pos="1260"/>
        </w:tabs>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规范环境影响评价方法，科学分析项目建设对环境质量的影响。</w:t>
      </w:r>
    </w:p>
    <w:p>
      <w:pPr>
        <w:tabs>
          <w:tab w:val="left" w:pos="1260"/>
        </w:tabs>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c）突出重点</w:t>
      </w:r>
    </w:p>
    <w:p>
      <w:pPr>
        <w:tabs>
          <w:tab w:val="left" w:pos="1260"/>
        </w:tabs>
        <w:ind w:firstLine="480"/>
        <w:rPr>
          <w:rFonts w:hint="eastAsia" w:ascii="Times New Roman" w:hAnsi="Times New Roman" w:cs="Times New Roman"/>
          <w:color w:val="auto"/>
          <w:highlight w:val="none"/>
          <w:lang w:eastAsia="zh-CN"/>
        </w:rPr>
      </w:pPr>
      <w:r>
        <w:rPr>
          <w:rFonts w:hint="default" w:ascii="Times New Roman" w:hAnsi="Times New Roman" w:cs="Times New Roman"/>
          <w:color w:val="auto"/>
          <w:highlight w:val="none"/>
        </w:rPr>
        <w:t>根据建设项目的工程内容及其特点，明确与环境要素间的作用效应关系，根据规划环境影响评价结论和审查意见，充分利用符合时效的数据资料及成果，对建设项目主要环境影响予以重点分析和评价</w:t>
      </w:r>
      <w:r>
        <w:rPr>
          <w:rFonts w:hint="eastAsia" w:ascii="Times New Roman" w:hAnsi="Times New Roman" w:cs="Times New Roman"/>
          <w:color w:val="auto"/>
          <w:highlight w:val="none"/>
          <w:lang w:eastAsia="zh-CN"/>
        </w:rPr>
        <w:t>。</w:t>
      </w:r>
    </w:p>
    <w:p>
      <w:pPr>
        <w:keepNext/>
        <w:keepLines/>
        <w:ind w:firstLine="0" w:firstLineChars="0"/>
        <w:outlineLvl w:val="1"/>
        <w:rPr>
          <w:rFonts w:hint="eastAsia" w:ascii="黑体" w:hAnsi="黑体" w:eastAsia="黑体" w:cs="黑体"/>
          <w:b w:val="0"/>
          <w:bCs w:val="0"/>
          <w:color w:val="auto"/>
          <w:sz w:val="28"/>
          <w:szCs w:val="28"/>
          <w:highlight w:val="none"/>
          <w:lang w:eastAsia="zh-CN"/>
        </w:rPr>
      </w:pPr>
      <w:bookmarkStart w:id="46" w:name="_Toc530732601"/>
      <w:bookmarkStart w:id="47" w:name="_Toc489693578"/>
      <w:bookmarkStart w:id="48" w:name="_Toc3065"/>
      <w:bookmarkStart w:id="49" w:name="_Toc19632"/>
      <w:r>
        <w:rPr>
          <w:rFonts w:hint="default" w:ascii="黑体" w:hAnsi="黑体" w:eastAsia="黑体" w:cs="黑体"/>
          <w:b w:val="0"/>
          <w:bCs w:val="0"/>
          <w:color w:val="auto"/>
          <w:sz w:val="28"/>
          <w:szCs w:val="28"/>
          <w:highlight w:val="none"/>
        </w:rPr>
        <w:t>1.3环境影响评价的工作</w:t>
      </w:r>
      <w:bookmarkEnd w:id="46"/>
      <w:bookmarkEnd w:id="47"/>
      <w:r>
        <w:rPr>
          <w:rFonts w:hint="eastAsia" w:ascii="黑体" w:hAnsi="黑体" w:eastAsia="黑体" w:cs="黑体"/>
          <w:b w:val="0"/>
          <w:bCs w:val="0"/>
          <w:color w:val="auto"/>
          <w:sz w:val="28"/>
          <w:szCs w:val="28"/>
          <w:highlight w:val="none"/>
          <w:lang w:eastAsia="zh-CN"/>
        </w:rPr>
        <w:t>程序</w:t>
      </w:r>
      <w:bookmarkEnd w:id="48"/>
      <w:bookmarkEnd w:id="49"/>
    </w:p>
    <w:p>
      <w:pPr>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根据《建设项目环境影响评价技术导则-总纲》（HJ2.1-2016）等相关技术规范的要求，本项目环境影响评价的工作见图1.3-1。</w:t>
      </w:r>
    </w:p>
    <w:p>
      <w:pPr>
        <w:spacing w:line="240" w:lineRule="auto"/>
        <w:ind w:left="48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955540" cy="6736080"/>
            <wp:effectExtent l="0" t="0" r="0" b="0"/>
            <wp:docPr id="1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7"/>
                    <pic:cNvPicPr>
                      <a:picLocks noChangeAspect="1"/>
                    </pic:cNvPicPr>
                  </pic:nvPicPr>
                  <pic:blipFill>
                    <a:blip r:embed="rId51"/>
                    <a:stretch>
                      <a:fillRect/>
                    </a:stretch>
                  </pic:blipFill>
                  <pic:spPr>
                    <a:xfrm>
                      <a:off x="0" y="0"/>
                      <a:ext cx="4955540" cy="6736080"/>
                    </a:xfrm>
                    <a:prstGeom prst="rect">
                      <a:avLst/>
                    </a:prstGeom>
                    <a:noFill/>
                    <a:ln>
                      <a:noFill/>
                    </a:ln>
                  </pic:spPr>
                </pic:pic>
              </a:graphicData>
            </a:graphic>
          </wp:inline>
        </w:drawing>
      </w:r>
    </w:p>
    <w:p>
      <w:pPr>
        <w:tabs>
          <w:tab w:val="left" w:pos="1260"/>
        </w:tabs>
        <w:ind w:firstLine="480"/>
        <w:jc w:val="center"/>
        <w:rPr>
          <w:rFonts w:hint="default" w:ascii="Times New Roman" w:hAnsi="Times New Roman" w:eastAsia="黑体" w:cs="Times New Roman"/>
          <w:b w:val="0"/>
          <w:bCs/>
          <w:color w:val="auto"/>
          <w:sz w:val="21"/>
          <w:szCs w:val="21"/>
          <w:highlight w:val="none"/>
        </w:rPr>
      </w:pPr>
      <w:r>
        <w:rPr>
          <w:rFonts w:hint="default" w:ascii="Times New Roman" w:hAnsi="Times New Roman" w:eastAsia="黑体" w:cs="Times New Roman"/>
          <w:b w:val="0"/>
          <w:bCs/>
          <w:color w:val="auto"/>
          <w:sz w:val="21"/>
          <w:szCs w:val="21"/>
          <w:highlight w:val="none"/>
        </w:rPr>
        <w:t>图1.3-1环境影响评价工作程序图</w:t>
      </w:r>
    </w:p>
    <w:p>
      <w:pPr>
        <w:pStyle w:val="8"/>
        <w:spacing w:before="0" w:beforeLines="0" w:after="0" w:afterLines="0"/>
        <w:rPr>
          <w:rFonts w:hint="default" w:eastAsia="黑体"/>
          <w:color w:val="auto"/>
          <w:lang w:val="en-US" w:eastAsia="zh-CN"/>
        </w:rPr>
      </w:pPr>
      <w:bookmarkStart w:id="50" w:name="_Toc20653"/>
      <w:r>
        <w:rPr>
          <w:color w:val="auto"/>
        </w:rPr>
        <w:t>1.</w:t>
      </w:r>
      <w:r>
        <w:rPr>
          <w:rFonts w:hint="eastAsia"/>
          <w:color w:val="auto"/>
          <w:lang w:val="en-US" w:eastAsia="zh-CN"/>
        </w:rPr>
        <w:t>4</w:t>
      </w:r>
      <w:r>
        <w:rPr>
          <w:color w:val="auto"/>
        </w:rPr>
        <w:t>评价目的</w:t>
      </w:r>
      <w:bookmarkEnd w:id="42"/>
      <w:bookmarkEnd w:id="43"/>
      <w:bookmarkEnd w:id="44"/>
      <w:bookmarkEnd w:id="45"/>
      <w:r>
        <w:rPr>
          <w:rFonts w:hint="eastAsia"/>
          <w:color w:val="auto"/>
          <w:lang w:val="en-US" w:eastAsia="zh-CN"/>
        </w:rPr>
        <w:t>与指导思想</w:t>
      </w:r>
      <w:bookmarkEnd w:id="50"/>
    </w:p>
    <w:p>
      <w:pPr>
        <w:pStyle w:val="9"/>
        <w:spacing w:before="0" w:beforeLines="0" w:after="0" w:afterLines="0"/>
        <w:rPr>
          <w:color w:val="auto"/>
        </w:rPr>
      </w:pPr>
      <w:bookmarkStart w:id="51" w:name="_Toc10339"/>
      <w:bookmarkStart w:id="52" w:name="_Toc28116"/>
      <w:bookmarkStart w:id="53" w:name="_Toc1258"/>
      <w:bookmarkStart w:id="54" w:name="_Toc13307"/>
      <w:bookmarkStart w:id="55" w:name="_Toc27465"/>
      <w:bookmarkStart w:id="56" w:name="_Toc17525"/>
      <w:bookmarkStart w:id="57" w:name="_Toc29720"/>
      <w:bookmarkStart w:id="58" w:name="_Toc10102"/>
      <w:bookmarkStart w:id="59" w:name="_Toc11535"/>
      <w:bookmarkStart w:id="60" w:name="_Toc21561"/>
      <w:bookmarkStart w:id="61" w:name="_Toc17935"/>
      <w:bookmarkStart w:id="62" w:name="_Toc5312"/>
      <w:bookmarkStart w:id="63" w:name="_Toc18055"/>
      <w:bookmarkStart w:id="64" w:name="_Toc9256"/>
      <w:bookmarkStart w:id="65" w:name="_Toc12068"/>
      <w:bookmarkStart w:id="66" w:name="_Toc12371"/>
      <w:bookmarkStart w:id="67" w:name="_Toc10096"/>
      <w:bookmarkStart w:id="68" w:name="_Toc340"/>
      <w:bookmarkStart w:id="69" w:name="_Toc17138"/>
      <w:bookmarkStart w:id="70" w:name="_Toc25041"/>
      <w:bookmarkStart w:id="71" w:name="_Toc18157"/>
      <w:bookmarkStart w:id="72" w:name="_Toc402962741"/>
      <w:bookmarkStart w:id="73" w:name="_Toc27379"/>
      <w:bookmarkStart w:id="74" w:name="_Toc372217827"/>
      <w:r>
        <w:rPr>
          <w:color w:val="auto"/>
        </w:rPr>
        <w:t>1.</w:t>
      </w:r>
      <w:r>
        <w:rPr>
          <w:rFonts w:hint="eastAsia"/>
          <w:color w:val="auto"/>
          <w:lang w:val="en-US" w:eastAsia="zh-CN"/>
        </w:rPr>
        <w:t>4</w:t>
      </w:r>
      <w:r>
        <w:rPr>
          <w:color w:val="auto"/>
        </w:rPr>
        <w:t>.1评价目的</w:t>
      </w:r>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p>
      <w:pPr>
        <w:ind w:firstLine="480"/>
        <w:rPr>
          <w:color w:val="auto"/>
          <w:szCs w:val="24"/>
        </w:rPr>
      </w:pPr>
      <w:r>
        <w:rPr>
          <w:color w:val="auto"/>
          <w:szCs w:val="24"/>
        </w:rPr>
        <w:t>通过对工程所在的评价区环境现状调查与评价，摸清项目所在地环境质量现状，结合国家产业政策、当地城市发展规划、环境功能区划以及厂址周围环境状况等，分析该工</w:t>
      </w:r>
      <w:r>
        <w:rPr>
          <w:bCs/>
          <w:color w:val="auto"/>
          <w:szCs w:val="24"/>
        </w:rPr>
        <w:t>程与产业政策及相关规划</w:t>
      </w:r>
      <w:r>
        <w:rPr>
          <w:color w:val="auto"/>
          <w:szCs w:val="24"/>
        </w:rPr>
        <w:t>的符合性。通过对建设项目工程分析，达到以下目的：</w:t>
      </w:r>
    </w:p>
    <w:p>
      <w:pPr>
        <w:numPr>
          <w:ilvl w:val="0"/>
          <w:numId w:val="8"/>
        </w:numPr>
        <w:ind w:left="0" w:firstLine="480"/>
        <w:rPr>
          <w:color w:val="auto"/>
          <w:szCs w:val="22"/>
        </w:rPr>
      </w:pPr>
      <w:r>
        <w:rPr>
          <w:color w:val="auto"/>
          <w:szCs w:val="22"/>
        </w:rPr>
        <w:t>通过收集资料及对项目厂址周围环境现状的调查和监测，掌握评价区域内的环境质量现状以及环境特征。</w:t>
      </w:r>
    </w:p>
    <w:p>
      <w:pPr>
        <w:numPr>
          <w:ilvl w:val="0"/>
          <w:numId w:val="8"/>
        </w:numPr>
        <w:ind w:left="0" w:firstLine="480"/>
        <w:rPr>
          <w:color w:val="auto"/>
          <w:szCs w:val="22"/>
        </w:rPr>
      </w:pPr>
      <w:r>
        <w:rPr>
          <w:color w:val="auto"/>
          <w:szCs w:val="22"/>
        </w:rPr>
        <w:t>通过对项目生产工艺、污染因素及治理措施的分析，确定其主要污染物产生环节和产生量，规定应采取的环保措施。</w:t>
      </w:r>
    </w:p>
    <w:p>
      <w:pPr>
        <w:numPr>
          <w:ilvl w:val="0"/>
          <w:numId w:val="8"/>
        </w:numPr>
        <w:ind w:left="0" w:firstLine="480"/>
        <w:rPr>
          <w:color w:val="auto"/>
          <w:szCs w:val="22"/>
        </w:rPr>
      </w:pPr>
      <w:r>
        <w:rPr>
          <w:color w:val="auto"/>
          <w:szCs w:val="22"/>
        </w:rPr>
        <w:t>在对环境现状进行监测和污染源调查的基础上，预测项目投产后的环境影响范围和程度。</w:t>
      </w:r>
    </w:p>
    <w:p>
      <w:pPr>
        <w:numPr>
          <w:ilvl w:val="0"/>
          <w:numId w:val="8"/>
        </w:numPr>
        <w:ind w:left="0" w:firstLine="480"/>
        <w:rPr>
          <w:color w:val="auto"/>
          <w:szCs w:val="22"/>
        </w:rPr>
      </w:pPr>
      <w:r>
        <w:rPr>
          <w:color w:val="auto"/>
          <w:szCs w:val="22"/>
        </w:rPr>
        <w:t>论证项目环保措施在技术上的可行性和经济上的合理性。</w:t>
      </w:r>
    </w:p>
    <w:p>
      <w:pPr>
        <w:numPr>
          <w:ilvl w:val="0"/>
          <w:numId w:val="8"/>
        </w:numPr>
        <w:ind w:left="0" w:firstLine="480"/>
        <w:rPr>
          <w:color w:val="auto"/>
          <w:szCs w:val="22"/>
        </w:rPr>
      </w:pPr>
      <w:r>
        <w:rPr>
          <w:color w:val="auto"/>
          <w:szCs w:val="22"/>
        </w:rPr>
        <w:t>提出污染物总量控制措施及减轻或防治污染的建议，为项目环保设施的设计和环境保护管理部门决策提供依据，使工程建设达到经济效益、社会效益和环境效益的协调发展。</w:t>
      </w:r>
    </w:p>
    <w:p>
      <w:pPr>
        <w:ind w:firstLine="480"/>
        <w:rPr>
          <w:color w:val="auto"/>
        </w:rPr>
      </w:pPr>
      <w:r>
        <w:rPr>
          <w:color w:val="auto"/>
        </w:rPr>
        <w:t>（6）按建设项目建设阶段、生产运行等不同阶段，针对不同工况、不同环境影响和环境风险特征，提出具体环境管理要求。给出污染物排放清单，明确污染物排放的管理要求。提出建立日常环境管理制度、组织机构和环境管理台账相关要求。制定环境监测计划。</w:t>
      </w:r>
    </w:p>
    <w:p>
      <w:pPr>
        <w:ind w:firstLine="480"/>
        <w:rPr>
          <w:color w:val="auto"/>
        </w:rPr>
      </w:pPr>
      <w:r>
        <w:rPr>
          <w:color w:val="auto"/>
        </w:rPr>
        <w:t>（7）对建设项目的建设概况、环境质量现状、污染物排放情况、主要环境影响、公众意见采纳情况、环境保护措施、环境影响经济损益分析、环境管理与监测计划等内容进行概括总结。</w:t>
      </w:r>
    </w:p>
    <w:p>
      <w:pPr>
        <w:pStyle w:val="9"/>
        <w:tabs>
          <w:tab w:val="left" w:pos="900"/>
        </w:tabs>
        <w:spacing w:before="0" w:beforeLines="0" w:after="0" w:afterLines="0"/>
        <w:rPr>
          <w:color w:val="auto"/>
        </w:rPr>
      </w:pPr>
      <w:bookmarkStart w:id="75" w:name="_Toc15154"/>
      <w:bookmarkStart w:id="76" w:name="_Toc18526"/>
      <w:bookmarkStart w:id="77" w:name="_Toc7801"/>
      <w:bookmarkStart w:id="78" w:name="_Toc1661"/>
      <w:bookmarkStart w:id="79" w:name="_Toc27126"/>
      <w:bookmarkStart w:id="80" w:name="_Toc20702"/>
      <w:bookmarkStart w:id="81" w:name="_Toc5853"/>
      <w:bookmarkStart w:id="82" w:name="_Toc22051"/>
      <w:bookmarkStart w:id="83" w:name="_Toc30514"/>
      <w:bookmarkStart w:id="84" w:name="_Toc30964"/>
      <w:bookmarkStart w:id="85" w:name="_Toc5837"/>
      <w:bookmarkStart w:id="86" w:name="_Toc16970"/>
      <w:bookmarkStart w:id="87" w:name="_Toc12402"/>
      <w:bookmarkStart w:id="88" w:name="_Toc103"/>
      <w:bookmarkStart w:id="89" w:name="_Toc14440"/>
      <w:bookmarkStart w:id="90" w:name="_Toc27870"/>
      <w:bookmarkStart w:id="91" w:name="_Toc1442"/>
      <w:bookmarkStart w:id="92" w:name="_Toc31202"/>
      <w:bookmarkStart w:id="93" w:name="_Toc21114"/>
      <w:bookmarkStart w:id="94" w:name="_Toc26533"/>
      <w:bookmarkStart w:id="95" w:name="_Toc17795"/>
      <w:r>
        <w:rPr>
          <w:color w:val="auto"/>
        </w:rPr>
        <w:t>1.</w:t>
      </w:r>
      <w:r>
        <w:rPr>
          <w:rFonts w:hint="eastAsia"/>
          <w:color w:val="auto"/>
          <w:lang w:val="en-US" w:eastAsia="zh-CN"/>
        </w:rPr>
        <w:t>4</w:t>
      </w:r>
      <w:r>
        <w:rPr>
          <w:color w:val="auto"/>
        </w:rPr>
        <w:t>.2指导思想</w:t>
      </w:r>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p>
    <w:p>
      <w:pPr>
        <w:ind w:firstLine="480"/>
        <w:rPr>
          <w:color w:val="auto"/>
          <w:szCs w:val="22"/>
        </w:rPr>
      </w:pPr>
      <w:r>
        <w:rPr>
          <w:color w:val="auto"/>
          <w:szCs w:val="22"/>
        </w:rPr>
        <w:t>根据项目特点，抓住影响环境的主要因子，有重点、有针对性地进行评价。评价方法力求科学严谨，分析论证要客观公正。体现环境保护与经济发展协调一致的原则。项目建设符合生态环境保护法律法规和相关法定规划，满足污染物达标排放、总量控制、节能低碳、清洁生产以及与排污许可相衔接的原则。项目满足</w:t>
      </w:r>
      <w:r>
        <w:rPr>
          <w:color w:val="auto"/>
        </w:rPr>
        <w:t>生态环境准入清单、符合生态环境分区管控要求。</w:t>
      </w:r>
      <w:r>
        <w:rPr>
          <w:color w:val="auto"/>
          <w:szCs w:val="22"/>
        </w:rPr>
        <w:t>在保证报告书质量的前提下，充分利用已有资料，为项目建设和环境管理做好服务。</w:t>
      </w:r>
    </w:p>
    <w:p>
      <w:pPr>
        <w:pStyle w:val="9"/>
        <w:tabs>
          <w:tab w:val="left" w:pos="900"/>
        </w:tabs>
        <w:spacing w:before="0" w:beforeLines="0" w:after="0" w:afterLines="0"/>
        <w:rPr>
          <w:color w:val="auto"/>
        </w:rPr>
      </w:pPr>
      <w:bookmarkStart w:id="96" w:name="_Toc11270"/>
      <w:bookmarkStart w:id="97" w:name="_Toc31945"/>
      <w:bookmarkStart w:id="98" w:name="_Toc26395"/>
      <w:bookmarkStart w:id="99" w:name="_Toc27729"/>
      <w:bookmarkStart w:id="100" w:name="_Toc14483"/>
      <w:bookmarkStart w:id="101" w:name="_Toc10935"/>
      <w:bookmarkStart w:id="102" w:name="_Toc384"/>
      <w:bookmarkStart w:id="103" w:name="_Toc9241"/>
      <w:bookmarkStart w:id="104" w:name="_Toc20245"/>
      <w:bookmarkStart w:id="105" w:name="_Toc9133"/>
      <w:bookmarkStart w:id="106" w:name="_Toc8523"/>
      <w:bookmarkStart w:id="107" w:name="_Toc2052"/>
      <w:bookmarkStart w:id="108" w:name="_Toc705"/>
      <w:bookmarkStart w:id="109" w:name="_Toc11632"/>
      <w:bookmarkStart w:id="110" w:name="_Toc30019"/>
      <w:bookmarkStart w:id="111" w:name="_Toc4070"/>
      <w:bookmarkStart w:id="112" w:name="_Toc788"/>
      <w:bookmarkStart w:id="113" w:name="_Toc13619"/>
      <w:bookmarkStart w:id="114" w:name="_Toc7366"/>
      <w:bookmarkStart w:id="115" w:name="_Toc9984"/>
      <w:bookmarkStart w:id="116" w:name="_Toc1077"/>
      <w:bookmarkStart w:id="117" w:name="_Toc19956"/>
      <w:r>
        <w:rPr>
          <w:color w:val="auto"/>
        </w:rPr>
        <w:t>1.</w:t>
      </w:r>
      <w:r>
        <w:rPr>
          <w:rFonts w:hint="eastAsia"/>
          <w:color w:val="auto"/>
          <w:lang w:val="en-US" w:eastAsia="zh-CN"/>
        </w:rPr>
        <w:t>4</w:t>
      </w:r>
      <w:r>
        <w:rPr>
          <w:color w:val="auto"/>
        </w:rPr>
        <w:t>.3评价重点</w:t>
      </w:r>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p>
    <w:p>
      <w:pPr>
        <w:ind w:firstLine="480"/>
        <w:jc w:val="left"/>
        <w:rPr>
          <w:color w:val="auto"/>
        </w:rPr>
      </w:pPr>
      <w:r>
        <w:rPr>
          <w:color w:val="auto"/>
        </w:rPr>
        <w:t>根据本项目对环境污染的特点，在工程分析基础上，确定评价重点为污染物达标分析、环境空气影响评价、环境风险评价、地下水环境影响评价、固体废物影响评价、土壤环境影响评价和环境保护措施技术经济论证。</w:t>
      </w:r>
    </w:p>
    <w:p>
      <w:pPr>
        <w:pStyle w:val="8"/>
        <w:spacing w:before="0" w:beforeLines="0" w:after="0" w:afterLines="0"/>
        <w:rPr>
          <w:rFonts w:hint="default" w:ascii="Times New Roman" w:hAnsi="Times New Roman" w:cs="Times New Roman"/>
          <w:color w:val="auto"/>
          <w:lang w:val="en-US" w:eastAsia="zh-CN"/>
        </w:rPr>
      </w:pPr>
      <w:bookmarkStart w:id="118" w:name="_Toc1304"/>
      <w:bookmarkStart w:id="119" w:name="_Toc19991"/>
      <w:bookmarkStart w:id="120" w:name="_Toc7551"/>
      <w:bookmarkStart w:id="121" w:name="_Toc2982"/>
      <w:bookmarkStart w:id="122" w:name="_Toc988"/>
      <w:bookmarkStart w:id="123" w:name="_Toc18099"/>
      <w:bookmarkStart w:id="124" w:name="_Toc24140"/>
      <w:bookmarkStart w:id="125" w:name="_Toc11623"/>
      <w:bookmarkStart w:id="126" w:name="_Toc9120"/>
      <w:bookmarkStart w:id="127" w:name="_Toc372217826"/>
      <w:bookmarkStart w:id="128" w:name="_Toc19122"/>
      <w:bookmarkStart w:id="129" w:name="_Toc21525"/>
      <w:bookmarkStart w:id="130" w:name="_Toc23807"/>
      <w:bookmarkStart w:id="131" w:name="_Toc402962740"/>
      <w:bookmarkStart w:id="132" w:name="_Toc17841"/>
      <w:bookmarkStart w:id="133" w:name="_Toc7278"/>
      <w:bookmarkStart w:id="134" w:name="_Toc1030"/>
      <w:bookmarkStart w:id="135" w:name="_Toc11166"/>
      <w:bookmarkStart w:id="136" w:name="_Toc18401"/>
      <w:bookmarkStart w:id="137" w:name="_Toc453"/>
      <w:bookmarkStart w:id="138" w:name="_Toc28833"/>
      <w:bookmarkStart w:id="139" w:name="_Toc18304"/>
      <w:bookmarkStart w:id="140" w:name="_Toc11123"/>
      <w:bookmarkStart w:id="141" w:name="_Toc7933"/>
      <w:bookmarkStart w:id="142" w:name="_Toc8504"/>
      <w:bookmarkStart w:id="143" w:name="_Toc643"/>
      <w:bookmarkStart w:id="144" w:name="_Toc10170"/>
      <w:bookmarkStart w:id="145" w:name="_Toc32654"/>
      <w:bookmarkStart w:id="146" w:name="_Toc7778"/>
      <w:bookmarkStart w:id="147" w:name="_Toc7506"/>
      <w:r>
        <w:rPr>
          <w:rFonts w:hint="eastAsia" w:ascii="Times New Roman" w:hAnsi="Times New Roman" w:cs="Times New Roman"/>
          <w:color w:val="auto"/>
          <w:lang w:val="en-US" w:eastAsia="zh-CN"/>
        </w:rPr>
        <w:t>1.5环境影响识别和评价因子筛选</w:t>
      </w:r>
      <w:bookmarkEnd w:id="118"/>
    </w:p>
    <w:p>
      <w:pPr>
        <w:pStyle w:val="9"/>
        <w:tabs>
          <w:tab w:val="left" w:pos="900"/>
        </w:tabs>
        <w:spacing w:before="0" w:beforeLines="0" w:after="0" w:afterLines="0"/>
        <w:rPr>
          <w:color w:val="auto"/>
        </w:rPr>
      </w:pPr>
      <w:bookmarkStart w:id="148" w:name="_Toc11650"/>
      <w:bookmarkStart w:id="149" w:name="_Toc26877"/>
      <w:bookmarkStart w:id="150" w:name="_Toc28414"/>
      <w:bookmarkStart w:id="151" w:name="_Toc26915"/>
      <w:bookmarkStart w:id="152" w:name="_Toc23772"/>
      <w:bookmarkStart w:id="153" w:name="_Toc11135"/>
      <w:bookmarkStart w:id="154" w:name="_Toc24382"/>
      <w:bookmarkStart w:id="155" w:name="_Toc15586"/>
      <w:bookmarkStart w:id="156" w:name="_Toc23268"/>
      <w:bookmarkStart w:id="157" w:name="_Toc18417"/>
      <w:bookmarkStart w:id="158" w:name="_Toc30697"/>
      <w:bookmarkStart w:id="159" w:name="_Toc31832"/>
      <w:bookmarkStart w:id="160" w:name="_Toc7396"/>
      <w:bookmarkStart w:id="161" w:name="_Toc16137"/>
      <w:bookmarkStart w:id="162" w:name="_Toc11352"/>
      <w:bookmarkStart w:id="163" w:name="_Toc8252"/>
      <w:bookmarkStart w:id="164" w:name="_Toc595"/>
      <w:bookmarkStart w:id="165" w:name="_Toc349"/>
      <w:bookmarkStart w:id="166" w:name="_Toc889"/>
      <w:bookmarkStart w:id="167" w:name="_Toc27644"/>
      <w:bookmarkStart w:id="168" w:name="_Toc5848"/>
      <w:r>
        <w:rPr>
          <w:color w:val="auto"/>
        </w:rPr>
        <w:t>1.</w:t>
      </w:r>
      <w:r>
        <w:rPr>
          <w:rFonts w:hint="eastAsia"/>
          <w:color w:val="auto"/>
          <w:lang w:val="en-US" w:eastAsia="zh-CN"/>
        </w:rPr>
        <w:t>5</w:t>
      </w:r>
      <w:r>
        <w:rPr>
          <w:color w:val="auto"/>
        </w:rPr>
        <w:t>.1环境影响因子识别</w:t>
      </w:r>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p>
    <w:p>
      <w:pPr>
        <w:ind w:firstLine="480"/>
        <w:rPr>
          <w:color w:val="auto"/>
        </w:rPr>
      </w:pPr>
      <w:r>
        <w:rPr>
          <w:color w:val="auto"/>
        </w:rPr>
        <w:t>（一）施工期环境影响因素识别</w:t>
      </w:r>
    </w:p>
    <w:p>
      <w:pPr>
        <w:pStyle w:val="43"/>
        <w:rPr>
          <w:color w:val="auto"/>
        </w:rPr>
      </w:pPr>
    </w:p>
    <w:p>
      <w:pPr>
        <w:pStyle w:val="43"/>
        <w:rPr>
          <w:color w:val="auto"/>
        </w:rPr>
      </w:pPr>
      <w:r>
        <w:rPr>
          <w:color w:val="auto"/>
        </w:rPr>
        <w:t>表1.</w:t>
      </w:r>
      <w:r>
        <w:rPr>
          <w:rFonts w:hint="eastAsia"/>
          <w:color w:val="auto"/>
          <w:lang w:val="en-US" w:eastAsia="zh-CN"/>
        </w:rPr>
        <w:t>5</w:t>
      </w:r>
      <w:r>
        <w:rPr>
          <w:color w:val="auto"/>
        </w:rPr>
        <w:t>-</w:t>
      </w:r>
      <w:r>
        <w:rPr>
          <w:rFonts w:hint="eastAsia"/>
          <w:color w:val="auto"/>
          <w:lang w:val="en-US" w:eastAsia="zh-CN"/>
        </w:rPr>
        <w:t>1</w:t>
      </w:r>
      <w:r>
        <w:rPr>
          <w:color w:val="auto"/>
        </w:rPr>
        <w:t xml:space="preserve">  施工期主要环境影响因素一览表</w:t>
      </w:r>
    </w:p>
    <w:tbl>
      <w:tblPr>
        <w:tblStyle w:val="23"/>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26"/>
        <w:gridCol w:w="5232"/>
        <w:gridCol w:w="28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60" w:type="pct"/>
            <w:tcBorders>
              <w:tl2br w:val="nil"/>
              <w:tr2bl w:val="nil"/>
            </w:tcBorders>
            <w:vAlign w:val="center"/>
          </w:tcPr>
          <w:p>
            <w:pPr>
              <w:pStyle w:val="46"/>
              <w:rPr>
                <w:color w:val="auto"/>
              </w:rPr>
            </w:pPr>
            <w:r>
              <w:rPr>
                <w:color w:val="auto"/>
              </w:rPr>
              <w:t>名称</w:t>
            </w:r>
          </w:p>
        </w:tc>
        <w:tc>
          <w:tcPr>
            <w:tcW w:w="2816" w:type="pct"/>
            <w:tcBorders>
              <w:tl2br w:val="nil"/>
              <w:tr2bl w:val="nil"/>
            </w:tcBorders>
            <w:vAlign w:val="center"/>
          </w:tcPr>
          <w:p>
            <w:pPr>
              <w:pStyle w:val="46"/>
              <w:rPr>
                <w:color w:val="auto"/>
              </w:rPr>
            </w:pPr>
            <w:r>
              <w:rPr>
                <w:color w:val="auto"/>
              </w:rPr>
              <w:t>产生影响的主要内容</w:t>
            </w:r>
          </w:p>
        </w:tc>
        <w:tc>
          <w:tcPr>
            <w:tcW w:w="1522" w:type="pct"/>
            <w:tcBorders>
              <w:tl2br w:val="nil"/>
              <w:tr2bl w:val="nil"/>
            </w:tcBorders>
            <w:vAlign w:val="center"/>
          </w:tcPr>
          <w:p>
            <w:pPr>
              <w:pStyle w:val="46"/>
              <w:rPr>
                <w:color w:val="auto"/>
              </w:rPr>
            </w:pPr>
            <w:r>
              <w:rPr>
                <w:color w:val="auto"/>
              </w:rPr>
              <w:t>主要影响因素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60" w:type="pct"/>
            <w:tcBorders>
              <w:tl2br w:val="nil"/>
              <w:tr2bl w:val="nil"/>
            </w:tcBorders>
            <w:vAlign w:val="center"/>
          </w:tcPr>
          <w:p>
            <w:pPr>
              <w:pStyle w:val="46"/>
              <w:rPr>
                <w:color w:val="auto"/>
              </w:rPr>
            </w:pPr>
            <w:r>
              <w:rPr>
                <w:color w:val="auto"/>
              </w:rPr>
              <w:t>环境空气</w:t>
            </w:r>
          </w:p>
        </w:tc>
        <w:tc>
          <w:tcPr>
            <w:tcW w:w="2816" w:type="pct"/>
            <w:tcBorders>
              <w:tl2br w:val="nil"/>
              <w:tr2bl w:val="nil"/>
            </w:tcBorders>
            <w:vAlign w:val="center"/>
          </w:tcPr>
          <w:p>
            <w:pPr>
              <w:pStyle w:val="46"/>
              <w:rPr>
                <w:color w:val="auto"/>
              </w:rPr>
            </w:pPr>
            <w:r>
              <w:rPr>
                <w:color w:val="auto"/>
              </w:rPr>
              <w:t>土地平整、挖掘，土石方、建材运输、存放、使用</w:t>
            </w:r>
          </w:p>
        </w:tc>
        <w:tc>
          <w:tcPr>
            <w:tcW w:w="1522" w:type="pct"/>
            <w:tcBorders>
              <w:tl2br w:val="nil"/>
              <w:tr2bl w:val="nil"/>
            </w:tcBorders>
            <w:vAlign w:val="center"/>
          </w:tcPr>
          <w:p>
            <w:pPr>
              <w:pStyle w:val="46"/>
              <w:rPr>
                <w:color w:val="auto"/>
              </w:rPr>
            </w:pPr>
            <w:r>
              <w:rPr>
                <w:color w:val="auto"/>
              </w:rPr>
              <w:t>扬尘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60" w:type="pct"/>
            <w:tcBorders>
              <w:tl2br w:val="nil"/>
              <w:tr2bl w:val="nil"/>
            </w:tcBorders>
            <w:vAlign w:val="center"/>
          </w:tcPr>
          <w:p>
            <w:pPr>
              <w:pStyle w:val="46"/>
              <w:rPr>
                <w:color w:val="auto"/>
              </w:rPr>
            </w:pPr>
            <w:r>
              <w:rPr>
                <w:color w:val="auto"/>
              </w:rPr>
              <w:t>水环境</w:t>
            </w:r>
          </w:p>
        </w:tc>
        <w:tc>
          <w:tcPr>
            <w:tcW w:w="2816" w:type="pct"/>
            <w:tcBorders>
              <w:tl2br w:val="nil"/>
              <w:tr2bl w:val="nil"/>
            </w:tcBorders>
            <w:vAlign w:val="center"/>
          </w:tcPr>
          <w:p>
            <w:pPr>
              <w:pStyle w:val="46"/>
              <w:rPr>
                <w:color w:val="auto"/>
              </w:rPr>
            </w:pPr>
            <w:r>
              <w:rPr>
                <w:color w:val="auto"/>
              </w:rPr>
              <w:t>清洗车辆废水、施工人员生活废水等</w:t>
            </w:r>
          </w:p>
        </w:tc>
        <w:tc>
          <w:tcPr>
            <w:tcW w:w="1522" w:type="pct"/>
            <w:tcBorders>
              <w:tl2br w:val="nil"/>
              <w:tr2bl w:val="nil"/>
            </w:tcBorders>
            <w:vAlign w:val="center"/>
          </w:tcPr>
          <w:p>
            <w:pPr>
              <w:pStyle w:val="46"/>
              <w:rPr>
                <w:color w:val="auto"/>
              </w:rPr>
            </w:pPr>
            <w:r>
              <w:rPr>
                <w:color w:val="auto"/>
              </w:rPr>
              <w:t>CODcr、BOD</w:t>
            </w:r>
            <w:r>
              <w:rPr>
                <w:color w:val="auto"/>
                <w:vertAlign w:val="subscript"/>
              </w:rPr>
              <w:t>5</w:t>
            </w:r>
            <w:r>
              <w:rPr>
                <w:color w:val="auto"/>
              </w:rPr>
              <w:t>、氨氮、SS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60" w:type="pct"/>
            <w:tcBorders>
              <w:tl2br w:val="nil"/>
              <w:tr2bl w:val="nil"/>
            </w:tcBorders>
            <w:vAlign w:val="center"/>
          </w:tcPr>
          <w:p>
            <w:pPr>
              <w:pStyle w:val="46"/>
              <w:rPr>
                <w:color w:val="auto"/>
              </w:rPr>
            </w:pPr>
            <w:r>
              <w:rPr>
                <w:color w:val="auto"/>
              </w:rPr>
              <w:t>声环境</w:t>
            </w:r>
          </w:p>
        </w:tc>
        <w:tc>
          <w:tcPr>
            <w:tcW w:w="2816" w:type="pct"/>
            <w:tcBorders>
              <w:tl2br w:val="nil"/>
              <w:tr2bl w:val="nil"/>
            </w:tcBorders>
            <w:vAlign w:val="center"/>
          </w:tcPr>
          <w:p>
            <w:pPr>
              <w:pStyle w:val="46"/>
              <w:rPr>
                <w:color w:val="auto"/>
              </w:rPr>
            </w:pPr>
            <w:r>
              <w:rPr>
                <w:color w:val="auto"/>
              </w:rPr>
              <w:t>施工机械、车辆作业噪声</w:t>
            </w:r>
          </w:p>
        </w:tc>
        <w:tc>
          <w:tcPr>
            <w:tcW w:w="1522" w:type="pct"/>
            <w:tcBorders>
              <w:tl2br w:val="nil"/>
              <w:tr2bl w:val="nil"/>
            </w:tcBorders>
            <w:vAlign w:val="center"/>
          </w:tcPr>
          <w:p>
            <w:pPr>
              <w:pStyle w:val="46"/>
              <w:rPr>
                <w:color w:val="auto"/>
              </w:rPr>
            </w:pPr>
            <w:r>
              <w:rPr>
                <w:color w:val="auto"/>
              </w:rPr>
              <w:t>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60" w:type="pct"/>
            <w:vMerge w:val="restart"/>
            <w:tcBorders>
              <w:tl2br w:val="nil"/>
              <w:tr2bl w:val="nil"/>
            </w:tcBorders>
            <w:vAlign w:val="center"/>
          </w:tcPr>
          <w:p>
            <w:pPr>
              <w:pStyle w:val="46"/>
              <w:rPr>
                <w:color w:val="auto"/>
              </w:rPr>
            </w:pPr>
            <w:r>
              <w:rPr>
                <w:color w:val="auto"/>
              </w:rPr>
              <w:t>生态、土壤</w:t>
            </w:r>
          </w:p>
        </w:tc>
        <w:tc>
          <w:tcPr>
            <w:tcW w:w="2816" w:type="pct"/>
            <w:tcBorders>
              <w:tl2br w:val="nil"/>
              <w:tr2bl w:val="nil"/>
            </w:tcBorders>
            <w:vAlign w:val="center"/>
          </w:tcPr>
          <w:p>
            <w:pPr>
              <w:pStyle w:val="46"/>
              <w:rPr>
                <w:color w:val="auto"/>
              </w:rPr>
            </w:pPr>
            <w:r>
              <w:rPr>
                <w:color w:val="auto"/>
              </w:rPr>
              <w:t>土地平整、挖掘及工程占地</w:t>
            </w:r>
          </w:p>
        </w:tc>
        <w:tc>
          <w:tcPr>
            <w:tcW w:w="1522" w:type="pct"/>
            <w:tcBorders>
              <w:tl2br w:val="nil"/>
              <w:tr2bl w:val="nil"/>
            </w:tcBorders>
            <w:vAlign w:val="center"/>
          </w:tcPr>
          <w:p>
            <w:pPr>
              <w:pStyle w:val="46"/>
              <w:rPr>
                <w:color w:val="auto"/>
              </w:rPr>
            </w:pPr>
            <w:r>
              <w:rPr>
                <w:color w:val="auto"/>
              </w:rPr>
              <w:t>水土流失、植被破坏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60" w:type="pct"/>
            <w:vMerge w:val="continue"/>
            <w:tcBorders>
              <w:tl2br w:val="nil"/>
              <w:tr2bl w:val="nil"/>
            </w:tcBorders>
            <w:vAlign w:val="center"/>
          </w:tcPr>
          <w:p>
            <w:pPr>
              <w:pStyle w:val="46"/>
              <w:rPr>
                <w:color w:val="auto"/>
              </w:rPr>
            </w:pPr>
          </w:p>
        </w:tc>
        <w:tc>
          <w:tcPr>
            <w:tcW w:w="2816" w:type="pct"/>
            <w:tcBorders>
              <w:tl2br w:val="nil"/>
              <w:tr2bl w:val="nil"/>
            </w:tcBorders>
            <w:vAlign w:val="center"/>
          </w:tcPr>
          <w:p>
            <w:pPr>
              <w:pStyle w:val="46"/>
              <w:rPr>
                <w:color w:val="auto"/>
              </w:rPr>
            </w:pPr>
            <w:r>
              <w:rPr>
                <w:color w:val="auto"/>
              </w:rPr>
              <w:t>土石方、建材堆存</w:t>
            </w:r>
          </w:p>
        </w:tc>
        <w:tc>
          <w:tcPr>
            <w:tcW w:w="1522" w:type="pct"/>
            <w:tcBorders>
              <w:tl2br w:val="nil"/>
              <w:tr2bl w:val="nil"/>
            </w:tcBorders>
            <w:vAlign w:val="center"/>
          </w:tcPr>
          <w:p>
            <w:pPr>
              <w:pStyle w:val="46"/>
              <w:rPr>
                <w:color w:val="auto"/>
              </w:rPr>
            </w:pPr>
            <w:r>
              <w:rPr>
                <w:color w:val="auto"/>
              </w:rPr>
              <w:t>破坏植被、占压土地等</w:t>
            </w:r>
          </w:p>
        </w:tc>
      </w:tr>
    </w:tbl>
    <w:p>
      <w:pPr>
        <w:ind w:firstLine="480"/>
        <w:rPr>
          <w:color w:val="auto"/>
        </w:rPr>
      </w:pPr>
      <w:r>
        <w:rPr>
          <w:color w:val="auto"/>
        </w:rPr>
        <w:t>（二）营运期环境影响因素识别</w:t>
      </w:r>
    </w:p>
    <w:p>
      <w:pPr>
        <w:ind w:firstLine="480"/>
        <w:rPr>
          <w:color w:val="auto"/>
        </w:rPr>
      </w:pPr>
      <w:r>
        <w:rPr>
          <w:color w:val="auto"/>
        </w:rPr>
        <w:t>营运期影响因子识别结果见表1.</w:t>
      </w:r>
      <w:r>
        <w:rPr>
          <w:rFonts w:hint="eastAsia"/>
          <w:color w:val="auto"/>
          <w:lang w:val="en-US" w:eastAsia="zh-CN"/>
        </w:rPr>
        <w:t>5</w:t>
      </w:r>
      <w:r>
        <w:rPr>
          <w:color w:val="auto"/>
        </w:rPr>
        <w:t>-</w:t>
      </w:r>
      <w:r>
        <w:rPr>
          <w:rFonts w:hint="eastAsia"/>
          <w:color w:val="auto"/>
          <w:lang w:val="en-US" w:eastAsia="zh-CN"/>
        </w:rPr>
        <w:t>2</w:t>
      </w:r>
      <w:r>
        <w:rPr>
          <w:color w:val="auto"/>
        </w:rPr>
        <w:t>。</w:t>
      </w:r>
    </w:p>
    <w:p>
      <w:pPr>
        <w:pStyle w:val="43"/>
        <w:rPr>
          <w:color w:val="auto"/>
        </w:rPr>
      </w:pPr>
      <w:r>
        <w:rPr>
          <w:color w:val="auto"/>
        </w:rPr>
        <w:t>表1.</w:t>
      </w:r>
      <w:r>
        <w:rPr>
          <w:rFonts w:hint="eastAsia"/>
          <w:color w:val="auto"/>
          <w:lang w:val="en-US" w:eastAsia="zh-CN"/>
        </w:rPr>
        <w:t>5</w:t>
      </w:r>
      <w:r>
        <w:rPr>
          <w:color w:val="auto"/>
        </w:rPr>
        <w:t>-</w:t>
      </w:r>
      <w:r>
        <w:rPr>
          <w:rFonts w:hint="eastAsia"/>
          <w:color w:val="auto"/>
          <w:lang w:val="en-US" w:eastAsia="zh-CN"/>
        </w:rPr>
        <w:t>2</w:t>
      </w:r>
      <w:r>
        <w:rPr>
          <w:color w:val="auto"/>
        </w:rPr>
        <w:t xml:space="preserve">  营运期环境影响因子识别表</w:t>
      </w:r>
    </w:p>
    <w:tbl>
      <w:tblPr>
        <w:tblStyle w:val="22"/>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56"/>
        <w:gridCol w:w="1911"/>
        <w:gridCol w:w="3276"/>
        <w:gridCol w:w="1638"/>
        <w:gridCol w:w="14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trPr>
        <w:tc>
          <w:tcPr>
            <w:tcW w:w="0" w:type="auto"/>
            <w:vMerge w:val="restart"/>
            <w:vAlign w:val="center"/>
          </w:tcPr>
          <w:p>
            <w:pPr>
              <w:pStyle w:val="47"/>
              <w:rPr>
                <w:b/>
                <w:color w:val="auto"/>
              </w:rPr>
            </w:pPr>
            <w:r>
              <w:rPr>
                <w:b/>
                <w:color w:val="auto"/>
              </w:rPr>
              <w:t>名称</w:t>
            </w:r>
          </w:p>
        </w:tc>
        <w:tc>
          <w:tcPr>
            <w:tcW w:w="0" w:type="auto"/>
            <w:vMerge w:val="restart"/>
            <w:vAlign w:val="center"/>
          </w:tcPr>
          <w:p>
            <w:pPr>
              <w:pStyle w:val="47"/>
              <w:rPr>
                <w:b/>
                <w:color w:val="auto"/>
              </w:rPr>
            </w:pPr>
            <w:r>
              <w:rPr>
                <w:b/>
                <w:color w:val="auto"/>
              </w:rPr>
              <w:t>产生环节</w:t>
            </w:r>
          </w:p>
        </w:tc>
        <w:tc>
          <w:tcPr>
            <w:tcW w:w="0" w:type="auto"/>
            <w:vMerge w:val="restart"/>
            <w:vAlign w:val="center"/>
          </w:tcPr>
          <w:p>
            <w:pPr>
              <w:pStyle w:val="47"/>
              <w:rPr>
                <w:b/>
                <w:color w:val="auto"/>
              </w:rPr>
            </w:pPr>
            <w:r>
              <w:rPr>
                <w:b/>
                <w:color w:val="auto"/>
              </w:rPr>
              <w:t>产生影响的主要内容</w:t>
            </w:r>
          </w:p>
        </w:tc>
        <w:tc>
          <w:tcPr>
            <w:tcW w:w="0" w:type="auto"/>
            <w:gridSpan w:val="2"/>
            <w:vAlign w:val="center"/>
          </w:tcPr>
          <w:p>
            <w:pPr>
              <w:pStyle w:val="47"/>
              <w:rPr>
                <w:b/>
                <w:color w:val="auto"/>
              </w:rPr>
            </w:pPr>
            <w:r>
              <w:rPr>
                <w:b/>
                <w:color w:val="auto"/>
              </w:rPr>
              <w:t>主要影响因素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trPr>
        <w:tc>
          <w:tcPr>
            <w:tcW w:w="0" w:type="auto"/>
            <w:vMerge w:val="continue"/>
            <w:vAlign w:val="center"/>
          </w:tcPr>
          <w:p>
            <w:pPr>
              <w:pStyle w:val="47"/>
              <w:rPr>
                <w:b/>
                <w:color w:val="auto"/>
              </w:rPr>
            </w:pPr>
          </w:p>
        </w:tc>
        <w:tc>
          <w:tcPr>
            <w:tcW w:w="0" w:type="auto"/>
            <w:vMerge w:val="continue"/>
            <w:vAlign w:val="center"/>
          </w:tcPr>
          <w:p>
            <w:pPr>
              <w:pStyle w:val="47"/>
              <w:rPr>
                <w:b/>
                <w:color w:val="auto"/>
              </w:rPr>
            </w:pPr>
          </w:p>
        </w:tc>
        <w:tc>
          <w:tcPr>
            <w:tcW w:w="0" w:type="auto"/>
            <w:vMerge w:val="continue"/>
            <w:vAlign w:val="center"/>
          </w:tcPr>
          <w:p>
            <w:pPr>
              <w:pStyle w:val="47"/>
              <w:rPr>
                <w:b/>
                <w:color w:val="auto"/>
              </w:rPr>
            </w:pPr>
          </w:p>
        </w:tc>
        <w:tc>
          <w:tcPr>
            <w:tcW w:w="0" w:type="auto"/>
            <w:vAlign w:val="center"/>
          </w:tcPr>
          <w:p>
            <w:pPr>
              <w:pStyle w:val="47"/>
              <w:rPr>
                <w:b/>
                <w:color w:val="auto"/>
              </w:rPr>
            </w:pPr>
            <w:r>
              <w:rPr>
                <w:b/>
                <w:color w:val="auto"/>
              </w:rPr>
              <w:t>基本污染物</w:t>
            </w:r>
          </w:p>
        </w:tc>
        <w:tc>
          <w:tcPr>
            <w:tcW w:w="0" w:type="auto"/>
            <w:vAlign w:val="center"/>
          </w:tcPr>
          <w:p>
            <w:pPr>
              <w:pStyle w:val="47"/>
              <w:rPr>
                <w:b/>
                <w:color w:val="auto"/>
              </w:rPr>
            </w:pPr>
            <w:r>
              <w:rPr>
                <w:b/>
                <w:color w:val="auto"/>
              </w:rPr>
              <w:t>其他污染物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47"/>
              <w:rPr>
                <w:color w:val="auto"/>
              </w:rPr>
            </w:pPr>
            <w:r>
              <w:rPr>
                <w:color w:val="auto"/>
              </w:rPr>
              <w:t>环境空气</w:t>
            </w:r>
          </w:p>
        </w:tc>
        <w:tc>
          <w:tcPr>
            <w:tcW w:w="0" w:type="auto"/>
            <w:vAlign w:val="center"/>
          </w:tcPr>
          <w:p>
            <w:pPr>
              <w:pStyle w:val="47"/>
              <w:rPr>
                <w:color w:val="auto"/>
              </w:rPr>
            </w:pPr>
            <w:r>
              <w:rPr>
                <w:color w:val="auto"/>
              </w:rPr>
              <w:t>装置区、罐区</w:t>
            </w:r>
            <w:r>
              <w:rPr>
                <w:rFonts w:hint="eastAsia"/>
                <w:color w:val="auto"/>
              </w:rPr>
              <w:t>、锅炉房、污水处理站</w:t>
            </w:r>
          </w:p>
        </w:tc>
        <w:tc>
          <w:tcPr>
            <w:tcW w:w="0" w:type="auto"/>
            <w:vAlign w:val="center"/>
          </w:tcPr>
          <w:p>
            <w:pPr>
              <w:pStyle w:val="47"/>
              <w:rPr>
                <w:rFonts w:hint="eastAsia" w:eastAsia="宋体"/>
                <w:color w:val="auto"/>
                <w:lang w:val="en-US" w:eastAsia="zh-CN"/>
              </w:rPr>
            </w:pPr>
            <w:r>
              <w:rPr>
                <w:color w:val="auto"/>
              </w:rPr>
              <w:t>装置不凝气、装置区、罐区无组织排放</w:t>
            </w:r>
            <w:r>
              <w:rPr>
                <w:rFonts w:hint="eastAsia"/>
                <w:color w:val="auto"/>
              </w:rPr>
              <w:t>、锅炉房废气、污水处理站</w:t>
            </w:r>
            <w:r>
              <w:rPr>
                <w:rFonts w:hint="eastAsia"/>
                <w:color w:val="auto"/>
                <w:lang w:val="en-US" w:eastAsia="zh-CN"/>
              </w:rPr>
              <w:t>废气</w:t>
            </w:r>
          </w:p>
        </w:tc>
        <w:tc>
          <w:tcPr>
            <w:tcW w:w="0" w:type="auto"/>
            <w:vAlign w:val="center"/>
          </w:tcPr>
          <w:p>
            <w:pPr>
              <w:pStyle w:val="47"/>
              <w:rPr>
                <w:color w:val="auto"/>
              </w:rPr>
            </w:pPr>
            <w:r>
              <w:rPr>
                <w:color w:val="auto"/>
              </w:rPr>
              <w:t>颗粒物、</w:t>
            </w:r>
            <w:r>
              <w:rPr>
                <w:rFonts w:hint="eastAsia"/>
                <w:color w:val="auto"/>
              </w:rPr>
              <w:t>氮氧化物、二氧化硫</w:t>
            </w:r>
          </w:p>
        </w:tc>
        <w:tc>
          <w:tcPr>
            <w:tcW w:w="0" w:type="auto"/>
            <w:vAlign w:val="center"/>
          </w:tcPr>
          <w:p>
            <w:pPr>
              <w:pStyle w:val="47"/>
              <w:rPr>
                <w:rFonts w:hint="default" w:eastAsia="宋体"/>
                <w:color w:val="auto"/>
                <w:lang w:val="en-US" w:eastAsia="zh-CN"/>
              </w:rPr>
            </w:pPr>
            <w:r>
              <w:rPr>
                <w:color w:val="auto"/>
              </w:rPr>
              <w:t>VOCs</w:t>
            </w:r>
            <w:r>
              <w:rPr>
                <w:rFonts w:hint="eastAsia"/>
                <w:color w:val="auto"/>
              </w:rPr>
              <w:t>、</w:t>
            </w:r>
            <w:r>
              <w:rPr>
                <w:rFonts w:hint="eastAsia"/>
                <w:color w:val="auto"/>
                <w:lang w:val="en-US" w:eastAsia="zh-CN"/>
              </w:rPr>
              <w:t>氨、硫化氢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47"/>
              <w:rPr>
                <w:color w:val="auto"/>
              </w:rPr>
            </w:pPr>
            <w:r>
              <w:rPr>
                <w:color w:val="auto"/>
              </w:rPr>
              <w:t>水环境</w:t>
            </w:r>
          </w:p>
        </w:tc>
        <w:tc>
          <w:tcPr>
            <w:tcW w:w="0" w:type="auto"/>
            <w:vAlign w:val="center"/>
          </w:tcPr>
          <w:p>
            <w:pPr>
              <w:pStyle w:val="47"/>
              <w:rPr>
                <w:color w:val="auto"/>
                <w:szCs w:val="24"/>
              </w:rPr>
            </w:pPr>
            <w:r>
              <w:rPr>
                <w:rFonts w:hint="eastAsia"/>
                <w:color w:val="auto"/>
                <w:lang w:val="en-US" w:eastAsia="zh-CN"/>
              </w:rPr>
              <w:t>生产过程、</w:t>
            </w:r>
            <w:r>
              <w:rPr>
                <w:color w:val="auto"/>
              </w:rPr>
              <w:t>公辅工程</w:t>
            </w:r>
          </w:p>
        </w:tc>
        <w:tc>
          <w:tcPr>
            <w:tcW w:w="0" w:type="auto"/>
            <w:vAlign w:val="center"/>
          </w:tcPr>
          <w:p>
            <w:pPr>
              <w:pStyle w:val="47"/>
              <w:rPr>
                <w:color w:val="auto"/>
                <w:szCs w:val="24"/>
              </w:rPr>
            </w:pPr>
            <w:r>
              <w:rPr>
                <w:color w:val="auto"/>
              </w:rPr>
              <w:t>循环冷却系统排水、化验室排水、</w:t>
            </w:r>
            <w:r>
              <w:rPr>
                <w:rFonts w:hint="eastAsia"/>
                <w:color w:val="auto"/>
              </w:rPr>
              <w:t>喷淋塔</w:t>
            </w:r>
            <w:r>
              <w:rPr>
                <w:color w:val="auto"/>
              </w:rPr>
              <w:t>排水、地面清洗废水</w:t>
            </w:r>
          </w:p>
        </w:tc>
        <w:tc>
          <w:tcPr>
            <w:tcW w:w="3137" w:type="dxa"/>
            <w:gridSpan w:val="2"/>
            <w:vAlign w:val="center"/>
          </w:tcPr>
          <w:p>
            <w:pPr>
              <w:pStyle w:val="47"/>
              <w:rPr>
                <w:color w:val="auto"/>
              </w:rPr>
            </w:pPr>
            <w:r>
              <w:rPr>
                <w:color w:val="auto"/>
              </w:rPr>
              <w:t>pH、CODcr、</w:t>
            </w:r>
            <w:r>
              <w:rPr>
                <w:color w:val="auto"/>
                <w:kern w:val="0"/>
                <w:szCs w:val="21"/>
              </w:rPr>
              <w:t>BOD</w:t>
            </w:r>
            <w:r>
              <w:rPr>
                <w:color w:val="auto"/>
                <w:kern w:val="0"/>
                <w:szCs w:val="21"/>
                <w:vertAlign w:val="subscript"/>
              </w:rPr>
              <w:t>5</w:t>
            </w:r>
            <w:r>
              <w:rPr>
                <w:color w:val="auto"/>
              </w:rPr>
              <w:t>、SS、石油类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7" w:type="dxa"/>
            <w:vMerge w:val="restart"/>
            <w:vAlign w:val="center"/>
          </w:tcPr>
          <w:p>
            <w:pPr>
              <w:pStyle w:val="47"/>
              <w:rPr>
                <w:color w:val="auto"/>
              </w:rPr>
            </w:pPr>
            <w:r>
              <w:rPr>
                <w:color w:val="auto"/>
              </w:rPr>
              <w:t>固体废物</w:t>
            </w:r>
          </w:p>
        </w:tc>
        <w:tc>
          <w:tcPr>
            <w:tcW w:w="0" w:type="auto"/>
            <w:vAlign w:val="center"/>
          </w:tcPr>
          <w:p>
            <w:pPr>
              <w:pStyle w:val="47"/>
              <w:rPr>
                <w:color w:val="auto"/>
              </w:rPr>
            </w:pPr>
            <w:r>
              <w:rPr>
                <w:color w:val="auto"/>
              </w:rPr>
              <w:t>装置区</w:t>
            </w:r>
          </w:p>
        </w:tc>
        <w:tc>
          <w:tcPr>
            <w:tcW w:w="0" w:type="auto"/>
            <w:vAlign w:val="center"/>
          </w:tcPr>
          <w:p>
            <w:pPr>
              <w:pStyle w:val="47"/>
              <w:rPr>
                <w:color w:val="auto"/>
              </w:rPr>
            </w:pPr>
            <w:r>
              <w:rPr>
                <w:color w:val="auto"/>
              </w:rPr>
              <w:t>废包装袋、废包装桶、废润滑油</w:t>
            </w:r>
          </w:p>
        </w:tc>
        <w:tc>
          <w:tcPr>
            <w:tcW w:w="3137" w:type="dxa"/>
            <w:gridSpan w:val="2"/>
            <w:vAlign w:val="center"/>
          </w:tcPr>
          <w:p>
            <w:pPr>
              <w:pStyle w:val="47"/>
              <w:rPr>
                <w:rFonts w:hint="eastAsia" w:eastAsia="宋体"/>
                <w:color w:val="auto"/>
                <w:lang w:val="en-US" w:eastAsia="zh-CN"/>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7" w:type="dxa"/>
            <w:vMerge w:val="continue"/>
            <w:vAlign w:val="center"/>
          </w:tcPr>
          <w:p>
            <w:pPr>
              <w:pStyle w:val="47"/>
              <w:rPr>
                <w:color w:val="auto"/>
              </w:rPr>
            </w:pPr>
          </w:p>
        </w:tc>
        <w:tc>
          <w:tcPr>
            <w:tcW w:w="0" w:type="auto"/>
            <w:vAlign w:val="center"/>
          </w:tcPr>
          <w:p>
            <w:pPr>
              <w:pStyle w:val="47"/>
              <w:rPr>
                <w:rFonts w:hint="default" w:eastAsia="宋体"/>
                <w:color w:val="auto"/>
                <w:lang w:val="en-US" w:eastAsia="zh-CN"/>
              </w:rPr>
            </w:pPr>
            <w:r>
              <w:rPr>
                <w:rFonts w:hint="eastAsia"/>
                <w:color w:val="auto"/>
                <w:lang w:val="en-US" w:eastAsia="zh-CN"/>
              </w:rPr>
              <w:t>生产过程</w:t>
            </w:r>
          </w:p>
        </w:tc>
        <w:tc>
          <w:tcPr>
            <w:tcW w:w="0" w:type="auto"/>
            <w:vAlign w:val="center"/>
          </w:tcPr>
          <w:p>
            <w:pPr>
              <w:pStyle w:val="47"/>
              <w:rPr>
                <w:rFonts w:hint="eastAsia" w:eastAsia="宋体"/>
                <w:color w:val="auto"/>
                <w:lang w:val="en-US" w:eastAsia="zh-CN"/>
              </w:rPr>
            </w:pPr>
            <w:r>
              <w:rPr>
                <w:rFonts w:hint="eastAsia"/>
                <w:color w:val="auto"/>
                <w:lang w:val="en-US" w:eastAsia="zh-CN"/>
              </w:rPr>
              <w:t>高沸物</w:t>
            </w:r>
          </w:p>
        </w:tc>
        <w:tc>
          <w:tcPr>
            <w:tcW w:w="3137" w:type="dxa"/>
            <w:gridSpan w:val="2"/>
            <w:vAlign w:val="center"/>
          </w:tcPr>
          <w:p>
            <w:pPr>
              <w:pStyle w:val="47"/>
              <w:ind w:firstLine="0" w:firstLineChars="0"/>
              <w:rPr>
                <w:rFonts w:hint="default"/>
                <w:color w:val="auto"/>
                <w:lang w:val="en-US" w:eastAsia="zh-CN"/>
              </w:rPr>
            </w:pPr>
            <w:r>
              <w:rPr>
                <w:rFonts w:hint="eastAsia"/>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7" w:type="dxa"/>
            <w:vMerge w:val="continue"/>
            <w:vAlign w:val="center"/>
          </w:tcPr>
          <w:p>
            <w:pPr>
              <w:pStyle w:val="47"/>
              <w:rPr>
                <w:color w:val="auto"/>
              </w:rPr>
            </w:pPr>
          </w:p>
        </w:tc>
        <w:tc>
          <w:tcPr>
            <w:tcW w:w="0" w:type="auto"/>
            <w:vAlign w:val="center"/>
          </w:tcPr>
          <w:p>
            <w:pPr>
              <w:pStyle w:val="47"/>
              <w:rPr>
                <w:rFonts w:hint="default"/>
                <w:color w:val="auto"/>
                <w:lang w:val="en-US" w:eastAsia="zh-CN"/>
              </w:rPr>
            </w:pPr>
            <w:r>
              <w:rPr>
                <w:rFonts w:hint="eastAsia"/>
                <w:color w:val="auto"/>
                <w:lang w:val="en-US" w:eastAsia="zh-CN"/>
              </w:rPr>
              <w:t>生产过程</w:t>
            </w:r>
          </w:p>
        </w:tc>
        <w:tc>
          <w:tcPr>
            <w:tcW w:w="0" w:type="auto"/>
            <w:vAlign w:val="center"/>
          </w:tcPr>
          <w:p>
            <w:pPr>
              <w:pStyle w:val="47"/>
              <w:rPr>
                <w:rFonts w:hint="default"/>
                <w:color w:val="auto"/>
                <w:lang w:val="en-US" w:eastAsia="zh-CN"/>
              </w:rPr>
            </w:pPr>
            <w:r>
              <w:rPr>
                <w:rFonts w:hint="eastAsia"/>
                <w:color w:val="auto"/>
                <w:lang w:val="en-US" w:eastAsia="zh-CN"/>
              </w:rPr>
              <w:t>罐底残渣</w:t>
            </w:r>
          </w:p>
        </w:tc>
        <w:tc>
          <w:tcPr>
            <w:tcW w:w="3137" w:type="dxa"/>
            <w:gridSpan w:val="2"/>
            <w:vAlign w:val="center"/>
          </w:tcPr>
          <w:p>
            <w:pPr>
              <w:pStyle w:val="47"/>
              <w:ind w:firstLine="0" w:firstLineChars="0"/>
              <w:rPr>
                <w:rFonts w:hint="default"/>
                <w:color w:val="auto"/>
                <w:lang w:val="en-US" w:eastAsia="zh-CN"/>
              </w:rPr>
            </w:pPr>
            <w:r>
              <w:rPr>
                <w:rFonts w:hint="eastAsia"/>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7" w:type="dxa"/>
            <w:vMerge w:val="continue"/>
            <w:vAlign w:val="center"/>
          </w:tcPr>
          <w:p>
            <w:pPr>
              <w:pStyle w:val="47"/>
              <w:rPr>
                <w:color w:val="auto"/>
              </w:rPr>
            </w:pPr>
          </w:p>
        </w:tc>
        <w:tc>
          <w:tcPr>
            <w:tcW w:w="0" w:type="auto"/>
            <w:vAlign w:val="center"/>
          </w:tcPr>
          <w:p>
            <w:pPr>
              <w:pStyle w:val="47"/>
              <w:rPr>
                <w:color w:val="auto"/>
              </w:rPr>
            </w:pPr>
            <w:r>
              <w:rPr>
                <w:color w:val="auto"/>
              </w:rPr>
              <w:t>化验室</w:t>
            </w:r>
          </w:p>
        </w:tc>
        <w:tc>
          <w:tcPr>
            <w:tcW w:w="0" w:type="auto"/>
            <w:vAlign w:val="center"/>
          </w:tcPr>
          <w:p>
            <w:pPr>
              <w:pStyle w:val="47"/>
              <w:rPr>
                <w:color w:val="auto"/>
              </w:rPr>
            </w:pPr>
            <w:r>
              <w:rPr>
                <w:color w:val="auto"/>
              </w:rPr>
              <w:t>化验室废试剂瓶、化验室废液</w:t>
            </w:r>
          </w:p>
        </w:tc>
        <w:tc>
          <w:tcPr>
            <w:tcW w:w="3137" w:type="dxa"/>
            <w:gridSpan w:val="2"/>
            <w:vAlign w:val="center"/>
          </w:tcPr>
          <w:p>
            <w:pPr>
              <w:pStyle w:val="47"/>
              <w:ind w:firstLine="0" w:firstLineChars="0"/>
              <w:rPr>
                <w:color w:val="auto"/>
                <w:szCs w:val="24"/>
              </w:rPr>
            </w:pPr>
            <w:r>
              <w:rPr>
                <w:rFonts w:hint="eastAsia"/>
                <w:color w:val="auto"/>
                <w:lang w:val="en-US" w:eastAsia="zh-CN"/>
              </w:rPr>
              <w:t>废酸、废碱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717" w:type="dxa"/>
            <w:vMerge w:val="continue"/>
            <w:vAlign w:val="center"/>
          </w:tcPr>
          <w:p>
            <w:pPr>
              <w:pStyle w:val="47"/>
              <w:rPr>
                <w:color w:val="auto"/>
              </w:rPr>
            </w:pPr>
          </w:p>
        </w:tc>
        <w:tc>
          <w:tcPr>
            <w:tcW w:w="0" w:type="auto"/>
            <w:vAlign w:val="center"/>
          </w:tcPr>
          <w:p>
            <w:pPr>
              <w:pStyle w:val="47"/>
              <w:rPr>
                <w:color w:val="auto"/>
              </w:rPr>
            </w:pPr>
            <w:r>
              <w:rPr>
                <w:color w:val="auto"/>
              </w:rPr>
              <w:t>废气治理</w:t>
            </w:r>
          </w:p>
        </w:tc>
        <w:tc>
          <w:tcPr>
            <w:tcW w:w="0" w:type="auto"/>
            <w:vAlign w:val="center"/>
          </w:tcPr>
          <w:p>
            <w:pPr>
              <w:pStyle w:val="47"/>
              <w:rPr>
                <w:color w:val="auto"/>
              </w:rPr>
            </w:pPr>
            <w:r>
              <w:rPr>
                <w:color w:val="auto"/>
              </w:rPr>
              <w:t>废活性炭</w:t>
            </w:r>
          </w:p>
        </w:tc>
        <w:tc>
          <w:tcPr>
            <w:tcW w:w="3137" w:type="dxa"/>
            <w:gridSpan w:val="2"/>
            <w:vAlign w:val="center"/>
          </w:tcPr>
          <w:p>
            <w:pPr>
              <w:pStyle w:val="47"/>
              <w:ind w:firstLine="0" w:firstLineChars="0"/>
              <w:rPr>
                <w:color w:val="auto"/>
              </w:rPr>
            </w:pPr>
            <w:r>
              <w:rPr>
                <w:color w:val="auto"/>
              </w:rPr>
              <w:t>VOCs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7" w:type="dxa"/>
            <w:vMerge w:val="continue"/>
            <w:vAlign w:val="center"/>
          </w:tcPr>
          <w:p>
            <w:pPr>
              <w:pStyle w:val="47"/>
              <w:rPr>
                <w:color w:val="auto"/>
              </w:rPr>
            </w:pPr>
          </w:p>
        </w:tc>
        <w:tc>
          <w:tcPr>
            <w:tcW w:w="0" w:type="auto"/>
            <w:vAlign w:val="center"/>
          </w:tcPr>
          <w:p>
            <w:pPr>
              <w:pStyle w:val="47"/>
              <w:rPr>
                <w:color w:val="auto"/>
              </w:rPr>
            </w:pPr>
            <w:r>
              <w:rPr>
                <w:color w:val="auto"/>
              </w:rPr>
              <w:t>污水处理</w:t>
            </w:r>
          </w:p>
        </w:tc>
        <w:tc>
          <w:tcPr>
            <w:tcW w:w="0" w:type="auto"/>
            <w:vAlign w:val="center"/>
          </w:tcPr>
          <w:p>
            <w:pPr>
              <w:pStyle w:val="47"/>
              <w:rPr>
                <w:color w:val="auto"/>
              </w:rPr>
            </w:pPr>
            <w:r>
              <w:rPr>
                <w:color w:val="auto"/>
              </w:rPr>
              <w:t>污水站污泥</w:t>
            </w:r>
          </w:p>
        </w:tc>
        <w:tc>
          <w:tcPr>
            <w:tcW w:w="3137" w:type="dxa"/>
            <w:gridSpan w:val="2"/>
            <w:vAlign w:val="center"/>
          </w:tcPr>
          <w:p>
            <w:pPr>
              <w:pStyle w:val="47"/>
              <w:ind w:firstLine="0" w:firstLineChars="0"/>
              <w:rPr>
                <w:color w:val="auto"/>
              </w:rPr>
            </w:pPr>
            <w:r>
              <w:rPr>
                <w:rFonts w:hint="eastAsia"/>
                <w:color w:val="auto"/>
                <w:lang w:val="en-US" w:eastAsia="zh-CN"/>
              </w:rPr>
              <w:t>污泥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7" w:type="dxa"/>
            <w:vMerge w:val="continue"/>
            <w:vAlign w:val="center"/>
          </w:tcPr>
          <w:p>
            <w:pPr>
              <w:pStyle w:val="47"/>
              <w:rPr>
                <w:color w:val="auto"/>
              </w:rPr>
            </w:pPr>
          </w:p>
        </w:tc>
        <w:tc>
          <w:tcPr>
            <w:tcW w:w="0" w:type="auto"/>
            <w:vAlign w:val="center"/>
          </w:tcPr>
          <w:p>
            <w:pPr>
              <w:pStyle w:val="47"/>
              <w:rPr>
                <w:rFonts w:hint="eastAsia" w:eastAsia="宋体"/>
                <w:color w:val="auto"/>
                <w:lang w:val="en-US" w:eastAsia="zh-CN"/>
              </w:rPr>
            </w:pPr>
            <w:r>
              <w:rPr>
                <w:rFonts w:hint="eastAsia"/>
                <w:color w:val="auto"/>
                <w:lang w:val="en-US" w:eastAsia="zh-CN"/>
              </w:rPr>
              <w:t>锅炉房</w:t>
            </w:r>
          </w:p>
        </w:tc>
        <w:tc>
          <w:tcPr>
            <w:tcW w:w="0" w:type="auto"/>
            <w:vAlign w:val="center"/>
          </w:tcPr>
          <w:p>
            <w:pPr>
              <w:pStyle w:val="47"/>
              <w:rPr>
                <w:rFonts w:hint="eastAsia" w:eastAsia="宋体"/>
                <w:color w:val="auto"/>
                <w:lang w:val="en-US" w:eastAsia="zh-CN"/>
              </w:rPr>
            </w:pPr>
            <w:r>
              <w:rPr>
                <w:rFonts w:hint="eastAsia"/>
                <w:color w:val="auto"/>
                <w:lang w:val="en-US" w:eastAsia="zh-CN"/>
              </w:rPr>
              <w:t>废导热油</w:t>
            </w:r>
          </w:p>
        </w:tc>
        <w:tc>
          <w:tcPr>
            <w:tcW w:w="3137" w:type="dxa"/>
            <w:gridSpan w:val="2"/>
            <w:vAlign w:val="center"/>
          </w:tcPr>
          <w:p>
            <w:pPr>
              <w:pStyle w:val="47"/>
              <w:ind w:firstLine="0" w:firstLineChars="0"/>
              <w:rPr>
                <w:rFonts w:hint="default"/>
                <w:color w:val="auto"/>
                <w:lang w:val="en-US" w:eastAsia="zh-CN"/>
              </w:rPr>
            </w:pPr>
            <w:r>
              <w:rPr>
                <w:rFonts w:hint="eastAsia"/>
                <w:color w:val="auto"/>
                <w:lang w:val="en-US" w:eastAsia="zh-CN"/>
              </w:rPr>
              <w:t>石油烃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47"/>
              <w:rPr>
                <w:color w:val="auto"/>
              </w:rPr>
            </w:pPr>
            <w:r>
              <w:rPr>
                <w:color w:val="auto"/>
              </w:rPr>
              <w:t>声环境</w:t>
            </w:r>
          </w:p>
        </w:tc>
        <w:tc>
          <w:tcPr>
            <w:tcW w:w="0" w:type="auto"/>
            <w:vAlign w:val="center"/>
          </w:tcPr>
          <w:p>
            <w:pPr>
              <w:pStyle w:val="47"/>
              <w:rPr>
                <w:color w:val="auto"/>
              </w:rPr>
            </w:pPr>
            <w:r>
              <w:rPr>
                <w:color w:val="auto"/>
              </w:rPr>
              <w:t>装置区</w:t>
            </w:r>
          </w:p>
        </w:tc>
        <w:tc>
          <w:tcPr>
            <w:tcW w:w="0" w:type="auto"/>
            <w:vAlign w:val="center"/>
          </w:tcPr>
          <w:p>
            <w:pPr>
              <w:pStyle w:val="47"/>
              <w:rPr>
                <w:color w:val="auto"/>
              </w:rPr>
            </w:pPr>
            <w:r>
              <w:rPr>
                <w:color w:val="auto"/>
              </w:rPr>
              <w:t>风机、泵类等设备噪声</w:t>
            </w:r>
          </w:p>
        </w:tc>
        <w:tc>
          <w:tcPr>
            <w:tcW w:w="3137" w:type="dxa"/>
            <w:gridSpan w:val="2"/>
            <w:vAlign w:val="center"/>
          </w:tcPr>
          <w:p>
            <w:pPr>
              <w:pStyle w:val="47"/>
              <w:rPr>
                <w:color w:val="auto"/>
              </w:rPr>
            </w:pPr>
            <w:r>
              <w:rPr>
                <w:rFonts w:eastAsia="Times New Roman"/>
                <w:color w:val="auto"/>
              </w:rPr>
              <w:t>L</w:t>
            </w:r>
            <w:r>
              <w:rPr>
                <w:rFonts w:eastAsia="Times New Roman"/>
                <w:color w:val="auto"/>
                <w:position w:val="-3"/>
                <w:sz w:val="14"/>
              </w:rPr>
              <w:t>Aeq</w:t>
            </w:r>
            <w:r>
              <w:rPr>
                <w:rFonts w:eastAsia="Times New Roman"/>
                <w:color w:val="auto"/>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47"/>
              <w:rPr>
                <w:color w:val="auto"/>
              </w:rPr>
            </w:pPr>
            <w:r>
              <w:rPr>
                <w:color w:val="auto"/>
              </w:rPr>
              <w:t>土壤环境</w:t>
            </w:r>
          </w:p>
        </w:tc>
        <w:tc>
          <w:tcPr>
            <w:tcW w:w="0" w:type="auto"/>
            <w:vAlign w:val="center"/>
          </w:tcPr>
          <w:p>
            <w:pPr>
              <w:pStyle w:val="47"/>
              <w:rPr>
                <w:color w:val="auto"/>
              </w:rPr>
            </w:pPr>
            <w:r>
              <w:rPr>
                <w:color w:val="auto"/>
              </w:rPr>
              <w:t>装置区、罐区</w:t>
            </w:r>
          </w:p>
        </w:tc>
        <w:tc>
          <w:tcPr>
            <w:tcW w:w="0" w:type="auto"/>
            <w:vAlign w:val="center"/>
          </w:tcPr>
          <w:p>
            <w:pPr>
              <w:pStyle w:val="47"/>
              <w:rPr>
                <w:color w:val="auto"/>
              </w:rPr>
            </w:pPr>
            <w:r>
              <w:rPr>
                <w:rFonts w:hint="eastAsia"/>
                <w:color w:val="auto"/>
              </w:rPr>
              <w:t>地表漫流、</w:t>
            </w:r>
            <w:r>
              <w:rPr>
                <w:color w:val="auto"/>
              </w:rPr>
              <w:t>垂直入渗</w:t>
            </w:r>
          </w:p>
        </w:tc>
        <w:tc>
          <w:tcPr>
            <w:tcW w:w="3137" w:type="dxa"/>
            <w:gridSpan w:val="2"/>
            <w:vAlign w:val="center"/>
          </w:tcPr>
          <w:p>
            <w:pPr>
              <w:pStyle w:val="47"/>
              <w:rPr>
                <w:color w:val="auto"/>
              </w:rPr>
            </w:pPr>
            <w:r>
              <w:rPr>
                <w:color w:val="auto"/>
              </w:rPr>
              <w:t>石油烃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47"/>
              <w:rPr>
                <w:rFonts w:hint="default" w:eastAsia="宋体"/>
                <w:color w:val="auto"/>
                <w:lang w:val="en-US" w:eastAsia="zh-CN"/>
              </w:rPr>
            </w:pPr>
            <w:r>
              <w:rPr>
                <w:rFonts w:hint="eastAsia"/>
                <w:color w:val="auto"/>
                <w:lang w:val="en-US" w:eastAsia="zh-CN"/>
              </w:rPr>
              <w:t>生态环境</w:t>
            </w:r>
          </w:p>
        </w:tc>
        <w:tc>
          <w:tcPr>
            <w:tcW w:w="0" w:type="auto"/>
            <w:vAlign w:val="center"/>
          </w:tcPr>
          <w:p>
            <w:pPr>
              <w:pStyle w:val="47"/>
              <w:rPr>
                <w:rFonts w:hint="default" w:eastAsia="宋体"/>
                <w:color w:val="auto"/>
                <w:lang w:val="en-US" w:eastAsia="zh-CN"/>
              </w:rPr>
            </w:pPr>
            <w:r>
              <w:rPr>
                <w:rFonts w:hint="eastAsia"/>
                <w:color w:val="auto"/>
                <w:lang w:val="en-US" w:eastAsia="zh-CN"/>
              </w:rPr>
              <w:t>装置区、罐区</w:t>
            </w:r>
          </w:p>
        </w:tc>
        <w:tc>
          <w:tcPr>
            <w:tcW w:w="0" w:type="auto"/>
            <w:vAlign w:val="center"/>
          </w:tcPr>
          <w:p>
            <w:pPr>
              <w:pStyle w:val="47"/>
              <w:rPr>
                <w:rFonts w:hint="default" w:eastAsia="宋体"/>
                <w:color w:val="auto"/>
                <w:lang w:val="en-US" w:eastAsia="zh-CN"/>
              </w:rPr>
            </w:pPr>
            <w:r>
              <w:rPr>
                <w:rFonts w:hint="eastAsia"/>
                <w:color w:val="auto"/>
                <w:lang w:val="en-US" w:eastAsia="zh-CN"/>
              </w:rPr>
              <w:t>植被破坏</w:t>
            </w:r>
          </w:p>
        </w:tc>
        <w:tc>
          <w:tcPr>
            <w:tcW w:w="3137" w:type="dxa"/>
            <w:gridSpan w:val="2"/>
            <w:vAlign w:val="center"/>
          </w:tcPr>
          <w:p>
            <w:pPr>
              <w:pStyle w:val="47"/>
              <w:rPr>
                <w:rFonts w:hint="eastAsia" w:eastAsia="宋体"/>
                <w:color w:val="auto"/>
                <w:lang w:val="en-US" w:eastAsia="zh-CN"/>
              </w:rPr>
            </w:pPr>
            <w:r>
              <w:rPr>
                <w:rFonts w:hint="eastAsia"/>
                <w:color w:val="auto"/>
                <w:lang w:val="en-US" w:eastAsia="zh-CN"/>
              </w:rPr>
              <w:t>/</w:t>
            </w:r>
          </w:p>
        </w:tc>
      </w:tr>
    </w:tbl>
    <w:p>
      <w:pPr>
        <w:pStyle w:val="9"/>
        <w:tabs>
          <w:tab w:val="left" w:pos="900"/>
        </w:tabs>
        <w:spacing w:before="0" w:beforeLines="0" w:after="0" w:afterLines="0"/>
        <w:rPr>
          <w:color w:val="auto"/>
        </w:rPr>
      </w:pPr>
      <w:r>
        <w:rPr>
          <w:color w:val="auto"/>
        </w:rPr>
        <w:t>1.</w:t>
      </w:r>
      <w:r>
        <w:rPr>
          <w:rFonts w:hint="eastAsia"/>
          <w:color w:val="auto"/>
          <w:lang w:val="en-US" w:eastAsia="zh-CN"/>
        </w:rPr>
        <w:t>5.2</w:t>
      </w:r>
      <w:r>
        <w:rPr>
          <w:color w:val="auto"/>
        </w:rPr>
        <w:t>环境影响评价因子</w:t>
      </w:r>
      <w:r>
        <w:rPr>
          <w:rFonts w:hint="eastAsia"/>
          <w:color w:val="auto"/>
        </w:rPr>
        <w:t>的识别与</w:t>
      </w:r>
      <w:r>
        <w:rPr>
          <w:color w:val="auto"/>
        </w:rPr>
        <w:t>确定</w:t>
      </w:r>
      <w:bookmarkEnd w:id="119"/>
      <w:bookmarkEnd w:id="120"/>
      <w:bookmarkEnd w:id="121"/>
      <w:bookmarkEnd w:id="122"/>
      <w:bookmarkEnd w:id="123"/>
    </w:p>
    <w:p>
      <w:pPr>
        <w:autoSpaceDE w:val="0"/>
        <w:autoSpaceDN w:val="0"/>
        <w:snapToGrid w:val="0"/>
        <w:ind w:firstLine="480"/>
        <w:rPr>
          <w:color w:val="auto"/>
        </w:rPr>
      </w:pPr>
      <w:r>
        <w:rPr>
          <w:color w:val="auto"/>
        </w:rPr>
        <w:t>针对上述环境影响因子的识别与确定，环境影响因子的识别见表1.</w:t>
      </w:r>
      <w:r>
        <w:rPr>
          <w:rFonts w:hint="eastAsia"/>
          <w:color w:val="auto"/>
          <w:lang w:val="en-US" w:eastAsia="zh-CN"/>
        </w:rPr>
        <w:t>5</w:t>
      </w:r>
      <w:r>
        <w:rPr>
          <w:color w:val="auto"/>
        </w:rPr>
        <w:t>-</w:t>
      </w:r>
      <w:r>
        <w:rPr>
          <w:rFonts w:hint="eastAsia"/>
          <w:color w:val="auto"/>
          <w:lang w:val="en-US" w:eastAsia="zh-CN"/>
        </w:rPr>
        <w:t>3</w:t>
      </w:r>
      <w:r>
        <w:rPr>
          <w:color w:val="auto"/>
        </w:rPr>
        <w:t>，评价因子的确定见表1.</w:t>
      </w:r>
      <w:r>
        <w:rPr>
          <w:rFonts w:hint="eastAsia"/>
          <w:color w:val="auto"/>
          <w:lang w:val="en-US" w:eastAsia="zh-CN"/>
        </w:rPr>
        <w:t>5</w:t>
      </w:r>
      <w:r>
        <w:rPr>
          <w:color w:val="auto"/>
        </w:rPr>
        <w:t>-</w:t>
      </w:r>
      <w:r>
        <w:rPr>
          <w:rFonts w:hint="eastAsia"/>
          <w:color w:val="auto"/>
          <w:lang w:val="en-US" w:eastAsia="zh-CN"/>
        </w:rPr>
        <w:t>4</w:t>
      </w:r>
      <w:r>
        <w:rPr>
          <w:color w:val="auto"/>
        </w:rPr>
        <w:t>。</w:t>
      </w:r>
    </w:p>
    <w:p>
      <w:pPr>
        <w:pStyle w:val="43"/>
        <w:rPr>
          <w:color w:val="auto"/>
        </w:rPr>
      </w:pPr>
      <w:r>
        <w:rPr>
          <w:color w:val="auto"/>
        </w:rPr>
        <w:t>表</w:t>
      </w:r>
      <w:r>
        <w:rPr>
          <w:rFonts w:hint="eastAsia"/>
          <w:color w:val="auto"/>
        </w:rPr>
        <w:t>1.</w:t>
      </w:r>
      <w:r>
        <w:rPr>
          <w:rFonts w:hint="eastAsia"/>
          <w:color w:val="auto"/>
          <w:lang w:val="en-US" w:eastAsia="zh-CN"/>
        </w:rPr>
        <w:t>5</w:t>
      </w:r>
      <w:r>
        <w:rPr>
          <w:rFonts w:hint="eastAsia"/>
          <w:color w:val="auto"/>
        </w:rPr>
        <w:t>-</w:t>
      </w:r>
      <w:r>
        <w:rPr>
          <w:rFonts w:hint="eastAsia"/>
          <w:color w:val="auto"/>
          <w:lang w:val="en-US" w:eastAsia="zh-CN"/>
        </w:rPr>
        <w:t>3</w:t>
      </w:r>
      <w:r>
        <w:rPr>
          <w:color w:val="auto"/>
        </w:rPr>
        <w:t xml:space="preserve"> 环境影响评价因子</w:t>
      </w:r>
      <w:r>
        <w:rPr>
          <w:rFonts w:hint="eastAsia"/>
          <w:color w:val="auto"/>
        </w:rPr>
        <w:t>识别</w:t>
      </w:r>
    </w:p>
    <w:tbl>
      <w:tblPr>
        <w:tblStyle w:val="22"/>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00"/>
        <w:gridCol w:w="2325"/>
        <w:gridCol w:w="1562"/>
        <w:gridCol w:w="1188"/>
        <w:gridCol w:w="291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300" w:type="dxa"/>
            <w:vMerge w:val="restart"/>
            <w:vAlign w:val="center"/>
          </w:tcPr>
          <w:p>
            <w:pPr>
              <w:pStyle w:val="2"/>
              <w:spacing w:after="0" w:line="240" w:lineRule="auto"/>
              <w:ind w:firstLine="0" w:firstLineChars="0"/>
              <w:jc w:val="center"/>
              <w:rPr>
                <w:b/>
                <w:color w:val="auto"/>
                <w:sz w:val="21"/>
                <w:szCs w:val="21"/>
              </w:rPr>
            </w:pPr>
            <w:r>
              <w:rPr>
                <w:b/>
                <w:color w:val="auto"/>
                <w:sz w:val="21"/>
                <w:szCs w:val="21"/>
              </w:rPr>
              <w:t>环境要素</w:t>
            </w:r>
          </w:p>
        </w:tc>
        <w:tc>
          <w:tcPr>
            <w:tcW w:w="7986" w:type="dxa"/>
            <w:gridSpan w:val="4"/>
            <w:vAlign w:val="center"/>
          </w:tcPr>
          <w:p>
            <w:pPr>
              <w:pStyle w:val="2"/>
              <w:spacing w:after="0" w:line="240" w:lineRule="auto"/>
              <w:ind w:firstLine="0" w:firstLineChars="0"/>
              <w:jc w:val="center"/>
              <w:rPr>
                <w:b/>
                <w:color w:val="auto"/>
                <w:sz w:val="21"/>
                <w:szCs w:val="21"/>
              </w:rPr>
            </w:pPr>
            <w:r>
              <w:rPr>
                <w:b/>
                <w:color w:val="auto"/>
                <w:sz w:val="21"/>
                <w:szCs w:val="21"/>
              </w:rPr>
              <w:t>环境影响因子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300" w:type="dxa"/>
            <w:vMerge w:val="continue"/>
            <w:vAlign w:val="center"/>
          </w:tcPr>
          <w:p>
            <w:pPr>
              <w:pStyle w:val="2"/>
              <w:spacing w:after="0" w:line="240" w:lineRule="auto"/>
              <w:ind w:firstLine="0" w:firstLineChars="0"/>
              <w:jc w:val="center"/>
              <w:rPr>
                <w:b/>
                <w:color w:val="auto"/>
                <w:sz w:val="21"/>
                <w:szCs w:val="21"/>
              </w:rPr>
            </w:pPr>
          </w:p>
        </w:tc>
        <w:tc>
          <w:tcPr>
            <w:tcW w:w="2325" w:type="dxa"/>
            <w:vAlign w:val="center"/>
          </w:tcPr>
          <w:p>
            <w:pPr>
              <w:pStyle w:val="2"/>
              <w:spacing w:after="0" w:line="240" w:lineRule="auto"/>
              <w:ind w:firstLine="0" w:firstLineChars="0"/>
              <w:jc w:val="center"/>
              <w:rPr>
                <w:b/>
                <w:color w:val="auto"/>
                <w:sz w:val="21"/>
                <w:szCs w:val="21"/>
              </w:rPr>
            </w:pPr>
            <w:r>
              <w:rPr>
                <w:b/>
                <w:color w:val="auto"/>
                <w:sz w:val="21"/>
                <w:szCs w:val="21"/>
              </w:rPr>
              <w:t>废水</w:t>
            </w:r>
          </w:p>
        </w:tc>
        <w:tc>
          <w:tcPr>
            <w:tcW w:w="1562" w:type="dxa"/>
            <w:vAlign w:val="center"/>
          </w:tcPr>
          <w:p>
            <w:pPr>
              <w:pStyle w:val="2"/>
              <w:spacing w:after="0" w:line="240" w:lineRule="auto"/>
              <w:ind w:firstLine="0" w:firstLineChars="0"/>
              <w:jc w:val="center"/>
              <w:rPr>
                <w:b/>
                <w:color w:val="auto"/>
                <w:sz w:val="21"/>
                <w:szCs w:val="21"/>
              </w:rPr>
            </w:pPr>
            <w:r>
              <w:rPr>
                <w:b/>
                <w:color w:val="auto"/>
                <w:sz w:val="21"/>
                <w:szCs w:val="21"/>
              </w:rPr>
              <w:t>废气</w:t>
            </w:r>
          </w:p>
        </w:tc>
        <w:tc>
          <w:tcPr>
            <w:tcW w:w="1188" w:type="dxa"/>
            <w:vAlign w:val="center"/>
          </w:tcPr>
          <w:p>
            <w:pPr>
              <w:pStyle w:val="2"/>
              <w:spacing w:after="0" w:line="240" w:lineRule="auto"/>
              <w:ind w:firstLine="0" w:firstLineChars="0"/>
              <w:jc w:val="center"/>
              <w:rPr>
                <w:b/>
                <w:color w:val="auto"/>
                <w:sz w:val="21"/>
                <w:szCs w:val="21"/>
              </w:rPr>
            </w:pPr>
            <w:r>
              <w:rPr>
                <w:b/>
                <w:color w:val="auto"/>
                <w:sz w:val="21"/>
                <w:szCs w:val="21"/>
              </w:rPr>
              <w:t>噪声</w:t>
            </w:r>
          </w:p>
        </w:tc>
        <w:tc>
          <w:tcPr>
            <w:tcW w:w="2911" w:type="dxa"/>
            <w:vAlign w:val="center"/>
          </w:tcPr>
          <w:p>
            <w:pPr>
              <w:pStyle w:val="2"/>
              <w:spacing w:after="0" w:line="240" w:lineRule="auto"/>
              <w:ind w:firstLine="0" w:firstLineChars="0"/>
              <w:jc w:val="center"/>
              <w:rPr>
                <w:b/>
                <w:color w:val="auto"/>
                <w:sz w:val="21"/>
                <w:szCs w:val="21"/>
              </w:rPr>
            </w:pPr>
            <w:r>
              <w:rPr>
                <w:b/>
                <w:color w:val="auto"/>
                <w:sz w:val="21"/>
                <w:szCs w:val="21"/>
              </w:rPr>
              <w:t>固体废物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71" w:hRule="atLeast"/>
          <w:jc w:val="center"/>
        </w:trPr>
        <w:tc>
          <w:tcPr>
            <w:tcW w:w="1300" w:type="dxa"/>
            <w:vMerge w:val="continue"/>
            <w:vAlign w:val="center"/>
          </w:tcPr>
          <w:p>
            <w:pPr>
              <w:pStyle w:val="2"/>
              <w:spacing w:after="0" w:line="240" w:lineRule="auto"/>
              <w:ind w:firstLine="0" w:firstLineChars="0"/>
              <w:jc w:val="center"/>
              <w:rPr>
                <w:color w:val="auto"/>
                <w:sz w:val="21"/>
                <w:szCs w:val="21"/>
              </w:rPr>
            </w:pPr>
          </w:p>
        </w:tc>
        <w:tc>
          <w:tcPr>
            <w:tcW w:w="2325" w:type="dxa"/>
            <w:vAlign w:val="center"/>
          </w:tcPr>
          <w:p>
            <w:pPr>
              <w:pStyle w:val="2"/>
              <w:spacing w:after="0" w:line="240" w:lineRule="auto"/>
              <w:ind w:firstLine="0" w:firstLineChars="0"/>
              <w:jc w:val="center"/>
              <w:rPr>
                <w:color w:val="auto"/>
                <w:sz w:val="21"/>
                <w:szCs w:val="21"/>
              </w:rPr>
            </w:pPr>
            <w:r>
              <w:rPr>
                <w:rFonts w:hint="eastAsia"/>
                <w:color w:val="auto"/>
                <w:sz w:val="21"/>
                <w:szCs w:val="21"/>
              </w:rPr>
              <w:t>pH、CODcr、BOD</w:t>
            </w:r>
            <w:r>
              <w:rPr>
                <w:rFonts w:hint="eastAsia"/>
                <w:color w:val="auto"/>
                <w:sz w:val="21"/>
                <w:szCs w:val="21"/>
                <w:vertAlign w:val="subscript"/>
              </w:rPr>
              <w:t>5</w:t>
            </w:r>
            <w:r>
              <w:rPr>
                <w:rFonts w:hint="eastAsia"/>
                <w:color w:val="auto"/>
                <w:sz w:val="21"/>
                <w:szCs w:val="21"/>
              </w:rPr>
              <w:t>、SS、石油类</w:t>
            </w:r>
          </w:p>
        </w:tc>
        <w:tc>
          <w:tcPr>
            <w:tcW w:w="1562" w:type="dxa"/>
            <w:vAlign w:val="center"/>
          </w:tcPr>
          <w:p>
            <w:pPr>
              <w:pStyle w:val="2"/>
              <w:spacing w:after="0" w:line="240" w:lineRule="auto"/>
              <w:ind w:firstLine="0" w:firstLineChars="0"/>
              <w:jc w:val="center"/>
              <w:rPr>
                <w:rFonts w:hint="eastAsia" w:eastAsia="宋体"/>
                <w:color w:val="auto"/>
                <w:sz w:val="21"/>
                <w:szCs w:val="21"/>
                <w:lang w:eastAsia="zh-CN"/>
              </w:rPr>
            </w:pPr>
            <w:r>
              <w:rPr>
                <w:color w:val="auto"/>
                <w:sz w:val="21"/>
                <w:szCs w:val="21"/>
              </w:rPr>
              <w:t>颗粒物、VOCs</w:t>
            </w:r>
            <w:r>
              <w:rPr>
                <w:rFonts w:hint="eastAsia"/>
                <w:color w:val="auto"/>
                <w:sz w:val="21"/>
                <w:szCs w:val="21"/>
              </w:rPr>
              <w:t>、氮氧化物、二氧化硫</w:t>
            </w:r>
            <w:r>
              <w:rPr>
                <w:rFonts w:hint="eastAsia"/>
                <w:color w:val="auto"/>
                <w:sz w:val="21"/>
                <w:szCs w:val="21"/>
                <w:lang w:eastAsia="zh-CN"/>
              </w:rPr>
              <w:t>、</w:t>
            </w:r>
            <w:r>
              <w:rPr>
                <w:rFonts w:hint="eastAsia"/>
                <w:color w:val="auto"/>
                <w:sz w:val="21"/>
                <w:szCs w:val="21"/>
                <w:lang w:val="en-US" w:eastAsia="zh-CN"/>
              </w:rPr>
              <w:t>氨、硫化氢</w:t>
            </w:r>
          </w:p>
        </w:tc>
        <w:tc>
          <w:tcPr>
            <w:tcW w:w="1188" w:type="dxa"/>
            <w:vAlign w:val="center"/>
          </w:tcPr>
          <w:p>
            <w:pPr>
              <w:pStyle w:val="2"/>
              <w:spacing w:after="0" w:line="240" w:lineRule="auto"/>
              <w:ind w:firstLine="0" w:firstLineChars="0"/>
              <w:jc w:val="center"/>
              <w:rPr>
                <w:color w:val="auto"/>
                <w:sz w:val="21"/>
                <w:szCs w:val="21"/>
              </w:rPr>
            </w:pPr>
            <w:r>
              <w:rPr>
                <w:rFonts w:eastAsia="Times New Roman"/>
                <w:color w:val="auto"/>
              </w:rPr>
              <w:t>L</w:t>
            </w:r>
            <w:r>
              <w:rPr>
                <w:rFonts w:eastAsia="Times New Roman"/>
                <w:color w:val="auto"/>
                <w:position w:val="-3"/>
                <w:sz w:val="14"/>
              </w:rPr>
              <w:t>Aeq</w:t>
            </w:r>
            <w:r>
              <w:rPr>
                <w:rFonts w:eastAsia="Times New Roman"/>
                <w:color w:val="auto"/>
              </w:rPr>
              <w:t>(A)</w:t>
            </w:r>
          </w:p>
        </w:tc>
        <w:tc>
          <w:tcPr>
            <w:tcW w:w="2911" w:type="dxa"/>
            <w:vAlign w:val="center"/>
          </w:tcPr>
          <w:p>
            <w:pPr>
              <w:pStyle w:val="2"/>
              <w:spacing w:after="0" w:line="240" w:lineRule="auto"/>
              <w:ind w:firstLine="0" w:firstLineChars="0"/>
              <w:jc w:val="center"/>
              <w:rPr>
                <w:color w:val="auto"/>
                <w:sz w:val="21"/>
                <w:szCs w:val="21"/>
              </w:rPr>
            </w:pPr>
            <w:r>
              <w:rPr>
                <w:color w:val="auto"/>
                <w:sz w:val="21"/>
                <w:szCs w:val="21"/>
              </w:rPr>
              <w:t>废包装袋、废包装桶、废润滑油</w:t>
            </w:r>
            <w:r>
              <w:rPr>
                <w:rFonts w:hint="eastAsia"/>
                <w:color w:val="auto"/>
                <w:sz w:val="21"/>
                <w:szCs w:val="21"/>
              </w:rPr>
              <w:t>、</w:t>
            </w:r>
            <w:r>
              <w:rPr>
                <w:color w:val="auto"/>
                <w:sz w:val="21"/>
                <w:szCs w:val="21"/>
              </w:rPr>
              <w:t>化验室废试剂瓶、化验室废液</w:t>
            </w:r>
            <w:r>
              <w:rPr>
                <w:rFonts w:hint="eastAsia"/>
                <w:color w:val="auto"/>
                <w:sz w:val="21"/>
                <w:szCs w:val="21"/>
              </w:rPr>
              <w:t>、污泥、废活性炭、</w:t>
            </w:r>
            <w:r>
              <w:rPr>
                <w:rFonts w:hint="eastAsia"/>
                <w:color w:val="auto"/>
                <w:sz w:val="21"/>
                <w:szCs w:val="21"/>
                <w:lang w:val="en-US" w:eastAsia="zh-CN"/>
              </w:rPr>
              <w:t>高沸物、罐底残渣、废导热油、</w:t>
            </w:r>
            <w:r>
              <w:rPr>
                <w:rFonts w:hint="eastAsia"/>
                <w:color w:val="auto"/>
                <w:sz w:val="21"/>
                <w:szCs w:val="21"/>
              </w:rPr>
              <w:t>生活垃圾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300" w:type="dxa"/>
            <w:vAlign w:val="center"/>
          </w:tcPr>
          <w:p>
            <w:pPr>
              <w:pStyle w:val="2"/>
              <w:spacing w:after="0" w:line="240" w:lineRule="auto"/>
              <w:ind w:firstLine="0" w:firstLineChars="0"/>
              <w:jc w:val="center"/>
              <w:rPr>
                <w:color w:val="auto"/>
                <w:sz w:val="21"/>
                <w:szCs w:val="21"/>
              </w:rPr>
            </w:pPr>
            <w:r>
              <w:rPr>
                <w:color w:val="auto"/>
                <w:sz w:val="21"/>
                <w:szCs w:val="21"/>
              </w:rPr>
              <w:t>地表水</w:t>
            </w:r>
          </w:p>
        </w:tc>
        <w:tc>
          <w:tcPr>
            <w:tcW w:w="2325" w:type="dxa"/>
            <w:vAlign w:val="center"/>
          </w:tcPr>
          <w:p>
            <w:pPr>
              <w:pStyle w:val="2"/>
              <w:spacing w:after="0" w:line="240" w:lineRule="auto"/>
              <w:ind w:firstLine="0" w:firstLineChars="0"/>
              <w:jc w:val="center"/>
              <w:rPr>
                <w:color w:val="auto"/>
                <w:sz w:val="21"/>
                <w:szCs w:val="21"/>
              </w:rPr>
            </w:pPr>
            <w:r>
              <w:rPr>
                <w:color w:val="auto"/>
                <w:sz w:val="21"/>
                <w:szCs w:val="21"/>
              </w:rPr>
              <w:t>有影响</w:t>
            </w:r>
          </w:p>
        </w:tc>
        <w:tc>
          <w:tcPr>
            <w:tcW w:w="1562" w:type="dxa"/>
            <w:vAlign w:val="center"/>
          </w:tcPr>
          <w:p>
            <w:pPr>
              <w:pStyle w:val="2"/>
              <w:spacing w:after="0" w:line="240" w:lineRule="auto"/>
              <w:ind w:firstLine="0" w:firstLineChars="0"/>
              <w:jc w:val="center"/>
              <w:rPr>
                <w:color w:val="auto"/>
                <w:sz w:val="21"/>
                <w:szCs w:val="21"/>
              </w:rPr>
            </w:pPr>
            <w:r>
              <w:rPr>
                <w:color w:val="auto"/>
                <w:sz w:val="21"/>
                <w:szCs w:val="21"/>
              </w:rPr>
              <w:t>/</w:t>
            </w:r>
          </w:p>
        </w:tc>
        <w:tc>
          <w:tcPr>
            <w:tcW w:w="1188" w:type="dxa"/>
            <w:vAlign w:val="center"/>
          </w:tcPr>
          <w:p>
            <w:pPr>
              <w:pStyle w:val="2"/>
              <w:spacing w:after="0" w:line="240" w:lineRule="auto"/>
              <w:ind w:firstLine="0" w:firstLineChars="0"/>
              <w:jc w:val="center"/>
              <w:rPr>
                <w:color w:val="auto"/>
                <w:sz w:val="21"/>
                <w:szCs w:val="21"/>
              </w:rPr>
            </w:pPr>
            <w:r>
              <w:rPr>
                <w:color w:val="auto"/>
                <w:sz w:val="21"/>
                <w:szCs w:val="21"/>
              </w:rPr>
              <w:t>/</w:t>
            </w:r>
          </w:p>
        </w:tc>
        <w:tc>
          <w:tcPr>
            <w:tcW w:w="2911" w:type="dxa"/>
            <w:vAlign w:val="center"/>
          </w:tcPr>
          <w:p>
            <w:pPr>
              <w:pStyle w:val="2"/>
              <w:spacing w:after="0" w:line="240" w:lineRule="auto"/>
              <w:ind w:firstLine="0" w:firstLineChars="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300" w:type="dxa"/>
            <w:vAlign w:val="center"/>
          </w:tcPr>
          <w:p>
            <w:pPr>
              <w:pStyle w:val="2"/>
              <w:spacing w:after="0" w:line="240" w:lineRule="auto"/>
              <w:ind w:firstLine="0" w:firstLineChars="0"/>
              <w:jc w:val="center"/>
              <w:rPr>
                <w:color w:val="auto"/>
                <w:sz w:val="21"/>
                <w:szCs w:val="21"/>
              </w:rPr>
            </w:pPr>
            <w:r>
              <w:rPr>
                <w:color w:val="auto"/>
                <w:sz w:val="21"/>
                <w:szCs w:val="21"/>
              </w:rPr>
              <w:t>环境空气</w:t>
            </w:r>
          </w:p>
        </w:tc>
        <w:tc>
          <w:tcPr>
            <w:tcW w:w="2325" w:type="dxa"/>
            <w:vAlign w:val="center"/>
          </w:tcPr>
          <w:p>
            <w:pPr>
              <w:pStyle w:val="2"/>
              <w:spacing w:after="0" w:line="240" w:lineRule="auto"/>
              <w:ind w:firstLine="0" w:firstLineChars="0"/>
              <w:jc w:val="center"/>
              <w:rPr>
                <w:color w:val="auto"/>
                <w:sz w:val="21"/>
                <w:szCs w:val="21"/>
              </w:rPr>
            </w:pPr>
            <w:r>
              <w:rPr>
                <w:color w:val="auto"/>
                <w:sz w:val="21"/>
                <w:szCs w:val="21"/>
              </w:rPr>
              <w:t>/</w:t>
            </w:r>
          </w:p>
        </w:tc>
        <w:tc>
          <w:tcPr>
            <w:tcW w:w="1562" w:type="dxa"/>
            <w:vAlign w:val="center"/>
          </w:tcPr>
          <w:p>
            <w:pPr>
              <w:pStyle w:val="2"/>
              <w:spacing w:after="0" w:line="240" w:lineRule="auto"/>
              <w:ind w:firstLine="0" w:firstLineChars="0"/>
              <w:jc w:val="center"/>
              <w:rPr>
                <w:color w:val="auto"/>
                <w:sz w:val="21"/>
                <w:szCs w:val="21"/>
              </w:rPr>
            </w:pPr>
            <w:r>
              <w:rPr>
                <w:color w:val="auto"/>
                <w:sz w:val="21"/>
                <w:szCs w:val="21"/>
              </w:rPr>
              <w:t>有影响</w:t>
            </w:r>
          </w:p>
        </w:tc>
        <w:tc>
          <w:tcPr>
            <w:tcW w:w="1188" w:type="dxa"/>
            <w:vAlign w:val="center"/>
          </w:tcPr>
          <w:p>
            <w:pPr>
              <w:pStyle w:val="2"/>
              <w:spacing w:after="0" w:line="240" w:lineRule="auto"/>
              <w:ind w:firstLine="0" w:firstLineChars="0"/>
              <w:jc w:val="center"/>
              <w:rPr>
                <w:color w:val="auto"/>
                <w:sz w:val="21"/>
                <w:szCs w:val="21"/>
              </w:rPr>
            </w:pPr>
            <w:r>
              <w:rPr>
                <w:color w:val="auto"/>
                <w:sz w:val="21"/>
                <w:szCs w:val="21"/>
              </w:rPr>
              <w:t>/</w:t>
            </w:r>
          </w:p>
        </w:tc>
        <w:tc>
          <w:tcPr>
            <w:tcW w:w="2911" w:type="dxa"/>
            <w:vAlign w:val="center"/>
          </w:tcPr>
          <w:p>
            <w:pPr>
              <w:pStyle w:val="2"/>
              <w:spacing w:after="0" w:line="240" w:lineRule="auto"/>
              <w:ind w:firstLine="0" w:firstLineChars="0"/>
              <w:jc w:val="center"/>
              <w:rPr>
                <w:color w:val="auto"/>
                <w:sz w:val="21"/>
                <w:szCs w:val="21"/>
              </w:rPr>
            </w:pPr>
            <w:r>
              <w:rPr>
                <w:color w:val="auto"/>
                <w:sz w:val="21"/>
                <w:szCs w:val="21"/>
              </w:rPr>
              <w:t>有影响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300" w:type="dxa"/>
            <w:vAlign w:val="center"/>
          </w:tcPr>
          <w:p>
            <w:pPr>
              <w:pStyle w:val="2"/>
              <w:spacing w:after="0" w:line="240" w:lineRule="auto"/>
              <w:ind w:firstLine="0" w:firstLineChars="0"/>
              <w:jc w:val="center"/>
              <w:rPr>
                <w:color w:val="auto"/>
                <w:sz w:val="21"/>
                <w:szCs w:val="21"/>
              </w:rPr>
            </w:pPr>
            <w:r>
              <w:rPr>
                <w:color w:val="auto"/>
                <w:sz w:val="21"/>
                <w:szCs w:val="21"/>
              </w:rPr>
              <w:t>地下水</w:t>
            </w:r>
          </w:p>
        </w:tc>
        <w:tc>
          <w:tcPr>
            <w:tcW w:w="2325" w:type="dxa"/>
            <w:vAlign w:val="center"/>
          </w:tcPr>
          <w:p>
            <w:pPr>
              <w:pStyle w:val="2"/>
              <w:spacing w:after="0" w:line="240" w:lineRule="auto"/>
              <w:ind w:firstLine="0" w:firstLineChars="0"/>
              <w:jc w:val="center"/>
              <w:rPr>
                <w:color w:val="auto"/>
                <w:sz w:val="21"/>
                <w:szCs w:val="21"/>
              </w:rPr>
            </w:pPr>
            <w:r>
              <w:rPr>
                <w:color w:val="auto"/>
                <w:sz w:val="21"/>
                <w:szCs w:val="21"/>
              </w:rPr>
              <w:t>有影响</w:t>
            </w:r>
          </w:p>
        </w:tc>
        <w:tc>
          <w:tcPr>
            <w:tcW w:w="1562" w:type="dxa"/>
            <w:vAlign w:val="center"/>
          </w:tcPr>
          <w:p>
            <w:pPr>
              <w:pStyle w:val="2"/>
              <w:spacing w:after="0" w:line="240" w:lineRule="auto"/>
              <w:ind w:firstLine="0" w:firstLineChars="0"/>
              <w:jc w:val="center"/>
              <w:rPr>
                <w:color w:val="auto"/>
                <w:sz w:val="21"/>
                <w:szCs w:val="21"/>
              </w:rPr>
            </w:pPr>
            <w:r>
              <w:rPr>
                <w:color w:val="auto"/>
                <w:sz w:val="21"/>
                <w:szCs w:val="21"/>
              </w:rPr>
              <w:t>/</w:t>
            </w:r>
          </w:p>
        </w:tc>
        <w:tc>
          <w:tcPr>
            <w:tcW w:w="1188" w:type="dxa"/>
            <w:vAlign w:val="center"/>
          </w:tcPr>
          <w:p>
            <w:pPr>
              <w:pStyle w:val="2"/>
              <w:spacing w:after="0" w:line="240" w:lineRule="auto"/>
              <w:ind w:firstLine="0" w:firstLineChars="0"/>
              <w:jc w:val="center"/>
              <w:rPr>
                <w:color w:val="auto"/>
                <w:sz w:val="21"/>
                <w:szCs w:val="21"/>
              </w:rPr>
            </w:pPr>
            <w:r>
              <w:rPr>
                <w:color w:val="auto"/>
                <w:sz w:val="21"/>
                <w:szCs w:val="21"/>
              </w:rPr>
              <w:t>/</w:t>
            </w:r>
          </w:p>
        </w:tc>
        <w:tc>
          <w:tcPr>
            <w:tcW w:w="2911" w:type="dxa"/>
            <w:vAlign w:val="center"/>
          </w:tcPr>
          <w:p>
            <w:pPr>
              <w:pStyle w:val="2"/>
              <w:spacing w:after="0" w:line="240" w:lineRule="auto"/>
              <w:ind w:firstLine="0" w:firstLineChars="0"/>
              <w:jc w:val="center"/>
              <w:rPr>
                <w:color w:val="auto"/>
                <w:sz w:val="21"/>
                <w:szCs w:val="21"/>
              </w:rPr>
            </w:pPr>
            <w:r>
              <w:rPr>
                <w:color w:val="auto"/>
                <w:sz w:val="21"/>
                <w:szCs w:val="21"/>
              </w:rPr>
              <w:t>有影响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300" w:type="dxa"/>
            <w:vAlign w:val="center"/>
          </w:tcPr>
          <w:p>
            <w:pPr>
              <w:pStyle w:val="2"/>
              <w:spacing w:after="0" w:line="240" w:lineRule="auto"/>
              <w:ind w:firstLine="0" w:firstLineChars="0"/>
              <w:jc w:val="center"/>
              <w:rPr>
                <w:color w:val="auto"/>
                <w:sz w:val="21"/>
                <w:szCs w:val="21"/>
              </w:rPr>
            </w:pPr>
            <w:r>
              <w:rPr>
                <w:color w:val="auto"/>
                <w:sz w:val="21"/>
                <w:szCs w:val="21"/>
              </w:rPr>
              <w:t>环境噪声</w:t>
            </w:r>
          </w:p>
        </w:tc>
        <w:tc>
          <w:tcPr>
            <w:tcW w:w="2325" w:type="dxa"/>
            <w:vAlign w:val="center"/>
          </w:tcPr>
          <w:p>
            <w:pPr>
              <w:pStyle w:val="2"/>
              <w:spacing w:after="0" w:line="240" w:lineRule="auto"/>
              <w:ind w:firstLine="0" w:firstLineChars="0"/>
              <w:jc w:val="center"/>
              <w:rPr>
                <w:color w:val="auto"/>
                <w:sz w:val="21"/>
                <w:szCs w:val="21"/>
              </w:rPr>
            </w:pPr>
            <w:r>
              <w:rPr>
                <w:color w:val="auto"/>
                <w:sz w:val="21"/>
                <w:szCs w:val="21"/>
              </w:rPr>
              <w:t>/</w:t>
            </w:r>
          </w:p>
        </w:tc>
        <w:tc>
          <w:tcPr>
            <w:tcW w:w="1562" w:type="dxa"/>
            <w:vAlign w:val="center"/>
          </w:tcPr>
          <w:p>
            <w:pPr>
              <w:pStyle w:val="2"/>
              <w:spacing w:after="0" w:line="240" w:lineRule="auto"/>
              <w:ind w:firstLine="0" w:firstLineChars="0"/>
              <w:jc w:val="center"/>
              <w:rPr>
                <w:color w:val="auto"/>
                <w:sz w:val="21"/>
                <w:szCs w:val="21"/>
              </w:rPr>
            </w:pPr>
            <w:r>
              <w:rPr>
                <w:color w:val="auto"/>
                <w:sz w:val="21"/>
                <w:szCs w:val="21"/>
              </w:rPr>
              <w:t>/</w:t>
            </w:r>
          </w:p>
        </w:tc>
        <w:tc>
          <w:tcPr>
            <w:tcW w:w="1188" w:type="dxa"/>
            <w:vAlign w:val="center"/>
          </w:tcPr>
          <w:p>
            <w:pPr>
              <w:pStyle w:val="2"/>
              <w:spacing w:after="0" w:line="240" w:lineRule="auto"/>
              <w:ind w:firstLine="0" w:firstLineChars="0"/>
              <w:jc w:val="center"/>
              <w:rPr>
                <w:color w:val="auto"/>
                <w:sz w:val="21"/>
                <w:szCs w:val="21"/>
              </w:rPr>
            </w:pPr>
            <w:r>
              <w:rPr>
                <w:color w:val="auto"/>
                <w:sz w:val="21"/>
                <w:szCs w:val="21"/>
              </w:rPr>
              <w:t>有影响</w:t>
            </w:r>
          </w:p>
        </w:tc>
        <w:tc>
          <w:tcPr>
            <w:tcW w:w="2911" w:type="dxa"/>
            <w:vAlign w:val="center"/>
          </w:tcPr>
          <w:p>
            <w:pPr>
              <w:pStyle w:val="2"/>
              <w:spacing w:after="0" w:line="240" w:lineRule="auto"/>
              <w:ind w:firstLine="0" w:firstLineChars="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300" w:type="dxa"/>
            <w:vAlign w:val="center"/>
          </w:tcPr>
          <w:p>
            <w:pPr>
              <w:pStyle w:val="2"/>
              <w:spacing w:after="0" w:line="240" w:lineRule="auto"/>
              <w:ind w:firstLine="0" w:firstLineChars="0"/>
              <w:jc w:val="center"/>
              <w:rPr>
                <w:color w:val="auto"/>
                <w:sz w:val="21"/>
                <w:szCs w:val="21"/>
              </w:rPr>
            </w:pPr>
            <w:r>
              <w:rPr>
                <w:color w:val="auto"/>
                <w:sz w:val="21"/>
                <w:szCs w:val="21"/>
              </w:rPr>
              <w:t>土壤</w:t>
            </w:r>
          </w:p>
        </w:tc>
        <w:tc>
          <w:tcPr>
            <w:tcW w:w="2325" w:type="dxa"/>
            <w:vAlign w:val="center"/>
          </w:tcPr>
          <w:p>
            <w:pPr>
              <w:pStyle w:val="2"/>
              <w:spacing w:after="0" w:line="240" w:lineRule="auto"/>
              <w:ind w:firstLine="0" w:firstLineChars="0"/>
              <w:jc w:val="center"/>
              <w:rPr>
                <w:color w:val="auto"/>
                <w:sz w:val="21"/>
                <w:szCs w:val="21"/>
              </w:rPr>
            </w:pPr>
            <w:r>
              <w:rPr>
                <w:color w:val="auto"/>
                <w:sz w:val="21"/>
                <w:szCs w:val="21"/>
              </w:rPr>
              <w:t>有影响</w:t>
            </w:r>
          </w:p>
        </w:tc>
        <w:tc>
          <w:tcPr>
            <w:tcW w:w="1562" w:type="dxa"/>
            <w:vAlign w:val="center"/>
          </w:tcPr>
          <w:p>
            <w:pPr>
              <w:pStyle w:val="2"/>
              <w:spacing w:after="0" w:line="240" w:lineRule="auto"/>
              <w:ind w:firstLine="0" w:firstLineChars="0"/>
              <w:jc w:val="center"/>
              <w:rPr>
                <w:color w:val="auto"/>
                <w:sz w:val="21"/>
                <w:szCs w:val="21"/>
              </w:rPr>
            </w:pPr>
            <w:r>
              <w:rPr>
                <w:rFonts w:hint="eastAsia"/>
                <w:color w:val="auto"/>
                <w:sz w:val="21"/>
                <w:szCs w:val="21"/>
              </w:rPr>
              <w:t>/</w:t>
            </w:r>
          </w:p>
        </w:tc>
        <w:tc>
          <w:tcPr>
            <w:tcW w:w="1188" w:type="dxa"/>
            <w:vAlign w:val="center"/>
          </w:tcPr>
          <w:p>
            <w:pPr>
              <w:pStyle w:val="2"/>
              <w:spacing w:after="0" w:line="240" w:lineRule="auto"/>
              <w:ind w:firstLine="0" w:firstLineChars="0"/>
              <w:jc w:val="center"/>
              <w:rPr>
                <w:color w:val="auto"/>
                <w:sz w:val="21"/>
                <w:szCs w:val="21"/>
              </w:rPr>
            </w:pPr>
            <w:r>
              <w:rPr>
                <w:color w:val="auto"/>
                <w:sz w:val="21"/>
                <w:szCs w:val="21"/>
              </w:rPr>
              <w:t>/</w:t>
            </w:r>
          </w:p>
        </w:tc>
        <w:tc>
          <w:tcPr>
            <w:tcW w:w="2911" w:type="dxa"/>
            <w:vAlign w:val="center"/>
          </w:tcPr>
          <w:p>
            <w:pPr>
              <w:pStyle w:val="2"/>
              <w:spacing w:after="0" w:line="240" w:lineRule="auto"/>
              <w:ind w:firstLine="0" w:firstLineChars="0"/>
              <w:jc w:val="center"/>
              <w:rPr>
                <w:color w:val="auto"/>
                <w:sz w:val="21"/>
                <w:szCs w:val="21"/>
              </w:rPr>
            </w:pPr>
            <w:r>
              <w:rPr>
                <w:color w:val="auto"/>
                <w:sz w:val="21"/>
                <w:szCs w:val="21"/>
              </w:rPr>
              <w:t>有影响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300" w:type="dxa"/>
            <w:vAlign w:val="center"/>
          </w:tcPr>
          <w:p>
            <w:pPr>
              <w:pStyle w:val="2"/>
              <w:spacing w:after="0"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生态环境</w:t>
            </w:r>
          </w:p>
        </w:tc>
        <w:tc>
          <w:tcPr>
            <w:tcW w:w="2325" w:type="dxa"/>
            <w:vAlign w:val="center"/>
          </w:tcPr>
          <w:p>
            <w:pPr>
              <w:pStyle w:val="2"/>
              <w:spacing w:after="0" w:line="240" w:lineRule="auto"/>
              <w:ind w:firstLine="0" w:firstLineChars="0"/>
              <w:jc w:val="center"/>
              <w:rPr>
                <w:color w:val="auto"/>
                <w:sz w:val="21"/>
                <w:szCs w:val="21"/>
              </w:rPr>
            </w:pPr>
            <w:r>
              <w:rPr>
                <w:color w:val="auto"/>
                <w:sz w:val="21"/>
                <w:szCs w:val="21"/>
              </w:rPr>
              <w:t>有影响</w:t>
            </w:r>
          </w:p>
        </w:tc>
        <w:tc>
          <w:tcPr>
            <w:tcW w:w="1562" w:type="dxa"/>
            <w:vAlign w:val="center"/>
          </w:tcPr>
          <w:p>
            <w:pPr>
              <w:pStyle w:val="2"/>
              <w:spacing w:after="0" w:line="240" w:lineRule="auto"/>
              <w:ind w:firstLine="0" w:firstLineChars="0"/>
              <w:jc w:val="center"/>
              <w:rPr>
                <w:rFonts w:hint="eastAsia"/>
                <w:color w:val="auto"/>
                <w:sz w:val="21"/>
                <w:szCs w:val="21"/>
              </w:rPr>
            </w:pPr>
            <w:r>
              <w:rPr>
                <w:color w:val="auto"/>
                <w:sz w:val="21"/>
                <w:szCs w:val="21"/>
              </w:rPr>
              <w:t>有影响</w:t>
            </w:r>
          </w:p>
        </w:tc>
        <w:tc>
          <w:tcPr>
            <w:tcW w:w="1188" w:type="dxa"/>
            <w:vAlign w:val="center"/>
          </w:tcPr>
          <w:p>
            <w:pPr>
              <w:pStyle w:val="2"/>
              <w:spacing w:after="0"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c>
          <w:tcPr>
            <w:tcW w:w="2911" w:type="dxa"/>
            <w:vAlign w:val="center"/>
          </w:tcPr>
          <w:p>
            <w:pPr>
              <w:pStyle w:val="2"/>
              <w:spacing w:after="0" w:line="240" w:lineRule="auto"/>
              <w:ind w:firstLine="0" w:firstLineChars="0"/>
              <w:jc w:val="center"/>
              <w:rPr>
                <w:color w:val="auto"/>
                <w:sz w:val="21"/>
                <w:szCs w:val="21"/>
              </w:rPr>
            </w:pPr>
            <w:r>
              <w:rPr>
                <w:color w:val="auto"/>
                <w:sz w:val="21"/>
                <w:szCs w:val="21"/>
              </w:rPr>
              <w:t>有影响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300" w:type="dxa"/>
            <w:vAlign w:val="center"/>
          </w:tcPr>
          <w:p>
            <w:pPr>
              <w:pStyle w:val="2"/>
              <w:spacing w:after="0" w:line="240" w:lineRule="auto"/>
              <w:ind w:firstLine="0" w:firstLineChars="0"/>
              <w:jc w:val="center"/>
              <w:rPr>
                <w:color w:val="auto"/>
                <w:sz w:val="21"/>
                <w:szCs w:val="21"/>
              </w:rPr>
            </w:pPr>
            <w:r>
              <w:rPr>
                <w:color w:val="auto"/>
                <w:sz w:val="21"/>
                <w:szCs w:val="21"/>
              </w:rPr>
              <w:t>环境风险</w:t>
            </w:r>
          </w:p>
        </w:tc>
        <w:tc>
          <w:tcPr>
            <w:tcW w:w="2325" w:type="dxa"/>
            <w:vAlign w:val="center"/>
          </w:tcPr>
          <w:p>
            <w:pPr>
              <w:pStyle w:val="2"/>
              <w:spacing w:after="0" w:line="240" w:lineRule="auto"/>
              <w:ind w:firstLine="0" w:firstLineChars="0"/>
              <w:jc w:val="center"/>
              <w:rPr>
                <w:color w:val="auto"/>
                <w:sz w:val="21"/>
                <w:szCs w:val="21"/>
              </w:rPr>
            </w:pPr>
            <w:r>
              <w:rPr>
                <w:color w:val="auto"/>
                <w:sz w:val="21"/>
                <w:szCs w:val="21"/>
              </w:rPr>
              <w:t>有影响</w:t>
            </w:r>
          </w:p>
        </w:tc>
        <w:tc>
          <w:tcPr>
            <w:tcW w:w="1562" w:type="dxa"/>
            <w:vAlign w:val="center"/>
          </w:tcPr>
          <w:p>
            <w:pPr>
              <w:pStyle w:val="2"/>
              <w:spacing w:after="0" w:line="240" w:lineRule="auto"/>
              <w:ind w:firstLine="0" w:firstLineChars="0"/>
              <w:jc w:val="center"/>
              <w:rPr>
                <w:color w:val="auto"/>
                <w:sz w:val="21"/>
                <w:szCs w:val="21"/>
              </w:rPr>
            </w:pPr>
            <w:r>
              <w:rPr>
                <w:color w:val="auto"/>
                <w:sz w:val="21"/>
                <w:szCs w:val="21"/>
              </w:rPr>
              <w:t>有影响</w:t>
            </w:r>
          </w:p>
        </w:tc>
        <w:tc>
          <w:tcPr>
            <w:tcW w:w="1188" w:type="dxa"/>
            <w:vAlign w:val="center"/>
          </w:tcPr>
          <w:p>
            <w:pPr>
              <w:pStyle w:val="2"/>
              <w:spacing w:after="0" w:line="240" w:lineRule="auto"/>
              <w:ind w:firstLine="0" w:firstLineChars="0"/>
              <w:jc w:val="center"/>
              <w:rPr>
                <w:color w:val="auto"/>
                <w:sz w:val="21"/>
                <w:szCs w:val="21"/>
              </w:rPr>
            </w:pPr>
            <w:r>
              <w:rPr>
                <w:color w:val="auto"/>
                <w:sz w:val="21"/>
                <w:szCs w:val="21"/>
              </w:rPr>
              <w:t>/</w:t>
            </w:r>
          </w:p>
        </w:tc>
        <w:tc>
          <w:tcPr>
            <w:tcW w:w="2911" w:type="dxa"/>
            <w:vAlign w:val="center"/>
          </w:tcPr>
          <w:p>
            <w:pPr>
              <w:pStyle w:val="2"/>
              <w:spacing w:after="0" w:line="240" w:lineRule="auto"/>
              <w:ind w:firstLine="0" w:firstLineChars="0"/>
              <w:jc w:val="center"/>
              <w:rPr>
                <w:color w:val="auto"/>
                <w:sz w:val="21"/>
                <w:szCs w:val="21"/>
              </w:rPr>
            </w:pPr>
            <w:r>
              <w:rPr>
                <w:color w:val="auto"/>
                <w:sz w:val="21"/>
                <w:szCs w:val="21"/>
              </w:rPr>
              <w:t>有影响</w:t>
            </w:r>
          </w:p>
        </w:tc>
      </w:tr>
    </w:tbl>
    <w:p>
      <w:pPr>
        <w:pStyle w:val="48"/>
        <w:rPr>
          <w:snapToGrid/>
          <w:color w:val="auto"/>
          <w:spacing w:val="0"/>
          <w:szCs w:val="21"/>
        </w:rPr>
      </w:pPr>
      <w:r>
        <w:rPr>
          <w:snapToGrid/>
          <w:color w:val="auto"/>
          <w:spacing w:val="0"/>
          <w:szCs w:val="21"/>
        </w:rPr>
        <w:t>表</w:t>
      </w:r>
      <w:r>
        <w:rPr>
          <w:rFonts w:hint="eastAsia"/>
          <w:snapToGrid/>
          <w:color w:val="auto"/>
          <w:spacing w:val="0"/>
          <w:szCs w:val="21"/>
        </w:rPr>
        <w:t>1.</w:t>
      </w:r>
      <w:r>
        <w:rPr>
          <w:rFonts w:hint="eastAsia"/>
          <w:snapToGrid/>
          <w:color w:val="auto"/>
          <w:spacing w:val="0"/>
          <w:szCs w:val="21"/>
          <w:lang w:val="en-US" w:eastAsia="zh-CN"/>
        </w:rPr>
        <w:t>5-4</w:t>
      </w:r>
      <w:r>
        <w:rPr>
          <w:snapToGrid/>
          <w:color w:val="auto"/>
          <w:spacing w:val="0"/>
          <w:szCs w:val="21"/>
        </w:rPr>
        <w:t xml:space="preserve"> 评价因子筛选表</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2"/>
        <w:gridCol w:w="3269"/>
        <w:gridCol w:w="1975"/>
        <w:gridCol w:w="1419"/>
        <w:gridCol w:w="15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3" w:type="pct"/>
            <w:vAlign w:val="center"/>
          </w:tcPr>
          <w:p>
            <w:pPr>
              <w:pStyle w:val="47"/>
              <w:rPr>
                <w:b/>
                <w:color w:val="auto"/>
              </w:rPr>
            </w:pPr>
            <w:r>
              <w:rPr>
                <w:b/>
                <w:color w:val="auto"/>
              </w:rPr>
              <w:t>环境要素</w:t>
            </w:r>
          </w:p>
        </w:tc>
        <w:tc>
          <w:tcPr>
            <w:tcW w:w="1759" w:type="pct"/>
            <w:vAlign w:val="center"/>
          </w:tcPr>
          <w:p>
            <w:pPr>
              <w:pStyle w:val="47"/>
              <w:rPr>
                <w:b/>
                <w:color w:val="auto"/>
              </w:rPr>
            </w:pPr>
            <w:r>
              <w:rPr>
                <w:b/>
                <w:color w:val="auto"/>
              </w:rPr>
              <w:t>监测因子</w:t>
            </w:r>
          </w:p>
        </w:tc>
        <w:tc>
          <w:tcPr>
            <w:tcW w:w="1063" w:type="pct"/>
            <w:vAlign w:val="center"/>
          </w:tcPr>
          <w:p>
            <w:pPr>
              <w:pStyle w:val="47"/>
              <w:rPr>
                <w:b/>
                <w:color w:val="auto"/>
              </w:rPr>
            </w:pPr>
            <w:r>
              <w:rPr>
                <w:b/>
                <w:color w:val="auto"/>
              </w:rPr>
              <w:t>排放因子</w:t>
            </w:r>
          </w:p>
        </w:tc>
        <w:tc>
          <w:tcPr>
            <w:tcW w:w="763" w:type="pct"/>
            <w:vAlign w:val="center"/>
          </w:tcPr>
          <w:p>
            <w:pPr>
              <w:pStyle w:val="47"/>
              <w:rPr>
                <w:b/>
                <w:color w:val="auto"/>
              </w:rPr>
            </w:pPr>
            <w:r>
              <w:rPr>
                <w:b/>
                <w:color w:val="auto"/>
              </w:rPr>
              <w:t>预测因子</w:t>
            </w:r>
          </w:p>
        </w:tc>
        <w:tc>
          <w:tcPr>
            <w:tcW w:w="819" w:type="pct"/>
            <w:vAlign w:val="center"/>
          </w:tcPr>
          <w:p>
            <w:pPr>
              <w:pStyle w:val="47"/>
              <w:rPr>
                <w:b/>
                <w:color w:val="auto"/>
              </w:rPr>
            </w:pPr>
            <w:r>
              <w:rPr>
                <w:b/>
                <w:color w:val="auto"/>
              </w:rPr>
              <w:t>总量控制因子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3" w:type="pct"/>
            <w:vAlign w:val="center"/>
          </w:tcPr>
          <w:p>
            <w:pPr>
              <w:pStyle w:val="47"/>
              <w:rPr>
                <w:color w:val="auto"/>
              </w:rPr>
            </w:pPr>
            <w:r>
              <w:rPr>
                <w:color w:val="auto"/>
              </w:rPr>
              <w:t>环境空气</w:t>
            </w:r>
          </w:p>
        </w:tc>
        <w:tc>
          <w:tcPr>
            <w:tcW w:w="1759" w:type="pct"/>
            <w:vAlign w:val="center"/>
          </w:tcPr>
          <w:p>
            <w:pPr>
              <w:pStyle w:val="47"/>
              <w:rPr>
                <w:color w:val="auto"/>
              </w:rPr>
            </w:pPr>
            <w:r>
              <w:rPr>
                <w:rFonts w:hint="eastAsia"/>
                <w:color w:val="auto"/>
              </w:rPr>
              <w:t>VOCs（以非甲烷总烃计）、TSP、</w:t>
            </w:r>
            <w:r>
              <w:rPr>
                <w:color w:val="auto"/>
              </w:rPr>
              <w:t>NOx</w:t>
            </w:r>
            <w:r>
              <w:rPr>
                <w:rFonts w:hint="eastAsia"/>
                <w:color w:val="auto"/>
              </w:rPr>
              <w:t>、氨、硫化氢、臭气浓度</w:t>
            </w:r>
          </w:p>
        </w:tc>
        <w:tc>
          <w:tcPr>
            <w:tcW w:w="1063" w:type="pct"/>
            <w:vAlign w:val="center"/>
          </w:tcPr>
          <w:p>
            <w:pPr>
              <w:pStyle w:val="47"/>
              <w:rPr>
                <w:color w:val="auto"/>
              </w:rPr>
            </w:pPr>
            <w:r>
              <w:rPr>
                <w:color w:val="auto"/>
              </w:rPr>
              <w:t>颗粒物、VOCs</w:t>
            </w:r>
            <w:r>
              <w:rPr>
                <w:rFonts w:hint="eastAsia"/>
                <w:color w:val="auto"/>
              </w:rPr>
              <w:t>、</w:t>
            </w:r>
            <w:r>
              <w:rPr>
                <w:color w:val="auto"/>
              </w:rPr>
              <w:t>NOx</w:t>
            </w:r>
            <w:r>
              <w:rPr>
                <w:rFonts w:hint="eastAsia"/>
                <w:color w:val="auto"/>
              </w:rPr>
              <w:t>、SO</w:t>
            </w:r>
            <w:r>
              <w:rPr>
                <w:rFonts w:hint="eastAsia"/>
                <w:color w:val="auto"/>
                <w:vertAlign w:val="subscript"/>
              </w:rPr>
              <w:t>2</w:t>
            </w:r>
            <w:r>
              <w:rPr>
                <w:rFonts w:hint="eastAsia"/>
                <w:color w:val="auto"/>
              </w:rPr>
              <w:t>、氨、硫化氢、臭气浓度</w:t>
            </w:r>
          </w:p>
        </w:tc>
        <w:tc>
          <w:tcPr>
            <w:tcW w:w="763" w:type="pct"/>
            <w:vAlign w:val="center"/>
          </w:tcPr>
          <w:p>
            <w:pPr>
              <w:pStyle w:val="47"/>
              <w:rPr>
                <w:color w:val="auto"/>
              </w:rPr>
            </w:pPr>
            <w:r>
              <w:rPr>
                <w:color w:val="auto"/>
              </w:rPr>
              <w:t>颗粒物、VOCs</w:t>
            </w:r>
            <w:r>
              <w:rPr>
                <w:rFonts w:hint="eastAsia"/>
                <w:color w:val="auto"/>
              </w:rPr>
              <w:t>、</w:t>
            </w:r>
            <w:r>
              <w:rPr>
                <w:color w:val="auto"/>
              </w:rPr>
              <w:t>NOx</w:t>
            </w:r>
            <w:r>
              <w:rPr>
                <w:rFonts w:hint="eastAsia"/>
                <w:color w:val="auto"/>
              </w:rPr>
              <w:t>、SO</w:t>
            </w:r>
            <w:r>
              <w:rPr>
                <w:rFonts w:hint="eastAsia"/>
                <w:color w:val="auto"/>
                <w:vertAlign w:val="subscript"/>
              </w:rPr>
              <w:t>2</w:t>
            </w:r>
            <w:r>
              <w:rPr>
                <w:rFonts w:hint="eastAsia"/>
                <w:color w:val="auto"/>
              </w:rPr>
              <w:t>、氨、硫化氢</w:t>
            </w:r>
          </w:p>
        </w:tc>
        <w:tc>
          <w:tcPr>
            <w:tcW w:w="819" w:type="pct"/>
            <w:vAlign w:val="center"/>
          </w:tcPr>
          <w:p>
            <w:pPr>
              <w:pStyle w:val="47"/>
              <w:rPr>
                <w:color w:val="auto"/>
              </w:rPr>
            </w:pPr>
            <w:r>
              <w:rPr>
                <w:color w:val="auto"/>
              </w:rPr>
              <w:t>颗粒物、VOCs</w:t>
            </w:r>
            <w:r>
              <w:rPr>
                <w:rFonts w:hint="eastAsia"/>
                <w:color w:val="auto"/>
              </w:rPr>
              <w:t>、</w:t>
            </w:r>
            <w:r>
              <w:rPr>
                <w:color w:val="auto"/>
                <w:szCs w:val="24"/>
              </w:rPr>
              <w:t>NOx</w:t>
            </w:r>
            <w:r>
              <w:rPr>
                <w:rFonts w:hint="eastAsia"/>
                <w:color w:val="auto"/>
                <w:szCs w:val="24"/>
                <w:lang w:eastAsia="zh-CN"/>
              </w:rPr>
              <w:t>、</w:t>
            </w:r>
            <w:r>
              <w:rPr>
                <w:rFonts w:hint="eastAsia"/>
                <w:color w:val="auto"/>
              </w:rPr>
              <w:t>SO</w:t>
            </w:r>
            <w:r>
              <w:rPr>
                <w:rFonts w:hint="eastAsia"/>
                <w:color w:val="auto"/>
                <w:vertAlign w:val="sub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4" w:hRule="atLeast"/>
        </w:trPr>
        <w:tc>
          <w:tcPr>
            <w:tcW w:w="593" w:type="pct"/>
            <w:vAlign w:val="center"/>
          </w:tcPr>
          <w:p>
            <w:pPr>
              <w:pStyle w:val="47"/>
              <w:rPr>
                <w:color w:val="auto"/>
              </w:rPr>
            </w:pPr>
            <w:r>
              <w:rPr>
                <w:color w:val="auto"/>
              </w:rPr>
              <w:t>地表水</w:t>
            </w:r>
          </w:p>
        </w:tc>
        <w:tc>
          <w:tcPr>
            <w:tcW w:w="1759" w:type="pct"/>
            <w:vAlign w:val="center"/>
          </w:tcPr>
          <w:p>
            <w:pPr>
              <w:pStyle w:val="47"/>
              <w:rPr>
                <w:color w:val="auto"/>
              </w:rPr>
            </w:pPr>
            <w:r>
              <w:rPr>
                <w:rFonts w:hint="default" w:ascii="Times New Roman" w:hAnsi="Times New Roman" w:cs="Times New Roman"/>
                <w:color w:val="auto"/>
                <w:sz w:val="21"/>
                <w:szCs w:val="21"/>
                <w:highlight w:val="none"/>
              </w:rPr>
              <w:t>pH、溶解氧、高锰酸盐指数、COD、BOD</w:t>
            </w:r>
            <w:r>
              <w:rPr>
                <w:rFonts w:hint="default" w:ascii="Times New Roman" w:hAnsi="Times New Roman" w:cs="Times New Roman"/>
                <w:color w:val="auto"/>
                <w:sz w:val="21"/>
                <w:szCs w:val="21"/>
                <w:highlight w:val="none"/>
                <w:vertAlign w:val="subscript"/>
              </w:rPr>
              <w:t>5</w:t>
            </w:r>
            <w:r>
              <w:rPr>
                <w:rFonts w:hint="default" w:ascii="Times New Roman" w:hAnsi="Times New Roman" w:cs="Times New Roman"/>
                <w:color w:val="auto"/>
                <w:sz w:val="21"/>
                <w:szCs w:val="21"/>
                <w:highlight w:val="none"/>
              </w:rPr>
              <w:t>、氨氮、总磷、总氮、铜、锌、氟化物、硒、砷、汞、镉、铬（六价）、铅、氰化物、挥发酚、石油类、阴离子表面活性剂、硫化物</w:t>
            </w:r>
            <w:r>
              <w:rPr>
                <w:color w:val="auto"/>
                <w:szCs w:val="21"/>
              </w:rPr>
              <w:t>全盐量</w:t>
            </w:r>
            <w:r>
              <w:rPr>
                <w:rFonts w:hint="eastAsia"/>
                <w:color w:val="auto"/>
                <w:szCs w:val="21"/>
              </w:rPr>
              <w:t>、锌、铁、钛、锡</w:t>
            </w:r>
          </w:p>
        </w:tc>
        <w:tc>
          <w:tcPr>
            <w:tcW w:w="1063" w:type="pct"/>
            <w:vAlign w:val="center"/>
          </w:tcPr>
          <w:p>
            <w:pPr>
              <w:pStyle w:val="47"/>
              <w:rPr>
                <w:color w:val="auto"/>
              </w:rPr>
            </w:pPr>
            <w:r>
              <w:rPr>
                <w:color w:val="auto"/>
                <w:szCs w:val="21"/>
              </w:rPr>
              <w:t>pH、CODcr、BOD</w:t>
            </w:r>
            <w:r>
              <w:rPr>
                <w:color w:val="auto"/>
                <w:szCs w:val="21"/>
                <w:vertAlign w:val="subscript"/>
              </w:rPr>
              <w:t>5</w:t>
            </w:r>
            <w:r>
              <w:rPr>
                <w:color w:val="auto"/>
                <w:szCs w:val="21"/>
              </w:rPr>
              <w:t>、</w:t>
            </w:r>
            <w:r>
              <w:rPr>
                <w:rFonts w:hint="eastAsia"/>
                <w:color w:val="auto"/>
                <w:szCs w:val="21"/>
                <w:lang w:val="en-US" w:eastAsia="zh-CN"/>
              </w:rPr>
              <w:t>氨氮、</w:t>
            </w:r>
            <w:r>
              <w:rPr>
                <w:color w:val="auto"/>
                <w:szCs w:val="21"/>
              </w:rPr>
              <w:t>SS、石油类</w:t>
            </w:r>
          </w:p>
        </w:tc>
        <w:tc>
          <w:tcPr>
            <w:tcW w:w="763" w:type="pct"/>
            <w:vAlign w:val="center"/>
          </w:tcPr>
          <w:p>
            <w:pPr>
              <w:pStyle w:val="47"/>
              <w:rPr>
                <w:color w:val="auto"/>
              </w:rPr>
            </w:pPr>
            <w:r>
              <w:rPr>
                <w:rFonts w:hint="eastAsia"/>
                <w:color w:val="auto"/>
              </w:rPr>
              <w:t>/</w:t>
            </w:r>
          </w:p>
        </w:tc>
        <w:tc>
          <w:tcPr>
            <w:tcW w:w="819" w:type="pct"/>
            <w:vAlign w:val="center"/>
          </w:tcPr>
          <w:p>
            <w:pPr>
              <w:pStyle w:val="47"/>
              <w:rPr>
                <w:color w:val="auto"/>
              </w:rPr>
            </w:pPr>
            <w:r>
              <w:rPr>
                <w:color w:val="auto"/>
                <w:szCs w:val="21"/>
              </w:rPr>
              <w:t>CODcr</w:t>
            </w:r>
            <w:r>
              <w:rPr>
                <w:rFonts w:hint="eastAsia"/>
                <w:color w:val="auto"/>
                <w:szCs w:val="21"/>
                <w:lang w:eastAsia="zh-CN"/>
              </w:rPr>
              <w:t>、</w:t>
            </w:r>
            <w:r>
              <w:rPr>
                <w:rFonts w:hint="eastAsia"/>
                <w:color w:val="auto"/>
                <w:szCs w:val="21"/>
                <w:lang w:val="en-US" w:eastAsia="zh-CN"/>
              </w:rPr>
              <w:t>氨氮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3" w:type="pct"/>
            <w:vAlign w:val="center"/>
          </w:tcPr>
          <w:p>
            <w:pPr>
              <w:pStyle w:val="47"/>
              <w:rPr>
                <w:color w:val="auto"/>
              </w:rPr>
            </w:pPr>
            <w:r>
              <w:rPr>
                <w:color w:val="auto"/>
              </w:rPr>
              <w:t>地下水</w:t>
            </w:r>
          </w:p>
        </w:tc>
        <w:tc>
          <w:tcPr>
            <w:tcW w:w="1759" w:type="pct"/>
            <w:vAlign w:val="center"/>
          </w:tcPr>
          <w:p>
            <w:pPr>
              <w:pStyle w:val="47"/>
              <w:rPr>
                <w:color w:val="auto"/>
              </w:rPr>
            </w:pPr>
            <w:r>
              <w:rPr>
                <w:color w:val="auto"/>
                <w:szCs w:val="21"/>
                <w:lang w:bidi="ar"/>
              </w:rPr>
              <w:t>pH、总硬度、溶解性总固体、硫酸盐、氯化物、铁、锰、铜、锌、钼、挥发性酚类、阴离子表面活性剂、耗氧量（COD</w:t>
            </w:r>
            <w:r>
              <w:rPr>
                <w:color w:val="auto"/>
                <w:szCs w:val="21"/>
                <w:vertAlign w:val="subscript"/>
                <w:lang w:bidi="ar"/>
              </w:rPr>
              <w:t>Mn</w:t>
            </w:r>
            <w:r>
              <w:rPr>
                <w:color w:val="auto"/>
                <w:szCs w:val="21"/>
                <w:lang w:bidi="ar"/>
              </w:rPr>
              <w:t>）、氨氮、硫化物、钠、总大肠菌群、菌落总数、亚硝酸盐氮、硝酸盐氮、氰化物、氟化物、碘化物、汞、砷、硒、镉、六价铬、铅、三氯</w:t>
            </w:r>
            <w:r>
              <w:rPr>
                <w:rFonts w:hint="eastAsia"/>
                <w:color w:val="auto"/>
                <w:szCs w:val="21"/>
                <w:lang w:val="en-US" w:eastAsia="zh-CN" w:bidi="ar"/>
              </w:rPr>
              <w:t>甲烷</w:t>
            </w:r>
            <w:r>
              <w:rPr>
                <w:color w:val="auto"/>
                <w:szCs w:val="21"/>
                <w:lang w:bidi="ar"/>
              </w:rPr>
              <w:t>、四氯化碳、苯、甲苯、石油类</w:t>
            </w:r>
            <w:r>
              <w:rPr>
                <w:rFonts w:hint="eastAsia"/>
                <w:color w:val="auto"/>
                <w:szCs w:val="21"/>
                <w:lang w:bidi="ar"/>
              </w:rPr>
              <w:t>、锡、钛</w:t>
            </w:r>
            <w:r>
              <w:rPr>
                <w:color w:val="auto"/>
                <w:szCs w:val="21"/>
                <w:lang w:bidi="ar"/>
              </w:rPr>
              <w:t>共</w:t>
            </w:r>
            <w:r>
              <w:rPr>
                <w:rFonts w:hint="eastAsia"/>
                <w:color w:val="auto"/>
                <w:szCs w:val="21"/>
                <w:lang w:bidi="ar"/>
              </w:rPr>
              <w:t>36</w:t>
            </w:r>
            <w:r>
              <w:rPr>
                <w:color w:val="auto"/>
                <w:szCs w:val="21"/>
                <w:lang w:bidi="ar"/>
              </w:rPr>
              <w:t>项；同时检测K</w:t>
            </w:r>
            <w:r>
              <w:rPr>
                <w:color w:val="auto"/>
                <w:szCs w:val="21"/>
                <w:vertAlign w:val="superscript"/>
                <w:lang w:bidi="ar"/>
              </w:rPr>
              <w:t>+</w:t>
            </w:r>
            <w:r>
              <w:rPr>
                <w:color w:val="auto"/>
                <w:szCs w:val="21"/>
                <w:lang w:bidi="ar"/>
              </w:rPr>
              <w:t>、Na</w:t>
            </w:r>
            <w:r>
              <w:rPr>
                <w:color w:val="auto"/>
                <w:szCs w:val="21"/>
                <w:vertAlign w:val="superscript"/>
                <w:lang w:bidi="ar"/>
              </w:rPr>
              <w:t>+</w:t>
            </w:r>
            <w:r>
              <w:rPr>
                <w:color w:val="auto"/>
                <w:szCs w:val="21"/>
                <w:lang w:bidi="ar"/>
              </w:rPr>
              <w:t>、Ca</w:t>
            </w:r>
            <w:r>
              <w:rPr>
                <w:color w:val="auto"/>
                <w:szCs w:val="21"/>
                <w:vertAlign w:val="superscript"/>
                <w:lang w:bidi="ar"/>
              </w:rPr>
              <w:t>2+</w:t>
            </w:r>
            <w:r>
              <w:rPr>
                <w:color w:val="auto"/>
                <w:szCs w:val="21"/>
                <w:lang w:bidi="ar"/>
              </w:rPr>
              <w:t>、Mg</w:t>
            </w:r>
            <w:r>
              <w:rPr>
                <w:color w:val="auto"/>
                <w:szCs w:val="21"/>
                <w:vertAlign w:val="superscript"/>
                <w:lang w:bidi="ar"/>
              </w:rPr>
              <w:t>2+</w:t>
            </w:r>
            <w:r>
              <w:rPr>
                <w:color w:val="auto"/>
                <w:szCs w:val="21"/>
                <w:lang w:bidi="ar"/>
              </w:rPr>
              <w:t>、CO</w:t>
            </w:r>
            <w:r>
              <w:rPr>
                <w:color w:val="auto"/>
                <w:szCs w:val="21"/>
                <w:vertAlign w:val="subscript"/>
                <w:lang w:bidi="ar"/>
              </w:rPr>
              <w:t>3</w:t>
            </w:r>
            <w:r>
              <w:rPr>
                <w:color w:val="auto"/>
                <w:szCs w:val="21"/>
                <w:vertAlign w:val="superscript"/>
                <w:lang w:bidi="ar"/>
              </w:rPr>
              <w:t>2-</w:t>
            </w:r>
            <w:r>
              <w:rPr>
                <w:color w:val="auto"/>
                <w:szCs w:val="21"/>
                <w:lang w:bidi="ar"/>
              </w:rPr>
              <w:t>、HCO</w:t>
            </w:r>
            <w:r>
              <w:rPr>
                <w:color w:val="auto"/>
                <w:szCs w:val="21"/>
                <w:vertAlign w:val="subscript"/>
                <w:lang w:bidi="ar"/>
              </w:rPr>
              <w:t>3</w:t>
            </w:r>
            <w:r>
              <w:rPr>
                <w:color w:val="auto"/>
                <w:szCs w:val="21"/>
                <w:vertAlign w:val="superscript"/>
                <w:lang w:bidi="ar"/>
              </w:rPr>
              <w:t>-</w:t>
            </w:r>
            <w:r>
              <w:rPr>
                <w:color w:val="auto"/>
                <w:szCs w:val="21"/>
                <w:lang w:bidi="ar"/>
              </w:rPr>
              <w:t>、Cl</w:t>
            </w:r>
            <w:r>
              <w:rPr>
                <w:color w:val="auto"/>
                <w:szCs w:val="21"/>
                <w:vertAlign w:val="superscript"/>
                <w:lang w:bidi="ar"/>
              </w:rPr>
              <w:t>-</w:t>
            </w:r>
            <w:r>
              <w:rPr>
                <w:color w:val="auto"/>
                <w:szCs w:val="21"/>
                <w:lang w:bidi="ar"/>
              </w:rPr>
              <w:t>、SO</w:t>
            </w:r>
            <w:r>
              <w:rPr>
                <w:color w:val="auto"/>
                <w:szCs w:val="21"/>
                <w:vertAlign w:val="subscript"/>
                <w:lang w:bidi="ar"/>
              </w:rPr>
              <w:t>4</w:t>
            </w:r>
            <w:r>
              <w:rPr>
                <w:color w:val="auto"/>
                <w:szCs w:val="21"/>
                <w:vertAlign w:val="superscript"/>
                <w:lang w:bidi="ar"/>
              </w:rPr>
              <w:t>2-</w:t>
            </w:r>
            <w:r>
              <w:rPr>
                <w:color w:val="auto"/>
                <w:szCs w:val="21"/>
                <w:lang w:bidi="ar"/>
              </w:rPr>
              <w:t>的浓度</w:t>
            </w:r>
          </w:p>
        </w:tc>
        <w:tc>
          <w:tcPr>
            <w:tcW w:w="1063" w:type="pct"/>
            <w:vAlign w:val="center"/>
          </w:tcPr>
          <w:p>
            <w:pPr>
              <w:pStyle w:val="47"/>
              <w:rPr>
                <w:color w:val="auto"/>
              </w:rPr>
            </w:pPr>
            <w:r>
              <w:rPr>
                <w:rFonts w:hint="eastAsia"/>
                <w:color w:val="auto"/>
              </w:rPr>
              <w:t>/</w:t>
            </w:r>
          </w:p>
        </w:tc>
        <w:tc>
          <w:tcPr>
            <w:tcW w:w="763" w:type="pct"/>
            <w:vAlign w:val="center"/>
          </w:tcPr>
          <w:p>
            <w:pPr>
              <w:pStyle w:val="47"/>
              <w:rPr>
                <w:color w:val="auto"/>
              </w:rPr>
            </w:pPr>
            <w:r>
              <w:rPr>
                <w:color w:val="auto"/>
              </w:rPr>
              <w:t>CODcr</w:t>
            </w:r>
          </w:p>
        </w:tc>
        <w:tc>
          <w:tcPr>
            <w:tcW w:w="819" w:type="pct"/>
            <w:vAlign w:val="center"/>
          </w:tcPr>
          <w:p>
            <w:pPr>
              <w:pStyle w:val="47"/>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3" w:type="pct"/>
            <w:vAlign w:val="center"/>
          </w:tcPr>
          <w:p>
            <w:pPr>
              <w:pStyle w:val="47"/>
              <w:rPr>
                <w:color w:val="auto"/>
              </w:rPr>
            </w:pPr>
            <w:r>
              <w:rPr>
                <w:color w:val="auto"/>
              </w:rPr>
              <w:t>声环境</w:t>
            </w:r>
          </w:p>
        </w:tc>
        <w:tc>
          <w:tcPr>
            <w:tcW w:w="1759" w:type="pct"/>
            <w:vAlign w:val="center"/>
          </w:tcPr>
          <w:p>
            <w:pPr>
              <w:pStyle w:val="47"/>
              <w:rPr>
                <w:color w:val="auto"/>
              </w:rPr>
            </w:pPr>
            <w:r>
              <w:rPr>
                <w:rFonts w:eastAsia="Times New Roman"/>
                <w:color w:val="auto"/>
                <w:szCs w:val="21"/>
              </w:rPr>
              <w:t>L</w:t>
            </w:r>
            <w:r>
              <w:rPr>
                <w:rFonts w:eastAsia="Times New Roman"/>
                <w:color w:val="auto"/>
                <w:position w:val="-3"/>
                <w:szCs w:val="21"/>
              </w:rPr>
              <w:t>Aeq</w:t>
            </w:r>
            <w:r>
              <w:rPr>
                <w:rFonts w:eastAsia="Times New Roman"/>
                <w:color w:val="auto"/>
                <w:szCs w:val="21"/>
              </w:rPr>
              <w:t>(A)</w:t>
            </w:r>
          </w:p>
        </w:tc>
        <w:tc>
          <w:tcPr>
            <w:tcW w:w="1063" w:type="pct"/>
            <w:vAlign w:val="center"/>
          </w:tcPr>
          <w:p>
            <w:pPr>
              <w:pStyle w:val="47"/>
              <w:rPr>
                <w:color w:val="auto"/>
              </w:rPr>
            </w:pPr>
            <w:r>
              <w:rPr>
                <w:color w:val="auto"/>
              </w:rPr>
              <w:t>LAeq(A)</w:t>
            </w:r>
          </w:p>
        </w:tc>
        <w:tc>
          <w:tcPr>
            <w:tcW w:w="763" w:type="pct"/>
            <w:vAlign w:val="center"/>
          </w:tcPr>
          <w:p>
            <w:pPr>
              <w:pStyle w:val="47"/>
              <w:rPr>
                <w:color w:val="auto"/>
              </w:rPr>
            </w:pPr>
            <w:r>
              <w:rPr>
                <w:rFonts w:eastAsia="Times New Roman"/>
                <w:color w:val="auto"/>
                <w:szCs w:val="21"/>
              </w:rPr>
              <w:t>L</w:t>
            </w:r>
            <w:r>
              <w:rPr>
                <w:rFonts w:eastAsia="Times New Roman"/>
                <w:color w:val="auto"/>
                <w:position w:val="-3"/>
                <w:szCs w:val="21"/>
              </w:rPr>
              <w:t>Aeq</w:t>
            </w:r>
            <w:r>
              <w:rPr>
                <w:rFonts w:eastAsia="Times New Roman"/>
                <w:color w:val="auto"/>
                <w:szCs w:val="21"/>
              </w:rPr>
              <w:t>(A)</w:t>
            </w:r>
          </w:p>
        </w:tc>
        <w:tc>
          <w:tcPr>
            <w:tcW w:w="819" w:type="pct"/>
            <w:vAlign w:val="center"/>
          </w:tcPr>
          <w:p>
            <w:pPr>
              <w:pStyle w:val="47"/>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3" w:type="pct"/>
            <w:vAlign w:val="center"/>
          </w:tcPr>
          <w:p>
            <w:pPr>
              <w:pStyle w:val="47"/>
              <w:rPr>
                <w:color w:val="auto"/>
              </w:rPr>
            </w:pPr>
            <w:r>
              <w:rPr>
                <w:color w:val="auto"/>
              </w:rPr>
              <w:t>土壤环境</w:t>
            </w:r>
          </w:p>
        </w:tc>
        <w:tc>
          <w:tcPr>
            <w:tcW w:w="1759" w:type="pct"/>
            <w:vAlign w:val="center"/>
          </w:tcPr>
          <w:p>
            <w:pPr>
              <w:pStyle w:val="47"/>
              <w:rPr>
                <w:color w:val="auto"/>
              </w:rPr>
            </w:pPr>
            <w:r>
              <w:rPr>
                <w:color w:val="auto"/>
              </w:rPr>
              <w:t>《土壤环境质量建设用地土壤污染风险管控标准（试行）》（GB36600-2018）表1  45项基本项目，以及pH、石油烃</w:t>
            </w:r>
            <w:r>
              <w:rPr>
                <w:rFonts w:hint="eastAsia"/>
                <w:color w:val="auto"/>
              </w:rPr>
              <w:t>、锡、钛、锌、铁</w:t>
            </w:r>
            <w:r>
              <w:rPr>
                <w:color w:val="auto"/>
              </w:rPr>
              <w:t>共</w:t>
            </w:r>
            <w:r>
              <w:rPr>
                <w:rFonts w:hint="eastAsia"/>
                <w:color w:val="auto"/>
              </w:rPr>
              <w:t>51</w:t>
            </w:r>
            <w:r>
              <w:rPr>
                <w:color w:val="auto"/>
              </w:rPr>
              <w:t>项</w:t>
            </w:r>
          </w:p>
        </w:tc>
        <w:tc>
          <w:tcPr>
            <w:tcW w:w="1063" w:type="pct"/>
            <w:vAlign w:val="center"/>
          </w:tcPr>
          <w:p>
            <w:pPr>
              <w:pStyle w:val="47"/>
              <w:rPr>
                <w:color w:val="auto"/>
              </w:rPr>
            </w:pPr>
            <w:r>
              <w:rPr>
                <w:rFonts w:hint="eastAsia"/>
                <w:color w:val="auto"/>
              </w:rPr>
              <w:t>/</w:t>
            </w:r>
          </w:p>
        </w:tc>
        <w:tc>
          <w:tcPr>
            <w:tcW w:w="763" w:type="pct"/>
            <w:vAlign w:val="center"/>
          </w:tcPr>
          <w:p>
            <w:pPr>
              <w:pStyle w:val="47"/>
              <w:rPr>
                <w:color w:val="auto"/>
              </w:rPr>
            </w:pPr>
            <w:r>
              <w:rPr>
                <w:rFonts w:hint="eastAsia"/>
                <w:color w:val="auto"/>
              </w:rPr>
              <w:t>石油烃</w:t>
            </w:r>
          </w:p>
        </w:tc>
        <w:tc>
          <w:tcPr>
            <w:tcW w:w="819" w:type="pct"/>
            <w:vAlign w:val="center"/>
          </w:tcPr>
          <w:p>
            <w:pPr>
              <w:pStyle w:val="47"/>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3" w:type="pct"/>
            <w:vAlign w:val="center"/>
          </w:tcPr>
          <w:p>
            <w:pPr>
              <w:pStyle w:val="47"/>
              <w:rPr>
                <w:rFonts w:hint="default" w:eastAsia="宋体"/>
                <w:color w:val="auto"/>
                <w:lang w:val="en-US" w:eastAsia="zh-CN"/>
              </w:rPr>
            </w:pPr>
            <w:r>
              <w:rPr>
                <w:rFonts w:hint="eastAsia"/>
                <w:color w:val="auto"/>
                <w:lang w:val="en-US" w:eastAsia="zh-CN"/>
              </w:rPr>
              <w:t>生态环境</w:t>
            </w:r>
          </w:p>
        </w:tc>
        <w:tc>
          <w:tcPr>
            <w:tcW w:w="1759" w:type="pct"/>
            <w:vAlign w:val="center"/>
          </w:tcPr>
          <w:p>
            <w:pPr>
              <w:pStyle w:val="47"/>
              <w:rPr>
                <w:rFonts w:hint="eastAsia" w:eastAsia="宋体"/>
                <w:color w:val="auto"/>
                <w:lang w:val="en-US" w:eastAsia="zh-CN"/>
              </w:rPr>
            </w:pPr>
            <w:r>
              <w:rPr>
                <w:rFonts w:hint="eastAsia"/>
                <w:color w:val="auto"/>
                <w:lang w:val="en-US" w:eastAsia="zh-CN"/>
              </w:rPr>
              <w:t>/</w:t>
            </w:r>
          </w:p>
        </w:tc>
        <w:tc>
          <w:tcPr>
            <w:tcW w:w="1063" w:type="pct"/>
            <w:vAlign w:val="center"/>
          </w:tcPr>
          <w:p>
            <w:pPr>
              <w:pStyle w:val="47"/>
              <w:rPr>
                <w:rFonts w:hint="eastAsia" w:eastAsia="宋体"/>
                <w:color w:val="auto"/>
                <w:lang w:val="en-US" w:eastAsia="zh-CN"/>
              </w:rPr>
            </w:pPr>
            <w:r>
              <w:rPr>
                <w:rFonts w:hint="eastAsia"/>
                <w:color w:val="auto"/>
                <w:lang w:val="en-US" w:eastAsia="zh-CN"/>
              </w:rPr>
              <w:t>/</w:t>
            </w:r>
          </w:p>
        </w:tc>
        <w:tc>
          <w:tcPr>
            <w:tcW w:w="763" w:type="pct"/>
            <w:vAlign w:val="center"/>
          </w:tcPr>
          <w:p>
            <w:pPr>
              <w:pStyle w:val="47"/>
              <w:rPr>
                <w:rFonts w:hint="eastAsia" w:eastAsia="宋体"/>
                <w:color w:val="auto"/>
                <w:lang w:val="en-US" w:eastAsia="zh-CN"/>
              </w:rPr>
            </w:pPr>
            <w:r>
              <w:rPr>
                <w:rFonts w:hint="eastAsia"/>
                <w:color w:val="auto"/>
                <w:lang w:val="en-US" w:eastAsia="zh-CN"/>
              </w:rPr>
              <w:t>/</w:t>
            </w:r>
          </w:p>
        </w:tc>
        <w:tc>
          <w:tcPr>
            <w:tcW w:w="819" w:type="pct"/>
            <w:vAlign w:val="center"/>
          </w:tcPr>
          <w:p>
            <w:pPr>
              <w:pStyle w:val="47"/>
              <w:rPr>
                <w:rFonts w:hint="eastAsia" w:eastAsia="宋体"/>
                <w:color w:val="auto"/>
                <w:lang w:val="en-US" w:eastAsia="zh-CN"/>
              </w:rPr>
            </w:pPr>
            <w:r>
              <w:rPr>
                <w:rFonts w:hint="eastAsia"/>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3" w:type="pct"/>
            <w:vAlign w:val="center"/>
          </w:tcPr>
          <w:p>
            <w:pPr>
              <w:pStyle w:val="47"/>
              <w:rPr>
                <w:color w:val="auto"/>
              </w:rPr>
            </w:pPr>
            <w:r>
              <w:rPr>
                <w:color w:val="auto"/>
              </w:rPr>
              <w:t>环境风险</w:t>
            </w:r>
          </w:p>
        </w:tc>
        <w:tc>
          <w:tcPr>
            <w:tcW w:w="1759" w:type="pct"/>
            <w:vAlign w:val="center"/>
          </w:tcPr>
          <w:p>
            <w:pPr>
              <w:pStyle w:val="47"/>
              <w:rPr>
                <w:color w:val="auto"/>
              </w:rPr>
            </w:pPr>
            <w:r>
              <w:rPr>
                <w:rFonts w:hint="eastAsia"/>
                <w:color w:val="auto"/>
              </w:rPr>
              <w:t>/</w:t>
            </w:r>
          </w:p>
        </w:tc>
        <w:tc>
          <w:tcPr>
            <w:tcW w:w="1063" w:type="pct"/>
            <w:vAlign w:val="center"/>
          </w:tcPr>
          <w:p>
            <w:pPr>
              <w:pStyle w:val="47"/>
              <w:rPr>
                <w:color w:val="auto"/>
              </w:rPr>
            </w:pPr>
            <w:r>
              <w:rPr>
                <w:rFonts w:hint="eastAsia"/>
                <w:color w:val="auto"/>
              </w:rPr>
              <w:t>/</w:t>
            </w:r>
          </w:p>
        </w:tc>
        <w:tc>
          <w:tcPr>
            <w:tcW w:w="763" w:type="pct"/>
            <w:vAlign w:val="center"/>
          </w:tcPr>
          <w:p>
            <w:pPr>
              <w:pStyle w:val="47"/>
              <w:rPr>
                <w:color w:val="auto"/>
              </w:rPr>
            </w:pPr>
            <w:r>
              <w:rPr>
                <w:rFonts w:hint="eastAsia"/>
                <w:color w:val="auto"/>
              </w:rPr>
              <w:t>/</w:t>
            </w:r>
          </w:p>
        </w:tc>
        <w:tc>
          <w:tcPr>
            <w:tcW w:w="819" w:type="pct"/>
            <w:vAlign w:val="center"/>
          </w:tcPr>
          <w:p>
            <w:pPr>
              <w:pStyle w:val="47"/>
              <w:rPr>
                <w:color w:val="auto"/>
              </w:rPr>
            </w:pPr>
            <w:r>
              <w:rPr>
                <w:color w:val="auto"/>
              </w:rPr>
              <w:t>/</w:t>
            </w:r>
          </w:p>
        </w:tc>
      </w:tr>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tbl>
    <w:p>
      <w:pPr>
        <w:pStyle w:val="8"/>
        <w:tabs>
          <w:tab w:val="left" w:pos="256"/>
        </w:tabs>
        <w:spacing w:before="0" w:beforeLines="0" w:after="0" w:afterLines="0" w:line="360" w:lineRule="auto"/>
        <w:rPr>
          <w:color w:val="auto"/>
        </w:rPr>
      </w:pPr>
      <w:bookmarkStart w:id="169" w:name="_Toc29431"/>
      <w:bookmarkStart w:id="170" w:name="_Toc11142"/>
      <w:r>
        <w:rPr>
          <w:color w:val="auto"/>
        </w:rPr>
        <w:t>1.</w:t>
      </w:r>
      <w:r>
        <w:rPr>
          <w:rFonts w:hint="eastAsia"/>
          <w:color w:val="auto"/>
          <w:lang w:val="en-US" w:eastAsia="zh-CN"/>
        </w:rPr>
        <w:t>6</w:t>
      </w:r>
      <w:r>
        <w:rPr>
          <w:color w:val="auto"/>
        </w:rPr>
        <w:t>评价标准</w:t>
      </w:r>
      <w:bookmarkEnd w:id="169"/>
      <w:bookmarkEnd w:id="170"/>
    </w:p>
    <w:p>
      <w:pPr>
        <w:pStyle w:val="9"/>
        <w:tabs>
          <w:tab w:val="left" w:pos="900"/>
        </w:tabs>
        <w:spacing w:before="0" w:beforeLines="0" w:after="0" w:afterLines="0" w:line="360" w:lineRule="auto"/>
        <w:rPr>
          <w:color w:val="auto"/>
        </w:rPr>
      </w:pPr>
      <w:bookmarkStart w:id="171" w:name="_Toc306729531"/>
      <w:bookmarkStart w:id="172" w:name="_Toc304113507"/>
      <w:bookmarkStart w:id="173" w:name="_Toc402962753"/>
      <w:r>
        <w:rPr>
          <w:color w:val="auto"/>
        </w:rPr>
        <w:t>1.</w:t>
      </w:r>
      <w:r>
        <w:rPr>
          <w:rFonts w:hint="eastAsia"/>
          <w:color w:val="auto"/>
          <w:lang w:val="en-US" w:eastAsia="zh-CN"/>
        </w:rPr>
        <w:t>6</w:t>
      </w:r>
      <w:r>
        <w:rPr>
          <w:color w:val="auto"/>
        </w:rPr>
        <w:t>. 1环境质量标准</w:t>
      </w:r>
      <w:bookmarkEnd w:id="171"/>
      <w:bookmarkEnd w:id="172"/>
      <w:bookmarkEnd w:id="173"/>
    </w:p>
    <w:p>
      <w:pPr>
        <w:ind w:firstLine="480"/>
        <w:rPr>
          <w:color w:val="auto"/>
        </w:rPr>
      </w:pPr>
      <w:r>
        <w:rPr>
          <w:color w:val="auto"/>
        </w:rPr>
        <w:t>本项目环评执行标准如下：</w:t>
      </w:r>
    </w:p>
    <w:p>
      <w:pPr>
        <w:ind w:firstLine="480"/>
        <w:rPr>
          <w:color w:val="auto"/>
        </w:rPr>
      </w:pPr>
      <w:r>
        <w:rPr>
          <w:color w:val="auto"/>
        </w:rPr>
        <w:t>1、环境空气常规因子执行《环境空气质量标准》（GB3095-2012）的二级标准；VOCs参照执行《大气污染物综合排放标准详解》（国家环保总局科技标准司）中</w:t>
      </w:r>
      <w:r>
        <w:rPr>
          <w:rFonts w:hint="eastAsia"/>
          <w:color w:val="auto"/>
          <w:lang w:eastAsia="zh-CN"/>
        </w:rPr>
        <w:t>非甲烷</w:t>
      </w:r>
      <w:r>
        <w:rPr>
          <w:color w:val="auto"/>
        </w:rPr>
        <w:t>总烃环境质量标准；氨、硫化氢参考《环境影响评价技术导则 大气环境》（HJ2.2-2018）附录D</w:t>
      </w:r>
      <w:r>
        <w:rPr>
          <w:rFonts w:hint="eastAsia"/>
          <w:color w:val="auto"/>
        </w:rPr>
        <w:t>；</w:t>
      </w:r>
    </w:p>
    <w:p>
      <w:pPr>
        <w:ind w:firstLine="480"/>
        <w:rPr>
          <w:color w:val="auto"/>
        </w:rPr>
      </w:pPr>
      <w:r>
        <w:rPr>
          <w:color w:val="auto"/>
        </w:rPr>
        <w:t>2、地表水</w:t>
      </w:r>
      <w:r>
        <w:rPr>
          <w:rFonts w:hint="eastAsia"/>
          <w:color w:val="auto"/>
        </w:rPr>
        <w:t>猪龙河</w:t>
      </w:r>
      <w:r>
        <w:rPr>
          <w:color w:val="auto"/>
        </w:rPr>
        <w:t>执行《地表水环境质量标准》（GB3838-2002）中的IV类水质标准；</w:t>
      </w:r>
    </w:p>
    <w:p>
      <w:pPr>
        <w:ind w:firstLine="480"/>
        <w:rPr>
          <w:color w:val="auto"/>
        </w:rPr>
      </w:pPr>
      <w:r>
        <w:rPr>
          <w:color w:val="auto"/>
        </w:rPr>
        <w:t>3、地下水质量执行《地下水质量标准》（GB/T14848-2017）Ⅲ类水质标准；</w:t>
      </w:r>
    </w:p>
    <w:p>
      <w:pPr>
        <w:ind w:firstLine="480"/>
        <w:rPr>
          <w:color w:val="auto"/>
        </w:rPr>
      </w:pPr>
      <w:r>
        <w:rPr>
          <w:color w:val="auto"/>
        </w:rPr>
        <w:t>4、项目所在区域声环境执行《声环境质量标准》（GB3096-2008）中</w:t>
      </w:r>
      <w:r>
        <w:rPr>
          <w:rFonts w:hint="eastAsia"/>
          <w:color w:val="auto"/>
          <w:lang w:eastAsia="zh-CN"/>
        </w:rPr>
        <w:t>2类标准</w:t>
      </w:r>
      <w:r>
        <w:rPr>
          <w:color w:val="auto"/>
        </w:rPr>
        <w:t>；</w:t>
      </w:r>
    </w:p>
    <w:p>
      <w:pPr>
        <w:ind w:firstLine="480"/>
        <w:rPr>
          <w:color w:val="auto"/>
        </w:rPr>
      </w:pPr>
      <w:r>
        <w:rPr>
          <w:color w:val="auto"/>
        </w:rPr>
        <w:t>5、建设用地土壤环境执行《土壤环境质量建设用地土壤污染风险管控标准》（GB36600-2018）表1中筛选值及表2中筛选值相关标准；农用地土壤环境执行《土壤环境质量农用地土壤污染风险管控标准》（试行）（GB15618-2018）表1农用地土壤污染风险筛选值。</w:t>
      </w:r>
    </w:p>
    <w:p>
      <w:pPr>
        <w:pStyle w:val="48"/>
        <w:rPr>
          <w:snapToGrid/>
          <w:color w:val="auto"/>
          <w:spacing w:val="0"/>
          <w:szCs w:val="21"/>
        </w:rPr>
      </w:pPr>
      <w:r>
        <w:rPr>
          <w:snapToGrid/>
          <w:color w:val="auto"/>
          <w:spacing w:val="0"/>
          <w:szCs w:val="21"/>
        </w:rPr>
        <w:t>表1.</w:t>
      </w:r>
      <w:r>
        <w:rPr>
          <w:rFonts w:hint="eastAsia"/>
          <w:snapToGrid/>
          <w:color w:val="auto"/>
          <w:spacing w:val="0"/>
          <w:szCs w:val="21"/>
          <w:lang w:val="en-US" w:eastAsia="zh-CN"/>
        </w:rPr>
        <w:t>6</w:t>
      </w:r>
      <w:r>
        <w:rPr>
          <w:snapToGrid/>
          <w:color w:val="auto"/>
          <w:spacing w:val="0"/>
          <w:szCs w:val="21"/>
        </w:rPr>
        <w:t>-1  环境空气质量评价标准</w:t>
      </w:r>
    </w:p>
    <w:tbl>
      <w:tblPr>
        <w:tblStyle w:val="2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479"/>
        <w:gridCol w:w="1697"/>
        <w:gridCol w:w="2570"/>
        <w:gridCol w:w="354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96" w:type="pct"/>
            <w:vAlign w:val="center"/>
          </w:tcPr>
          <w:p>
            <w:pPr>
              <w:pStyle w:val="47"/>
              <w:rPr>
                <w:b/>
                <w:color w:val="auto"/>
              </w:rPr>
            </w:pPr>
            <w:r>
              <w:rPr>
                <w:b/>
                <w:color w:val="auto"/>
              </w:rPr>
              <w:t>污染物名称</w:t>
            </w:r>
          </w:p>
        </w:tc>
        <w:tc>
          <w:tcPr>
            <w:tcW w:w="913" w:type="pct"/>
            <w:vAlign w:val="center"/>
          </w:tcPr>
          <w:p>
            <w:pPr>
              <w:pStyle w:val="47"/>
              <w:rPr>
                <w:b/>
                <w:color w:val="auto"/>
              </w:rPr>
            </w:pPr>
            <w:r>
              <w:rPr>
                <w:b/>
                <w:color w:val="auto"/>
              </w:rPr>
              <w:t>取值时间</w:t>
            </w:r>
          </w:p>
        </w:tc>
        <w:tc>
          <w:tcPr>
            <w:tcW w:w="1383" w:type="pct"/>
            <w:vAlign w:val="center"/>
          </w:tcPr>
          <w:p>
            <w:pPr>
              <w:pStyle w:val="47"/>
              <w:rPr>
                <w:b/>
                <w:color w:val="auto"/>
              </w:rPr>
            </w:pPr>
            <w:r>
              <w:rPr>
                <w:b/>
                <w:color w:val="auto"/>
              </w:rPr>
              <w:t>浓度限值mg/m</w:t>
            </w:r>
            <w:r>
              <w:rPr>
                <w:b/>
                <w:color w:val="auto"/>
                <w:vertAlign w:val="superscript"/>
              </w:rPr>
              <w:t>3</w:t>
            </w:r>
          </w:p>
        </w:tc>
        <w:tc>
          <w:tcPr>
            <w:tcW w:w="1906" w:type="pct"/>
            <w:vAlign w:val="center"/>
          </w:tcPr>
          <w:p>
            <w:pPr>
              <w:pStyle w:val="47"/>
              <w:rPr>
                <w:b/>
                <w:color w:val="auto"/>
              </w:rPr>
            </w:pPr>
            <w:r>
              <w:rPr>
                <w:b/>
                <w:color w:val="auto"/>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96" w:type="pct"/>
            <w:vMerge w:val="restart"/>
            <w:vAlign w:val="center"/>
          </w:tcPr>
          <w:p>
            <w:pPr>
              <w:pStyle w:val="47"/>
              <w:rPr>
                <w:color w:val="auto"/>
              </w:rPr>
            </w:pPr>
            <w:r>
              <w:rPr>
                <w:color w:val="auto"/>
              </w:rPr>
              <w:t>SO</w:t>
            </w:r>
            <w:r>
              <w:rPr>
                <w:color w:val="auto"/>
                <w:vertAlign w:val="subscript"/>
              </w:rPr>
              <w:t>2</w:t>
            </w:r>
          </w:p>
        </w:tc>
        <w:tc>
          <w:tcPr>
            <w:tcW w:w="913" w:type="pct"/>
            <w:vAlign w:val="center"/>
          </w:tcPr>
          <w:p>
            <w:pPr>
              <w:pStyle w:val="47"/>
              <w:rPr>
                <w:color w:val="auto"/>
              </w:rPr>
            </w:pPr>
            <w:r>
              <w:rPr>
                <w:color w:val="auto"/>
              </w:rPr>
              <w:t>1小时平均</w:t>
            </w:r>
          </w:p>
        </w:tc>
        <w:tc>
          <w:tcPr>
            <w:tcW w:w="1383" w:type="pct"/>
            <w:vAlign w:val="center"/>
          </w:tcPr>
          <w:p>
            <w:pPr>
              <w:pStyle w:val="47"/>
              <w:rPr>
                <w:color w:val="auto"/>
              </w:rPr>
            </w:pPr>
            <w:r>
              <w:rPr>
                <w:color w:val="auto"/>
              </w:rPr>
              <w:t>0.50</w:t>
            </w:r>
          </w:p>
        </w:tc>
        <w:tc>
          <w:tcPr>
            <w:tcW w:w="1906" w:type="pct"/>
            <w:vMerge w:val="restart"/>
            <w:vAlign w:val="center"/>
          </w:tcPr>
          <w:p>
            <w:pPr>
              <w:pStyle w:val="47"/>
              <w:rPr>
                <w:color w:val="auto"/>
              </w:rPr>
            </w:pPr>
            <w:r>
              <w:rPr>
                <w:color w:val="auto"/>
              </w:rPr>
              <w:t>《环境空气质量标准》(GB3095-2012)及其修改单二级标准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96" w:type="pct"/>
            <w:vMerge w:val="continue"/>
            <w:vAlign w:val="center"/>
          </w:tcPr>
          <w:p>
            <w:pPr>
              <w:pStyle w:val="47"/>
              <w:rPr>
                <w:color w:val="auto"/>
              </w:rPr>
            </w:pPr>
          </w:p>
        </w:tc>
        <w:tc>
          <w:tcPr>
            <w:tcW w:w="913" w:type="pct"/>
            <w:vAlign w:val="center"/>
          </w:tcPr>
          <w:p>
            <w:pPr>
              <w:pStyle w:val="47"/>
              <w:rPr>
                <w:color w:val="auto"/>
              </w:rPr>
            </w:pPr>
            <w:r>
              <w:rPr>
                <w:color w:val="auto"/>
              </w:rPr>
              <w:t>日平均</w:t>
            </w:r>
          </w:p>
        </w:tc>
        <w:tc>
          <w:tcPr>
            <w:tcW w:w="1383" w:type="pct"/>
            <w:vAlign w:val="center"/>
          </w:tcPr>
          <w:p>
            <w:pPr>
              <w:pStyle w:val="47"/>
              <w:rPr>
                <w:color w:val="auto"/>
              </w:rPr>
            </w:pPr>
            <w:r>
              <w:rPr>
                <w:color w:val="auto"/>
              </w:rPr>
              <w:t>0.15</w:t>
            </w:r>
          </w:p>
        </w:tc>
        <w:tc>
          <w:tcPr>
            <w:tcW w:w="1906" w:type="pct"/>
            <w:vMerge w:val="continue"/>
            <w:vAlign w:val="center"/>
          </w:tcPr>
          <w:p>
            <w:pPr>
              <w:pStyle w:val="47"/>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96" w:type="pct"/>
            <w:vMerge w:val="continue"/>
            <w:vAlign w:val="center"/>
          </w:tcPr>
          <w:p>
            <w:pPr>
              <w:pStyle w:val="47"/>
              <w:rPr>
                <w:color w:val="auto"/>
              </w:rPr>
            </w:pPr>
          </w:p>
        </w:tc>
        <w:tc>
          <w:tcPr>
            <w:tcW w:w="913" w:type="pct"/>
            <w:vAlign w:val="center"/>
          </w:tcPr>
          <w:p>
            <w:pPr>
              <w:pStyle w:val="47"/>
              <w:rPr>
                <w:color w:val="auto"/>
              </w:rPr>
            </w:pPr>
            <w:r>
              <w:rPr>
                <w:color w:val="auto"/>
              </w:rPr>
              <w:t>年平均</w:t>
            </w:r>
          </w:p>
        </w:tc>
        <w:tc>
          <w:tcPr>
            <w:tcW w:w="1383" w:type="pct"/>
            <w:vAlign w:val="center"/>
          </w:tcPr>
          <w:p>
            <w:pPr>
              <w:pStyle w:val="47"/>
              <w:rPr>
                <w:color w:val="auto"/>
              </w:rPr>
            </w:pPr>
            <w:r>
              <w:rPr>
                <w:color w:val="auto"/>
              </w:rPr>
              <w:t>0.06</w:t>
            </w:r>
          </w:p>
        </w:tc>
        <w:tc>
          <w:tcPr>
            <w:tcW w:w="1906" w:type="pct"/>
            <w:vMerge w:val="continue"/>
            <w:vAlign w:val="center"/>
          </w:tcPr>
          <w:p>
            <w:pPr>
              <w:pStyle w:val="47"/>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96" w:type="pct"/>
            <w:vMerge w:val="restart"/>
            <w:vAlign w:val="center"/>
          </w:tcPr>
          <w:p>
            <w:pPr>
              <w:pStyle w:val="47"/>
              <w:rPr>
                <w:color w:val="auto"/>
              </w:rPr>
            </w:pPr>
            <w:r>
              <w:rPr>
                <w:color w:val="auto"/>
              </w:rPr>
              <w:t>NO</w:t>
            </w:r>
            <w:r>
              <w:rPr>
                <w:color w:val="auto"/>
                <w:vertAlign w:val="subscript"/>
              </w:rPr>
              <w:t>2</w:t>
            </w:r>
          </w:p>
        </w:tc>
        <w:tc>
          <w:tcPr>
            <w:tcW w:w="913" w:type="pct"/>
            <w:vAlign w:val="center"/>
          </w:tcPr>
          <w:p>
            <w:pPr>
              <w:pStyle w:val="47"/>
              <w:rPr>
                <w:color w:val="auto"/>
              </w:rPr>
            </w:pPr>
            <w:r>
              <w:rPr>
                <w:color w:val="auto"/>
              </w:rPr>
              <w:t>1小时平均</w:t>
            </w:r>
          </w:p>
        </w:tc>
        <w:tc>
          <w:tcPr>
            <w:tcW w:w="1383" w:type="pct"/>
            <w:vAlign w:val="center"/>
          </w:tcPr>
          <w:p>
            <w:pPr>
              <w:pStyle w:val="47"/>
              <w:rPr>
                <w:color w:val="auto"/>
              </w:rPr>
            </w:pPr>
            <w:r>
              <w:rPr>
                <w:color w:val="auto"/>
              </w:rPr>
              <w:t>0.2</w:t>
            </w:r>
          </w:p>
        </w:tc>
        <w:tc>
          <w:tcPr>
            <w:tcW w:w="1906" w:type="pct"/>
            <w:vMerge w:val="continue"/>
            <w:vAlign w:val="center"/>
          </w:tcPr>
          <w:p>
            <w:pPr>
              <w:pStyle w:val="47"/>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96" w:type="pct"/>
            <w:vMerge w:val="continue"/>
            <w:vAlign w:val="center"/>
          </w:tcPr>
          <w:p>
            <w:pPr>
              <w:pStyle w:val="47"/>
              <w:rPr>
                <w:color w:val="auto"/>
              </w:rPr>
            </w:pPr>
          </w:p>
        </w:tc>
        <w:tc>
          <w:tcPr>
            <w:tcW w:w="913" w:type="pct"/>
            <w:vAlign w:val="center"/>
          </w:tcPr>
          <w:p>
            <w:pPr>
              <w:pStyle w:val="47"/>
              <w:rPr>
                <w:color w:val="auto"/>
              </w:rPr>
            </w:pPr>
            <w:r>
              <w:rPr>
                <w:color w:val="auto"/>
              </w:rPr>
              <w:t>日平均</w:t>
            </w:r>
          </w:p>
        </w:tc>
        <w:tc>
          <w:tcPr>
            <w:tcW w:w="1383" w:type="pct"/>
            <w:vAlign w:val="center"/>
          </w:tcPr>
          <w:p>
            <w:pPr>
              <w:pStyle w:val="47"/>
              <w:rPr>
                <w:color w:val="auto"/>
              </w:rPr>
            </w:pPr>
            <w:r>
              <w:rPr>
                <w:color w:val="auto"/>
              </w:rPr>
              <w:t>0.08</w:t>
            </w:r>
          </w:p>
        </w:tc>
        <w:tc>
          <w:tcPr>
            <w:tcW w:w="1906" w:type="pct"/>
            <w:vMerge w:val="continue"/>
            <w:vAlign w:val="center"/>
          </w:tcPr>
          <w:p>
            <w:pPr>
              <w:pStyle w:val="47"/>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96" w:type="pct"/>
            <w:vMerge w:val="continue"/>
            <w:vAlign w:val="center"/>
          </w:tcPr>
          <w:p>
            <w:pPr>
              <w:pStyle w:val="47"/>
              <w:rPr>
                <w:color w:val="auto"/>
              </w:rPr>
            </w:pPr>
          </w:p>
        </w:tc>
        <w:tc>
          <w:tcPr>
            <w:tcW w:w="913" w:type="pct"/>
            <w:vAlign w:val="center"/>
          </w:tcPr>
          <w:p>
            <w:pPr>
              <w:pStyle w:val="47"/>
              <w:rPr>
                <w:color w:val="auto"/>
              </w:rPr>
            </w:pPr>
            <w:r>
              <w:rPr>
                <w:color w:val="auto"/>
              </w:rPr>
              <w:t>年平均</w:t>
            </w:r>
          </w:p>
        </w:tc>
        <w:tc>
          <w:tcPr>
            <w:tcW w:w="1383" w:type="pct"/>
            <w:vAlign w:val="center"/>
          </w:tcPr>
          <w:p>
            <w:pPr>
              <w:pStyle w:val="47"/>
              <w:rPr>
                <w:color w:val="auto"/>
              </w:rPr>
            </w:pPr>
            <w:r>
              <w:rPr>
                <w:color w:val="auto"/>
              </w:rPr>
              <w:t>0.04</w:t>
            </w:r>
          </w:p>
        </w:tc>
        <w:tc>
          <w:tcPr>
            <w:tcW w:w="1906" w:type="pct"/>
            <w:vMerge w:val="continue"/>
            <w:vAlign w:val="center"/>
          </w:tcPr>
          <w:p>
            <w:pPr>
              <w:pStyle w:val="47"/>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96" w:type="pct"/>
            <w:vMerge w:val="restart"/>
            <w:vAlign w:val="center"/>
          </w:tcPr>
          <w:p>
            <w:pPr>
              <w:pStyle w:val="47"/>
              <w:rPr>
                <w:color w:val="auto"/>
              </w:rPr>
            </w:pPr>
            <w:r>
              <w:rPr>
                <w:color w:val="auto"/>
              </w:rPr>
              <w:t>PM</w:t>
            </w:r>
            <w:r>
              <w:rPr>
                <w:color w:val="auto"/>
                <w:vertAlign w:val="subscript"/>
              </w:rPr>
              <w:t>10</w:t>
            </w:r>
          </w:p>
        </w:tc>
        <w:tc>
          <w:tcPr>
            <w:tcW w:w="913" w:type="pct"/>
            <w:vAlign w:val="center"/>
          </w:tcPr>
          <w:p>
            <w:pPr>
              <w:pStyle w:val="47"/>
              <w:rPr>
                <w:color w:val="auto"/>
              </w:rPr>
            </w:pPr>
            <w:r>
              <w:rPr>
                <w:color w:val="auto"/>
              </w:rPr>
              <w:t>日平均</w:t>
            </w:r>
          </w:p>
        </w:tc>
        <w:tc>
          <w:tcPr>
            <w:tcW w:w="1383" w:type="pct"/>
            <w:vAlign w:val="center"/>
          </w:tcPr>
          <w:p>
            <w:pPr>
              <w:pStyle w:val="47"/>
              <w:rPr>
                <w:color w:val="auto"/>
              </w:rPr>
            </w:pPr>
            <w:r>
              <w:rPr>
                <w:color w:val="auto"/>
              </w:rPr>
              <w:t>0.15</w:t>
            </w:r>
          </w:p>
        </w:tc>
        <w:tc>
          <w:tcPr>
            <w:tcW w:w="1906" w:type="pct"/>
            <w:vMerge w:val="continue"/>
            <w:vAlign w:val="center"/>
          </w:tcPr>
          <w:p>
            <w:pPr>
              <w:pStyle w:val="47"/>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96" w:type="pct"/>
            <w:vMerge w:val="continue"/>
            <w:vAlign w:val="center"/>
          </w:tcPr>
          <w:p>
            <w:pPr>
              <w:pStyle w:val="47"/>
              <w:rPr>
                <w:color w:val="auto"/>
              </w:rPr>
            </w:pPr>
          </w:p>
        </w:tc>
        <w:tc>
          <w:tcPr>
            <w:tcW w:w="913" w:type="pct"/>
            <w:vAlign w:val="center"/>
          </w:tcPr>
          <w:p>
            <w:pPr>
              <w:pStyle w:val="47"/>
              <w:rPr>
                <w:color w:val="auto"/>
              </w:rPr>
            </w:pPr>
            <w:r>
              <w:rPr>
                <w:color w:val="auto"/>
              </w:rPr>
              <w:t>年平均</w:t>
            </w:r>
          </w:p>
        </w:tc>
        <w:tc>
          <w:tcPr>
            <w:tcW w:w="1383" w:type="pct"/>
            <w:vAlign w:val="center"/>
          </w:tcPr>
          <w:p>
            <w:pPr>
              <w:pStyle w:val="47"/>
              <w:rPr>
                <w:color w:val="auto"/>
              </w:rPr>
            </w:pPr>
            <w:r>
              <w:rPr>
                <w:color w:val="auto"/>
              </w:rPr>
              <w:t>0.07</w:t>
            </w:r>
          </w:p>
        </w:tc>
        <w:tc>
          <w:tcPr>
            <w:tcW w:w="1906" w:type="pct"/>
            <w:vMerge w:val="continue"/>
            <w:vAlign w:val="center"/>
          </w:tcPr>
          <w:p>
            <w:pPr>
              <w:pStyle w:val="47"/>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96" w:type="pct"/>
            <w:vMerge w:val="restart"/>
            <w:vAlign w:val="center"/>
          </w:tcPr>
          <w:p>
            <w:pPr>
              <w:pStyle w:val="47"/>
              <w:rPr>
                <w:color w:val="auto"/>
              </w:rPr>
            </w:pPr>
            <w:r>
              <w:rPr>
                <w:color w:val="auto"/>
              </w:rPr>
              <w:t>PM</w:t>
            </w:r>
            <w:r>
              <w:rPr>
                <w:color w:val="auto"/>
                <w:vertAlign w:val="subscript"/>
              </w:rPr>
              <w:t>2.5</w:t>
            </w:r>
          </w:p>
        </w:tc>
        <w:tc>
          <w:tcPr>
            <w:tcW w:w="913" w:type="pct"/>
            <w:vAlign w:val="center"/>
          </w:tcPr>
          <w:p>
            <w:pPr>
              <w:pStyle w:val="47"/>
              <w:rPr>
                <w:color w:val="auto"/>
              </w:rPr>
            </w:pPr>
            <w:r>
              <w:rPr>
                <w:color w:val="auto"/>
              </w:rPr>
              <w:t>日平均</w:t>
            </w:r>
          </w:p>
        </w:tc>
        <w:tc>
          <w:tcPr>
            <w:tcW w:w="1383" w:type="pct"/>
            <w:vAlign w:val="center"/>
          </w:tcPr>
          <w:p>
            <w:pPr>
              <w:pStyle w:val="47"/>
              <w:rPr>
                <w:color w:val="auto"/>
              </w:rPr>
            </w:pPr>
            <w:r>
              <w:rPr>
                <w:color w:val="auto"/>
              </w:rPr>
              <w:t>0.075</w:t>
            </w:r>
          </w:p>
        </w:tc>
        <w:tc>
          <w:tcPr>
            <w:tcW w:w="1906" w:type="pct"/>
            <w:vMerge w:val="continue"/>
            <w:vAlign w:val="center"/>
          </w:tcPr>
          <w:p>
            <w:pPr>
              <w:pStyle w:val="47"/>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96" w:type="pct"/>
            <w:vMerge w:val="continue"/>
            <w:vAlign w:val="center"/>
          </w:tcPr>
          <w:p>
            <w:pPr>
              <w:pStyle w:val="47"/>
              <w:rPr>
                <w:color w:val="auto"/>
              </w:rPr>
            </w:pPr>
          </w:p>
        </w:tc>
        <w:tc>
          <w:tcPr>
            <w:tcW w:w="913" w:type="pct"/>
            <w:vAlign w:val="center"/>
          </w:tcPr>
          <w:p>
            <w:pPr>
              <w:pStyle w:val="47"/>
              <w:rPr>
                <w:color w:val="auto"/>
              </w:rPr>
            </w:pPr>
            <w:r>
              <w:rPr>
                <w:color w:val="auto"/>
              </w:rPr>
              <w:t>年平均</w:t>
            </w:r>
          </w:p>
        </w:tc>
        <w:tc>
          <w:tcPr>
            <w:tcW w:w="1383" w:type="pct"/>
            <w:vAlign w:val="center"/>
          </w:tcPr>
          <w:p>
            <w:pPr>
              <w:pStyle w:val="47"/>
              <w:rPr>
                <w:color w:val="auto"/>
              </w:rPr>
            </w:pPr>
            <w:r>
              <w:rPr>
                <w:color w:val="auto"/>
              </w:rPr>
              <w:t>0.035</w:t>
            </w:r>
          </w:p>
        </w:tc>
        <w:tc>
          <w:tcPr>
            <w:tcW w:w="1906" w:type="pct"/>
            <w:vMerge w:val="continue"/>
            <w:vAlign w:val="center"/>
          </w:tcPr>
          <w:p>
            <w:pPr>
              <w:pStyle w:val="47"/>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96" w:type="pct"/>
            <w:vMerge w:val="restart"/>
            <w:vAlign w:val="center"/>
          </w:tcPr>
          <w:p>
            <w:pPr>
              <w:pStyle w:val="47"/>
              <w:rPr>
                <w:color w:val="auto"/>
              </w:rPr>
            </w:pPr>
            <w:r>
              <w:rPr>
                <w:color w:val="auto"/>
              </w:rPr>
              <w:t>TSP</w:t>
            </w:r>
          </w:p>
        </w:tc>
        <w:tc>
          <w:tcPr>
            <w:tcW w:w="913" w:type="pct"/>
            <w:vAlign w:val="center"/>
          </w:tcPr>
          <w:p>
            <w:pPr>
              <w:pStyle w:val="47"/>
              <w:rPr>
                <w:color w:val="auto"/>
              </w:rPr>
            </w:pPr>
            <w:r>
              <w:rPr>
                <w:color w:val="auto"/>
              </w:rPr>
              <w:t>日平均</w:t>
            </w:r>
          </w:p>
        </w:tc>
        <w:tc>
          <w:tcPr>
            <w:tcW w:w="1383" w:type="pct"/>
            <w:vAlign w:val="center"/>
          </w:tcPr>
          <w:p>
            <w:pPr>
              <w:pStyle w:val="47"/>
              <w:rPr>
                <w:color w:val="auto"/>
              </w:rPr>
            </w:pPr>
            <w:r>
              <w:rPr>
                <w:color w:val="auto"/>
              </w:rPr>
              <w:t>0.30</w:t>
            </w:r>
          </w:p>
        </w:tc>
        <w:tc>
          <w:tcPr>
            <w:tcW w:w="1906" w:type="pct"/>
            <w:vMerge w:val="continue"/>
            <w:vAlign w:val="center"/>
          </w:tcPr>
          <w:p>
            <w:pPr>
              <w:pStyle w:val="47"/>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96" w:type="pct"/>
            <w:vMerge w:val="continue"/>
            <w:vAlign w:val="center"/>
          </w:tcPr>
          <w:p>
            <w:pPr>
              <w:pStyle w:val="47"/>
              <w:rPr>
                <w:color w:val="auto"/>
              </w:rPr>
            </w:pPr>
          </w:p>
        </w:tc>
        <w:tc>
          <w:tcPr>
            <w:tcW w:w="913" w:type="pct"/>
            <w:vAlign w:val="center"/>
          </w:tcPr>
          <w:p>
            <w:pPr>
              <w:pStyle w:val="47"/>
              <w:rPr>
                <w:color w:val="auto"/>
              </w:rPr>
            </w:pPr>
            <w:r>
              <w:rPr>
                <w:color w:val="auto"/>
              </w:rPr>
              <w:t>年平均</w:t>
            </w:r>
          </w:p>
        </w:tc>
        <w:tc>
          <w:tcPr>
            <w:tcW w:w="1383" w:type="pct"/>
            <w:vAlign w:val="center"/>
          </w:tcPr>
          <w:p>
            <w:pPr>
              <w:pStyle w:val="47"/>
              <w:rPr>
                <w:color w:val="auto"/>
              </w:rPr>
            </w:pPr>
            <w:r>
              <w:rPr>
                <w:color w:val="auto"/>
              </w:rPr>
              <w:t>0.20</w:t>
            </w:r>
          </w:p>
        </w:tc>
        <w:tc>
          <w:tcPr>
            <w:tcW w:w="1906" w:type="pct"/>
            <w:vMerge w:val="continue"/>
            <w:vAlign w:val="center"/>
          </w:tcPr>
          <w:p>
            <w:pPr>
              <w:pStyle w:val="47"/>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96" w:type="pct"/>
            <w:vMerge w:val="restart"/>
            <w:vAlign w:val="center"/>
          </w:tcPr>
          <w:p>
            <w:pPr>
              <w:pStyle w:val="47"/>
              <w:rPr>
                <w:color w:val="auto"/>
              </w:rPr>
            </w:pPr>
            <w:r>
              <w:rPr>
                <w:color w:val="auto"/>
              </w:rPr>
              <w:t>CO</w:t>
            </w:r>
          </w:p>
        </w:tc>
        <w:tc>
          <w:tcPr>
            <w:tcW w:w="913" w:type="pct"/>
            <w:vAlign w:val="center"/>
          </w:tcPr>
          <w:p>
            <w:pPr>
              <w:pStyle w:val="47"/>
              <w:rPr>
                <w:color w:val="auto"/>
              </w:rPr>
            </w:pPr>
            <w:r>
              <w:rPr>
                <w:color w:val="auto"/>
              </w:rPr>
              <w:t>1小时平均</w:t>
            </w:r>
          </w:p>
        </w:tc>
        <w:tc>
          <w:tcPr>
            <w:tcW w:w="1383" w:type="pct"/>
            <w:vAlign w:val="center"/>
          </w:tcPr>
          <w:p>
            <w:pPr>
              <w:pStyle w:val="47"/>
              <w:rPr>
                <w:color w:val="auto"/>
              </w:rPr>
            </w:pPr>
            <w:r>
              <w:rPr>
                <w:color w:val="auto"/>
              </w:rPr>
              <w:t>10</w:t>
            </w:r>
          </w:p>
        </w:tc>
        <w:tc>
          <w:tcPr>
            <w:tcW w:w="1906" w:type="pct"/>
            <w:vMerge w:val="continue"/>
            <w:vAlign w:val="center"/>
          </w:tcPr>
          <w:p>
            <w:pPr>
              <w:pStyle w:val="47"/>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96" w:type="pct"/>
            <w:vMerge w:val="continue"/>
            <w:vAlign w:val="center"/>
          </w:tcPr>
          <w:p>
            <w:pPr>
              <w:pStyle w:val="47"/>
              <w:rPr>
                <w:color w:val="auto"/>
              </w:rPr>
            </w:pPr>
          </w:p>
        </w:tc>
        <w:tc>
          <w:tcPr>
            <w:tcW w:w="913" w:type="pct"/>
            <w:vAlign w:val="center"/>
          </w:tcPr>
          <w:p>
            <w:pPr>
              <w:pStyle w:val="47"/>
              <w:rPr>
                <w:color w:val="auto"/>
              </w:rPr>
            </w:pPr>
            <w:r>
              <w:rPr>
                <w:color w:val="auto"/>
              </w:rPr>
              <w:t>日平均</w:t>
            </w:r>
          </w:p>
        </w:tc>
        <w:tc>
          <w:tcPr>
            <w:tcW w:w="1383" w:type="pct"/>
            <w:vAlign w:val="center"/>
          </w:tcPr>
          <w:p>
            <w:pPr>
              <w:pStyle w:val="47"/>
              <w:rPr>
                <w:color w:val="auto"/>
              </w:rPr>
            </w:pPr>
            <w:r>
              <w:rPr>
                <w:color w:val="auto"/>
              </w:rPr>
              <w:t>4</w:t>
            </w:r>
          </w:p>
        </w:tc>
        <w:tc>
          <w:tcPr>
            <w:tcW w:w="1906" w:type="pct"/>
            <w:vMerge w:val="continue"/>
            <w:vAlign w:val="center"/>
          </w:tcPr>
          <w:p>
            <w:pPr>
              <w:pStyle w:val="47"/>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96" w:type="pct"/>
            <w:vMerge w:val="restart"/>
            <w:vAlign w:val="center"/>
          </w:tcPr>
          <w:p>
            <w:pPr>
              <w:pStyle w:val="47"/>
              <w:rPr>
                <w:color w:val="auto"/>
              </w:rPr>
            </w:pPr>
            <w:r>
              <w:rPr>
                <w:color w:val="auto"/>
              </w:rPr>
              <w:t>臭氧</w:t>
            </w:r>
          </w:p>
        </w:tc>
        <w:tc>
          <w:tcPr>
            <w:tcW w:w="913" w:type="pct"/>
            <w:vAlign w:val="center"/>
          </w:tcPr>
          <w:p>
            <w:pPr>
              <w:pStyle w:val="47"/>
              <w:rPr>
                <w:color w:val="auto"/>
              </w:rPr>
            </w:pPr>
            <w:r>
              <w:rPr>
                <w:color w:val="auto"/>
              </w:rPr>
              <w:t>日最大8小时平均值</w:t>
            </w:r>
          </w:p>
        </w:tc>
        <w:tc>
          <w:tcPr>
            <w:tcW w:w="1383" w:type="pct"/>
            <w:vAlign w:val="center"/>
          </w:tcPr>
          <w:p>
            <w:pPr>
              <w:pStyle w:val="47"/>
              <w:rPr>
                <w:color w:val="auto"/>
              </w:rPr>
            </w:pPr>
            <w:r>
              <w:rPr>
                <w:color w:val="auto"/>
              </w:rPr>
              <w:t>0.16</w:t>
            </w:r>
          </w:p>
        </w:tc>
        <w:tc>
          <w:tcPr>
            <w:tcW w:w="1906" w:type="pct"/>
            <w:vMerge w:val="continue"/>
            <w:vAlign w:val="center"/>
          </w:tcPr>
          <w:p>
            <w:pPr>
              <w:pStyle w:val="47"/>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96" w:type="pct"/>
            <w:vMerge w:val="continue"/>
            <w:vAlign w:val="center"/>
          </w:tcPr>
          <w:p>
            <w:pPr>
              <w:pStyle w:val="47"/>
              <w:rPr>
                <w:color w:val="auto"/>
              </w:rPr>
            </w:pPr>
          </w:p>
        </w:tc>
        <w:tc>
          <w:tcPr>
            <w:tcW w:w="913" w:type="pct"/>
            <w:vAlign w:val="center"/>
          </w:tcPr>
          <w:p>
            <w:pPr>
              <w:pStyle w:val="47"/>
              <w:rPr>
                <w:color w:val="auto"/>
              </w:rPr>
            </w:pPr>
            <w:r>
              <w:rPr>
                <w:color w:val="auto"/>
              </w:rPr>
              <w:t>1小时平均</w:t>
            </w:r>
          </w:p>
        </w:tc>
        <w:tc>
          <w:tcPr>
            <w:tcW w:w="1383" w:type="pct"/>
            <w:vAlign w:val="center"/>
          </w:tcPr>
          <w:p>
            <w:pPr>
              <w:pStyle w:val="47"/>
              <w:rPr>
                <w:color w:val="auto"/>
              </w:rPr>
            </w:pPr>
            <w:r>
              <w:rPr>
                <w:color w:val="auto"/>
              </w:rPr>
              <w:t>0.2</w:t>
            </w:r>
          </w:p>
        </w:tc>
        <w:tc>
          <w:tcPr>
            <w:tcW w:w="1906" w:type="pct"/>
            <w:vMerge w:val="continue"/>
            <w:vAlign w:val="center"/>
          </w:tcPr>
          <w:p>
            <w:pPr>
              <w:pStyle w:val="47"/>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96" w:type="pct"/>
            <w:vAlign w:val="center"/>
          </w:tcPr>
          <w:p>
            <w:pPr>
              <w:pStyle w:val="47"/>
              <w:rPr>
                <w:color w:val="auto"/>
              </w:rPr>
            </w:pPr>
            <w:r>
              <w:rPr>
                <w:color w:val="auto"/>
              </w:rPr>
              <w:t>VOCs</w:t>
            </w:r>
          </w:p>
        </w:tc>
        <w:tc>
          <w:tcPr>
            <w:tcW w:w="913" w:type="pct"/>
            <w:vAlign w:val="center"/>
          </w:tcPr>
          <w:p>
            <w:pPr>
              <w:pStyle w:val="47"/>
              <w:rPr>
                <w:color w:val="auto"/>
              </w:rPr>
            </w:pPr>
            <w:r>
              <w:rPr>
                <w:color w:val="auto"/>
              </w:rPr>
              <w:t>小时值</w:t>
            </w:r>
          </w:p>
        </w:tc>
        <w:tc>
          <w:tcPr>
            <w:tcW w:w="1383" w:type="pct"/>
            <w:vAlign w:val="center"/>
          </w:tcPr>
          <w:p>
            <w:pPr>
              <w:pStyle w:val="47"/>
              <w:rPr>
                <w:color w:val="auto"/>
              </w:rPr>
            </w:pPr>
            <w:r>
              <w:rPr>
                <w:color w:val="auto"/>
              </w:rPr>
              <w:t>2.0</w:t>
            </w:r>
          </w:p>
        </w:tc>
        <w:tc>
          <w:tcPr>
            <w:tcW w:w="1906" w:type="pct"/>
            <w:vAlign w:val="center"/>
          </w:tcPr>
          <w:p>
            <w:pPr>
              <w:pStyle w:val="47"/>
              <w:rPr>
                <w:color w:val="auto"/>
              </w:rPr>
            </w:pPr>
            <w:r>
              <w:rPr>
                <w:color w:val="auto"/>
              </w:rPr>
              <w:t>参照《大气污染物综合排放标准详解》中</w:t>
            </w:r>
            <w:r>
              <w:rPr>
                <w:rFonts w:hint="eastAsia"/>
                <w:color w:val="auto"/>
                <w:lang w:eastAsia="zh-CN"/>
              </w:rPr>
              <w:t>非甲烷</w:t>
            </w:r>
            <w:r>
              <w:rPr>
                <w:color w:val="auto"/>
              </w:rPr>
              <w:t>总烃环境质量标准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796" w:type="pct"/>
            <w:vAlign w:val="center"/>
          </w:tcPr>
          <w:p>
            <w:pPr>
              <w:pStyle w:val="47"/>
              <w:rPr>
                <w:color w:val="auto"/>
              </w:rPr>
            </w:pPr>
            <w:r>
              <w:rPr>
                <w:color w:val="auto"/>
              </w:rPr>
              <w:t>氨</w:t>
            </w:r>
          </w:p>
        </w:tc>
        <w:tc>
          <w:tcPr>
            <w:tcW w:w="913" w:type="pct"/>
            <w:vAlign w:val="center"/>
          </w:tcPr>
          <w:p>
            <w:pPr>
              <w:pStyle w:val="47"/>
              <w:rPr>
                <w:color w:val="auto"/>
              </w:rPr>
            </w:pPr>
            <w:r>
              <w:rPr>
                <w:color w:val="auto"/>
              </w:rPr>
              <w:t>小时值</w:t>
            </w:r>
          </w:p>
        </w:tc>
        <w:tc>
          <w:tcPr>
            <w:tcW w:w="1383" w:type="pct"/>
            <w:vAlign w:val="center"/>
          </w:tcPr>
          <w:p>
            <w:pPr>
              <w:pStyle w:val="47"/>
              <w:rPr>
                <w:color w:val="auto"/>
              </w:rPr>
            </w:pPr>
            <w:r>
              <w:rPr>
                <w:color w:val="auto"/>
              </w:rPr>
              <w:t>0.2</w:t>
            </w:r>
          </w:p>
        </w:tc>
        <w:tc>
          <w:tcPr>
            <w:tcW w:w="1906" w:type="pct"/>
            <w:vMerge w:val="restart"/>
            <w:vAlign w:val="center"/>
          </w:tcPr>
          <w:p>
            <w:pPr>
              <w:pStyle w:val="47"/>
              <w:rPr>
                <w:color w:val="auto"/>
              </w:rPr>
            </w:pPr>
            <w:r>
              <w:rPr>
                <w:color w:val="auto"/>
              </w:rPr>
              <w:t xml:space="preserve">《环境影响评价技术导则 大气环境》（HJ2.2-2018）附录 D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796" w:type="pct"/>
            <w:vAlign w:val="center"/>
          </w:tcPr>
          <w:p>
            <w:pPr>
              <w:pStyle w:val="47"/>
              <w:rPr>
                <w:color w:val="auto"/>
              </w:rPr>
            </w:pPr>
            <w:r>
              <w:rPr>
                <w:color w:val="auto"/>
              </w:rPr>
              <w:t>硫化氢</w:t>
            </w:r>
          </w:p>
        </w:tc>
        <w:tc>
          <w:tcPr>
            <w:tcW w:w="913" w:type="pct"/>
            <w:vAlign w:val="center"/>
          </w:tcPr>
          <w:p>
            <w:pPr>
              <w:pStyle w:val="47"/>
              <w:rPr>
                <w:color w:val="auto"/>
              </w:rPr>
            </w:pPr>
            <w:r>
              <w:rPr>
                <w:color w:val="auto"/>
              </w:rPr>
              <w:t>小时值</w:t>
            </w:r>
          </w:p>
        </w:tc>
        <w:tc>
          <w:tcPr>
            <w:tcW w:w="1383" w:type="pct"/>
            <w:vAlign w:val="center"/>
          </w:tcPr>
          <w:p>
            <w:pPr>
              <w:pStyle w:val="47"/>
              <w:rPr>
                <w:color w:val="auto"/>
              </w:rPr>
            </w:pPr>
            <w:r>
              <w:rPr>
                <w:color w:val="auto"/>
              </w:rPr>
              <w:t>0.01</w:t>
            </w:r>
          </w:p>
        </w:tc>
        <w:tc>
          <w:tcPr>
            <w:tcW w:w="1906" w:type="pct"/>
            <w:vMerge w:val="continue"/>
            <w:vAlign w:val="center"/>
          </w:tcPr>
          <w:p>
            <w:pPr>
              <w:pStyle w:val="47"/>
              <w:rPr>
                <w:color w:val="auto"/>
              </w:rPr>
            </w:pPr>
          </w:p>
        </w:tc>
      </w:tr>
    </w:tbl>
    <w:p>
      <w:pPr>
        <w:pStyle w:val="48"/>
        <w:rPr>
          <w:color w:val="auto"/>
        </w:rPr>
      </w:pPr>
    </w:p>
    <w:p>
      <w:pPr>
        <w:pStyle w:val="48"/>
        <w:rPr>
          <w:color w:val="auto"/>
        </w:rPr>
      </w:pPr>
    </w:p>
    <w:p>
      <w:pPr>
        <w:pStyle w:val="48"/>
        <w:rPr>
          <w:color w:val="auto"/>
        </w:rPr>
      </w:pPr>
    </w:p>
    <w:p>
      <w:pPr>
        <w:pStyle w:val="48"/>
        <w:rPr>
          <w:color w:val="auto"/>
        </w:rPr>
      </w:pPr>
    </w:p>
    <w:p>
      <w:pPr>
        <w:pStyle w:val="48"/>
        <w:rPr>
          <w:color w:val="auto"/>
        </w:rPr>
      </w:pPr>
    </w:p>
    <w:p>
      <w:pPr>
        <w:pStyle w:val="48"/>
        <w:rPr>
          <w:color w:val="auto"/>
        </w:rPr>
      </w:pPr>
      <w:r>
        <w:rPr>
          <w:color w:val="auto"/>
        </w:rPr>
        <w:t>表1.</w:t>
      </w:r>
      <w:r>
        <w:rPr>
          <w:rFonts w:hint="eastAsia"/>
          <w:color w:val="auto"/>
          <w:lang w:val="en-US" w:eastAsia="zh-CN"/>
        </w:rPr>
        <w:t>6</w:t>
      </w:r>
      <w:r>
        <w:rPr>
          <w:color w:val="auto"/>
        </w:rPr>
        <w:t>-2 地表水环境质量标准限值</w:t>
      </w:r>
    </w:p>
    <w:tbl>
      <w:tblPr>
        <w:tblStyle w:val="22"/>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3089"/>
        <w:gridCol w:w="2940"/>
        <w:gridCol w:w="303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7" w:hRule="atLeast"/>
          <w:jc w:val="center"/>
        </w:trPr>
        <w:tc>
          <w:tcPr>
            <w:tcW w:w="1703" w:type="pct"/>
            <w:tcBorders>
              <w:tl2br w:val="nil"/>
              <w:tr2bl w:val="nil"/>
            </w:tcBorders>
          </w:tcPr>
          <w:p>
            <w:pPr>
              <w:pStyle w:val="47"/>
              <w:rPr>
                <w:color w:val="auto"/>
                <w:lang w:val="zh-CN"/>
              </w:rPr>
            </w:pPr>
            <w:r>
              <w:rPr>
                <w:color w:val="auto"/>
                <w:lang w:val="zh-CN"/>
              </w:rPr>
              <w:t>污染物名称</w:t>
            </w:r>
          </w:p>
        </w:tc>
        <w:tc>
          <w:tcPr>
            <w:tcW w:w="1621" w:type="pct"/>
            <w:tcBorders>
              <w:tl2br w:val="nil"/>
              <w:tr2bl w:val="nil"/>
            </w:tcBorders>
          </w:tcPr>
          <w:p>
            <w:pPr>
              <w:pStyle w:val="47"/>
              <w:rPr>
                <w:color w:val="auto"/>
                <w:lang w:val="zh-CN"/>
              </w:rPr>
            </w:pPr>
            <w:r>
              <w:rPr>
                <w:color w:val="auto"/>
              </w:rPr>
              <w:t>IV</w:t>
            </w:r>
            <w:r>
              <w:rPr>
                <w:color w:val="auto"/>
                <w:lang w:val="zh-CN"/>
              </w:rPr>
              <w:t>类标准值（mg/L）</w:t>
            </w:r>
          </w:p>
        </w:tc>
        <w:tc>
          <w:tcPr>
            <w:tcW w:w="1675" w:type="pct"/>
            <w:tcBorders>
              <w:tl2br w:val="nil"/>
              <w:tr2bl w:val="nil"/>
            </w:tcBorders>
          </w:tcPr>
          <w:p>
            <w:pPr>
              <w:pStyle w:val="47"/>
              <w:rPr>
                <w:color w:val="auto"/>
                <w:lang w:val="zh-CN"/>
              </w:rPr>
            </w:pPr>
            <w:r>
              <w:rPr>
                <w:color w:val="auto"/>
                <w:lang w:val="zh-CN"/>
              </w:rPr>
              <w:t>标准来源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7" w:hRule="atLeast"/>
          <w:jc w:val="center"/>
        </w:trPr>
        <w:tc>
          <w:tcPr>
            <w:tcW w:w="1703" w:type="pct"/>
            <w:tcBorders>
              <w:tl2br w:val="nil"/>
              <w:tr2bl w:val="nil"/>
            </w:tcBorders>
            <w:vAlign w:val="center"/>
          </w:tcPr>
          <w:p>
            <w:pPr>
              <w:pStyle w:val="47"/>
              <w:rPr>
                <w:color w:val="auto"/>
                <w:lang w:val="zh-CN"/>
              </w:rPr>
            </w:pPr>
            <w:r>
              <w:rPr>
                <w:color w:val="auto"/>
                <w:lang w:val="zh-CN"/>
              </w:rPr>
              <w:t>pH值（无量纲）</w:t>
            </w:r>
          </w:p>
        </w:tc>
        <w:tc>
          <w:tcPr>
            <w:tcW w:w="1621" w:type="pct"/>
            <w:tcBorders>
              <w:tl2br w:val="nil"/>
              <w:tr2bl w:val="nil"/>
            </w:tcBorders>
            <w:vAlign w:val="center"/>
          </w:tcPr>
          <w:p>
            <w:pPr>
              <w:pStyle w:val="47"/>
              <w:rPr>
                <w:color w:val="auto"/>
                <w:lang w:val="zh-CN"/>
              </w:rPr>
            </w:pPr>
            <w:r>
              <w:rPr>
                <w:color w:val="auto"/>
                <w:lang w:val="zh-CN"/>
              </w:rPr>
              <w:t>6-9</w:t>
            </w:r>
          </w:p>
        </w:tc>
        <w:tc>
          <w:tcPr>
            <w:tcW w:w="1675" w:type="pct"/>
            <w:vMerge w:val="restart"/>
            <w:tcBorders>
              <w:tl2br w:val="nil"/>
              <w:tr2bl w:val="nil"/>
            </w:tcBorders>
          </w:tcPr>
          <w:p>
            <w:pPr>
              <w:autoSpaceDE w:val="0"/>
              <w:autoSpaceDN w:val="0"/>
              <w:spacing w:line="240" w:lineRule="auto"/>
              <w:ind w:firstLine="400"/>
              <w:jc w:val="center"/>
              <w:rPr>
                <w:rFonts w:eastAsia="Times New Roman"/>
                <w:bCs/>
                <w:color w:val="auto"/>
                <w:sz w:val="20"/>
                <w:szCs w:val="22"/>
                <w:lang w:val="zh-CN" w:bidi="zh-CN"/>
              </w:rPr>
            </w:pPr>
          </w:p>
          <w:p>
            <w:pPr>
              <w:autoSpaceDE w:val="0"/>
              <w:autoSpaceDN w:val="0"/>
              <w:spacing w:line="240" w:lineRule="auto"/>
              <w:ind w:firstLine="400"/>
              <w:jc w:val="center"/>
              <w:rPr>
                <w:rFonts w:eastAsia="Times New Roman"/>
                <w:bCs/>
                <w:color w:val="auto"/>
                <w:sz w:val="20"/>
                <w:szCs w:val="22"/>
                <w:lang w:val="zh-CN" w:bidi="zh-CN"/>
              </w:rPr>
            </w:pPr>
          </w:p>
          <w:p>
            <w:pPr>
              <w:autoSpaceDE w:val="0"/>
              <w:autoSpaceDN w:val="0"/>
              <w:spacing w:line="240" w:lineRule="auto"/>
              <w:ind w:firstLine="400"/>
              <w:jc w:val="center"/>
              <w:rPr>
                <w:rFonts w:eastAsia="Times New Roman"/>
                <w:bCs/>
                <w:color w:val="auto"/>
                <w:sz w:val="20"/>
                <w:szCs w:val="22"/>
                <w:lang w:val="zh-CN" w:bidi="zh-CN"/>
              </w:rPr>
            </w:pPr>
          </w:p>
          <w:p>
            <w:pPr>
              <w:autoSpaceDE w:val="0"/>
              <w:autoSpaceDN w:val="0"/>
              <w:spacing w:line="240" w:lineRule="auto"/>
              <w:ind w:firstLine="400"/>
              <w:jc w:val="center"/>
              <w:rPr>
                <w:rFonts w:eastAsia="Times New Roman"/>
                <w:bCs/>
                <w:color w:val="auto"/>
                <w:sz w:val="20"/>
                <w:szCs w:val="22"/>
                <w:lang w:val="zh-CN" w:bidi="zh-CN"/>
              </w:rPr>
            </w:pPr>
          </w:p>
          <w:p>
            <w:pPr>
              <w:autoSpaceDE w:val="0"/>
              <w:autoSpaceDN w:val="0"/>
              <w:spacing w:line="240" w:lineRule="auto"/>
              <w:ind w:firstLine="400"/>
              <w:jc w:val="center"/>
              <w:rPr>
                <w:rFonts w:eastAsia="Times New Roman"/>
                <w:bCs/>
                <w:color w:val="auto"/>
                <w:sz w:val="20"/>
                <w:szCs w:val="22"/>
                <w:lang w:val="zh-CN" w:bidi="zh-CN"/>
              </w:rPr>
            </w:pPr>
          </w:p>
          <w:p>
            <w:pPr>
              <w:autoSpaceDE w:val="0"/>
              <w:autoSpaceDN w:val="0"/>
              <w:spacing w:line="240" w:lineRule="auto"/>
              <w:ind w:firstLine="400"/>
              <w:jc w:val="center"/>
              <w:rPr>
                <w:rFonts w:eastAsia="Times New Roman"/>
                <w:bCs/>
                <w:color w:val="auto"/>
                <w:sz w:val="20"/>
                <w:szCs w:val="22"/>
                <w:lang w:val="zh-CN" w:bidi="zh-CN"/>
              </w:rPr>
            </w:pPr>
          </w:p>
          <w:p>
            <w:pPr>
              <w:autoSpaceDE w:val="0"/>
              <w:autoSpaceDN w:val="0"/>
              <w:spacing w:line="240" w:lineRule="auto"/>
              <w:ind w:firstLine="400"/>
              <w:jc w:val="center"/>
              <w:rPr>
                <w:rFonts w:eastAsia="Times New Roman"/>
                <w:bCs/>
                <w:color w:val="auto"/>
                <w:sz w:val="20"/>
                <w:szCs w:val="22"/>
                <w:lang w:val="zh-CN" w:bidi="zh-CN"/>
              </w:rPr>
            </w:pPr>
          </w:p>
          <w:p>
            <w:pPr>
              <w:autoSpaceDE w:val="0"/>
              <w:autoSpaceDN w:val="0"/>
              <w:spacing w:line="240" w:lineRule="auto"/>
              <w:ind w:firstLine="400"/>
              <w:jc w:val="center"/>
              <w:rPr>
                <w:rFonts w:eastAsia="Times New Roman"/>
                <w:bCs/>
                <w:color w:val="auto"/>
                <w:sz w:val="20"/>
                <w:szCs w:val="22"/>
                <w:lang w:val="zh-CN" w:bidi="zh-CN"/>
              </w:rPr>
            </w:pPr>
          </w:p>
          <w:p>
            <w:pPr>
              <w:autoSpaceDE w:val="0"/>
              <w:autoSpaceDN w:val="0"/>
              <w:spacing w:line="240" w:lineRule="auto"/>
              <w:ind w:firstLine="400"/>
              <w:jc w:val="center"/>
              <w:rPr>
                <w:rFonts w:eastAsia="Times New Roman"/>
                <w:bCs/>
                <w:color w:val="auto"/>
                <w:sz w:val="20"/>
                <w:szCs w:val="22"/>
                <w:lang w:val="zh-CN" w:bidi="zh-CN"/>
              </w:rPr>
            </w:pPr>
          </w:p>
          <w:p>
            <w:pPr>
              <w:autoSpaceDE w:val="0"/>
              <w:autoSpaceDN w:val="0"/>
              <w:spacing w:line="240" w:lineRule="auto"/>
              <w:ind w:firstLine="400"/>
              <w:jc w:val="center"/>
              <w:rPr>
                <w:rFonts w:eastAsia="Times New Roman"/>
                <w:bCs/>
                <w:color w:val="auto"/>
                <w:sz w:val="20"/>
                <w:szCs w:val="22"/>
                <w:lang w:val="zh-CN" w:bidi="zh-CN"/>
              </w:rPr>
            </w:pPr>
          </w:p>
          <w:p>
            <w:pPr>
              <w:autoSpaceDE w:val="0"/>
              <w:autoSpaceDN w:val="0"/>
              <w:spacing w:line="240" w:lineRule="auto"/>
              <w:ind w:firstLine="400"/>
              <w:jc w:val="center"/>
              <w:rPr>
                <w:rFonts w:eastAsia="Times New Roman"/>
                <w:bCs/>
                <w:color w:val="auto"/>
                <w:sz w:val="20"/>
                <w:szCs w:val="22"/>
                <w:lang w:val="zh-CN" w:bidi="zh-CN"/>
              </w:rPr>
            </w:pPr>
          </w:p>
          <w:p>
            <w:pPr>
              <w:autoSpaceDE w:val="0"/>
              <w:autoSpaceDN w:val="0"/>
              <w:spacing w:line="240" w:lineRule="auto"/>
              <w:ind w:firstLine="400"/>
              <w:jc w:val="center"/>
              <w:rPr>
                <w:rFonts w:eastAsia="Times New Roman"/>
                <w:bCs/>
                <w:color w:val="auto"/>
                <w:sz w:val="20"/>
                <w:szCs w:val="22"/>
                <w:lang w:val="zh-CN" w:bidi="zh-CN"/>
              </w:rPr>
            </w:pPr>
          </w:p>
          <w:p>
            <w:pPr>
              <w:autoSpaceDE w:val="0"/>
              <w:autoSpaceDN w:val="0"/>
              <w:spacing w:line="240" w:lineRule="auto"/>
              <w:ind w:firstLine="300"/>
              <w:jc w:val="center"/>
              <w:rPr>
                <w:rFonts w:eastAsia="Times New Roman"/>
                <w:bCs/>
                <w:color w:val="auto"/>
                <w:sz w:val="15"/>
                <w:szCs w:val="22"/>
                <w:lang w:val="zh-CN" w:bidi="zh-CN"/>
              </w:rPr>
            </w:pPr>
          </w:p>
          <w:p>
            <w:pPr>
              <w:autoSpaceDE w:val="0"/>
              <w:autoSpaceDN w:val="0"/>
              <w:spacing w:line="240" w:lineRule="auto"/>
              <w:ind w:firstLine="0" w:firstLineChars="0"/>
              <w:jc w:val="center"/>
              <w:rPr>
                <w:bCs/>
                <w:color w:val="auto"/>
                <w:sz w:val="21"/>
                <w:szCs w:val="22"/>
                <w:lang w:val="zh-CN" w:bidi="zh-CN"/>
              </w:rPr>
            </w:pPr>
            <w:r>
              <w:rPr>
                <w:bCs/>
                <w:color w:val="auto"/>
                <w:sz w:val="21"/>
                <w:szCs w:val="22"/>
                <w:lang w:val="zh-CN" w:bidi="zh-CN"/>
              </w:rPr>
              <w:t>《地表水环境质量标准》（</w:t>
            </w:r>
            <w:r>
              <w:rPr>
                <w:rFonts w:eastAsia="Times New Roman"/>
                <w:bCs/>
                <w:color w:val="auto"/>
                <w:sz w:val="21"/>
                <w:szCs w:val="22"/>
                <w:lang w:val="zh-CN" w:bidi="zh-CN"/>
              </w:rPr>
              <w:t>GB3838-2002</w:t>
            </w:r>
            <w:r>
              <w:rPr>
                <w:bCs/>
                <w:color w:val="auto"/>
                <w:sz w:val="21"/>
                <w:szCs w:val="22"/>
                <w:lang w:val="zh-CN" w:bidi="zh-CN"/>
              </w:rPr>
              <w:t>）</w:t>
            </w:r>
            <w:r>
              <w:rPr>
                <w:color w:val="auto"/>
              </w:rPr>
              <w:t>IV</w:t>
            </w:r>
            <w:r>
              <w:rPr>
                <w:bCs/>
                <w:color w:val="auto"/>
                <w:sz w:val="21"/>
                <w:szCs w:val="22"/>
                <w:lang w:val="zh-CN" w:bidi="zh-CN"/>
              </w:rPr>
              <w:t>类标准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7" w:hRule="atLeast"/>
          <w:jc w:val="center"/>
        </w:trPr>
        <w:tc>
          <w:tcPr>
            <w:tcW w:w="1703" w:type="pct"/>
            <w:tcBorders>
              <w:tl2br w:val="nil"/>
              <w:tr2bl w:val="nil"/>
            </w:tcBorders>
            <w:vAlign w:val="center"/>
          </w:tcPr>
          <w:p>
            <w:pPr>
              <w:pStyle w:val="47"/>
              <w:rPr>
                <w:rFonts w:hint="eastAsia" w:eastAsia="宋体"/>
                <w:color w:val="auto"/>
                <w:lang w:val="en-US" w:eastAsia="zh-CN"/>
              </w:rPr>
            </w:pPr>
            <w:r>
              <w:rPr>
                <w:rFonts w:hint="eastAsia"/>
                <w:color w:val="auto"/>
                <w:lang w:val="en-US" w:eastAsia="zh-CN"/>
              </w:rPr>
              <w:t>溶解氧</w:t>
            </w:r>
          </w:p>
        </w:tc>
        <w:tc>
          <w:tcPr>
            <w:tcW w:w="1621" w:type="pct"/>
            <w:tcBorders>
              <w:tl2br w:val="nil"/>
              <w:tr2bl w:val="nil"/>
            </w:tcBorders>
            <w:vAlign w:val="center"/>
          </w:tcPr>
          <w:p>
            <w:pPr>
              <w:pStyle w:val="47"/>
              <w:rPr>
                <w:rFonts w:hint="eastAsia" w:eastAsia="宋体"/>
                <w:color w:val="auto"/>
                <w:lang w:val="en-US" w:eastAsia="zh-CN"/>
              </w:rPr>
            </w:pPr>
            <w:r>
              <w:rPr>
                <w:rFonts w:hint="eastAsia"/>
                <w:color w:val="auto"/>
                <w:lang w:val="en-US" w:eastAsia="zh-CN"/>
              </w:rPr>
              <w:t>3</w:t>
            </w:r>
          </w:p>
        </w:tc>
        <w:tc>
          <w:tcPr>
            <w:tcW w:w="1675" w:type="pct"/>
            <w:vMerge w:val="continue"/>
            <w:tcBorders>
              <w:tl2br w:val="nil"/>
              <w:tr2bl w:val="nil"/>
            </w:tcBorders>
          </w:tcPr>
          <w:p>
            <w:pPr>
              <w:autoSpaceDE w:val="0"/>
              <w:autoSpaceDN w:val="0"/>
              <w:spacing w:line="240" w:lineRule="auto"/>
              <w:ind w:firstLine="0" w:firstLineChars="0"/>
              <w:jc w:val="center"/>
              <w:rPr>
                <w:bCs/>
                <w:color w:val="auto"/>
                <w:sz w:val="21"/>
                <w:szCs w:val="2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6" w:hRule="atLeast"/>
          <w:jc w:val="center"/>
        </w:trPr>
        <w:tc>
          <w:tcPr>
            <w:tcW w:w="1703" w:type="pct"/>
            <w:tcBorders>
              <w:tl2br w:val="nil"/>
              <w:tr2bl w:val="nil"/>
            </w:tcBorders>
            <w:vAlign w:val="center"/>
          </w:tcPr>
          <w:p>
            <w:pPr>
              <w:pStyle w:val="47"/>
              <w:rPr>
                <w:color w:val="auto"/>
                <w:lang w:val="zh-CN"/>
              </w:rPr>
            </w:pPr>
            <w:r>
              <w:rPr>
                <w:color w:val="auto"/>
                <w:lang w:val="zh-CN"/>
              </w:rPr>
              <w:t>高锰酸盐指数</w:t>
            </w:r>
          </w:p>
        </w:tc>
        <w:tc>
          <w:tcPr>
            <w:tcW w:w="1621" w:type="pct"/>
            <w:tcBorders>
              <w:tl2br w:val="nil"/>
              <w:tr2bl w:val="nil"/>
            </w:tcBorders>
            <w:vAlign w:val="center"/>
          </w:tcPr>
          <w:p>
            <w:pPr>
              <w:pStyle w:val="47"/>
              <w:rPr>
                <w:color w:val="auto"/>
              </w:rPr>
            </w:pPr>
            <w:r>
              <w:rPr>
                <w:rFonts w:hint="eastAsia"/>
                <w:color w:val="auto"/>
              </w:rPr>
              <w:t>10</w:t>
            </w:r>
          </w:p>
        </w:tc>
        <w:tc>
          <w:tcPr>
            <w:tcW w:w="1675" w:type="pct"/>
            <w:vMerge w:val="continue"/>
            <w:tcBorders>
              <w:tl2br w:val="nil"/>
              <w:tr2bl w:val="nil"/>
            </w:tcBorders>
          </w:tcPr>
          <w:p>
            <w:pPr>
              <w:autoSpaceDE w:val="0"/>
              <w:autoSpaceDN w:val="0"/>
              <w:spacing w:line="240" w:lineRule="auto"/>
              <w:ind w:firstLine="0" w:firstLineChars="0"/>
              <w:jc w:val="left"/>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tcPr>
          <w:p>
            <w:pPr>
              <w:pStyle w:val="47"/>
              <w:rPr>
                <w:color w:val="auto"/>
                <w:lang w:val="zh-CN"/>
              </w:rPr>
            </w:pPr>
            <w:r>
              <w:rPr>
                <w:color w:val="auto"/>
                <w:lang w:val="zh-CN"/>
              </w:rPr>
              <w:t>化学需氧量</w:t>
            </w:r>
          </w:p>
        </w:tc>
        <w:tc>
          <w:tcPr>
            <w:tcW w:w="1621" w:type="pct"/>
            <w:tcBorders>
              <w:tl2br w:val="nil"/>
              <w:tr2bl w:val="nil"/>
            </w:tcBorders>
          </w:tcPr>
          <w:p>
            <w:pPr>
              <w:pStyle w:val="47"/>
              <w:rPr>
                <w:color w:val="auto"/>
              </w:rPr>
            </w:pPr>
            <w:r>
              <w:rPr>
                <w:rFonts w:hint="eastAsia"/>
                <w:color w:val="auto"/>
              </w:rPr>
              <w:t>30</w:t>
            </w:r>
          </w:p>
        </w:tc>
        <w:tc>
          <w:tcPr>
            <w:tcW w:w="1675" w:type="pct"/>
            <w:vMerge w:val="continue"/>
            <w:tcBorders>
              <w:tl2br w:val="nil"/>
              <w:tr2bl w:val="nil"/>
            </w:tcBorders>
          </w:tcPr>
          <w:p>
            <w:pPr>
              <w:autoSpaceDE w:val="0"/>
              <w:autoSpaceDN w:val="0"/>
              <w:spacing w:line="240" w:lineRule="auto"/>
              <w:ind w:firstLine="0" w:firstLineChars="0"/>
              <w:jc w:val="left"/>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tcPr>
          <w:p>
            <w:pPr>
              <w:pStyle w:val="47"/>
              <w:rPr>
                <w:color w:val="auto"/>
                <w:lang w:val="zh-CN"/>
              </w:rPr>
            </w:pPr>
            <w:r>
              <w:rPr>
                <w:color w:val="auto"/>
                <w:lang w:val="zh-CN"/>
              </w:rPr>
              <w:t>五日生化需氧量</w:t>
            </w:r>
          </w:p>
        </w:tc>
        <w:tc>
          <w:tcPr>
            <w:tcW w:w="1621" w:type="pct"/>
            <w:tcBorders>
              <w:tl2br w:val="nil"/>
              <w:tr2bl w:val="nil"/>
            </w:tcBorders>
          </w:tcPr>
          <w:p>
            <w:pPr>
              <w:pStyle w:val="47"/>
              <w:rPr>
                <w:color w:val="auto"/>
                <w:lang w:val="zh-CN"/>
              </w:rPr>
            </w:pPr>
            <w:r>
              <w:rPr>
                <w:rFonts w:hint="eastAsia"/>
                <w:color w:val="auto"/>
              </w:rPr>
              <w:t>6</w:t>
            </w:r>
          </w:p>
        </w:tc>
        <w:tc>
          <w:tcPr>
            <w:tcW w:w="1675" w:type="pct"/>
            <w:vMerge w:val="continue"/>
            <w:tcBorders>
              <w:tl2br w:val="nil"/>
              <w:tr2bl w:val="nil"/>
            </w:tcBorders>
          </w:tcPr>
          <w:p>
            <w:pPr>
              <w:autoSpaceDE w:val="0"/>
              <w:autoSpaceDN w:val="0"/>
              <w:spacing w:line="240" w:lineRule="auto"/>
              <w:ind w:firstLine="0" w:firstLineChars="0"/>
              <w:jc w:val="left"/>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703" w:type="pct"/>
            <w:tcBorders>
              <w:tl2br w:val="nil"/>
              <w:tr2bl w:val="nil"/>
            </w:tcBorders>
          </w:tcPr>
          <w:p>
            <w:pPr>
              <w:pStyle w:val="47"/>
              <w:rPr>
                <w:color w:val="auto"/>
                <w:lang w:val="zh-CN"/>
              </w:rPr>
            </w:pPr>
            <w:r>
              <w:rPr>
                <w:color w:val="auto"/>
                <w:lang w:val="zh-CN"/>
              </w:rPr>
              <w:t>氨氮</w:t>
            </w:r>
          </w:p>
        </w:tc>
        <w:tc>
          <w:tcPr>
            <w:tcW w:w="1621" w:type="pct"/>
            <w:tcBorders>
              <w:tl2br w:val="nil"/>
              <w:tr2bl w:val="nil"/>
            </w:tcBorders>
          </w:tcPr>
          <w:p>
            <w:pPr>
              <w:pStyle w:val="47"/>
              <w:rPr>
                <w:color w:val="auto"/>
              </w:rPr>
            </w:pPr>
            <w:r>
              <w:rPr>
                <w:rFonts w:hint="eastAsia"/>
                <w:color w:val="auto"/>
              </w:rPr>
              <w:t>1.5</w:t>
            </w:r>
          </w:p>
        </w:tc>
        <w:tc>
          <w:tcPr>
            <w:tcW w:w="1675" w:type="pct"/>
            <w:vMerge w:val="continue"/>
            <w:tcBorders>
              <w:tl2br w:val="nil"/>
              <w:tr2bl w:val="nil"/>
            </w:tcBorders>
          </w:tcPr>
          <w:p>
            <w:pPr>
              <w:autoSpaceDE w:val="0"/>
              <w:autoSpaceDN w:val="0"/>
              <w:spacing w:line="240" w:lineRule="auto"/>
              <w:ind w:firstLine="0" w:firstLineChars="0"/>
              <w:jc w:val="left"/>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tcPr>
          <w:p>
            <w:pPr>
              <w:pStyle w:val="47"/>
              <w:rPr>
                <w:color w:val="auto"/>
                <w:lang w:val="zh-CN"/>
              </w:rPr>
            </w:pPr>
            <w:r>
              <w:rPr>
                <w:color w:val="auto"/>
                <w:lang w:val="zh-CN"/>
              </w:rPr>
              <w:t>总氮</w:t>
            </w:r>
          </w:p>
        </w:tc>
        <w:tc>
          <w:tcPr>
            <w:tcW w:w="1621" w:type="pct"/>
            <w:tcBorders>
              <w:tl2br w:val="nil"/>
              <w:tr2bl w:val="nil"/>
            </w:tcBorders>
          </w:tcPr>
          <w:p>
            <w:pPr>
              <w:pStyle w:val="47"/>
              <w:rPr>
                <w:color w:val="auto"/>
              </w:rPr>
            </w:pPr>
            <w:r>
              <w:rPr>
                <w:rFonts w:hint="eastAsia"/>
                <w:color w:val="auto"/>
              </w:rPr>
              <w:t>1.5</w:t>
            </w:r>
          </w:p>
        </w:tc>
        <w:tc>
          <w:tcPr>
            <w:tcW w:w="1675" w:type="pct"/>
            <w:vMerge w:val="continue"/>
            <w:tcBorders>
              <w:tl2br w:val="nil"/>
              <w:tr2bl w:val="nil"/>
            </w:tcBorders>
          </w:tcPr>
          <w:p>
            <w:pPr>
              <w:autoSpaceDE w:val="0"/>
              <w:autoSpaceDN w:val="0"/>
              <w:spacing w:line="240" w:lineRule="auto"/>
              <w:ind w:firstLine="0" w:firstLineChars="0"/>
              <w:jc w:val="left"/>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tcPr>
          <w:p>
            <w:pPr>
              <w:pStyle w:val="47"/>
              <w:rPr>
                <w:color w:val="auto"/>
                <w:lang w:val="zh-CN"/>
              </w:rPr>
            </w:pPr>
            <w:r>
              <w:rPr>
                <w:color w:val="auto"/>
                <w:lang w:val="zh-CN"/>
              </w:rPr>
              <w:t>总磷</w:t>
            </w:r>
          </w:p>
        </w:tc>
        <w:tc>
          <w:tcPr>
            <w:tcW w:w="1621" w:type="pct"/>
            <w:tcBorders>
              <w:tl2br w:val="nil"/>
              <w:tr2bl w:val="nil"/>
            </w:tcBorders>
          </w:tcPr>
          <w:p>
            <w:pPr>
              <w:pStyle w:val="47"/>
              <w:rPr>
                <w:color w:val="auto"/>
              </w:rPr>
            </w:pPr>
            <w:r>
              <w:rPr>
                <w:rFonts w:hint="eastAsia"/>
                <w:color w:val="auto"/>
              </w:rPr>
              <w:t>0.3</w:t>
            </w:r>
          </w:p>
        </w:tc>
        <w:tc>
          <w:tcPr>
            <w:tcW w:w="1675" w:type="pct"/>
            <w:vMerge w:val="continue"/>
            <w:tcBorders>
              <w:tl2br w:val="nil"/>
              <w:tr2bl w:val="nil"/>
            </w:tcBorders>
          </w:tcPr>
          <w:p>
            <w:pPr>
              <w:autoSpaceDE w:val="0"/>
              <w:autoSpaceDN w:val="0"/>
              <w:spacing w:line="240" w:lineRule="auto"/>
              <w:ind w:firstLine="0" w:firstLineChars="0"/>
              <w:jc w:val="left"/>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tcPr>
          <w:p>
            <w:pPr>
              <w:pStyle w:val="47"/>
              <w:rPr>
                <w:color w:val="auto"/>
                <w:lang w:val="zh-CN"/>
              </w:rPr>
            </w:pPr>
            <w:r>
              <w:rPr>
                <w:color w:val="auto"/>
                <w:lang w:val="zh-CN"/>
              </w:rPr>
              <w:t>硫化物</w:t>
            </w:r>
          </w:p>
        </w:tc>
        <w:tc>
          <w:tcPr>
            <w:tcW w:w="1621" w:type="pct"/>
            <w:tcBorders>
              <w:tl2br w:val="nil"/>
              <w:tr2bl w:val="nil"/>
            </w:tcBorders>
          </w:tcPr>
          <w:p>
            <w:pPr>
              <w:pStyle w:val="47"/>
              <w:rPr>
                <w:color w:val="auto"/>
              </w:rPr>
            </w:pPr>
            <w:r>
              <w:rPr>
                <w:rFonts w:hint="eastAsia"/>
                <w:color w:val="auto"/>
              </w:rPr>
              <w:t>0.5</w:t>
            </w:r>
          </w:p>
        </w:tc>
        <w:tc>
          <w:tcPr>
            <w:tcW w:w="1675" w:type="pct"/>
            <w:vMerge w:val="continue"/>
            <w:tcBorders>
              <w:tl2br w:val="nil"/>
              <w:tr2bl w:val="nil"/>
            </w:tcBorders>
          </w:tcPr>
          <w:p>
            <w:pPr>
              <w:autoSpaceDE w:val="0"/>
              <w:autoSpaceDN w:val="0"/>
              <w:spacing w:line="240" w:lineRule="auto"/>
              <w:ind w:firstLine="0" w:firstLineChars="0"/>
              <w:jc w:val="left"/>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6" w:hRule="atLeast"/>
          <w:jc w:val="center"/>
        </w:trPr>
        <w:tc>
          <w:tcPr>
            <w:tcW w:w="1703" w:type="pct"/>
            <w:tcBorders>
              <w:tl2br w:val="nil"/>
              <w:tr2bl w:val="nil"/>
            </w:tcBorders>
          </w:tcPr>
          <w:p>
            <w:pPr>
              <w:pStyle w:val="47"/>
              <w:rPr>
                <w:color w:val="auto"/>
                <w:lang w:val="zh-CN"/>
              </w:rPr>
            </w:pPr>
            <w:r>
              <w:rPr>
                <w:color w:val="auto"/>
                <w:lang w:val="zh-CN"/>
              </w:rPr>
              <w:t>石油类</w:t>
            </w:r>
          </w:p>
        </w:tc>
        <w:tc>
          <w:tcPr>
            <w:tcW w:w="1621" w:type="pct"/>
            <w:tcBorders>
              <w:tl2br w:val="nil"/>
              <w:tr2bl w:val="nil"/>
            </w:tcBorders>
          </w:tcPr>
          <w:p>
            <w:pPr>
              <w:pStyle w:val="47"/>
              <w:rPr>
                <w:color w:val="auto"/>
              </w:rPr>
            </w:pPr>
            <w:r>
              <w:rPr>
                <w:rFonts w:hint="eastAsia"/>
                <w:color w:val="auto"/>
              </w:rPr>
              <w:t>0.5</w:t>
            </w:r>
          </w:p>
        </w:tc>
        <w:tc>
          <w:tcPr>
            <w:tcW w:w="1675" w:type="pct"/>
            <w:vMerge w:val="continue"/>
            <w:tcBorders>
              <w:tl2br w:val="nil"/>
              <w:tr2bl w:val="nil"/>
            </w:tcBorders>
          </w:tcPr>
          <w:p>
            <w:pPr>
              <w:autoSpaceDE w:val="0"/>
              <w:autoSpaceDN w:val="0"/>
              <w:spacing w:line="240" w:lineRule="auto"/>
              <w:ind w:firstLine="0" w:firstLineChars="0"/>
              <w:jc w:val="left"/>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703" w:type="pct"/>
            <w:tcBorders>
              <w:tl2br w:val="nil"/>
              <w:tr2bl w:val="nil"/>
            </w:tcBorders>
          </w:tcPr>
          <w:p>
            <w:pPr>
              <w:pStyle w:val="47"/>
              <w:rPr>
                <w:color w:val="auto"/>
                <w:lang w:val="zh-CN"/>
              </w:rPr>
            </w:pPr>
            <w:r>
              <w:rPr>
                <w:color w:val="auto"/>
                <w:lang w:val="zh-CN"/>
              </w:rPr>
              <w:t>氟化物</w:t>
            </w:r>
          </w:p>
        </w:tc>
        <w:tc>
          <w:tcPr>
            <w:tcW w:w="1621" w:type="pct"/>
            <w:tcBorders>
              <w:tl2br w:val="nil"/>
              <w:tr2bl w:val="nil"/>
            </w:tcBorders>
          </w:tcPr>
          <w:p>
            <w:pPr>
              <w:pStyle w:val="47"/>
              <w:rPr>
                <w:color w:val="auto"/>
                <w:lang w:val="zh-CN"/>
              </w:rPr>
            </w:pPr>
            <w:r>
              <w:rPr>
                <w:color w:val="auto"/>
                <w:lang w:val="zh-CN"/>
              </w:rPr>
              <w:t>1.5</w:t>
            </w:r>
          </w:p>
        </w:tc>
        <w:tc>
          <w:tcPr>
            <w:tcW w:w="1675" w:type="pct"/>
            <w:vMerge w:val="continue"/>
            <w:tcBorders>
              <w:tl2br w:val="nil"/>
              <w:tr2bl w:val="nil"/>
            </w:tcBorders>
          </w:tcPr>
          <w:p>
            <w:pPr>
              <w:autoSpaceDE w:val="0"/>
              <w:autoSpaceDN w:val="0"/>
              <w:spacing w:line="240" w:lineRule="auto"/>
              <w:ind w:firstLine="0" w:firstLineChars="0"/>
              <w:jc w:val="left"/>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tcPr>
          <w:p>
            <w:pPr>
              <w:pStyle w:val="47"/>
              <w:rPr>
                <w:color w:val="auto"/>
                <w:lang w:val="zh-CN"/>
              </w:rPr>
            </w:pPr>
            <w:r>
              <w:rPr>
                <w:color w:val="auto"/>
                <w:lang w:val="zh-CN"/>
              </w:rPr>
              <w:t>氰化物</w:t>
            </w:r>
          </w:p>
        </w:tc>
        <w:tc>
          <w:tcPr>
            <w:tcW w:w="1621" w:type="pct"/>
            <w:tcBorders>
              <w:tl2br w:val="nil"/>
              <w:tr2bl w:val="nil"/>
            </w:tcBorders>
          </w:tcPr>
          <w:p>
            <w:pPr>
              <w:pStyle w:val="47"/>
              <w:rPr>
                <w:color w:val="auto"/>
                <w:lang w:val="zh-CN"/>
              </w:rPr>
            </w:pPr>
            <w:r>
              <w:rPr>
                <w:color w:val="auto"/>
                <w:lang w:val="zh-CN"/>
              </w:rPr>
              <w:t>0.2</w:t>
            </w:r>
          </w:p>
        </w:tc>
        <w:tc>
          <w:tcPr>
            <w:tcW w:w="1675" w:type="pct"/>
            <w:vMerge w:val="continue"/>
            <w:tcBorders>
              <w:tl2br w:val="nil"/>
              <w:tr2bl w:val="nil"/>
            </w:tcBorders>
          </w:tcPr>
          <w:p>
            <w:pPr>
              <w:autoSpaceDE w:val="0"/>
              <w:autoSpaceDN w:val="0"/>
              <w:spacing w:line="240" w:lineRule="auto"/>
              <w:ind w:firstLine="0" w:firstLineChars="0"/>
              <w:jc w:val="left"/>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tcPr>
          <w:p>
            <w:pPr>
              <w:pStyle w:val="47"/>
              <w:rPr>
                <w:color w:val="auto"/>
                <w:lang w:val="zh-CN"/>
              </w:rPr>
            </w:pPr>
            <w:r>
              <w:rPr>
                <w:color w:val="auto"/>
                <w:lang w:val="zh-CN"/>
              </w:rPr>
              <w:t>挥发酚</w:t>
            </w:r>
          </w:p>
        </w:tc>
        <w:tc>
          <w:tcPr>
            <w:tcW w:w="1621" w:type="pct"/>
            <w:tcBorders>
              <w:tl2br w:val="nil"/>
              <w:tr2bl w:val="nil"/>
            </w:tcBorders>
          </w:tcPr>
          <w:p>
            <w:pPr>
              <w:pStyle w:val="47"/>
              <w:rPr>
                <w:color w:val="auto"/>
              </w:rPr>
            </w:pPr>
            <w:r>
              <w:rPr>
                <w:rFonts w:hint="eastAsia"/>
                <w:color w:val="auto"/>
              </w:rPr>
              <w:t>0.01</w:t>
            </w:r>
          </w:p>
        </w:tc>
        <w:tc>
          <w:tcPr>
            <w:tcW w:w="1675" w:type="pct"/>
            <w:vMerge w:val="continue"/>
            <w:tcBorders>
              <w:tl2br w:val="nil"/>
              <w:tr2bl w:val="nil"/>
            </w:tcBorders>
          </w:tcPr>
          <w:p>
            <w:pPr>
              <w:autoSpaceDE w:val="0"/>
              <w:autoSpaceDN w:val="0"/>
              <w:spacing w:line="240" w:lineRule="auto"/>
              <w:ind w:firstLine="0" w:firstLineChars="0"/>
              <w:jc w:val="left"/>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tcPr>
          <w:p>
            <w:pPr>
              <w:pStyle w:val="47"/>
              <w:rPr>
                <w:color w:val="auto"/>
                <w:lang w:val="zh-CN"/>
              </w:rPr>
            </w:pPr>
            <w:r>
              <w:rPr>
                <w:color w:val="auto"/>
                <w:lang w:val="zh-CN"/>
              </w:rPr>
              <w:t>砷</w:t>
            </w:r>
          </w:p>
        </w:tc>
        <w:tc>
          <w:tcPr>
            <w:tcW w:w="1621" w:type="pct"/>
            <w:tcBorders>
              <w:tl2br w:val="nil"/>
              <w:tr2bl w:val="nil"/>
            </w:tcBorders>
          </w:tcPr>
          <w:p>
            <w:pPr>
              <w:pStyle w:val="47"/>
              <w:rPr>
                <w:color w:val="auto"/>
                <w:lang w:val="zh-CN"/>
              </w:rPr>
            </w:pPr>
            <w:r>
              <w:rPr>
                <w:color w:val="auto"/>
                <w:lang w:val="zh-CN"/>
              </w:rPr>
              <w:t>0.1</w:t>
            </w:r>
          </w:p>
        </w:tc>
        <w:tc>
          <w:tcPr>
            <w:tcW w:w="1675" w:type="pct"/>
            <w:vMerge w:val="continue"/>
            <w:tcBorders>
              <w:tl2br w:val="nil"/>
              <w:tr2bl w:val="nil"/>
            </w:tcBorders>
          </w:tcPr>
          <w:p>
            <w:pPr>
              <w:autoSpaceDE w:val="0"/>
              <w:autoSpaceDN w:val="0"/>
              <w:spacing w:line="240" w:lineRule="auto"/>
              <w:ind w:firstLine="0" w:firstLineChars="0"/>
              <w:jc w:val="left"/>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6" w:hRule="atLeast"/>
          <w:jc w:val="center"/>
        </w:trPr>
        <w:tc>
          <w:tcPr>
            <w:tcW w:w="1703" w:type="pct"/>
            <w:tcBorders>
              <w:tl2br w:val="nil"/>
              <w:tr2bl w:val="nil"/>
            </w:tcBorders>
          </w:tcPr>
          <w:p>
            <w:pPr>
              <w:pStyle w:val="47"/>
              <w:rPr>
                <w:color w:val="auto"/>
                <w:lang w:val="zh-CN"/>
              </w:rPr>
            </w:pPr>
            <w:r>
              <w:rPr>
                <w:color w:val="auto"/>
                <w:lang w:val="zh-CN"/>
              </w:rPr>
              <w:t>六价铬</w:t>
            </w:r>
          </w:p>
        </w:tc>
        <w:tc>
          <w:tcPr>
            <w:tcW w:w="1621" w:type="pct"/>
            <w:tcBorders>
              <w:tl2br w:val="nil"/>
              <w:tr2bl w:val="nil"/>
            </w:tcBorders>
          </w:tcPr>
          <w:p>
            <w:pPr>
              <w:pStyle w:val="47"/>
              <w:rPr>
                <w:color w:val="auto"/>
              </w:rPr>
            </w:pPr>
            <w:r>
              <w:rPr>
                <w:rFonts w:hint="eastAsia"/>
                <w:color w:val="auto"/>
              </w:rPr>
              <w:t>0.05</w:t>
            </w:r>
          </w:p>
        </w:tc>
        <w:tc>
          <w:tcPr>
            <w:tcW w:w="1675" w:type="pct"/>
            <w:vMerge w:val="continue"/>
            <w:tcBorders>
              <w:tl2br w:val="nil"/>
              <w:tr2bl w:val="nil"/>
            </w:tcBorders>
          </w:tcPr>
          <w:p>
            <w:pPr>
              <w:autoSpaceDE w:val="0"/>
              <w:autoSpaceDN w:val="0"/>
              <w:spacing w:line="240" w:lineRule="auto"/>
              <w:ind w:firstLine="0" w:firstLineChars="0"/>
              <w:jc w:val="left"/>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tcPr>
          <w:p>
            <w:pPr>
              <w:pStyle w:val="47"/>
              <w:rPr>
                <w:color w:val="auto"/>
                <w:lang w:val="zh-CN"/>
              </w:rPr>
            </w:pPr>
            <w:r>
              <w:rPr>
                <w:color w:val="auto"/>
                <w:lang w:val="zh-CN"/>
              </w:rPr>
              <w:t>汞</w:t>
            </w:r>
          </w:p>
        </w:tc>
        <w:tc>
          <w:tcPr>
            <w:tcW w:w="1621" w:type="pct"/>
            <w:tcBorders>
              <w:tl2br w:val="nil"/>
              <w:tr2bl w:val="nil"/>
            </w:tcBorders>
          </w:tcPr>
          <w:p>
            <w:pPr>
              <w:pStyle w:val="47"/>
              <w:rPr>
                <w:color w:val="auto"/>
                <w:lang w:val="zh-CN"/>
              </w:rPr>
            </w:pPr>
            <w:r>
              <w:rPr>
                <w:color w:val="auto"/>
                <w:lang w:val="zh-CN"/>
              </w:rPr>
              <w:t>0.001</w:t>
            </w:r>
          </w:p>
        </w:tc>
        <w:tc>
          <w:tcPr>
            <w:tcW w:w="1675" w:type="pct"/>
            <w:vMerge w:val="continue"/>
            <w:tcBorders>
              <w:tl2br w:val="nil"/>
              <w:tr2bl w:val="nil"/>
            </w:tcBorders>
          </w:tcPr>
          <w:p>
            <w:pPr>
              <w:autoSpaceDE w:val="0"/>
              <w:autoSpaceDN w:val="0"/>
              <w:spacing w:line="240" w:lineRule="auto"/>
              <w:ind w:firstLine="0" w:firstLineChars="0"/>
              <w:jc w:val="left"/>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tcPr>
          <w:p>
            <w:pPr>
              <w:pStyle w:val="47"/>
              <w:rPr>
                <w:color w:val="auto"/>
                <w:lang w:val="zh-CN"/>
              </w:rPr>
            </w:pPr>
            <w:r>
              <w:rPr>
                <w:color w:val="auto"/>
                <w:lang w:val="zh-CN"/>
              </w:rPr>
              <w:t>铅</w:t>
            </w:r>
          </w:p>
        </w:tc>
        <w:tc>
          <w:tcPr>
            <w:tcW w:w="1621" w:type="pct"/>
            <w:tcBorders>
              <w:tl2br w:val="nil"/>
              <w:tr2bl w:val="nil"/>
            </w:tcBorders>
          </w:tcPr>
          <w:p>
            <w:pPr>
              <w:pStyle w:val="47"/>
              <w:rPr>
                <w:color w:val="auto"/>
              </w:rPr>
            </w:pPr>
            <w:r>
              <w:rPr>
                <w:rFonts w:hint="eastAsia"/>
                <w:color w:val="auto"/>
              </w:rPr>
              <w:t>0.05</w:t>
            </w:r>
          </w:p>
        </w:tc>
        <w:tc>
          <w:tcPr>
            <w:tcW w:w="1675" w:type="pct"/>
            <w:vMerge w:val="continue"/>
            <w:tcBorders>
              <w:tl2br w:val="nil"/>
              <w:tr2bl w:val="nil"/>
            </w:tcBorders>
          </w:tcPr>
          <w:p>
            <w:pPr>
              <w:autoSpaceDE w:val="0"/>
              <w:autoSpaceDN w:val="0"/>
              <w:spacing w:line="240" w:lineRule="auto"/>
              <w:ind w:firstLine="0" w:firstLineChars="0"/>
              <w:jc w:val="left"/>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tcPr>
          <w:p>
            <w:pPr>
              <w:pStyle w:val="47"/>
              <w:rPr>
                <w:color w:val="auto"/>
                <w:lang w:val="zh-CN"/>
              </w:rPr>
            </w:pPr>
            <w:r>
              <w:rPr>
                <w:color w:val="auto"/>
                <w:lang w:val="zh-CN"/>
              </w:rPr>
              <w:t>镉</w:t>
            </w:r>
          </w:p>
        </w:tc>
        <w:tc>
          <w:tcPr>
            <w:tcW w:w="1621" w:type="pct"/>
            <w:tcBorders>
              <w:tl2br w:val="nil"/>
              <w:tr2bl w:val="nil"/>
            </w:tcBorders>
          </w:tcPr>
          <w:p>
            <w:pPr>
              <w:pStyle w:val="47"/>
              <w:rPr>
                <w:color w:val="auto"/>
              </w:rPr>
            </w:pPr>
            <w:r>
              <w:rPr>
                <w:rFonts w:hint="eastAsia"/>
                <w:color w:val="auto"/>
              </w:rPr>
              <w:t>0.005</w:t>
            </w:r>
          </w:p>
        </w:tc>
        <w:tc>
          <w:tcPr>
            <w:tcW w:w="1675" w:type="pct"/>
            <w:vMerge w:val="continue"/>
            <w:tcBorders>
              <w:tl2br w:val="nil"/>
              <w:tr2bl w:val="nil"/>
            </w:tcBorders>
          </w:tcPr>
          <w:p>
            <w:pPr>
              <w:autoSpaceDE w:val="0"/>
              <w:autoSpaceDN w:val="0"/>
              <w:spacing w:line="240" w:lineRule="auto"/>
              <w:ind w:firstLine="0" w:firstLineChars="0"/>
              <w:jc w:val="left"/>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tcPr>
          <w:p>
            <w:pPr>
              <w:pStyle w:val="47"/>
              <w:rPr>
                <w:color w:val="auto"/>
                <w:lang w:val="zh-CN"/>
              </w:rPr>
            </w:pPr>
            <w:r>
              <w:rPr>
                <w:color w:val="auto"/>
                <w:lang w:val="zh-CN"/>
              </w:rPr>
              <w:t>铜</w:t>
            </w:r>
          </w:p>
        </w:tc>
        <w:tc>
          <w:tcPr>
            <w:tcW w:w="1621" w:type="pct"/>
            <w:tcBorders>
              <w:tl2br w:val="nil"/>
              <w:tr2bl w:val="nil"/>
            </w:tcBorders>
          </w:tcPr>
          <w:p>
            <w:pPr>
              <w:pStyle w:val="47"/>
              <w:rPr>
                <w:color w:val="auto"/>
                <w:lang w:val="zh-CN"/>
              </w:rPr>
            </w:pPr>
            <w:r>
              <w:rPr>
                <w:color w:val="auto"/>
                <w:lang w:val="zh-CN"/>
              </w:rPr>
              <w:t>1.0</w:t>
            </w:r>
          </w:p>
        </w:tc>
        <w:tc>
          <w:tcPr>
            <w:tcW w:w="1675" w:type="pct"/>
            <w:vMerge w:val="continue"/>
            <w:tcBorders>
              <w:tl2br w:val="nil"/>
              <w:tr2bl w:val="nil"/>
            </w:tcBorders>
          </w:tcPr>
          <w:p>
            <w:pPr>
              <w:autoSpaceDE w:val="0"/>
              <w:autoSpaceDN w:val="0"/>
              <w:spacing w:line="240" w:lineRule="auto"/>
              <w:ind w:firstLine="0" w:firstLineChars="0"/>
              <w:jc w:val="left"/>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6" w:hRule="atLeast"/>
          <w:jc w:val="center"/>
        </w:trPr>
        <w:tc>
          <w:tcPr>
            <w:tcW w:w="1703" w:type="pct"/>
            <w:tcBorders>
              <w:tl2br w:val="nil"/>
              <w:tr2bl w:val="nil"/>
            </w:tcBorders>
          </w:tcPr>
          <w:p>
            <w:pPr>
              <w:pStyle w:val="47"/>
              <w:rPr>
                <w:color w:val="auto"/>
                <w:lang w:val="zh-CN"/>
              </w:rPr>
            </w:pPr>
            <w:r>
              <w:rPr>
                <w:color w:val="auto"/>
                <w:lang w:val="zh-CN"/>
              </w:rPr>
              <w:t>锌</w:t>
            </w:r>
          </w:p>
        </w:tc>
        <w:tc>
          <w:tcPr>
            <w:tcW w:w="1621" w:type="pct"/>
            <w:tcBorders>
              <w:tl2br w:val="nil"/>
              <w:tr2bl w:val="nil"/>
            </w:tcBorders>
          </w:tcPr>
          <w:p>
            <w:pPr>
              <w:pStyle w:val="47"/>
              <w:rPr>
                <w:color w:val="auto"/>
                <w:lang w:val="zh-CN"/>
              </w:rPr>
            </w:pPr>
            <w:r>
              <w:rPr>
                <w:color w:val="auto"/>
                <w:lang w:val="zh-CN"/>
              </w:rPr>
              <w:t>2.0</w:t>
            </w:r>
          </w:p>
        </w:tc>
        <w:tc>
          <w:tcPr>
            <w:tcW w:w="1675" w:type="pct"/>
            <w:vMerge w:val="continue"/>
            <w:tcBorders>
              <w:tl2br w:val="nil"/>
              <w:tr2bl w:val="nil"/>
            </w:tcBorders>
          </w:tcPr>
          <w:p>
            <w:pPr>
              <w:autoSpaceDE w:val="0"/>
              <w:autoSpaceDN w:val="0"/>
              <w:spacing w:line="240" w:lineRule="auto"/>
              <w:ind w:firstLine="0" w:firstLineChars="0"/>
              <w:jc w:val="left"/>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4" w:hRule="atLeast"/>
          <w:jc w:val="center"/>
        </w:trPr>
        <w:tc>
          <w:tcPr>
            <w:tcW w:w="1703" w:type="pct"/>
            <w:tcBorders>
              <w:tl2br w:val="nil"/>
              <w:tr2bl w:val="nil"/>
            </w:tcBorders>
          </w:tcPr>
          <w:p>
            <w:pPr>
              <w:pStyle w:val="47"/>
              <w:rPr>
                <w:color w:val="auto"/>
                <w:lang w:val="zh-CN"/>
              </w:rPr>
            </w:pPr>
            <w:r>
              <w:rPr>
                <w:color w:val="auto"/>
                <w:lang w:val="zh-CN"/>
              </w:rPr>
              <w:t>硒</w:t>
            </w:r>
          </w:p>
        </w:tc>
        <w:tc>
          <w:tcPr>
            <w:tcW w:w="1621" w:type="pct"/>
            <w:tcBorders>
              <w:tl2br w:val="nil"/>
              <w:tr2bl w:val="nil"/>
            </w:tcBorders>
          </w:tcPr>
          <w:p>
            <w:pPr>
              <w:pStyle w:val="47"/>
              <w:rPr>
                <w:color w:val="auto"/>
                <w:lang w:val="zh-CN"/>
              </w:rPr>
            </w:pPr>
            <w:r>
              <w:rPr>
                <w:color w:val="auto"/>
                <w:lang w:val="zh-CN"/>
              </w:rPr>
              <w:t>0.02</w:t>
            </w:r>
          </w:p>
        </w:tc>
        <w:tc>
          <w:tcPr>
            <w:tcW w:w="1675" w:type="pct"/>
            <w:vMerge w:val="continue"/>
            <w:tcBorders>
              <w:tl2br w:val="nil"/>
              <w:tr2bl w:val="nil"/>
            </w:tcBorders>
          </w:tcPr>
          <w:p>
            <w:pPr>
              <w:autoSpaceDE w:val="0"/>
              <w:autoSpaceDN w:val="0"/>
              <w:spacing w:line="240" w:lineRule="auto"/>
              <w:ind w:firstLine="0" w:firstLineChars="0"/>
              <w:jc w:val="left"/>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7" w:hRule="atLeast"/>
          <w:jc w:val="center"/>
        </w:trPr>
        <w:tc>
          <w:tcPr>
            <w:tcW w:w="1703" w:type="pct"/>
            <w:tcBorders>
              <w:tl2br w:val="nil"/>
              <w:tr2bl w:val="nil"/>
            </w:tcBorders>
          </w:tcPr>
          <w:p>
            <w:pPr>
              <w:pStyle w:val="47"/>
              <w:rPr>
                <w:color w:val="auto"/>
                <w:lang w:val="zh-CN"/>
              </w:rPr>
            </w:pPr>
            <w:r>
              <w:rPr>
                <w:color w:val="auto"/>
                <w:lang w:val="zh-CN"/>
              </w:rPr>
              <w:t>阴离子表面活性剂</w:t>
            </w:r>
          </w:p>
        </w:tc>
        <w:tc>
          <w:tcPr>
            <w:tcW w:w="1621" w:type="pct"/>
            <w:tcBorders>
              <w:tl2br w:val="nil"/>
              <w:tr2bl w:val="nil"/>
            </w:tcBorders>
          </w:tcPr>
          <w:p>
            <w:pPr>
              <w:pStyle w:val="47"/>
              <w:rPr>
                <w:color w:val="auto"/>
                <w:lang w:val="zh-CN"/>
              </w:rPr>
            </w:pPr>
            <w:r>
              <w:rPr>
                <w:color w:val="auto"/>
                <w:lang w:val="zh-CN"/>
              </w:rPr>
              <w:t>0.3</w:t>
            </w:r>
          </w:p>
        </w:tc>
        <w:tc>
          <w:tcPr>
            <w:tcW w:w="1675" w:type="pct"/>
            <w:vMerge w:val="continue"/>
            <w:tcBorders>
              <w:tl2br w:val="nil"/>
              <w:tr2bl w:val="nil"/>
            </w:tcBorders>
          </w:tcPr>
          <w:p>
            <w:pPr>
              <w:autoSpaceDE w:val="0"/>
              <w:autoSpaceDN w:val="0"/>
              <w:spacing w:line="240" w:lineRule="auto"/>
              <w:ind w:firstLine="400"/>
              <w:jc w:val="left"/>
              <w:rPr>
                <w:rFonts w:eastAsia="Times New Roman"/>
                <w:bCs/>
                <w:color w:val="auto"/>
                <w:sz w:val="20"/>
                <w:szCs w:val="2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6" w:hRule="atLeast"/>
          <w:jc w:val="center"/>
        </w:trPr>
        <w:tc>
          <w:tcPr>
            <w:tcW w:w="1703" w:type="pct"/>
            <w:tcBorders>
              <w:tl2br w:val="nil"/>
              <w:tr2bl w:val="nil"/>
            </w:tcBorders>
          </w:tcPr>
          <w:p>
            <w:pPr>
              <w:pStyle w:val="47"/>
              <w:rPr>
                <w:color w:val="auto"/>
                <w:lang w:val="zh-CN"/>
              </w:rPr>
            </w:pPr>
            <w:r>
              <w:rPr>
                <w:color w:val="auto"/>
                <w:lang w:val="zh-CN"/>
              </w:rPr>
              <w:t>粪大肠菌群（个/L）</w:t>
            </w:r>
          </w:p>
        </w:tc>
        <w:tc>
          <w:tcPr>
            <w:tcW w:w="1621" w:type="pct"/>
            <w:tcBorders>
              <w:tl2br w:val="nil"/>
              <w:tr2bl w:val="nil"/>
            </w:tcBorders>
          </w:tcPr>
          <w:p>
            <w:pPr>
              <w:pStyle w:val="47"/>
              <w:rPr>
                <w:color w:val="auto"/>
              </w:rPr>
            </w:pPr>
            <w:r>
              <w:rPr>
                <w:rFonts w:hint="eastAsia"/>
                <w:color w:val="auto"/>
              </w:rPr>
              <w:t>20000</w:t>
            </w:r>
          </w:p>
        </w:tc>
        <w:tc>
          <w:tcPr>
            <w:tcW w:w="1675" w:type="pct"/>
            <w:vMerge w:val="continue"/>
            <w:tcBorders>
              <w:tl2br w:val="nil"/>
              <w:tr2bl w:val="nil"/>
            </w:tcBorders>
          </w:tcPr>
          <w:p>
            <w:pPr>
              <w:autoSpaceDE w:val="0"/>
              <w:autoSpaceDN w:val="0"/>
              <w:spacing w:line="240" w:lineRule="auto"/>
              <w:ind w:firstLine="0" w:firstLineChars="0"/>
              <w:jc w:val="left"/>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36" w:hRule="atLeast"/>
          <w:jc w:val="center"/>
        </w:trPr>
        <w:tc>
          <w:tcPr>
            <w:tcW w:w="1703" w:type="pct"/>
            <w:tcBorders>
              <w:tl2br w:val="nil"/>
              <w:tr2bl w:val="nil"/>
            </w:tcBorders>
          </w:tcPr>
          <w:p>
            <w:pPr>
              <w:pStyle w:val="47"/>
              <w:rPr>
                <w:color w:val="auto"/>
                <w:lang w:val="zh-CN"/>
              </w:rPr>
            </w:pPr>
            <w:r>
              <w:rPr>
                <w:rFonts w:hint="eastAsia"/>
                <w:color w:val="auto"/>
                <w:lang w:val="zh-CN"/>
              </w:rPr>
              <w:t>铁</w:t>
            </w:r>
          </w:p>
        </w:tc>
        <w:tc>
          <w:tcPr>
            <w:tcW w:w="1621" w:type="pct"/>
            <w:tcBorders>
              <w:tl2br w:val="nil"/>
              <w:tr2bl w:val="nil"/>
            </w:tcBorders>
          </w:tcPr>
          <w:p>
            <w:pPr>
              <w:pStyle w:val="47"/>
              <w:rPr>
                <w:color w:val="auto"/>
              </w:rPr>
            </w:pPr>
            <w:r>
              <w:rPr>
                <w:rFonts w:hint="eastAsia"/>
                <w:color w:val="auto"/>
              </w:rPr>
              <w:t>0.3</w:t>
            </w:r>
          </w:p>
        </w:tc>
        <w:tc>
          <w:tcPr>
            <w:tcW w:w="1675" w:type="pct"/>
            <w:vMerge w:val="continue"/>
            <w:tcBorders>
              <w:tl2br w:val="nil"/>
              <w:tr2bl w:val="nil"/>
            </w:tcBorders>
          </w:tcPr>
          <w:p>
            <w:pPr>
              <w:autoSpaceDE w:val="0"/>
              <w:autoSpaceDN w:val="0"/>
              <w:spacing w:line="240" w:lineRule="auto"/>
              <w:ind w:firstLine="0" w:firstLineChars="0"/>
              <w:jc w:val="left"/>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6" w:hRule="atLeast"/>
          <w:jc w:val="center"/>
        </w:trPr>
        <w:tc>
          <w:tcPr>
            <w:tcW w:w="1703" w:type="pct"/>
            <w:tcBorders>
              <w:tl2br w:val="nil"/>
              <w:tr2bl w:val="nil"/>
            </w:tcBorders>
          </w:tcPr>
          <w:p>
            <w:pPr>
              <w:pStyle w:val="47"/>
              <w:rPr>
                <w:color w:val="auto"/>
                <w:lang w:val="zh-CN"/>
              </w:rPr>
            </w:pPr>
            <w:r>
              <w:rPr>
                <w:rFonts w:hint="eastAsia"/>
                <w:color w:val="auto"/>
                <w:lang w:val="zh-CN"/>
              </w:rPr>
              <w:t>钛</w:t>
            </w:r>
          </w:p>
        </w:tc>
        <w:tc>
          <w:tcPr>
            <w:tcW w:w="1621" w:type="pct"/>
            <w:tcBorders>
              <w:tl2br w:val="nil"/>
              <w:tr2bl w:val="nil"/>
            </w:tcBorders>
          </w:tcPr>
          <w:p>
            <w:pPr>
              <w:pStyle w:val="47"/>
              <w:rPr>
                <w:color w:val="auto"/>
              </w:rPr>
            </w:pPr>
            <w:r>
              <w:rPr>
                <w:rFonts w:hint="eastAsia"/>
                <w:color w:val="auto"/>
              </w:rPr>
              <w:t>0.1</w:t>
            </w:r>
          </w:p>
        </w:tc>
        <w:tc>
          <w:tcPr>
            <w:tcW w:w="1675" w:type="pct"/>
            <w:vMerge w:val="continue"/>
            <w:tcBorders>
              <w:tl2br w:val="nil"/>
              <w:tr2bl w:val="nil"/>
            </w:tcBorders>
          </w:tcPr>
          <w:p>
            <w:pPr>
              <w:autoSpaceDE w:val="0"/>
              <w:autoSpaceDN w:val="0"/>
              <w:spacing w:line="240" w:lineRule="auto"/>
              <w:ind w:firstLine="0" w:firstLineChars="0"/>
              <w:jc w:val="left"/>
              <w:rPr>
                <w:bCs/>
                <w:color w:val="auto"/>
                <w:kern w:val="0"/>
                <w:sz w:val="2"/>
                <w:szCs w:val="2"/>
                <w:lang w:val="zh-CN" w:bidi="zh-CN"/>
              </w:rPr>
            </w:pPr>
          </w:p>
        </w:tc>
      </w:tr>
    </w:tbl>
    <w:p>
      <w:pPr>
        <w:spacing w:line="240" w:lineRule="auto"/>
        <w:ind w:firstLine="360"/>
        <w:rPr>
          <w:color w:val="auto"/>
          <w:sz w:val="18"/>
          <w:szCs w:val="18"/>
        </w:rPr>
      </w:pPr>
      <w:r>
        <w:rPr>
          <w:color w:val="auto"/>
          <w:sz w:val="18"/>
          <w:szCs w:val="18"/>
        </w:rPr>
        <w:t>注：上述标准中pH无量纲，其余因子单位为mg/</w:t>
      </w:r>
      <w:r>
        <w:rPr>
          <w:rFonts w:hint="eastAsia"/>
          <w:color w:val="auto"/>
          <w:sz w:val="18"/>
          <w:szCs w:val="18"/>
        </w:rPr>
        <w:t>L</w:t>
      </w:r>
      <w:r>
        <w:rPr>
          <w:color w:val="auto"/>
          <w:sz w:val="18"/>
          <w:szCs w:val="18"/>
        </w:rPr>
        <w:t>。</w:t>
      </w:r>
    </w:p>
    <w:p>
      <w:pPr>
        <w:spacing w:line="240" w:lineRule="auto"/>
        <w:ind w:firstLine="360"/>
        <w:rPr>
          <w:color w:val="auto"/>
          <w:sz w:val="18"/>
          <w:szCs w:val="18"/>
        </w:rPr>
      </w:pPr>
      <w:r>
        <w:rPr>
          <w:rFonts w:hint="eastAsia"/>
          <w:color w:val="auto"/>
          <w:sz w:val="18"/>
          <w:szCs w:val="18"/>
        </w:rPr>
        <w:t>其中铁</w:t>
      </w:r>
      <w:r>
        <w:rPr>
          <w:color w:val="auto"/>
          <w:sz w:val="18"/>
          <w:szCs w:val="18"/>
        </w:rPr>
        <w:t>参照《地表水环境质量标准》（GB3838-2002）中的表2《集中式生活饮用水地表水源地补充项目标准限值》</w:t>
      </w:r>
      <w:r>
        <w:rPr>
          <w:rFonts w:hint="eastAsia"/>
          <w:color w:val="auto"/>
          <w:sz w:val="18"/>
          <w:szCs w:val="18"/>
        </w:rPr>
        <w:t>钛参照</w:t>
      </w:r>
      <w:r>
        <w:rPr>
          <w:color w:val="auto"/>
          <w:sz w:val="18"/>
          <w:szCs w:val="18"/>
        </w:rPr>
        <w:t>《地表水环境质量标准》（GB3838-2002）中的表</w:t>
      </w:r>
      <w:r>
        <w:rPr>
          <w:rFonts w:hint="eastAsia"/>
          <w:color w:val="auto"/>
          <w:sz w:val="18"/>
          <w:szCs w:val="18"/>
        </w:rPr>
        <w:t>3</w:t>
      </w:r>
      <w:r>
        <w:rPr>
          <w:color w:val="auto"/>
          <w:sz w:val="18"/>
          <w:szCs w:val="18"/>
        </w:rPr>
        <w:t>《集中式生活饮用水地表水源地</w:t>
      </w:r>
      <w:r>
        <w:rPr>
          <w:rFonts w:hint="eastAsia"/>
          <w:color w:val="auto"/>
          <w:sz w:val="18"/>
          <w:szCs w:val="18"/>
        </w:rPr>
        <w:t>特定</w:t>
      </w:r>
      <w:r>
        <w:rPr>
          <w:color w:val="auto"/>
          <w:sz w:val="18"/>
          <w:szCs w:val="18"/>
        </w:rPr>
        <w:t>项目标准限值》。</w:t>
      </w:r>
    </w:p>
    <w:p>
      <w:pPr>
        <w:pStyle w:val="48"/>
        <w:rPr>
          <w:color w:val="auto"/>
        </w:rPr>
      </w:pPr>
      <w:r>
        <w:rPr>
          <w:color w:val="auto"/>
        </w:rPr>
        <w:t>表1.</w:t>
      </w:r>
      <w:r>
        <w:rPr>
          <w:rFonts w:hint="eastAsia"/>
          <w:color w:val="auto"/>
          <w:lang w:val="en-US" w:eastAsia="zh-CN"/>
        </w:rPr>
        <w:t>6</w:t>
      </w:r>
      <w:r>
        <w:rPr>
          <w:color w:val="auto"/>
        </w:rPr>
        <w:t>-3  地下水环境质量标准值</w:t>
      </w:r>
    </w:p>
    <w:tbl>
      <w:tblPr>
        <w:tblStyle w:val="22"/>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211"/>
        <w:gridCol w:w="2093"/>
        <w:gridCol w:w="2994"/>
        <w:gridCol w:w="299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b/>
                <w:color w:val="auto"/>
              </w:rPr>
            </w:pPr>
            <w:r>
              <w:rPr>
                <w:b/>
                <w:color w:val="auto"/>
              </w:rPr>
              <w:t>序号</w:t>
            </w:r>
          </w:p>
        </w:tc>
        <w:tc>
          <w:tcPr>
            <w:tcW w:w="1126" w:type="pct"/>
            <w:vAlign w:val="center"/>
          </w:tcPr>
          <w:p>
            <w:pPr>
              <w:pStyle w:val="47"/>
              <w:spacing w:line="240" w:lineRule="auto"/>
              <w:rPr>
                <w:b/>
                <w:color w:val="auto"/>
              </w:rPr>
            </w:pPr>
            <w:r>
              <w:rPr>
                <w:b/>
                <w:color w:val="auto"/>
              </w:rPr>
              <w:t>项目</w:t>
            </w:r>
          </w:p>
        </w:tc>
        <w:tc>
          <w:tcPr>
            <w:tcW w:w="1611" w:type="pct"/>
            <w:vAlign w:val="center"/>
          </w:tcPr>
          <w:p>
            <w:pPr>
              <w:spacing w:line="240" w:lineRule="auto"/>
              <w:ind w:firstLine="0" w:firstLineChars="0"/>
              <w:jc w:val="center"/>
              <w:rPr>
                <w:b/>
                <w:color w:val="auto"/>
                <w:sz w:val="21"/>
                <w:szCs w:val="21"/>
              </w:rPr>
            </w:pPr>
            <w:r>
              <w:rPr>
                <w:b/>
                <w:color w:val="auto"/>
                <w:sz w:val="21"/>
                <w:szCs w:val="21"/>
              </w:rPr>
              <w:t>单位</w:t>
            </w:r>
          </w:p>
        </w:tc>
        <w:tc>
          <w:tcPr>
            <w:tcW w:w="1609" w:type="pct"/>
            <w:vAlign w:val="center"/>
          </w:tcPr>
          <w:p>
            <w:pPr>
              <w:pStyle w:val="47"/>
              <w:spacing w:line="240" w:lineRule="auto"/>
              <w:rPr>
                <w:b/>
                <w:color w:val="auto"/>
              </w:rPr>
            </w:pPr>
            <w:r>
              <w:rPr>
                <w:b/>
                <w:color w:val="auto"/>
              </w:rPr>
              <w:t>（GB/T14848-2017）Ⅲ类标准</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1</w:t>
            </w:r>
          </w:p>
        </w:tc>
        <w:tc>
          <w:tcPr>
            <w:tcW w:w="1126" w:type="pct"/>
            <w:vAlign w:val="center"/>
          </w:tcPr>
          <w:p>
            <w:pPr>
              <w:pStyle w:val="47"/>
              <w:spacing w:line="240" w:lineRule="auto"/>
              <w:rPr>
                <w:color w:val="auto"/>
              </w:rPr>
            </w:pPr>
            <w:r>
              <w:rPr>
                <w:color w:val="auto"/>
              </w:rPr>
              <w:t>pH</w:t>
            </w:r>
          </w:p>
        </w:tc>
        <w:tc>
          <w:tcPr>
            <w:tcW w:w="1611" w:type="pct"/>
            <w:vAlign w:val="center"/>
          </w:tcPr>
          <w:p>
            <w:pPr>
              <w:spacing w:line="240" w:lineRule="auto"/>
              <w:ind w:firstLine="0" w:firstLineChars="0"/>
              <w:jc w:val="center"/>
              <w:rPr>
                <w:color w:val="auto"/>
                <w:sz w:val="21"/>
                <w:szCs w:val="21"/>
              </w:rPr>
            </w:pPr>
            <w:r>
              <w:rPr>
                <w:color w:val="auto"/>
                <w:sz w:val="21"/>
                <w:szCs w:val="21"/>
              </w:rPr>
              <w:t>---</w:t>
            </w:r>
          </w:p>
        </w:tc>
        <w:tc>
          <w:tcPr>
            <w:tcW w:w="1609" w:type="pct"/>
            <w:vAlign w:val="center"/>
          </w:tcPr>
          <w:p>
            <w:pPr>
              <w:pStyle w:val="47"/>
              <w:spacing w:line="240" w:lineRule="auto"/>
              <w:rPr>
                <w:color w:val="auto"/>
              </w:rPr>
            </w:pPr>
            <w:r>
              <w:rPr>
                <w:color w:val="auto"/>
              </w:rPr>
              <w:t>6.5-8.5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2</w:t>
            </w:r>
          </w:p>
        </w:tc>
        <w:tc>
          <w:tcPr>
            <w:tcW w:w="1126" w:type="pct"/>
            <w:vAlign w:val="center"/>
          </w:tcPr>
          <w:p>
            <w:pPr>
              <w:pStyle w:val="47"/>
              <w:spacing w:line="240" w:lineRule="auto"/>
              <w:rPr>
                <w:color w:val="auto"/>
              </w:rPr>
            </w:pPr>
            <w:r>
              <w:rPr>
                <w:color w:val="auto"/>
              </w:rPr>
              <w:t>总硬度</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≤450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3</w:t>
            </w:r>
          </w:p>
        </w:tc>
        <w:tc>
          <w:tcPr>
            <w:tcW w:w="1126" w:type="pct"/>
            <w:vAlign w:val="center"/>
          </w:tcPr>
          <w:p>
            <w:pPr>
              <w:pStyle w:val="47"/>
              <w:spacing w:line="240" w:lineRule="auto"/>
              <w:rPr>
                <w:color w:val="auto"/>
              </w:rPr>
            </w:pPr>
            <w:r>
              <w:rPr>
                <w:color w:val="auto"/>
              </w:rPr>
              <w:t>溶解性总固体</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≤1000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4</w:t>
            </w:r>
          </w:p>
        </w:tc>
        <w:tc>
          <w:tcPr>
            <w:tcW w:w="1126" w:type="pct"/>
            <w:vAlign w:val="center"/>
          </w:tcPr>
          <w:p>
            <w:pPr>
              <w:pStyle w:val="47"/>
              <w:spacing w:line="240" w:lineRule="auto"/>
              <w:rPr>
                <w:color w:val="auto"/>
              </w:rPr>
            </w:pPr>
            <w:r>
              <w:rPr>
                <w:color w:val="auto"/>
              </w:rPr>
              <w:t>硫酸盐</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≤250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5</w:t>
            </w:r>
          </w:p>
        </w:tc>
        <w:tc>
          <w:tcPr>
            <w:tcW w:w="1126" w:type="pct"/>
            <w:vAlign w:val="center"/>
          </w:tcPr>
          <w:p>
            <w:pPr>
              <w:pStyle w:val="47"/>
              <w:spacing w:line="240" w:lineRule="auto"/>
              <w:rPr>
                <w:color w:val="auto"/>
              </w:rPr>
            </w:pPr>
            <w:r>
              <w:rPr>
                <w:color w:val="auto"/>
              </w:rPr>
              <w:t>氯化物</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≤250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6</w:t>
            </w:r>
          </w:p>
        </w:tc>
        <w:tc>
          <w:tcPr>
            <w:tcW w:w="1126" w:type="pct"/>
            <w:vAlign w:val="center"/>
          </w:tcPr>
          <w:p>
            <w:pPr>
              <w:pStyle w:val="47"/>
              <w:spacing w:line="240" w:lineRule="auto"/>
              <w:rPr>
                <w:color w:val="auto"/>
              </w:rPr>
            </w:pPr>
            <w:r>
              <w:rPr>
                <w:color w:val="auto"/>
              </w:rPr>
              <w:t>铁</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≤0.3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7</w:t>
            </w:r>
          </w:p>
        </w:tc>
        <w:tc>
          <w:tcPr>
            <w:tcW w:w="1126" w:type="pct"/>
            <w:vAlign w:val="center"/>
          </w:tcPr>
          <w:p>
            <w:pPr>
              <w:pStyle w:val="47"/>
              <w:spacing w:line="240" w:lineRule="auto"/>
              <w:rPr>
                <w:color w:val="auto"/>
              </w:rPr>
            </w:pPr>
            <w:r>
              <w:rPr>
                <w:color w:val="auto"/>
              </w:rPr>
              <w:t>锰</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8</w:t>
            </w:r>
          </w:p>
        </w:tc>
        <w:tc>
          <w:tcPr>
            <w:tcW w:w="1126" w:type="pct"/>
            <w:vAlign w:val="center"/>
          </w:tcPr>
          <w:p>
            <w:pPr>
              <w:pStyle w:val="47"/>
              <w:spacing w:line="240" w:lineRule="auto"/>
              <w:rPr>
                <w:color w:val="auto"/>
              </w:rPr>
            </w:pPr>
            <w:r>
              <w:rPr>
                <w:color w:val="auto"/>
              </w:rPr>
              <w:t>铜</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9</w:t>
            </w:r>
          </w:p>
        </w:tc>
        <w:tc>
          <w:tcPr>
            <w:tcW w:w="1126" w:type="pct"/>
            <w:vAlign w:val="center"/>
          </w:tcPr>
          <w:p>
            <w:pPr>
              <w:pStyle w:val="47"/>
              <w:spacing w:line="240" w:lineRule="auto"/>
              <w:rPr>
                <w:color w:val="auto"/>
              </w:rPr>
            </w:pPr>
            <w:r>
              <w:rPr>
                <w:color w:val="auto"/>
              </w:rPr>
              <w:t>锌</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10</w:t>
            </w:r>
          </w:p>
        </w:tc>
        <w:tc>
          <w:tcPr>
            <w:tcW w:w="1126" w:type="pct"/>
            <w:vAlign w:val="center"/>
          </w:tcPr>
          <w:p>
            <w:pPr>
              <w:pStyle w:val="47"/>
              <w:spacing w:line="240" w:lineRule="auto"/>
              <w:rPr>
                <w:color w:val="auto"/>
              </w:rPr>
            </w:pPr>
            <w:r>
              <w:rPr>
                <w:color w:val="auto"/>
              </w:rPr>
              <w:t>铝</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≤0.2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11</w:t>
            </w:r>
          </w:p>
        </w:tc>
        <w:tc>
          <w:tcPr>
            <w:tcW w:w="1126" w:type="pct"/>
            <w:vAlign w:val="center"/>
          </w:tcPr>
          <w:p>
            <w:pPr>
              <w:pStyle w:val="47"/>
              <w:spacing w:line="240" w:lineRule="auto"/>
              <w:rPr>
                <w:color w:val="auto"/>
              </w:rPr>
            </w:pPr>
            <w:r>
              <w:rPr>
                <w:color w:val="auto"/>
              </w:rPr>
              <w:t>挥发酚类</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≤0.002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12</w:t>
            </w:r>
          </w:p>
        </w:tc>
        <w:tc>
          <w:tcPr>
            <w:tcW w:w="1126" w:type="pct"/>
            <w:vAlign w:val="center"/>
          </w:tcPr>
          <w:p>
            <w:pPr>
              <w:pStyle w:val="47"/>
              <w:spacing w:line="240" w:lineRule="auto"/>
              <w:rPr>
                <w:color w:val="auto"/>
              </w:rPr>
            </w:pPr>
            <w:r>
              <w:rPr>
                <w:color w:val="auto"/>
              </w:rPr>
              <w:t>阴离子表面活性剂</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≤0.3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13</w:t>
            </w:r>
          </w:p>
        </w:tc>
        <w:tc>
          <w:tcPr>
            <w:tcW w:w="1126" w:type="pct"/>
            <w:vAlign w:val="center"/>
          </w:tcPr>
          <w:p>
            <w:pPr>
              <w:pStyle w:val="47"/>
              <w:spacing w:line="240" w:lineRule="auto"/>
              <w:rPr>
                <w:color w:val="auto"/>
              </w:rPr>
            </w:pPr>
            <w:r>
              <w:rPr>
                <w:color w:val="auto"/>
              </w:rPr>
              <w:t>耗氧量</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≤3.0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14</w:t>
            </w:r>
          </w:p>
        </w:tc>
        <w:tc>
          <w:tcPr>
            <w:tcW w:w="1126" w:type="pct"/>
            <w:vAlign w:val="center"/>
          </w:tcPr>
          <w:p>
            <w:pPr>
              <w:pStyle w:val="47"/>
              <w:spacing w:line="240" w:lineRule="auto"/>
              <w:rPr>
                <w:color w:val="auto"/>
              </w:rPr>
            </w:pPr>
            <w:r>
              <w:rPr>
                <w:color w:val="auto"/>
              </w:rPr>
              <w:t>氨氮</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≤0.5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15</w:t>
            </w:r>
          </w:p>
        </w:tc>
        <w:tc>
          <w:tcPr>
            <w:tcW w:w="1126" w:type="pct"/>
            <w:vAlign w:val="center"/>
          </w:tcPr>
          <w:p>
            <w:pPr>
              <w:pStyle w:val="47"/>
              <w:spacing w:line="240" w:lineRule="auto"/>
              <w:rPr>
                <w:color w:val="auto"/>
              </w:rPr>
            </w:pPr>
            <w:r>
              <w:rPr>
                <w:color w:val="auto"/>
              </w:rPr>
              <w:t>硫化物</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≤0.02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16</w:t>
            </w:r>
          </w:p>
        </w:tc>
        <w:tc>
          <w:tcPr>
            <w:tcW w:w="1126" w:type="pct"/>
            <w:vAlign w:val="center"/>
          </w:tcPr>
          <w:p>
            <w:pPr>
              <w:pStyle w:val="47"/>
              <w:spacing w:line="240" w:lineRule="auto"/>
              <w:rPr>
                <w:color w:val="auto"/>
              </w:rPr>
            </w:pPr>
            <w:r>
              <w:rPr>
                <w:color w:val="auto"/>
              </w:rPr>
              <w:t>钠</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≤200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17</w:t>
            </w:r>
          </w:p>
        </w:tc>
        <w:tc>
          <w:tcPr>
            <w:tcW w:w="1126" w:type="pct"/>
            <w:vAlign w:val="center"/>
          </w:tcPr>
          <w:p>
            <w:pPr>
              <w:pStyle w:val="47"/>
              <w:spacing w:line="240" w:lineRule="auto"/>
              <w:rPr>
                <w:color w:val="auto"/>
              </w:rPr>
            </w:pPr>
            <w:r>
              <w:rPr>
                <w:color w:val="auto"/>
              </w:rPr>
              <w:t>总大肠杆菌</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≤3.0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18</w:t>
            </w:r>
          </w:p>
        </w:tc>
        <w:tc>
          <w:tcPr>
            <w:tcW w:w="1126" w:type="pct"/>
            <w:vAlign w:val="center"/>
          </w:tcPr>
          <w:p>
            <w:pPr>
              <w:pStyle w:val="47"/>
              <w:spacing w:line="240" w:lineRule="auto"/>
              <w:rPr>
                <w:color w:val="auto"/>
              </w:rPr>
            </w:pPr>
            <w:r>
              <w:rPr>
                <w:color w:val="auto"/>
              </w:rPr>
              <w:t>菌落总数</w:t>
            </w:r>
          </w:p>
        </w:tc>
        <w:tc>
          <w:tcPr>
            <w:tcW w:w="1611" w:type="pct"/>
            <w:vAlign w:val="center"/>
          </w:tcPr>
          <w:p>
            <w:pPr>
              <w:spacing w:line="240" w:lineRule="auto"/>
              <w:ind w:firstLine="0" w:firstLineChars="0"/>
              <w:jc w:val="center"/>
              <w:rPr>
                <w:color w:val="auto"/>
                <w:sz w:val="21"/>
                <w:szCs w:val="21"/>
              </w:rPr>
            </w:pPr>
            <w:r>
              <w:rPr>
                <w:color w:val="auto"/>
                <w:sz w:val="21"/>
                <w:szCs w:val="21"/>
              </w:rPr>
              <w:t>CFU/L</w:t>
            </w:r>
          </w:p>
        </w:tc>
        <w:tc>
          <w:tcPr>
            <w:tcW w:w="1609" w:type="pct"/>
            <w:vAlign w:val="center"/>
          </w:tcPr>
          <w:p>
            <w:pPr>
              <w:pStyle w:val="47"/>
              <w:spacing w:line="240" w:lineRule="auto"/>
              <w:rPr>
                <w:color w:val="auto"/>
              </w:rPr>
            </w:pPr>
            <w:r>
              <w:rPr>
                <w:color w:val="auto"/>
              </w:rPr>
              <w:t>≤100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19</w:t>
            </w:r>
          </w:p>
        </w:tc>
        <w:tc>
          <w:tcPr>
            <w:tcW w:w="1126" w:type="pct"/>
            <w:vAlign w:val="center"/>
          </w:tcPr>
          <w:p>
            <w:pPr>
              <w:pStyle w:val="47"/>
              <w:spacing w:line="240" w:lineRule="auto"/>
              <w:rPr>
                <w:color w:val="auto"/>
              </w:rPr>
            </w:pPr>
            <w:r>
              <w:rPr>
                <w:color w:val="auto"/>
              </w:rPr>
              <w:t>亚硝酸盐氮</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20</w:t>
            </w:r>
          </w:p>
        </w:tc>
        <w:tc>
          <w:tcPr>
            <w:tcW w:w="1126" w:type="pct"/>
            <w:vAlign w:val="center"/>
          </w:tcPr>
          <w:p>
            <w:pPr>
              <w:pStyle w:val="47"/>
              <w:spacing w:line="240" w:lineRule="auto"/>
              <w:rPr>
                <w:color w:val="auto"/>
              </w:rPr>
            </w:pPr>
            <w:r>
              <w:rPr>
                <w:color w:val="auto"/>
              </w:rPr>
              <w:t>硝酸盐氮</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≤20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21</w:t>
            </w:r>
          </w:p>
        </w:tc>
        <w:tc>
          <w:tcPr>
            <w:tcW w:w="1126" w:type="pct"/>
            <w:vAlign w:val="center"/>
          </w:tcPr>
          <w:p>
            <w:pPr>
              <w:pStyle w:val="47"/>
              <w:spacing w:line="240" w:lineRule="auto"/>
              <w:rPr>
                <w:color w:val="auto"/>
              </w:rPr>
            </w:pPr>
            <w:r>
              <w:rPr>
                <w:color w:val="auto"/>
              </w:rPr>
              <w:t>氰化物</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≤0.05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22</w:t>
            </w:r>
          </w:p>
        </w:tc>
        <w:tc>
          <w:tcPr>
            <w:tcW w:w="1126" w:type="pct"/>
            <w:vAlign w:val="center"/>
          </w:tcPr>
          <w:p>
            <w:pPr>
              <w:pStyle w:val="47"/>
              <w:spacing w:line="240" w:lineRule="auto"/>
              <w:rPr>
                <w:color w:val="auto"/>
              </w:rPr>
            </w:pPr>
            <w:r>
              <w:rPr>
                <w:color w:val="auto"/>
              </w:rPr>
              <w:t>氟化物</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23</w:t>
            </w:r>
          </w:p>
        </w:tc>
        <w:tc>
          <w:tcPr>
            <w:tcW w:w="1126" w:type="pct"/>
            <w:vAlign w:val="center"/>
          </w:tcPr>
          <w:p>
            <w:pPr>
              <w:pStyle w:val="47"/>
              <w:spacing w:line="240" w:lineRule="auto"/>
              <w:rPr>
                <w:color w:val="auto"/>
              </w:rPr>
            </w:pPr>
            <w:r>
              <w:rPr>
                <w:color w:val="auto"/>
              </w:rPr>
              <w:t>碘化物</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≤0.08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24</w:t>
            </w:r>
          </w:p>
        </w:tc>
        <w:tc>
          <w:tcPr>
            <w:tcW w:w="1126" w:type="pct"/>
            <w:vAlign w:val="center"/>
          </w:tcPr>
          <w:p>
            <w:pPr>
              <w:pStyle w:val="47"/>
              <w:spacing w:line="240" w:lineRule="auto"/>
              <w:rPr>
                <w:color w:val="auto"/>
              </w:rPr>
            </w:pPr>
            <w:r>
              <w:rPr>
                <w:color w:val="auto"/>
              </w:rPr>
              <w:t>汞</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≤0.001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25</w:t>
            </w:r>
          </w:p>
        </w:tc>
        <w:tc>
          <w:tcPr>
            <w:tcW w:w="1126" w:type="pct"/>
            <w:vAlign w:val="center"/>
          </w:tcPr>
          <w:p>
            <w:pPr>
              <w:pStyle w:val="47"/>
              <w:spacing w:line="240" w:lineRule="auto"/>
              <w:rPr>
                <w:color w:val="auto"/>
              </w:rPr>
            </w:pPr>
            <w:r>
              <w:rPr>
                <w:color w:val="auto"/>
              </w:rPr>
              <w:t>砷</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26</w:t>
            </w:r>
          </w:p>
        </w:tc>
        <w:tc>
          <w:tcPr>
            <w:tcW w:w="1126" w:type="pct"/>
            <w:vAlign w:val="center"/>
          </w:tcPr>
          <w:p>
            <w:pPr>
              <w:pStyle w:val="47"/>
              <w:spacing w:line="240" w:lineRule="auto"/>
              <w:rPr>
                <w:color w:val="auto"/>
              </w:rPr>
            </w:pPr>
            <w:r>
              <w:rPr>
                <w:color w:val="auto"/>
              </w:rPr>
              <w:t>硒</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27</w:t>
            </w:r>
          </w:p>
        </w:tc>
        <w:tc>
          <w:tcPr>
            <w:tcW w:w="1126" w:type="pct"/>
            <w:vAlign w:val="center"/>
          </w:tcPr>
          <w:p>
            <w:pPr>
              <w:pStyle w:val="47"/>
              <w:spacing w:line="240" w:lineRule="auto"/>
              <w:rPr>
                <w:color w:val="auto"/>
              </w:rPr>
            </w:pPr>
            <w:r>
              <w:rPr>
                <w:color w:val="auto"/>
              </w:rPr>
              <w:t>镉</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≤0.005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28</w:t>
            </w:r>
          </w:p>
        </w:tc>
        <w:tc>
          <w:tcPr>
            <w:tcW w:w="1126" w:type="pct"/>
            <w:vAlign w:val="center"/>
          </w:tcPr>
          <w:p>
            <w:pPr>
              <w:pStyle w:val="47"/>
              <w:spacing w:line="240" w:lineRule="auto"/>
              <w:rPr>
                <w:color w:val="auto"/>
              </w:rPr>
            </w:pPr>
            <w:r>
              <w:rPr>
                <w:color w:val="auto"/>
              </w:rPr>
              <w:t>六价铬</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≤0.05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29</w:t>
            </w:r>
          </w:p>
        </w:tc>
        <w:tc>
          <w:tcPr>
            <w:tcW w:w="1126" w:type="pct"/>
            <w:vAlign w:val="center"/>
          </w:tcPr>
          <w:p>
            <w:pPr>
              <w:pStyle w:val="47"/>
              <w:spacing w:line="240" w:lineRule="auto"/>
              <w:rPr>
                <w:color w:val="auto"/>
              </w:rPr>
            </w:pPr>
            <w:r>
              <w:rPr>
                <w:color w:val="auto"/>
              </w:rPr>
              <w:t>铅</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30</w:t>
            </w:r>
          </w:p>
        </w:tc>
        <w:tc>
          <w:tcPr>
            <w:tcW w:w="1126" w:type="pct"/>
            <w:vAlign w:val="center"/>
          </w:tcPr>
          <w:p>
            <w:pPr>
              <w:pStyle w:val="47"/>
              <w:spacing w:line="240" w:lineRule="auto"/>
              <w:rPr>
                <w:rFonts w:hint="eastAsia" w:eastAsia="宋体"/>
                <w:color w:val="auto"/>
                <w:lang w:eastAsia="zh-CN"/>
              </w:rPr>
            </w:pPr>
            <w:r>
              <w:rPr>
                <w:color w:val="auto"/>
              </w:rPr>
              <w:t>三氯</w:t>
            </w:r>
            <w:r>
              <w:rPr>
                <w:rFonts w:hint="eastAsia"/>
                <w:color w:val="auto"/>
                <w:lang w:val="en-US" w:eastAsia="zh-CN"/>
              </w:rPr>
              <w:t>甲烷</w:t>
            </w:r>
          </w:p>
        </w:tc>
        <w:tc>
          <w:tcPr>
            <w:tcW w:w="1611" w:type="pct"/>
            <w:vAlign w:val="center"/>
          </w:tcPr>
          <w:p>
            <w:pPr>
              <w:spacing w:line="240" w:lineRule="auto"/>
              <w:ind w:firstLine="0" w:firstLineChars="0"/>
              <w:jc w:val="center"/>
              <w:rPr>
                <w:color w:val="auto"/>
                <w:sz w:val="21"/>
                <w:szCs w:val="21"/>
              </w:rPr>
            </w:pPr>
            <w:r>
              <w:rPr>
                <w:color w:val="auto"/>
                <w:sz w:val="21"/>
                <w:szCs w:val="21"/>
              </w:rPr>
              <w:t>ug/L</w:t>
            </w:r>
          </w:p>
        </w:tc>
        <w:tc>
          <w:tcPr>
            <w:tcW w:w="1609" w:type="pct"/>
            <w:vAlign w:val="center"/>
          </w:tcPr>
          <w:p>
            <w:pPr>
              <w:pStyle w:val="47"/>
              <w:spacing w:line="240" w:lineRule="auto"/>
              <w:rPr>
                <w:color w:val="auto"/>
              </w:rPr>
            </w:pPr>
            <w:r>
              <w:rPr>
                <w:color w:val="auto"/>
              </w:rPr>
              <w:t>≤60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31</w:t>
            </w:r>
          </w:p>
        </w:tc>
        <w:tc>
          <w:tcPr>
            <w:tcW w:w="1126" w:type="pct"/>
            <w:vAlign w:val="center"/>
          </w:tcPr>
          <w:p>
            <w:pPr>
              <w:pStyle w:val="47"/>
              <w:spacing w:line="240" w:lineRule="auto"/>
              <w:rPr>
                <w:color w:val="auto"/>
              </w:rPr>
            </w:pPr>
            <w:r>
              <w:rPr>
                <w:color w:val="auto"/>
              </w:rPr>
              <w:t>四氯化碳</w:t>
            </w:r>
          </w:p>
        </w:tc>
        <w:tc>
          <w:tcPr>
            <w:tcW w:w="1611" w:type="pct"/>
            <w:vAlign w:val="center"/>
          </w:tcPr>
          <w:p>
            <w:pPr>
              <w:spacing w:line="240" w:lineRule="auto"/>
              <w:ind w:firstLine="0" w:firstLineChars="0"/>
              <w:jc w:val="center"/>
              <w:rPr>
                <w:color w:val="auto"/>
                <w:sz w:val="21"/>
                <w:szCs w:val="21"/>
              </w:rPr>
            </w:pPr>
            <w:r>
              <w:rPr>
                <w:color w:val="auto"/>
                <w:sz w:val="21"/>
                <w:szCs w:val="21"/>
              </w:rPr>
              <w:t>ug/L</w:t>
            </w:r>
          </w:p>
        </w:tc>
        <w:tc>
          <w:tcPr>
            <w:tcW w:w="1609" w:type="pct"/>
            <w:vAlign w:val="center"/>
          </w:tcPr>
          <w:p>
            <w:pPr>
              <w:pStyle w:val="47"/>
              <w:spacing w:line="240" w:lineRule="auto"/>
              <w:rPr>
                <w:color w:val="auto"/>
              </w:rPr>
            </w:pPr>
            <w:r>
              <w:rPr>
                <w:color w:val="auto"/>
              </w:rPr>
              <w:t>≤2.0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32</w:t>
            </w:r>
          </w:p>
        </w:tc>
        <w:tc>
          <w:tcPr>
            <w:tcW w:w="1126" w:type="pct"/>
            <w:vAlign w:val="center"/>
          </w:tcPr>
          <w:p>
            <w:pPr>
              <w:pStyle w:val="47"/>
              <w:spacing w:line="240" w:lineRule="auto"/>
              <w:rPr>
                <w:color w:val="auto"/>
              </w:rPr>
            </w:pPr>
            <w:r>
              <w:rPr>
                <w:color w:val="auto"/>
              </w:rPr>
              <w:t>苯</w:t>
            </w:r>
          </w:p>
        </w:tc>
        <w:tc>
          <w:tcPr>
            <w:tcW w:w="1611" w:type="pct"/>
            <w:vAlign w:val="center"/>
          </w:tcPr>
          <w:p>
            <w:pPr>
              <w:spacing w:line="240" w:lineRule="auto"/>
              <w:ind w:firstLine="0" w:firstLineChars="0"/>
              <w:jc w:val="center"/>
              <w:rPr>
                <w:color w:val="auto"/>
                <w:sz w:val="21"/>
                <w:szCs w:val="21"/>
              </w:rPr>
            </w:pPr>
            <w:r>
              <w:rPr>
                <w:color w:val="auto"/>
                <w:sz w:val="21"/>
                <w:szCs w:val="21"/>
              </w:rPr>
              <w:t>ug/L</w:t>
            </w:r>
          </w:p>
        </w:tc>
        <w:tc>
          <w:tcPr>
            <w:tcW w:w="1609" w:type="pct"/>
            <w:vAlign w:val="center"/>
          </w:tcPr>
          <w:p>
            <w:pPr>
              <w:pStyle w:val="47"/>
              <w:spacing w:line="240" w:lineRule="auto"/>
              <w:rPr>
                <w:color w:val="auto"/>
              </w:rPr>
            </w:pPr>
            <w:r>
              <w:rPr>
                <w:color w:val="auto"/>
              </w:rPr>
              <w:t>≤10.0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color w:val="auto"/>
              </w:rPr>
              <w:t>33</w:t>
            </w:r>
          </w:p>
        </w:tc>
        <w:tc>
          <w:tcPr>
            <w:tcW w:w="1126" w:type="pct"/>
            <w:vAlign w:val="center"/>
          </w:tcPr>
          <w:p>
            <w:pPr>
              <w:pStyle w:val="47"/>
              <w:spacing w:line="240" w:lineRule="auto"/>
              <w:rPr>
                <w:color w:val="auto"/>
              </w:rPr>
            </w:pPr>
            <w:r>
              <w:rPr>
                <w:color w:val="auto"/>
              </w:rPr>
              <w:t>甲苯</w:t>
            </w:r>
          </w:p>
        </w:tc>
        <w:tc>
          <w:tcPr>
            <w:tcW w:w="1611" w:type="pct"/>
            <w:vAlign w:val="center"/>
          </w:tcPr>
          <w:p>
            <w:pPr>
              <w:spacing w:line="240" w:lineRule="auto"/>
              <w:ind w:firstLine="0" w:firstLineChars="0"/>
              <w:jc w:val="center"/>
              <w:rPr>
                <w:color w:val="auto"/>
                <w:sz w:val="21"/>
                <w:szCs w:val="21"/>
              </w:rPr>
            </w:pPr>
            <w:r>
              <w:rPr>
                <w:color w:val="auto"/>
                <w:sz w:val="21"/>
                <w:szCs w:val="21"/>
              </w:rPr>
              <w:t>ug/L</w:t>
            </w:r>
          </w:p>
        </w:tc>
        <w:tc>
          <w:tcPr>
            <w:tcW w:w="1609" w:type="pct"/>
            <w:vAlign w:val="center"/>
          </w:tcPr>
          <w:p>
            <w:pPr>
              <w:pStyle w:val="47"/>
              <w:spacing w:line="240" w:lineRule="auto"/>
              <w:rPr>
                <w:color w:val="auto"/>
              </w:rPr>
            </w:pPr>
            <w:r>
              <w:rPr>
                <w:color w:val="auto"/>
              </w:rPr>
              <w:t>≤700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rFonts w:hint="eastAsia"/>
                <w:color w:val="auto"/>
              </w:rPr>
              <w:t>34</w:t>
            </w:r>
          </w:p>
        </w:tc>
        <w:tc>
          <w:tcPr>
            <w:tcW w:w="1126" w:type="pct"/>
            <w:vAlign w:val="center"/>
          </w:tcPr>
          <w:p>
            <w:pPr>
              <w:pStyle w:val="47"/>
              <w:spacing w:line="240" w:lineRule="auto"/>
              <w:rPr>
                <w:color w:val="auto"/>
              </w:rPr>
            </w:pPr>
            <w:r>
              <w:rPr>
                <w:rFonts w:hint="eastAsia"/>
                <w:color w:val="auto"/>
              </w:rPr>
              <w:t>总大肠菌群</w:t>
            </w:r>
          </w:p>
        </w:tc>
        <w:tc>
          <w:tcPr>
            <w:tcW w:w="1611" w:type="pct"/>
            <w:vAlign w:val="center"/>
          </w:tcPr>
          <w:p>
            <w:pPr>
              <w:spacing w:line="240" w:lineRule="auto"/>
              <w:ind w:firstLine="0" w:firstLineChars="0"/>
              <w:jc w:val="center"/>
              <w:rPr>
                <w:color w:val="auto"/>
                <w:sz w:val="21"/>
                <w:szCs w:val="21"/>
              </w:rPr>
            </w:pPr>
            <w:r>
              <w:rPr>
                <w:rFonts w:hint="eastAsia"/>
                <w:color w:val="auto"/>
                <w:sz w:val="21"/>
                <w:szCs w:val="21"/>
              </w:rPr>
              <w:t>MPN</w:t>
            </w:r>
            <w:r>
              <w:rPr>
                <w:color w:val="auto"/>
                <w:sz w:val="21"/>
                <w:szCs w:val="21"/>
              </w:rPr>
              <w:t>/</w:t>
            </w:r>
            <w:r>
              <w:rPr>
                <w:rFonts w:hint="eastAsia"/>
                <w:color w:val="auto"/>
                <w:sz w:val="21"/>
                <w:szCs w:val="21"/>
              </w:rPr>
              <w:t>100</w:t>
            </w:r>
            <w:r>
              <w:rPr>
                <w:color w:val="auto"/>
                <w:sz w:val="21"/>
                <w:szCs w:val="21"/>
              </w:rPr>
              <w:t>mL</w:t>
            </w:r>
          </w:p>
        </w:tc>
        <w:tc>
          <w:tcPr>
            <w:tcW w:w="1609" w:type="pct"/>
            <w:vAlign w:val="center"/>
          </w:tcPr>
          <w:p>
            <w:pPr>
              <w:spacing w:line="240" w:lineRule="auto"/>
              <w:ind w:firstLine="0" w:firstLineChars="0"/>
              <w:jc w:val="center"/>
              <w:rPr>
                <w:color w:val="auto"/>
              </w:rPr>
            </w:pPr>
            <w:r>
              <w:rPr>
                <w:color w:val="auto"/>
                <w:sz w:val="21"/>
                <w:szCs w:val="21"/>
              </w:rPr>
              <w:t>≤3.0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Align w:val="center"/>
          </w:tcPr>
          <w:p>
            <w:pPr>
              <w:pStyle w:val="47"/>
              <w:spacing w:line="240" w:lineRule="auto"/>
              <w:rPr>
                <w:color w:val="auto"/>
              </w:rPr>
            </w:pPr>
            <w:r>
              <w:rPr>
                <w:rFonts w:hint="eastAsia"/>
                <w:color w:val="auto"/>
              </w:rPr>
              <w:t>35</w:t>
            </w:r>
          </w:p>
        </w:tc>
        <w:tc>
          <w:tcPr>
            <w:tcW w:w="1126" w:type="pct"/>
            <w:vAlign w:val="center"/>
          </w:tcPr>
          <w:p>
            <w:pPr>
              <w:pStyle w:val="47"/>
              <w:spacing w:line="240" w:lineRule="auto"/>
              <w:rPr>
                <w:color w:val="auto"/>
              </w:rPr>
            </w:pPr>
            <w:r>
              <w:rPr>
                <w:rFonts w:hint="eastAsia"/>
                <w:color w:val="auto"/>
              </w:rPr>
              <w:t>菌落总数</w:t>
            </w:r>
          </w:p>
        </w:tc>
        <w:tc>
          <w:tcPr>
            <w:tcW w:w="1611" w:type="pct"/>
            <w:vAlign w:val="center"/>
          </w:tcPr>
          <w:p>
            <w:pPr>
              <w:spacing w:line="240" w:lineRule="auto"/>
              <w:ind w:firstLine="0" w:firstLineChars="0"/>
              <w:jc w:val="center"/>
              <w:rPr>
                <w:color w:val="auto"/>
                <w:sz w:val="21"/>
                <w:szCs w:val="21"/>
              </w:rPr>
            </w:pPr>
            <w:r>
              <w:rPr>
                <w:color w:val="auto"/>
                <w:sz w:val="21"/>
                <w:szCs w:val="21"/>
              </w:rPr>
              <w:t>CFU/L</w:t>
            </w:r>
          </w:p>
        </w:tc>
        <w:tc>
          <w:tcPr>
            <w:tcW w:w="1609" w:type="pct"/>
            <w:vAlign w:val="center"/>
          </w:tcPr>
          <w:p>
            <w:pPr>
              <w:spacing w:line="240" w:lineRule="auto"/>
              <w:ind w:firstLine="0" w:firstLineChars="0"/>
              <w:jc w:val="center"/>
              <w:rPr>
                <w:color w:val="auto"/>
              </w:rPr>
            </w:pPr>
            <w:r>
              <w:rPr>
                <w:color w:val="auto"/>
                <w:sz w:val="21"/>
                <w:szCs w:val="21"/>
              </w:rPr>
              <w:t>≤100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340" w:hRule="atLeast"/>
          <w:jc w:val="center"/>
        </w:trPr>
        <w:tc>
          <w:tcPr>
            <w:tcW w:w="652" w:type="pct"/>
            <w:vAlign w:val="center"/>
          </w:tcPr>
          <w:p>
            <w:pPr>
              <w:pStyle w:val="47"/>
              <w:spacing w:line="240" w:lineRule="auto"/>
              <w:rPr>
                <w:color w:val="auto"/>
              </w:rPr>
            </w:pPr>
            <w:r>
              <w:rPr>
                <w:color w:val="auto"/>
              </w:rPr>
              <w:t>34</w:t>
            </w:r>
          </w:p>
        </w:tc>
        <w:tc>
          <w:tcPr>
            <w:tcW w:w="1126" w:type="pct"/>
            <w:vAlign w:val="center"/>
          </w:tcPr>
          <w:p>
            <w:pPr>
              <w:pStyle w:val="47"/>
              <w:spacing w:line="240" w:lineRule="auto"/>
              <w:rPr>
                <w:color w:val="auto"/>
              </w:rPr>
            </w:pPr>
            <w:r>
              <w:rPr>
                <w:color w:val="auto"/>
              </w:rPr>
              <w:t>石油类</w:t>
            </w:r>
          </w:p>
        </w:tc>
        <w:tc>
          <w:tcPr>
            <w:tcW w:w="1611" w:type="pct"/>
            <w:vAlign w:val="center"/>
          </w:tcPr>
          <w:p>
            <w:pPr>
              <w:spacing w:line="240" w:lineRule="auto"/>
              <w:ind w:firstLine="0" w:firstLineChars="0"/>
              <w:jc w:val="center"/>
              <w:rPr>
                <w:color w:val="auto"/>
                <w:sz w:val="21"/>
                <w:szCs w:val="21"/>
              </w:rPr>
            </w:pPr>
            <w:r>
              <w:rPr>
                <w:color w:val="auto"/>
                <w:sz w:val="21"/>
                <w:szCs w:val="21"/>
              </w:rPr>
              <w:t>mg/L</w:t>
            </w:r>
          </w:p>
        </w:tc>
        <w:tc>
          <w:tcPr>
            <w:tcW w:w="1609" w:type="pct"/>
            <w:vAlign w:val="center"/>
          </w:tcPr>
          <w:p>
            <w:pPr>
              <w:pStyle w:val="47"/>
              <w:spacing w:line="240" w:lineRule="auto"/>
              <w:rPr>
                <w:color w:val="auto"/>
              </w:rPr>
            </w:pPr>
            <w:r>
              <w:rPr>
                <w:color w:val="auto"/>
              </w:rPr>
              <w:t>≤0.05</w:t>
            </w:r>
          </w:p>
        </w:tc>
      </w:tr>
    </w:tbl>
    <w:p>
      <w:pPr>
        <w:spacing w:line="240" w:lineRule="auto"/>
        <w:ind w:firstLine="360"/>
        <w:rPr>
          <w:color w:val="auto"/>
          <w:sz w:val="18"/>
          <w:szCs w:val="18"/>
        </w:rPr>
      </w:pPr>
      <w:r>
        <w:rPr>
          <w:color w:val="auto"/>
          <w:sz w:val="18"/>
          <w:szCs w:val="18"/>
        </w:rPr>
        <w:t>注：石油类参照《地表水环境质量标准》（GB3838-2002）中的表1Ⅲ类水体标准限值。</w:t>
      </w:r>
    </w:p>
    <w:p>
      <w:pPr>
        <w:pStyle w:val="48"/>
        <w:rPr>
          <w:color w:val="auto"/>
        </w:rPr>
      </w:pPr>
      <w:r>
        <w:rPr>
          <w:color w:val="auto"/>
        </w:rPr>
        <w:t>表1.</w:t>
      </w:r>
      <w:r>
        <w:rPr>
          <w:rFonts w:hint="eastAsia"/>
          <w:color w:val="auto"/>
          <w:lang w:val="en-US" w:eastAsia="zh-CN"/>
        </w:rPr>
        <w:t>6</w:t>
      </w:r>
      <w:r>
        <w:rPr>
          <w:color w:val="auto"/>
        </w:rPr>
        <w:t>-4  声环境质量标准</w:t>
      </w:r>
    </w:p>
    <w:tbl>
      <w:tblPr>
        <w:tblStyle w:val="2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809"/>
        <w:gridCol w:w="3275"/>
        <w:gridCol w:w="3091"/>
        <w:gridCol w:w="211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1" w:hRule="atLeast"/>
          <w:jc w:val="center"/>
        </w:trPr>
        <w:tc>
          <w:tcPr>
            <w:tcW w:w="436" w:type="pct"/>
            <w:vAlign w:val="center"/>
          </w:tcPr>
          <w:p>
            <w:pPr>
              <w:pStyle w:val="47"/>
              <w:rPr>
                <w:b/>
                <w:color w:val="auto"/>
              </w:rPr>
            </w:pPr>
            <w:r>
              <w:rPr>
                <w:b/>
                <w:color w:val="auto"/>
              </w:rPr>
              <w:t>类别</w:t>
            </w:r>
          </w:p>
        </w:tc>
        <w:tc>
          <w:tcPr>
            <w:tcW w:w="1762" w:type="pct"/>
            <w:vAlign w:val="center"/>
          </w:tcPr>
          <w:p>
            <w:pPr>
              <w:pStyle w:val="47"/>
              <w:rPr>
                <w:b/>
                <w:color w:val="auto"/>
              </w:rPr>
            </w:pPr>
            <w:r>
              <w:rPr>
                <w:b/>
                <w:color w:val="auto"/>
              </w:rPr>
              <w:t>昼间（等效声级LAeq:dB）</w:t>
            </w:r>
          </w:p>
        </w:tc>
        <w:tc>
          <w:tcPr>
            <w:tcW w:w="1663" w:type="pct"/>
            <w:vAlign w:val="center"/>
          </w:tcPr>
          <w:p>
            <w:pPr>
              <w:pStyle w:val="47"/>
              <w:rPr>
                <w:b/>
                <w:color w:val="auto"/>
              </w:rPr>
            </w:pPr>
            <w:r>
              <w:rPr>
                <w:b/>
                <w:color w:val="auto"/>
              </w:rPr>
              <w:t>夜间（等效声级LAeq:dB）</w:t>
            </w:r>
          </w:p>
        </w:tc>
        <w:tc>
          <w:tcPr>
            <w:tcW w:w="1137" w:type="pct"/>
            <w:vAlign w:val="center"/>
          </w:tcPr>
          <w:p>
            <w:pPr>
              <w:pStyle w:val="47"/>
              <w:rPr>
                <w:b/>
                <w:color w:val="auto"/>
              </w:rPr>
            </w:pPr>
            <w:r>
              <w:rPr>
                <w:b/>
                <w:color w:val="auto"/>
              </w:rPr>
              <w:t>标准来源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163" w:hRule="atLeast"/>
          <w:jc w:val="center"/>
        </w:trPr>
        <w:tc>
          <w:tcPr>
            <w:tcW w:w="436" w:type="pct"/>
            <w:vAlign w:val="center"/>
          </w:tcPr>
          <w:p>
            <w:pPr>
              <w:pStyle w:val="47"/>
              <w:rPr>
                <w:color w:val="auto"/>
              </w:rPr>
            </w:pPr>
            <w:r>
              <w:rPr>
                <w:rFonts w:hint="eastAsia"/>
                <w:color w:val="auto"/>
                <w:lang w:val="en-US" w:eastAsia="zh-CN"/>
              </w:rPr>
              <w:t>2</w:t>
            </w:r>
            <w:r>
              <w:rPr>
                <w:color w:val="auto"/>
              </w:rPr>
              <w:t>类</w:t>
            </w:r>
          </w:p>
        </w:tc>
        <w:tc>
          <w:tcPr>
            <w:tcW w:w="1762" w:type="pct"/>
            <w:vAlign w:val="center"/>
          </w:tcPr>
          <w:p>
            <w:pPr>
              <w:pStyle w:val="47"/>
              <w:rPr>
                <w:rFonts w:hint="default" w:eastAsia="宋体"/>
                <w:color w:val="auto"/>
                <w:lang w:val="en-US" w:eastAsia="zh-CN"/>
              </w:rPr>
            </w:pPr>
            <w:r>
              <w:rPr>
                <w:rFonts w:hint="eastAsia"/>
                <w:color w:val="auto"/>
                <w:lang w:val="en-US" w:eastAsia="zh-CN"/>
              </w:rPr>
              <w:t>60</w:t>
            </w:r>
          </w:p>
        </w:tc>
        <w:tc>
          <w:tcPr>
            <w:tcW w:w="1663" w:type="pct"/>
            <w:vAlign w:val="center"/>
          </w:tcPr>
          <w:p>
            <w:pPr>
              <w:pStyle w:val="47"/>
              <w:rPr>
                <w:rFonts w:hint="default" w:eastAsia="宋体"/>
                <w:color w:val="auto"/>
                <w:lang w:val="en-US" w:eastAsia="zh-CN"/>
              </w:rPr>
            </w:pPr>
            <w:r>
              <w:rPr>
                <w:rFonts w:hint="eastAsia"/>
                <w:color w:val="auto"/>
                <w:lang w:val="en-US" w:eastAsia="zh-CN"/>
              </w:rPr>
              <w:t>50</w:t>
            </w:r>
          </w:p>
        </w:tc>
        <w:tc>
          <w:tcPr>
            <w:tcW w:w="1137" w:type="pct"/>
            <w:vAlign w:val="center"/>
          </w:tcPr>
          <w:p>
            <w:pPr>
              <w:pStyle w:val="47"/>
              <w:rPr>
                <w:color w:val="auto"/>
              </w:rPr>
            </w:pPr>
            <w:r>
              <w:rPr>
                <w:color w:val="auto"/>
              </w:rPr>
              <w:t>GB3096－2008</w:t>
            </w:r>
          </w:p>
        </w:tc>
      </w:tr>
    </w:tbl>
    <w:p>
      <w:pPr>
        <w:pStyle w:val="48"/>
        <w:rPr>
          <w:color w:val="auto"/>
        </w:rPr>
      </w:pPr>
      <w:r>
        <w:rPr>
          <w:color w:val="auto"/>
        </w:rPr>
        <w:t>表1.</w:t>
      </w:r>
      <w:r>
        <w:rPr>
          <w:rFonts w:hint="eastAsia"/>
          <w:color w:val="auto"/>
          <w:lang w:val="en-US" w:eastAsia="zh-CN"/>
        </w:rPr>
        <w:t>6</w:t>
      </w:r>
      <w:r>
        <w:rPr>
          <w:color w:val="auto"/>
        </w:rPr>
        <w:t>-5 《土壤环境质量 建设用地土壤污染风险管控标准》单位：mg/kg</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68"/>
        <w:gridCol w:w="2974"/>
        <w:gridCol w:w="2324"/>
        <w:gridCol w:w="23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b/>
                <w:color w:val="auto"/>
              </w:rPr>
            </w:pPr>
            <w:r>
              <w:rPr>
                <w:b/>
                <w:color w:val="auto"/>
              </w:rPr>
              <w:t>序号</w:t>
            </w:r>
          </w:p>
        </w:tc>
        <w:tc>
          <w:tcPr>
            <w:tcW w:w="1601" w:type="pct"/>
            <w:vAlign w:val="center"/>
          </w:tcPr>
          <w:p>
            <w:pPr>
              <w:pStyle w:val="47"/>
              <w:spacing w:line="240" w:lineRule="auto"/>
              <w:rPr>
                <w:b/>
                <w:color w:val="auto"/>
              </w:rPr>
            </w:pPr>
            <w:r>
              <w:rPr>
                <w:b/>
                <w:color w:val="auto"/>
              </w:rPr>
              <w:t>污染物项目</w:t>
            </w:r>
          </w:p>
        </w:tc>
        <w:tc>
          <w:tcPr>
            <w:tcW w:w="1251" w:type="pct"/>
            <w:vAlign w:val="center"/>
          </w:tcPr>
          <w:p>
            <w:pPr>
              <w:pStyle w:val="47"/>
              <w:spacing w:line="240" w:lineRule="auto"/>
              <w:rPr>
                <w:b/>
                <w:color w:val="auto"/>
              </w:rPr>
            </w:pPr>
            <w:r>
              <w:rPr>
                <w:b/>
                <w:color w:val="auto"/>
              </w:rPr>
              <w:t>筛选值（第二类用地）</w:t>
            </w:r>
          </w:p>
        </w:tc>
        <w:tc>
          <w:tcPr>
            <w:tcW w:w="1250" w:type="pct"/>
            <w:vAlign w:val="center"/>
          </w:tcPr>
          <w:p>
            <w:pPr>
              <w:pStyle w:val="47"/>
              <w:spacing w:line="240" w:lineRule="auto"/>
              <w:rPr>
                <w:b/>
                <w:color w:val="auto"/>
              </w:rPr>
            </w:pPr>
            <w:r>
              <w:rPr>
                <w:b/>
                <w:color w:val="auto"/>
              </w:rPr>
              <w:t>背景值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4"/>
            <w:vAlign w:val="center"/>
          </w:tcPr>
          <w:p>
            <w:pPr>
              <w:pStyle w:val="47"/>
              <w:spacing w:line="240" w:lineRule="auto"/>
              <w:rPr>
                <w:color w:val="auto"/>
              </w:rPr>
            </w:pPr>
            <w:r>
              <w:rPr>
                <w:color w:val="auto"/>
              </w:rPr>
              <w:t>重金属和无机物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1</w:t>
            </w:r>
          </w:p>
        </w:tc>
        <w:tc>
          <w:tcPr>
            <w:tcW w:w="1601" w:type="pct"/>
            <w:vAlign w:val="center"/>
          </w:tcPr>
          <w:p>
            <w:pPr>
              <w:pStyle w:val="47"/>
              <w:spacing w:line="240" w:lineRule="auto"/>
              <w:rPr>
                <w:color w:val="auto"/>
              </w:rPr>
            </w:pPr>
            <w:r>
              <w:rPr>
                <w:color w:val="auto"/>
              </w:rPr>
              <w:t>砷</w:t>
            </w:r>
          </w:p>
        </w:tc>
        <w:tc>
          <w:tcPr>
            <w:tcW w:w="1251" w:type="pct"/>
            <w:vAlign w:val="center"/>
          </w:tcPr>
          <w:p>
            <w:pPr>
              <w:pStyle w:val="47"/>
              <w:spacing w:line="240" w:lineRule="auto"/>
              <w:rPr>
                <w:color w:val="auto"/>
              </w:rPr>
            </w:pPr>
            <w:r>
              <w:rPr>
                <w:color w:val="auto"/>
              </w:rPr>
              <w:t>60</w:t>
            </w:r>
          </w:p>
        </w:tc>
        <w:tc>
          <w:tcPr>
            <w:tcW w:w="1250" w:type="pct"/>
            <w:vAlign w:val="center"/>
          </w:tcPr>
          <w:p>
            <w:pPr>
              <w:pStyle w:val="47"/>
              <w:spacing w:line="240" w:lineRule="auto"/>
              <w:rPr>
                <w:color w:val="auto"/>
              </w:rPr>
            </w:pPr>
            <w:r>
              <w:rPr>
                <w:color w:val="auto"/>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2</w:t>
            </w:r>
          </w:p>
        </w:tc>
        <w:tc>
          <w:tcPr>
            <w:tcW w:w="1601" w:type="pct"/>
            <w:vAlign w:val="center"/>
          </w:tcPr>
          <w:p>
            <w:pPr>
              <w:pStyle w:val="47"/>
              <w:spacing w:line="240" w:lineRule="auto"/>
              <w:rPr>
                <w:color w:val="auto"/>
              </w:rPr>
            </w:pPr>
            <w:r>
              <w:rPr>
                <w:color w:val="auto"/>
              </w:rPr>
              <w:t>镉</w:t>
            </w:r>
          </w:p>
        </w:tc>
        <w:tc>
          <w:tcPr>
            <w:tcW w:w="1251" w:type="pct"/>
            <w:vAlign w:val="center"/>
          </w:tcPr>
          <w:p>
            <w:pPr>
              <w:pStyle w:val="47"/>
              <w:spacing w:line="240" w:lineRule="auto"/>
              <w:rPr>
                <w:color w:val="auto"/>
              </w:rPr>
            </w:pPr>
            <w:r>
              <w:rPr>
                <w:color w:val="auto"/>
              </w:rPr>
              <w:t>65</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3</w:t>
            </w:r>
          </w:p>
        </w:tc>
        <w:tc>
          <w:tcPr>
            <w:tcW w:w="1601" w:type="pct"/>
            <w:vAlign w:val="center"/>
          </w:tcPr>
          <w:p>
            <w:pPr>
              <w:pStyle w:val="47"/>
              <w:spacing w:line="240" w:lineRule="auto"/>
              <w:rPr>
                <w:color w:val="auto"/>
              </w:rPr>
            </w:pPr>
            <w:r>
              <w:rPr>
                <w:color w:val="auto"/>
              </w:rPr>
              <w:t>铬（六价）</w:t>
            </w:r>
          </w:p>
        </w:tc>
        <w:tc>
          <w:tcPr>
            <w:tcW w:w="1251" w:type="pct"/>
            <w:vAlign w:val="center"/>
          </w:tcPr>
          <w:p>
            <w:pPr>
              <w:pStyle w:val="47"/>
              <w:spacing w:line="240" w:lineRule="auto"/>
              <w:rPr>
                <w:color w:val="auto"/>
              </w:rPr>
            </w:pPr>
            <w:r>
              <w:rPr>
                <w:color w:val="auto"/>
              </w:rPr>
              <w:t>5.7</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4</w:t>
            </w:r>
          </w:p>
        </w:tc>
        <w:tc>
          <w:tcPr>
            <w:tcW w:w="1601" w:type="pct"/>
            <w:vAlign w:val="center"/>
          </w:tcPr>
          <w:p>
            <w:pPr>
              <w:pStyle w:val="47"/>
              <w:spacing w:line="240" w:lineRule="auto"/>
              <w:rPr>
                <w:color w:val="auto"/>
              </w:rPr>
            </w:pPr>
            <w:r>
              <w:rPr>
                <w:color w:val="auto"/>
              </w:rPr>
              <w:t>铜</w:t>
            </w:r>
          </w:p>
        </w:tc>
        <w:tc>
          <w:tcPr>
            <w:tcW w:w="1251" w:type="pct"/>
            <w:vAlign w:val="center"/>
          </w:tcPr>
          <w:p>
            <w:pPr>
              <w:pStyle w:val="47"/>
              <w:spacing w:line="240" w:lineRule="auto"/>
              <w:rPr>
                <w:color w:val="auto"/>
              </w:rPr>
            </w:pPr>
            <w:r>
              <w:rPr>
                <w:color w:val="auto"/>
              </w:rPr>
              <w:t>18000</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8" w:type="pct"/>
            <w:vAlign w:val="center"/>
          </w:tcPr>
          <w:p>
            <w:pPr>
              <w:pStyle w:val="47"/>
              <w:spacing w:line="240" w:lineRule="auto"/>
              <w:rPr>
                <w:color w:val="auto"/>
              </w:rPr>
            </w:pPr>
            <w:r>
              <w:rPr>
                <w:color w:val="auto"/>
              </w:rPr>
              <w:t>5</w:t>
            </w:r>
          </w:p>
        </w:tc>
        <w:tc>
          <w:tcPr>
            <w:tcW w:w="1601" w:type="pct"/>
            <w:vAlign w:val="center"/>
          </w:tcPr>
          <w:p>
            <w:pPr>
              <w:pStyle w:val="47"/>
              <w:spacing w:line="240" w:lineRule="auto"/>
              <w:rPr>
                <w:color w:val="auto"/>
              </w:rPr>
            </w:pPr>
            <w:r>
              <w:rPr>
                <w:color w:val="auto"/>
              </w:rPr>
              <w:t>铅</w:t>
            </w:r>
          </w:p>
        </w:tc>
        <w:tc>
          <w:tcPr>
            <w:tcW w:w="1251" w:type="pct"/>
            <w:vAlign w:val="center"/>
          </w:tcPr>
          <w:p>
            <w:pPr>
              <w:pStyle w:val="47"/>
              <w:spacing w:line="240" w:lineRule="auto"/>
              <w:rPr>
                <w:color w:val="auto"/>
              </w:rPr>
            </w:pPr>
            <w:r>
              <w:rPr>
                <w:color w:val="auto"/>
              </w:rPr>
              <w:t>800</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6</w:t>
            </w:r>
          </w:p>
        </w:tc>
        <w:tc>
          <w:tcPr>
            <w:tcW w:w="1601" w:type="pct"/>
            <w:vAlign w:val="center"/>
          </w:tcPr>
          <w:p>
            <w:pPr>
              <w:pStyle w:val="47"/>
              <w:spacing w:line="240" w:lineRule="auto"/>
              <w:rPr>
                <w:color w:val="auto"/>
              </w:rPr>
            </w:pPr>
            <w:r>
              <w:rPr>
                <w:color w:val="auto"/>
              </w:rPr>
              <w:t>汞</w:t>
            </w:r>
          </w:p>
        </w:tc>
        <w:tc>
          <w:tcPr>
            <w:tcW w:w="1251" w:type="pct"/>
            <w:vAlign w:val="center"/>
          </w:tcPr>
          <w:p>
            <w:pPr>
              <w:pStyle w:val="47"/>
              <w:spacing w:line="240" w:lineRule="auto"/>
              <w:rPr>
                <w:color w:val="auto"/>
              </w:rPr>
            </w:pPr>
            <w:r>
              <w:rPr>
                <w:color w:val="auto"/>
              </w:rPr>
              <w:t>38</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7</w:t>
            </w:r>
          </w:p>
        </w:tc>
        <w:tc>
          <w:tcPr>
            <w:tcW w:w="1601" w:type="pct"/>
            <w:vAlign w:val="center"/>
          </w:tcPr>
          <w:p>
            <w:pPr>
              <w:pStyle w:val="47"/>
              <w:spacing w:line="240" w:lineRule="auto"/>
              <w:rPr>
                <w:color w:val="auto"/>
              </w:rPr>
            </w:pPr>
            <w:r>
              <w:rPr>
                <w:color w:val="auto"/>
              </w:rPr>
              <w:t>镍</w:t>
            </w:r>
          </w:p>
        </w:tc>
        <w:tc>
          <w:tcPr>
            <w:tcW w:w="1251" w:type="pct"/>
            <w:vAlign w:val="center"/>
          </w:tcPr>
          <w:p>
            <w:pPr>
              <w:pStyle w:val="47"/>
              <w:spacing w:line="240" w:lineRule="auto"/>
              <w:rPr>
                <w:color w:val="auto"/>
              </w:rPr>
            </w:pPr>
            <w:r>
              <w:rPr>
                <w:color w:val="auto"/>
              </w:rPr>
              <w:t>900</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4"/>
            <w:vAlign w:val="center"/>
          </w:tcPr>
          <w:p>
            <w:pPr>
              <w:pStyle w:val="47"/>
              <w:spacing w:line="240" w:lineRule="auto"/>
              <w:rPr>
                <w:color w:val="auto"/>
              </w:rPr>
            </w:pPr>
            <w:r>
              <w:rPr>
                <w:color w:val="auto"/>
              </w:rPr>
              <w:t>挥发性有机物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8</w:t>
            </w:r>
          </w:p>
        </w:tc>
        <w:tc>
          <w:tcPr>
            <w:tcW w:w="1601" w:type="pct"/>
            <w:vAlign w:val="center"/>
          </w:tcPr>
          <w:p>
            <w:pPr>
              <w:pStyle w:val="47"/>
              <w:spacing w:line="240" w:lineRule="auto"/>
              <w:rPr>
                <w:color w:val="auto"/>
              </w:rPr>
            </w:pPr>
            <w:r>
              <w:rPr>
                <w:color w:val="auto"/>
              </w:rPr>
              <w:t>四氯化碳</w:t>
            </w:r>
          </w:p>
        </w:tc>
        <w:tc>
          <w:tcPr>
            <w:tcW w:w="1251" w:type="pct"/>
            <w:vAlign w:val="center"/>
          </w:tcPr>
          <w:p>
            <w:pPr>
              <w:pStyle w:val="47"/>
              <w:spacing w:line="240" w:lineRule="auto"/>
              <w:rPr>
                <w:color w:val="auto"/>
              </w:rPr>
            </w:pPr>
            <w:r>
              <w:rPr>
                <w:color w:val="auto"/>
              </w:rPr>
              <w:t>2.8</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9</w:t>
            </w:r>
          </w:p>
        </w:tc>
        <w:tc>
          <w:tcPr>
            <w:tcW w:w="1601" w:type="pct"/>
            <w:vAlign w:val="center"/>
          </w:tcPr>
          <w:p>
            <w:pPr>
              <w:pStyle w:val="47"/>
              <w:spacing w:line="240" w:lineRule="auto"/>
              <w:rPr>
                <w:color w:val="auto"/>
              </w:rPr>
            </w:pPr>
            <w:r>
              <w:rPr>
                <w:color w:val="auto"/>
              </w:rPr>
              <w:t>氯仿</w:t>
            </w:r>
          </w:p>
        </w:tc>
        <w:tc>
          <w:tcPr>
            <w:tcW w:w="1251" w:type="pct"/>
            <w:vAlign w:val="center"/>
          </w:tcPr>
          <w:p>
            <w:pPr>
              <w:pStyle w:val="47"/>
              <w:spacing w:line="240" w:lineRule="auto"/>
              <w:rPr>
                <w:color w:val="auto"/>
              </w:rPr>
            </w:pPr>
            <w:r>
              <w:rPr>
                <w:color w:val="auto"/>
              </w:rPr>
              <w:t>0.9</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10</w:t>
            </w:r>
          </w:p>
        </w:tc>
        <w:tc>
          <w:tcPr>
            <w:tcW w:w="1601" w:type="pct"/>
            <w:vAlign w:val="center"/>
          </w:tcPr>
          <w:p>
            <w:pPr>
              <w:pStyle w:val="47"/>
              <w:spacing w:line="240" w:lineRule="auto"/>
              <w:rPr>
                <w:rFonts w:hint="eastAsia" w:eastAsia="宋体"/>
                <w:color w:val="auto"/>
                <w:lang w:eastAsia="zh-CN"/>
              </w:rPr>
            </w:pPr>
            <w:r>
              <w:rPr>
                <w:color w:val="auto"/>
              </w:rPr>
              <w:t>氯</w:t>
            </w:r>
            <w:r>
              <w:rPr>
                <w:rFonts w:hint="eastAsia"/>
                <w:color w:val="auto"/>
                <w:lang w:val="en-US" w:eastAsia="zh-CN"/>
              </w:rPr>
              <w:t>甲烷</w:t>
            </w:r>
          </w:p>
        </w:tc>
        <w:tc>
          <w:tcPr>
            <w:tcW w:w="1251" w:type="pct"/>
            <w:vAlign w:val="center"/>
          </w:tcPr>
          <w:p>
            <w:pPr>
              <w:pStyle w:val="47"/>
              <w:spacing w:line="240" w:lineRule="auto"/>
              <w:rPr>
                <w:color w:val="auto"/>
              </w:rPr>
            </w:pPr>
            <w:r>
              <w:rPr>
                <w:color w:val="auto"/>
              </w:rPr>
              <w:t>37</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11</w:t>
            </w:r>
          </w:p>
        </w:tc>
        <w:tc>
          <w:tcPr>
            <w:tcW w:w="1601" w:type="pct"/>
            <w:vAlign w:val="center"/>
          </w:tcPr>
          <w:p>
            <w:pPr>
              <w:pStyle w:val="47"/>
              <w:spacing w:line="240" w:lineRule="auto"/>
              <w:rPr>
                <w:color w:val="auto"/>
              </w:rPr>
            </w:pPr>
            <w:r>
              <w:rPr>
                <w:color w:val="auto"/>
              </w:rPr>
              <w:t>1,1-二氯乙烷</w:t>
            </w:r>
          </w:p>
        </w:tc>
        <w:tc>
          <w:tcPr>
            <w:tcW w:w="1251" w:type="pct"/>
            <w:vAlign w:val="center"/>
          </w:tcPr>
          <w:p>
            <w:pPr>
              <w:pStyle w:val="47"/>
              <w:spacing w:line="240" w:lineRule="auto"/>
              <w:rPr>
                <w:color w:val="auto"/>
              </w:rPr>
            </w:pPr>
            <w:r>
              <w:rPr>
                <w:color w:val="auto"/>
              </w:rPr>
              <w:t>9</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12</w:t>
            </w:r>
          </w:p>
        </w:tc>
        <w:tc>
          <w:tcPr>
            <w:tcW w:w="1601" w:type="pct"/>
            <w:vAlign w:val="center"/>
          </w:tcPr>
          <w:p>
            <w:pPr>
              <w:pStyle w:val="47"/>
              <w:spacing w:line="240" w:lineRule="auto"/>
              <w:rPr>
                <w:color w:val="auto"/>
              </w:rPr>
            </w:pPr>
            <w:r>
              <w:rPr>
                <w:color w:val="auto"/>
              </w:rPr>
              <w:t>1,2-二氯乙烷</w:t>
            </w:r>
          </w:p>
        </w:tc>
        <w:tc>
          <w:tcPr>
            <w:tcW w:w="1251" w:type="pct"/>
            <w:vAlign w:val="center"/>
          </w:tcPr>
          <w:p>
            <w:pPr>
              <w:pStyle w:val="47"/>
              <w:spacing w:line="240" w:lineRule="auto"/>
              <w:rPr>
                <w:color w:val="auto"/>
              </w:rPr>
            </w:pPr>
            <w:r>
              <w:rPr>
                <w:color w:val="auto"/>
              </w:rPr>
              <w:t>5</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13</w:t>
            </w:r>
          </w:p>
        </w:tc>
        <w:tc>
          <w:tcPr>
            <w:tcW w:w="1601" w:type="pct"/>
            <w:vAlign w:val="center"/>
          </w:tcPr>
          <w:p>
            <w:pPr>
              <w:pStyle w:val="47"/>
              <w:spacing w:line="240" w:lineRule="auto"/>
              <w:rPr>
                <w:color w:val="auto"/>
              </w:rPr>
            </w:pPr>
            <w:r>
              <w:rPr>
                <w:color w:val="auto"/>
              </w:rPr>
              <w:t>1,1-二氯乙烯</w:t>
            </w:r>
          </w:p>
        </w:tc>
        <w:tc>
          <w:tcPr>
            <w:tcW w:w="1251" w:type="pct"/>
            <w:vAlign w:val="center"/>
          </w:tcPr>
          <w:p>
            <w:pPr>
              <w:pStyle w:val="47"/>
              <w:spacing w:line="240" w:lineRule="auto"/>
              <w:rPr>
                <w:color w:val="auto"/>
              </w:rPr>
            </w:pPr>
            <w:r>
              <w:rPr>
                <w:color w:val="auto"/>
              </w:rPr>
              <w:t>66</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14</w:t>
            </w:r>
          </w:p>
        </w:tc>
        <w:tc>
          <w:tcPr>
            <w:tcW w:w="1601" w:type="pct"/>
            <w:vAlign w:val="center"/>
          </w:tcPr>
          <w:p>
            <w:pPr>
              <w:pStyle w:val="47"/>
              <w:spacing w:line="240" w:lineRule="auto"/>
              <w:rPr>
                <w:color w:val="auto"/>
              </w:rPr>
            </w:pPr>
            <w:r>
              <w:rPr>
                <w:color w:val="auto"/>
              </w:rPr>
              <w:t>顺-1,2-二氯乙烯</w:t>
            </w:r>
          </w:p>
        </w:tc>
        <w:tc>
          <w:tcPr>
            <w:tcW w:w="1251" w:type="pct"/>
            <w:vAlign w:val="center"/>
          </w:tcPr>
          <w:p>
            <w:pPr>
              <w:pStyle w:val="47"/>
              <w:spacing w:line="240" w:lineRule="auto"/>
              <w:rPr>
                <w:color w:val="auto"/>
              </w:rPr>
            </w:pPr>
            <w:r>
              <w:rPr>
                <w:color w:val="auto"/>
              </w:rPr>
              <w:t>596</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15</w:t>
            </w:r>
          </w:p>
        </w:tc>
        <w:tc>
          <w:tcPr>
            <w:tcW w:w="1601" w:type="pct"/>
            <w:vAlign w:val="center"/>
          </w:tcPr>
          <w:p>
            <w:pPr>
              <w:pStyle w:val="47"/>
              <w:spacing w:line="240" w:lineRule="auto"/>
              <w:rPr>
                <w:color w:val="auto"/>
              </w:rPr>
            </w:pPr>
            <w:r>
              <w:rPr>
                <w:color w:val="auto"/>
              </w:rPr>
              <w:t>反-1,2-二氯乙烯</w:t>
            </w:r>
          </w:p>
        </w:tc>
        <w:tc>
          <w:tcPr>
            <w:tcW w:w="1251" w:type="pct"/>
            <w:vAlign w:val="center"/>
          </w:tcPr>
          <w:p>
            <w:pPr>
              <w:pStyle w:val="47"/>
              <w:spacing w:line="240" w:lineRule="auto"/>
              <w:rPr>
                <w:color w:val="auto"/>
              </w:rPr>
            </w:pPr>
            <w:r>
              <w:rPr>
                <w:color w:val="auto"/>
              </w:rPr>
              <w:t>54</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16</w:t>
            </w:r>
          </w:p>
        </w:tc>
        <w:tc>
          <w:tcPr>
            <w:tcW w:w="1601" w:type="pct"/>
            <w:vAlign w:val="center"/>
          </w:tcPr>
          <w:p>
            <w:pPr>
              <w:pStyle w:val="47"/>
              <w:spacing w:line="240" w:lineRule="auto"/>
              <w:rPr>
                <w:rFonts w:hint="eastAsia" w:eastAsia="宋体"/>
                <w:color w:val="auto"/>
                <w:lang w:eastAsia="zh-CN"/>
              </w:rPr>
            </w:pPr>
            <w:r>
              <w:rPr>
                <w:color w:val="auto"/>
              </w:rPr>
              <w:t>二氯</w:t>
            </w:r>
            <w:r>
              <w:rPr>
                <w:rFonts w:hint="eastAsia"/>
                <w:color w:val="auto"/>
                <w:lang w:val="en-US" w:eastAsia="zh-CN"/>
              </w:rPr>
              <w:t>甲烷</w:t>
            </w:r>
          </w:p>
        </w:tc>
        <w:tc>
          <w:tcPr>
            <w:tcW w:w="1251" w:type="pct"/>
            <w:vAlign w:val="center"/>
          </w:tcPr>
          <w:p>
            <w:pPr>
              <w:pStyle w:val="47"/>
              <w:spacing w:line="240" w:lineRule="auto"/>
              <w:rPr>
                <w:color w:val="auto"/>
              </w:rPr>
            </w:pPr>
            <w:r>
              <w:rPr>
                <w:color w:val="auto"/>
              </w:rPr>
              <w:t>616</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17</w:t>
            </w:r>
          </w:p>
        </w:tc>
        <w:tc>
          <w:tcPr>
            <w:tcW w:w="1601" w:type="pct"/>
            <w:vAlign w:val="center"/>
          </w:tcPr>
          <w:p>
            <w:pPr>
              <w:pStyle w:val="47"/>
              <w:spacing w:line="240" w:lineRule="auto"/>
              <w:rPr>
                <w:color w:val="auto"/>
              </w:rPr>
            </w:pPr>
            <w:r>
              <w:rPr>
                <w:color w:val="auto"/>
              </w:rPr>
              <w:t>1,2-二氯丙烷</w:t>
            </w:r>
          </w:p>
        </w:tc>
        <w:tc>
          <w:tcPr>
            <w:tcW w:w="1251" w:type="pct"/>
            <w:vAlign w:val="center"/>
          </w:tcPr>
          <w:p>
            <w:pPr>
              <w:pStyle w:val="47"/>
              <w:spacing w:line="240" w:lineRule="auto"/>
              <w:rPr>
                <w:color w:val="auto"/>
              </w:rPr>
            </w:pPr>
            <w:r>
              <w:rPr>
                <w:color w:val="auto"/>
              </w:rPr>
              <w:t>5</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18</w:t>
            </w:r>
          </w:p>
        </w:tc>
        <w:tc>
          <w:tcPr>
            <w:tcW w:w="1601" w:type="pct"/>
            <w:vAlign w:val="center"/>
          </w:tcPr>
          <w:p>
            <w:pPr>
              <w:pStyle w:val="47"/>
              <w:spacing w:line="240" w:lineRule="auto"/>
              <w:rPr>
                <w:color w:val="auto"/>
              </w:rPr>
            </w:pPr>
            <w:r>
              <w:rPr>
                <w:color w:val="auto"/>
              </w:rPr>
              <w:t>1,1,1,2-四氯乙烷</w:t>
            </w:r>
          </w:p>
        </w:tc>
        <w:tc>
          <w:tcPr>
            <w:tcW w:w="1251" w:type="pct"/>
            <w:vAlign w:val="center"/>
          </w:tcPr>
          <w:p>
            <w:pPr>
              <w:pStyle w:val="47"/>
              <w:spacing w:line="240" w:lineRule="auto"/>
              <w:rPr>
                <w:color w:val="auto"/>
              </w:rPr>
            </w:pPr>
            <w:r>
              <w:rPr>
                <w:color w:val="auto"/>
              </w:rPr>
              <w:t>10</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19</w:t>
            </w:r>
          </w:p>
        </w:tc>
        <w:tc>
          <w:tcPr>
            <w:tcW w:w="1601" w:type="pct"/>
            <w:vAlign w:val="center"/>
          </w:tcPr>
          <w:p>
            <w:pPr>
              <w:pStyle w:val="47"/>
              <w:spacing w:line="240" w:lineRule="auto"/>
              <w:rPr>
                <w:color w:val="auto"/>
              </w:rPr>
            </w:pPr>
            <w:r>
              <w:rPr>
                <w:color w:val="auto"/>
              </w:rPr>
              <w:t>1,1,2,2-四氯乙烷</w:t>
            </w:r>
          </w:p>
        </w:tc>
        <w:tc>
          <w:tcPr>
            <w:tcW w:w="1251" w:type="pct"/>
            <w:vAlign w:val="center"/>
          </w:tcPr>
          <w:p>
            <w:pPr>
              <w:pStyle w:val="47"/>
              <w:spacing w:line="240" w:lineRule="auto"/>
              <w:rPr>
                <w:color w:val="auto"/>
              </w:rPr>
            </w:pPr>
            <w:r>
              <w:rPr>
                <w:color w:val="auto"/>
              </w:rPr>
              <w:t>6.8</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98" w:type="pct"/>
            <w:vAlign w:val="center"/>
          </w:tcPr>
          <w:p>
            <w:pPr>
              <w:pStyle w:val="47"/>
              <w:spacing w:line="240" w:lineRule="auto"/>
              <w:rPr>
                <w:color w:val="auto"/>
              </w:rPr>
            </w:pPr>
            <w:r>
              <w:rPr>
                <w:color w:val="auto"/>
              </w:rPr>
              <w:t>20</w:t>
            </w:r>
          </w:p>
        </w:tc>
        <w:tc>
          <w:tcPr>
            <w:tcW w:w="1601" w:type="pct"/>
            <w:vAlign w:val="center"/>
          </w:tcPr>
          <w:p>
            <w:pPr>
              <w:pStyle w:val="47"/>
              <w:spacing w:line="240" w:lineRule="auto"/>
              <w:rPr>
                <w:color w:val="auto"/>
              </w:rPr>
            </w:pPr>
            <w:r>
              <w:rPr>
                <w:color w:val="auto"/>
              </w:rPr>
              <w:t>四氯乙烯</w:t>
            </w:r>
          </w:p>
        </w:tc>
        <w:tc>
          <w:tcPr>
            <w:tcW w:w="1251" w:type="pct"/>
            <w:vAlign w:val="center"/>
          </w:tcPr>
          <w:p>
            <w:pPr>
              <w:pStyle w:val="47"/>
              <w:spacing w:line="240" w:lineRule="auto"/>
              <w:rPr>
                <w:color w:val="auto"/>
              </w:rPr>
            </w:pPr>
            <w:r>
              <w:rPr>
                <w:color w:val="auto"/>
              </w:rPr>
              <w:t>53</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21</w:t>
            </w:r>
          </w:p>
        </w:tc>
        <w:tc>
          <w:tcPr>
            <w:tcW w:w="1601" w:type="pct"/>
            <w:vAlign w:val="center"/>
          </w:tcPr>
          <w:p>
            <w:pPr>
              <w:pStyle w:val="47"/>
              <w:spacing w:line="240" w:lineRule="auto"/>
              <w:rPr>
                <w:color w:val="auto"/>
              </w:rPr>
            </w:pPr>
            <w:r>
              <w:rPr>
                <w:color w:val="auto"/>
              </w:rPr>
              <w:t>1,1,1-三氯乙烷</w:t>
            </w:r>
          </w:p>
        </w:tc>
        <w:tc>
          <w:tcPr>
            <w:tcW w:w="1251" w:type="pct"/>
            <w:vAlign w:val="center"/>
          </w:tcPr>
          <w:p>
            <w:pPr>
              <w:pStyle w:val="47"/>
              <w:spacing w:line="240" w:lineRule="auto"/>
              <w:rPr>
                <w:color w:val="auto"/>
              </w:rPr>
            </w:pPr>
            <w:r>
              <w:rPr>
                <w:color w:val="auto"/>
              </w:rPr>
              <w:t>840</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22</w:t>
            </w:r>
          </w:p>
        </w:tc>
        <w:tc>
          <w:tcPr>
            <w:tcW w:w="1601" w:type="pct"/>
            <w:vAlign w:val="center"/>
          </w:tcPr>
          <w:p>
            <w:pPr>
              <w:pStyle w:val="47"/>
              <w:spacing w:line="240" w:lineRule="auto"/>
              <w:rPr>
                <w:color w:val="auto"/>
              </w:rPr>
            </w:pPr>
            <w:r>
              <w:rPr>
                <w:color w:val="auto"/>
              </w:rPr>
              <w:t>1,1,2-三氯乙烷</w:t>
            </w:r>
          </w:p>
        </w:tc>
        <w:tc>
          <w:tcPr>
            <w:tcW w:w="1251" w:type="pct"/>
            <w:vAlign w:val="center"/>
          </w:tcPr>
          <w:p>
            <w:pPr>
              <w:pStyle w:val="47"/>
              <w:spacing w:line="240" w:lineRule="auto"/>
              <w:rPr>
                <w:color w:val="auto"/>
              </w:rPr>
            </w:pPr>
            <w:r>
              <w:rPr>
                <w:color w:val="auto"/>
              </w:rPr>
              <w:t>2.8</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23</w:t>
            </w:r>
          </w:p>
        </w:tc>
        <w:tc>
          <w:tcPr>
            <w:tcW w:w="1601" w:type="pct"/>
            <w:vAlign w:val="center"/>
          </w:tcPr>
          <w:p>
            <w:pPr>
              <w:pStyle w:val="47"/>
              <w:spacing w:line="240" w:lineRule="auto"/>
              <w:rPr>
                <w:color w:val="auto"/>
              </w:rPr>
            </w:pPr>
            <w:r>
              <w:rPr>
                <w:color w:val="auto"/>
              </w:rPr>
              <w:t>三氯乙烯</w:t>
            </w:r>
          </w:p>
        </w:tc>
        <w:tc>
          <w:tcPr>
            <w:tcW w:w="1251" w:type="pct"/>
            <w:vAlign w:val="center"/>
          </w:tcPr>
          <w:p>
            <w:pPr>
              <w:pStyle w:val="47"/>
              <w:spacing w:line="240" w:lineRule="auto"/>
              <w:rPr>
                <w:color w:val="auto"/>
              </w:rPr>
            </w:pPr>
            <w:r>
              <w:rPr>
                <w:color w:val="auto"/>
              </w:rPr>
              <w:t>2.8</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24</w:t>
            </w:r>
          </w:p>
        </w:tc>
        <w:tc>
          <w:tcPr>
            <w:tcW w:w="1601" w:type="pct"/>
            <w:vAlign w:val="center"/>
          </w:tcPr>
          <w:p>
            <w:pPr>
              <w:pStyle w:val="47"/>
              <w:spacing w:line="240" w:lineRule="auto"/>
              <w:rPr>
                <w:color w:val="auto"/>
              </w:rPr>
            </w:pPr>
            <w:r>
              <w:rPr>
                <w:color w:val="auto"/>
              </w:rPr>
              <w:t>1,2,3-三氯丙烷</w:t>
            </w:r>
          </w:p>
        </w:tc>
        <w:tc>
          <w:tcPr>
            <w:tcW w:w="1251" w:type="pct"/>
            <w:vAlign w:val="center"/>
          </w:tcPr>
          <w:p>
            <w:pPr>
              <w:pStyle w:val="47"/>
              <w:spacing w:line="240" w:lineRule="auto"/>
              <w:rPr>
                <w:color w:val="auto"/>
              </w:rPr>
            </w:pPr>
            <w:r>
              <w:rPr>
                <w:color w:val="auto"/>
              </w:rPr>
              <w:t>0.5</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25</w:t>
            </w:r>
          </w:p>
        </w:tc>
        <w:tc>
          <w:tcPr>
            <w:tcW w:w="1601" w:type="pct"/>
            <w:vAlign w:val="center"/>
          </w:tcPr>
          <w:p>
            <w:pPr>
              <w:pStyle w:val="47"/>
              <w:spacing w:line="240" w:lineRule="auto"/>
              <w:rPr>
                <w:color w:val="auto"/>
              </w:rPr>
            </w:pPr>
            <w:r>
              <w:rPr>
                <w:color w:val="auto"/>
              </w:rPr>
              <w:t>氯乙烯</w:t>
            </w:r>
          </w:p>
        </w:tc>
        <w:tc>
          <w:tcPr>
            <w:tcW w:w="1251" w:type="pct"/>
            <w:vAlign w:val="center"/>
          </w:tcPr>
          <w:p>
            <w:pPr>
              <w:pStyle w:val="47"/>
              <w:spacing w:line="240" w:lineRule="auto"/>
              <w:rPr>
                <w:color w:val="auto"/>
              </w:rPr>
            </w:pPr>
            <w:r>
              <w:rPr>
                <w:color w:val="auto"/>
              </w:rPr>
              <w:t>0.43</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26</w:t>
            </w:r>
          </w:p>
        </w:tc>
        <w:tc>
          <w:tcPr>
            <w:tcW w:w="1601" w:type="pct"/>
            <w:vAlign w:val="center"/>
          </w:tcPr>
          <w:p>
            <w:pPr>
              <w:pStyle w:val="47"/>
              <w:spacing w:line="240" w:lineRule="auto"/>
              <w:rPr>
                <w:color w:val="auto"/>
              </w:rPr>
            </w:pPr>
            <w:r>
              <w:rPr>
                <w:color w:val="auto"/>
              </w:rPr>
              <w:t>苯</w:t>
            </w:r>
          </w:p>
        </w:tc>
        <w:tc>
          <w:tcPr>
            <w:tcW w:w="1251" w:type="pct"/>
            <w:vAlign w:val="center"/>
          </w:tcPr>
          <w:p>
            <w:pPr>
              <w:pStyle w:val="47"/>
              <w:spacing w:line="240" w:lineRule="auto"/>
              <w:rPr>
                <w:color w:val="auto"/>
              </w:rPr>
            </w:pPr>
            <w:r>
              <w:rPr>
                <w:color w:val="auto"/>
              </w:rPr>
              <w:t>4</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27</w:t>
            </w:r>
          </w:p>
        </w:tc>
        <w:tc>
          <w:tcPr>
            <w:tcW w:w="1601" w:type="pct"/>
            <w:vAlign w:val="center"/>
          </w:tcPr>
          <w:p>
            <w:pPr>
              <w:pStyle w:val="47"/>
              <w:spacing w:line="240" w:lineRule="auto"/>
              <w:rPr>
                <w:color w:val="auto"/>
              </w:rPr>
            </w:pPr>
            <w:r>
              <w:rPr>
                <w:color w:val="auto"/>
              </w:rPr>
              <w:t>氯苯</w:t>
            </w:r>
          </w:p>
        </w:tc>
        <w:tc>
          <w:tcPr>
            <w:tcW w:w="1251" w:type="pct"/>
            <w:vAlign w:val="center"/>
          </w:tcPr>
          <w:p>
            <w:pPr>
              <w:pStyle w:val="47"/>
              <w:spacing w:line="240" w:lineRule="auto"/>
              <w:rPr>
                <w:color w:val="auto"/>
              </w:rPr>
            </w:pPr>
            <w:r>
              <w:rPr>
                <w:color w:val="auto"/>
              </w:rPr>
              <w:t>270</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28</w:t>
            </w:r>
          </w:p>
        </w:tc>
        <w:tc>
          <w:tcPr>
            <w:tcW w:w="1601" w:type="pct"/>
            <w:vAlign w:val="center"/>
          </w:tcPr>
          <w:p>
            <w:pPr>
              <w:pStyle w:val="47"/>
              <w:spacing w:line="240" w:lineRule="auto"/>
              <w:rPr>
                <w:color w:val="auto"/>
              </w:rPr>
            </w:pPr>
            <w:r>
              <w:rPr>
                <w:color w:val="auto"/>
              </w:rPr>
              <w:t>1,2-二氯苯</w:t>
            </w:r>
          </w:p>
        </w:tc>
        <w:tc>
          <w:tcPr>
            <w:tcW w:w="1251" w:type="pct"/>
            <w:vAlign w:val="center"/>
          </w:tcPr>
          <w:p>
            <w:pPr>
              <w:pStyle w:val="47"/>
              <w:spacing w:line="240" w:lineRule="auto"/>
              <w:rPr>
                <w:color w:val="auto"/>
              </w:rPr>
            </w:pPr>
            <w:r>
              <w:rPr>
                <w:color w:val="auto"/>
              </w:rPr>
              <w:t>560</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29</w:t>
            </w:r>
          </w:p>
        </w:tc>
        <w:tc>
          <w:tcPr>
            <w:tcW w:w="1601" w:type="pct"/>
            <w:vAlign w:val="center"/>
          </w:tcPr>
          <w:p>
            <w:pPr>
              <w:pStyle w:val="47"/>
              <w:spacing w:line="240" w:lineRule="auto"/>
              <w:rPr>
                <w:color w:val="auto"/>
              </w:rPr>
            </w:pPr>
            <w:r>
              <w:rPr>
                <w:color w:val="auto"/>
              </w:rPr>
              <w:t>1,4-二氯苯</w:t>
            </w:r>
          </w:p>
        </w:tc>
        <w:tc>
          <w:tcPr>
            <w:tcW w:w="1251" w:type="pct"/>
            <w:vAlign w:val="center"/>
          </w:tcPr>
          <w:p>
            <w:pPr>
              <w:pStyle w:val="47"/>
              <w:spacing w:line="240" w:lineRule="auto"/>
              <w:rPr>
                <w:color w:val="auto"/>
              </w:rPr>
            </w:pPr>
            <w:r>
              <w:rPr>
                <w:color w:val="auto"/>
              </w:rPr>
              <w:t>20</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30</w:t>
            </w:r>
          </w:p>
        </w:tc>
        <w:tc>
          <w:tcPr>
            <w:tcW w:w="1601" w:type="pct"/>
            <w:vAlign w:val="center"/>
          </w:tcPr>
          <w:p>
            <w:pPr>
              <w:pStyle w:val="47"/>
              <w:spacing w:line="240" w:lineRule="auto"/>
              <w:rPr>
                <w:color w:val="auto"/>
              </w:rPr>
            </w:pPr>
            <w:r>
              <w:rPr>
                <w:color w:val="auto"/>
              </w:rPr>
              <w:t>乙苯</w:t>
            </w:r>
          </w:p>
        </w:tc>
        <w:tc>
          <w:tcPr>
            <w:tcW w:w="1251" w:type="pct"/>
            <w:vAlign w:val="center"/>
          </w:tcPr>
          <w:p>
            <w:pPr>
              <w:pStyle w:val="47"/>
              <w:spacing w:line="240" w:lineRule="auto"/>
              <w:rPr>
                <w:color w:val="auto"/>
              </w:rPr>
            </w:pPr>
            <w:r>
              <w:rPr>
                <w:color w:val="auto"/>
              </w:rPr>
              <w:t>28</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31</w:t>
            </w:r>
          </w:p>
        </w:tc>
        <w:tc>
          <w:tcPr>
            <w:tcW w:w="1601" w:type="pct"/>
            <w:vAlign w:val="center"/>
          </w:tcPr>
          <w:p>
            <w:pPr>
              <w:pStyle w:val="47"/>
              <w:spacing w:line="240" w:lineRule="auto"/>
              <w:rPr>
                <w:color w:val="auto"/>
              </w:rPr>
            </w:pPr>
            <w:r>
              <w:rPr>
                <w:color w:val="auto"/>
              </w:rPr>
              <w:t>苯乙烯</w:t>
            </w:r>
          </w:p>
        </w:tc>
        <w:tc>
          <w:tcPr>
            <w:tcW w:w="1251" w:type="pct"/>
            <w:vAlign w:val="center"/>
          </w:tcPr>
          <w:p>
            <w:pPr>
              <w:pStyle w:val="47"/>
              <w:spacing w:line="240" w:lineRule="auto"/>
              <w:rPr>
                <w:color w:val="auto"/>
              </w:rPr>
            </w:pPr>
            <w:r>
              <w:rPr>
                <w:color w:val="auto"/>
              </w:rPr>
              <w:t>1290</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98" w:type="pct"/>
            <w:vAlign w:val="center"/>
          </w:tcPr>
          <w:p>
            <w:pPr>
              <w:pStyle w:val="47"/>
              <w:spacing w:line="240" w:lineRule="auto"/>
              <w:rPr>
                <w:color w:val="auto"/>
              </w:rPr>
            </w:pPr>
            <w:r>
              <w:rPr>
                <w:color w:val="auto"/>
              </w:rPr>
              <w:t>32</w:t>
            </w:r>
          </w:p>
        </w:tc>
        <w:tc>
          <w:tcPr>
            <w:tcW w:w="1601" w:type="pct"/>
            <w:vAlign w:val="center"/>
          </w:tcPr>
          <w:p>
            <w:pPr>
              <w:pStyle w:val="47"/>
              <w:spacing w:line="240" w:lineRule="auto"/>
              <w:rPr>
                <w:color w:val="auto"/>
              </w:rPr>
            </w:pPr>
            <w:r>
              <w:rPr>
                <w:color w:val="auto"/>
              </w:rPr>
              <w:t>甲苯</w:t>
            </w:r>
          </w:p>
        </w:tc>
        <w:tc>
          <w:tcPr>
            <w:tcW w:w="1251" w:type="pct"/>
            <w:vAlign w:val="center"/>
          </w:tcPr>
          <w:p>
            <w:pPr>
              <w:pStyle w:val="47"/>
              <w:spacing w:line="240" w:lineRule="auto"/>
              <w:rPr>
                <w:color w:val="auto"/>
              </w:rPr>
            </w:pPr>
            <w:r>
              <w:rPr>
                <w:color w:val="auto"/>
              </w:rPr>
              <w:t>1200</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33</w:t>
            </w:r>
          </w:p>
        </w:tc>
        <w:tc>
          <w:tcPr>
            <w:tcW w:w="1601" w:type="pct"/>
            <w:vAlign w:val="center"/>
          </w:tcPr>
          <w:p>
            <w:pPr>
              <w:pStyle w:val="47"/>
              <w:spacing w:line="240" w:lineRule="auto"/>
              <w:rPr>
                <w:color w:val="auto"/>
              </w:rPr>
            </w:pPr>
            <w:r>
              <w:rPr>
                <w:color w:val="auto"/>
              </w:rPr>
              <w:t>间二甲苯+对二甲苯</w:t>
            </w:r>
          </w:p>
        </w:tc>
        <w:tc>
          <w:tcPr>
            <w:tcW w:w="1251" w:type="pct"/>
            <w:vAlign w:val="center"/>
          </w:tcPr>
          <w:p>
            <w:pPr>
              <w:pStyle w:val="47"/>
              <w:spacing w:line="240" w:lineRule="auto"/>
              <w:rPr>
                <w:color w:val="auto"/>
              </w:rPr>
            </w:pPr>
            <w:r>
              <w:rPr>
                <w:color w:val="auto"/>
              </w:rPr>
              <w:t>570</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34</w:t>
            </w:r>
          </w:p>
        </w:tc>
        <w:tc>
          <w:tcPr>
            <w:tcW w:w="1601" w:type="pct"/>
            <w:vAlign w:val="center"/>
          </w:tcPr>
          <w:p>
            <w:pPr>
              <w:pStyle w:val="47"/>
              <w:spacing w:line="240" w:lineRule="auto"/>
              <w:rPr>
                <w:color w:val="auto"/>
              </w:rPr>
            </w:pPr>
            <w:r>
              <w:rPr>
                <w:color w:val="auto"/>
              </w:rPr>
              <w:t>邻二甲苯</w:t>
            </w:r>
          </w:p>
        </w:tc>
        <w:tc>
          <w:tcPr>
            <w:tcW w:w="1251" w:type="pct"/>
            <w:vAlign w:val="center"/>
          </w:tcPr>
          <w:p>
            <w:pPr>
              <w:pStyle w:val="47"/>
              <w:spacing w:line="240" w:lineRule="auto"/>
              <w:rPr>
                <w:color w:val="auto"/>
              </w:rPr>
            </w:pPr>
            <w:r>
              <w:rPr>
                <w:color w:val="auto"/>
              </w:rPr>
              <w:t>640</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4"/>
            <w:vAlign w:val="center"/>
          </w:tcPr>
          <w:p>
            <w:pPr>
              <w:pStyle w:val="47"/>
              <w:spacing w:line="240" w:lineRule="auto"/>
              <w:rPr>
                <w:color w:val="auto"/>
              </w:rPr>
            </w:pPr>
            <w:r>
              <w:rPr>
                <w:color w:val="auto"/>
              </w:rPr>
              <w:t>半挥发性有机物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35</w:t>
            </w:r>
          </w:p>
        </w:tc>
        <w:tc>
          <w:tcPr>
            <w:tcW w:w="1601" w:type="pct"/>
            <w:vAlign w:val="center"/>
          </w:tcPr>
          <w:p>
            <w:pPr>
              <w:pStyle w:val="47"/>
              <w:spacing w:line="240" w:lineRule="auto"/>
              <w:rPr>
                <w:color w:val="auto"/>
              </w:rPr>
            </w:pPr>
            <w:r>
              <w:rPr>
                <w:color w:val="auto"/>
              </w:rPr>
              <w:t>硝基苯</w:t>
            </w:r>
          </w:p>
        </w:tc>
        <w:tc>
          <w:tcPr>
            <w:tcW w:w="1251" w:type="pct"/>
            <w:vAlign w:val="center"/>
          </w:tcPr>
          <w:p>
            <w:pPr>
              <w:pStyle w:val="47"/>
              <w:spacing w:line="240" w:lineRule="auto"/>
              <w:rPr>
                <w:color w:val="auto"/>
              </w:rPr>
            </w:pPr>
            <w:r>
              <w:rPr>
                <w:color w:val="auto"/>
              </w:rPr>
              <w:t>76</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36</w:t>
            </w:r>
          </w:p>
        </w:tc>
        <w:tc>
          <w:tcPr>
            <w:tcW w:w="1601" w:type="pct"/>
            <w:vAlign w:val="center"/>
          </w:tcPr>
          <w:p>
            <w:pPr>
              <w:pStyle w:val="47"/>
              <w:spacing w:line="240" w:lineRule="auto"/>
              <w:rPr>
                <w:color w:val="auto"/>
              </w:rPr>
            </w:pPr>
            <w:r>
              <w:rPr>
                <w:color w:val="auto"/>
              </w:rPr>
              <w:t>苯胺</w:t>
            </w:r>
          </w:p>
        </w:tc>
        <w:tc>
          <w:tcPr>
            <w:tcW w:w="1251" w:type="pct"/>
            <w:vAlign w:val="center"/>
          </w:tcPr>
          <w:p>
            <w:pPr>
              <w:pStyle w:val="47"/>
              <w:spacing w:line="240" w:lineRule="auto"/>
              <w:rPr>
                <w:color w:val="auto"/>
              </w:rPr>
            </w:pPr>
            <w:r>
              <w:rPr>
                <w:color w:val="auto"/>
              </w:rPr>
              <w:t>260</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37</w:t>
            </w:r>
          </w:p>
        </w:tc>
        <w:tc>
          <w:tcPr>
            <w:tcW w:w="1601" w:type="pct"/>
            <w:vAlign w:val="center"/>
          </w:tcPr>
          <w:p>
            <w:pPr>
              <w:pStyle w:val="47"/>
              <w:spacing w:line="240" w:lineRule="auto"/>
              <w:rPr>
                <w:color w:val="auto"/>
              </w:rPr>
            </w:pPr>
            <w:r>
              <w:rPr>
                <w:color w:val="auto"/>
              </w:rPr>
              <w:t>2-氯酚</w:t>
            </w:r>
          </w:p>
        </w:tc>
        <w:tc>
          <w:tcPr>
            <w:tcW w:w="1251" w:type="pct"/>
            <w:vAlign w:val="center"/>
          </w:tcPr>
          <w:p>
            <w:pPr>
              <w:pStyle w:val="47"/>
              <w:spacing w:line="240" w:lineRule="auto"/>
              <w:rPr>
                <w:color w:val="auto"/>
              </w:rPr>
            </w:pPr>
            <w:r>
              <w:rPr>
                <w:color w:val="auto"/>
              </w:rPr>
              <w:t>2256</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38</w:t>
            </w:r>
          </w:p>
        </w:tc>
        <w:tc>
          <w:tcPr>
            <w:tcW w:w="1601" w:type="pct"/>
            <w:vAlign w:val="center"/>
          </w:tcPr>
          <w:p>
            <w:pPr>
              <w:pStyle w:val="47"/>
              <w:spacing w:line="240" w:lineRule="auto"/>
              <w:rPr>
                <w:color w:val="auto"/>
              </w:rPr>
            </w:pPr>
            <w:r>
              <w:rPr>
                <w:color w:val="auto"/>
              </w:rPr>
              <w:t>苯并[a]蒽</w:t>
            </w:r>
          </w:p>
        </w:tc>
        <w:tc>
          <w:tcPr>
            <w:tcW w:w="1251" w:type="pct"/>
            <w:vAlign w:val="center"/>
          </w:tcPr>
          <w:p>
            <w:pPr>
              <w:pStyle w:val="47"/>
              <w:spacing w:line="240" w:lineRule="auto"/>
              <w:rPr>
                <w:color w:val="auto"/>
              </w:rPr>
            </w:pPr>
            <w:r>
              <w:rPr>
                <w:color w:val="auto"/>
              </w:rPr>
              <w:t>15</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39</w:t>
            </w:r>
          </w:p>
        </w:tc>
        <w:tc>
          <w:tcPr>
            <w:tcW w:w="1601" w:type="pct"/>
            <w:vAlign w:val="center"/>
          </w:tcPr>
          <w:p>
            <w:pPr>
              <w:pStyle w:val="47"/>
              <w:spacing w:line="240" w:lineRule="auto"/>
              <w:rPr>
                <w:color w:val="auto"/>
              </w:rPr>
            </w:pPr>
            <w:r>
              <w:rPr>
                <w:color w:val="auto"/>
              </w:rPr>
              <w:t>苯并[a]芘</w:t>
            </w:r>
          </w:p>
        </w:tc>
        <w:tc>
          <w:tcPr>
            <w:tcW w:w="1251" w:type="pct"/>
            <w:vAlign w:val="center"/>
          </w:tcPr>
          <w:p>
            <w:pPr>
              <w:pStyle w:val="47"/>
              <w:spacing w:line="240" w:lineRule="auto"/>
              <w:rPr>
                <w:color w:val="auto"/>
              </w:rPr>
            </w:pPr>
            <w:r>
              <w:rPr>
                <w:color w:val="auto"/>
              </w:rPr>
              <w:t>1.5</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40</w:t>
            </w:r>
          </w:p>
        </w:tc>
        <w:tc>
          <w:tcPr>
            <w:tcW w:w="1601" w:type="pct"/>
            <w:vAlign w:val="center"/>
          </w:tcPr>
          <w:p>
            <w:pPr>
              <w:pStyle w:val="47"/>
              <w:spacing w:line="240" w:lineRule="auto"/>
              <w:rPr>
                <w:color w:val="auto"/>
              </w:rPr>
            </w:pPr>
            <w:r>
              <w:rPr>
                <w:color w:val="auto"/>
              </w:rPr>
              <w:t>苯并[b]</w:t>
            </w:r>
            <w:r>
              <w:rPr>
                <w:rFonts w:hint="eastAsia"/>
                <w:color w:val="auto"/>
                <w:lang w:val="en-US" w:eastAsia="zh-CN"/>
              </w:rPr>
              <w:t>荧</w:t>
            </w:r>
            <w:r>
              <w:rPr>
                <w:color w:val="auto"/>
              </w:rPr>
              <w:t>蒽</w:t>
            </w:r>
          </w:p>
        </w:tc>
        <w:tc>
          <w:tcPr>
            <w:tcW w:w="1251" w:type="pct"/>
            <w:vAlign w:val="center"/>
          </w:tcPr>
          <w:p>
            <w:pPr>
              <w:pStyle w:val="47"/>
              <w:spacing w:line="240" w:lineRule="auto"/>
              <w:rPr>
                <w:color w:val="auto"/>
              </w:rPr>
            </w:pPr>
            <w:r>
              <w:rPr>
                <w:color w:val="auto"/>
              </w:rPr>
              <w:t>15</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41</w:t>
            </w:r>
          </w:p>
        </w:tc>
        <w:tc>
          <w:tcPr>
            <w:tcW w:w="1601" w:type="pct"/>
            <w:vAlign w:val="center"/>
          </w:tcPr>
          <w:p>
            <w:pPr>
              <w:pStyle w:val="47"/>
              <w:spacing w:line="240" w:lineRule="auto"/>
              <w:rPr>
                <w:color w:val="auto"/>
              </w:rPr>
            </w:pPr>
            <w:r>
              <w:rPr>
                <w:color w:val="auto"/>
              </w:rPr>
              <w:t>苯并[k]</w:t>
            </w:r>
            <w:r>
              <w:rPr>
                <w:rFonts w:hint="eastAsia"/>
                <w:color w:val="auto"/>
                <w:lang w:val="en-US" w:eastAsia="zh-CN"/>
              </w:rPr>
              <w:t>荧</w:t>
            </w:r>
            <w:r>
              <w:rPr>
                <w:color w:val="auto"/>
              </w:rPr>
              <w:t>蒽</w:t>
            </w:r>
          </w:p>
        </w:tc>
        <w:tc>
          <w:tcPr>
            <w:tcW w:w="1251" w:type="pct"/>
            <w:vAlign w:val="center"/>
          </w:tcPr>
          <w:p>
            <w:pPr>
              <w:pStyle w:val="47"/>
              <w:spacing w:line="240" w:lineRule="auto"/>
              <w:rPr>
                <w:color w:val="auto"/>
              </w:rPr>
            </w:pPr>
            <w:r>
              <w:rPr>
                <w:color w:val="auto"/>
              </w:rPr>
              <w:t>151</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42</w:t>
            </w:r>
          </w:p>
        </w:tc>
        <w:tc>
          <w:tcPr>
            <w:tcW w:w="1601" w:type="pct"/>
            <w:vAlign w:val="center"/>
          </w:tcPr>
          <w:p>
            <w:pPr>
              <w:pStyle w:val="47"/>
              <w:spacing w:line="240" w:lineRule="auto"/>
              <w:rPr>
                <w:color w:val="auto"/>
              </w:rPr>
            </w:pPr>
            <w:r>
              <w:rPr>
                <w:color w:val="auto"/>
              </w:rPr>
              <w:t>䓛</w:t>
            </w:r>
          </w:p>
        </w:tc>
        <w:tc>
          <w:tcPr>
            <w:tcW w:w="1251" w:type="pct"/>
            <w:vAlign w:val="center"/>
          </w:tcPr>
          <w:p>
            <w:pPr>
              <w:pStyle w:val="47"/>
              <w:spacing w:line="240" w:lineRule="auto"/>
              <w:rPr>
                <w:color w:val="auto"/>
              </w:rPr>
            </w:pPr>
            <w:r>
              <w:rPr>
                <w:color w:val="auto"/>
              </w:rPr>
              <w:t>1293</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43</w:t>
            </w:r>
          </w:p>
        </w:tc>
        <w:tc>
          <w:tcPr>
            <w:tcW w:w="1601" w:type="pct"/>
            <w:vAlign w:val="center"/>
          </w:tcPr>
          <w:p>
            <w:pPr>
              <w:pStyle w:val="47"/>
              <w:spacing w:line="240" w:lineRule="auto"/>
              <w:rPr>
                <w:color w:val="auto"/>
              </w:rPr>
            </w:pPr>
            <w:r>
              <w:rPr>
                <w:color w:val="auto"/>
              </w:rPr>
              <w:t>二苯并[a,h]蒽</w:t>
            </w:r>
          </w:p>
        </w:tc>
        <w:tc>
          <w:tcPr>
            <w:tcW w:w="1251" w:type="pct"/>
            <w:vAlign w:val="center"/>
          </w:tcPr>
          <w:p>
            <w:pPr>
              <w:pStyle w:val="47"/>
              <w:spacing w:line="240" w:lineRule="auto"/>
              <w:rPr>
                <w:color w:val="auto"/>
              </w:rPr>
            </w:pPr>
            <w:r>
              <w:rPr>
                <w:color w:val="auto"/>
              </w:rPr>
              <w:t>1.5</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44</w:t>
            </w:r>
          </w:p>
        </w:tc>
        <w:tc>
          <w:tcPr>
            <w:tcW w:w="1601" w:type="pct"/>
            <w:vAlign w:val="center"/>
          </w:tcPr>
          <w:p>
            <w:pPr>
              <w:pStyle w:val="47"/>
              <w:spacing w:line="240" w:lineRule="auto"/>
              <w:rPr>
                <w:color w:val="auto"/>
              </w:rPr>
            </w:pPr>
            <w:r>
              <w:rPr>
                <w:color w:val="auto"/>
              </w:rPr>
              <w:t>茚并[1,2,3-cd]芘</w:t>
            </w:r>
          </w:p>
        </w:tc>
        <w:tc>
          <w:tcPr>
            <w:tcW w:w="1251" w:type="pct"/>
            <w:vAlign w:val="center"/>
          </w:tcPr>
          <w:p>
            <w:pPr>
              <w:pStyle w:val="47"/>
              <w:spacing w:line="240" w:lineRule="auto"/>
              <w:rPr>
                <w:color w:val="auto"/>
              </w:rPr>
            </w:pPr>
            <w:r>
              <w:rPr>
                <w:color w:val="auto"/>
              </w:rPr>
              <w:t>15</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45</w:t>
            </w:r>
          </w:p>
        </w:tc>
        <w:tc>
          <w:tcPr>
            <w:tcW w:w="1601" w:type="pct"/>
            <w:vAlign w:val="center"/>
          </w:tcPr>
          <w:p>
            <w:pPr>
              <w:pStyle w:val="47"/>
              <w:spacing w:line="240" w:lineRule="auto"/>
              <w:rPr>
                <w:color w:val="auto"/>
              </w:rPr>
            </w:pPr>
            <w:r>
              <w:rPr>
                <w:color w:val="auto"/>
              </w:rPr>
              <w:t>萘</w:t>
            </w:r>
          </w:p>
        </w:tc>
        <w:tc>
          <w:tcPr>
            <w:tcW w:w="1251" w:type="pct"/>
            <w:vAlign w:val="center"/>
          </w:tcPr>
          <w:p>
            <w:pPr>
              <w:pStyle w:val="47"/>
              <w:spacing w:line="240" w:lineRule="auto"/>
              <w:rPr>
                <w:color w:val="auto"/>
              </w:rPr>
            </w:pPr>
            <w:r>
              <w:rPr>
                <w:color w:val="auto"/>
              </w:rPr>
              <w:t>70</w:t>
            </w:r>
          </w:p>
        </w:tc>
        <w:tc>
          <w:tcPr>
            <w:tcW w:w="125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vAlign w:val="center"/>
          </w:tcPr>
          <w:p>
            <w:pPr>
              <w:pStyle w:val="47"/>
              <w:spacing w:line="240" w:lineRule="auto"/>
              <w:rPr>
                <w:color w:val="auto"/>
              </w:rPr>
            </w:pPr>
            <w:r>
              <w:rPr>
                <w:color w:val="auto"/>
              </w:rPr>
              <w:t>46</w:t>
            </w:r>
          </w:p>
        </w:tc>
        <w:tc>
          <w:tcPr>
            <w:tcW w:w="1601" w:type="pct"/>
            <w:vAlign w:val="center"/>
          </w:tcPr>
          <w:p>
            <w:pPr>
              <w:pStyle w:val="47"/>
              <w:spacing w:line="240" w:lineRule="auto"/>
              <w:rPr>
                <w:color w:val="auto"/>
              </w:rPr>
            </w:pPr>
            <w:r>
              <w:rPr>
                <w:color w:val="auto"/>
              </w:rPr>
              <w:t>石油烃</w:t>
            </w:r>
            <w:r>
              <w:rPr>
                <w:rFonts w:hint="eastAsia"/>
                <w:color w:val="auto"/>
              </w:rPr>
              <w:t>（C</w:t>
            </w:r>
            <w:r>
              <w:rPr>
                <w:rFonts w:hint="eastAsia"/>
                <w:color w:val="auto"/>
                <w:vertAlign w:val="subscript"/>
              </w:rPr>
              <w:t>10-40</w:t>
            </w:r>
            <w:r>
              <w:rPr>
                <w:rFonts w:hint="eastAsia"/>
                <w:color w:val="auto"/>
              </w:rPr>
              <w:t>）</w:t>
            </w:r>
          </w:p>
        </w:tc>
        <w:tc>
          <w:tcPr>
            <w:tcW w:w="1251" w:type="pct"/>
            <w:vAlign w:val="center"/>
          </w:tcPr>
          <w:p>
            <w:pPr>
              <w:pStyle w:val="47"/>
              <w:spacing w:line="240" w:lineRule="auto"/>
              <w:rPr>
                <w:color w:val="auto"/>
              </w:rPr>
            </w:pPr>
            <w:r>
              <w:rPr>
                <w:color w:val="auto"/>
              </w:rPr>
              <w:t>4500</w:t>
            </w:r>
          </w:p>
        </w:tc>
        <w:tc>
          <w:tcPr>
            <w:tcW w:w="1250" w:type="pct"/>
            <w:vAlign w:val="center"/>
          </w:tcPr>
          <w:p>
            <w:pPr>
              <w:pStyle w:val="47"/>
              <w:spacing w:line="240" w:lineRule="auto"/>
              <w:rPr>
                <w:color w:val="auto"/>
              </w:rPr>
            </w:pPr>
            <w:r>
              <w:rPr>
                <w:color w:val="auto"/>
              </w:rPr>
              <w:t>---</w:t>
            </w:r>
          </w:p>
        </w:tc>
      </w:tr>
    </w:tbl>
    <w:p>
      <w:pPr>
        <w:pStyle w:val="48"/>
        <w:rPr>
          <w:color w:val="auto"/>
        </w:rPr>
      </w:pPr>
      <w:r>
        <w:rPr>
          <w:color w:val="auto"/>
        </w:rPr>
        <w:t>表1.</w:t>
      </w:r>
      <w:r>
        <w:rPr>
          <w:rFonts w:hint="eastAsia"/>
          <w:color w:val="auto"/>
          <w:lang w:val="en-US" w:eastAsia="zh-CN"/>
        </w:rPr>
        <w:t>6</w:t>
      </w:r>
      <w:r>
        <w:rPr>
          <w:color w:val="auto"/>
        </w:rPr>
        <w:t>-6 《土壤环境质量农用地土壤污染风险管控标准》单位：mg/kg</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67"/>
        <w:gridCol w:w="698"/>
        <w:gridCol w:w="1057"/>
        <w:gridCol w:w="1332"/>
        <w:gridCol w:w="2001"/>
        <w:gridCol w:w="2001"/>
        <w:gridCol w:w="133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restart"/>
            <w:vAlign w:val="center"/>
          </w:tcPr>
          <w:p>
            <w:pPr>
              <w:pStyle w:val="48"/>
              <w:spacing w:line="240" w:lineRule="auto"/>
              <w:rPr>
                <w:rFonts w:eastAsia="宋体"/>
                <w:b/>
                <w:color w:val="auto"/>
                <w:szCs w:val="21"/>
              </w:rPr>
            </w:pPr>
            <w:r>
              <w:rPr>
                <w:rFonts w:eastAsia="宋体"/>
                <w:b/>
                <w:color w:val="auto"/>
                <w:szCs w:val="21"/>
              </w:rPr>
              <w:t>序号</w:t>
            </w:r>
          </w:p>
        </w:tc>
        <w:tc>
          <w:tcPr>
            <w:tcW w:w="945" w:type="pct"/>
            <w:gridSpan w:val="2"/>
            <w:vMerge w:val="restart"/>
            <w:vAlign w:val="center"/>
          </w:tcPr>
          <w:p>
            <w:pPr>
              <w:pStyle w:val="48"/>
              <w:spacing w:line="240" w:lineRule="auto"/>
              <w:rPr>
                <w:rFonts w:eastAsia="宋体"/>
                <w:b/>
                <w:color w:val="auto"/>
                <w:szCs w:val="21"/>
              </w:rPr>
            </w:pPr>
            <w:r>
              <w:rPr>
                <w:rFonts w:eastAsia="宋体"/>
                <w:b/>
                <w:color w:val="auto"/>
                <w:szCs w:val="21"/>
              </w:rPr>
              <w:t>污染物项目</w:t>
            </w:r>
          </w:p>
        </w:tc>
        <w:tc>
          <w:tcPr>
            <w:tcW w:w="3588" w:type="pct"/>
            <w:gridSpan w:val="4"/>
            <w:vAlign w:val="center"/>
          </w:tcPr>
          <w:p>
            <w:pPr>
              <w:pStyle w:val="48"/>
              <w:spacing w:line="240" w:lineRule="auto"/>
              <w:rPr>
                <w:rFonts w:eastAsia="宋体"/>
                <w:b/>
                <w:color w:val="auto"/>
                <w:szCs w:val="21"/>
              </w:rPr>
            </w:pPr>
            <w:r>
              <w:rPr>
                <w:rFonts w:eastAsia="宋体"/>
                <w:b/>
                <w:color w:val="auto"/>
                <w:szCs w:val="21"/>
              </w:rPr>
              <w:t>风险筛选值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continue"/>
            <w:vAlign w:val="center"/>
          </w:tcPr>
          <w:p>
            <w:pPr>
              <w:pStyle w:val="48"/>
              <w:spacing w:line="240" w:lineRule="auto"/>
              <w:rPr>
                <w:rFonts w:eastAsia="宋体"/>
                <w:b/>
                <w:color w:val="auto"/>
                <w:szCs w:val="21"/>
              </w:rPr>
            </w:pPr>
          </w:p>
        </w:tc>
        <w:tc>
          <w:tcPr>
            <w:tcW w:w="945" w:type="pct"/>
            <w:gridSpan w:val="2"/>
            <w:vMerge w:val="continue"/>
            <w:vAlign w:val="center"/>
          </w:tcPr>
          <w:p>
            <w:pPr>
              <w:pStyle w:val="48"/>
              <w:spacing w:line="240" w:lineRule="auto"/>
              <w:rPr>
                <w:rFonts w:eastAsia="宋体"/>
                <w:b/>
                <w:color w:val="auto"/>
                <w:szCs w:val="21"/>
              </w:rPr>
            </w:pPr>
          </w:p>
        </w:tc>
        <w:tc>
          <w:tcPr>
            <w:tcW w:w="717" w:type="pct"/>
            <w:vAlign w:val="center"/>
          </w:tcPr>
          <w:p>
            <w:pPr>
              <w:pStyle w:val="48"/>
              <w:spacing w:line="240" w:lineRule="auto"/>
              <w:rPr>
                <w:rFonts w:eastAsia="宋体"/>
                <w:b/>
                <w:color w:val="auto"/>
                <w:szCs w:val="21"/>
              </w:rPr>
            </w:pPr>
            <w:r>
              <w:rPr>
                <w:rFonts w:eastAsia="宋体"/>
                <w:b/>
                <w:color w:val="auto"/>
                <w:szCs w:val="21"/>
              </w:rPr>
              <w:t>pH≤5.5</w:t>
            </w:r>
          </w:p>
        </w:tc>
        <w:tc>
          <w:tcPr>
            <w:tcW w:w="1077" w:type="pct"/>
            <w:vAlign w:val="center"/>
          </w:tcPr>
          <w:p>
            <w:pPr>
              <w:pStyle w:val="48"/>
              <w:spacing w:line="240" w:lineRule="auto"/>
              <w:rPr>
                <w:rFonts w:eastAsia="宋体"/>
                <w:b/>
                <w:color w:val="auto"/>
                <w:szCs w:val="21"/>
              </w:rPr>
            </w:pPr>
            <w:r>
              <w:rPr>
                <w:rFonts w:eastAsia="宋体"/>
                <w:b/>
                <w:color w:val="auto"/>
                <w:szCs w:val="21"/>
              </w:rPr>
              <w:t>5.5＜pH≤6.5</w:t>
            </w:r>
          </w:p>
        </w:tc>
        <w:tc>
          <w:tcPr>
            <w:tcW w:w="1077" w:type="pct"/>
            <w:vAlign w:val="center"/>
          </w:tcPr>
          <w:p>
            <w:pPr>
              <w:pStyle w:val="48"/>
              <w:spacing w:line="240" w:lineRule="auto"/>
              <w:rPr>
                <w:rFonts w:eastAsia="宋体"/>
                <w:b/>
                <w:color w:val="auto"/>
                <w:szCs w:val="21"/>
              </w:rPr>
            </w:pPr>
            <w:r>
              <w:rPr>
                <w:rFonts w:eastAsia="宋体"/>
                <w:b/>
                <w:color w:val="auto"/>
                <w:szCs w:val="21"/>
              </w:rPr>
              <w:t>6.5＜pH≤7.5</w:t>
            </w:r>
          </w:p>
        </w:tc>
        <w:tc>
          <w:tcPr>
            <w:tcW w:w="717" w:type="pct"/>
            <w:vAlign w:val="center"/>
          </w:tcPr>
          <w:p>
            <w:pPr>
              <w:pStyle w:val="48"/>
              <w:spacing w:line="240" w:lineRule="auto"/>
              <w:rPr>
                <w:rFonts w:eastAsia="宋体"/>
                <w:b/>
                <w:color w:val="auto"/>
                <w:szCs w:val="21"/>
              </w:rPr>
            </w:pPr>
            <w:r>
              <w:rPr>
                <w:rFonts w:eastAsia="宋体"/>
                <w:b/>
                <w:color w:val="auto"/>
                <w:szCs w:val="21"/>
              </w:rPr>
              <w:t>pH＞7.5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restart"/>
            <w:vAlign w:val="center"/>
          </w:tcPr>
          <w:p>
            <w:pPr>
              <w:pStyle w:val="48"/>
              <w:spacing w:line="240" w:lineRule="auto"/>
              <w:rPr>
                <w:rFonts w:eastAsia="宋体"/>
                <w:color w:val="auto"/>
                <w:szCs w:val="21"/>
              </w:rPr>
            </w:pPr>
            <w:r>
              <w:rPr>
                <w:rFonts w:eastAsia="宋体"/>
                <w:color w:val="auto"/>
                <w:szCs w:val="21"/>
              </w:rPr>
              <w:t>1</w:t>
            </w:r>
          </w:p>
        </w:tc>
        <w:tc>
          <w:tcPr>
            <w:tcW w:w="376" w:type="pct"/>
            <w:vMerge w:val="restart"/>
            <w:vAlign w:val="center"/>
          </w:tcPr>
          <w:p>
            <w:pPr>
              <w:pStyle w:val="48"/>
              <w:spacing w:line="240" w:lineRule="auto"/>
              <w:rPr>
                <w:rFonts w:eastAsia="宋体"/>
                <w:color w:val="auto"/>
                <w:szCs w:val="21"/>
              </w:rPr>
            </w:pPr>
            <w:r>
              <w:rPr>
                <w:rFonts w:eastAsia="宋体"/>
                <w:color w:val="auto"/>
                <w:szCs w:val="21"/>
              </w:rPr>
              <w:t>镉</w:t>
            </w:r>
          </w:p>
        </w:tc>
        <w:tc>
          <w:tcPr>
            <w:tcW w:w="569" w:type="pct"/>
            <w:vAlign w:val="center"/>
          </w:tcPr>
          <w:p>
            <w:pPr>
              <w:pStyle w:val="48"/>
              <w:spacing w:line="240" w:lineRule="auto"/>
              <w:rPr>
                <w:rFonts w:eastAsia="宋体"/>
                <w:color w:val="auto"/>
                <w:szCs w:val="21"/>
              </w:rPr>
            </w:pPr>
            <w:r>
              <w:rPr>
                <w:rFonts w:eastAsia="宋体"/>
                <w:color w:val="auto"/>
                <w:szCs w:val="21"/>
              </w:rPr>
              <w:t>水田</w:t>
            </w:r>
          </w:p>
        </w:tc>
        <w:tc>
          <w:tcPr>
            <w:tcW w:w="717" w:type="pct"/>
            <w:vAlign w:val="center"/>
          </w:tcPr>
          <w:p>
            <w:pPr>
              <w:pStyle w:val="48"/>
              <w:spacing w:line="240" w:lineRule="auto"/>
              <w:rPr>
                <w:rFonts w:eastAsia="宋体"/>
                <w:color w:val="auto"/>
                <w:szCs w:val="21"/>
              </w:rPr>
            </w:pPr>
            <w:r>
              <w:rPr>
                <w:rFonts w:eastAsia="宋体"/>
                <w:color w:val="auto"/>
                <w:szCs w:val="21"/>
              </w:rPr>
              <w:t>0.3</w:t>
            </w:r>
          </w:p>
        </w:tc>
        <w:tc>
          <w:tcPr>
            <w:tcW w:w="1077" w:type="pct"/>
            <w:vAlign w:val="center"/>
          </w:tcPr>
          <w:p>
            <w:pPr>
              <w:pStyle w:val="48"/>
              <w:spacing w:line="240" w:lineRule="auto"/>
              <w:rPr>
                <w:rFonts w:eastAsia="宋体"/>
                <w:color w:val="auto"/>
                <w:szCs w:val="21"/>
              </w:rPr>
            </w:pPr>
            <w:r>
              <w:rPr>
                <w:rFonts w:eastAsia="宋体"/>
                <w:color w:val="auto"/>
                <w:szCs w:val="21"/>
              </w:rPr>
              <w:t>0.4</w:t>
            </w:r>
          </w:p>
        </w:tc>
        <w:tc>
          <w:tcPr>
            <w:tcW w:w="1077" w:type="pct"/>
            <w:vAlign w:val="center"/>
          </w:tcPr>
          <w:p>
            <w:pPr>
              <w:pStyle w:val="48"/>
              <w:spacing w:line="240" w:lineRule="auto"/>
              <w:rPr>
                <w:rFonts w:eastAsia="宋体"/>
                <w:color w:val="auto"/>
                <w:szCs w:val="21"/>
              </w:rPr>
            </w:pPr>
            <w:r>
              <w:rPr>
                <w:rFonts w:eastAsia="宋体"/>
                <w:color w:val="auto"/>
                <w:szCs w:val="21"/>
              </w:rPr>
              <w:t>0.6</w:t>
            </w:r>
          </w:p>
        </w:tc>
        <w:tc>
          <w:tcPr>
            <w:tcW w:w="717" w:type="pct"/>
            <w:vAlign w:val="center"/>
          </w:tcPr>
          <w:p>
            <w:pPr>
              <w:pStyle w:val="48"/>
              <w:spacing w:line="240" w:lineRule="auto"/>
              <w:rPr>
                <w:rFonts w:eastAsia="宋体"/>
                <w:color w:val="auto"/>
                <w:szCs w:val="21"/>
              </w:rPr>
            </w:pPr>
            <w:r>
              <w:rPr>
                <w:rFonts w:eastAsia="宋体"/>
                <w:color w:val="auto"/>
                <w:szCs w:val="21"/>
              </w:rPr>
              <w:t>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continue"/>
            <w:vAlign w:val="center"/>
          </w:tcPr>
          <w:p>
            <w:pPr>
              <w:pStyle w:val="48"/>
              <w:spacing w:line="240" w:lineRule="auto"/>
              <w:rPr>
                <w:rFonts w:eastAsia="宋体"/>
                <w:color w:val="auto"/>
                <w:szCs w:val="21"/>
              </w:rPr>
            </w:pPr>
          </w:p>
        </w:tc>
        <w:tc>
          <w:tcPr>
            <w:tcW w:w="376" w:type="pct"/>
            <w:vMerge w:val="continue"/>
            <w:vAlign w:val="center"/>
          </w:tcPr>
          <w:p>
            <w:pPr>
              <w:pStyle w:val="48"/>
              <w:spacing w:line="240" w:lineRule="auto"/>
              <w:rPr>
                <w:rFonts w:eastAsia="宋体"/>
                <w:color w:val="auto"/>
                <w:szCs w:val="21"/>
              </w:rPr>
            </w:pPr>
          </w:p>
        </w:tc>
        <w:tc>
          <w:tcPr>
            <w:tcW w:w="569" w:type="pct"/>
            <w:vAlign w:val="center"/>
          </w:tcPr>
          <w:p>
            <w:pPr>
              <w:pStyle w:val="48"/>
              <w:spacing w:line="240" w:lineRule="auto"/>
              <w:rPr>
                <w:rFonts w:eastAsia="宋体"/>
                <w:color w:val="auto"/>
                <w:szCs w:val="21"/>
              </w:rPr>
            </w:pPr>
            <w:r>
              <w:rPr>
                <w:rFonts w:eastAsia="宋体"/>
                <w:color w:val="auto"/>
                <w:szCs w:val="21"/>
              </w:rPr>
              <w:t>其他</w:t>
            </w:r>
          </w:p>
        </w:tc>
        <w:tc>
          <w:tcPr>
            <w:tcW w:w="717" w:type="pct"/>
            <w:vAlign w:val="center"/>
          </w:tcPr>
          <w:p>
            <w:pPr>
              <w:pStyle w:val="48"/>
              <w:spacing w:line="240" w:lineRule="auto"/>
              <w:rPr>
                <w:rFonts w:eastAsia="宋体"/>
                <w:color w:val="auto"/>
                <w:szCs w:val="21"/>
              </w:rPr>
            </w:pPr>
            <w:r>
              <w:rPr>
                <w:rFonts w:eastAsia="宋体"/>
                <w:color w:val="auto"/>
                <w:szCs w:val="21"/>
              </w:rPr>
              <w:t>0.3</w:t>
            </w:r>
          </w:p>
        </w:tc>
        <w:tc>
          <w:tcPr>
            <w:tcW w:w="1077" w:type="pct"/>
            <w:vAlign w:val="center"/>
          </w:tcPr>
          <w:p>
            <w:pPr>
              <w:pStyle w:val="48"/>
              <w:spacing w:line="240" w:lineRule="auto"/>
              <w:rPr>
                <w:rFonts w:eastAsia="宋体"/>
                <w:color w:val="auto"/>
                <w:szCs w:val="21"/>
              </w:rPr>
            </w:pPr>
            <w:r>
              <w:rPr>
                <w:rFonts w:eastAsia="宋体"/>
                <w:color w:val="auto"/>
                <w:szCs w:val="21"/>
              </w:rPr>
              <w:t>0.3</w:t>
            </w:r>
          </w:p>
        </w:tc>
        <w:tc>
          <w:tcPr>
            <w:tcW w:w="1077" w:type="pct"/>
            <w:vAlign w:val="center"/>
          </w:tcPr>
          <w:p>
            <w:pPr>
              <w:pStyle w:val="48"/>
              <w:spacing w:line="240" w:lineRule="auto"/>
              <w:rPr>
                <w:rFonts w:eastAsia="宋体"/>
                <w:color w:val="auto"/>
                <w:szCs w:val="21"/>
              </w:rPr>
            </w:pPr>
            <w:r>
              <w:rPr>
                <w:rFonts w:eastAsia="宋体"/>
                <w:color w:val="auto"/>
                <w:szCs w:val="21"/>
              </w:rPr>
              <w:t>0.3</w:t>
            </w:r>
          </w:p>
        </w:tc>
        <w:tc>
          <w:tcPr>
            <w:tcW w:w="717" w:type="pct"/>
            <w:vAlign w:val="center"/>
          </w:tcPr>
          <w:p>
            <w:pPr>
              <w:pStyle w:val="48"/>
              <w:spacing w:line="240" w:lineRule="auto"/>
              <w:rPr>
                <w:rFonts w:eastAsia="宋体"/>
                <w:color w:val="auto"/>
                <w:szCs w:val="21"/>
              </w:rPr>
            </w:pPr>
            <w:r>
              <w:rPr>
                <w:rFonts w:eastAsia="宋体"/>
                <w:color w:val="auto"/>
                <w:szCs w:val="21"/>
              </w:rPr>
              <w:t>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restart"/>
            <w:vAlign w:val="center"/>
          </w:tcPr>
          <w:p>
            <w:pPr>
              <w:pStyle w:val="48"/>
              <w:spacing w:line="240" w:lineRule="auto"/>
              <w:rPr>
                <w:rFonts w:eastAsia="宋体"/>
                <w:color w:val="auto"/>
                <w:szCs w:val="21"/>
              </w:rPr>
            </w:pPr>
            <w:r>
              <w:rPr>
                <w:rFonts w:eastAsia="宋体"/>
                <w:color w:val="auto"/>
                <w:szCs w:val="21"/>
              </w:rPr>
              <w:t>2</w:t>
            </w:r>
          </w:p>
        </w:tc>
        <w:tc>
          <w:tcPr>
            <w:tcW w:w="376" w:type="pct"/>
            <w:vMerge w:val="restart"/>
            <w:vAlign w:val="center"/>
          </w:tcPr>
          <w:p>
            <w:pPr>
              <w:pStyle w:val="48"/>
              <w:spacing w:line="240" w:lineRule="auto"/>
              <w:rPr>
                <w:rFonts w:eastAsia="宋体"/>
                <w:color w:val="auto"/>
                <w:szCs w:val="21"/>
              </w:rPr>
            </w:pPr>
            <w:r>
              <w:rPr>
                <w:rFonts w:eastAsia="宋体"/>
                <w:color w:val="auto"/>
                <w:szCs w:val="21"/>
              </w:rPr>
              <w:t>汞</w:t>
            </w:r>
          </w:p>
        </w:tc>
        <w:tc>
          <w:tcPr>
            <w:tcW w:w="569" w:type="pct"/>
            <w:vAlign w:val="center"/>
          </w:tcPr>
          <w:p>
            <w:pPr>
              <w:pStyle w:val="48"/>
              <w:spacing w:line="240" w:lineRule="auto"/>
              <w:rPr>
                <w:rFonts w:eastAsia="宋体"/>
                <w:color w:val="auto"/>
                <w:szCs w:val="21"/>
              </w:rPr>
            </w:pPr>
            <w:r>
              <w:rPr>
                <w:rFonts w:eastAsia="宋体"/>
                <w:color w:val="auto"/>
                <w:szCs w:val="21"/>
              </w:rPr>
              <w:t>水田</w:t>
            </w:r>
          </w:p>
        </w:tc>
        <w:tc>
          <w:tcPr>
            <w:tcW w:w="717" w:type="pct"/>
            <w:vAlign w:val="center"/>
          </w:tcPr>
          <w:p>
            <w:pPr>
              <w:pStyle w:val="48"/>
              <w:spacing w:line="240" w:lineRule="auto"/>
              <w:rPr>
                <w:rFonts w:eastAsia="宋体"/>
                <w:color w:val="auto"/>
                <w:szCs w:val="21"/>
              </w:rPr>
            </w:pPr>
            <w:r>
              <w:rPr>
                <w:rFonts w:eastAsia="宋体"/>
                <w:color w:val="auto"/>
                <w:szCs w:val="21"/>
              </w:rPr>
              <w:t>0.5</w:t>
            </w:r>
          </w:p>
        </w:tc>
        <w:tc>
          <w:tcPr>
            <w:tcW w:w="1077" w:type="pct"/>
            <w:vAlign w:val="center"/>
          </w:tcPr>
          <w:p>
            <w:pPr>
              <w:pStyle w:val="48"/>
              <w:spacing w:line="240" w:lineRule="auto"/>
              <w:rPr>
                <w:rFonts w:eastAsia="宋体"/>
                <w:color w:val="auto"/>
                <w:szCs w:val="21"/>
              </w:rPr>
            </w:pPr>
            <w:r>
              <w:rPr>
                <w:rFonts w:eastAsia="宋体"/>
                <w:color w:val="auto"/>
                <w:szCs w:val="21"/>
              </w:rPr>
              <w:t>0.5</w:t>
            </w:r>
          </w:p>
        </w:tc>
        <w:tc>
          <w:tcPr>
            <w:tcW w:w="1077" w:type="pct"/>
            <w:vAlign w:val="center"/>
          </w:tcPr>
          <w:p>
            <w:pPr>
              <w:pStyle w:val="48"/>
              <w:spacing w:line="240" w:lineRule="auto"/>
              <w:rPr>
                <w:rFonts w:eastAsia="宋体"/>
                <w:color w:val="auto"/>
                <w:szCs w:val="21"/>
              </w:rPr>
            </w:pPr>
            <w:r>
              <w:rPr>
                <w:rFonts w:eastAsia="宋体"/>
                <w:color w:val="auto"/>
                <w:szCs w:val="21"/>
              </w:rPr>
              <w:t>0.6</w:t>
            </w:r>
          </w:p>
        </w:tc>
        <w:tc>
          <w:tcPr>
            <w:tcW w:w="717" w:type="pct"/>
            <w:vAlign w:val="center"/>
          </w:tcPr>
          <w:p>
            <w:pPr>
              <w:pStyle w:val="48"/>
              <w:spacing w:line="240" w:lineRule="auto"/>
              <w:rPr>
                <w:rFonts w:eastAsia="宋体"/>
                <w:color w:val="auto"/>
                <w:szCs w:val="21"/>
              </w:rPr>
            </w:pPr>
            <w:r>
              <w:rPr>
                <w:rFonts w:eastAsia="宋体"/>
                <w:color w:val="auto"/>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continue"/>
            <w:vAlign w:val="center"/>
          </w:tcPr>
          <w:p>
            <w:pPr>
              <w:pStyle w:val="48"/>
              <w:spacing w:line="240" w:lineRule="auto"/>
              <w:rPr>
                <w:rFonts w:eastAsia="宋体"/>
                <w:color w:val="auto"/>
                <w:szCs w:val="21"/>
              </w:rPr>
            </w:pPr>
          </w:p>
        </w:tc>
        <w:tc>
          <w:tcPr>
            <w:tcW w:w="376" w:type="pct"/>
            <w:vMerge w:val="continue"/>
            <w:vAlign w:val="center"/>
          </w:tcPr>
          <w:p>
            <w:pPr>
              <w:pStyle w:val="48"/>
              <w:spacing w:line="240" w:lineRule="auto"/>
              <w:rPr>
                <w:rFonts w:eastAsia="宋体"/>
                <w:color w:val="auto"/>
                <w:szCs w:val="21"/>
              </w:rPr>
            </w:pPr>
          </w:p>
        </w:tc>
        <w:tc>
          <w:tcPr>
            <w:tcW w:w="569" w:type="pct"/>
            <w:vAlign w:val="center"/>
          </w:tcPr>
          <w:p>
            <w:pPr>
              <w:pStyle w:val="48"/>
              <w:spacing w:line="240" w:lineRule="auto"/>
              <w:rPr>
                <w:rFonts w:eastAsia="宋体"/>
                <w:color w:val="auto"/>
                <w:szCs w:val="21"/>
              </w:rPr>
            </w:pPr>
            <w:r>
              <w:rPr>
                <w:rFonts w:eastAsia="宋体"/>
                <w:color w:val="auto"/>
                <w:szCs w:val="21"/>
              </w:rPr>
              <w:t>其他</w:t>
            </w:r>
          </w:p>
        </w:tc>
        <w:tc>
          <w:tcPr>
            <w:tcW w:w="717" w:type="pct"/>
            <w:vAlign w:val="center"/>
          </w:tcPr>
          <w:p>
            <w:pPr>
              <w:pStyle w:val="48"/>
              <w:spacing w:line="240" w:lineRule="auto"/>
              <w:rPr>
                <w:rFonts w:eastAsia="宋体"/>
                <w:color w:val="auto"/>
                <w:szCs w:val="21"/>
              </w:rPr>
            </w:pPr>
            <w:r>
              <w:rPr>
                <w:rFonts w:eastAsia="宋体"/>
                <w:color w:val="auto"/>
                <w:szCs w:val="21"/>
              </w:rPr>
              <w:t>1.3</w:t>
            </w:r>
          </w:p>
        </w:tc>
        <w:tc>
          <w:tcPr>
            <w:tcW w:w="1077" w:type="pct"/>
            <w:vAlign w:val="center"/>
          </w:tcPr>
          <w:p>
            <w:pPr>
              <w:pStyle w:val="48"/>
              <w:spacing w:line="240" w:lineRule="auto"/>
              <w:rPr>
                <w:rFonts w:eastAsia="宋体"/>
                <w:color w:val="auto"/>
                <w:szCs w:val="21"/>
              </w:rPr>
            </w:pPr>
            <w:r>
              <w:rPr>
                <w:rFonts w:eastAsia="宋体"/>
                <w:color w:val="auto"/>
                <w:szCs w:val="21"/>
              </w:rPr>
              <w:t>1.8</w:t>
            </w:r>
          </w:p>
        </w:tc>
        <w:tc>
          <w:tcPr>
            <w:tcW w:w="1077" w:type="pct"/>
            <w:vAlign w:val="center"/>
          </w:tcPr>
          <w:p>
            <w:pPr>
              <w:pStyle w:val="48"/>
              <w:spacing w:line="240" w:lineRule="auto"/>
              <w:rPr>
                <w:rFonts w:eastAsia="宋体"/>
                <w:color w:val="auto"/>
                <w:szCs w:val="21"/>
              </w:rPr>
            </w:pPr>
            <w:r>
              <w:rPr>
                <w:rFonts w:eastAsia="宋体"/>
                <w:color w:val="auto"/>
                <w:szCs w:val="21"/>
              </w:rPr>
              <w:t>2.4</w:t>
            </w:r>
          </w:p>
        </w:tc>
        <w:tc>
          <w:tcPr>
            <w:tcW w:w="717" w:type="pct"/>
            <w:vAlign w:val="center"/>
          </w:tcPr>
          <w:p>
            <w:pPr>
              <w:pStyle w:val="48"/>
              <w:spacing w:line="240" w:lineRule="auto"/>
              <w:rPr>
                <w:rFonts w:eastAsia="宋体"/>
                <w:color w:val="auto"/>
                <w:szCs w:val="21"/>
              </w:rPr>
            </w:pPr>
            <w:r>
              <w:rPr>
                <w:rFonts w:eastAsia="宋体"/>
                <w:color w:val="auto"/>
                <w:szCs w:val="21"/>
              </w:rPr>
              <w:t>3.4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restart"/>
            <w:vAlign w:val="center"/>
          </w:tcPr>
          <w:p>
            <w:pPr>
              <w:pStyle w:val="48"/>
              <w:spacing w:line="240" w:lineRule="auto"/>
              <w:rPr>
                <w:rFonts w:eastAsia="宋体"/>
                <w:color w:val="auto"/>
                <w:szCs w:val="21"/>
              </w:rPr>
            </w:pPr>
            <w:r>
              <w:rPr>
                <w:rFonts w:eastAsia="宋体"/>
                <w:color w:val="auto"/>
                <w:szCs w:val="21"/>
              </w:rPr>
              <w:t>3</w:t>
            </w:r>
          </w:p>
        </w:tc>
        <w:tc>
          <w:tcPr>
            <w:tcW w:w="376" w:type="pct"/>
            <w:vMerge w:val="restart"/>
            <w:vAlign w:val="center"/>
          </w:tcPr>
          <w:p>
            <w:pPr>
              <w:pStyle w:val="48"/>
              <w:spacing w:line="240" w:lineRule="auto"/>
              <w:rPr>
                <w:rFonts w:eastAsia="宋体"/>
                <w:color w:val="auto"/>
                <w:szCs w:val="21"/>
              </w:rPr>
            </w:pPr>
            <w:r>
              <w:rPr>
                <w:rFonts w:eastAsia="宋体"/>
                <w:color w:val="auto"/>
                <w:szCs w:val="21"/>
              </w:rPr>
              <w:t>砷</w:t>
            </w:r>
          </w:p>
        </w:tc>
        <w:tc>
          <w:tcPr>
            <w:tcW w:w="569" w:type="pct"/>
            <w:vAlign w:val="center"/>
          </w:tcPr>
          <w:p>
            <w:pPr>
              <w:pStyle w:val="48"/>
              <w:spacing w:line="240" w:lineRule="auto"/>
              <w:rPr>
                <w:rFonts w:eastAsia="宋体"/>
                <w:color w:val="auto"/>
                <w:szCs w:val="21"/>
              </w:rPr>
            </w:pPr>
            <w:r>
              <w:rPr>
                <w:rFonts w:eastAsia="宋体"/>
                <w:color w:val="auto"/>
                <w:szCs w:val="21"/>
              </w:rPr>
              <w:t>水田</w:t>
            </w:r>
          </w:p>
        </w:tc>
        <w:tc>
          <w:tcPr>
            <w:tcW w:w="717" w:type="pct"/>
            <w:vAlign w:val="center"/>
          </w:tcPr>
          <w:p>
            <w:pPr>
              <w:pStyle w:val="48"/>
              <w:spacing w:line="240" w:lineRule="auto"/>
              <w:rPr>
                <w:rFonts w:eastAsia="宋体"/>
                <w:color w:val="auto"/>
                <w:szCs w:val="21"/>
              </w:rPr>
            </w:pPr>
            <w:r>
              <w:rPr>
                <w:rFonts w:eastAsia="宋体"/>
                <w:color w:val="auto"/>
                <w:szCs w:val="21"/>
              </w:rPr>
              <w:t>30</w:t>
            </w:r>
          </w:p>
        </w:tc>
        <w:tc>
          <w:tcPr>
            <w:tcW w:w="1077" w:type="pct"/>
            <w:vAlign w:val="center"/>
          </w:tcPr>
          <w:p>
            <w:pPr>
              <w:pStyle w:val="48"/>
              <w:spacing w:line="240" w:lineRule="auto"/>
              <w:rPr>
                <w:rFonts w:eastAsia="宋体"/>
                <w:color w:val="auto"/>
                <w:szCs w:val="21"/>
              </w:rPr>
            </w:pPr>
            <w:r>
              <w:rPr>
                <w:rFonts w:eastAsia="宋体"/>
                <w:color w:val="auto"/>
                <w:szCs w:val="21"/>
              </w:rPr>
              <w:t>30</w:t>
            </w:r>
          </w:p>
        </w:tc>
        <w:tc>
          <w:tcPr>
            <w:tcW w:w="1077" w:type="pct"/>
            <w:vAlign w:val="center"/>
          </w:tcPr>
          <w:p>
            <w:pPr>
              <w:pStyle w:val="48"/>
              <w:spacing w:line="240" w:lineRule="auto"/>
              <w:rPr>
                <w:rFonts w:eastAsia="宋体"/>
                <w:color w:val="auto"/>
                <w:szCs w:val="21"/>
              </w:rPr>
            </w:pPr>
            <w:r>
              <w:rPr>
                <w:rFonts w:eastAsia="宋体"/>
                <w:color w:val="auto"/>
                <w:szCs w:val="21"/>
              </w:rPr>
              <w:t>25</w:t>
            </w:r>
          </w:p>
        </w:tc>
        <w:tc>
          <w:tcPr>
            <w:tcW w:w="717" w:type="pct"/>
            <w:vAlign w:val="center"/>
          </w:tcPr>
          <w:p>
            <w:pPr>
              <w:pStyle w:val="48"/>
              <w:spacing w:line="240" w:lineRule="auto"/>
              <w:rPr>
                <w:rFonts w:eastAsia="宋体"/>
                <w:color w:val="auto"/>
                <w:szCs w:val="21"/>
              </w:rPr>
            </w:pPr>
            <w:r>
              <w:rPr>
                <w:rFonts w:eastAsia="宋体"/>
                <w:color w:val="auto"/>
                <w:szCs w:val="21"/>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continue"/>
            <w:vAlign w:val="center"/>
          </w:tcPr>
          <w:p>
            <w:pPr>
              <w:pStyle w:val="48"/>
              <w:spacing w:line="240" w:lineRule="auto"/>
              <w:rPr>
                <w:rFonts w:eastAsia="宋体"/>
                <w:color w:val="auto"/>
                <w:szCs w:val="21"/>
              </w:rPr>
            </w:pPr>
          </w:p>
        </w:tc>
        <w:tc>
          <w:tcPr>
            <w:tcW w:w="376" w:type="pct"/>
            <w:vMerge w:val="continue"/>
            <w:vAlign w:val="center"/>
          </w:tcPr>
          <w:p>
            <w:pPr>
              <w:pStyle w:val="48"/>
              <w:spacing w:line="240" w:lineRule="auto"/>
              <w:rPr>
                <w:rFonts w:eastAsia="宋体"/>
                <w:color w:val="auto"/>
                <w:szCs w:val="21"/>
              </w:rPr>
            </w:pPr>
          </w:p>
        </w:tc>
        <w:tc>
          <w:tcPr>
            <w:tcW w:w="569" w:type="pct"/>
            <w:vAlign w:val="center"/>
          </w:tcPr>
          <w:p>
            <w:pPr>
              <w:pStyle w:val="48"/>
              <w:spacing w:line="240" w:lineRule="auto"/>
              <w:rPr>
                <w:rFonts w:eastAsia="宋体"/>
                <w:color w:val="auto"/>
                <w:szCs w:val="21"/>
              </w:rPr>
            </w:pPr>
            <w:r>
              <w:rPr>
                <w:rFonts w:eastAsia="宋体"/>
                <w:color w:val="auto"/>
                <w:szCs w:val="21"/>
              </w:rPr>
              <w:t>其他</w:t>
            </w:r>
          </w:p>
        </w:tc>
        <w:tc>
          <w:tcPr>
            <w:tcW w:w="717" w:type="pct"/>
            <w:vAlign w:val="center"/>
          </w:tcPr>
          <w:p>
            <w:pPr>
              <w:pStyle w:val="48"/>
              <w:spacing w:line="240" w:lineRule="auto"/>
              <w:rPr>
                <w:rFonts w:eastAsia="宋体"/>
                <w:color w:val="auto"/>
                <w:szCs w:val="21"/>
              </w:rPr>
            </w:pPr>
            <w:r>
              <w:rPr>
                <w:rFonts w:eastAsia="宋体"/>
                <w:color w:val="auto"/>
                <w:szCs w:val="21"/>
              </w:rPr>
              <w:t>40</w:t>
            </w:r>
          </w:p>
        </w:tc>
        <w:tc>
          <w:tcPr>
            <w:tcW w:w="1077" w:type="pct"/>
            <w:vAlign w:val="center"/>
          </w:tcPr>
          <w:p>
            <w:pPr>
              <w:pStyle w:val="48"/>
              <w:spacing w:line="240" w:lineRule="auto"/>
              <w:rPr>
                <w:rFonts w:eastAsia="宋体"/>
                <w:color w:val="auto"/>
                <w:szCs w:val="21"/>
              </w:rPr>
            </w:pPr>
            <w:r>
              <w:rPr>
                <w:rFonts w:eastAsia="宋体"/>
                <w:color w:val="auto"/>
                <w:szCs w:val="21"/>
              </w:rPr>
              <w:t>40</w:t>
            </w:r>
          </w:p>
        </w:tc>
        <w:tc>
          <w:tcPr>
            <w:tcW w:w="1077" w:type="pct"/>
            <w:vAlign w:val="center"/>
          </w:tcPr>
          <w:p>
            <w:pPr>
              <w:pStyle w:val="48"/>
              <w:spacing w:line="240" w:lineRule="auto"/>
              <w:rPr>
                <w:rFonts w:eastAsia="宋体"/>
                <w:color w:val="auto"/>
                <w:szCs w:val="21"/>
              </w:rPr>
            </w:pPr>
            <w:r>
              <w:rPr>
                <w:rFonts w:eastAsia="宋体"/>
                <w:color w:val="auto"/>
                <w:szCs w:val="21"/>
              </w:rPr>
              <w:t>30</w:t>
            </w:r>
          </w:p>
        </w:tc>
        <w:tc>
          <w:tcPr>
            <w:tcW w:w="717" w:type="pct"/>
            <w:vAlign w:val="center"/>
          </w:tcPr>
          <w:p>
            <w:pPr>
              <w:pStyle w:val="48"/>
              <w:spacing w:line="240" w:lineRule="auto"/>
              <w:rPr>
                <w:rFonts w:eastAsia="宋体"/>
                <w:color w:val="auto"/>
                <w:szCs w:val="21"/>
              </w:rPr>
            </w:pPr>
            <w:r>
              <w:rPr>
                <w:rFonts w:eastAsia="宋体"/>
                <w:color w:val="auto"/>
                <w:szCs w:val="21"/>
              </w:rPr>
              <w:t>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restart"/>
            <w:vAlign w:val="center"/>
          </w:tcPr>
          <w:p>
            <w:pPr>
              <w:pStyle w:val="48"/>
              <w:spacing w:line="240" w:lineRule="auto"/>
              <w:rPr>
                <w:rFonts w:eastAsia="宋体"/>
                <w:color w:val="auto"/>
                <w:szCs w:val="21"/>
              </w:rPr>
            </w:pPr>
            <w:r>
              <w:rPr>
                <w:rFonts w:eastAsia="宋体"/>
                <w:color w:val="auto"/>
                <w:szCs w:val="21"/>
              </w:rPr>
              <w:t>4</w:t>
            </w:r>
          </w:p>
        </w:tc>
        <w:tc>
          <w:tcPr>
            <w:tcW w:w="376" w:type="pct"/>
            <w:vMerge w:val="restart"/>
            <w:vAlign w:val="center"/>
          </w:tcPr>
          <w:p>
            <w:pPr>
              <w:pStyle w:val="48"/>
              <w:spacing w:line="240" w:lineRule="auto"/>
              <w:rPr>
                <w:rFonts w:eastAsia="宋体"/>
                <w:color w:val="auto"/>
                <w:szCs w:val="21"/>
              </w:rPr>
            </w:pPr>
            <w:r>
              <w:rPr>
                <w:rFonts w:eastAsia="宋体"/>
                <w:color w:val="auto"/>
                <w:szCs w:val="21"/>
              </w:rPr>
              <w:t>铅</w:t>
            </w:r>
          </w:p>
        </w:tc>
        <w:tc>
          <w:tcPr>
            <w:tcW w:w="569" w:type="pct"/>
            <w:vAlign w:val="center"/>
          </w:tcPr>
          <w:p>
            <w:pPr>
              <w:pStyle w:val="48"/>
              <w:spacing w:line="240" w:lineRule="auto"/>
              <w:rPr>
                <w:rFonts w:eastAsia="宋体"/>
                <w:color w:val="auto"/>
                <w:szCs w:val="21"/>
              </w:rPr>
            </w:pPr>
            <w:r>
              <w:rPr>
                <w:rFonts w:eastAsia="宋体"/>
                <w:color w:val="auto"/>
                <w:szCs w:val="21"/>
              </w:rPr>
              <w:t>水田</w:t>
            </w:r>
          </w:p>
        </w:tc>
        <w:tc>
          <w:tcPr>
            <w:tcW w:w="717" w:type="pct"/>
            <w:vAlign w:val="center"/>
          </w:tcPr>
          <w:p>
            <w:pPr>
              <w:pStyle w:val="48"/>
              <w:spacing w:line="240" w:lineRule="auto"/>
              <w:rPr>
                <w:rFonts w:eastAsia="宋体"/>
                <w:color w:val="auto"/>
                <w:szCs w:val="21"/>
              </w:rPr>
            </w:pPr>
            <w:r>
              <w:rPr>
                <w:rFonts w:eastAsia="宋体"/>
                <w:color w:val="auto"/>
                <w:szCs w:val="21"/>
              </w:rPr>
              <w:t>80</w:t>
            </w:r>
          </w:p>
        </w:tc>
        <w:tc>
          <w:tcPr>
            <w:tcW w:w="1077" w:type="pct"/>
            <w:vAlign w:val="center"/>
          </w:tcPr>
          <w:p>
            <w:pPr>
              <w:pStyle w:val="48"/>
              <w:spacing w:line="240" w:lineRule="auto"/>
              <w:rPr>
                <w:rFonts w:eastAsia="宋体"/>
                <w:color w:val="auto"/>
                <w:szCs w:val="21"/>
              </w:rPr>
            </w:pPr>
            <w:r>
              <w:rPr>
                <w:rFonts w:eastAsia="宋体"/>
                <w:color w:val="auto"/>
                <w:szCs w:val="21"/>
              </w:rPr>
              <w:t>100</w:t>
            </w:r>
          </w:p>
        </w:tc>
        <w:tc>
          <w:tcPr>
            <w:tcW w:w="1077" w:type="pct"/>
            <w:vAlign w:val="center"/>
          </w:tcPr>
          <w:p>
            <w:pPr>
              <w:pStyle w:val="48"/>
              <w:spacing w:line="240" w:lineRule="auto"/>
              <w:rPr>
                <w:rFonts w:eastAsia="宋体"/>
                <w:color w:val="auto"/>
                <w:szCs w:val="21"/>
              </w:rPr>
            </w:pPr>
            <w:r>
              <w:rPr>
                <w:rFonts w:eastAsia="宋体"/>
                <w:color w:val="auto"/>
                <w:szCs w:val="21"/>
              </w:rPr>
              <w:t>140</w:t>
            </w:r>
          </w:p>
        </w:tc>
        <w:tc>
          <w:tcPr>
            <w:tcW w:w="717" w:type="pct"/>
            <w:vAlign w:val="center"/>
          </w:tcPr>
          <w:p>
            <w:pPr>
              <w:pStyle w:val="48"/>
              <w:spacing w:line="240" w:lineRule="auto"/>
              <w:rPr>
                <w:rFonts w:eastAsia="宋体"/>
                <w:color w:val="auto"/>
                <w:szCs w:val="21"/>
              </w:rPr>
            </w:pPr>
            <w:r>
              <w:rPr>
                <w:rFonts w:eastAsia="宋体"/>
                <w:color w:val="auto"/>
                <w:szCs w:val="21"/>
              </w:rPr>
              <w:t>240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continue"/>
            <w:vAlign w:val="center"/>
          </w:tcPr>
          <w:p>
            <w:pPr>
              <w:pStyle w:val="48"/>
              <w:spacing w:line="240" w:lineRule="auto"/>
              <w:rPr>
                <w:rFonts w:eastAsia="宋体"/>
                <w:color w:val="auto"/>
                <w:szCs w:val="21"/>
              </w:rPr>
            </w:pPr>
          </w:p>
        </w:tc>
        <w:tc>
          <w:tcPr>
            <w:tcW w:w="376" w:type="pct"/>
            <w:vMerge w:val="continue"/>
            <w:vAlign w:val="center"/>
          </w:tcPr>
          <w:p>
            <w:pPr>
              <w:pStyle w:val="48"/>
              <w:spacing w:line="240" w:lineRule="auto"/>
              <w:rPr>
                <w:rFonts w:eastAsia="宋体"/>
                <w:color w:val="auto"/>
                <w:szCs w:val="21"/>
              </w:rPr>
            </w:pPr>
          </w:p>
        </w:tc>
        <w:tc>
          <w:tcPr>
            <w:tcW w:w="569" w:type="pct"/>
            <w:vAlign w:val="center"/>
          </w:tcPr>
          <w:p>
            <w:pPr>
              <w:pStyle w:val="48"/>
              <w:spacing w:line="240" w:lineRule="auto"/>
              <w:rPr>
                <w:rFonts w:eastAsia="宋体"/>
                <w:color w:val="auto"/>
                <w:szCs w:val="21"/>
              </w:rPr>
            </w:pPr>
            <w:r>
              <w:rPr>
                <w:rFonts w:eastAsia="宋体"/>
                <w:color w:val="auto"/>
                <w:szCs w:val="21"/>
              </w:rPr>
              <w:t>其他</w:t>
            </w:r>
          </w:p>
        </w:tc>
        <w:tc>
          <w:tcPr>
            <w:tcW w:w="717" w:type="pct"/>
            <w:vAlign w:val="center"/>
          </w:tcPr>
          <w:p>
            <w:pPr>
              <w:pStyle w:val="48"/>
              <w:spacing w:line="240" w:lineRule="auto"/>
              <w:rPr>
                <w:rFonts w:eastAsia="宋体"/>
                <w:color w:val="auto"/>
                <w:szCs w:val="21"/>
              </w:rPr>
            </w:pPr>
            <w:r>
              <w:rPr>
                <w:rFonts w:eastAsia="宋体"/>
                <w:color w:val="auto"/>
                <w:szCs w:val="21"/>
              </w:rPr>
              <w:t>70</w:t>
            </w:r>
          </w:p>
        </w:tc>
        <w:tc>
          <w:tcPr>
            <w:tcW w:w="1077" w:type="pct"/>
            <w:vAlign w:val="center"/>
          </w:tcPr>
          <w:p>
            <w:pPr>
              <w:pStyle w:val="48"/>
              <w:spacing w:line="240" w:lineRule="auto"/>
              <w:rPr>
                <w:rFonts w:eastAsia="宋体"/>
                <w:color w:val="auto"/>
                <w:szCs w:val="21"/>
              </w:rPr>
            </w:pPr>
            <w:r>
              <w:rPr>
                <w:rFonts w:eastAsia="宋体"/>
                <w:color w:val="auto"/>
                <w:szCs w:val="21"/>
              </w:rPr>
              <w:t>90</w:t>
            </w:r>
          </w:p>
        </w:tc>
        <w:tc>
          <w:tcPr>
            <w:tcW w:w="1077" w:type="pct"/>
            <w:vAlign w:val="center"/>
          </w:tcPr>
          <w:p>
            <w:pPr>
              <w:pStyle w:val="48"/>
              <w:spacing w:line="240" w:lineRule="auto"/>
              <w:rPr>
                <w:rFonts w:eastAsia="宋体"/>
                <w:color w:val="auto"/>
                <w:szCs w:val="21"/>
              </w:rPr>
            </w:pPr>
            <w:r>
              <w:rPr>
                <w:rFonts w:eastAsia="宋体"/>
                <w:color w:val="auto"/>
                <w:szCs w:val="21"/>
              </w:rPr>
              <w:t>120</w:t>
            </w:r>
          </w:p>
        </w:tc>
        <w:tc>
          <w:tcPr>
            <w:tcW w:w="717" w:type="pct"/>
            <w:vAlign w:val="center"/>
          </w:tcPr>
          <w:p>
            <w:pPr>
              <w:pStyle w:val="48"/>
              <w:spacing w:line="240" w:lineRule="auto"/>
              <w:rPr>
                <w:rFonts w:eastAsia="宋体"/>
                <w:color w:val="auto"/>
                <w:szCs w:val="21"/>
              </w:rPr>
            </w:pPr>
            <w:r>
              <w:rPr>
                <w:rFonts w:eastAsia="宋体"/>
                <w:color w:val="auto"/>
                <w:szCs w:val="21"/>
              </w:rPr>
              <w:t>170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restart"/>
            <w:vAlign w:val="center"/>
          </w:tcPr>
          <w:p>
            <w:pPr>
              <w:pStyle w:val="48"/>
              <w:spacing w:line="240" w:lineRule="auto"/>
              <w:rPr>
                <w:rFonts w:eastAsia="宋体"/>
                <w:color w:val="auto"/>
                <w:szCs w:val="21"/>
              </w:rPr>
            </w:pPr>
            <w:r>
              <w:rPr>
                <w:rFonts w:eastAsia="宋体"/>
                <w:color w:val="auto"/>
                <w:szCs w:val="21"/>
              </w:rPr>
              <w:t>5</w:t>
            </w:r>
          </w:p>
        </w:tc>
        <w:tc>
          <w:tcPr>
            <w:tcW w:w="376" w:type="pct"/>
            <w:vMerge w:val="restart"/>
            <w:vAlign w:val="center"/>
          </w:tcPr>
          <w:p>
            <w:pPr>
              <w:pStyle w:val="48"/>
              <w:spacing w:line="240" w:lineRule="auto"/>
              <w:rPr>
                <w:rFonts w:eastAsia="宋体"/>
                <w:color w:val="auto"/>
                <w:szCs w:val="21"/>
              </w:rPr>
            </w:pPr>
            <w:r>
              <w:rPr>
                <w:rFonts w:eastAsia="宋体"/>
                <w:color w:val="auto"/>
                <w:szCs w:val="21"/>
              </w:rPr>
              <w:t>铬</w:t>
            </w:r>
          </w:p>
        </w:tc>
        <w:tc>
          <w:tcPr>
            <w:tcW w:w="569" w:type="pct"/>
            <w:vAlign w:val="center"/>
          </w:tcPr>
          <w:p>
            <w:pPr>
              <w:pStyle w:val="48"/>
              <w:spacing w:line="240" w:lineRule="auto"/>
              <w:rPr>
                <w:rFonts w:eastAsia="宋体"/>
                <w:color w:val="auto"/>
                <w:szCs w:val="21"/>
              </w:rPr>
            </w:pPr>
            <w:r>
              <w:rPr>
                <w:rFonts w:eastAsia="宋体"/>
                <w:color w:val="auto"/>
                <w:szCs w:val="21"/>
              </w:rPr>
              <w:t>水田</w:t>
            </w:r>
          </w:p>
        </w:tc>
        <w:tc>
          <w:tcPr>
            <w:tcW w:w="717" w:type="pct"/>
            <w:vAlign w:val="center"/>
          </w:tcPr>
          <w:p>
            <w:pPr>
              <w:pStyle w:val="48"/>
              <w:spacing w:line="240" w:lineRule="auto"/>
              <w:rPr>
                <w:rFonts w:eastAsia="宋体"/>
                <w:color w:val="auto"/>
                <w:szCs w:val="21"/>
              </w:rPr>
            </w:pPr>
            <w:r>
              <w:rPr>
                <w:rFonts w:eastAsia="宋体"/>
                <w:color w:val="auto"/>
                <w:szCs w:val="21"/>
              </w:rPr>
              <w:t>250</w:t>
            </w:r>
          </w:p>
        </w:tc>
        <w:tc>
          <w:tcPr>
            <w:tcW w:w="1077" w:type="pct"/>
            <w:vAlign w:val="center"/>
          </w:tcPr>
          <w:p>
            <w:pPr>
              <w:pStyle w:val="48"/>
              <w:spacing w:line="240" w:lineRule="auto"/>
              <w:rPr>
                <w:rFonts w:eastAsia="宋体"/>
                <w:color w:val="auto"/>
                <w:szCs w:val="21"/>
              </w:rPr>
            </w:pPr>
            <w:r>
              <w:rPr>
                <w:rFonts w:eastAsia="宋体"/>
                <w:color w:val="auto"/>
                <w:szCs w:val="21"/>
              </w:rPr>
              <w:t>250</w:t>
            </w:r>
          </w:p>
        </w:tc>
        <w:tc>
          <w:tcPr>
            <w:tcW w:w="1077" w:type="pct"/>
            <w:vAlign w:val="center"/>
          </w:tcPr>
          <w:p>
            <w:pPr>
              <w:pStyle w:val="48"/>
              <w:spacing w:line="240" w:lineRule="auto"/>
              <w:rPr>
                <w:rFonts w:eastAsia="宋体"/>
                <w:color w:val="auto"/>
                <w:szCs w:val="21"/>
              </w:rPr>
            </w:pPr>
            <w:r>
              <w:rPr>
                <w:rFonts w:eastAsia="宋体"/>
                <w:color w:val="auto"/>
                <w:szCs w:val="21"/>
              </w:rPr>
              <w:t>300</w:t>
            </w:r>
          </w:p>
        </w:tc>
        <w:tc>
          <w:tcPr>
            <w:tcW w:w="717" w:type="pct"/>
            <w:vAlign w:val="center"/>
          </w:tcPr>
          <w:p>
            <w:pPr>
              <w:pStyle w:val="48"/>
              <w:spacing w:line="240" w:lineRule="auto"/>
              <w:rPr>
                <w:rFonts w:eastAsia="宋体"/>
                <w:color w:val="auto"/>
                <w:szCs w:val="21"/>
              </w:rPr>
            </w:pPr>
            <w:r>
              <w:rPr>
                <w:rFonts w:eastAsia="宋体"/>
                <w:color w:val="auto"/>
                <w:szCs w:val="21"/>
              </w:rPr>
              <w:t>350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467" w:type="pct"/>
            <w:vMerge w:val="continue"/>
            <w:vAlign w:val="center"/>
          </w:tcPr>
          <w:p>
            <w:pPr>
              <w:pStyle w:val="48"/>
              <w:spacing w:line="240" w:lineRule="auto"/>
              <w:rPr>
                <w:rFonts w:eastAsia="宋体"/>
                <w:color w:val="auto"/>
                <w:szCs w:val="21"/>
              </w:rPr>
            </w:pPr>
          </w:p>
        </w:tc>
        <w:tc>
          <w:tcPr>
            <w:tcW w:w="376" w:type="pct"/>
            <w:vMerge w:val="continue"/>
            <w:vAlign w:val="center"/>
          </w:tcPr>
          <w:p>
            <w:pPr>
              <w:pStyle w:val="48"/>
              <w:spacing w:line="240" w:lineRule="auto"/>
              <w:rPr>
                <w:rFonts w:eastAsia="宋体"/>
                <w:color w:val="auto"/>
                <w:szCs w:val="21"/>
              </w:rPr>
            </w:pPr>
          </w:p>
        </w:tc>
        <w:tc>
          <w:tcPr>
            <w:tcW w:w="569" w:type="pct"/>
            <w:vAlign w:val="center"/>
          </w:tcPr>
          <w:p>
            <w:pPr>
              <w:pStyle w:val="48"/>
              <w:spacing w:line="240" w:lineRule="auto"/>
              <w:rPr>
                <w:rFonts w:eastAsia="宋体"/>
                <w:color w:val="auto"/>
                <w:szCs w:val="21"/>
              </w:rPr>
            </w:pPr>
            <w:r>
              <w:rPr>
                <w:rFonts w:eastAsia="宋体"/>
                <w:color w:val="auto"/>
                <w:szCs w:val="21"/>
              </w:rPr>
              <w:t>其他</w:t>
            </w:r>
          </w:p>
        </w:tc>
        <w:tc>
          <w:tcPr>
            <w:tcW w:w="717" w:type="pct"/>
            <w:vAlign w:val="center"/>
          </w:tcPr>
          <w:p>
            <w:pPr>
              <w:pStyle w:val="48"/>
              <w:spacing w:line="240" w:lineRule="auto"/>
              <w:rPr>
                <w:rFonts w:eastAsia="宋体"/>
                <w:color w:val="auto"/>
                <w:szCs w:val="21"/>
              </w:rPr>
            </w:pPr>
            <w:r>
              <w:rPr>
                <w:rFonts w:eastAsia="宋体"/>
                <w:color w:val="auto"/>
                <w:szCs w:val="21"/>
              </w:rPr>
              <w:t>150</w:t>
            </w:r>
          </w:p>
        </w:tc>
        <w:tc>
          <w:tcPr>
            <w:tcW w:w="1077" w:type="pct"/>
            <w:vAlign w:val="center"/>
          </w:tcPr>
          <w:p>
            <w:pPr>
              <w:pStyle w:val="48"/>
              <w:spacing w:line="240" w:lineRule="auto"/>
              <w:rPr>
                <w:rFonts w:eastAsia="宋体"/>
                <w:color w:val="auto"/>
                <w:szCs w:val="21"/>
              </w:rPr>
            </w:pPr>
            <w:r>
              <w:rPr>
                <w:rFonts w:eastAsia="宋体"/>
                <w:color w:val="auto"/>
                <w:szCs w:val="21"/>
              </w:rPr>
              <w:t>150</w:t>
            </w:r>
          </w:p>
        </w:tc>
        <w:tc>
          <w:tcPr>
            <w:tcW w:w="1077" w:type="pct"/>
            <w:vAlign w:val="center"/>
          </w:tcPr>
          <w:p>
            <w:pPr>
              <w:pStyle w:val="48"/>
              <w:spacing w:line="240" w:lineRule="auto"/>
              <w:rPr>
                <w:rFonts w:eastAsia="宋体"/>
                <w:color w:val="auto"/>
                <w:szCs w:val="21"/>
              </w:rPr>
            </w:pPr>
            <w:r>
              <w:rPr>
                <w:rFonts w:eastAsia="宋体"/>
                <w:color w:val="auto"/>
                <w:szCs w:val="21"/>
              </w:rPr>
              <w:t>200</w:t>
            </w:r>
          </w:p>
        </w:tc>
        <w:tc>
          <w:tcPr>
            <w:tcW w:w="717" w:type="pct"/>
            <w:vAlign w:val="center"/>
          </w:tcPr>
          <w:p>
            <w:pPr>
              <w:pStyle w:val="48"/>
              <w:spacing w:line="240" w:lineRule="auto"/>
              <w:rPr>
                <w:rFonts w:eastAsia="宋体"/>
                <w:color w:val="auto"/>
                <w:szCs w:val="21"/>
              </w:rPr>
            </w:pPr>
            <w:r>
              <w:rPr>
                <w:rFonts w:eastAsia="宋体"/>
                <w:color w:val="auto"/>
                <w:szCs w:val="21"/>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restart"/>
            <w:vAlign w:val="center"/>
          </w:tcPr>
          <w:p>
            <w:pPr>
              <w:pStyle w:val="48"/>
              <w:spacing w:line="240" w:lineRule="auto"/>
              <w:rPr>
                <w:rFonts w:eastAsia="宋体"/>
                <w:color w:val="auto"/>
                <w:szCs w:val="21"/>
              </w:rPr>
            </w:pPr>
            <w:r>
              <w:rPr>
                <w:rFonts w:eastAsia="宋体"/>
                <w:color w:val="auto"/>
                <w:szCs w:val="21"/>
              </w:rPr>
              <w:t>6</w:t>
            </w:r>
          </w:p>
        </w:tc>
        <w:tc>
          <w:tcPr>
            <w:tcW w:w="376" w:type="pct"/>
            <w:vMerge w:val="restart"/>
            <w:vAlign w:val="center"/>
          </w:tcPr>
          <w:p>
            <w:pPr>
              <w:pStyle w:val="48"/>
              <w:spacing w:line="240" w:lineRule="auto"/>
              <w:rPr>
                <w:rFonts w:eastAsia="宋体"/>
                <w:color w:val="auto"/>
                <w:szCs w:val="21"/>
              </w:rPr>
            </w:pPr>
            <w:r>
              <w:rPr>
                <w:rFonts w:eastAsia="宋体"/>
                <w:color w:val="auto"/>
                <w:szCs w:val="21"/>
              </w:rPr>
              <w:t>铜</w:t>
            </w:r>
          </w:p>
        </w:tc>
        <w:tc>
          <w:tcPr>
            <w:tcW w:w="569" w:type="pct"/>
            <w:vAlign w:val="center"/>
          </w:tcPr>
          <w:p>
            <w:pPr>
              <w:pStyle w:val="48"/>
              <w:spacing w:line="240" w:lineRule="auto"/>
              <w:rPr>
                <w:rFonts w:eastAsia="宋体"/>
                <w:color w:val="auto"/>
                <w:szCs w:val="21"/>
              </w:rPr>
            </w:pPr>
            <w:r>
              <w:rPr>
                <w:rFonts w:eastAsia="宋体"/>
                <w:color w:val="auto"/>
                <w:szCs w:val="21"/>
              </w:rPr>
              <w:t>果园</w:t>
            </w:r>
          </w:p>
        </w:tc>
        <w:tc>
          <w:tcPr>
            <w:tcW w:w="717" w:type="pct"/>
            <w:vAlign w:val="center"/>
          </w:tcPr>
          <w:p>
            <w:pPr>
              <w:pStyle w:val="48"/>
              <w:spacing w:line="240" w:lineRule="auto"/>
              <w:rPr>
                <w:rFonts w:eastAsia="宋体"/>
                <w:color w:val="auto"/>
                <w:szCs w:val="21"/>
              </w:rPr>
            </w:pPr>
            <w:r>
              <w:rPr>
                <w:rFonts w:eastAsia="宋体"/>
                <w:color w:val="auto"/>
                <w:szCs w:val="21"/>
              </w:rPr>
              <w:t>150</w:t>
            </w:r>
          </w:p>
        </w:tc>
        <w:tc>
          <w:tcPr>
            <w:tcW w:w="1077" w:type="pct"/>
            <w:vAlign w:val="center"/>
          </w:tcPr>
          <w:p>
            <w:pPr>
              <w:pStyle w:val="48"/>
              <w:spacing w:line="240" w:lineRule="auto"/>
              <w:rPr>
                <w:rFonts w:eastAsia="宋体"/>
                <w:color w:val="auto"/>
                <w:szCs w:val="21"/>
              </w:rPr>
            </w:pPr>
            <w:r>
              <w:rPr>
                <w:rFonts w:eastAsia="宋体"/>
                <w:color w:val="auto"/>
                <w:szCs w:val="21"/>
              </w:rPr>
              <w:t>150</w:t>
            </w:r>
          </w:p>
        </w:tc>
        <w:tc>
          <w:tcPr>
            <w:tcW w:w="1077" w:type="pct"/>
            <w:vAlign w:val="center"/>
          </w:tcPr>
          <w:p>
            <w:pPr>
              <w:pStyle w:val="48"/>
              <w:spacing w:line="240" w:lineRule="auto"/>
              <w:rPr>
                <w:rFonts w:eastAsia="宋体"/>
                <w:color w:val="auto"/>
                <w:szCs w:val="21"/>
              </w:rPr>
            </w:pPr>
            <w:r>
              <w:rPr>
                <w:rFonts w:eastAsia="宋体"/>
                <w:color w:val="auto"/>
                <w:szCs w:val="21"/>
              </w:rPr>
              <w:t>200</w:t>
            </w:r>
          </w:p>
        </w:tc>
        <w:tc>
          <w:tcPr>
            <w:tcW w:w="717" w:type="pct"/>
            <w:vAlign w:val="center"/>
          </w:tcPr>
          <w:p>
            <w:pPr>
              <w:pStyle w:val="48"/>
              <w:spacing w:line="240" w:lineRule="auto"/>
              <w:rPr>
                <w:rFonts w:eastAsia="宋体"/>
                <w:color w:val="auto"/>
                <w:szCs w:val="21"/>
              </w:rPr>
            </w:pPr>
            <w:r>
              <w:rPr>
                <w:rFonts w:eastAsia="宋体"/>
                <w:color w:val="auto"/>
                <w:szCs w:val="21"/>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continue"/>
            <w:vAlign w:val="center"/>
          </w:tcPr>
          <w:p>
            <w:pPr>
              <w:pStyle w:val="48"/>
              <w:spacing w:line="240" w:lineRule="auto"/>
              <w:rPr>
                <w:rFonts w:eastAsia="宋体"/>
                <w:color w:val="auto"/>
                <w:szCs w:val="21"/>
              </w:rPr>
            </w:pPr>
          </w:p>
        </w:tc>
        <w:tc>
          <w:tcPr>
            <w:tcW w:w="376" w:type="pct"/>
            <w:vMerge w:val="continue"/>
            <w:vAlign w:val="center"/>
          </w:tcPr>
          <w:p>
            <w:pPr>
              <w:pStyle w:val="48"/>
              <w:spacing w:line="240" w:lineRule="auto"/>
              <w:rPr>
                <w:rFonts w:eastAsia="宋体"/>
                <w:color w:val="auto"/>
                <w:szCs w:val="21"/>
              </w:rPr>
            </w:pPr>
          </w:p>
        </w:tc>
        <w:tc>
          <w:tcPr>
            <w:tcW w:w="569" w:type="pct"/>
            <w:vAlign w:val="center"/>
          </w:tcPr>
          <w:p>
            <w:pPr>
              <w:pStyle w:val="48"/>
              <w:spacing w:line="240" w:lineRule="auto"/>
              <w:rPr>
                <w:rFonts w:eastAsia="宋体"/>
                <w:color w:val="auto"/>
                <w:szCs w:val="21"/>
              </w:rPr>
            </w:pPr>
            <w:r>
              <w:rPr>
                <w:rFonts w:eastAsia="宋体"/>
                <w:color w:val="auto"/>
                <w:szCs w:val="21"/>
              </w:rPr>
              <w:t>其他</w:t>
            </w:r>
          </w:p>
        </w:tc>
        <w:tc>
          <w:tcPr>
            <w:tcW w:w="717" w:type="pct"/>
            <w:vAlign w:val="center"/>
          </w:tcPr>
          <w:p>
            <w:pPr>
              <w:pStyle w:val="48"/>
              <w:spacing w:line="240" w:lineRule="auto"/>
              <w:rPr>
                <w:rFonts w:eastAsia="宋体"/>
                <w:color w:val="auto"/>
                <w:szCs w:val="21"/>
              </w:rPr>
            </w:pPr>
            <w:r>
              <w:rPr>
                <w:rFonts w:eastAsia="宋体"/>
                <w:color w:val="auto"/>
                <w:szCs w:val="21"/>
              </w:rPr>
              <w:t>50</w:t>
            </w:r>
          </w:p>
        </w:tc>
        <w:tc>
          <w:tcPr>
            <w:tcW w:w="1077" w:type="pct"/>
            <w:vAlign w:val="center"/>
          </w:tcPr>
          <w:p>
            <w:pPr>
              <w:pStyle w:val="48"/>
              <w:spacing w:line="240" w:lineRule="auto"/>
              <w:rPr>
                <w:rFonts w:eastAsia="宋体"/>
                <w:color w:val="auto"/>
                <w:szCs w:val="21"/>
              </w:rPr>
            </w:pPr>
            <w:r>
              <w:rPr>
                <w:rFonts w:eastAsia="宋体"/>
                <w:color w:val="auto"/>
                <w:szCs w:val="21"/>
              </w:rPr>
              <w:t>50</w:t>
            </w:r>
          </w:p>
        </w:tc>
        <w:tc>
          <w:tcPr>
            <w:tcW w:w="1077" w:type="pct"/>
            <w:vAlign w:val="center"/>
          </w:tcPr>
          <w:p>
            <w:pPr>
              <w:pStyle w:val="48"/>
              <w:spacing w:line="240" w:lineRule="auto"/>
              <w:rPr>
                <w:rFonts w:eastAsia="宋体"/>
                <w:color w:val="auto"/>
                <w:szCs w:val="21"/>
              </w:rPr>
            </w:pPr>
            <w:r>
              <w:rPr>
                <w:rFonts w:eastAsia="宋体"/>
                <w:color w:val="auto"/>
                <w:szCs w:val="21"/>
              </w:rPr>
              <w:t>100</w:t>
            </w:r>
          </w:p>
        </w:tc>
        <w:tc>
          <w:tcPr>
            <w:tcW w:w="717" w:type="pct"/>
            <w:vAlign w:val="center"/>
          </w:tcPr>
          <w:p>
            <w:pPr>
              <w:pStyle w:val="48"/>
              <w:spacing w:line="240" w:lineRule="auto"/>
              <w:rPr>
                <w:rFonts w:eastAsia="宋体"/>
                <w:color w:val="auto"/>
                <w:szCs w:val="21"/>
              </w:rPr>
            </w:pPr>
            <w:r>
              <w:rPr>
                <w:rFonts w:eastAsia="宋体"/>
                <w:color w:val="auto"/>
                <w:szCs w:val="21"/>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Align w:val="center"/>
          </w:tcPr>
          <w:p>
            <w:pPr>
              <w:pStyle w:val="48"/>
              <w:spacing w:line="240" w:lineRule="auto"/>
              <w:rPr>
                <w:rFonts w:eastAsia="宋体"/>
                <w:color w:val="auto"/>
                <w:szCs w:val="21"/>
              </w:rPr>
            </w:pPr>
            <w:r>
              <w:rPr>
                <w:rFonts w:eastAsia="宋体"/>
                <w:color w:val="auto"/>
                <w:szCs w:val="21"/>
              </w:rPr>
              <w:t>7</w:t>
            </w:r>
          </w:p>
        </w:tc>
        <w:tc>
          <w:tcPr>
            <w:tcW w:w="945" w:type="pct"/>
            <w:gridSpan w:val="2"/>
            <w:vAlign w:val="center"/>
          </w:tcPr>
          <w:p>
            <w:pPr>
              <w:pStyle w:val="48"/>
              <w:spacing w:line="240" w:lineRule="auto"/>
              <w:rPr>
                <w:rFonts w:eastAsia="宋体"/>
                <w:color w:val="auto"/>
                <w:szCs w:val="21"/>
              </w:rPr>
            </w:pPr>
            <w:r>
              <w:rPr>
                <w:rFonts w:eastAsia="宋体"/>
                <w:color w:val="auto"/>
                <w:szCs w:val="21"/>
              </w:rPr>
              <w:t>镍</w:t>
            </w:r>
          </w:p>
        </w:tc>
        <w:tc>
          <w:tcPr>
            <w:tcW w:w="717" w:type="pct"/>
            <w:vAlign w:val="center"/>
          </w:tcPr>
          <w:p>
            <w:pPr>
              <w:pStyle w:val="48"/>
              <w:spacing w:line="240" w:lineRule="auto"/>
              <w:rPr>
                <w:rFonts w:eastAsia="宋体"/>
                <w:color w:val="auto"/>
                <w:szCs w:val="21"/>
              </w:rPr>
            </w:pPr>
            <w:r>
              <w:rPr>
                <w:rFonts w:eastAsia="宋体"/>
                <w:color w:val="auto"/>
                <w:szCs w:val="21"/>
              </w:rPr>
              <w:t>60</w:t>
            </w:r>
          </w:p>
        </w:tc>
        <w:tc>
          <w:tcPr>
            <w:tcW w:w="1077" w:type="pct"/>
            <w:vAlign w:val="center"/>
          </w:tcPr>
          <w:p>
            <w:pPr>
              <w:pStyle w:val="48"/>
              <w:spacing w:line="240" w:lineRule="auto"/>
              <w:rPr>
                <w:rFonts w:eastAsia="宋体"/>
                <w:color w:val="auto"/>
                <w:szCs w:val="21"/>
              </w:rPr>
            </w:pPr>
            <w:r>
              <w:rPr>
                <w:rFonts w:eastAsia="宋体"/>
                <w:color w:val="auto"/>
                <w:szCs w:val="21"/>
              </w:rPr>
              <w:t>70</w:t>
            </w:r>
          </w:p>
        </w:tc>
        <w:tc>
          <w:tcPr>
            <w:tcW w:w="1077" w:type="pct"/>
            <w:vAlign w:val="center"/>
          </w:tcPr>
          <w:p>
            <w:pPr>
              <w:pStyle w:val="48"/>
              <w:spacing w:line="240" w:lineRule="auto"/>
              <w:rPr>
                <w:rFonts w:eastAsia="宋体"/>
                <w:color w:val="auto"/>
                <w:szCs w:val="21"/>
              </w:rPr>
            </w:pPr>
            <w:r>
              <w:rPr>
                <w:rFonts w:eastAsia="宋体"/>
                <w:color w:val="auto"/>
                <w:szCs w:val="21"/>
              </w:rPr>
              <w:t>100</w:t>
            </w:r>
          </w:p>
        </w:tc>
        <w:tc>
          <w:tcPr>
            <w:tcW w:w="717" w:type="pct"/>
            <w:vAlign w:val="center"/>
          </w:tcPr>
          <w:p>
            <w:pPr>
              <w:pStyle w:val="48"/>
              <w:spacing w:line="240" w:lineRule="auto"/>
              <w:rPr>
                <w:rFonts w:eastAsia="宋体"/>
                <w:color w:val="auto"/>
                <w:szCs w:val="21"/>
              </w:rPr>
            </w:pPr>
            <w:r>
              <w:rPr>
                <w:rFonts w:eastAsia="宋体"/>
                <w:color w:val="auto"/>
                <w:szCs w:val="21"/>
              </w:rPr>
              <w:t>190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Align w:val="center"/>
          </w:tcPr>
          <w:p>
            <w:pPr>
              <w:pStyle w:val="48"/>
              <w:spacing w:line="240" w:lineRule="auto"/>
              <w:rPr>
                <w:rFonts w:eastAsia="宋体"/>
                <w:color w:val="auto"/>
                <w:szCs w:val="21"/>
              </w:rPr>
            </w:pPr>
            <w:r>
              <w:rPr>
                <w:rFonts w:eastAsia="宋体"/>
                <w:color w:val="auto"/>
                <w:szCs w:val="21"/>
              </w:rPr>
              <w:t>8</w:t>
            </w:r>
          </w:p>
        </w:tc>
        <w:tc>
          <w:tcPr>
            <w:tcW w:w="945" w:type="pct"/>
            <w:gridSpan w:val="2"/>
            <w:vAlign w:val="center"/>
          </w:tcPr>
          <w:p>
            <w:pPr>
              <w:pStyle w:val="48"/>
              <w:spacing w:line="240" w:lineRule="auto"/>
              <w:rPr>
                <w:rFonts w:eastAsia="宋体"/>
                <w:color w:val="auto"/>
                <w:szCs w:val="21"/>
              </w:rPr>
            </w:pPr>
            <w:r>
              <w:rPr>
                <w:rFonts w:eastAsia="宋体"/>
                <w:color w:val="auto"/>
                <w:szCs w:val="21"/>
              </w:rPr>
              <w:t>锌</w:t>
            </w:r>
          </w:p>
        </w:tc>
        <w:tc>
          <w:tcPr>
            <w:tcW w:w="717" w:type="pct"/>
            <w:vAlign w:val="center"/>
          </w:tcPr>
          <w:p>
            <w:pPr>
              <w:pStyle w:val="48"/>
              <w:spacing w:line="240" w:lineRule="auto"/>
              <w:rPr>
                <w:rFonts w:eastAsia="宋体"/>
                <w:color w:val="auto"/>
                <w:szCs w:val="21"/>
              </w:rPr>
            </w:pPr>
            <w:r>
              <w:rPr>
                <w:rFonts w:eastAsia="宋体"/>
                <w:color w:val="auto"/>
                <w:szCs w:val="21"/>
              </w:rPr>
              <w:t>200</w:t>
            </w:r>
          </w:p>
        </w:tc>
        <w:tc>
          <w:tcPr>
            <w:tcW w:w="1077" w:type="pct"/>
            <w:vAlign w:val="center"/>
          </w:tcPr>
          <w:p>
            <w:pPr>
              <w:pStyle w:val="48"/>
              <w:spacing w:line="240" w:lineRule="auto"/>
              <w:rPr>
                <w:rFonts w:eastAsia="宋体"/>
                <w:color w:val="auto"/>
                <w:szCs w:val="21"/>
              </w:rPr>
            </w:pPr>
            <w:r>
              <w:rPr>
                <w:rFonts w:eastAsia="宋体"/>
                <w:color w:val="auto"/>
                <w:szCs w:val="21"/>
              </w:rPr>
              <w:t>200</w:t>
            </w:r>
          </w:p>
        </w:tc>
        <w:tc>
          <w:tcPr>
            <w:tcW w:w="1077" w:type="pct"/>
            <w:vAlign w:val="center"/>
          </w:tcPr>
          <w:p>
            <w:pPr>
              <w:pStyle w:val="48"/>
              <w:spacing w:line="240" w:lineRule="auto"/>
              <w:rPr>
                <w:rFonts w:eastAsia="宋体"/>
                <w:color w:val="auto"/>
                <w:szCs w:val="21"/>
              </w:rPr>
            </w:pPr>
            <w:r>
              <w:rPr>
                <w:rFonts w:eastAsia="宋体"/>
                <w:color w:val="auto"/>
                <w:szCs w:val="21"/>
              </w:rPr>
              <w:t>250</w:t>
            </w:r>
          </w:p>
        </w:tc>
        <w:tc>
          <w:tcPr>
            <w:tcW w:w="717" w:type="pct"/>
            <w:vAlign w:val="center"/>
          </w:tcPr>
          <w:p>
            <w:pPr>
              <w:pStyle w:val="48"/>
              <w:spacing w:line="240" w:lineRule="auto"/>
              <w:rPr>
                <w:rFonts w:eastAsia="宋体"/>
                <w:color w:val="auto"/>
                <w:szCs w:val="21"/>
              </w:rPr>
            </w:pPr>
            <w:r>
              <w:rPr>
                <w:rFonts w:eastAsia="宋体"/>
                <w:color w:val="auto"/>
                <w:szCs w:val="21"/>
              </w:rPr>
              <w:t>300</w:t>
            </w:r>
          </w:p>
        </w:tc>
      </w:tr>
    </w:tbl>
    <w:p>
      <w:pPr>
        <w:pStyle w:val="9"/>
        <w:spacing w:before="0" w:beforeLines="0" w:after="0" w:afterLines="0" w:line="360" w:lineRule="auto"/>
        <w:rPr>
          <w:color w:val="auto"/>
        </w:rPr>
      </w:pPr>
      <w:r>
        <w:rPr>
          <w:color w:val="auto"/>
        </w:rPr>
        <w:t>1.</w:t>
      </w:r>
      <w:r>
        <w:rPr>
          <w:rFonts w:hint="eastAsia"/>
          <w:color w:val="auto"/>
          <w:lang w:val="en-US" w:eastAsia="zh-CN"/>
        </w:rPr>
        <w:t>6</w:t>
      </w:r>
      <w:r>
        <w:rPr>
          <w:color w:val="auto"/>
        </w:rPr>
        <w:t>.2污染物排放标准</w:t>
      </w:r>
    </w:p>
    <w:p>
      <w:pPr>
        <w:numPr>
          <w:ilvl w:val="0"/>
          <w:numId w:val="9"/>
        </w:numPr>
        <w:ind w:firstLine="480"/>
        <w:rPr>
          <w:color w:val="auto"/>
        </w:rPr>
      </w:pPr>
      <w:r>
        <w:rPr>
          <w:color w:val="auto"/>
        </w:rPr>
        <w:t>废气中VOCs执行《挥发性有机物排放标准 第6部分：有机化工行业》（DB37/2801.6-2018）表1有机化工企业或生产设施VOCs排放限值；</w:t>
      </w:r>
      <w:r>
        <w:rPr>
          <w:rFonts w:hint="eastAsia"/>
          <w:color w:val="auto"/>
        </w:rPr>
        <w:t>颗粒物执行《区域性大气污染物综合排放标准》（DB37/2376-2019）表1重点控制区大气污染物排放浓度限值。硫化氢、氨执行《有机化工企业污水处理厂（站）挥发性有机物及恶臭污染物排放标准》（DB37/3161-2018）表1挥发性有机物和恶臭污染物排放限值。</w:t>
      </w:r>
    </w:p>
    <w:p>
      <w:pPr>
        <w:pStyle w:val="2"/>
        <w:spacing w:after="0" w:line="360" w:lineRule="auto"/>
        <w:ind w:firstLine="480"/>
        <w:rPr>
          <w:color w:val="auto"/>
        </w:rPr>
      </w:pPr>
      <w:r>
        <w:rPr>
          <w:color w:val="auto"/>
        </w:rPr>
        <w:t>燃气锅炉排放废气中污染物执行《锅炉大气污染物排放标准》（DB37/2374—2018）表2新建锅炉大气污染物排放浓度限值中重点控制区排放限值。</w:t>
      </w:r>
    </w:p>
    <w:p>
      <w:pPr>
        <w:ind w:firstLine="480"/>
        <w:rPr>
          <w:color w:val="auto"/>
        </w:rPr>
      </w:pPr>
      <w:r>
        <w:rPr>
          <w:color w:val="auto"/>
        </w:rPr>
        <w:t>厂界无组织VOCs执行《挥发性有机物排放标准 第6部分：有机化工行业》（DB 37/ 2801.6-2018）表3厂界监控点浓度限值；无组织颗粒物执行《大气污染物综合排放标准》（GB16297-1996）表2中无组织排放监控浓度限值</w:t>
      </w:r>
      <w:r>
        <w:rPr>
          <w:rFonts w:hint="eastAsia"/>
          <w:color w:val="auto"/>
        </w:rPr>
        <w:t>；无组织硫化氢、氨执行《有机化工企业污水处理厂（站）挥发性有机物及恶臭污染物排放标准》（DB37/3161-2018）表2厂界监控点浓度限值</w:t>
      </w:r>
      <w:r>
        <w:rPr>
          <w:color w:val="auto"/>
        </w:rPr>
        <w:t>。</w:t>
      </w:r>
    </w:p>
    <w:p>
      <w:pPr>
        <w:pStyle w:val="2"/>
        <w:spacing w:after="0" w:line="360" w:lineRule="auto"/>
        <w:ind w:firstLine="480"/>
        <w:rPr>
          <w:color w:val="auto"/>
        </w:rPr>
      </w:pPr>
      <w:r>
        <w:rPr>
          <w:color w:val="auto"/>
        </w:rPr>
        <w:t>厂内无组织VOCs执行《挥发性有机物无组织排放控制标准》（GB 37822-2019）表A.1 厂区内VOCs无组织排放限值。</w:t>
      </w:r>
    </w:p>
    <w:p>
      <w:pPr>
        <w:numPr>
          <w:ilvl w:val="0"/>
          <w:numId w:val="9"/>
        </w:numPr>
        <w:ind w:firstLine="480"/>
        <w:rPr>
          <w:rFonts w:hint="eastAsia"/>
          <w:color w:val="auto"/>
          <w:lang w:val="en-US" w:eastAsia="zh-CN"/>
        </w:rPr>
      </w:pPr>
      <w:r>
        <w:rPr>
          <w:rFonts w:hint="eastAsia"/>
          <w:color w:val="auto"/>
          <w:lang w:val="en-US" w:eastAsia="zh-CN"/>
        </w:rPr>
        <w:t>生产</w:t>
      </w:r>
      <w:r>
        <w:rPr>
          <w:color w:val="auto"/>
        </w:rPr>
        <w:t>废水</w:t>
      </w:r>
      <w:r>
        <w:rPr>
          <w:rFonts w:hint="eastAsia"/>
          <w:color w:val="auto"/>
        </w:rPr>
        <w:t>经过污水处理站处理后</w:t>
      </w:r>
      <w:r>
        <w:rPr>
          <w:rFonts w:hint="eastAsia"/>
          <w:color w:val="auto"/>
          <w:lang w:val="en-US" w:eastAsia="zh-CN"/>
        </w:rPr>
        <w:t>与生活污水汇合后执行《污水综合排放标准》（GB8978-1996）三级标准及光大水务（淄博）有限公司水质净化三分厂纳管水质要求。</w:t>
      </w:r>
    </w:p>
    <w:p>
      <w:pPr>
        <w:ind w:firstLine="480"/>
        <w:rPr>
          <w:color w:val="auto"/>
        </w:rPr>
      </w:pPr>
      <w:r>
        <w:rPr>
          <w:color w:val="auto"/>
        </w:rPr>
        <w:t>3、施工期噪声执行《建筑施工场界环境噪声排放标准》（GB12523-2011），运营期噪声执行《工业企业厂界环境噪声排放标准》（GB12348-2008）3类。</w:t>
      </w:r>
    </w:p>
    <w:p>
      <w:pPr>
        <w:ind w:firstLine="480"/>
        <w:rPr>
          <w:rFonts w:hint="default"/>
          <w:color w:val="auto"/>
          <w:lang w:val="en-US" w:eastAsia="zh-CN"/>
        </w:rPr>
      </w:pPr>
      <w:r>
        <w:rPr>
          <w:color w:val="auto"/>
          <w:lang w:val="en-US" w:eastAsia="zh-CN"/>
        </w:rPr>
        <w:t>4、</w:t>
      </w:r>
      <w:r>
        <w:rPr>
          <w:rFonts w:hint="eastAsia"/>
          <w:color w:val="auto"/>
          <w:lang w:val="en-US" w:eastAsia="zh-CN"/>
        </w:rPr>
        <w:t>执行</w:t>
      </w:r>
      <w:r>
        <w:rPr>
          <w:color w:val="auto"/>
          <w:lang w:val="en-US" w:eastAsia="zh-CN"/>
        </w:rPr>
        <w:t>《一般工业固体废物贮存和填埋污染控制标准》</w:t>
      </w:r>
      <w:r>
        <w:rPr>
          <w:rFonts w:hint="eastAsia"/>
          <w:color w:val="auto"/>
          <w:lang w:val="en-US" w:eastAsia="zh-CN"/>
        </w:rPr>
        <w:t>（</w:t>
      </w:r>
      <w:r>
        <w:rPr>
          <w:color w:val="auto"/>
          <w:lang w:val="en-US" w:eastAsia="zh-CN"/>
        </w:rPr>
        <w:t>GB 18599-2020</w:t>
      </w:r>
      <w:r>
        <w:rPr>
          <w:rFonts w:hint="eastAsia"/>
          <w:color w:val="auto"/>
          <w:lang w:val="en-US" w:eastAsia="zh-CN"/>
        </w:rPr>
        <w:t>），</w:t>
      </w:r>
      <w:r>
        <w:rPr>
          <w:color w:val="auto"/>
          <w:lang w:val="en-US" w:eastAsia="zh-CN"/>
        </w:rPr>
        <w:t>一般工业固体废物其贮存过程应满足相应防渗漏、防雨淋、防扬尘等环境保护要求；危险废物贮存执行《危险废物贮存污染控制标准》（GB18597-2001）及修改单中标准（环境保护部公告2013年第36号）。</w:t>
      </w:r>
      <w:r>
        <w:rPr>
          <w:rFonts w:hint="eastAsia"/>
          <w:color w:val="auto"/>
          <w:lang w:val="en-US" w:eastAsia="zh-CN"/>
        </w:rPr>
        <w:t>一般工业固废台账执行《一般工业固体废物管理台账制定指南》（试行）；危险废物台账执行《危险废物管理计划和管理台账制定技术导则》（HJ1259-2022）。</w:t>
      </w:r>
    </w:p>
    <w:p>
      <w:pPr>
        <w:ind w:firstLine="0" w:firstLineChars="0"/>
        <w:contextualSpacing/>
        <w:jc w:val="center"/>
        <w:rPr>
          <w:rFonts w:eastAsia="黑体"/>
          <w:b w:val="0"/>
          <w:bCs/>
          <w:color w:val="auto"/>
          <w:sz w:val="21"/>
          <w:szCs w:val="21"/>
          <w:lang w:val="en-GB"/>
        </w:rPr>
      </w:pPr>
      <w:r>
        <w:rPr>
          <w:rFonts w:eastAsia="黑体"/>
          <w:b w:val="0"/>
          <w:bCs/>
          <w:color w:val="auto"/>
          <w:sz w:val="21"/>
          <w:szCs w:val="21"/>
          <w:lang w:val="en-GB"/>
        </w:rPr>
        <w:t>表1.</w:t>
      </w:r>
      <w:r>
        <w:rPr>
          <w:rFonts w:hint="eastAsia" w:eastAsia="黑体"/>
          <w:b w:val="0"/>
          <w:bCs/>
          <w:color w:val="auto"/>
          <w:sz w:val="21"/>
          <w:szCs w:val="21"/>
          <w:lang w:val="en-US" w:eastAsia="zh-CN"/>
        </w:rPr>
        <w:t>6</w:t>
      </w:r>
      <w:r>
        <w:rPr>
          <w:rFonts w:eastAsia="黑体"/>
          <w:b w:val="0"/>
          <w:bCs/>
          <w:color w:val="auto"/>
          <w:sz w:val="21"/>
          <w:szCs w:val="21"/>
          <w:lang w:val="en-GB"/>
        </w:rPr>
        <w:t>-7  废气污染物排放标准限值</w:t>
      </w:r>
    </w:p>
    <w:tbl>
      <w:tblPr>
        <w:tblStyle w:val="22"/>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11"/>
        <w:gridCol w:w="1592"/>
        <w:gridCol w:w="1221"/>
        <w:gridCol w:w="1342"/>
        <w:gridCol w:w="622"/>
        <w:gridCol w:w="370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3" w:hRule="atLeast"/>
          <w:jc w:val="center"/>
        </w:trPr>
        <w:tc>
          <w:tcPr>
            <w:tcW w:w="0" w:type="auto"/>
            <w:vMerge w:val="restart"/>
            <w:vAlign w:val="center"/>
          </w:tcPr>
          <w:p>
            <w:pPr>
              <w:spacing w:line="240" w:lineRule="auto"/>
              <w:ind w:firstLine="0" w:firstLineChars="0"/>
              <w:jc w:val="center"/>
              <w:rPr>
                <w:b/>
                <w:color w:val="auto"/>
                <w:sz w:val="21"/>
                <w:szCs w:val="21"/>
              </w:rPr>
            </w:pPr>
            <w:r>
              <w:rPr>
                <w:b/>
                <w:color w:val="auto"/>
                <w:sz w:val="21"/>
                <w:szCs w:val="21"/>
              </w:rPr>
              <w:t>名称</w:t>
            </w:r>
          </w:p>
        </w:tc>
        <w:tc>
          <w:tcPr>
            <w:tcW w:w="0" w:type="auto"/>
            <w:gridSpan w:val="2"/>
            <w:vAlign w:val="center"/>
          </w:tcPr>
          <w:p>
            <w:pPr>
              <w:spacing w:line="240" w:lineRule="auto"/>
              <w:ind w:firstLine="0" w:firstLineChars="0"/>
              <w:jc w:val="center"/>
              <w:rPr>
                <w:b/>
                <w:color w:val="auto"/>
                <w:sz w:val="21"/>
                <w:szCs w:val="21"/>
              </w:rPr>
            </w:pPr>
            <w:r>
              <w:rPr>
                <w:b/>
                <w:color w:val="auto"/>
                <w:sz w:val="21"/>
                <w:szCs w:val="21"/>
              </w:rPr>
              <w:t>有组织排放</w:t>
            </w:r>
          </w:p>
        </w:tc>
        <w:tc>
          <w:tcPr>
            <w:tcW w:w="0" w:type="auto"/>
            <w:gridSpan w:val="2"/>
            <w:vMerge w:val="restart"/>
            <w:vAlign w:val="center"/>
          </w:tcPr>
          <w:p>
            <w:pPr>
              <w:spacing w:line="240" w:lineRule="auto"/>
              <w:ind w:firstLine="0" w:firstLineChars="0"/>
              <w:jc w:val="center"/>
              <w:rPr>
                <w:b/>
                <w:color w:val="auto"/>
                <w:sz w:val="21"/>
                <w:szCs w:val="21"/>
              </w:rPr>
            </w:pPr>
            <w:r>
              <w:rPr>
                <w:b/>
                <w:color w:val="auto"/>
                <w:sz w:val="21"/>
                <w:szCs w:val="21"/>
              </w:rPr>
              <w:t>厂界（厂区内）无组织排放浓度限值（mg/m</w:t>
            </w:r>
            <w:r>
              <w:rPr>
                <w:b/>
                <w:color w:val="auto"/>
                <w:sz w:val="21"/>
                <w:szCs w:val="21"/>
                <w:vertAlign w:val="superscript"/>
              </w:rPr>
              <w:t>3</w:t>
            </w:r>
            <w:r>
              <w:rPr>
                <w:b/>
                <w:color w:val="auto"/>
                <w:sz w:val="21"/>
                <w:szCs w:val="21"/>
              </w:rPr>
              <w:t>）</w:t>
            </w:r>
          </w:p>
        </w:tc>
        <w:tc>
          <w:tcPr>
            <w:tcW w:w="0" w:type="auto"/>
            <w:vMerge w:val="restart"/>
            <w:vAlign w:val="center"/>
          </w:tcPr>
          <w:p>
            <w:pPr>
              <w:spacing w:line="240" w:lineRule="auto"/>
              <w:ind w:firstLine="0" w:firstLineChars="0"/>
              <w:jc w:val="center"/>
              <w:rPr>
                <w:b/>
                <w:color w:val="auto"/>
                <w:sz w:val="21"/>
                <w:szCs w:val="21"/>
              </w:rPr>
            </w:pPr>
            <w:r>
              <w:rPr>
                <w:b/>
                <w:color w:val="auto"/>
                <w:sz w:val="21"/>
                <w:szCs w:val="21"/>
              </w:rPr>
              <w:t>执行标准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6" w:hRule="atLeast"/>
          <w:jc w:val="center"/>
        </w:trPr>
        <w:tc>
          <w:tcPr>
            <w:tcW w:w="0" w:type="auto"/>
            <w:vMerge w:val="continue"/>
            <w:vAlign w:val="center"/>
          </w:tcPr>
          <w:p>
            <w:pPr>
              <w:spacing w:line="240" w:lineRule="auto"/>
              <w:ind w:firstLine="0" w:firstLineChars="0"/>
              <w:jc w:val="center"/>
              <w:rPr>
                <w:b/>
                <w:color w:val="auto"/>
                <w:sz w:val="21"/>
                <w:szCs w:val="21"/>
              </w:rPr>
            </w:pPr>
          </w:p>
        </w:tc>
        <w:tc>
          <w:tcPr>
            <w:tcW w:w="1592" w:type="dxa"/>
            <w:vAlign w:val="center"/>
          </w:tcPr>
          <w:p>
            <w:pPr>
              <w:spacing w:line="240" w:lineRule="auto"/>
              <w:ind w:firstLine="0" w:firstLineChars="0"/>
              <w:jc w:val="center"/>
              <w:rPr>
                <w:b/>
                <w:color w:val="auto"/>
                <w:sz w:val="21"/>
                <w:szCs w:val="21"/>
              </w:rPr>
            </w:pPr>
            <w:r>
              <w:rPr>
                <w:b/>
                <w:color w:val="auto"/>
                <w:sz w:val="21"/>
                <w:szCs w:val="21"/>
              </w:rPr>
              <w:t>最高允许排放浓度（mg/m</w:t>
            </w:r>
            <w:r>
              <w:rPr>
                <w:b/>
                <w:color w:val="auto"/>
                <w:sz w:val="21"/>
                <w:szCs w:val="21"/>
                <w:vertAlign w:val="superscript"/>
              </w:rPr>
              <w:t>3</w:t>
            </w:r>
            <w:r>
              <w:rPr>
                <w:b/>
                <w:color w:val="auto"/>
                <w:sz w:val="21"/>
                <w:szCs w:val="21"/>
              </w:rPr>
              <w:t>）</w:t>
            </w:r>
          </w:p>
        </w:tc>
        <w:tc>
          <w:tcPr>
            <w:tcW w:w="1221" w:type="dxa"/>
            <w:vAlign w:val="center"/>
          </w:tcPr>
          <w:p>
            <w:pPr>
              <w:spacing w:line="240" w:lineRule="auto"/>
              <w:ind w:firstLine="0" w:firstLineChars="0"/>
              <w:jc w:val="center"/>
              <w:rPr>
                <w:b/>
                <w:color w:val="auto"/>
                <w:sz w:val="21"/>
                <w:szCs w:val="21"/>
              </w:rPr>
            </w:pPr>
            <w:r>
              <w:rPr>
                <w:b/>
                <w:color w:val="auto"/>
                <w:sz w:val="21"/>
                <w:szCs w:val="21"/>
              </w:rPr>
              <w:t>排放速率（kg/h）</w:t>
            </w:r>
          </w:p>
        </w:tc>
        <w:tc>
          <w:tcPr>
            <w:tcW w:w="0" w:type="auto"/>
            <w:gridSpan w:val="2"/>
            <w:vMerge w:val="continue"/>
            <w:vAlign w:val="center"/>
          </w:tcPr>
          <w:p>
            <w:pPr>
              <w:spacing w:line="240" w:lineRule="auto"/>
              <w:ind w:firstLine="0" w:firstLineChars="0"/>
              <w:jc w:val="center"/>
              <w:rPr>
                <w:color w:val="auto"/>
                <w:sz w:val="21"/>
                <w:szCs w:val="21"/>
              </w:rPr>
            </w:pPr>
          </w:p>
        </w:tc>
        <w:tc>
          <w:tcPr>
            <w:tcW w:w="0" w:type="auto"/>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6" w:hRule="atLeast"/>
          <w:jc w:val="center"/>
        </w:trPr>
        <w:tc>
          <w:tcPr>
            <w:tcW w:w="0" w:type="auto"/>
            <w:vAlign w:val="center"/>
          </w:tcPr>
          <w:p>
            <w:pPr>
              <w:spacing w:line="240" w:lineRule="auto"/>
              <w:ind w:firstLine="0" w:firstLineChars="0"/>
              <w:jc w:val="center"/>
              <w:rPr>
                <w:color w:val="auto"/>
                <w:sz w:val="21"/>
                <w:szCs w:val="21"/>
              </w:rPr>
            </w:pPr>
            <w:r>
              <w:rPr>
                <w:color w:val="auto"/>
                <w:sz w:val="21"/>
                <w:szCs w:val="21"/>
              </w:rPr>
              <w:t>VOCs</w:t>
            </w:r>
          </w:p>
        </w:tc>
        <w:tc>
          <w:tcPr>
            <w:tcW w:w="1592" w:type="dxa"/>
            <w:vAlign w:val="center"/>
          </w:tcPr>
          <w:p>
            <w:pPr>
              <w:spacing w:line="240" w:lineRule="auto"/>
              <w:ind w:firstLine="0" w:firstLineChars="0"/>
              <w:jc w:val="center"/>
              <w:rPr>
                <w:color w:val="auto"/>
                <w:sz w:val="21"/>
                <w:szCs w:val="21"/>
              </w:rPr>
            </w:pPr>
            <w:r>
              <w:rPr>
                <w:color w:val="auto"/>
                <w:sz w:val="21"/>
                <w:szCs w:val="21"/>
              </w:rPr>
              <w:t>60</w:t>
            </w:r>
          </w:p>
        </w:tc>
        <w:tc>
          <w:tcPr>
            <w:tcW w:w="1221" w:type="dxa"/>
            <w:vAlign w:val="center"/>
          </w:tcPr>
          <w:p>
            <w:pPr>
              <w:spacing w:line="240" w:lineRule="auto"/>
              <w:ind w:firstLine="0" w:firstLineChars="0"/>
              <w:jc w:val="center"/>
              <w:rPr>
                <w:color w:val="auto"/>
                <w:sz w:val="21"/>
                <w:szCs w:val="21"/>
              </w:rPr>
            </w:pPr>
            <w:r>
              <w:rPr>
                <w:color w:val="auto"/>
                <w:sz w:val="21"/>
                <w:szCs w:val="21"/>
              </w:rPr>
              <w:t>3.0</w:t>
            </w:r>
          </w:p>
        </w:tc>
        <w:tc>
          <w:tcPr>
            <w:tcW w:w="0" w:type="auto"/>
            <w:gridSpan w:val="2"/>
            <w:vAlign w:val="center"/>
          </w:tcPr>
          <w:p>
            <w:pPr>
              <w:spacing w:line="240" w:lineRule="auto"/>
              <w:ind w:firstLine="0" w:firstLineChars="0"/>
              <w:jc w:val="center"/>
              <w:rPr>
                <w:color w:val="auto"/>
                <w:sz w:val="21"/>
                <w:szCs w:val="21"/>
              </w:rPr>
            </w:pPr>
            <w:r>
              <w:rPr>
                <w:color w:val="auto"/>
                <w:sz w:val="21"/>
                <w:szCs w:val="21"/>
              </w:rPr>
              <w:t>2.0</w:t>
            </w:r>
          </w:p>
        </w:tc>
        <w:tc>
          <w:tcPr>
            <w:tcW w:w="0" w:type="auto"/>
            <w:vAlign w:val="center"/>
          </w:tcPr>
          <w:p>
            <w:pPr>
              <w:spacing w:line="240" w:lineRule="auto"/>
              <w:ind w:firstLine="0" w:firstLineChars="0"/>
              <w:jc w:val="center"/>
              <w:rPr>
                <w:color w:val="auto"/>
                <w:sz w:val="21"/>
                <w:szCs w:val="21"/>
              </w:rPr>
            </w:pPr>
            <w:r>
              <w:rPr>
                <w:color w:val="auto"/>
                <w:sz w:val="21"/>
                <w:szCs w:val="21"/>
              </w:rPr>
              <w:t>《挥发性有机物排放标准 第6 部分：有机化工行业》（DB 37/ 2801.6-2018）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6" w:hRule="atLeast"/>
          <w:jc w:val="center"/>
        </w:trPr>
        <w:tc>
          <w:tcPr>
            <w:tcW w:w="0" w:type="auto"/>
            <w:vAlign w:val="center"/>
          </w:tcPr>
          <w:p>
            <w:pPr>
              <w:spacing w:line="240" w:lineRule="auto"/>
              <w:ind w:firstLine="0" w:firstLineChars="0"/>
              <w:jc w:val="center"/>
              <w:rPr>
                <w:color w:val="auto"/>
                <w:sz w:val="21"/>
                <w:szCs w:val="21"/>
              </w:rPr>
            </w:pPr>
            <w:r>
              <w:rPr>
                <w:rFonts w:hint="eastAsia"/>
                <w:color w:val="auto"/>
                <w:sz w:val="21"/>
                <w:szCs w:val="21"/>
              </w:rPr>
              <w:t>颗粒物</w:t>
            </w:r>
          </w:p>
        </w:tc>
        <w:tc>
          <w:tcPr>
            <w:tcW w:w="1592" w:type="dxa"/>
            <w:vAlign w:val="center"/>
          </w:tcPr>
          <w:p>
            <w:pPr>
              <w:spacing w:line="240" w:lineRule="auto"/>
              <w:ind w:firstLine="0" w:firstLineChars="0"/>
              <w:jc w:val="center"/>
              <w:rPr>
                <w:color w:val="auto"/>
                <w:sz w:val="21"/>
                <w:szCs w:val="21"/>
              </w:rPr>
            </w:pPr>
            <w:r>
              <w:rPr>
                <w:rFonts w:hint="eastAsia"/>
                <w:color w:val="auto"/>
                <w:sz w:val="21"/>
                <w:szCs w:val="21"/>
              </w:rPr>
              <w:t>10</w:t>
            </w:r>
          </w:p>
        </w:tc>
        <w:tc>
          <w:tcPr>
            <w:tcW w:w="1221" w:type="dxa"/>
            <w:vAlign w:val="center"/>
          </w:tcPr>
          <w:p>
            <w:pPr>
              <w:spacing w:line="240" w:lineRule="auto"/>
              <w:ind w:firstLine="0" w:firstLineChars="0"/>
              <w:jc w:val="center"/>
              <w:rPr>
                <w:color w:val="auto"/>
                <w:sz w:val="21"/>
                <w:szCs w:val="21"/>
              </w:rPr>
            </w:pPr>
            <w:r>
              <w:rPr>
                <w:color w:val="auto"/>
                <w:sz w:val="21"/>
                <w:szCs w:val="21"/>
              </w:rPr>
              <w:t>/</w:t>
            </w:r>
          </w:p>
        </w:tc>
        <w:tc>
          <w:tcPr>
            <w:tcW w:w="0" w:type="auto"/>
            <w:gridSpan w:val="2"/>
            <w:vAlign w:val="center"/>
          </w:tcPr>
          <w:p>
            <w:pPr>
              <w:spacing w:line="240" w:lineRule="auto"/>
              <w:ind w:firstLine="0" w:firstLineChars="0"/>
              <w:jc w:val="center"/>
              <w:rPr>
                <w:color w:val="auto"/>
                <w:sz w:val="21"/>
                <w:szCs w:val="21"/>
              </w:rPr>
            </w:pPr>
            <w:r>
              <w:rPr>
                <w:color w:val="auto"/>
                <w:sz w:val="21"/>
                <w:szCs w:val="21"/>
              </w:rPr>
              <w:t>/</w:t>
            </w:r>
          </w:p>
        </w:tc>
        <w:tc>
          <w:tcPr>
            <w:tcW w:w="0" w:type="auto"/>
            <w:vAlign w:val="center"/>
          </w:tcPr>
          <w:p>
            <w:pPr>
              <w:spacing w:line="240" w:lineRule="auto"/>
              <w:ind w:firstLine="0" w:firstLineChars="0"/>
              <w:jc w:val="center"/>
              <w:rPr>
                <w:color w:val="auto"/>
                <w:sz w:val="21"/>
                <w:szCs w:val="21"/>
              </w:rPr>
            </w:pPr>
            <w:r>
              <w:rPr>
                <w:rFonts w:hint="eastAsia"/>
                <w:color w:val="auto"/>
                <w:sz w:val="21"/>
                <w:szCs w:val="21"/>
              </w:rPr>
              <w:t>《区域性大气污染物综合排放标准》（DB37/2376-2019）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6" w:hRule="atLeast"/>
          <w:jc w:val="center"/>
        </w:trPr>
        <w:tc>
          <w:tcPr>
            <w:tcW w:w="0" w:type="auto"/>
            <w:vAlign w:val="center"/>
          </w:tcPr>
          <w:p>
            <w:pPr>
              <w:spacing w:line="240" w:lineRule="auto"/>
              <w:ind w:firstLine="0" w:firstLineChars="0"/>
              <w:jc w:val="center"/>
              <w:rPr>
                <w:color w:val="auto"/>
                <w:sz w:val="21"/>
                <w:szCs w:val="21"/>
              </w:rPr>
            </w:pPr>
            <w:r>
              <w:rPr>
                <w:rFonts w:hint="eastAsia"/>
                <w:color w:val="auto"/>
                <w:sz w:val="21"/>
                <w:szCs w:val="21"/>
              </w:rPr>
              <w:t>氨</w:t>
            </w:r>
          </w:p>
        </w:tc>
        <w:tc>
          <w:tcPr>
            <w:tcW w:w="1592" w:type="dxa"/>
            <w:vAlign w:val="center"/>
          </w:tcPr>
          <w:p>
            <w:pPr>
              <w:spacing w:line="240" w:lineRule="auto"/>
              <w:ind w:firstLine="0" w:firstLineChars="0"/>
              <w:jc w:val="center"/>
              <w:rPr>
                <w:color w:val="auto"/>
                <w:sz w:val="21"/>
                <w:szCs w:val="21"/>
              </w:rPr>
            </w:pPr>
            <w:r>
              <w:rPr>
                <w:rFonts w:hint="eastAsia"/>
                <w:color w:val="auto"/>
                <w:sz w:val="21"/>
                <w:szCs w:val="21"/>
              </w:rPr>
              <w:t>20</w:t>
            </w:r>
          </w:p>
        </w:tc>
        <w:tc>
          <w:tcPr>
            <w:tcW w:w="1221" w:type="dxa"/>
            <w:vAlign w:val="center"/>
          </w:tcPr>
          <w:p>
            <w:pPr>
              <w:spacing w:line="240" w:lineRule="auto"/>
              <w:ind w:firstLine="0" w:firstLineChars="0"/>
              <w:jc w:val="center"/>
              <w:rPr>
                <w:color w:val="auto"/>
                <w:sz w:val="21"/>
                <w:szCs w:val="21"/>
              </w:rPr>
            </w:pPr>
            <w:r>
              <w:rPr>
                <w:rFonts w:hint="eastAsia"/>
                <w:color w:val="auto"/>
                <w:sz w:val="21"/>
                <w:szCs w:val="21"/>
              </w:rPr>
              <w:t>1.0</w:t>
            </w:r>
          </w:p>
        </w:tc>
        <w:tc>
          <w:tcPr>
            <w:tcW w:w="0" w:type="auto"/>
            <w:gridSpan w:val="2"/>
            <w:vAlign w:val="center"/>
          </w:tcPr>
          <w:p>
            <w:pPr>
              <w:spacing w:line="240" w:lineRule="auto"/>
              <w:ind w:firstLine="0" w:firstLineChars="0"/>
              <w:jc w:val="center"/>
              <w:rPr>
                <w:color w:val="auto"/>
                <w:sz w:val="21"/>
                <w:szCs w:val="21"/>
              </w:rPr>
            </w:pPr>
            <w:r>
              <w:rPr>
                <w:rFonts w:hint="eastAsia"/>
                <w:color w:val="auto"/>
                <w:sz w:val="21"/>
                <w:szCs w:val="21"/>
              </w:rPr>
              <w:t>1.0</w:t>
            </w:r>
          </w:p>
        </w:tc>
        <w:tc>
          <w:tcPr>
            <w:tcW w:w="0" w:type="auto"/>
            <w:vMerge w:val="restart"/>
            <w:vAlign w:val="center"/>
          </w:tcPr>
          <w:p>
            <w:pPr>
              <w:spacing w:line="240" w:lineRule="auto"/>
              <w:ind w:firstLine="0" w:firstLineChars="0"/>
              <w:jc w:val="center"/>
              <w:rPr>
                <w:color w:val="auto"/>
                <w:sz w:val="21"/>
                <w:szCs w:val="21"/>
              </w:rPr>
            </w:pPr>
            <w:r>
              <w:rPr>
                <w:rFonts w:hint="eastAsia"/>
                <w:color w:val="auto"/>
                <w:sz w:val="21"/>
                <w:szCs w:val="21"/>
              </w:rPr>
              <w:t>《有机化工企业污水处理厂（站）挥发性有机物及恶臭污染物排放标准》（DB37/3161-2018）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6" w:hRule="atLeast"/>
          <w:jc w:val="center"/>
        </w:trPr>
        <w:tc>
          <w:tcPr>
            <w:tcW w:w="0" w:type="auto"/>
            <w:vAlign w:val="center"/>
          </w:tcPr>
          <w:p>
            <w:pPr>
              <w:spacing w:line="240" w:lineRule="auto"/>
              <w:ind w:firstLine="0" w:firstLineChars="0"/>
              <w:jc w:val="center"/>
              <w:rPr>
                <w:color w:val="auto"/>
                <w:sz w:val="21"/>
                <w:szCs w:val="21"/>
              </w:rPr>
            </w:pPr>
            <w:r>
              <w:rPr>
                <w:rFonts w:hint="eastAsia"/>
                <w:color w:val="auto"/>
                <w:sz w:val="21"/>
                <w:szCs w:val="21"/>
              </w:rPr>
              <w:t>硫化氢</w:t>
            </w:r>
          </w:p>
        </w:tc>
        <w:tc>
          <w:tcPr>
            <w:tcW w:w="1592" w:type="dxa"/>
            <w:vAlign w:val="center"/>
          </w:tcPr>
          <w:p>
            <w:pPr>
              <w:spacing w:line="240" w:lineRule="auto"/>
              <w:ind w:firstLine="0" w:firstLineChars="0"/>
              <w:jc w:val="center"/>
              <w:rPr>
                <w:color w:val="auto"/>
                <w:sz w:val="21"/>
                <w:szCs w:val="21"/>
              </w:rPr>
            </w:pPr>
            <w:r>
              <w:rPr>
                <w:rFonts w:hint="eastAsia"/>
                <w:color w:val="auto"/>
                <w:sz w:val="21"/>
                <w:szCs w:val="21"/>
              </w:rPr>
              <w:t>3</w:t>
            </w:r>
          </w:p>
        </w:tc>
        <w:tc>
          <w:tcPr>
            <w:tcW w:w="1221" w:type="dxa"/>
            <w:vAlign w:val="center"/>
          </w:tcPr>
          <w:p>
            <w:pPr>
              <w:spacing w:line="240" w:lineRule="auto"/>
              <w:ind w:firstLine="0" w:firstLineChars="0"/>
              <w:jc w:val="center"/>
              <w:rPr>
                <w:color w:val="auto"/>
                <w:sz w:val="21"/>
                <w:szCs w:val="21"/>
              </w:rPr>
            </w:pPr>
            <w:r>
              <w:rPr>
                <w:rFonts w:hint="eastAsia"/>
                <w:color w:val="auto"/>
                <w:sz w:val="21"/>
                <w:szCs w:val="21"/>
              </w:rPr>
              <w:t>0.1</w:t>
            </w:r>
          </w:p>
        </w:tc>
        <w:tc>
          <w:tcPr>
            <w:tcW w:w="0" w:type="auto"/>
            <w:gridSpan w:val="2"/>
            <w:vAlign w:val="center"/>
          </w:tcPr>
          <w:p>
            <w:pPr>
              <w:spacing w:line="240" w:lineRule="auto"/>
              <w:ind w:firstLine="0" w:firstLineChars="0"/>
              <w:jc w:val="center"/>
              <w:rPr>
                <w:color w:val="auto"/>
                <w:sz w:val="21"/>
                <w:szCs w:val="21"/>
              </w:rPr>
            </w:pPr>
            <w:r>
              <w:rPr>
                <w:rFonts w:hint="eastAsia"/>
                <w:color w:val="auto"/>
                <w:sz w:val="21"/>
                <w:szCs w:val="21"/>
              </w:rPr>
              <w:t>0.03</w:t>
            </w:r>
          </w:p>
        </w:tc>
        <w:tc>
          <w:tcPr>
            <w:tcW w:w="0" w:type="auto"/>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6" w:hRule="atLeast"/>
          <w:jc w:val="center"/>
        </w:trPr>
        <w:tc>
          <w:tcPr>
            <w:tcW w:w="0" w:type="auto"/>
            <w:vAlign w:val="center"/>
          </w:tcPr>
          <w:p>
            <w:pPr>
              <w:spacing w:line="240" w:lineRule="auto"/>
              <w:ind w:firstLine="0" w:firstLineChars="0"/>
              <w:jc w:val="center"/>
              <w:rPr>
                <w:color w:val="auto"/>
                <w:sz w:val="21"/>
                <w:szCs w:val="21"/>
              </w:rPr>
            </w:pPr>
            <w:r>
              <w:rPr>
                <w:rFonts w:hint="eastAsia"/>
                <w:color w:val="auto"/>
                <w:sz w:val="21"/>
                <w:szCs w:val="21"/>
              </w:rPr>
              <w:t>臭气浓度</w:t>
            </w:r>
          </w:p>
        </w:tc>
        <w:tc>
          <w:tcPr>
            <w:tcW w:w="0" w:type="auto"/>
            <w:gridSpan w:val="2"/>
            <w:vAlign w:val="center"/>
          </w:tcPr>
          <w:p>
            <w:pPr>
              <w:spacing w:line="240" w:lineRule="auto"/>
              <w:ind w:firstLine="0" w:firstLineChars="0"/>
              <w:jc w:val="center"/>
              <w:rPr>
                <w:color w:val="auto"/>
                <w:sz w:val="21"/>
                <w:szCs w:val="21"/>
              </w:rPr>
            </w:pPr>
            <w:r>
              <w:rPr>
                <w:rFonts w:hint="eastAsia"/>
                <w:color w:val="auto"/>
                <w:sz w:val="21"/>
                <w:szCs w:val="21"/>
              </w:rPr>
              <w:t>800（无量纲）</w:t>
            </w:r>
          </w:p>
        </w:tc>
        <w:tc>
          <w:tcPr>
            <w:tcW w:w="0" w:type="auto"/>
            <w:gridSpan w:val="2"/>
            <w:vAlign w:val="center"/>
          </w:tcPr>
          <w:p>
            <w:pPr>
              <w:spacing w:line="240" w:lineRule="auto"/>
              <w:ind w:firstLine="0" w:firstLineChars="0"/>
              <w:jc w:val="center"/>
              <w:rPr>
                <w:color w:val="auto"/>
                <w:sz w:val="21"/>
                <w:szCs w:val="21"/>
              </w:rPr>
            </w:pPr>
            <w:r>
              <w:rPr>
                <w:rFonts w:hint="eastAsia"/>
                <w:color w:val="auto"/>
                <w:sz w:val="21"/>
                <w:szCs w:val="21"/>
              </w:rPr>
              <w:t>20（无量纲）</w:t>
            </w:r>
          </w:p>
        </w:tc>
        <w:tc>
          <w:tcPr>
            <w:tcW w:w="0" w:type="auto"/>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6" w:hRule="atLeast"/>
          <w:jc w:val="center"/>
        </w:trPr>
        <w:tc>
          <w:tcPr>
            <w:tcW w:w="0" w:type="auto"/>
            <w:vMerge w:val="restart"/>
            <w:vAlign w:val="center"/>
          </w:tcPr>
          <w:p>
            <w:pPr>
              <w:spacing w:line="240" w:lineRule="auto"/>
              <w:ind w:firstLine="0" w:firstLineChars="0"/>
              <w:jc w:val="center"/>
              <w:rPr>
                <w:color w:val="auto"/>
                <w:sz w:val="21"/>
                <w:szCs w:val="21"/>
              </w:rPr>
            </w:pPr>
            <w:r>
              <w:rPr>
                <w:color w:val="auto"/>
                <w:sz w:val="21"/>
                <w:szCs w:val="21"/>
              </w:rPr>
              <w:t>VOCs</w:t>
            </w:r>
          </w:p>
        </w:tc>
        <w:tc>
          <w:tcPr>
            <w:tcW w:w="1592" w:type="dxa"/>
            <w:vMerge w:val="restart"/>
            <w:vAlign w:val="center"/>
          </w:tcPr>
          <w:p>
            <w:pPr>
              <w:spacing w:line="240" w:lineRule="auto"/>
              <w:ind w:firstLine="0" w:firstLineChars="0"/>
              <w:jc w:val="center"/>
              <w:rPr>
                <w:color w:val="auto"/>
                <w:sz w:val="21"/>
                <w:szCs w:val="21"/>
              </w:rPr>
            </w:pPr>
            <w:r>
              <w:rPr>
                <w:color w:val="auto"/>
                <w:sz w:val="21"/>
                <w:szCs w:val="21"/>
              </w:rPr>
              <w:t>/</w:t>
            </w:r>
          </w:p>
        </w:tc>
        <w:tc>
          <w:tcPr>
            <w:tcW w:w="1221" w:type="dxa"/>
            <w:vMerge w:val="restart"/>
            <w:vAlign w:val="center"/>
          </w:tcPr>
          <w:p>
            <w:pPr>
              <w:spacing w:line="240" w:lineRule="auto"/>
              <w:ind w:firstLine="0" w:firstLineChars="0"/>
              <w:jc w:val="center"/>
              <w:rPr>
                <w:color w:val="auto"/>
                <w:sz w:val="21"/>
                <w:szCs w:val="21"/>
              </w:rPr>
            </w:pPr>
            <w:r>
              <w:rPr>
                <w:color w:val="auto"/>
                <w:sz w:val="21"/>
                <w:szCs w:val="21"/>
              </w:rPr>
              <w:t>/</w:t>
            </w:r>
          </w:p>
        </w:tc>
        <w:tc>
          <w:tcPr>
            <w:tcW w:w="0" w:type="auto"/>
            <w:gridSpan w:val="2"/>
            <w:vAlign w:val="center"/>
          </w:tcPr>
          <w:p>
            <w:pPr>
              <w:spacing w:line="240" w:lineRule="auto"/>
              <w:ind w:firstLine="0" w:firstLineChars="0"/>
              <w:jc w:val="center"/>
              <w:rPr>
                <w:color w:val="auto"/>
                <w:sz w:val="21"/>
                <w:szCs w:val="21"/>
              </w:rPr>
            </w:pPr>
            <w:r>
              <w:rPr>
                <w:rFonts w:hint="eastAsia"/>
                <w:color w:val="auto"/>
                <w:sz w:val="21"/>
                <w:szCs w:val="21"/>
              </w:rPr>
              <w:t>10</w:t>
            </w:r>
            <w:r>
              <w:rPr>
                <w:color w:val="auto"/>
                <w:sz w:val="21"/>
                <w:szCs w:val="21"/>
              </w:rPr>
              <w:t>（</w:t>
            </w:r>
            <w:r>
              <w:rPr>
                <w:rFonts w:hint="eastAsia"/>
                <w:color w:val="auto"/>
                <w:sz w:val="21"/>
                <w:szCs w:val="21"/>
                <w:lang w:val="en-US" w:eastAsia="zh-CN"/>
              </w:rPr>
              <w:t>厂区内</w:t>
            </w:r>
            <w:r>
              <w:rPr>
                <w:color w:val="auto"/>
                <w:sz w:val="21"/>
                <w:szCs w:val="21"/>
              </w:rPr>
              <w:t>1h平均浓度值）</w:t>
            </w:r>
          </w:p>
        </w:tc>
        <w:tc>
          <w:tcPr>
            <w:tcW w:w="0" w:type="auto"/>
            <w:vMerge w:val="restart"/>
            <w:vAlign w:val="center"/>
          </w:tcPr>
          <w:p>
            <w:pPr>
              <w:spacing w:line="240" w:lineRule="auto"/>
              <w:ind w:firstLine="0" w:firstLineChars="0"/>
              <w:jc w:val="center"/>
              <w:rPr>
                <w:color w:val="auto"/>
                <w:sz w:val="21"/>
                <w:szCs w:val="21"/>
              </w:rPr>
            </w:pPr>
            <w:r>
              <w:rPr>
                <w:color w:val="auto"/>
                <w:sz w:val="21"/>
                <w:szCs w:val="21"/>
              </w:rPr>
              <w:t>《挥发性有机物无组织排放控制标准》（GB 37822-2019）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6" w:hRule="atLeast"/>
          <w:jc w:val="center"/>
        </w:trPr>
        <w:tc>
          <w:tcPr>
            <w:tcW w:w="0" w:type="auto"/>
            <w:vMerge w:val="continue"/>
            <w:vAlign w:val="center"/>
          </w:tcPr>
          <w:p>
            <w:pPr>
              <w:spacing w:line="240" w:lineRule="auto"/>
              <w:ind w:firstLine="0" w:firstLineChars="0"/>
              <w:jc w:val="center"/>
              <w:rPr>
                <w:color w:val="auto"/>
                <w:sz w:val="21"/>
                <w:szCs w:val="21"/>
              </w:rPr>
            </w:pPr>
          </w:p>
        </w:tc>
        <w:tc>
          <w:tcPr>
            <w:tcW w:w="1592" w:type="dxa"/>
            <w:vMerge w:val="continue"/>
            <w:vAlign w:val="center"/>
          </w:tcPr>
          <w:p>
            <w:pPr>
              <w:spacing w:line="240" w:lineRule="auto"/>
              <w:ind w:firstLine="0" w:firstLineChars="0"/>
              <w:jc w:val="center"/>
              <w:rPr>
                <w:color w:val="auto"/>
                <w:sz w:val="21"/>
                <w:szCs w:val="21"/>
              </w:rPr>
            </w:pPr>
          </w:p>
        </w:tc>
        <w:tc>
          <w:tcPr>
            <w:tcW w:w="1221" w:type="dxa"/>
            <w:vMerge w:val="continue"/>
            <w:vAlign w:val="center"/>
          </w:tcPr>
          <w:p>
            <w:pPr>
              <w:spacing w:line="240" w:lineRule="auto"/>
              <w:ind w:firstLine="0" w:firstLineChars="0"/>
              <w:jc w:val="center"/>
              <w:rPr>
                <w:color w:val="auto"/>
                <w:sz w:val="21"/>
                <w:szCs w:val="21"/>
              </w:rPr>
            </w:pPr>
          </w:p>
        </w:tc>
        <w:tc>
          <w:tcPr>
            <w:tcW w:w="0" w:type="auto"/>
            <w:gridSpan w:val="2"/>
            <w:vAlign w:val="center"/>
          </w:tcPr>
          <w:p>
            <w:pPr>
              <w:spacing w:line="240" w:lineRule="auto"/>
              <w:ind w:firstLine="0" w:firstLineChars="0"/>
              <w:jc w:val="center"/>
              <w:rPr>
                <w:color w:val="auto"/>
                <w:sz w:val="21"/>
                <w:szCs w:val="21"/>
              </w:rPr>
            </w:pPr>
            <w:r>
              <w:rPr>
                <w:rFonts w:hint="eastAsia"/>
                <w:color w:val="auto"/>
                <w:sz w:val="21"/>
                <w:szCs w:val="21"/>
              </w:rPr>
              <w:t>30</w:t>
            </w:r>
            <w:r>
              <w:rPr>
                <w:color w:val="auto"/>
                <w:sz w:val="21"/>
                <w:szCs w:val="21"/>
              </w:rPr>
              <w:t>（</w:t>
            </w:r>
            <w:r>
              <w:rPr>
                <w:rFonts w:hint="eastAsia"/>
                <w:color w:val="auto"/>
                <w:sz w:val="21"/>
                <w:szCs w:val="21"/>
                <w:lang w:val="en-US" w:eastAsia="zh-CN"/>
              </w:rPr>
              <w:t>厂区内</w:t>
            </w:r>
            <w:r>
              <w:rPr>
                <w:color w:val="auto"/>
                <w:sz w:val="21"/>
                <w:szCs w:val="21"/>
              </w:rPr>
              <w:t>任意一次浓度值）</w:t>
            </w:r>
          </w:p>
        </w:tc>
        <w:tc>
          <w:tcPr>
            <w:tcW w:w="0" w:type="auto"/>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6" w:hRule="atLeast"/>
          <w:jc w:val="center"/>
        </w:trPr>
        <w:tc>
          <w:tcPr>
            <w:tcW w:w="0" w:type="auto"/>
            <w:vAlign w:val="center"/>
          </w:tcPr>
          <w:p>
            <w:pPr>
              <w:spacing w:line="240" w:lineRule="auto"/>
              <w:ind w:firstLine="0" w:firstLineChars="0"/>
              <w:jc w:val="center"/>
              <w:rPr>
                <w:color w:val="auto"/>
                <w:sz w:val="21"/>
                <w:szCs w:val="21"/>
              </w:rPr>
            </w:pPr>
            <w:r>
              <w:rPr>
                <w:color w:val="auto"/>
                <w:sz w:val="21"/>
                <w:szCs w:val="21"/>
              </w:rPr>
              <w:t>颗粒物</w:t>
            </w:r>
          </w:p>
        </w:tc>
        <w:tc>
          <w:tcPr>
            <w:tcW w:w="1592" w:type="dxa"/>
            <w:vAlign w:val="center"/>
          </w:tcPr>
          <w:p>
            <w:pPr>
              <w:spacing w:line="240" w:lineRule="auto"/>
              <w:ind w:firstLine="0" w:firstLineChars="0"/>
              <w:jc w:val="center"/>
              <w:rPr>
                <w:color w:val="auto"/>
                <w:sz w:val="21"/>
                <w:szCs w:val="21"/>
              </w:rPr>
            </w:pPr>
            <w:r>
              <w:rPr>
                <w:color w:val="auto"/>
                <w:sz w:val="21"/>
                <w:szCs w:val="21"/>
              </w:rPr>
              <w:t>10</w:t>
            </w:r>
          </w:p>
        </w:tc>
        <w:tc>
          <w:tcPr>
            <w:tcW w:w="1221" w:type="dxa"/>
            <w:vAlign w:val="center"/>
          </w:tcPr>
          <w:p>
            <w:pPr>
              <w:spacing w:line="240" w:lineRule="auto"/>
              <w:ind w:firstLine="0" w:firstLineChars="0"/>
              <w:jc w:val="center"/>
              <w:rPr>
                <w:color w:val="auto"/>
                <w:sz w:val="21"/>
                <w:szCs w:val="21"/>
              </w:rPr>
            </w:pPr>
            <w:r>
              <w:rPr>
                <w:color w:val="auto"/>
                <w:sz w:val="21"/>
                <w:szCs w:val="21"/>
              </w:rPr>
              <w:t>/</w:t>
            </w:r>
          </w:p>
        </w:tc>
        <w:tc>
          <w:tcPr>
            <w:tcW w:w="0" w:type="auto"/>
            <w:gridSpan w:val="2"/>
            <w:vAlign w:val="center"/>
          </w:tcPr>
          <w:p>
            <w:pPr>
              <w:spacing w:line="240" w:lineRule="auto"/>
              <w:ind w:firstLine="0" w:firstLineChars="0"/>
              <w:jc w:val="center"/>
              <w:rPr>
                <w:color w:val="auto"/>
                <w:sz w:val="21"/>
                <w:szCs w:val="21"/>
              </w:rPr>
            </w:pPr>
            <w:r>
              <w:rPr>
                <w:color w:val="auto"/>
                <w:sz w:val="21"/>
                <w:szCs w:val="21"/>
              </w:rPr>
              <w:t>/</w:t>
            </w:r>
          </w:p>
        </w:tc>
        <w:tc>
          <w:tcPr>
            <w:tcW w:w="0" w:type="auto"/>
            <w:vMerge w:val="restart"/>
            <w:vAlign w:val="center"/>
          </w:tcPr>
          <w:p>
            <w:pPr>
              <w:spacing w:line="240" w:lineRule="auto"/>
              <w:ind w:firstLine="0" w:firstLineChars="0"/>
              <w:jc w:val="center"/>
              <w:rPr>
                <w:color w:val="auto"/>
                <w:sz w:val="21"/>
                <w:szCs w:val="21"/>
              </w:rPr>
            </w:pPr>
            <w:r>
              <w:rPr>
                <w:color w:val="auto"/>
                <w:sz w:val="21"/>
                <w:szCs w:val="21"/>
              </w:rPr>
              <w:t>《锅炉大气污染物排放标准》（DB37/2374—2018）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6" w:hRule="atLeast"/>
          <w:jc w:val="center"/>
        </w:trPr>
        <w:tc>
          <w:tcPr>
            <w:tcW w:w="0" w:type="auto"/>
            <w:vAlign w:val="center"/>
          </w:tcPr>
          <w:p>
            <w:pPr>
              <w:spacing w:line="240" w:lineRule="auto"/>
              <w:ind w:firstLine="0" w:firstLineChars="0"/>
              <w:jc w:val="center"/>
              <w:rPr>
                <w:color w:val="auto"/>
                <w:sz w:val="21"/>
                <w:szCs w:val="21"/>
              </w:rPr>
            </w:pPr>
            <w:r>
              <w:rPr>
                <w:color w:val="auto"/>
                <w:sz w:val="21"/>
                <w:szCs w:val="21"/>
              </w:rPr>
              <w:t>SO</w:t>
            </w:r>
            <w:r>
              <w:rPr>
                <w:color w:val="auto"/>
                <w:sz w:val="21"/>
                <w:szCs w:val="21"/>
                <w:vertAlign w:val="subscript"/>
              </w:rPr>
              <w:t>2</w:t>
            </w:r>
          </w:p>
        </w:tc>
        <w:tc>
          <w:tcPr>
            <w:tcW w:w="1592" w:type="dxa"/>
            <w:vAlign w:val="center"/>
          </w:tcPr>
          <w:p>
            <w:pPr>
              <w:spacing w:line="240" w:lineRule="auto"/>
              <w:ind w:firstLine="0" w:firstLineChars="0"/>
              <w:jc w:val="center"/>
              <w:rPr>
                <w:color w:val="auto"/>
                <w:sz w:val="21"/>
                <w:szCs w:val="21"/>
              </w:rPr>
            </w:pPr>
            <w:r>
              <w:rPr>
                <w:color w:val="auto"/>
                <w:sz w:val="21"/>
                <w:szCs w:val="21"/>
              </w:rPr>
              <w:t>50</w:t>
            </w:r>
          </w:p>
        </w:tc>
        <w:tc>
          <w:tcPr>
            <w:tcW w:w="1221" w:type="dxa"/>
            <w:vAlign w:val="center"/>
          </w:tcPr>
          <w:p>
            <w:pPr>
              <w:spacing w:line="240" w:lineRule="auto"/>
              <w:ind w:firstLine="0" w:firstLineChars="0"/>
              <w:jc w:val="center"/>
              <w:rPr>
                <w:color w:val="auto"/>
                <w:sz w:val="21"/>
                <w:szCs w:val="21"/>
              </w:rPr>
            </w:pPr>
            <w:r>
              <w:rPr>
                <w:color w:val="auto"/>
                <w:sz w:val="21"/>
                <w:szCs w:val="21"/>
              </w:rPr>
              <w:t>/</w:t>
            </w:r>
          </w:p>
        </w:tc>
        <w:tc>
          <w:tcPr>
            <w:tcW w:w="0" w:type="auto"/>
            <w:gridSpan w:val="2"/>
            <w:vAlign w:val="center"/>
          </w:tcPr>
          <w:p>
            <w:pPr>
              <w:spacing w:line="240" w:lineRule="auto"/>
              <w:ind w:firstLine="0" w:firstLineChars="0"/>
              <w:jc w:val="center"/>
              <w:rPr>
                <w:color w:val="auto"/>
                <w:sz w:val="21"/>
                <w:szCs w:val="21"/>
              </w:rPr>
            </w:pPr>
            <w:r>
              <w:rPr>
                <w:color w:val="auto"/>
                <w:sz w:val="21"/>
                <w:szCs w:val="21"/>
              </w:rPr>
              <w:t>/</w:t>
            </w:r>
          </w:p>
        </w:tc>
        <w:tc>
          <w:tcPr>
            <w:tcW w:w="0" w:type="auto"/>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6" w:hRule="atLeast"/>
          <w:jc w:val="center"/>
        </w:trPr>
        <w:tc>
          <w:tcPr>
            <w:tcW w:w="0" w:type="auto"/>
            <w:vAlign w:val="center"/>
          </w:tcPr>
          <w:p>
            <w:pPr>
              <w:spacing w:line="240" w:lineRule="auto"/>
              <w:ind w:firstLine="0" w:firstLineChars="0"/>
              <w:jc w:val="center"/>
              <w:rPr>
                <w:color w:val="auto"/>
                <w:sz w:val="21"/>
                <w:szCs w:val="21"/>
              </w:rPr>
            </w:pPr>
            <w:r>
              <w:rPr>
                <w:color w:val="auto"/>
                <w:sz w:val="21"/>
                <w:szCs w:val="21"/>
              </w:rPr>
              <w:t>NOx</w:t>
            </w:r>
          </w:p>
        </w:tc>
        <w:tc>
          <w:tcPr>
            <w:tcW w:w="1592" w:type="dxa"/>
            <w:vAlign w:val="center"/>
          </w:tcPr>
          <w:p>
            <w:pPr>
              <w:spacing w:line="240" w:lineRule="auto"/>
              <w:ind w:firstLine="0" w:firstLineChars="0"/>
              <w:jc w:val="center"/>
              <w:rPr>
                <w:color w:val="auto"/>
                <w:sz w:val="21"/>
                <w:szCs w:val="21"/>
              </w:rPr>
            </w:pPr>
            <w:r>
              <w:rPr>
                <w:color w:val="auto"/>
                <w:sz w:val="21"/>
                <w:szCs w:val="21"/>
              </w:rPr>
              <w:t>100</w:t>
            </w:r>
          </w:p>
        </w:tc>
        <w:tc>
          <w:tcPr>
            <w:tcW w:w="1221" w:type="dxa"/>
            <w:vAlign w:val="center"/>
          </w:tcPr>
          <w:p>
            <w:pPr>
              <w:spacing w:line="240" w:lineRule="auto"/>
              <w:ind w:firstLine="0" w:firstLineChars="0"/>
              <w:jc w:val="center"/>
              <w:rPr>
                <w:color w:val="auto"/>
                <w:sz w:val="21"/>
                <w:szCs w:val="21"/>
              </w:rPr>
            </w:pPr>
            <w:r>
              <w:rPr>
                <w:color w:val="auto"/>
                <w:sz w:val="21"/>
                <w:szCs w:val="21"/>
              </w:rPr>
              <w:t>/</w:t>
            </w:r>
          </w:p>
        </w:tc>
        <w:tc>
          <w:tcPr>
            <w:tcW w:w="0" w:type="auto"/>
            <w:gridSpan w:val="2"/>
            <w:vAlign w:val="center"/>
          </w:tcPr>
          <w:p>
            <w:pPr>
              <w:spacing w:line="240" w:lineRule="auto"/>
              <w:ind w:firstLine="0" w:firstLineChars="0"/>
              <w:jc w:val="center"/>
              <w:rPr>
                <w:color w:val="auto"/>
                <w:sz w:val="21"/>
                <w:szCs w:val="21"/>
              </w:rPr>
            </w:pPr>
            <w:r>
              <w:rPr>
                <w:color w:val="auto"/>
                <w:sz w:val="21"/>
                <w:szCs w:val="21"/>
              </w:rPr>
              <w:t>/</w:t>
            </w:r>
          </w:p>
        </w:tc>
        <w:tc>
          <w:tcPr>
            <w:tcW w:w="0" w:type="auto"/>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0" w:type="auto"/>
            <w:vAlign w:val="center"/>
          </w:tcPr>
          <w:p>
            <w:pPr>
              <w:spacing w:line="240" w:lineRule="auto"/>
              <w:ind w:firstLine="0" w:firstLineChars="0"/>
              <w:jc w:val="center"/>
              <w:rPr>
                <w:color w:val="auto"/>
                <w:sz w:val="21"/>
                <w:szCs w:val="21"/>
              </w:rPr>
            </w:pPr>
            <w:r>
              <w:rPr>
                <w:color w:val="auto"/>
                <w:sz w:val="21"/>
                <w:szCs w:val="21"/>
              </w:rPr>
              <w:t>颗粒物</w:t>
            </w:r>
          </w:p>
        </w:tc>
        <w:tc>
          <w:tcPr>
            <w:tcW w:w="1592" w:type="dxa"/>
            <w:vAlign w:val="center"/>
          </w:tcPr>
          <w:p>
            <w:pPr>
              <w:spacing w:line="240" w:lineRule="auto"/>
              <w:ind w:firstLine="0" w:firstLineChars="0"/>
              <w:jc w:val="center"/>
              <w:rPr>
                <w:color w:val="auto"/>
                <w:sz w:val="21"/>
                <w:szCs w:val="21"/>
              </w:rPr>
            </w:pPr>
            <w:r>
              <w:rPr>
                <w:color w:val="auto"/>
                <w:sz w:val="21"/>
                <w:szCs w:val="21"/>
              </w:rPr>
              <w:t>/</w:t>
            </w:r>
          </w:p>
        </w:tc>
        <w:tc>
          <w:tcPr>
            <w:tcW w:w="1221" w:type="dxa"/>
            <w:vAlign w:val="center"/>
          </w:tcPr>
          <w:p>
            <w:pPr>
              <w:spacing w:line="240" w:lineRule="auto"/>
              <w:ind w:firstLine="0" w:firstLineChars="0"/>
              <w:jc w:val="center"/>
              <w:rPr>
                <w:color w:val="auto"/>
                <w:sz w:val="21"/>
                <w:szCs w:val="21"/>
              </w:rPr>
            </w:pPr>
            <w:r>
              <w:rPr>
                <w:color w:val="auto"/>
                <w:sz w:val="21"/>
                <w:szCs w:val="21"/>
              </w:rPr>
              <w:t>/</w:t>
            </w:r>
          </w:p>
        </w:tc>
        <w:tc>
          <w:tcPr>
            <w:tcW w:w="0" w:type="auto"/>
            <w:vAlign w:val="center"/>
          </w:tcPr>
          <w:p>
            <w:pPr>
              <w:spacing w:line="240" w:lineRule="auto"/>
              <w:ind w:firstLine="0" w:firstLineChars="0"/>
              <w:jc w:val="center"/>
              <w:rPr>
                <w:color w:val="auto"/>
                <w:sz w:val="21"/>
                <w:szCs w:val="21"/>
              </w:rPr>
            </w:pPr>
            <w:r>
              <w:rPr>
                <w:color w:val="auto"/>
                <w:sz w:val="21"/>
                <w:szCs w:val="21"/>
              </w:rPr>
              <w:t>厂界浓度限值</w:t>
            </w:r>
          </w:p>
        </w:tc>
        <w:tc>
          <w:tcPr>
            <w:tcW w:w="0" w:type="auto"/>
            <w:vAlign w:val="center"/>
          </w:tcPr>
          <w:p>
            <w:pPr>
              <w:spacing w:line="240" w:lineRule="auto"/>
              <w:ind w:firstLine="0" w:firstLineChars="0"/>
              <w:jc w:val="center"/>
              <w:rPr>
                <w:color w:val="auto"/>
                <w:sz w:val="21"/>
                <w:szCs w:val="21"/>
              </w:rPr>
            </w:pPr>
            <w:r>
              <w:rPr>
                <w:color w:val="auto"/>
                <w:sz w:val="21"/>
                <w:szCs w:val="21"/>
              </w:rPr>
              <w:t>1.0</w:t>
            </w:r>
          </w:p>
        </w:tc>
        <w:tc>
          <w:tcPr>
            <w:tcW w:w="0" w:type="auto"/>
            <w:vAlign w:val="center"/>
          </w:tcPr>
          <w:p>
            <w:pPr>
              <w:spacing w:line="240" w:lineRule="auto"/>
              <w:ind w:firstLine="0" w:firstLineChars="0"/>
              <w:jc w:val="center"/>
              <w:rPr>
                <w:color w:val="auto"/>
                <w:sz w:val="21"/>
                <w:szCs w:val="21"/>
              </w:rPr>
            </w:pPr>
            <w:r>
              <w:rPr>
                <w:color w:val="auto"/>
                <w:sz w:val="21"/>
                <w:szCs w:val="21"/>
              </w:rPr>
              <w:t>《大气污染物综合排放标准》（GB16297-1996）</w:t>
            </w:r>
          </w:p>
        </w:tc>
      </w:tr>
    </w:tbl>
    <w:p>
      <w:pPr>
        <w:pStyle w:val="13"/>
        <w:spacing w:line="440" w:lineRule="exact"/>
        <w:ind w:firstLine="420" w:firstLineChars="200"/>
        <w:jc w:val="center"/>
        <w:rPr>
          <w:rFonts w:hint="eastAsia" w:eastAsia="宋体"/>
          <w:color w:val="auto"/>
          <w:lang w:val="en-US" w:eastAsia="zh-CN"/>
        </w:rPr>
      </w:pPr>
      <w:r>
        <w:rPr>
          <w:rFonts w:hint="eastAsia" w:eastAsia="黑体"/>
          <w:b w:val="0"/>
          <w:bCs w:val="0"/>
          <w:color w:val="auto"/>
          <w:sz w:val="21"/>
          <w:szCs w:val="21"/>
          <w:lang w:val="en-US" w:eastAsia="zh-CN"/>
        </w:rPr>
        <w:t xml:space="preserve">表1.6-9 </w:t>
      </w:r>
      <w:r>
        <w:rPr>
          <w:rFonts w:eastAsia="黑体"/>
          <w:b w:val="0"/>
          <w:bCs w:val="0"/>
          <w:color w:val="auto"/>
          <w:sz w:val="21"/>
          <w:szCs w:val="21"/>
        </w:rPr>
        <w:t>光</w:t>
      </w:r>
      <w:r>
        <w:rPr>
          <w:rFonts w:eastAsia="黑体"/>
          <w:color w:val="auto"/>
          <w:sz w:val="21"/>
          <w:szCs w:val="21"/>
        </w:rPr>
        <w:t>大水务（淄博）水质净化</w:t>
      </w:r>
      <w:r>
        <w:rPr>
          <w:rFonts w:hint="eastAsia" w:eastAsia="黑体"/>
          <w:color w:val="auto"/>
          <w:sz w:val="21"/>
          <w:szCs w:val="21"/>
          <w:lang w:val="en-US" w:eastAsia="zh-CN"/>
        </w:rPr>
        <w:t>三分厂</w:t>
      </w:r>
      <w:r>
        <w:rPr>
          <w:rFonts w:eastAsia="黑体"/>
          <w:color w:val="auto"/>
          <w:sz w:val="21"/>
          <w:szCs w:val="21"/>
        </w:rPr>
        <w:t>进水水质要求</w:t>
      </w:r>
      <w:r>
        <w:rPr>
          <w:rFonts w:hint="eastAsia"/>
          <w:color w:val="auto"/>
          <w:lang w:val="en-US" w:eastAsia="zh-CN"/>
        </w:rPr>
        <w:t xml:space="preserve"> </w:t>
      </w:r>
      <w:r>
        <w:rPr>
          <w:rFonts w:eastAsia="黑体"/>
          <w:color w:val="auto"/>
          <w:sz w:val="21"/>
          <w:szCs w:val="21"/>
        </w:rPr>
        <w:t>单位：mg/L</w:t>
      </w:r>
    </w:p>
    <w:tbl>
      <w:tblPr>
        <w:tblStyle w:val="2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47"/>
        <w:gridCol w:w="1477"/>
        <w:gridCol w:w="1297"/>
        <w:gridCol w:w="747"/>
        <w:gridCol w:w="931"/>
        <w:gridCol w:w="1105"/>
        <w:gridCol w:w="7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762" w:hRule="atLeast"/>
          <w:jc w:val="center"/>
        </w:trPr>
        <w:tc>
          <w:tcPr>
            <w:tcW w:w="158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b/>
                <w:bCs/>
                <w:color w:val="auto"/>
                <w:sz w:val="21"/>
                <w:szCs w:val="21"/>
              </w:rPr>
            </w:pPr>
            <w:r>
              <w:rPr>
                <w:b/>
                <w:bCs/>
                <w:color w:val="auto"/>
                <w:sz w:val="21"/>
                <w:szCs w:val="21"/>
              </w:rPr>
              <w:t>项目</w:t>
            </w:r>
          </w:p>
        </w:tc>
        <w:tc>
          <w:tcPr>
            <w:tcW w:w="79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b/>
                <w:bCs/>
                <w:color w:val="auto"/>
                <w:sz w:val="21"/>
                <w:szCs w:val="21"/>
              </w:rPr>
            </w:pPr>
            <w:r>
              <w:rPr>
                <w:b/>
                <w:bCs/>
                <w:color w:val="auto"/>
                <w:sz w:val="21"/>
                <w:szCs w:val="21"/>
              </w:rPr>
              <w:t>COD</w:t>
            </w:r>
            <w:r>
              <w:rPr>
                <w:b/>
                <w:bCs/>
                <w:color w:val="auto"/>
                <w:sz w:val="21"/>
                <w:szCs w:val="21"/>
                <w:vertAlign w:val="subscript"/>
              </w:rPr>
              <w:t>Cr</w:t>
            </w:r>
          </w:p>
        </w:tc>
        <w:tc>
          <w:tcPr>
            <w:tcW w:w="69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b/>
                <w:bCs/>
                <w:color w:val="auto"/>
                <w:sz w:val="21"/>
                <w:szCs w:val="21"/>
              </w:rPr>
            </w:pPr>
            <w:r>
              <w:rPr>
                <w:b/>
                <w:bCs/>
                <w:color w:val="auto"/>
                <w:sz w:val="21"/>
                <w:szCs w:val="21"/>
              </w:rPr>
              <w:t>BOD</w:t>
            </w:r>
            <w:r>
              <w:rPr>
                <w:b/>
                <w:bCs/>
                <w:color w:val="auto"/>
                <w:sz w:val="21"/>
                <w:szCs w:val="21"/>
                <w:vertAlign w:val="subscript"/>
              </w:rPr>
              <w:t>5</w:t>
            </w:r>
          </w:p>
        </w:tc>
        <w:tc>
          <w:tcPr>
            <w:tcW w:w="40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b/>
                <w:bCs/>
                <w:color w:val="auto"/>
                <w:sz w:val="21"/>
                <w:szCs w:val="21"/>
              </w:rPr>
            </w:pPr>
            <w:r>
              <w:rPr>
                <w:b/>
                <w:bCs/>
                <w:color w:val="auto"/>
                <w:sz w:val="21"/>
                <w:szCs w:val="21"/>
              </w:rPr>
              <w:t>氨氮</w:t>
            </w:r>
          </w:p>
        </w:tc>
        <w:tc>
          <w:tcPr>
            <w:tcW w:w="50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b/>
                <w:bCs/>
                <w:color w:val="auto"/>
                <w:sz w:val="21"/>
                <w:szCs w:val="21"/>
              </w:rPr>
            </w:pPr>
            <w:r>
              <w:rPr>
                <w:b/>
                <w:bCs/>
                <w:color w:val="auto"/>
                <w:sz w:val="21"/>
                <w:szCs w:val="21"/>
              </w:rPr>
              <w:t>SS</w:t>
            </w:r>
          </w:p>
        </w:tc>
        <w:tc>
          <w:tcPr>
            <w:tcW w:w="59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b/>
                <w:bCs/>
                <w:color w:val="auto"/>
                <w:sz w:val="21"/>
                <w:szCs w:val="21"/>
              </w:rPr>
            </w:pPr>
            <w:r>
              <w:rPr>
                <w:b/>
                <w:bCs/>
                <w:color w:val="auto"/>
                <w:sz w:val="21"/>
                <w:szCs w:val="21"/>
              </w:rPr>
              <w:t>总氮</w:t>
            </w:r>
          </w:p>
        </w:tc>
        <w:tc>
          <w:tcPr>
            <w:tcW w:w="41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b/>
                <w:bCs/>
                <w:color w:val="auto"/>
                <w:sz w:val="21"/>
                <w:szCs w:val="21"/>
              </w:rPr>
            </w:pPr>
            <w:r>
              <w:rPr>
                <w:b/>
                <w:bCs/>
                <w:color w:val="auto"/>
                <w:sz w:val="21"/>
                <w:szCs w:val="21"/>
              </w:rPr>
              <w:t>总磷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158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color w:val="auto"/>
                <w:sz w:val="21"/>
                <w:szCs w:val="21"/>
              </w:rPr>
            </w:pPr>
            <w:r>
              <w:rPr>
                <w:color w:val="auto"/>
                <w:sz w:val="21"/>
                <w:szCs w:val="21"/>
              </w:rPr>
              <w:t>进水水质要求</w:t>
            </w:r>
          </w:p>
        </w:tc>
        <w:tc>
          <w:tcPr>
            <w:tcW w:w="79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color w:val="auto"/>
                <w:sz w:val="21"/>
                <w:szCs w:val="21"/>
              </w:rPr>
            </w:pPr>
            <w:r>
              <w:rPr>
                <w:color w:val="auto"/>
                <w:sz w:val="21"/>
                <w:szCs w:val="21"/>
              </w:rPr>
              <w:t>500</w:t>
            </w:r>
          </w:p>
        </w:tc>
        <w:tc>
          <w:tcPr>
            <w:tcW w:w="69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color w:val="auto"/>
                <w:sz w:val="21"/>
                <w:szCs w:val="21"/>
              </w:rPr>
            </w:pPr>
            <w:r>
              <w:rPr>
                <w:rFonts w:hint="eastAsia"/>
                <w:color w:val="auto"/>
                <w:sz w:val="21"/>
                <w:szCs w:val="21"/>
                <w:lang w:val="en-US" w:eastAsia="zh-CN"/>
              </w:rPr>
              <w:t>1</w:t>
            </w:r>
            <w:r>
              <w:rPr>
                <w:color w:val="auto"/>
                <w:sz w:val="21"/>
                <w:szCs w:val="21"/>
              </w:rPr>
              <w:t>50</w:t>
            </w:r>
          </w:p>
        </w:tc>
        <w:tc>
          <w:tcPr>
            <w:tcW w:w="40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60</w:t>
            </w:r>
          </w:p>
        </w:tc>
        <w:tc>
          <w:tcPr>
            <w:tcW w:w="50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600</w:t>
            </w:r>
          </w:p>
        </w:tc>
        <w:tc>
          <w:tcPr>
            <w:tcW w:w="59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rFonts w:hint="eastAsia" w:eastAsia="宋体"/>
                <w:color w:val="auto"/>
                <w:sz w:val="21"/>
                <w:szCs w:val="21"/>
                <w:lang w:eastAsia="zh-CN"/>
              </w:rPr>
            </w:pPr>
            <w:r>
              <w:rPr>
                <w:color w:val="auto"/>
                <w:sz w:val="21"/>
                <w:szCs w:val="21"/>
              </w:rPr>
              <w:t>7</w:t>
            </w:r>
            <w:r>
              <w:rPr>
                <w:rFonts w:hint="eastAsia"/>
                <w:color w:val="auto"/>
                <w:sz w:val="21"/>
                <w:szCs w:val="21"/>
                <w:lang w:val="en-US" w:eastAsia="zh-CN"/>
              </w:rPr>
              <w:t>5</w:t>
            </w:r>
          </w:p>
        </w:tc>
        <w:tc>
          <w:tcPr>
            <w:tcW w:w="41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color w:val="auto"/>
                <w:sz w:val="21"/>
                <w:szCs w:val="21"/>
              </w:rPr>
            </w:pPr>
            <w:r>
              <w:rPr>
                <w:color w:val="auto"/>
                <w:sz w:val="21"/>
                <w:szCs w:val="21"/>
              </w:rPr>
              <w:t>8</w:t>
            </w:r>
          </w:p>
        </w:tc>
      </w:tr>
    </w:tbl>
    <w:p>
      <w:pPr>
        <w:pStyle w:val="13"/>
        <w:spacing w:line="440" w:lineRule="exact"/>
        <w:ind w:firstLine="420" w:firstLineChars="200"/>
        <w:jc w:val="center"/>
        <w:rPr>
          <w:rFonts w:eastAsia="黑体"/>
          <w:color w:val="auto"/>
          <w:sz w:val="21"/>
          <w:szCs w:val="21"/>
        </w:rPr>
      </w:pPr>
      <w:r>
        <w:rPr>
          <w:rFonts w:eastAsia="黑体"/>
          <w:color w:val="auto"/>
          <w:sz w:val="21"/>
          <w:szCs w:val="21"/>
        </w:rPr>
        <w:t>表</w:t>
      </w:r>
      <w:r>
        <w:rPr>
          <w:rFonts w:hint="eastAsia" w:eastAsia="黑体"/>
          <w:color w:val="auto"/>
          <w:sz w:val="21"/>
          <w:szCs w:val="21"/>
          <w:lang w:val="en-US" w:eastAsia="zh-CN"/>
        </w:rPr>
        <w:t>1.6-10</w:t>
      </w:r>
      <w:r>
        <w:rPr>
          <w:rFonts w:eastAsia="黑体"/>
          <w:color w:val="auto"/>
          <w:sz w:val="21"/>
          <w:szCs w:val="21"/>
        </w:rPr>
        <w:t xml:space="preserve"> 污水</w:t>
      </w:r>
      <w:r>
        <w:rPr>
          <w:rFonts w:hint="eastAsia" w:eastAsia="黑体"/>
          <w:color w:val="auto"/>
          <w:sz w:val="21"/>
          <w:szCs w:val="21"/>
          <w:lang w:val="en-US" w:eastAsia="zh-CN"/>
        </w:rPr>
        <w:t>综合排放</w:t>
      </w:r>
      <w:r>
        <w:rPr>
          <w:rFonts w:eastAsia="黑体"/>
          <w:color w:val="auto"/>
          <w:sz w:val="21"/>
          <w:szCs w:val="21"/>
        </w:rPr>
        <w:t>标准</w:t>
      </w:r>
      <w:r>
        <w:rPr>
          <w:rFonts w:hint="eastAsia" w:eastAsia="黑体"/>
          <w:color w:val="auto"/>
          <w:sz w:val="21"/>
          <w:szCs w:val="21"/>
          <w:lang w:eastAsia="zh-CN"/>
        </w:rPr>
        <w:t>（</w:t>
      </w:r>
      <w:r>
        <w:rPr>
          <w:rFonts w:hint="eastAsia" w:eastAsia="黑体"/>
          <w:color w:val="auto"/>
          <w:sz w:val="21"/>
          <w:szCs w:val="21"/>
          <w:lang w:val="en-US" w:eastAsia="zh-CN"/>
        </w:rPr>
        <w:t>三级标准</w:t>
      </w:r>
      <w:r>
        <w:rPr>
          <w:rFonts w:hint="eastAsia" w:eastAsia="黑体"/>
          <w:color w:val="auto"/>
          <w:sz w:val="21"/>
          <w:szCs w:val="21"/>
          <w:lang w:eastAsia="zh-CN"/>
        </w:rPr>
        <w:t>）</w:t>
      </w:r>
      <w:r>
        <w:rPr>
          <w:rFonts w:eastAsia="黑体"/>
          <w:color w:val="auto"/>
          <w:sz w:val="21"/>
          <w:szCs w:val="21"/>
        </w:rPr>
        <w:t xml:space="preserve">  单位：mg/L</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590"/>
        <w:gridCol w:w="1197"/>
        <w:gridCol w:w="1048"/>
        <w:gridCol w:w="751"/>
        <w:gridCol w:w="1349"/>
        <w:gridCol w:w="13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2" w:hRule="atLeast"/>
          <w:jc w:val="center"/>
        </w:trPr>
        <w:tc>
          <w:tcPr>
            <w:tcW w:w="193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b/>
                <w:bCs/>
                <w:color w:val="auto"/>
                <w:sz w:val="21"/>
                <w:szCs w:val="21"/>
              </w:rPr>
            </w:pPr>
            <w:r>
              <w:rPr>
                <w:b/>
                <w:bCs/>
                <w:color w:val="auto"/>
                <w:sz w:val="21"/>
                <w:szCs w:val="21"/>
              </w:rPr>
              <w:t>项目</w:t>
            </w:r>
          </w:p>
        </w:tc>
        <w:tc>
          <w:tcPr>
            <w:tcW w:w="64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b/>
                <w:bCs/>
                <w:color w:val="auto"/>
                <w:sz w:val="21"/>
                <w:szCs w:val="21"/>
              </w:rPr>
            </w:pPr>
            <w:r>
              <w:rPr>
                <w:b/>
                <w:bCs/>
                <w:color w:val="auto"/>
                <w:sz w:val="21"/>
                <w:szCs w:val="21"/>
              </w:rPr>
              <w:t>COD</w:t>
            </w:r>
            <w:r>
              <w:rPr>
                <w:b/>
                <w:bCs/>
                <w:color w:val="auto"/>
                <w:sz w:val="21"/>
                <w:szCs w:val="21"/>
                <w:vertAlign w:val="subscript"/>
              </w:rPr>
              <w:t>Cr</w:t>
            </w:r>
          </w:p>
        </w:tc>
        <w:tc>
          <w:tcPr>
            <w:tcW w:w="5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b/>
                <w:bCs/>
                <w:color w:val="auto"/>
                <w:sz w:val="21"/>
                <w:szCs w:val="21"/>
              </w:rPr>
            </w:pPr>
            <w:r>
              <w:rPr>
                <w:b/>
                <w:bCs/>
                <w:color w:val="auto"/>
                <w:sz w:val="21"/>
                <w:szCs w:val="21"/>
              </w:rPr>
              <w:t>BOD</w:t>
            </w:r>
            <w:r>
              <w:rPr>
                <w:b/>
                <w:bCs/>
                <w:color w:val="auto"/>
                <w:sz w:val="21"/>
                <w:szCs w:val="21"/>
                <w:vertAlign w:val="subscript"/>
              </w:rPr>
              <w:t>5</w:t>
            </w:r>
          </w:p>
        </w:tc>
        <w:tc>
          <w:tcPr>
            <w:tcW w:w="40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b/>
                <w:bCs/>
                <w:color w:val="auto"/>
                <w:sz w:val="21"/>
                <w:szCs w:val="21"/>
              </w:rPr>
            </w:pPr>
            <w:r>
              <w:rPr>
                <w:b/>
                <w:bCs/>
                <w:color w:val="auto"/>
                <w:sz w:val="21"/>
                <w:szCs w:val="21"/>
              </w:rPr>
              <w:t>SS</w:t>
            </w:r>
          </w:p>
        </w:tc>
        <w:tc>
          <w:tcPr>
            <w:tcW w:w="72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b/>
                <w:bCs/>
                <w:color w:val="auto"/>
                <w:sz w:val="21"/>
                <w:szCs w:val="21"/>
              </w:rPr>
            </w:pPr>
            <w:r>
              <w:rPr>
                <w:b/>
                <w:bCs/>
                <w:color w:val="auto"/>
                <w:sz w:val="21"/>
                <w:szCs w:val="21"/>
              </w:rPr>
              <w:t>pH</w:t>
            </w:r>
          </w:p>
        </w:tc>
        <w:tc>
          <w:tcPr>
            <w:tcW w:w="72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rFonts w:hint="eastAsia" w:eastAsia="宋体"/>
                <w:b/>
                <w:bCs/>
                <w:color w:val="auto"/>
                <w:sz w:val="21"/>
                <w:szCs w:val="21"/>
                <w:lang w:val="en-US" w:eastAsia="zh-CN"/>
              </w:rPr>
            </w:pPr>
            <w:r>
              <w:rPr>
                <w:rFonts w:hint="eastAsia"/>
                <w:b/>
                <w:bCs/>
                <w:color w:val="auto"/>
                <w:sz w:val="21"/>
                <w:szCs w:val="21"/>
                <w:lang w:val="en-US" w:eastAsia="zh-CN"/>
              </w:rPr>
              <w:t>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193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color w:val="auto"/>
                <w:szCs w:val="21"/>
              </w:rPr>
            </w:pPr>
            <w:r>
              <w:rPr>
                <w:rFonts w:hint="eastAsia"/>
                <w:color w:val="auto"/>
                <w:sz w:val="21"/>
                <w:szCs w:val="21"/>
                <w:lang w:eastAsia="zh-CN"/>
              </w:rPr>
              <w:t>污水</w:t>
            </w:r>
            <w:r>
              <w:rPr>
                <w:rFonts w:hint="eastAsia"/>
                <w:color w:val="auto"/>
                <w:sz w:val="21"/>
                <w:szCs w:val="21"/>
                <w:lang w:val="en-US" w:eastAsia="zh-CN"/>
              </w:rPr>
              <w:t>综合排放</w:t>
            </w:r>
            <w:r>
              <w:rPr>
                <w:rFonts w:hint="eastAsia"/>
                <w:color w:val="auto"/>
                <w:sz w:val="21"/>
                <w:szCs w:val="21"/>
                <w:lang w:eastAsia="zh-CN"/>
              </w:rPr>
              <w:t>标准（</w:t>
            </w:r>
            <w:r>
              <w:rPr>
                <w:rFonts w:hint="eastAsia"/>
                <w:color w:val="auto"/>
                <w:sz w:val="21"/>
                <w:szCs w:val="21"/>
                <w:lang w:val="en-US" w:eastAsia="zh-CN"/>
              </w:rPr>
              <w:t>三级标准</w:t>
            </w:r>
            <w:r>
              <w:rPr>
                <w:rFonts w:hint="eastAsia"/>
                <w:color w:val="auto"/>
                <w:sz w:val="21"/>
                <w:szCs w:val="21"/>
                <w:lang w:eastAsia="zh-CN"/>
              </w:rPr>
              <w:t>）</w:t>
            </w:r>
          </w:p>
        </w:tc>
        <w:tc>
          <w:tcPr>
            <w:tcW w:w="64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color w:val="auto"/>
                <w:sz w:val="21"/>
                <w:szCs w:val="21"/>
              </w:rPr>
            </w:pPr>
            <w:r>
              <w:rPr>
                <w:color w:val="auto"/>
                <w:sz w:val="21"/>
                <w:szCs w:val="21"/>
              </w:rPr>
              <w:t>500</w:t>
            </w:r>
          </w:p>
        </w:tc>
        <w:tc>
          <w:tcPr>
            <w:tcW w:w="5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300</w:t>
            </w:r>
          </w:p>
        </w:tc>
        <w:tc>
          <w:tcPr>
            <w:tcW w:w="40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color w:val="auto"/>
                <w:sz w:val="21"/>
                <w:szCs w:val="21"/>
              </w:rPr>
            </w:pPr>
            <w:r>
              <w:rPr>
                <w:color w:val="auto"/>
                <w:sz w:val="21"/>
                <w:szCs w:val="21"/>
              </w:rPr>
              <w:t>400</w:t>
            </w:r>
          </w:p>
        </w:tc>
        <w:tc>
          <w:tcPr>
            <w:tcW w:w="72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color w:val="auto"/>
                <w:sz w:val="21"/>
                <w:szCs w:val="21"/>
              </w:rPr>
            </w:pPr>
            <w:r>
              <w:rPr>
                <w:color w:val="auto"/>
                <w:sz w:val="21"/>
                <w:szCs w:val="21"/>
              </w:rPr>
              <w:t>6～9</w:t>
            </w:r>
          </w:p>
        </w:tc>
        <w:tc>
          <w:tcPr>
            <w:tcW w:w="72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30</w:t>
            </w:r>
          </w:p>
        </w:tc>
      </w:tr>
    </w:tbl>
    <w:p>
      <w:pPr>
        <w:pStyle w:val="13"/>
        <w:spacing w:line="440" w:lineRule="exact"/>
        <w:ind w:firstLine="420" w:firstLineChars="200"/>
        <w:jc w:val="center"/>
        <w:rPr>
          <w:rFonts w:hint="default" w:eastAsia="黑体"/>
          <w:color w:val="auto"/>
          <w:sz w:val="21"/>
          <w:szCs w:val="21"/>
          <w:lang w:val="en-US" w:eastAsia="zh-CN"/>
        </w:rPr>
      </w:pPr>
      <w:r>
        <w:rPr>
          <w:rFonts w:hint="eastAsia" w:eastAsia="黑体"/>
          <w:color w:val="auto"/>
          <w:sz w:val="21"/>
          <w:szCs w:val="21"/>
          <w:lang w:eastAsia="zh-CN"/>
        </w:rPr>
        <w:t>表</w:t>
      </w:r>
      <w:r>
        <w:rPr>
          <w:rFonts w:hint="eastAsia" w:eastAsia="黑体"/>
          <w:color w:val="auto"/>
          <w:sz w:val="21"/>
          <w:szCs w:val="21"/>
          <w:lang w:val="en-US" w:eastAsia="zh-CN"/>
        </w:rPr>
        <w:t xml:space="preserve">1.6-11 本项目外排废水排放标准  </w:t>
      </w:r>
      <w:r>
        <w:rPr>
          <w:rFonts w:eastAsia="黑体"/>
          <w:color w:val="auto"/>
          <w:sz w:val="21"/>
          <w:szCs w:val="21"/>
        </w:rPr>
        <w:t>单位：mg/L</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49"/>
        <w:gridCol w:w="1055"/>
        <w:gridCol w:w="927"/>
        <w:gridCol w:w="798"/>
        <w:gridCol w:w="665"/>
        <w:gridCol w:w="798"/>
        <w:gridCol w:w="798"/>
        <w:gridCol w:w="1190"/>
        <w:gridCol w:w="12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2" w:hRule="atLeast"/>
          <w:jc w:val="center"/>
        </w:trPr>
        <w:tc>
          <w:tcPr>
            <w:tcW w:w="99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b/>
                <w:bCs/>
                <w:color w:val="auto"/>
                <w:sz w:val="21"/>
                <w:szCs w:val="21"/>
              </w:rPr>
            </w:pPr>
            <w:r>
              <w:rPr>
                <w:b/>
                <w:bCs/>
                <w:color w:val="auto"/>
                <w:sz w:val="21"/>
                <w:szCs w:val="21"/>
              </w:rPr>
              <w:t>项目</w:t>
            </w:r>
          </w:p>
        </w:tc>
        <w:tc>
          <w:tcPr>
            <w:tcW w:w="56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b/>
                <w:bCs/>
                <w:color w:val="auto"/>
                <w:sz w:val="21"/>
                <w:szCs w:val="21"/>
              </w:rPr>
            </w:pPr>
            <w:r>
              <w:rPr>
                <w:b/>
                <w:bCs/>
                <w:color w:val="auto"/>
                <w:sz w:val="21"/>
                <w:szCs w:val="21"/>
              </w:rPr>
              <w:t>COD</w:t>
            </w:r>
            <w:r>
              <w:rPr>
                <w:b/>
                <w:bCs/>
                <w:color w:val="auto"/>
                <w:sz w:val="21"/>
                <w:szCs w:val="21"/>
                <w:vertAlign w:val="subscript"/>
              </w:rPr>
              <w:t>Cr</w:t>
            </w:r>
          </w:p>
        </w:tc>
        <w:tc>
          <w:tcPr>
            <w:tcW w:w="49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b/>
                <w:bCs/>
                <w:color w:val="auto"/>
                <w:sz w:val="21"/>
                <w:szCs w:val="21"/>
              </w:rPr>
            </w:pPr>
            <w:r>
              <w:rPr>
                <w:b/>
                <w:bCs/>
                <w:color w:val="auto"/>
                <w:sz w:val="21"/>
                <w:szCs w:val="21"/>
              </w:rPr>
              <w:t>BOD</w:t>
            </w:r>
            <w:r>
              <w:rPr>
                <w:b/>
                <w:bCs/>
                <w:color w:val="auto"/>
                <w:sz w:val="21"/>
                <w:szCs w:val="21"/>
                <w:vertAlign w:val="subscript"/>
              </w:rPr>
              <w:t>5</w:t>
            </w:r>
          </w:p>
        </w:tc>
        <w:tc>
          <w:tcPr>
            <w:tcW w:w="43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b/>
                <w:bCs/>
                <w:color w:val="auto"/>
                <w:sz w:val="21"/>
                <w:szCs w:val="21"/>
              </w:rPr>
            </w:pPr>
            <w:r>
              <w:rPr>
                <w:b/>
                <w:bCs/>
                <w:color w:val="auto"/>
                <w:sz w:val="21"/>
                <w:szCs w:val="21"/>
              </w:rPr>
              <w:t>氨氮</w:t>
            </w:r>
          </w:p>
        </w:tc>
        <w:tc>
          <w:tcPr>
            <w:tcW w:w="3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b/>
                <w:bCs/>
                <w:color w:val="auto"/>
                <w:sz w:val="21"/>
                <w:szCs w:val="21"/>
              </w:rPr>
            </w:pPr>
            <w:r>
              <w:rPr>
                <w:b/>
                <w:bCs/>
                <w:color w:val="auto"/>
                <w:sz w:val="21"/>
                <w:szCs w:val="21"/>
              </w:rPr>
              <w:t>SS</w:t>
            </w:r>
          </w:p>
        </w:tc>
        <w:tc>
          <w:tcPr>
            <w:tcW w:w="43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b/>
                <w:bCs/>
                <w:color w:val="auto"/>
                <w:sz w:val="21"/>
                <w:szCs w:val="21"/>
              </w:rPr>
            </w:pPr>
            <w:r>
              <w:rPr>
                <w:b/>
                <w:bCs/>
                <w:color w:val="auto"/>
                <w:sz w:val="21"/>
                <w:szCs w:val="21"/>
              </w:rPr>
              <w:t>总氮</w:t>
            </w:r>
          </w:p>
        </w:tc>
        <w:tc>
          <w:tcPr>
            <w:tcW w:w="43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b/>
                <w:bCs/>
                <w:color w:val="auto"/>
                <w:sz w:val="21"/>
                <w:szCs w:val="21"/>
              </w:rPr>
            </w:pPr>
            <w:r>
              <w:rPr>
                <w:b/>
                <w:bCs/>
                <w:color w:val="auto"/>
                <w:sz w:val="21"/>
                <w:szCs w:val="21"/>
              </w:rPr>
              <w:t>总磷</w:t>
            </w:r>
          </w:p>
        </w:tc>
        <w:tc>
          <w:tcPr>
            <w:tcW w:w="64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b/>
                <w:bCs/>
                <w:color w:val="auto"/>
                <w:sz w:val="21"/>
                <w:szCs w:val="21"/>
              </w:rPr>
            </w:pPr>
            <w:r>
              <w:rPr>
                <w:b/>
                <w:bCs/>
                <w:color w:val="auto"/>
                <w:sz w:val="21"/>
                <w:szCs w:val="21"/>
              </w:rPr>
              <w:t>pH</w:t>
            </w:r>
          </w:p>
        </w:tc>
        <w:tc>
          <w:tcPr>
            <w:tcW w:w="11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b/>
                <w:bCs/>
                <w:color w:val="auto"/>
                <w:sz w:val="21"/>
                <w:szCs w:val="21"/>
              </w:rPr>
            </w:pPr>
            <w:r>
              <w:rPr>
                <w:rFonts w:hint="eastAsia"/>
                <w:b/>
                <w:bCs/>
                <w:color w:val="auto"/>
                <w:sz w:val="21"/>
                <w:szCs w:val="21"/>
                <w:lang w:val="en-US" w:eastAsia="zh-CN"/>
              </w:rPr>
              <w:t>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99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rFonts w:hint="eastAsia" w:eastAsia="宋体"/>
                <w:color w:val="auto"/>
                <w:szCs w:val="21"/>
                <w:lang w:eastAsia="zh-CN"/>
              </w:rPr>
            </w:pPr>
            <w:r>
              <w:rPr>
                <w:rFonts w:hint="eastAsia"/>
                <w:color w:val="auto"/>
                <w:sz w:val="21"/>
                <w:szCs w:val="21"/>
                <w:lang w:eastAsia="zh-CN"/>
              </w:rPr>
              <w:t>废水排放标准</w:t>
            </w:r>
          </w:p>
        </w:tc>
        <w:tc>
          <w:tcPr>
            <w:tcW w:w="56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rFonts w:hint="eastAsia"/>
                <w:color w:val="auto"/>
                <w:sz w:val="21"/>
                <w:szCs w:val="21"/>
                <w:lang w:eastAsia="zh-CN"/>
              </w:rPr>
            </w:pPr>
            <w:r>
              <w:rPr>
                <w:rFonts w:hint="eastAsia"/>
                <w:color w:val="auto"/>
                <w:sz w:val="21"/>
                <w:szCs w:val="21"/>
                <w:lang w:eastAsia="zh-CN"/>
              </w:rPr>
              <w:t>500</w:t>
            </w:r>
          </w:p>
        </w:tc>
        <w:tc>
          <w:tcPr>
            <w:tcW w:w="49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rFonts w:hint="default"/>
                <w:color w:val="auto"/>
                <w:sz w:val="21"/>
                <w:szCs w:val="21"/>
                <w:lang w:val="en-US" w:eastAsia="zh-CN"/>
              </w:rPr>
            </w:pPr>
            <w:r>
              <w:rPr>
                <w:rFonts w:hint="eastAsia"/>
                <w:color w:val="auto"/>
                <w:sz w:val="21"/>
                <w:szCs w:val="21"/>
                <w:lang w:val="en-US" w:eastAsia="zh-CN"/>
              </w:rPr>
              <w:t>150</w:t>
            </w:r>
          </w:p>
        </w:tc>
        <w:tc>
          <w:tcPr>
            <w:tcW w:w="43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rFonts w:hint="eastAsia"/>
                <w:color w:val="auto"/>
                <w:sz w:val="21"/>
                <w:szCs w:val="21"/>
                <w:lang w:eastAsia="zh-CN"/>
              </w:rPr>
            </w:pPr>
            <w:r>
              <w:rPr>
                <w:rFonts w:hint="eastAsia"/>
                <w:color w:val="auto"/>
                <w:sz w:val="21"/>
                <w:szCs w:val="21"/>
                <w:lang w:eastAsia="zh-CN"/>
              </w:rPr>
              <w:t>45</w:t>
            </w:r>
          </w:p>
        </w:tc>
        <w:tc>
          <w:tcPr>
            <w:tcW w:w="3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rFonts w:hint="eastAsia"/>
                <w:color w:val="auto"/>
                <w:sz w:val="21"/>
                <w:szCs w:val="21"/>
                <w:lang w:eastAsia="zh-CN"/>
              </w:rPr>
            </w:pPr>
            <w:r>
              <w:rPr>
                <w:rFonts w:hint="eastAsia"/>
                <w:color w:val="auto"/>
                <w:sz w:val="21"/>
                <w:szCs w:val="21"/>
                <w:lang w:eastAsia="zh-CN"/>
              </w:rPr>
              <w:t>400</w:t>
            </w:r>
          </w:p>
        </w:tc>
        <w:tc>
          <w:tcPr>
            <w:tcW w:w="43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rFonts w:hint="default"/>
                <w:color w:val="auto"/>
                <w:sz w:val="21"/>
                <w:szCs w:val="21"/>
                <w:lang w:val="en-US" w:eastAsia="zh-CN"/>
              </w:rPr>
            </w:pPr>
            <w:r>
              <w:rPr>
                <w:rFonts w:hint="eastAsia"/>
                <w:color w:val="auto"/>
                <w:sz w:val="21"/>
                <w:szCs w:val="21"/>
                <w:lang w:val="en-US" w:eastAsia="zh-CN"/>
              </w:rPr>
              <w:t>75</w:t>
            </w:r>
          </w:p>
        </w:tc>
        <w:tc>
          <w:tcPr>
            <w:tcW w:w="43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rFonts w:hint="eastAsia"/>
                <w:color w:val="auto"/>
                <w:sz w:val="21"/>
                <w:szCs w:val="21"/>
                <w:lang w:eastAsia="zh-CN"/>
              </w:rPr>
            </w:pPr>
            <w:r>
              <w:rPr>
                <w:rFonts w:hint="eastAsia"/>
                <w:color w:val="auto"/>
                <w:sz w:val="21"/>
                <w:szCs w:val="21"/>
                <w:lang w:eastAsia="zh-CN"/>
              </w:rPr>
              <w:t>8</w:t>
            </w:r>
          </w:p>
        </w:tc>
        <w:tc>
          <w:tcPr>
            <w:tcW w:w="64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rFonts w:hint="eastAsia"/>
                <w:color w:val="auto"/>
                <w:sz w:val="21"/>
                <w:szCs w:val="21"/>
                <w:lang w:eastAsia="zh-CN"/>
              </w:rPr>
            </w:pPr>
            <w:r>
              <w:rPr>
                <w:rFonts w:hint="eastAsia"/>
                <w:color w:val="auto"/>
                <w:sz w:val="21"/>
                <w:szCs w:val="21"/>
                <w:lang w:eastAsia="zh-CN"/>
              </w:rPr>
              <w:t>6～9</w:t>
            </w:r>
          </w:p>
        </w:tc>
        <w:tc>
          <w:tcPr>
            <w:tcW w:w="11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12" w:lineRule="exact"/>
              <w:ind w:firstLine="0" w:firstLineChars="0"/>
              <w:jc w:val="center"/>
              <w:textAlignment w:val="auto"/>
              <w:rPr>
                <w:rFonts w:hint="eastAsia"/>
                <w:color w:val="auto"/>
                <w:sz w:val="21"/>
                <w:szCs w:val="21"/>
                <w:lang w:eastAsia="zh-CN"/>
              </w:rPr>
            </w:pPr>
            <w:r>
              <w:rPr>
                <w:rFonts w:hint="eastAsia"/>
                <w:color w:val="auto"/>
                <w:sz w:val="21"/>
                <w:szCs w:val="21"/>
                <w:lang w:val="en-US" w:eastAsia="zh-CN"/>
              </w:rPr>
              <w:t>30</w:t>
            </w:r>
          </w:p>
        </w:tc>
      </w:tr>
    </w:tbl>
    <w:p>
      <w:pPr>
        <w:wordWrap w:val="0"/>
        <w:spacing w:line="240" w:lineRule="auto"/>
        <w:ind w:firstLine="0" w:firstLineChars="0"/>
        <w:jc w:val="center"/>
        <w:rPr>
          <w:rFonts w:eastAsia="黑体"/>
          <w:bCs/>
          <w:color w:val="auto"/>
          <w:sz w:val="21"/>
          <w:szCs w:val="21"/>
        </w:rPr>
      </w:pPr>
      <w:r>
        <w:rPr>
          <w:rFonts w:eastAsia="黑体"/>
          <w:b w:val="0"/>
          <w:bCs w:val="0"/>
          <w:color w:val="auto"/>
          <w:sz w:val="21"/>
          <w:szCs w:val="21"/>
        </w:rPr>
        <w:t>表1.</w:t>
      </w:r>
      <w:r>
        <w:rPr>
          <w:rFonts w:hint="eastAsia" w:eastAsia="黑体"/>
          <w:b w:val="0"/>
          <w:bCs w:val="0"/>
          <w:color w:val="auto"/>
          <w:sz w:val="21"/>
          <w:szCs w:val="21"/>
          <w:lang w:val="en-US" w:eastAsia="zh-CN"/>
        </w:rPr>
        <w:t>6</w:t>
      </w:r>
      <w:r>
        <w:rPr>
          <w:rFonts w:eastAsia="黑体"/>
          <w:b w:val="0"/>
          <w:bCs w:val="0"/>
          <w:color w:val="auto"/>
          <w:sz w:val="21"/>
          <w:szCs w:val="21"/>
        </w:rPr>
        <w:t>-</w:t>
      </w:r>
      <w:r>
        <w:rPr>
          <w:rFonts w:hint="eastAsia" w:eastAsia="黑体"/>
          <w:b w:val="0"/>
          <w:bCs w:val="0"/>
          <w:color w:val="auto"/>
          <w:sz w:val="21"/>
          <w:szCs w:val="21"/>
          <w:lang w:val="en-US" w:eastAsia="zh-CN"/>
        </w:rPr>
        <w:t>12</w:t>
      </w:r>
      <w:r>
        <w:rPr>
          <w:rFonts w:eastAsia="黑体"/>
          <w:b w:val="0"/>
          <w:bCs w:val="0"/>
          <w:color w:val="auto"/>
          <w:sz w:val="21"/>
          <w:szCs w:val="21"/>
        </w:rPr>
        <w:t xml:space="preserve"> 建筑施工场界环境噪声排放标准（GB12523-2011</w:t>
      </w:r>
      <w:r>
        <w:rPr>
          <w:rFonts w:eastAsia="黑体"/>
          <w:b/>
          <w:color w:val="auto"/>
          <w:sz w:val="21"/>
          <w:szCs w:val="21"/>
        </w:rPr>
        <w:t>）</w:t>
      </w:r>
    </w:p>
    <w:tbl>
      <w:tblPr>
        <w:tblStyle w:val="22"/>
        <w:tblW w:w="504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4185"/>
        <w:gridCol w:w="497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285" w:type="pct"/>
            <w:vAlign w:val="center"/>
          </w:tcPr>
          <w:p>
            <w:pPr>
              <w:spacing w:line="240" w:lineRule="auto"/>
              <w:ind w:firstLine="0" w:firstLineChars="0"/>
              <w:jc w:val="center"/>
              <w:rPr>
                <w:b/>
                <w:bCs/>
                <w:color w:val="auto"/>
                <w:sz w:val="21"/>
                <w:szCs w:val="21"/>
              </w:rPr>
            </w:pPr>
            <w:r>
              <w:rPr>
                <w:b/>
                <w:bCs/>
                <w:color w:val="auto"/>
                <w:sz w:val="21"/>
                <w:szCs w:val="21"/>
              </w:rPr>
              <w:t>昼间</w:t>
            </w:r>
          </w:p>
        </w:tc>
        <w:tc>
          <w:tcPr>
            <w:tcW w:w="2714" w:type="pct"/>
            <w:vAlign w:val="center"/>
          </w:tcPr>
          <w:p>
            <w:pPr>
              <w:spacing w:line="240" w:lineRule="auto"/>
              <w:ind w:firstLine="0" w:firstLineChars="0"/>
              <w:jc w:val="center"/>
              <w:rPr>
                <w:b/>
                <w:bCs/>
                <w:color w:val="auto"/>
                <w:sz w:val="21"/>
                <w:szCs w:val="21"/>
              </w:rPr>
            </w:pPr>
            <w:r>
              <w:rPr>
                <w:b/>
                <w:bCs/>
                <w:color w:val="auto"/>
                <w:sz w:val="21"/>
                <w:szCs w:val="21"/>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285" w:type="pct"/>
            <w:vAlign w:val="center"/>
          </w:tcPr>
          <w:p>
            <w:pPr>
              <w:spacing w:line="240" w:lineRule="auto"/>
              <w:ind w:firstLine="0" w:firstLineChars="0"/>
              <w:jc w:val="center"/>
              <w:rPr>
                <w:color w:val="auto"/>
                <w:sz w:val="21"/>
                <w:szCs w:val="21"/>
              </w:rPr>
            </w:pPr>
            <w:r>
              <w:rPr>
                <w:color w:val="auto"/>
                <w:sz w:val="21"/>
                <w:szCs w:val="21"/>
              </w:rPr>
              <w:t>70dB（A）</w:t>
            </w:r>
          </w:p>
        </w:tc>
        <w:tc>
          <w:tcPr>
            <w:tcW w:w="2714" w:type="pct"/>
            <w:vAlign w:val="center"/>
          </w:tcPr>
          <w:p>
            <w:pPr>
              <w:spacing w:line="240" w:lineRule="auto"/>
              <w:ind w:firstLine="0" w:firstLineChars="0"/>
              <w:jc w:val="center"/>
              <w:rPr>
                <w:color w:val="auto"/>
                <w:sz w:val="21"/>
                <w:szCs w:val="21"/>
              </w:rPr>
            </w:pPr>
            <w:r>
              <w:rPr>
                <w:color w:val="auto"/>
                <w:sz w:val="21"/>
                <w:szCs w:val="21"/>
              </w:rPr>
              <w:t>55dB（A）</w:t>
            </w:r>
          </w:p>
        </w:tc>
      </w:tr>
    </w:tbl>
    <w:p>
      <w:pPr>
        <w:pStyle w:val="48"/>
        <w:rPr>
          <w:b w:val="0"/>
          <w:bCs/>
          <w:color w:val="auto"/>
        </w:rPr>
      </w:pPr>
      <w:r>
        <w:rPr>
          <w:b w:val="0"/>
          <w:bCs/>
          <w:color w:val="auto"/>
        </w:rPr>
        <w:t>表1.</w:t>
      </w:r>
      <w:r>
        <w:rPr>
          <w:rFonts w:hint="eastAsia"/>
          <w:b w:val="0"/>
          <w:bCs/>
          <w:color w:val="auto"/>
          <w:lang w:val="en-US" w:eastAsia="zh-CN"/>
        </w:rPr>
        <w:t>6</w:t>
      </w:r>
      <w:r>
        <w:rPr>
          <w:b w:val="0"/>
          <w:bCs/>
          <w:color w:val="auto"/>
        </w:rPr>
        <w:t>-</w:t>
      </w:r>
      <w:r>
        <w:rPr>
          <w:rFonts w:hint="eastAsia"/>
          <w:b w:val="0"/>
          <w:bCs/>
          <w:color w:val="auto"/>
          <w:lang w:val="en-US" w:eastAsia="zh-CN"/>
        </w:rPr>
        <w:t>13</w:t>
      </w:r>
      <w:r>
        <w:rPr>
          <w:b w:val="0"/>
          <w:bCs/>
          <w:color w:val="auto"/>
        </w:rPr>
        <w:t xml:space="preserve"> 工业企业厂界噪声排放标准</w:t>
      </w:r>
    </w:p>
    <w:tbl>
      <w:tblPr>
        <w:tblStyle w:val="22"/>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971"/>
        <w:gridCol w:w="897"/>
        <w:gridCol w:w="1196"/>
        <w:gridCol w:w="1113"/>
        <w:gridCol w:w="510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83" w:hRule="atLeast"/>
          <w:jc w:val="center"/>
        </w:trPr>
        <w:tc>
          <w:tcPr>
            <w:tcW w:w="523" w:type="pct"/>
            <w:vMerge w:val="restart"/>
            <w:vAlign w:val="center"/>
          </w:tcPr>
          <w:p>
            <w:pPr>
              <w:pStyle w:val="47"/>
              <w:rPr>
                <w:b/>
                <w:color w:val="auto"/>
              </w:rPr>
            </w:pPr>
            <w:r>
              <w:rPr>
                <w:b/>
                <w:color w:val="auto"/>
              </w:rPr>
              <w:t>位置</w:t>
            </w:r>
          </w:p>
        </w:tc>
        <w:tc>
          <w:tcPr>
            <w:tcW w:w="483" w:type="pct"/>
            <w:vMerge w:val="restart"/>
            <w:vAlign w:val="center"/>
          </w:tcPr>
          <w:p>
            <w:pPr>
              <w:pStyle w:val="47"/>
              <w:rPr>
                <w:b/>
                <w:color w:val="auto"/>
              </w:rPr>
            </w:pPr>
            <w:r>
              <w:rPr>
                <w:b/>
                <w:color w:val="auto"/>
              </w:rPr>
              <w:t>类别</w:t>
            </w:r>
          </w:p>
        </w:tc>
        <w:tc>
          <w:tcPr>
            <w:tcW w:w="1243" w:type="pct"/>
            <w:gridSpan w:val="2"/>
            <w:vAlign w:val="center"/>
          </w:tcPr>
          <w:p>
            <w:pPr>
              <w:pStyle w:val="47"/>
              <w:rPr>
                <w:b/>
                <w:color w:val="auto"/>
              </w:rPr>
            </w:pPr>
            <w:r>
              <w:rPr>
                <w:b/>
                <w:color w:val="auto"/>
              </w:rPr>
              <w:t>噪声级 dB（A）</w:t>
            </w:r>
          </w:p>
        </w:tc>
        <w:tc>
          <w:tcPr>
            <w:tcW w:w="2748" w:type="pct"/>
            <w:vMerge w:val="restart"/>
            <w:vAlign w:val="center"/>
          </w:tcPr>
          <w:p>
            <w:pPr>
              <w:pStyle w:val="47"/>
              <w:rPr>
                <w:b/>
                <w:color w:val="auto"/>
              </w:rPr>
            </w:pPr>
            <w:r>
              <w:rPr>
                <w:b/>
                <w:color w:val="auto"/>
              </w:rPr>
              <w:t>标准来源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83" w:hRule="atLeast"/>
          <w:jc w:val="center"/>
        </w:trPr>
        <w:tc>
          <w:tcPr>
            <w:tcW w:w="523" w:type="pct"/>
            <w:vMerge w:val="continue"/>
            <w:vAlign w:val="center"/>
          </w:tcPr>
          <w:p>
            <w:pPr>
              <w:pStyle w:val="47"/>
              <w:rPr>
                <w:b/>
                <w:color w:val="auto"/>
              </w:rPr>
            </w:pPr>
          </w:p>
        </w:tc>
        <w:tc>
          <w:tcPr>
            <w:tcW w:w="483" w:type="pct"/>
            <w:vMerge w:val="continue"/>
            <w:vAlign w:val="center"/>
          </w:tcPr>
          <w:p>
            <w:pPr>
              <w:pStyle w:val="47"/>
              <w:rPr>
                <w:b/>
                <w:color w:val="auto"/>
              </w:rPr>
            </w:pPr>
          </w:p>
        </w:tc>
        <w:tc>
          <w:tcPr>
            <w:tcW w:w="644" w:type="pct"/>
            <w:vAlign w:val="center"/>
          </w:tcPr>
          <w:p>
            <w:pPr>
              <w:pStyle w:val="47"/>
              <w:rPr>
                <w:b/>
                <w:color w:val="auto"/>
              </w:rPr>
            </w:pPr>
            <w:r>
              <w:rPr>
                <w:b/>
                <w:color w:val="auto"/>
              </w:rPr>
              <w:t>昼间</w:t>
            </w:r>
          </w:p>
        </w:tc>
        <w:tc>
          <w:tcPr>
            <w:tcW w:w="599" w:type="pct"/>
            <w:vAlign w:val="center"/>
          </w:tcPr>
          <w:p>
            <w:pPr>
              <w:pStyle w:val="47"/>
              <w:rPr>
                <w:b/>
                <w:color w:val="auto"/>
              </w:rPr>
            </w:pPr>
            <w:r>
              <w:rPr>
                <w:b/>
                <w:color w:val="auto"/>
              </w:rPr>
              <w:t>夜间</w:t>
            </w:r>
          </w:p>
        </w:tc>
        <w:tc>
          <w:tcPr>
            <w:tcW w:w="2748" w:type="pct"/>
            <w:vMerge w:val="continue"/>
            <w:vAlign w:val="center"/>
          </w:tcPr>
          <w:p>
            <w:pPr>
              <w:pStyle w:val="47"/>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83" w:hRule="atLeast"/>
          <w:jc w:val="center"/>
        </w:trPr>
        <w:tc>
          <w:tcPr>
            <w:tcW w:w="523" w:type="pct"/>
            <w:vAlign w:val="center"/>
          </w:tcPr>
          <w:p>
            <w:pPr>
              <w:pStyle w:val="47"/>
              <w:rPr>
                <w:color w:val="auto"/>
              </w:rPr>
            </w:pPr>
            <w:r>
              <w:rPr>
                <w:color w:val="auto"/>
              </w:rPr>
              <w:t>厂界</w:t>
            </w:r>
          </w:p>
        </w:tc>
        <w:tc>
          <w:tcPr>
            <w:tcW w:w="483" w:type="pct"/>
            <w:vAlign w:val="center"/>
          </w:tcPr>
          <w:p>
            <w:pPr>
              <w:pStyle w:val="47"/>
              <w:rPr>
                <w:color w:val="auto"/>
              </w:rPr>
            </w:pPr>
            <w:r>
              <w:rPr>
                <w:rFonts w:hint="eastAsia"/>
                <w:color w:val="auto"/>
                <w:lang w:val="en-US" w:eastAsia="zh-CN"/>
              </w:rPr>
              <w:t>2</w:t>
            </w:r>
            <w:r>
              <w:rPr>
                <w:color w:val="auto"/>
              </w:rPr>
              <w:t>类</w:t>
            </w:r>
          </w:p>
        </w:tc>
        <w:tc>
          <w:tcPr>
            <w:tcW w:w="644" w:type="pct"/>
            <w:vAlign w:val="center"/>
          </w:tcPr>
          <w:p>
            <w:pPr>
              <w:pStyle w:val="47"/>
              <w:rPr>
                <w:rFonts w:hint="default" w:eastAsia="宋体"/>
                <w:color w:val="auto"/>
                <w:lang w:val="en-US" w:eastAsia="zh-CN"/>
              </w:rPr>
            </w:pPr>
            <w:r>
              <w:rPr>
                <w:rFonts w:hint="eastAsia"/>
                <w:color w:val="auto"/>
                <w:lang w:val="en-US" w:eastAsia="zh-CN"/>
              </w:rPr>
              <w:t>60</w:t>
            </w:r>
          </w:p>
        </w:tc>
        <w:tc>
          <w:tcPr>
            <w:tcW w:w="599" w:type="pct"/>
            <w:vAlign w:val="center"/>
          </w:tcPr>
          <w:p>
            <w:pPr>
              <w:pStyle w:val="47"/>
              <w:rPr>
                <w:rFonts w:hint="default" w:eastAsia="宋体"/>
                <w:color w:val="auto"/>
                <w:lang w:val="en-US" w:eastAsia="zh-CN"/>
              </w:rPr>
            </w:pPr>
            <w:r>
              <w:rPr>
                <w:rFonts w:hint="eastAsia"/>
                <w:color w:val="auto"/>
                <w:lang w:val="en-US" w:eastAsia="zh-CN"/>
              </w:rPr>
              <w:t>50</w:t>
            </w:r>
          </w:p>
        </w:tc>
        <w:tc>
          <w:tcPr>
            <w:tcW w:w="2748" w:type="pct"/>
            <w:vAlign w:val="center"/>
          </w:tcPr>
          <w:p>
            <w:pPr>
              <w:pStyle w:val="47"/>
              <w:rPr>
                <w:color w:val="auto"/>
              </w:rPr>
            </w:pPr>
            <w:r>
              <w:rPr>
                <w:color w:val="auto"/>
              </w:rPr>
              <w:t>《工业企业厂界环境噪声排放标准》（GB12348-2008）</w:t>
            </w:r>
          </w:p>
        </w:tc>
      </w:tr>
    </w:tbl>
    <w:p>
      <w:pPr>
        <w:ind w:firstLine="0" w:firstLineChars="0"/>
        <w:rPr>
          <w:color w:val="auto"/>
        </w:rPr>
      </w:pPr>
    </w:p>
    <w:p>
      <w:pPr>
        <w:ind w:firstLine="480"/>
        <w:rPr>
          <w:color w:val="auto"/>
        </w:rPr>
      </w:pPr>
    </w:p>
    <w:p>
      <w:pPr>
        <w:ind w:firstLine="480"/>
        <w:rPr>
          <w:color w:val="auto"/>
        </w:rPr>
      </w:pPr>
      <w:r>
        <w:rPr>
          <w:rFonts w:hint="eastAsia"/>
          <w:color w:val="auto"/>
        </w:rPr>
        <w:br w:type="page"/>
      </w:r>
    </w:p>
    <w:p>
      <w:pPr>
        <w:pStyle w:val="8"/>
        <w:spacing w:before="0" w:beforeLines="0" w:after="0" w:afterLines="0"/>
        <w:rPr>
          <w:color w:val="auto"/>
        </w:rPr>
      </w:pPr>
      <w:bookmarkStart w:id="174" w:name="_Toc18024"/>
      <w:bookmarkStart w:id="175" w:name="_Toc4071"/>
      <w:r>
        <w:rPr>
          <w:color w:val="auto"/>
        </w:rPr>
        <w:t>1.</w:t>
      </w:r>
      <w:r>
        <w:rPr>
          <w:rFonts w:hint="eastAsia"/>
          <w:color w:val="auto"/>
          <w:lang w:val="en-US" w:eastAsia="zh-CN"/>
        </w:rPr>
        <w:t>7</w:t>
      </w:r>
      <w:r>
        <w:rPr>
          <w:color w:val="auto"/>
        </w:rPr>
        <w:t>评价等级及重点保护目标</w:t>
      </w:r>
      <w:bookmarkEnd w:id="174"/>
      <w:bookmarkEnd w:id="175"/>
    </w:p>
    <w:p>
      <w:pPr>
        <w:pStyle w:val="9"/>
        <w:spacing w:before="0" w:beforeLines="0" w:after="0" w:afterLines="0"/>
        <w:rPr>
          <w:color w:val="auto"/>
        </w:rPr>
      </w:pPr>
      <w:r>
        <w:rPr>
          <w:color w:val="auto"/>
        </w:rPr>
        <w:t>1.</w:t>
      </w:r>
      <w:r>
        <w:rPr>
          <w:rFonts w:hint="eastAsia"/>
          <w:color w:val="auto"/>
          <w:lang w:val="en-US" w:eastAsia="zh-CN"/>
        </w:rPr>
        <w:t>7</w:t>
      </w:r>
      <w:r>
        <w:rPr>
          <w:color w:val="auto"/>
        </w:rPr>
        <w:t>.1评价等级</w:t>
      </w:r>
    </w:p>
    <w:p>
      <w:pPr>
        <w:pStyle w:val="10"/>
        <w:rPr>
          <w:color w:val="auto"/>
        </w:rPr>
      </w:pPr>
      <w:bookmarkStart w:id="176" w:name="_Toc402962744"/>
      <w:r>
        <w:rPr>
          <w:color w:val="auto"/>
        </w:rPr>
        <w:t>1.</w:t>
      </w:r>
      <w:r>
        <w:rPr>
          <w:rFonts w:hint="eastAsia"/>
          <w:color w:val="auto"/>
          <w:lang w:val="en-US" w:eastAsia="zh-CN"/>
        </w:rPr>
        <w:t>7</w:t>
      </w:r>
      <w:r>
        <w:rPr>
          <w:color w:val="auto"/>
        </w:rPr>
        <w:t>.1.1环境空气评价等级</w:t>
      </w:r>
      <w:bookmarkEnd w:id="176"/>
    </w:p>
    <w:p>
      <w:pPr>
        <w:ind w:firstLine="480"/>
        <w:rPr>
          <w:bCs/>
          <w:color w:val="auto"/>
          <w:spacing w:val="4"/>
        </w:rPr>
      </w:pPr>
      <w:bookmarkStart w:id="177" w:name="_Ref272767110"/>
      <w:r>
        <w:rPr>
          <w:color w:val="auto"/>
        </w:rPr>
        <w:t>依据《环境影响评价技术导则-大气环境》（HJ2.2-2018）中5.3节工作等级的确定方法，结合项目工程分析结果，选择正常排放的主要污染物及排放参数，采用附录A推荐模型中的AERSCREEN模式计算项目污染源的最大环境影响，然后按评价工作分级判据进行分级。</w:t>
      </w:r>
    </w:p>
    <w:p>
      <w:pPr>
        <w:ind w:firstLine="480"/>
        <w:jc w:val="left"/>
        <w:rPr>
          <w:color w:val="auto"/>
        </w:rPr>
      </w:pPr>
      <w:r>
        <w:rPr>
          <w:color w:val="auto"/>
        </w:rPr>
        <w:t>评价等级按下表的分级判据进行划分。</w:t>
      </w:r>
    </w:p>
    <w:p>
      <w:pPr>
        <w:ind w:firstLine="371" w:firstLineChars="176"/>
        <w:jc w:val="center"/>
        <w:rPr>
          <w:rFonts w:eastAsia="黑体"/>
          <w:b/>
          <w:color w:val="auto"/>
          <w:sz w:val="21"/>
          <w:szCs w:val="21"/>
        </w:rPr>
      </w:pPr>
      <w:r>
        <w:rPr>
          <w:rFonts w:eastAsia="黑体"/>
          <w:b/>
          <w:color w:val="auto"/>
          <w:sz w:val="21"/>
          <w:szCs w:val="21"/>
        </w:rPr>
        <w:t>表1.</w:t>
      </w:r>
      <w:r>
        <w:rPr>
          <w:rFonts w:hint="eastAsia" w:eastAsia="黑体"/>
          <w:b/>
          <w:color w:val="auto"/>
          <w:sz w:val="21"/>
          <w:szCs w:val="21"/>
          <w:lang w:val="en-US" w:eastAsia="zh-CN"/>
        </w:rPr>
        <w:t>7</w:t>
      </w:r>
      <w:r>
        <w:rPr>
          <w:rFonts w:eastAsia="黑体"/>
          <w:b/>
          <w:color w:val="auto"/>
          <w:sz w:val="21"/>
          <w:szCs w:val="21"/>
        </w:rPr>
        <w:t>-1  评价等级判别表</w:t>
      </w:r>
    </w:p>
    <w:tbl>
      <w:tblPr>
        <w:tblStyle w:val="22"/>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593"/>
        <w:gridCol w:w="459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593" w:type="dxa"/>
            <w:vAlign w:val="center"/>
          </w:tcPr>
          <w:p>
            <w:pPr>
              <w:spacing w:line="240" w:lineRule="auto"/>
              <w:ind w:firstLine="0" w:firstLineChars="0"/>
              <w:jc w:val="center"/>
              <w:rPr>
                <w:b/>
                <w:color w:val="auto"/>
                <w:sz w:val="21"/>
                <w:szCs w:val="21"/>
              </w:rPr>
            </w:pPr>
            <w:r>
              <w:rPr>
                <w:b/>
                <w:color w:val="auto"/>
                <w:sz w:val="21"/>
                <w:szCs w:val="21"/>
              </w:rPr>
              <w:t>评价工作等级</w:t>
            </w:r>
          </w:p>
        </w:tc>
        <w:tc>
          <w:tcPr>
            <w:tcW w:w="4591" w:type="dxa"/>
            <w:vAlign w:val="center"/>
          </w:tcPr>
          <w:p>
            <w:pPr>
              <w:spacing w:line="240" w:lineRule="auto"/>
              <w:ind w:firstLine="0" w:firstLineChars="0"/>
              <w:jc w:val="center"/>
              <w:rPr>
                <w:b/>
                <w:color w:val="auto"/>
                <w:sz w:val="21"/>
                <w:szCs w:val="21"/>
              </w:rPr>
            </w:pPr>
            <w:r>
              <w:rPr>
                <w:b/>
                <w:color w:val="auto"/>
                <w:sz w:val="21"/>
                <w:szCs w:val="21"/>
              </w:rPr>
              <w:t>评价工作分级判据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593" w:type="dxa"/>
            <w:vAlign w:val="center"/>
          </w:tcPr>
          <w:p>
            <w:pPr>
              <w:spacing w:line="240" w:lineRule="auto"/>
              <w:ind w:firstLine="0" w:firstLineChars="0"/>
              <w:jc w:val="center"/>
              <w:rPr>
                <w:color w:val="auto"/>
                <w:sz w:val="21"/>
                <w:szCs w:val="21"/>
              </w:rPr>
            </w:pPr>
            <w:r>
              <w:rPr>
                <w:color w:val="auto"/>
                <w:sz w:val="21"/>
                <w:szCs w:val="21"/>
              </w:rPr>
              <w:t>一级评价</w:t>
            </w:r>
          </w:p>
        </w:tc>
        <w:tc>
          <w:tcPr>
            <w:tcW w:w="4591" w:type="dxa"/>
            <w:vAlign w:val="center"/>
          </w:tcPr>
          <w:p>
            <w:pPr>
              <w:spacing w:line="240" w:lineRule="auto"/>
              <w:ind w:firstLine="0" w:firstLineChars="0"/>
              <w:jc w:val="center"/>
              <w:rPr>
                <w:color w:val="auto"/>
                <w:sz w:val="21"/>
                <w:szCs w:val="21"/>
              </w:rPr>
            </w:pPr>
            <w:r>
              <w:rPr>
                <w:color w:val="auto"/>
                <w:sz w:val="21"/>
                <w:szCs w:val="21"/>
              </w:rPr>
              <w:t>Pmax≧10%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593" w:type="dxa"/>
            <w:vAlign w:val="center"/>
          </w:tcPr>
          <w:p>
            <w:pPr>
              <w:spacing w:line="240" w:lineRule="auto"/>
              <w:ind w:firstLine="0" w:firstLineChars="0"/>
              <w:jc w:val="center"/>
              <w:rPr>
                <w:color w:val="auto"/>
                <w:sz w:val="21"/>
                <w:szCs w:val="21"/>
              </w:rPr>
            </w:pPr>
            <w:r>
              <w:rPr>
                <w:color w:val="auto"/>
                <w:sz w:val="21"/>
                <w:szCs w:val="21"/>
              </w:rPr>
              <w:t>二级评价</w:t>
            </w:r>
          </w:p>
        </w:tc>
        <w:tc>
          <w:tcPr>
            <w:tcW w:w="4591" w:type="dxa"/>
            <w:vAlign w:val="center"/>
          </w:tcPr>
          <w:p>
            <w:pPr>
              <w:spacing w:line="240" w:lineRule="auto"/>
              <w:ind w:firstLine="0" w:firstLineChars="0"/>
              <w:jc w:val="center"/>
              <w:rPr>
                <w:color w:val="auto"/>
                <w:sz w:val="21"/>
                <w:szCs w:val="21"/>
              </w:rPr>
            </w:pPr>
            <w:r>
              <w:rPr>
                <w:color w:val="auto"/>
                <w:sz w:val="21"/>
                <w:szCs w:val="21"/>
              </w:rPr>
              <w:t>1%≦Pmax&lt;10%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593" w:type="dxa"/>
            <w:vAlign w:val="center"/>
          </w:tcPr>
          <w:p>
            <w:pPr>
              <w:spacing w:line="240" w:lineRule="auto"/>
              <w:ind w:firstLine="0" w:firstLineChars="0"/>
              <w:jc w:val="center"/>
              <w:rPr>
                <w:color w:val="auto"/>
                <w:sz w:val="21"/>
                <w:szCs w:val="21"/>
              </w:rPr>
            </w:pPr>
            <w:r>
              <w:rPr>
                <w:color w:val="auto"/>
                <w:sz w:val="21"/>
                <w:szCs w:val="21"/>
              </w:rPr>
              <w:t>三级评价</w:t>
            </w:r>
          </w:p>
        </w:tc>
        <w:tc>
          <w:tcPr>
            <w:tcW w:w="4591" w:type="dxa"/>
            <w:vAlign w:val="center"/>
          </w:tcPr>
          <w:p>
            <w:pPr>
              <w:spacing w:line="240" w:lineRule="auto"/>
              <w:ind w:firstLine="0" w:firstLineChars="0"/>
              <w:jc w:val="center"/>
              <w:rPr>
                <w:color w:val="auto"/>
                <w:sz w:val="21"/>
                <w:szCs w:val="21"/>
              </w:rPr>
            </w:pPr>
            <w:r>
              <w:rPr>
                <w:color w:val="auto"/>
                <w:sz w:val="21"/>
                <w:szCs w:val="21"/>
              </w:rPr>
              <w:t>Pmax&lt;1%</w:t>
            </w:r>
          </w:p>
        </w:tc>
      </w:tr>
      <w:bookmarkEnd w:id="177"/>
    </w:tbl>
    <w:p>
      <w:pPr>
        <w:autoSpaceDE w:val="0"/>
        <w:autoSpaceDN w:val="0"/>
        <w:adjustRightInd w:val="0"/>
        <w:ind w:firstLine="480"/>
        <w:jc w:val="left"/>
        <w:rPr>
          <w:color w:val="auto"/>
        </w:rPr>
      </w:pPr>
      <w:bookmarkStart w:id="178" w:name="_Toc304113492"/>
      <w:bookmarkStart w:id="179" w:name="_Toc402962745"/>
      <w:bookmarkStart w:id="180" w:name="_Toc306729516"/>
      <w:r>
        <w:rPr>
          <w:color w:val="auto"/>
          <w:kern w:val="0"/>
        </w:rPr>
        <w:t>根据第</w:t>
      </w:r>
      <w:r>
        <w:rPr>
          <w:rFonts w:hint="eastAsia"/>
          <w:color w:val="auto"/>
          <w:kern w:val="0"/>
        </w:rPr>
        <w:t>五</w:t>
      </w:r>
      <w:r>
        <w:rPr>
          <w:color w:val="auto"/>
          <w:kern w:val="0"/>
        </w:rPr>
        <w:t>章计算结果，本项目大气污染源排放的污染物经估算模式计算，大气污染源排放的污染物中最大落地浓度占标率为</w:t>
      </w:r>
      <w:r>
        <w:rPr>
          <w:rFonts w:hint="eastAsia"/>
          <w:color w:val="auto"/>
          <w:kern w:val="0"/>
        </w:rPr>
        <w:t>污水处理站氨</w:t>
      </w:r>
      <w:r>
        <w:rPr>
          <w:color w:val="auto"/>
          <w:kern w:val="0"/>
        </w:rPr>
        <w:t>，</w:t>
      </w:r>
      <w:r>
        <w:rPr>
          <w:color w:val="auto"/>
          <w:szCs w:val="24"/>
        </w:rPr>
        <w:t>1%≦</w:t>
      </w:r>
      <w:r>
        <w:rPr>
          <w:color w:val="auto"/>
          <w:kern w:val="0"/>
          <w:szCs w:val="24"/>
        </w:rPr>
        <w:t>P</w:t>
      </w:r>
      <w:r>
        <w:rPr>
          <w:color w:val="auto"/>
          <w:kern w:val="0"/>
          <w:szCs w:val="24"/>
          <w:vertAlign w:val="subscript"/>
        </w:rPr>
        <w:t>max</w:t>
      </w:r>
      <w:r>
        <w:rPr>
          <w:color w:val="auto"/>
          <w:kern w:val="0"/>
          <w:szCs w:val="24"/>
        </w:rPr>
        <w:t>=</w:t>
      </w:r>
      <w:r>
        <w:rPr>
          <w:rFonts w:hint="eastAsia"/>
          <w:color w:val="auto"/>
          <w:kern w:val="0"/>
          <w:szCs w:val="24"/>
        </w:rPr>
        <w:t>9.0</w:t>
      </w:r>
      <w:r>
        <w:rPr>
          <w:color w:val="auto"/>
          <w:kern w:val="0"/>
          <w:szCs w:val="24"/>
        </w:rPr>
        <w:t>%</w:t>
      </w:r>
      <w:r>
        <w:rPr>
          <w:color w:val="auto"/>
          <w:szCs w:val="24"/>
        </w:rPr>
        <w:t>&lt;10%</w:t>
      </w:r>
      <w:r>
        <w:rPr>
          <w:color w:val="auto"/>
          <w:kern w:val="0"/>
        </w:rPr>
        <w:t>。</w:t>
      </w:r>
      <w:r>
        <w:rPr>
          <w:color w:val="auto"/>
        </w:rPr>
        <w:t>评价等级</w:t>
      </w:r>
      <w:r>
        <w:rPr>
          <w:rFonts w:hint="eastAsia"/>
          <w:color w:val="auto"/>
        </w:rPr>
        <w:t>判</w:t>
      </w:r>
      <w:r>
        <w:rPr>
          <w:color w:val="auto"/>
        </w:rPr>
        <w:t>定为</w:t>
      </w:r>
      <w:r>
        <w:rPr>
          <w:rFonts w:hint="eastAsia"/>
          <w:color w:val="auto"/>
        </w:rPr>
        <w:t>二</w:t>
      </w:r>
      <w:r>
        <w:rPr>
          <w:color w:val="auto"/>
        </w:rPr>
        <w:t>级。</w:t>
      </w:r>
    </w:p>
    <w:p>
      <w:pPr>
        <w:pStyle w:val="10"/>
        <w:tabs>
          <w:tab w:val="left" w:pos="0"/>
          <w:tab w:val="left" w:pos="3960"/>
        </w:tabs>
        <w:rPr>
          <w:color w:val="auto"/>
        </w:rPr>
      </w:pPr>
      <w:r>
        <w:rPr>
          <w:color w:val="auto"/>
        </w:rPr>
        <w:t>1.</w:t>
      </w:r>
      <w:r>
        <w:rPr>
          <w:rFonts w:hint="eastAsia"/>
          <w:color w:val="auto"/>
          <w:lang w:val="en-US" w:eastAsia="zh-CN"/>
        </w:rPr>
        <w:t>7</w:t>
      </w:r>
      <w:r>
        <w:rPr>
          <w:color w:val="auto"/>
        </w:rPr>
        <w:t>.1.2地表水评价等级</w:t>
      </w:r>
    </w:p>
    <w:bookmarkEnd w:id="178"/>
    <w:bookmarkEnd w:id="179"/>
    <w:bookmarkEnd w:id="180"/>
    <w:p>
      <w:pPr>
        <w:ind w:firstLine="480"/>
        <w:rPr>
          <w:color w:val="auto"/>
        </w:rPr>
      </w:pPr>
      <w:r>
        <w:rPr>
          <w:color w:val="auto"/>
        </w:rPr>
        <w:t>根据《环境影响评价技术导则 地表水环境》（HJ2.3-2018)，评价工作等级划分依据见下表。</w:t>
      </w:r>
    </w:p>
    <w:p>
      <w:pPr>
        <w:pStyle w:val="48"/>
        <w:spacing w:line="360" w:lineRule="auto"/>
        <w:rPr>
          <w:b/>
          <w:color w:val="auto"/>
        </w:rPr>
      </w:pPr>
      <w:r>
        <w:rPr>
          <w:b/>
          <w:color w:val="auto"/>
        </w:rPr>
        <w:t>表1.</w:t>
      </w:r>
      <w:r>
        <w:rPr>
          <w:rFonts w:hint="eastAsia"/>
          <w:b/>
          <w:color w:val="auto"/>
          <w:lang w:val="en-US" w:eastAsia="zh-CN"/>
        </w:rPr>
        <w:t>7</w:t>
      </w:r>
      <w:r>
        <w:rPr>
          <w:b/>
          <w:color w:val="auto"/>
        </w:rPr>
        <w:t>-2  水污染影响型建设项目评价等级判定</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43"/>
        <w:gridCol w:w="2554"/>
        <w:gridCol w:w="48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2" w:type="pct"/>
            <w:vMerge w:val="restart"/>
            <w:vAlign w:val="center"/>
          </w:tcPr>
          <w:p>
            <w:pPr>
              <w:pStyle w:val="47"/>
              <w:rPr>
                <w:b/>
                <w:color w:val="auto"/>
              </w:rPr>
            </w:pPr>
            <w:r>
              <w:rPr>
                <w:b/>
                <w:color w:val="auto"/>
              </w:rPr>
              <w:t>评价等级</w:t>
            </w:r>
          </w:p>
        </w:tc>
        <w:tc>
          <w:tcPr>
            <w:tcW w:w="4008" w:type="pct"/>
            <w:gridSpan w:val="2"/>
            <w:vAlign w:val="center"/>
          </w:tcPr>
          <w:p>
            <w:pPr>
              <w:pStyle w:val="47"/>
              <w:rPr>
                <w:b/>
                <w:color w:val="auto"/>
              </w:rPr>
            </w:pPr>
            <w:r>
              <w:rPr>
                <w:b/>
                <w:color w:val="auto"/>
              </w:rPr>
              <w:t>判定依据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2" w:type="pct"/>
            <w:vMerge w:val="continue"/>
            <w:vAlign w:val="center"/>
          </w:tcPr>
          <w:p>
            <w:pPr>
              <w:pStyle w:val="47"/>
              <w:rPr>
                <w:b/>
                <w:color w:val="auto"/>
              </w:rPr>
            </w:pPr>
          </w:p>
        </w:tc>
        <w:tc>
          <w:tcPr>
            <w:tcW w:w="1375" w:type="pct"/>
            <w:vAlign w:val="center"/>
          </w:tcPr>
          <w:p>
            <w:pPr>
              <w:pStyle w:val="47"/>
              <w:rPr>
                <w:b/>
                <w:color w:val="auto"/>
              </w:rPr>
            </w:pPr>
            <w:r>
              <w:rPr>
                <w:b/>
                <w:color w:val="auto"/>
              </w:rPr>
              <w:t>排放方式</w:t>
            </w:r>
          </w:p>
        </w:tc>
        <w:tc>
          <w:tcPr>
            <w:tcW w:w="2633" w:type="pct"/>
            <w:vAlign w:val="center"/>
          </w:tcPr>
          <w:p>
            <w:pPr>
              <w:pStyle w:val="47"/>
              <w:rPr>
                <w:b/>
                <w:color w:val="auto"/>
              </w:rPr>
            </w:pPr>
            <w:r>
              <w:rPr>
                <w:b/>
                <w:color w:val="auto"/>
              </w:rPr>
              <w:t>废水排放量Q/（m</w:t>
            </w:r>
            <w:r>
              <w:rPr>
                <w:b/>
                <w:color w:val="auto"/>
                <w:vertAlign w:val="superscript"/>
              </w:rPr>
              <w:t>3</w:t>
            </w:r>
            <w:r>
              <w:rPr>
                <w:b/>
                <w:color w:val="auto"/>
              </w:rPr>
              <w:t>/d）</w:t>
            </w:r>
          </w:p>
          <w:p>
            <w:pPr>
              <w:pStyle w:val="47"/>
              <w:rPr>
                <w:b/>
                <w:color w:val="auto"/>
              </w:rPr>
            </w:pPr>
            <w:r>
              <w:rPr>
                <w:b/>
                <w:color w:val="auto"/>
              </w:rPr>
              <w:t>水污染物当量数W/（无量纲）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2" w:type="pct"/>
            <w:vAlign w:val="center"/>
          </w:tcPr>
          <w:p>
            <w:pPr>
              <w:pStyle w:val="47"/>
              <w:rPr>
                <w:color w:val="auto"/>
              </w:rPr>
            </w:pPr>
            <w:r>
              <w:rPr>
                <w:color w:val="auto"/>
              </w:rPr>
              <w:t>一级</w:t>
            </w:r>
          </w:p>
        </w:tc>
        <w:tc>
          <w:tcPr>
            <w:tcW w:w="1375" w:type="pct"/>
            <w:vAlign w:val="center"/>
          </w:tcPr>
          <w:p>
            <w:pPr>
              <w:pStyle w:val="47"/>
              <w:rPr>
                <w:color w:val="auto"/>
              </w:rPr>
            </w:pPr>
            <w:r>
              <w:rPr>
                <w:color w:val="auto"/>
              </w:rPr>
              <w:t>直接排放</w:t>
            </w:r>
          </w:p>
        </w:tc>
        <w:tc>
          <w:tcPr>
            <w:tcW w:w="2633" w:type="pct"/>
            <w:vAlign w:val="center"/>
          </w:tcPr>
          <w:p>
            <w:pPr>
              <w:pStyle w:val="47"/>
              <w:rPr>
                <w:color w:val="auto"/>
              </w:rPr>
            </w:pPr>
            <w:r>
              <w:rPr>
                <w:color w:val="auto"/>
              </w:rPr>
              <w:t>Q≥20000或W≥600000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2" w:type="pct"/>
            <w:vAlign w:val="center"/>
          </w:tcPr>
          <w:p>
            <w:pPr>
              <w:pStyle w:val="47"/>
              <w:rPr>
                <w:color w:val="auto"/>
              </w:rPr>
            </w:pPr>
            <w:r>
              <w:rPr>
                <w:color w:val="auto"/>
              </w:rPr>
              <w:t>二级</w:t>
            </w:r>
          </w:p>
        </w:tc>
        <w:tc>
          <w:tcPr>
            <w:tcW w:w="1375" w:type="pct"/>
            <w:vAlign w:val="center"/>
          </w:tcPr>
          <w:p>
            <w:pPr>
              <w:pStyle w:val="47"/>
              <w:rPr>
                <w:color w:val="auto"/>
              </w:rPr>
            </w:pPr>
            <w:r>
              <w:rPr>
                <w:color w:val="auto"/>
              </w:rPr>
              <w:t>直接排放</w:t>
            </w:r>
          </w:p>
        </w:tc>
        <w:tc>
          <w:tcPr>
            <w:tcW w:w="2633" w:type="pct"/>
            <w:vAlign w:val="center"/>
          </w:tcPr>
          <w:p>
            <w:pPr>
              <w:pStyle w:val="47"/>
              <w:rPr>
                <w:color w:val="auto"/>
              </w:rPr>
            </w:pPr>
            <w:r>
              <w:rPr>
                <w:color w:val="auto"/>
              </w:rPr>
              <w:t>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2" w:type="pct"/>
            <w:vAlign w:val="center"/>
          </w:tcPr>
          <w:p>
            <w:pPr>
              <w:pStyle w:val="47"/>
              <w:rPr>
                <w:color w:val="auto"/>
              </w:rPr>
            </w:pPr>
            <w:r>
              <w:rPr>
                <w:color w:val="auto"/>
              </w:rPr>
              <w:t>三级A</w:t>
            </w:r>
          </w:p>
        </w:tc>
        <w:tc>
          <w:tcPr>
            <w:tcW w:w="1375" w:type="pct"/>
            <w:vAlign w:val="center"/>
          </w:tcPr>
          <w:p>
            <w:pPr>
              <w:pStyle w:val="47"/>
              <w:rPr>
                <w:color w:val="auto"/>
              </w:rPr>
            </w:pPr>
            <w:r>
              <w:rPr>
                <w:color w:val="auto"/>
              </w:rPr>
              <w:t>直接排放</w:t>
            </w:r>
          </w:p>
        </w:tc>
        <w:tc>
          <w:tcPr>
            <w:tcW w:w="2633" w:type="pct"/>
            <w:vAlign w:val="center"/>
          </w:tcPr>
          <w:p>
            <w:pPr>
              <w:pStyle w:val="47"/>
              <w:rPr>
                <w:color w:val="auto"/>
              </w:rPr>
            </w:pPr>
            <w:r>
              <w:rPr>
                <w:color w:val="auto"/>
              </w:rPr>
              <w:t>Q＜200且W＜6000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2" w:type="pct"/>
            <w:vAlign w:val="center"/>
          </w:tcPr>
          <w:p>
            <w:pPr>
              <w:pStyle w:val="47"/>
              <w:rPr>
                <w:color w:val="auto"/>
              </w:rPr>
            </w:pPr>
            <w:r>
              <w:rPr>
                <w:color w:val="auto"/>
              </w:rPr>
              <w:t>三级B</w:t>
            </w:r>
          </w:p>
        </w:tc>
        <w:tc>
          <w:tcPr>
            <w:tcW w:w="1375" w:type="pct"/>
            <w:vAlign w:val="center"/>
          </w:tcPr>
          <w:p>
            <w:pPr>
              <w:pStyle w:val="47"/>
              <w:rPr>
                <w:color w:val="auto"/>
              </w:rPr>
            </w:pPr>
            <w:r>
              <w:rPr>
                <w:color w:val="auto"/>
              </w:rPr>
              <w:t>间接排放</w:t>
            </w:r>
          </w:p>
        </w:tc>
        <w:tc>
          <w:tcPr>
            <w:tcW w:w="2633" w:type="pct"/>
            <w:vAlign w:val="center"/>
          </w:tcPr>
          <w:p>
            <w:pPr>
              <w:pStyle w:val="47"/>
              <w:rPr>
                <w:color w:val="auto"/>
              </w:rPr>
            </w:pPr>
            <w:r>
              <w:rPr>
                <w:color w:val="auto"/>
              </w:rPr>
              <w:t>——</w:t>
            </w:r>
          </w:p>
        </w:tc>
      </w:tr>
    </w:tbl>
    <w:p>
      <w:pPr>
        <w:ind w:firstLine="480"/>
        <w:rPr>
          <w:color w:val="auto"/>
        </w:rPr>
      </w:pPr>
      <w:r>
        <w:rPr>
          <w:color w:val="auto"/>
        </w:rPr>
        <w:t>本项目废水经厂区污水站处理后</w:t>
      </w:r>
      <w:r>
        <w:rPr>
          <w:rFonts w:hint="eastAsia"/>
          <w:color w:val="auto"/>
        </w:rPr>
        <w:t>排入光大水务（淄博）有限公司水质净化</w:t>
      </w:r>
      <w:r>
        <w:rPr>
          <w:rFonts w:hint="eastAsia"/>
          <w:color w:val="auto"/>
          <w:lang w:eastAsia="zh-CN"/>
        </w:rPr>
        <w:t>三分厂</w:t>
      </w:r>
      <w:r>
        <w:rPr>
          <w:color w:val="auto"/>
        </w:rPr>
        <w:t>，属于间接排放。根据《环境影响评价技术导则 地表水环境》（HJ/T2.3-2018)，地表水环境影响评价等级确定为三级B。评价范围为覆盖环境风险影响范围，</w:t>
      </w:r>
      <w:r>
        <w:rPr>
          <w:rFonts w:hint="eastAsia"/>
          <w:color w:val="auto"/>
        </w:rPr>
        <w:t>猪龙河</w:t>
      </w:r>
      <w:r>
        <w:rPr>
          <w:color w:val="auto"/>
        </w:rPr>
        <w:t>。</w:t>
      </w:r>
    </w:p>
    <w:p>
      <w:pPr>
        <w:pStyle w:val="10"/>
        <w:tabs>
          <w:tab w:val="left" w:pos="0"/>
          <w:tab w:val="left" w:pos="3960"/>
        </w:tabs>
        <w:rPr>
          <w:color w:val="auto"/>
        </w:rPr>
      </w:pPr>
      <w:bookmarkStart w:id="181" w:name="_Toc304113493"/>
      <w:bookmarkStart w:id="182" w:name="_Toc306729517"/>
      <w:bookmarkStart w:id="183" w:name="_Toc402962746"/>
      <w:r>
        <w:rPr>
          <w:color w:val="auto"/>
        </w:rPr>
        <w:t>1.</w:t>
      </w:r>
      <w:r>
        <w:rPr>
          <w:rFonts w:hint="eastAsia"/>
          <w:color w:val="auto"/>
          <w:lang w:val="en-US" w:eastAsia="zh-CN"/>
        </w:rPr>
        <w:t>7</w:t>
      </w:r>
      <w:r>
        <w:rPr>
          <w:color w:val="auto"/>
        </w:rPr>
        <w:t>.1.3地下水评价等级</w:t>
      </w:r>
      <w:bookmarkEnd w:id="181"/>
      <w:bookmarkEnd w:id="182"/>
      <w:bookmarkEnd w:id="183"/>
    </w:p>
    <w:p>
      <w:pPr>
        <w:ind w:firstLine="480"/>
        <w:rPr>
          <w:color w:val="auto"/>
        </w:rPr>
      </w:pPr>
      <w:r>
        <w:rPr>
          <w:color w:val="auto"/>
        </w:rPr>
        <w:t>依据《环境影响评价技术导则 地下水环境》（HJ610-2016），评价工作等级划分依据见下表。</w:t>
      </w:r>
    </w:p>
    <w:p>
      <w:pPr>
        <w:pStyle w:val="48"/>
        <w:spacing w:line="360" w:lineRule="auto"/>
        <w:rPr>
          <w:b/>
          <w:color w:val="auto"/>
        </w:rPr>
      </w:pPr>
      <w:bookmarkStart w:id="184" w:name="_Toc402962747"/>
      <w:bookmarkStart w:id="185" w:name="_Toc306729518"/>
      <w:bookmarkStart w:id="186" w:name="_Toc304113494"/>
    </w:p>
    <w:p>
      <w:pPr>
        <w:pStyle w:val="48"/>
        <w:spacing w:line="360" w:lineRule="auto"/>
        <w:rPr>
          <w:b w:val="0"/>
          <w:bCs/>
          <w:color w:val="auto"/>
        </w:rPr>
      </w:pPr>
      <w:r>
        <w:rPr>
          <w:b w:val="0"/>
          <w:bCs/>
          <w:color w:val="auto"/>
        </w:rPr>
        <w:t>表1.</w:t>
      </w:r>
      <w:r>
        <w:rPr>
          <w:rFonts w:hint="eastAsia"/>
          <w:b w:val="0"/>
          <w:bCs/>
          <w:color w:val="auto"/>
          <w:lang w:val="en-US" w:eastAsia="zh-CN"/>
        </w:rPr>
        <w:t>7</w:t>
      </w:r>
      <w:r>
        <w:rPr>
          <w:b w:val="0"/>
          <w:bCs/>
          <w:color w:val="auto"/>
        </w:rPr>
        <w:t>-3  地下水评价工作等级分级表</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20"/>
        <w:gridCol w:w="2322"/>
        <w:gridCol w:w="2322"/>
        <w:gridCol w:w="23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vAlign w:val="center"/>
          </w:tcPr>
          <w:p>
            <w:pPr>
              <w:pStyle w:val="47"/>
              <w:rPr>
                <w:b/>
                <w:color w:val="auto"/>
              </w:rPr>
            </w:pPr>
            <w:r>
              <w:rPr>
                <w:b/>
                <w:color w:val="auto"/>
              </w:rPr>
              <mc:AlternateContent>
                <mc:Choice Requires="wps">
                  <w:drawing>
                    <wp:anchor distT="0" distB="0" distL="114300" distR="114300" simplePos="0" relativeHeight="251659264" behindDoc="0" locked="0" layoutInCell="1" allowOverlap="1">
                      <wp:simplePos x="0" y="0"/>
                      <wp:positionH relativeFrom="column">
                        <wp:posOffset>-64770</wp:posOffset>
                      </wp:positionH>
                      <wp:positionV relativeFrom="paragraph">
                        <wp:posOffset>-2540</wp:posOffset>
                      </wp:positionV>
                      <wp:extent cx="1353820" cy="394970"/>
                      <wp:effectExtent l="1270" t="4445" r="16510" b="19685"/>
                      <wp:wrapNone/>
                      <wp:docPr id="1" name="直接连接符 1"/>
                      <wp:cNvGraphicFramePr/>
                      <a:graphic xmlns:a="http://schemas.openxmlformats.org/drawingml/2006/main">
                        <a:graphicData uri="http://schemas.microsoft.com/office/word/2010/wordprocessingShape">
                          <wps:wsp>
                            <wps:cNvCnPr/>
                            <wps:spPr>
                              <a:xfrm>
                                <a:off x="0" y="0"/>
                                <a:ext cx="1353820" cy="39497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5.1pt;margin-top:-0.2pt;height:31.1pt;width:106.6pt;z-index:251659264;mso-width-relative:page;mso-height-relative:page;" filled="f" stroked="t" coordsize="21600,21600" o:gfxdata="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NtX1/fWAAAACAEAAA8AAAAAAAAAAQAgAAAAIgAAAGRycy9kb3ducmV2LnhtbFBLAQIUABQA&#10;AAAIAIdO4kDGesMN8gEAAN0DAAAOAAAAAAAAAAEAIAAAACUBAABkcnMvZTJvRG9jLnhtbFBLBQYA&#10;AAAABgAGAFkBAACJBQAAAAA=&#10;">
                      <v:fill on="f" focussize="0,0"/>
                      <v:stroke color="#000000" joinstyle="round"/>
                      <v:imagedata o:title=""/>
                      <o:lock v:ext="edit" aspectratio="f"/>
                    </v:line>
                  </w:pict>
                </mc:Fallback>
              </mc:AlternateContent>
            </w:r>
            <w:r>
              <w:rPr>
                <w:b/>
                <w:color w:val="auto"/>
              </w:rPr>
              <w:t xml:space="preserve">          项目类别</w:t>
            </w:r>
          </w:p>
          <w:p>
            <w:pPr>
              <w:pStyle w:val="47"/>
              <w:jc w:val="both"/>
              <w:rPr>
                <w:b/>
                <w:color w:val="auto"/>
              </w:rPr>
            </w:pPr>
            <w:r>
              <w:rPr>
                <w:b/>
                <w:color w:val="auto"/>
              </w:rPr>
              <w:t>环境敏感程度</w:t>
            </w:r>
          </w:p>
        </w:tc>
        <w:tc>
          <w:tcPr>
            <w:tcW w:w="1250" w:type="pct"/>
            <w:vAlign w:val="center"/>
          </w:tcPr>
          <w:p>
            <w:pPr>
              <w:pStyle w:val="47"/>
              <w:rPr>
                <w:b/>
                <w:color w:val="auto"/>
              </w:rPr>
            </w:pPr>
            <w:r>
              <w:rPr>
                <w:b/>
                <w:color w:val="auto"/>
              </w:rPr>
              <w:fldChar w:fldCharType="begin"/>
            </w:r>
            <w:r>
              <w:rPr>
                <w:b/>
                <w:color w:val="auto"/>
              </w:rPr>
              <w:instrText xml:space="preserve"> = 1 \* ROMAN \* MERGEFORMAT </w:instrText>
            </w:r>
            <w:r>
              <w:rPr>
                <w:b/>
                <w:color w:val="auto"/>
              </w:rPr>
              <w:fldChar w:fldCharType="separate"/>
            </w:r>
            <w:r>
              <w:rPr>
                <w:b/>
                <w:color w:val="auto"/>
              </w:rPr>
              <w:t>I</w:t>
            </w:r>
            <w:r>
              <w:rPr>
                <w:b/>
                <w:color w:val="auto"/>
              </w:rPr>
              <w:fldChar w:fldCharType="end"/>
            </w:r>
            <w:r>
              <w:rPr>
                <w:b/>
                <w:color w:val="auto"/>
              </w:rPr>
              <w:t>类项目</w:t>
            </w:r>
          </w:p>
        </w:tc>
        <w:tc>
          <w:tcPr>
            <w:tcW w:w="1250" w:type="pct"/>
            <w:vAlign w:val="center"/>
          </w:tcPr>
          <w:p>
            <w:pPr>
              <w:pStyle w:val="47"/>
              <w:rPr>
                <w:b/>
                <w:color w:val="auto"/>
              </w:rPr>
            </w:pPr>
            <w:r>
              <w:rPr>
                <w:b/>
                <w:color w:val="auto"/>
              </w:rPr>
              <w:fldChar w:fldCharType="begin"/>
            </w:r>
            <w:r>
              <w:rPr>
                <w:b/>
                <w:color w:val="auto"/>
              </w:rPr>
              <w:instrText xml:space="preserve"> = 2 \* ROMAN \* MERGEFORMAT </w:instrText>
            </w:r>
            <w:r>
              <w:rPr>
                <w:b/>
                <w:color w:val="auto"/>
              </w:rPr>
              <w:fldChar w:fldCharType="separate"/>
            </w:r>
            <w:r>
              <w:rPr>
                <w:b/>
                <w:color w:val="auto"/>
              </w:rPr>
              <w:t>II</w:t>
            </w:r>
            <w:r>
              <w:rPr>
                <w:b/>
                <w:color w:val="auto"/>
              </w:rPr>
              <w:fldChar w:fldCharType="end"/>
            </w:r>
            <w:r>
              <w:rPr>
                <w:b/>
                <w:color w:val="auto"/>
              </w:rPr>
              <w:t>类项目</w:t>
            </w:r>
          </w:p>
        </w:tc>
        <w:tc>
          <w:tcPr>
            <w:tcW w:w="1251" w:type="pct"/>
            <w:vAlign w:val="center"/>
          </w:tcPr>
          <w:p>
            <w:pPr>
              <w:pStyle w:val="47"/>
              <w:rPr>
                <w:b/>
                <w:color w:val="auto"/>
              </w:rPr>
            </w:pPr>
            <w:r>
              <w:rPr>
                <w:b/>
                <w:color w:val="auto"/>
              </w:rPr>
              <w:fldChar w:fldCharType="begin"/>
            </w:r>
            <w:r>
              <w:rPr>
                <w:b/>
                <w:color w:val="auto"/>
              </w:rPr>
              <w:instrText xml:space="preserve"> = 3 \* ROMAN \* MERGEFORMAT </w:instrText>
            </w:r>
            <w:r>
              <w:rPr>
                <w:b/>
                <w:color w:val="auto"/>
              </w:rPr>
              <w:fldChar w:fldCharType="separate"/>
            </w:r>
            <w:r>
              <w:rPr>
                <w:b/>
                <w:color w:val="auto"/>
              </w:rPr>
              <w:t>III</w:t>
            </w:r>
            <w:r>
              <w:rPr>
                <w:b/>
                <w:color w:val="auto"/>
              </w:rPr>
              <w:fldChar w:fldCharType="end"/>
            </w:r>
            <w:r>
              <w:rPr>
                <w:b/>
                <w:color w:val="auto"/>
              </w:rPr>
              <w:t>类项目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vAlign w:val="center"/>
          </w:tcPr>
          <w:p>
            <w:pPr>
              <w:pStyle w:val="47"/>
              <w:rPr>
                <w:color w:val="auto"/>
              </w:rPr>
            </w:pPr>
            <w:r>
              <w:rPr>
                <w:color w:val="auto"/>
              </w:rPr>
              <w:t>敏感</w:t>
            </w:r>
          </w:p>
        </w:tc>
        <w:tc>
          <w:tcPr>
            <w:tcW w:w="1250" w:type="pct"/>
            <w:vAlign w:val="center"/>
          </w:tcPr>
          <w:p>
            <w:pPr>
              <w:pStyle w:val="47"/>
              <w:rPr>
                <w:color w:val="auto"/>
              </w:rPr>
            </w:pPr>
            <w:r>
              <w:rPr>
                <w:color w:val="auto"/>
              </w:rPr>
              <w:t>一</w:t>
            </w:r>
          </w:p>
        </w:tc>
        <w:tc>
          <w:tcPr>
            <w:tcW w:w="1250" w:type="pct"/>
            <w:vAlign w:val="center"/>
          </w:tcPr>
          <w:p>
            <w:pPr>
              <w:pStyle w:val="47"/>
              <w:rPr>
                <w:color w:val="auto"/>
              </w:rPr>
            </w:pPr>
            <w:r>
              <w:rPr>
                <w:color w:val="auto"/>
              </w:rPr>
              <w:t>一</w:t>
            </w:r>
          </w:p>
        </w:tc>
        <w:tc>
          <w:tcPr>
            <w:tcW w:w="1251" w:type="pct"/>
            <w:vAlign w:val="center"/>
          </w:tcPr>
          <w:p>
            <w:pPr>
              <w:pStyle w:val="47"/>
              <w:rPr>
                <w:color w:val="auto"/>
              </w:rPr>
            </w:pPr>
            <w:r>
              <w:rPr>
                <w:color w:val="auto"/>
              </w:rPr>
              <w:t>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vAlign w:val="center"/>
          </w:tcPr>
          <w:p>
            <w:pPr>
              <w:pStyle w:val="47"/>
              <w:rPr>
                <w:color w:val="auto"/>
              </w:rPr>
            </w:pPr>
            <w:r>
              <w:rPr>
                <w:color w:val="auto"/>
              </w:rPr>
              <w:t>较敏感</w:t>
            </w:r>
          </w:p>
        </w:tc>
        <w:tc>
          <w:tcPr>
            <w:tcW w:w="1250" w:type="pct"/>
            <w:vAlign w:val="center"/>
          </w:tcPr>
          <w:p>
            <w:pPr>
              <w:pStyle w:val="47"/>
              <w:rPr>
                <w:color w:val="auto"/>
              </w:rPr>
            </w:pPr>
            <w:r>
              <w:rPr>
                <w:color w:val="auto"/>
              </w:rPr>
              <w:t>一</w:t>
            </w:r>
          </w:p>
        </w:tc>
        <w:tc>
          <w:tcPr>
            <w:tcW w:w="1250" w:type="pct"/>
            <w:vAlign w:val="center"/>
          </w:tcPr>
          <w:p>
            <w:pPr>
              <w:pStyle w:val="47"/>
              <w:rPr>
                <w:color w:val="auto"/>
              </w:rPr>
            </w:pPr>
            <w:r>
              <w:rPr>
                <w:color w:val="auto"/>
              </w:rPr>
              <w:t>二</w:t>
            </w:r>
          </w:p>
        </w:tc>
        <w:tc>
          <w:tcPr>
            <w:tcW w:w="1251" w:type="pct"/>
            <w:vAlign w:val="center"/>
          </w:tcPr>
          <w:p>
            <w:pPr>
              <w:pStyle w:val="47"/>
              <w:rPr>
                <w:color w:val="auto"/>
              </w:rPr>
            </w:pPr>
            <w:r>
              <w:rPr>
                <w:color w:val="auto"/>
              </w:rPr>
              <w:t>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vAlign w:val="center"/>
          </w:tcPr>
          <w:p>
            <w:pPr>
              <w:pStyle w:val="47"/>
              <w:rPr>
                <w:color w:val="auto"/>
              </w:rPr>
            </w:pPr>
            <w:r>
              <w:rPr>
                <w:color w:val="auto"/>
              </w:rPr>
              <w:t>不敏感</w:t>
            </w:r>
          </w:p>
        </w:tc>
        <w:tc>
          <w:tcPr>
            <w:tcW w:w="1250" w:type="pct"/>
            <w:vAlign w:val="center"/>
          </w:tcPr>
          <w:p>
            <w:pPr>
              <w:pStyle w:val="47"/>
              <w:rPr>
                <w:color w:val="auto"/>
              </w:rPr>
            </w:pPr>
            <w:r>
              <w:rPr>
                <w:color w:val="auto"/>
              </w:rPr>
              <w:t>二</w:t>
            </w:r>
          </w:p>
        </w:tc>
        <w:tc>
          <w:tcPr>
            <w:tcW w:w="1250" w:type="pct"/>
            <w:vAlign w:val="center"/>
          </w:tcPr>
          <w:p>
            <w:pPr>
              <w:pStyle w:val="47"/>
              <w:rPr>
                <w:color w:val="auto"/>
              </w:rPr>
            </w:pPr>
            <w:r>
              <w:rPr>
                <w:color w:val="auto"/>
              </w:rPr>
              <w:t>三</w:t>
            </w:r>
          </w:p>
        </w:tc>
        <w:tc>
          <w:tcPr>
            <w:tcW w:w="1251" w:type="pct"/>
            <w:vAlign w:val="center"/>
          </w:tcPr>
          <w:p>
            <w:pPr>
              <w:pStyle w:val="47"/>
              <w:rPr>
                <w:color w:val="auto"/>
              </w:rPr>
            </w:pPr>
            <w:r>
              <w:rPr>
                <w:color w:val="auto"/>
              </w:rPr>
              <w:t>三</w:t>
            </w:r>
          </w:p>
        </w:tc>
      </w:tr>
    </w:tbl>
    <w:p>
      <w:pPr>
        <w:pStyle w:val="48"/>
        <w:rPr>
          <w:b w:val="0"/>
          <w:bCs/>
          <w:color w:val="auto"/>
        </w:rPr>
      </w:pPr>
      <w:r>
        <w:rPr>
          <w:b w:val="0"/>
          <w:bCs/>
          <w:color w:val="auto"/>
        </w:rPr>
        <w:t>表1.</w:t>
      </w:r>
      <w:r>
        <w:rPr>
          <w:rFonts w:hint="eastAsia"/>
          <w:b w:val="0"/>
          <w:bCs/>
          <w:color w:val="auto"/>
          <w:lang w:val="en-US" w:eastAsia="zh-CN"/>
        </w:rPr>
        <w:t>7</w:t>
      </w:r>
      <w:r>
        <w:rPr>
          <w:b w:val="0"/>
          <w:bCs/>
          <w:color w:val="auto"/>
        </w:rPr>
        <w:t>-4  项目地下水评价等级确定表</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61"/>
        <w:gridCol w:w="5728"/>
        <w:gridCol w:w="11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1191" w:type="pct"/>
            <w:tcMar>
              <w:left w:w="0" w:type="dxa"/>
              <w:right w:w="0" w:type="dxa"/>
            </w:tcMar>
            <w:vAlign w:val="center"/>
          </w:tcPr>
          <w:p>
            <w:pPr>
              <w:pStyle w:val="47"/>
              <w:rPr>
                <w:b/>
                <w:color w:val="auto"/>
              </w:rPr>
            </w:pPr>
            <w:r>
              <w:rPr>
                <w:b/>
                <w:color w:val="auto"/>
              </w:rPr>
              <w:t>考虑因素</w:t>
            </w:r>
          </w:p>
        </w:tc>
        <w:tc>
          <w:tcPr>
            <w:tcW w:w="3157" w:type="pct"/>
            <w:tcMar>
              <w:left w:w="0" w:type="dxa"/>
              <w:right w:w="0" w:type="dxa"/>
            </w:tcMar>
            <w:vAlign w:val="center"/>
          </w:tcPr>
          <w:p>
            <w:pPr>
              <w:pStyle w:val="47"/>
              <w:rPr>
                <w:b/>
                <w:color w:val="auto"/>
              </w:rPr>
            </w:pPr>
            <w:r>
              <w:rPr>
                <w:b/>
                <w:color w:val="auto"/>
              </w:rPr>
              <w:t>本项目情况</w:t>
            </w:r>
          </w:p>
        </w:tc>
        <w:tc>
          <w:tcPr>
            <w:tcW w:w="652" w:type="pct"/>
            <w:tcMar>
              <w:left w:w="0" w:type="dxa"/>
              <w:right w:w="0" w:type="dxa"/>
            </w:tcMar>
            <w:vAlign w:val="center"/>
          </w:tcPr>
          <w:p>
            <w:pPr>
              <w:pStyle w:val="47"/>
              <w:rPr>
                <w:b/>
                <w:color w:val="auto"/>
              </w:rPr>
            </w:pPr>
            <w:r>
              <w:rPr>
                <w:b/>
                <w:color w:val="auto"/>
              </w:rPr>
              <w:t>评价等级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91" w:type="pct"/>
            <w:tcMar>
              <w:left w:w="0" w:type="dxa"/>
              <w:right w:w="0" w:type="dxa"/>
            </w:tcMar>
            <w:vAlign w:val="center"/>
          </w:tcPr>
          <w:p>
            <w:pPr>
              <w:pStyle w:val="47"/>
              <w:rPr>
                <w:color w:val="auto"/>
              </w:rPr>
            </w:pPr>
            <w:r>
              <w:rPr>
                <w:color w:val="auto"/>
              </w:rPr>
              <w:t>项目类别</w:t>
            </w:r>
          </w:p>
        </w:tc>
        <w:tc>
          <w:tcPr>
            <w:tcW w:w="3157" w:type="pct"/>
            <w:tcMar>
              <w:left w:w="0" w:type="dxa"/>
              <w:right w:w="0" w:type="dxa"/>
            </w:tcMar>
            <w:vAlign w:val="center"/>
          </w:tcPr>
          <w:p>
            <w:pPr>
              <w:pStyle w:val="47"/>
              <w:rPr>
                <w:color w:val="auto"/>
              </w:rPr>
            </w:pPr>
            <w:r>
              <w:rPr>
                <w:color w:val="auto"/>
              </w:rPr>
              <w:t>项目行业类别属于“</w:t>
            </w:r>
            <w:r>
              <w:rPr>
                <w:rFonts w:hint="eastAsia"/>
                <w:color w:val="auto"/>
              </w:rPr>
              <w:t>O纺织化纤中的化学纤维制造业</w:t>
            </w:r>
            <w:r>
              <w:rPr>
                <w:color w:val="auto"/>
              </w:rPr>
              <w:t>”，环评报告类别为“报告书”，因此，项目属于Ⅱ类项目</w:t>
            </w:r>
          </w:p>
        </w:tc>
        <w:tc>
          <w:tcPr>
            <w:tcW w:w="652" w:type="pct"/>
            <w:vMerge w:val="restart"/>
            <w:tcMar>
              <w:left w:w="0" w:type="dxa"/>
              <w:right w:w="0" w:type="dxa"/>
            </w:tcMar>
            <w:vAlign w:val="center"/>
          </w:tcPr>
          <w:p>
            <w:pPr>
              <w:pStyle w:val="47"/>
              <w:rPr>
                <w:color w:val="auto"/>
              </w:rPr>
            </w:pPr>
            <w:r>
              <w:rPr>
                <w:rFonts w:hint="eastAsia"/>
                <w:color w:val="auto"/>
              </w:rPr>
              <w:t>三</w:t>
            </w:r>
            <w:r>
              <w:rPr>
                <w:color w:val="auto"/>
              </w:rPr>
              <w:t>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91" w:type="pct"/>
            <w:tcMar>
              <w:left w:w="0" w:type="dxa"/>
              <w:right w:w="0" w:type="dxa"/>
            </w:tcMar>
            <w:vAlign w:val="center"/>
          </w:tcPr>
          <w:p>
            <w:pPr>
              <w:pStyle w:val="47"/>
              <w:rPr>
                <w:color w:val="auto"/>
              </w:rPr>
            </w:pPr>
            <w:r>
              <w:rPr>
                <w:color w:val="auto"/>
              </w:rPr>
              <w:t>地下水环境敏感程度</w:t>
            </w:r>
          </w:p>
        </w:tc>
        <w:tc>
          <w:tcPr>
            <w:tcW w:w="3157" w:type="pct"/>
            <w:tcMar>
              <w:left w:w="0" w:type="dxa"/>
              <w:right w:w="0" w:type="dxa"/>
            </w:tcMar>
            <w:vAlign w:val="center"/>
          </w:tcPr>
          <w:p>
            <w:pPr>
              <w:pStyle w:val="47"/>
              <w:rPr>
                <w:color w:val="auto"/>
              </w:rPr>
            </w:pPr>
            <w:r>
              <w:rPr>
                <w:color w:val="auto"/>
              </w:rPr>
              <w:t>该区域不属于HJ/610-2016表1所列敏感、较敏感区，区域地下水不敏感</w:t>
            </w:r>
          </w:p>
        </w:tc>
        <w:tc>
          <w:tcPr>
            <w:tcW w:w="652" w:type="pct"/>
            <w:vMerge w:val="continue"/>
            <w:tcMar>
              <w:left w:w="0" w:type="dxa"/>
              <w:right w:w="0" w:type="dxa"/>
            </w:tcMar>
            <w:vAlign w:val="center"/>
          </w:tcPr>
          <w:p>
            <w:pPr>
              <w:pStyle w:val="47"/>
              <w:rPr>
                <w:color w:val="auto"/>
              </w:rPr>
            </w:pPr>
          </w:p>
        </w:tc>
      </w:tr>
    </w:tbl>
    <w:p>
      <w:pPr>
        <w:pStyle w:val="10"/>
        <w:tabs>
          <w:tab w:val="left" w:pos="0"/>
          <w:tab w:val="left" w:pos="3960"/>
        </w:tabs>
        <w:spacing w:line="360" w:lineRule="auto"/>
        <w:rPr>
          <w:color w:val="auto"/>
        </w:rPr>
      </w:pPr>
      <w:r>
        <w:rPr>
          <w:color w:val="auto"/>
        </w:rPr>
        <w:t>1.</w:t>
      </w:r>
      <w:r>
        <w:rPr>
          <w:rFonts w:hint="eastAsia"/>
          <w:color w:val="auto"/>
          <w:lang w:val="en-US" w:eastAsia="zh-CN"/>
        </w:rPr>
        <w:t>7</w:t>
      </w:r>
      <w:r>
        <w:rPr>
          <w:color w:val="auto"/>
        </w:rPr>
        <w:t>.1.4噪声评价等级</w:t>
      </w:r>
      <w:bookmarkEnd w:id="184"/>
      <w:bookmarkEnd w:id="185"/>
      <w:bookmarkEnd w:id="186"/>
    </w:p>
    <w:p>
      <w:pPr>
        <w:ind w:firstLine="480"/>
        <w:rPr>
          <w:color w:val="auto"/>
        </w:rPr>
      </w:pPr>
      <w:r>
        <w:rPr>
          <w:color w:val="auto"/>
        </w:rPr>
        <w:t>本项目噪声源主要有</w:t>
      </w:r>
      <w:r>
        <w:rPr>
          <w:rFonts w:hint="eastAsia"/>
          <w:color w:val="auto"/>
        </w:rPr>
        <w:t>造粒机、振动筛</w:t>
      </w:r>
      <w:r>
        <w:rPr>
          <w:color w:val="auto"/>
        </w:rPr>
        <w:t>、风机、泵类等设备。项目所在功能区为GB3096-2008中的</w:t>
      </w:r>
      <w:r>
        <w:rPr>
          <w:rFonts w:hint="eastAsia"/>
          <w:color w:val="auto"/>
          <w:lang w:val="en-US" w:eastAsia="zh-CN"/>
        </w:rPr>
        <w:t>2</w:t>
      </w:r>
      <w:r>
        <w:rPr>
          <w:color w:val="auto"/>
        </w:rPr>
        <w:t>类区，项目投产后，建设项目建设前后评价范围内敏感目标噪声级增高量在3dB(A)以下[不含3dB(A)]，且受影响人口数量变化不大，依据《环境影响评价技术导则  声环境》（HJ2.4-2009），本项目的声环境影响评价工作等级定为</w:t>
      </w:r>
      <w:r>
        <w:rPr>
          <w:rFonts w:hint="eastAsia"/>
          <w:color w:val="auto"/>
          <w:lang w:val="en-US" w:eastAsia="zh-CN"/>
        </w:rPr>
        <w:t>二</w:t>
      </w:r>
      <w:r>
        <w:rPr>
          <w:color w:val="auto"/>
        </w:rPr>
        <w:t>级。</w:t>
      </w:r>
    </w:p>
    <w:p>
      <w:pPr>
        <w:pStyle w:val="10"/>
        <w:tabs>
          <w:tab w:val="left" w:pos="0"/>
          <w:tab w:val="left" w:pos="3960"/>
        </w:tabs>
        <w:spacing w:line="360" w:lineRule="auto"/>
        <w:rPr>
          <w:color w:val="auto"/>
        </w:rPr>
      </w:pPr>
      <w:r>
        <w:rPr>
          <w:color w:val="auto"/>
        </w:rPr>
        <w:t>1.</w:t>
      </w:r>
      <w:r>
        <w:rPr>
          <w:rFonts w:hint="eastAsia"/>
          <w:color w:val="auto"/>
          <w:lang w:val="en-US" w:eastAsia="zh-CN"/>
        </w:rPr>
        <w:t>7</w:t>
      </w:r>
      <w:r>
        <w:rPr>
          <w:color w:val="auto"/>
        </w:rPr>
        <w:t>.1.5土壤评价等级</w:t>
      </w:r>
    </w:p>
    <w:p>
      <w:pPr>
        <w:ind w:firstLine="480"/>
        <w:rPr>
          <w:color w:val="auto"/>
        </w:rPr>
      </w:pPr>
      <w:r>
        <w:rPr>
          <w:color w:val="auto"/>
        </w:rPr>
        <w:t>根据行业特征、工艺特点或规模大小等将建设项目类别分为Ⅰ类、Ⅱ类、Ⅲ类、Ⅳ类，详见《环境影响评价技术导则 土壤环境（试行）》（HJ964-2018）附录A。</w:t>
      </w:r>
    </w:p>
    <w:p>
      <w:pPr>
        <w:ind w:firstLine="480"/>
        <w:rPr>
          <w:color w:val="auto"/>
        </w:rPr>
      </w:pPr>
      <w:r>
        <w:rPr>
          <w:rFonts w:hint="eastAsia"/>
          <w:color w:val="auto"/>
        </w:rPr>
        <w:t>拟建项目属于化学纤维制造业</w:t>
      </w:r>
      <w:r>
        <w:rPr>
          <w:color w:val="auto"/>
        </w:rPr>
        <w:t>，根据附录A 可知，该项目属于Ⅱ类项目。</w:t>
      </w:r>
    </w:p>
    <w:p>
      <w:pPr>
        <w:ind w:firstLine="480"/>
        <w:rPr>
          <w:color w:val="auto"/>
        </w:rPr>
      </w:pPr>
      <w:r>
        <w:rPr>
          <w:rFonts w:hint="eastAsia"/>
          <w:color w:val="auto"/>
        </w:rPr>
        <w:t>拟建项目</w:t>
      </w:r>
      <w:r>
        <w:rPr>
          <w:color w:val="auto"/>
        </w:rPr>
        <w:t>占地面积为</w:t>
      </w:r>
      <w:r>
        <w:rPr>
          <w:rStyle w:val="53"/>
          <w:rFonts w:hint="eastAsia"/>
          <w:color w:val="auto"/>
        </w:rPr>
        <w:t>13443.00</w:t>
      </w:r>
      <w:r>
        <w:rPr>
          <w:color w:val="auto"/>
        </w:rPr>
        <w:t>m</w:t>
      </w:r>
      <w:r>
        <w:rPr>
          <w:color w:val="auto"/>
          <w:vertAlign w:val="superscript"/>
        </w:rPr>
        <w:t>2</w:t>
      </w:r>
      <w:r>
        <w:rPr>
          <w:color w:val="auto"/>
        </w:rPr>
        <w:t>，合计</w:t>
      </w:r>
      <w:r>
        <w:rPr>
          <w:rFonts w:hint="eastAsia"/>
          <w:color w:val="auto"/>
        </w:rPr>
        <w:t>1.34</w:t>
      </w:r>
      <w:r>
        <w:rPr>
          <w:color w:val="auto"/>
        </w:rPr>
        <w:t>hm</w:t>
      </w:r>
      <w:r>
        <w:rPr>
          <w:color w:val="auto"/>
          <w:vertAlign w:val="superscript"/>
        </w:rPr>
        <w:t>2</w:t>
      </w:r>
      <w:r>
        <w:rPr>
          <w:color w:val="auto"/>
        </w:rPr>
        <w:t>，</w:t>
      </w:r>
      <w:r>
        <w:rPr>
          <w:rFonts w:hint="eastAsia"/>
          <w:color w:val="auto"/>
        </w:rPr>
        <w:t>拟建项目</w:t>
      </w:r>
      <w:r>
        <w:rPr>
          <w:color w:val="auto"/>
        </w:rPr>
        <w:t>占地规模为小型。</w:t>
      </w:r>
    </w:p>
    <w:p>
      <w:pPr>
        <w:pStyle w:val="2"/>
        <w:spacing w:after="0"/>
        <w:ind w:firstLine="480"/>
        <w:rPr>
          <w:color w:val="auto"/>
        </w:rPr>
      </w:pPr>
      <w:r>
        <w:rPr>
          <w:rFonts w:hint="eastAsia"/>
          <w:color w:val="auto"/>
        </w:rPr>
        <w:t>拟建项目</w:t>
      </w:r>
      <w:r>
        <w:rPr>
          <w:color w:val="auto"/>
        </w:rPr>
        <w:t>位于</w:t>
      </w:r>
      <w:r>
        <w:rPr>
          <w:rFonts w:hint="eastAsia"/>
          <w:color w:val="auto"/>
        </w:rPr>
        <w:t>淄博科技工业园</w:t>
      </w:r>
      <w:r>
        <w:rPr>
          <w:color w:val="auto"/>
        </w:rPr>
        <w:t>，</w:t>
      </w:r>
      <w:r>
        <w:rPr>
          <w:rFonts w:hint="eastAsia"/>
          <w:color w:val="auto"/>
        </w:rPr>
        <w:t>但周边存在林地，</w:t>
      </w:r>
      <w:r>
        <w:rPr>
          <w:color w:val="auto"/>
        </w:rPr>
        <w:t>土壤环境敏感程度为敏感。</w:t>
      </w:r>
    </w:p>
    <w:p>
      <w:pPr>
        <w:ind w:firstLine="480"/>
        <w:rPr>
          <w:color w:val="auto"/>
        </w:rPr>
      </w:pPr>
      <w:r>
        <w:rPr>
          <w:color w:val="auto"/>
        </w:rPr>
        <w:t>根据土壤环境影响评价项目类别、占地规模与敏感程度划分评价工作等级，详见表1.</w:t>
      </w:r>
      <w:r>
        <w:rPr>
          <w:rFonts w:hint="eastAsia"/>
          <w:color w:val="auto"/>
          <w:lang w:val="en-US" w:eastAsia="zh-CN"/>
        </w:rPr>
        <w:t>7</w:t>
      </w:r>
      <w:r>
        <w:rPr>
          <w:color w:val="auto"/>
        </w:rPr>
        <w:t>-5。</w:t>
      </w:r>
    </w:p>
    <w:p>
      <w:pPr>
        <w:pStyle w:val="2"/>
        <w:spacing w:after="0" w:line="360" w:lineRule="auto"/>
        <w:ind w:firstLine="0" w:firstLineChars="0"/>
        <w:jc w:val="center"/>
        <w:rPr>
          <w:rFonts w:eastAsia="黑体"/>
          <w:b w:val="0"/>
          <w:bCs/>
          <w:color w:val="auto"/>
          <w:sz w:val="21"/>
          <w:szCs w:val="21"/>
        </w:rPr>
      </w:pPr>
      <w:r>
        <w:rPr>
          <w:rFonts w:eastAsia="黑体"/>
          <w:b w:val="0"/>
          <w:bCs/>
          <w:color w:val="auto"/>
          <w:sz w:val="21"/>
          <w:szCs w:val="21"/>
        </w:rPr>
        <w:t>表1.</w:t>
      </w:r>
      <w:r>
        <w:rPr>
          <w:rFonts w:hint="eastAsia" w:eastAsia="黑体"/>
          <w:b w:val="0"/>
          <w:bCs/>
          <w:color w:val="auto"/>
          <w:sz w:val="21"/>
          <w:szCs w:val="21"/>
          <w:lang w:val="en-US" w:eastAsia="zh-CN"/>
        </w:rPr>
        <w:t>7</w:t>
      </w:r>
      <w:r>
        <w:rPr>
          <w:rFonts w:eastAsia="黑体"/>
          <w:b w:val="0"/>
          <w:bCs/>
          <w:color w:val="auto"/>
          <w:sz w:val="21"/>
          <w:szCs w:val="21"/>
        </w:rPr>
        <w:t>-5 污染影响型评价工作等级划分表</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800"/>
        <w:gridCol w:w="720"/>
        <w:gridCol w:w="721"/>
        <w:gridCol w:w="721"/>
        <w:gridCol w:w="721"/>
        <w:gridCol w:w="721"/>
        <w:gridCol w:w="723"/>
        <w:gridCol w:w="721"/>
        <w:gridCol w:w="721"/>
        <w:gridCol w:w="71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08" w:type="pct"/>
            <w:vMerge w:val="restart"/>
            <w:vAlign w:val="center"/>
          </w:tcPr>
          <w:p>
            <w:pPr>
              <w:spacing w:line="240" w:lineRule="auto"/>
              <w:ind w:firstLine="0" w:firstLineChars="0"/>
              <w:jc w:val="center"/>
              <w:rPr>
                <w:color w:val="auto"/>
                <w:sz w:val="21"/>
                <w:szCs w:val="21"/>
              </w:rPr>
            </w:pPr>
            <w:r>
              <w:rPr>
                <w:color w:val="auto"/>
                <w:sz w:val="21"/>
                <w:szCs w:val="21"/>
              </w:rPr>
              <mc:AlternateContent>
                <mc:Choice Requires="wps">
                  <w:drawing>
                    <wp:anchor distT="0" distB="0" distL="114300" distR="114300" simplePos="0" relativeHeight="251660288" behindDoc="0" locked="0" layoutInCell="1" allowOverlap="1">
                      <wp:simplePos x="0" y="0"/>
                      <wp:positionH relativeFrom="column">
                        <wp:posOffset>765175</wp:posOffset>
                      </wp:positionH>
                      <wp:positionV relativeFrom="paragraph">
                        <wp:posOffset>10160</wp:posOffset>
                      </wp:positionV>
                      <wp:extent cx="923290" cy="746125"/>
                      <wp:effectExtent l="3175" t="3810" r="6985" b="12065"/>
                      <wp:wrapNone/>
                      <wp:docPr id="2" name="直接箭头连接符 2"/>
                      <wp:cNvGraphicFramePr/>
                      <a:graphic xmlns:a="http://schemas.openxmlformats.org/drawingml/2006/main">
                        <a:graphicData uri="http://schemas.microsoft.com/office/word/2010/wordprocessingShape">
                          <wps:wsp>
                            <wps:cNvCnPr/>
                            <wps:spPr>
                              <a:xfrm flipH="1" flipV="1">
                                <a:off x="0" y="0"/>
                                <a:ext cx="923290" cy="74612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 y;margin-left:60.25pt;margin-top:0.8pt;height:58.75pt;width:72.7pt;z-index:251660288;mso-width-relative:page;mso-height-relative:page;" filled="f" stroked="t" coordsize="21600,21600" o:gfxdata="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kKX2nYAAAACQEAAA8AAAAAAAAAAQAgAAAA&#10;IgAAAGRycy9kb3ducmV2LnhtbFBLAQIUABQAAAAIAIdO4kBeRBSnCwIAAAQEAAAOAAAAAAAAAAEA&#10;IAAAACcBAABkcnMvZTJvRG9jLnhtbFBLBQYAAAAABgAGAFkBAACkBQAAAAA=&#10;">
                      <v:fill on="f" focussize="0,0"/>
                      <v:stroke color="#000000" joinstyle="round"/>
                      <v:imagedata o:title=""/>
                      <o:lock v:ext="edit" aspectratio="f"/>
                    </v:shape>
                  </w:pict>
                </mc:Fallback>
              </mc:AlternateContent>
            </w:r>
            <w:r>
              <w:rPr>
                <w:color w:val="auto"/>
                <w:sz w:val="21"/>
                <w:szCs w:val="21"/>
              </w:rPr>
              <w:t xml:space="preserve">               占地规模</w:t>
            </w:r>
          </w:p>
          <w:p>
            <w:pPr>
              <w:pStyle w:val="2"/>
              <w:spacing w:after="0"/>
              <w:rPr>
                <w:color w:val="auto"/>
                <w:sz w:val="21"/>
                <w:szCs w:val="21"/>
              </w:rPr>
            </w:pPr>
            <w:r>
              <w:rPr>
                <w:color w:val="auto"/>
                <w:sz w:val="21"/>
                <w:szCs w:val="21"/>
              </w:rPr>
              <mc:AlternateContent>
                <mc:Choice Requires="wps">
                  <w:drawing>
                    <wp:anchor distT="0" distB="0" distL="114300" distR="114300" simplePos="0" relativeHeight="251661312" behindDoc="0" locked="0" layoutInCell="1" allowOverlap="1">
                      <wp:simplePos x="0" y="0"/>
                      <wp:positionH relativeFrom="column">
                        <wp:posOffset>-37465</wp:posOffset>
                      </wp:positionH>
                      <wp:positionV relativeFrom="paragraph">
                        <wp:posOffset>208280</wp:posOffset>
                      </wp:positionV>
                      <wp:extent cx="1726565" cy="366395"/>
                      <wp:effectExtent l="1270" t="4445" r="5715" b="10160"/>
                      <wp:wrapNone/>
                      <wp:docPr id="3" name="直接箭头连接符 3"/>
                      <wp:cNvGraphicFramePr/>
                      <a:graphic xmlns:a="http://schemas.openxmlformats.org/drawingml/2006/main">
                        <a:graphicData uri="http://schemas.microsoft.com/office/word/2010/wordprocessingShape">
                          <wps:wsp>
                            <wps:cNvCnPr/>
                            <wps:spPr>
                              <a:xfrm flipH="1" flipV="1">
                                <a:off x="0" y="0"/>
                                <a:ext cx="1726565" cy="36639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 y;margin-left:-2.95pt;margin-top:16.4pt;height:28.85pt;width:135.95pt;z-index:251661312;mso-width-relative:page;mso-height-relative:page;" filled="f" stroked="t" coordsize="21600,21600" o:gfxdata="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gdCdj2AAAAAgBAAAPAAAAAAAAAAEAIAAA&#10;ACIAAABkcnMvZG93bnJldi54bWxQSwECFAAUAAAACACHTuJAvL8JvgwCAAAFBAAADgAAAAAAAAAB&#10;ACAAAAAnAQAAZHJzL2Uyb0RvYy54bWxQSwUGAAAAAAYABgBZAQAApQUAAAAA&#10;">
                      <v:fill on="f" focussize="0,0"/>
                      <v:stroke color="#000000" joinstyle="round"/>
                      <v:imagedata o:title=""/>
                      <o:lock v:ext="edit" aspectratio="f"/>
                    </v:shape>
                  </w:pict>
                </mc:Fallback>
              </mc:AlternateContent>
            </w:r>
            <w:r>
              <w:rPr>
                <w:color w:val="auto"/>
                <w:sz w:val="21"/>
                <w:szCs w:val="21"/>
              </w:rPr>
              <w:t>评价工作等级</w:t>
            </w:r>
          </w:p>
          <w:p>
            <w:pPr>
              <w:ind w:firstLine="0" w:firstLineChars="0"/>
              <w:rPr>
                <w:rFonts w:eastAsia="仿宋_GB2312"/>
                <w:color w:val="auto"/>
              </w:rPr>
            </w:pPr>
            <w:r>
              <w:rPr>
                <w:color w:val="auto"/>
                <w:sz w:val="21"/>
                <w:szCs w:val="21"/>
              </w:rPr>
              <w:t>敏感程度</w:t>
            </w:r>
          </w:p>
        </w:tc>
        <w:tc>
          <w:tcPr>
            <w:tcW w:w="1164" w:type="pct"/>
            <w:gridSpan w:val="3"/>
            <w:vAlign w:val="center"/>
          </w:tcPr>
          <w:p>
            <w:pPr>
              <w:spacing w:line="240" w:lineRule="auto"/>
              <w:ind w:firstLine="0" w:firstLineChars="0"/>
              <w:jc w:val="center"/>
              <w:rPr>
                <w:color w:val="auto"/>
                <w:sz w:val="21"/>
                <w:szCs w:val="21"/>
              </w:rPr>
            </w:pPr>
            <w:r>
              <w:rPr>
                <w:color w:val="auto"/>
                <w:sz w:val="21"/>
                <w:szCs w:val="21"/>
              </w:rPr>
              <w:t>Ⅰ类</w:t>
            </w:r>
          </w:p>
        </w:tc>
        <w:tc>
          <w:tcPr>
            <w:tcW w:w="1165" w:type="pct"/>
            <w:gridSpan w:val="3"/>
            <w:vAlign w:val="center"/>
          </w:tcPr>
          <w:p>
            <w:pPr>
              <w:spacing w:line="240" w:lineRule="auto"/>
              <w:ind w:firstLine="0" w:firstLineChars="0"/>
              <w:jc w:val="center"/>
              <w:rPr>
                <w:color w:val="auto"/>
                <w:sz w:val="21"/>
                <w:szCs w:val="21"/>
              </w:rPr>
            </w:pPr>
            <w:r>
              <w:rPr>
                <w:color w:val="auto"/>
                <w:sz w:val="21"/>
                <w:szCs w:val="21"/>
              </w:rPr>
              <w:t>Ⅱ类</w:t>
            </w:r>
          </w:p>
        </w:tc>
        <w:tc>
          <w:tcPr>
            <w:tcW w:w="1164" w:type="pct"/>
            <w:gridSpan w:val="3"/>
            <w:vAlign w:val="center"/>
          </w:tcPr>
          <w:p>
            <w:pPr>
              <w:spacing w:line="240" w:lineRule="auto"/>
              <w:ind w:firstLine="0" w:firstLineChars="0"/>
              <w:jc w:val="center"/>
              <w:rPr>
                <w:color w:val="auto"/>
                <w:sz w:val="21"/>
                <w:szCs w:val="21"/>
              </w:rPr>
            </w:pPr>
            <w:r>
              <w:rPr>
                <w:color w:val="auto"/>
                <w:sz w:val="21"/>
                <w:szCs w:val="21"/>
              </w:rPr>
              <w:t>Ⅲ类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08" w:type="pct"/>
            <w:vMerge w:val="continue"/>
            <w:vAlign w:val="center"/>
          </w:tcPr>
          <w:p>
            <w:pPr>
              <w:spacing w:line="240" w:lineRule="auto"/>
              <w:ind w:firstLine="0" w:firstLineChars="0"/>
              <w:jc w:val="center"/>
              <w:rPr>
                <w:color w:val="auto"/>
                <w:sz w:val="21"/>
                <w:szCs w:val="21"/>
              </w:rPr>
            </w:pPr>
          </w:p>
        </w:tc>
        <w:tc>
          <w:tcPr>
            <w:tcW w:w="388" w:type="pct"/>
            <w:vAlign w:val="center"/>
          </w:tcPr>
          <w:p>
            <w:pPr>
              <w:spacing w:line="240" w:lineRule="auto"/>
              <w:ind w:firstLine="0" w:firstLineChars="0"/>
              <w:jc w:val="center"/>
              <w:rPr>
                <w:color w:val="auto"/>
                <w:sz w:val="21"/>
                <w:szCs w:val="21"/>
              </w:rPr>
            </w:pPr>
            <w:r>
              <w:rPr>
                <w:color w:val="auto"/>
                <w:sz w:val="21"/>
                <w:szCs w:val="21"/>
              </w:rPr>
              <w:t>大</w:t>
            </w:r>
          </w:p>
        </w:tc>
        <w:tc>
          <w:tcPr>
            <w:tcW w:w="388" w:type="pct"/>
            <w:vAlign w:val="center"/>
          </w:tcPr>
          <w:p>
            <w:pPr>
              <w:spacing w:line="240" w:lineRule="auto"/>
              <w:ind w:firstLine="0" w:firstLineChars="0"/>
              <w:jc w:val="center"/>
              <w:rPr>
                <w:color w:val="auto"/>
                <w:sz w:val="21"/>
                <w:szCs w:val="21"/>
              </w:rPr>
            </w:pPr>
            <w:r>
              <w:rPr>
                <w:color w:val="auto"/>
                <w:sz w:val="21"/>
                <w:szCs w:val="21"/>
              </w:rPr>
              <w:t>中</w:t>
            </w:r>
          </w:p>
        </w:tc>
        <w:tc>
          <w:tcPr>
            <w:tcW w:w="388" w:type="pct"/>
            <w:vAlign w:val="center"/>
          </w:tcPr>
          <w:p>
            <w:pPr>
              <w:spacing w:line="240" w:lineRule="auto"/>
              <w:ind w:firstLine="0" w:firstLineChars="0"/>
              <w:jc w:val="center"/>
              <w:rPr>
                <w:color w:val="auto"/>
                <w:sz w:val="21"/>
                <w:szCs w:val="21"/>
              </w:rPr>
            </w:pPr>
            <w:r>
              <w:rPr>
                <w:color w:val="auto"/>
                <w:sz w:val="21"/>
                <w:szCs w:val="21"/>
              </w:rPr>
              <w:t>小</w:t>
            </w:r>
          </w:p>
        </w:tc>
        <w:tc>
          <w:tcPr>
            <w:tcW w:w="388" w:type="pct"/>
            <w:vAlign w:val="center"/>
          </w:tcPr>
          <w:p>
            <w:pPr>
              <w:spacing w:line="240" w:lineRule="auto"/>
              <w:ind w:firstLine="0" w:firstLineChars="0"/>
              <w:jc w:val="center"/>
              <w:rPr>
                <w:color w:val="auto"/>
                <w:sz w:val="21"/>
                <w:szCs w:val="21"/>
              </w:rPr>
            </w:pPr>
            <w:r>
              <w:rPr>
                <w:color w:val="auto"/>
                <w:sz w:val="21"/>
                <w:szCs w:val="21"/>
              </w:rPr>
              <w:t>大</w:t>
            </w:r>
          </w:p>
        </w:tc>
        <w:tc>
          <w:tcPr>
            <w:tcW w:w="388" w:type="pct"/>
            <w:vAlign w:val="center"/>
          </w:tcPr>
          <w:p>
            <w:pPr>
              <w:spacing w:line="240" w:lineRule="auto"/>
              <w:ind w:firstLine="0" w:firstLineChars="0"/>
              <w:jc w:val="center"/>
              <w:rPr>
                <w:color w:val="auto"/>
                <w:sz w:val="21"/>
                <w:szCs w:val="21"/>
              </w:rPr>
            </w:pPr>
            <w:r>
              <w:rPr>
                <w:color w:val="auto"/>
                <w:sz w:val="21"/>
                <w:szCs w:val="21"/>
              </w:rPr>
              <w:t>中</w:t>
            </w:r>
          </w:p>
        </w:tc>
        <w:tc>
          <w:tcPr>
            <w:tcW w:w="389" w:type="pct"/>
            <w:vAlign w:val="center"/>
          </w:tcPr>
          <w:p>
            <w:pPr>
              <w:spacing w:line="240" w:lineRule="auto"/>
              <w:ind w:firstLine="0" w:firstLineChars="0"/>
              <w:jc w:val="center"/>
              <w:rPr>
                <w:color w:val="auto"/>
                <w:sz w:val="21"/>
                <w:szCs w:val="21"/>
              </w:rPr>
            </w:pPr>
            <w:r>
              <w:rPr>
                <w:color w:val="auto"/>
                <w:sz w:val="21"/>
                <w:szCs w:val="21"/>
              </w:rPr>
              <w:t>小</w:t>
            </w:r>
          </w:p>
        </w:tc>
        <w:tc>
          <w:tcPr>
            <w:tcW w:w="388" w:type="pct"/>
            <w:vAlign w:val="center"/>
          </w:tcPr>
          <w:p>
            <w:pPr>
              <w:spacing w:line="240" w:lineRule="auto"/>
              <w:ind w:firstLine="0" w:firstLineChars="0"/>
              <w:jc w:val="center"/>
              <w:rPr>
                <w:color w:val="auto"/>
                <w:sz w:val="21"/>
                <w:szCs w:val="21"/>
              </w:rPr>
            </w:pPr>
            <w:r>
              <w:rPr>
                <w:color w:val="auto"/>
                <w:sz w:val="21"/>
                <w:szCs w:val="21"/>
              </w:rPr>
              <w:t>大</w:t>
            </w:r>
          </w:p>
        </w:tc>
        <w:tc>
          <w:tcPr>
            <w:tcW w:w="388" w:type="pct"/>
            <w:vAlign w:val="center"/>
          </w:tcPr>
          <w:p>
            <w:pPr>
              <w:spacing w:line="240" w:lineRule="auto"/>
              <w:ind w:firstLine="0" w:firstLineChars="0"/>
              <w:jc w:val="center"/>
              <w:rPr>
                <w:color w:val="auto"/>
                <w:sz w:val="21"/>
                <w:szCs w:val="21"/>
              </w:rPr>
            </w:pPr>
            <w:r>
              <w:rPr>
                <w:color w:val="auto"/>
                <w:sz w:val="21"/>
                <w:szCs w:val="21"/>
              </w:rPr>
              <w:t>中</w:t>
            </w:r>
          </w:p>
        </w:tc>
        <w:tc>
          <w:tcPr>
            <w:tcW w:w="387" w:type="pct"/>
            <w:vAlign w:val="center"/>
          </w:tcPr>
          <w:p>
            <w:pPr>
              <w:spacing w:line="240" w:lineRule="auto"/>
              <w:ind w:firstLine="0" w:firstLineChars="0"/>
              <w:jc w:val="center"/>
              <w:rPr>
                <w:color w:val="auto"/>
                <w:sz w:val="21"/>
                <w:szCs w:val="21"/>
              </w:rPr>
            </w:pPr>
            <w:r>
              <w:rPr>
                <w:color w:val="auto"/>
                <w:sz w:val="21"/>
                <w:szCs w:val="21"/>
              </w:rPr>
              <w:t>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08" w:type="pct"/>
            <w:vAlign w:val="center"/>
          </w:tcPr>
          <w:p>
            <w:pPr>
              <w:spacing w:line="240" w:lineRule="auto"/>
              <w:ind w:firstLine="0" w:firstLineChars="0"/>
              <w:jc w:val="center"/>
              <w:rPr>
                <w:color w:val="auto"/>
                <w:sz w:val="21"/>
                <w:szCs w:val="21"/>
              </w:rPr>
            </w:pPr>
            <w:r>
              <w:rPr>
                <w:color w:val="auto"/>
                <w:sz w:val="21"/>
                <w:szCs w:val="21"/>
              </w:rPr>
              <w:t>敏感</w:t>
            </w:r>
          </w:p>
        </w:tc>
        <w:tc>
          <w:tcPr>
            <w:tcW w:w="388" w:type="pct"/>
            <w:vAlign w:val="center"/>
          </w:tcPr>
          <w:p>
            <w:pPr>
              <w:spacing w:line="240" w:lineRule="auto"/>
              <w:ind w:firstLine="0" w:firstLineChars="0"/>
              <w:jc w:val="center"/>
              <w:rPr>
                <w:color w:val="auto"/>
                <w:sz w:val="21"/>
                <w:szCs w:val="21"/>
              </w:rPr>
            </w:pPr>
            <w:r>
              <w:rPr>
                <w:color w:val="auto"/>
                <w:sz w:val="21"/>
                <w:szCs w:val="21"/>
              </w:rPr>
              <w:t>一级</w:t>
            </w:r>
          </w:p>
        </w:tc>
        <w:tc>
          <w:tcPr>
            <w:tcW w:w="388" w:type="pct"/>
            <w:vAlign w:val="center"/>
          </w:tcPr>
          <w:p>
            <w:pPr>
              <w:spacing w:line="240" w:lineRule="auto"/>
              <w:ind w:firstLine="0" w:firstLineChars="0"/>
              <w:jc w:val="center"/>
              <w:rPr>
                <w:color w:val="auto"/>
                <w:sz w:val="21"/>
                <w:szCs w:val="21"/>
              </w:rPr>
            </w:pPr>
            <w:r>
              <w:rPr>
                <w:color w:val="auto"/>
                <w:sz w:val="21"/>
                <w:szCs w:val="21"/>
              </w:rPr>
              <w:t>一级</w:t>
            </w:r>
          </w:p>
        </w:tc>
        <w:tc>
          <w:tcPr>
            <w:tcW w:w="388" w:type="pct"/>
            <w:vAlign w:val="center"/>
          </w:tcPr>
          <w:p>
            <w:pPr>
              <w:spacing w:line="240" w:lineRule="auto"/>
              <w:ind w:firstLine="0" w:firstLineChars="0"/>
              <w:jc w:val="center"/>
              <w:rPr>
                <w:color w:val="auto"/>
                <w:sz w:val="21"/>
                <w:szCs w:val="21"/>
              </w:rPr>
            </w:pPr>
            <w:r>
              <w:rPr>
                <w:color w:val="auto"/>
                <w:sz w:val="21"/>
                <w:szCs w:val="21"/>
              </w:rPr>
              <w:t>一级</w:t>
            </w:r>
          </w:p>
        </w:tc>
        <w:tc>
          <w:tcPr>
            <w:tcW w:w="388" w:type="pct"/>
            <w:vAlign w:val="center"/>
          </w:tcPr>
          <w:p>
            <w:pPr>
              <w:spacing w:line="240" w:lineRule="auto"/>
              <w:ind w:firstLine="0" w:firstLineChars="0"/>
              <w:jc w:val="center"/>
              <w:rPr>
                <w:color w:val="auto"/>
                <w:sz w:val="21"/>
                <w:szCs w:val="21"/>
              </w:rPr>
            </w:pPr>
            <w:r>
              <w:rPr>
                <w:color w:val="auto"/>
                <w:sz w:val="21"/>
                <w:szCs w:val="21"/>
              </w:rPr>
              <w:t>二级</w:t>
            </w:r>
          </w:p>
        </w:tc>
        <w:tc>
          <w:tcPr>
            <w:tcW w:w="388" w:type="pct"/>
            <w:vAlign w:val="center"/>
          </w:tcPr>
          <w:p>
            <w:pPr>
              <w:spacing w:line="240" w:lineRule="auto"/>
              <w:ind w:firstLine="0" w:firstLineChars="0"/>
              <w:jc w:val="center"/>
              <w:rPr>
                <w:color w:val="auto"/>
                <w:sz w:val="21"/>
                <w:szCs w:val="21"/>
              </w:rPr>
            </w:pPr>
            <w:r>
              <w:rPr>
                <w:color w:val="auto"/>
                <w:sz w:val="21"/>
                <w:szCs w:val="21"/>
              </w:rPr>
              <w:t>二级</w:t>
            </w:r>
          </w:p>
        </w:tc>
        <w:tc>
          <w:tcPr>
            <w:tcW w:w="389" w:type="pct"/>
            <w:shd w:val="clear" w:color="auto" w:fill="E7E6E6" w:themeFill="background2"/>
            <w:vAlign w:val="center"/>
          </w:tcPr>
          <w:p>
            <w:pPr>
              <w:spacing w:line="240" w:lineRule="auto"/>
              <w:ind w:firstLine="0" w:firstLineChars="0"/>
              <w:jc w:val="center"/>
              <w:rPr>
                <w:color w:val="auto"/>
                <w:sz w:val="21"/>
                <w:szCs w:val="21"/>
              </w:rPr>
            </w:pPr>
            <w:r>
              <w:rPr>
                <w:color w:val="auto"/>
                <w:sz w:val="21"/>
                <w:szCs w:val="21"/>
              </w:rPr>
              <w:t>二级</w:t>
            </w:r>
          </w:p>
        </w:tc>
        <w:tc>
          <w:tcPr>
            <w:tcW w:w="388" w:type="pct"/>
            <w:vAlign w:val="center"/>
          </w:tcPr>
          <w:p>
            <w:pPr>
              <w:spacing w:line="240" w:lineRule="auto"/>
              <w:ind w:firstLine="0" w:firstLineChars="0"/>
              <w:jc w:val="center"/>
              <w:rPr>
                <w:color w:val="auto"/>
                <w:sz w:val="21"/>
                <w:szCs w:val="21"/>
              </w:rPr>
            </w:pPr>
            <w:r>
              <w:rPr>
                <w:color w:val="auto"/>
                <w:sz w:val="21"/>
                <w:szCs w:val="21"/>
              </w:rPr>
              <w:t>三级</w:t>
            </w:r>
          </w:p>
        </w:tc>
        <w:tc>
          <w:tcPr>
            <w:tcW w:w="388" w:type="pct"/>
            <w:vAlign w:val="center"/>
          </w:tcPr>
          <w:p>
            <w:pPr>
              <w:spacing w:line="240" w:lineRule="auto"/>
              <w:ind w:firstLine="0" w:firstLineChars="0"/>
              <w:jc w:val="center"/>
              <w:rPr>
                <w:color w:val="auto"/>
                <w:sz w:val="21"/>
                <w:szCs w:val="21"/>
              </w:rPr>
            </w:pPr>
            <w:r>
              <w:rPr>
                <w:color w:val="auto"/>
                <w:sz w:val="21"/>
                <w:szCs w:val="21"/>
              </w:rPr>
              <w:t>三级</w:t>
            </w:r>
          </w:p>
        </w:tc>
        <w:tc>
          <w:tcPr>
            <w:tcW w:w="387" w:type="pct"/>
            <w:vAlign w:val="center"/>
          </w:tcPr>
          <w:p>
            <w:pPr>
              <w:spacing w:line="240" w:lineRule="auto"/>
              <w:ind w:firstLine="0" w:firstLineChars="0"/>
              <w:jc w:val="center"/>
              <w:rPr>
                <w:color w:val="auto"/>
                <w:sz w:val="21"/>
                <w:szCs w:val="21"/>
              </w:rPr>
            </w:pPr>
            <w:r>
              <w:rPr>
                <w:color w:val="auto"/>
                <w:sz w:val="21"/>
                <w:szCs w:val="21"/>
              </w:rPr>
              <w:t>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08" w:type="pct"/>
            <w:vAlign w:val="center"/>
          </w:tcPr>
          <w:p>
            <w:pPr>
              <w:spacing w:line="240" w:lineRule="auto"/>
              <w:ind w:firstLine="0" w:firstLineChars="0"/>
              <w:jc w:val="center"/>
              <w:rPr>
                <w:color w:val="auto"/>
                <w:sz w:val="21"/>
                <w:szCs w:val="21"/>
              </w:rPr>
            </w:pPr>
            <w:r>
              <w:rPr>
                <w:color w:val="auto"/>
                <w:sz w:val="21"/>
                <w:szCs w:val="21"/>
              </w:rPr>
              <w:t>较敏感</w:t>
            </w:r>
          </w:p>
        </w:tc>
        <w:tc>
          <w:tcPr>
            <w:tcW w:w="388" w:type="pct"/>
            <w:vAlign w:val="center"/>
          </w:tcPr>
          <w:p>
            <w:pPr>
              <w:spacing w:line="240" w:lineRule="auto"/>
              <w:ind w:firstLine="0" w:firstLineChars="0"/>
              <w:jc w:val="center"/>
              <w:rPr>
                <w:color w:val="auto"/>
                <w:sz w:val="21"/>
                <w:szCs w:val="21"/>
              </w:rPr>
            </w:pPr>
            <w:r>
              <w:rPr>
                <w:color w:val="auto"/>
                <w:sz w:val="21"/>
                <w:szCs w:val="21"/>
              </w:rPr>
              <w:t>一级</w:t>
            </w:r>
          </w:p>
        </w:tc>
        <w:tc>
          <w:tcPr>
            <w:tcW w:w="388" w:type="pct"/>
            <w:vAlign w:val="center"/>
          </w:tcPr>
          <w:p>
            <w:pPr>
              <w:spacing w:line="240" w:lineRule="auto"/>
              <w:ind w:firstLine="0" w:firstLineChars="0"/>
              <w:jc w:val="center"/>
              <w:rPr>
                <w:color w:val="auto"/>
                <w:sz w:val="21"/>
                <w:szCs w:val="21"/>
              </w:rPr>
            </w:pPr>
            <w:r>
              <w:rPr>
                <w:color w:val="auto"/>
                <w:sz w:val="21"/>
                <w:szCs w:val="21"/>
              </w:rPr>
              <w:t>一级</w:t>
            </w:r>
          </w:p>
        </w:tc>
        <w:tc>
          <w:tcPr>
            <w:tcW w:w="388" w:type="pct"/>
            <w:vAlign w:val="center"/>
          </w:tcPr>
          <w:p>
            <w:pPr>
              <w:spacing w:line="240" w:lineRule="auto"/>
              <w:ind w:firstLine="0" w:firstLineChars="0"/>
              <w:jc w:val="center"/>
              <w:rPr>
                <w:color w:val="auto"/>
                <w:sz w:val="21"/>
                <w:szCs w:val="21"/>
              </w:rPr>
            </w:pPr>
            <w:r>
              <w:rPr>
                <w:color w:val="auto"/>
                <w:sz w:val="21"/>
                <w:szCs w:val="21"/>
              </w:rPr>
              <w:t>二级</w:t>
            </w:r>
          </w:p>
        </w:tc>
        <w:tc>
          <w:tcPr>
            <w:tcW w:w="388" w:type="pct"/>
            <w:vAlign w:val="center"/>
          </w:tcPr>
          <w:p>
            <w:pPr>
              <w:spacing w:line="240" w:lineRule="auto"/>
              <w:ind w:firstLine="0" w:firstLineChars="0"/>
              <w:jc w:val="center"/>
              <w:rPr>
                <w:color w:val="auto"/>
                <w:sz w:val="21"/>
                <w:szCs w:val="21"/>
              </w:rPr>
            </w:pPr>
            <w:r>
              <w:rPr>
                <w:color w:val="auto"/>
                <w:sz w:val="21"/>
                <w:szCs w:val="21"/>
              </w:rPr>
              <w:t>二级</w:t>
            </w:r>
          </w:p>
        </w:tc>
        <w:tc>
          <w:tcPr>
            <w:tcW w:w="388" w:type="pct"/>
            <w:vAlign w:val="center"/>
          </w:tcPr>
          <w:p>
            <w:pPr>
              <w:spacing w:line="240" w:lineRule="auto"/>
              <w:ind w:firstLine="0" w:firstLineChars="0"/>
              <w:jc w:val="center"/>
              <w:rPr>
                <w:color w:val="auto"/>
                <w:sz w:val="21"/>
                <w:szCs w:val="21"/>
              </w:rPr>
            </w:pPr>
            <w:r>
              <w:rPr>
                <w:color w:val="auto"/>
                <w:sz w:val="21"/>
                <w:szCs w:val="21"/>
              </w:rPr>
              <w:t>二级</w:t>
            </w:r>
          </w:p>
        </w:tc>
        <w:tc>
          <w:tcPr>
            <w:tcW w:w="389" w:type="pct"/>
            <w:vAlign w:val="center"/>
          </w:tcPr>
          <w:p>
            <w:pPr>
              <w:spacing w:line="240" w:lineRule="auto"/>
              <w:ind w:firstLine="0" w:firstLineChars="0"/>
              <w:jc w:val="center"/>
              <w:rPr>
                <w:color w:val="auto"/>
                <w:sz w:val="21"/>
                <w:szCs w:val="21"/>
              </w:rPr>
            </w:pPr>
            <w:r>
              <w:rPr>
                <w:color w:val="auto"/>
                <w:sz w:val="21"/>
                <w:szCs w:val="21"/>
              </w:rPr>
              <w:t>三级</w:t>
            </w:r>
          </w:p>
        </w:tc>
        <w:tc>
          <w:tcPr>
            <w:tcW w:w="388" w:type="pct"/>
            <w:vAlign w:val="center"/>
          </w:tcPr>
          <w:p>
            <w:pPr>
              <w:spacing w:line="240" w:lineRule="auto"/>
              <w:ind w:firstLine="0" w:firstLineChars="0"/>
              <w:jc w:val="center"/>
              <w:rPr>
                <w:color w:val="auto"/>
                <w:sz w:val="21"/>
                <w:szCs w:val="21"/>
              </w:rPr>
            </w:pPr>
            <w:r>
              <w:rPr>
                <w:color w:val="auto"/>
                <w:sz w:val="21"/>
                <w:szCs w:val="21"/>
              </w:rPr>
              <w:t>三级</w:t>
            </w:r>
          </w:p>
        </w:tc>
        <w:tc>
          <w:tcPr>
            <w:tcW w:w="388" w:type="pct"/>
            <w:vAlign w:val="center"/>
          </w:tcPr>
          <w:p>
            <w:pPr>
              <w:spacing w:line="240" w:lineRule="auto"/>
              <w:ind w:firstLine="0" w:firstLineChars="0"/>
              <w:jc w:val="center"/>
              <w:rPr>
                <w:color w:val="auto"/>
                <w:sz w:val="21"/>
                <w:szCs w:val="21"/>
              </w:rPr>
            </w:pPr>
            <w:r>
              <w:rPr>
                <w:color w:val="auto"/>
                <w:sz w:val="21"/>
                <w:szCs w:val="21"/>
              </w:rPr>
              <w:t>三级</w:t>
            </w:r>
          </w:p>
        </w:tc>
        <w:tc>
          <w:tcPr>
            <w:tcW w:w="387" w:type="pct"/>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08" w:type="pct"/>
            <w:shd w:val="clear" w:color="auto" w:fill="auto"/>
            <w:vAlign w:val="center"/>
          </w:tcPr>
          <w:p>
            <w:pPr>
              <w:spacing w:line="240" w:lineRule="auto"/>
              <w:ind w:firstLine="0" w:firstLineChars="0"/>
              <w:jc w:val="center"/>
              <w:rPr>
                <w:color w:val="auto"/>
                <w:sz w:val="21"/>
                <w:szCs w:val="21"/>
              </w:rPr>
            </w:pPr>
            <w:r>
              <w:rPr>
                <w:color w:val="auto"/>
                <w:sz w:val="21"/>
                <w:szCs w:val="21"/>
              </w:rPr>
              <w:t>不敏感</w:t>
            </w:r>
          </w:p>
        </w:tc>
        <w:tc>
          <w:tcPr>
            <w:tcW w:w="388" w:type="pct"/>
            <w:shd w:val="clear" w:color="auto" w:fill="auto"/>
            <w:vAlign w:val="center"/>
          </w:tcPr>
          <w:p>
            <w:pPr>
              <w:spacing w:line="240" w:lineRule="auto"/>
              <w:ind w:firstLine="0" w:firstLineChars="0"/>
              <w:jc w:val="center"/>
              <w:rPr>
                <w:color w:val="auto"/>
                <w:sz w:val="21"/>
                <w:szCs w:val="21"/>
              </w:rPr>
            </w:pPr>
            <w:r>
              <w:rPr>
                <w:color w:val="auto"/>
                <w:sz w:val="21"/>
                <w:szCs w:val="21"/>
              </w:rPr>
              <w:t>一级</w:t>
            </w:r>
          </w:p>
        </w:tc>
        <w:tc>
          <w:tcPr>
            <w:tcW w:w="388" w:type="pct"/>
            <w:shd w:val="clear" w:color="auto" w:fill="auto"/>
            <w:vAlign w:val="center"/>
          </w:tcPr>
          <w:p>
            <w:pPr>
              <w:spacing w:line="240" w:lineRule="auto"/>
              <w:ind w:firstLine="0" w:firstLineChars="0"/>
              <w:jc w:val="center"/>
              <w:rPr>
                <w:color w:val="auto"/>
                <w:sz w:val="21"/>
                <w:szCs w:val="21"/>
              </w:rPr>
            </w:pPr>
            <w:r>
              <w:rPr>
                <w:color w:val="auto"/>
                <w:sz w:val="21"/>
                <w:szCs w:val="21"/>
              </w:rPr>
              <w:t>二级</w:t>
            </w:r>
          </w:p>
        </w:tc>
        <w:tc>
          <w:tcPr>
            <w:tcW w:w="388" w:type="pct"/>
            <w:shd w:val="clear" w:color="auto" w:fill="FFFFFF" w:themeFill="background1"/>
            <w:vAlign w:val="center"/>
          </w:tcPr>
          <w:p>
            <w:pPr>
              <w:spacing w:line="240" w:lineRule="auto"/>
              <w:ind w:firstLine="0" w:firstLineChars="0"/>
              <w:jc w:val="center"/>
              <w:rPr>
                <w:color w:val="auto"/>
                <w:sz w:val="21"/>
                <w:szCs w:val="21"/>
              </w:rPr>
            </w:pPr>
            <w:r>
              <w:rPr>
                <w:color w:val="auto"/>
                <w:sz w:val="21"/>
                <w:szCs w:val="21"/>
              </w:rPr>
              <w:t>二级</w:t>
            </w:r>
          </w:p>
        </w:tc>
        <w:tc>
          <w:tcPr>
            <w:tcW w:w="388" w:type="pct"/>
            <w:vAlign w:val="center"/>
          </w:tcPr>
          <w:p>
            <w:pPr>
              <w:spacing w:line="240" w:lineRule="auto"/>
              <w:ind w:firstLine="0" w:firstLineChars="0"/>
              <w:jc w:val="center"/>
              <w:rPr>
                <w:color w:val="auto"/>
                <w:sz w:val="21"/>
                <w:szCs w:val="21"/>
              </w:rPr>
            </w:pPr>
            <w:r>
              <w:rPr>
                <w:color w:val="auto"/>
                <w:sz w:val="21"/>
                <w:szCs w:val="21"/>
              </w:rPr>
              <w:t>二级</w:t>
            </w:r>
          </w:p>
        </w:tc>
        <w:tc>
          <w:tcPr>
            <w:tcW w:w="388" w:type="pct"/>
            <w:vAlign w:val="center"/>
          </w:tcPr>
          <w:p>
            <w:pPr>
              <w:spacing w:line="240" w:lineRule="auto"/>
              <w:ind w:firstLine="0" w:firstLineChars="0"/>
              <w:jc w:val="center"/>
              <w:rPr>
                <w:color w:val="auto"/>
                <w:sz w:val="21"/>
                <w:szCs w:val="21"/>
              </w:rPr>
            </w:pPr>
            <w:r>
              <w:rPr>
                <w:color w:val="auto"/>
                <w:sz w:val="21"/>
                <w:szCs w:val="21"/>
              </w:rPr>
              <w:t>三级</w:t>
            </w:r>
          </w:p>
        </w:tc>
        <w:tc>
          <w:tcPr>
            <w:tcW w:w="389" w:type="pct"/>
            <w:vAlign w:val="center"/>
          </w:tcPr>
          <w:p>
            <w:pPr>
              <w:spacing w:line="240" w:lineRule="auto"/>
              <w:ind w:firstLine="0" w:firstLineChars="0"/>
              <w:jc w:val="center"/>
              <w:rPr>
                <w:color w:val="auto"/>
                <w:sz w:val="21"/>
                <w:szCs w:val="21"/>
              </w:rPr>
            </w:pPr>
            <w:r>
              <w:rPr>
                <w:color w:val="auto"/>
                <w:sz w:val="21"/>
                <w:szCs w:val="21"/>
              </w:rPr>
              <w:t>三级</w:t>
            </w:r>
          </w:p>
        </w:tc>
        <w:tc>
          <w:tcPr>
            <w:tcW w:w="388" w:type="pct"/>
            <w:vAlign w:val="center"/>
          </w:tcPr>
          <w:p>
            <w:pPr>
              <w:spacing w:line="240" w:lineRule="auto"/>
              <w:ind w:firstLine="0" w:firstLineChars="0"/>
              <w:jc w:val="center"/>
              <w:rPr>
                <w:color w:val="auto"/>
                <w:sz w:val="21"/>
                <w:szCs w:val="21"/>
              </w:rPr>
            </w:pPr>
            <w:r>
              <w:rPr>
                <w:color w:val="auto"/>
                <w:sz w:val="21"/>
                <w:szCs w:val="21"/>
              </w:rPr>
              <w:t>三级</w:t>
            </w:r>
          </w:p>
        </w:tc>
        <w:tc>
          <w:tcPr>
            <w:tcW w:w="388" w:type="pct"/>
            <w:vAlign w:val="center"/>
          </w:tcPr>
          <w:p>
            <w:pPr>
              <w:spacing w:line="240" w:lineRule="auto"/>
              <w:ind w:firstLine="0" w:firstLineChars="0"/>
              <w:jc w:val="center"/>
              <w:rPr>
                <w:color w:val="auto"/>
                <w:sz w:val="21"/>
                <w:szCs w:val="21"/>
              </w:rPr>
            </w:pPr>
            <w:r>
              <w:rPr>
                <w:color w:val="auto"/>
                <w:sz w:val="21"/>
                <w:szCs w:val="21"/>
              </w:rPr>
              <w:t>-</w:t>
            </w:r>
          </w:p>
        </w:tc>
        <w:tc>
          <w:tcPr>
            <w:tcW w:w="387" w:type="pct"/>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00" w:type="pct"/>
            <w:gridSpan w:val="10"/>
            <w:vAlign w:val="center"/>
          </w:tcPr>
          <w:p>
            <w:pPr>
              <w:spacing w:line="240" w:lineRule="auto"/>
              <w:ind w:firstLine="420"/>
              <w:jc w:val="left"/>
              <w:rPr>
                <w:color w:val="auto"/>
                <w:sz w:val="21"/>
                <w:szCs w:val="21"/>
              </w:rPr>
            </w:pPr>
            <w:r>
              <w:rPr>
                <w:color w:val="auto"/>
                <w:sz w:val="21"/>
                <w:szCs w:val="21"/>
              </w:rPr>
              <w:t>注：“-”表示可不开展土壤环境影响评价工作</w:t>
            </w:r>
          </w:p>
        </w:tc>
      </w:tr>
    </w:tbl>
    <w:p>
      <w:pPr>
        <w:ind w:firstLine="480"/>
        <w:rPr>
          <w:color w:val="auto"/>
        </w:rPr>
      </w:pPr>
      <w:r>
        <w:rPr>
          <w:color w:val="auto"/>
        </w:rPr>
        <w:t>综上所述，</w:t>
      </w:r>
      <w:r>
        <w:rPr>
          <w:rFonts w:hint="eastAsia"/>
          <w:color w:val="auto"/>
        </w:rPr>
        <w:t>拟建项目</w:t>
      </w:r>
      <w:r>
        <w:rPr>
          <w:color w:val="auto"/>
        </w:rPr>
        <w:t>为Ⅱ类项目，建设项目占地规模为小型，土壤环境敏感程度为敏感，因此，确定土壤环境影响评价工作等级为二级。</w:t>
      </w:r>
    </w:p>
    <w:p>
      <w:pPr>
        <w:pStyle w:val="10"/>
        <w:tabs>
          <w:tab w:val="left" w:pos="0"/>
          <w:tab w:val="left" w:pos="3960"/>
        </w:tabs>
        <w:spacing w:line="360" w:lineRule="auto"/>
        <w:rPr>
          <w:color w:val="auto"/>
        </w:rPr>
      </w:pPr>
      <w:bookmarkStart w:id="187" w:name="_Toc304113495"/>
      <w:bookmarkStart w:id="188" w:name="_Toc306729519"/>
      <w:bookmarkStart w:id="189" w:name="_Toc402962748"/>
      <w:r>
        <w:rPr>
          <w:color w:val="auto"/>
        </w:rPr>
        <w:t>1.</w:t>
      </w:r>
      <w:r>
        <w:rPr>
          <w:rFonts w:hint="eastAsia"/>
          <w:color w:val="auto"/>
          <w:lang w:val="en-US" w:eastAsia="zh-CN"/>
        </w:rPr>
        <w:t>7</w:t>
      </w:r>
      <w:r>
        <w:rPr>
          <w:color w:val="auto"/>
        </w:rPr>
        <w:t>.1.6环境风险评价等级</w:t>
      </w:r>
      <w:bookmarkEnd w:id="187"/>
      <w:bookmarkEnd w:id="188"/>
      <w:bookmarkEnd w:id="189"/>
    </w:p>
    <w:p>
      <w:pPr>
        <w:ind w:firstLine="482" w:firstLineChars="0"/>
        <w:rPr>
          <w:color w:val="auto"/>
        </w:rPr>
      </w:pPr>
      <w:r>
        <w:rPr>
          <w:color w:val="auto"/>
        </w:rPr>
        <w:t>环境风险评价工作等级划分为一级、二级、三级。根据建设项目涉及的物质及工艺系统危险性和所在地的环境敏感性确定环境风险潜势，按照表1.</w:t>
      </w:r>
      <w:r>
        <w:rPr>
          <w:rFonts w:hint="eastAsia"/>
          <w:color w:val="auto"/>
          <w:lang w:val="en-US" w:eastAsia="zh-CN"/>
        </w:rPr>
        <w:t>7</w:t>
      </w:r>
      <w:r>
        <w:rPr>
          <w:color w:val="auto"/>
        </w:rPr>
        <w:t>-6确定评价工作等级。</w:t>
      </w:r>
    </w:p>
    <w:p>
      <w:pPr>
        <w:ind w:firstLine="0" w:firstLineChars="0"/>
        <w:jc w:val="center"/>
        <w:rPr>
          <w:rFonts w:eastAsia="黑体"/>
          <w:b w:val="0"/>
          <w:bCs/>
          <w:color w:val="auto"/>
          <w:sz w:val="21"/>
          <w:szCs w:val="21"/>
        </w:rPr>
      </w:pPr>
      <w:r>
        <w:rPr>
          <w:rFonts w:eastAsia="黑体"/>
          <w:b w:val="0"/>
          <w:bCs/>
          <w:color w:val="auto"/>
          <w:sz w:val="21"/>
          <w:szCs w:val="21"/>
        </w:rPr>
        <w:t>表1.</w:t>
      </w:r>
      <w:r>
        <w:rPr>
          <w:rFonts w:hint="eastAsia" w:eastAsia="黑体"/>
          <w:b w:val="0"/>
          <w:bCs/>
          <w:color w:val="auto"/>
          <w:sz w:val="21"/>
          <w:szCs w:val="21"/>
          <w:lang w:val="en-US" w:eastAsia="zh-CN"/>
        </w:rPr>
        <w:t>7</w:t>
      </w:r>
      <w:r>
        <w:rPr>
          <w:rFonts w:eastAsia="黑体"/>
          <w:b w:val="0"/>
          <w:bCs/>
          <w:color w:val="auto"/>
          <w:sz w:val="21"/>
          <w:szCs w:val="21"/>
        </w:rPr>
        <w:t>-6  评价工作等级划分</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857"/>
        <w:gridCol w:w="1857"/>
        <w:gridCol w:w="1858"/>
        <w:gridCol w:w="1858"/>
        <w:gridCol w:w="185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00" w:type="pct"/>
            <w:vAlign w:val="center"/>
          </w:tcPr>
          <w:p>
            <w:pPr>
              <w:spacing w:line="240" w:lineRule="auto"/>
              <w:ind w:firstLine="0" w:firstLineChars="0"/>
              <w:jc w:val="center"/>
              <w:rPr>
                <w:b/>
                <w:color w:val="auto"/>
                <w:sz w:val="21"/>
                <w:szCs w:val="21"/>
              </w:rPr>
            </w:pPr>
            <w:r>
              <w:rPr>
                <w:b/>
                <w:color w:val="auto"/>
                <w:sz w:val="21"/>
                <w:szCs w:val="21"/>
              </w:rPr>
              <w:t>环境风险潜势</w:t>
            </w:r>
          </w:p>
        </w:tc>
        <w:tc>
          <w:tcPr>
            <w:tcW w:w="1000" w:type="pct"/>
            <w:vAlign w:val="center"/>
          </w:tcPr>
          <w:p>
            <w:pPr>
              <w:spacing w:line="240" w:lineRule="auto"/>
              <w:ind w:firstLine="0" w:firstLineChars="0"/>
              <w:jc w:val="center"/>
              <w:rPr>
                <w:b/>
                <w:color w:val="auto"/>
                <w:sz w:val="21"/>
                <w:szCs w:val="22"/>
              </w:rPr>
            </w:pPr>
            <w:r>
              <w:rPr>
                <w:b/>
                <w:color w:val="auto"/>
                <w:sz w:val="21"/>
                <w:szCs w:val="22"/>
              </w:rPr>
              <w:t>Ⅳ、</w:t>
            </w:r>
            <w:r>
              <w:rPr>
                <w:b/>
                <w:color w:val="auto"/>
                <w:sz w:val="21"/>
                <w:szCs w:val="21"/>
              </w:rPr>
              <w:t>Ⅳ</w:t>
            </w:r>
            <w:r>
              <w:rPr>
                <w:b/>
                <w:color w:val="auto"/>
                <w:sz w:val="21"/>
                <w:szCs w:val="21"/>
                <w:vertAlign w:val="superscript"/>
              </w:rPr>
              <w:t>+</w:t>
            </w:r>
          </w:p>
        </w:tc>
        <w:tc>
          <w:tcPr>
            <w:tcW w:w="1000" w:type="pct"/>
            <w:vAlign w:val="center"/>
          </w:tcPr>
          <w:p>
            <w:pPr>
              <w:spacing w:line="240" w:lineRule="auto"/>
              <w:ind w:firstLine="0" w:firstLineChars="0"/>
              <w:jc w:val="center"/>
              <w:rPr>
                <w:b/>
                <w:color w:val="auto"/>
                <w:sz w:val="21"/>
                <w:szCs w:val="22"/>
              </w:rPr>
            </w:pPr>
            <w:r>
              <w:rPr>
                <w:b/>
                <w:color w:val="auto"/>
                <w:sz w:val="21"/>
                <w:szCs w:val="22"/>
              </w:rPr>
              <w:t>Ⅲ</w:t>
            </w:r>
          </w:p>
        </w:tc>
        <w:tc>
          <w:tcPr>
            <w:tcW w:w="1000" w:type="pct"/>
            <w:vAlign w:val="center"/>
          </w:tcPr>
          <w:p>
            <w:pPr>
              <w:spacing w:line="240" w:lineRule="auto"/>
              <w:ind w:firstLine="0" w:firstLineChars="0"/>
              <w:jc w:val="center"/>
              <w:rPr>
                <w:b/>
                <w:color w:val="auto"/>
                <w:sz w:val="21"/>
                <w:szCs w:val="22"/>
              </w:rPr>
            </w:pPr>
            <w:r>
              <w:rPr>
                <w:b/>
                <w:color w:val="auto"/>
                <w:sz w:val="21"/>
                <w:szCs w:val="22"/>
              </w:rPr>
              <w:t>Ⅱ</w:t>
            </w:r>
          </w:p>
        </w:tc>
        <w:tc>
          <w:tcPr>
            <w:tcW w:w="1000" w:type="pct"/>
            <w:vAlign w:val="center"/>
          </w:tcPr>
          <w:p>
            <w:pPr>
              <w:spacing w:line="240" w:lineRule="auto"/>
              <w:ind w:firstLine="0" w:firstLineChars="0"/>
              <w:jc w:val="center"/>
              <w:rPr>
                <w:b/>
                <w:color w:val="auto"/>
                <w:sz w:val="21"/>
                <w:szCs w:val="22"/>
              </w:rPr>
            </w:pPr>
            <w:r>
              <w:rPr>
                <w:b/>
                <w:color w:val="auto"/>
                <w:sz w:val="21"/>
                <w:szCs w:val="22"/>
              </w:rPr>
              <w:t>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00" w:type="pct"/>
            <w:shd w:val="clear" w:color="auto" w:fill="auto"/>
            <w:vAlign w:val="center"/>
          </w:tcPr>
          <w:p>
            <w:pPr>
              <w:spacing w:line="240" w:lineRule="auto"/>
              <w:ind w:firstLine="0" w:firstLineChars="0"/>
              <w:jc w:val="center"/>
              <w:rPr>
                <w:color w:val="auto"/>
                <w:sz w:val="21"/>
                <w:szCs w:val="21"/>
              </w:rPr>
            </w:pPr>
            <w:r>
              <w:rPr>
                <w:color w:val="auto"/>
                <w:sz w:val="21"/>
                <w:szCs w:val="21"/>
              </w:rPr>
              <w:t>评价工作等级</w:t>
            </w:r>
          </w:p>
        </w:tc>
        <w:tc>
          <w:tcPr>
            <w:tcW w:w="1000" w:type="pct"/>
            <w:shd w:val="clear" w:color="auto" w:fill="auto"/>
            <w:vAlign w:val="center"/>
          </w:tcPr>
          <w:p>
            <w:pPr>
              <w:spacing w:line="240" w:lineRule="auto"/>
              <w:ind w:firstLine="0" w:firstLineChars="0"/>
              <w:jc w:val="center"/>
              <w:rPr>
                <w:color w:val="auto"/>
                <w:sz w:val="21"/>
                <w:szCs w:val="22"/>
              </w:rPr>
            </w:pPr>
            <w:r>
              <w:rPr>
                <w:color w:val="auto"/>
                <w:sz w:val="21"/>
                <w:szCs w:val="22"/>
              </w:rPr>
              <w:t>一</w:t>
            </w:r>
          </w:p>
        </w:tc>
        <w:tc>
          <w:tcPr>
            <w:tcW w:w="1000" w:type="pct"/>
            <w:shd w:val="clear" w:color="auto" w:fill="FFFFFF" w:themeFill="background1"/>
            <w:vAlign w:val="center"/>
          </w:tcPr>
          <w:p>
            <w:pPr>
              <w:spacing w:line="240" w:lineRule="auto"/>
              <w:ind w:firstLine="0" w:firstLineChars="0"/>
              <w:jc w:val="center"/>
              <w:rPr>
                <w:color w:val="auto"/>
                <w:sz w:val="21"/>
                <w:szCs w:val="22"/>
              </w:rPr>
            </w:pPr>
            <w:r>
              <w:rPr>
                <w:color w:val="auto"/>
                <w:sz w:val="21"/>
                <w:szCs w:val="22"/>
              </w:rPr>
              <w:t>二</w:t>
            </w:r>
          </w:p>
        </w:tc>
        <w:tc>
          <w:tcPr>
            <w:tcW w:w="1000" w:type="pct"/>
            <w:shd w:val="clear" w:color="auto" w:fill="FFFFFF" w:themeFill="background1"/>
            <w:vAlign w:val="center"/>
          </w:tcPr>
          <w:p>
            <w:pPr>
              <w:spacing w:line="240" w:lineRule="auto"/>
              <w:ind w:firstLine="0" w:firstLineChars="0"/>
              <w:jc w:val="center"/>
              <w:rPr>
                <w:color w:val="auto"/>
                <w:sz w:val="21"/>
                <w:szCs w:val="22"/>
              </w:rPr>
            </w:pPr>
            <w:r>
              <w:rPr>
                <w:color w:val="auto"/>
                <w:sz w:val="21"/>
                <w:szCs w:val="22"/>
              </w:rPr>
              <w:t>三</w:t>
            </w:r>
          </w:p>
        </w:tc>
        <w:tc>
          <w:tcPr>
            <w:tcW w:w="1000" w:type="pct"/>
            <w:vAlign w:val="center"/>
          </w:tcPr>
          <w:p>
            <w:pPr>
              <w:spacing w:line="240" w:lineRule="auto"/>
              <w:ind w:firstLine="0" w:firstLineChars="0"/>
              <w:jc w:val="center"/>
              <w:rPr>
                <w:color w:val="auto"/>
                <w:sz w:val="21"/>
                <w:szCs w:val="22"/>
              </w:rPr>
            </w:pPr>
            <w:r>
              <w:rPr>
                <w:color w:val="auto"/>
                <w:sz w:val="21"/>
                <w:szCs w:val="22"/>
              </w:rPr>
              <w:t>简单分析</w:t>
            </w:r>
            <w:r>
              <w:rPr>
                <w:color w:val="auto"/>
                <w:sz w:val="21"/>
                <w:szCs w:val="22"/>
                <w:vertAlign w:val="superscript"/>
              </w:rPr>
              <w: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00" w:type="pct"/>
            <w:gridSpan w:val="5"/>
            <w:vAlign w:val="center"/>
          </w:tcPr>
          <w:p>
            <w:pPr>
              <w:spacing w:line="240" w:lineRule="auto"/>
              <w:ind w:firstLine="0" w:firstLineChars="0"/>
              <w:jc w:val="left"/>
              <w:rPr>
                <w:color w:val="auto"/>
                <w:sz w:val="21"/>
                <w:szCs w:val="22"/>
              </w:rPr>
            </w:pPr>
            <w:r>
              <w:rPr>
                <w:color w:val="auto"/>
                <w:sz w:val="21"/>
                <w:szCs w:val="22"/>
                <w:vertAlign w:val="superscript"/>
              </w:rPr>
              <w:t xml:space="preserve">a </w:t>
            </w:r>
            <w:r>
              <w:rPr>
                <w:color w:val="auto"/>
                <w:sz w:val="21"/>
                <w:szCs w:val="22"/>
              </w:rPr>
              <w:t>是相对于详细评价工作内容而言，在描述危险物质、环境影响途径、环境危害后果、风险防范措施等方面给出定性的说明。</w:t>
            </w:r>
          </w:p>
        </w:tc>
      </w:tr>
    </w:tbl>
    <w:p>
      <w:pPr>
        <w:adjustRightInd w:val="0"/>
        <w:snapToGrid w:val="0"/>
        <w:ind w:firstLine="480"/>
        <w:jc w:val="left"/>
        <w:rPr>
          <w:color w:val="auto"/>
          <w:szCs w:val="22"/>
        </w:rPr>
      </w:pPr>
      <w:bookmarkStart w:id="190" w:name="_Toc372217830"/>
      <w:bookmarkStart w:id="191" w:name="_Toc402962749"/>
      <w:bookmarkStart w:id="192" w:name="_Toc304113496"/>
      <w:bookmarkStart w:id="193" w:name="_Toc329897038"/>
      <w:bookmarkStart w:id="194" w:name="_Toc306729520"/>
      <w:r>
        <w:rPr>
          <w:color w:val="auto"/>
          <w:szCs w:val="22"/>
        </w:rPr>
        <w:t>根据第七章环境风险评价，建设项目环境风险潜势综合等级为</w:t>
      </w:r>
      <w:r>
        <w:rPr>
          <w:b/>
          <w:color w:val="auto"/>
          <w:sz w:val="21"/>
          <w:szCs w:val="22"/>
        </w:rPr>
        <w:t>Ⅰ</w:t>
      </w:r>
      <w:r>
        <w:rPr>
          <w:color w:val="auto"/>
          <w:szCs w:val="22"/>
        </w:rPr>
        <w:t>级，属于轻度环境风险，项目的环境风险评价为</w:t>
      </w:r>
      <w:r>
        <w:rPr>
          <w:rFonts w:hint="eastAsia"/>
          <w:color w:val="auto"/>
          <w:szCs w:val="22"/>
        </w:rPr>
        <w:t>简单分析</w:t>
      </w:r>
      <w:r>
        <w:rPr>
          <w:color w:val="auto"/>
          <w:szCs w:val="22"/>
        </w:rPr>
        <w:t>。</w:t>
      </w:r>
    </w:p>
    <w:p>
      <w:pPr>
        <w:pStyle w:val="10"/>
        <w:tabs>
          <w:tab w:val="left" w:pos="0"/>
          <w:tab w:val="left" w:pos="3960"/>
        </w:tabs>
        <w:spacing w:line="360" w:lineRule="auto"/>
        <w:rPr>
          <w:color w:val="auto"/>
        </w:rPr>
      </w:pPr>
      <w:r>
        <w:rPr>
          <w:color w:val="auto"/>
        </w:rPr>
        <w:t>1.</w:t>
      </w:r>
      <w:r>
        <w:rPr>
          <w:rFonts w:hint="eastAsia"/>
          <w:color w:val="auto"/>
          <w:lang w:val="en-US" w:eastAsia="zh-CN"/>
        </w:rPr>
        <w:t>7</w:t>
      </w:r>
      <w:r>
        <w:rPr>
          <w:color w:val="auto"/>
        </w:rPr>
        <w:t>.1.7评价等级判定汇总</w:t>
      </w:r>
      <w:r>
        <w:rPr>
          <w:color w:val="auto"/>
        </w:rPr>
        <w:tab/>
      </w:r>
    </w:p>
    <w:p>
      <w:pPr>
        <w:ind w:firstLine="480"/>
        <w:rPr>
          <w:b/>
          <w:color w:val="auto"/>
        </w:rPr>
      </w:pPr>
      <w:r>
        <w:rPr>
          <w:color w:val="auto"/>
        </w:rPr>
        <w:t>根据导则要求，结合工程所处地理位置、环境特征、环境质量状况及工程所排污染物量、种类等特点，确定该项目评价工作等级。该项目环境影响评价等级见表1.</w:t>
      </w:r>
      <w:r>
        <w:rPr>
          <w:rFonts w:hint="eastAsia"/>
          <w:color w:val="auto"/>
          <w:lang w:val="en-US" w:eastAsia="zh-CN"/>
        </w:rPr>
        <w:t>7</w:t>
      </w:r>
      <w:r>
        <w:rPr>
          <w:color w:val="auto"/>
        </w:rPr>
        <w:t>-7。</w:t>
      </w:r>
    </w:p>
    <w:p>
      <w:pPr>
        <w:pStyle w:val="48"/>
        <w:spacing w:line="360" w:lineRule="auto"/>
        <w:rPr>
          <w:b w:val="0"/>
          <w:bCs/>
          <w:color w:val="auto"/>
        </w:rPr>
      </w:pPr>
      <w:r>
        <w:rPr>
          <w:b w:val="0"/>
          <w:bCs/>
          <w:color w:val="auto"/>
        </w:rPr>
        <w:t>表1.</w:t>
      </w:r>
      <w:r>
        <w:rPr>
          <w:rFonts w:hint="eastAsia"/>
          <w:b w:val="0"/>
          <w:bCs/>
          <w:color w:val="auto"/>
          <w:lang w:val="en-US" w:eastAsia="zh-CN"/>
        </w:rPr>
        <w:t>7</w:t>
      </w:r>
      <w:r>
        <w:rPr>
          <w:b w:val="0"/>
          <w:bCs/>
          <w:color w:val="auto"/>
        </w:rPr>
        <w:t>-7 环境影响评价工作等级确定表</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04"/>
        <w:gridCol w:w="2778"/>
        <w:gridCol w:w="3998"/>
        <w:gridCol w:w="12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2" w:type="pct"/>
            <w:vAlign w:val="center"/>
          </w:tcPr>
          <w:p>
            <w:pPr>
              <w:pStyle w:val="47"/>
              <w:rPr>
                <w:b/>
                <w:color w:val="auto"/>
              </w:rPr>
            </w:pPr>
            <w:r>
              <w:rPr>
                <w:b/>
                <w:color w:val="auto"/>
              </w:rPr>
              <w:t>项目</w:t>
            </w:r>
          </w:p>
        </w:tc>
        <w:tc>
          <w:tcPr>
            <w:tcW w:w="3647" w:type="pct"/>
            <w:gridSpan w:val="2"/>
            <w:vAlign w:val="center"/>
          </w:tcPr>
          <w:p>
            <w:pPr>
              <w:pStyle w:val="47"/>
              <w:rPr>
                <w:b/>
                <w:color w:val="auto"/>
              </w:rPr>
            </w:pPr>
            <w:r>
              <w:rPr>
                <w:b/>
                <w:color w:val="auto"/>
              </w:rPr>
              <w:t>判断依据</w:t>
            </w:r>
          </w:p>
        </w:tc>
        <w:tc>
          <w:tcPr>
            <w:tcW w:w="650" w:type="pct"/>
            <w:vAlign w:val="center"/>
          </w:tcPr>
          <w:p>
            <w:pPr>
              <w:pStyle w:val="47"/>
              <w:rPr>
                <w:b/>
                <w:color w:val="auto"/>
              </w:rPr>
            </w:pPr>
            <w:r>
              <w:rPr>
                <w:b/>
                <w:color w:val="auto"/>
              </w:rPr>
              <w:t>评价等级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2" w:type="pct"/>
            <w:vAlign w:val="center"/>
          </w:tcPr>
          <w:p>
            <w:pPr>
              <w:pStyle w:val="47"/>
              <w:rPr>
                <w:color w:val="auto"/>
              </w:rPr>
            </w:pPr>
            <w:r>
              <w:rPr>
                <w:color w:val="auto"/>
              </w:rPr>
              <w:t>环境空气</w:t>
            </w:r>
          </w:p>
        </w:tc>
        <w:tc>
          <w:tcPr>
            <w:tcW w:w="1495" w:type="pct"/>
            <w:vAlign w:val="center"/>
          </w:tcPr>
          <w:p>
            <w:pPr>
              <w:pStyle w:val="47"/>
              <w:rPr>
                <w:color w:val="auto"/>
              </w:rPr>
            </w:pPr>
            <w:r>
              <w:rPr>
                <w:color w:val="auto"/>
              </w:rPr>
              <w:t>最大地面浓度占标率</w:t>
            </w:r>
          </w:p>
        </w:tc>
        <w:tc>
          <w:tcPr>
            <w:tcW w:w="3997" w:type="dxa"/>
            <w:vAlign w:val="center"/>
          </w:tcPr>
          <w:p>
            <w:pPr>
              <w:pStyle w:val="47"/>
              <w:rPr>
                <w:color w:val="auto"/>
              </w:rPr>
            </w:pPr>
            <w:r>
              <w:rPr>
                <w:color w:val="auto"/>
                <w:sz w:val="24"/>
                <w:szCs w:val="24"/>
              </w:rPr>
              <w:t>1%≦</w:t>
            </w:r>
            <w:r>
              <w:rPr>
                <w:color w:val="auto"/>
                <w:kern w:val="0"/>
                <w:sz w:val="24"/>
                <w:szCs w:val="24"/>
              </w:rPr>
              <w:t>P</w:t>
            </w:r>
            <w:r>
              <w:rPr>
                <w:color w:val="auto"/>
                <w:kern w:val="0"/>
                <w:sz w:val="24"/>
                <w:szCs w:val="24"/>
                <w:vertAlign w:val="subscript"/>
              </w:rPr>
              <w:t>max</w:t>
            </w:r>
            <w:r>
              <w:rPr>
                <w:color w:val="auto"/>
                <w:kern w:val="0"/>
                <w:sz w:val="24"/>
                <w:szCs w:val="24"/>
              </w:rPr>
              <w:t>=</w:t>
            </w:r>
            <w:r>
              <w:rPr>
                <w:rFonts w:hint="eastAsia"/>
                <w:color w:val="auto"/>
                <w:kern w:val="0"/>
                <w:sz w:val="24"/>
                <w:szCs w:val="24"/>
              </w:rPr>
              <w:t>9.0</w:t>
            </w:r>
            <w:r>
              <w:rPr>
                <w:color w:val="auto"/>
                <w:kern w:val="0"/>
                <w:sz w:val="24"/>
                <w:szCs w:val="24"/>
              </w:rPr>
              <w:t>%</w:t>
            </w:r>
            <w:r>
              <w:rPr>
                <w:color w:val="auto"/>
                <w:sz w:val="24"/>
                <w:szCs w:val="24"/>
              </w:rPr>
              <w:t>&lt;10%</w:t>
            </w:r>
          </w:p>
        </w:tc>
        <w:tc>
          <w:tcPr>
            <w:tcW w:w="1208" w:type="dxa"/>
            <w:vAlign w:val="center"/>
          </w:tcPr>
          <w:p>
            <w:pPr>
              <w:pStyle w:val="47"/>
              <w:rPr>
                <w:color w:val="auto"/>
              </w:rPr>
            </w:pPr>
            <w:r>
              <w:rPr>
                <w:rFonts w:hint="eastAsia"/>
                <w:color w:val="auto"/>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2" w:type="pct"/>
            <w:vAlign w:val="center"/>
          </w:tcPr>
          <w:p>
            <w:pPr>
              <w:pStyle w:val="47"/>
              <w:rPr>
                <w:color w:val="auto"/>
              </w:rPr>
            </w:pPr>
            <w:r>
              <w:rPr>
                <w:color w:val="auto"/>
              </w:rPr>
              <w:t>地表水</w:t>
            </w:r>
          </w:p>
        </w:tc>
        <w:tc>
          <w:tcPr>
            <w:tcW w:w="1495" w:type="pct"/>
            <w:vAlign w:val="center"/>
          </w:tcPr>
          <w:p>
            <w:pPr>
              <w:pStyle w:val="47"/>
              <w:rPr>
                <w:color w:val="auto"/>
              </w:rPr>
            </w:pPr>
            <w:r>
              <w:rPr>
                <w:color w:val="auto"/>
              </w:rPr>
              <w:t>排放方式</w:t>
            </w:r>
          </w:p>
        </w:tc>
        <w:tc>
          <w:tcPr>
            <w:tcW w:w="3997" w:type="dxa"/>
            <w:vAlign w:val="center"/>
          </w:tcPr>
          <w:p>
            <w:pPr>
              <w:pStyle w:val="47"/>
              <w:rPr>
                <w:color w:val="auto"/>
              </w:rPr>
            </w:pPr>
            <w:r>
              <w:rPr>
                <w:rFonts w:hint="eastAsia"/>
                <w:color w:val="auto"/>
              </w:rPr>
              <w:t>间接排放</w:t>
            </w:r>
          </w:p>
        </w:tc>
        <w:tc>
          <w:tcPr>
            <w:tcW w:w="1208" w:type="dxa"/>
            <w:vAlign w:val="center"/>
          </w:tcPr>
          <w:p>
            <w:pPr>
              <w:pStyle w:val="47"/>
              <w:rPr>
                <w:color w:val="auto"/>
              </w:rPr>
            </w:pPr>
            <w:r>
              <w:rPr>
                <w:rFonts w:hint="eastAsia"/>
                <w:color w:val="auto"/>
              </w:rPr>
              <w:t>三级B</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2" w:type="pct"/>
            <w:vMerge w:val="restart"/>
            <w:vAlign w:val="center"/>
          </w:tcPr>
          <w:p>
            <w:pPr>
              <w:pStyle w:val="47"/>
              <w:rPr>
                <w:color w:val="auto"/>
              </w:rPr>
            </w:pPr>
            <w:r>
              <w:rPr>
                <w:color w:val="auto"/>
              </w:rPr>
              <w:t>地下水</w:t>
            </w:r>
          </w:p>
        </w:tc>
        <w:tc>
          <w:tcPr>
            <w:tcW w:w="1495" w:type="pct"/>
            <w:vAlign w:val="center"/>
          </w:tcPr>
          <w:p>
            <w:pPr>
              <w:pStyle w:val="47"/>
              <w:rPr>
                <w:color w:val="auto"/>
              </w:rPr>
            </w:pPr>
            <w:r>
              <w:rPr>
                <w:color w:val="auto"/>
              </w:rPr>
              <w:t>项目类别</w:t>
            </w:r>
          </w:p>
        </w:tc>
        <w:tc>
          <w:tcPr>
            <w:tcW w:w="3997" w:type="dxa"/>
            <w:vAlign w:val="center"/>
          </w:tcPr>
          <w:p>
            <w:pPr>
              <w:pStyle w:val="47"/>
              <w:rPr>
                <w:color w:val="auto"/>
              </w:rPr>
            </w:pPr>
            <w:r>
              <w:rPr>
                <w:color w:val="auto"/>
              </w:rPr>
              <w:t>Ⅱ类项目</w:t>
            </w:r>
          </w:p>
        </w:tc>
        <w:tc>
          <w:tcPr>
            <w:tcW w:w="1208" w:type="dxa"/>
            <w:vMerge w:val="restart"/>
            <w:vAlign w:val="center"/>
          </w:tcPr>
          <w:p>
            <w:pPr>
              <w:pStyle w:val="47"/>
              <w:rPr>
                <w:color w:val="auto"/>
              </w:rPr>
            </w:pPr>
            <w:r>
              <w:rPr>
                <w:rFonts w:hint="eastAsia"/>
                <w:color w:val="auto"/>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2" w:type="pct"/>
            <w:vMerge w:val="continue"/>
            <w:vAlign w:val="center"/>
          </w:tcPr>
          <w:p>
            <w:pPr>
              <w:pStyle w:val="47"/>
              <w:rPr>
                <w:color w:val="auto"/>
              </w:rPr>
            </w:pPr>
          </w:p>
        </w:tc>
        <w:tc>
          <w:tcPr>
            <w:tcW w:w="1495" w:type="pct"/>
            <w:vAlign w:val="center"/>
          </w:tcPr>
          <w:p>
            <w:pPr>
              <w:pStyle w:val="47"/>
              <w:rPr>
                <w:color w:val="auto"/>
              </w:rPr>
            </w:pPr>
            <w:r>
              <w:rPr>
                <w:color w:val="auto"/>
              </w:rPr>
              <w:t>地下水环境敏感程度</w:t>
            </w:r>
          </w:p>
        </w:tc>
        <w:tc>
          <w:tcPr>
            <w:tcW w:w="3997" w:type="dxa"/>
            <w:vAlign w:val="center"/>
          </w:tcPr>
          <w:p>
            <w:pPr>
              <w:pStyle w:val="47"/>
              <w:rPr>
                <w:color w:val="auto"/>
              </w:rPr>
            </w:pPr>
            <w:r>
              <w:rPr>
                <w:rFonts w:hint="eastAsia"/>
                <w:color w:val="auto"/>
              </w:rPr>
              <w:t>不敏感</w:t>
            </w:r>
          </w:p>
        </w:tc>
        <w:tc>
          <w:tcPr>
            <w:tcW w:w="1208" w:type="dxa"/>
            <w:vMerge w:val="continue"/>
            <w:vAlign w:val="center"/>
          </w:tcPr>
          <w:p>
            <w:pPr>
              <w:pStyle w:val="47"/>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702" w:type="pct"/>
            <w:vMerge w:val="restart"/>
            <w:vAlign w:val="center"/>
          </w:tcPr>
          <w:p>
            <w:pPr>
              <w:pStyle w:val="47"/>
              <w:rPr>
                <w:color w:val="auto"/>
              </w:rPr>
            </w:pPr>
            <w:r>
              <w:rPr>
                <w:color w:val="auto"/>
              </w:rPr>
              <w:t>噪声</w:t>
            </w:r>
          </w:p>
        </w:tc>
        <w:tc>
          <w:tcPr>
            <w:tcW w:w="1495" w:type="pct"/>
            <w:vAlign w:val="center"/>
          </w:tcPr>
          <w:p>
            <w:pPr>
              <w:pStyle w:val="47"/>
              <w:rPr>
                <w:color w:val="auto"/>
              </w:rPr>
            </w:pPr>
            <w:r>
              <w:rPr>
                <w:color w:val="auto"/>
              </w:rPr>
              <w:t>声环境功能类别</w:t>
            </w:r>
          </w:p>
        </w:tc>
        <w:tc>
          <w:tcPr>
            <w:tcW w:w="3997" w:type="dxa"/>
            <w:vAlign w:val="center"/>
          </w:tcPr>
          <w:p>
            <w:pPr>
              <w:pStyle w:val="47"/>
              <w:rPr>
                <w:color w:val="auto"/>
              </w:rPr>
            </w:pPr>
            <w:r>
              <w:rPr>
                <w:rFonts w:hint="eastAsia"/>
                <w:color w:val="auto"/>
                <w:lang w:val="en-US" w:eastAsia="zh-CN"/>
              </w:rPr>
              <w:t>2</w:t>
            </w:r>
            <w:r>
              <w:rPr>
                <w:rFonts w:hint="eastAsia"/>
                <w:color w:val="auto"/>
              </w:rPr>
              <w:t>类</w:t>
            </w:r>
          </w:p>
        </w:tc>
        <w:tc>
          <w:tcPr>
            <w:tcW w:w="1208" w:type="dxa"/>
            <w:vMerge w:val="restart"/>
            <w:vAlign w:val="center"/>
          </w:tcPr>
          <w:p>
            <w:pPr>
              <w:pStyle w:val="47"/>
              <w:rPr>
                <w:color w:val="auto"/>
              </w:rPr>
            </w:pPr>
            <w:r>
              <w:rPr>
                <w:rFonts w:hint="eastAsia"/>
                <w:color w:val="auto"/>
                <w:lang w:val="en-US" w:eastAsia="zh-CN"/>
              </w:rPr>
              <w:t>二</w:t>
            </w:r>
            <w:r>
              <w:rPr>
                <w:rFonts w:hint="eastAsia"/>
                <w:color w:val="auto"/>
              </w:rPr>
              <w:t>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2" w:type="pct"/>
            <w:vMerge w:val="continue"/>
            <w:vAlign w:val="center"/>
          </w:tcPr>
          <w:p>
            <w:pPr>
              <w:pStyle w:val="47"/>
              <w:rPr>
                <w:color w:val="auto"/>
              </w:rPr>
            </w:pPr>
          </w:p>
        </w:tc>
        <w:tc>
          <w:tcPr>
            <w:tcW w:w="1495" w:type="pct"/>
            <w:vAlign w:val="center"/>
          </w:tcPr>
          <w:p>
            <w:pPr>
              <w:pStyle w:val="47"/>
              <w:rPr>
                <w:color w:val="auto"/>
              </w:rPr>
            </w:pPr>
            <w:r>
              <w:rPr>
                <w:color w:val="auto"/>
              </w:rPr>
              <w:t>敏感点噪声级增加量</w:t>
            </w:r>
          </w:p>
        </w:tc>
        <w:tc>
          <w:tcPr>
            <w:tcW w:w="3997" w:type="dxa"/>
            <w:vAlign w:val="center"/>
          </w:tcPr>
          <w:p>
            <w:pPr>
              <w:pStyle w:val="47"/>
              <w:rPr>
                <w:color w:val="auto"/>
              </w:rPr>
            </w:pPr>
            <w:r>
              <w:rPr>
                <w:color w:val="auto"/>
              </w:rPr>
              <w:t>＜3dB(A)</w:t>
            </w:r>
          </w:p>
        </w:tc>
        <w:tc>
          <w:tcPr>
            <w:tcW w:w="1208" w:type="dxa"/>
            <w:vMerge w:val="continue"/>
            <w:vAlign w:val="center"/>
          </w:tcPr>
          <w:p>
            <w:pPr>
              <w:pStyle w:val="47"/>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2" w:type="pct"/>
            <w:vMerge w:val="continue"/>
            <w:vAlign w:val="center"/>
          </w:tcPr>
          <w:p>
            <w:pPr>
              <w:pStyle w:val="47"/>
              <w:rPr>
                <w:color w:val="auto"/>
              </w:rPr>
            </w:pPr>
          </w:p>
        </w:tc>
        <w:tc>
          <w:tcPr>
            <w:tcW w:w="1495" w:type="pct"/>
            <w:vAlign w:val="center"/>
          </w:tcPr>
          <w:p>
            <w:pPr>
              <w:pStyle w:val="47"/>
              <w:rPr>
                <w:color w:val="auto"/>
              </w:rPr>
            </w:pPr>
            <w:r>
              <w:rPr>
                <w:color w:val="auto"/>
              </w:rPr>
              <w:t>受影响人口数量变化情况</w:t>
            </w:r>
          </w:p>
        </w:tc>
        <w:tc>
          <w:tcPr>
            <w:tcW w:w="3997" w:type="dxa"/>
            <w:vAlign w:val="center"/>
          </w:tcPr>
          <w:p>
            <w:pPr>
              <w:pStyle w:val="47"/>
              <w:rPr>
                <w:color w:val="auto"/>
              </w:rPr>
            </w:pPr>
            <w:r>
              <w:rPr>
                <w:color w:val="auto"/>
              </w:rPr>
              <w:t>不大</w:t>
            </w:r>
          </w:p>
        </w:tc>
        <w:tc>
          <w:tcPr>
            <w:tcW w:w="1208" w:type="dxa"/>
            <w:vMerge w:val="continue"/>
            <w:vAlign w:val="center"/>
          </w:tcPr>
          <w:p>
            <w:pPr>
              <w:pStyle w:val="47"/>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2" w:type="pct"/>
            <w:vMerge w:val="restart"/>
            <w:vAlign w:val="center"/>
          </w:tcPr>
          <w:p>
            <w:pPr>
              <w:pStyle w:val="47"/>
              <w:rPr>
                <w:color w:val="auto"/>
              </w:rPr>
            </w:pPr>
            <w:r>
              <w:rPr>
                <w:color w:val="auto"/>
              </w:rPr>
              <w:t>土壤</w:t>
            </w:r>
          </w:p>
        </w:tc>
        <w:tc>
          <w:tcPr>
            <w:tcW w:w="1495" w:type="pct"/>
            <w:vAlign w:val="center"/>
          </w:tcPr>
          <w:p>
            <w:pPr>
              <w:pStyle w:val="47"/>
              <w:rPr>
                <w:color w:val="auto"/>
              </w:rPr>
            </w:pPr>
            <w:r>
              <w:rPr>
                <w:color w:val="auto"/>
              </w:rPr>
              <w:t>建设项目类别</w:t>
            </w:r>
          </w:p>
        </w:tc>
        <w:tc>
          <w:tcPr>
            <w:tcW w:w="3997" w:type="dxa"/>
            <w:vAlign w:val="center"/>
          </w:tcPr>
          <w:p>
            <w:pPr>
              <w:pStyle w:val="47"/>
              <w:rPr>
                <w:color w:val="auto"/>
              </w:rPr>
            </w:pPr>
            <w:r>
              <w:rPr>
                <w:color w:val="auto"/>
              </w:rPr>
              <w:t>Ⅱ类</w:t>
            </w:r>
          </w:p>
        </w:tc>
        <w:tc>
          <w:tcPr>
            <w:tcW w:w="1208" w:type="dxa"/>
            <w:vMerge w:val="restart"/>
            <w:vAlign w:val="center"/>
          </w:tcPr>
          <w:p>
            <w:pPr>
              <w:pStyle w:val="47"/>
              <w:rPr>
                <w:color w:val="auto"/>
              </w:rPr>
            </w:pPr>
            <w:r>
              <w:rPr>
                <w:rFonts w:hint="eastAsia"/>
                <w:color w:val="auto"/>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2" w:type="pct"/>
            <w:vMerge w:val="continue"/>
            <w:vAlign w:val="center"/>
          </w:tcPr>
          <w:p>
            <w:pPr>
              <w:pStyle w:val="47"/>
              <w:rPr>
                <w:color w:val="auto"/>
              </w:rPr>
            </w:pPr>
          </w:p>
        </w:tc>
        <w:tc>
          <w:tcPr>
            <w:tcW w:w="1495" w:type="pct"/>
            <w:vAlign w:val="center"/>
          </w:tcPr>
          <w:p>
            <w:pPr>
              <w:pStyle w:val="47"/>
              <w:rPr>
                <w:color w:val="auto"/>
              </w:rPr>
            </w:pPr>
            <w:r>
              <w:rPr>
                <w:color w:val="auto"/>
              </w:rPr>
              <w:t>项目占地面积</w:t>
            </w:r>
          </w:p>
        </w:tc>
        <w:tc>
          <w:tcPr>
            <w:tcW w:w="3997" w:type="dxa"/>
            <w:vAlign w:val="center"/>
          </w:tcPr>
          <w:p>
            <w:pPr>
              <w:pStyle w:val="47"/>
              <w:rPr>
                <w:color w:val="auto"/>
              </w:rPr>
            </w:pPr>
            <w:r>
              <w:rPr>
                <w:rFonts w:hint="eastAsia"/>
                <w:color w:val="auto"/>
              </w:rPr>
              <w:t>1.34</w:t>
            </w:r>
            <w:r>
              <w:rPr>
                <w:color w:val="auto"/>
              </w:rPr>
              <w:t>hm</w:t>
            </w:r>
            <w:r>
              <w:rPr>
                <w:color w:val="auto"/>
                <w:vertAlign w:val="superscript"/>
              </w:rPr>
              <w:t>2</w:t>
            </w:r>
          </w:p>
        </w:tc>
        <w:tc>
          <w:tcPr>
            <w:tcW w:w="1208" w:type="dxa"/>
            <w:vMerge w:val="continue"/>
            <w:vAlign w:val="center"/>
          </w:tcPr>
          <w:p>
            <w:pPr>
              <w:pStyle w:val="47"/>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2" w:type="pct"/>
            <w:vMerge w:val="continue"/>
            <w:vAlign w:val="center"/>
          </w:tcPr>
          <w:p>
            <w:pPr>
              <w:pStyle w:val="47"/>
              <w:rPr>
                <w:color w:val="auto"/>
              </w:rPr>
            </w:pPr>
          </w:p>
        </w:tc>
        <w:tc>
          <w:tcPr>
            <w:tcW w:w="1495" w:type="pct"/>
            <w:vAlign w:val="center"/>
          </w:tcPr>
          <w:p>
            <w:pPr>
              <w:pStyle w:val="47"/>
              <w:rPr>
                <w:color w:val="auto"/>
              </w:rPr>
            </w:pPr>
            <w:r>
              <w:rPr>
                <w:color w:val="auto"/>
              </w:rPr>
              <w:t>土壤环境敏感程度</w:t>
            </w:r>
          </w:p>
        </w:tc>
        <w:tc>
          <w:tcPr>
            <w:tcW w:w="3997" w:type="dxa"/>
            <w:vAlign w:val="center"/>
          </w:tcPr>
          <w:p>
            <w:pPr>
              <w:pStyle w:val="47"/>
              <w:rPr>
                <w:color w:val="auto"/>
              </w:rPr>
            </w:pPr>
            <w:r>
              <w:rPr>
                <w:rFonts w:hint="eastAsia"/>
                <w:color w:val="auto"/>
              </w:rPr>
              <w:t>敏感</w:t>
            </w:r>
          </w:p>
        </w:tc>
        <w:tc>
          <w:tcPr>
            <w:tcW w:w="1208" w:type="dxa"/>
            <w:vMerge w:val="continue"/>
            <w:vAlign w:val="center"/>
          </w:tcPr>
          <w:p>
            <w:pPr>
              <w:pStyle w:val="47"/>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2" w:type="pct"/>
            <w:vAlign w:val="center"/>
          </w:tcPr>
          <w:p>
            <w:pPr>
              <w:pStyle w:val="47"/>
              <w:rPr>
                <w:color w:val="auto"/>
              </w:rPr>
            </w:pPr>
            <w:r>
              <w:rPr>
                <w:color w:val="auto"/>
              </w:rPr>
              <w:t>环境风险</w:t>
            </w:r>
          </w:p>
        </w:tc>
        <w:tc>
          <w:tcPr>
            <w:tcW w:w="1495" w:type="pct"/>
            <w:vAlign w:val="center"/>
          </w:tcPr>
          <w:p>
            <w:pPr>
              <w:pStyle w:val="47"/>
              <w:rPr>
                <w:color w:val="auto"/>
              </w:rPr>
            </w:pPr>
            <w:r>
              <w:rPr>
                <w:rFonts w:hint="eastAsia"/>
                <w:color w:val="auto"/>
              </w:rPr>
              <w:t>Q</w:t>
            </w:r>
          </w:p>
        </w:tc>
        <w:tc>
          <w:tcPr>
            <w:tcW w:w="3997" w:type="dxa"/>
            <w:vAlign w:val="center"/>
          </w:tcPr>
          <w:p>
            <w:pPr>
              <w:pStyle w:val="47"/>
              <w:rPr>
                <w:color w:val="auto"/>
              </w:rPr>
            </w:pPr>
            <w:r>
              <w:rPr>
                <w:rFonts w:hint="eastAsia"/>
                <w:color w:val="auto"/>
              </w:rPr>
              <w:t>Q＜1</w:t>
            </w:r>
          </w:p>
        </w:tc>
        <w:tc>
          <w:tcPr>
            <w:tcW w:w="1208" w:type="dxa"/>
            <w:vAlign w:val="center"/>
          </w:tcPr>
          <w:p>
            <w:pPr>
              <w:pStyle w:val="47"/>
              <w:rPr>
                <w:color w:val="auto"/>
              </w:rPr>
            </w:pPr>
            <w:r>
              <w:rPr>
                <w:rFonts w:hint="eastAsia"/>
                <w:color w:val="auto"/>
              </w:rPr>
              <w:t>简单分析</w:t>
            </w:r>
          </w:p>
        </w:tc>
      </w:tr>
    </w:tbl>
    <w:p>
      <w:pPr>
        <w:pStyle w:val="9"/>
        <w:spacing w:before="0" w:beforeLines="0" w:after="0" w:afterLines="0"/>
        <w:rPr>
          <w:color w:val="auto"/>
        </w:rPr>
      </w:pPr>
      <w:r>
        <w:rPr>
          <w:color w:val="auto"/>
        </w:rPr>
        <w:t>1.</w:t>
      </w:r>
      <w:r>
        <w:rPr>
          <w:rFonts w:hint="eastAsia"/>
          <w:color w:val="auto"/>
          <w:lang w:val="en-US" w:eastAsia="zh-CN"/>
        </w:rPr>
        <w:t>7</w:t>
      </w:r>
      <w:r>
        <w:rPr>
          <w:color w:val="auto"/>
        </w:rPr>
        <w:t>.2评价范围</w:t>
      </w:r>
      <w:bookmarkEnd w:id="190"/>
      <w:bookmarkEnd w:id="191"/>
    </w:p>
    <w:bookmarkEnd w:id="192"/>
    <w:bookmarkEnd w:id="193"/>
    <w:bookmarkEnd w:id="194"/>
    <w:p>
      <w:pPr>
        <w:ind w:firstLine="480"/>
        <w:rPr>
          <w:color w:val="auto"/>
        </w:rPr>
      </w:pPr>
      <w:r>
        <w:rPr>
          <w:color w:val="auto"/>
        </w:rPr>
        <w:t>根据评价等级结果，并结合工程特点及建设项目所在区域环境特征，确定各评价要素的评价范围，详见表1.</w:t>
      </w:r>
      <w:r>
        <w:rPr>
          <w:rFonts w:hint="eastAsia"/>
          <w:color w:val="auto"/>
          <w:lang w:val="en-US" w:eastAsia="zh-CN"/>
        </w:rPr>
        <w:t>7</w:t>
      </w:r>
      <w:r>
        <w:rPr>
          <w:color w:val="auto"/>
        </w:rPr>
        <w:t>-8。</w:t>
      </w:r>
    </w:p>
    <w:p>
      <w:pPr>
        <w:pStyle w:val="48"/>
        <w:rPr>
          <w:b w:val="0"/>
          <w:bCs/>
          <w:color w:val="auto"/>
        </w:rPr>
      </w:pPr>
      <w:r>
        <w:rPr>
          <w:b w:val="0"/>
          <w:bCs/>
          <w:color w:val="auto"/>
        </w:rPr>
        <w:t>表1.</w:t>
      </w:r>
      <w:r>
        <w:rPr>
          <w:rFonts w:hint="eastAsia"/>
          <w:b w:val="0"/>
          <w:bCs/>
          <w:color w:val="auto"/>
          <w:lang w:val="en-US" w:eastAsia="zh-CN"/>
        </w:rPr>
        <w:t>7</w:t>
      </w:r>
      <w:r>
        <w:rPr>
          <w:b w:val="0"/>
          <w:bCs/>
          <w:color w:val="auto"/>
        </w:rPr>
        <w:t>-8  评价范围和重点保护目标</w:t>
      </w:r>
    </w:p>
    <w:tbl>
      <w:tblPr>
        <w:tblStyle w:val="2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220"/>
        <w:gridCol w:w="6033"/>
        <w:gridCol w:w="203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8" w:hRule="atLeast"/>
          <w:jc w:val="center"/>
        </w:trPr>
        <w:tc>
          <w:tcPr>
            <w:tcW w:w="657" w:type="pct"/>
            <w:vAlign w:val="center"/>
          </w:tcPr>
          <w:p>
            <w:pPr>
              <w:pStyle w:val="47"/>
              <w:rPr>
                <w:b/>
                <w:color w:val="auto"/>
              </w:rPr>
            </w:pPr>
            <w:r>
              <w:rPr>
                <w:b/>
                <w:color w:val="auto"/>
              </w:rPr>
              <w:t>项目</w:t>
            </w:r>
          </w:p>
        </w:tc>
        <w:tc>
          <w:tcPr>
            <w:tcW w:w="3248" w:type="pct"/>
            <w:vAlign w:val="center"/>
          </w:tcPr>
          <w:p>
            <w:pPr>
              <w:pStyle w:val="47"/>
              <w:rPr>
                <w:b/>
                <w:color w:val="auto"/>
              </w:rPr>
            </w:pPr>
            <w:r>
              <w:rPr>
                <w:b/>
                <w:color w:val="auto"/>
              </w:rPr>
              <w:t>评价范围</w:t>
            </w:r>
          </w:p>
        </w:tc>
        <w:tc>
          <w:tcPr>
            <w:tcW w:w="1095" w:type="pct"/>
            <w:vAlign w:val="center"/>
          </w:tcPr>
          <w:p>
            <w:pPr>
              <w:pStyle w:val="47"/>
              <w:rPr>
                <w:b/>
                <w:color w:val="auto"/>
              </w:rPr>
            </w:pPr>
            <w:r>
              <w:rPr>
                <w:b/>
                <w:color w:val="auto"/>
              </w:rPr>
              <w:t>重点保护目标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1" w:hRule="atLeast"/>
          <w:jc w:val="center"/>
        </w:trPr>
        <w:tc>
          <w:tcPr>
            <w:tcW w:w="657" w:type="pct"/>
            <w:vAlign w:val="center"/>
          </w:tcPr>
          <w:p>
            <w:pPr>
              <w:pStyle w:val="47"/>
              <w:rPr>
                <w:color w:val="auto"/>
              </w:rPr>
            </w:pPr>
            <w:r>
              <w:rPr>
                <w:color w:val="auto"/>
              </w:rPr>
              <w:t>地表水</w:t>
            </w:r>
          </w:p>
        </w:tc>
        <w:tc>
          <w:tcPr>
            <w:tcW w:w="5536" w:type="dxa"/>
            <w:vAlign w:val="center"/>
          </w:tcPr>
          <w:p>
            <w:pPr>
              <w:pStyle w:val="47"/>
              <w:rPr>
                <w:color w:val="auto"/>
              </w:rPr>
            </w:pPr>
            <w:r>
              <w:rPr>
                <w:rFonts w:hint="eastAsia"/>
                <w:color w:val="auto"/>
              </w:rPr>
              <w:t>光大水务（淄博）有限公司水质净化</w:t>
            </w:r>
            <w:r>
              <w:rPr>
                <w:rFonts w:hint="eastAsia"/>
                <w:color w:val="auto"/>
                <w:lang w:eastAsia="zh-CN"/>
              </w:rPr>
              <w:t>三分厂</w:t>
            </w:r>
            <w:r>
              <w:rPr>
                <w:rFonts w:hint="eastAsia"/>
                <w:color w:val="auto"/>
              </w:rPr>
              <w:t>排口猪龙河断面上游500m至下游1000m</w:t>
            </w:r>
          </w:p>
        </w:tc>
        <w:tc>
          <w:tcPr>
            <w:tcW w:w="1866" w:type="dxa"/>
            <w:vAlign w:val="center"/>
          </w:tcPr>
          <w:p>
            <w:pPr>
              <w:pStyle w:val="47"/>
              <w:rPr>
                <w:color w:val="auto"/>
              </w:rPr>
            </w:pPr>
            <w:r>
              <w:rPr>
                <w:rFonts w:hint="eastAsia"/>
                <w:color w:val="auto"/>
              </w:rPr>
              <w:t>猪龙河</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8" w:hRule="atLeast"/>
          <w:jc w:val="center"/>
        </w:trPr>
        <w:tc>
          <w:tcPr>
            <w:tcW w:w="657" w:type="pct"/>
            <w:vAlign w:val="center"/>
          </w:tcPr>
          <w:p>
            <w:pPr>
              <w:pStyle w:val="47"/>
              <w:rPr>
                <w:color w:val="auto"/>
              </w:rPr>
            </w:pPr>
            <w:r>
              <w:rPr>
                <w:color w:val="auto"/>
              </w:rPr>
              <w:t>地下水</w:t>
            </w:r>
          </w:p>
        </w:tc>
        <w:tc>
          <w:tcPr>
            <w:tcW w:w="5536" w:type="dxa"/>
            <w:vAlign w:val="center"/>
          </w:tcPr>
          <w:p>
            <w:pPr>
              <w:pStyle w:val="47"/>
              <w:rPr>
                <w:color w:val="auto"/>
              </w:rPr>
            </w:pPr>
            <w:r>
              <w:rPr>
                <w:rFonts w:hint="eastAsia"/>
                <w:color w:val="auto"/>
              </w:rPr>
              <w:t>厂址周围6km</w:t>
            </w:r>
            <w:r>
              <w:rPr>
                <w:rFonts w:hint="eastAsia"/>
                <w:color w:val="auto"/>
                <w:vertAlign w:val="superscript"/>
              </w:rPr>
              <w:t>2</w:t>
            </w:r>
            <w:r>
              <w:rPr>
                <w:rFonts w:hint="eastAsia"/>
                <w:color w:val="auto"/>
              </w:rPr>
              <w:t>范围</w:t>
            </w:r>
          </w:p>
        </w:tc>
        <w:tc>
          <w:tcPr>
            <w:tcW w:w="1866" w:type="dxa"/>
            <w:vAlign w:val="center"/>
          </w:tcPr>
          <w:p>
            <w:pPr>
              <w:pStyle w:val="47"/>
              <w:rPr>
                <w:color w:val="auto"/>
              </w:rPr>
            </w:pPr>
            <w:r>
              <w:rPr>
                <w:color w:val="auto"/>
              </w:rPr>
              <w:t>浅层地下水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8" w:hRule="atLeast"/>
          <w:jc w:val="center"/>
        </w:trPr>
        <w:tc>
          <w:tcPr>
            <w:tcW w:w="657" w:type="pct"/>
            <w:vAlign w:val="center"/>
          </w:tcPr>
          <w:p>
            <w:pPr>
              <w:pStyle w:val="47"/>
              <w:rPr>
                <w:color w:val="auto"/>
              </w:rPr>
            </w:pPr>
            <w:r>
              <w:rPr>
                <w:color w:val="auto"/>
              </w:rPr>
              <w:t>噪声</w:t>
            </w:r>
          </w:p>
        </w:tc>
        <w:tc>
          <w:tcPr>
            <w:tcW w:w="5536" w:type="dxa"/>
            <w:vAlign w:val="center"/>
          </w:tcPr>
          <w:p>
            <w:pPr>
              <w:pStyle w:val="47"/>
              <w:rPr>
                <w:color w:val="auto"/>
              </w:rPr>
            </w:pPr>
            <w:r>
              <w:rPr>
                <w:color w:val="auto"/>
              </w:rPr>
              <w:t>厂界外200m</w:t>
            </w:r>
          </w:p>
        </w:tc>
        <w:tc>
          <w:tcPr>
            <w:tcW w:w="1866" w:type="dxa"/>
            <w:vAlign w:val="center"/>
          </w:tcPr>
          <w:p>
            <w:pPr>
              <w:pStyle w:val="47"/>
              <w:rPr>
                <w:color w:val="auto"/>
              </w:rPr>
            </w:pPr>
            <w:r>
              <w:rPr>
                <w:color w:val="auto"/>
              </w:rPr>
              <w:t>无</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8" w:hRule="atLeast"/>
          <w:jc w:val="center"/>
        </w:trPr>
        <w:tc>
          <w:tcPr>
            <w:tcW w:w="657" w:type="pct"/>
            <w:vAlign w:val="center"/>
          </w:tcPr>
          <w:p>
            <w:pPr>
              <w:pStyle w:val="47"/>
              <w:rPr>
                <w:color w:val="auto"/>
              </w:rPr>
            </w:pPr>
            <w:r>
              <w:rPr>
                <w:color w:val="auto"/>
              </w:rPr>
              <w:t>大气环境</w:t>
            </w:r>
          </w:p>
        </w:tc>
        <w:tc>
          <w:tcPr>
            <w:tcW w:w="5536" w:type="dxa"/>
            <w:vAlign w:val="center"/>
          </w:tcPr>
          <w:p>
            <w:pPr>
              <w:pStyle w:val="47"/>
              <w:rPr>
                <w:color w:val="auto"/>
              </w:rPr>
            </w:pPr>
            <w:r>
              <w:rPr>
                <w:color w:val="auto"/>
              </w:rPr>
              <w:t>评价范围以项目厂址为中心，厂界外边长5km的矩形</w:t>
            </w:r>
          </w:p>
        </w:tc>
        <w:tc>
          <w:tcPr>
            <w:tcW w:w="1866" w:type="dxa"/>
            <w:vAlign w:val="center"/>
          </w:tcPr>
          <w:p>
            <w:pPr>
              <w:pStyle w:val="47"/>
              <w:rPr>
                <w:color w:val="auto"/>
              </w:rPr>
            </w:pPr>
            <w:r>
              <w:rPr>
                <w:color w:val="auto"/>
              </w:rPr>
              <w:t>厂区周围村庄</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8" w:hRule="atLeast"/>
          <w:jc w:val="center"/>
        </w:trPr>
        <w:tc>
          <w:tcPr>
            <w:tcW w:w="657" w:type="pct"/>
            <w:vAlign w:val="center"/>
          </w:tcPr>
          <w:p>
            <w:pPr>
              <w:pStyle w:val="47"/>
              <w:rPr>
                <w:color w:val="auto"/>
              </w:rPr>
            </w:pPr>
            <w:r>
              <w:rPr>
                <w:color w:val="auto"/>
              </w:rPr>
              <w:t>环境风险</w:t>
            </w:r>
          </w:p>
        </w:tc>
        <w:tc>
          <w:tcPr>
            <w:tcW w:w="5536" w:type="dxa"/>
            <w:vAlign w:val="center"/>
          </w:tcPr>
          <w:p>
            <w:pPr>
              <w:pStyle w:val="47"/>
              <w:rPr>
                <w:color w:val="auto"/>
              </w:rPr>
            </w:pPr>
            <w:r>
              <w:rPr>
                <w:color w:val="auto"/>
              </w:rPr>
              <w:t>大气环境风险评价范围为距建设项目边界5km的矩形区域。</w:t>
            </w:r>
          </w:p>
        </w:tc>
        <w:tc>
          <w:tcPr>
            <w:tcW w:w="1866" w:type="dxa"/>
            <w:vAlign w:val="center"/>
          </w:tcPr>
          <w:p>
            <w:pPr>
              <w:pStyle w:val="47"/>
              <w:rPr>
                <w:color w:val="auto"/>
              </w:rPr>
            </w:pPr>
            <w:r>
              <w:rPr>
                <w:color w:val="auto"/>
              </w:rPr>
              <w:t>厂区周围村庄</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8" w:hRule="atLeast"/>
          <w:jc w:val="center"/>
        </w:trPr>
        <w:tc>
          <w:tcPr>
            <w:tcW w:w="657" w:type="pct"/>
            <w:vAlign w:val="center"/>
          </w:tcPr>
          <w:p>
            <w:pPr>
              <w:pStyle w:val="47"/>
              <w:rPr>
                <w:color w:val="auto"/>
              </w:rPr>
            </w:pPr>
            <w:r>
              <w:rPr>
                <w:color w:val="auto"/>
              </w:rPr>
              <w:t>土壤</w:t>
            </w:r>
          </w:p>
        </w:tc>
        <w:tc>
          <w:tcPr>
            <w:tcW w:w="5536" w:type="dxa"/>
            <w:vAlign w:val="center"/>
          </w:tcPr>
          <w:p>
            <w:pPr>
              <w:pStyle w:val="47"/>
              <w:rPr>
                <w:color w:val="auto"/>
              </w:rPr>
            </w:pPr>
            <w:r>
              <w:rPr>
                <w:color w:val="auto"/>
              </w:rPr>
              <w:t>项目占地范围及占地范围外0.2km范围内</w:t>
            </w:r>
          </w:p>
        </w:tc>
        <w:tc>
          <w:tcPr>
            <w:tcW w:w="1866" w:type="dxa"/>
            <w:vAlign w:val="center"/>
          </w:tcPr>
          <w:p>
            <w:pPr>
              <w:pStyle w:val="47"/>
              <w:rPr>
                <w:color w:val="auto"/>
              </w:rPr>
            </w:pPr>
            <w:r>
              <w:rPr>
                <w:rFonts w:hint="eastAsia"/>
                <w:color w:val="auto"/>
              </w:rPr>
              <w:t>无</w:t>
            </w:r>
          </w:p>
        </w:tc>
      </w:tr>
    </w:tbl>
    <w:p>
      <w:pPr>
        <w:pStyle w:val="9"/>
        <w:tabs>
          <w:tab w:val="left" w:pos="900"/>
        </w:tabs>
        <w:spacing w:before="0" w:beforeLines="0" w:after="0" w:afterLines="0" w:line="360" w:lineRule="auto"/>
        <w:rPr>
          <w:color w:val="auto"/>
        </w:rPr>
      </w:pPr>
      <w:r>
        <w:rPr>
          <w:color w:val="auto"/>
        </w:rPr>
        <w:t>1.</w:t>
      </w:r>
      <w:r>
        <w:rPr>
          <w:rFonts w:hint="eastAsia"/>
          <w:color w:val="auto"/>
          <w:lang w:val="en-US" w:eastAsia="zh-CN"/>
        </w:rPr>
        <w:t>7</w:t>
      </w:r>
      <w:r>
        <w:rPr>
          <w:color w:val="auto"/>
        </w:rPr>
        <w:t>.3重点保护目标</w:t>
      </w:r>
    </w:p>
    <w:p>
      <w:pPr>
        <w:ind w:firstLine="480"/>
        <w:rPr>
          <w:color w:val="auto"/>
        </w:rPr>
      </w:pPr>
      <w:r>
        <w:rPr>
          <w:color w:val="auto"/>
        </w:rPr>
        <w:t>项目厂址周围环境空气、地下水、环境风险等环境要素环境保护目标见表1.</w:t>
      </w:r>
      <w:r>
        <w:rPr>
          <w:rFonts w:hint="eastAsia"/>
          <w:color w:val="auto"/>
          <w:lang w:val="en-US" w:eastAsia="zh-CN"/>
        </w:rPr>
        <w:t>7</w:t>
      </w:r>
      <w:r>
        <w:rPr>
          <w:color w:val="auto"/>
        </w:rPr>
        <w:t>-9和图1.</w:t>
      </w:r>
      <w:r>
        <w:rPr>
          <w:rFonts w:hint="eastAsia"/>
          <w:color w:val="auto"/>
          <w:lang w:val="en-US" w:eastAsia="zh-CN"/>
        </w:rPr>
        <w:t>7</w:t>
      </w:r>
      <w:r>
        <w:rPr>
          <w:color w:val="auto"/>
        </w:rPr>
        <w:t>-1。</w:t>
      </w:r>
    </w:p>
    <w:p>
      <w:pPr>
        <w:pStyle w:val="2"/>
        <w:ind w:firstLine="0" w:firstLineChars="0"/>
        <w:jc w:val="center"/>
        <w:rPr>
          <w:rFonts w:eastAsia="黑体"/>
          <w:color w:val="auto"/>
          <w:sz w:val="21"/>
          <w:szCs w:val="21"/>
        </w:rPr>
      </w:pPr>
      <w:r>
        <w:rPr>
          <w:rFonts w:eastAsia="黑体"/>
          <w:color w:val="auto"/>
          <w:sz w:val="21"/>
          <w:szCs w:val="21"/>
        </w:rPr>
        <w:t>表1.</w:t>
      </w:r>
      <w:r>
        <w:rPr>
          <w:rFonts w:hint="eastAsia" w:eastAsia="黑体"/>
          <w:color w:val="auto"/>
          <w:sz w:val="21"/>
          <w:szCs w:val="21"/>
          <w:lang w:val="en-US" w:eastAsia="zh-CN"/>
        </w:rPr>
        <w:t>7</w:t>
      </w:r>
      <w:r>
        <w:rPr>
          <w:rFonts w:eastAsia="黑体"/>
          <w:color w:val="auto"/>
          <w:sz w:val="21"/>
          <w:szCs w:val="21"/>
        </w:rPr>
        <w:t>-9 厂址周围环境保护目标一览表</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4"/>
        <w:gridCol w:w="755"/>
        <w:gridCol w:w="2126"/>
        <w:gridCol w:w="862"/>
        <w:gridCol w:w="1027"/>
        <w:gridCol w:w="1950"/>
        <w:gridCol w:w="775"/>
        <w:gridCol w:w="9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Align w:val="center"/>
          </w:tcPr>
          <w:p>
            <w:pPr>
              <w:pStyle w:val="47"/>
              <w:rPr>
                <w:b/>
                <w:color w:val="auto"/>
              </w:rPr>
            </w:pPr>
            <w:r>
              <w:rPr>
                <w:b/>
                <w:color w:val="auto"/>
              </w:rPr>
              <w:t>类别</w:t>
            </w:r>
          </w:p>
        </w:tc>
        <w:tc>
          <w:tcPr>
            <w:tcW w:w="406" w:type="pct"/>
            <w:vAlign w:val="center"/>
          </w:tcPr>
          <w:p>
            <w:pPr>
              <w:pStyle w:val="47"/>
              <w:rPr>
                <w:b/>
                <w:color w:val="auto"/>
              </w:rPr>
            </w:pPr>
            <w:r>
              <w:rPr>
                <w:b/>
                <w:color w:val="auto"/>
              </w:rPr>
              <w:t>序号</w:t>
            </w:r>
          </w:p>
        </w:tc>
        <w:tc>
          <w:tcPr>
            <w:tcW w:w="1144" w:type="pct"/>
            <w:vAlign w:val="center"/>
          </w:tcPr>
          <w:p>
            <w:pPr>
              <w:pStyle w:val="47"/>
              <w:rPr>
                <w:b/>
                <w:color w:val="auto"/>
              </w:rPr>
            </w:pPr>
            <w:r>
              <w:rPr>
                <w:b/>
                <w:color w:val="auto"/>
              </w:rPr>
              <w:t>名称</w:t>
            </w:r>
          </w:p>
        </w:tc>
        <w:tc>
          <w:tcPr>
            <w:tcW w:w="464" w:type="pct"/>
            <w:vAlign w:val="center"/>
          </w:tcPr>
          <w:p>
            <w:pPr>
              <w:pStyle w:val="47"/>
              <w:rPr>
                <w:b/>
                <w:color w:val="auto"/>
              </w:rPr>
            </w:pPr>
            <w:r>
              <w:rPr>
                <w:b/>
                <w:color w:val="auto"/>
              </w:rPr>
              <w:t>保护对象</w:t>
            </w:r>
          </w:p>
        </w:tc>
        <w:tc>
          <w:tcPr>
            <w:tcW w:w="552" w:type="pct"/>
            <w:vAlign w:val="center"/>
          </w:tcPr>
          <w:p>
            <w:pPr>
              <w:pStyle w:val="47"/>
              <w:rPr>
                <w:b/>
                <w:color w:val="auto"/>
              </w:rPr>
            </w:pPr>
            <w:r>
              <w:rPr>
                <w:b/>
                <w:color w:val="auto"/>
              </w:rPr>
              <w:t>保护内容（人数）</w:t>
            </w:r>
          </w:p>
        </w:tc>
        <w:tc>
          <w:tcPr>
            <w:tcW w:w="1049" w:type="pct"/>
            <w:vAlign w:val="center"/>
          </w:tcPr>
          <w:p>
            <w:pPr>
              <w:pStyle w:val="47"/>
              <w:rPr>
                <w:b/>
                <w:color w:val="auto"/>
              </w:rPr>
            </w:pPr>
            <w:r>
              <w:rPr>
                <w:b/>
                <w:color w:val="auto"/>
              </w:rPr>
              <w:t>环境功能区</w:t>
            </w:r>
          </w:p>
        </w:tc>
        <w:tc>
          <w:tcPr>
            <w:tcW w:w="417" w:type="pct"/>
            <w:vAlign w:val="center"/>
          </w:tcPr>
          <w:p>
            <w:pPr>
              <w:pStyle w:val="47"/>
              <w:rPr>
                <w:b/>
                <w:color w:val="auto"/>
              </w:rPr>
            </w:pPr>
            <w:r>
              <w:rPr>
                <w:b/>
                <w:color w:val="auto"/>
              </w:rPr>
              <w:t>相对厂址方位</w:t>
            </w:r>
          </w:p>
        </w:tc>
        <w:tc>
          <w:tcPr>
            <w:tcW w:w="537" w:type="pct"/>
            <w:vAlign w:val="center"/>
          </w:tcPr>
          <w:p>
            <w:pPr>
              <w:pStyle w:val="47"/>
              <w:rPr>
                <w:b/>
                <w:color w:val="auto"/>
              </w:rPr>
            </w:pPr>
            <w:r>
              <w:rPr>
                <w:b/>
                <w:color w:val="auto"/>
              </w:rPr>
              <w:t>相对厂界距离/m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restart"/>
            <w:vAlign w:val="center"/>
          </w:tcPr>
          <w:p>
            <w:pPr>
              <w:pStyle w:val="47"/>
              <w:rPr>
                <w:color w:val="auto"/>
              </w:rPr>
            </w:pPr>
            <w:r>
              <w:rPr>
                <w:color w:val="auto"/>
              </w:rPr>
              <w:t>大气环境</w:t>
            </w:r>
          </w:p>
        </w:tc>
        <w:tc>
          <w:tcPr>
            <w:tcW w:w="406" w:type="pct"/>
            <w:vAlign w:val="center"/>
          </w:tcPr>
          <w:p>
            <w:pPr>
              <w:pStyle w:val="47"/>
              <w:rPr>
                <w:color w:val="auto"/>
              </w:rPr>
            </w:pPr>
            <w:r>
              <w:rPr>
                <w:color w:val="auto"/>
              </w:rPr>
              <w:t>1</w:t>
            </w:r>
          </w:p>
        </w:tc>
        <w:tc>
          <w:tcPr>
            <w:tcW w:w="1144" w:type="pct"/>
            <w:vAlign w:val="center"/>
          </w:tcPr>
          <w:p>
            <w:pPr>
              <w:pStyle w:val="47"/>
              <w:rPr>
                <w:color w:val="auto"/>
              </w:rPr>
            </w:pPr>
            <w:r>
              <w:rPr>
                <w:color w:val="auto"/>
                <w:szCs w:val="24"/>
              </w:rPr>
              <w:t>解营村</w:t>
            </w:r>
          </w:p>
        </w:tc>
        <w:tc>
          <w:tcPr>
            <w:tcW w:w="464" w:type="pct"/>
            <w:vAlign w:val="center"/>
          </w:tcPr>
          <w:p>
            <w:pPr>
              <w:pStyle w:val="47"/>
              <w:rPr>
                <w:color w:val="auto"/>
              </w:rPr>
            </w:pPr>
            <w:r>
              <w:rPr>
                <w:color w:val="auto"/>
              </w:rPr>
              <w:t>村庄</w:t>
            </w:r>
          </w:p>
        </w:tc>
        <w:tc>
          <w:tcPr>
            <w:tcW w:w="552" w:type="pct"/>
            <w:vAlign w:val="center"/>
          </w:tcPr>
          <w:p>
            <w:pPr>
              <w:pStyle w:val="47"/>
              <w:rPr>
                <w:color w:val="auto"/>
              </w:rPr>
            </w:pPr>
            <w:r>
              <w:rPr>
                <w:rFonts w:hint="eastAsia"/>
                <w:color w:val="auto"/>
              </w:rPr>
              <w:t>360</w:t>
            </w:r>
          </w:p>
        </w:tc>
        <w:tc>
          <w:tcPr>
            <w:tcW w:w="1049" w:type="pct"/>
            <w:vMerge w:val="restart"/>
            <w:vAlign w:val="center"/>
          </w:tcPr>
          <w:p>
            <w:pPr>
              <w:pStyle w:val="47"/>
              <w:rPr>
                <w:color w:val="auto"/>
              </w:rPr>
            </w:pPr>
            <w:r>
              <w:rPr>
                <w:color w:val="auto"/>
              </w:rPr>
              <w:t>《环境空气质量标准》（GB3095-2012）二类</w:t>
            </w:r>
          </w:p>
        </w:tc>
        <w:tc>
          <w:tcPr>
            <w:tcW w:w="417" w:type="pct"/>
            <w:vAlign w:val="center"/>
          </w:tcPr>
          <w:p>
            <w:pPr>
              <w:pStyle w:val="47"/>
              <w:rPr>
                <w:color w:val="auto"/>
              </w:rPr>
            </w:pPr>
            <w:r>
              <w:rPr>
                <w:color w:val="auto"/>
              </w:rPr>
              <w:t>N</w:t>
            </w:r>
            <w:r>
              <w:rPr>
                <w:rFonts w:hint="eastAsia"/>
                <w:color w:val="auto"/>
              </w:rPr>
              <w:t>W</w:t>
            </w:r>
          </w:p>
        </w:tc>
        <w:tc>
          <w:tcPr>
            <w:tcW w:w="537" w:type="pct"/>
            <w:vAlign w:val="center"/>
          </w:tcPr>
          <w:p>
            <w:pPr>
              <w:pStyle w:val="47"/>
              <w:rPr>
                <w:color w:val="auto"/>
              </w:rPr>
            </w:pPr>
            <w:r>
              <w:rPr>
                <w:rFonts w:hint="eastAsia"/>
                <w:color w:val="auto"/>
              </w:rPr>
              <w:t>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2</w:t>
            </w:r>
          </w:p>
        </w:tc>
        <w:tc>
          <w:tcPr>
            <w:tcW w:w="1144" w:type="pct"/>
            <w:vAlign w:val="center"/>
          </w:tcPr>
          <w:p>
            <w:pPr>
              <w:pStyle w:val="47"/>
              <w:rPr>
                <w:color w:val="auto"/>
              </w:rPr>
            </w:pPr>
            <w:r>
              <w:rPr>
                <w:color w:val="auto"/>
                <w:szCs w:val="24"/>
              </w:rPr>
              <w:t xml:space="preserve">曹营村 </w:t>
            </w:r>
          </w:p>
        </w:tc>
        <w:tc>
          <w:tcPr>
            <w:tcW w:w="464" w:type="pct"/>
            <w:vAlign w:val="center"/>
          </w:tcPr>
          <w:p>
            <w:pPr>
              <w:pStyle w:val="47"/>
              <w:rPr>
                <w:color w:val="auto"/>
              </w:rPr>
            </w:pPr>
            <w:r>
              <w:rPr>
                <w:color w:val="auto"/>
              </w:rPr>
              <w:t>村庄</w:t>
            </w:r>
          </w:p>
        </w:tc>
        <w:tc>
          <w:tcPr>
            <w:tcW w:w="552" w:type="pct"/>
            <w:vAlign w:val="center"/>
          </w:tcPr>
          <w:p>
            <w:pPr>
              <w:pStyle w:val="47"/>
              <w:rPr>
                <w:color w:val="auto"/>
              </w:rPr>
            </w:pPr>
            <w:r>
              <w:rPr>
                <w:rFonts w:hint="eastAsia"/>
                <w:color w:val="auto"/>
              </w:rPr>
              <w:t>1563</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w:t>
            </w:r>
          </w:p>
        </w:tc>
        <w:tc>
          <w:tcPr>
            <w:tcW w:w="537" w:type="pct"/>
            <w:vAlign w:val="center"/>
          </w:tcPr>
          <w:p>
            <w:pPr>
              <w:pStyle w:val="47"/>
              <w:rPr>
                <w:color w:val="auto"/>
              </w:rPr>
            </w:pPr>
            <w:r>
              <w:rPr>
                <w:rFonts w:hint="eastAsia"/>
                <w:color w:val="auto"/>
              </w:rPr>
              <w:t>880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3</w:t>
            </w:r>
          </w:p>
        </w:tc>
        <w:tc>
          <w:tcPr>
            <w:tcW w:w="1144" w:type="pct"/>
            <w:vAlign w:val="center"/>
          </w:tcPr>
          <w:p>
            <w:pPr>
              <w:pStyle w:val="47"/>
              <w:rPr>
                <w:color w:val="auto"/>
              </w:rPr>
            </w:pPr>
            <w:r>
              <w:rPr>
                <w:color w:val="auto"/>
                <w:szCs w:val="24"/>
              </w:rPr>
              <w:t>庆隆幼儿园</w:t>
            </w:r>
          </w:p>
        </w:tc>
        <w:tc>
          <w:tcPr>
            <w:tcW w:w="464" w:type="pct"/>
            <w:vAlign w:val="center"/>
          </w:tcPr>
          <w:p>
            <w:pPr>
              <w:pStyle w:val="47"/>
              <w:rPr>
                <w:color w:val="auto"/>
              </w:rPr>
            </w:pPr>
            <w:r>
              <w:rPr>
                <w:rFonts w:hint="eastAsia"/>
                <w:color w:val="auto"/>
              </w:rPr>
              <w:t>学校</w:t>
            </w:r>
          </w:p>
        </w:tc>
        <w:tc>
          <w:tcPr>
            <w:tcW w:w="552" w:type="pct"/>
            <w:vAlign w:val="center"/>
          </w:tcPr>
          <w:p>
            <w:pPr>
              <w:pStyle w:val="47"/>
              <w:rPr>
                <w:color w:val="auto"/>
              </w:rPr>
            </w:pPr>
            <w:r>
              <w:rPr>
                <w:rFonts w:hint="eastAsia"/>
                <w:color w:val="auto"/>
              </w:rPr>
              <w:t>52</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NE</w:t>
            </w:r>
          </w:p>
        </w:tc>
        <w:tc>
          <w:tcPr>
            <w:tcW w:w="537" w:type="pct"/>
            <w:vAlign w:val="center"/>
          </w:tcPr>
          <w:p>
            <w:pPr>
              <w:pStyle w:val="47"/>
              <w:rPr>
                <w:color w:val="auto"/>
              </w:rPr>
            </w:pPr>
            <w:r>
              <w:rPr>
                <w:rFonts w:hint="eastAsia"/>
                <w:color w:val="auto"/>
              </w:rPr>
              <w:t>730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4</w:t>
            </w:r>
          </w:p>
        </w:tc>
        <w:tc>
          <w:tcPr>
            <w:tcW w:w="1144" w:type="pct"/>
            <w:vAlign w:val="center"/>
          </w:tcPr>
          <w:p>
            <w:pPr>
              <w:pStyle w:val="47"/>
              <w:rPr>
                <w:color w:val="auto"/>
              </w:rPr>
            </w:pPr>
            <w:r>
              <w:rPr>
                <w:color w:val="auto"/>
                <w:szCs w:val="24"/>
              </w:rPr>
              <w:t>西吕村</w:t>
            </w:r>
          </w:p>
        </w:tc>
        <w:tc>
          <w:tcPr>
            <w:tcW w:w="464" w:type="pct"/>
            <w:vAlign w:val="center"/>
          </w:tcPr>
          <w:p>
            <w:pPr>
              <w:pStyle w:val="47"/>
              <w:rPr>
                <w:color w:val="auto"/>
              </w:rPr>
            </w:pPr>
            <w:r>
              <w:rPr>
                <w:color w:val="auto"/>
              </w:rPr>
              <w:t>村庄</w:t>
            </w:r>
          </w:p>
        </w:tc>
        <w:tc>
          <w:tcPr>
            <w:tcW w:w="552" w:type="pct"/>
            <w:vAlign w:val="center"/>
          </w:tcPr>
          <w:p>
            <w:pPr>
              <w:pStyle w:val="47"/>
              <w:rPr>
                <w:color w:val="auto"/>
              </w:rPr>
            </w:pPr>
            <w:r>
              <w:rPr>
                <w:rFonts w:hint="eastAsia"/>
                <w:color w:val="auto"/>
              </w:rPr>
              <w:t>750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w:t>
            </w:r>
            <w:r>
              <w:rPr>
                <w:rFonts w:hint="eastAsia"/>
                <w:color w:val="auto"/>
              </w:rPr>
              <w:t>W</w:t>
            </w:r>
          </w:p>
        </w:tc>
        <w:tc>
          <w:tcPr>
            <w:tcW w:w="537" w:type="pct"/>
            <w:vAlign w:val="center"/>
          </w:tcPr>
          <w:p>
            <w:pPr>
              <w:pStyle w:val="47"/>
              <w:rPr>
                <w:color w:val="auto"/>
              </w:rPr>
            </w:pPr>
            <w:r>
              <w:rPr>
                <w:rFonts w:hint="eastAsia"/>
                <w:color w:val="auto"/>
              </w:rPr>
              <w:t>1640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5</w:t>
            </w:r>
          </w:p>
        </w:tc>
        <w:tc>
          <w:tcPr>
            <w:tcW w:w="1144" w:type="pct"/>
            <w:vAlign w:val="center"/>
          </w:tcPr>
          <w:p>
            <w:pPr>
              <w:pStyle w:val="47"/>
              <w:rPr>
                <w:color w:val="auto"/>
              </w:rPr>
            </w:pPr>
            <w:r>
              <w:rPr>
                <w:rFonts w:hint="eastAsia"/>
                <w:color w:val="auto"/>
                <w:szCs w:val="24"/>
              </w:rPr>
              <w:t>碧桂园中房天玺</w:t>
            </w:r>
          </w:p>
        </w:tc>
        <w:tc>
          <w:tcPr>
            <w:tcW w:w="464" w:type="pct"/>
            <w:vAlign w:val="center"/>
          </w:tcPr>
          <w:p>
            <w:pPr>
              <w:pStyle w:val="47"/>
              <w:rPr>
                <w:color w:val="auto"/>
              </w:rPr>
            </w:pPr>
            <w:r>
              <w:rPr>
                <w:color w:val="auto"/>
              </w:rPr>
              <w:t>村庄</w:t>
            </w:r>
          </w:p>
        </w:tc>
        <w:tc>
          <w:tcPr>
            <w:tcW w:w="552" w:type="pct"/>
            <w:vAlign w:val="center"/>
          </w:tcPr>
          <w:p>
            <w:pPr>
              <w:pStyle w:val="47"/>
              <w:rPr>
                <w:color w:val="auto"/>
              </w:rPr>
            </w:pPr>
            <w:r>
              <w:rPr>
                <w:rFonts w:hint="eastAsia"/>
                <w:color w:val="auto"/>
              </w:rPr>
              <w:t>830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w:t>
            </w:r>
            <w:r>
              <w:rPr>
                <w:rFonts w:hint="eastAsia"/>
                <w:color w:val="auto"/>
              </w:rPr>
              <w:t>W</w:t>
            </w:r>
          </w:p>
        </w:tc>
        <w:tc>
          <w:tcPr>
            <w:tcW w:w="537" w:type="pct"/>
            <w:vAlign w:val="center"/>
          </w:tcPr>
          <w:p>
            <w:pPr>
              <w:pStyle w:val="47"/>
              <w:rPr>
                <w:color w:val="auto"/>
              </w:rPr>
            </w:pPr>
            <w:r>
              <w:rPr>
                <w:color w:val="auto"/>
              </w:rPr>
              <w:t>370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6</w:t>
            </w:r>
          </w:p>
        </w:tc>
        <w:tc>
          <w:tcPr>
            <w:tcW w:w="1144" w:type="pct"/>
            <w:vAlign w:val="center"/>
          </w:tcPr>
          <w:p>
            <w:pPr>
              <w:pStyle w:val="47"/>
              <w:rPr>
                <w:color w:val="auto"/>
              </w:rPr>
            </w:pPr>
            <w:r>
              <w:rPr>
                <w:color w:val="auto"/>
                <w:szCs w:val="24"/>
              </w:rPr>
              <w:t>于营村</w:t>
            </w:r>
          </w:p>
        </w:tc>
        <w:tc>
          <w:tcPr>
            <w:tcW w:w="464" w:type="pct"/>
            <w:vAlign w:val="center"/>
          </w:tcPr>
          <w:p>
            <w:pPr>
              <w:pStyle w:val="47"/>
              <w:rPr>
                <w:color w:val="auto"/>
              </w:rPr>
            </w:pPr>
            <w:r>
              <w:rPr>
                <w:color w:val="auto"/>
              </w:rPr>
              <w:t>村庄</w:t>
            </w:r>
          </w:p>
        </w:tc>
        <w:tc>
          <w:tcPr>
            <w:tcW w:w="552" w:type="pct"/>
            <w:vAlign w:val="center"/>
          </w:tcPr>
          <w:p>
            <w:pPr>
              <w:pStyle w:val="47"/>
              <w:rPr>
                <w:color w:val="auto"/>
              </w:rPr>
            </w:pPr>
            <w:r>
              <w:rPr>
                <w:color w:val="auto"/>
              </w:rPr>
              <w:t>113</w:t>
            </w:r>
            <w:r>
              <w:rPr>
                <w:rFonts w:hint="eastAsia"/>
                <w:color w:val="auto"/>
              </w:rPr>
              <w:t>9</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w:t>
            </w:r>
            <w:r>
              <w:rPr>
                <w:rFonts w:hint="eastAsia"/>
                <w:color w:val="auto"/>
              </w:rPr>
              <w:t>W</w:t>
            </w:r>
          </w:p>
        </w:tc>
        <w:tc>
          <w:tcPr>
            <w:tcW w:w="537" w:type="pct"/>
            <w:vAlign w:val="center"/>
          </w:tcPr>
          <w:p>
            <w:pPr>
              <w:pStyle w:val="47"/>
              <w:rPr>
                <w:color w:val="auto"/>
              </w:rPr>
            </w:pPr>
            <w:r>
              <w:rPr>
                <w:rFonts w:hint="eastAsia"/>
                <w:color w:val="auto"/>
              </w:rPr>
              <w:t>1660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7</w:t>
            </w:r>
          </w:p>
        </w:tc>
        <w:tc>
          <w:tcPr>
            <w:tcW w:w="1144" w:type="pct"/>
            <w:vAlign w:val="center"/>
          </w:tcPr>
          <w:p>
            <w:pPr>
              <w:pStyle w:val="47"/>
              <w:rPr>
                <w:color w:val="auto"/>
              </w:rPr>
            </w:pPr>
            <w:r>
              <w:rPr>
                <w:rFonts w:hint="eastAsia"/>
                <w:color w:val="auto"/>
                <w:szCs w:val="24"/>
              </w:rPr>
              <w:t>幸福家园</w:t>
            </w:r>
            <w:r>
              <w:rPr>
                <w:color w:val="auto"/>
                <w:szCs w:val="24"/>
              </w:rPr>
              <w:t xml:space="preserve"> </w:t>
            </w:r>
          </w:p>
        </w:tc>
        <w:tc>
          <w:tcPr>
            <w:tcW w:w="464" w:type="pct"/>
            <w:vAlign w:val="center"/>
          </w:tcPr>
          <w:p>
            <w:pPr>
              <w:pStyle w:val="47"/>
              <w:rPr>
                <w:color w:val="auto"/>
              </w:rPr>
            </w:pPr>
            <w:r>
              <w:rPr>
                <w:color w:val="auto"/>
              </w:rPr>
              <w:t>村庄</w:t>
            </w:r>
          </w:p>
        </w:tc>
        <w:tc>
          <w:tcPr>
            <w:tcW w:w="552" w:type="pct"/>
            <w:vAlign w:val="center"/>
          </w:tcPr>
          <w:p>
            <w:pPr>
              <w:pStyle w:val="47"/>
              <w:rPr>
                <w:color w:val="auto"/>
              </w:rPr>
            </w:pPr>
            <w:r>
              <w:rPr>
                <w:rFonts w:hint="eastAsia"/>
                <w:color w:val="auto"/>
              </w:rPr>
              <w:t>300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w:t>
            </w:r>
            <w:r>
              <w:rPr>
                <w:rFonts w:hint="eastAsia"/>
                <w:color w:val="auto"/>
              </w:rPr>
              <w:t>W</w:t>
            </w:r>
          </w:p>
        </w:tc>
        <w:tc>
          <w:tcPr>
            <w:tcW w:w="537" w:type="pct"/>
            <w:vAlign w:val="center"/>
          </w:tcPr>
          <w:p>
            <w:pPr>
              <w:pStyle w:val="47"/>
              <w:rPr>
                <w:color w:val="auto"/>
              </w:rPr>
            </w:pPr>
            <w:r>
              <w:rPr>
                <w:rFonts w:hint="eastAsia"/>
                <w:color w:val="auto"/>
              </w:rPr>
              <w:t>2330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8</w:t>
            </w:r>
          </w:p>
        </w:tc>
        <w:tc>
          <w:tcPr>
            <w:tcW w:w="1144" w:type="pct"/>
            <w:vAlign w:val="center"/>
          </w:tcPr>
          <w:p>
            <w:pPr>
              <w:pStyle w:val="47"/>
              <w:rPr>
                <w:color w:val="auto"/>
              </w:rPr>
            </w:pPr>
            <w:r>
              <w:rPr>
                <w:rFonts w:hint="eastAsia"/>
                <w:color w:val="auto"/>
                <w:szCs w:val="24"/>
              </w:rPr>
              <w:t>太平锦绣花园</w:t>
            </w:r>
          </w:p>
        </w:tc>
        <w:tc>
          <w:tcPr>
            <w:tcW w:w="464" w:type="pct"/>
            <w:vAlign w:val="center"/>
          </w:tcPr>
          <w:p>
            <w:pPr>
              <w:pStyle w:val="47"/>
              <w:rPr>
                <w:color w:val="auto"/>
              </w:rPr>
            </w:pPr>
            <w:r>
              <w:rPr>
                <w:color w:val="auto"/>
              </w:rPr>
              <w:t>村庄</w:t>
            </w:r>
          </w:p>
        </w:tc>
        <w:tc>
          <w:tcPr>
            <w:tcW w:w="552" w:type="pct"/>
            <w:vAlign w:val="center"/>
          </w:tcPr>
          <w:p>
            <w:pPr>
              <w:pStyle w:val="47"/>
              <w:rPr>
                <w:color w:val="auto"/>
              </w:rPr>
            </w:pPr>
            <w:r>
              <w:rPr>
                <w:rFonts w:hint="eastAsia"/>
                <w:color w:val="auto"/>
              </w:rPr>
              <w:t>610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w:t>
            </w:r>
            <w:r>
              <w:rPr>
                <w:rFonts w:hint="eastAsia"/>
                <w:color w:val="auto"/>
              </w:rPr>
              <w:t>W</w:t>
            </w:r>
          </w:p>
        </w:tc>
        <w:tc>
          <w:tcPr>
            <w:tcW w:w="537" w:type="pct"/>
            <w:vAlign w:val="center"/>
          </w:tcPr>
          <w:p>
            <w:pPr>
              <w:pStyle w:val="47"/>
              <w:rPr>
                <w:color w:val="auto"/>
              </w:rPr>
            </w:pPr>
            <w:r>
              <w:rPr>
                <w:rFonts w:hint="eastAsia"/>
                <w:color w:val="auto"/>
              </w:rPr>
              <w:t>2730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9</w:t>
            </w:r>
          </w:p>
        </w:tc>
        <w:tc>
          <w:tcPr>
            <w:tcW w:w="1144" w:type="pct"/>
            <w:vAlign w:val="center"/>
          </w:tcPr>
          <w:p>
            <w:pPr>
              <w:pStyle w:val="47"/>
              <w:rPr>
                <w:color w:val="auto"/>
              </w:rPr>
            </w:pPr>
            <w:r>
              <w:rPr>
                <w:rFonts w:hint="eastAsia"/>
                <w:color w:val="auto"/>
                <w:szCs w:val="24"/>
              </w:rPr>
              <w:t>荷塘月色</w:t>
            </w:r>
            <w:r>
              <w:rPr>
                <w:color w:val="auto"/>
                <w:szCs w:val="24"/>
              </w:rPr>
              <w:t xml:space="preserve"> </w:t>
            </w:r>
          </w:p>
        </w:tc>
        <w:tc>
          <w:tcPr>
            <w:tcW w:w="464" w:type="pct"/>
            <w:vAlign w:val="center"/>
          </w:tcPr>
          <w:p>
            <w:pPr>
              <w:pStyle w:val="47"/>
              <w:rPr>
                <w:color w:val="auto"/>
              </w:rPr>
            </w:pPr>
            <w:r>
              <w:rPr>
                <w:color w:val="auto"/>
              </w:rPr>
              <w:t>村庄</w:t>
            </w:r>
          </w:p>
        </w:tc>
        <w:tc>
          <w:tcPr>
            <w:tcW w:w="552" w:type="pct"/>
            <w:vAlign w:val="center"/>
          </w:tcPr>
          <w:p>
            <w:pPr>
              <w:pStyle w:val="47"/>
              <w:rPr>
                <w:color w:val="auto"/>
              </w:rPr>
            </w:pPr>
            <w:r>
              <w:rPr>
                <w:rFonts w:hint="eastAsia"/>
                <w:color w:val="auto"/>
              </w:rPr>
              <w:t>700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w:t>
            </w:r>
            <w:r>
              <w:rPr>
                <w:rFonts w:hint="eastAsia"/>
                <w:color w:val="auto"/>
              </w:rPr>
              <w:t>W</w:t>
            </w:r>
          </w:p>
        </w:tc>
        <w:tc>
          <w:tcPr>
            <w:tcW w:w="537" w:type="pct"/>
            <w:vAlign w:val="center"/>
          </w:tcPr>
          <w:p>
            <w:pPr>
              <w:pStyle w:val="47"/>
              <w:rPr>
                <w:color w:val="auto"/>
              </w:rPr>
            </w:pPr>
            <w:r>
              <w:rPr>
                <w:rFonts w:hint="eastAsia"/>
                <w:color w:val="auto"/>
              </w:rPr>
              <w:t>2980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10</w:t>
            </w:r>
          </w:p>
        </w:tc>
        <w:tc>
          <w:tcPr>
            <w:tcW w:w="1144" w:type="pct"/>
            <w:vAlign w:val="center"/>
          </w:tcPr>
          <w:p>
            <w:pPr>
              <w:pStyle w:val="47"/>
              <w:rPr>
                <w:color w:val="auto"/>
              </w:rPr>
            </w:pPr>
            <w:r>
              <w:rPr>
                <w:rFonts w:hint="eastAsia"/>
                <w:color w:val="auto"/>
                <w:szCs w:val="24"/>
              </w:rPr>
              <w:t>荷塘月色幼儿院</w:t>
            </w:r>
          </w:p>
        </w:tc>
        <w:tc>
          <w:tcPr>
            <w:tcW w:w="464" w:type="pct"/>
            <w:vAlign w:val="center"/>
          </w:tcPr>
          <w:p>
            <w:pPr>
              <w:pStyle w:val="47"/>
              <w:rPr>
                <w:color w:val="auto"/>
              </w:rPr>
            </w:pPr>
            <w:r>
              <w:rPr>
                <w:rFonts w:hint="eastAsia"/>
                <w:color w:val="auto"/>
                <w:szCs w:val="24"/>
              </w:rPr>
              <w:t>学校</w:t>
            </w:r>
          </w:p>
        </w:tc>
        <w:tc>
          <w:tcPr>
            <w:tcW w:w="552" w:type="pct"/>
            <w:vAlign w:val="center"/>
          </w:tcPr>
          <w:p>
            <w:pPr>
              <w:pStyle w:val="47"/>
              <w:rPr>
                <w:color w:val="auto"/>
              </w:rPr>
            </w:pPr>
            <w:r>
              <w:rPr>
                <w:rFonts w:hint="eastAsia"/>
                <w:color w:val="auto"/>
              </w:rPr>
              <w:t>48</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w:t>
            </w:r>
            <w:r>
              <w:rPr>
                <w:rFonts w:hint="eastAsia"/>
                <w:color w:val="auto"/>
              </w:rPr>
              <w:t>W</w:t>
            </w:r>
          </w:p>
        </w:tc>
        <w:tc>
          <w:tcPr>
            <w:tcW w:w="537" w:type="pct"/>
            <w:vAlign w:val="center"/>
          </w:tcPr>
          <w:p>
            <w:pPr>
              <w:pStyle w:val="47"/>
              <w:rPr>
                <w:color w:val="auto"/>
              </w:rPr>
            </w:pPr>
            <w:r>
              <w:rPr>
                <w:rFonts w:hint="eastAsia"/>
                <w:color w:val="auto"/>
              </w:rPr>
              <w:t>2990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11</w:t>
            </w:r>
          </w:p>
        </w:tc>
        <w:tc>
          <w:tcPr>
            <w:tcW w:w="1144" w:type="pct"/>
            <w:vAlign w:val="center"/>
          </w:tcPr>
          <w:p>
            <w:pPr>
              <w:pStyle w:val="47"/>
              <w:rPr>
                <w:color w:val="auto"/>
              </w:rPr>
            </w:pPr>
            <w:r>
              <w:rPr>
                <w:color w:val="auto"/>
                <w:szCs w:val="24"/>
              </w:rPr>
              <w:t>惠泽苑</w:t>
            </w:r>
          </w:p>
        </w:tc>
        <w:tc>
          <w:tcPr>
            <w:tcW w:w="464" w:type="pct"/>
            <w:vAlign w:val="center"/>
          </w:tcPr>
          <w:p>
            <w:pPr>
              <w:pStyle w:val="47"/>
              <w:rPr>
                <w:color w:val="auto"/>
              </w:rPr>
            </w:pPr>
            <w:r>
              <w:rPr>
                <w:color w:val="auto"/>
              </w:rPr>
              <w:t>村庄</w:t>
            </w:r>
          </w:p>
        </w:tc>
        <w:tc>
          <w:tcPr>
            <w:tcW w:w="552" w:type="pct"/>
            <w:vAlign w:val="center"/>
          </w:tcPr>
          <w:p>
            <w:pPr>
              <w:pStyle w:val="47"/>
              <w:rPr>
                <w:color w:val="auto"/>
              </w:rPr>
            </w:pPr>
            <w:r>
              <w:rPr>
                <w:rFonts w:hint="eastAsia"/>
                <w:color w:val="auto"/>
              </w:rPr>
              <w:t>200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NNE</w:t>
            </w:r>
          </w:p>
        </w:tc>
        <w:tc>
          <w:tcPr>
            <w:tcW w:w="537" w:type="pct"/>
            <w:vAlign w:val="center"/>
          </w:tcPr>
          <w:p>
            <w:pPr>
              <w:pStyle w:val="47"/>
              <w:rPr>
                <w:color w:val="auto"/>
              </w:rPr>
            </w:pPr>
            <w:r>
              <w:rPr>
                <w:rFonts w:hint="eastAsia"/>
                <w:color w:val="auto"/>
              </w:rPr>
              <w:t>3000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12</w:t>
            </w:r>
          </w:p>
        </w:tc>
        <w:tc>
          <w:tcPr>
            <w:tcW w:w="1144" w:type="pct"/>
            <w:vAlign w:val="center"/>
          </w:tcPr>
          <w:p>
            <w:pPr>
              <w:pStyle w:val="47"/>
              <w:rPr>
                <w:color w:val="auto"/>
              </w:rPr>
            </w:pPr>
            <w:r>
              <w:rPr>
                <w:rFonts w:hint="eastAsia"/>
                <w:color w:val="auto"/>
                <w:szCs w:val="24"/>
              </w:rPr>
              <w:t>香溪新城</w:t>
            </w:r>
          </w:p>
        </w:tc>
        <w:tc>
          <w:tcPr>
            <w:tcW w:w="464" w:type="pct"/>
            <w:vAlign w:val="center"/>
          </w:tcPr>
          <w:p>
            <w:pPr>
              <w:pStyle w:val="47"/>
              <w:rPr>
                <w:color w:val="auto"/>
              </w:rPr>
            </w:pPr>
            <w:r>
              <w:rPr>
                <w:color w:val="auto"/>
              </w:rPr>
              <w:t>村庄</w:t>
            </w:r>
          </w:p>
        </w:tc>
        <w:tc>
          <w:tcPr>
            <w:tcW w:w="552" w:type="pct"/>
            <w:vAlign w:val="center"/>
          </w:tcPr>
          <w:p>
            <w:pPr>
              <w:pStyle w:val="47"/>
              <w:rPr>
                <w:color w:val="auto"/>
              </w:rPr>
            </w:pPr>
            <w:r>
              <w:rPr>
                <w:rFonts w:hint="eastAsia"/>
                <w:color w:val="auto"/>
              </w:rPr>
              <w:t>1000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NE</w:t>
            </w:r>
          </w:p>
        </w:tc>
        <w:tc>
          <w:tcPr>
            <w:tcW w:w="537" w:type="pct"/>
            <w:vAlign w:val="center"/>
          </w:tcPr>
          <w:p>
            <w:pPr>
              <w:pStyle w:val="47"/>
              <w:rPr>
                <w:color w:val="auto"/>
              </w:rPr>
            </w:pPr>
            <w:r>
              <w:rPr>
                <w:rFonts w:hint="eastAsia"/>
                <w:color w:val="auto"/>
              </w:rPr>
              <w:t>810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13</w:t>
            </w:r>
          </w:p>
        </w:tc>
        <w:tc>
          <w:tcPr>
            <w:tcW w:w="1144" w:type="pct"/>
            <w:vAlign w:val="center"/>
          </w:tcPr>
          <w:p>
            <w:pPr>
              <w:pStyle w:val="47"/>
              <w:rPr>
                <w:color w:val="auto"/>
              </w:rPr>
            </w:pPr>
            <w:r>
              <w:rPr>
                <w:rFonts w:hint="eastAsia"/>
                <w:color w:val="auto"/>
                <w:szCs w:val="24"/>
              </w:rPr>
              <w:t>恒大林溪郡</w:t>
            </w:r>
          </w:p>
        </w:tc>
        <w:tc>
          <w:tcPr>
            <w:tcW w:w="464" w:type="pct"/>
            <w:vAlign w:val="center"/>
          </w:tcPr>
          <w:p>
            <w:pPr>
              <w:pStyle w:val="47"/>
              <w:rPr>
                <w:color w:val="auto"/>
              </w:rPr>
            </w:pPr>
            <w:r>
              <w:rPr>
                <w:color w:val="auto"/>
              </w:rPr>
              <w:t>村庄</w:t>
            </w:r>
          </w:p>
        </w:tc>
        <w:tc>
          <w:tcPr>
            <w:tcW w:w="552" w:type="pct"/>
            <w:vAlign w:val="center"/>
          </w:tcPr>
          <w:p>
            <w:pPr>
              <w:pStyle w:val="47"/>
              <w:rPr>
                <w:color w:val="auto"/>
              </w:rPr>
            </w:pPr>
            <w:r>
              <w:rPr>
                <w:rFonts w:hint="eastAsia"/>
                <w:color w:val="auto"/>
              </w:rPr>
              <w:t>1540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NE</w:t>
            </w:r>
          </w:p>
        </w:tc>
        <w:tc>
          <w:tcPr>
            <w:tcW w:w="537" w:type="pct"/>
            <w:vAlign w:val="center"/>
          </w:tcPr>
          <w:p>
            <w:pPr>
              <w:pStyle w:val="47"/>
              <w:rPr>
                <w:color w:val="auto"/>
              </w:rPr>
            </w:pPr>
            <w:r>
              <w:rPr>
                <w:rFonts w:hint="eastAsia"/>
                <w:color w:val="auto"/>
              </w:rPr>
              <w:t>1180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14</w:t>
            </w:r>
          </w:p>
        </w:tc>
        <w:tc>
          <w:tcPr>
            <w:tcW w:w="1144" w:type="pct"/>
            <w:vAlign w:val="center"/>
          </w:tcPr>
          <w:p>
            <w:pPr>
              <w:pStyle w:val="47"/>
              <w:rPr>
                <w:color w:val="auto"/>
              </w:rPr>
            </w:pPr>
            <w:r>
              <w:rPr>
                <w:rFonts w:hint="eastAsia"/>
                <w:color w:val="auto"/>
                <w:szCs w:val="24"/>
              </w:rPr>
              <w:t>恒大正承世家</w:t>
            </w:r>
          </w:p>
        </w:tc>
        <w:tc>
          <w:tcPr>
            <w:tcW w:w="464" w:type="pct"/>
            <w:vAlign w:val="center"/>
          </w:tcPr>
          <w:p>
            <w:pPr>
              <w:pStyle w:val="47"/>
              <w:rPr>
                <w:color w:val="auto"/>
              </w:rPr>
            </w:pPr>
            <w:r>
              <w:rPr>
                <w:color w:val="auto"/>
              </w:rPr>
              <w:t>村庄</w:t>
            </w:r>
          </w:p>
        </w:tc>
        <w:tc>
          <w:tcPr>
            <w:tcW w:w="552" w:type="pct"/>
            <w:vAlign w:val="center"/>
          </w:tcPr>
          <w:p>
            <w:pPr>
              <w:pStyle w:val="47"/>
              <w:rPr>
                <w:color w:val="auto"/>
              </w:rPr>
            </w:pPr>
            <w:r>
              <w:rPr>
                <w:rFonts w:hint="eastAsia"/>
                <w:color w:val="auto"/>
              </w:rPr>
              <w:t>1350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NE</w:t>
            </w:r>
          </w:p>
        </w:tc>
        <w:tc>
          <w:tcPr>
            <w:tcW w:w="537" w:type="pct"/>
            <w:vAlign w:val="center"/>
          </w:tcPr>
          <w:p>
            <w:pPr>
              <w:pStyle w:val="47"/>
              <w:rPr>
                <w:color w:val="auto"/>
              </w:rPr>
            </w:pPr>
            <w:r>
              <w:rPr>
                <w:rFonts w:hint="eastAsia"/>
                <w:color w:val="auto"/>
              </w:rPr>
              <w:t>1580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15</w:t>
            </w:r>
          </w:p>
        </w:tc>
        <w:tc>
          <w:tcPr>
            <w:tcW w:w="1144" w:type="pct"/>
            <w:vAlign w:val="center"/>
          </w:tcPr>
          <w:p>
            <w:pPr>
              <w:pStyle w:val="47"/>
              <w:rPr>
                <w:color w:val="auto"/>
              </w:rPr>
            </w:pPr>
            <w:r>
              <w:rPr>
                <w:rFonts w:hint="eastAsia"/>
                <w:color w:val="auto"/>
                <w:szCs w:val="24"/>
              </w:rPr>
              <w:t>国信国际公馆</w:t>
            </w:r>
          </w:p>
        </w:tc>
        <w:tc>
          <w:tcPr>
            <w:tcW w:w="464" w:type="pct"/>
            <w:vAlign w:val="center"/>
          </w:tcPr>
          <w:p>
            <w:pPr>
              <w:pStyle w:val="47"/>
              <w:rPr>
                <w:color w:val="auto"/>
              </w:rPr>
            </w:pPr>
            <w:r>
              <w:rPr>
                <w:color w:val="auto"/>
              </w:rPr>
              <w:t>村庄</w:t>
            </w:r>
          </w:p>
        </w:tc>
        <w:tc>
          <w:tcPr>
            <w:tcW w:w="552" w:type="pct"/>
            <w:vAlign w:val="center"/>
          </w:tcPr>
          <w:p>
            <w:pPr>
              <w:pStyle w:val="47"/>
              <w:rPr>
                <w:color w:val="auto"/>
              </w:rPr>
            </w:pPr>
            <w:r>
              <w:rPr>
                <w:rFonts w:hint="eastAsia"/>
                <w:color w:val="auto"/>
              </w:rPr>
              <w:t>650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NE</w:t>
            </w:r>
          </w:p>
        </w:tc>
        <w:tc>
          <w:tcPr>
            <w:tcW w:w="537" w:type="pct"/>
            <w:vAlign w:val="center"/>
          </w:tcPr>
          <w:p>
            <w:pPr>
              <w:pStyle w:val="47"/>
              <w:rPr>
                <w:color w:val="auto"/>
              </w:rPr>
            </w:pPr>
            <w:r>
              <w:rPr>
                <w:rFonts w:hint="eastAsia"/>
                <w:color w:val="auto"/>
              </w:rPr>
              <w:t>1310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16</w:t>
            </w:r>
          </w:p>
        </w:tc>
        <w:tc>
          <w:tcPr>
            <w:tcW w:w="1144" w:type="pct"/>
            <w:vAlign w:val="center"/>
          </w:tcPr>
          <w:p>
            <w:pPr>
              <w:pStyle w:val="47"/>
              <w:rPr>
                <w:color w:val="auto"/>
              </w:rPr>
            </w:pPr>
            <w:r>
              <w:rPr>
                <w:rFonts w:hint="eastAsia"/>
                <w:color w:val="auto"/>
                <w:szCs w:val="24"/>
              </w:rPr>
              <w:t>王埠村</w:t>
            </w:r>
          </w:p>
        </w:tc>
        <w:tc>
          <w:tcPr>
            <w:tcW w:w="464" w:type="pct"/>
            <w:vAlign w:val="center"/>
          </w:tcPr>
          <w:p>
            <w:pPr>
              <w:pStyle w:val="47"/>
              <w:rPr>
                <w:color w:val="auto"/>
              </w:rPr>
            </w:pPr>
            <w:r>
              <w:rPr>
                <w:color w:val="auto"/>
              </w:rPr>
              <w:t>村庄</w:t>
            </w:r>
          </w:p>
        </w:tc>
        <w:tc>
          <w:tcPr>
            <w:tcW w:w="552" w:type="pct"/>
            <w:vAlign w:val="center"/>
          </w:tcPr>
          <w:p>
            <w:pPr>
              <w:pStyle w:val="47"/>
              <w:rPr>
                <w:color w:val="auto"/>
              </w:rPr>
            </w:pPr>
            <w:r>
              <w:rPr>
                <w:rFonts w:hint="eastAsia"/>
                <w:color w:val="auto"/>
              </w:rPr>
              <w:t>105</w:t>
            </w:r>
          </w:p>
        </w:tc>
        <w:tc>
          <w:tcPr>
            <w:tcW w:w="1049" w:type="pct"/>
            <w:vMerge w:val="continue"/>
            <w:vAlign w:val="center"/>
          </w:tcPr>
          <w:p>
            <w:pPr>
              <w:pStyle w:val="47"/>
              <w:rPr>
                <w:color w:val="auto"/>
              </w:rPr>
            </w:pPr>
          </w:p>
        </w:tc>
        <w:tc>
          <w:tcPr>
            <w:tcW w:w="417" w:type="pct"/>
            <w:vAlign w:val="center"/>
          </w:tcPr>
          <w:p>
            <w:pPr>
              <w:pStyle w:val="47"/>
              <w:rPr>
                <w:color w:val="auto"/>
              </w:rPr>
            </w:pPr>
            <w:r>
              <w:rPr>
                <w:rFonts w:hint="eastAsia"/>
                <w:color w:val="auto"/>
              </w:rPr>
              <w:t>N</w:t>
            </w:r>
            <w:r>
              <w:rPr>
                <w:color w:val="auto"/>
              </w:rPr>
              <w:t>E</w:t>
            </w:r>
          </w:p>
        </w:tc>
        <w:tc>
          <w:tcPr>
            <w:tcW w:w="537" w:type="pct"/>
            <w:vAlign w:val="center"/>
          </w:tcPr>
          <w:p>
            <w:pPr>
              <w:pStyle w:val="47"/>
              <w:rPr>
                <w:color w:val="auto"/>
              </w:rPr>
            </w:pPr>
            <w:r>
              <w:rPr>
                <w:rFonts w:hint="eastAsia"/>
                <w:color w:val="auto"/>
              </w:rPr>
              <w:t>2100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17</w:t>
            </w:r>
          </w:p>
        </w:tc>
        <w:tc>
          <w:tcPr>
            <w:tcW w:w="1144" w:type="pct"/>
            <w:vAlign w:val="center"/>
          </w:tcPr>
          <w:p>
            <w:pPr>
              <w:pStyle w:val="47"/>
              <w:rPr>
                <w:color w:val="auto"/>
              </w:rPr>
            </w:pPr>
            <w:r>
              <w:rPr>
                <w:rFonts w:hint="eastAsia"/>
                <w:color w:val="auto"/>
                <w:szCs w:val="24"/>
              </w:rPr>
              <w:t>安居花园</w:t>
            </w:r>
          </w:p>
        </w:tc>
        <w:tc>
          <w:tcPr>
            <w:tcW w:w="464" w:type="pct"/>
            <w:vAlign w:val="center"/>
          </w:tcPr>
          <w:p>
            <w:pPr>
              <w:pStyle w:val="47"/>
              <w:rPr>
                <w:color w:val="auto"/>
              </w:rPr>
            </w:pPr>
            <w:r>
              <w:rPr>
                <w:color w:val="auto"/>
              </w:rPr>
              <w:t>村庄</w:t>
            </w:r>
          </w:p>
        </w:tc>
        <w:tc>
          <w:tcPr>
            <w:tcW w:w="552" w:type="pct"/>
            <w:vAlign w:val="center"/>
          </w:tcPr>
          <w:p>
            <w:pPr>
              <w:pStyle w:val="47"/>
              <w:rPr>
                <w:color w:val="auto"/>
              </w:rPr>
            </w:pPr>
            <w:r>
              <w:rPr>
                <w:rFonts w:hint="eastAsia"/>
                <w:color w:val="auto"/>
              </w:rPr>
              <w:t>350</w:t>
            </w:r>
          </w:p>
        </w:tc>
        <w:tc>
          <w:tcPr>
            <w:tcW w:w="1049" w:type="pct"/>
            <w:vMerge w:val="continue"/>
            <w:vAlign w:val="center"/>
          </w:tcPr>
          <w:p>
            <w:pPr>
              <w:pStyle w:val="47"/>
              <w:rPr>
                <w:color w:val="auto"/>
              </w:rPr>
            </w:pPr>
          </w:p>
        </w:tc>
        <w:tc>
          <w:tcPr>
            <w:tcW w:w="417" w:type="pct"/>
            <w:vAlign w:val="center"/>
          </w:tcPr>
          <w:p>
            <w:pPr>
              <w:pStyle w:val="47"/>
              <w:rPr>
                <w:color w:val="auto"/>
              </w:rPr>
            </w:pPr>
            <w:r>
              <w:rPr>
                <w:rFonts w:hint="eastAsia"/>
                <w:color w:val="auto"/>
              </w:rPr>
              <w:t>N</w:t>
            </w:r>
            <w:r>
              <w:rPr>
                <w:color w:val="auto"/>
              </w:rPr>
              <w:t>E</w:t>
            </w:r>
          </w:p>
        </w:tc>
        <w:tc>
          <w:tcPr>
            <w:tcW w:w="537" w:type="pct"/>
            <w:vAlign w:val="center"/>
          </w:tcPr>
          <w:p>
            <w:pPr>
              <w:pStyle w:val="47"/>
              <w:rPr>
                <w:color w:val="auto"/>
              </w:rPr>
            </w:pPr>
            <w:r>
              <w:rPr>
                <w:rFonts w:hint="eastAsia"/>
                <w:color w:val="auto"/>
              </w:rPr>
              <w:t>2080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18</w:t>
            </w:r>
          </w:p>
        </w:tc>
        <w:tc>
          <w:tcPr>
            <w:tcW w:w="1144" w:type="pct"/>
            <w:vAlign w:val="center"/>
          </w:tcPr>
          <w:p>
            <w:pPr>
              <w:pStyle w:val="47"/>
              <w:rPr>
                <w:color w:val="auto"/>
              </w:rPr>
            </w:pPr>
            <w:r>
              <w:rPr>
                <w:rFonts w:hint="eastAsia"/>
                <w:color w:val="auto"/>
              </w:rPr>
              <w:t>石榴苑</w:t>
            </w:r>
          </w:p>
        </w:tc>
        <w:tc>
          <w:tcPr>
            <w:tcW w:w="464" w:type="pct"/>
            <w:vAlign w:val="center"/>
          </w:tcPr>
          <w:p>
            <w:pPr>
              <w:pStyle w:val="47"/>
              <w:rPr>
                <w:color w:val="auto"/>
              </w:rPr>
            </w:pPr>
            <w:r>
              <w:rPr>
                <w:rFonts w:hint="eastAsia"/>
                <w:color w:val="auto"/>
              </w:rPr>
              <w:t>村庄</w:t>
            </w:r>
          </w:p>
        </w:tc>
        <w:tc>
          <w:tcPr>
            <w:tcW w:w="552" w:type="pct"/>
            <w:vAlign w:val="center"/>
          </w:tcPr>
          <w:p>
            <w:pPr>
              <w:pStyle w:val="47"/>
              <w:rPr>
                <w:color w:val="auto"/>
              </w:rPr>
            </w:pPr>
            <w:r>
              <w:rPr>
                <w:rFonts w:hint="eastAsia"/>
                <w:color w:val="auto"/>
              </w:rPr>
              <w:t>260</w:t>
            </w:r>
          </w:p>
        </w:tc>
        <w:tc>
          <w:tcPr>
            <w:tcW w:w="1049" w:type="pct"/>
            <w:vMerge w:val="continue"/>
            <w:vAlign w:val="center"/>
          </w:tcPr>
          <w:p>
            <w:pPr>
              <w:pStyle w:val="47"/>
              <w:rPr>
                <w:color w:val="auto"/>
              </w:rPr>
            </w:pPr>
          </w:p>
        </w:tc>
        <w:tc>
          <w:tcPr>
            <w:tcW w:w="417" w:type="pct"/>
            <w:vAlign w:val="center"/>
          </w:tcPr>
          <w:p>
            <w:pPr>
              <w:pStyle w:val="47"/>
              <w:rPr>
                <w:color w:val="auto"/>
              </w:rPr>
            </w:pPr>
            <w:r>
              <w:rPr>
                <w:rFonts w:hint="eastAsia"/>
                <w:color w:val="auto"/>
              </w:rPr>
              <w:t>N</w:t>
            </w:r>
            <w:r>
              <w:rPr>
                <w:color w:val="auto"/>
              </w:rPr>
              <w:t>E</w:t>
            </w:r>
          </w:p>
        </w:tc>
        <w:tc>
          <w:tcPr>
            <w:tcW w:w="537" w:type="pct"/>
            <w:vAlign w:val="center"/>
          </w:tcPr>
          <w:p>
            <w:pPr>
              <w:pStyle w:val="47"/>
              <w:rPr>
                <w:color w:val="auto"/>
              </w:rPr>
            </w:pPr>
            <w:r>
              <w:rPr>
                <w:rFonts w:hint="eastAsia"/>
                <w:color w:val="auto"/>
              </w:rPr>
              <w:t>2200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19</w:t>
            </w:r>
          </w:p>
        </w:tc>
        <w:tc>
          <w:tcPr>
            <w:tcW w:w="1144" w:type="pct"/>
            <w:vAlign w:val="center"/>
          </w:tcPr>
          <w:p>
            <w:pPr>
              <w:pStyle w:val="47"/>
              <w:rPr>
                <w:color w:val="auto"/>
              </w:rPr>
            </w:pPr>
            <w:r>
              <w:rPr>
                <w:rFonts w:hint="eastAsia"/>
                <w:color w:val="auto"/>
                <w:szCs w:val="24"/>
              </w:rPr>
              <w:t>淄博高新区第三小学</w:t>
            </w:r>
          </w:p>
        </w:tc>
        <w:tc>
          <w:tcPr>
            <w:tcW w:w="464" w:type="pct"/>
            <w:vAlign w:val="center"/>
          </w:tcPr>
          <w:p>
            <w:pPr>
              <w:pStyle w:val="47"/>
              <w:rPr>
                <w:color w:val="auto"/>
              </w:rPr>
            </w:pPr>
            <w:r>
              <w:rPr>
                <w:rFonts w:hint="eastAsia"/>
                <w:color w:val="auto"/>
              </w:rPr>
              <w:t>学校</w:t>
            </w:r>
          </w:p>
        </w:tc>
        <w:tc>
          <w:tcPr>
            <w:tcW w:w="552" w:type="pct"/>
            <w:vAlign w:val="center"/>
          </w:tcPr>
          <w:p>
            <w:pPr>
              <w:pStyle w:val="47"/>
              <w:rPr>
                <w:color w:val="auto"/>
              </w:rPr>
            </w:pPr>
            <w:r>
              <w:rPr>
                <w:rFonts w:hint="eastAsia"/>
                <w:color w:val="auto"/>
              </w:rPr>
              <w:t>420</w:t>
            </w:r>
          </w:p>
        </w:tc>
        <w:tc>
          <w:tcPr>
            <w:tcW w:w="1049" w:type="pct"/>
            <w:vMerge w:val="continue"/>
            <w:vAlign w:val="center"/>
          </w:tcPr>
          <w:p>
            <w:pPr>
              <w:pStyle w:val="47"/>
              <w:rPr>
                <w:color w:val="auto"/>
              </w:rPr>
            </w:pPr>
          </w:p>
        </w:tc>
        <w:tc>
          <w:tcPr>
            <w:tcW w:w="417" w:type="pct"/>
            <w:vAlign w:val="center"/>
          </w:tcPr>
          <w:p>
            <w:pPr>
              <w:pStyle w:val="47"/>
              <w:rPr>
                <w:color w:val="auto"/>
              </w:rPr>
            </w:pPr>
            <w:r>
              <w:rPr>
                <w:rFonts w:hint="eastAsia"/>
                <w:color w:val="auto"/>
              </w:rPr>
              <w:t>N</w:t>
            </w:r>
            <w:r>
              <w:rPr>
                <w:color w:val="auto"/>
              </w:rPr>
              <w:t>E</w:t>
            </w:r>
          </w:p>
        </w:tc>
        <w:tc>
          <w:tcPr>
            <w:tcW w:w="537" w:type="pct"/>
            <w:vAlign w:val="center"/>
          </w:tcPr>
          <w:p>
            <w:pPr>
              <w:pStyle w:val="47"/>
              <w:rPr>
                <w:color w:val="auto"/>
              </w:rPr>
            </w:pPr>
            <w:r>
              <w:rPr>
                <w:rFonts w:hint="eastAsia"/>
                <w:color w:val="auto"/>
              </w:rPr>
              <w:t>2160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20</w:t>
            </w:r>
          </w:p>
        </w:tc>
        <w:tc>
          <w:tcPr>
            <w:tcW w:w="1144" w:type="pct"/>
            <w:vAlign w:val="center"/>
          </w:tcPr>
          <w:p>
            <w:pPr>
              <w:pStyle w:val="47"/>
              <w:rPr>
                <w:color w:val="auto"/>
              </w:rPr>
            </w:pPr>
            <w:r>
              <w:rPr>
                <w:rFonts w:hint="eastAsia"/>
                <w:color w:val="auto"/>
                <w:szCs w:val="24"/>
              </w:rPr>
              <w:t>祥和苑</w:t>
            </w:r>
          </w:p>
        </w:tc>
        <w:tc>
          <w:tcPr>
            <w:tcW w:w="464" w:type="pct"/>
            <w:vAlign w:val="center"/>
          </w:tcPr>
          <w:p>
            <w:pPr>
              <w:pStyle w:val="47"/>
              <w:rPr>
                <w:color w:val="auto"/>
              </w:rPr>
            </w:pPr>
            <w:r>
              <w:rPr>
                <w:color w:val="auto"/>
              </w:rPr>
              <w:t>村庄</w:t>
            </w:r>
          </w:p>
        </w:tc>
        <w:tc>
          <w:tcPr>
            <w:tcW w:w="552" w:type="pct"/>
            <w:vAlign w:val="center"/>
          </w:tcPr>
          <w:p>
            <w:pPr>
              <w:pStyle w:val="47"/>
              <w:rPr>
                <w:color w:val="auto"/>
              </w:rPr>
            </w:pPr>
            <w:r>
              <w:rPr>
                <w:rFonts w:hint="eastAsia"/>
                <w:color w:val="auto"/>
              </w:rPr>
              <w:t>950</w:t>
            </w:r>
          </w:p>
        </w:tc>
        <w:tc>
          <w:tcPr>
            <w:tcW w:w="1049" w:type="pct"/>
            <w:vMerge w:val="continue"/>
            <w:vAlign w:val="center"/>
          </w:tcPr>
          <w:p>
            <w:pPr>
              <w:pStyle w:val="47"/>
              <w:rPr>
                <w:color w:val="auto"/>
              </w:rPr>
            </w:pPr>
          </w:p>
        </w:tc>
        <w:tc>
          <w:tcPr>
            <w:tcW w:w="417" w:type="pct"/>
            <w:vAlign w:val="center"/>
          </w:tcPr>
          <w:p>
            <w:pPr>
              <w:pStyle w:val="47"/>
              <w:rPr>
                <w:color w:val="auto"/>
              </w:rPr>
            </w:pPr>
            <w:r>
              <w:rPr>
                <w:rFonts w:hint="eastAsia"/>
                <w:color w:val="auto"/>
              </w:rPr>
              <w:t>N</w:t>
            </w:r>
            <w:r>
              <w:rPr>
                <w:color w:val="auto"/>
              </w:rPr>
              <w:t>E</w:t>
            </w:r>
          </w:p>
        </w:tc>
        <w:tc>
          <w:tcPr>
            <w:tcW w:w="537" w:type="pct"/>
            <w:vAlign w:val="center"/>
          </w:tcPr>
          <w:p>
            <w:pPr>
              <w:pStyle w:val="47"/>
              <w:rPr>
                <w:color w:val="auto"/>
              </w:rPr>
            </w:pPr>
            <w:r>
              <w:rPr>
                <w:rFonts w:hint="eastAsia"/>
                <w:color w:val="auto"/>
              </w:rPr>
              <w:t>2255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21</w:t>
            </w:r>
          </w:p>
        </w:tc>
        <w:tc>
          <w:tcPr>
            <w:tcW w:w="1144" w:type="pct"/>
            <w:vAlign w:val="center"/>
          </w:tcPr>
          <w:p>
            <w:pPr>
              <w:pStyle w:val="47"/>
              <w:rPr>
                <w:color w:val="auto"/>
              </w:rPr>
            </w:pPr>
            <w:r>
              <w:rPr>
                <w:rFonts w:hint="eastAsia"/>
                <w:color w:val="auto"/>
                <w:szCs w:val="24"/>
              </w:rPr>
              <w:t>马店村</w:t>
            </w:r>
          </w:p>
        </w:tc>
        <w:tc>
          <w:tcPr>
            <w:tcW w:w="464" w:type="pct"/>
            <w:vAlign w:val="center"/>
          </w:tcPr>
          <w:p>
            <w:pPr>
              <w:pStyle w:val="47"/>
              <w:rPr>
                <w:color w:val="auto"/>
              </w:rPr>
            </w:pPr>
            <w:r>
              <w:rPr>
                <w:color w:val="auto"/>
              </w:rPr>
              <w:t>村庄</w:t>
            </w:r>
          </w:p>
        </w:tc>
        <w:tc>
          <w:tcPr>
            <w:tcW w:w="552" w:type="pct"/>
            <w:vAlign w:val="center"/>
          </w:tcPr>
          <w:p>
            <w:pPr>
              <w:pStyle w:val="47"/>
              <w:rPr>
                <w:color w:val="auto"/>
              </w:rPr>
            </w:pPr>
            <w:r>
              <w:rPr>
                <w:color w:val="auto"/>
              </w:rPr>
              <w:t>1622</w:t>
            </w:r>
          </w:p>
        </w:tc>
        <w:tc>
          <w:tcPr>
            <w:tcW w:w="1049" w:type="pct"/>
            <w:vMerge w:val="continue"/>
            <w:vAlign w:val="center"/>
          </w:tcPr>
          <w:p>
            <w:pPr>
              <w:pStyle w:val="47"/>
              <w:rPr>
                <w:color w:val="auto"/>
              </w:rPr>
            </w:pPr>
          </w:p>
        </w:tc>
        <w:tc>
          <w:tcPr>
            <w:tcW w:w="417" w:type="pct"/>
            <w:vAlign w:val="center"/>
          </w:tcPr>
          <w:p>
            <w:pPr>
              <w:pStyle w:val="47"/>
              <w:rPr>
                <w:color w:val="auto"/>
              </w:rPr>
            </w:pPr>
            <w:r>
              <w:rPr>
                <w:rFonts w:hint="eastAsia"/>
                <w:color w:val="auto"/>
              </w:rPr>
              <w:t>N</w:t>
            </w:r>
            <w:r>
              <w:rPr>
                <w:color w:val="auto"/>
              </w:rPr>
              <w:t>E</w:t>
            </w:r>
          </w:p>
        </w:tc>
        <w:tc>
          <w:tcPr>
            <w:tcW w:w="537" w:type="pct"/>
            <w:vAlign w:val="center"/>
          </w:tcPr>
          <w:p>
            <w:pPr>
              <w:pStyle w:val="47"/>
              <w:rPr>
                <w:color w:val="auto"/>
              </w:rPr>
            </w:pPr>
            <w:r>
              <w:rPr>
                <w:rFonts w:hint="eastAsia"/>
                <w:color w:val="auto"/>
              </w:rPr>
              <w:t>2880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22</w:t>
            </w:r>
          </w:p>
        </w:tc>
        <w:tc>
          <w:tcPr>
            <w:tcW w:w="1144" w:type="pct"/>
            <w:vAlign w:val="center"/>
          </w:tcPr>
          <w:p>
            <w:pPr>
              <w:pStyle w:val="47"/>
              <w:rPr>
                <w:color w:val="auto"/>
              </w:rPr>
            </w:pPr>
            <w:r>
              <w:rPr>
                <w:rFonts w:hint="eastAsia"/>
                <w:color w:val="auto"/>
                <w:szCs w:val="24"/>
              </w:rPr>
              <w:t>北石桥</w:t>
            </w:r>
          </w:p>
        </w:tc>
        <w:tc>
          <w:tcPr>
            <w:tcW w:w="464" w:type="pct"/>
            <w:vAlign w:val="center"/>
          </w:tcPr>
          <w:p>
            <w:pPr>
              <w:pStyle w:val="47"/>
              <w:rPr>
                <w:color w:val="auto"/>
              </w:rPr>
            </w:pPr>
            <w:r>
              <w:rPr>
                <w:color w:val="auto"/>
              </w:rPr>
              <w:t>村庄</w:t>
            </w:r>
          </w:p>
        </w:tc>
        <w:tc>
          <w:tcPr>
            <w:tcW w:w="552" w:type="pct"/>
            <w:vAlign w:val="center"/>
          </w:tcPr>
          <w:p>
            <w:pPr>
              <w:pStyle w:val="47"/>
              <w:rPr>
                <w:color w:val="auto"/>
              </w:rPr>
            </w:pPr>
            <w:r>
              <w:rPr>
                <w:color w:val="auto"/>
              </w:rPr>
              <w:t>180</w:t>
            </w:r>
          </w:p>
        </w:tc>
        <w:tc>
          <w:tcPr>
            <w:tcW w:w="1049" w:type="pct"/>
            <w:vMerge w:val="continue"/>
            <w:vAlign w:val="center"/>
          </w:tcPr>
          <w:p>
            <w:pPr>
              <w:pStyle w:val="47"/>
              <w:rPr>
                <w:color w:val="auto"/>
              </w:rPr>
            </w:pPr>
          </w:p>
        </w:tc>
        <w:tc>
          <w:tcPr>
            <w:tcW w:w="417" w:type="pct"/>
            <w:vAlign w:val="center"/>
          </w:tcPr>
          <w:p>
            <w:pPr>
              <w:pStyle w:val="47"/>
              <w:rPr>
                <w:color w:val="auto"/>
              </w:rPr>
            </w:pPr>
            <w:r>
              <w:rPr>
                <w:rFonts w:hint="eastAsia"/>
                <w:color w:val="auto"/>
              </w:rPr>
              <w:t>N</w:t>
            </w:r>
            <w:r>
              <w:rPr>
                <w:color w:val="auto"/>
              </w:rPr>
              <w:t>E</w:t>
            </w:r>
          </w:p>
        </w:tc>
        <w:tc>
          <w:tcPr>
            <w:tcW w:w="537" w:type="pct"/>
            <w:vAlign w:val="center"/>
          </w:tcPr>
          <w:p>
            <w:pPr>
              <w:pStyle w:val="47"/>
              <w:rPr>
                <w:color w:val="auto"/>
              </w:rPr>
            </w:pPr>
            <w:r>
              <w:rPr>
                <w:rFonts w:hint="eastAsia"/>
                <w:color w:val="auto"/>
              </w:rPr>
              <w:t>2900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23</w:t>
            </w:r>
          </w:p>
        </w:tc>
        <w:tc>
          <w:tcPr>
            <w:tcW w:w="1144" w:type="pct"/>
            <w:vAlign w:val="center"/>
          </w:tcPr>
          <w:p>
            <w:pPr>
              <w:pStyle w:val="47"/>
              <w:rPr>
                <w:color w:val="auto"/>
              </w:rPr>
            </w:pPr>
            <w:r>
              <w:rPr>
                <w:rFonts w:hint="eastAsia"/>
                <w:color w:val="auto"/>
                <w:szCs w:val="24"/>
              </w:rPr>
              <w:t>淄博高新区第四小学</w:t>
            </w:r>
          </w:p>
        </w:tc>
        <w:tc>
          <w:tcPr>
            <w:tcW w:w="464" w:type="pct"/>
            <w:vAlign w:val="center"/>
          </w:tcPr>
          <w:p>
            <w:pPr>
              <w:pStyle w:val="47"/>
              <w:rPr>
                <w:color w:val="auto"/>
              </w:rPr>
            </w:pPr>
            <w:r>
              <w:rPr>
                <w:color w:val="auto"/>
              </w:rPr>
              <w:t>学校</w:t>
            </w:r>
          </w:p>
        </w:tc>
        <w:tc>
          <w:tcPr>
            <w:tcW w:w="552" w:type="pct"/>
            <w:vAlign w:val="center"/>
          </w:tcPr>
          <w:p>
            <w:pPr>
              <w:pStyle w:val="47"/>
              <w:rPr>
                <w:color w:val="auto"/>
              </w:rPr>
            </w:pPr>
            <w:r>
              <w:rPr>
                <w:rFonts w:hint="eastAsia"/>
                <w:color w:val="auto"/>
              </w:rPr>
              <w:t>240</w:t>
            </w:r>
          </w:p>
        </w:tc>
        <w:tc>
          <w:tcPr>
            <w:tcW w:w="1049" w:type="pct"/>
            <w:vMerge w:val="continue"/>
            <w:vAlign w:val="center"/>
          </w:tcPr>
          <w:p>
            <w:pPr>
              <w:pStyle w:val="47"/>
              <w:rPr>
                <w:color w:val="auto"/>
              </w:rPr>
            </w:pPr>
          </w:p>
        </w:tc>
        <w:tc>
          <w:tcPr>
            <w:tcW w:w="417" w:type="pct"/>
            <w:vAlign w:val="center"/>
          </w:tcPr>
          <w:p>
            <w:pPr>
              <w:pStyle w:val="47"/>
              <w:rPr>
                <w:color w:val="auto"/>
              </w:rPr>
            </w:pPr>
            <w:r>
              <w:rPr>
                <w:rFonts w:hint="eastAsia"/>
                <w:color w:val="auto"/>
              </w:rPr>
              <w:t>N</w:t>
            </w:r>
            <w:r>
              <w:rPr>
                <w:color w:val="auto"/>
              </w:rPr>
              <w:t>E</w:t>
            </w:r>
          </w:p>
        </w:tc>
        <w:tc>
          <w:tcPr>
            <w:tcW w:w="537" w:type="pct"/>
            <w:vAlign w:val="center"/>
          </w:tcPr>
          <w:p>
            <w:pPr>
              <w:pStyle w:val="47"/>
              <w:rPr>
                <w:color w:val="auto"/>
              </w:rPr>
            </w:pPr>
            <w:r>
              <w:rPr>
                <w:rFonts w:hint="eastAsia"/>
                <w:color w:val="auto"/>
              </w:rPr>
              <w:t>3000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24</w:t>
            </w:r>
          </w:p>
        </w:tc>
        <w:tc>
          <w:tcPr>
            <w:tcW w:w="1144" w:type="pct"/>
            <w:vAlign w:val="center"/>
          </w:tcPr>
          <w:p>
            <w:pPr>
              <w:pStyle w:val="47"/>
              <w:rPr>
                <w:color w:val="auto"/>
              </w:rPr>
            </w:pPr>
            <w:r>
              <w:rPr>
                <w:rFonts w:hint="eastAsia"/>
                <w:color w:val="auto"/>
                <w:szCs w:val="24"/>
              </w:rPr>
              <w:t>南石社区</w:t>
            </w:r>
          </w:p>
        </w:tc>
        <w:tc>
          <w:tcPr>
            <w:tcW w:w="464" w:type="pct"/>
            <w:vAlign w:val="center"/>
          </w:tcPr>
          <w:p>
            <w:pPr>
              <w:pStyle w:val="47"/>
              <w:rPr>
                <w:color w:val="auto"/>
              </w:rPr>
            </w:pPr>
            <w:r>
              <w:rPr>
                <w:color w:val="auto"/>
              </w:rPr>
              <w:t>村庄</w:t>
            </w:r>
          </w:p>
        </w:tc>
        <w:tc>
          <w:tcPr>
            <w:tcW w:w="552" w:type="pct"/>
            <w:vAlign w:val="center"/>
          </w:tcPr>
          <w:p>
            <w:pPr>
              <w:pStyle w:val="47"/>
              <w:rPr>
                <w:color w:val="auto"/>
              </w:rPr>
            </w:pPr>
            <w:r>
              <w:rPr>
                <w:rFonts w:hint="eastAsia"/>
                <w:color w:val="auto"/>
              </w:rPr>
              <w:t>1850</w:t>
            </w:r>
          </w:p>
        </w:tc>
        <w:tc>
          <w:tcPr>
            <w:tcW w:w="1049" w:type="pct"/>
            <w:vMerge w:val="continue"/>
            <w:vAlign w:val="center"/>
          </w:tcPr>
          <w:p>
            <w:pPr>
              <w:pStyle w:val="47"/>
              <w:rPr>
                <w:color w:val="auto"/>
              </w:rPr>
            </w:pPr>
          </w:p>
        </w:tc>
        <w:tc>
          <w:tcPr>
            <w:tcW w:w="417" w:type="pct"/>
            <w:vAlign w:val="center"/>
          </w:tcPr>
          <w:p>
            <w:pPr>
              <w:pStyle w:val="47"/>
              <w:rPr>
                <w:color w:val="auto"/>
              </w:rPr>
            </w:pPr>
            <w:r>
              <w:rPr>
                <w:rFonts w:hint="eastAsia"/>
                <w:color w:val="auto"/>
              </w:rPr>
              <w:t>N</w:t>
            </w:r>
            <w:r>
              <w:rPr>
                <w:color w:val="auto"/>
              </w:rPr>
              <w:t>E</w:t>
            </w:r>
          </w:p>
        </w:tc>
        <w:tc>
          <w:tcPr>
            <w:tcW w:w="537" w:type="pct"/>
            <w:vAlign w:val="center"/>
          </w:tcPr>
          <w:p>
            <w:pPr>
              <w:pStyle w:val="47"/>
              <w:rPr>
                <w:color w:val="auto"/>
              </w:rPr>
            </w:pPr>
            <w:r>
              <w:rPr>
                <w:rFonts w:hint="eastAsia"/>
                <w:color w:val="auto"/>
              </w:rPr>
              <w:t>1950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25</w:t>
            </w:r>
          </w:p>
        </w:tc>
        <w:tc>
          <w:tcPr>
            <w:tcW w:w="1144" w:type="pct"/>
            <w:vAlign w:val="center"/>
          </w:tcPr>
          <w:p>
            <w:pPr>
              <w:pStyle w:val="47"/>
              <w:rPr>
                <w:color w:val="auto"/>
              </w:rPr>
            </w:pPr>
            <w:r>
              <w:rPr>
                <w:rFonts w:hint="eastAsia"/>
                <w:color w:val="auto"/>
                <w:szCs w:val="24"/>
              </w:rPr>
              <w:t>金贝儿幼儿园</w:t>
            </w:r>
          </w:p>
        </w:tc>
        <w:tc>
          <w:tcPr>
            <w:tcW w:w="464" w:type="pct"/>
            <w:vAlign w:val="center"/>
          </w:tcPr>
          <w:p>
            <w:pPr>
              <w:pStyle w:val="47"/>
              <w:rPr>
                <w:color w:val="auto"/>
              </w:rPr>
            </w:pPr>
            <w:r>
              <w:rPr>
                <w:rFonts w:hint="eastAsia"/>
                <w:color w:val="auto"/>
              </w:rPr>
              <w:t>学校</w:t>
            </w:r>
          </w:p>
        </w:tc>
        <w:tc>
          <w:tcPr>
            <w:tcW w:w="552" w:type="pct"/>
            <w:vAlign w:val="center"/>
          </w:tcPr>
          <w:p>
            <w:pPr>
              <w:pStyle w:val="47"/>
              <w:rPr>
                <w:color w:val="auto"/>
              </w:rPr>
            </w:pPr>
            <w:r>
              <w:rPr>
                <w:rFonts w:hint="eastAsia"/>
                <w:color w:val="auto"/>
              </w:rPr>
              <w:t>58</w:t>
            </w:r>
          </w:p>
        </w:tc>
        <w:tc>
          <w:tcPr>
            <w:tcW w:w="1049" w:type="pct"/>
            <w:vMerge w:val="continue"/>
            <w:vAlign w:val="center"/>
          </w:tcPr>
          <w:p>
            <w:pPr>
              <w:pStyle w:val="47"/>
              <w:rPr>
                <w:color w:val="auto"/>
              </w:rPr>
            </w:pPr>
          </w:p>
        </w:tc>
        <w:tc>
          <w:tcPr>
            <w:tcW w:w="417" w:type="pct"/>
            <w:vAlign w:val="center"/>
          </w:tcPr>
          <w:p>
            <w:pPr>
              <w:pStyle w:val="47"/>
              <w:rPr>
                <w:color w:val="auto"/>
              </w:rPr>
            </w:pPr>
            <w:r>
              <w:rPr>
                <w:rFonts w:hint="eastAsia"/>
                <w:color w:val="auto"/>
              </w:rPr>
              <w:t>N</w:t>
            </w:r>
            <w:r>
              <w:rPr>
                <w:color w:val="auto"/>
              </w:rPr>
              <w:t>E</w:t>
            </w:r>
          </w:p>
        </w:tc>
        <w:tc>
          <w:tcPr>
            <w:tcW w:w="537" w:type="pct"/>
            <w:vAlign w:val="center"/>
          </w:tcPr>
          <w:p>
            <w:pPr>
              <w:pStyle w:val="47"/>
              <w:rPr>
                <w:color w:val="auto"/>
              </w:rPr>
            </w:pPr>
            <w:r>
              <w:rPr>
                <w:rFonts w:hint="eastAsia"/>
                <w:color w:val="auto"/>
              </w:rPr>
              <w:t>2100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26</w:t>
            </w:r>
          </w:p>
        </w:tc>
        <w:tc>
          <w:tcPr>
            <w:tcW w:w="1144" w:type="pct"/>
            <w:vAlign w:val="center"/>
          </w:tcPr>
          <w:p>
            <w:pPr>
              <w:pStyle w:val="47"/>
              <w:rPr>
                <w:color w:val="auto"/>
              </w:rPr>
            </w:pPr>
            <w:r>
              <w:rPr>
                <w:rFonts w:hint="eastAsia"/>
                <w:color w:val="auto"/>
                <w:szCs w:val="24"/>
              </w:rPr>
              <w:t>汇景苑</w:t>
            </w:r>
          </w:p>
        </w:tc>
        <w:tc>
          <w:tcPr>
            <w:tcW w:w="464" w:type="pct"/>
            <w:vAlign w:val="center"/>
          </w:tcPr>
          <w:p>
            <w:pPr>
              <w:pStyle w:val="47"/>
              <w:rPr>
                <w:color w:val="auto"/>
              </w:rPr>
            </w:pPr>
            <w:r>
              <w:rPr>
                <w:rFonts w:hint="eastAsia"/>
                <w:color w:val="auto"/>
              </w:rPr>
              <w:t>村庄</w:t>
            </w:r>
          </w:p>
        </w:tc>
        <w:tc>
          <w:tcPr>
            <w:tcW w:w="552" w:type="pct"/>
            <w:vAlign w:val="center"/>
          </w:tcPr>
          <w:p>
            <w:pPr>
              <w:pStyle w:val="47"/>
              <w:rPr>
                <w:color w:val="auto"/>
              </w:rPr>
            </w:pPr>
            <w:r>
              <w:rPr>
                <w:rFonts w:hint="eastAsia"/>
                <w:color w:val="auto"/>
              </w:rPr>
              <w:t>1560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E</w:t>
            </w:r>
          </w:p>
        </w:tc>
        <w:tc>
          <w:tcPr>
            <w:tcW w:w="537" w:type="pct"/>
            <w:vAlign w:val="center"/>
          </w:tcPr>
          <w:p>
            <w:pPr>
              <w:pStyle w:val="47"/>
              <w:rPr>
                <w:color w:val="auto"/>
              </w:rPr>
            </w:pPr>
            <w:r>
              <w:rPr>
                <w:rFonts w:hint="eastAsia"/>
                <w:color w:val="auto"/>
              </w:rPr>
              <w:t>2260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27</w:t>
            </w:r>
          </w:p>
        </w:tc>
        <w:tc>
          <w:tcPr>
            <w:tcW w:w="1144" w:type="pct"/>
            <w:vAlign w:val="center"/>
          </w:tcPr>
          <w:p>
            <w:pPr>
              <w:pStyle w:val="47"/>
              <w:rPr>
                <w:color w:val="auto"/>
              </w:rPr>
            </w:pPr>
            <w:r>
              <w:rPr>
                <w:rFonts w:hint="eastAsia"/>
                <w:color w:val="auto"/>
                <w:szCs w:val="24"/>
              </w:rPr>
              <w:t>董家村</w:t>
            </w:r>
          </w:p>
        </w:tc>
        <w:tc>
          <w:tcPr>
            <w:tcW w:w="464" w:type="pct"/>
            <w:vAlign w:val="center"/>
          </w:tcPr>
          <w:p>
            <w:pPr>
              <w:pStyle w:val="47"/>
              <w:rPr>
                <w:color w:val="auto"/>
              </w:rPr>
            </w:pPr>
            <w:r>
              <w:rPr>
                <w:rFonts w:hint="eastAsia"/>
                <w:color w:val="auto"/>
              </w:rPr>
              <w:t>村庄</w:t>
            </w:r>
          </w:p>
        </w:tc>
        <w:tc>
          <w:tcPr>
            <w:tcW w:w="552" w:type="pct"/>
            <w:vAlign w:val="center"/>
          </w:tcPr>
          <w:p>
            <w:pPr>
              <w:pStyle w:val="47"/>
              <w:rPr>
                <w:color w:val="auto"/>
              </w:rPr>
            </w:pPr>
            <w:r>
              <w:rPr>
                <w:rFonts w:hint="eastAsia"/>
                <w:color w:val="auto"/>
              </w:rPr>
              <w:t>600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w:t>
            </w:r>
            <w:r>
              <w:rPr>
                <w:rFonts w:hint="eastAsia"/>
                <w:color w:val="auto"/>
              </w:rPr>
              <w:t>W</w:t>
            </w:r>
          </w:p>
        </w:tc>
        <w:tc>
          <w:tcPr>
            <w:tcW w:w="537" w:type="pct"/>
            <w:vAlign w:val="center"/>
          </w:tcPr>
          <w:p>
            <w:pPr>
              <w:pStyle w:val="47"/>
              <w:rPr>
                <w:color w:val="auto"/>
              </w:rPr>
            </w:pPr>
            <w:r>
              <w:rPr>
                <w:rFonts w:hint="eastAsia"/>
                <w:color w:val="auto"/>
              </w:rPr>
              <w:t>1170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28</w:t>
            </w:r>
          </w:p>
        </w:tc>
        <w:tc>
          <w:tcPr>
            <w:tcW w:w="1144" w:type="pct"/>
            <w:vAlign w:val="center"/>
          </w:tcPr>
          <w:p>
            <w:pPr>
              <w:pStyle w:val="47"/>
              <w:rPr>
                <w:color w:val="auto"/>
              </w:rPr>
            </w:pPr>
            <w:r>
              <w:rPr>
                <w:rFonts w:hint="eastAsia"/>
                <w:color w:val="auto"/>
                <w:szCs w:val="24"/>
              </w:rPr>
              <w:t>大张社区</w:t>
            </w:r>
          </w:p>
        </w:tc>
        <w:tc>
          <w:tcPr>
            <w:tcW w:w="464" w:type="pct"/>
            <w:vAlign w:val="center"/>
          </w:tcPr>
          <w:p>
            <w:pPr>
              <w:pStyle w:val="47"/>
              <w:rPr>
                <w:color w:val="auto"/>
              </w:rPr>
            </w:pPr>
            <w:r>
              <w:rPr>
                <w:color w:val="auto"/>
              </w:rPr>
              <w:t>村庄</w:t>
            </w:r>
          </w:p>
        </w:tc>
        <w:tc>
          <w:tcPr>
            <w:tcW w:w="552" w:type="pct"/>
            <w:vAlign w:val="center"/>
          </w:tcPr>
          <w:p>
            <w:pPr>
              <w:pStyle w:val="47"/>
              <w:rPr>
                <w:color w:val="auto"/>
              </w:rPr>
            </w:pPr>
            <w:r>
              <w:rPr>
                <w:rFonts w:hint="eastAsia"/>
                <w:color w:val="auto"/>
              </w:rPr>
              <w:t>530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7" w:type="pct"/>
            <w:vAlign w:val="center"/>
          </w:tcPr>
          <w:p>
            <w:pPr>
              <w:pStyle w:val="47"/>
              <w:rPr>
                <w:color w:val="auto"/>
              </w:rPr>
            </w:pPr>
            <w:r>
              <w:rPr>
                <w:rFonts w:hint="eastAsia"/>
                <w:color w:val="auto"/>
              </w:rPr>
              <w:t>1120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29</w:t>
            </w:r>
          </w:p>
        </w:tc>
        <w:tc>
          <w:tcPr>
            <w:tcW w:w="1144" w:type="pct"/>
            <w:vAlign w:val="center"/>
          </w:tcPr>
          <w:p>
            <w:pPr>
              <w:pStyle w:val="47"/>
              <w:rPr>
                <w:color w:val="auto"/>
              </w:rPr>
            </w:pPr>
            <w:r>
              <w:rPr>
                <w:rFonts w:hint="eastAsia"/>
                <w:color w:val="auto"/>
                <w:szCs w:val="24"/>
              </w:rPr>
              <w:t>高新区第一中学</w:t>
            </w:r>
          </w:p>
        </w:tc>
        <w:tc>
          <w:tcPr>
            <w:tcW w:w="464" w:type="pct"/>
            <w:vAlign w:val="center"/>
          </w:tcPr>
          <w:p>
            <w:pPr>
              <w:pStyle w:val="47"/>
              <w:rPr>
                <w:color w:val="auto"/>
              </w:rPr>
            </w:pPr>
            <w:r>
              <w:rPr>
                <w:rFonts w:hint="eastAsia"/>
                <w:color w:val="auto"/>
              </w:rPr>
              <w:t>学校</w:t>
            </w:r>
          </w:p>
        </w:tc>
        <w:tc>
          <w:tcPr>
            <w:tcW w:w="552" w:type="pct"/>
            <w:vAlign w:val="center"/>
          </w:tcPr>
          <w:p>
            <w:pPr>
              <w:pStyle w:val="47"/>
              <w:rPr>
                <w:color w:val="auto"/>
              </w:rPr>
            </w:pPr>
            <w:r>
              <w:rPr>
                <w:rFonts w:hint="eastAsia"/>
                <w:color w:val="auto"/>
              </w:rPr>
              <w:t>2140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7" w:type="pct"/>
            <w:vAlign w:val="center"/>
          </w:tcPr>
          <w:p>
            <w:pPr>
              <w:pStyle w:val="47"/>
              <w:rPr>
                <w:color w:val="auto"/>
              </w:rPr>
            </w:pPr>
            <w:r>
              <w:rPr>
                <w:rFonts w:hint="eastAsia"/>
                <w:color w:val="auto"/>
              </w:rPr>
              <w:t>2409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30</w:t>
            </w:r>
          </w:p>
        </w:tc>
        <w:tc>
          <w:tcPr>
            <w:tcW w:w="1144" w:type="pct"/>
            <w:vAlign w:val="center"/>
          </w:tcPr>
          <w:p>
            <w:pPr>
              <w:pStyle w:val="47"/>
              <w:rPr>
                <w:color w:val="auto"/>
              </w:rPr>
            </w:pPr>
            <w:r>
              <w:rPr>
                <w:rFonts w:hint="eastAsia"/>
                <w:color w:val="auto"/>
                <w:szCs w:val="24"/>
              </w:rPr>
              <w:t>金润香榭居</w:t>
            </w:r>
          </w:p>
        </w:tc>
        <w:tc>
          <w:tcPr>
            <w:tcW w:w="464" w:type="pct"/>
            <w:vAlign w:val="center"/>
          </w:tcPr>
          <w:p>
            <w:pPr>
              <w:pStyle w:val="47"/>
              <w:rPr>
                <w:color w:val="auto"/>
              </w:rPr>
            </w:pPr>
            <w:r>
              <w:rPr>
                <w:color w:val="auto"/>
              </w:rPr>
              <w:t>村庄</w:t>
            </w:r>
          </w:p>
        </w:tc>
        <w:tc>
          <w:tcPr>
            <w:tcW w:w="552" w:type="pct"/>
            <w:vAlign w:val="center"/>
          </w:tcPr>
          <w:p>
            <w:pPr>
              <w:pStyle w:val="47"/>
              <w:rPr>
                <w:color w:val="auto"/>
              </w:rPr>
            </w:pPr>
            <w:r>
              <w:rPr>
                <w:rFonts w:hint="eastAsia"/>
                <w:color w:val="auto"/>
              </w:rPr>
              <w:t>340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7" w:type="pct"/>
            <w:vAlign w:val="center"/>
          </w:tcPr>
          <w:p>
            <w:pPr>
              <w:pStyle w:val="47"/>
              <w:rPr>
                <w:color w:val="auto"/>
              </w:rPr>
            </w:pPr>
            <w:r>
              <w:rPr>
                <w:rFonts w:hint="eastAsia"/>
                <w:color w:val="auto"/>
              </w:rPr>
              <w:t>2161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31</w:t>
            </w:r>
          </w:p>
        </w:tc>
        <w:tc>
          <w:tcPr>
            <w:tcW w:w="1144" w:type="pct"/>
            <w:vAlign w:val="center"/>
          </w:tcPr>
          <w:p>
            <w:pPr>
              <w:pStyle w:val="47"/>
              <w:rPr>
                <w:color w:val="auto"/>
              </w:rPr>
            </w:pPr>
            <w:r>
              <w:rPr>
                <w:color w:val="auto"/>
                <w:szCs w:val="24"/>
              </w:rPr>
              <w:t xml:space="preserve"> </w:t>
            </w:r>
            <w:r>
              <w:rPr>
                <w:rFonts w:hint="eastAsia"/>
                <w:color w:val="auto"/>
                <w:szCs w:val="24"/>
              </w:rPr>
              <w:t>名尚国际</w:t>
            </w:r>
          </w:p>
        </w:tc>
        <w:tc>
          <w:tcPr>
            <w:tcW w:w="464" w:type="pct"/>
            <w:vAlign w:val="center"/>
          </w:tcPr>
          <w:p>
            <w:pPr>
              <w:pStyle w:val="47"/>
              <w:rPr>
                <w:color w:val="auto"/>
              </w:rPr>
            </w:pPr>
            <w:r>
              <w:rPr>
                <w:color w:val="auto"/>
              </w:rPr>
              <w:t>村庄</w:t>
            </w:r>
          </w:p>
        </w:tc>
        <w:tc>
          <w:tcPr>
            <w:tcW w:w="552" w:type="pct"/>
            <w:vAlign w:val="center"/>
          </w:tcPr>
          <w:p>
            <w:pPr>
              <w:pStyle w:val="47"/>
              <w:rPr>
                <w:color w:val="auto"/>
              </w:rPr>
            </w:pPr>
            <w:r>
              <w:rPr>
                <w:rFonts w:hint="eastAsia"/>
                <w:color w:val="auto"/>
              </w:rPr>
              <w:t>625</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7" w:type="pct"/>
            <w:vAlign w:val="center"/>
          </w:tcPr>
          <w:p>
            <w:pPr>
              <w:pStyle w:val="47"/>
              <w:rPr>
                <w:color w:val="auto"/>
              </w:rPr>
            </w:pPr>
            <w:r>
              <w:rPr>
                <w:rFonts w:hint="eastAsia"/>
                <w:color w:val="auto"/>
              </w:rPr>
              <w:t>2315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32</w:t>
            </w:r>
          </w:p>
        </w:tc>
        <w:tc>
          <w:tcPr>
            <w:tcW w:w="1144" w:type="pct"/>
            <w:vAlign w:val="center"/>
          </w:tcPr>
          <w:p>
            <w:pPr>
              <w:pStyle w:val="47"/>
              <w:rPr>
                <w:color w:val="auto"/>
              </w:rPr>
            </w:pPr>
            <w:r>
              <w:rPr>
                <w:rFonts w:hint="eastAsia"/>
                <w:color w:val="auto"/>
                <w:szCs w:val="24"/>
              </w:rPr>
              <w:t>阳光幼儿园</w:t>
            </w:r>
          </w:p>
        </w:tc>
        <w:tc>
          <w:tcPr>
            <w:tcW w:w="464" w:type="pct"/>
            <w:vAlign w:val="center"/>
          </w:tcPr>
          <w:p>
            <w:pPr>
              <w:pStyle w:val="47"/>
              <w:rPr>
                <w:color w:val="auto"/>
              </w:rPr>
            </w:pPr>
            <w:r>
              <w:rPr>
                <w:rFonts w:hint="eastAsia"/>
                <w:color w:val="auto"/>
              </w:rPr>
              <w:t>学校</w:t>
            </w:r>
          </w:p>
        </w:tc>
        <w:tc>
          <w:tcPr>
            <w:tcW w:w="552" w:type="pct"/>
            <w:vAlign w:val="center"/>
          </w:tcPr>
          <w:p>
            <w:pPr>
              <w:pStyle w:val="47"/>
              <w:rPr>
                <w:color w:val="auto"/>
              </w:rPr>
            </w:pPr>
            <w:r>
              <w:rPr>
                <w:rFonts w:hint="eastAsia"/>
                <w:color w:val="auto"/>
                <w:szCs w:val="24"/>
              </w:rPr>
              <w:t>60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7" w:type="pct"/>
            <w:vAlign w:val="center"/>
          </w:tcPr>
          <w:p>
            <w:pPr>
              <w:pStyle w:val="47"/>
              <w:rPr>
                <w:color w:val="auto"/>
              </w:rPr>
            </w:pPr>
            <w:r>
              <w:rPr>
                <w:rFonts w:hint="eastAsia"/>
                <w:color w:val="auto"/>
              </w:rPr>
              <w:t>2915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33</w:t>
            </w:r>
          </w:p>
        </w:tc>
        <w:tc>
          <w:tcPr>
            <w:tcW w:w="1144" w:type="pct"/>
            <w:vAlign w:val="center"/>
          </w:tcPr>
          <w:p>
            <w:pPr>
              <w:pStyle w:val="47"/>
              <w:rPr>
                <w:color w:val="auto"/>
              </w:rPr>
            </w:pPr>
            <w:r>
              <w:rPr>
                <w:rFonts w:hint="eastAsia"/>
                <w:color w:val="auto"/>
                <w:szCs w:val="24"/>
              </w:rPr>
              <w:t>小庄村</w:t>
            </w:r>
          </w:p>
        </w:tc>
        <w:tc>
          <w:tcPr>
            <w:tcW w:w="464" w:type="pct"/>
            <w:vAlign w:val="center"/>
          </w:tcPr>
          <w:p>
            <w:pPr>
              <w:pStyle w:val="47"/>
              <w:rPr>
                <w:color w:val="auto"/>
              </w:rPr>
            </w:pPr>
            <w:r>
              <w:rPr>
                <w:color w:val="auto"/>
              </w:rPr>
              <w:t>村庄</w:t>
            </w:r>
          </w:p>
        </w:tc>
        <w:tc>
          <w:tcPr>
            <w:tcW w:w="552" w:type="pct"/>
            <w:vAlign w:val="center"/>
          </w:tcPr>
          <w:p>
            <w:pPr>
              <w:pStyle w:val="47"/>
              <w:rPr>
                <w:color w:val="auto"/>
              </w:rPr>
            </w:pPr>
            <w:r>
              <w:rPr>
                <w:rFonts w:hint="eastAsia"/>
                <w:color w:val="auto"/>
              </w:rPr>
              <w:t>640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7" w:type="pct"/>
            <w:vAlign w:val="center"/>
          </w:tcPr>
          <w:p>
            <w:pPr>
              <w:pStyle w:val="47"/>
              <w:rPr>
                <w:color w:val="auto"/>
              </w:rPr>
            </w:pPr>
            <w:r>
              <w:rPr>
                <w:rFonts w:hint="eastAsia"/>
                <w:color w:val="auto"/>
              </w:rPr>
              <w:t>2895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34</w:t>
            </w:r>
          </w:p>
        </w:tc>
        <w:tc>
          <w:tcPr>
            <w:tcW w:w="1144" w:type="pct"/>
            <w:vAlign w:val="center"/>
          </w:tcPr>
          <w:p>
            <w:pPr>
              <w:pStyle w:val="47"/>
              <w:rPr>
                <w:color w:val="auto"/>
              </w:rPr>
            </w:pPr>
            <w:r>
              <w:rPr>
                <w:rFonts w:hint="eastAsia"/>
                <w:color w:val="auto"/>
                <w:szCs w:val="24"/>
              </w:rPr>
              <w:t>高新区七彩虹幼儿园</w:t>
            </w:r>
          </w:p>
        </w:tc>
        <w:tc>
          <w:tcPr>
            <w:tcW w:w="464" w:type="pct"/>
            <w:vAlign w:val="center"/>
          </w:tcPr>
          <w:p>
            <w:pPr>
              <w:pStyle w:val="47"/>
              <w:rPr>
                <w:color w:val="auto"/>
              </w:rPr>
            </w:pPr>
            <w:r>
              <w:rPr>
                <w:rFonts w:hint="eastAsia"/>
                <w:color w:val="auto"/>
              </w:rPr>
              <w:t>学校</w:t>
            </w:r>
          </w:p>
        </w:tc>
        <w:tc>
          <w:tcPr>
            <w:tcW w:w="552" w:type="pct"/>
            <w:vAlign w:val="center"/>
          </w:tcPr>
          <w:p>
            <w:pPr>
              <w:pStyle w:val="47"/>
              <w:rPr>
                <w:color w:val="auto"/>
              </w:rPr>
            </w:pPr>
            <w:r>
              <w:rPr>
                <w:rFonts w:hint="eastAsia"/>
                <w:color w:val="auto"/>
              </w:rPr>
              <w:t>48</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7" w:type="pct"/>
            <w:vAlign w:val="center"/>
          </w:tcPr>
          <w:p>
            <w:pPr>
              <w:pStyle w:val="47"/>
              <w:rPr>
                <w:color w:val="auto"/>
              </w:rPr>
            </w:pPr>
            <w:r>
              <w:rPr>
                <w:rFonts w:hint="eastAsia"/>
                <w:color w:val="auto"/>
              </w:rPr>
              <w:t>3345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35</w:t>
            </w:r>
          </w:p>
        </w:tc>
        <w:tc>
          <w:tcPr>
            <w:tcW w:w="1144" w:type="pct"/>
            <w:vAlign w:val="center"/>
          </w:tcPr>
          <w:p>
            <w:pPr>
              <w:pStyle w:val="47"/>
              <w:rPr>
                <w:color w:val="auto"/>
              </w:rPr>
            </w:pPr>
            <w:r>
              <w:rPr>
                <w:rFonts w:hint="eastAsia"/>
                <w:color w:val="auto"/>
                <w:szCs w:val="24"/>
              </w:rPr>
              <w:t>淄博高新区华侨城小学</w:t>
            </w:r>
          </w:p>
        </w:tc>
        <w:tc>
          <w:tcPr>
            <w:tcW w:w="464" w:type="pct"/>
            <w:vAlign w:val="center"/>
          </w:tcPr>
          <w:p>
            <w:pPr>
              <w:pStyle w:val="47"/>
              <w:rPr>
                <w:color w:val="auto"/>
              </w:rPr>
            </w:pPr>
            <w:r>
              <w:rPr>
                <w:rFonts w:hint="eastAsia"/>
                <w:color w:val="auto"/>
              </w:rPr>
              <w:t>学校</w:t>
            </w:r>
          </w:p>
        </w:tc>
        <w:tc>
          <w:tcPr>
            <w:tcW w:w="552" w:type="pct"/>
            <w:vAlign w:val="center"/>
          </w:tcPr>
          <w:p>
            <w:pPr>
              <w:pStyle w:val="47"/>
              <w:rPr>
                <w:color w:val="auto"/>
              </w:rPr>
            </w:pPr>
            <w:r>
              <w:rPr>
                <w:rFonts w:hint="eastAsia"/>
                <w:color w:val="auto"/>
              </w:rPr>
              <w:t>848</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7" w:type="pct"/>
            <w:vAlign w:val="center"/>
          </w:tcPr>
          <w:p>
            <w:pPr>
              <w:pStyle w:val="47"/>
              <w:rPr>
                <w:color w:val="auto"/>
              </w:rPr>
            </w:pPr>
            <w:r>
              <w:rPr>
                <w:rFonts w:hint="eastAsia"/>
                <w:color w:val="auto"/>
              </w:rPr>
              <w:t>3100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36</w:t>
            </w:r>
          </w:p>
        </w:tc>
        <w:tc>
          <w:tcPr>
            <w:tcW w:w="1144" w:type="pct"/>
            <w:vAlign w:val="center"/>
          </w:tcPr>
          <w:p>
            <w:pPr>
              <w:pStyle w:val="47"/>
              <w:rPr>
                <w:color w:val="auto"/>
              </w:rPr>
            </w:pPr>
            <w:r>
              <w:rPr>
                <w:rFonts w:hint="eastAsia"/>
                <w:color w:val="auto"/>
                <w:szCs w:val="24"/>
              </w:rPr>
              <w:t>八音河国际幼稚园</w:t>
            </w:r>
          </w:p>
        </w:tc>
        <w:tc>
          <w:tcPr>
            <w:tcW w:w="464" w:type="pct"/>
            <w:vAlign w:val="center"/>
          </w:tcPr>
          <w:p>
            <w:pPr>
              <w:pStyle w:val="47"/>
              <w:rPr>
                <w:color w:val="auto"/>
              </w:rPr>
            </w:pPr>
            <w:r>
              <w:rPr>
                <w:color w:val="auto"/>
              </w:rPr>
              <w:t>学校</w:t>
            </w:r>
          </w:p>
        </w:tc>
        <w:tc>
          <w:tcPr>
            <w:tcW w:w="552" w:type="pct"/>
            <w:vAlign w:val="center"/>
          </w:tcPr>
          <w:p>
            <w:pPr>
              <w:pStyle w:val="47"/>
              <w:rPr>
                <w:color w:val="auto"/>
              </w:rPr>
            </w:pPr>
            <w:r>
              <w:rPr>
                <w:rFonts w:hint="eastAsia"/>
                <w:color w:val="auto"/>
              </w:rPr>
              <w:t>56</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7" w:type="pct"/>
            <w:vAlign w:val="center"/>
          </w:tcPr>
          <w:p>
            <w:pPr>
              <w:pStyle w:val="47"/>
              <w:rPr>
                <w:color w:val="auto"/>
              </w:rPr>
            </w:pPr>
            <w:r>
              <w:rPr>
                <w:rFonts w:hint="eastAsia"/>
                <w:color w:val="auto"/>
              </w:rPr>
              <w:t>3572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37</w:t>
            </w:r>
          </w:p>
        </w:tc>
        <w:tc>
          <w:tcPr>
            <w:tcW w:w="1144" w:type="pct"/>
            <w:vAlign w:val="center"/>
          </w:tcPr>
          <w:p>
            <w:pPr>
              <w:pStyle w:val="47"/>
              <w:rPr>
                <w:color w:val="auto"/>
              </w:rPr>
            </w:pPr>
            <w:r>
              <w:rPr>
                <w:rFonts w:hint="eastAsia"/>
                <w:color w:val="auto"/>
                <w:szCs w:val="24"/>
              </w:rPr>
              <w:t>淄博莲池妇婴医院</w:t>
            </w:r>
          </w:p>
        </w:tc>
        <w:tc>
          <w:tcPr>
            <w:tcW w:w="464" w:type="pct"/>
            <w:vAlign w:val="center"/>
          </w:tcPr>
          <w:p>
            <w:pPr>
              <w:pStyle w:val="47"/>
              <w:rPr>
                <w:color w:val="auto"/>
              </w:rPr>
            </w:pPr>
            <w:r>
              <w:rPr>
                <w:rFonts w:hint="eastAsia"/>
                <w:color w:val="auto"/>
                <w:szCs w:val="24"/>
              </w:rPr>
              <w:t>医院</w:t>
            </w:r>
          </w:p>
        </w:tc>
        <w:tc>
          <w:tcPr>
            <w:tcW w:w="552" w:type="pct"/>
            <w:vAlign w:val="center"/>
          </w:tcPr>
          <w:p>
            <w:pPr>
              <w:pStyle w:val="47"/>
              <w:rPr>
                <w:color w:val="auto"/>
              </w:rPr>
            </w:pPr>
            <w:r>
              <w:rPr>
                <w:rFonts w:hint="eastAsia"/>
                <w:color w:val="auto"/>
              </w:rPr>
              <w:t>360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7" w:type="pct"/>
            <w:vAlign w:val="center"/>
          </w:tcPr>
          <w:p>
            <w:pPr>
              <w:pStyle w:val="47"/>
              <w:rPr>
                <w:color w:val="auto"/>
              </w:rPr>
            </w:pPr>
            <w:r>
              <w:rPr>
                <w:rFonts w:hint="eastAsia"/>
                <w:color w:val="auto"/>
              </w:rPr>
              <w:t>3651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38</w:t>
            </w:r>
          </w:p>
        </w:tc>
        <w:tc>
          <w:tcPr>
            <w:tcW w:w="1144" w:type="pct"/>
            <w:vAlign w:val="center"/>
          </w:tcPr>
          <w:p>
            <w:pPr>
              <w:pStyle w:val="47"/>
              <w:rPr>
                <w:color w:val="auto"/>
              </w:rPr>
            </w:pPr>
            <w:r>
              <w:rPr>
                <w:rFonts w:hint="eastAsia"/>
                <w:color w:val="auto"/>
                <w:szCs w:val="24"/>
              </w:rPr>
              <w:t>中育海嘉华侨城幼儿园</w:t>
            </w:r>
          </w:p>
        </w:tc>
        <w:tc>
          <w:tcPr>
            <w:tcW w:w="464" w:type="pct"/>
            <w:vAlign w:val="center"/>
          </w:tcPr>
          <w:p>
            <w:pPr>
              <w:pStyle w:val="47"/>
              <w:rPr>
                <w:color w:val="auto"/>
              </w:rPr>
            </w:pPr>
            <w:r>
              <w:rPr>
                <w:rFonts w:hint="eastAsia"/>
                <w:color w:val="auto"/>
              </w:rPr>
              <w:t>学校</w:t>
            </w:r>
          </w:p>
        </w:tc>
        <w:tc>
          <w:tcPr>
            <w:tcW w:w="552" w:type="pct"/>
            <w:vAlign w:val="center"/>
          </w:tcPr>
          <w:p>
            <w:pPr>
              <w:pStyle w:val="47"/>
              <w:rPr>
                <w:color w:val="auto"/>
              </w:rPr>
            </w:pPr>
            <w:r>
              <w:rPr>
                <w:rFonts w:hint="eastAsia"/>
                <w:color w:val="auto"/>
              </w:rPr>
              <w:t>36</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7" w:type="pct"/>
            <w:vAlign w:val="center"/>
          </w:tcPr>
          <w:p>
            <w:pPr>
              <w:pStyle w:val="47"/>
              <w:rPr>
                <w:color w:val="auto"/>
              </w:rPr>
            </w:pPr>
            <w:r>
              <w:rPr>
                <w:rFonts w:hint="eastAsia"/>
                <w:color w:val="auto"/>
              </w:rPr>
              <w:t>2562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39</w:t>
            </w:r>
          </w:p>
        </w:tc>
        <w:tc>
          <w:tcPr>
            <w:tcW w:w="1144" w:type="pct"/>
            <w:vAlign w:val="center"/>
          </w:tcPr>
          <w:p>
            <w:pPr>
              <w:pStyle w:val="47"/>
              <w:rPr>
                <w:color w:val="auto"/>
              </w:rPr>
            </w:pPr>
            <w:r>
              <w:rPr>
                <w:rFonts w:hint="eastAsia"/>
                <w:color w:val="auto"/>
                <w:szCs w:val="24"/>
              </w:rPr>
              <w:t>世纪花园幼儿园北园</w:t>
            </w:r>
          </w:p>
        </w:tc>
        <w:tc>
          <w:tcPr>
            <w:tcW w:w="464" w:type="pct"/>
            <w:vAlign w:val="center"/>
          </w:tcPr>
          <w:p>
            <w:pPr>
              <w:pStyle w:val="47"/>
              <w:rPr>
                <w:color w:val="auto"/>
              </w:rPr>
            </w:pPr>
            <w:r>
              <w:rPr>
                <w:rFonts w:hint="eastAsia"/>
                <w:color w:val="auto"/>
              </w:rPr>
              <w:t>学校</w:t>
            </w:r>
          </w:p>
        </w:tc>
        <w:tc>
          <w:tcPr>
            <w:tcW w:w="552" w:type="pct"/>
            <w:vAlign w:val="center"/>
          </w:tcPr>
          <w:p>
            <w:pPr>
              <w:pStyle w:val="47"/>
              <w:rPr>
                <w:color w:val="auto"/>
              </w:rPr>
            </w:pPr>
            <w:r>
              <w:rPr>
                <w:rFonts w:hint="eastAsia"/>
                <w:color w:val="auto"/>
              </w:rPr>
              <w:t>42</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7" w:type="pct"/>
            <w:vAlign w:val="center"/>
          </w:tcPr>
          <w:p>
            <w:pPr>
              <w:pStyle w:val="47"/>
              <w:rPr>
                <w:color w:val="auto"/>
              </w:rPr>
            </w:pPr>
            <w:r>
              <w:rPr>
                <w:rFonts w:hint="eastAsia"/>
                <w:color w:val="auto"/>
              </w:rPr>
              <w:t>2667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40</w:t>
            </w:r>
          </w:p>
        </w:tc>
        <w:tc>
          <w:tcPr>
            <w:tcW w:w="1144" w:type="pct"/>
            <w:vAlign w:val="center"/>
          </w:tcPr>
          <w:p>
            <w:pPr>
              <w:pStyle w:val="47"/>
              <w:rPr>
                <w:color w:val="auto"/>
              </w:rPr>
            </w:pPr>
            <w:r>
              <w:rPr>
                <w:rFonts w:hint="eastAsia"/>
                <w:color w:val="auto"/>
                <w:szCs w:val="24"/>
              </w:rPr>
              <w:t>世纪花园幼儿园南园</w:t>
            </w:r>
          </w:p>
        </w:tc>
        <w:tc>
          <w:tcPr>
            <w:tcW w:w="464" w:type="pct"/>
            <w:vAlign w:val="center"/>
          </w:tcPr>
          <w:p>
            <w:pPr>
              <w:pStyle w:val="47"/>
              <w:rPr>
                <w:color w:val="auto"/>
              </w:rPr>
            </w:pPr>
            <w:r>
              <w:rPr>
                <w:rFonts w:hint="eastAsia"/>
                <w:color w:val="auto"/>
              </w:rPr>
              <w:t>学校</w:t>
            </w:r>
          </w:p>
        </w:tc>
        <w:tc>
          <w:tcPr>
            <w:tcW w:w="552" w:type="pct"/>
            <w:vAlign w:val="center"/>
          </w:tcPr>
          <w:p>
            <w:pPr>
              <w:pStyle w:val="47"/>
              <w:rPr>
                <w:color w:val="auto"/>
              </w:rPr>
            </w:pPr>
            <w:r>
              <w:rPr>
                <w:rFonts w:hint="eastAsia"/>
                <w:color w:val="auto"/>
              </w:rPr>
              <w:t>48</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7" w:type="pct"/>
            <w:vAlign w:val="center"/>
          </w:tcPr>
          <w:p>
            <w:pPr>
              <w:pStyle w:val="47"/>
              <w:rPr>
                <w:color w:val="auto"/>
              </w:rPr>
            </w:pPr>
            <w:r>
              <w:rPr>
                <w:rFonts w:hint="eastAsia"/>
                <w:color w:val="auto"/>
              </w:rPr>
              <w:t>3100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41</w:t>
            </w:r>
          </w:p>
        </w:tc>
        <w:tc>
          <w:tcPr>
            <w:tcW w:w="1144" w:type="pct"/>
            <w:vAlign w:val="center"/>
          </w:tcPr>
          <w:p>
            <w:pPr>
              <w:pStyle w:val="47"/>
              <w:rPr>
                <w:color w:val="auto"/>
              </w:rPr>
            </w:pPr>
            <w:r>
              <w:rPr>
                <w:rFonts w:hint="eastAsia"/>
                <w:color w:val="auto"/>
                <w:szCs w:val="24"/>
              </w:rPr>
              <w:t>张店区重庆路小学</w:t>
            </w:r>
          </w:p>
        </w:tc>
        <w:tc>
          <w:tcPr>
            <w:tcW w:w="464" w:type="pct"/>
            <w:vAlign w:val="center"/>
          </w:tcPr>
          <w:p>
            <w:pPr>
              <w:pStyle w:val="47"/>
              <w:rPr>
                <w:color w:val="auto"/>
              </w:rPr>
            </w:pPr>
            <w:r>
              <w:rPr>
                <w:rFonts w:hint="eastAsia"/>
                <w:color w:val="auto"/>
              </w:rPr>
              <w:t>学校</w:t>
            </w:r>
          </w:p>
        </w:tc>
        <w:tc>
          <w:tcPr>
            <w:tcW w:w="552" w:type="pct"/>
            <w:vAlign w:val="center"/>
          </w:tcPr>
          <w:p>
            <w:pPr>
              <w:pStyle w:val="47"/>
              <w:rPr>
                <w:color w:val="auto"/>
              </w:rPr>
            </w:pPr>
            <w:r>
              <w:rPr>
                <w:color w:val="auto"/>
              </w:rPr>
              <w:t>756</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w:t>
            </w:r>
          </w:p>
        </w:tc>
        <w:tc>
          <w:tcPr>
            <w:tcW w:w="537" w:type="pct"/>
            <w:vAlign w:val="center"/>
          </w:tcPr>
          <w:p>
            <w:pPr>
              <w:pStyle w:val="47"/>
              <w:rPr>
                <w:color w:val="auto"/>
              </w:rPr>
            </w:pPr>
            <w:r>
              <w:rPr>
                <w:rFonts w:hint="eastAsia"/>
                <w:color w:val="auto"/>
              </w:rPr>
              <w:t>1847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42</w:t>
            </w:r>
          </w:p>
        </w:tc>
        <w:tc>
          <w:tcPr>
            <w:tcW w:w="1144" w:type="pct"/>
            <w:vAlign w:val="center"/>
          </w:tcPr>
          <w:p>
            <w:pPr>
              <w:pStyle w:val="47"/>
              <w:rPr>
                <w:color w:val="auto"/>
              </w:rPr>
            </w:pPr>
            <w:r>
              <w:rPr>
                <w:rFonts w:hint="eastAsia"/>
                <w:color w:val="auto"/>
                <w:szCs w:val="24"/>
              </w:rPr>
              <w:t>淄博市第六人民医院</w:t>
            </w:r>
          </w:p>
        </w:tc>
        <w:tc>
          <w:tcPr>
            <w:tcW w:w="464" w:type="pct"/>
            <w:vAlign w:val="center"/>
          </w:tcPr>
          <w:p>
            <w:pPr>
              <w:pStyle w:val="47"/>
              <w:rPr>
                <w:color w:val="auto"/>
              </w:rPr>
            </w:pPr>
            <w:r>
              <w:rPr>
                <w:rFonts w:hint="eastAsia"/>
                <w:color w:val="auto"/>
              </w:rPr>
              <w:t>医院</w:t>
            </w:r>
          </w:p>
        </w:tc>
        <w:tc>
          <w:tcPr>
            <w:tcW w:w="552" w:type="pct"/>
            <w:vAlign w:val="center"/>
          </w:tcPr>
          <w:p>
            <w:pPr>
              <w:pStyle w:val="47"/>
              <w:rPr>
                <w:color w:val="auto"/>
              </w:rPr>
            </w:pPr>
            <w:r>
              <w:rPr>
                <w:color w:val="auto"/>
              </w:rPr>
              <w:t>521</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w:t>
            </w:r>
          </w:p>
        </w:tc>
        <w:tc>
          <w:tcPr>
            <w:tcW w:w="537" w:type="pct"/>
            <w:vAlign w:val="center"/>
          </w:tcPr>
          <w:p>
            <w:pPr>
              <w:pStyle w:val="47"/>
              <w:rPr>
                <w:color w:val="auto"/>
              </w:rPr>
            </w:pPr>
            <w:r>
              <w:rPr>
                <w:rFonts w:hint="eastAsia"/>
                <w:color w:val="auto"/>
              </w:rPr>
              <w:t>2642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43</w:t>
            </w:r>
          </w:p>
        </w:tc>
        <w:tc>
          <w:tcPr>
            <w:tcW w:w="1144" w:type="pct"/>
            <w:vAlign w:val="center"/>
          </w:tcPr>
          <w:p>
            <w:pPr>
              <w:pStyle w:val="47"/>
              <w:rPr>
                <w:color w:val="auto"/>
              </w:rPr>
            </w:pPr>
            <w:r>
              <w:rPr>
                <w:rFonts w:hint="eastAsia"/>
                <w:color w:val="auto"/>
                <w:szCs w:val="24"/>
              </w:rPr>
              <w:t>龙泰医院</w:t>
            </w:r>
          </w:p>
        </w:tc>
        <w:tc>
          <w:tcPr>
            <w:tcW w:w="464" w:type="pct"/>
            <w:vAlign w:val="center"/>
          </w:tcPr>
          <w:p>
            <w:pPr>
              <w:pStyle w:val="47"/>
              <w:rPr>
                <w:color w:val="auto"/>
              </w:rPr>
            </w:pPr>
            <w:r>
              <w:rPr>
                <w:rFonts w:hint="eastAsia"/>
                <w:color w:val="auto"/>
              </w:rPr>
              <w:t>医院</w:t>
            </w:r>
          </w:p>
        </w:tc>
        <w:tc>
          <w:tcPr>
            <w:tcW w:w="552" w:type="pct"/>
            <w:vAlign w:val="center"/>
          </w:tcPr>
          <w:p>
            <w:pPr>
              <w:pStyle w:val="47"/>
              <w:rPr>
                <w:color w:val="auto"/>
              </w:rPr>
            </w:pPr>
            <w:r>
              <w:rPr>
                <w:color w:val="auto"/>
              </w:rPr>
              <w:t>59</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w:t>
            </w:r>
          </w:p>
        </w:tc>
        <w:tc>
          <w:tcPr>
            <w:tcW w:w="537" w:type="pct"/>
            <w:vAlign w:val="center"/>
          </w:tcPr>
          <w:p>
            <w:pPr>
              <w:pStyle w:val="47"/>
              <w:rPr>
                <w:color w:val="auto"/>
              </w:rPr>
            </w:pPr>
            <w:r>
              <w:rPr>
                <w:rFonts w:hint="eastAsia"/>
                <w:color w:val="auto"/>
              </w:rPr>
              <w:t>2968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44</w:t>
            </w:r>
          </w:p>
        </w:tc>
        <w:tc>
          <w:tcPr>
            <w:tcW w:w="1144" w:type="pct"/>
            <w:vAlign w:val="center"/>
          </w:tcPr>
          <w:p>
            <w:pPr>
              <w:pStyle w:val="47"/>
              <w:rPr>
                <w:color w:val="auto"/>
              </w:rPr>
            </w:pPr>
            <w:r>
              <w:rPr>
                <w:rFonts w:hint="eastAsia"/>
                <w:color w:val="auto"/>
                <w:szCs w:val="24"/>
              </w:rPr>
              <w:t>淄博市市直机关第二幼儿园</w:t>
            </w:r>
          </w:p>
        </w:tc>
        <w:tc>
          <w:tcPr>
            <w:tcW w:w="464" w:type="pct"/>
            <w:vAlign w:val="center"/>
          </w:tcPr>
          <w:p>
            <w:pPr>
              <w:pStyle w:val="47"/>
              <w:rPr>
                <w:color w:val="auto"/>
              </w:rPr>
            </w:pPr>
            <w:r>
              <w:rPr>
                <w:rFonts w:hint="eastAsia"/>
                <w:color w:val="auto"/>
              </w:rPr>
              <w:t>学校</w:t>
            </w:r>
          </w:p>
        </w:tc>
        <w:tc>
          <w:tcPr>
            <w:tcW w:w="552" w:type="pct"/>
            <w:vAlign w:val="center"/>
          </w:tcPr>
          <w:p>
            <w:pPr>
              <w:pStyle w:val="47"/>
              <w:rPr>
                <w:color w:val="auto"/>
              </w:rPr>
            </w:pPr>
            <w:r>
              <w:rPr>
                <w:color w:val="auto"/>
              </w:rPr>
              <w:t>91</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w:t>
            </w:r>
          </w:p>
        </w:tc>
        <w:tc>
          <w:tcPr>
            <w:tcW w:w="537" w:type="pct"/>
            <w:vAlign w:val="center"/>
          </w:tcPr>
          <w:p>
            <w:pPr>
              <w:pStyle w:val="47"/>
              <w:rPr>
                <w:color w:val="auto"/>
              </w:rPr>
            </w:pPr>
            <w:r>
              <w:rPr>
                <w:rFonts w:hint="eastAsia"/>
                <w:color w:val="auto"/>
              </w:rPr>
              <w:t>2900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45</w:t>
            </w:r>
          </w:p>
        </w:tc>
        <w:tc>
          <w:tcPr>
            <w:tcW w:w="1144" w:type="pct"/>
            <w:vAlign w:val="center"/>
          </w:tcPr>
          <w:p>
            <w:pPr>
              <w:pStyle w:val="47"/>
              <w:rPr>
                <w:color w:val="auto"/>
              </w:rPr>
            </w:pPr>
            <w:r>
              <w:rPr>
                <w:rFonts w:hint="eastAsia"/>
                <w:color w:val="auto"/>
                <w:szCs w:val="24"/>
              </w:rPr>
              <w:t>淄博市妇幼保健院</w:t>
            </w:r>
          </w:p>
        </w:tc>
        <w:tc>
          <w:tcPr>
            <w:tcW w:w="464" w:type="pct"/>
            <w:vAlign w:val="center"/>
          </w:tcPr>
          <w:p>
            <w:pPr>
              <w:pStyle w:val="47"/>
              <w:rPr>
                <w:color w:val="auto"/>
              </w:rPr>
            </w:pPr>
            <w:r>
              <w:rPr>
                <w:rFonts w:hint="eastAsia"/>
                <w:color w:val="auto"/>
              </w:rPr>
              <w:t>医院</w:t>
            </w:r>
          </w:p>
        </w:tc>
        <w:tc>
          <w:tcPr>
            <w:tcW w:w="552" w:type="pct"/>
            <w:vAlign w:val="center"/>
          </w:tcPr>
          <w:p>
            <w:pPr>
              <w:pStyle w:val="47"/>
              <w:rPr>
                <w:color w:val="auto"/>
              </w:rPr>
            </w:pPr>
            <w:r>
              <w:rPr>
                <w:color w:val="auto"/>
              </w:rPr>
              <w:t>612</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SW</w:t>
            </w:r>
          </w:p>
        </w:tc>
        <w:tc>
          <w:tcPr>
            <w:tcW w:w="537" w:type="pct"/>
            <w:vAlign w:val="center"/>
          </w:tcPr>
          <w:p>
            <w:pPr>
              <w:pStyle w:val="47"/>
              <w:rPr>
                <w:color w:val="auto"/>
              </w:rPr>
            </w:pPr>
            <w:r>
              <w:rPr>
                <w:rFonts w:hint="eastAsia"/>
                <w:color w:val="auto"/>
              </w:rPr>
              <w:t>3291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46</w:t>
            </w:r>
          </w:p>
        </w:tc>
        <w:tc>
          <w:tcPr>
            <w:tcW w:w="1144" w:type="pct"/>
            <w:vAlign w:val="center"/>
          </w:tcPr>
          <w:p>
            <w:pPr>
              <w:pStyle w:val="47"/>
              <w:rPr>
                <w:color w:val="auto"/>
              </w:rPr>
            </w:pPr>
            <w:r>
              <w:rPr>
                <w:rFonts w:hint="eastAsia"/>
                <w:color w:val="auto"/>
                <w:szCs w:val="24"/>
              </w:rPr>
              <w:t>张店城区</w:t>
            </w:r>
          </w:p>
        </w:tc>
        <w:tc>
          <w:tcPr>
            <w:tcW w:w="464" w:type="pct"/>
            <w:vAlign w:val="center"/>
          </w:tcPr>
          <w:p>
            <w:pPr>
              <w:pStyle w:val="47"/>
              <w:rPr>
                <w:color w:val="auto"/>
              </w:rPr>
            </w:pPr>
            <w:r>
              <w:rPr>
                <w:rFonts w:hint="eastAsia"/>
                <w:color w:val="auto"/>
              </w:rPr>
              <w:t>城区</w:t>
            </w:r>
          </w:p>
        </w:tc>
        <w:tc>
          <w:tcPr>
            <w:tcW w:w="552" w:type="pct"/>
            <w:vAlign w:val="center"/>
          </w:tcPr>
          <w:p>
            <w:pPr>
              <w:pStyle w:val="47"/>
              <w:rPr>
                <w:color w:val="auto"/>
              </w:rPr>
            </w:pPr>
            <w:r>
              <w:rPr>
                <w:rFonts w:hint="eastAsia"/>
                <w:color w:val="auto"/>
              </w:rPr>
              <w:t>18000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w:t>
            </w:r>
          </w:p>
        </w:tc>
        <w:tc>
          <w:tcPr>
            <w:tcW w:w="537" w:type="pct"/>
            <w:vAlign w:val="center"/>
          </w:tcPr>
          <w:p>
            <w:pPr>
              <w:pStyle w:val="47"/>
              <w:rPr>
                <w:color w:val="auto"/>
              </w:rPr>
            </w:pPr>
            <w:r>
              <w:rPr>
                <w:rFonts w:hint="eastAsia"/>
                <w:color w:val="auto"/>
              </w:rPr>
              <w:t>1186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Align w:val="center"/>
          </w:tcPr>
          <w:p>
            <w:pPr>
              <w:pStyle w:val="47"/>
              <w:rPr>
                <w:color w:val="auto"/>
              </w:rPr>
            </w:pPr>
            <w:r>
              <w:rPr>
                <w:color w:val="auto"/>
              </w:rPr>
              <w:t>声环境</w:t>
            </w:r>
          </w:p>
        </w:tc>
        <w:tc>
          <w:tcPr>
            <w:tcW w:w="406" w:type="pct"/>
            <w:vAlign w:val="center"/>
          </w:tcPr>
          <w:p>
            <w:pPr>
              <w:pStyle w:val="47"/>
              <w:rPr>
                <w:color w:val="auto"/>
              </w:rPr>
            </w:pPr>
            <w:r>
              <w:rPr>
                <w:rFonts w:hint="eastAsia"/>
                <w:color w:val="auto"/>
              </w:rPr>
              <w:t>1</w:t>
            </w:r>
          </w:p>
        </w:tc>
        <w:tc>
          <w:tcPr>
            <w:tcW w:w="1144" w:type="pct"/>
            <w:vAlign w:val="center"/>
          </w:tcPr>
          <w:p>
            <w:pPr>
              <w:pStyle w:val="47"/>
              <w:rPr>
                <w:color w:val="auto"/>
              </w:rPr>
            </w:pPr>
            <w:r>
              <w:rPr>
                <w:rFonts w:hint="eastAsia"/>
                <w:color w:val="auto"/>
              </w:rPr>
              <w:t>解营村</w:t>
            </w:r>
          </w:p>
        </w:tc>
        <w:tc>
          <w:tcPr>
            <w:tcW w:w="464" w:type="pct"/>
            <w:vAlign w:val="center"/>
          </w:tcPr>
          <w:p>
            <w:pPr>
              <w:pStyle w:val="47"/>
              <w:rPr>
                <w:color w:val="auto"/>
              </w:rPr>
            </w:pPr>
            <w:r>
              <w:rPr>
                <w:rFonts w:hint="eastAsia"/>
                <w:color w:val="auto"/>
              </w:rPr>
              <w:t>村庄</w:t>
            </w:r>
          </w:p>
        </w:tc>
        <w:tc>
          <w:tcPr>
            <w:tcW w:w="552" w:type="pct"/>
            <w:vAlign w:val="center"/>
          </w:tcPr>
          <w:p>
            <w:pPr>
              <w:pStyle w:val="47"/>
              <w:rPr>
                <w:color w:val="auto"/>
              </w:rPr>
            </w:pPr>
            <w:r>
              <w:rPr>
                <w:rFonts w:hint="eastAsia"/>
                <w:color w:val="auto"/>
              </w:rPr>
              <w:t>360</w:t>
            </w:r>
          </w:p>
        </w:tc>
        <w:tc>
          <w:tcPr>
            <w:tcW w:w="1049" w:type="pct"/>
            <w:vAlign w:val="center"/>
          </w:tcPr>
          <w:p>
            <w:pPr>
              <w:pStyle w:val="47"/>
              <w:rPr>
                <w:color w:val="auto"/>
              </w:rPr>
            </w:pPr>
            <w:r>
              <w:rPr>
                <w:color w:val="auto"/>
              </w:rPr>
              <w:t>声环境质量标准（GB3096-2008）</w:t>
            </w:r>
            <w:r>
              <w:rPr>
                <w:rFonts w:hint="eastAsia"/>
                <w:color w:val="auto"/>
              </w:rPr>
              <w:t>2</w:t>
            </w:r>
            <w:r>
              <w:rPr>
                <w:color w:val="auto"/>
              </w:rPr>
              <w:t>类</w:t>
            </w:r>
          </w:p>
        </w:tc>
        <w:tc>
          <w:tcPr>
            <w:tcW w:w="417" w:type="pct"/>
            <w:vAlign w:val="center"/>
          </w:tcPr>
          <w:p>
            <w:pPr>
              <w:pStyle w:val="47"/>
              <w:rPr>
                <w:color w:val="auto"/>
              </w:rPr>
            </w:pPr>
            <w:r>
              <w:rPr>
                <w:color w:val="auto"/>
              </w:rPr>
              <w:t>N</w:t>
            </w:r>
            <w:r>
              <w:rPr>
                <w:rFonts w:hint="eastAsia"/>
                <w:color w:val="auto"/>
              </w:rPr>
              <w:t>W</w:t>
            </w:r>
          </w:p>
        </w:tc>
        <w:tc>
          <w:tcPr>
            <w:tcW w:w="537" w:type="pct"/>
            <w:vAlign w:val="center"/>
          </w:tcPr>
          <w:p>
            <w:pPr>
              <w:pStyle w:val="47"/>
              <w:rPr>
                <w:color w:val="auto"/>
              </w:rPr>
            </w:pPr>
            <w:r>
              <w:rPr>
                <w:rFonts w:hint="eastAsia"/>
                <w:color w:val="auto"/>
              </w:rPr>
              <w:t>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Align w:val="center"/>
          </w:tcPr>
          <w:p>
            <w:pPr>
              <w:pStyle w:val="47"/>
              <w:rPr>
                <w:color w:val="auto"/>
              </w:rPr>
            </w:pPr>
            <w:r>
              <w:rPr>
                <w:color w:val="auto"/>
              </w:rPr>
              <w:t>地表水</w:t>
            </w:r>
          </w:p>
        </w:tc>
        <w:tc>
          <w:tcPr>
            <w:tcW w:w="2567" w:type="pct"/>
            <w:gridSpan w:val="4"/>
            <w:vAlign w:val="center"/>
          </w:tcPr>
          <w:p>
            <w:pPr>
              <w:pStyle w:val="47"/>
              <w:rPr>
                <w:color w:val="auto"/>
              </w:rPr>
            </w:pPr>
            <w:r>
              <w:rPr>
                <w:rFonts w:hint="eastAsia"/>
                <w:color w:val="auto"/>
              </w:rPr>
              <w:t>猪龙河</w:t>
            </w:r>
          </w:p>
        </w:tc>
        <w:tc>
          <w:tcPr>
            <w:tcW w:w="1049" w:type="pct"/>
            <w:vAlign w:val="center"/>
          </w:tcPr>
          <w:p>
            <w:pPr>
              <w:pStyle w:val="47"/>
              <w:rPr>
                <w:color w:val="auto"/>
              </w:rPr>
            </w:pPr>
            <w:r>
              <w:rPr>
                <w:color w:val="auto"/>
              </w:rPr>
              <w:t>《地表水环境质量标准》（GB3838-2002）IV类</w:t>
            </w:r>
          </w:p>
        </w:tc>
        <w:tc>
          <w:tcPr>
            <w:tcW w:w="417" w:type="pct"/>
            <w:vAlign w:val="center"/>
          </w:tcPr>
          <w:p>
            <w:pPr>
              <w:pStyle w:val="47"/>
              <w:rPr>
                <w:color w:val="auto"/>
              </w:rPr>
            </w:pPr>
            <w:r>
              <w:rPr>
                <w:color w:val="auto"/>
              </w:rPr>
              <w:t>---</w:t>
            </w:r>
          </w:p>
        </w:tc>
        <w:tc>
          <w:tcPr>
            <w:tcW w:w="537" w:type="pct"/>
            <w:vAlign w:val="center"/>
          </w:tcPr>
          <w:p>
            <w:pPr>
              <w:pStyle w:val="47"/>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Align w:val="center"/>
          </w:tcPr>
          <w:p>
            <w:pPr>
              <w:pStyle w:val="47"/>
              <w:rPr>
                <w:color w:val="auto"/>
              </w:rPr>
            </w:pPr>
            <w:r>
              <w:rPr>
                <w:color w:val="auto"/>
              </w:rPr>
              <w:t>地下水</w:t>
            </w:r>
          </w:p>
        </w:tc>
        <w:tc>
          <w:tcPr>
            <w:tcW w:w="2567" w:type="pct"/>
            <w:gridSpan w:val="4"/>
            <w:vAlign w:val="center"/>
          </w:tcPr>
          <w:p>
            <w:pPr>
              <w:pStyle w:val="47"/>
              <w:rPr>
                <w:color w:val="auto"/>
              </w:rPr>
            </w:pPr>
            <w:r>
              <w:rPr>
                <w:color w:val="auto"/>
              </w:rPr>
              <w:t>厂址周围</w:t>
            </w:r>
            <w:r>
              <w:rPr>
                <w:rFonts w:hint="eastAsia"/>
                <w:color w:val="auto"/>
              </w:rPr>
              <w:t>6</w:t>
            </w:r>
            <w:r>
              <w:rPr>
                <w:color w:val="auto"/>
              </w:rPr>
              <w:t>km</w:t>
            </w:r>
            <w:r>
              <w:rPr>
                <w:color w:val="auto"/>
                <w:vertAlign w:val="superscript"/>
              </w:rPr>
              <w:t>2</w:t>
            </w:r>
            <w:r>
              <w:rPr>
                <w:color w:val="auto"/>
              </w:rPr>
              <w:t>范围内浅层地下水</w:t>
            </w:r>
          </w:p>
        </w:tc>
        <w:tc>
          <w:tcPr>
            <w:tcW w:w="1049" w:type="pct"/>
            <w:vAlign w:val="center"/>
          </w:tcPr>
          <w:p>
            <w:pPr>
              <w:pStyle w:val="47"/>
              <w:rPr>
                <w:color w:val="auto"/>
              </w:rPr>
            </w:pPr>
            <w:r>
              <w:rPr>
                <w:color w:val="auto"/>
              </w:rPr>
              <w:t>《地下水质量标准》（GB/T 14848-2017）III类标准</w:t>
            </w:r>
          </w:p>
        </w:tc>
        <w:tc>
          <w:tcPr>
            <w:tcW w:w="417" w:type="pct"/>
            <w:vAlign w:val="center"/>
          </w:tcPr>
          <w:p>
            <w:pPr>
              <w:pStyle w:val="47"/>
              <w:rPr>
                <w:color w:val="auto"/>
              </w:rPr>
            </w:pPr>
            <w:r>
              <w:rPr>
                <w:color w:val="auto"/>
              </w:rPr>
              <w:t>---</w:t>
            </w:r>
          </w:p>
        </w:tc>
        <w:tc>
          <w:tcPr>
            <w:tcW w:w="537" w:type="pct"/>
            <w:vAlign w:val="center"/>
          </w:tcPr>
          <w:p>
            <w:pPr>
              <w:pStyle w:val="47"/>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Align w:val="center"/>
          </w:tcPr>
          <w:p>
            <w:pPr>
              <w:pStyle w:val="47"/>
              <w:rPr>
                <w:color w:val="auto"/>
              </w:rPr>
            </w:pPr>
            <w:r>
              <w:rPr>
                <w:color w:val="auto"/>
              </w:rPr>
              <w:t>土壤</w:t>
            </w:r>
          </w:p>
        </w:tc>
        <w:tc>
          <w:tcPr>
            <w:tcW w:w="2567" w:type="pct"/>
            <w:gridSpan w:val="4"/>
            <w:vAlign w:val="center"/>
          </w:tcPr>
          <w:p>
            <w:pPr>
              <w:pStyle w:val="47"/>
              <w:rPr>
                <w:color w:val="auto"/>
              </w:rPr>
            </w:pPr>
            <w:r>
              <w:rPr>
                <w:color w:val="auto"/>
              </w:rPr>
              <w:t>厂区及周围200m范围内土壤</w:t>
            </w:r>
          </w:p>
        </w:tc>
        <w:tc>
          <w:tcPr>
            <w:tcW w:w="1049" w:type="pct"/>
            <w:vAlign w:val="center"/>
          </w:tcPr>
          <w:p>
            <w:pPr>
              <w:pStyle w:val="47"/>
              <w:rPr>
                <w:color w:val="auto"/>
              </w:rPr>
            </w:pPr>
            <w:r>
              <w:rPr>
                <w:color w:val="auto"/>
              </w:rPr>
              <w:t>《土壤环境质量建设用地土壤污染风险管控标准》（GB36600-2018）、《土壤环境质量农用地土壤污染风险管控标准》（试行）（GB15618-2018）</w:t>
            </w:r>
          </w:p>
        </w:tc>
        <w:tc>
          <w:tcPr>
            <w:tcW w:w="417" w:type="pct"/>
            <w:vAlign w:val="center"/>
          </w:tcPr>
          <w:p>
            <w:pPr>
              <w:pStyle w:val="47"/>
              <w:rPr>
                <w:color w:val="auto"/>
              </w:rPr>
            </w:pPr>
            <w:r>
              <w:rPr>
                <w:color w:val="auto"/>
              </w:rPr>
              <w:t>---</w:t>
            </w:r>
          </w:p>
        </w:tc>
        <w:tc>
          <w:tcPr>
            <w:tcW w:w="537" w:type="pct"/>
            <w:vAlign w:val="center"/>
          </w:tcPr>
          <w:p>
            <w:pPr>
              <w:pStyle w:val="47"/>
              <w:rPr>
                <w:color w:val="auto"/>
              </w:rPr>
            </w:pPr>
            <w:r>
              <w:rPr>
                <w:color w:val="auto"/>
              </w:rPr>
              <w:t>---</w:t>
            </w:r>
          </w:p>
        </w:tc>
      </w:tr>
    </w:tbl>
    <w:p>
      <w:pPr>
        <w:spacing w:line="240" w:lineRule="auto"/>
        <w:ind w:left="0" w:leftChars="0" w:firstLine="0" w:firstLineChars="0"/>
        <w:jc w:val="both"/>
        <w:rPr>
          <w:rFonts w:eastAsia="黑体"/>
          <w:color w:val="auto"/>
          <w:sz w:val="21"/>
          <w:szCs w:val="21"/>
        </w:rPr>
      </w:pPr>
      <w:r>
        <w:rPr>
          <w:rFonts w:eastAsia="黑体"/>
          <w:color w:val="auto"/>
          <w:sz w:val="21"/>
          <w:szCs w:val="21"/>
        </w:rPr>
        <w:br w:type="page"/>
      </w:r>
    </w:p>
    <w:p>
      <w:pPr>
        <w:spacing w:line="240" w:lineRule="auto"/>
        <w:ind w:left="0" w:leftChars="0" w:firstLine="0" w:firstLineChars="0"/>
        <w:jc w:val="both"/>
        <w:rPr>
          <w:rFonts w:eastAsia="黑体"/>
          <w:color w:val="auto"/>
          <w:sz w:val="21"/>
          <w:szCs w:val="21"/>
        </w:rPr>
      </w:pPr>
    </w:p>
    <w:p>
      <w:pPr>
        <w:spacing w:line="240" w:lineRule="auto"/>
        <w:ind w:left="0" w:leftChars="0" w:firstLine="0" w:firstLineChars="0"/>
        <w:jc w:val="both"/>
        <w:rPr>
          <w:rFonts w:eastAsia="黑体"/>
          <w:color w:val="auto"/>
          <w:sz w:val="21"/>
          <w:szCs w:val="21"/>
        </w:rPr>
      </w:pPr>
    </w:p>
    <w:p>
      <w:pPr>
        <w:spacing w:line="240" w:lineRule="auto"/>
        <w:ind w:left="0" w:leftChars="0" w:firstLine="0" w:firstLineChars="0"/>
        <w:jc w:val="both"/>
        <w:rPr>
          <w:rFonts w:eastAsia="黑体"/>
          <w:color w:val="auto"/>
          <w:sz w:val="21"/>
          <w:szCs w:val="21"/>
        </w:rPr>
      </w:pPr>
    </w:p>
    <w:p>
      <w:pPr>
        <w:spacing w:line="240" w:lineRule="auto"/>
        <w:ind w:left="0" w:leftChars="0" w:firstLine="0" w:firstLineChars="0"/>
        <w:jc w:val="both"/>
        <w:rPr>
          <w:rFonts w:eastAsia="黑体"/>
          <w:color w:val="auto"/>
          <w:sz w:val="21"/>
          <w:szCs w:val="21"/>
        </w:rPr>
      </w:pPr>
    </w:p>
    <w:p>
      <w:pPr>
        <w:spacing w:line="240" w:lineRule="auto"/>
        <w:ind w:left="0" w:leftChars="0" w:firstLine="0" w:firstLineChars="0"/>
        <w:jc w:val="both"/>
        <w:rPr>
          <w:rFonts w:eastAsia="黑体"/>
          <w:color w:val="auto"/>
          <w:sz w:val="21"/>
          <w:szCs w:val="21"/>
        </w:rPr>
      </w:pPr>
    </w:p>
    <w:p>
      <w:pPr>
        <w:spacing w:line="240" w:lineRule="auto"/>
        <w:ind w:left="0" w:leftChars="0" w:firstLine="0" w:firstLineChars="0"/>
        <w:jc w:val="both"/>
        <w:rPr>
          <w:rFonts w:eastAsia="黑体"/>
          <w:color w:val="auto"/>
          <w:sz w:val="21"/>
          <w:szCs w:val="21"/>
        </w:rPr>
      </w:pPr>
    </w:p>
    <w:p>
      <w:pPr>
        <w:spacing w:line="240" w:lineRule="auto"/>
        <w:ind w:left="0" w:leftChars="0" w:firstLine="0" w:firstLineChars="0"/>
        <w:jc w:val="both"/>
        <w:rPr>
          <w:rFonts w:eastAsia="黑体"/>
          <w:color w:val="auto"/>
          <w:sz w:val="21"/>
          <w:szCs w:val="21"/>
        </w:rPr>
      </w:pPr>
    </w:p>
    <w:p>
      <w:pPr>
        <w:spacing w:line="240" w:lineRule="auto"/>
        <w:ind w:left="0" w:leftChars="0" w:firstLine="0" w:firstLineChars="0"/>
        <w:jc w:val="both"/>
        <w:rPr>
          <w:rFonts w:eastAsia="黑体"/>
          <w:color w:val="auto"/>
          <w:sz w:val="21"/>
          <w:szCs w:val="21"/>
        </w:rPr>
      </w:pPr>
    </w:p>
    <w:p>
      <w:pPr>
        <w:spacing w:line="240" w:lineRule="auto"/>
        <w:ind w:left="0" w:leftChars="0" w:firstLine="0" w:firstLineChars="0"/>
        <w:jc w:val="both"/>
        <w:rPr>
          <w:rFonts w:eastAsia="黑体"/>
          <w:color w:val="auto"/>
          <w:sz w:val="21"/>
          <w:szCs w:val="21"/>
        </w:rPr>
      </w:pPr>
    </w:p>
    <w:p>
      <w:pPr>
        <w:spacing w:line="240" w:lineRule="auto"/>
        <w:ind w:left="0" w:leftChars="0" w:firstLine="0" w:firstLineChars="0"/>
        <w:jc w:val="both"/>
        <w:rPr>
          <w:rFonts w:hint="eastAsia" w:eastAsia="黑体"/>
          <w:color w:val="auto"/>
          <w:sz w:val="21"/>
          <w:szCs w:val="21"/>
          <w:lang w:eastAsia="zh-CN"/>
        </w:rPr>
      </w:pPr>
      <w:r>
        <w:rPr>
          <w:color w:val="auto"/>
          <w:sz w:val="24"/>
        </w:rPr>
        <mc:AlternateContent>
          <mc:Choice Requires="wps">
            <w:drawing>
              <wp:anchor distT="0" distB="0" distL="114300" distR="114300" simplePos="0" relativeHeight="251819008" behindDoc="0" locked="0" layoutInCell="1" allowOverlap="1">
                <wp:simplePos x="0" y="0"/>
                <wp:positionH relativeFrom="column">
                  <wp:posOffset>1011555</wp:posOffset>
                </wp:positionH>
                <wp:positionV relativeFrom="paragraph">
                  <wp:posOffset>1859280</wp:posOffset>
                </wp:positionV>
                <wp:extent cx="842010" cy="415290"/>
                <wp:effectExtent l="0" t="0" r="15240" b="3810"/>
                <wp:wrapNone/>
                <wp:docPr id="233" name="文本框 233"/>
                <wp:cNvGraphicFramePr/>
                <a:graphic xmlns:a="http://schemas.openxmlformats.org/drawingml/2006/main">
                  <a:graphicData uri="http://schemas.microsoft.com/office/word/2010/wordprocessingShape">
                    <wps:wsp>
                      <wps:cNvSpPr txBox="1"/>
                      <wps:spPr>
                        <a:xfrm>
                          <a:off x="1974850" y="2799080"/>
                          <a:ext cx="842010" cy="415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color w:val="FF0000"/>
                                <w:lang w:val="en-US" w:eastAsia="zh-CN"/>
                              </w:rPr>
                            </w:pPr>
                            <w:r>
                              <w:rPr>
                                <w:rFonts w:hint="eastAsia"/>
                                <w:color w:val="FF0000"/>
                                <w:lang w:val="en-US" w:eastAsia="zh-CN"/>
                              </w:rPr>
                              <w:t>1000m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9.65pt;margin-top:146.4pt;height:32.7pt;width:66.3pt;z-index:251819008;mso-width-relative:page;mso-height-relative:page;" filled="f" stroked="f" coordsize="21600,21600" o:gfxdata="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BvA/RzbAAAACwEAAA8AAAAAAAAA&#10;AQAgAAAAIgAAAGRycy9kb3ducmV2LnhtbFBLAQIUABQAAAAIAIdO4kAKox3DRwIAAHUEAAAOAAAA&#10;AAAAAAEAIAAAACoBAABkcnMvZTJvRG9jLnhtbFBLBQYAAAAABgAGAFkBAADjBQAAAAA=&#10;">
                <v:fill on="f" focussize="0,0"/>
                <v:stroke on="f" weight="0.5pt"/>
                <v:imagedata o:title=""/>
                <o:lock v:ext="edit" aspectratio="f"/>
                <v:textbox>
                  <w:txbxContent>
                    <w:p>
                      <w:pPr>
                        <w:ind w:left="0" w:leftChars="0" w:firstLine="0" w:firstLineChars="0"/>
                        <w:rPr>
                          <w:rFonts w:hint="default" w:eastAsia="宋体"/>
                          <w:color w:val="FF0000"/>
                          <w:lang w:val="en-US" w:eastAsia="zh-CN"/>
                        </w:rPr>
                      </w:pPr>
                      <w:r>
                        <w:rPr>
                          <w:rFonts w:hint="eastAsia"/>
                          <w:color w:val="FF0000"/>
                          <w:lang w:val="en-US" w:eastAsia="zh-CN"/>
                        </w:rPr>
                        <w:t>1000m</w:t>
                      </w:r>
                    </w:p>
                  </w:txbxContent>
                </v:textbox>
              </v:shape>
            </w:pict>
          </mc:Fallback>
        </mc:AlternateContent>
      </w:r>
      <w:r>
        <w:rPr>
          <w:color w:val="auto"/>
          <w:sz w:val="24"/>
        </w:rPr>
        <mc:AlternateContent>
          <mc:Choice Requires="wps">
            <w:drawing>
              <wp:anchor distT="0" distB="0" distL="114300" distR="114300" simplePos="0" relativeHeight="251817984" behindDoc="0" locked="0" layoutInCell="1" allowOverlap="1">
                <wp:simplePos x="0" y="0"/>
                <wp:positionH relativeFrom="column">
                  <wp:posOffset>567055</wp:posOffset>
                </wp:positionH>
                <wp:positionV relativeFrom="paragraph">
                  <wp:posOffset>2160270</wp:posOffset>
                </wp:positionV>
                <wp:extent cx="1778000" cy="23495"/>
                <wp:effectExtent l="0" t="62865" r="12700" b="66040"/>
                <wp:wrapNone/>
                <wp:docPr id="232" name="直接箭头连接符 232"/>
                <wp:cNvGraphicFramePr/>
                <a:graphic xmlns:a="http://schemas.openxmlformats.org/drawingml/2006/main">
                  <a:graphicData uri="http://schemas.microsoft.com/office/word/2010/wordprocessingShape">
                    <wps:wsp>
                      <wps:cNvCnPr/>
                      <wps:spPr>
                        <a:xfrm flipH="1">
                          <a:off x="1466850" y="3068955"/>
                          <a:ext cx="1778000" cy="23495"/>
                        </a:xfrm>
                        <a:prstGeom prst="straightConnector1">
                          <a:avLst/>
                        </a:prstGeom>
                        <a:ln w="28575">
                          <a:solidFill>
                            <a:srgbClr val="00B0F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44.65pt;margin-top:170.1pt;height:1.85pt;width:140pt;z-index:251817984;mso-width-relative:page;mso-height-relative:page;" filled="f" stroked="t" coordsize="21600,21600" o:gfxdata="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OIK/3PVAAAACgEAAA8AAAAAAAAAAQAgAAAAIgAAAGRycy9kb3ducmV2LnhtbFBLAQIUABQAAAAI&#10;AIdO4kBQQi+TKQIAABYEAAAOAAAAAAAAAAEAIAAAACQBAABkcnMvZTJvRG9jLnhtbFBLBQYAAAAA&#10;BgAGAFkBAAC/BQAAAAA=&#10;">
                <v:fill on="f" focussize="0,0"/>
                <v:stroke weight="2.25pt" color="#00B0F0 [3204]" miterlimit="8" joinstyle="miter" startarrow="open" endarrow="open"/>
                <v:imagedata o:title=""/>
                <o:lock v:ext="edit" aspectratio="f"/>
              </v:shape>
            </w:pict>
          </mc:Fallback>
        </mc:AlternateContent>
      </w:r>
      <w:r>
        <w:rPr>
          <w:color w:val="auto"/>
        </w:rPr>
        <w:drawing>
          <wp:anchor distT="0" distB="0" distL="114300" distR="114300" simplePos="0" relativeHeight="251816960" behindDoc="0" locked="0" layoutInCell="1" allowOverlap="1">
            <wp:simplePos x="0" y="0"/>
            <wp:positionH relativeFrom="column">
              <wp:posOffset>164465</wp:posOffset>
            </wp:positionH>
            <wp:positionV relativeFrom="paragraph">
              <wp:posOffset>3526155</wp:posOffset>
            </wp:positionV>
            <wp:extent cx="186690" cy="228600"/>
            <wp:effectExtent l="0" t="0" r="3810" b="0"/>
            <wp:wrapNone/>
            <wp:docPr id="2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
                    <pic:cNvPicPr>
                      <a:picLocks noChangeAspect="1"/>
                    </pic:cNvPicPr>
                  </pic:nvPicPr>
                  <pic:blipFill>
                    <a:blip r:embed="rId52"/>
                    <a:stretch>
                      <a:fillRect/>
                    </a:stretch>
                  </pic:blipFill>
                  <pic:spPr>
                    <a:xfrm>
                      <a:off x="0" y="0"/>
                      <a:ext cx="186690" cy="228600"/>
                    </a:xfrm>
                    <a:prstGeom prst="rect">
                      <a:avLst/>
                    </a:prstGeom>
                    <a:noFill/>
                    <a:ln>
                      <a:noFill/>
                    </a:ln>
                  </pic:spPr>
                </pic:pic>
              </a:graphicData>
            </a:graphic>
          </wp:anchor>
        </w:drawing>
      </w:r>
      <w:r>
        <w:rPr>
          <w:color w:val="auto"/>
        </w:rPr>
        <mc:AlternateContent>
          <mc:Choice Requires="wps">
            <w:drawing>
              <wp:anchor distT="0" distB="0" distL="114300" distR="114300" simplePos="0" relativeHeight="251815936" behindDoc="0" locked="0" layoutInCell="1" allowOverlap="1">
                <wp:simplePos x="0" y="0"/>
                <wp:positionH relativeFrom="column">
                  <wp:posOffset>98425</wp:posOffset>
                </wp:positionH>
                <wp:positionV relativeFrom="paragraph">
                  <wp:posOffset>3260090</wp:posOffset>
                </wp:positionV>
                <wp:extent cx="246380" cy="135255"/>
                <wp:effectExtent l="6350" t="6350" r="13970" b="10795"/>
                <wp:wrapNone/>
                <wp:docPr id="230" name="矩形 230"/>
                <wp:cNvGraphicFramePr/>
                <a:graphic xmlns:a="http://schemas.openxmlformats.org/drawingml/2006/main">
                  <a:graphicData uri="http://schemas.microsoft.com/office/word/2010/wordprocessingShape">
                    <wps:wsp>
                      <wps:cNvSpPr/>
                      <wps:spPr>
                        <a:xfrm>
                          <a:off x="0" y="0"/>
                          <a:ext cx="246380" cy="135255"/>
                        </a:xfrm>
                        <a:prstGeom prst="rect">
                          <a:avLst/>
                        </a:prstGeom>
                        <a:solidFill>
                          <a:srgbClr val="7030A0">
                            <a:alpha val="21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75pt;margin-top:256.7pt;height:10.65pt;width:19.4pt;z-index:251815936;v-text-anchor:middle;mso-width-relative:page;mso-height-relative:page;" fillcolor="#7030A0" filled="t" stroked="t" coordsize="21600,21600" o:gfxdata="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Gup5brWAAAACQEAAA8AAAAAAAAA&#10;AQAgAAAAIgAAAGRycy9kb3ducmV2LnhtbFBLAQIUABQAAAAIAIdO4kBWLu1MhQIAABgFAAAOAAAA&#10;AAAAAAEAIAAAACUBAABkcnMvZTJvRG9jLnhtbFBLBQYAAAAABgAGAFkBAAAcBgAAAAA=&#10;">
                <v:fill on="t" opacity="13762f" focussize="0,0"/>
                <v:stroke weight="1pt" color="#FF0000 [3204]" miterlimit="8" joinstyle="miter"/>
                <v:imagedata o:title=""/>
                <o:lock v:ext="edit" aspectratio="f"/>
              </v:rect>
            </w:pict>
          </mc:Fallback>
        </mc:AlternateContent>
      </w:r>
      <w:r>
        <w:rPr>
          <w:color w:val="auto"/>
        </w:rPr>
        <mc:AlternateContent>
          <mc:Choice Requires="wps">
            <w:drawing>
              <wp:anchor distT="0" distB="0" distL="114300" distR="114300" simplePos="0" relativeHeight="251814912" behindDoc="0" locked="0" layoutInCell="1" allowOverlap="1">
                <wp:simplePos x="0" y="0"/>
                <wp:positionH relativeFrom="column">
                  <wp:posOffset>120650</wp:posOffset>
                </wp:positionH>
                <wp:positionV relativeFrom="paragraph">
                  <wp:posOffset>2983230</wp:posOffset>
                </wp:positionV>
                <wp:extent cx="246380" cy="135255"/>
                <wp:effectExtent l="6350" t="6350" r="13970" b="10795"/>
                <wp:wrapNone/>
                <wp:docPr id="229" name="矩形 229"/>
                <wp:cNvGraphicFramePr/>
                <a:graphic xmlns:a="http://schemas.openxmlformats.org/drawingml/2006/main">
                  <a:graphicData uri="http://schemas.microsoft.com/office/word/2010/wordprocessingShape">
                    <wps:wsp>
                      <wps:cNvSpPr/>
                      <wps:spPr>
                        <a:xfrm>
                          <a:off x="0" y="0"/>
                          <a:ext cx="246380" cy="135255"/>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5pt;margin-top:234.9pt;height:10.65pt;width:19.4pt;z-index:251814912;v-text-anchor:middle;mso-width-relative:page;mso-height-relative:page;" filled="f" stroked="t" coordsize="21600,21600" o:gfxdata="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g54yu1wAAAAkBAAAPAAAAAAAAAAEAIAAAACIAAABkcnMvZG93bnJldi54&#10;bWxQSwECFAAUAAAACACHTuJAsvESkG0CAADOBAAADgAAAAAAAAABACAAAAAmAQAAZHJzL2Uyb0Rv&#10;Yy54bWxQSwUGAAAAAAYABgBZAQAABQYAAAAA&#10;">
                <v:fill on="f" focussize="0,0"/>
                <v:stroke weight="1pt" color="#00B050 [3204]" miterlimit="8" joinstyle="miter"/>
                <v:imagedata o:title=""/>
                <o:lock v:ext="edit" aspectratio="f"/>
              </v:rect>
            </w:pict>
          </mc:Fallback>
        </mc:AlternateContent>
      </w:r>
      <w:r>
        <w:rPr>
          <w:color w:val="auto"/>
        </w:rPr>
        <mc:AlternateContent>
          <mc:Choice Requires="wps">
            <w:drawing>
              <wp:anchor distT="0" distB="0" distL="114300" distR="114300" simplePos="0" relativeHeight="251813888" behindDoc="0" locked="0" layoutInCell="1" allowOverlap="1">
                <wp:simplePos x="0" y="0"/>
                <wp:positionH relativeFrom="column">
                  <wp:posOffset>31115</wp:posOffset>
                </wp:positionH>
                <wp:positionV relativeFrom="paragraph">
                  <wp:posOffset>2656205</wp:posOffset>
                </wp:positionV>
                <wp:extent cx="1540510" cy="1224280"/>
                <wp:effectExtent l="6350" t="6350" r="15240" b="7620"/>
                <wp:wrapNone/>
                <wp:docPr id="228" name="文本框 228"/>
                <wp:cNvGraphicFramePr/>
                <a:graphic xmlns:a="http://schemas.openxmlformats.org/drawingml/2006/main">
                  <a:graphicData uri="http://schemas.microsoft.com/office/word/2010/wordprocessingShape">
                    <wps:wsp>
                      <wps:cNvSpPr txBox="1"/>
                      <wps:spPr>
                        <a:xfrm>
                          <a:off x="0" y="0"/>
                          <a:ext cx="1540510" cy="1224280"/>
                        </a:xfrm>
                        <a:prstGeom prst="rect">
                          <a:avLst/>
                        </a:prstGeom>
                        <a:solidFill>
                          <a:schemeClr val="bg1"/>
                        </a:solid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rPr>
                                <w:sz w:val="21"/>
                                <w:szCs w:val="16"/>
                              </w:rPr>
                            </w:pPr>
                            <w:r>
                              <w:rPr>
                                <w:rFonts w:hint="eastAsia"/>
                                <w:sz w:val="21"/>
                                <w:szCs w:val="16"/>
                              </w:rPr>
                              <w:t>图例：</w:t>
                            </w:r>
                          </w:p>
                          <w:p>
                            <w:pPr>
                              <w:pStyle w:val="14"/>
                              <w:keepNext w:val="0"/>
                              <w:keepLines w:val="0"/>
                              <w:pageBreakBefore w:val="0"/>
                              <w:kinsoku/>
                              <w:wordWrap/>
                              <w:overflowPunct/>
                              <w:topLinePunct w:val="0"/>
                              <w:autoSpaceDE/>
                              <w:autoSpaceDN/>
                              <w:bidi w:val="0"/>
                              <w:adjustRightInd/>
                              <w:snapToGrid/>
                              <w:spacing w:after="0" w:line="360" w:lineRule="auto"/>
                              <w:ind w:firstLine="420" w:firstLineChars="200"/>
                              <w:textAlignment w:val="auto"/>
                              <w:rPr>
                                <w:sz w:val="21"/>
                                <w:szCs w:val="16"/>
                              </w:rPr>
                            </w:pPr>
                            <w:r>
                              <w:rPr>
                                <w:rFonts w:hint="eastAsia"/>
                                <w:sz w:val="21"/>
                                <w:szCs w:val="16"/>
                              </w:rPr>
                              <w:t>厂界轮廓线</w:t>
                            </w:r>
                          </w:p>
                          <w:p>
                            <w:pPr>
                              <w:pStyle w:val="14"/>
                              <w:keepNext w:val="0"/>
                              <w:keepLines w:val="0"/>
                              <w:pageBreakBefore w:val="0"/>
                              <w:kinsoku/>
                              <w:wordWrap/>
                              <w:overflowPunct/>
                              <w:topLinePunct w:val="0"/>
                              <w:autoSpaceDE/>
                              <w:autoSpaceDN/>
                              <w:bidi w:val="0"/>
                              <w:adjustRightInd/>
                              <w:snapToGrid/>
                              <w:spacing w:after="0" w:line="360" w:lineRule="auto"/>
                              <w:ind w:firstLine="420" w:firstLineChars="200"/>
                              <w:textAlignment w:val="auto"/>
                              <w:rPr>
                                <w:rFonts w:hint="eastAsia"/>
                                <w:sz w:val="21"/>
                                <w:szCs w:val="16"/>
                              </w:rPr>
                            </w:pPr>
                            <w:r>
                              <w:rPr>
                                <w:rFonts w:hint="eastAsia"/>
                                <w:sz w:val="21"/>
                                <w:szCs w:val="16"/>
                              </w:rPr>
                              <w:t>敏感目标</w:t>
                            </w:r>
                          </w:p>
                          <w:p>
                            <w:pPr>
                              <w:pStyle w:val="14"/>
                              <w:keepNext w:val="0"/>
                              <w:keepLines w:val="0"/>
                              <w:pageBreakBefore w:val="0"/>
                              <w:kinsoku/>
                              <w:wordWrap/>
                              <w:overflowPunct/>
                              <w:topLinePunct w:val="0"/>
                              <w:autoSpaceDE/>
                              <w:autoSpaceDN/>
                              <w:bidi w:val="0"/>
                              <w:adjustRightInd/>
                              <w:snapToGrid/>
                              <w:spacing w:after="0" w:line="360" w:lineRule="auto"/>
                              <w:ind w:firstLine="420" w:firstLineChars="200"/>
                              <w:textAlignment w:val="auto"/>
                              <w:rPr>
                                <w:rFonts w:hint="eastAsia"/>
                              </w:rPr>
                            </w:pPr>
                            <w:r>
                              <w:rPr>
                                <w:rFonts w:hint="eastAsia"/>
                                <w:sz w:val="21"/>
                                <w:szCs w:val="16"/>
                              </w:rPr>
                              <w:t>敏感目标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5pt;margin-top:209.15pt;height:96.4pt;width:121.3pt;z-index:251813888;mso-width-relative:page;mso-height-relative:page;" fillcolor="#FFFFFF [3212]" filled="t" stroked="t" coordsize="21600,21600" o:gfxdata="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10;Lvug3AAAAAkBAAAPAAAAAAAAAAEAIAAAACIAAABkcnMvZG93bnJldi54bWxQSwECFAAUAAAACACH&#10;TuJAX9Ry4VkCAAC+BAAADgAAAAAAAAABACAAAAArAQAAZHJzL2Uyb0RvYy54bWxQSwUGAAAAAAYA&#10;BgBZAQAA9gUAAAAA&#10;">
                <v:fill on="t" focussize="0,0"/>
                <v:stroke weight="1pt" color="#000000 [3213]" joinstyle="round"/>
                <v:imagedata o:title=""/>
                <o:lock v:ext="edit" aspectratio="f"/>
                <v:textbox>
                  <w:txbxContent>
                    <w:p>
                      <w:pPr>
                        <w:spacing w:line="240" w:lineRule="auto"/>
                        <w:ind w:firstLine="0" w:firstLineChars="0"/>
                        <w:rPr>
                          <w:sz w:val="21"/>
                          <w:szCs w:val="16"/>
                        </w:rPr>
                      </w:pPr>
                      <w:r>
                        <w:rPr>
                          <w:rFonts w:hint="eastAsia"/>
                          <w:sz w:val="21"/>
                          <w:szCs w:val="16"/>
                        </w:rPr>
                        <w:t>图例：</w:t>
                      </w:r>
                    </w:p>
                    <w:p>
                      <w:pPr>
                        <w:pStyle w:val="14"/>
                        <w:keepNext w:val="0"/>
                        <w:keepLines w:val="0"/>
                        <w:pageBreakBefore w:val="0"/>
                        <w:kinsoku/>
                        <w:wordWrap/>
                        <w:overflowPunct/>
                        <w:topLinePunct w:val="0"/>
                        <w:autoSpaceDE/>
                        <w:autoSpaceDN/>
                        <w:bidi w:val="0"/>
                        <w:adjustRightInd/>
                        <w:snapToGrid/>
                        <w:spacing w:after="0" w:line="360" w:lineRule="auto"/>
                        <w:ind w:firstLine="420" w:firstLineChars="200"/>
                        <w:textAlignment w:val="auto"/>
                        <w:rPr>
                          <w:sz w:val="21"/>
                          <w:szCs w:val="16"/>
                        </w:rPr>
                      </w:pPr>
                      <w:r>
                        <w:rPr>
                          <w:rFonts w:hint="eastAsia"/>
                          <w:sz w:val="21"/>
                          <w:szCs w:val="16"/>
                        </w:rPr>
                        <w:t>厂界轮廓线</w:t>
                      </w:r>
                    </w:p>
                    <w:p>
                      <w:pPr>
                        <w:pStyle w:val="14"/>
                        <w:keepNext w:val="0"/>
                        <w:keepLines w:val="0"/>
                        <w:pageBreakBefore w:val="0"/>
                        <w:kinsoku/>
                        <w:wordWrap/>
                        <w:overflowPunct/>
                        <w:topLinePunct w:val="0"/>
                        <w:autoSpaceDE/>
                        <w:autoSpaceDN/>
                        <w:bidi w:val="0"/>
                        <w:adjustRightInd/>
                        <w:snapToGrid/>
                        <w:spacing w:after="0" w:line="360" w:lineRule="auto"/>
                        <w:ind w:firstLine="420" w:firstLineChars="200"/>
                        <w:textAlignment w:val="auto"/>
                        <w:rPr>
                          <w:rFonts w:hint="eastAsia"/>
                          <w:sz w:val="21"/>
                          <w:szCs w:val="16"/>
                        </w:rPr>
                      </w:pPr>
                      <w:r>
                        <w:rPr>
                          <w:rFonts w:hint="eastAsia"/>
                          <w:sz w:val="21"/>
                          <w:szCs w:val="16"/>
                        </w:rPr>
                        <w:t>敏感目标</w:t>
                      </w:r>
                    </w:p>
                    <w:p>
                      <w:pPr>
                        <w:pStyle w:val="14"/>
                        <w:keepNext w:val="0"/>
                        <w:keepLines w:val="0"/>
                        <w:pageBreakBefore w:val="0"/>
                        <w:kinsoku/>
                        <w:wordWrap/>
                        <w:overflowPunct/>
                        <w:topLinePunct w:val="0"/>
                        <w:autoSpaceDE/>
                        <w:autoSpaceDN/>
                        <w:bidi w:val="0"/>
                        <w:adjustRightInd/>
                        <w:snapToGrid/>
                        <w:spacing w:after="0" w:line="360" w:lineRule="auto"/>
                        <w:ind w:firstLine="420" w:firstLineChars="200"/>
                        <w:textAlignment w:val="auto"/>
                        <w:rPr>
                          <w:rFonts w:hint="eastAsia"/>
                        </w:rPr>
                      </w:pPr>
                      <w:r>
                        <w:rPr>
                          <w:rFonts w:hint="eastAsia"/>
                          <w:sz w:val="21"/>
                          <w:szCs w:val="16"/>
                        </w:rPr>
                        <w:t>敏感目标</w:t>
                      </w:r>
                    </w:p>
                  </w:txbxContent>
                </v:textbox>
              </v:shape>
            </w:pict>
          </mc:Fallback>
        </mc:AlternateContent>
      </w:r>
      <w:r>
        <w:rPr>
          <w:rFonts w:hint="eastAsia" w:eastAsia="黑体"/>
          <w:color w:val="auto"/>
          <w:sz w:val="21"/>
          <w:szCs w:val="21"/>
          <w:lang w:eastAsia="zh-CN"/>
        </w:rPr>
        <w:drawing>
          <wp:inline distT="0" distB="0" distL="114300" distR="114300">
            <wp:extent cx="5655310" cy="3823335"/>
            <wp:effectExtent l="0" t="0" r="2540" b="5715"/>
            <wp:docPr id="227" name="图片 227" descr="矩形区域(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矩形区域(6)"/>
                    <pic:cNvPicPr>
                      <a:picLocks noChangeAspect="1"/>
                    </pic:cNvPicPr>
                  </pic:nvPicPr>
                  <pic:blipFill>
                    <a:blip r:embed="rId53"/>
                    <a:stretch>
                      <a:fillRect/>
                    </a:stretch>
                  </pic:blipFill>
                  <pic:spPr>
                    <a:xfrm>
                      <a:off x="0" y="0"/>
                      <a:ext cx="5655310" cy="3823335"/>
                    </a:xfrm>
                    <a:prstGeom prst="rect">
                      <a:avLst/>
                    </a:prstGeom>
                  </pic:spPr>
                </pic:pic>
              </a:graphicData>
            </a:graphic>
          </wp:inline>
        </w:drawing>
      </w:r>
    </w:p>
    <w:p>
      <w:pPr>
        <w:pStyle w:val="2"/>
        <w:ind w:left="0" w:leftChars="0" w:firstLine="0" w:firstLineChars="0"/>
        <w:jc w:val="center"/>
        <w:rPr>
          <w:rFonts w:hint="default" w:ascii="Times New Roman" w:hAnsi="Times New Roman" w:eastAsia="黑体" w:cs="Times New Roman"/>
          <w:color w:val="auto"/>
          <w:kern w:val="2"/>
          <w:sz w:val="21"/>
          <w:szCs w:val="21"/>
          <w:lang w:val="en-US" w:eastAsia="zh-CN" w:bidi="ar-SA"/>
        </w:rPr>
        <w:sectPr>
          <w:footerReference r:id="rId15" w:type="default"/>
          <w:pgSz w:w="11906" w:h="16838"/>
          <w:pgMar w:top="1417" w:right="1417" w:bottom="1417" w:left="1417" w:header="851" w:footer="992" w:gutter="0"/>
          <w:pgBorders>
            <w:top w:val="none" w:sz="0" w:space="0"/>
            <w:left w:val="none" w:sz="0" w:space="0"/>
            <w:bottom w:val="none" w:sz="0" w:space="0"/>
            <w:right w:val="none" w:sz="0" w:space="0"/>
          </w:pgBorders>
          <w:pgNumType w:start="6"/>
          <w:cols w:space="425" w:num="1"/>
          <w:docGrid w:type="lines" w:linePitch="312" w:charSpace="0"/>
        </w:sectPr>
      </w:pPr>
      <w:r>
        <w:rPr>
          <w:rFonts w:hint="eastAsia" w:ascii="Times New Roman" w:hAnsi="Times New Roman" w:eastAsia="黑体" w:cs="Times New Roman"/>
          <w:color w:val="auto"/>
          <w:kern w:val="2"/>
          <w:sz w:val="21"/>
          <w:szCs w:val="21"/>
          <w:lang w:val="en-US" w:eastAsia="zh-CN" w:bidi="ar-SA"/>
        </w:rPr>
        <w:t>图1.7-1近距离敏感目标分布图</w:t>
      </w:r>
    </w:p>
    <w:p>
      <w:pPr>
        <w:spacing w:line="240" w:lineRule="auto"/>
        <w:jc w:val="center"/>
        <w:rPr>
          <w:rFonts w:hint="eastAsia" w:eastAsiaTheme="minorEastAsia"/>
          <w:color w:val="auto"/>
          <w:lang w:eastAsia="zh-CN"/>
        </w:rPr>
      </w:pPr>
      <w:r>
        <w:rPr>
          <w:rFonts w:eastAsia="黑体"/>
          <w:color w:val="auto"/>
          <w:sz w:val="21"/>
          <w:szCs w:val="21"/>
        </w:rPr>
        <mc:AlternateContent>
          <mc:Choice Requires="wps">
            <w:drawing>
              <wp:anchor distT="0" distB="0" distL="114300" distR="114300" simplePos="0" relativeHeight="251810816" behindDoc="0" locked="0" layoutInCell="1" allowOverlap="1">
                <wp:simplePos x="0" y="0"/>
                <wp:positionH relativeFrom="column">
                  <wp:posOffset>6674485</wp:posOffset>
                </wp:positionH>
                <wp:positionV relativeFrom="paragraph">
                  <wp:posOffset>1414780</wp:posOffset>
                </wp:positionV>
                <wp:extent cx="86360" cy="963295"/>
                <wp:effectExtent l="19050" t="0" r="85090" b="8255"/>
                <wp:wrapNone/>
                <wp:docPr id="223" name="直接箭头连接符 223"/>
                <wp:cNvGraphicFramePr/>
                <a:graphic xmlns:a="http://schemas.openxmlformats.org/drawingml/2006/main">
                  <a:graphicData uri="http://schemas.microsoft.com/office/word/2010/wordprocessingShape">
                    <wps:wsp>
                      <wps:cNvCnPr/>
                      <wps:spPr>
                        <a:xfrm flipV="1">
                          <a:off x="0" y="0"/>
                          <a:ext cx="86360" cy="963295"/>
                        </a:xfrm>
                        <a:prstGeom prst="straightConnector1">
                          <a:avLst/>
                        </a:prstGeom>
                        <a:ln w="38100">
                          <a:solidFill>
                            <a:srgbClr val="00FFFF"/>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525.55pt;margin-top:111.4pt;height:75.85pt;width:6.8pt;z-index:251810816;mso-width-relative:page;mso-height-relative:page;" filled="f" stroked="t" coordsize="21600,21600" o:gfxdata="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ZC7ln2AAAAA0BAAAPAAAAAAAA&#10;AAEAIAAAACIAAABkcnMvZG93bnJldi54bWxQSwECFAAUAAAACACHTuJAaSG4sRICAADwAwAADgAA&#10;AAAAAAABACAAAAAnAQAAZHJzL2Uyb0RvYy54bWxQSwUGAAAAAAYABgBZAQAAqwUAAAAA&#10;">
                <v:fill on="f" focussize="0,0"/>
                <v:stroke weight="3pt" color="#00FFFF [3204]" miterlimit="8" joinstyle="miter" endarrow="open"/>
                <v:imagedata o:title=""/>
                <o:lock v:ext="edit" aspectratio="f"/>
              </v:shape>
            </w:pict>
          </mc:Fallback>
        </mc:AlternateContent>
      </w:r>
      <w:r>
        <w:rPr>
          <w:rFonts w:hint="eastAsia" w:eastAsia="黑体"/>
          <w:b/>
          <w:bCs/>
          <w:color w:val="auto"/>
          <w:szCs w:val="24"/>
        </w:rPr>
        <w:drawing>
          <wp:anchor distT="0" distB="0" distL="114300" distR="114300" simplePos="0" relativeHeight="251812864" behindDoc="0" locked="0" layoutInCell="1" allowOverlap="1">
            <wp:simplePos x="0" y="0"/>
            <wp:positionH relativeFrom="column">
              <wp:posOffset>7370445</wp:posOffset>
            </wp:positionH>
            <wp:positionV relativeFrom="paragraph">
              <wp:posOffset>35560</wp:posOffset>
            </wp:positionV>
            <wp:extent cx="775970" cy="807720"/>
            <wp:effectExtent l="0" t="0" r="5080" b="11430"/>
            <wp:wrapNone/>
            <wp:docPr id="225" name="图片 225" descr="9231966187c51f82577e5b8e845b6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9231966187c51f82577e5b8e845b6da"/>
                    <pic:cNvPicPr>
                      <a:picLocks noChangeAspect="1"/>
                    </pic:cNvPicPr>
                  </pic:nvPicPr>
                  <pic:blipFill>
                    <a:blip r:embed="rId54"/>
                    <a:stretch>
                      <a:fillRect/>
                    </a:stretch>
                  </pic:blipFill>
                  <pic:spPr>
                    <a:xfrm>
                      <a:off x="0" y="0"/>
                      <a:ext cx="775970" cy="807720"/>
                    </a:xfrm>
                    <a:prstGeom prst="rect">
                      <a:avLst/>
                    </a:prstGeom>
                  </pic:spPr>
                </pic:pic>
              </a:graphicData>
            </a:graphic>
          </wp:anchor>
        </w:drawing>
      </w:r>
      <w:r>
        <w:rPr>
          <w:rFonts w:eastAsia="黑体"/>
          <w:color w:val="auto"/>
          <w:sz w:val="21"/>
          <w:szCs w:val="21"/>
        </w:rPr>
        <mc:AlternateContent>
          <mc:Choice Requires="wps">
            <w:drawing>
              <wp:anchor distT="0" distB="0" distL="114300" distR="114300" simplePos="0" relativeHeight="251800576" behindDoc="0" locked="0" layoutInCell="1" allowOverlap="1">
                <wp:simplePos x="0" y="0"/>
                <wp:positionH relativeFrom="column">
                  <wp:posOffset>3070860</wp:posOffset>
                </wp:positionH>
                <wp:positionV relativeFrom="paragraph">
                  <wp:posOffset>1460500</wp:posOffset>
                </wp:positionV>
                <wp:extent cx="2540000" cy="2581275"/>
                <wp:effectExtent l="509905" t="524510" r="528320" b="535940"/>
                <wp:wrapNone/>
                <wp:docPr id="139" name="矩形 139"/>
                <wp:cNvGraphicFramePr/>
                <a:graphic xmlns:a="http://schemas.openxmlformats.org/drawingml/2006/main">
                  <a:graphicData uri="http://schemas.microsoft.com/office/word/2010/wordprocessingShape">
                    <wps:wsp>
                      <wps:cNvSpPr/>
                      <wps:spPr>
                        <a:xfrm rot="3420000">
                          <a:off x="0" y="0"/>
                          <a:ext cx="2540000" cy="2581275"/>
                        </a:xfrm>
                        <a:prstGeom prst="rect">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480"/>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1.8pt;margin-top:115pt;height:203.25pt;width:200pt;rotation:3735552f;z-index:251800576;v-text-anchor:middle;mso-width-relative:page;mso-height-relative:page;" filled="f" stroked="t" coordsize="21600,21600" o:gfxdata="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OiXSqrYAAAACwEAAA8AAAAAAAAAAQAgAAAA&#10;IgAAAGRycy9kb3ducmV2LnhtbFBLAQIUABQAAAAIAIdO4kAiU2M8fQIAAOkEAAAOAAAAAAAAAAEA&#10;IAAAACcBAABkcnMvZTJvRG9jLnhtbFBLBQYAAAAABgAGAFkBAAAWBgAAAAA=&#10;">
                <v:fill on="f" focussize="0,0"/>
                <v:stroke weight="3pt" color="#00B0F0 [3204]" miterlimit="8" joinstyle="miter"/>
                <v:imagedata o:title=""/>
                <o:lock v:ext="edit" aspectratio="f"/>
                <v:textbox>
                  <w:txbxContent>
                    <w:p>
                      <w:pPr>
                        <w:ind w:firstLine="480"/>
                        <w:jc w:val="center"/>
                      </w:pPr>
                    </w:p>
                  </w:txbxContent>
                </v:textbox>
              </v:rect>
            </w:pict>
          </mc:Fallback>
        </mc:AlternateContent>
      </w:r>
      <w:r>
        <w:rPr>
          <w:color w:val="auto"/>
        </w:rPr>
        <mc:AlternateContent>
          <mc:Choice Requires="wps">
            <w:drawing>
              <wp:anchor distT="0" distB="0" distL="114300" distR="114300" simplePos="0" relativeHeight="251803648" behindDoc="0" locked="0" layoutInCell="1" allowOverlap="1">
                <wp:simplePos x="0" y="0"/>
                <wp:positionH relativeFrom="column">
                  <wp:posOffset>1152525</wp:posOffset>
                </wp:positionH>
                <wp:positionV relativeFrom="paragraph">
                  <wp:posOffset>2856230</wp:posOffset>
                </wp:positionV>
                <wp:extent cx="246380" cy="135255"/>
                <wp:effectExtent l="6350" t="6350" r="13970" b="10795"/>
                <wp:wrapNone/>
                <wp:docPr id="141" name="矩形 141"/>
                <wp:cNvGraphicFramePr/>
                <a:graphic xmlns:a="http://schemas.openxmlformats.org/drawingml/2006/main">
                  <a:graphicData uri="http://schemas.microsoft.com/office/word/2010/wordprocessingShape">
                    <wps:wsp>
                      <wps:cNvSpPr/>
                      <wps:spPr>
                        <a:xfrm>
                          <a:off x="0" y="0"/>
                          <a:ext cx="246380" cy="135255"/>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0.75pt;margin-top:224.9pt;height:10.65pt;width:19.4pt;z-index:251803648;v-text-anchor:middle;mso-width-relative:page;mso-height-relative:page;" filled="f" stroked="t" coordsize="21600,21600" o:gfxdata="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QFik5dkAAAALAQAADwAAAAAAAAABACAAAAAiAAAAZHJzL2Rvd25yZXYu&#10;eG1sUEsBAhQAFAAAAAgAh07iQEi0WgZsAgAAzgQAAA4AAAAAAAAAAQAgAAAAKAEAAGRycy9lMm9E&#10;b2MueG1sUEsFBgAAAAAGAAYAWQEAAAYGAAAAAA==&#10;">
                <v:fill on="f" focussize="0,0"/>
                <v:stroke weight="1pt" color="#00B050 [3204]" miterlimit="8" joinstyle="miter"/>
                <v:imagedata o:title=""/>
                <o:lock v:ext="edit" aspectratio="f"/>
              </v:rect>
            </w:pict>
          </mc:Fallback>
        </mc:AlternateContent>
      </w:r>
      <w:r>
        <w:rPr>
          <w:color w:val="auto"/>
        </w:rPr>
        <mc:AlternateContent>
          <mc:Choice Requires="wps">
            <w:drawing>
              <wp:anchor distT="0" distB="0" distL="114300" distR="114300" simplePos="0" relativeHeight="251804672" behindDoc="0" locked="0" layoutInCell="1" allowOverlap="1">
                <wp:simplePos x="0" y="0"/>
                <wp:positionH relativeFrom="column">
                  <wp:posOffset>1130300</wp:posOffset>
                </wp:positionH>
                <wp:positionV relativeFrom="paragraph">
                  <wp:posOffset>3180715</wp:posOffset>
                </wp:positionV>
                <wp:extent cx="246380" cy="135255"/>
                <wp:effectExtent l="6350" t="6350" r="13970" b="10795"/>
                <wp:wrapNone/>
                <wp:docPr id="142" name="矩形 142"/>
                <wp:cNvGraphicFramePr/>
                <a:graphic xmlns:a="http://schemas.openxmlformats.org/drawingml/2006/main">
                  <a:graphicData uri="http://schemas.microsoft.com/office/word/2010/wordprocessingShape">
                    <wps:wsp>
                      <wps:cNvSpPr/>
                      <wps:spPr>
                        <a:xfrm>
                          <a:off x="0" y="0"/>
                          <a:ext cx="246380" cy="135255"/>
                        </a:xfrm>
                        <a:prstGeom prst="rect">
                          <a:avLst/>
                        </a:prstGeom>
                        <a:solidFill>
                          <a:srgbClr val="7030A0">
                            <a:alpha val="21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9pt;margin-top:250.45pt;height:10.65pt;width:19.4pt;z-index:251804672;v-text-anchor:middle;mso-width-relative:page;mso-height-relative:page;" fillcolor="#7030A0" filled="t" stroked="t" coordsize="21600,21600" o:gfxdata="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H+vl11wAAAAsBAAAPAAAAAAAA&#10;AAEAIAAAACIAAABkcnMvZG93bnJldi54bWxQSwECFAAUAAAACACHTuJAn67eLYUCAAAYBQAADgAA&#10;AAAAAAABACAAAAAmAQAAZHJzL2Uyb0RvYy54bWxQSwUGAAAAAAYABgBZAQAAHQYAAAAA&#10;">
                <v:fill on="t" opacity="13762f" focussize="0,0"/>
                <v:stroke weight="1pt" color="#FF0000 [3204]" miterlimit="8" joinstyle="miter"/>
                <v:imagedata o:title=""/>
                <o:lock v:ext="edit" aspectratio="f"/>
              </v:rect>
            </w:pict>
          </mc:Fallback>
        </mc:AlternateContent>
      </w:r>
      <w:r>
        <w:rPr>
          <w:color w:val="auto"/>
        </w:rPr>
        <w:drawing>
          <wp:anchor distT="0" distB="0" distL="114300" distR="114300" simplePos="0" relativeHeight="251811840" behindDoc="0" locked="0" layoutInCell="1" allowOverlap="1">
            <wp:simplePos x="0" y="0"/>
            <wp:positionH relativeFrom="column">
              <wp:posOffset>1203960</wp:posOffset>
            </wp:positionH>
            <wp:positionV relativeFrom="paragraph">
              <wp:posOffset>3430905</wp:posOffset>
            </wp:positionV>
            <wp:extent cx="186690" cy="228600"/>
            <wp:effectExtent l="0" t="0" r="3810" b="0"/>
            <wp:wrapNone/>
            <wp:docPr id="2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
                    <pic:cNvPicPr>
                      <a:picLocks noChangeAspect="1"/>
                    </pic:cNvPicPr>
                  </pic:nvPicPr>
                  <pic:blipFill>
                    <a:blip r:embed="rId52"/>
                    <a:stretch>
                      <a:fillRect/>
                    </a:stretch>
                  </pic:blipFill>
                  <pic:spPr>
                    <a:xfrm>
                      <a:off x="0" y="0"/>
                      <a:ext cx="186690" cy="228600"/>
                    </a:xfrm>
                    <a:prstGeom prst="rect">
                      <a:avLst/>
                    </a:prstGeom>
                    <a:noFill/>
                    <a:ln>
                      <a:noFill/>
                    </a:ln>
                  </pic:spPr>
                </pic:pic>
              </a:graphicData>
            </a:graphic>
          </wp:anchor>
        </w:drawing>
      </w:r>
      <w:r>
        <w:rPr>
          <w:color w:val="auto"/>
        </w:rPr>
        <mc:AlternateContent>
          <mc:Choice Requires="wps">
            <w:drawing>
              <wp:anchor distT="0" distB="0" distL="114300" distR="114300" simplePos="0" relativeHeight="251805696" behindDoc="0" locked="0" layoutInCell="1" allowOverlap="1">
                <wp:simplePos x="0" y="0"/>
                <wp:positionH relativeFrom="column">
                  <wp:posOffset>1137920</wp:posOffset>
                </wp:positionH>
                <wp:positionV relativeFrom="paragraph">
                  <wp:posOffset>3766820</wp:posOffset>
                </wp:positionV>
                <wp:extent cx="246380" cy="135255"/>
                <wp:effectExtent l="6350" t="6350" r="13970" b="10795"/>
                <wp:wrapNone/>
                <wp:docPr id="143" name="矩形 143"/>
                <wp:cNvGraphicFramePr/>
                <a:graphic xmlns:a="http://schemas.openxmlformats.org/drawingml/2006/main">
                  <a:graphicData uri="http://schemas.microsoft.com/office/word/2010/wordprocessingShape">
                    <wps:wsp>
                      <wps:cNvSpPr/>
                      <wps:spPr>
                        <a:xfrm>
                          <a:off x="0" y="0"/>
                          <a:ext cx="246380" cy="135255"/>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9.6pt;margin-top:296.6pt;height:10.65pt;width:19.4pt;z-index:251805696;v-text-anchor:middle;mso-width-relative:page;mso-height-relative:page;" filled="f" stroked="t" coordsize="21600,21600" o:gfxdata="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HOuhtoAAAALAQAADwAAAAAAAAABACAAAAAiAAAAZHJzL2Rvd25yZXYu&#10;eG1sUEsBAhQAFAAAAAgAh07iQGx+lUZrAgAAzgQAAA4AAAAAAAAAAQAgAAAAKQEAAGRycy9lMm9E&#10;b2MueG1sUEsFBgAAAAAGAAYAWQEAAAYGAAAAAA==&#10;">
                <v:fill on="f" focussize="0,0"/>
                <v:stroke weight="1pt" color="#FFC000 [3204]" miterlimit="8" joinstyle="miter"/>
                <v:imagedata o:title=""/>
                <o:lock v:ext="edit" aspectratio="f"/>
              </v:rect>
            </w:pict>
          </mc:Fallback>
        </mc:AlternateContent>
      </w:r>
      <w:r>
        <w:rPr>
          <w:color w:val="auto"/>
        </w:rPr>
        <mc:AlternateContent>
          <mc:Choice Requires="wps">
            <w:drawing>
              <wp:anchor distT="0" distB="0" distL="114300" distR="114300" simplePos="0" relativeHeight="251807744" behindDoc="0" locked="0" layoutInCell="1" allowOverlap="1">
                <wp:simplePos x="0" y="0"/>
                <wp:positionH relativeFrom="column">
                  <wp:posOffset>1141095</wp:posOffset>
                </wp:positionH>
                <wp:positionV relativeFrom="paragraph">
                  <wp:posOffset>4067810</wp:posOffset>
                </wp:positionV>
                <wp:extent cx="246380" cy="135255"/>
                <wp:effectExtent l="6350" t="6350" r="13970" b="10795"/>
                <wp:wrapNone/>
                <wp:docPr id="221" name="矩形 221"/>
                <wp:cNvGraphicFramePr/>
                <a:graphic xmlns:a="http://schemas.openxmlformats.org/drawingml/2006/main">
                  <a:graphicData uri="http://schemas.microsoft.com/office/word/2010/wordprocessingShape">
                    <wps:wsp>
                      <wps:cNvSpPr/>
                      <wps:spPr>
                        <a:xfrm>
                          <a:off x="0" y="0"/>
                          <a:ext cx="246380" cy="13525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9.85pt;margin-top:320.3pt;height:10.65pt;width:19.4pt;z-index:251807744;v-text-anchor:middle;mso-width-relative:page;mso-height-relative:page;" filled="f" stroked="t" coordsize="21600,21600" o:gfxdata="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VfOqX2AAAAAsBAAAPAAAAAAAAAAEAIAAAACIAAABkcnMvZG93bnJldi54&#10;bWxQSwECFAAUAAAACACHTuJAHiA/XGwCAADOBAAADgAAAAAAAAABACAAAAAnAQAAZHJzL2Uyb0Rv&#10;Yy54bWxQSwUGAAAAAAYABgBZAQAABQYAAAAA&#10;">
                <v:fill on="f" focussize="0,0"/>
                <v:stroke weight="1pt" color="#00B0F0 [3204]" miterlimit="8" joinstyle="miter"/>
                <v:imagedata o:title=""/>
                <o:lock v:ext="edit" aspectratio="f"/>
              </v:rect>
            </w:pict>
          </mc:Fallback>
        </mc:AlternateContent>
      </w:r>
      <w:r>
        <w:rPr>
          <w:color w:val="auto"/>
        </w:rPr>
        <mc:AlternateContent>
          <mc:Choice Requires="wps">
            <w:drawing>
              <wp:anchor distT="0" distB="0" distL="114300" distR="114300" simplePos="0" relativeHeight="251806720" behindDoc="0" locked="0" layoutInCell="1" allowOverlap="1">
                <wp:simplePos x="0" y="0"/>
                <wp:positionH relativeFrom="column">
                  <wp:posOffset>1127760</wp:posOffset>
                </wp:positionH>
                <wp:positionV relativeFrom="paragraph">
                  <wp:posOffset>4366260</wp:posOffset>
                </wp:positionV>
                <wp:extent cx="246380" cy="135255"/>
                <wp:effectExtent l="6350" t="6350" r="13970" b="10795"/>
                <wp:wrapNone/>
                <wp:docPr id="145" name="矩形 145"/>
                <wp:cNvGraphicFramePr/>
                <a:graphic xmlns:a="http://schemas.openxmlformats.org/drawingml/2006/main">
                  <a:graphicData uri="http://schemas.microsoft.com/office/word/2010/wordprocessingShape">
                    <wps:wsp>
                      <wps:cNvSpPr/>
                      <wps:spPr>
                        <a:xfrm>
                          <a:off x="0" y="0"/>
                          <a:ext cx="246380" cy="135255"/>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8pt;margin-top:343.8pt;height:10.65pt;width:19.4pt;z-index:251806720;v-text-anchor:middle;mso-width-relative:page;mso-height-relative:page;" filled="f" stroked="t" coordsize="21600,21600" o:gfxdata="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BktModkAAAALAQAADwAAAAAAAAABACAAAAAiAAAAZHJzL2Rvd25yZXYueG1s&#10;UEsBAhQAFAAAAAgAh07iQEzs5PBpAgAAzgQAAA4AAAAAAAAAAQAgAAAAKAEAAGRycy9lMm9Eb2Mu&#10;eG1sUEsFBgAAAAAGAAYAWQEAAAMGAAAAAA==&#10;">
                <v:fill on="f" focussize="0,0"/>
                <v:stroke weight="1pt" color="#C00000 [32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808768" behindDoc="0" locked="0" layoutInCell="1" allowOverlap="1">
                <wp:simplePos x="0" y="0"/>
                <wp:positionH relativeFrom="column">
                  <wp:posOffset>1130300</wp:posOffset>
                </wp:positionH>
                <wp:positionV relativeFrom="paragraph">
                  <wp:posOffset>4791710</wp:posOffset>
                </wp:positionV>
                <wp:extent cx="269875" cy="0"/>
                <wp:effectExtent l="0" t="48895" r="15875" b="65405"/>
                <wp:wrapNone/>
                <wp:docPr id="117" name="直接箭头连接符 117"/>
                <wp:cNvGraphicFramePr/>
                <a:graphic xmlns:a="http://schemas.openxmlformats.org/drawingml/2006/main">
                  <a:graphicData uri="http://schemas.microsoft.com/office/word/2010/wordprocessingShape">
                    <wps:wsp>
                      <wps:cNvCnPr/>
                      <wps:spPr>
                        <a:xfrm>
                          <a:off x="0" y="0"/>
                          <a:ext cx="269875" cy="0"/>
                        </a:xfrm>
                        <a:prstGeom prst="straightConnector1">
                          <a:avLst/>
                        </a:prstGeom>
                        <a:ln>
                          <a:solidFill>
                            <a:srgbClr val="00B0F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89pt;margin-top:377.3pt;height:0pt;width:21.25pt;z-index:251808768;mso-width-relative:page;mso-height-relative:page;" filled="f" stroked="t" coordsize="21600,21600" o:gfxdata="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blYry9YAAAALAQAADwAAAAAAAAABACAAAAAiAAAA&#10;ZHJzL2Rvd25yZXYueG1sUEsBAhQAFAAAAAgAh07iQH0zL60JAgAA4QMAAA4AAAAAAAAAAQAgAAAA&#10;JQEAAGRycy9lMm9Eb2MueG1sUEsFBgAAAAAGAAYAWQEAAKAFAAAAAA==&#10;">
                <v:fill on="f" focussize="0,0"/>
                <v:stroke weight="0.5pt" color="#00B0F0 [3204]" miterlimit="8" joinstyle="miter" endarrow="open"/>
                <v:imagedata o:title=""/>
                <o:lock v:ext="edit" aspectratio="f"/>
              </v:shape>
            </w:pict>
          </mc:Fallback>
        </mc:AlternateContent>
      </w:r>
      <w:r>
        <w:rPr>
          <w:color w:val="auto"/>
          <w:sz w:val="21"/>
        </w:rPr>
        <mc:AlternateContent>
          <mc:Choice Requires="wps">
            <w:drawing>
              <wp:anchor distT="0" distB="0" distL="114300" distR="114300" simplePos="0" relativeHeight="251809792" behindDoc="0" locked="0" layoutInCell="1" allowOverlap="1">
                <wp:simplePos x="0" y="0"/>
                <wp:positionH relativeFrom="column">
                  <wp:posOffset>1123950</wp:posOffset>
                </wp:positionH>
                <wp:positionV relativeFrom="paragraph">
                  <wp:posOffset>5054600</wp:posOffset>
                </wp:positionV>
                <wp:extent cx="269875" cy="0"/>
                <wp:effectExtent l="0" t="48895" r="15875" b="65405"/>
                <wp:wrapNone/>
                <wp:docPr id="57" name="直接箭头连接符 57"/>
                <wp:cNvGraphicFramePr/>
                <a:graphic xmlns:a="http://schemas.openxmlformats.org/drawingml/2006/main">
                  <a:graphicData uri="http://schemas.microsoft.com/office/word/2010/wordprocessingShape">
                    <wps:wsp>
                      <wps:cNvCnPr/>
                      <wps:spPr>
                        <a:xfrm>
                          <a:off x="0" y="0"/>
                          <a:ext cx="269875" cy="0"/>
                        </a:xfrm>
                        <a:prstGeom prst="straightConnector1">
                          <a:avLst/>
                        </a:prstGeom>
                        <a:ln>
                          <a:solidFill>
                            <a:srgbClr val="00B0F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88.5pt;margin-top:398pt;height:0pt;width:21.25pt;z-index:251809792;mso-width-relative:page;mso-height-relative:page;" filled="f" stroked="t" coordsize="21600,21600" o:gfxdata="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&#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FmCUJbVAAAACwEAAA8AAAAAAAAAAQAgAAAAIgAAAGRy&#10;cy9kb3ducmV2LnhtbFBLAQIUABQAAAAIAIdO4kAJobyNCAIAAN8DAAAOAAAAAAAAAAEAIAAAACQB&#10;AABkcnMvZTJvRG9jLnhtbFBLBQYAAAAABgAGAFkBAACeBQAAAAA=&#10;">
                <v:fill on="f" focussize="0,0"/>
                <v:stroke weight="0.5pt" color="#00B0F0 [3204]" miterlimit="8" joinstyle="miter" endarrow="open"/>
                <v:imagedata o:title=""/>
                <o:lock v:ext="edit" aspectratio="f"/>
              </v:shape>
            </w:pict>
          </mc:Fallback>
        </mc:AlternateContent>
      </w:r>
      <w:r>
        <w:rPr>
          <w:color w:val="auto"/>
        </w:rPr>
        <mc:AlternateContent>
          <mc:Choice Requires="wps">
            <w:drawing>
              <wp:anchor distT="0" distB="0" distL="114300" distR="114300" simplePos="0" relativeHeight="251802624" behindDoc="0" locked="0" layoutInCell="1" allowOverlap="1">
                <wp:simplePos x="0" y="0"/>
                <wp:positionH relativeFrom="column">
                  <wp:posOffset>1054735</wp:posOffset>
                </wp:positionH>
                <wp:positionV relativeFrom="paragraph">
                  <wp:posOffset>2536825</wp:posOffset>
                </wp:positionV>
                <wp:extent cx="1540510" cy="2708910"/>
                <wp:effectExtent l="6350" t="6350" r="15240" b="8890"/>
                <wp:wrapNone/>
                <wp:docPr id="137" name="文本框 137"/>
                <wp:cNvGraphicFramePr/>
                <a:graphic xmlns:a="http://schemas.openxmlformats.org/drawingml/2006/main">
                  <a:graphicData uri="http://schemas.microsoft.com/office/word/2010/wordprocessingShape">
                    <wps:wsp>
                      <wps:cNvSpPr txBox="1"/>
                      <wps:spPr>
                        <a:xfrm>
                          <a:off x="0" y="0"/>
                          <a:ext cx="1540510" cy="2708910"/>
                        </a:xfrm>
                        <a:prstGeom prst="rect">
                          <a:avLst/>
                        </a:prstGeom>
                        <a:solidFill>
                          <a:schemeClr val="bg1"/>
                        </a:solid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rPr>
                                <w:sz w:val="21"/>
                                <w:szCs w:val="16"/>
                              </w:rPr>
                            </w:pPr>
                            <w:r>
                              <w:rPr>
                                <w:rFonts w:hint="eastAsia"/>
                                <w:sz w:val="21"/>
                                <w:szCs w:val="16"/>
                              </w:rPr>
                              <w:t>图例：</w:t>
                            </w:r>
                          </w:p>
                          <w:p>
                            <w:pPr>
                              <w:pStyle w:val="14"/>
                              <w:keepNext w:val="0"/>
                              <w:keepLines w:val="0"/>
                              <w:pageBreakBefore w:val="0"/>
                              <w:kinsoku/>
                              <w:wordWrap/>
                              <w:overflowPunct/>
                              <w:topLinePunct w:val="0"/>
                              <w:autoSpaceDE/>
                              <w:autoSpaceDN/>
                              <w:bidi w:val="0"/>
                              <w:adjustRightInd/>
                              <w:snapToGrid/>
                              <w:spacing w:after="0" w:line="360" w:lineRule="auto"/>
                              <w:ind w:firstLine="420" w:firstLineChars="200"/>
                              <w:textAlignment w:val="auto"/>
                              <w:rPr>
                                <w:sz w:val="21"/>
                                <w:szCs w:val="16"/>
                              </w:rPr>
                            </w:pPr>
                            <w:r>
                              <w:rPr>
                                <w:rFonts w:hint="eastAsia"/>
                                <w:sz w:val="21"/>
                                <w:szCs w:val="16"/>
                              </w:rPr>
                              <w:t>厂界轮廓线</w:t>
                            </w:r>
                          </w:p>
                          <w:p>
                            <w:pPr>
                              <w:pStyle w:val="14"/>
                              <w:keepNext w:val="0"/>
                              <w:keepLines w:val="0"/>
                              <w:pageBreakBefore w:val="0"/>
                              <w:kinsoku/>
                              <w:wordWrap/>
                              <w:overflowPunct/>
                              <w:topLinePunct w:val="0"/>
                              <w:autoSpaceDE/>
                              <w:autoSpaceDN/>
                              <w:bidi w:val="0"/>
                              <w:adjustRightInd/>
                              <w:snapToGrid/>
                              <w:spacing w:after="0" w:line="360" w:lineRule="auto"/>
                              <w:ind w:firstLine="420" w:firstLineChars="200"/>
                              <w:textAlignment w:val="auto"/>
                              <w:rPr>
                                <w:rFonts w:hint="eastAsia"/>
                                <w:sz w:val="21"/>
                                <w:szCs w:val="16"/>
                              </w:rPr>
                            </w:pPr>
                            <w:r>
                              <w:rPr>
                                <w:rFonts w:hint="eastAsia"/>
                                <w:sz w:val="21"/>
                                <w:szCs w:val="16"/>
                              </w:rPr>
                              <w:t>敏感目标</w:t>
                            </w:r>
                          </w:p>
                          <w:p>
                            <w:pPr>
                              <w:pStyle w:val="14"/>
                              <w:keepNext w:val="0"/>
                              <w:keepLines w:val="0"/>
                              <w:pageBreakBefore w:val="0"/>
                              <w:kinsoku/>
                              <w:wordWrap/>
                              <w:overflowPunct/>
                              <w:topLinePunct w:val="0"/>
                              <w:autoSpaceDE/>
                              <w:autoSpaceDN/>
                              <w:bidi w:val="0"/>
                              <w:adjustRightInd/>
                              <w:snapToGrid/>
                              <w:spacing w:after="0" w:line="360" w:lineRule="auto"/>
                              <w:ind w:firstLine="420" w:firstLineChars="200"/>
                              <w:textAlignment w:val="auto"/>
                              <w:rPr>
                                <w:sz w:val="21"/>
                                <w:szCs w:val="16"/>
                              </w:rPr>
                            </w:pPr>
                            <w:r>
                              <w:rPr>
                                <w:rFonts w:hint="eastAsia"/>
                                <w:sz w:val="21"/>
                                <w:szCs w:val="16"/>
                              </w:rPr>
                              <w:t>敏感目标</w:t>
                            </w:r>
                          </w:p>
                          <w:p>
                            <w:pPr>
                              <w:pStyle w:val="14"/>
                              <w:keepNext w:val="0"/>
                              <w:keepLines w:val="0"/>
                              <w:pageBreakBefore w:val="0"/>
                              <w:kinsoku/>
                              <w:wordWrap/>
                              <w:overflowPunct/>
                              <w:topLinePunct w:val="0"/>
                              <w:autoSpaceDE/>
                              <w:autoSpaceDN/>
                              <w:bidi w:val="0"/>
                              <w:adjustRightInd/>
                              <w:snapToGrid/>
                              <w:spacing w:after="0" w:line="360" w:lineRule="auto"/>
                              <w:ind w:firstLine="420" w:firstLineChars="200"/>
                              <w:textAlignment w:val="auto"/>
                              <w:rPr>
                                <w:sz w:val="21"/>
                                <w:szCs w:val="16"/>
                              </w:rPr>
                            </w:pPr>
                            <w:r>
                              <w:rPr>
                                <w:rFonts w:hint="eastAsia"/>
                                <w:sz w:val="21"/>
                                <w:szCs w:val="16"/>
                              </w:rPr>
                              <w:t>大气评价范围</w:t>
                            </w:r>
                          </w:p>
                          <w:p>
                            <w:pPr>
                              <w:keepNext w:val="0"/>
                              <w:keepLines w:val="0"/>
                              <w:pageBreakBefore w:val="0"/>
                              <w:kinsoku/>
                              <w:wordWrap/>
                              <w:overflowPunct/>
                              <w:topLinePunct w:val="0"/>
                              <w:autoSpaceDE/>
                              <w:autoSpaceDN/>
                              <w:bidi w:val="0"/>
                              <w:adjustRightInd/>
                              <w:snapToGrid/>
                              <w:spacing w:line="360" w:lineRule="auto"/>
                              <w:ind w:firstLine="420" w:firstLineChars="200"/>
                              <w:textAlignment w:val="auto"/>
                              <w:rPr>
                                <w:sz w:val="21"/>
                                <w:szCs w:val="21"/>
                              </w:rPr>
                            </w:pPr>
                            <w:r>
                              <w:rPr>
                                <w:rFonts w:hint="eastAsia"/>
                                <w:sz w:val="21"/>
                                <w:szCs w:val="21"/>
                              </w:rPr>
                              <w:t>地下水评价范围</w:t>
                            </w:r>
                          </w:p>
                          <w:p>
                            <w:pPr>
                              <w:pStyle w:val="2"/>
                              <w:keepNext w:val="0"/>
                              <w:keepLines w:val="0"/>
                              <w:pageBreakBefore w:val="0"/>
                              <w:kinsoku/>
                              <w:wordWrap/>
                              <w:overflowPunct/>
                              <w:topLinePunct w:val="0"/>
                              <w:autoSpaceDE/>
                              <w:autoSpaceDN/>
                              <w:bidi w:val="0"/>
                              <w:adjustRightInd/>
                              <w:snapToGrid/>
                              <w:spacing w:line="360" w:lineRule="auto"/>
                              <w:ind w:firstLine="420" w:firstLineChars="200"/>
                              <w:textAlignment w:val="auto"/>
                              <w:rPr>
                                <w:sz w:val="21"/>
                                <w:szCs w:val="21"/>
                              </w:rPr>
                            </w:pPr>
                            <w:r>
                              <w:rPr>
                                <w:rFonts w:hint="eastAsia"/>
                                <w:sz w:val="21"/>
                                <w:szCs w:val="21"/>
                              </w:rPr>
                              <w:t>风险评价范围</w:t>
                            </w:r>
                          </w:p>
                          <w:p>
                            <w:pPr>
                              <w:keepNext w:val="0"/>
                              <w:keepLines w:val="0"/>
                              <w:pageBreakBefore w:val="0"/>
                              <w:kinsoku/>
                              <w:wordWrap/>
                              <w:overflowPunct/>
                              <w:topLinePunct w:val="0"/>
                              <w:autoSpaceDE/>
                              <w:autoSpaceDN/>
                              <w:bidi w:val="0"/>
                              <w:adjustRightInd/>
                              <w:snapToGrid/>
                              <w:spacing w:line="360" w:lineRule="auto"/>
                              <w:ind w:firstLine="420" w:firstLineChars="200"/>
                              <w:textAlignment w:val="auto"/>
                              <w:rPr>
                                <w:rFonts w:hint="eastAsia"/>
                                <w:sz w:val="21"/>
                                <w:szCs w:val="21"/>
                              </w:rPr>
                            </w:pPr>
                            <w:r>
                              <w:rPr>
                                <w:rFonts w:hint="eastAsia"/>
                                <w:sz w:val="21"/>
                                <w:szCs w:val="21"/>
                              </w:rPr>
                              <w:t>地下水流向</w:t>
                            </w:r>
                          </w:p>
                          <w:p>
                            <w:pPr>
                              <w:pStyle w:val="2"/>
                              <w:keepNext w:val="0"/>
                              <w:keepLines w:val="0"/>
                              <w:pageBreakBefore w:val="0"/>
                              <w:kinsoku/>
                              <w:wordWrap/>
                              <w:overflowPunct/>
                              <w:topLinePunct w:val="0"/>
                              <w:autoSpaceDE/>
                              <w:autoSpaceDN/>
                              <w:bidi w:val="0"/>
                              <w:adjustRightInd/>
                              <w:snapToGrid/>
                              <w:spacing w:line="360" w:lineRule="auto"/>
                              <w:ind w:firstLine="420" w:firstLineChars="200"/>
                              <w:textAlignment w:val="auto"/>
                              <w:rPr>
                                <w:rFonts w:hint="default" w:eastAsia="宋体"/>
                                <w:lang w:val="en-US" w:eastAsia="zh-CN"/>
                              </w:rPr>
                            </w:pPr>
                            <w:r>
                              <w:rPr>
                                <w:rFonts w:hint="eastAsia"/>
                                <w:sz w:val="21"/>
                                <w:szCs w:val="21"/>
                                <w:lang w:val="en-US" w:eastAsia="zh-CN"/>
                              </w:rPr>
                              <w:t>地表水流向</w:t>
                            </w:r>
                          </w:p>
                          <w:p>
                            <w:pPr>
                              <w:pStyle w:val="2"/>
                              <w:ind w:firstLine="480"/>
                              <w:rPr>
                                <w:rFonts w:hint="eastAsia"/>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3.05pt;margin-top:199.75pt;height:213.3pt;width:121.3pt;z-index:251802624;mso-width-relative:page;mso-height-relative:page;" fillcolor="#FFFFFF [3212]" filled="t" stroked="t" coordsize="21600,21600" o:gfxdata="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qbKf&#10;TNwAAAALAQAADwAAAAAAAAABACAAAAAiAAAAZHJzL2Rvd25yZXYueG1sUEsBAhQAFAAAAAgAh07i&#10;QNPZxvpXAgAAvgQAAA4AAAAAAAAAAQAgAAAAKwEAAGRycy9lMm9Eb2MueG1sUEsFBgAAAAAGAAYA&#10;WQEAAPQFAAAAAA==&#10;">
                <v:fill on="t" focussize="0,0"/>
                <v:stroke weight="1pt" color="#000000 [3213]" joinstyle="round"/>
                <v:imagedata o:title=""/>
                <o:lock v:ext="edit" aspectratio="f"/>
                <v:textbox>
                  <w:txbxContent>
                    <w:p>
                      <w:pPr>
                        <w:spacing w:line="240" w:lineRule="auto"/>
                        <w:ind w:firstLine="0" w:firstLineChars="0"/>
                        <w:rPr>
                          <w:sz w:val="21"/>
                          <w:szCs w:val="16"/>
                        </w:rPr>
                      </w:pPr>
                      <w:r>
                        <w:rPr>
                          <w:rFonts w:hint="eastAsia"/>
                          <w:sz w:val="21"/>
                          <w:szCs w:val="16"/>
                        </w:rPr>
                        <w:t>图例：</w:t>
                      </w:r>
                    </w:p>
                    <w:p>
                      <w:pPr>
                        <w:pStyle w:val="14"/>
                        <w:keepNext w:val="0"/>
                        <w:keepLines w:val="0"/>
                        <w:pageBreakBefore w:val="0"/>
                        <w:kinsoku/>
                        <w:wordWrap/>
                        <w:overflowPunct/>
                        <w:topLinePunct w:val="0"/>
                        <w:autoSpaceDE/>
                        <w:autoSpaceDN/>
                        <w:bidi w:val="0"/>
                        <w:adjustRightInd/>
                        <w:snapToGrid/>
                        <w:spacing w:after="0" w:line="360" w:lineRule="auto"/>
                        <w:ind w:firstLine="420" w:firstLineChars="200"/>
                        <w:textAlignment w:val="auto"/>
                        <w:rPr>
                          <w:sz w:val="21"/>
                          <w:szCs w:val="16"/>
                        </w:rPr>
                      </w:pPr>
                      <w:r>
                        <w:rPr>
                          <w:rFonts w:hint="eastAsia"/>
                          <w:sz w:val="21"/>
                          <w:szCs w:val="16"/>
                        </w:rPr>
                        <w:t>厂界轮廓线</w:t>
                      </w:r>
                    </w:p>
                    <w:p>
                      <w:pPr>
                        <w:pStyle w:val="14"/>
                        <w:keepNext w:val="0"/>
                        <w:keepLines w:val="0"/>
                        <w:pageBreakBefore w:val="0"/>
                        <w:kinsoku/>
                        <w:wordWrap/>
                        <w:overflowPunct/>
                        <w:topLinePunct w:val="0"/>
                        <w:autoSpaceDE/>
                        <w:autoSpaceDN/>
                        <w:bidi w:val="0"/>
                        <w:adjustRightInd/>
                        <w:snapToGrid/>
                        <w:spacing w:after="0" w:line="360" w:lineRule="auto"/>
                        <w:ind w:firstLine="420" w:firstLineChars="200"/>
                        <w:textAlignment w:val="auto"/>
                        <w:rPr>
                          <w:rFonts w:hint="eastAsia"/>
                          <w:sz w:val="21"/>
                          <w:szCs w:val="16"/>
                        </w:rPr>
                      </w:pPr>
                      <w:r>
                        <w:rPr>
                          <w:rFonts w:hint="eastAsia"/>
                          <w:sz w:val="21"/>
                          <w:szCs w:val="16"/>
                        </w:rPr>
                        <w:t>敏感目标</w:t>
                      </w:r>
                    </w:p>
                    <w:p>
                      <w:pPr>
                        <w:pStyle w:val="14"/>
                        <w:keepNext w:val="0"/>
                        <w:keepLines w:val="0"/>
                        <w:pageBreakBefore w:val="0"/>
                        <w:kinsoku/>
                        <w:wordWrap/>
                        <w:overflowPunct/>
                        <w:topLinePunct w:val="0"/>
                        <w:autoSpaceDE/>
                        <w:autoSpaceDN/>
                        <w:bidi w:val="0"/>
                        <w:adjustRightInd/>
                        <w:snapToGrid/>
                        <w:spacing w:after="0" w:line="360" w:lineRule="auto"/>
                        <w:ind w:firstLine="420" w:firstLineChars="200"/>
                        <w:textAlignment w:val="auto"/>
                        <w:rPr>
                          <w:sz w:val="21"/>
                          <w:szCs w:val="16"/>
                        </w:rPr>
                      </w:pPr>
                      <w:r>
                        <w:rPr>
                          <w:rFonts w:hint="eastAsia"/>
                          <w:sz w:val="21"/>
                          <w:szCs w:val="16"/>
                        </w:rPr>
                        <w:t>敏感目标</w:t>
                      </w:r>
                    </w:p>
                    <w:p>
                      <w:pPr>
                        <w:pStyle w:val="14"/>
                        <w:keepNext w:val="0"/>
                        <w:keepLines w:val="0"/>
                        <w:pageBreakBefore w:val="0"/>
                        <w:kinsoku/>
                        <w:wordWrap/>
                        <w:overflowPunct/>
                        <w:topLinePunct w:val="0"/>
                        <w:autoSpaceDE/>
                        <w:autoSpaceDN/>
                        <w:bidi w:val="0"/>
                        <w:adjustRightInd/>
                        <w:snapToGrid/>
                        <w:spacing w:after="0" w:line="360" w:lineRule="auto"/>
                        <w:ind w:firstLine="420" w:firstLineChars="200"/>
                        <w:textAlignment w:val="auto"/>
                        <w:rPr>
                          <w:sz w:val="21"/>
                          <w:szCs w:val="16"/>
                        </w:rPr>
                      </w:pPr>
                      <w:r>
                        <w:rPr>
                          <w:rFonts w:hint="eastAsia"/>
                          <w:sz w:val="21"/>
                          <w:szCs w:val="16"/>
                        </w:rPr>
                        <w:t>大气评价范围</w:t>
                      </w:r>
                    </w:p>
                    <w:p>
                      <w:pPr>
                        <w:keepNext w:val="0"/>
                        <w:keepLines w:val="0"/>
                        <w:pageBreakBefore w:val="0"/>
                        <w:kinsoku/>
                        <w:wordWrap/>
                        <w:overflowPunct/>
                        <w:topLinePunct w:val="0"/>
                        <w:autoSpaceDE/>
                        <w:autoSpaceDN/>
                        <w:bidi w:val="0"/>
                        <w:adjustRightInd/>
                        <w:snapToGrid/>
                        <w:spacing w:line="360" w:lineRule="auto"/>
                        <w:ind w:firstLine="420" w:firstLineChars="200"/>
                        <w:textAlignment w:val="auto"/>
                        <w:rPr>
                          <w:sz w:val="21"/>
                          <w:szCs w:val="21"/>
                        </w:rPr>
                      </w:pPr>
                      <w:r>
                        <w:rPr>
                          <w:rFonts w:hint="eastAsia"/>
                          <w:sz w:val="21"/>
                          <w:szCs w:val="21"/>
                        </w:rPr>
                        <w:t>地下水评价范围</w:t>
                      </w:r>
                    </w:p>
                    <w:p>
                      <w:pPr>
                        <w:pStyle w:val="2"/>
                        <w:keepNext w:val="0"/>
                        <w:keepLines w:val="0"/>
                        <w:pageBreakBefore w:val="0"/>
                        <w:kinsoku/>
                        <w:wordWrap/>
                        <w:overflowPunct/>
                        <w:topLinePunct w:val="0"/>
                        <w:autoSpaceDE/>
                        <w:autoSpaceDN/>
                        <w:bidi w:val="0"/>
                        <w:adjustRightInd/>
                        <w:snapToGrid/>
                        <w:spacing w:line="360" w:lineRule="auto"/>
                        <w:ind w:firstLine="420" w:firstLineChars="200"/>
                        <w:textAlignment w:val="auto"/>
                        <w:rPr>
                          <w:sz w:val="21"/>
                          <w:szCs w:val="21"/>
                        </w:rPr>
                      </w:pPr>
                      <w:r>
                        <w:rPr>
                          <w:rFonts w:hint="eastAsia"/>
                          <w:sz w:val="21"/>
                          <w:szCs w:val="21"/>
                        </w:rPr>
                        <w:t>风险评价范围</w:t>
                      </w:r>
                    </w:p>
                    <w:p>
                      <w:pPr>
                        <w:keepNext w:val="0"/>
                        <w:keepLines w:val="0"/>
                        <w:pageBreakBefore w:val="0"/>
                        <w:kinsoku/>
                        <w:wordWrap/>
                        <w:overflowPunct/>
                        <w:topLinePunct w:val="0"/>
                        <w:autoSpaceDE/>
                        <w:autoSpaceDN/>
                        <w:bidi w:val="0"/>
                        <w:adjustRightInd/>
                        <w:snapToGrid/>
                        <w:spacing w:line="360" w:lineRule="auto"/>
                        <w:ind w:firstLine="420" w:firstLineChars="200"/>
                        <w:textAlignment w:val="auto"/>
                        <w:rPr>
                          <w:rFonts w:hint="eastAsia"/>
                          <w:sz w:val="21"/>
                          <w:szCs w:val="21"/>
                        </w:rPr>
                      </w:pPr>
                      <w:r>
                        <w:rPr>
                          <w:rFonts w:hint="eastAsia"/>
                          <w:sz w:val="21"/>
                          <w:szCs w:val="21"/>
                        </w:rPr>
                        <w:t>地下水流向</w:t>
                      </w:r>
                    </w:p>
                    <w:p>
                      <w:pPr>
                        <w:pStyle w:val="2"/>
                        <w:keepNext w:val="0"/>
                        <w:keepLines w:val="0"/>
                        <w:pageBreakBefore w:val="0"/>
                        <w:kinsoku/>
                        <w:wordWrap/>
                        <w:overflowPunct/>
                        <w:topLinePunct w:val="0"/>
                        <w:autoSpaceDE/>
                        <w:autoSpaceDN/>
                        <w:bidi w:val="0"/>
                        <w:adjustRightInd/>
                        <w:snapToGrid/>
                        <w:spacing w:line="360" w:lineRule="auto"/>
                        <w:ind w:firstLine="420" w:firstLineChars="200"/>
                        <w:textAlignment w:val="auto"/>
                        <w:rPr>
                          <w:rFonts w:hint="default" w:eastAsia="宋体"/>
                          <w:lang w:val="en-US" w:eastAsia="zh-CN"/>
                        </w:rPr>
                      </w:pPr>
                      <w:r>
                        <w:rPr>
                          <w:rFonts w:hint="eastAsia"/>
                          <w:sz w:val="21"/>
                          <w:szCs w:val="21"/>
                          <w:lang w:val="en-US" w:eastAsia="zh-CN"/>
                        </w:rPr>
                        <w:t>地表水流向</w:t>
                      </w:r>
                    </w:p>
                    <w:p>
                      <w:pPr>
                        <w:pStyle w:val="2"/>
                        <w:ind w:firstLine="480"/>
                        <w:rPr>
                          <w:rFonts w:hint="eastAsia"/>
                        </w:rPr>
                      </w:pPr>
                    </w:p>
                  </w:txbxContent>
                </v:textbox>
              </v:shape>
            </w:pict>
          </mc:Fallback>
        </mc:AlternateContent>
      </w:r>
      <w:r>
        <w:rPr>
          <w:rFonts w:eastAsia="黑体"/>
          <w:color w:val="auto"/>
          <w:sz w:val="21"/>
          <w:szCs w:val="21"/>
        </w:rPr>
        <mc:AlternateContent>
          <mc:Choice Requires="wps">
            <w:drawing>
              <wp:anchor distT="0" distB="0" distL="114300" distR="114300" simplePos="0" relativeHeight="251801600" behindDoc="0" locked="0" layoutInCell="1" allowOverlap="1">
                <wp:simplePos x="0" y="0"/>
                <wp:positionH relativeFrom="column">
                  <wp:posOffset>3288665</wp:posOffset>
                </wp:positionH>
                <wp:positionV relativeFrom="paragraph">
                  <wp:posOffset>2761615</wp:posOffset>
                </wp:positionV>
                <wp:extent cx="401955" cy="622935"/>
                <wp:effectExtent l="0" t="0" r="17145" b="24765"/>
                <wp:wrapNone/>
                <wp:docPr id="140" name="直接箭头连接符 140"/>
                <wp:cNvGraphicFramePr/>
                <a:graphic xmlns:a="http://schemas.openxmlformats.org/drawingml/2006/main">
                  <a:graphicData uri="http://schemas.microsoft.com/office/word/2010/wordprocessingShape">
                    <wps:wsp>
                      <wps:cNvCnPr/>
                      <wps:spPr>
                        <a:xfrm flipH="1" flipV="1">
                          <a:off x="0" y="0"/>
                          <a:ext cx="401955" cy="622935"/>
                        </a:xfrm>
                        <a:prstGeom prst="straightConnector1">
                          <a:avLst/>
                        </a:prstGeom>
                        <a:ln w="38100">
                          <a:solidFill>
                            <a:srgbClr val="00B0F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58.95pt;margin-top:217.45pt;height:49.05pt;width:31.65pt;z-index:251801600;mso-width-relative:page;mso-height-relative:page;" filled="f" stroked="t" coordsize="21600,21600" o:gfxdata="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5ZgCF9oAAAAL&#10;AQAADwAAAAAAAAABACAAAAAiAAAAZHJzL2Rvd25yZXYueG1sUEsBAhQAFAAAAAgAh07iQE/Le/oa&#10;AgAA+wMAAA4AAAAAAAAAAQAgAAAAKQEAAGRycy9lMm9Eb2MueG1sUEsFBgAAAAAGAAYAWQEAALUF&#10;AAAAAA==&#10;">
                <v:fill on="f" focussize="0,0"/>
                <v:stroke weight="3pt" color="#00B0F0 [3204]" miterlimit="8" joinstyle="miter" endarrow="open"/>
                <v:imagedata o:title=""/>
                <o:lock v:ext="edit" aspectratio="f"/>
              </v:shape>
            </w:pict>
          </mc:Fallback>
        </mc:AlternateContent>
      </w:r>
      <w:r>
        <w:rPr>
          <w:rFonts w:hint="eastAsia" w:eastAsiaTheme="minorEastAsia"/>
          <w:color w:val="auto"/>
          <w:lang w:eastAsia="zh-CN"/>
        </w:rPr>
        <w:drawing>
          <wp:inline distT="0" distB="0" distL="114300" distR="114300">
            <wp:extent cx="7171690" cy="5322570"/>
            <wp:effectExtent l="0" t="0" r="10160" b="11430"/>
            <wp:docPr id="224" name="图片 224" descr="矩形区域(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矩形区域(1)(1)"/>
                    <pic:cNvPicPr>
                      <a:picLocks noChangeAspect="1"/>
                    </pic:cNvPicPr>
                  </pic:nvPicPr>
                  <pic:blipFill>
                    <a:blip r:embed="rId55"/>
                    <a:stretch>
                      <a:fillRect/>
                    </a:stretch>
                  </pic:blipFill>
                  <pic:spPr>
                    <a:xfrm>
                      <a:off x="0" y="0"/>
                      <a:ext cx="7171690" cy="5322570"/>
                    </a:xfrm>
                    <a:prstGeom prst="rect">
                      <a:avLst/>
                    </a:prstGeom>
                  </pic:spPr>
                </pic:pic>
              </a:graphicData>
            </a:graphic>
          </wp:inline>
        </w:drawing>
      </w:r>
    </w:p>
    <w:p>
      <w:pPr>
        <w:jc w:val="center"/>
        <w:rPr>
          <w:color w:val="auto"/>
        </w:rPr>
      </w:pPr>
      <w:r>
        <w:rPr>
          <w:rFonts w:eastAsia="黑体"/>
          <w:color w:val="auto"/>
          <w:sz w:val="21"/>
          <w:szCs w:val="21"/>
        </w:rPr>
        <w:t>图1.</w:t>
      </w:r>
      <w:r>
        <w:rPr>
          <w:rFonts w:hint="eastAsia" w:eastAsia="黑体"/>
          <w:color w:val="auto"/>
          <w:sz w:val="21"/>
          <w:szCs w:val="21"/>
          <w:lang w:val="en-US" w:eastAsia="zh-CN"/>
        </w:rPr>
        <w:t>7</w:t>
      </w:r>
      <w:r>
        <w:rPr>
          <w:rFonts w:eastAsia="黑体"/>
          <w:color w:val="auto"/>
          <w:sz w:val="21"/>
          <w:szCs w:val="21"/>
        </w:rPr>
        <w:t>-</w:t>
      </w:r>
      <w:r>
        <w:rPr>
          <w:rFonts w:hint="eastAsia" w:eastAsia="黑体"/>
          <w:color w:val="auto"/>
          <w:sz w:val="21"/>
          <w:szCs w:val="21"/>
          <w:lang w:val="en-US" w:eastAsia="zh-CN"/>
        </w:rPr>
        <w:t>2</w:t>
      </w:r>
      <w:r>
        <w:rPr>
          <w:rFonts w:eastAsia="黑体"/>
          <w:color w:val="auto"/>
          <w:sz w:val="21"/>
          <w:szCs w:val="21"/>
        </w:rPr>
        <w:t xml:space="preserve"> 环境影响评价范围和重点保护目标分布图</w:t>
      </w:r>
    </w:p>
    <w:p>
      <w:pPr>
        <w:spacing w:line="240" w:lineRule="auto"/>
        <w:ind w:firstLine="0" w:firstLineChars="0"/>
        <w:jc w:val="center"/>
        <w:rPr>
          <w:color w:val="auto"/>
        </w:rPr>
        <w:sectPr>
          <w:headerReference r:id="rId16" w:type="default"/>
          <w:pgSz w:w="16838" w:h="11906" w:orient="landscape"/>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r>
        <w:rPr>
          <w:color w:val="auto"/>
          <w:sz w:val="24"/>
        </w:rPr>
        <mc:AlternateContent>
          <mc:Choice Requires="wps">
            <w:drawing>
              <wp:anchor distT="0" distB="0" distL="114300" distR="114300" simplePos="0" relativeHeight="251755520" behindDoc="0" locked="0" layoutInCell="1" allowOverlap="1">
                <wp:simplePos x="0" y="0"/>
                <wp:positionH relativeFrom="column">
                  <wp:posOffset>7000875</wp:posOffset>
                </wp:positionH>
                <wp:positionV relativeFrom="paragraph">
                  <wp:posOffset>-4037965</wp:posOffset>
                </wp:positionV>
                <wp:extent cx="341630" cy="1039495"/>
                <wp:effectExtent l="0" t="0" r="1270" b="8255"/>
                <wp:wrapNone/>
                <wp:docPr id="60" name="文本框 60"/>
                <wp:cNvGraphicFramePr/>
                <a:graphic xmlns:a="http://schemas.openxmlformats.org/drawingml/2006/main">
                  <a:graphicData uri="http://schemas.microsoft.com/office/word/2010/wordprocessingShape">
                    <wps:wsp>
                      <wps:cNvSpPr txBox="1"/>
                      <wps:spPr>
                        <a:xfrm>
                          <a:off x="8067040" y="2496185"/>
                          <a:ext cx="341630" cy="1039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rPr>
                                <w:rFonts w:hint="eastAsia" w:eastAsia="宋体"/>
                                <w:sz w:val="21"/>
                                <w:szCs w:val="16"/>
                                <w:lang w:val="en-US" w:eastAsia="zh-CN"/>
                              </w:rPr>
                            </w:pPr>
                            <w:r>
                              <w:rPr>
                                <w:rFonts w:hint="eastAsia"/>
                                <w:sz w:val="21"/>
                                <w:szCs w:val="16"/>
                                <w:lang w:val="en-US" w:eastAsia="zh-CN"/>
                              </w:rPr>
                              <w:t>猪龙河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1.25pt;margin-top:-317.95pt;height:81.85pt;width:26.9pt;z-index:251755520;mso-width-relative:page;mso-height-relative:page;" filled="f" stroked="f" coordsize="21600,21600" o:gfxdata="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e42NfN4AAAAPAQAADwAA&#10;AAAAAAABACAAAAAiAAAAZHJzL2Rvd25yZXYueG1sUEsBAhQAFAAAAAgAh07iQMyDhrdJAgAAdAQA&#10;AA4AAAAAAAAAAQAgAAAALQEAAGRycy9lMm9Eb2MueG1sUEsFBgAAAAAGAAYAWQEAAOgFAAAAAA==&#10;">
                <v:fill on="f" focussize="0,0"/>
                <v:stroke on="f" weight="0.5pt"/>
                <v:imagedata o:title=""/>
                <o:lock v:ext="edit" aspectratio="f"/>
                <v:textbox>
                  <w:txbxContent>
                    <w:p>
                      <w:pPr>
                        <w:spacing w:line="240" w:lineRule="auto"/>
                        <w:ind w:left="0" w:leftChars="0" w:firstLine="0" w:firstLineChars="0"/>
                        <w:rPr>
                          <w:rFonts w:hint="eastAsia" w:eastAsia="宋体"/>
                          <w:sz w:val="21"/>
                          <w:szCs w:val="16"/>
                          <w:lang w:val="en-US" w:eastAsia="zh-CN"/>
                        </w:rPr>
                      </w:pPr>
                      <w:r>
                        <w:rPr>
                          <w:rFonts w:hint="eastAsia"/>
                          <w:sz w:val="21"/>
                          <w:szCs w:val="16"/>
                          <w:lang w:val="en-US" w:eastAsia="zh-CN"/>
                        </w:rPr>
                        <w:t>猪龙河</w:t>
                      </w:r>
                    </w:p>
                  </w:txbxContent>
                </v:textbox>
              </v:shape>
            </w:pict>
          </mc:Fallback>
        </mc:AlternateContent>
      </w:r>
    </w:p>
    <w:p>
      <w:pPr>
        <w:pStyle w:val="7"/>
        <w:adjustRightInd w:val="0"/>
        <w:snapToGrid w:val="0"/>
        <w:spacing w:before="0" w:beforeLines="0" w:after="0" w:afterLines="0"/>
        <w:rPr>
          <w:rFonts w:cs="Times New Roman"/>
          <w:b/>
          <w:bCs/>
          <w:color w:val="auto"/>
          <w:szCs w:val="44"/>
          <w:lang w:val="en-US" w:bidi="ar-SA"/>
        </w:rPr>
      </w:pPr>
      <w:bookmarkStart w:id="195" w:name="_Toc11682"/>
      <w:r>
        <w:rPr>
          <w:rFonts w:hint="eastAsia" w:cs="Times New Roman"/>
          <w:b/>
          <w:bCs/>
          <w:color w:val="auto"/>
          <w:szCs w:val="44"/>
          <w:lang w:val="en-US" w:bidi="ar-SA"/>
        </w:rPr>
        <w:t>2 拟建项目工程分析</w:t>
      </w:r>
      <w:bookmarkEnd w:id="195"/>
    </w:p>
    <w:p>
      <w:pPr>
        <w:pStyle w:val="8"/>
        <w:spacing w:before="0" w:beforeLines="0" w:after="0" w:afterLines="0" w:line="360" w:lineRule="auto"/>
        <w:rPr>
          <w:b w:val="0"/>
          <w:bCs w:val="0"/>
          <w:color w:val="auto"/>
          <w:szCs w:val="32"/>
        </w:rPr>
      </w:pPr>
      <w:bookmarkStart w:id="196" w:name="_Toc15936"/>
      <w:r>
        <w:rPr>
          <w:rFonts w:hint="eastAsia"/>
          <w:b w:val="0"/>
          <w:bCs w:val="0"/>
          <w:color w:val="auto"/>
          <w:szCs w:val="32"/>
        </w:rPr>
        <w:t>2.1 建设项目基本情况</w:t>
      </w:r>
      <w:bookmarkEnd w:id="196"/>
    </w:p>
    <w:p>
      <w:pPr>
        <w:keepNext/>
        <w:keepLines/>
        <w:adjustRightInd w:val="0"/>
        <w:snapToGrid w:val="0"/>
        <w:spacing w:line="360" w:lineRule="auto"/>
        <w:ind w:firstLine="0" w:firstLineChars="0"/>
        <w:jc w:val="left"/>
        <w:outlineLvl w:val="2"/>
        <w:rPr>
          <w:rFonts w:eastAsia="黑体"/>
          <w:b w:val="0"/>
          <w:bCs w:val="0"/>
          <w:color w:val="auto"/>
          <w:szCs w:val="32"/>
        </w:rPr>
      </w:pPr>
      <w:r>
        <w:rPr>
          <w:rFonts w:hint="eastAsia" w:eastAsia="黑体"/>
          <w:b w:val="0"/>
          <w:bCs w:val="0"/>
          <w:color w:val="auto"/>
          <w:szCs w:val="32"/>
        </w:rPr>
        <w:t>2.1.1 拟建项目建设背景</w:t>
      </w:r>
    </w:p>
    <w:p>
      <w:pPr>
        <w:ind w:firstLine="480"/>
        <w:rPr>
          <w:color w:val="auto"/>
        </w:rPr>
      </w:pPr>
      <w:r>
        <w:rPr>
          <w:color w:val="auto"/>
          <w:szCs w:val="24"/>
        </w:rPr>
        <w:t>山东朗净新材料科技有限公司</w:t>
      </w:r>
      <w:r>
        <w:rPr>
          <w:color w:val="auto"/>
        </w:rPr>
        <w:t>为抢抓政策机遇，同时为积极响应园区经济招商引资号召，拟在</w:t>
      </w:r>
      <w:r>
        <w:rPr>
          <w:color w:val="auto"/>
          <w:szCs w:val="24"/>
        </w:rPr>
        <w:t>淄博市</w:t>
      </w:r>
      <w:r>
        <w:rPr>
          <w:rFonts w:hint="eastAsia"/>
          <w:color w:val="auto"/>
          <w:szCs w:val="24"/>
        </w:rPr>
        <w:t>张店区房镇镇淄博科技工业园</w:t>
      </w:r>
      <w:r>
        <w:rPr>
          <w:color w:val="auto"/>
        </w:rPr>
        <w:t>投资建设本项目，生产聚乳酸及其下游产品。项目投产后所生产产品</w:t>
      </w:r>
      <w:r>
        <w:rPr>
          <w:rFonts w:hint="eastAsia"/>
          <w:color w:val="auto"/>
          <w:lang w:val="en-US" w:eastAsia="zh-CN"/>
        </w:rPr>
        <w:t>用途广泛</w:t>
      </w:r>
      <w:r>
        <w:rPr>
          <w:color w:val="auto"/>
        </w:rPr>
        <w:t>，可满足于下游纺纱、织布、塑料、吹膜等很多行业的使用，同时也</w:t>
      </w:r>
      <w:r>
        <w:rPr>
          <w:rFonts w:hint="eastAsia"/>
          <w:color w:val="auto"/>
          <w:lang w:val="en-US" w:eastAsia="zh-CN"/>
        </w:rPr>
        <w:t>可以</w:t>
      </w:r>
      <w:r>
        <w:rPr>
          <w:color w:val="auto"/>
        </w:rPr>
        <w:t>与相关的下游行业企业达成战略合作，未来在园区内投资建厂，延长产业链，使聚乳酸产品不出园区即可加工成各类终端产品，对于打造完善生物化工产业链具有重要意义。</w:t>
      </w:r>
    </w:p>
    <w:p>
      <w:pPr>
        <w:pStyle w:val="2"/>
        <w:spacing w:after="0"/>
        <w:ind w:firstLine="480"/>
        <w:rPr>
          <w:color w:val="auto"/>
        </w:rPr>
      </w:pPr>
      <w:r>
        <w:rPr>
          <w:color w:val="auto"/>
        </w:rPr>
        <w:t>山东朗净新材料科技有限公司拟投资10000万元建设年产1200吨丙交酯和1000吨聚乳酸新材料示范线项目，该项目已取得山东省建设项目备案证明（项目代码：2201-370303-89-01-892093）。项目主要建设</w:t>
      </w:r>
      <w:r>
        <w:rPr>
          <w:rFonts w:hint="eastAsia"/>
          <w:color w:val="auto"/>
        </w:rPr>
        <w:t>一条</w:t>
      </w:r>
      <w:r>
        <w:rPr>
          <w:color w:val="auto"/>
        </w:rPr>
        <w:t>1200吨/年丙交酯及1000吨/年聚乳酸新材料生产线，以L-乳酸为原料，采用脱水、</w:t>
      </w:r>
      <w:r>
        <w:rPr>
          <w:rFonts w:hint="eastAsia"/>
          <w:color w:val="auto"/>
        </w:rPr>
        <w:t>酯化</w:t>
      </w:r>
      <w:r>
        <w:rPr>
          <w:color w:val="auto"/>
        </w:rPr>
        <w:t>工艺生产丙交酯；生产的丙交酯一部分作为产品销售，一部分再经</w:t>
      </w:r>
      <w:r>
        <w:rPr>
          <w:rFonts w:hint="eastAsia"/>
          <w:color w:val="auto"/>
        </w:rPr>
        <w:t>聚合</w:t>
      </w:r>
      <w:r>
        <w:rPr>
          <w:color w:val="auto"/>
        </w:rPr>
        <w:t>工序后生产聚乳酸。</w:t>
      </w:r>
      <w:r>
        <w:rPr>
          <w:rFonts w:hint="eastAsia"/>
          <w:color w:val="auto"/>
        </w:rPr>
        <w:t>该项目的原材料为可持续再生的植物资源，生产的丙交酯是生产聚乳酸的主要原材料，具有广阔的市场空间。聚乳酸是一种理想的绿色高分子可降解材料，被广泛用于食品包装、生物医学、农业及改性复合材料等领域。该项目的建设具有较好的环境效益、经济效益和社会效益，有利于提升生态文明、推动“无废城市”建设。</w:t>
      </w:r>
    </w:p>
    <w:p>
      <w:pPr>
        <w:keepNext/>
        <w:keepLines/>
        <w:pageBreakBefore w:val="0"/>
        <w:widowControl w:val="0"/>
        <w:kinsoku/>
        <w:wordWrap/>
        <w:overflowPunct/>
        <w:topLinePunct w:val="0"/>
        <w:autoSpaceDE/>
        <w:autoSpaceDN/>
        <w:bidi w:val="0"/>
        <w:adjustRightInd w:val="0"/>
        <w:snapToGrid w:val="0"/>
        <w:spacing w:line="440" w:lineRule="exact"/>
        <w:ind w:firstLine="0" w:firstLineChars="0"/>
        <w:jc w:val="left"/>
        <w:textAlignment w:val="auto"/>
        <w:outlineLvl w:val="2"/>
        <w:rPr>
          <w:rFonts w:eastAsia="黑体"/>
          <w:b w:val="0"/>
          <w:bCs w:val="0"/>
          <w:color w:val="auto"/>
          <w:szCs w:val="32"/>
        </w:rPr>
      </w:pPr>
      <w:r>
        <w:rPr>
          <w:rFonts w:hint="eastAsia" w:eastAsia="黑体"/>
          <w:b w:val="0"/>
          <w:bCs w:val="0"/>
          <w:color w:val="auto"/>
          <w:szCs w:val="32"/>
        </w:rPr>
        <w:t>2.1.2项目基本情况</w:t>
      </w:r>
    </w:p>
    <w:p>
      <w:pPr>
        <w:pageBreakBefore w:val="0"/>
        <w:widowControl w:val="0"/>
        <w:kinsoku/>
        <w:wordWrap/>
        <w:overflowPunct/>
        <w:topLinePunct w:val="0"/>
        <w:autoSpaceDE/>
        <w:autoSpaceDN/>
        <w:bidi w:val="0"/>
        <w:spacing w:line="440" w:lineRule="exact"/>
        <w:ind w:firstLine="480"/>
        <w:textAlignment w:val="auto"/>
        <w:rPr>
          <w:color w:val="auto"/>
          <w:szCs w:val="24"/>
        </w:rPr>
      </w:pPr>
      <w:r>
        <w:rPr>
          <w:color w:val="auto"/>
          <w:szCs w:val="24"/>
        </w:rPr>
        <w:t>1、项目名称：</w:t>
      </w:r>
      <w:r>
        <w:rPr>
          <w:rFonts w:hint="eastAsia"/>
          <w:color w:val="auto"/>
          <w:szCs w:val="24"/>
        </w:rPr>
        <w:t>年产1200吨丙交酯和1000吨聚乳酸新材料示范线项目</w:t>
      </w:r>
      <w:r>
        <w:rPr>
          <w:color w:val="auto"/>
        </w:rPr>
        <w:t>；</w:t>
      </w:r>
    </w:p>
    <w:p>
      <w:pPr>
        <w:ind w:firstLine="480"/>
        <w:rPr>
          <w:color w:val="auto"/>
          <w:szCs w:val="24"/>
        </w:rPr>
      </w:pPr>
      <w:r>
        <w:rPr>
          <w:color w:val="auto"/>
          <w:szCs w:val="24"/>
        </w:rPr>
        <w:t>2、建设单位：山东朗净新材料科技有限公司；</w:t>
      </w:r>
    </w:p>
    <w:p>
      <w:pPr>
        <w:pStyle w:val="13"/>
        <w:ind w:firstLine="480"/>
        <w:rPr>
          <w:color w:val="auto"/>
          <w:szCs w:val="24"/>
        </w:rPr>
      </w:pPr>
      <w:r>
        <w:rPr>
          <w:color w:val="auto"/>
          <w:szCs w:val="24"/>
        </w:rPr>
        <w:t>3、建设性质：</w:t>
      </w:r>
      <w:r>
        <w:rPr>
          <w:color w:val="auto"/>
        </w:rPr>
        <w:t>新建</w:t>
      </w:r>
      <w:r>
        <w:rPr>
          <w:color w:val="auto"/>
          <w:szCs w:val="24"/>
        </w:rPr>
        <w:t>；</w:t>
      </w:r>
    </w:p>
    <w:p>
      <w:pPr>
        <w:ind w:firstLine="480"/>
        <w:rPr>
          <w:color w:val="auto"/>
          <w:szCs w:val="24"/>
        </w:rPr>
      </w:pPr>
      <w:r>
        <w:rPr>
          <w:color w:val="auto"/>
          <w:szCs w:val="24"/>
        </w:rPr>
        <w:t>4、建设规模：</w:t>
      </w:r>
      <w:r>
        <w:rPr>
          <w:rFonts w:hint="eastAsia"/>
          <w:color w:val="auto"/>
          <w:szCs w:val="24"/>
        </w:rPr>
        <w:t>1200吨/年丙交酯和1000吨/年聚乳酸</w:t>
      </w:r>
      <w:r>
        <w:rPr>
          <w:color w:val="auto"/>
        </w:rPr>
        <w:t>；</w:t>
      </w:r>
    </w:p>
    <w:p>
      <w:pPr>
        <w:ind w:firstLine="480"/>
        <w:rPr>
          <w:color w:val="auto"/>
          <w:szCs w:val="24"/>
        </w:rPr>
      </w:pPr>
      <w:r>
        <w:rPr>
          <w:color w:val="auto"/>
          <w:szCs w:val="24"/>
        </w:rPr>
        <w:t>5、建设地点：本项目位于</w:t>
      </w:r>
      <w:r>
        <w:rPr>
          <w:rFonts w:hint="eastAsia"/>
          <w:color w:val="auto"/>
        </w:rPr>
        <w:t>山东省</w:t>
      </w:r>
      <w:r>
        <w:rPr>
          <w:color w:val="auto"/>
          <w:szCs w:val="24"/>
        </w:rPr>
        <w:t>淄博市</w:t>
      </w:r>
      <w:r>
        <w:rPr>
          <w:rFonts w:hint="eastAsia"/>
          <w:color w:val="auto"/>
          <w:szCs w:val="24"/>
        </w:rPr>
        <w:t>张店区房镇镇淄博科技工业园兴园路19号</w:t>
      </w:r>
      <w:r>
        <w:rPr>
          <w:color w:val="auto"/>
          <w:szCs w:val="24"/>
        </w:rPr>
        <w:t>（中心地理坐标：E118.</w:t>
      </w:r>
      <w:r>
        <w:rPr>
          <w:rFonts w:hint="eastAsia"/>
          <w:color w:val="auto"/>
          <w:szCs w:val="24"/>
        </w:rPr>
        <w:t>002306°</w:t>
      </w:r>
      <w:r>
        <w:rPr>
          <w:color w:val="auto"/>
          <w:szCs w:val="24"/>
        </w:rPr>
        <w:t>，N36.</w:t>
      </w:r>
      <w:r>
        <w:rPr>
          <w:rFonts w:hint="eastAsia"/>
          <w:color w:val="auto"/>
          <w:szCs w:val="24"/>
        </w:rPr>
        <w:t>859949°</w:t>
      </w:r>
      <w:r>
        <w:rPr>
          <w:color w:val="auto"/>
          <w:szCs w:val="24"/>
        </w:rPr>
        <w:t>）；</w:t>
      </w:r>
    </w:p>
    <w:p>
      <w:pPr>
        <w:ind w:firstLine="480"/>
        <w:rPr>
          <w:color w:val="auto"/>
          <w:szCs w:val="24"/>
        </w:rPr>
      </w:pPr>
      <w:r>
        <w:rPr>
          <w:color w:val="auto"/>
          <w:szCs w:val="24"/>
        </w:rPr>
        <w:t>6、占地面积：总占地面积</w:t>
      </w:r>
      <w:r>
        <w:rPr>
          <w:rStyle w:val="53"/>
          <w:rFonts w:hint="eastAsia"/>
          <w:color w:val="auto"/>
        </w:rPr>
        <w:t>13443</w:t>
      </w:r>
      <w:r>
        <w:rPr>
          <w:color w:val="auto"/>
          <w:szCs w:val="24"/>
        </w:rPr>
        <w:t>m</w:t>
      </w:r>
      <w:r>
        <w:rPr>
          <w:color w:val="auto"/>
          <w:szCs w:val="24"/>
          <w:vertAlign w:val="superscript"/>
        </w:rPr>
        <w:t>2</w:t>
      </w:r>
      <w:r>
        <w:rPr>
          <w:color w:val="auto"/>
          <w:szCs w:val="24"/>
        </w:rPr>
        <w:t>；</w:t>
      </w:r>
    </w:p>
    <w:p>
      <w:pPr>
        <w:ind w:firstLine="480"/>
        <w:rPr>
          <w:color w:val="auto"/>
          <w:szCs w:val="24"/>
        </w:rPr>
      </w:pPr>
      <w:r>
        <w:rPr>
          <w:color w:val="auto"/>
          <w:szCs w:val="24"/>
        </w:rPr>
        <w:t>7、</w:t>
      </w:r>
      <w:r>
        <w:rPr>
          <w:rFonts w:hint="eastAsia"/>
          <w:color w:val="auto"/>
          <w:szCs w:val="24"/>
        </w:rPr>
        <w:t>项目</w:t>
      </w:r>
      <w:r>
        <w:rPr>
          <w:color w:val="auto"/>
          <w:szCs w:val="24"/>
        </w:rPr>
        <w:t>投资：总投资</w:t>
      </w:r>
      <w:r>
        <w:rPr>
          <w:rFonts w:hint="eastAsia"/>
          <w:color w:val="auto"/>
          <w:szCs w:val="24"/>
        </w:rPr>
        <w:t>10000</w:t>
      </w:r>
      <w:r>
        <w:rPr>
          <w:color w:val="auto"/>
          <w:szCs w:val="24"/>
        </w:rPr>
        <w:t>万元，其中环保投资</w:t>
      </w:r>
      <w:r>
        <w:rPr>
          <w:rFonts w:hint="eastAsia"/>
          <w:color w:val="auto"/>
          <w:szCs w:val="24"/>
        </w:rPr>
        <w:t>600</w:t>
      </w:r>
      <w:r>
        <w:rPr>
          <w:color w:val="auto"/>
          <w:szCs w:val="24"/>
        </w:rPr>
        <w:t>万元，占总投资的6.</w:t>
      </w:r>
      <w:r>
        <w:rPr>
          <w:rFonts w:hint="eastAsia"/>
          <w:color w:val="auto"/>
          <w:szCs w:val="24"/>
        </w:rPr>
        <w:t>0</w:t>
      </w:r>
      <w:r>
        <w:rPr>
          <w:color w:val="auto"/>
          <w:szCs w:val="24"/>
        </w:rPr>
        <w:t>%；</w:t>
      </w:r>
    </w:p>
    <w:p>
      <w:pPr>
        <w:ind w:firstLine="480"/>
        <w:rPr>
          <w:color w:val="auto"/>
          <w:szCs w:val="24"/>
        </w:rPr>
      </w:pPr>
      <w:r>
        <w:rPr>
          <w:color w:val="auto"/>
          <w:szCs w:val="24"/>
        </w:rPr>
        <w:t>8、劳动定员及工作制度：项目新增劳动定员</w:t>
      </w:r>
      <w:r>
        <w:rPr>
          <w:rFonts w:hint="eastAsia"/>
          <w:color w:val="auto"/>
          <w:szCs w:val="24"/>
        </w:rPr>
        <w:t>30</w:t>
      </w:r>
      <w:r>
        <w:rPr>
          <w:color w:val="auto"/>
          <w:szCs w:val="24"/>
        </w:rPr>
        <w:t>人，四班三运转，年工作时间</w:t>
      </w:r>
      <w:r>
        <w:rPr>
          <w:rFonts w:hint="eastAsia"/>
          <w:color w:val="auto"/>
          <w:szCs w:val="24"/>
        </w:rPr>
        <w:t>7200</w:t>
      </w:r>
      <w:r>
        <w:rPr>
          <w:color w:val="auto"/>
          <w:szCs w:val="24"/>
        </w:rPr>
        <w:t>小时；</w:t>
      </w:r>
    </w:p>
    <w:p>
      <w:pPr>
        <w:ind w:firstLine="480"/>
        <w:rPr>
          <w:color w:val="auto"/>
        </w:rPr>
      </w:pPr>
      <w:r>
        <w:rPr>
          <w:color w:val="auto"/>
          <w:szCs w:val="24"/>
        </w:rPr>
        <w:t>9、行业类别：</w:t>
      </w:r>
      <w:r>
        <w:rPr>
          <w:color w:val="auto"/>
        </w:rPr>
        <w:t>C</w:t>
      </w:r>
      <w:r>
        <w:rPr>
          <w:rFonts w:hint="eastAsia"/>
          <w:color w:val="auto"/>
        </w:rPr>
        <w:t>2832生物基、淀粉基新材料</w:t>
      </w:r>
      <w:r>
        <w:rPr>
          <w:color w:val="auto"/>
        </w:rPr>
        <w:t>制造；</w:t>
      </w:r>
    </w:p>
    <w:p>
      <w:pPr>
        <w:ind w:firstLine="480"/>
        <w:rPr>
          <w:color w:val="auto"/>
        </w:rPr>
      </w:pPr>
      <w:r>
        <w:rPr>
          <w:color w:val="auto"/>
        </w:rPr>
        <w:t>10、计划投产时间：2023年</w:t>
      </w:r>
      <w:r>
        <w:rPr>
          <w:rFonts w:hint="eastAsia"/>
          <w:color w:val="auto"/>
          <w:lang w:val="en-US" w:eastAsia="zh-CN"/>
        </w:rPr>
        <w:t>6</w:t>
      </w:r>
      <w:r>
        <w:rPr>
          <w:color w:val="auto"/>
        </w:rPr>
        <w:t>月</w:t>
      </w:r>
      <w:r>
        <w:rPr>
          <w:rFonts w:hint="eastAsia"/>
          <w:color w:val="auto"/>
        </w:rPr>
        <w:t>；</w:t>
      </w:r>
    </w:p>
    <w:p>
      <w:pPr>
        <w:ind w:firstLine="480"/>
        <w:rPr>
          <w:color w:val="auto"/>
        </w:rPr>
      </w:pPr>
      <w:r>
        <w:rPr>
          <w:rFonts w:hint="eastAsia"/>
          <w:color w:val="auto"/>
        </w:rPr>
        <w:t>11、项目组成：租赁淄博自然空间建材有限公司院落。院落内现有两座生产车间，</w:t>
      </w:r>
      <w:r>
        <w:rPr>
          <w:rFonts w:hint="eastAsia"/>
          <w:color w:val="auto"/>
          <w:lang w:val="en-US" w:eastAsia="zh-CN"/>
        </w:rPr>
        <w:t>利用1号生产车间建设一条年产1200吨丙交酯和1000吨聚乳酸生产线，2号车间用作办公及仓储，并配套新建一座污水处理站</w:t>
      </w:r>
      <w:r>
        <w:rPr>
          <w:rFonts w:hint="eastAsia"/>
          <w:color w:val="auto"/>
        </w:rPr>
        <w:t>。</w:t>
      </w:r>
    </w:p>
    <w:p>
      <w:pPr>
        <w:pStyle w:val="2"/>
        <w:spacing w:after="0"/>
        <w:ind w:firstLine="0" w:firstLineChars="0"/>
        <w:rPr>
          <w:rFonts w:eastAsia="黑体"/>
          <w:b/>
          <w:bCs/>
          <w:color w:val="auto"/>
          <w:szCs w:val="32"/>
        </w:rPr>
        <w:sectPr>
          <w:headerReference r:id="rId17" w:type="default"/>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pPr>
        <w:spacing w:line="240" w:lineRule="auto"/>
        <w:ind w:firstLine="480"/>
        <w:jc w:val="center"/>
        <w:rPr>
          <w:color w:val="auto"/>
        </w:rPr>
      </w:pPr>
      <w:r>
        <w:rPr>
          <w:color w:val="auto"/>
          <w:sz w:val="24"/>
        </w:rPr>
        <mc:AlternateContent>
          <mc:Choice Requires="wps">
            <w:drawing>
              <wp:anchor distT="0" distB="0" distL="114300" distR="114300" simplePos="0" relativeHeight="251662336" behindDoc="0" locked="0" layoutInCell="1" allowOverlap="1">
                <wp:simplePos x="0" y="0"/>
                <wp:positionH relativeFrom="column">
                  <wp:posOffset>2332990</wp:posOffset>
                </wp:positionH>
                <wp:positionV relativeFrom="paragraph">
                  <wp:posOffset>453390</wp:posOffset>
                </wp:positionV>
                <wp:extent cx="891540" cy="365125"/>
                <wp:effectExtent l="4445" t="4445" r="18415" b="373380"/>
                <wp:wrapNone/>
                <wp:docPr id="13" name="矩形标注 13"/>
                <wp:cNvGraphicFramePr/>
                <a:graphic xmlns:a="http://schemas.openxmlformats.org/drawingml/2006/main">
                  <a:graphicData uri="http://schemas.microsoft.com/office/word/2010/wordprocessingShape">
                    <wps:wsp>
                      <wps:cNvSpPr/>
                      <wps:spPr>
                        <a:xfrm>
                          <a:off x="3144520" y="1588135"/>
                          <a:ext cx="891540" cy="365125"/>
                        </a:xfrm>
                        <a:prstGeom prst="wedgeRectCallout">
                          <a:avLst>
                            <a:gd name="adj1" fmla="val 47523"/>
                            <a:gd name="adj2" fmla="val 146954"/>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pPr>
                            <w:r>
                              <w:rPr>
                                <w:rFonts w:hint="eastAsia"/>
                              </w:rPr>
                              <w:t>项目位置</w:t>
                            </w:r>
                          </w:p>
                        </w:txbxContent>
                      </wps:txbx>
                      <wps:bodyPr upright="1"/>
                    </wps:wsp>
                  </a:graphicData>
                </a:graphic>
              </wp:anchor>
            </w:drawing>
          </mc:Choice>
          <mc:Fallback>
            <w:pict>
              <v:shape id="_x0000_s1026" o:spid="_x0000_s1026" o:spt="61" type="#_x0000_t61" style="position:absolute;left:0pt;margin-left:183.7pt;margin-top:35.7pt;height:28.75pt;width:70.2pt;z-index:251662336;mso-width-relative:page;mso-height-relative:page;" fillcolor="#FFFFFF" filled="t" stroked="t" coordsize="21600,21600" o:gfxdata="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LmY4m/aAAAACgEAAA8AAAAAAAAAAQAg&#10;AAAAIgAAAGRycy9kb3ducmV2LnhtbFBLAQIUABQAAAAIAIdO4kB5plB6RQIAAJoEAAAOAAAAAAAA&#10;AAEAIAAAACkBAABkcnMvZTJvRG9jLnhtbFBLBQYAAAAABgAGAFkBAADgBQAAAAA=&#10;" adj="21065,42542">
                <v:fill on="t" focussize="0,0"/>
                <v:stroke color="#000000" joinstyle="miter"/>
                <v:imagedata o:title=""/>
                <o:lock v:ext="edit" aspectratio="f"/>
                <v:textbox>
                  <w:txbxContent>
                    <w:p>
                      <w:pPr>
                        <w:spacing w:line="240" w:lineRule="auto"/>
                        <w:ind w:firstLine="0" w:firstLineChars="0"/>
                      </w:pPr>
                      <w:r>
                        <w:rPr>
                          <w:rFonts w:hint="eastAsia"/>
                        </w:rPr>
                        <w:t>项目位置</w:t>
                      </w:r>
                    </w:p>
                  </w:txbxContent>
                </v:textbox>
              </v:shape>
            </w:pict>
          </mc:Fallback>
        </mc:AlternateContent>
      </w:r>
      <w:r>
        <w:rPr>
          <w:color w:val="auto"/>
          <w:sz w:val="24"/>
        </w:rPr>
        <mc:AlternateContent>
          <mc:Choice Requires="wps">
            <w:drawing>
              <wp:anchor distT="0" distB="0" distL="114300" distR="114300" simplePos="0" relativeHeight="251820032" behindDoc="0" locked="0" layoutInCell="1" allowOverlap="1">
                <wp:simplePos x="0" y="0"/>
                <wp:positionH relativeFrom="column">
                  <wp:posOffset>3173730</wp:posOffset>
                </wp:positionH>
                <wp:positionV relativeFrom="paragraph">
                  <wp:posOffset>1152525</wp:posOffset>
                </wp:positionV>
                <wp:extent cx="102870" cy="75565"/>
                <wp:effectExtent l="10795" t="7620" r="19685" b="12065"/>
                <wp:wrapNone/>
                <wp:docPr id="17" name="流程图: 决策 17"/>
                <wp:cNvGraphicFramePr/>
                <a:graphic xmlns:a="http://schemas.openxmlformats.org/drawingml/2006/main">
                  <a:graphicData uri="http://schemas.microsoft.com/office/word/2010/wordprocessingShape">
                    <wps:wsp>
                      <wps:cNvSpPr/>
                      <wps:spPr>
                        <a:xfrm>
                          <a:off x="4088130" y="2295525"/>
                          <a:ext cx="102870" cy="75565"/>
                        </a:xfrm>
                        <a:prstGeom prst="flowChartDecision">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10" type="#_x0000_t110" style="position:absolute;left:0pt;margin-left:249.9pt;margin-top:90.75pt;height:5.95pt;width:8.1pt;z-index:251820032;v-text-anchor:middle;mso-width-relative:page;mso-height-relative:page;" filled="f" stroked="t" coordsize="21600,21600" o:gfxdata="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A/xkBB&#10;2AAAAAsBAAAPAAAAAAAAAAEAIAAAACIAAABkcnMvZG93bnJldi54bWxQSwECFAAUAAAACACHTuJA&#10;rbFFHZMCAADvBAAADgAAAAAAAAABACAAAAAnAQAAZHJzL2Uyb0RvYy54bWxQSwUGAAAAAAYABgBZ&#10;AQAALAYAAAAA&#10;">
                <v:fill on="f" focussize="0,0"/>
                <v:stroke weight="1pt" color="#FF0000 [3204]" miterlimit="8" joinstyle="miter"/>
                <v:imagedata o:title=""/>
                <o:lock v:ext="edit" aspectratio="f"/>
              </v:shape>
            </w:pict>
          </mc:Fallback>
        </mc:AlternateContent>
      </w:r>
      <w:r>
        <w:rPr>
          <w:rFonts w:hint="eastAsia"/>
          <w:color w:val="auto"/>
        </w:rPr>
        <w:drawing>
          <wp:anchor distT="0" distB="0" distL="114300" distR="114300" simplePos="0" relativeHeight="251667456" behindDoc="0" locked="0" layoutInCell="1" allowOverlap="1">
            <wp:simplePos x="0" y="0"/>
            <wp:positionH relativeFrom="column">
              <wp:posOffset>5932170</wp:posOffset>
            </wp:positionH>
            <wp:positionV relativeFrom="paragraph">
              <wp:posOffset>3334385</wp:posOffset>
            </wp:positionV>
            <wp:extent cx="2042795" cy="1567180"/>
            <wp:effectExtent l="0" t="0" r="14605" b="13970"/>
            <wp:wrapNone/>
            <wp:docPr id="7" name="图片 7" descr="1653617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653617127(1)"/>
                    <pic:cNvPicPr>
                      <a:picLocks noChangeAspect="1"/>
                    </pic:cNvPicPr>
                  </pic:nvPicPr>
                  <pic:blipFill>
                    <a:blip r:embed="rId56"/>
                    <a:stretch>
                      <a:fillRect/>
                    </a:stretch>
                  </pic:blipFill>
                  <pic:spPr>
                    <a:xfrm>
                      <a:off x="0" y="0"/>
                      <a:ext cx="2042795" cy="1567180"/>
                    </a:xfrm>
                    <a:prstGeom prst="rect">
                      <a:avLst/>
                    </a:prstGeom>
                  </pic:spPr>
                </pic:pic>
              </a:graphicData>
            </a:graphic>
          </wp:anchor>
        </w:drawing>
      </w:r>
      <w:r>
        <w:rPr>
          <w:rFonts w:hint="eastAsia" w:eastAsia="黑体"/>
          <w:b/>
          <w:bCs/>
          <w:color w:val="auto"/>
          <w:szCs w:val="24"/>
        </w:rPr>
        <w:drawing>
          <wp:anchor distT="0" distB="0" distL="114300" distR="114300" simplePos="0" relativeHeight="251666432" behindDoc="0" locked="0" layoutInCell="1" allowOverlap="1">
            <wp:simplePos x="0" y="0"/>
            <wp:positionH relativeFrom="column">
              <wp:posOffset>7225665</wp:posOffset>
            </wp:positionH>
            <wp:positionV relativeFrom="paragraph">
              <wp:posOffset>28575</wp:posOffset>
            </wp:positionV>
            <wp:extent cx="775970" cy="807720"/>
            <wp:effectExtent l="0" t="0" r="5080" b="11430"/>
            <wp:wrapNone/>
            <wp:docPr id="6" name="图片 6" descr="9231966187c51f82577e5b8e845b6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9231966187c51f82577e5b8e845b6da"/>
                    <pic:cNvPicPr>
                      <a:picLocks noChangeAspect="1"/>
                    </pic:cNvPicPr>
                  </pic:nvPicPr>
                  <pic:blipFill>
                    <a:blip r:embed="rId54"/>
                    <a:stretch>
                      <a:fillRect/>
                    </a:stretch>
                  </pic:blipFill>
                  <pic:spPr>
                    <a:xfrm>
                      <a:off x="0" y="0"/>
                      <a:ext cx="775970" cy="807720"/>
                    </a:xfrm>
                    <a:prstGeom prst="rect">
                      <a:avLst/>
                    </a:prstGeom>
                  </pic:spPr>
                </pic:pic>
              </a:graphicData>
            </a:graphic>
          </wp:anchor>
        </w:drawing>
      </w:r>
      <w:r>
        <w:rPr>
          <w:color w:val="auto"/>
        </w:rPr>
        <w:drawing>
          <wp:inline distT="0" distB="0" distL="114300" distR="114300">
            <wp:extent cx="6845300" cy="4881880"/>
            <wp:effectExtent l="19050" t="19050" r="12700" b="13970"/>
            <wp:docPr id="1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6"/>
                    <pic:cNvPicPr>
                      <a:picLocks noChangeAspect="1"/>
                    </pic:cNvPicPr>
                  </pic:nvPicPr>
                  <pic:blipFill>
                    <a:blip r:embed="rId57"/>
                    <a:stretch>
                      <a:fillRect/>
                    </a:stretch>
                  </pic:blipFill>
                  <pic:spPr>
                    <a:xfrm>
                      <a:off x="0" y="0"/>
                      <a:ext cx="6849254" cy="4884769"/>
                    </a:xfrm>
                    <a:prstGeom prst="rect">
                      <a:avLst/>
                    </a:prstGeom>
                    <a:noFill/>
                    <a:ln>
                      <a:solidFill>
                        <a:schemeClr val="tx1"/>
                      </a:solidFill>
                    </a:ln>
                  </pic:spPr>
                </pic:pic>
              </a:graphicData>
            </a:graphic>
          </wp:inline>
        </w:drawing>
      </w:r>
    </w:p>
    <w:p>
      <w:pPr>
        <w:pStyle w:val="14"/>
        <w:spacing w:after="0"/>
        <w:ind w:firstLine="0" w:firstLineChars="0"/>
        <w:jc w:val="center"/>
        <w:rPr>
          <w:rFonts w:eastAsia="黑体"/>
          <w:color w:val="auto"/>
          <w:sz w:val="21"/>
          <w:szCs w:val="21"/>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eastAsia="黑体"/>
          <w:color w:val="auto"/>
          <w:sz w:val="21"/>
          <w:szCs w:val="21"/>
        </w:rPr>
        <w:t>图2.1-1 项目地理位置图</w:t>
      </w:r>
    </w:p>
    <w:p>
      <w:pPr>
        <w:pStyle w:val="8"/>
        <w:spacing w:before="0" w:beforeLines="0" w:after="0" w:afterLines="0" w:line="360" w:lineRule="auto"/>
        <w:rPr>
          <w:b w:val="0"/>
          <w:bCs w:val="0"/>
          <w:color w:val="auto"/>
          <w:szCs w:val="32"/>
        </w:rPr>
      </w:pPr>
      <w:bookmarkStart w:id="197" w:name="_Toc14506"/>
      <w:r>
        <w:rPr>
          <w:rFonts w:hint="eastAsia"/>
          <w:b w:val="0"/>
          <w:bCs w:val="0"/>
          <w:color w:val="auto"/>
          <w:szCs w:val="32"/>
        </w:rPr>
        <w:t>2.2 建设项目概况</w:t>
      </w:r>
      <w:bookmarkEnd w:id="197"/>
    </w:p>
    <w:p>
      <w:pPr>
        <w:pStyle w:val="9"/>
        <w:adjustRightInd w:val="0"/>
        <w:snapToGrid w:val="0"/>
        <w:spacing w:before="0" w:beforeLines="0" w:after="0" w:afterLines="0"/>
        <w:jc w:val="left"/>
        <w:rPr>
          <w:b w:val="0"/>
          <w:bCs w:val="0"/>
          <w:color w:val="auto"/>
          <w:szCs w:val="32"/>
        </w:rPr>
      </w:pPr>
      <w:r>
        <w:rPr>
          <w:rFonts w:hint="eastAsia"/>
          <w:b w:val="0"/>
          <w:bCs w:val="0"/>
          <w:color w:val="auto"/>
          <w:szCs w:val="32"/>
        </w:rPr>
        <w:t>2.2.1 建设项目组成情况</w:t>
      </w:r>
    </w:p>
    <w:p>
      <w:pPr>
        <w:ind w:firstLine="480"/>
        <w:rPr>
          <w:color w:val="auto"/>
        </w:rPr>
      </w:pPr>
      <w:r>
        <w:rPr>
          <w:rFonts w:hint="eastAsia"/>
          <w:color w:val="auto"/>
        </w:rPr>
        <w:t>拟建项目总占地面积13443.00m</w:t>
      </w:r>
      <w:r>
        <w:rPr>
          <w:rFonts w:hint="eastAsia"/>
          <w:color w:val="auto"/>
          <w:vertAlign w:val="superscript"/>
        </w:rPr>
        <w:t>2</w:t>
      </w:r>
      <w:r>
        <w:rPr>
          <w:rFonts w:hint="eastAsia"/>
          <w:color w:val="auto"/>
        </w:rPr>
        <w:t>，项目建设组成见表2.2-1。</w:t>
      </w:r>
    </w:p>
    <w:p>
      <w:pPr>
        <w:pStyle w:val="14"/>
        <w:spacing w:after="0"/>
        <w:ind w:firstLine="0" w:firstLineChars="0"/>
        <w:jc w:val="center"/>
        <w:rPr>
          <w:rFonts w:eastAsia="黑体"/>
          <w:color w:val="auto"/>
          <w:sz w:val="21"/>
          <w:szCs w:val="21"/>
        </w:rPr>
      </w:pPr>
      <w:r>
        <w:rPr>
          <w:rFonts w:eastAsia="黑体"/>
          <w:color w:val="auto"/>
          <w:sz w:val="21"/>
          <w:szCs w:val="21"/>
        </w:rPr>
        <w:t>表2.</w:t>
      </w:r>
      <w:r>
        <w:rPr>
          <w:rFonts w:hint="eastAsia" w:eastAsia="黑体"/>
          <w:color w:val="auto"/>
          <w:sz w:val="21"/>
          <w:szCs w:val="21"/>
        </w:rPr>
        <w:t>2</w:t>
      </w:r>
      <w:r>
        <w:rPr>
          <w:rFonts w:eastAsia="黑体"/>
          <w:color w:val="auto"/>
          <w:sz w:val="21"/>
          <w:szCs w:val="21"/>
        </w:rPr>
        <w:t>-1 项目组成一览表</w:t>
      </w:r>
    </w:p>
    <w:tbl>
      <w:tblPr>
        <w:tblStyle w:val="23"/>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2"/>
        <w:gridCol w:w="1524"/>
        <w:gridCol w:w="1569"/>
        <w:gridCol w:w="4153"/>
        <w:gridCol w:w="12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tcBorders>
              <w:tl2br w:val="nil"/>
              <w:tr2bl w:val="nil"/>
            </w:tcBorders>
            <w:vAlign w:val="center"/>
          </w:tcPr>
          <w:p>
            <w:pPr>
              <w:pStyle w:val="45"/>
              <w:rPr>
                <w:color w:val="auto"/>
              </w:rPr>
            </w:pPr>
            <w:r>
              <w:rPr>
                <w:rFonts w:hint="eastAsia"/>
                <w:color w:val="auto"/>
              </w:rPr>
              <w:t>工程类别</w:t>
            </w:r>
          </w:p>
        </w:tc>
        <w:tc>
          <w:tcPr>
            <w:tcW w:w="820" w:type="pct"/>
            <w:tcBorders>
              <w:tl2br w:val="nil"/>
              <w:tr2bl w:val="nil"/>
            </w:tcBorders>
            <w:vAlign w:val="center"/>
          </w:tcPr>
          <w:p>
            <w:pPr>
              <w:pStyle w:val="45"/>
              <w:rPr>
                <w:color w:val="auto"/>
              </w:rPr>
            </w:pPr>
            <w:r>
              <w:rPr>
                <w:rFonts w:hint="eastAsia"/>
                <w:color w:val="auto"/>
              </w:rPr>
              <w:t>工程项目</w:t>
            </w:r>
          </w:p>
        </w:tc>
        <w:tc>
          <w:tcPr>
            <w:tcW w:w="3082" w:type="pct"/>
            <w:gridSpan w:val="2"/>
            <w:tcBorders>
              <w:tl2br w:val="nil"/>
              <w:tr2bl w:val="nil"/>
            </w:tcBorders>
            <w:vAlign w:val="center"/>
          </w:tcPr>
          <w:p>
            <w:pPr>
              <w:pStyle w:val="45"/>
              <w:rPr>
                <w:color w:val="auto"/>
              </w:rPr>
            </w:pPr>
            <w:r>
              <w:rPr>
                <w:rFonts w:hint="eastAsia"/>
                <w:color w:val="auto"/>
              </w:rPr>
              <w:t>工程内容</w:t>
            </w:r>
          </w:p>
        </w:tc>
        <w:tc>
          <w:tcPr>
            <w:tcW w:w="670" w:type="pct"/>
            <w:tcBorders>
              <w:tl2br w:val="nil"/>
              <w:tr2bl w:val="nil"/>
            </w:tcBorders>
            <w:vAlign w:val="center"/>
          </w:tcPr>
          <w:p>
            <w:pPr>
              <w:pStyle w:val="45"/>
              <w:rPr>
                <w:color w:val="auto"/>
              </w:rPr>
            </w:pPr>
            <w:r>
              <w:rPr>
                <w:rFonts w:hint="eastAsia"/>
                <w:color w:val="auto"/>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tcBorders>
              <w:tl2br w:val="nil"/>
              <w:tr2bl w:val="nil"/>
            </w:tcBorders>
            <w:vAlign w:val="center"/>
          </w:tcPr>
          <w:p>
            <w:pPr>
              <w:pStyle w:val="45"/>
              <w:rPr>
                <w:color w:val="auto"/>
              </w:rPr>
            </w:pPr>
            <w:r>
              <w:rPr>
                <w:rFonts w:hint="eastAsia"/>
                <w:color w:val="auto"/>
              </w:rPr>
              <w:t>主体工程</w:t>
            </w:r>
          </w:p>
        </w:tc>
        <w:tc>
          <w:tcPr>
            <w:tcW w:w="820" w:type="pct"/>
            <w:tcBorders>
              <w:tl2br w:val="nil"/>
              <w:tr2bl w:val="nil"/>
            </w:tcBorders>
            <w:vAlign w:val="center"/>
          </w:tcPr>
          <w:p>
            <w:pPr>
              <w:pStyle w:val="45"/>
              <w:rPr>
                <w:rFonts w:hint="eastAsia" w:eastAsia="宋体"/>
                <w:color w:val="auto"/>
                <w:lang w:eastAsia="zh-CN"/>
              </w:rPr>
            </w:pPr>
            <w:r>
              <w:rPr>
                <w:rFonts w:hint="eastAsia"/>
                <w:color w:val="auto"/>
                <w:lang w:val="en-US" w:eastAsia="zh-CN"/>
              </w:rPr>
              <w:t>生产车间</w:t>
            </w:r>
          </w:p>
        </w:tc>
        <w:tc>
          <w:tcPr>
            <w:tcW w:w="3082" w:type="pct"/>
            <w:gridSpan w:val="2"/>
            <w:tcBorders>
              <w:tl2br w:val="nil"/>
              <w:tr2bl w:val="nil"/>
            </w:tcBorders>
            <w:vAlign w:val="center"/>
          </w:tcPr>
          <w:p>
            <w:pPr>
              <w:pStyle w:val="45"/>
              <w:rPr>
                <w:rFonts w:hint="default" w:eastAsia="宋体"/>
                <w:color w:val="auto"/>
                <w:lang w:val="en-US" w:eastAsia="zh-CN"/>
              </w:rPr>
            </w:pPr>
            <w:r>
              <w:rPr>
                <w:rFonts w:hint="eastAsia"/>
                <w:color w:val="auto"/>
              </w:rPr>
              <w:t>一层（局部夹层），高11.8m，占地面积3965m</w:t>
            </w:r>
            <w:r>
              <w:rPr>
                <w:rFonts w:hint="eastAsia"/>
                <w:color w:val="auto"/>
                <w:vertAlign w:val="superscript"/>
              </w:rPr>
              <w:t>2</w:t>
            </w:r>
            <w:r>
              <w:rPr>
                <w:rFonts w:hint="eastAsia"/>
                <w:color w:val="auto"/>
              </w:rPr>
              <w:t>，钢结构，车间内置一条</w:t>
            </w:r>
            <w:r>
              <w:rPr>
                <w:color w:val="auto"/>
                <w:szCs w:val="21"/>
              </w:rPr>
              <w:t xml:space="preserve">1200t/a </w:t>
            </w:r>
            <w:r>
              <w:rPr>
                <w:rFonts w:hint="eastAsia"/>
                <w:color w:val="auto"/>
                <w:szCs w:val="21"/>
              </w:rPr>
              <w:t>丙交酯和1</w:t>
            </w:r>
            <w:r>
              <w:rPr>
                <w:color w:val="auto"/>
                <w:szCs w:val="21"/>
              </w:rPr>
              <w:t xml:space="preserve">000t/a </w:t>
            </w:r>
            <w:r>
              <w:rPr>
                <w:rFonts w:hint="eastAsia"/>
                <w:color w:val="auto"/>
                <w:szCs w:val="21"/>
              </w:rPr>
              <w:t>聚乳酸</w:t>
            </w:r>
            <w:r>
              <w:rPr>
                <w:rFonts w:hint="eastAsia"/>
                <w:color w:val="auto"/>
              </w:rPr>
              <w:t>生产线</w:t>
            </w:r>
            <w:r>
              <w:rPr>
                <w:rFonts w:hint="eastAsia"/>
                <w:color w:val="auto"/>
                <w:lang w:eastAsia="zh-CN"/>
              </w:rPr>
              <w:t>，</w:t>
            </w:r>
            <w:r>
              <w:rPr>
                <w:rFonts w:hint="eastAsia"/>
                <w:color w:val="auto"/>
                <w:lang w:val="en-US" w:eastAsia="zh-CN"/>
              </w:rPr>
              <w:t>从南到北主要设备为，脱水塔、提纯塔、酯化塔、脱轻塔、精馏塔、聚合器、缓冲罐、包装机、切粒机、干燥机</w:t>
            </w:r>
          </w:p>
        </w:tc>
        <w:tc>
          <w:tcPr>
            <w:tcW w:w="670" w:type="pct"/>
            <w:tcBorders>
              <w:tl2br w:val="nil"/>
              <w:tr2bl w:val="nil"/>
            </w:tcBorders>
            <w:vAlign w:val="center"/>
          </w:tcPr>
          <w:p>
            <w:pPr>
              <w:pStyle w:val="45"/>
              <w:rPr>
                <w:color w:val="auto"/>
              </w:rPr>
            </w:pPr>
            <w:r>
              <w:rPr>
                <w:rFonts w:hint="eastAsia"/>
                <w:color w:val="auto"/>
                <w:lang w:val="en-US" w:eastAsia="zh-CN"/>
              </w:rPr>
              <w:t>依托</w:t>
            </w:r>
            <w:r>
              <w:rPr>
                <w:rFonts w:hint="eastAsia"/>
                <w:color w:val="auto"/>
              </w:rPr>
              <w:t>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6" w:type="pct"/>
            <w:vMerge w:val="restart"/>
            <w:tcBorders>
              <w:tl2br w:val="nil"/>
              <w:tr2bl w:val="nil"/>
            </w:tcBorders>
            <w:vAlign w:val="center"/>
          </w:tcPr>
          <w:p>
            <w:pPr>
              <w:pStyle w:val="45"/>
              <w:rPr>
                <w:color w:val="auto"/>
              </w:rPr>
            </w:pPr>
            <w:r>
              <w:rPr>
                <w:rFonts w:hint="eastAsia"/>
                <w:color w:val="auto"/>
              </w:rPr>
              <w:t>辅助工程</w:t>
            </w:r>
          </w:p>
        </w:tc>
        <w:tc>
          <w:tcPr>
            <w:tcW w:w="820" w:type="pct"/>
            <w:tcBorders>
              <w:tl2br w:val="nil"/>
              <w:tr2bl w:val="nil"/>
            </w:tcBorders>
            <w:vAlign w:val="center"/>
          </w:tcPr>
          <w:p>
            <w:pPr>
              <w:pStyle w:val="45"/>
              <w:ind w:firstLine="0" w:firstLineChars="0"/>
              <w:rPr>
                <w:rFonts w:hint="default" w:eastAsia="宋体"/>
                <w:color w:val="auto"/>
                <w:lang w:val="en-US" w:eastAsia="zh-CN"/>
              </w:rPr>
            </w:pPr>
            <w:r>
              <w:rPr>
                <w:rFonts w:hint="eastAsia"/>
                <w:color w:val="auto"/>
                <w:lang w:val="en-US" w:eastAsia="zh-CN"/>
              </w:rPr>
              <w:t>办公区</w:t>
            </w:r>
          </w:p>
        </w:tc>
        <w:tc>
          <w:tcPr>
            <w:tcW w:w="3082" w:type="pct"/>
            <w:gridSpan w:val="2"/>
            <w:tcBorders>
              <w:tl2br w:val="nil"/>
              <w:tr2bl w:val="nil"/>
            </w:tcBorders>
            <w:vAlign w:val="center"/>
          </w:tcPr>
          <w:p>
            <w:pPr>
              <w:pStyle w:val="45"/>
              <w:ind w:firstLine="0" w:firstLineChars="0"/>
              <w:rPr>
                <w:color w:val="auto"/>
              </w:rPr>
            </w:pPr>
            <w:r>
              <w:rPr>
                <w:rFonts w:hint="eastAsia"/>
                <w:color w:val="auto"/>
                <w:lang w:val="en-US" w:eastAsia="zh-CN"/>
              </w:rPr>
              <w:t>位于2号厂房2层，</w:t>
            </w:r>
            <w:r>
              <w:rPr>
                <w:rFonts w:hint="eastAsia"/>
                <w:color w:val="auto"/>
              </w:rPr>
              <w:t>占地面积约682m</w:t>
            </w:r>
            <w:r>
              <w:rPr>
                <w:rFonts w:hint="eastAsia"/>
                <w:color w:val="auto"/>
                <w:vertAlign w:val="superscript"/>
              </w:rPr>
              <w:t>2</w:t>
            </w:r>
          </w:p>
        </w:tc>
        <w:tc>
          <w:tcPr>
            <w:tcW w:w="670" w:type="pct"/>
            <w:tcBorders>
              <w:tl2br w:val="nil"/>
              <w:tr2bl w:val="nil"/>
            </w:tcBorders>
            <w:vAlign w:val="center"/>
          </w:tcPr>
          <w:p>
            <w:pPr>
              <w:pStyle w:val="45"/>
              <w:ind w:firstLine="0" w:firstLineChars="0"/>
              <w:rPr>
                <w:rFonts w:hint="default" w:eastAsia="宋体"/>
                <w:color w:val="auto"/>
                <w:lang w:val="en-US" w:eastAsia="zh-CN"/>
              </w:rPr>
            </w:pPr>
            <w:r>
              <w:rPr>
                <w:rFonts w:hint="eastAsia"/>
                <w:color w:val="auto"/>
                <w:lang w:val="en-US" w:eastAsia="zh-CN"/>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tcBorders>
              <w:tl2br w:val="nil"/>
              <w:tr2bl w:val="nil"/>
            </w:tcBorders>
            <w:vAlign w:val="center"/>
          </w:tcPr>
          <w:p>
            <w:pPr>
              <w:pStyle w:val="45"/>
              <w:rPr>
                <w:color w:val="auto"/>
              </w:rPr>
            </w:pPr>
          </w:p>
        </w:tc>
        <w:tc>
          <w:tcPr>
            <w:tcW w:w="820" w:type="pct"/>
            <w:tcBorders>
              <w:tl2br w:val="nil"/>
              <w:tr2bl w:val="nil"/>
            </w:tcBorders>
            <w:vAlign w:val="center"/>
          </w:tcPr>
          <w:p>
            <w:pPr>
              <w:pStyle w:val="45"/>
              <w:rPr>
                <w:color w:val="auto"/>
                <w:szCs w:val="24"/>
              </w:rPr>
            </w:pPr>
            <w:r>
              <w:rPr>
                <w:rFonts w:hint="eastAsia"/>
                <w:color w:val="auto"/>
                <w:szCs w:val="24"/>
              </w:rPr>
              <w:t>门卫</w:t>
            </w:r>
          </w:p>
        </w:tc>
        <w:tc>
          <w:tcPr>
            <w:tcW w:w="3082" w:type="pct"/>
            <w:gridSpan w:val="2"/>
            <w:tcBorders>
              <w:tl2br w:val="nil"/>
              <w:tr2bl w:val="nil"/>
            </w:tcBorders>
            <w:vAlign w:val="center"/>
          </w:tcPr>
          <w:p>
            <w:pPr>
              <w:pStyle w:val="45"/>
              <w:rPr>
                <w:color w:val="auto"/>
                <w:szCs w:val="24"/>
              </w:rPr>
            </w:pPr>
            <w:r>
              <w:rPr>
                <w:rFonts w:hint="eastAsia"/>
                <w:color w:val="auto"/>
                <w:szCs w:val="24"/>
              </w:rPr>
              <w:t>两座，均为一层，一座位于厂区西门占地面积约为8m</w:t>
            </w:r>
            <w:r>
              <w:rPr>
                <w:rFonts w:hint="eastAsia"/>
                <w:color w:val="auto"/>
                <w:szCs w:val="24"/>
                <w:vertAlign w:val="superscript"/>
              </w:rPr>
              <w:t>2</w:t>
            </w:r>
            <w:r>
              <w:rPr>
                <w:rFonts w:hint="eastAsia"/>
                <w:color w:val="auto"/>
                <w:szCs w:val="24"/>
              </w:rPr>
              <w:t>，一座位于厂区北门，占地面积约为18m</w:t>
            </w:r>
            <w:r>
              <w:rPr>
                <w:rFonts w:hint="eastAsia"/>
                <w:color w:val="auto"/>
                <w:szCs w:val="24"/>
                <w:vertAlign w:val="superscript"/>
              </w:rPr>
              <w:t>2</w:t>
            </w:r>
          </w:p>
        </w:tc>
        <w:tc>
          <w:tcPr>
            <w:tcW w:w="670" w:type="pct"/>
            <w:tcBorders>
              <w:tl2br w:val="nil"/>
              <w:tr2bl w:val="nil"/>
            </w:tcBorders>
            <w:vAlign w:val="center"/>
          </w:tcPr>
          <w:p>
            <w:pPr>
              <w:pStyle w:val="45"/>
              <w:rPr>
                <w:color w:val="auto"/>
              </w:rPr>
            </w:pPr>
            <w:r>
              <w:rPr>
                <w:rFonts w:hint="eastAsia"/>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restart"/>
            <w:tcBorders>
              <w:tl2br w:val="nil"/>
              <w:tr2bl w:val="nil"/>
            </w:tcBorders>
            <w:vAlign w:val="center"/>
          </w:tcPr>
          <w:p>
            <w:pPr>
              <w:pStyle w:val="45"/>
              <w:rPr>
                <w:color w:val="auto"/>
              </w:rPr>
            </w:pPr>
            <w:r>
              <w:rPr>
                <w:rFonts w:hint="eastAsia"/>
                <w:color w:val="auto"/>
              </w:rPr>
              <w:t>公用工程</w:t>
            </w:r>
          </w:p>
        </w:tc>
        <w:tc>
          <w:tcPr>
            <w:tcW w:w="820" w:type="pct"/>
            <w:tcBorders>
              <w:tl2br w:val="nil"/>
              <w:tr2bl w:val="nil"/>
            </w:tcBorders>
            <w:vAlign w:val="center"/>
          </w:tcPr>
          <w:p>
            <w:pPr>
              <w:pStyle w:val="45"/>
              <w:rPr>
                <w:color w:val="auto"/>
              </w:rPr>
            </w:pPr>
            <w:r>
              <w:rPr>
                <w:rFonts w:hint="eastAsia"/>
                <w:color w:val="auto"/>
              </w:rPr>
              <w:t>供水系统</w:t>
            </w:r>
          </w:p>
        </w:tc>
        <w:tc>
          <w:tcPr>
            <w:tcW w:w="3082" w:type="pct"/>
            <w:gridSpan w:val="2"/>
            <w:tcBorders>
              <w:tl2br w:val="nil"/>
              <w:tr2bl w:val="nil"/>
            </w:tcBorders>
            <w:vAlign w:val="center"/>
          </w:tcPr>
          <w:p>
            <w:pPr>
              <w:pStyle w:val="45"/>
              <w:rPr>
                <w:color w:val="auto"/>
              </w:rPr>
            </w:pPr>
            <w:r>
              <w:rPr>
                <w:rFonts w:hint="eastAsia"/>
                <w:color w:val="auto"/>
              </w:rPr>
              <w:t>由淄博科技工业园供水管网供给，年新鲜水用水量为</w:t>
            </w:r>
            <w:r>
              <w:rPr>
                <w:rFonts w:hint="eastAsia"/>
                <w:color w:val="auto"/>
                <w:lang w:val="en-US" w:eastAsia="zh-CN"/>
              </w:rPr>
              <w:t>12525.76</w:t>
            </w:r>
            <w:r>
              <w:rPr>
                <w:rFonts w:hint="eastAsia"/>
                <w:color w:val="auto"/>
              </w:rPr>
              <w:t>m</w:t>
            </w:r>
            <w:r>
              <w:rPr>
                <w:rFonts w:hint="eastAsia"/>
                <w:color w:val="auto"/>
                <w:vertAlign w:val="superscript"/>
              </w:rPr>
              <w:t>3</w:t>
            </w:r>
          </w:p>
        </w:tc>
        <w:tc>
          <w:tcPr>
            <w:tcW w:w="670" w:type="pct"/>
            <w:tcBorders>
              <w:tl2br w:val="nil"/>
              <w:tr2bl w:val="nil"/>
            </w:tcBorders>
            <w:vAlign w:val="center"/>
          </w:tcPr>
          <w:p>
            <w:pPr>
              <w:pStyle w:val="45"/>
              <w:rPr>
                <w:color w:val="auto"/>
              </w:rPr>
            </w:pPr>
            <w:r>
              <w:rPr>
                <w:rFonts w:hint="eastAsia"/>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tcBorders>
              <w:tl2br w:val="nil"/>
              <w:tr2bl w:val="nil"/>
            </w:tcBorders>
            <w:vAlign w:val="center"/>
          </w:tcPr>
          <w:p>
            <w:pPr>
              <w:pStyle w:val="45"/>
              <w:rPr>
                <w:color w:val="auto"/>
              </w:rPr>
            </w:pPr>
          </w:p>
        </w:tc>
        <w:tc>
          <w:tcPr>
            <w:tcW w:w="820" w:type="pct"/>
            <w:tcBorders>
              <w:tl2br w:val="nil"/>
              <w:tr2bl w:val="nil"/>
            </w:tcBorders>
            <w:vAlign w:val="center"/>
          </w:tcPr>
          <w:p>
            <w:pPr>
              <w:pStyle w:val="45"/>
              <w:rPr>
                <w:color w:val="auto"/>
              </w:rPr>
            </w:pPr>
            <w:r>
              <w:rPr>
                <w:rFonts w:hint="eastAsia"/>
                <w:color w:val="auto"/>
              </w:rPr>
              <w:t>排水系统</w:t>
            </w:r>
          </w:p>
        </w:tc>
        <w:tc>
          <w:tcPr>
            <w:tcW w:w="3082" w:type="pct"/>
            <w:gridSpan w:val="2"/>
            <w:tcBorders>
              <w:tl2br w:val="nil"/>
              <w:tr2bl w:val="nil"/>
            </w:tcBorders>
            <w:vAlign w:val="center"/>
          </w:tcPr>
          <w:p>
            <w:pPr>
              <w:pStyle w:val="45"/>
              <w:rPr>
                <w:color w:val="auto"/>
              </w:rPr>
            </w:pPr>
            <w:r>
              <w:rPr>
                <w:rFonts w:hint="eastAsia"/>
                <w:color w:val="auto"/>
              </w:rPr>
              <w:t>厂内排水采用雨污分流制、污污分流制。</w:t>
            </w:r>
          </w:p>
          <w:p>
            <w:pPr>
              <w:pStyle w:val="45"/>
              <w:rPr>
                <w:color w:val="auto"/>
              </w:rPr>
            </w:pPr>
            <w:r>
              <w:rPr>
                <w:rFonts w:hint="eastAsia"/>
                <w:color w:val="auto"/>
              </w:rPr>
              <w:t>雨水：经厂区雨水管网排入市政雨水管网。生活污水：经生活污水管网排入化粪池处理。生产废水：经过生产废水管网排入厂区污水处理站处理，最后经同一排放口排入市政污水管网，进入光大水务淄博有限公司水质净化</w:t>
            </w:r>
            <w:r>
              <w:rPr>
                <w:rFonts w:hint="eastAsia"/>
                <w:color w:val="auto"/>
                <w:lang w:eastAsia="zh-CN"/>
              </w:rPr>
              <w:t>三分厂</w:t>
            </w:r>
            <w:r>
              <w:rPr>
                <w:rFonts w:hint="eastAsia"/>
                <w:color w:val="auto"/>
              </w:rPr>
              <w:t>处理达标后排入猪龙河。</w:t>
            </w:r>
          </w:p>
        </w:tc>
        <w:tc>
          <w:tcPr>
            <w:tcW w:w="670" w:type="pct"/>
            <w:tcBorders>
              <w:tl2br w:val="nil"/>
              <w:tr2bl w:val="nil"/>
            </w:tcBorders>
            <w:vAlign w:val="center"/>
          </w:tcPr>
          <w:p>
            <w:pPr>
              <w:pStyle w:val="45"/>
              <w:rPr>
                <w:color w:val="auto"/>
              </w:rPr>
            </w:pPr>
            <w:r>
              <w:rPr>
                <w:rFonts w:hint="eastAsia"/>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tcBorders>
              <w:tl2br w:val="nil"/>
              <w:tr2bl w:val="nil"/>
            </w:tcBorders>
            <w:vAlign w:val="center"/>
          </w:tcPr>
          <w:p>
            <w:pPr>
              <w:pStyle w:val="45"/>
              <w:rPr>
                <w:color w:val="auto"/>
              </w:rPr>
            </w:pPr>
          </w:p>
        </w:tc>
        <w:tc>
          <w:tcPr>
            <w:tcW w:w="820" w:type="pct"/>
            <w:tcBorders>
              <w:tl2br w:val="nil"/>
              <w:tr2bl w:val="nil"/>
            </w:tcBorders>
            <w:vAlign w:val="center"/>
          </w:tcPr>
          <w:p>
            <w:pPr>
              <w:pStyle w:val="45"/>
              <w:rPr>
                <w:color w:val="auto"/>
              </w:rPr>
            </w:pPr>
            <w:r>
              <w:rPr>
                <w:rFonts w:hint="eastAsia"/>
                <w:color w:val="auto"/>
              </w:rPr>
              <w:t>供电系统</w:t>
            </w:r>
          </w:p>
        </w:tc>
        <w:tc>
          <w:tcPr>
            <w:tcW w:w="3082" w:type="pct"/>
            <w:gridSpan w:val="2"/>
            <w:tcBorders>
              <w:tl2br w:val="nil"/>
              <w:tr2bl w:val="nil"/>
            </w:tcBorders>
            <w:vAlign w:val="center"/>
          </w:tcPr>
          <w:p>
            <w:pPr>
              <w:pStyle w:val="45"/>
              <w:rPr>
                <w:color w:val="auto"/>
              </w:rPr>
            </w:pPr>
            <w:r>
              <w:rPr>
                <w:rFonts w:hint="eastAsia"/>
                <w:color w:val="auto"/>
              </w:rPr>
              <w:t>由张店区供电公司供应，并配套建设一座变配电室，位于1号厂房北部</w:t>
            </w:r>
            <w:r>
              <w:rPr>
                <w:rFonts w:hint="eastAsia"/>
                <w:color w:val="auto"/>
                <w:lang w:eastAsia="zh-CN"/>
              </w:rPr>
              <w:t>，</w:t>
            </w:r>
            <w:r>
              <w:rPr>
                <w:rFonts w:hint="eastAsia"/>
                <w:color w:val="auto"/>
              </w:rPr>
              <w:t>占地面积约180 m</w:t>
            </w:r>
            <w:r>
              <w:rPr>
                <w:rFonts w:hint="eastAsia"/>
                <w:color w:val="auto"/>
                <w:vertAlign w:val="superscript"/>
              </w:rPr>
              <w:t>2</w:t>
            </w:r>
            <w:r>
              <w:rPr>
                <w:rFonts w:hint="eastAsia"/>
                <w:color w:val="auto"/>
              </w:rPr>
              <w:t>，高11.8m</w:t>
            </w:r>
            <w:r>
              <w:rPr>
                <w:rFonts w:hint="eastAsia"/>
                <w:color w:val="auto"/>
                <w:lang w:eastAsia="zh-CN"/>
              </w:rPr>
              <w:t>。</w:t>
            </w:r>
            <w:r>
              <w:rPr>
                <w:rFonts w:hint="eastAsia"/>
                <w:color w:val="auto"/>
              </w:rPr>
              <w:t>年用电量</w:t>
            </w:r>
            <w:r>
              <w:rPr>
                <w:bCs/>
                <w:color w:val="auto"/>
                <w:szCs w:val="21"/>
              </w:rPr>
              <w:t>480</w:t>
            </w:r>
            <w:r>
              <w:rPr>
                <w:rFonts w:hint="eastAsia"/>
                <w:color w:val="auto"/>
              </w:rPr>
              <w:t>万kWh</w:t>
            </w:r>
          </w:p>
        </w:tc>
        <w:tc>
          <w:tcPr>
            <w:tcW w:w="670" w:type="pct"/>
            <w:tcBorders>
              <w:tl2br w:val="nil"/>
              <w:tr2bl w:val="nil"/>
            </w:tcBorders>
            <w:vAlign w:val="center"/>
          </w:tcPr>
          <w:p>
            <w:pPr>
              <w:pStyle w:val="45"/>
              <w:rPr>
                <w:color w:val="auto"/>
              </w:rPr>
            </w:pPr>
            <w:r>
              <w:rPr>
                <w:rFonts w:hint="eastAsia"/>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tcBorders>
              <w:tl2br w:val="nil"/>
              <w:tr2bl w:val="nil"/>
            </w:tcBorders>
            <w:vAlign w:val="center"/>
          </w:tcPr>
          <w:p>
            <w:pPr>
              <w:pStyle w:val="45"/>
              <w:rPr>
                <w:color w:val="auto"/>
              </w:rPr>
            </w:pPr>
          </w:p>
        </w:tc>
        <w:tc>
          <w:tcPr>
            <w:tcW w:w="820" w:type="pct"/>
            <w:tcBorders>
              <w:tl2br w:val="nil"/>
              <w:tr2bl w:val="nil"/>
            </w:tcBorders>
            <w:vAlign w:val="center"/>
          </w:tcPr>
          <w:p>
            <w:pPr>
              <w:pStyle w:val="45"/>
              <w:rPr>
                <w:color w:val="auto"/>
              </w:rPr>
            </w:pPr>
            <w:r>
              <w:rPr>
                <w:rFonts w:hint="eastAsia"/>
                <w:color w:val="auto"/>
              </w:rPr>
              <w:t>供热系统</w:t>
            </w:r>
          </w:p>
        </w:tc>
        <w:tc>
          <w:tcPr>
            <w:tcW w:w="3082" w:type="pct"/>
            <w:gridSpan w:val="2"/>
            <w:tcBorders>
              <w:tl2br w:val="nil"/>
              <w:tr2bl w:val="nil"/>
            </w:tcBorders>
            <w:vAlign w:val="center"/>
          </w:tcPr>
          <w:p>
            <w:pPr>
              <w:pStyle w:val="45"/>
              <w:rPr>
                <w:color w:val="auto"/>
              </w:rPr>
            </w:pPr>
            <w:r>
              <w:rPr>
                <w:rFonts w:hint="eastAsia"/>
                <w:color w:val="auto"/>
                <w:lang w:val="en-US" w:eastAsia="zh-CN"/>
              </w:rPr>
              <w:t>建设</w:t>
            </w:r>
            <w:r>
              <w:rPr>
                <w:rFonts w:hint="eastAsia"/>
                <w:color w:val="auto"/>
              </w:rPr>
              <w:t>一座</w:t>
            </w:r>
            <w:r>
              <w:rPr>
                <w:rFonts w:hint="eastAsia"/>
                <w:color w:val="auto"/>
                <w:lang w:val="en-US" w:eastAsia="zh-CN"/>
              </w:rPr>
              <w:t>锅炉房，</w:t>
            </w:r>
            <w:r>
              <w:rPr>
                <w:rFonts w:hint="eastAsia"/>
                <w:color w:val="auto"/>
              </w:rPr>
              <w:t>一层，占地面积约190m</w:t>
            </w:r>
            <w:r>
              <w:rPr>
                <w:rFonts w:hint="eastAsia"/>
                <w:color w:val="auto"/>
                <w:vertAlign w:val="superscript"/>
              </w:rPr>
              <w:t>2</w:t>
            </w:r>
            <w:r>
              <w:rPr>
                <w:rFonts w:hint="eastAsia"/>
                <w:color w:val="auto"/>
              </w:rPr>
              <w:t>，位于1号厂房西南角</w:t>
            </w:r>
            <w:r>
              <w:rPr>
                <w:rFonts w:hint="eastAsia"/>
                <w:color w:val="auto"/>
                <w:lang w:eastAsia="zh-CN"/>
              </w:rPr>
              <w:t>，</w:t>
            </w:r>
            <w:r>
              <w:rPr>
                <w:rFonts w:hint="eastAsia"/>
                <w:color w:val="auto"/>
              </w:rPr>
              <w:t>生产采用天然气锅炉供热，天然气由</w:t>
            </w:r>
            <w:r>
              <w:rPr>
                <w:color w:val="auto"/>
                <w:szCs w:val="21"/>
              </w:rPr>
              <w:t>绿博燃气</w:t>
            </w:r>
            <w:r>
              <w:rPr>
                <w:rFonts w:hint="eastAsia"/>
                <w:color w:val="auto"/>
                <w:szCs w:val="21"/>
              </w:rPr>
              <w:t>有限公司</w:t>
            </w:r>
            <w:r>
              <w:rPr>
                <w:rFonts w:hint="eastAsia"/>
                <w:color w:val="auto"/>
              </w:rPr>
              <w:t>通过管道输送至厂区。办公区域采用空调供暖办公区域采用空调供暖</w:t>
            </w:r>
          </w:p>
        </w:tc>
        <w:tc>
          <w:tcPr>
            <w:tcW w:w="670" w:type="pct"/>
            <w:tcBorders>
              <w:tl2br w:val="nil"/>
              <w:tr2bl w:val="nil"/>
            </w:tcBorders>
            <w:vAlign w:val="center"/>
          </w:tcPr>
          <w:p>
            <w:pPr>
              <w:pStyle w:val="45"/>
              <w:rPr>
                <w:color w:val="auto"/>
              </w:rPr>
            </w:pPr>
            <w:r>
              <w:rPr>
                <w:rFonts w:hint="eastAsia"/>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tcBorders>
              <w:tl2br w:val="nil"/>
              <w:tr2bl w:val="nil"/>
            </w:tcBorders>
            <w:vAlign w:val="center"/>
          </w:tcPr>
          <w:p>
            <w:pPr>
              <w:pStyle w:val="45"/>
              <w:rPr>
                <w:color w:val="auto"/>
              </w:rPr>
            </w:pPr>
          </w:p>
        </w:tc>
        <w:tc>
          <w:tcPr>
            <w:tcW w:w="820" w:type="pct"/>
            <w:tcBorders>
              <w:tl2br w:val="nil"/>
              <w:tr2bl w:val="nil"/>
            </w:tcBorders>
            <w:vAlign w:val="center"/>
          </w:tcPr>
          <w:p>
            <w:pPr>
              <w:pStyle w:val="45"/>
              <w:rPr>
                <w:color w:val="auto"/>
              </w:rPr>
            </w:pPr>
            <w:r>
              <w:rPr>
                <w:rFonts w:hint="eastAsia"/>
                <w:color w:val="auto"/>
              </w:rPr>
              <w:t>循环冷却系统</w:t>
            </w:r>
          </w:p>
        </w:tc>
        <w:tc>
          <w:tcPr>
            <w:tcW w:w="3082" w:type="pct"/>
            <w:gridSpan w:val="2"/>
            <w:tcBorders>
              <w:tl2br w:val="nil"/>
              <w:tr2bl w:val="nil"/>
            </w:tcBorders>
            <w:vAlign w:val="center"/>
          </w:tcPr>
          <w:p>
            <w:pPr>
              <w:pStyle w:val="45"/>
              <w:rPr>
                <w:color w:val="auto"/>
              </w:rPr>
            </w:pPr>
            <w:r>
              <w:rPr>
                <w:rFonts w:hint="eastAsia"/>
                <w:color w:val="auto"/>
              </w:rPr>
              <w:t>一座100m</w:t>
            </w:r>
            <w:r>
              <w:rPr>
                <w:rFonts w:hint="eastAsia"/>
                <w:color w:val="auto"/>
                <w:vertAlign w:val="superscript"/>
              </w:rPr>
              <w:t>3</w:t>
            </w:r>
            <w:r>
              <w:rPr>
                <w:rFonts w:hint="eastAsia"/>
                <w:color w:val="auto"/>
              </w:rPr>
              <w:t>的循环水池，循环量为200m</w:t>
            </w:r>
            <w:r>
              <w:rPr>
                <w:rFonts w:hint="eastAsia"/>
                <w:color w:val="auto"/>
                <w:vertAlign w:val="superscript"/>
              </w:rPr>
              <w:t>3</w:t>
            </w:r>
            <w:r>
              <w:rPr>
                <w:rFonts w:hint="eastAsia"/>
                <w:color w:val="auto"/>
              </w:rPr>
              <w:t>/h的冷却塔</w:t>
            </w:r>
          </w:p>
        </w:tc>
        <w:tc>
          <w:tcPr>
            <w:tcW w:w="670" w:type="pct"/>
            <w:tcBorders>
              <w:tl2br w:val="nil"/>
              <w:tr2bl w:val="nil"/>
            </w:tcBorders>
            <w:vAlign w:val="center"/>
          </w:tcPr>
          <w:p>
            <w:pPr>
              <w:pStyle w:val="45"/>
              <w:rPr>
                <w:color w:val="auto"/>
              </w:rPr>
            </w:pPr>
            <w:r>
              <w:rPr>
                <w:rFonts w:hint="eastAsia"/>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tcBorders>
              <w:tl2br w:val="nil"/>
              <w:tr2bl w:val="nil"/>
            </w:tcBorders>
            <w:vAlign w:val="center"/>
          </w:tcPr>
          <w:p>
            <w:pPr>
              <w:pStyle w:val="45"/>
              <w:rPr>
                <w:color w:val="auto"/>
              </w:rPr>
            </w:pPr>
          </w:p>
        </w:tc>
        <w:tc>
          <w:tcPr>
            <w:tcW w:w="820" w:type="pct"/>
            <w:tcBorders>
              <w:tl2br w:val="nil"/>
              <w:tr2bl w:val="nil"/>
            </w:tcBorders>
            <w:vAlign w:val="center"/>
          </w:tcPr>
          <w:p>
            <w:pPr>
              <w:spacing w:line="312" w:lineRule="exact"/>
              <w:ind w:firstLine="0" w:firstLineChars="0"/>
              <w:jc w:val="center"/>
              <w:rPr>
                <w:color w:val="auto"/>
              </w:rPr>
            </w:pPr>
            <w:r>
              <w:rPr>
                <w:color w:val="auto"/>
                <w:sz w:val="21"/>
                <w:szCs w:val="21"/>
              </w:rPr>
              <w:t>消防系统</w:t>
            </w:r>
          </w:p>
        </w:tc>
        <w:tc>
          <w:tcPr>
            <w:tcW w:w="3082" w:type="pct"/>
            <w:gridSpan w:val="2"/>
            <w:tcBorders>
              <w:tl2br w:val="nil"/>
              <w:tr2bl w:val="nil"/>
            </w:tcBorders>
            <w:vAlign w:val="center"/>
          </w:tcPr>
          <w:p>
            <w:pPr>
              <w:spacing w:line="312" w:lineRule="exact"/>
              <w:ind w:firstLine="0" w:firstLineChars="0"/>
              <w:jc w:val="center"/>
              <w:rPr>
                <w:color w:val="auto"/>
              </w:rPr>
            </w:pPr>
            <w:r>
              <w:rPr>
                <w:color w:val="auto"/>
                <w:sz w:val="21"/>
                <w:szCs w:val="21"/>
              </w:rPr>
              <w:t>消防水池1座，</w:t>
            </w:r>
            <w:r>
              <w:rPr>
                <w:rFonts w:hint="eastAsia"/>
                <w:color w:val="auto"/>
                <w:sz w:val="21"/>
                <w:szCs w:val="21"/>
              </w:rPr>
              <w:t>约252</w:t>
            </w:r>
            <w:r>
              <w:rPr>
                <w:color w:val="auto"/>
                <w:sz w:val="21"/>
                <w:szCs w:val="21"/>
              </w:rPr>
              <w:t>m</w:t>
            </w:r>
            <w:r>
              <w:rPr>
                <w:rFonts w:hint="eastAsia"/>
                <w:color w:val="auto"/>
                <w:sz w:val="21"/>
                <w:szCs w:val="21"/>
                <w:vertAlign w:val="superscript"/>
              </w:rPr>
              <w:t>2</w:t>
            </w:r>
            <w:r>
              <w:rPr>
                <w:rFonts w:hint="eastAsia"/>
                <w:color w:val="auto"/>
                <w:sz w:val="21"/>
                <w:szCs w:val="21"/>
              </w:rPr>
              <w:t>，容积900m</w:t>
            </w:r>
            <w:r>
              <w:rPr>
                <w:rFonts w:hint="eastAsia"/>
                <w:color w:val="auto"/>
                <w:sz w:val="21"/>
                <w:szCs w:val="21"/>
                <w:vertAlign w:val="superscript"/>
              </w:rPr>
              <w:t>3</w:t>
            </w:r>
            <w:r>
              <w:rPr>
                <w:rFonts w:hint="eastAsia"/>
                <w:color w:val="auto"/>
                <w:sz w:val="21"/>
                <w:szCs w:val="21"/>
              </w:rPr>
              <w:t>，消防泵房一座，占地面积21.84m</w:t>
            </w:r>
            <w:r>
              <w:rPr>
                <w:rFonts w:hint="eastAsia"/>
                <w:color w:val="auto"/>
                <w:sz w:val="21"/>
                <w:szCs w:val="21"/>
                <w:vertAlign w:val="superscript"/>
              </w:rPr>
              <w:t>2</w:t>
            </w:r>
          </w:p>
        </w:tc>
        <w:tc>
          <w:tcPr>
            <w:tcW w:w="670" w:type="pct"/>
            <w:tcBorders>
              <w:tl2br w:val="nil"/>
              <w:tr2bl w:val="nil"/>
            </w:tcBorders>
            <w:vAlign w:val="center"/>
          </w:tcPr>
          <w:p>
            <w:pPr>
              <w:pStyle w:val="45"/>
              <w:rPr>
                <w:color w:val="auto"/>
              </w:rPr>
            </w:pPr>
            <w:r>
              <w:rPr>
                <w:rFonts w:hint="eastAsia"/>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restart"/>
            <w:tcBorders>
              <w:tl2br w:val="nil"/>
              <w:tr2bl w:val="nil"/>
            </w:tcBorders>
            <w:vAlign w:val="center"/>
          </w:tcPr>
          <w:p>
            <w:pPr>
              <w:pStyle w:val="45"/>
              <w:rPr>
                <w:color w:val="auto"/>
              </w:rPr>
            </w:pPr>
            <w:r>
              <w:rPr>
                <w:rFonts w:hint="eastAsia"/>
                <w:color w:val="auto"/>
              </w:rPr>
              <w:t>储运工程</w:t>
            </w:r>
          </w:p>
        </w:tc>
        <w:tc>
          <w:tcPr>
            <w:tcW w:w="820" w:type="pct"/>
            <w:tcBorders>
              <w:tl2br w:val="nil"/>
              <w:tr2bl w:val="nil"/>
            </w:tcBorders>
            <w:vAlign w:val="center"/>
          </w:tcPr>
          <w:p>
            <w:pPr>
              <w:pStyle w:val="45"/>
              <w:rPr>
                <w:color w:val="auto"/>
              </w:rPr>
            </w:pPr>
            <w:r>
              <w:rPr>
                <w:rFonts w:hint="eastAsia"/>
                <w:color w:val="auto"/>
              </w:rPr>
              <w:t>原料仓库</w:t>
            </w:r>
          </w:p>
        </w:tc>
        <w:tc>
          <w:tcPr>
            <w:tcW w:w="3082" w:type="pct"/>
            <w:gridSpan w:val="2"/>
            <w:tcBorders>
              <w:tl2br w:val="nil"/>
              <w:tr2bl w:val="nil"/>
            </w:tcBorders>
            <w:vAlign w:val="center"/>
          </w:tcPr>
          <w:p>
            <w:pPr>
              <w:pStyle w:val="45"/>
              <w:rPr>
                <w:color w:val="auto"/>
              </w:rPr>
            </w:pPr>
            <w:r>
              <w:rPr>
                <w:rFonts w:hint="eastAsia"/>
                <w:color w:val="auto"/>
              </w:rPr>
              <w:t>一座，位于2号厂房一楼东侧占地面积约100m</w:t>
            </w:r>
            <w:r>
              <w:rPr>
                <w:rFonts w:hint="eastAsia"/>
                <w:color w:val="auto"/>
                <w:vertAlign w:val="superscript"/>
              </w:rPr>
              <w:t>2</w:t>
            </w:r>
            <w:r>
              <w:rPr>
                <w:rFonts w:hint="eastAsia"/>
                <w:color w:val="auto"/>
              </w:rPr>
              <w:t>，钢结构，用于暂存各类催化剂</w:t>
            </w:r>
          </w:p>
        </w:tc>
        <w:tc>
          <w:tcPr>
            <w:tcW w:w="670" w:type="pct"/>
            <w:tcBorders>
              <w:tl2br w:val="nil"/>
              <w:tr2bl w:val="nil"/>
            </w:tcBorders>
            <w:vAlign w:val="center"/>
          </w:tcPr>
          <w:p>
            <w:pPr>
              <w:pStyle w:val="45"/>
              <w:rPr>
                <w:color w:val="auto"/>
              </w:rPr>
            </w:pPr>
            <w:r>
              <w:rPr>
                <w:rFonts w:hint="eastAsia"/>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tcBorders>
              <w:tl2br w:val="nil"/>
              <w:tr2bl w:val="nil"/>
            </w:tcBorders>
            <w:vAlign w:val="center"/>
          </w:tcPr>
          <w:p>
            <w:pPr>
              <w:pStyle w:val="45"/>
              <w:rPr>
                <w:color w:val="auto"/>
              </w:rPr>
            </w:pPr>
          </w:p>
        </w:tc>
        <w:tc>
          <w:tcPr>
            <w:tcW w:w="820" w:type="pct"/>
            <w:tcBorders>
              <w:tl2br w:val="nil"/>
              <w:tr2bl w:val="nil"/>
            </w:tcBorders>
            <w:vAlign w:val="center"/>
          </w:tcPr>
          <w:p>
            <w:pPr>
              <w:pStyle w:val="45"/>
              <w:rPr>
                <w:color w:val="auto"/>
              </w:rPr>
            </w:pPr>
            <w:r>
              <w:rPr>
                <w:rFonts w:hint="eastAsia"/>
                <w:color w:val="auto"/>
              </w:rPr>
              <w:t>罐区</w:t>
            </w:r>
          </w:p>
        </w:tc>
        <w:tc>
          <w:tcPr>
            <w:tcW w:w="3082" w:type="pct"/>
            <w:gridSpan w:val="2"/>
            <w:tcBorders>
              <w:tl2br w:val="nil"/>
              <w:tr2bl w:val="nil"/>
            </w:tcBorders>
            <w:vAlign w:val="center"/>
          </w:tcPr>
          <w:p>
            <w:pPr>
              <w:pStyle w:val="45"/>
              <w:rPr>
                <w:rFonts w:hint="default" w:eastAsia="宋体"/>
                <w:color w:val="auto"/>
                <w:lang w:val="en-US" w:eastAsia="zh-CN"/>
              </w:rPr>
            </w:pPr>
            <w:r>
              <w:rPr>
                <w:rFonts w:hint="eastAsia"/>
                <w:color w:val="auto"/>
              </w:rPr>
              <w:t>占地面积300m</w:t>
            </w:r>
            <w:r>
              <w:rPr>
                <w:rFonts w:hint="eastAsia"/>
                <w:color w:val="auto"/>
                <w:vertAlign w:val="superscript"/>
              </w:rPr>
              <w:t>2</w:t>
            </w:r>
            <w:r>
              <w:rPr>
                <w:rFonts w:hint="eastAsia"/>
                <w:color w:val="auto"/>
              </w:rPr>
              <w:t>，</w:t>
            </w:r>
            <w:r>
              <w:rPr>
                <w:rFonts w:hint="eastAsia"/>
                <w:color w:val="auto"/>
                <w:lang w:val="en-US" w:eastAsia="zh-CN"/>
              </w:rPr>
              <w:t>位于厂区南部事故水池以北</w:t>
            </w:r>
            <w:r>
              <w:rPr>
                <w:rFonts w:hint="eastAsia"/>
                <w:color w:val="auto"/>
              </w:rPr>
              <w:t>，建设两座</w:t>
            </w:r>
            <w:r>
              <w:rPr>
                <w:rFonts w:hint="eastAsia"/>
                <w:color w:val="auto"/>
                <w:lang w:val="en-US" w:eastAsia="zh-CN"/>
              </w:rPr>
              <w:t>55</w:t>
            </w:r>
            <w:r>
              <w:rPr>
                <w:rFonts w:hint="eastAsia"/>
                <w:color w:val="auto"/>
              </w:rPr>
              <w:t>m</w:t>
            </w:r>
            <w:r>
              <w:rPr>
                <w:rFonts w:hint="eastAsia"/>
                <w:color w:val="auto"/>
                <w:vertAlign w:val="superscript"/>
              </w:rPr>
              <w:t>3</w:t>
            </w:r>
            <w:r>
              <w:rPr>
                <w:rFonts w:hint="eastAsia"/>
                <w:color w:val="auto"/>
              </w:rPr>
              <w:t>乳酸储罐</w:t>
            </w:r>
            <w:r>
              <w:rPr>
                <w:rFonts w:hint="eastAsia"/>
                <w:color w:val="auto"/>
                <w:lang w:eastAsia="zh-CN"/>
              </w:rPr>
              <w:t>，</w:t>
            </w:r>
            <w:r>
              <w:rPr>
                <w:rFonts w:hint="eastAsia"/>
                <w:color w:val="auto"/>
                <w:lang w:val="en-US" w:eastAsia="zh-CN"/>
              </w:rPr>
              <w:t>设置</w:t>
            </w:r>
            <w:r>
              <w:rPr>
                <w:rFonts w:hint="eastAsia"/>
                <w:color w:val="auto"/>
                <w:sz w:val="21"/>
                <w:szCs w:val="21"/>
              </w:rPr>
              <w:t>15</w:t>
            </w:r>
            <w:r>
              <w:rPr>
                <w:rFonts w:hint="eastAsia"/>
                <w:color w:val="auto"/>
                <w:sz w:val="21"/>
                <w:szCs w:val="21"/>
                <w:lang w:val="en-US" w:eastAsia="zh-CN"/>
              </w:rPr>
              <w:t>m</w:t>
            </w:r>
            <w:r>
              <w:rPr>
                <w:rFonts w:hint="eastAsia"/>
                <w:color w:val="auto"/>
                <w:sz w:val="21"/>
                <w:szCs w:val="21"/>
              </w:rPr>
              <w:t>×9.5</w:t>
            </w:r>
            <w:r>
              <w:rPr>
                <w:rFonts w:hint="eastAsia"/>
                <w:color w:val="auto"/>
                <w:sz w:val="21"/>
                <w:szCs w:val="21"/>
                <w:lang w:val="en-US" w:eastAsia="zh-CN"/>
              </w:rPr>
              <w:t>m</w:t>
            </w:r>
            <w:r>
              <w:rPr>
                <w:rFonts w:hint="eastAsia"/>
                <w:color w:val="auto"/>
                <w:sz w:val="21"/>
                <w:szCs w:val="21"/>
              </w:rPr>
              <w:t>×1.0</w:t>
            </w:r>
            <w:r>
              <w:rPr>
                <w:rFonts w:hint="eastAsia"/>
                <w:color w:val="auto"/>
                <w:sz w:val="21"/>
                <w:szCs w:val="21"/>
                <w:lang w:val="en-US" w:eastAsia="zh-CN"/>
              </w:rPr>
              <w:t>m围堰</w:t>
            </w:r>
          </w:p>
        </w:tc>
        <w:tc>
          <w:tcPr>
            <w:tcW w:w="670" w:type="pct"/>
            <w:tcBorders>
              <w:tl2br w:val="nil"/>
              <w:tr2bl w:val="nil"/>
            </w:tcBorders>
            <w:vAlign w:val="center"/>
          </w:tcPr>
          <w:p>
            <w:pPr>
              <w:pStyle w:val="45"/>
              <w:rPr>
                <w:color w:val="auto"/>
              </w:rPr>
            </w:pPr>
            <w:r>
              <w:rPr>
                <w:rFonts w:hint="eastAsia"/>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tcBorders>
              <w:tl2br w:val="nil"/>
              <w:tr2bl w:val="nil"/>
            </w:tcBorders>
            <w:vAlign w:val="center"/>
          </w:tcPr>
          <w:p>
            <w:pPr>
              <w:pStyle w:val="45"/>
              <w:rPr>
                <w:color w:val="auto"/>
              </w:rPr>
            </w:pPr>
          </w:p>
        </w:tc>
        <w:tc>
          <w:tcPr>
            <w:tcW w:w="820" w:type="pct"/>
            <w:tcBorders>
              <w:tl2br w:val="nil"/>
              <w:tr2bl w:val="nil"/>
            </w:tcBorders>
            <w:vAlign w:val="center"/>
          </w:tcPr>
          <w:p>
            <w:pPr>
              <w:pStyle w:val="45"/>
              <w:rPr>
                <w:color w:val="auto"/>
              </w:rPr>
            </w:pPr>
            <w:r>
              <w:rPr>
                <w:rFonts w:hint="eastAsia"/>
                <w:color w:val="auto"/>
              </w:rPr>
              <w:t>产品仓库</w:t>
            </w:r>
          </w:p>
        </w:tc>
        <w:tc>
          <w:tcPr>
            <w:tcW w:w="3082" w:type="pct"/>
            <w:gridSpan w:val="2"/>
            <w:tcBorders>
              <w:tl2br w:val="nil"/>
              <w:tr2bl w:val="nil"/>
            </w:tcBorders>
            <w:vAlign w:val="center"/>
          </w:tcPr>
          <w:p>
            <w:pPr>
              <w:pStyle w:val="45"/>
              <w:rPr>
                <w:color w:val="auto"/>
              </w:rPr>
            </w:pPr>
            <w:r>
              <w:rPr>
                <w:rFonts w:hint="eastAsia"/>
                <w:color w:val="auto"/>
              </w:rPr>
              <w:t>一座，位于2号厂房一楼东侧占地面积约100m</w:t>
            </w:r>
            <w:r>
              <w:rPr>
                <w:rFonts w:hint="eastAsia"/>
                <w:color w:val="auto"/>
                <w:vertAlign w:val="superscript"/>
              </w:rPr>
              <w:t>2</w:t>
            </w:r>
            <w:r>
              <w:rPr>
                <w:rFonts w:hint="eastAsia"/>
                <w:color w:val="auto"/>
              </w:rPr>
              <w:t>，钢结构，用于暂存产品</w:t>
            </w:r>
          </w:p>
        </w:tc>
        <w:tc>
          <w:tcPr>
            <w:tcW w:w="670" w:type="pct"/>
            <w:tcBorders>
              <w:tl2br w:val="nil"/>
              <w:tr2bl w:val="nil"/>
            </w:tcBorders>
            <w:vAlign w:val="center"/>
          </w:tcPr>
          <w:p>
            <w:pPr>
              <w:pStyle w:val="45"/>
              <w:rPr>
                <w:color w:val="auto"/>
              </w:rPr>
            </w:pPr>
            <w:r>
              <w:rPr>
                <w:rFonts w:hint="eastAsia"/>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restart"/>
            <w:tcBorders>
              <w:tl2br w:val="nil"/>
              <w:tr2bl w:val="nil"/>
            </w:tcBorders>
            <w:vAlign w:val="center"/>
          </w:tcPr>
          <w:p>
            <w:pPr>
              <w:pStyle w:val="45"/>
              <w:rPr>
                <w:color w:val="auto"/>
              </w:rPr>
            </w:pPr>
            <w:r>
              <w:rPr>
                <w:rFonts w:hint="eastAsia"/>
                <w:color w:val="auto"/>
              </w:rPr>
              <w:t>环保工程</w:t>
            </w:r>
          </w:p>
        </w:tc>
        <w:tc>
          <w:tcPr>
            <w:tcW w:w="820" w:type="pct"/>
            <w:tcBorders>
              <w:tl2br w:val="nil"/>
              <w:tr2bl w:val="nil"/>
            </w:tcBorders>
            <w:vAlign w:val="center"/>
          </w:tcPr>
          <w:p>
            <w:pPr>
              <w:pStyle w:val="45"/>
              <w:rPr>
                <w:color w:val="auto"/>
              </w:rPr>
            </w:pPr>
            <w:r>
              <w:rPr>
                <w:rFonts w:hint="eastAsia"/>
                <w:color w:val="auto"/>
              </w:rPr>
              <w:t>废水处理</w:t>
            </w:r>
          </w:p>
        </w:tc>
        <w:tc>
          <w:tcPr>
            <w:tcW w:w="3082" w:type="pct"/>
            <w:gridSpan w:val="2"/>
            <w:tcBorders>
              <w:tl2br w:val="nil"/>
              <w:tr2bl w:val="nil"/>
            </w:tcBorders>
            <w:vAlign w:val="center"/>
          </w:tcPr>
          <w:p>
            <w:pPr>
              <w:pStyle w:val="45"/>
              <w:rPr>
                <w:color w:val="auto"/>
              </w:rPr>
            </w:pPr>
            <w:r>
              <w:rPr>
                <w:rFonts w:hint="eastAsia"/>
                <w:color w:val="auto"/>
              </w:rPr>
              <w:t>厂区新建一座处理能力为12m</w:t>
            </w:r>
            <w:r>
              <w:rPr>
                <w:rFonts w:hint="eastAsia"/>
                <w:color w:val="auto"/>
                <w:vertAlign w:val="superscript"/>
              </w:rPr>
              <w:t>3</w:t>
            </w:r>
            <w:r>
              <w:rPr>
                <w:rFonts w:hint="eastAsia"/>
                <w:color w:val="auto"/>
              </w:rPr>
              <w:t>/d的污水处理站，污水处理站采用为“水解酸化+水解沉淀+高倍增生物处理”工艺，生产废水经厂区污水处理站处理后与生活污水一起进入污水管网排入光大水务淄博有限公司水质净化</w:t>
            </w:r>
            <w:r>
              <w:rPr>
                <w:rFonts w:hint="eastAsia"/>
                <w:color w:val="auto"/>
                <w:lang w:eastAsia="zh-CN"/>
              </w:rPr>
              <w:t>三分厂</w:t>
            </w:r>
            <w:r>
              <w:rPr>
                <w:rFonts w:hint="eastAsia"/>
                <w:color w:val="auto"/>
              </w:rPr>
              <w:t>处理达标后排入猪龙河。</w:t>
            </w:r>
          </w:p>
        </w:tc>
        <w:tc>
          <w:tcPr>
            <w:tcW w:w="670" w:type="pct"/>
            <w:tcBorders>
              <w:tl2br w:val="nil"/>
              <w:tr2bl w:val="nil"/>
            </w:tcBorders>
            <w:vAlign w:val="center"/>
          </w:tcPr>
          <w:p>
            <w:pPr>
              <w:pStyle w:val="45"/>
              <w:rPr>
                <w:color w:val="auto"/>
              </w:rPr>
            </w:pPr>
            <w:r>
              <w:rPr>
                <w:rFonts w:hint="eastAsia"/>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tcBorders>
              <w:tl2br w:val="nil"/>
              <w:tr2bl w:val="nil"/>
            </w:tcBorders>
            <w:vAlign w:val="center"/>
          </w:tcPr>
          <w:p>
            <w:pPr>
              <w:pStyle w:val="45"/>
              <w:rPr>
                <w:color w:val="auto"/>
              </w:rPr>
            </w:pPr>
          </w:p>
        </w:tc>
        <w:tc>
          <w:tcPr>
            <w:tcW w:w="820" w:type="pct"/>
            <w:vMerge w:val="restart"/>
            <w:tcBorders>
              <w:right w:val="single" w:color="000000" w:sz="4" w:space="0"/>
              <w:tl2br w:val="nil"/>
              <w:tr2bl w:val="nil"/>
            </w:tcBorders>
            <w:vAlign w:val="center"/>
          </w:tcPr>
          <w:p>
            <w:pPr>
              <w:pStyle w:val="45"/>
              <w:rPr>
                <w:color w:val="auto"/>
              </w:rPr>
            </w:pPr>
            <w:r>
              <w:rPr>
                <w:rFonts w:hint="eastAsia"/>
                <w:color w:val="auto"/>
              </w:rPr>
              <w:t>废气处理</w:t>
            </w:r>
          </w:p>
        </w:tc>
        <w:tc>
          <w:tcPr>
            <w:tcW w:w="845" w:type="pct"/>
            <w:vMerge w:val="restart"/>
            <w:tcBorders>
              <w:left w:val="single" w:color="000000" w:sz="4" w:space="0"/>
              <w:tl2br w:val="nil"/>
              <w:tr2bl w:val="nil"/>
            </w:tcBorders>
            <w:vAlign w:val="center"/>
          </w:tcPr>
          <w:p>
            <w:pPr>
              <w:pStyle w:val="45"/>
              <w:rPr>
                <w:color w:val="auto"/>
              </w:rPr>
            </w:pPr>
            <w:r>
              <w:rPr>
                <w:rFonts w:hint="eastAsia"/>
                <w:color w:val="auto"/>
              </w:rPr>
              <w:t>生产废气</w:t>
            </w:r>
          </w:p>
        </w:tc>
        <w:tc>
          <w:tcPr>
            <w:tcW w:w="2237" w:type="pct"/>
            <w:tcBorders>
              <w:tl2br w:val="nil"/>
              <w:tr2bl w:val="nil"/>
            </w:tcBorders>
            <w:vAlign w:val="center"/>
          </w:tcPr>
          <w:p>
            <w:pPr>
              <w:pStyle w:val="45"/>
              <w:rPr>
                <w:color w:val="auto"/>
              </w:rPr>
            </w:pPr>
            <w:r>
              <w:rPr>
                <w:rFonts w:hint="eastAsia"/>
                <w:color w:val="auto"/>
              </w:rPr>
              <w:t>生产过程中产生的有机废气经</w:t>
            </w:r>
            <w:r>
              <w:rPr>
                <w:rFonts w:hint="eastAsia"/>
                <w:color w:val="auto"/>
                <w:lang w:eastAsia="zh-CN"/>
              </w:rPr>
              <w:t>碱喷淋</w:t>
            </w:r>
            <w:r>
              <w:rPr>
                <w:rFonts w:hint="eastAsia"/>
                <w:color w:val="auto"/>
              </w:rPr>
              <w:t>+活性炭吸附后通过15m高排气筒DA001排放</w:t>
            </w:r>
          </w:p>
        </w:tc>
        <w:tc>
          <w:tcPr>
            <w:tcW w:w="670" w:type="pct"/>
            <w:tcBorders>
              <w:tl2br w:val="nil"/>
              <w:tr2bl w:val="nil"/>
            </w:tcBorders>
            <w:vAlign w:val="center"/>
          </w:tcPr>
          <w:p>
            <w:pPr>
              <w:pStyle w:val="45"/>
              <w:rPr>
                <w:color w:val="auto"/>
              </w:rPr>
            </w:pPr>
            <w:r>
              <w:rPr>
                <w:rFonts w:hint="eastAsia"/>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6" w:type="pct"/>
            <w:vMerge w:val="continue"/>
            <w:tcBorders>
              <w:tl2br w:val="nil"/>
              <w:tr2bl w:val="nil"/>
            </w:tcBorders>
            <w:vAlign w:val="center"/>
          </w:tcPr>
          <w:p>
            <w:pPr>
              <w:pStyle w:val="45"/>
              <w:rPr>
                <w:color w:val="auto"/>
              </w:rPr>
            </w:pPr>
          </w:p>
        </w:tc>
        <w:tc>
          <w:tcPr>
            <w:tcW w:w="820" w:type="pct"/>
            <w:vMerge w:val="continue"/>
            <w:tcBorders>
              <w:right w:val="single" w:color="000000" w:sz="4" w:space="0"/>
              <w:tl2br w:val="nil"/>
              <w:tr2bl w:val="nil"/>
            </w:tcBorders>
            <w:vAlign w:val="center"/>
          </w:tcPr>
          <w:p>
            <w:pPr>
              <w:pStyle w:val="45"/>
              <w:rPr>
                <w:color w:val="auto"/>
              </w:rPr>
            </w:pPr>
          </w:p>
        </w:tc>
        <w:tc>
          <w:tcPr>
            <w:tcW w:w="845" w:type="pct"/>
            <w:vMerge w:val="continue"/>
            <w:tcBorders>
              <w:left w:val="single" w:color="000000" w:sz="4" w:space="0"/>
              <w:tl2br w:val="nil"/>
              <w:tr2bl w:val="nil"/>
            </w:tcBorders>
            <w:vAlign w:val="center"/>
          </w:tcPr>
          <w:p>
            <w:pPr>
              <w:pStyle w:val="45"/>
              <w:rPr>
                <w:color w:val="auto"/>
              </w:rPr>
            </w:pPr>
          </w:p>
        </w:tc>
        <w:tc>
          <w:tcPr>
            <w:tcW w:w="2237" w:type="pct"/>
            <w:tcBorders>
              <w:tl2br w:val="nil"/>
              <w:tr2bl w:val="nil"/>
            </w:tcBorders>
            <w:vAlign w:val="center"/>
          </w:tcPr>
          <w:p>
            <w:pPr>
              <w:pStyle w:val="45"/>
              <w:rPr>
                <w:rFonts w:hint="default" w:eastAsia="宋体"/>
                <w:color w:val="auto"/>
                <w:lang w:val="en-US" w:eastAsia="zh-CN"/>
              </w:rPr>
            </w:pPr>
            <w:r>
              <w:rPr>
                <w:rFonts w:hint="eastAsia" w:hAnsi="宋体"/>
                <w:color w:val="auto"/>
              </w:rPr>
              <w:t>干燥、包装时粉尘废气过程中产生的颗粒物经过干燥机自带</w:t>
            </w:r>
            <w:r>
              <w:rPr>
                <w:rFonts w:hint="eastAsia" w:hAnsi="宋体"/>
                <w:color w:val="auto"/>
                <w:lang w:val="en-US" w:eastAsia="zh-CN"/>
              </w:rPr>
              <w:t>两级除尘器（</w:t>
            </w:r>
            <w:r>
              <w:rPr>
                <w:rFonts w:hint="eastAsia" w:hAnsi="宋体"/>
                <w:color w:val="auto"/>
              </w:rPr>
              <w:t>旋风除尘器</w:t>
            </w:r>
            <w:r>
              <w:rPr>
                <w:rFonts w:hint="eastAsia" w:hAnsi="宋体"/>
                <w:color w:val="auto"/>
                <w:lang w:eastAsia="zh-CN"/>
              </w:rPr>
              <w:t>、</w:t>
            </w:r>
            <w:r>
              <w:rPr>
                <w:rFonts w:hint="eastAsia" w:hAnsi="宋体"/>
                <w:color w:val="auto"/>
                <w:lang w:val="en-US" w:eastAsia="zh-CN"/>
              </w:rPr>
              <w:t>袋式除尘器）</w:t>
            </w:r>
            <w:r>
              <w:rPr>
                <w:rFonts w:hint="eastAsia" w:hAnsi="宋体"/>
                <w:color w:val="auto"/>
              </w:rPr>
              <w:t>除尘后</w:t>
            </w:r>
            <w:r>
              <w:rPr>
                <w:rFonts w:hint="eastAsia" w:hAnsi="宋体"/>
                <w:color w:val="auto"/>
                <w:lang w:val="en-US" w:eastAsia="zh-CN"/>
              </w:rPr>
              <w:t>无组织排放</w:t>
            </w:r>
          </w:p>
        </w:tc>
        <w:tc>
          <w:tcPr>
            <w:tcW w:w="670" w:type="pct"/>
            <w:tcBorders>
              <w:tl2br w:val="nil"/>
              <w:tr2bl w:val="nil"/>
            </w:tcBorders>
            <w:vAlign w:val="center"/>
          </w:tcPr>
          <w:p>
            <w:pPr>
              <w:pStyle w:val="45"/>
              <w:rPr>
                <w:color w:val="auto"/>
              </w:rPr>
            </w:pPr>
            <w:r>
              <w:rPr>
                <w:rFonts w:hint="eastAsia"/>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tcBorders>
              <w:tl2br w:val="nil"/>
              <w:tr2bl w:val="nil"/>
            </w:tcBorders>
            <w:vAlign w:val="center"/>
          </w:tcPr>
          <w:p>
            <w:pPr>
              <w:pStyle w:val="45"/>
              <w:rPr>
                <w:color w:val="auto"/>
              </w:rPr>
            </w:pPr>
          </w:p>
        </w:tc>
        <w:tc>
          <w:tcPr>
            <w:tcW w:w="820" w:type="pct"/>
            <w:vMerge w:val="continue"/>
            <w:tcBorders>
              <w:right w:val="single" w:color="000000" w:sz="4" w:space="0"/>
              <w:tl2br w:val="nil"/>
              <w:tr2bl w:val="nil"/>
            </w:tcBorders>
            <w:vAlign w:val="center"/>
          </w:tcPr>
          <w:p>
            <w:pPr>
              <w:pStyle w:val="45"/>
              <w:rPr>
                <w:color w:val="auto"/>
              </w:rPr>
            </w:pPr>
          </w:p>
        </w:tc>
        <w:tc>
          <w:tcPr>
            <w:tcW w:w="845" w:type="pct"/>
            <w:tcBorders>
              <w:left w:val="single" w:color="000000" w:sz="4" w:space="0"/>
              <w:tl2br w:val="nil"/>
              <w:tr2bl w:val="nil"/>
            </w:tcBorders>
            <w:vAlign w:val="center"/>
          </w:tcPr>
          <w:p>
            <w:pPr>
              <w:pStyle w:val="45"/>
              <w:rPr>
                <w:color w:val="auto"/>
                <w:szCs w:val="24"/>
              </w:rPr>
            </w:pPr>
            <w:r>
              <w:rPr>
                <w:rFonts w:hint="eastAsia"/>
                <w:color w:val="auto"/>
              </w:rPr>
              <w:t>天然气锅炉机组</w:t>
            </w:r>
          </w:p>
        </w:tc>
        <w:tc>
          <w:tcPr>
            <w:tcW w:w="2237" w:type="pct"/>
            <w:tcBorders>
              <w:tl2br w:val="nil"/>
              <w:tr2bl w:val="nil"/>
            </w:tcBorders>
            <w:vAlign w:val="center"/>
          </w:tcPr>
          <w:p>
            <w:pPr>
              <w:pStyle w:val="45"/>
              <w:rPr>
                <w:color w:val="auto"/>
              </w:rPr>
            </w:pPr>
            <w:r>
              <w:rPr>
                <w:rFonts w:hint="eastAsia"/>
                <w:color w:val="auto"/>
              </w:rPr>
              <w:t>采用低氮燃烧方式，由15m排气筒DA00</w:t>
            </w:r>
            <w:r>
              <w:rPr>
                <w:rFonts w:hint="eastAsia"/>
                <w:color w:val="auto"/>
                <w:lang w:val="en-US" w:eastAsia="zh-CN"/>
              </w:rPr>
              <w:t>2</w:t>
            </w:r>
            <w:r>
              <w:rPr>
                <w:rFonts w:hint="eastAsia"/>
                <w:color w:val="auto"/>
              </w:rPr>
              <w:t>排放</w:t>
            </w:r>
          </w:p>
        </w:tc>
        <w:tc>
          <w:tcPr>
            <w:tcW w:w="670" w:type="pct"/>
            <w:tcBorders>
              <w:tl2br w:val="nil"/>
              <w:tr2bl w:val="nil"/>
            </w:tcBorders>
            <w:vAlign w:val="center"/>
          </w:tcPr>
          <w:p>
            <w:pPr>
              <w:pStyle w:val="45"/>
              <w:rPr>
                <w:color w:val="auto"/>
              </w:rPr>
            </w:pPr>
            <w:r>
              <w:rPr>
                <w:rFonts w:hint="eastAsia"/>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6" w:type="pct"/>
            <w:vMerge w:val="continue"/>
            <w:tcBorders>
              <w:tl2br w:val="nil"/>
              <w:tr2bl w:val="nil"/>
            </w:tcBorders>
            <w:vAlign w:val="center"/>
          </w:tcPr>
          <w:p>
            <w:pPr>
              <w:pStyle w:val="45"/>
              <w:rPr>
                <w:color w:val="auto"/>
              </w:rPr>
            </w:pPr>
          </w:p>
        </w:tc>
        <w:tc>
          <w:tcPr>
            <w:tcW w:w="820" w:type="pct"/>
            <w:vMerge w:val="continue"/>
            <w:tcBorders>
              <w:right w:val="single" w:color="000000" w:sz="4" w:space="0"/>
              <w:tl2br w:val="nil"/>
              <w:tr2bl w:val="nil"/>
            </w:tcBorders>
            <w:vAlign w:val="center"/>
          </w:tcPr>
          <w:p>
            <w:pPr>
              <w:pStyle w:val="45"/>
              <w:rPr>
                <w:color w:val="auto"/>
              </w:rPr>
            </w:pPr>
          </w:p>
        </w:tc>
        <w:tc>
          <w:tcPr>
            <w:tcW w:w="845" w:type="pct"/>
            <w:tcBorders>
              <w:left w:val="single" w:color="000000" w:sz="4" w:space="0"/>
              <w:tl2br w:val="nil"/>
              <w:tr2bl w:val="nil"/>
            </w:tcBorders>
            <w:vAlign w:val="center"/>
          </w:tcPr>
          <w:p>
            <w:pPr>
              <w:pStyle w:val="45"/>
              <w:rPr>
                <w:color w:val="auto"/>
                <w:szCs w:val="24"/>
              </w:rPr>
            </w:pPr>
            <w:r>
              <w:rPr>
                <w:rFonts w:hint="eastAsia"/>
                <w:color w:val="auto"/>
              </w:rPr>
              <w:t>污水处理站</w:t>
            </w:r>
          </w:p>
        </w:tc>
        <w:tc>
          <w:tcPr>
            <w:tcW w:w="2237" w:type="pct"/>
            <w:tcBorders>
              <w:tl2br w:val="nil"/>
              <w:tr2bl w:val="nil"/>
            </w:tcBorders>
            <w:vAlign w:val="center"/>
          </w:tcPr>
          <w:p>
            <w:pPr>
              <w:pStyle w:val="45"/>
              <w:rPr>
                <w:color w:val="auto"/>
              </w:rPr>
            </w:pPr>
            <w:r>
              <w:rPr>
                <w:rFonts w:hint="eastAsia"/>
                <w:color w:val="auto"/>
              </w:rPr>
              <w:t>污水处理站</w:t>
            </w:r>
            <w:r>
              <w:rPr>
                <w:rFonts w:hint="eastAsia"/>
                <w:color w:val="auto"/>
                <w:kern w:val="0"/>
              </w:rPr>
              <w:t>调节池、兼氧池等全部封闭</w:t>
            </w:r>
            <w:r>
              <w:rPr>
                <w:rFonts w:hint="eastAsia"/>
                <w:color w:val="auto"/>
              </w:rPr>
              <w:t>废气引入</w:t>
            </w:r>
            <w:r>
              <w:rPr>
                <w:rFonts w:hint="eastAsia"/>
                <w:color w:val="auto"/>
                <w:lang w:eastAsia="zh-CN"/>
              </w:rPr>
              <w:t>碱喷淋</w:t>
            </w:r>
            <w:r>
              <w:rPr>
                <w:rFonts w:hint="eastAsia"/>
                <w:color w:val="auto"/>
              </w:rPr>
              <w:t>+活性炭吸附装置，由15m排气筒DA001排放</w:t>
            </w:r>
          </w:p>
        </w:tc>
        <w:tc>
          <w:tcPr>
            <w:tcW w:w="670" w:type="pct"/>
            <w:tcBorders>
              <w:tl2br w:val="nil"/>
              <w:tr2bl w:val="nil"/>
            </w:tcBorders>
            <w:vAlign w:val="center"/>
          </w:tcPr>
          <w:p>
            <w:pPr>
              <w:pStyle w:val="45"/>
              <w:rPr>
                <w:color w:val="auto"/>
              </w:rPr>
            </w:pPr>
            <w:r>
              <w:rPr>
                <w:rFonts w:hint="eastAsia"/>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426" w:type="pct"/>
            <w:vMerge w:val="continue"/>
            <w:tcBorders>
              <w:tl2br w:val="nil"/>
              <w:tr2bl w:val="nil"/>
            </w:tcBorders>
            <w:vAlign w:val="center"/>
          </w:tcPr>
          <w:p>
            <w:pPr>
              <w:pStyle w:val="45"/>
              <w:rPr>
                <w:color w:val="auto"/>
              </w:rPr>
            </w:pPr>
          </w:p>
        </w:tc>
        <w:tc>
          <w:tcPr>
            <w:tcW w:w="820" w:type="pct"/>
            <w:tcBorders>
              <w:right w:val="single" w:color="000000" w:sz="4" w:space="0"/>
              <w:tl2br w:val="nil"/>
              <w:tr2bl w:val="nil"/>
            </w:tcBorders>
            <w:vAlign w:val="center"/>
          </w:tcPr>
          <w:p>
            <w:pPr>
              <w:pStyle w:val="45"/>
              <w:rPr>
                <w:color w:val="auto"/>
              </w:rPr>
            </w:pPr>
            <w:r>
              <w:rPr>
                <w:rFonts w:hint="eastAsia"/>
                <w:color w:val="auto"/>
              </w:rPr>
              <w:t>噪声治理</w:t>
            </w:r>
          </w:p>
        </w:tc>
        <w:tc>
          <w:tcPr>
            <w:tcW w:w="3082" w:type="pct"/>
            <w:gridSpan w:val="2"/>
            <w:tcBorders>
              <w:left w:val="single" w:color="000000" w:sz="4" w:space="0"/>
              <w:tl2br w:val="nil"/>
              <w:tr2bl w:val="nil"/>
            </w:tcBorders>
            <w:vAlign w:val="center"/>
          </w:tcPr>
          <w:p>
            <w:pPr>
              <w:pStyle w:val="45"/>
              <w:rPr>
                <w:color w:val="auto"/>
              </w:rPr>
            </w:pPr>
            <w:r>
              <w:rPr>
                <w:rFonts w:hint="eastAsia"/>
                <w:color w:val="auto"/>
              </w:rPr>
              <w:t>采用吸声、隔声和减振降噪设施</w:t>
            </w:r>
          </w:p>
        </w:tc>
        <w:tc>
          <w:tcPr>
            <w:tcW w:w="670" w:type="pct"/>
            <w:tcBorders>
              <w:left w:val="single" w:color="000000" w:sz="4" w:space="0"/>
              <w:tl2br w:val="nil"/>
              <w:tr2bl w:val="nil"/>
            </w:tcBorders>
            <w:vAlign w:val="center"/>
          </w:tcPr>
          <w:p>
            <w:pPr>
              <w:pStyle w:val="45"/>
              <w:rPr>
                <w:color w:val="auto"/>
              </w:rPr>
            </w:pPr>
            <w:r>
              <w:rPr>
                <w:rFonts w:hint="eastAsia"/>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426" w:type="pct"/>
            <w:vMerge w:val="continue"/>
            <w:tcBorders>
              <w:tl2br w:val="nil"/>
              <w:tr2bl w:val="nil"/>
            </w:tcBorders>
            <w:vAlign w:val="center"/>
          </w:tcPr>
          <w:p>
            <w:pPr>
              <w:pStyle w:val="45"/>
              <w:rPr>
                <w:color w:val="auto"/>
              </w:rPr>
            </w:pPr>
          </w:p>
        </w:tc>
        <w:tc>
          <w:tcPr>
            <w:tcW w:w="820" w:type="pct"/>
            <w:vMerge w:val="restart"/>
            <w:tcBorders>
              <w:tl2br w:val="nil"/>
              <w:tr2bl w:val="nil"/>
            </w:tcBorders>
            <w:vAlign w:val="center"/>
          </w:tcPr>
          <w:p>
            <w:pPr>
              <w:pStyle w:val="45"/>
              <w:rPr>
                <w:color w:val="auto"/>
              </w:rPr>
            </w:pPr>
            <w:r>
              <w:rPr>
                <w:rFonts w:hint="eastAsia"/>
                <w:color w:val="auto"/>
              </w:rPr>
              <w:t>固体废物</w:t>
            </w:r>
          </w:p>
        </w:tc>
        <w:tc>
          <w:tcPr>
            <w:tcW w:w="3082" w:type="pct"/>
            <w:gridSpan w:val="2"/>
            <w:tcBorders>
              <w:tl2br w:val="nil"/>
              <w:tr2bl w:val="nil"/>
            </w:tcBorders>
            <w:vAlign w:val="center"/>
          </w:tcPr>
          <w:p>
            <w:pPr>
              <w:pStyle w:val="45"/>
              <w:rPr>
                <w:color w:val="auto"/>
              </w:rPr>
            </w:pPr>
            <w:r>
              <w:rPr>
                <w:rFonts w:hint="eastAsia"/>
                <w:color w:val="auto"/>
              </w:rPr>
              <w:t>一般工业固废暂存于一般工业固废暂存间位于</w:t>
            </w:r>
            <w:r>
              <w:rPr>
                <w:rFonts w:hint="eastAsia"/>
                <w:color w:val="auto"/>
                <w:lang w:val="en-US" w:eastAsia="zh-CN"/>
              </w:rPr>
              <w:t>2</w:t>
            </w:r>
            <w:r>
              <w:rPr>
                <w:rFonts w:hint="eastAsia"/>
                <w:color w:val="auto"/>
              </w:rPr>
              <w:t>号厂房一楼东</w:t>
            </w:r>
            <w:r>
              <w:rPr>
                <w:rFonts w:hint="eastAsia"/>
                <w:color w:val="auto"/>
                <w:lang w:val="en-US" w:eastAsia="zh-CN"/>
              </w:rPr>
              <w:t>北</w:t>
            </w:r>
            <w:r>
              <w:rPr>
                <w:rFonts w:hint="eastAsia"/>
                <w:color w:val="auto"/>
              </w:rPr>
              <w:t>侧占地面积约50m</w:t>
            </w:r>
            <w:r>
              <w:rPr>
                <w:rFonts w:hint="eastAsia"/>
                <w:color w:val="auto"/>
                <w:vertAlign w:val="superscript"/>
              </w:rPr>
              <w:t>2</w:t>
            </w:r>
          </w:p>
        </w:tc>
        <w:tc>
          <w:tcPr>
            <w:tcW w:w="670" w:type="pct"/>
            <w:vMerge w:val="restart"/>
            <w:tcBorders>
              <w:tl2br w:val="nil"/>
              <w:tr2bl w:val="nil"/>
            </w:tcBorders>
            <w:vAlign w:val="center"/>
          </w:tcPr>
          <w:p>
            <w:pPr>
              <w:pStyle w:val="45"/>
              <w:rPr>
                <w:color w:val="auto"/>
              </w:rPr>
            </w:pPr>
            <w:r>
              <w:rPr>
                <w:rFonts w:hint="eastAsia"/>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426" w:type="pct"/>
            <w:vMerge w:val="continue"/>
            <w:tcBorders>
              <w:tl2br w:val="nil"/>
              <w:tr2bl w:val="nil"/>
            </w:tcBorders>
            <w:vAlign w:val="center"/>
          </w:tcPr>
          <w:p>
            <w:pPr>
              <w:pStyle w:val="45"/>
              <w:rPr>
                <w:color w:val="auto"/>
              </w:rPr>
            </w:pPr>
          </w:p>
        </w:tc>
        <w:tc>
          <w:tcPr>
            <w:tcW w:w="820" w:type="pct"/>
            <w:vMerge w:val="continue"/>
            <w:tcBorders>
              <w:tl2br w:val="nil"/>
              <w:tr2bl w:val="nil"/>
            </w:tcBorders>
            <w:vAlign w:val="center"/>
          </w:tcPr>
          <w:p>
            <w:pPr>
              <w:pStyle w:val="45"/>
              <w:rPr>
                <w:color w:val="auto"/>
              </w:rPr>
            </w:pPr>
          </w:p>
        </w:tc>
        <w:tc>
          <w:tcPr>
            <w:tcW w:w="3082" w:type="pct"/>
            <w:gridSpan w:val="2"/>
            <w:tcBorders>
              <w:tl2br w:val="nil"/>
              <w:tr2bl w:val="nil"/>
            </w:tcBorders>
            <w:vAlign w:val="center"/>
          </w:tcPr>
          <w:p>
            <w:pPr>
              <w:pStyle w:val="45"/>
              <w:rPr>
                <w:color w:val="auto"/>
              </w:rPr>
            </w:pPr>
            <w:r>
              <w:rPr>
                <w:rFonts w:hint="eastAsia"/>
                <w:color w:val="auto"/>
              </w:rPr>
              <w:t>危险废物暂存于危废暂存间位于2号厂房一楼东</w:t>
            </w:r>
            <w:r>
              <w:rPr>
                <w:rFonts w:hint="eastAsia"/>
                <w:color w:val="auto"/>
                <w:lang w:val="en-US" w:eastAsia="zh-CN"/>
              </w:rPr>
              <w:t>北</w:t>
            </w:r>
            <w:r>
              <w:rPr>
                <w:rFonts w:hint="eastAsia"/>
                <w:color w:val="auto"/>
              </w:rPr>
              <w:t>侧占地面积约50m</w:t>
            </w:r>
            <w:r>
              <w:rPr>
                <w:rFonts w:hint="eastAsia"/>
                <w:color w:val="auto"/>
                <w:vertAlign w:val="superscript"/>
              </w:rPr>
              <w:t>2</w:t>
            </w:r>
          </w:p>
        </w:tc>
        <w:tc>
          <w:tcPr>
            <w:tcW w:w="670" w:type="pct"/>
            <w:vMerge w:val="continue"/>
            <w:tcBorders>
              <w:tl2br w:val="nil"/>
              <w:tr2bl w:val="nil"/>
            </w:tcBorders>
            <w:vAlign w:val="center"/>
          </w:tcPr>
          <w:p>
            <w:pPr>
              <w:pStyle w:val="45"/>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tcBorders>
              <w:tl2br w:val="nil"/>
              <w:tr2bl w:val="nil"/>
            </w:tcBorders>
            <w:vAlign w:val="center"/>
          </w:tcPr>
          <w:p>
            <w:pPr>
              <w:pStyle w:val="45"/>
              <w:rPr>
                <w:color w:val="auto"/>
              </w:rPr>
            </w:pPr>
          </w:p>
        </w:tc>
        <w:tc>
          <w:tcPr>
            <w:tcW w:w="820" w:type="pct"/>
            <w:tcBorders>
              <w:tl2br w:val="nil"/>
              <w:tr2bl w:val="nil"/>
            </w:tcBorders>
            <w:vAlign w:val="center"/>
          </w:tcPr>
          <w:p>
            <w:pPr>
              <w:pStyle w:val="45"/>
              <w:rPr>
                <w:color w:val="auto"/>
              </w:rPr>
            </w:pPr>
            <w:r>
              <w:rPr>
                <w:rFonts w:hint="eastAsia"/>
                <w:color w:val="auto"/>
              </w:rPr>
              <w:t>环境风险</w:t>
            </w:r>
          </w:p>
        </w:tc>
        <w:tc>
          <w:tcPr>
            <w:tcW w:w="3082" w:type="pct"/>
            <w:gridSpan w:val="2"/>
            <w:tcBorders>
              <w:tl2br w:val="nil"/>
              <w:tr2bl w:val="nil"/>
            </w:tcBorders>
            <w:vAlign w:val="center"/>
          </w:tcPr>
          <w:p>
            <w:pPr>
              <w:pStyle w:val="45"/>
              <w:rPr>
                <w:color w:val="auto"/>
              </w:rPr>
            </w:pPr>
            <w:r>
              <w:rPr>
                <w:rFonts w:hint="eastAsia"/>
                <w:color w:val="auto"/>
              </w:rPr>
              <w:t>事故水池1</w:t>
            </w:r>
            <w:r>
              <w:rPr>
                <w:color w:val="auto"/>
              </w:rPr>
              <w:t>座，有效容积</w:t>
            </w:r>
            <w:r>
              <w:rPr>
                <w:rFonts w:hint="eastAsia"/>
                <w:color w:val="auto"/>
              </w:rPr>
              <w:t>450</w:t>
            </w:r>
            <w:r>
              <w:rPr>
                <w:color w:val="auto"/>
              </w:rPr>
              <w:t>m</w:t>
            </w:r>
            <w:r>
              <w:rPr>
                <w:color w:val="auto"/>
                <w:vertAlign w:val="superscript"/>
              </w:rPr>
              <w:t>3</w:t>
            </w:r>
          </w:p>
        </w:tc>
        <w:tc>
          <w:tcPr>
            <w:tcW w:w="670" w:type="pct"/>
            <w:tcBorders>
              <w:tl2br w:val="nil"/>
              <w:tr2bl w:val="nil"/>
            </w:tcBorders>
            <w:vAlign w:val="center"/>
          </w:tcPr>
          <w:p>
            <w:pPr>
              <w:pStyle w:val="45"/>
              <w:rPr>
                <w:color w:val="auto"/>
              </w:rPr>
            </w:pPr>
            <w:r>
              <w:rPr>
                <w:rFonts w:hint="eastAsia"/>
                <w:color w:val="auto"/>
              </w:rPr>
              <w:t>新建</w:t>
            </w:r>
          </w:p>
        </w:tc>
      </w:tr>
    </w:tbl>
    <w:p>
      <w:pPr>
        <w:pStyle w:val="9"/>
        <w:adjustRightInd w:val="0"/>
        <w:snapToGrid w:val="0"/>
        <w:spacing w:before="0" w:beforeLines="0" w:after="0" w:afterLines="0"/>
        <w:jc w:val="left"/>
        <w:rPr>
          <w:b w:val="0"/>
          <w:bCs w:val="0"/>
          <w:color w:val="auto"/>
          <w:szCs w:val="32"/>
        </w:rPr>
      </w:pPr>
      <w:r>
        <w:rPr>
          <w:rFonts w:hint="eastAsia"/>
          <w:b w:val="0"/>
          <w:bCs w:val="0"/>
          <w:color w:val="auto"/>
          <w:szCs w:val="32"/>
        </w:rPr>
        <w:t>2.2.2产品方案</w:t>
      </w:r>
    </w:p>
    <w:p>
      <w:pPr>
        <w:pStyle w:val="14"/>
        <w:spacing w:after="0"/>
        <w:ind w:firstLine="480"/>
        <w:rPr>
          <w:rFonts w:hint="default" w:eastAsia="宋体"/>
          <w:color w:val="auto"/>
          <w:lang w:val="en-US" w:eastAsia="zh-CN"/>
        </w:rPr>
      </w:pPr>
      <w:r>
        <w:rPr>
          <w:rFonts w:hint="eastAsia"/>
          <w:color w:val="auto"/>
        </w:rPr>
        <w:t>1、</w:t>
      </w:r>
      <w:r>
        <w:rPr>
          <w:rFonts w:hint="eastAsia"/>
          <w:color w:val="auto"/>
          <w:lang w:val="en-US" w:eastAsia="zh-CN"/>
        </w:rPr>
        <w:t>产品方案</w:t>
      </w:r>
    </w:p>
    <w:p>
      <w:pPr>
        <w:pStyle w:val="14"/>
        <w:spacing w:after="0"/>
        <w:ind w:firstLine="480"/>
        <w:rPr>
          <w:color w:val="auto"/>
        </w:rPr>
      </w:pPr>
      <w:r>
        <w:rPr>
          <w:rFonts w:hint="eastAsia"/>
          <w:color w:val="auto"/>
        </w:rPr>
        <w:t>拟建项目产品方案见表2.2-2</w:t>
      </w:r>
    </w:p>
    <w:p>
      <w:pPr>
        <w:pStyle w:val="14"/>
        <w:spacing w:after="0" w:line="360" w:lineRule="auto"/>
        <w:ind w:firstLine="0" w:firstLineChars="0"/>
        <w:jc w:val="center"/>
        <w:rPr>
          <w:rFonts w:eastAsia="黑体"/>
          <w:color w:val="auto"/>
          <w:sz w:val="21"/>
          <w:szCs w:val="21"/>
        </w:rPr>
      </w:pPr>
      <w:r>
        <w:rPr>
          <w:rFonts w:eastAsia="黑体"/>
          <w:color w:val="auto"/>
          <w:sz w:val="21"/>
          <w:szCs w:val="21"/>
        </w:rPr>
        <w:t>表2.2-2 产品方案及生产规模表</w:t>
      </w:r>
    </w:p>
    <w:tbl>
      <w:tblPr>
        <w:tblStyle w:val="22"/>
        <w:tblW w:w="5000"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610"/>
        <w:gridCol w:w="1343"/>
        <w:gridCol w:w="808"/>
        <w:gridCol w:w="1975"/>
        <w:gridCol w:w="1128"/>
        <w:gridCol w:w="1024"/>
        <w:gridCol w:w="1219"/>
        <w:gridCol w:w="1181"/>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5000" w:type="pct"/>
            <w:gridSpan w:val="8"/>
            <w:vAlign w:val="center"/>
          </w:tcPr>
          <w:p>
            <w:pPr>
              <w:pStyle w:val="47"/>
              <w:spacing w:line="240" w:lineRule="auto"/>
              <w:rPr>
                <w:b/>
                <w:color w:val="auto"/>
                <w:szCs w:val="21"/>
              </w:rPr>
            </w:pPr>
            <w:r>
              <w:rPr>
                <w:b/>
                <w:color w:val="auto"/>
                <w:szCs w:val="21"/>
              </w:rPr>
              <w:t>主产品</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329" w:type="pct"/>
            <w:vAlign w:val="center"/>
          </w:tcPr>
          <w:p>
            <w:pPr>
              <w:pStyle w:val="47"/>
              <w:spacing w:line="240" w:lineRule="auto"/>
              <w:rPr>
                <w:b/>
                <w:color w:val="auto"/>
                <w:szCs w:val="21"/>
              </w:rPr>
            </w:pPr>
            <w:r>
              <w:rPr>
                <w:b/>
                <w:color w:val="auto"/>
                <w:szCs w:val="21"/>
              </w:rPr>
              <w:t>序号</w:t>
            </w:r>
          </w:p>
        </w:tc>
        <w:tc>
          <w:tcPr>
            <w:tcW w:w="723" w:type="pct"/>
            <w:vAlign w:val="center"/>
          </w:tcPr>
          <w:p>
            <w:pPr>
              <w:pStyle w:val="47"/>
              <w:spacing w:line="240" w:lineRule="auto"/>
              <w:rPr>
                <w:b/>
                <w:color w:val="auto"/>
                <w:szCs w:val="21"/>
              </w:rPr>
            </w:pPr>
            <w:r>
              <w:rPr>
                <w:b/>
                <w:color w:val="auto"/>
                <w:szCs w:val="21"/>
              </w:rPr>
              <w:t>名  称</w:t>
            </w:r>
          </w:p>
        </w:tc>
        <w:tc>
          <w:tcPr>
            <w:tcW w:w="435" w:type="pct"/>
            <w:vAlign w:val="center"/>
          </w:tcPr>
          <w:p>
            <w:pPr>
              <w:pStyle w:val="47"/>
              <w:spacing w:line="240" w:lineRule="auto"/>
              <w:rPr>
                <w:b/>
                <w:color w:val="auto"/>
                <w:szCs w:val="21"/>
              </w:rPr>
            </w:pPr>
            <w:r>
              <w:rPr>
                <w:b/>
                <w:color w:val="auto"/>
                <w:szCs w:val="21"/>
              </w:rPr>
              <w:t>单位</w:t>
            </w:r>
          </w:p>
        </w:tc>
        <w:tc>
          <w:tcPr>
            <w:tcW w:w="1063" w:type="pct"/>
            <w:vAlign w:val="center"/>
          </w:tcPr>
          <w:p>
            <w:pPr>
              <w:pStyle w:val="47"/>
              <w:spacing w:line="240" w:lineRule="auto"/>
              <w:rPr>
                <w:b/>
                <w:color w:val="auto"/>
                <w:szCs w:val="21"/>
              </w:rPr>
            </w:pPr>
            <w:r>
              <w:rPr>
                <w:b/>
                <w:color w:val="auto"/>
                <w:szCs w:val="21"/>
              </w:rPr>
              <w:t>产量</w:t>
            </w:r>
          </w:p>
        </w:tc>
        <w:tc>
          <w:tcPr>
            <w:tcW w:w="607" w:type="pct"/>
            <w:vAlign w:val="center"/>
          </w:tcPr>
          <w:p>
            <w:pPr>
              <w:pStyle w:val="47"/>
              <w:spacing w:line="240" w:lineRule="auto"/>
              <w:rPr>
                <w:b/>
                <w:color w:val="auto"/>
                <w:szCs w:val="21"/>
              </w:rPr>
            </w:pPr>
            <w:r>
              <w:rPr>
                <w:b/>
                <w:color w:val="auto"/>
                <w:szCs w:val="21"/>
              </w:rPr>
              <w:t>性状</w:t>
            </w:r>
          </w:p>
        </w:tc>
        <w:tc>
          <w:tcPr>
            <w:tcW w:w="551" w:type="pct"/>
            <w:vAlign w:val="center"/>
          </w:tcPr>
          <w:p>
            <w:pPr>
              <w:pStyle w:val="47"/>
              <w:spacing w:line="240" w:lineRule="auto"/>
              <w:rPr>
                <w:b/>
                <w:color w:val="auto"/>
                <w:szCs w:val="21"/>
              </w:rPr>
            </w:pPr>
            <w:r>
              <w:rPr>
                <w:b/>
                <w:color w:val="auto"/>
                <w:szCs w:val="21"/>
              </w:rPr>
              <w:t>包装</w:t>
            </w:r>
          </w:p>
          <w:p>
            <w:pPr>
              <w:pStyle w:val="47"/>
              <w:spacing w:line="240" w:lineRule="auto"/>
              <w:rPr>
                <w:b/>
                <w:color w:val="auto"/>
                <w:szCs w:val="21"/>
              </w:rPr>
            </w:pPr>
            <w:r>
              <w:rPr>
                <w:b/>
                <w:color w:val="auto"/>
                <w:szCs w:val="21"/>
              </w:rPr>
              <w:t>方式</w:t>
            </w:r>
          </w:p>
        </w:tc>
        <w:tc>
          <w:tcPr>
            <w:tcW w:w="656" w:type="pct"/>
            <w:vAlign w:val="center"/>
          </w:tcPr>
          <w:p>
            <w:pPr>
              <w:pStyle w:val="47"/>
              <w:spacing w:line="240" w:lineRule="auto"/>
              <w:rPr>
                <w:b/>
                <w:color w:val="auto"/>
                <w:szCs w:val="21"/>
              </w:rPr>
            </w:pPr>
            <w:r>
              <w:rPr>
                <w:b/>
                <w:color w:val="auto"/>
                <w:szCs w:val="21"/>
              </w:rPr>
              <w:t>存放</w:t>
            </w:r>
          </w:p>
          <w:p>
            <w:pPr>
              <w:pStyle w:val="47"/>
              <w:spacing w:line="240" w:lineRule="auto"/>
              <w:rPr>
                <w:b/>
                <w:color w:val="auto"/>
                <w:szCs w:val="21"/>
              </w:rPr>
            </w:pPr>
            <w:r>
              <w:rPr>
                <w:b/>
                <w:color w:val="auto"/>
                <w:szCs w:val="21"/>
              </w:rPr>
              <w:t>地点</w:t>
            </w:r>
          </w:p>
        </w:tc>
        <w:tc>
          <w:tcPr>
            <w:tcW w:w="633" w:type="pct"/>
            <w:vAlign w:val="center"/>
          </w:tcPr>
          <w:p>
            <w:pPr>
              <w:pStyle w:val="47"/>
              <w:spacing w:line="240" w:lineRule="auto"/>
              <w:rPr>
                <w:b/>
                <w:color w:val="auto"/>
                <w:szCs w:val="21"/>
              </w:rPr>
            </w:pPr>
            <w:r>
              <w:rPr>
                <w:b/>
                <w:color w:val="auto"/>
                <w:szCs w:val="21"/>
              </w:rPr>
              <w:t>储存</w:t>
            </w:r>
          </w:p>
          <w:p>
            <w:pPr>
              <w:pStyle w:val="47"/>
              <w:spacing w:line="240" w:lineRule="auto"/>
              <w:rPr>
                <w:b/>
                <w:color w:val="auto"/>
                <w:szCs w:val="21"/>
              </w:rPr>
            </w:pPr>
            <w:r>
              <w:rPr>
                <w:b/>
                <w:color w:val="auto"/>
                <w:szCs w:val="21"/>
              </w:rPr>
              <w:t>条件</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329" w:type="pct"/>
            <w:vAlign w:val="center"/>
          </w:tcPr>
          <w:p>
            <w:pPr>
              <w:pStyle w:val="47"/>
              <w:spacing w:line="240" w:lineRule="auto"/>
              <w:rPr>
                <w:color w:val="auto"/>
                <w:szCs w:val="21"/>
              </w:rPr>
            </w:pPr>
            <w:r>
              <w:rPr>
                <w:color w:val="auto"/>
                <w:szCs w:val="21"/>
              </w:rPr>
              <w:t>1</w:t>
            </w:r>
          </w:p>
        </w:tc>
        <w:tc>
          <w:tcPr>
            <w:tcW w:w="723" w:type="pct"/>
            <w:vAlign w:val="center"/>
          </w:tcPr>
          <w:p>
            <w:pPr>
              <w:pStyle w:val="47"/>
              <w:spacing w:line="240" w:lineRule="auto"/>
              <w:rPr>
                <w:color w:val="auto"/>
                <w:szCs w:val="21"/>
              </w:rPr>
            </w:pPr>
            <w:r>
              <w:rPr>
                <w:color w:val="auto"/>
                <w:szCs w:val="21"/>
              </w:rPr>
              <w:t>丙交酯</w:t>
            </w:r>
          </w:p>
        </w:tc>
        <w:tc>
          <w:tcPr>
            <w:tcW w:w="435" w:type="pct"/>
            <w:vAlign w:val="center"/>
          </w:tcPr>
          <w:p>
            <w:pPr>
              <w:pStyle w:val="47"/>
              <w:spacing w:line="240" w:lineRule="auto"/>
              <w:rPr>
                <w:color w:val="auto"/>
                <w:szCs w:val="21"/>
              </w:rPr>
            </w:pPr>
            <w:r>
              <w:rPr>
                <w:color w:val="auto"/>
                <w:szCs w:val="21"/>
              </w:rPr>
              <w:t>t/a</w:t>
            </w:r>
          </w:p>
        </w:tc>
        <w:tc>
          <w:tcPr>
            <w:tcW w:w="1063" w:type="pct"/>
            <w:vAlign w:val="center"/>
          </w:tcPr>
          <w:p>
            <w:pPr>
              <w:pStyle w:val="47"/>
              <w:spacing w:line="240" w:lineRule="auto"/>
              <w:rPr>
                <w:rFonts w:hint="default" w:eastAsia="宋体"/>
                <w:color w:val="auto"/>
                <w:szCs w:val="21"/>
                <w:lang w:val="en-US" w:eastAsia="zh-CN"/>
              </w:rPr>
            </w:pPr>
            <w:r>
              <w:rPr>
                <w:rFonts w:hint="eastAsia"/>
                <w:color w:val="auto"/>
                <w:szCs w:val="21"/>
                <w:lang w:val="en-US" w:eastAsia="zh-CN"/>
              </w:rPr>
              <w:t>1200</w:t>
            </w:r>
          </w:p>
        </w:tc>
        <w:tc>
          <w:tcPr>
            <w:tcW w:w="607" w:type="pct"/>
            <w:vAlign w:val="center"/>
          </w:tcPr>
          <w:p>
            <w:pPr>
              <w:pStyle w:val="47"/>
              <w:spacing w:line="240" w:lineRule="auto"/>
              <w:rPr>
                <w:color w:val="auto"/>
                <w:szCs w:val="21"/>
              </w:rPr>
            </w:pPr>
            <w:r>
              <w:rPr>
                <w:color w:val="auto"/>
                <w:szCs w:val="21"/>
              </w:rPr>
              <w:t>固态</w:t>
            </w:r>
          </w:p>
        </w:tc>
        <w:tc>
          <w:tcPr>
            <w:tcW w:w="551" w:type="pct"/>
            <w:vAlign w:val="center"/>
          </w:tcPr>
          <w:p>
            <w:pPr>
              <w:pStyle w:val="47"/>
              <w:spacing w:line="240" w:lineRule="auto"/>
              <w:rPr>
                <w:color w:val="auto"/>
                <w:szCs w:val="21"/>
              </w:rPr>
            </w:pPr>
            <w:r>
              <w:rPr>
                <w:color w:val="auto"/>
                <w:szCs w:val="21"/>
              </w:rPr>
              <w:t>袋装</w:t>
            </w:r>
          </w:p>
        </w:tc>
        <w:tc>
          <w:tcPr>
            <w:tcW w:w="656" w:type="pct"/>
            <w:vAlign w:val="center"/>
          </w:tcPr>
          <w:p>
            <w:pPr>
              <w:pStyle w:val="47"/>
              <w:spacing w:line="240" w:lineRule="auto"/>
              <w:rPr>
                <w:color w:val="auto"/>
                <w:szCs w:val="21"/>
              </w:rPr>
            </w:pPr>
            <w:r>
              <w:rPr>
                <w:color w:val="auto"/>
                <w:szCs w:val="21"/>
              </w:rPr>
              <w:t>成品</w:t>
            </w:r>
          </w:p>
          <w:p>
            <w:pPr>
              <w:pStyle w:val="47"/>
              <w:spacing w:line="240" w:lineRule="auto"/>
              <w:rPr>
                <w:color w:val="auto"/>
                <w:szCs w:val="21"/>
              </w:rPr>
            </w:pPr>
            <w:r>
              <w:rPr>
                <w:color w:val="auto"/>
                <w:szCs w:val="21"/>
              </w:rPr>
              <w:t>仓库</w:t>
            </w:r>
          </w:p>
        </w:tc>
        <w:tc>
          <w:tcPr>
            <w:tcW w:w="633" w:type="pct"/>
            <w:vAlign w:val="center"/>
          </w:tcPr>
          <w:p>
            <w:pPr>
              <w:pStyle w:val="47"/>
              <w:spacing w:line="240" w:lineRule="auto"/>
              <w:rPr>
                <w:color w:val="auto"/>
                <w:szCs w:val="21"/>
              </w:rPr>
            </w:pPr>
            <w:r>
              <w:rPr>
                <w:color w:val="auto"/>
                <w:szCs w:val="21"/>
              </w:rPr>
              <w:t>常温</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397" w:hRule="atLeast"/>
        </w:trPr>
        <w:tc>
          <w:tcPr>
            <w:tcW w:w="329" w:type="pct"/>
            <w:vAlign w:val="center"/>
          </w:tcPr>
          <w:p>
            <w:pPr>
              <w:pStyle w:val="47"/>
              <w:spacing w:line="240" w:lineRule="auto"/>
              <w:rPr>
                <w:color w:val="auto"/>
                <w:szCs w:val="21"/>
              </w:rPr>
            </w:pPr>
            <w:r>
              <w:rPr>
                <w:color w:val="auto"/>
                <w:szCs w:val="21"/>
              </w:rPr>
              <w:t>2</w:t>
            </w:r>
          </w:p>
        </w:tc>
        <w:tc>
          <w:tcPr>
            <w:tcW w:w="723" w:type="pct"/>
            <w:vAlign w:val="center"/>
          </w:tcPr>
          <w:p>
            <w:pPr>
              <w:pStyle w:val="47"/>
              <w:spacing w:line="240" w:lineRule="auto"/>
              <w:rPr>
                <w:color w:val="auto"/>
                <w:szCs w:val="21"/>
              </w:rPr>
            </w:pPr>
            <w:r>
              <w:rPr>
                <w:color w:val="auto"/>
                <w:szCs w:val="21"/>
              </w:rPr>
              <w:t>聚乳酸</w:t>
            </w:r>
          </w:p>
        </w:tc>
        <w:tc>
          <w:tcPr>
            <w:tcW w:w="435" w:type="pct"/>
            <w:vAlign w:val="center"/>
          </w:tcPr>
          <w:p>
            <w:pPr>
              <w:pStyle w:val="47"/>
              <w:spacing w:line="240" w:lineRule="auto"/>
              <w:rPr>
                <w:color w:val="auto"/>
                <w:szCs w:val="21"/>
              </w:rPr>
            </w:pPr>
            <w:r>
              <w:rPr>
                <w:color w:val="auto"/>
                <w:szCs w:val="21"/>
              </w:rPr>
              <w:t>t/a</w:t>
            </w:r>
          </w:p>
        </w:tc>
        <w:tc>
          <w:tcPr>
            <w:tcW w:w="1063" w:type="pct"/>
            <w:vAlign w:val="center"/>
          </w:tcPr>
          <w:p>
            <w:pPr>
              <w:pStyle w:val="47"/>
              <w:spacing w:line="240" w:lineRule="auto"/>
              <w:rPr>
                <w:color w:val="auto"/>
                <w:szCs w:val="21"/>
              </w:rPr>
            </w:pPr>
            <w:r>
              <w:rPr>
                <w:color w:val="auto"/>
                <w:szCs w:val="21"/>
              </w:rPr>
              <w:t>1000</w:t>
            </w:r>
          </w:p>
        </w:tc>
        <w:tc>
          <w:tcPr>
            <w:tcW w:w="607" w:type="pct"/>
            <w:vAlign w:val="center"/>
          </w:tcPr>
          <w:p>
            <w:pPr>
              <w:pStyle w:val="47"/>
              <w:spacing w:line="240" w:lineRule="auto"/>
              <w:rPr>
                <w:color w:val="auto"/>
                <w:szCs w:val="21"/>
              </w:rPr>
            </w:pPr>
            <w:r>
              <w:rPr>
                <w:color w:val="auto"/>
                <w:szCs w:val="21"/>
              </w:rPr>
              <w:t>固态</w:t>
            </w:r>
          </w:p>
        </w:tc>
        <w:tc>
          <w:tcPr>
            <w:tcW w:w="551" w:type="pct"/>
            <w:vAlign w:val="center"/>
          </w:tcPr>
          <w:p>
            <w:pPr>
              <w:pStyle w:val="47"/>
              <w:spacing w:line="240" w:lineRule="auto"/>
              <w:rPr>
                <w:color w:val="auto"/>
                <w:szCs w:val="21"/>
              </w:rPr>
            </w:pPr>
            <w:r>
              <w:rPr>
                <w:color w:val="auto"/>
                <w:szCs w:val="21"/>
              </w:rPr>
              <w:t>袋装</w:t>
            </w:r>
          </w:p>
        </w:tc>
        <w:tc>
          <w:tcPr>
            <w:tcW w:w="656" w:type="pct"/>
            <w:vAlign w:val="center"/>
          </w:tcPr>
          <w:p>
            <w:pPr>
              <w:pStyle w:val="47"/>
              <w:spacing w:line="240" w:lineRule="auto"/>
              <w:rPr>
                <w:color w:val="auto"/>
                <w:szCs w:val="21"/>
              </w:rPr>
            </w:pPr>
            <w:r>
              <w:rPr>
                <w:color w:val="auto"/>
                <w:szCs w:val="21"/>
              </w:rPr>
              <w:t>成品</w:t>
            </w:r>
          </w:p>
          <w:p>
            <w:pPr>
              <w:pStyle w:val="47"/>
              <w:spacing w:line="240" w:lineRule="auto"/>
              <w:rPr>
                <w:color w:val="auto"/>
                <w:szCs w:val="21"/>
              </w:rPr>
            </w:pPr>
            <w:r>
              <w:rPr>
                <w:color w:val="auto"/>
                <w:szCs w:val="21"/>
              </w:rPr>
              <w:t>仓库</w:t>
            </w:r>
          </w:p>
        </w:tc>
        <w:tc>
          <w:tcPr>
            <w:tcW w:w="633" w:type="pct"/>
            <w:vAlign w:val="center"/>
          </w:tcPr>
          <w:p>
            <w:pPr>
              <w:pStyle w:val="47"/>
              <w:spacing w:line="240" w:lineRule="auto"/>
              <w:rPr>
                <w:color w:val="auto"/>
                <w:szCs w:val="21"/>
              </w:rPr>
            </w:pPr>
            <w:r>
              <w:rPr>
                <w:color w:val="auto"/>
                <w:szCs w:val="21"/>
              </w:rPr>
              <w:t>常温</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5000" w:type="pct"/>
            <w:gridSpan w:val="8"/>
            <w:vAlign w:val="center"/>
          </w:tcPr>
          <w:p>
            <w:pPr>
              <w:pStyle w:val="47"/>
              <w:spacing w:line="240" w:lineRule="auto"/>
              <w:rPr>
                <w:color w:val="auto"/>
                <w:szCs w:val="21"/>
              </w:rPr>
            </w:pPr>
            <w:r>
              <w:rPr>
                <w:color w:val="auto"/>
                <w:szCs w:val="21"/>
              </w:rPr>
              <w:t>副产品</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329" w:type="pct"/>
            <w:vAlign w:val="center"/>
          </w:tcPr>
          <w:p>
            <w:pPr>
              <w:pStyle w:val="47"/>
              <w:spacing w:line="240" w:lineRule="auto"/>
              <w:rPr>
                <w:color w:val="auto"/>
                <w:szCs w:val="21"/>
              </w:rPr>
            </w:pPr>
            <w:r>
              <w:rPr>
                <w:color w:val="auto"/>
                <w:szCs w:val="21"/>
              </w:rPr>
              <w:t>1</w:t>
            </w:r>
          </w:p>
        </w:tc>
        <w:tc>
          <w:tcPr>
            <w:tcW w:w="723" w:type="pct"/>
            <w:vAlign w:val="center"/>
          </w:tcPr>
          <w:p>
            <w:pPr>
              <w:pStyle w:val="47"/>
              <w:spacing w:line="240" w:lineRule="auto"/>
              <w:rPr>
                <w:color w:val="auto"/>
                <w:szCs w:val="21"/>
              </w:rPr>
            </w:pPr>
            <w:r>
              <w:rPr>
                <w:color w:val="auto"/>
                <w:szCs w:val="21"/>
              </w:rPr>
              <w:t>次级乳酸</w:t>
            </w:r>
          </w:p>
        </w:tc>
        <w:tc>
          <w:tcPr>
            <w:tcW w:w="435" w:type="pct"/>
            <w:vAlign w:val="center"/>
          </w:tcPr>
          <w:p>
            <w:pPr>
              <w:pStyle w:val="47"/>
              <w:spacing w:line="240" w:lineRule="auto"/>
              <w:rPr>
                <w:color w:val="auto"/>
                <w:szCs w:val="21"/>
              </w:rPr>
            </w:pPr>
            <w:r>
              <w:rPr>
                <w:color w:val="auto"/>
                <w:szCs w:val="21"/>
              </w:rPr>
              <w:t>t/a</w:t>
            </w:r>
          </w:p>
        </w:tc>
        <w:tc>
          <w:tcPr>
            <w:tcW w:w="1063" w:type="pct"/>
            <w:vAlign w:val="center"/>
          </w:tcPr>
          <w:p>
            <w:pPr>
              <w:pStyle w:val="47"/>
              <w:spacing w:line="240" w:lineRule="auto"/>
              <w:rPr>
                <w:color w:val="auto"/>
                <w:szCs w:val="21"/>
              </w:rPr>
            </w:pPr>
            <w:r>
              <w:rPr>
                <w:rFonts w:hint="eastAsia"/>
                <w:color w:val="auto"/>
                <w:szCs w:val="21"/>
              </w:rPr>
              <w:t>30</w:t>
            </w:r>
          </w:p>
        </w:tc>
        <w:tc>
          <w:tcPr>
            <w:tcW w:w="607" w:type="pct"/>
            <w:vAlign w:val="center"/>
          </w:tcPr>
          <w:p>
            <w:pPr>
              <w:pStyle w:val="47"/>
              <w:spacing w:line="240" w:lineRule="auto"/>
              <w:rPr>
                <w:color w:val="auto"/>
                <w:szCs w:val="21"/>
              </w:rPr>
            </w:pPr>
            <w:r>
              <w:rPr>
                <w:rFonts w:hint="eastAsia"/>
                <w:color w:val="auto"/>
                <w:szCs w:val="21"/>
              </w:rPr>
              <w:t>液态</w:t>
            </w:r>
          </w:p>
        </w:tc>
        <w:tc>
          <w:tcPr>
            <w:tcW w:w="551" w:type="pct"/>
            <w:vAlign w:val="center"/>
          </w:tcPr>
          <w:p>
            <w:pPr>
              <w:pStyle w:val="47"/>
              <w:spacing w:line="240" w:lineRule="auto"/>
              <w:rPr>
                <w:color w:val="auto"/>
                <w:szCs w:val="21"/>
              </w:rPr>
            </w:pPr>
            <w:r>
              <w:rPr>
                <w:rFonts w:hint="eastAsia"/>
                <w:color w:val="auto"/>
                <w:szCs w:val="21"/>
              </w:rPr>
              <w:t>桶装</w:t>
            </w:r>
          </w:p>
        </w:tc>
        <w:tc>
          <w:tcPr>
            <w:tcW w:w="656" w:type="pct"/>
            <w:vAlign w:val="center"/>
          </w:tcPr>
          <w:p>
            <w:pPr>
              <w:pStyle w:val="47"/>
              <w:spacing w:line="240" w:lineRule="auto"/>
              <w:rPr>
                <w:color w:val="auto"/>
                <w:szCs w:val="21"/>
              </w:rPr>
            </w:pPr>
            <w:r>
              <w:rPr>
                <w:color w:val="auto"/>
                <w:szCs w:val="21"/>
              </w:rPr>
              <w:t>成品</w:t>
            </w:r>
          </w:p>
          <w:p>
            <w:pPr>
              <w:pStyle w:val="47"/>
              <w:spacing w:line="240" w:lineRule="auto"/>
              <w:rPr>
                <w:color w:val="auto"/>
                <w:szCs w:val="21"/>
              </w:rPr>
            </w:pPr>
            <w:r>
              <w:rPr>
                <w:color w:val="auto"/>
                <w:szCs w:val="21"/>
              </w:rPr>
              <w:t>仓库</w:t>
            </w:r>
          </w:p>
        </w:tc>
        <w:tc>
          <w:tcPr>
            <w:tcW w:w="633" w:type="pct"/>
            <w:vAlign w:val="center"/>
          </w:tcPr>
          <w:p>
            <w:pPr>
              <w:pStyle w:val="47"/>
              <w:spacing w:line="240" w:lineRule="auto"/>
              <w:rPr>
                <w:color w:val="auto"/>
                <w:szCs w:val="21"/>
              </w:rPr>
            </w:pPr>
            <w:r>
              <w:rPr>
                <w:color w:val="auto"/>
                <w:szCs w:val="21"/>
              </w:rPr>
              <w:t>常温</w:t>
            </w:r>
          </w:p>
        </w:tc>
      </w:tr>
    </w:tbl>
    <w:p>
      <w:pPr>
        <w:ind w:left="480" w:leftChars="200" w:firstLine="0" w:firstLineChars="0"/>
        <w:rPr>
          <w:color w:val="auto"/>
        </w:rPr>
      </w:pPr>
      <w:r>
        <w:rPr>
          <w:rFonts w:hint="eastAsia"/>
          <w:color w:val="auto"/>
        </w:rPr>
        <w:t>2、</w:t>
      </w:r>
      <w:r>
        <w:rPr>
          <w:color w:val="auto"/>
        </w:rPr>
        <w:t>产品</w:t>
      </w:r>
      <w:r>
        <w:rPr>
          <w:rFonts w:hint="eastAsia"/>
          <w:color w:val="auto"/>
        </w:rPr>
        <w:t>及副产品</w:t>
      </w:r>
      <w:r>
        <w:rPr>
          <w:color w:val="auto"/>
        </w:rPr>
        <w:t>质量标准见表</w:t>
      </w:r>
      <w:r>
        <w:rPr>
          <w:rFonts w:hint="eastAsia"/>
          <w:color w:val="auto"/>
        </w:rPr>
        <w:t>2.2</w:t>
      </w:r>
      <w:r>
        <w:rPr>
          <w:color w:val="auto"/>
        </w:rPr>
        <w:t>-</w:t>
      </w:r>
      <w:r>
        <w:rPr>
          <w:rFonts w:hint="eastAsia"/>
          <w:color w:val="auto"/>
        </w:rPr>
        <w:t>3-2.2-4</w:t>
      </w:r>
      <w:r>
        <w:rPr>
          <w:color w:val="auto"/>
        </w:rPr>
        <w:t>。</w:t>
      </w:r>
    </w:p>
    <w:p>
      <w:pPr>
        <w:pStyle w:val="14"/>
        <w:spacing w:after="0" w:line="360" w:lineRule="auto"/>
        <w:ind w:firstLine="0" w:firstLineChars="0"/>
        <w:jc w:val="center"/>
        <w:rPr>
          <w:rFonts w:eastAsia="黑体"/>
          <w:color w:val="auto"/>
          <w:sz w:val="21"/>
          <w:szCs w:val="21"/>
        </w:rPr>
      </w:pPr>
      <w:r>
        <w:rPr>
          <w:rFonts w:eastAsia="黑体"/>
          <w:color w:val="auto"/>
          <w:sz w:val="21"/>
          <w:szCs w:val="21"/>
        </w:rPr>
        <w:t>表</w:t>
      </w:r>
      <w:r>
        <w:rPr>
          <w:rFonts w:hint="eastAsia" w:eastAsia="黑体"/>
          <w:color w:val="auto"/>
          <w:sz w:val="21"/>
          <w:szCs w:val="21"/>
        </w:rPr>
        <w:t>2.2</w:t>
      </w:r>
      <w:r>
        <w:rPr>
          <w:rFonts w:eastAsia="黑体"/>
          <w:color w:val="auto"/>
          <w:sz w:val="21"/>
          <w:szCs w:val="21"/>
        </w:rPr>
        <w:t>-</w:t>
      </w:r>
      <w:r>
        <w:rPr>
          <w:rFonts w:hint="eastAsia" w:eastAsia="黑体"/>
          <w:color w:val="auto"/>
          <w:sz w:val="21"/>
          <w:szCs w:val="21"/>
        </w:rPr>
        <w:t>3 聚乳酸（GB-T29284-2012）</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10"/>
        <w:gridCol w:w="2311"/>
        <w:gridCol w:w="46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gridSpan w:val="2"/>
            <w:tcMar>
              <w:top w:w="57" w:type="dxa"/>
              <w:left w:w="85" w:type="dxa"/>
              <w:bottom w:w="57" w:type="dxa"/>
              <w:right w:w="85" w:type="dxa"/>
            </w:tcMar>
            <w:vAlign w:val="center"/>
          </w:tcPr>
          <w:p>
            <w:pPr>
              <w:pStyle w:val="47"/>
              <w:spacing w:line="240" w:lineRule="auto"/>
              <w:rPr>
                <w:b/>
                <w:bCs/>
                <w:color w:val="auto"/>
                <w:szCs w:val="21"/>
              </w:rPr>
            </w:pPr>
            <w:r>
              <w:rPr>
                <w:b/>
                <w:bCs/>
                <w:color w:val="auto"/>
                <w:szCs w:val="21"/>
              </w:rPr>
              <w:t>项目</w:t>
            </w:r>
          </w:p>
        </w:tc>
        <w:tc>
          <w:tcPr>
            <w:tcW w:w="2500" w:type="pct"/>
            <w:tcMar>
              <w:top w:w="57" w:type="dxa"/>
              <w:left w:w="85" w:type="dxa"/>
              <w:bottom w:w="57" w:type="dxa"/>
              <w:right w:w="85" w:type="dxa"/>
            </w:tcMar>
            <w:vAlign w:val="center"/>
          </w:tcPr>
          <w:p>
            <w:pPr>
              <w:pStyle w:val="47"/>
              <w:spacing w:line="240" w:lineRule="auto"/>
              <w:rPr>
                <w:b/>
                <w:bCs/>
                <w:color w:val="auto"/>
                <w:szCs w:val="21"/>
              </w:rPr>
            </w:pPr>
            <w:r>
              <w:rPr>
                <w:b/>
                <w:bCs/>
                <w:color w:val="auto"/>
                <w:szCs w:val="21"/>
              </w:rPr>
              <w:t>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gridSpan w:val="2"/>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感官</w:t>
            </w:r>
          </w:p>
        </w:tc>
        <w:tc>
          <w:tcPr>
            <w:tcW w:w="2500" w:type="pct"/>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一般为透明或半透明颗粒，无异嗅，无异物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gridSpan w:val="2"/>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水分/%</w:t>
            </w:r>
          </w:p>
        </w:tc>
        <w:tc>
          <w:tcPr>
            <w:tcW w:w="2500" w:type="pct"/>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gridSpan w:val="2"/>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密度/（g/cm</w:t>
            </w:r>
            <w:r>
              <w:rPr>
                <w:rFonts w:hint="eastAsia"/>
                <w:color w:val="auto"/>
                <w:szCs w:val="21"/>
                <w:vertAlign w:val="superscript"/>
              </w:rPr>
              <w:t>3</w:t>
            </w:r>
            <w:r>
              <w:rPr>
                <w:rFonts w:hint="eastAsia"/>
                <w:color w:val="auto"/>
                <w:szCs w:val="21"/>
              </w:rPr>
              <w:t>）</w:t>
            </w:r>
          </w:p>
        </w:tc>
        <w:tc>
          <w:tcPr>
            <w:tcW w:w="2500" w:type="pct"/>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1.25</w:t>
            </w:r>
            <w:r>
              <w:rPr>
                <w:color w:val="auto"/>
                <w:szCs w:val="21"/>
              </w:rPr>
              <w:t>±</w:t>
            </w:r>
            <w:r>
              <w:rPr>
                <w:rFonts w:hint="eastAsia"/>
                <w:color w:val="auto"/>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jc w:val="center"/>
        </w:trPr>
        <w:tc>
          <w:tcPr>
            <w:tcW w:w="1250" w:type="pct"/>
            <w:vMerge w:val="restart"/>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熔体质量流动速率[MFR/（g/10min）].偏差（2.16kg）/%</w:t>
            </w:r>
          </w:p>
        </w:tc>
        <w:tc>
          <w:tcPr>
            <w:tcW w:w="1250" w:type="pct"/>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MFR＜5</w:t>
            </w:r>
          </w:p>
        </w:tc>
        <w:tc>
          <w:tcPr>
            <w:tcW w:w="2500" w:type="pct"/>
            <w:tcMar>
              <w:top w:w="57" w:type="dxa"/>
              <w:left w:w="85" w:type="dxa"/>
              <w:bottom w:w="57" w:type="dxa"/>
              <w:right w:w="85" w:type="dxa"/>
            </w:tcMar>
            <w:vAlign w:val="center"/>
          </w:tcPr>
          <w:p>
            <w:pPr>
              <w:pStyle w:val="47"/>
              <w:spacing w:line="240" w:lineRule="auto"/>
              <w:rPr>
                <w:color w:val="auto"/>
                <w:szCs w:val="21"/>
              </w:rPr>
            </w:pPr>
            <w:r>
              <w:rPr>
                <w:color w:val="auto"/>
                <w:szCs w:val="21"/>
              </w:rPr>
              <w:t>±</w:t>
            </w:r>
            <w:r>
              <w:rPr>
                <w:rFonts w:hint="eastAsia"/>
                <w:color w:val="auto"/>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jc w:val="center"/>
        </w:trPr>
        <w:tc>
          <w:tcPr>
            <w:tcW w:w="1250" w:type="pct"/>
            <w:vMerge w:val="continue"/>
            <w:tcMar>
              <w:top w:w="57" w:type="dxa"/>
              <w:left w:w="85" w:type="dxa"/>
              <w:bottom w:w="57" w:type="dxa"/>
              <w:right w:w="85" w:type="dxa"/>
            </w:tcMar>
            <w:vAlign w:val="center"/>
          </w:tcPr>
          <w:p>
            <w:pPr>
              <w:pStyle w:val="47"/>
              <w:spacing w:line="240" w:lineRule="auto"/>
              <w:rPr>
                <w:color w:val="auto"/>
                <w:szCs w:val="21"/>
              </w:rPr>
            </w:pPr>
          </w:p>
        </w:tc>
        <w:tc>
          <w:tcPr>
            <w:tcW w:w="1250" w:type="pct"/>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5≤MFR＜10</w:t>
            </w:r>
          </w:p>
        </w:tc>
        <w:tc>
          <w:tcPr>
            <w:tcW w:w="2500" w:type="pct"/>
            <w:tcMar>
              <w:top w:w="57" w:type="dxa"/>
              <w:left w:w="85" w:type="dxa"/>
              <w:bottom w:w="57" w:type="dxa"/>
              <w:right w:w="85" w:type="dxa"/>
            </w:tcMar>
            <w:vAlign w:val="center"/>
          </w:tcPr>
          <w:p>
            <w:pPr>
              <w:pStyle w:val="47"/>
              <w:spacing w:line="240" w:lineRule="auto"/>
              <w:rPr>
                <w:color w:val="auto"/>
                <w:szCs w:val="21"/>
              </w:rPr>
            </w:pPr>
            <w:r>
              <w:rPr>
                <w:color w:val="auto"/>
                <w:szCs w:val="21"/>
              </w:rPr>
              <w:t>±</w:t>
            </w:r>
            <w:r>
              <w:rPr>
                <w:rFonts w:hint="eastAsia"/>
                <w:color w:val="auto"/>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jc w:val="center"/>
        </w:trPr>
        <w:tc>
          <w:tcPr>
            <w:tcW w:w="1250" w:type="pct"/>
            <w:vMerge w:val="continue"/>
            <w:tcMar>
              <w:top w:w="57" w:type="dxa"/>
              <w:left w:w="85" w:type="dxa"/>
              <w:bottom w:w="57" w:type="dxa"/>
              <w:right w:w="85" w:type="dxa"/>
            </w:tcMar>
            <w:vAlign w:val="center"/>
          </w:tcPr>
          <w:p>
            <w:pPr>
              <w:pStyle w:val="47"/>
              <w:spacing w:line="240" w:lineRule="auto"/>
              <w:rPr>
                <w:color w:val="auto"/>
                <w:szCs w:val="21"/>
              </w:rPr>
            </w:pPr>
          </w:p>
        </w:tc>
        <w:tc>
          <w:tcPr>
            <w:tcW w:w="1250" w:type="pct"/>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10≤MFR＜20</w:t>
            </w:r>
          </w:p>
        </w:tc>
        <w:tc>
          <w:tcPr>
            <w:tcW w:w="2500" w:type="pct"/>
            <w:tcMar>
              <w:top w:w="57" w:type="dxa"/>
              <w:left w:w="85" w:type="dxa"/>
              <w:bottom w:w="57" w:type="dxa"/>
              <w:right w:w="85" w:type="dxa"/>
            </w:tcMar>
            <w:vAlign w:val="center"/>
          </w:tcPr>
          <w:p>
            <w:pPr>
              <w:pStyle w:val="47"/>
              <w:spacing w:line="240" w:lineRule="auto"/>
              <w:rPr>
                <w:color w:val="auto"/>
                <w:szCs w:val="21"/>
              </w:rPr>
            </w:pPr>
            <w:r>
              <w:rPr>
                <w:color w:val="auto"/>
                <w:szCs w:val="21"/>
              </w:rPr>
              <w:t>±</w:t>
            </w:r>
            <w:r>
              <w:rPr>
                <w:rFonts w:hint="eastAsia"/>
                <w:color w:val="auto"/>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jc w:val="center"/>
        </w:trPr>
        <w:tc>
          <w:tcPr>
            <w:tcW w:w="1250" w:type="pct"/>
            <w:vMerge w:val="continue"/>
            <w:tcMar>
              <w:top w:w="57" w:type="dxa"/>
              <w:left w:w="85" w:type="dxa"/>
              <w:bottom w:w="57" w:type="dxa"/>
              <w:right w:w="85" w:type="dxa"/>
            </w:tcMar>
            <w:vAlign w:val="center"/>
          </w:tcPr>
          <w:p>
            <w:pPr>
              <w:pStyle w:val="47"/>
              <w:spacing w:line="240" w:lineRule="auto"/>
              <w:rPr>
                <w:color w:val="auto"/>
                <w:szCs w:val="21"/>
              </w:rPr>
            </w:pPr>
          </w:p>
        </w:tc>
        <w:tc>
          <w:tcPr>
            <w:tcW w:w="1250" w:type="pct"/>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MFR＞20</w:t>
            </w:r>
          </w:p>
        </w:tc>
        <w:tc>
          <w:tcPr>
            <w:tcW w:w="2500" w:type="pct"/>
            <w:tcMar>
              <w:top w:w="57" w:type="dxa"/>
              <w:left w:w="85" w:type="dxa"/>
              <w:bottom w:w="57" w:type="dxa"/>
              <w:right w:w="85" w:type="dxa"/>
            </w:tcMar>
            <w:vAlign w:val="center"/>
          </w:tcPr>
          <w:p>
            <w:pPr>
              <w:pStyle w:val="47"/>
              <w:spacing w:line="240" w:lineRule="auto"/>
              <w:rPr>
                <w:color w:val="auto"/>
                <w:szCs w:val="21"/>
              </w:rPr>
            </w:pPr>
            <w:r>
              <w:rPr>
                <w:color w:val="auto"/>
                <w:szCs w:val="21"/>
              </w:rPr>
              <w:t>±</w:t>
            </w:r>
            <w:r>
              <w:rPr>
                <w:rFonts w:hint="eastAsia"/>
                <w:color w:val="auto"/>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gridSpan w:val="2"/>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熔点/℃</w:t>
            </w:r>
          </w:p>
        </w:tc>
        <w:tc>
          <w:tcPr>
            <w:tcW w:w="2500" w:type="pct"/>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≥125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gridSpan w:val="2"/>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玻璃化转变温度/℃</w:t>
            </w:r>
          </w:p>
        </w:tc>
        <w:tc>
          <w:tcPr>
            <w:tcW w:w="2500" w:type="pct"/>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gridSpan w:val="2"/>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拉伸强度/MPa</w:t>
            </w:r>
          </w:p>
        </w:tc>
        <w:tc>
          <w:tcPr>
            <w:tcW w:w="2500" w:type="pct"/>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gridSpan w:val="2"/>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缺口冲击强度/（kJ/m</w:t>
            </w:r>
            <w:r>
              <w:rPr>
                <w:rFonts w:hint="eastAsia"/>
                <w:color w:val="auto"/>
                <w:szCs w:val="21"/>
                <w:vertAlign w:val="superscript"/>
              </w:rPr>
              <w:t>2</w:t>
            </w:r>
            <w:r>
              <w:rPr>
                <w:rFonts w:hint="eastAsia"/>
                <w:color w:val="auto"/>
                <w:szCs w:val="21"/>
              </w:rPr>
              <w:t>）</w:t>
            </w:r>
          </w:p>
        </w:tc>
        <w:tc>
          <w:tcPr>
            <w:tcW w:w="2500" w:type="pct"/>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gridSpan w:val="2"/>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生物分解率/%</w:t>
            </w:r>
          </w:p>
        </w:tc>
        <w:tc>
          <w:tcPr>
            <w:tcW w:w="2500" w:type="pct"/>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gridSpan w:val="2"/>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灼烧残渣/%</w:t>
            </w:r>
          </w:p>
        </w:tc>
        <w:tc>
          <w:tcPr>
            <w:tcW w:w="2500" w:type="pct"/>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gridSpan w:val="2"/>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正已烷提取物/%</w:t>
            </w:r>
          </w:p>
        </w:tc>
        <w:tc>
          <w:tcPr>
            <w:tcW w:w="2500" w:type="pct"/>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gridSpan w:val="2"/>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挥发性物质含量/%</w:t>
            </w:r>
          </w:p>
        </w:tc>
        <w:tc>
          <w:tcPr>
            <w:tcW w:w="2500" w:type="pct"/>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gridSpan w:val="2"/>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特性粘度偏差/（dL/g）</w:t>
            </w:r>
          </w:p>
        </w:tc>
        <w:tc>
          <w:tcPr>
            <w:tcW w:w="2500" w:type="pct"/>
            <w:tcMar>
              <w:top w:w="57" w:type="dxa"/>
              <w:left w:w="85" w:type="dxa"/>
              <w:bottom w:w="57" w:type="dxa"/>
              <w:right w:w="85" w:type="dxa"/>
            </w:tcMar>
            <w:vAlign w:val="center"/>
          </w:tcPr>
          <w:p>
            <w:pPr>
              <w:pStyle w:val="47"/>
              <w:spacing w:line="240" w:lineRule="auto"/>
              <w:rPr>
                <w:color w:val="auto"/>
                <w:szCs w:val="21"/>
              </w:rPr>
            </w:pPr>
            <w:r>
              <w:rPr>
                <w:color w:val="auto"/>
                <w:szCs w:val="21"/>
              </w:rPr>
              <w:t>±</w:t>
            </w:r>
            <w:r>
              <w:rPr>
                <w:rFonts w:hint="eastAsia"/>
                <w:color w:val="auto"/>
                <w:szCs w:val="21"/>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gridSpan w:val="2"/>
            <w:tcMar>
              <w:top w:w="57" w:type="dxa"/>
              <w:left w:w="85" w:type="dxa"/>
              <w:bottom w:w="57" w:type="dxa"/>
              <w:right w:w="85" w:type="dxa"/>
            </w:tcMar>
            <w:vAlign w:val="center"/>
          </w:tcPr>
          <w:p>
            <w:pPr>
              <w:pStyle w:val="47"/>
              <w:spacing w:line="240" w:lineRule="auto"/>
              <w:rPr>
                <w:color w:val="auto"/>
                <w:szCs w:val="21"/>
              </w:rPr>
            </w:pPr>
            <w:r>
              <w:rPr>
                <w:rFonts w:hint="eastAsia"/>
                <w:color w:val="auto"/>
                <w:szCs w:val="21"/>
              </w:rPr>
              <w:t>重均分子量偏差/%</w:t>
            </w:r>
          </w:p>
        </w:tc>
        <w:tc>
          <w:tcPr>
            <w:tcW w:w="2500" w:type="pct"/>
            <w:tcMar>
              <w:top w:w="57" w:type="dxa"/>
              <w:left w:w="85" w:type="dxa"/>
              <w:bottom w:w="57" w:type="dxa"/>
              <w:right w:w="85" w:type="dxa"/>
            </w:tcMar>
            <w:vAlign w:val="center"/>
          </w:tcPr>
          <w:p>
            <w:pPr>
              <w:pStyle w:val="47"/>
              <w:spacing w:line="240" w:lineRule="auto"/>
              <w:rPr>
                <w:color w:val="auto"/>
                <w:szCs w:val="21"/>
              </w:rPr>
            </w:pPr>
            <w:r>
              <w:rPr>
                <w:color w:val="auto"/>
                <w:szCs w:val="21"/>
              </w:rPr>
              <w:t>±</w:t>
            </w:r>
            <w:r>
              <w:rPr>
                <w:rFonts w:hint="eastAsia"/>
                <w:color w:val="auto"/>
                <w:szCs w:val="21"/>
              </w:rPr>
              <w:t>20</w:t>
            </w:r>
          </w:p>
        </w:tc>
      </w:tr>
    </w:tbl>
    <w:p>
      <w:pPr>
        <w:pStyle w:val="48"/>
        <w:spacing w:line="360" w:lineRule="auto"/>
        <w:rPr>
          <w:b/>
          <w:color w:val="auto"/>
          <w:szCs w:val="21"/>
        </w:rPr>
      </w:pPr>
      <w:r>
        <w:rPr>
          <w:snapToGrid/>
          <w:color w:val="auto"/>
          <w:spacing w:val="0"/>
          <w:kern w:val="2"/>
          <w:szCs w:val="21"/>
        </w:rPr>
        <w:t>表</w:t>
      </w:r>
      <w:r>
        <w:rPr>
          <w:rFonts w:hint="eastAsia"/>
          <w:snapToGrid/>
          <w:color w:val="auto"/>
          <w:spacing w:val="0"/>
          <w:kern w:val="2"/>
          <w:szCs w:val="21"/>
        </w:rPr>
        <w:t>2.2</w:t>
      </w:r>
      <w:r>
        <w:rPr>
          <w:snapToGrid/>
          <w:color w:val="auto"/>
          <w:spacing w:val="0"/>
          <w:kern w:val="2"/>
          <w:szCs w:val="21"/>
        </w:rPr>
        <w:t>-</w:t>
      </w:r>
      <w:r>
        <w:rPr>
          <w:rFonts w:hint="eastAsia"/>
          <w:snapToGrid/>
          <w:color w:val="auto"/>
          <w:spacing w:val="0"/>
          <w:kern w:val="2"/>
          <w:szCs w:val="21"/>
        </w:rPr>
        <w:t>4 丙交酯质量标准（Q/LJ J001-2022）</w:t>
      </w:r>
    </w:p>
    <w:tbl>
      <w:tblPr>
        <w:tblStyle w:val="2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841"/>
        <w:gridCol w:w="2218"/>
        <w:gridCol w:w="32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2" w:hRule="atLeast"/>
          <w:jc w:val="center"/>
        </w:trPr>
        <w:tc>
          <w:tcPr>
            <w:tcW w:w="2068" w:type="pct"/>
            <w:tcBorders>
              <w:tl2br w:val="nil"/>
              <w:tr2bl w:val="nil"/>
            </w:tcBorders>
            <w:shd w:val="clear" w:color="auto" w:fill="FFFFFF" w:themeFill="background1"/>
            <w:vAlign w:val="center"/>
          </w:tcPr>
          <w:p>
            <w:pPr>
              <w:pStyle w:val="47"/>
              <w:spacing w:line="240" w:lineRule="auto"/>
              <w:rPr>
                <w:b/>
                <w:bCs/>
                <w:color w:val="auto"/>
                <w:szCs w:val="21"/>
              </w:rPr>
            </w:pPr>
            <w:r>
              <w:rPr>
                <w:b/>
                <w:bCs/>
                <w:color w:val="auto"/>
                <w:szCs w:val="21"/>
              </w:rPr>
              <w:t>项目</w:t>
            </w:r>
          </w:p>
        </w:tc>
        <w:tc>
          <w:tcPr>
            <w:tcW w:w="1194" w:type="pct"/>
            <w:tcBorders>
              <w:tl2br w:val="nil"/>
              <w:tr2bl w:val="nil"/>
            </w:tcBorders>
            <w:shd w:val="clear" w:color="auto" w:fill="FFFFFF" w:themeFill="background1"/>
            <w:vAlign w:val="center"/>
          </w:tcPr>
          <w:p>
            <w:pPr>
              <w:pStyle w:val="47"/>
              <w:spacing w:line="240" w:lineRule="auto"/>
              <w:rPr>
                <w:b/>
                <w:bCs/>
                <w:color w:val="auto"/>
                <w:szCs w:val="21"/>
              </w:rPr>
            </w:pPr>
            <w:r>
              <w:rPr>
                <w:b/>
                <w:bCs/>
                <w:color w:val="auto"/>
                <w:szCs w:val="21"/>
              </w:rPr>
              <w:t>单位</w:t>
            </w:r>
          </w:p>
        </w:tc>
        <w:tc>
          <w:tcPr>
            <w:tcW w:w="1737" w:type="pct"/>
            <w:tcBorders>
              <w:tl2br w:val="nil"/>
              <w:tr2bl w:val="nil"/>
            </w:tcBorders>
            <w:shd w:val="clear" w:color="auto" w:fill="FFFFFF" w:themeFill="background1"/>
            <w:vAlign w:val="center"/>
          </w:tcPr>
          <w:p>
            <w:pPr>
              <w:pStyle w:val="47"/>
              <w:spacing w:line="240" w:lineRule="auto"/>
              <w:rPr>
                <w:b/>
                <w:bCs/>
                <w:color w:val="auto"/>
                <w:szCs w:val="21"/>
              </w:rPr>
            </w:pPr>
            <w:r>
              <w:rPr>
                <w:rFonts w:hint="eastAsia"/>
                <w:b/>
                <w:bCs/>
                <w:color w:val="auto"/>
                <w:szCs w:val="21"/>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2068" w:type="pct"/>
            <w:tcBorders>
              <w:tl2br w:val="nil"/>
              <w:tr2bl w:val="nil"/>
            </w:tcBorders>
            <w:shd w:val="clear" w:color="auto" w:fill="auto"/>
            <w:vAlign w:val="center"/>
          </w:tcPr>
          <w:p>
            <w:pPr>
              <w:pStyle w:val="47"/>
              <w:spacing w:line="240" w:lineRule="auto"/>
              <w:rPr>
                <w:color w:val="auto"/>
                <w:szCs w:val="21"/>
              </w:rPr>
            </w:pPr>
            <w:r>
              <w:rPr>
                <w:color w:val="auto"/>
                <w:szCs w:val="21"/>
              </w:rPr>
              <w:t>熔点</w:t>
            </w:r>
          </w:p>
        </w:tc>
        <w:tc>
          <w:tcPr>
            <w:tcW w:w="1194" w:type="pct"/>
            <w:tcBorders>
              <w:tl2br w:val="nil"/>
              <w:tr2bl w:val="nil"/>
            </w:tcBorders>
            <w:shd w:val="clear" w:color="auto" w:fill="auto"/>
            <w:vAlign w:val="center"/>
          </w:tcPr>
          <w:p>
            <w:pPr>
              <w:pStyle w:val="47"/>
              <w:spacing w:line="240" w:lineRule="auto"/>
              <w:rPr>
                <w:color w:val="auto"/>
                <w:szCs w:val="21"/>
              </w:rPr>
            </w:pPr>
            <w:r>
              <w:rPr>
                <w:color w:val="auto"/>
                <w:szCs w:val="21"/>
              </w:rPr>
              <w:t>℃</w:t>
            </w:r>
          </w:p>
        </w:tc>
        <w:tc>
          <w:tcPr>
            <w:tcW w:w="1737" w:type="pct"/>
            <w:tcBorders>
              <w:tl2br w:val="nil"/>
              <w:tr2bl w:val="nil"/>
            </w:tcBorders>
            <w:shd w:val="clear" w:color="auto" w:fill="auto"/>
            <w:vAlign w:val="center"/>
          </w:tcPr>
          <w:p>
            <w:pPr>
              <w:pStyle w:val="47"/>
              <w:spacing w:line="240" w:lineRule="auto"/>
              <w:rPr>
                <w:color w:val="auto"/>
                <w:szCs w:val="21"/>
              </w:rPr>
            </w:pPr>
            <w:r>
              <w:rPr>
                <w:color w:val="auto"/>
                <w:szCs w:val="21"/>
              </w:rPr>
              <w:t>96-</w:t>
            </w:r>
            <w:r>
              <w:rPr>
                <w:rFonts w:hint="eastAsia"/>
                <w:color w:val="auto"/>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068" w:type="pct"/>
            <w:tcBorders>
              <w:tl2br w:val="nil"/>
              <w:tr2bl w:val="nil"/>
            </w:tcBorders>
            <w:shd w:val="clear" w:color="auto" w:fill="auto"/>
            <w:vAlign w:val="center"/>
          </w:tcPr>
          <w:p>
            <w:pPr>
              <w:pStyle w:val="47"/>
              <w:spacing w:line="240" w:lineRule="auto"/>
              <w:rPr>
                <w:color w:val="auto"/>
                <w:szCs w:val="21"/>
              </w:rPr>
            </w:pPr>
            <w:r>
              <w:rPr>
                <w:color w:val="auto"/>
                <w:szCs w:val="21"/>
              </w:rPr>
              <w:t>含水量</w:t>
            </w:r>
          </w:p>
        </w:tc>
        <w:tc>
          <w:tcPr>
            <w:tcW w:w="1194" w:type="pct"/>
            <w:tcBorders>
              <w:tl2br w:val="nil"/>
              <w:tr2bl w:val="nil"/>
            </w:tcBorders>
            <w:shd w:val="clear" w:color="auto" w:fill="auto"/>
            <w:vAlign w:val="center"/>
          </w:tcPr>
          <w:p>
            <w:pPr>
              <w:pStyle w:val="47"/>
              <w:spacing w:line="240" w:lineRule="auto"/>
              <w:rPr>
                <w:color w:val="auto"/>
                <w:szCs w:val="21"/>
              </w:rPr>
            </w:pPr>
            <w:r>
              <w:rPr>
                <w:rFonts w:hint="eastAsia"/>
                <w:color w:val="auto"/>
                <w:szCs w:val="21"/>
              </w:rPr>
              <w:t>%</w:t>
            </w:r>
          </w:p>
        </w:tc>
        <w:tc>
          <w:tcPr>
            <w:tcW w:w="1737" w:type="pct"/>
            <w:tcBorders>
              <w:tl2br w:val="nil"/>
              <w:tr2bl w:val="nil"/>
            </w:tcBorders>
            <w:shd w:val="clear" w:color="auto" w:fill="auto"/>
            <w:vAlign w:val="center"/>
          </w:tcPr>
          <w:p>
            <w:pPr>
              <w:pStyle w:val="47"/>
              <w:spacing w:line="240" w:lineRule="auto"/>
              <w:rPr>
                <w:color w:val="auto"/>
                <w:szCs w:val="21"/>
              </w:rPr>
            </w:pPr>
            <w:r>
              <w:rPr>
                <w:color w:val="auto"/>
                <w:szCs w:val="21"/>
              </w:rPr>
              <w:t>≤</w:t>
            </w:r>
            <w:r>
              <w:rPr>
                <w:rFonts w:hint="eastAsia"/>
                <w:color w:val="auto"/>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068" w:type="pct"/>
            <w:tcBorders>
              <w:tl2br w:val="nil"/>
              <w:tr2bl w:val="nil"/>
            </w:tcBorders>
            <w:shd w:val="clear" w:color="auto" w:fill="auto"/>
            <w:vAlign w:val="center"/>
          </w:tcPr>
          <w:p>
            <w:pPr>
              <w:pStyle w:val="47"/>
              <w:spacing w:line="240" w:lineRule="auto"/>
              <w:rPr>
                <w:color w:val="auto"/>
                <w:szCs w:val="21"/>
              </w:rPr>
            </w:pPr>
            <w:r>
              <w:rPr>
                <w:color w:val="auto"/>
                <w:szCs w:val="21"/>
              </w:rPr>
              <w:t>丙交酯含量/Purity</w:t>
            </w:r>
          </w:p>
        </w:tc>
        <w:tc>
          <w:tcPr>
            <w:tcW w:w="1194" w:type="pct"/>
            <w:tcBorders>
              <w:tl2br w:val="nil"/>
              <w:tr2bl w:val="nil"/>
            </w:tcBorders>
            <w:shd w:val="clear" w:color="auto" w:fill="auto"/>
            <w:vAlign w:val="center"/>
          </w:tcPr>
          <w:p>
            <w:pPr>
              <w:pStyle w:val="47"/>
              <w:spacing w:line="240" w:lineRule="auto"/>
              <w:rPr>
                <w:color w:val="auto"/>
                <w:szCs w:val="21"/>
              </w:rPr>
            </w:pPr>
            <w:r>
              <w:rPr>
                <w:color w:val="auto"/>
                <w:szCs w:val="21"/>
              </w:rPr>
              <w:t>%</w:t>
            </w:r>
          </w:p>
        </w:tc>
        <w:tc>
          <w:tcPr>
            <w:tcW w:w="1737" w:type="pct"/>
            <w:tcBorders>
              <w:tl2br w:val="nil"/>
              <w:tr2bl w:val="nil"/>
            </w:tcBorders>
            <w:shd w:val="clear" w:color="auto" w:fill="auto"/>
            <w:vAlign w:val="center"/>
          </w:tcPr>
          <w:p>
            <w:pPr>
              <w:pStyle w:val="47"/>
              <w:spacing w:line="240" w:lineRule="auto"/>
              <w:rPr>
                <w:color w:val="auto"/>
                <w:szCs w:val="21"/>
              </w:rPr>
            </w:pPr>
            <w:r>
              <w:rPr>
                <w:color w:val="auto"/>
                <w:szCs w:val="21"/>
              </w:rPr>
              <w:t>≥99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2068" w:type="pct"/>
            <w:tcBorders>
              <w:tl2br w:val="nil"/>
              <w:tr2bl w:val="nil"/>
            </w:tcBorders>
            <w:shd w:val="clear" w:color="auto" w:fill="auto"/>
            <w:vAlign w:val="center"/>
          </w:tcPr>
          <w:p>
            <w:pPr>
              <w:pStyle w:val="47"/>
              <w:spacing w:line="240" w:lineRule="auto"/>
              <w:rPr>
                <w:color w:val="auto"/>
                <w:szCs w:val="21"/>
              </w:rPr>
            </w:pPr>
            <w:r>
              <w:rPr>
                <w:color w:val="auto"/>
                <w:szCs w:val="21"/>
              </w:rPr>
              <w:t>游离酸</w:t>
            </w:r>
          </w:p>
        </w:tc>
        <w:tc>
          <w:tcPr>
            <w:tcW w:w="1194" w:type="pct"/>
            <w:tcBorders>
              <w:tl2br w:val="nil"/>
              <w:tr2bl w:val="nil"/>
            </w:tcBorders>
            <w:shd w:val="clear" w:color="auto" w:fill="auto"/>
            <w:vAlign w:val="center"/>
          </w:tcPr>
          <w:p>
            <w:pPr>
              <w:pStyle w:val="47"/>
              <w:spacing w:line="240" w:lineRule="auto"/>
              <w:rPr>
                <w:color w:val="auto"/>
                <w:szCs w:val="21"/>
              </w:rPr>
            </w:pPr>
            <w:r>
              <w:rPr>
                <w:color w:val="auto"/>
                <w:szCs w:val="21"/>
              </w:rPr>
              <w:t>%</w:t>
            </w:r>
          </w:p>
        </w:tc>
        <w:tc>
          <w:tcPr>
            <w:tcW w:w="1737" w:type="pct"/>
            <w:tcBorders>
              <w:tl2br w:val="nil"/>
              <w:tr2bl w:val="nil"/>
            </w:tcBorders>
            <w:shd w:val="clear" w:color="auto" w:fill="auto"/>
            <w:vAlign w:val="center"/>
          </w:tcPr>
          <w:p>
            <w:pPr>
              <w:pStyle w:val="47"/>
              <w:spacing w:line="240" w:lineRule="auto"/>
              <w:rPr>
                <w:color w:val="auto"/>
                <w:szCs w:val="21"/>
              </w:rPr>
            </w:pPr>
            <w:r>
              <w:rPr>
                <w:rFonts w:hint="eastAsia"/>
                <w:color w:val="auto"/>
                <w:szCs w:val="21"/>
              </w:rPr>
              <w:t>≤</w:t>
            </w:r>
            <w:r>
              <w:rPr>
                <w:color w:val="auto"/>
                <w:szCs w:val="21"/>
              </w:rPr>
              <w:t>0.1</w:t>
            </w:r>
            <w:r>
              <w:rPr>
                <w:rFonts w:hint="eastAsia"/>
                <w:color w:val="auto"/>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2068" w:type="pct"/>
            <w:tcBorders>
              <w:tl2br w:val="nil"/>
              <w:tr2bl w:val="nil"/>
            </w:tcBorders>
            <w:shd w:val="clear" w:color="auto" w:fill="auto"/>
            <w:vAlign w:val="center"/>
          </w:tcPr>
          <w:p>
            <w:pPr>
              <w:pStyle w:val="47"/>
              <w:spacing w:line="240" w:lineRule="auto"/>
              <w:rPr>
                <w:color w:val="auto"/>
                <w:szCs w:val="21"/>
              </w:rPr>
            </w:pPr>
            <w:r>
              <w:rPr>
                <w:color w:val="auto"/>
                <w:szCs w:val="21"/>
              </w:rPr>
              <w:t>灰份</w:t>
            </w:r>
          </w:p>
        </w:tc>
        <w:tc>
          <w:tcPr>
            <w:tcW w:w="1194" w:type="pct"/>
            <w:tcBorders>
              <w:tl2br w:val="nil"/>
              <w:tr2bl w:val="nil"/>
            </w:tcBorders>
            <w:shd w:val="clear" w:color="auto" w:fill="auto"/>
            <w:vAlign w:val="center"/>
          </w:tcPr>
          <w:p>
            <w:pPr>
              <w:pStyle w:val="47"/>
              <w:spacing w:line="240" w:lineRule="auto"/>
              <w:rPr>
                <w:color w:val="auto"/>
                <w:szCs w:val="21"/>
              </w:rPr>
            </w:pPr>
            <w:r>
              <w:rPr>
                <w:color w:val="auto"/>
                <w:szCs w:val="21"/>
              </w:rPr>
              <w:t>%</w:t>
            </w:r>
          </w:p>
        </w:tc>
        <w:tc>
          <w:tcPr>
            <w:tcW w:w="1737" w:type="pct"/>
            <w:tcBorders>
              <w:tl2br w:val="nil"/>
              <w:tr2bl w:val="nil"/>
            </w:tcBorders>
            <w:shd w:val="clear" w:color="auto" w:fill="auto"/>
            <w:vAlign w:val="center"/>
          </w:tcPr>
          <w:p>
            <w:pPr>
              <w:pStyle w:val="47"/>
              <w:spacing w:line="240" w:lineRule="auto"/>
              <w:rPr>
                <w:color w:val="auto"/>
                <w:szCs w:val="21"/>
              </w:rPr>
            </w:pPr>
            <w:r>
              <w:rPr>
                <w:color w:val="auto"/>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2068" w:type="pct"/>
            <w:tcBorders>
              <w:tl2br w:val="nil"/>
              <w:tr2bl w:val="nil"/>
            </w:tcBorders>
            <w:shd w:val="clear" w:color="auto" w:fill="auto"/>
            <w:vAlign w:val="center"/>
          </w:tcPr>
          <w:p>
            <w:pPr>
              <w:pStyle w:val="47"/>
              <w:spacing w:line="240" w:lineRule="auto"/>
              <w:rPr>
                <w:color w:val="auto"/>
                <w:szCs w:val="21"/>
              </w:rPr>
            </w:pPr>
            <w:r>
              <w:rPr>
                <w:color w:val="auto"/>
                <w:szCs w:val="21"/>
              </w:rPr>
              <w:t>重金属</w:t>
            </w:r>
          </w:p>
        </w:tc>
        <w:tc>
          <w:tcPr>
            <w:tcW w:w="1194" w:type="pct"/>
            <w:tcBorders>
              <w:tl2br w:val="nil"/>
              <w:tr2bl w:val="nil"/>
            </w:tcBorders>
            <w:shd w:val="clear" w:color="auto" w:fill="auto"/>
            <w:vAlign w:val="center"/>
          </w:tcPr>
          <w:p>
            <w:pPr>
              <w:pStyle w:val="47"/>
              <w:spacing w:line="240" w:lineRule="auto"/>
              <w:rPr>
                <w:color w:val="auto"/>
                <w:szCs w:val="21"/>
              </w:rPr>
            </w:pPr>
            <w:r>
              <w:rPr>
                <w:color w:val="auto"/>
                <w:szCs w:val="21"/>
              </w:rPr>
              <w:t>ppm</w:t>
            </w:r>
          </w:p>
        </w:tc>
        <w:tc>
          <w:tcPr>
            <w:tcW w:w="1737" w:type="pct"/>
            <w:tcBorders>
              <w:tl2br w:val="nil"/>
              <w:tr2bl w:val="nil"/>
            </w:tcBorders>
            <w:shd w:val="clear" w:color="auto" w:fill="auto"/>
            <w:vAlign w:val="center"/>
          </w:tcPr>
          <w:p>
            <w:pPr>
              <w:pStyle w:val="47"/>
              <w:spacing w:line="240" w:lineRule="auto"/>
              <w:rPr>
                <w:color w:val="auto"/>
                <w:szCs w:val="21"/>
              </w:rPr>
            </w:pPr>
            <w:r>
              <w:rPr>
                <w:color w:val="auto"/>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2068" w:type="pct"/>
            <w:tcBorders>
              <w:tl2br w:val="nil"/>
              <w:tr2bl w:val="nil"/>
            </w:tcBorders>
            <w:shd w:val="clear" w:color="auto" w:fill="auto"/>
            <w:vAlign w:val="center"/>
          </w:tcPr>
          <w:p>
            <w:pPr>
              <w:pStyle w:val="47"/>
              <w:spacing w:line="240" w:lineRule="auto"/>
              <w:rPr>
                <w:color w:val="auto"/>
                <w:szCs w:val="21"/>
              </w:rPr>
            </w:pPr>
            <w:r>
              <w:rPr>
                <w:color w:val="auto"/>
                <w:szCs w:val="21"/>
              </w:rPr>
              <w:t>铁</w:t>
            </w:r>
          </w:p>
        </w:tc>
        <w:tc>
          <w:tcPr>
            <w:tcW w:w="1194" w:type="pct"/>
            <w:tcBorders>
              <w:tl2br w:val="nil"/>
              <w:tr2bl w:val="nil"/>
            </w:tcBorders>
            <w:shd w:val="clear" w:color="auto" w:fill="auto"/>
            <w:vAlign w:val="center"/>
          </w:tcPr>
          <w:p>
            <w:pPr>
              <w:pStyle w:val="47"/>
              <w:spacing w:line="240" w:lineRule="auto"/>
              <w:rPr>
                <w:color w:val="auto"/>
                <w:szCs w:val="21"/>
              </w:rPr>
            </w:pPr>
            <w:r>
              <w:rPr>
                <w:color w:val="auto"/>
                <w:szCs w:val="21"/>
              </w:rPr>
              <w:t>ppm</w:t>
            </w:r>
          </w:p>
        </w:tc>
        <w:tc>
          <w:tcPr>
            <w:tcW w:w="1737" w:type="pct"/>
            <w:tcBorders>
              <w:tl2br w:val="nil"/>
              <w:tr2bl w:val="nil"/>
            </w:tcBorders>
            <w:shd w:val="clear" w:color="auto" w:fill="auto"/>
            <w:vAlign w:val="center"/>
          </w:tcPr>
          <w:p>
            <w:pPr>
              <w:pStyle w:val="47"/>
              <w:spacing w:line="240" w:lineRule="auto"/>
              <w:rPr>
                <w:color w:val="auto"/>
                <w:szCs w:val="21"/>
              </w:rPr>
            </w:pPr>
            <w:r>
              <w:rPr>
                <w:color w:val="auto"/>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2068" w:type="pct"/>
            <w:tcBorders>
              <w:tl2br w:val="nil"/>
              <w:tr2bl w:val="nil"/>
            </w:tcBorders>
            <w:shd w:val="clear" w:color="auto" w:fill="auto"/>
            <w:vAlign w:val="center"/>
          </w:tcPr>
          <w:p>
            <w:pPr>
              <w:pStyle w:val="47"/>
              <w:spacing w:line="240" w:lineRule="auto"/>
              <w:rPr>
                <w:color w:val="auto"/>
                <w:szCs w:val="21"/>
              </w:rPr>
            </w:pPr>
            <w:r>
              <w:rPr>
                <w:color w:val="auto"/>
                <w:szCs w:val="21"/>
              </w:rPr>
              <w:t>铅</w:t>
            </w:r>
          </w:p>
        </w:tc>
        <w:tc>
          <w:tcPr>
            <w:tcW w:w="1194" w:type="pct"/>
            <w:tcBorders>
              <w:tl2br w:val="nil"/>
              <w:tr2bl w:val="nil"/>
            </w:tcBorders>
            <w:shd w:val="clear" w:color="auto" w:fill="auto"/>
            <w:vAlign w:val="center"/>
          </w:tcPr>
          <w:p>
            <w:pPr>
              <w:pStyle w:val="47"/>
              <w:spacing w:line="240" w:lineRule="auto"/>
              <w:rPr>
                <w:color w:val="auto"/>
                <w:szCs w:val="21"/>
              </w:rPr>
            </w:pPr>
            <w:r>
              <w:rPr>
                <w:color w:val="auto"/>
                <w:szCs w:val="21"/>
              </w:rPr>
              <w:t>ppm</w:t>
            </w:r>
          </w:p>
        </w:tc>
        <w:tc>
          <w:tcPr>
            <w:tcW w:w="1737" w:type="pct"/>
            <w:tcBorders>
              <w:tl2br w:val="nil"/>
              <w:tr2bl w:val="nil"/>
            </w:tcBorders>
            <w:shd w:val="clear" w:color="auto" w:fill="auto"/>
            <w:vAlign w:val="center"/>
          </w:tcPr>
          <w:p>
            <w:pPr>
              <w:pStyle w:val="47"/>
              <w:spacing w:line="240" w:lineRule="auto"/>
              <w:rPr>
                <w:color w:val="auto"/>
                <w:szCs w:val="21"/>
              </w:rPr>
            </w:pPr>
            <w:r>
              <w:rPr>
                <w:color w:val="auto"/>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2068" w:type="pct"/>
            <w:tcBorders>
              <w:tl2br w:val="nil"/>
              <w:tr2bl w:val="nil"/>
            </w:tcBorders>
            <w:shd w:val="clear" w:color="auto" w:fill="auto"/>
            <w:vAlign w:val="center"/>
          </w:tcPr>
          <w:p>
            <w:pPr>
              <w:pStyle w:val="47"/>
              <w:spacing w:line="240" w:lineRule="auto"/>
              <w:rPr>
                <w:color w:val="auto"/>
                <w:szCs w:val="21"/>
              </w:rPr>
            </w:pPr>
            <w:r>
              <w:rPr>
                <w:color w:val="auto"/>
                <w:szCs w:val="21"/>
              </w:rPr>
              <w:t>砷</w:t>
            </w:r>
          </w:p>
        </w:tc>
        <w:tc>
          <w:tcPr>
            <w:tcW w:w="1194" w:type="pct"/>
            <w:tcBorders>
              <w:tl2br w:val="nil"/>
              <w:tr2bl w:val="nil"/>
            </w:tcBorders>
            <w:shd w:val="clear" w:color="auto" w:fill="auto"/>
            <w:vAlign w:val="center"/>
          </w:tcPr>
          <w:p>
            <w:pPr>
              <w:pStyle w:val="47"/>
              <w:spacing w:line="240" w:lineRule="auto"/>
              <w:rPr>
                <w:color w:val="auto"/>
                <w:szCs w:val="21"/>
              </w:rPr>
            </w:pPr>
            <w:r>
              <w:rPr>
                <w:color w:val="auto"/>
                <w:szCs w:val="21"/>
              </w:rPr>
              <w:t>ppm</w:t>
            </w:r>
          </w:p>
        </w:tc>
        <w:tc>
          <w:tcPr>
            <w:tcW w:w="1737" w:type="pct"/>
            <w:tcBorders>
              <w:tl2br w:val="nil"/>
              <w:tr2bl w:val="nil"/>
            </w:tcBorders>
            <w:shd w:val="clear" w:color="auto" w:fill="auto"/>
            <w:vAlign w:val="center"/>
          </w:tcPr>
          <w:p>
            <w:pPr>
              <w:pStyle w:val="47"/>
              <w:spacing w:line="240" w:lineRule="auto"/>
              <w:rPr>
                <w:color w:val="auto"/>
                <w:szCs w:val="21"/>
              </w:rPr>
            </w:pPr>
            <w:r>
              <w:rPr>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2068" w:type="pct"/>
            <w:tcBorders>
              <w:tl2br w:val="nil"/>
              <w:tr2bl w:val="nil"/>
            </w:tcBorders>
            <w:shd w:val="clear" w:color="auto" w:fill="auto"/>
            <w:vAlign w:val="center"/>
          </w:tcPr>
          <w:p>
            <w:pPr>
              <w:pStyle w:val="47"/>
              <w:spacing w:line="240" w:lineRule="auto"/>
              <w:rPr>
                <w:color w:val="auto"/>
                <w:szCs w:val="21"/>
              </w:rPr>
            </w:pPr>
            <w:r>
              <w:rPr>
                <w:color w:val="auto"/>
                <w:szCs w:val="21"/>
              </w:rPr>
              <w:t>比旋光度</w:t>
            </w:r>
          </w:p>
        </w:tc>
        <w:tc>
          <w:tcPr>
            <w:tcW w:w="1194" w:type="pct"/>
            <w:tcBorders>
              <w:tl2br w:val="nil"/>
              <w:tr2bl w:val="nil"/>
            </w:tcBorders>
            <w:shd w:val="clear" w:color="auto" w:fill="auto"/>
            <w:vAlign w:val="center"/>
          </w:tcPr>
          <w:p>
            <w:pPr>
              <w:pStyle w:val="47"/>
              <w:spacing w:line="240" w:lineRule="auto"/>
              <w:rPr>
                <w:color w:val="auto"/>
                <w:szCs w:val="21"/>
              </w:rPr>
            </w:pPr>
            <w:r>
              <w:rPr>
                <w:rFonts w:hint="eastAsia"/>
                <w:color w:val="auto"/>
                <w:szCs w:val="21"/>
              </w:rPr>
              <w:t>/</w:t>
            </w:r>
          </w:p>
        </w:tc>
        <w:tc>
          <w:tcPr>
            <w:tcW w:w="1737" w:type="pct"/>
            <w:tcBorders>
              <w:tl2br w:val="nil"/>
              <w:tr2bl w:val="nil"/>
            </w:tcBorders>
            <w:shd w:val="clear" w:color="auto" w:fill="auto"/>
            <w:vAlign w:val="center"/>
          </w:tcPr>
          <w:p>
            <w:pPr>
              <w:pStyle w:val="47"/>
              <w:spacing w:line="240" w:lineRule="auto"/>
              <w:rPr>
                <w:color w:val="auto"/>
                <w:szCs w:val="21"/>
              </w:rPr>
            </w:pPr>
            <w:r>
              <w:rPr>
                <w:color w:val="auto"/>
                <w:szCs w:val="21"/>
              </w:rPr>
              <w:t>-265</w:t>
            </w:r>
            <w:r>
              <w:rPr>
                <w:rFonts w:hint="eastAsia"/>
                <w:color w:val="auto"/>
                <w:szCs w:val="21"/>
              </w:rPr>
              <w:t>±</w:t>
            </w:r>
            <w:r>
              <w:rPr>
                <w:color w:val="auto"/>
                <w:szCs w:val="21"/>
              </w:rPr>
              <w:t>3</w:t>
            </w:r>
          </w:p>
        </w:tc>
      </w:tr>
    </w:tbl>
    <w:p>
      <w:pPr>
        <w:pStyle w:val="14"/>
        <w:spacing w:after="0"/>
        <w:ind w:firstLine="0" w:firstLineChars="0"/>
        <w:jc w:val="center"/>
        <w:rPr>
          <w:rFonts w:eastAsia="黑体"/>
          <w:b/>
          <w:snapToGrid w:val="0"/>
          <w:color w:val="auto"/>
          <w:spacing w:val="10"/>
          <w:kern w:val="0"/>
          <w:sz w:val="21"/>
          <w:szCs w:val="21"/>
        </w:rPr>
      </w:pPr>
      <w:r>
        <w:rPr>
          <w:rFonts w:hint="eastAsia" w:eastAsia="黑体"/>
          <w:color w:val="auto"/>
          <w:sz w:val="21"/>
          <w:szCs w:val="21"/>
        </w:rPr>
        <w:t xml:space="preserve">表2.2-5 </w:t>
      </w:r>
      <w:r>
        <w:rPr>
          <w:rFonts w:hint="eastAsia" w:eastAsia="黑体"/>
          <w:color w:val="auto"/>
          <w:sz w:val="21"/>
          <w:szCs w:val="21"/>
          <w:lang w:val="en-US" w:eastAsia="zh-CN"/>
        </w:rPr>
        <w:t>饲料添加剂 有机酸通用要求</w:t>
      </w:r>
      <w:r>
        <w:rPr>
          <w:rFonts w:hint="eastAsia" w:eastAsia="黑体"/>
          <w:color w:val="auto"/>
          <w:sz w:val="21"/>
          <w:szCs w:val="21"/>
        </w:rPr>
        <w:t>（</w:t>
      </w:r>
      <w:r>
        <w:rPr>
          <w:rFonts w:eastAsia="黑体"/>
          <w:color w:val="auto"/>
          <w:sz w:val="21"/>
          <w:szCs w:val="21"/>
        </w:rPr>
        <w:t>GB/T 22142-2008</w:t>
      </w:r>
      <w:r>
        <w:rPr>
          <w:rFonts w:hint="eastAsia" w:eastAsia="黑体"/>
          <w:color w:val="auto"/>
          <w:sz w:val="21"/>
          <w:szCs w:val="21"/>
        </w:rPr>
        <w:t>）</w:t>
      </w:r>
    </w:p>
    <w:tbl>
      <w:tblPr>
        <w:tblStyle w:val="23"/>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11"/>
        <w:gridCol w:w="2326"/>
        <w:gridCol w:w="2321"/>
        <w:gridCol w:w="23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8" w:type="pct"/>
            <w:gridSpan w:val="2"/>
            <w:tcBorders>
              <w:tl2br w:val="nil"/>
              <w:tr2bl w:val="nil"/>
            </w:tcBorders>
            <w:vAlign w:val="center"/>
          </w:tcPr>
          <w:p>
            <w:pPr>
              <w:spacing w:line="312" w:lineRule="exact"/>
              <w:ind w:firstLine="0" w:firstLineChars="0"/>
              <w:jc w:val="center"/>
              <w:rPr>
                <w:b/>
                <w:bCs/>
                <w:color w:val="auto"/>
                <w:sz w:val="21"/>
                <w:szCs w:val="21"/>
              </w:rPr>
            </w:pPr>
            <w:r>
              <w:rPr>
                <w:b/>
                <w:bCs/>
                <w:color w:val="auto"/>
                <w:sz w:val="21"/>
                <w:szCs w:val="21"/>
              </w:rPr>
              <w:t>项目</w:t>
            </w:r>
          </w:p>
        </w:tc>
        <w:tc>
          <w:tcPr>
            <w:tcW w:w="2501" w:type="pct"/>
            <w:gridSpan w:val="2"/>
            <w:tcBorders>
              <w:tl2br w:val="nil"/>
              <w:tr2bl w:val="nil"/>
            </w:tcBorders>
            <w:vAlign w:val="center"/>
          </w:tcPr>
          <w:p>
            <w:pPr>
              <w:spacing w:line="312" w:lineRule="exact"/>
              <w:ind w:firstLine="0" w:firstLineChars="0"/>
              <w:jc w:val="center"/>
              <w:rPr>
                <w:b/>
                <w:bCs/>
                <w:color w:val="auto"/>
                <w:sz w:val="21"/>
                <w:szCs w:val="21"/>
              </w:rPr>
            </w:pPr>
            <w:r>
              <w:rPr>
                <w:b/>
                <w:bCs/>
                <w:color w:val="auto"/>
                <w:sz w:val="21"/>
                <w:szCs w:val="21"/>
              </w:rPr>
              <w:t>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 w:hRule="atLeast"/>
        </w:trPr>
        <w:tc>
          <w:tcPr>
            <w:tcW w:w="1245" w:type="pct"/>
            <w:vMerge w:val="restart"/>
            <w:tcBorders>
              <w:tl2br w:val="nil"/>
              <w:tr2bl w:val="nil"/>
            </w:tcBorders>
            <w:vAlign w:val="center"/>
          </w:tcPr>
          <w:p>
            <w:pPr>
              <w:pStyle w:val="14"/>
              <w:spacing w:after="0" w:line="312" w:lineRule="exact"/>
              <w:ind w:firstLine="0" w:firstLineChars="0"/>
              <w:jc w:val="center"/>
              <w:rPr>
                <w:color w:val="auto"/>
                <w:sz w:val="21"/>
                <w:szCs w:val="21"/>
              </w:rPr>
            </w:pPr>
            <w:r>
              <w:rPr>
                <w:color w:val="auto"/>
                <w:sz w:val="21"/>
                <w:szCs w:val="21"/>
              </w:rPr>
              <w:t>产品质量指标</w:t>
            </w:r>
          </w:p>
        </w:tc>
        <w:tc>
          <w:tcPr>
            <w:tcW w:w="1253" w:type="pct"/>
            <w:vMerge w:val="restart"/>
            <w:tcBorders>
              <w:tl2br w:val="nil"/>
              <w:tr2bl w:val="nil"/>
            </w:tcBorders>
            <w:vAlign w:val="center"/>
          </w:tcPr>
          <w:p>
            <w:pPr>
              <w:pStyle w:val="14"/>
              <w:spacing w:after="0" w:line="312" w:lineRule="exact"/>
              <w:ind w:firstLine="0" w:firstLineChars="0"/>
              <w:jc w:val="center"/>
              <w:rPr>
                <w:color w:val="auto"/>
                <w:sz w:val="21"/>
                <w:szCs w:val="21"/>
              </w:rPr>
            </w:pPr>
            <w:r>
              <w:rPr>
                <w:color w:val="auto"/>
                <w:sz w:val="21"/>
                <w:szCs w:val="21"/>
              </w:rPr>
              <w:t>水分</w:t>
            </w:r>
          </w:p>
        </w:tc>
        <w:tc>
          <w:tcPr>
            <w:tcW w:w="1250" w:type="pct"/>
            <w:tcBorders>
              <w:tl2br w:val="nil"/>
              <w:tr2bl w:val="nil"/>
            </w:tcBorders>
            <w:vAlign w:val="center"/>
          </w:tcPr>
          <w:p>
            <w:pPr>
              <w:pStyle w:val="14"/>
              <w:spacing w:after="0" w:line="312" w:lineRule="exact"/>
              <w:ind w:firstLine="0" w:firstLineChars="0"/>
              <w:jc w:val="center"/>
              <w:rPr>
                <w:color w:val="auto"/>
                <w:sz w:val="21"/>
                <w:szCs w:val="21"/>
              </w:rPr>
            </w:pPr>
            <w:r>
              <w:rPr>
                <w:color w:val="auto"/>
                <w:sz w:val="21"/>
                <w:szCs w:val="21"/>
              </w:rPr>
              <w:t>固体</w:t>
            </w:r>
          </w:p>
        </w:tc>
        <w:tc>
          <w:tcPr>
            <w:tcW w:w="1250" w:type="pct"/>
            <w:tcBorders>
              <w:tl2br w:val="nil"/>
              <w:tr2bl w:val="nil"/>
            </w:tcBorders>
            <w:vAlign w:val="center"/>
          </w:tcPr>
          <w:p>
            <w:pPr>
              <w:pStyle w:val="14"/>
              <w:spacing w:after="0" w:line="312" w:lineRule="exact"/>
              <w:ind w:firstLine="0" w:firstLineChars="0"/>
              <w:jc w:val="center"/>
              <w:rPr>
                <w:color w:val="auto"/>
                <w:sz w:val="21"/>
                <w:szCs w:val="21"/>
              </w:rPr>
            </w:pPr>
            <w:r>
              <w:rPr>
                <w:color w:val="auto"/>
                <w:sz w:val="21"/>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 w:hRule="atLeast"/>
        </w:trPr>
        <w:tc>
          <w:tcPr>
            <w:tcW w:w="1245" w:type="pct"/>
            <w:vMerge w:val="continue"/>
            <w:tcBorders>
              <w:tl2br w:val="nil"/>
              <w:tr2bl w:val="nil"/>
            </w:tcBorders>
            <w:vAlign w:val="center"/>
          </w:tcPr>
          <w:p>
            <w:pPr>
              <w:pStyle w:val="14"/>
              <w:spacing w:after="0" w:line="312" w:lineRule="exact"/>
              <w:ind w:firstLine="0" w:firstLineChars="0"/>
              <w:jc w:val="center"/>
              <w:rPr>
                <w:color w:val="auto"/>
                <w:sz w:val="21"/>
                <w:szCs w:val="21"/>
              </w:rPr>
            </w:pPr>
          </w:p>
        </w:tc>
        <w:tc>
          <w:tcPr>
            <w:tcW w:w="1253" w:type="pct"/>
            <w:vMerge w:val="continue"/>
            <w:tcBorders>
              <w:tl2br w:val="nil"/>
              <w:tr2bl w:val="nil"/>
            </w:tcBorders>
            <w:vAlign w:val="center"/>
          </w:tcPr>
          <w:p>
            <w:pPr>
              <w:pStyle w:val="14"/>
              <w:spacing w:after="0" w:line="312" w:lineRule="exact"/>
              <w:ind w:firstLine="0" w:firstLineChars="0"/>
              <w:jc w:val="center"/>
              <w:rPr>
                <w:color w:val="auto"/>
                <w:sz w:val="21"/>
                <w:szCs w:val="21"/>
              </w:rPr>
            </w:pPr>
          </w:p>
        </w:tc>
        <w:tc>
          <w:tcPr>
            <w:tcW w:w="1250" w:type="pct"/>
            <w:tcBorders>
              <w:tl2br w:val="nil"/>
              <w:tr2bl w:val="nil"/>
            </w:tcBorders>
            <w:vAlign w:val="center"/>
          </w:tcPr>
          <w:p>
            <w:pPr>
              <w:pStyle w:val="14"/>
              <w:spacing w:after="0" w:line="312" w:lineRule="exact"/>
              <w:ind w:firstLine="0" w:firstLineChars="0"/>
              <w:jc w:val="center"/>
              <w:rPr>
                <w:color w:val="auto"/>
                <w:sz w:val="21"/>
                <w:szCs w:val="21"/>
              </w:rPr>
            </w:pPr>
            <w:r>
              <w:rPr>
                <w:color w:val="auto"/>
                <w:sz w:val="21"/>
                <w:szCs w:val="21"/>
              </w:rPr>
              <w:t>液体</w:t>
            </w:r>
          </w:p>
        </w:tc>
        <w:tc>
          <w:tcPr>
            <w:tcW w:w="1250" w:type="pct"/>
            <w:tcBorders>
              <w:tl2br w:val="nil"/>
              <w:tr2bl w:val="nil"/>
            </w:tcBorders>
            <w:vAlign w:val="center"/>
          </w:tcPr>
          <w:p>
            <w:pPr>
              <w:pStyle w:val="14"/>
              <w:spacing w:after="0" w:line="312" w:lineRule="exact"/>
              <w:ind w:firstLine="0" w:firstLineChars="0"/>
              <w:jc w:val="center"/>
              <w:rPr>
                <w:color w:val="auto"/>
                <w:sz w:val="21"/>
                <w:szCs w:val="21"/>
              </w:rPr>
            </w:pPr>
            <w:r>
              <w:rPr>
                <w:color w:val="auto"/>
                <w:sz w:val="21"/>
                <w:szCs w:val="21"/>
              </w:rPr>
              <w:t>≤14%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245" w:type="pct"/>
            <w:vMerge w:val="continue"/>
            <w:tcBorders>
              <w:tl2br w:val="nil"/>
              <w:tr2bl w:val="nil"/>
            </w:tcBorders>
            <w:vAlign w:val="center"/>
          </w:tcPr>
          <w:p>
            <w:pPr>
              <w:pStyle w:val="14"/>
              <w:spacing w:after="0" w:line="312" w:lineRule="exact"/>
              <w:ind w:firstLine="0" w:firstLineChars="0"/>
              <w:jc w:val="center"/>
              <w:rPr>
                <w:color w:val="auto"/>
                <w:sz w:val="21"/>
                <w:szCs w:val="21"/>
              </w:rPr>
            </w:pPr>
          </w:p>
        </w:tc>
        <w:tc>
          <w:tcPr>
            <w:tcW w:w="1253" w:type="pct"/>
            <w:vMerge w:val="restart"/>
            <w:tcBorders>
              <w:tl2br w:val="nil"/>
              <w:tr2bl w:val="nil"/>
            </w:tcBorders>
            <w:vAlign w:val="center"/>
          </w:tcPr>
          <w:p>
            <w:pPr>
              <w:pStyle w:val="14"/>
              <w:spacing w:after="0" w:line="312" w:lineRule="exact"/>
              <w:ind w:firstLine="0" w:firstLineChars="0"/>
              <w:jc w:val="center"/>
              <w:rPr>
                <w:color w:val="auto"/>
                <w:sz w:val="21"/>
                <w:szCs w:val="21"/>
              </w:rPr>
            </w:pPr>
            <w:r>
              <w:rPr>
                <w:color w:val="auto"/>
                <w:sz w:val="21"/>
                <w:szCs w:val="21"/>
              </w:rPr>
              <w:t>细度（粉磨1状通过1000μm分析筛）</w:t>
            </w:r>
          </w:p>
        </w:tc>
        <w:tc>
          <w:tcPr>
            <w:tcW w:w="1250" w:type="pct"/>
            <w:tcBorders>
              <w:tl2br w:val="nil"/>
              <w:tr2bl w:val="nil"/>
            </w:tcBorders>
            <w:vAlign w:val="center"/>
          </w:tcPr>
          <w:p>
            <w:pPr>
              <w:pStyle w:val="14"/>
              <w:spacing w:after="0" w:line="312" w:lineRule="exact"/>
              <w:ind w:firstLine="0" w:firstLineChars="0"/>
              <w:jc w:val="center"/>
              <w:rPr>
                <w:color w:val="auto"/>
                <w:sz w:val="21"/>
                <w:szCs w:val="21"/>
              </w:rPr>
            </w:pPr>
            <w:r>
              <w:rPr>
                <w:color w:val="auto"/>
                <w:sz w:val="21"/>
                <w:szCs w:val="21"/>
              </w:rPr>
              <w:t>固体</w:t>
            </w:r>
          </w:p>
        </w:tc>
        <w:tc>
          <w:tcPr>
            <w:tcW w:w="1250" w:type="pct"/>
            <w:tcBorders>
              <w:tl2br w:val="nil"/>
              <w:tr2bl w:val="nil"/>
            </w:tcBorders>
            <w:vAlign w:val="center"/>
          </w:tcPr>
          <w:p>
            <w:pPr>
              <w:pStyle w:val="14"/>
              <w:spacing w:after="0" w:line="312" w:lineRule="exact"/>
              <w:ind w:firstLine="0" w:firstLineChars="0"/>
              <w:jc w:val="center"/>
              <w:rPr>
                <w:color w:val="auto"/>
                <w:sz w:val="21"/>
                <w:szCs w:val="21"/>
              </w:rPr>
            </w:pPr>
            <w:r>
              <w:rPr>
                <w:color w:val="auto"/>
                <w:sz w:val="21"/>
                <w:szCs w:val="21"/>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1245" w:type="pct"/>
            <w:vMerge w:val="continue"/>
            <w:tcBorders>
              <w:tl2br w:val="nil"/>
              <w:tr2bl w:val="nil"/>
            </w:tcBorders>
            <w:vAlign w:val="center"/>
          </w:tcPr>
          <w:p>
            <w:pPr>
              <w:pStyle w:val="14"/>
              <w:spacing w:after="0" w:line="312" w:lineRule="exact"/>
              <w:ind w:firstLine="0" w:firstLineChars="0"/>
              <w:jc w:val="center"/>
              <w:rPr>
                <w:color w:val="auto"/>
                <w:sz w:val="21"/>
                <w:szCs w:val="21"/>
              </w:rPr>
            </w:pPr>
          </w:p>
        </w:tc>
        <w:tc>
          <w:tcPr>
            <w:tcW w:w="1253" w:type="pct"/>
            <w:vMerge w:val="continue"/>
            <w:tcBorders>
              <w:tl2br w:val="nil"/>
              <w:tr2bl w:val="nil"/>
            </w:tcBorders>
            <w:vAlign w:val="center"/>
          </w:tcPr>
          <w:p>
            <w:pPr>
              <w:pStyle w:val="14"/>
              <w:spacing w:after="0" w:line="312" w:lineRule="exact"/>
              <w:ind w:firstLine="0" w:firstLineChars="0"/>
              <w:jc w:val="center"/>
              <w:rPr>
                <w:color w:val="auto"/>
                <w:sz w:val="21"/>
                <w:szCs w:val="21"/>
              </w:rPr>
            </w:pPr>
          </w:p>
        </w:tc>
        <w:tc>
          <w:tcPr>
            <w:tcW w:w="1250" w:type="pct"/>
            <w:tcBorders>
              <w:tl2br w:val="nil"/>
              <w:tr2bl w:val="nil"/>
            </w:tcBorders>
            <w:vAlign w:val="center"/>
          </w:tcPr>
          <w:p>
            <w:pPr>
              <w:pStyle w:val="14"/>
              <w:spacing w:after="0" w:line="312" w:lineRule="exact"/>
              <w:ind w:firstLine="0" w:firstLineChars="0"/>
              <w:jc w:val="center"/>
              <w:rPr>
                <w:color w:val="auto"/>
                <w:sz w:val="21"/>
                <w:szCs w:val="21"/>
              </w:rPr>
            </w:pPr>
            <w:r>
              <w:rPr>
                <w:color w:val="auto"/>
                <w:sz w:val="21"/>
                <w:szCs w:val="21"/>
              </w:rPr>
              <w:t>液体</w:t>
            </w:r>
          </w:p>
        </w:tc>
        <w:tc>
          <w:tcPr>
            <w:tcW w:w="1250" w:type="pct"/>
            <w:tcBorders>
              <w:tl2br w:val="nil"/>
              <w:tr2bl w:val="nil"/>
            </w:tcBorders>
            <w:vAlign w:val="center"/>
          </w:tcPr>
          <w:p>
            <w:pPr>
              <w:pStyle w:val="14"/>
              <w:spacing w:after="0" w:line="312" w:lineRule="exact"/>
              <w:ind w:firstLine="0" w:firstLineChars="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 w:hRule="atLeast"/>
        </w:trPr>
        <w:tc>
          <w:tcPr>
            <w:tcW w:w="1245" w:type="pct"/>
            <w:vMerge w:val="continue"/>
            <w:tcBorders>
              <w:tl2br w:val="nil"/>
              <w:tr2bl w:val="nil"/>
            </w:tcBorders>
            <w:vAlign w:val="center"/>
          </w:tcPr>
          <w:p>
            <w:pPr>
              <w:pStyle w:val="14"/>
              <w:spacing w:after="0" w:line="312" w:lineRule="exact"/>
              <w:ind w:firstLine="0" w:firstLineChars="0"/>
              <w:jc w:val="center"/>
              <w:rPr>
                <w:color w:val="auto"/>
                <w:sz w:val="21"/>
                <w:szCs w:val="21"/>
              </w:rPr>
            </w:pPr>
          </w:p>
        </w:tc>
        <w:tc>
          <w:tcPr>
            <w:tcW w:w="1253" w:type="pct"/>
            <w:vMerge w:val="restart"/>
            <w:tcBorders>
              <w:tl2br w:val="nil"/>
              <w:tr2bl w:val="nil"/>
            </w:tcBorders>
            <w:vAlign w:val="center"/>
          </w:tcPr>
          <w:p>
            <w:pPr>
              <w:pStyle w:val="14"/>
              <w:spacing w:after="0" w:line="312" w:lineRule="exact"/>
              <w:ind w:firstLine="0" w:firstLineChars="0"/>
              <w:jc w:val="center"/>
              <w:rPr>
                <w:color w:val="auto"/>
                <w:sz w:val="21"/>
                <w:szCs w:val="21"/>
              </w:rPr>
            </w:pPr>
            <w:r>
              <w:rPr>
                <w:color w:val="auto"/>
                <w:sz w:val="21"/>
                <w:szCs w:val="21"/>
              </w:rPr>
              <w:t>混合均匀度</w:t>
            </w:r>
          </w:p>
        </w:tc>
        <w:tc>
          <w:tcPr>
            <w:tcW w:w="1250" w:type="pct"/>
            <w:tcBorders>
              <w:tl2br w:val="nil"/>
              <w:tr2bl w:val="nil"/>
            </w:tcBorders>
            <w:vAlign w:val="center"/>
          </w:tcPr>
          <w:p>
            <w:pPr>
              <w:pStyle w:val="14"/>
              <w:spacing w:after="0" w:line="312" w:lineRule="exact"/>
              <w:ind w:firstLine="0" w:firstLineChars="0"/>
              <w:jc w:val="center"/>
              <w:rPr>
                <w:color w:val="auto"/>
                <w:sz w:val="21"/>
                <w:szCs w:val="21"/>
              </w:rPr>
            </w:pPr>
            <w:r>
              <w:rPr>
                <w:color w:val="auto"/>
                <w:sz w:val="21"/>
                <w:szCs w:val="21"/>
              </w:rPr>
              <w:t>固体</w:t>
            </w:r>
          </w:p>
        </w:tc>
        <w:tc>
          <w:tcPr>
            <w:tcW w:w="1250" w:type="pct"/>
            <w:tcBorders>
              <w:tl2br w:val="nil"/>
              <w:tr2bl w:val="nil"/>
            </w:tcBorders>
            <w:vAlign w:val="center"/>
          </w:tcPr>
          <w:p>
            <w:pPr>
              <w:pStyle w:val="14"/>
              <w:spacing w:after="0" w:line="312" w:lineRule="exact"/>
              <w:ind w:firstLine="0" w:firstLineChars="0"/>
              <w:jc w:val="center"/>
              <w:rPr>
                <w:color w:val="auto"/>
                <w:sz w:val="21"/>
                <w:szCs w:val="21"/>
              </w:rPr>
            </w:pPr>
            <w:r>
              <w:rPr>
                <w:color w:val="auto"/>
                <w:sz w:val="21"/>
                <w:szCs w:val="21"/>
              </w:rPr>
              <w:t>变异系数（CV）≤5%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 w:hRule="atLeast"/>
        </w:trPr>
        <w:tc>
          <w:tcPr>
            <w:tcW w:w="1245" w:type="pct"/>
            <w:vMerge w:val="continue"/>
            <w:tcBorders>
              <w:tl2br w:val="nil"/>
              <w:tr2bl w:val="nil"/>
            </w:tcBorders>
            <w:vAlign w:val="center"/>
          </w:tcPr>
          <w:p>
            <w:pPr>
              <w:pStyle w:val="14"/>
              <w:spacing w:after="0" w:line="312" w:lineRule="exact"/>
              <w:ind w:firstLine="0" w:firstLineChars="0"/>
              <w:jc w:val="center"/>
              <w:rPr>
                <w:color w:val="auto"/>
                <w:sz w:val="21"/>
                <w:szCs w:val="21"/>
              </w:rPr>
            </w:pPr>
          </w:p>
        </w:tc>
        <w:tc>
          <w:tcPr>
            <w:tcW w:w="1253" w:type="pct"/>
            <w:vMerge w:val="continue"/>
            <w:tcBorders>
              <w:tl2br w:val="nil"/>
              <w:tr2bl w:val="nil"/>
            </w:tcBorders>
            <w:vAlign w:val="center"/>
          </w:tcPr>
          <w:p>
            <w:pPr>
              <w:pStyle w:val="14"/>
              <w:spacing w:after="0" w:line="312" w:lineRule="exact"/>
              <w:ind w:firstLine="0" w:firstLineChars="0"/>
              <w:jc w:val="center"/>
              <w:rPr>
                <w:color w:val="auto"/>
                <w:sz w:val="21"/>
                <w:szCs w:val="21"/>
              </w:rPr>
            </w:pPr>
          </w:p>
        </w:tc>
        <w:tc>
          <w:tcPr>
            <w:tcW w:w="1250" w:type="pct"/>
            <w:tcBorders>
              <w:tl2br w:val="nil"/>
              <w:tr2bl w:val="nil"/>
            </w:tcBorders>
            <w:vAlign w:val="center"/>
          </w:tcPr>
          <w:p>
            <w:pPr>
              <w:pStyle w:val="14"/>
              <w:spacing w:after="0" w:line="312" w:lineRule="exact"/>
              <w:ind w:firstLine="0" w:firstLineChars="0"/>
              <w:jc w:val="center"/>
              <w:rPr>
                <w:color w:val="auto"/>
                <w:sz w:val="21"/>
                <w:szCs w:val="21"/>
              </w:rPr>
            </w:pPr>
            <w:r>
              <w:rPr>
                <w:color w:val="auto"/>
                <w:sz w:val="21"/>
                <w:szCs w:val="21"/>
              </w:rPr>
              <w:t>液体</w:t>
            </w:r>
          </w:p>
        </w:tc>
        <w:tc>
          <w:tcPr>
            <w:tcW w:w="1250" w:type="pct"/>
            <w:tcBorders>
              <w:tl2br w:val="nil"/>
              <w:tr2bl w:val="nil"/>
            </w:tcBorders>
            <w:vAlign w:val="center"/>
          </w:tcPr>
          <w:p>
            <w:pPr>
              <w:pStyle w:val="14"/>
              <w:spacing w:after="0" w:line="312" w:lineRule="exact"/>
              <w:ind w:firstLine="0" w:firstLineChars="0"/>
              <w:jc w:val="center"/>
              <w:rPr>
                <w:color w:val="auto"/>
                <w:sz w:val="21"/>
                <w:szCs w:val="21"/>
              </w:rPr>
            </w:pPr>
            <w:r>
              <w:rPr>
                <w:color w:val="auto"/>
                <w:sz w:val="21"/>
                <w:szCs w:val="21"/>
              </w:rPr>
              <w:t>均匀一致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5" w:type="pct"/>
            <w:vMerge w:val="continue"/>
            <w:tcBorders>
              <w:tl2br w:val="nil"/>
              <w:tr2bl w:val="nil"/>
            </w:tcBorders>
            <w:vAlign w:val="center"/>
          </w:tcPr>
          <w:p>
            <w:pPr>
              <w:pStyle w:val="14"/>
              <w:spacing w:after="0" w:line="312" w:lineRule="exact"/>
              <w:ind w:firstLine="0" w:firstLineChars="0"/>
              <w:jc w:val="center"/>
              <w:rPr>
                <w:color w:val="auto"/>
                <w:sz w:val="21"/>
                <w:szCs w:val="21"/>
              </w:rPr>
            </w:pPr>
          </w:p>
        </w:tc>
        <w:tc>
          <w:tcPr>
            <w:tcW w:w="1253" w:type="pct"/>
            <w:vMerge w:val="restart"/>
            <w:tcBorders>
              <w:tl2br w:val="nil"/>
              <w:tr2bl w:val="nil"/>
            </w:tcBorders>
            <w:vAlign w:val="center"/>
          </w:tcPr>
          <w:p>
            <w:pPr>
              <w:pStyle w:val="14"/>
              <w:spacing w:after="0" w:line="312" w:lineRule="exact"/>
              <w:ind w:firstLine="0" w:firstLineChars="0"/>
              <w:jc w:val="center"/>
              <w:rPr>
                <w:color w:val="auto"/>
                <w:sz w:val="21"/>
                <w:szCs w:val="21"/>
              </w:rPr>
            </w:pPr>
            <w:r>
              <w:rPr>
                <w:color w:val="auto"/>
                <w:sz w:val="21"/>
                <w:szCs w:val="21"/>
              </w:rPr>
              <w:t>有机酸含量</w:t>
            </w:r>
          </w:p>
        </w:tc>
        <w:tc>
          <w:tcPr>
            <w:tcW w:w="1250" w:type="pct"/>
            <w:tcBorders>
              <w:tl2br w:val="nil"/>
              <w:tr2bl w:val="nil"/>
            </w:tcBorders>
            <w:vAlign w:val="center"/>
          </w:tcPr>
          <w:p>
            <w:pPr>
              <w:pStyle w:val="14"/>
              <w:spacing w:after="0" w:line="312" w:lineRule="exact"/>
              <w:ind w:firstLine="0" w:firstLineChars="0"/>
              <w:jc w:val="center"/>
              <w:rPr>
                <w:color w:val="auto"/>
                <w:sz w:val="21"/>
                <w:szCs w:val="21"/>
              </w:rPr>
            </w:pPr>
            <w:r>
              <w:rPr>
                <w:color w:val="auto"/>
                <w:sz w:val="21"/>
                <w:szCs w:val="21"/>
              </w:rPr>
              <w:t>固体</w:t>
            </w:r>
          </w:p>
        </w:tc>
        <w:tc>
          <w:tcPr>
            <w:tcW w:w="1250" w:type="pct"/>
            <w:tcBorders>
              <w:tl2br w:val="nil"/>
              <w:tr2bl w:val="nil"/>
            </w:tcBorders>
            <w:vAlign w:val="center"/>
          </w:tcPr>
          <w:p>
            <w:pPr>
              <w:pStyle w:val="14"/>
              <w:spacing w:after="0" w:line="312" w:lineRule="exact"/>
              <w:ind w:firstLine="0" w:firstLineChars="0"/>
              <w:jc w:val="center"/>
              <w:rPr>
                <w:color w:val="auto"/>
                <w:sz w:val="21"/>
                <w:szCs w:val="21"/>
              </w:rPr>
            </w:pPr>
            <w:r>
              <w:rPr>
                <w:color w:val="auto"/>
                <w:sz w:val="21"/>
                <w:szCs w:val="21"/>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1245" w:type="pct"/>
            <w:vMerge w:val="continue"/>
            <w:tcBorders>
              <w:tl2br w:val="nil"/>
              <w:tr2bl w:val="nil"/>
            </w:tcBorders>
            <w:vAlign w:val="center"/>
          </w:tcPr>
          <w:p>
            <w:pPr>
              <w:pStyle w:val="14"/>
              <w:spacing w:after="0" w:line="312" w:lineRule="exact"/>
              <w:ind w:firstLine="0" w:firstLineChars="0"/>
              <w:jc w:val="center"/>
              <w:rPr>
                <w:color w:val="auto"/>
                <w:sz w:val="21"/>
                <w:szCs w:val="21"/>
              </w:rPr>
            </w:pPr>
          </w:p>
        </w:tc>
        <w:tc>
          <w:tcPr>
            <w:tcW w:w="1253" w:type="pct"/>
            <w:vMerge w:val="continue"/>
            <w:tcBorders>
              <w:tl2br w:val="nil"/>
              <w:tr2bl w:val="nil"/>
            </w:tcBorders>
            <w:vAlign w:val="center"/>
          </w:tcPr>
          <w:p>
            <w:pPr>
              <w:pStyle w:val="14"/>
              <w:spacing w:after="0" w:line="312" w:lineRule="exact"/>
              <w:ind w:firstLine="420"/>
              <w:jc w:val="center"/>
              <w:rPr>
                <w:color w:val="auto"/>
                <w:sz w:val="21"/>
                <w:szCs w:val="21"/>
              </w:rPr>
            </w:pPr>
          </w:p>
        </w:tc>
        <w:tc>
          <w:tcPr>
            <w:tcW w:w="1250" w:type="pct"/>
            <w:tcBorders>
              <w:tl2br w:val="nil"/>
              <w:tr2bl w:val="nil"/>
            </w:tcBorders>
            <w:vAlign w:val="center"/>
          </w:tcPr>
          <w:p>
            <w:pPr>
              <w:pStyle w:val="14"/>
              <w:spacing w:after="0" w:line="312" w:lineRule="exact"/>
              <w:ind w:firstLine="0" w:firstLineChars="0"/>
              <w:jc w:val="center"/>
              <w:rPr>
                <w:color w:val="auto"/>
                <w:sz w:val="21"/>
                <w:szCs w:val="21"/>
              </w:rPr>
            </w:pPr>
            <w:r>
              <w:rPr>
                <w:color w:val="auto"/>
                <w:sz w:val="21"/>
                <w:szCs w:val="21"/>
              </w:rPr>
              <w:t>液体</w:t>
            </w:r>
          </w:p>
        </w:tc>
        <w:tc>
          <w:tcPr>
            <w:tcW w:w="1250" w:type="pct"/>
            <w:tcBorders>
              <w:tl2br w:val="nil"/>
              <w:tr2bl w:val="nil"/>
            </w:tcBorders>
            <w:vAlign w:val="center"/>
          </w:tcPr>
          <w:p>
            <w:pPr>
              <w:pStyle w:val="14"/>
              <w:spacing w:after="0" w:line="312" w:lineRule="exact"/>
              <w:ind w:firstLine="0" w:firstLineChars="0"/>
              <w:jc w:val="center"/>
              <w:rPr>
                <w:color w:val="auto"/>
                <w:sz w:val="21"/>
                <w:szCs w:val="21"/>
              </w:rPr>
            </w:pPr>
            <w:r>
              <w:rPr>
                <w:color w:val="auto"/>
                <w:sz w:val="21"/>
                <w:szCs w:val="21"/>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1245" w:type="pct"/>
            <w:vMerge w:val="continue"/>
            <w:tcBorders>
              <w:tl2br w:val="nil"/>
              <w:tr2bl w:val="nil"/>
            </w:tcBorders>
            <w:vAlign w:val="center"/>
          </w:tcPr>
          <w:p>
            <w:pPr>
              <w:pStyle w:val="14"/>
              <w:spacing w:after="0" w:line="312" w:lineRule="exact"/>
              <w:ind w:firstLine="0" w:firstLineChars="0"/>
              <w:jc w:val="center"/>
              <w:rPr>
                <w:color w:val="auto"/>
                <w:sz w:val="21"/>
                <w:szCs w:val="21"/>
              </w:rPr>
            </w:pPr>
          </w:p>
        </w:tc>
        <w:tc>
          <w:tcPr>
            <w:tcW w:w="1253" w:type="pct"/>
            <w:vMerge w:val="continue"/>
            <w:tcBorders>
              <w:tl2br w:val="nil"/>
              <w:tr2bl w:val="nil"/>
            </w:tcBorders>
            <w:vAlign w:val="center"/>
          </w:tcPr>
          <w:p>
            <w:pPr>
              <w:pStyle w:val="14"/>
              <w:spacing w:after="0" w:line="312" w:lineRule="exact"/>
              <w:ind w:firstLine="420"/>
              <w:jc w:val="center"/>
              <w:rPr>
                <w:color w:val="auto"/>
                <w:sz w:val="21"/>
                <w:szCs w:val="21"/>
              </w:rPr>
            </w:pPr>
          </w:p>
        </w:tc>
        <w:tc>
          <w:tcPr>
            <w:tcW w:w="2501" w:type="pct"/>
            <w:gridSpan w:val="2"/>
            <w:tcBorders>
              <w:tl2br w:val="nil"/>
              <w:tr2bl w:val="nil"/>
            </w:tcBorders>
            <w:vAlign w:val="center"/>
          </w:tcPr>
          <w:p>
            <w:pPr>
              <w:pStyle w:val="14"/>
              <w:spacing w:after="0" w:line="312" w:lineRule="exact"/>
              <w:ind w:firstLine="420"/>
              <w:jc w:val="center"/>
              <w:rPr>
                <w:color w:val="auto"/>
                <w:sz w:val="21"/>
                <w:szCs w:val="21"/>
              </w:rPr>
            </w:pPr>
            <w:r>
              <w:rPr>
                <w:color w:val="auto"/>
                <w:sz w:val="21"/>
                <w:szCs w:val="21"/>
              </w:rPr>
              <w:t>有机酸含量不应低于标示量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1245" w:type="pct"/>
            <w:vMerge w:val="restart"/>
            <w:tcBorders>
              <w:tl2br w:val="nil"/>
              <w:tr2bl w:val="nil"/>
            </w:tcBorders>
            <w:vAlign w:val="center"/>
          </w:tcPr>
          <w:p>
            <w:pPr>
              <w:pStyle w:val="14"/>
              <w:spacing w:after="0" w:line="312" w:lineRule="exact"/>
              <w:ind w:firstLine="0" w:firstLineChars="0"/>
              <w:jc w:val="center"/>
              <w:rPr>
                <w:color w:val="auto"/>
                <w:sz w:val="21"/>
                <w:szCs w:val="21"/>
              </w:rPr>
            </w:pPr>
            <w:r>
              <w:rPr>
                <w:rFonts w:hint="eastAsia"/>
                <w:color w:val="auto"/>
                <w:sz w:val="21"/>
                <w:szCs w:val="21"/>
              </w:rPr>
              <w:t>重金属和游离化合物含量指标</w:t>
            </w:r>
          </w:p>
        </w:tc>
        <w:tc>
          <w:tcPr>
            <w:tcW w:w="1253" w:type="pct"/>
            <w:tcBorders>
              <w:tl2br w:val="nil"/>
              <w:tr2bl w:val="nil"/>
            </w:tcBorders>
            <w:vAlign w:val="center"/>
          </w:tcPr>
          <w:p>
            <w:pPr>
              <w:pStyle w:val="14"/>
              <w:spacing w:after="0" w:line="312" w:lineRule="exact"/>
              <w:ind w:firstLine="0" w:firstLineChars="0"/>
              <w:jc w:val="center"/>
              <w:rPr>
                <w:color w:val="auto"/>
                <w:sz w:val="21"/>
                <w:szCs w:val="21"/>
              </w:rPr>
            </w:pPr>
            <w:r>
              <w:rPr>
                <w:rFonts w:hint="eastAsia"/>
                <w:color w:val="auto"/>
                <w:sz w:val="21"/>
                <w:szCs w:val="21"/>
              </w:rPr>
              <w:t>砷（以As计）</w:t>
            </w:r>
          </w:p>
        </w:tc>
        <w:tc>
          <w:tcPr>
            <w:tcW w:w="2501" w:type="pct"/>
            <w:gridSpan w:val="2"/>
            <w:tcBorders>
              <w:tl2br w:val="nil"/>
              <w:tr2bl w:val="nil"/>
            </w:tcBorders>
            <w:vAlign w:val="center"/>
          </w:tcPr>
          <w:p>
            <w:pPr>
              <w:pStyle w:val="14"/>
              <w:spacing w:after="0" w:line="312" w:lineRule="exact"/>
              <w:ind w:firstLine="0" w:firstLineChars="0"/>
              <w:jc w:val="center"/>
              <w:rPr>
                <w:color w:val="auto"/>
                <w:sz w:val="21"/>
                <w:szCs w:val="21"/>
              </w:rPr>
            </w:pPr>
            <w:r>
              <w:rPr>
                <w:rFonts w:hint="eastAsia"/>
                <w:color w:val="auto"/>
                <w:sz w:val="21"/>
                <w:szCs w:val="21"/>
              </w:rPr>
              <w:t>≤0.0002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1245" w:type="pct"/>
            <w:vMerge w:val="continue"/>
            <w:tcBorders>
              <w:tl2br w:val="nil"/>
              <w:tr2bl w:val="nil"/>
            </w:tcBorders>
            <w:vAlign w:val="center"/>
          </w:tcPr>
          <w:p>
            <w:pPr>
              <w:pStyle w:val="14"/>
              <w:spacing w:after="0" w:line="312" w:lineRule="exact"/>
              <w:ind w:firstLine="0" w:firstLineChars="0"/>
              <w:jc w:val="center"/>
              <w:rPr>
                <w:color w:val="auto"/>
                <w:sz w:val="21"/>
                <w:szCs w:val="21"/>
              </w:rPr>
            </w:pPr>
          </w:p>
        </w:tc>
        <w:tc>
          <w:tcPr>
            <w:tcW w:w="1253" w:type="pct"/>
            <w:tcBorders>
              <w:tl2br w:val="nil"/>
              <w:tr2bl w:val="nil"/>
            </w:tcBorders>
            <w:vAlign w:val="center"/>
          </w:tcPr>
          <w:p>
            <w:pPr>
              <w:pStyle w:val="14"/>
              <w:spacing w:after="0" w:line="312" w:lineRule="exact"/>
              <w:ind w:firstLine="0" w:firstLineChars="0"/>
              <w:jc w:val="center"/>
              <w:rPr>
                <w:color w:val="auto"/>
                <w:sz w:val="21"/>
                <w:szCs w:val="21"/>
              </w:rPr>
            </w:pPr>
            <w:r>
              <w:rPr>
                <w:rFonts w:hint="eastAsia"/>
                <w:color w:val="auto"/>
                <w:sz w:val="21"/>
                <w:szCs w:val="21"/>
              </w:rPr>
              <w:t>铅（以Pb计）</w:t>
            </w:r>
          </w:p>
        </w:tc>
        <w:tc>
          <w:tcPr>
            <w:tcW w:w="2501" w:type="pct"/>
            <w:gridSpan w:val="2"/>
            <w:tcBorders>
              <w:tl2br w:val="nil"/>
              <w:tr2bl w:val="nil"/>
            </w:tcBorders>
            <w:vAlign w:val="center"/>
          </w:tcPr>
          <w:p>
            <w:pPr>
              <w:pStyle w:val="14"/>
              <w:spacing w:after="0" w:line="312" w:lineRule="exact"/>
              <w:ind w:firstLine="0" w:firstLineChars="0"/>
              <w:jc w:val="center"/>
              <w:rPr>
                <w:color w:val="auto"/>
                <w:sz w:val="21"/>
                <w:szCs w:val="21"/>
              </w:rPr>
            </w:pPr>
            <w:r>
              <w:rPr>
                <w:rFonts w:hint="eastAsia"/>
                <w:color w:val="auto"/>
                <w:sz w:val="21"/>
                <w:szCs w:val="21"/>
              </w:rPr>
              <w:t>≤0.0005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1245" w:type="pct"/>
            <w:vMerge w:val="continue"/>
            <w:tcBorders>
              <w:tl2br w:val="nil"/>
              <w:tr2bl w:val="nil"/>
            </w:tcBorders>
            <w:vAlign w:val="center"/>
          </w:tcPr>
          <w:p>
            <w:pPr>
              <w:pStyle w:val="14"/>
              <w:spacing w:after="0" w:line="312" w:lineRule="exact"/>
              <w:ind w:firstLine="0" w:firstLineChars="0"/>
              <w:jc w:val="center"/>
              <w:rPr>
                <w:color w:val="auto"/>
                <w:sz w:val="21"/>
                <w:szCs w:val="21"/>
              </w:rPr>
            </w:pPr>
          </w:p>
        </w:tc>
        <w:tc>
          <w:tcPr>
            <w:tcW w:w="1253" w:type="pct"/>
            <w:tcBorders>
              <w:tl2br w:val="nil"/>
              <w:tr2bl w:val="nil"/>
            </w:tcBorders>
            <w:vAlign w:val="center"/>
          </w:tcPr>
          <w:p>
            <w:pPr>
              <w:pStyle w:val="14"/>
              <w:spacing w:after="0" w:line="312" w:lineRule="exact"/>
              <w:ind w:firstLine="0" w:firstLineChars="0"/>
              <w:jc w:val="center"/>
              <w:rPr>
                <w:color w:val="auto"/>
                <w:sz w:val="21"/>
                <w:szCs w:val="21"/>
              </w:rPr>
            </w:pPr>
            <w:r>
              <w:rPr>
                <w:rFonts w:hint="eastAsia"/>
                <w:color w:val="auto"/>
                <w:sz w:val="21"/>
                <w:szCs w:val="21"/>
              </w:rPr>
              <w:t>氟（以F计）</w:t>
            </w:r>
          </w:p>
        </w:tc>
        <w:tc>
          <w:tcPr>
            <w:tcW w:w="2501" w:type="pct"/>
            <w:gridSpan w:val="2"/>
            <w:tcBorders>
              <w:tl2br w:val="nil"/>
              <w:tr2bl w:val="nil"/>
            </w:tcBorders>
            <w:vAlign w:val="center"/>
          </w:tcPr>
          <w:p>
            <w:pPr>
              <w:pStyle w:val="14"/>
              <w:spacing w:after="0" w:line="312" w:lineRule="exact"/>
              <w:ind w:firstLine="0" w:firstLineChars="0"/>
              <w:jc w:val="center"/>
              <w:rPr>
                <w:color w:val="auto"/>
                <w:sz w:val="21"/>
                <w:szCs w:val="21"/>
              </w:rPr>
            </w:pPr>
            <w:r>
              <w:rPr>
                <w:rFonts w:hint="eastAsia"/>
                <w:color w:val="auto"/>
                <w:sz w:val="21"/>
                <w:szCs w:val="21"/>
              </w:rPr>
              <w:t>≤0.0100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245" w:type="pct"/>
            <w:vMerge w:val="continue"/>
            <w:tcBorders>
              <w:tl2br w:val="nil"/>
              <w:tr2bl w:val="nil"/>
            </w:tcBorders>
            <w:vAlign w:val="center"/>
          </w:tcPr>
          <w:p>
            <w:pPr>
              <w:pStyle w:val="14"/>
              <w:spacing w:after="0" w:line="312" w:lineRule="exact"/>
              <w:ind w:firstLine="0" w:firstLineChars="0"/>
              <w:jc w:val="center"/>
              <w:rPr>
                <w:color w:val="auto"/>
                <w:sz w:val="21"/>
                <w:szCs w:val="21"/>
              </w:rPr>
            </w:pPr>
          </w:p>
        </w:tc>
        <w:tc>
          <w:tcPr>
            <w:tcW w:w="1253" w:type="pct"/>
            <w:tcBorders>
              <w:tl2br w:val="nil"/>
              <w:tr2bl w:val="nil"/>
            </w:tcBorders>
            <w:vAlign w:val="center"/>
          </w:tcPr>
          <w:p>
            <w:pPr>
              <w:pStyle w:val="14"/>
              <w:spacing w:after="0" w:line="312" w:lineRule="exact"/>
              <w:ind w:firstLine="0" w:firstLineChars="0"/>
              <w:jc w:val="center"/>
              <w:rPr>
                <w:color w:val="auto"/>
                <w:sz w:val="21"/>
                <w:szCs w:val="21"/>
              </w:rPr>
            </w:pPr>
            <w:r>
              <w:rPr>
                <w:rFonts w:hint="eastAsia"/>
                <w:color w:val="auto"/>
                <w:sz w:val="21"/>
                <w:szCs w:val="21"/>
              </w:rPr>
              <w:t>磷酸盐（以P计）</w:t>
            </w:r>
          </w:p>
        </w:tc>
        <w:tc>
          <w:tcPr>
            <w:tcW w:w="2501" w:type="pct"/>
            <w:gridSpan w:val="2"/>
            <w:tcBorders>
              <w:tl2br w:val="nil"/>
              <w:tr2bl w:val="nil"/>
            </w:tcBorders>
            <w:vAlign w:val="center"/>
          </w:tcPr>
          <w:p>
            <w:pPr>
              <w:pStyle w:val="14"/>
              <w:spacing w:after="0" w:line="312" w:lineRule="exact"/>
              <w:ind w:firstLine="0" w:firstLineChars="0"/>
              <w:jc w:val="center"/>
              <w:rPr>
                <w:color w:val="auto"/>
                <w:sz w:val="21"/>
                <w:szCs w:val="21"/>
              </w:rPr>
            </w:pPr>
            <w:r>
              <w:rPr>
                <w:rFonts w:hint="eastAsia"/>
                <w:color w:val="auto"/>
                <w:sz w:val="21"/>
                <w:szCs w:val="21"/>
              </w:rPr>
              <w:t>≤0.50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1245" w:type="pct"/>
            <w:vMerge w:val="continue"/>
            <w:tcBorders>
              <w:tl2br w:val="nil"/>
              <w:tr2bl w:val="nil"/>
            </w:tcBorders>
            <w:vAlign w:val="center"/>
          </w:tcPr>
          <w:p>
            <w:pPr>
              <w:pStyle w:val="14"/>
              <w:spacing w:after="0" w:line="312" w:lineRule="exact"/>
              <w:ind w:firstLine="0" w:firstLineChars="0"/>
              <w:jc w:val="center"/>
              <w:rPr>
                <w:color w:val="auto"/>
                <w:sz w:val="21"/>
                <w:szCs w:val="21"/>
              </w:rPr>
            </w:pPr>
          </w:p>
        </w:tc>
        <w:tc>
          <w:tcPr>
            <w:tcW w:w="1253" w:type="pct"/>
            <w:tcBorders>
              <w:tl2br w:val="nil"/>
              <w:tr2bl w:val="nil"/>
            </w:tcBorders>
            <w:vAlign w:val="center"/>
          </w:tcPr>
          <w:p>
            <w:pPr>
              <w:pStyle w:val="14"/>
              <w:spacing w:after="0" w:line="312" w:lineRule="exact"/>
              <w:ind w:firstLine="0" w:firstLineChars="0"/>
              <w:jc w:val="center"/>
              <w:rPr>
                <w:color w:val="auto"/>
                <w:sz w:val="21"/>
                <w:szCs w:val="21"/>
              </w:rPr>
            </w:pPr>
            <w:r>
              <w:rPr>
                <w:rFonts w:hint="eastAsia"/>
                <w:color w:val="auto"/>
                <w:sz w:val="21"/>
                <w:szCs w:val="21"/>
              </w:rPr>
              <w:t>氯化物（以Cl</w:t>
            </w:r>
            <w:r>
              <w:rPr>
                <w:rFonts w:hint="eastAsia"/>
                <w:color w:val="auto"/>
                <w:sz w:val="21"/>
                <w:szCs w:val="21"/>
                <w:vertAlign w:val="superscript"/>
              </w:rPr>
              <w:t>-</w:t>
            </w:r>
            <w:r>
              <w:rPr>
                <w:rFonts w:hint="eastAsia"/>
                <w:color w:val="auto"/>
                <w:sz w:val="21"/>
                <w:szCs w:val="21"/>
              </w:rPr>
              <w:t>计）</w:t>
            </w:r>
          </w:p>
        </w:tc>
        <w:tc>
          <w:tcPr>
            <w:tcW w:w="2501" w:type="pct"/>
            <w:gridSpan w:val="2"/>
            <w:tcBorders>
              <w:tl2br w:val="nil"/>
              <w:tr2bl w:val="nil"/>
            </w:tcBorders>
            <w:vAlign w:val="center"/>
          </w:tcPr>
          <w:p>
            <w:pPr>
              <w:pStyle w:val="14"/>
              <w:spacing w:after="0" w:line="312" w:lineRule="exact"/>
              <w:ind w:firstLine="0" w:firstLineChars="0"/>
              <w:jc w:val="center"/>
              <w:rPr>
                <w:color w:val="auto"/>
                <w:sz w:val="21"/>
                <w:szCs w:val="21"/>
              </w:rPr>
            </w:pPr>
            <w:r>
              <w:rPr>
                <w:rFonts w:hint="eastAsia"/>
                <w:color w:val="auto"/>
                <w:sz w:val="21"/>
                <w:szCs w:val="21"/>
              </w:rPr>
              <w:t>≤0.0180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1245" w:type="pct"/>
            <w:vMerge w:val="continue"/>
            <w:tcBorders>
              <w:tl2br w:val="nil"/>
              <w:tr2bl w:val="nil"/>
            </w:tcBorders>
            <w:vAlign w:val="center"/>
          </w:tcPr>
          <w:p>
            <w:pPr>
              <w:pStyle w:val="14"/>
              <w:spacing w:after="0" w:line="312" w:lineRule="exact"/>
              <w:ind w:firstLine="0" w:firstLineChars="0"/>
              <w:jc w:val="center"/>
              <w:rPr>
                <w:color w:val="auto"/>
                <w:sz w:val="21"/>
                <w:szCs w:val="21"/>
              </w:rPr>
            </w:pPr>
          </w:p>
        </w:tc>
        <w:tc>
          <w:tcPr>
            <w:tcW w:w="1253" w:type="pct"/>
            <w:tcBorders>
              <w:tl2br w:val="nil"/>
              <w:tr2bl w:val="nil"/>
            </w:tcBorders>
            <w:vAlign w:val="center"/>
          </w:tcPr>
          <w:p>
            <w:pPr>
              <w:pStyle w:val="14"/>
              <w:spacing w:after="0" w:line="312" w:lineRule="exact"/>
              <w:ind w:firstLine="0" w:firstLineChars="0"/>
              <w:jc w:val="center"/>
              <w:rPr>
                <w:color w:val="auto"/>
                <w:sz w:val="21"/>
                <w:szCs w:val="21"/>
              </w:rPr>
            </w:pPr>
            <w:r>
              <w:rPr>
                <w:rFonts w:hint="eastAsia"/>
                <w:color w:val="auto"/>
                <w:sz w:val="21"/>
                <w:szCs w:val="21"/>
              </w:rPr>
              <w:t>硫酸盐（以SO</w:t>
            </w:r>
            <w:r>
              <w:rPr>
                <w:rFonts w:hint="eastAsia"/>
                <w:color w:val="auto"/>
                <w:sz w:val="21"/>
                <w:szCs w:val="21"/>
                <w:vertAlign w:val="subscript"/>
              </w:rPr>
              <w:t>4</w:t>
            </w:r>
            <w:r>
              <w:rPr>
                <w:rFonts w:hint="eastAsia"/>
                <w:color w:val="auto"/>
                <w:sz w:val="21"/>
                <w:szCs w:val="21"/>
                <w:vertAlign w:val="superscript"/>
              </w:rPr>
              <w:t>2-</w:t>
            </w:r>
            <w:r>
              <w:rPr>
                <w:rFonts w:hint="eastAsia"/>
                <w:color w:val="auto"/>
                <w:sz w:val="21"/>
                <w:szCs w:val="21"/>
              </w:rPr>
              <w:t>计）</w:t>
            </w:r>
          </w:p>
        </w:tc>
        <w:tc>
          <w:tcPr>
            <w:tcW w:w="2501" w:type="pct"/>
            <w:gridSpan w:val="2"/>
            <w:tcBorders>
              <w:tl2br w:val="nil"/>
              <w:tr2bl w:val="nil"/>
            </w:tcBorders>
            <w:vAlign w:val="center"/>
          </w:tcPr>
          <w:p>
            <w:pPr>
              <w:pStyle w:val="14"/>
              <w:spacing w:after="0" w:line="312" w:lineRule="exact"/>
              <w:ind w:firstLine="0" w:firstLineChars="0"/>
              <w:jc w:val="center"/>
              <w:rPr>
                <w:color w:val="auto"/>
                <w:sz w:val="21"/>
                <w:szCs w:val="21"/>
              </w:rPr>
            </w:pPr>
            <w:r>
              <w:rPr>
                <w:rFonts w:hint="eastAsia"/>
                <w:color w:val="auto"/>
                <w:sz w:val="21"/>
                <w:szCs w:val="21"/>
              </w:rPr>
              <w:t>≤0.0400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5000" w:type="pct"/>
            <w:gridSpan w:val="4"/>
            <w:tcBorders>
              <w:tl2br w:val="nil"/>
              <w:tr2bl w:val="nil"/>
            </w:tcBorders>
            <w:vAlign w:val="center"/>
          </w:tcPr>
          <w:p>
            <w:pPr>
              <w:pStyle w:val="14"/>
              <w:spacing w:after="0" w:line="312" w:lineRule="exact"/>
              <w:ind w:firstLine="0" w:firstLineChars="0"/>
              <w:jc w:val="both"/>
              <w:rPr>
                <w:rFonts w:hint="eastAsia"/>
                <w:color w:val="auto"/>
                <w:sz w:val="21"/>
                <w:szCs w:val="21"/>
                <w:lang w:val="en-US" w:eastAsia="zh-CN"/>
              </w:rPr>
            </w:pPr>
            <w:r>
              <w:rPr>
                <w:rFonts w:hint="eastAsia"/>
                <w:color w:val="auto"/>
                <w:sz w:val="21"/>
                <w:szCs w:val="21"/>
                <w:lang w:val="en-US" w:eastAsia="zh-CN"/>
              </w:rPr>
              <w:t>注：本标准规定了饲料有机酸乳酸、柠檬酸、富马酸等的技术指标、检测方法、检验规则、标签、包装、运输和贮存要求。</w:t>
            </w:r>
          </w:p>
          <w:p>
            <w:pPr>
              <w:pStyle w:val="14"/>
              <w:spacing w:after="0" w:line="312" w:lineRule="exact"/>
              <w:ind w:firstLine="0" w:firstLineChars="0"/>
              <w:jc w:val="both"/>
              <w:rPr>
                <w:rFonts w:hint="default" w:eastAsia="宋体"/>
                <w:color w:val="auto"/>
                <w:sz w:val="21"/>
                <w:szCs w:val="21"/>
                <w:lang w:val="en-US" w:eastAsia="zh-CN"/>
              </w:rPr>
            </w:pPr>
            <w:r>
              <w:rPr>
                <w:rFonts w:hint="eastAsia"/>
                <w:color w:val="auto"/>
                <w:sz w:val="21"/>
                <w:szCs w:val="21"/>
                <w:lang w:val="en-US" w:eastAsia="zh-CN"/>
              </w:rPr>
              <w:t>本标准适用于利用单一有机酸调节剂制成的能够提高配合饲料酸度（pH值降低），或者改善青贮饲料品质的均匀混合物。</w:t>
            </w:r>
          </w:p>
        </w:tc>
      </w:tr>
    </w:tbl>
    <w:p>
      <w:pPr>
        <w:pStyle w:val="9"/>
        <w:adjustRightInd w:val="0"/>
        <w:snapToGrid w:val="0"/>
        <w:spacing w:before="0" w:beforeLines="0" w:after="0" w:afterLines="0"/>
        <w:jc w:val="left"/>
        <w:rPr>
          <w:b w:val="0"/>
          <w:bCs w:val="0"/>
          <w:color w:val="auto"/>
          <w:szCs w:val="32"/>
        </w:rPr>
      </w:pPr>
      <w:r>
        <w:rPr>
          <w:rFonts w:hint="eastAsia"/>
          <w:b w:val="0"/>
          <w:bCs w:val="0"/>
          <w:color w:val="auto"/>
          <w:szCs w:val="32"/>
        </w:rPr>
        <w:t>2.2.3 厂区平面布置及周边环境</w:t>
      </w:r>
    </w:p>
    <w:p>
      <w:pPr>
        <w:pStyle w:val="14"/>
        <w:spacing w:after="0"/>
        <w:ind w:firstLine="480"/>
        <w:rPr>
          <w:color w:val="auto"/>
        </w:rPr>
      </w:pPr>
      <w:r>
        <w:rPr>
          <w:rFonts w:hint="eastAsia"/>
          <w:color w:val="auto"/>
        </w:rPr>
        <w:t>1、总平面布置</w:t>
      </w:r>
    </w:p>
    <w:p>
      <w:pPr>
        <w:pStyle w:val="14"/>
        <w:spacing w:after="0"/>
        <w:ind w:firstLine="480"/>
        <w:rPr>
          <w:color w:val="auto"/>
        </w:rPr>
      </w:pPr>
      <w:r>
        <w:rPr>
          <w:color w:val="auto"/>
          <w:szCs w:val="24"/>
        </w:rPr>
        <w:t>山东朗净新材料科技有限公司</w:t>
      </w:r>
      <w:r>
        <w:rPr>
          <w:rFonts w:hint="eastAsia"/>
          <w:color w:val="auto"/>
          <w:szCs w:val="24"/>
        </w:rPr>
        <w:t>总占地面积13443.00m</w:t>
      </w:r>
      <w:r>
        <w:rPr>
          <w:rFonts w:hint="eastAsia"/>
          <w:color w:val="auto"/>
          <w:szCs w:val="24"/>
          <w:vertAlign w:val="superscript"/>
        </w:rPr>
        <w:t>2</w:t>
      </w:r>
      <w:r>
        <w:rPr>
          <w:rFonts w:hint="eastAsia"/>
          <w:color w:val="auto"/>
          <w:szCs w:val="24"/>
        </w:rPr>
        <w:t>，其中建筑面积约7000m</w:t>
      </w:r>
      <w:r>
        <w:rPr>
          <w:rFonts w:hint="eastAsia"/>
          <w:color w:val="auto"/>
          <w:szCs w:val="24"/>
          <w:vertAlign w:val="superscript"/>
        </w:rPr>
        <w:t>2</w:t>
      </w:r>
      <w:r>
        <w:rPr>
          <w:rFonts w:hint="eastAsia"/>
          <w:color w:val="auto"/>
          <w:szCs w:val="24"/>
        </w:rPr>
        <w:t>，厂区形状大体长方形，</w:t>
      </w:r>
      <w:r>
        <w:rPr>
          <w:color w:val="auto"/>
        </w:rPr>
        <w:t>南北长，东西略窄。厂内一条贯穿南北道路将厂区分为东西两部分，</w:t>
      </w:r>
      <w:r>
        <w:rPr>
          <w:rFonts w:hint="eastAsia"/>
          <w:color w:val="auto"/>
        </w:rPr>
        <w:t>东部为1号厂房，由北向南依次为配电室、生产装置区</w:t>
      </w:r>
      <w:r>
        <w:rPr>
          <w:rFonts w:hint="eastAsia"/>
          <w:color w:val="auto"/>
          <w:lang w:eastAsia="zh-CN"/>
        </w:rPr>
        <w:t>、</w:t>
      </w:r>
      <w:r>
        <w:rPr>
          <w:rFonts w:hint="eastAsia"/>
          <w:color w:val="auto"/>
          <w:lang w:val="en-US" w:eastAsia="zh-CN"/>
        </w:rPr>
        <w:t>锅炉房</w:t>
      </w:r>
      <w:r>
        <w:rPr>
          <w:rFonts w:hint="eastAsia"/>
          <w:color w:val="auto"/>
        </w:rPr>
        <w:t>。西部由北向南依次为2号厂房、</w:t>
      </w:r>
      <w:r>
        <w:rPr>
          <w:rFonts w:hint="eastAsia"/>
          <w:color w:val="auto"/>
          <w:lang w:val="en-US" w:eastAsia="zh-CN"/>
        </w:rPr>
        <w:t>乳酸罐区与污水处理站</w:t>
      </w:r>
      <w:r>
        <w:rPr>
          <w:rFonts w:hint="eastAsia"/>
          <w:color w:val="auto"/>
        </w:rPr>
        <w:t>、地下消防水池；其中原料罐区位于</w:t>
      </w:r>
      <w:r>
        <w:rPr>
          <w:rFonts w:hint="eastAsia"/>
          <w:color w:val="auto"/>
          <w:lang w:val="en-US" w:eastAsia="zh-CN"/>
        </w:rPr>
        <w:t>污水处理站东侧</w:t>
      </w:r>
      <w:r>
        <w:rPr>
          <w:rFonts w:hint="eastAsia"/>
          <w:color w:val="auto"/>
        </w:rPr>
        <w:t>。厂区主要出入口位于厂区北侧，厂区西侧设有一次要出入口。</w:t>
      </w:r>
      <w:r>
        <w:rPr>
          <w:color w:val="auto"/>
        </w:rPr>
        <w:t>厂区布局整体布置紧凑，有利于生产管理，平面布置比较合理。厂区平面布置见图</w:t>
      </w:r>
      <w:r>
        <w:rPr>
          <w:rFonts w:hint="eastAsia"/>
          <w:color w:val="auto"/>
        </w:rPr>
        <w:t>2.2</w:t>
      </w:r>
      <w:r>
        <w:rPr>
          <w:color w:val="auto"/>
        </w:rPr>
        <w:t>-1。</w:t>
      </w:r>
    </w:p>
    <w:p>
      <w:pPr>
        <w:pStyle w:val="14"/>
        <w:spacing w:after="0"/>
        <w:ind w:firstLine="480"/>
        <w:rPr>
          <w:color w:val="auto"/>
        </w:rPr>
      </w:pPr>
      <w:r>
        <w:rPr>
          <w:rFonts w:hint="eastAsia"/>
          <w:color w:val="auto"/>
        </w:rPr>
        <w:t>2、周边环境</w:t>
      </w:r>
    </w:p>
    <w:p>
      <w:pPr>
        <w:snapToGrid w:val="0"/>
        <w:ind w:firstLine="480"/>
        <w:contextualSpacing/>
        <w:rPr>
          <w:color w:val="auto"/>
        </w:rPr>
        <w:sectPr>
          <w:headerReference r:id="rId18" w:type="default"/>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r>
        <w:rPr>
          <w:color w:val="auto"/>
          <w:szCs w:val="24"/>
        </w:rPr>
        <w:t>山东朗净新材料科技有限公司</w:t>
      </w:r>
      <w:r>
        <w:rPr>
          <w:rFonts w:hint="eastAsia"/>
          <w:color w:val="auto"/>
          <w:szCs w:val="24"/>
        </w:rPr>
        <w:t>北侧为南支路，路北为山东科力新材料有限公司，南侧为山东辰祥电气，西侧为荣丰西路，东侧为山东元和机电有限公司。</w:t>
      </w:r>
      <w:r>
        <w:rPr>
          <w:rFonts w:hint="eastAsia"/>
          <w:color w:val="auto"/>
        </w:rPr>
        <w:t>厂区</w:t>
      </w:r>
      <w:r>
        <w:rPr>
          <w:color w:val="auto"/>
        </w:rPr>
        <w:t>周边环境</w:t>
      </w:r>
      <w:r>
        <w:rPr>
          <w:rFonts w:hint="eastAsia"/>
          <w:color w:val="auto"/>
        </w:rPr>
        <w:t>现状</w:t>
      </w:r>
      <w:r>
        <w:rPr>
          <w:color w:val="auto"/>
        </w:rPr>
        <w:t>见图</w:t>
      </w:r>
      <w:r>
        <w:rPr>
          <w:rFonts w:hint="eastAsia"/>
          <w:color w:val="auto"/>
        </w:rPr>
        <w:t>2.2-2</w:t>
      </w:r>
      <w:r>
        <w:rPr>
          <w:color w:val="auto"/>
        </w:rPr>
        <w:t>。</w:t>
      </w:r>
    </w:p>
    <w:p>
      <w:pPr>
        <w:pStyle w:val="2"/>
        <w:spacing w:after="0" w:line="240" w:lineRule="auto"/>
        <w:ind w:firstLine="0" w:firstLineChars="0"/>
        <w:jc w:val="center"/>
        <w:rPr>
          <w:color w:val="auto"/>
        </w:rPr>
        <w:sectPr>
          <w:headerReference r:id="rId19" w:type="default"/>
          <w:pgSz w:w="16838" w:h="23811"/>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color w:val="auto"/>
          <w:sz w:val="21"/>
        </w:rPr>
        <mc:AlternateContent>
          <mc:Choice Requires="wps">
            <w:drawing>
              <wp:anchor distT="0" distB="0" distL="114300" distR="114300" simplePos="0" relativeHeight="251790336" behindDoc="0" locked="0" layoutInCell="1" allowOverlap="1">
                <wp:simplePos x="0" y="0"/>
                <wp:positionH relativeFrom="column">
                  <wp:posOffset>5458460</wp:posOffset>
                </wp:positionH>
                <wp:positionV relativeFrom="paragraph">
                  <wp:posOffset>6476365</wp:posOffset>
                </wp:positionV>
                <wp:extent cx="127635" cy="222250"/>
                <wp:effectExtent l="6350" t="6350" r="18415" b="19050"/>
                <wp:wrapNone/>
                <wp:docPr id="99" name="矩形 99"/>
                <wp:cNvGraphicFramePr/>
                <a:graphic xmlns:a="http://schemas.openxmlformats.org/drawingml/2006/main">
                  <a:graphicData uri="http://schemas.microsoft.com/office/word/2010/wordprocessingShape">
                    <wps:wsp>
                      <wps:cNvSpPr/>
                      <wps:spPr>
                        <a:xfrm>
                          <a:off x="6570345" y="6081395"/>
                          <a:ext cx="127635" cy="2222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9.8pt;margin-top:509.95pt;height:17.5pt;width:10.05pt;z-index:251790336;v-text-anchor:middle;mso-width-relative:page;mso-height-relative:page;" fillcolor="#5B9BD5 [3204]" filled="t" stroked="t" coordsize="21600,21600" o:gfxdata="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DC&#10;+Id03gAAAA0BAAAPAAAAAAAAAAEAIAAAACIAAABkcnMvZG93bnJldi54bWxQSwECFAAUAAAACACH&#10;TuJAintyYZACAAAiBQAADgAAAAAAAAABACAAAAAtAQAAZHJzL2Uyb0RvYy54bWxQSwUGAAAAAAYA&#10;BgBZAQAALwYAAAAA&#10;">
                <v:fill on="t" focussize="0,0"/>
                <v:stroke weight="1pt" color="#41719C [32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91360" behindDoc="0" locked="0" layoutInCell="1" allowOverlap="1">
                <wp:simplePos x="0" y="0"/>
                <wp:positionH relativeFrom="column">
                  <wp:posOffset>4935220</wp:posOffset>
                </wp:positionH>
                <wp:positionV relativeFrom="paragraph">
                  <wp:posOffset>6119495</wp:posOffset>
                </wp:positionV>
                <wp:extent cx="1198245" cy="404495"/>
                <wp:effectExtent l="0" t="0" r="0" b="0"/>
                <wp:wrapNone/>
                <wp:docPr id="121" name="文本框 121"/>
                <wp:cNvGraphicFramePr/>
                <a:graphic xmlns:a="http://schemas.openxmlformats.org/drawingml/2006/main">
                  <a:graphicData uri="http://schemas.microsoft.com/office/word/2010/wordprocessingShape">
                    <wps:wsp>
                      <wps:cNvSpPr txBox="1"/>
                      <wps:spPr>
                        <a:xfrm>
                          <a:off x="6205220" y="6375400"/>
                          <a:ext cx="1198245" cy="404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sz w:val="18"/>
                                <w:szCs w:val="13"/>
                              </w:rPr>
                            </w:pPr>
                            <w:r>
                              <w:rPr>
                                <w:rFonts w:hint="eastAsia"/>
                                <w:color w:val="auto"/>
                                <w:sz w:val="18"/>
                                <w:szCs w:val="13"/>
                                <w:lang w:eastAsia="zh-CN"/>
                              </w:rPr>
                              <w:t>碱喷淋</w:t>
                            </w:r>
                            <w:r>
                              <w:rPr>
                                <w:rFonts w:hint="eastAsia"/>
                                <w:color w:val="auto"/>
                                <w:sz w:val="18"/>
                                <w:szCs w:val="13"/>
                              </w:rPr>
                              <w:t>+活性炭吸附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8.6pt;margin-top:481.85pt;height:31.85pt;width:94.35pt;z-index:251791360;mso-width-relative:page;mso-height-relative:page;" filled="f" stroked="f" coordsize="21600,21600" o:gfxdata="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8PhKvdAAAADAEAAA8AAAAAAAAA&#10;AQAgAAAAIgAAAGRycy9kb3ducmV2LnhtbFBLAQIUABQAAAAIAIdO4kDT/Ld5RQIAAHYEAAAOAAAA&#10;AAAAAAEAIAAAACwBAABkcnMvZTJvRG9jLnhtbFBLBQYAAAAABgAGAFkBAADjBQAAAAA=&#10;">
                <v:fill on="f" focussize="0,0"/>
                <v:stroke on="f" weight="0.5pt"/>
                <v:imagedata o:title=""/>
                <o:lock v:ext="edit" aspectratio="f"/>
                <v:textbox>
                  <w:txbxContent>
                    <w:p>
                      <w:pPr>
                        <w:ind w:left="0" w:leftChars="0" w:firstLine="0" w:firstLineChars="0"/>
                        <w:rPr>
                          <w:sz w:val="18"/>
                          <w:szCs w:val="13"/>
                        </w:rPr>
                      </w:pPr>
                      <w:r>
                        <w:rPr>
                          <w:rFonts w:hint="eastAsia"/>
                          <w:color w:val="auto"/>
                          <w:sz w:val="18"/>
                          <w:szCs w:val="13"/>
                          <w:lang w:eastAsia="zh-CN"/>
                        </w:rPr>
                        <w:t>碱喷淋</w:t>
                      </w:r>
                      <w:r>
                        <w:rPr>
                          <w:rFonts w:hint="eastAsia"/>
                          <w:color w:val="auto"/>
                          <w:sz w:val="18"/>
                          <w:szCs w:val="13"/>
                        </w:rPr>
                        <w:t>+活性炭吸附</w:t>
                      </w:r>
                    </w:p>
                  </w:txbxContent>
                </v:textbox>
              </v:shape>
            </w:pict>
          </mc:Fallback>
        </mc:AlternateContent>
      </w:r>
      <w:r>
        <w:rPr>
          <w:color w:val="auto"/>
          <w:sz w:val="21"/>
        </w:rPr>
        <mc:AlternateContent>
          <mc:Choice Requires="wps">
            <w:drawing>
              <wp:anchor distT="0" distB="0" distL="114300" distR="114300" simplePos="0" relativeHeight="251673600" behindDoc="0" locked="0" layoutInCell="1" allowOverlap="1">
                <wp:simplePos x="0" y="0"/>
                <wp:positionH relativeFrom="column">
                  <wp:posOffset>5645150</wp:posOffset>
                </wp:positionH>
                <wp:positionV relativeFrom="paragraph">
                  <wp:posOffset>6466840</wp:posOffset>
                </wp:positionV>
                <wp:extent cx="690880" cy="396875"/>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690880" cy="3968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rFonts w:hint="eastAsia" w:eastAsia="宋体"/>
                                <w:sz w:val="21"/>
                                <w:szCs w:val="16"/>
                                <w:lang w:eastAsia="zh-CN"/>
                              </w:rPr>
                            </w:pPr>
                            <w:r>
                              <w:rPr>
                                <w:rFonts w:hint="eastAsia"/>
                                <w:sz w:val="21"/>
                                <w:szCs w:val="16"/>
                              </w:rPr>
                              <w:t>DA00</w:t>
                            </w:r>
                            <w:r>
                              <w:rPr>
                                <w:rFonts w:hint="eastAsia"/>
                                <w:sz w:val="21"/>
                                <w:szCs w:val="16"/>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4.5pt;margin-top:509.2pt;height:31.25pt;width:54.4pt;z-index:251673600;mso-width-relative:page;mso-height-relative:page;" filled="f" stroked="f" coordsize="21600,21600" o:gfxdata="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TSSfF3AAAAA0BAAAPAAAAAAAAAAEAIAAAACIAAABk&#10;cnMvZG93bnJldi54bWxQSwECFAAUAAAACACHTuJAozXLnzsCAABnBAAADgAAAAAAAAABACAAAAAr&#10;AQAAZHJzL2Uyb0RvYy54bWxQSwUGAAAAAAYABgBZAQAA2AUAAAAA&#10;">
                <v:fill on="f" focussize="0,0"/>
                <v:stroke on="f" weight="0.5pt"/>
                <v:imagedata o:title=""/>
                <o:lock v:ext="edit" aspectratio="f"/>
                <v:textbox>
                  <w:txbxContent>
                    <w:p>
                      <w:pPr>
                        <w:ind w:firstLine="0" w:firstLineChars="0"/>
                        <w:rPr>
                          <w:rFonts w:hint="eastAsia" w:eastAsia="宋体"/>
                          <w:sz w:val="21"/>
                          <w:szCs w:val="16"/>
                          <w:lang w:eastAsia="zh-CN"/>
                        </w:rPr>
                      </w:pPr>
                      <w:r>
                        <w:rPr>
                          <w:rFonts w:hint="eastAsia"/>
                          <w:sz w:val="21"/>
                          <w:szCs w:val="16"/>
                        </w:rPr>
                        <w:t>DA00</w:t>
                      </w:r>
                      <w:r>
                        <w:rPr>
                          <w:rFonts w:hint="eastAsia"/>
                          <w:sz w:val="21"/>
                          <w:szCs w:val="16"/>
                          <w:lang w:val="en-US" w:eastAsia="zh-CN"/>
                        </w:rPr>
                        <w:t>1</w:t>
                      </w:r>
                    </w:p>
                  </w:txbxContent>
                </v:textbox>
              </v:shape>
            </w:pict>
          </mc:Fallback>
        </mc:AlternateContent>
      </w:r>
      <w:r>
        <w:rPr>
          <w:color w:val="auto"/>
          <w:sz w:val="21"/>
        </w:rPr>
        <mc:AlternateContent>
          <mc:Choice Requires="wps">
            <w:drawing>
              <wp:anchor distT="0" distB="0" distL="114300" distR="114300" simplePos="0" relativeHeight="251792384" behindDoc="0" locked="0" layoutInCell="1" allowOverlap="1">
                <wp:simplePos x="0" y="0"/>
                <wp:positionH relativeFrom="column">
                  <wp:posOffset>6690995</wp:posOffset>
                </wp:positionH>
                <wp:positionV relativeFrom="paragraph">
                  <wp:posOffset>11082020</wp:posOffset>
                </wp:positionV>
                <wp:extent cx="127635" cy="222250"/>
                <wp:effectExtent l="6350" t="6350" r="19050" b="18415"/>
                <wp:wrapNone/>
                <wp:docPr id="122" name="矩形 122"/>
                <wp:cNvGraphicFramePr/>
                <a:graphic xmlns:a="http://schemas.openxmlformats.org/drawingml/2006/main">
                  <a:graphicData uri="http://schemas.microsoft.com/office/word/2010/wordprocessingShape">
                    <wps:wsp>
                      <wps:cNvSpPr/>
                      <wps:spPr>
                        <a:xfrm rot="16200000">
                          <a:off x="0" y="0"/>
                          <a:ext cx="127635" cy="2222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6.85pt;margin-top:872.6pt;height:17.5pt;width:10.05pt;rotation:-5898240f;z-index:251792384;v-text-anchor:middle;mso-width-relative:page;mso-height-relative:page;" fillcolor="#5B9BD5 [3204]" filled="t" stroked="t" coordsize="21600,21600" o:gfxdata="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Sz1qU2wAAAA8B&#10;AAAPAAAAAAAAAAEAIAAAACIAAABkcnMvZG93bnJldi54bWxQSwECFAAUAAAACACHTuJAqOWxIIoC&#10;AAAnBQAADgAAAAAAAAABACAAAAAqAQAAZHJzL2Uyb0RvYy54bWxQSwUGAAAAAAYABgBZAQAAJgYA&#10;AAAA&#10;">
                <v:fill on="t" focussize="0,0"/>
                <v:stroke weight="1pt" color="#41719C [3204]" miterlimit="8" joinstyle="miter"/>
                <v:imagedata o:title=""/>
                <o:lock v:ext="edit" aspectratio="f"/>
              </v:rect>
            </w:pict>
          </mc:Fallback>
        </mc:AlternateContent>
      </w:r>
      <w:r>
        <w:rPr>
          <w:color w:val="auto"/>
          <w:sz w:val="21"/>
        </w:rPr>
        <w:drawing>
          <wp:inline distT="0" distB="0" distL="114300" distR="114300">
            <wp:extent cx="8404225" cy="11887835"/>
            <wp:effectExtent l="0" t="0" r="15875" b="18415"/>
            <wp:docPr id="197" name="图片 197" descr="总图2022418 Model (1)_page-000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总图2022418 Model (1)_page-0001 (1)"/>
                    <pic:cNvPicPr>
                      <a:picLocks noChangeAspect="1"/>
                    </pic:cNvPicPr>
                  </pic:nvPicPr>
                  <pic:blipFill>
                    <a:blip r:embed="rId58"/>
                    <a:stretch>
                      <a:fillRect/>
                    </a:stretch>
                  </pic:blipFill>
                  <pic:spPr>
                    <a:xfrm>
                      <a:off x="0" y="0"/>
                      <a:ext cx="8404225" cy="11887835"/>
                    </a:xfrm>
                    <a:prstGeom prst="rect">
                      <a:avLst/>
                    </a:prstGeom>
                  </pic:spPr>
                </pic:pic>
              </a:graphicData>
            </a:graphic>
          </wp:inline>
        </w:drawing>
      </w:r>
      <w:r>
        <w:rPr>
          <w:color w:val="auto"/>
          <w:sz w:val="21"/>
        </w:rPr>
        <mc:AlternateContent>
          <mc:Choice Requires="wps">
            <w:drawing>
              <wp:anchor distT="0" distB="0" distL="114300" distR="114300" simplePos="0" relativeHeight="251750400" behindDoc="0" locked="0" layoutInCell="1" allowOverlap="1">
                <wp:simplePos x="0" y="0"/>
                <wp:positionH relativeFrom="column">
                  <wp:posOffset>3382645</wp:posOffset>
                </wp:positionH>
                <wp:positionV relativeFrom="paragraph">
                  <wp:posOffset>5073015</wp:posOffset>
                </wp:positionV>
                <wp:extent cx="2222500" cy="982980"/>
                <wp:effectExtent l="0" t="0" r="0" b="0"/>
                <wp:wrapNone/>
                <wp:docPr id="52" name="文本框 52"/>
                <wp:cNvGraphicFramePr/>
                <a:graphic xmlns:a="http://schemas.openxmlformats.org/drawingml/2006/main">
                  <a:graphicData uri="http://schemas.microsoft.com/office/word/2010/wordprocessingShape">
                    <wps:wsp>
                      <wps:cNvSpPr txBox="1"/>
                      <wps:spPr>
                        <a:xfrm>
                          <a:off x="5739130" y="5162550"/>
                          <a:ext cx="2222500" cy="9829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ind w:firstLine="0" w:firstLineChars="0"/>
                              <w:textAlignment w:val="auto"/>
                              <w:rPr>
                                <w:sz w:val="18"/>
                                <w:szCs w:val="13"/>
                              </w:rPr>
                            </w:pPr>
                            <w:r>
                              <w:rPr>
                                <w:rFonts w:hint="eastAsia"/>
                                <w:sz w:val="18"/>
                                <w:szCs w:val="13"/>
                              </w:rPr>
                              <w:t>危险废物</w:t>
                            </w:r>
                          </w:p>
                          <w:p>
                            <w:pPr>
                              <w:keepNext w:val="0"/>
                              <w:keepLines w:val="0"/>
                              <w:pageBreakBefore w:val="0"/>
                              <w:widowControl w:val="0"/>
                              <w:kinsoku/>
                              <w:wordWrap/>
                              <w:overflowPunct/>
                              <w:topLinePunct w:val="0"/>
                              <w:autoSpaceDE/>
                              <w:autoSpaceDN/>
                              <w:bidi w:val="0"/>
                              <w:adjustRightInd/>
                              <w:snapToGrid/>
                              <w:spacing w:line="240" w:lineRule="exact"/>
                              <w:ind w:firstLine="0" w:firstLineChars="0"/>
                              <w:textAlignment w:val="auto"/>
                              <w:rPr>
                                <w:sz w:val="18"/>
                                <w:szCs w:val="13"/>
                              </w:rPr>
                            </w:pPr>
                            <w:r>
                              <w:rPr>
                                <w:rFonts w:hint="eastAsia"/>
                                <w:sz w:val="18"/>
                                <w:szCs w:val="13"/>
                              </w:rPr>
                              <w:t>暂存间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35pt;margin-top:399.45pt;height:77.4pt;width:175pt;z-index:251750400;mso-width-relative:page;mso-height-relative:page;" filled="f" stroked="f" coordsize="21600,21600" o:gfxdata="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q/whL3AAAAAsBAAAPAAAAAAAA&#10;AAEAIAAAACIAAABkcnMvZG93bnJldi54bWxQSwECFAAUAAAACACHTuJAJOnqwEcCAAB0BAAADgAA&#10;AAAAAAABACAAAAArAQAAZHJzL2Uyb0RvYy54bWxQSwUGAAAAAAYABgBZAQAA5A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ind w:firstLine="0" w:firstLineChars="0"/>
                        <w:textAlignment w:val="auto"/>
                        <w:rPr>
                          <w:sz w:val="18"/>
                          <w:szCs w:val="13"/>
                        </w:rPr>
                      </w:pPr>
                      <w:r>
                        <w:rPr>
                          <w:rFonts w:hint="eastAsia"/>
                          <w:sz w:val="18"/>
                          <w:szCs w:val="13"/>
                        </w:rPr>
                        <w:t>危险废物</w:t>
                      </w:r>
                    </w:p>
                    <w:p>
                      <w:pPr>
                        <w:keepNext w:val="0"/>
                        <w:keepLines w:val="0"/>
                        <w:pageBreakBefore w:val="0"/>
                        <w:widowControl w:val="0"/>
                        <w:kinsoku/>
                        <w:wordWrap/>
                        <w:overflowPunct/>
                        <w:topLinePunct w:val="0"/>
                        <w:autoSpaceDE/>
                        <w:autoSpaceDN/>
                        <w:bidi w:val="0"/>
                        <w:adjustRightInd/>
                        <w:snapToGrid/>
                        <w:spacing w:line="240" w:lineRule="exact"/>
                        <w:ind w:firstLine="0" w:firstLineChars="0"/>
                        <w:textAlignment w:val="auto"/>
                        <w:rPr>
                          <w:sz w:val="18"/>
                          <w:szCs w:val="13"/>
                        </w:rPr>
                      </w:pPr>
                      <w:r>
                        <w:rPr>
                          <w:rFonts w:hint="eastAsia"/>
                          <w:sz w:val="18"/>
                          <w:szCs w:val="13"/>
                        </w:rPr>
                        <w:t>暂存间</w:t>
                      </w:r>
                    </w:p>
                  </w:txbxContent>
                </v:textbox>
              </v:shape>
            </w:pict>
          </mc:Fallback>
        </mc:AlternateContent>
      </w:r>
      <w:r>
        <w:rPr>
          <w:color w:val="auto"/>
          <w:sz w:val="21"/>
        </w:rPr>
        <mc:AlternateContent>
          <mc:Choice Requires="wps">
            <w:drawing>
              <wp:anchor distT="0" distB="0" distL="114300" distR="114300" simplePos="0" relativeHeight="251752448" behindDoc="0" locked="0" layoutInCell="1" allowOverlap="1">
                <wp:simplePos x="0" y="0"/>
                <wp:positionH relativeFrom="column">
                  <wp:posOffset>2557145</wp:posOffset>
                </wp:positionH>
                <wp:positionV relativeFrom="paragraph">
                  <wp:posOffset>4966335</wp:posOffset>
                </wp:positionV>
                <wp:extent cx="1183005" cy="659130"/>
                <wp:effectExtent l="0" t="0" r="0" b="0"/>
                <wp:wrapNone/>
                <wp:docPr id="55" name="文本框 55"/>
                <wp:cNvGraphicFramePr/>
                <a:graphic xmlns:a="http://schemas.openxmlformats.org/drawingml/2006/main">
                  <a:graphicData uri="http://schemas.microsoft.com/office/word/2010/wordprocessingShape">
                    <wps:wsp>
                      <wps:cNvSpPr txBox="1"/>
                      <wps:spPr>
                        <a:xfrm>
                          <a:off x="4095750" y="4555490"/>
                          <a:ext cx="1183005" cy="6591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sz w:val="18"/>
                                <w:szCs w:val="13"/>
                              </w:rPr>
                            </w:pPr>
                            <w:r>
                              <w:rPr>
                                <w:rFonts w:hint="eastAsia"/>
                                <w:sz w:val="18"/>
                                <w:szCs w:val="13"/>
                              </w:rPr>
                              <w:t>一般固废暂存间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1.35pt;margin-top:391.05pt;height:51.9pt;width:93.15pt;z-index:251752448;mso-width-relative:page;mso-height-relative:page;" filled="f" stroked="f" coordsize="21600,21600" o:gfxdata="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Il1kYXcAAAACwEAAA8AAAAAAAAA&#10;AQAgAAAAIgAAAGRycy9kb3ducmV2LnhtbFBLAQIUABQAAAAIAIdO4kDCl7MGRgIAAHQEAAAOAAAA&#10;AAAAAAEAIAAAACsBAABkcnMvZTJvRG9jLnhtbFBLBQYAAAAABgAGAFkBAADjBQAAAAA=&#10;">
                <v:fill on="f" focussize="0,0"/>
                <v:stroke on="f" weight="0.5pt"/>
                <v:imagedata o:title=""/>
                <o:lock v:ext="edit" aspectratio="f"/>
                <v:textbox>
                  <w:txbxContent>
                    <w:p>
                      <w:pPr>
                        <w:ind w:firstLine="0" w:firstLineChars="0"/>
                        <w:rPr>
                          <w:sz w:val="18"/>
                          <w:szCs w:val="13"/>
                        </w:rPr>
                      </w:pPr>
                      <w:r>
                        <w:rPr>
                          <w:rFonts w:hint="eastAsia"/>
                          <w:sz w:val="18"/>
                          <w:szCs w:val="13"/>
                        </w:rPr>
                        <w:t>一般固废暂存间</w:t>
                      </w:r>
                    </w:p>
                  </w:txbxContent>
                </v:textbox>
              </v:shape>
            </w:pict>
          </mc:Fallback>
        </mc:AlternateContent>
      </w:r>
      <w:r>
        <w:rPr>
          <w:color w:val="auto"/>
          <w:sz w:val="21"/>
        </w:rPr>
        <mc:AlternateContent>
          <mc:Choice Requires="wps">
            <w:drawing>
              <wp:anchor distT="0" distB="0" distL="114300" distR="114300" simplePos="0" relativeHeight="251750400" behindDoc="0" locked="0" layoutInCell="1" allowOverlap="1">
                <wp:simplePos x="0" y="0"/>
                <wp:positionH relativeFrom="column">
                  <wp:posOffset>3168015</wp:posOffset>
                </wp:positionH>
                <wp:positionV relativeFrom="paragraph">
                  <wp:posOffset>5108575</wp:posOffset>
                </wp:positionV>
                <wp:extent cx="301625" cy="254000"/>
                <wp:effectExtent l="6350" t="6350" r="15875" b="6350"/>
                <wp:wrapNone/>
                <wp:docPr id="54" name="矩形 54"/>
                <wp:cNvGraphicFramePr/>
                <a:graphic xmlns:a="http://schemas.openxmlformats.org/drawingml/2006/main">
                  <a:graphicData uri="http://schemas.microsoft.com/office/word/2010/wordprocessingShape">
                    <wps:wsp>
                      <wps:cNvSpPr/>
                      <wps:spPr>
                        <a:xfrm>
                          <a:off x="4310380" y="5269865"/>
                          <a:ext cx="301625" cy="2540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9.45pt;margin-top:402.25pt;height:20pt;width:23.75pt;z-index:251750400;v-text-anchor:middle;mso-width-relative:page;mso-height-relative:page;" filled="f" stroked="t" coordsize="21600,21600" o:gfxdata="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2e4K+2AAAAAsBAAAPAAAAAAAAAAEAIAAAACIAAABkcnMv&#10;ZG93bnJldi54bWxQSwECFAAUAAAACACHTuJAcF6tAXUCAADYBAAADgAAAAAAAAABACAAAAAnAQAA&#10;ZHJzL2Uyb0RvYy54bWxQSwUGAAAAAAYABgBZAQAADgY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49376" behindDoc="0" locked="0" layoutInCell="1" allowOverlap="1">
                <wp:simplePos x="0" y="0"/>
                <wp:positionH relativeFrom="column">
                  <wp:posOffset>3476625</wp:posOffset>
                </wp:positionH>
                <wp:positionV relativeFrom="paragraph">
                  <wp:posOffset>5120005</wp:posOffset>
                </wp:positionV>
                <wp:extent cx="309245" cy="254000"/>
                <wp:effectExtent l="6350" t="6350" r="8255" b="6350"/>
                <wp:wrapNone/>
                <wp:docPr id="51" name="矩形 51"/>
                <wp:cNvGraphicFramePr/>
                <a:graphic xmlns:a="http://schemas.openxmlformats.org/drawingml/2006/main">
                  <a:graphicData uri="http://schemas.microsoft.com/office/word/2010/wordprocessingShape">
                    <wps:wsp>
                      <wps:cNvSpPr/>
                      <wps:spPr>
                        <a:xfrm>
                          <a:off x="4612005" y="5313045"/>
                          <a:ext cx="309245" cy="254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3.75pt;margin-top:403.15pt;height:20pt;width:24.35pt;z-index:251749376;v-text-anchor:middle;mso-width-relative:page;mso-height-relative:page;" fillcolor="#FFFFFF [3212]" filled="t" stroked="t" coordsize="21600,21600" o:gfxdata="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VxK6C2AAAAAsBAAAPAAAAAAAAAAEAIAAAACIA&#10;AABkcnMvZG93bnJldi54bWxQSwECFAAUAAAACACHTuJA7U85unsCAAABBQAADgAAAAAAAAABACAA&#10;AAAnAQAAZHJzL2Uyb0RvYy54bWxQSwUGAAAAAAYABgBZAQAAFAYAAAAA&#10;">
                <v:fill on="t"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73952" behindDoc="0" locked="0" layoutInCell="1" allowOverlap="1">
                <wp:simplePos x="0" y="0"/>
                <wp:positionH relativeFrom="column">
                  <wp:posOffset>2597785</wp:posOffset>
                </wp:positionH>
                <wp:positionV relativeFrom="paragraph">
                  <wp:posOffset>6352540</wp:posOffset>
                </wp:positionV>
                <wp:extent cx="1246505" cy="1412875"/>
                <wp:effectExtent l="0" t="0" r="10795" b="15875"/>
                <wp:wrapNone/>
                <wp:docPr id="195" name="矩形 195"/>
                <wp:cNvGraphicFramePr/>
                <a:graphic xmlns:a="http://schemas.openxmlformats.org/drawingml/2006/main">
                  <a:graphicData uri="http://schemas.microsoft.com/office/word/2010/wordprocessingShape">
                    <wps:wsp>
                      <wps:cNvSpPr/>
                      <wps:spPr>
                        <a:xfrm>
                          <a:off x="3717290" y="7322185"/>
                          <a:ext cx="1246505" cy="141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4.55pt;margin-top:500.2pt;height:111.25pt;width:98.15pt;z-index:251773952;v-text-anchor:middle;mso-width-relative:page;mso-height-relative:page;" fillcolor="#FFFFFF [3212]" filled="t" stroked="f" coordsize="21600,21600" o:gfxdata="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PNYY32wAAAA0BAAAPAAAAAAAAAAEAIAAA&#10;ACIAAABkcnMvZG93bnJldi54bWxQSwECFAAUAAAACACHTuJAxorZG3sCAADcBAAADgAAAAAAAAAB&#10;ACAAAAAqAQAAZHJzL2Uyb0RvYy54bWxQSwUGAAAAAAYABgBZAQAAFwYAAAAA&#10;">
                <v:fill on="t" focussize="0,0"/>
                <v:stroke on="f" weight="1pt"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674624" behindDoc="0" locked="0" layoutInCell="1" allowOverlap="1">
                <wp:simplePos x="0" y="0"/>
                <wp:positionH relativeFrom="column">
                  <wp:posOffset>5378450</wp:posOffset>
                </wp:positionH>
                <wp:positionV relativeFrom="paragraph">
                  <wp:posOffset>8935085</wp:posOffset>
                </wp:positionV>
                <wp:extent cx="690880" cy="396875"/>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690880" cy="3968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rFonts w:hint="eastAsia" w:eastAsia="宋体"/>
                                <w:sz w:val="21"/>
                                <w:szCs w:val="16"/>
                                <w:lang w:val="en-US" w:eastAsia="zh-CN"/>
                              </w:rPr>
                            </w:pPr>
                            <w:r>
                              <w:rPr>
                                <w:rFonts w:hint="eastAsia"/>
                                <w:sz w:val="21"/>
                                <w:szCs w:val="16"/>
                              </w:rPr>
                              <w:t>DA00</w:t>
                            </w:r>
                            <w:r>
                              <w:rPr>
                                <w:rFonts w:hint="eastAsia"/>
                                <w:sz w:val="21"/>
                                <w:szCs w:val="16"/>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3.5pt;margin-top:703.55pt;height:31.25pt;width:54.4pt;z-index:251674624;mso-width-relative:page;mso-height-relative:page;" filled="f" stroked="f" coordsize="21600,21600" o:gfxdata="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cF8jLdAAAADQEAAA8AAAAAAAAAAQAgAAAAIgAA&#10;AGRycy9kb3ducmV2LnhtbFBLAQIUABQAAAAIAIdO4kAMsv99PAIAAGcEAAAOAAAAAAAAAAEAIAAA&#10;ACwBAABkcnMvZTJvRG9jLnhtbFBLBQYAAAAABgAGAFkBAADaBQAAAAA=&#10;">
                <v:fill on="f" focussize="0,0"/>
                <v:stroke on="f" weight="0.5pt"/>
                <v:imagedata o:title=""/>
                <o:lock v:ext="edit" aspectratio="f"/>
                <v:textbox>
                  <w:txbxContent>
                    <w:p>
                      <w:pPr>
                        <w:ind w:firstLine="0" w:firstLineChars="0"/>
                        <w:rPr>
                          <w:rFonts w:hint="eastAsia" w:eastAsia="宋体"/>
                          <w:sz w:val="21"/>
                          <w:szCs w:val="16"/>
                          <w:lang w:val="en-US" w:eastAsia="zh-CN"/>
                        </w:rPr>
                      </w:pPr>
                      <w:r>
                        <w:rPr>
                          <w:rFonts w:hint="eastAsia"/>
                          <w:sz w:val="21"/>
                          <w:szCs w:val="16"/>
                        </w:rPr>
                        <w:t>DA00</w:t>
                      </w:r>
                      <w:r>
                        <w:rPr>
                          <w:rFonts w:hint="eastAsia"/>
                          <w:sz w:val="21"/>
                          <w:szCs w:val="16"/>
                          <w:lang w:val="en-US" w:eastAsia="zh-CN"/>
                        </w:rPr>
                        <w:t>2</w:t>
                      </w:r>
                    </w:p>
                  </w:txbxContent>
                </v:textbox>
              </v:shape>
            </w:pict>
          </mc:Fallback>
        </mc:AlternateContent>
      </w:r>
      <w:r>
        <w:rPr>
          <w:color w:val="auto"/>
          <w:sz w:val="21"/>
        </w:rPr>
        <mc:AlternateContent>
          <mc:Choice Requires="wps">
            <w:drawing>
              <wp:anchor distT="0" distB="0" distL="114300" distR="114300" simplePos="0" relativeHeight="251672576" behindDoc="0" locked="0" layoutInCell="1" allowOverlap="1">
                <wp:simplePos x="0" y="0"/>
                <wp:positionH relativeFrom="column">
                  <wp:posOffset>5565140</wp:posOffset>
                </wp:positionH>
                <wp:positionV relativeFrom="paragraph">
                  <wp:posOffset>8963660</wp:posOffset>
                </wp:positionV>
                <wp:extent cx="75565" cy="75565"/>
                <wp:effectExtent l="6350" t="6350" r="13335" b="13335"/>
                <wp:wrapNone/>
                <wp:docPr id="36" name="椭圆 36"/>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38.2pt;margin-top:705.8pt;height:5.95pt;width:5.95pt;z-index:251672576;v-text-anchor:middle;mso-width-relative:page;mso-height-relative:page;" fillcolor="#FF0000" filled="t" stroked="t" coordsize="21600,21600" o:gfxdata="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DtsUYzYAAAADQEAAA8AAAAAAAAAAQAgAAAAIgAAAGRycy9kb3ducmV2Lnht&#10;bFBLAQIUABQAAAAIAIdO4kDYyLHUawIAAPYEAAAOAAAAAAAAAAEAIAAAACcBAABkcnMvZTJvRG9j&#10;LnhtbFBLBQYAAAAABgAGAFkBAAAEBgAAAAA=&#10;">
                <v:fill on="t" focussize="0,0"/>
                <v:stroke weight="1pt" color="#FF00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777024" behindDoc="0" locked="0" layoutInCell="1" allowOverlap="1">
                <wp:simplePos x="0" y="0"/>
                <wp:positionH relativeFrom="column">
                  <wp:posOffset>4440555</wp:posOffset>
                </wp:positionH>
                <wp:positionV relativeFrom="paragraph">
                  <wp:posOffset>8538210</wp:posOffset>
                </wp:positionV>
                <wp:extent cx="1301750" cy="356870"/>
                <wp:effectExtent l="0" t="0" r="12700" b="5080"/>
                <wp:wrapNone/>
                <wp:docPr id="200" name="文本框 200"/>
                <wp:cNvGraphicFramePr/>
                <a:graphic xmlns:a="http://schemas.openxmlformats.org/drawingml/2006/main">
                  <a:graphicData uri="http://schemas.microsoft.com/office/word/2010/wordprocessingShape">
                    <wps:wsp>
                      <wps:cNvSpPr txBox="1"/>
                      <wps:spPr>
                        <a:xfrm>
                          <a:off x="5636260" y="9664700"/>
                          <a:ext cx="1301750" cy="356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1"/>
                                <w:szCs w:val="16"/>
                                <w:lang w:val="en-US" w:eastAsia="zh-CN"/>
                              </w:rPr>
                            </w:pPr>
                            <w:r>
                              <w:rPr>
                                <w:rFonts w:hint="eastAsia"/>
                                <w:sz w:val="21"/>
                                <w:szCs w:val="16"/>
                                <w:lang w:val="en-US" w:eastAsia="zh-CN"/>
                              </w:rPr>
                              <w:t>锅炉房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9.65pt;margin-top:672.3pt;height:28.1pt;width:102.5pt;z-index:251777024;mso-width-relative:page;mso-height-relative:page;" filled="f" stroked="f" coordsize="21600,21600" o:gfxdata="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CHu0N3AAAAA0BAAAPAAAAAAAA&#10;AAEAIAAAACIAAABkcnMvZG93bnJldi54bWxQSwECFAAUAAAACACHTuJAKVxJbUcCAAB2BAAADgAA&#10;AAAAAAABACAAAAArAQAAZHJzL2Uyb0RvYy54bWxQSwUGAAAAAAYABgBZAQAA5AUAAAAA&#10;">
                <v:fill on="f" focussize="0,0"/>
                <v:stroke on="f" weight="0.5pt"/>
                <v:imagedata o:title=""/>
                <o:lock v:ext="edit" aspectratio="f"/>
                <v:textbox>
                  <w:txbxContent>
                    <w:p>
                      <w:pPr>
                        <w:rPr>
                          <w:rFonts w:hint="eastAsia" w:eastAsia="宋体"/>
                          <w:sz w:val="21"/>
                          <w:szCs w:val="16"/>
                          <w:lang w:val="en-US" w:eastAsia="zh-CN"/>
                        </w:rPr>
                      </w:pPr>
                      <w:r>
                        <w:rPr>
                          <w:rFonts w:hint="eastAsia"/>
                          <w:sz w:val="21"/>
                          <w:szCs w:val="16"/>
                          <w:lang w:val="en-US" w:eastAsia="zh-CN"/>
                        </w:rPr>
                        <w:t>锅炉房</w:t>
                      </w:r>
                    </w:p>
                  </w:txbxContent>
                </v:textbox>
              </v:shape>
            </w:pict>
          </mc:Fallback>
        </mc:AlternateContent>
      </w:r>
      <w:r>
        <w:rPr>
          <w:color w:val="auto"/>
          <w:sz w:val="21"/>
        </w:rPr>
        <mc:AlternateContent>
          <mc:Choice Requires="wps">
            <w:drawing>
              <wp:anchor distT="0" distB="0" distL="114300" distR="114300" simplePos="0" relativeHeight="251771904" behindDoc="0" locked="0" layoutInCell="1" allowOverlap="1">
                <wp:simplePos x="0" y="0"/>
                <wp:positionH relativeFrom="column">
                  <wp:posOffset>4345305</wp:posOffset>
                </wp:positionH>
                <wp:positionV relativeFrom="paragraph">
                  <wp:posOffset>8649335</wp:posOffset>
                </wp:positionV>
                <wp:extent cx="1301750" cy="278130"/>
                <wp:effectExtent l="6350" t="6350" r="6350" b="20320"/>
                <wp:wrapNone/>
                <wp:docPr id="194" name="矩形 194"/>
                <wp:cNvGraphicFramePr/>
                <a:graphic xmlns:a="http://schemas.openxmlformats.org/drawingml/2006/main">
                  <a:graphicData uri="http://schemas.microsoft.com/office/word/2010/wordprocessingShape">
                    <wps:wsp>
                      <wps:cNvSpPr/>
                      <wps:spPr>
                        <a:xfrm>
                          <a:off x="5479415" y="8839200"/>
                          <a:ext cx="1301750" cy="27813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2.15pt;margin-top:681.05pt;height:21.9pt;width:102.5pt;z-index:251771904;v-text-anchor:middle;mso-width-relative:page;mso-height-relative:page;" filled="f" stroked="t" coordsize="21600,21600" o:gfxdata="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DCH9oAAAANAQAADwAAAAAAAAABACAAAAAiAAAAZHJz&#10;L2Rvd25yZXYueG1sUEsBAhQAFAAAAAgAh07iQEBdk750AgAA2wQAAA4AAAAAAAAAAQAgAAAAKQEA&#10;AGRycy9lMm9Eb2MueG1sUEsFBgAAAAAGAAYAWQEAAA8GA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76000" behindDoc="0" locked="0" layoutInCell="1" allowOverlap="1">
                <wp:simplePos x="0" y="0"/>
                <wp:positionH relativeFrom="column">
                  <wp:posOffset>3616960</wp:posOffset>
                </wp:positionH>
                <wp:positionV relativeFrom="paragraph">
                  <wp:posOffset>8517255</wp:posOffset>
                </wp:positionV>
                <wp:extent cx="135890" cy="0"/>
                <wp:effectExtent l="0" t="0" r="0" b="0"/>
                <wp:wrapNone/>
                <wp:docPr id="199" name="直接连接符 199"/>
                <wp:cNvGraphicFramePr/>
                <a:graphic xmlns:a="http://schemas.openxmlformats.org/drawingml/2006/main">
                  <a:graphicData uri="http://schemas.microsoft.com/office/word/2010/wordprocessingShape">
                    <wps:wsp>
                      <wps:cNvCnPr/>
                      <wps:spPr>
                        <a:xfrm>
                          <a:off x="4759960" y="9431655"/>
                          <a:ext cx="135890"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84.8pt;margin-top:670.65pt;height:0pt;width:10.7pt;z-index:251776000;mso-width-relative:page;mso-height-relative:page;" filled="f" stroked="t" coordsize="21600,21600" o:gfxdata="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AynWFvZAAAADQEAAA8AAAAAAAAAAQAgAAAAIgAAAGRycy9kb3ducmV2Lnht&#10;bFBLAQIUABQAAAAIAIdO4kBr2jqr+AEAAMEDAAAOAAAAAAAAAAEAIAAAACgBAABkcnMvZTJvRG9j&#10;LnhtbFBLBQYAAAAABgAGAFkBAACSBQAAAAA=&#10;">
                <v:fill on="f" focussize="0,0"/>
                <v:stroke weight="1pt" color="#FF0000 [3204]" miterlimit="8" joinstyle="miter"/>
                <v:imagedata o:title=""/>
                <o:lock v:ext="edit" aspectratio="f"/>
              </v:line>
            </w:pict>
          </mc:Fallback>
        </mc:AlternateContent>
      </w:r>
      <w:r>
        <w:rPr>
          <w:color w:val="auto"/>
          <w:sz w:val="21"/>
        </w:rPr>
        <mc:AlternateContent>
          <mc:Choice Requires="wps">
            <w:drawing>
              <wp:anchor distT="0" distB="0" distL="114300" distR="114300" simplePos="0" relativeHeight="251742208" behindDoc="0" locked="0" layoutInCell="1" allowOverlap="1">
                <wp:simplePos x="0" y="0"/>
                <wp:positionH relativeFrom="column">
                  <wp:posOffset>3931285</wp:posOffset>
                </wp:positionH>
                <wp:positionV relativeFrom="paragraph">
                  <wp:posOffset>8473440</wp:posOffset>
                </wp:positionV>
                <wp:extent cx="379730" cy="20320"/>
                <wp:effectExtent l="1270" t="19050" r="19050" b="36830"/>
                <wp:wrapNone/>
                <wp:docPr id="184" name="直接连接符 184"/>
                <wp:cNvGraphicFramePr/>
                <a:graphic xmlns:a="http://schemas.openxmlformats.org/drawingml/2006/main">
                  <a:graphicData uri="http://schemas.microsoft.com/office/word/2010/wordprocessingShape">
                    <wps:wsp>
                      <wps:cNvCnPr/>
                      <wps:spPr>
                        <a:xfrm flipH="1">
                          <a:off x="0" y="0"/>
                          <a:ext cx="379730" cy="20320"/>
                        </a:xfrm>
                        <a:prstGeom prst="line">
                          <a:avLst/>
                        </a:prstGeom>
                        <a:ln w="3810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309.55pt;margin-top:667.2pt;height:1.6pt;width:29.9pt;z-index:251742208;mso-width-relative:page;mso-height-relative:page;" filled="f" stroked="t" coordsize="21600,21600" o:gfxdata="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eFuqD2gAAAA0BAAAPAAAAAAAAAAEAIAAAACIAAABkcnMvZG93bnJldi54bWxQ&#10;SwECFAAUAAAACACHTuJA9NdPTfUBAADDAwAADgAAAAAAAAABACAAAAApAQAAZHJzL2Uyb0RvYy54&#10;bWxQSwUGAAAAAAYABgBZAQAAkAUAAAAA&#10;">
                <v:fill on="f" focussize="0,0"/>
                <v:stroke weight="3pt" color="#7030A0 [3204]" miterlimit="8" joinstyle="miter"/>
                <v:imagedata o:title=""/>
                <o:lock v:ext="edit" aspectratio="f"/>
              </v:line>
            </w:pict>
          </mc:Fallback>
        </mc:AlternateContent>
      </w:r>
      <w:r>
        <w:rPr>
          <w:color w:val="auto"/>
          <w:sz w:val="21"/>
        </w:rPr>
        <mc:AlternateContent>
          <mc:Choice Requires="wps">
            <w:drawing>
              <wp:anchor distT="0" distB="0" distL="114300" distR="114300" simplePos="0" relativeHeight="251774976" behindDoc="0" locked="0" layoutInCell="1" allowOverlap="1">
                <wp:simplePos x="0" y="0"/>
                <wp:positionH relativeFrom="column">
                  <wp:posOffset>3685540</wp:posOffset>
                </wp:positionH>
                <wp:positionV relativeFrom="paragraph">
                  <wp:posOffset>8493760</wp:posOffset>
                </wp:positionV>
                <wp:extent cx="0" cy="134620"/>
                <wp:effectExtent l="6350" t="0" r="12700" b="17780"/>
                <wp:wrapNone/>
                <wp:docPr id="196" name="直接连接符 196"/>
                <wp:cNvGraphicFramePr/>
                <a:graphic xmlns:a="http://schemas.openxmlformats.org/drawingml/2006/main">
                  <a:graphicData uri="http://schemas.microsoft.com/office/word/2010/wordprocessingShape">
                    <wps:wsp>
                      <wps:cNvCnPr/>
                      <wps:spPr>
                        <a:xfrm flipV="1">
                          <a:off x="4820920" y="9408160"/>
                          <a:ext cx="0" cy="134620"/>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90.2pt;margin-top:668.8pt;height:10.6pt;width:0pt;z-index:251774976;mso-width-relative:page;mso-height-relative:page;" filled="f" stroked="t" coordsize="21600,21600" o:gfxdata="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xc6IbdoAAAANAQAADwAAAAAAAAABACAAAAAiAAAAZHJzL2Rvd25y&#10;ZXYueG1sUEsBAhQAFAAAAAgAh07iQJA5YVz8AQAAywMAAA4AAAAAAAAAAQAgAAAAKQEAAGRycy9l&#10;Mm9Eb2MueG1sUEsFBgAAAAAGAAYAWQEAAJcFAAAAAA==&#10;">
                <v:fill on="f" focussize="0,0"/>
                <v:stroke weight="1.5pt" color="#7030A0 [3204]" miterlimit="8" joinstyle="miter"/>
                <v:imagedata o:title=""/>
                <o:lock v:ext="edit" aspectratio="f"/>
              </v:line>
            </w:pict>
          </mc:Fallback>
        </mc:AlternateContent>
      </w:r>
      <w:r>
        <w:rPr>
          <w:color w:val="auto"/>
          <w:sz w:val="21"/>
        </w:rPr>
        <mc:AlternateContent>
          <mc:Choice Requires="wps">
            <w:drawing>
              <wp:anchor distT="0" distB="0" distL="114300" distR="114300" simplePos="0" relativeHeight="251743232" behindDoc="0" locked="0" layoutInCell="1" allowOverlap="1">
                <wp:simplePos x="0" y="0"/>
                <wp:positionH relativeFrom="column">
                  <wp:posOffset>2884170</wp:posOffset>
                </wp:positionH>
                <wp:positionV relativeFrom="paragraph">
                  <wp:posOffset>8481695</wp:posOffset>
                </wp:positionV>
                <wp:extent cx="1078230" cy="4445"/>
                <wp:effectExtent l="0" t="19050" r="7620" b="33655"/>
                <wp:wrapNone/>
                <wp:docPr id="183" name="直接连接符 183"/>
                <wp:cNvGraphicFramePr/>
                <a:graphic xmlns:a="http://schemas.openxmlformats.org/drawingml/2006/main">
                  <a:graphicData uri="http://schemas.microsoft.com/office/word/2010/wordprocessingShape">
                    <wps:wsp>
                      <wps:cNvCnPr/>
                      <wps:spPr>
                        <a:xfrm flipH="1" flipV="1">
                          <a:off x="0" y="0"/>
                          <a:ext cx="1078230" cy="4445"/>
                        </a:xfrm>
                        <a:prstGeom prst="line">
                          <a:avLst/>
                        </a:prstGeom>
                        <a:ln w="3810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227.1pt;margin-top:667.85pt;height:0.35pt;width:84.9pt;z-index:251743232;mso-width-relative:page;mso-height-relative:page;" filled="f" stroked="t" coordsize="21600,21600" o:gfxdata="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F4DZrnZAAAADQEAAA8AAAAAAAAAAQAgAAAAIgAAAGRycy9kb3ducmV2&#10;LnhtbFBLAQIUABQAAAAIAIdO4kCjejg9+wEAAM0DAAAOAAAAAAAAAAEAIAAAACgBAABkcnMvZTJv&#10;RG9jLnhtbFBLBQYAAAAABgAGAFkBAACVBQAAAAA=&#10;">
                <v:fill on="f" focussize="0,0"/>
                <v:stroke weight="3pt" color="#7030A0 [3204]" miterlimit="8" joinstyle="miter"/>
                <v:imagedata o:title=""/>
                <o:lock v:ext="edit" aspectratio="f"/>
              </v:line>
            </w:pict>
          </mc:Fallback>
        </mc:AlternateContent>
      </w:r>
      <w:r>
        <w:rPr>
          <w:color w:val="auto"/>
          <w:sz w:val="21"/>
        </w:rPr>
        <mc:AlternateContent>
          <mc:Choice Requires="wps">
            <w:drawing>
              <wp:anchor distT="0" distB="0" distL="114300" distR="114300" simplePos="0" relativeHeight="251748352" behindDoc="0" locked="0" layoutInCell="1" allowOverlap="1">
                <wp:simplePos x="0" y="0"/>
                <wp:positionH relativeFrom="column">
                  <wp:posOffset>3898900</wp:posOffset>
                </wp:positionH>
                <wp:positionV relativeFrom="paragraph">
                  <wp:posOffset>2820670</wp:posOffset>
                </wp:positionV>
                <wp:extent cx="111125" cy="111125"/>
                <wp:effectExtent l="7620" t="8255" r="14605" b="13970"/>
                <wp:wrapNone/>
                <wp:docPr id="50" name="正五边形 50"/>
                <wp:cNvGraphicFramePr/>
                <a:graphic xmlns:a="http://schemas.openxmlformats.org/drawingml/2006/main">
                  <a:graphicData uri="http://schemas.microsoft.com/office/word/2010/wordprocessingShape">
                    <wps:wsp>
                      <wps:cNvSpPr/>
                      <wps:spPr>
                        <a:xfrm>
                          <a:off x="0" y="0"/>
                          <a:ext cx="111125" cy="111125"/>
                        </a:xfrm>
                        <a:prstGeom prst="pentagon">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6" type="#_x0000_t56" style="position:absolute;left:0pt;margin-left:307pt;margin-top:222.1pt;height:8.75pt;width:8.75pt;z-index:251748352;v-text-anchor:middle;mso-width-relative:page;mso-height-relative:page;" fillcolor="#FFC000" filled="t" stroked="t" coordsize="21600,21600" o:gfxdata="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kFyd2QAAAAsBAAAPAAAAAAAAAAEAIAAAACIAAABkcnMv&#10;ZG93bnJldi54bWxQSwECFAAUAAAACACHTuJA1wJzVnQCAAD/BAAADgAAAAAAAAABACAAAAAoAQAA&#10;ZHJzL2Uyb0RvYy54bWxQSwUGAAAAAAYABgBZAQAADgYAAAAA&#10;">
                <v:fill on="t" focussize="0,0"/>
                <v:stroke weight="1pt" color="#FFC0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756544" behindDoc="0" locked="0" layoutInCell="1" allowOverlap="1">
                <wp:simplePos x="0" y="0"/>
                <wp:positionH relativeFrom="column">
                  <wp:posOffset>4076065</wp:posOffset>
                </wp:positionH>
                <wp:positionV relativeFrom="paragraph">
                  <wp:posOffset>2834640</wp:posOffset>
                </wp:positionV>
                <wp:extent cx="23495" cy="6056630"/>
                <wp:effectExtent l="4445" t="0" r="10160" b="1270"/>
                <wp:wrapNone/>
                <wp:docPr id="119" name="直接连接符 119"/>
                <wp:cNvGraphicFramePr/>
                <a:graphic xmlns:a="http://schemas.openxmlformats.org/drawingml/2006/main">
                  <a:graphicData uri="http://schemas.microsoft.com/office/word/2010/wordprocessingShape">
                    <wps:wsp>
                      <wps:cNvCnPr/>
                      <wps:spPr>
                        <a:xfrm flipV="1">
                          <a:off x="5219065" y="3232785"/>
                          <a:ext cx="23495" cy="605663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320.95pt;margin-top:223.2pt;height:476.9pt;width:1.85pt;z-index:251756544;mso-width-relative:page;mso-height-relative:page;" filled="f" stroked="t" coordsize="21600,21600" o:gfxdata="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p8igX2QAAAAwBAAAPAAAAAAAAAAEAIAAAACIAAABkcnMvZG93&#10;bnJldi54bWxQSwECFAAUAAAACACHTuJAfCIaz/8BAADOAwAADgAAAAAAAAABACAAAAAoAQAAZHJz&#10;L2Uyb0RvYy54bWxQSwUGAAAAAAYABgBZAQAAmQUAAAAA&#10;">
                <v:fill on="f" focussize="0,0"/>
                <v:stroke weight="0.5pt" color="#000000 [3213]" miterlimit="8" joinstyle="miter" dashstyle="dash"/>
                <v:imagedata o:title=""/>
                <o:lock v:ext="edit" aspectratio="f"/>
              </v:line>
            </w:pict>
          </mc:Fallback>
        </mc:AlternateContent>
      </w:r>
      <w:r>
        <w:rPr>
          <w:color w:val="auto"/>
          <w:sz w:val="21"/>
        </w:rPr>
        <mc:AlternateContent>
          <mc:Choice Requires="wps">
            <w:drawing>
              <wp:anchor distT="0" distB="0" distL="114300" distR="114300" simplePos="0" relativeHeight="251757568" behindDoc="0" locked="0" layoutInCell="1" allowOverlap="1">
                <wp:simplePos x="0" y="0"/>
                <wp:positionH relativeFrom="column">
                  <wp:posOffset>3901440</wp:posOffset>
                </wp:positionH>
                <wp:positionV relativeFrom="paragraph">
                  <wp:posOffset>4525645</wp:posOffset>
                </wp:positionV>
                <wp:extent cx="390525" cy="1603375"/>
                <wp:effectExtent l="0" t="0" r="0" b="0"/>
                <wp:wrapNone/>
                <wp:docPr id="120" name="文本框 120"/>
                <wp:cNvGraphicFramePr/>
                <a:graphic xmlns:a="http://schemas.openxmlformats.org/drawingml/2006/main">
                  <a:graphicData uri="http://schemas.microsoft.com/office/word/2010/wordprocessingShape">
                    <wps:wsp>
                      <wps:cNvSpPr txBox="1"/>
                      <wps:spPr>
                        <a:xfrm>
                          <a:off x="5171440" y="4511040"/>
                          <a:ext cx="390525" cy="16033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480" w:lineRule="auto"/>
                              <w:ind w:left="0" w:leftChars="0" w:firstLine="0" w:firstLineChars="0"/>
                              <w:rPr>
                                <w:rFonts w:hint="eastAsia" w:eastAsia="宋体"/>
                                <w:sz w:val="21"/>
                                <w:szCs w:val="16"/>
                                <w:lang w:val="en-US" w:eastAsia="zh-CN"/>
                              </w:rPr>
                            </w:pPr>
                            <w:r>
                              <w:rPr>
                                <w:rFonts w:hint="eastAsia"/>
                                <w:sz w:val="21"/>
                                <w:szCs w:val="16"/>
                                <w:lang w:val="en-US" w:eastAsia="zh-CN"/>
                              </w:rPr>
                              <w:t>主干道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7.2pt;margin-top:356.35pt;height:126.25pt;width:30.75pt;z-index:251757568;mso-width-relative:page;mso-height-relative:page;" filled="f" stroked="f" coordsize="21600,21600" o:gfxdata="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qvYi33QAAAAsBAAAPAAAAAAAA&#10;AAEAIAAAACIAAABkcnMvZG93bnJldi54bWxQSwECFAAUAAAACACHTuJAYQq8AEYCAAB2BAAADgAA&#10;AAAAAAABACAAAAAsAQAAZHJzL2Uyb0RvYy54bWxQSwUGAAAAAAYABgBZAQAA5AUAAAAA&#10;">
                <v:fill on="f" focussize="0,0"/>
                <v:stroke on="f" weight="0.5pt"/>
                <v:imagedata o:title=""/>
                <o:lock v:ext="edit" aspectratio="f"/>
                <v:textbox>
                  <w:txbxContent>
                    <w:p>
                      <w:pPr>
                        <w:spacing w:line="480" w:lineRule="auto"/>
                        <w:ind w:left="0" w:leftChars="0" w:firstLine="0" w:firstLineChars="0"/>
                        <w:rPr>
                          <w:rFonts w:hint="eastAsia" w:eastAsia="宋体"/>
                          <w:sz w:val="21"/>
                          <w:szCs w:val="16"/>
                          <w:lang w:val="en-US" w:eastAsia="zh-CN"/>
                        </w:rPr>
                      </w:pPr>
                      <w:r>
                        <w:rPr>
                          <w:rFonts w:hint="eastAsia"/>
                          <w:sz w:val="21"/>
                          <w:szCs w:val="16"/>
                          <w:lang w:val="en-US" w:eastAsia="zh-CN"/>
                        </w:rPr>
                        <w:t>主干道</w:t>
                      </w:r>
                    </w:p>
                  </w:txbxContent>
                </v:textbox>
              </v:shape>
            </w:pict>
          </mc:Fallback>
        </mc:AlternateContent>
      </w:r>
      <w:r>
        <w:rPr>
          <w:color w:val="auto"/>
          <w:sz w:val="21"/>
        </w:rPr>
        <mc:AlternateContent>
          <mc:Choice Requires="wps">
            <w:drawing>
              <wp:anchor distT="0" distB="0" distL="114300" distR="114300" simplePos="0" relativeHeight="251740160" behindDoc="0" locked="0" layoutInCell="1" allowOverlap="1">
                <wp:simplePos x="0" y="0"/>
                <wp:positionH relativeFrom="column">
                  <wp:posOffset>2327910</wp:posOffset>
                </wp:positionH>
                <wp:positionV relativeFrom="paragraph">
                  <wp:posOffset>5019675</wp:posOffset>
                </wp:positionV>
                <wp:extent cx="1571625" cy="15875"/>
                <wp:effectExtent l="0" t="1270" r="9525" b="20955"/>
                <wp:wrapNone/>
                <wp:docPr id="45" name="直接连接符 45"/>
                <wp:cNvGraphicFramePr/>
                <a:graphic xmlns:a="http://schemas.openxmlformats.org/drawingml/2006/main">
                  <a:graphicData uri="http://schemas.microsoft.com/office/word/2010/wordprocessingShape">
                    <wps:wsp>
                      <wps:cNvCnPr/>
                      <wps:spPr>
                        <a:xfrm flipV="1">
                          <a:off x="0" y="0"/>
                          <a:ext cx="1571625" cy="1587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83.3pt;margin-top:395.25pt;height:1.25pt;width:123.75pt;z-index:251740160;mso-width-relative:page;mso-height-relative:page;" filled="f" stroked="t" coordsize="21600,21600" o:gfxdata="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Am0PJnaAAAACwEAAA8AAAAAAAAAAQAgAAAAIgAAAGRycy9kb3ducmV2Lnht&#10;bFBLAQIUABQAAAAIAIdO4kD6pvgt9wEAAMIDAAAOAAAAAAAAAAEAIAAAACkBAABkcnMvZTJvRG9j&#10;LnhtbFBLBQYAAAAABgAGAFkBAACSBQAAAAA=&#10;">
                <v:fill on="f" focussize="0,0"/>
                <v:stroke weight="3pt" color="#5B9BD5 [3204]" miterlimit="8" joinstyle="miter"/>
                <v:imagedata o:title=""/>
                <o:lock v:ext="edit" aspectratio="f"/>
              </v:line>
            </w:pict>
          </mc:Fallback>
        </mc:AlternateContent>
      </w:r>
      <w:r>
        <w:rPr>
          <w:color w:val="auto"/>
          <w:sz w:val="21"/>
        </w:rPr>
        <mc:AlternateContent>
          <mc:Choice Requires="wps">
            <w:drawing>
              <wp:anchor distT="0" distB="0" distL="114300" distR="114300" simplePos="0" relativeHeight="251745280" behindDoc="0" locked="0" layoutInCell="1" allowOverlap="1">
                <wp:simplePos x="0" y="0"/>
                <wp:positionH relativeFrom="column">
                  <wp:posOffset>3938905</wp:posOffset>
                </wp:positionH>
                <wp:positionV relativeFrom="paragraph">
                  <wp:posOffset>3355975</wp:posOffset>
                </wp:positionV>
                <wp:extent cx="309880" cy="7620"/>
                <wp:effectExtent l="635" t="19050" r="13335" b="30480"/>
                <wp:wrapNone/>
                <wp:docPr id="48" name="直接连接符 48"/>
                <wp:cNvGraphicFramePr/>
                <a:graphic xmlns:a="http://schemas.openxmlformats.org/drawingml/2006/main">
                  <a:graphicData uri="http://schemas.microsoft.com/office/word/2010/wordprocessingShape">
                    <wps:wsp>
                      <wps:cNvCnPr/>
                      <wps:spPr>
                        <a:xfrm flipH="1" flipV="1">
                          <a:off x="0" y="0"/>
                          <a:ext cx="309880" cy="762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310.15pt;margin-top:264.25pt;height:0.6pt;width:24.4pt;z-index:251745280;mso-width-relative:page;mso-height-relative:page;" filled="f" stroked="t" coordsize="21600,21600" o:gfxdata="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Jem7kXaAAAACwEAAA8AAAAAAAAAAQAgAAAAIgAAAGRycy9kb3ducmV2&#10;LnhtbFBLAQIUABQAAAAIAIdO4kCFXL7t+gEAAMoDAAAOAAAAAAAAAAEAIAAAACkBAABkcnMvZTJv&#10;RG9jLnhtbFBLBQYAAAAABgAGAFkBAACVBQAAAAA=&#10;">
                <v:fill on="f" focussize="0,0"/>
                <v:stroke weight="3pt" color="#5B9BD5 [3204]" miterlimit="8" joinstyle="miter"/>
                <v:imagedata o:title=""/>
                <o:lock v:ext="edit" aspectratio="f"/>
              </v:line>
            </w:pict>
          </mc:Fallback>
        </mc:AlternateContent>
      </w:r>
      <w:r>
        <w:rPr>
          <w:color w:val="auto"/>
          <w:sz w:val="21"/>
        </w:rPr>
        <mc:AlternateContent>
          <mc:Choice Requires="wps">
            <w:drawing>
              <wp:anchor distT="0" distB="0" distL="114300" distR="114300" simplePos="0" relativeHeight="251677696" behindDoc="0" locked="0" layoutInCell="1" allowOverlap="1">
                <wp:simplePos x="0" y="0"/>
                <wp:positionH relativeFrom="column">
                  <wp:posOffset>1849755</wp:posOffset>
                </wp:positionH>
                <wp:positionV relativeFrom="paragraph">
                  <wp:posOffset>8336915</wp:posOffset>
                </wp:positionV>
                <wp:extent cx="99060" cy="91440"/>
                <wp:effectExtent l="6985" t="6350" r="8255" b="16510"/>
                <wp:wrapNone/>
                <wp:docPr id="64" name="六边形 64"/>
                <wp:cNvGraphicFramePr/>
                <a:graphic xmlns:a="http://schemas.openxmlformats.org/drawingml/2006/main">
                  <a:graphicData uri="http://schemas.microsoft.com/office/word/2010/wordprocessingShape">
                    <wps:wsp>
                      <wps:cNvSpPr/>
                      <wps:spPr>
                        <a:xfrm>
                          <a:off x="3040380" y="7863205"/>
                          <a:ext cx="99060" cy="91440"/>
                        </a:xfrm>
                        <a:prstGeom prst="hexagon">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9" type="#_x0000_t9" style="position:absolute;left:0pt;margin-left:145.65pt;margin-top:656.45pt;height:7.2pt;width:7.8pt;z-index:251677696;v-text-anchor:middle;mso-width-relative:page;mso-height-relative:page;" fillcolor="#00B050" filled="t" stroked="t" coordsize="21600,21600" o:gfxdata="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X8B4B9sAAAANAQAADwAAAAAAAAAB&#10;ACAAAAAiAAAAZHJzL2Rvd25yZXYueG1sUEsBAhQAFAAAAAgAh07iQFMRbCJ/AgAABQUAAA4AAAAA&#10;AAAAAQAgAAAAKgEAAGRycy9lMm9Eb2MueG1sUEsFBgAAAAAGAAYAWQEAABsGAAAAAA==&#10;" adj="4984">
                <v:fill on="t" focussize="0,0"/>
                <v:stroke weight="1pt" color="#00B05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741184" behindDoc="0" locked="0" layoutInCell="1" allowOverlap="1">
                <wp:simplePos x="0" y="0"/>
                <wp:positionH relativeFrom="column">
                  <wp:posOffset>1907540</wp:posOffset>
                </wp:positionH>
                <wp:positionV relativeFrom="paragraph">
                  <wp:posOffset>8382635</wp:posOffset>
                </wp:positionV>
                <wp:extent cx="365125" cy="11430"/>
                <wp:effectExtent l="635" t="2540" r="15240" b="24130"/>
                <wp:wrapNone/>
                <wp:docPr id="185" name="直接连接符 185"/>
                <wp:cNvGraphicFramePr/>
                <a:graphic xmlns:a="http://schemas.openxmlformats.org/drawingml/2006/main">
                  <a:graphicData uri="http://schemas.microsoft.com/office/word/2010/wordprocessingShape">
                    <wps:wsp>
                      <wps:cNvCnPr/>
                      <wps:spPr>
                        <a:xfrm flipH="1" flipV="1">
                          <a:off x="0" y="0"/>
                          <a:ext cx="365125" cy="11430"/>
                        </a:xfrm>
                        <a:prstGeom prst="line">
                          <a:avLst/>
                        </a:prstGeom>
                        <a:ln w="3810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150.2pt;margin-top:660.05pt;height:0.9pt;width:28.75pt;z-index:251741184;mso-width-relative:page;mso-height-relative:page;" filled="f" stroked="t" coordsize="21600,21600" o:gfxdata="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AvDHHXZAAAADQEAAA8AAAAAAAAAAQAgAAAAIgAAAGRycy9kb3ducmV2&#10;LnhtbFBLAQIUABQAAAAIAIdO4kAbI/pM+wEAAM0DAAAOAAAAAAAAAAEAIAAAACgBAABkcnMvZTJv&#10;RG9jLnhtbFBLBQYAAAAABgAGAFkBAACVBQAAAAA=&#10;">
                <v:fill on="f" focussize="0,0"/>
                <v:stroke weight="3pt" color="#7030A0 [3204]" miterlimit="8" joinstyle="miter"/>
                <v:imagedata o:title=""/>
                <o:lock v:ext="edit" aspectratio="f"/>
              </v:line>
            </w:pict>
          </mc:Fallback>
        </mc:AlternateContent>
      </w:r>
      <w:r>
        <w:rPr>
          <w:color w:val="auto"/>
          <w:sz w:val="21"/>
        </w:rPr>
        <mc:AlternateContent>
          <mc:Choice Requires="wps">
            <w:drawing>
              <wp:anchor distT="0" distB="0" distL="114300" distR="114300" simplePos="0" relativeHeight="251738112" behindDoc="0" locked="0" layoutInCell="1" allowOverlap="1">
                <wp:simplePos x="0" y="0"/>
                <wp:positionH relativeFrom="column">
                  <wp:posOffset>3947795</wp:posOffset>
                </wp:positionH>
                <wp:positionV relativeFrom="paragraph">
                  <wp:posOffset>3408680</wp:posOffset>
                </wp:positionV>
                <wp:extent cx="38735" cy="5062855"/>
                <wp:effectExtent l="19050" t="0" r="37465" b="4445"/>
                <wp:wrapNone/>
                <wp:docPr id="180" name="直接连接符 180"/>
                <wp:cNvGraphicFramePr/>
                <a:graphic xmlns:a="http://schemas.openxmlformats.org/drawingml/2006/main">
                  <a:graphicData uri="http://schemas.microsoft.com/office/word/2010/wordprocessingShape">
                    <wps:wsp>
                      <wps:cNvCnPr/>
                      <wps:spPr>
                        <a:xfrm flipH="1">
                          <a:off x="0" y="0"/>
                          <a:ext cx="38735" cy="5062855"/>
                        </a:xfrm>
                        <a:prstGeom prst="line">
                          <a:avLst/>
                        </a:prstGeom>
                        <a:ln w="3810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310.85pt;margin-top:268.4pt;height:398.65pt;width:3.05pt;z-index:251738112;mso-width-relative:page;mso-height-relative:page;" filled="f" stroked="t" coordsize="21600,21600" o:gfxdata="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vRsfG2QAAAAwBAAAPAAAAAAAAAAEAIAAAACIAAABkcnMvZG93bnJldi54bWxQ&#10;SwECFAAUAAAACACHTuJA81Tv9fYBAADEAwAADgAAAAAAAAABACAAAAAoAQAAZHJzL2Uyb0RvYy54&#10;bWxQSwUGAAAAAAYABgBZAQAAkAUAAAAA&#10;">
                <v:fill on="f" focussize="0,0"/>
                <v:stroke weight="3pt" color="#7030A0 [3204]" miterlimit="8" joinstyle="miter"/>
                <v:imagedata o:title=""/>
                <o:lock v:ext="edit" aspectratio="f"/>
              </v:line>
            </w:pict>
          </mc:Fallback>
        </mc:AlternateContent>
      </w:r>
      <w:r>
        <w:rPr>
          <w:color w:val="auto"/>
          <w:sz w:val="21"/>
        </w:rPr>
        <mc:AlternateContent>
          <mc:Choice Requires="wps">
            <w:drawing>
              <wp:anchor distT="0" distB="0" distL="114300" distR="114300" simplePos="0" relativeHeight="251746304" behindDoc="0" locked="0" layoutInCell="1" allowOverlap="1">
                <wp:simplePos x="0" y="0"/>
                <wp:positionH relativeFrom="column">
                  <wp:posOffset>4256405</wp:posOffset>
                </wp:positionH>
                <wp:positionV relativeFrom="paragraph">
                  <wp:posOffset>3347720</wp:posOffset>
                </wp:positionV>
                <wp:extent cx="8255" cy="5572125"/>
                <wp:effectExtent l="19050" t="0" r="29845" b="9525"/>
                <wp:wrapNone/>
                <wp:docPr id="49" name="直接连接符 49"/>
                <wp:cNvGraphicFramePr/>
                <a:graphic xmlns:a="http://schemas.openxmlformats.org/drawingml/2006/main">
                  <a:graphicData uri="http://schemas.microsoft.com/office/word/2010/wordprocessingShape">
                    <wps:wsp>
                      <wps:cNvCnPr/>
                      <wps:spPr>
                        <a:xfrm flipV="1">
                          <a:off x="0" y="0"/>
                          <a:ext cx="8255" cy="557212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335.15pt;margin-top:263.6pt;height:438.75pt;width:0.65pt;z-index:251746304;mso-width-relative:page;mso-height-relative:page;" filled="f" stroked="t" coordsize="21600,21600" o:gfxdata="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ce1zi9sAAAAMAQAADwAAAAAAAAABACAAAAAiAAAAZHJzL2Rvd25yZXYueG1s&#10;UEsBAhQAFAAAAAgAh07iQARUnIH1AQAAwQMAAA4AAAAAAAAAAQAgAAAAKgEAAGRycy9lMm9Eb2Mu&#10;eG1sUEsFBgAAAAAGAAYAWQEAAJEFAAAAAA==&#10;">
                <v:fill on="f" focussize="0,0"/>
                <v:stroke weight="3pt" color="#5B9BD5 [3204]" miterlimit="8" joinstyle="miter"/>
                <v:imagedata o:title=""/>
                <o:lock v:ext="edit" aspectratio="f"/>
              </v:line>
            </w:pict>
          </mc:Fallback>
        </mc:AlternateContent>
      </w:r>
      <w:r>
        <w:rPr>
          <w:color w:val="auto"/>
          <w:sz w:val="21"/>
        </w:rPr>
        <mc:AlternateContent>
          <mc:Choice Requires="wps">
            <w:drawing>
              <wp:anchor distT="0" distB="0" distL="114300" distR="114300" simplePos="0" relativeHeight="251747328" behindDoc="0" locked="0" layoutInCell="1" allowOverlap="1">
                <wp:simplePos x="0" y="0"/>
                <wp:positionH relativeFrom="column">
                  <wp:posOffset>4295775</wp:posOffset>
                </wp:positionH>
                <wp:positionV relativeFrom="paragraph">
                  <wp:posOffset>3490595</wp:posOffset>
                </wp:positionV>
                <wp:extent cx="7620" cy="5429250"/>
                <wp:effectExtent l="19050" t="0" r="30480" b="0"/>
                <wp:wrapNone/>
                <wp:docPr id="181" name="直接连接符 181"/>
                <wp:cNvGraphicFramePr/>
                <a:graphic xmlns:a="http://schemas.openxmlformats.org/drawingml/2006/main">
                  <a:graphicData uri="http://schemas.microsoft.com/office/word/2010/wordprocessingShape">
                    <wps:wsp>
                      <wps:cNvCnPr/>
                      <wps:spPr>
                        <a:xfrm>
                          <a:off x="0" y="0"/>
                          <a:ext cx="7620" cy="5429250"/>
                        </a:xfrm>
                        <a:prstGeom prst="line">
                          <a:avLst/>
                        </a:prstGeom>
                        <a:ln w="3810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38.25pt;margin-top:274.85pt;height:427.5pt;width:0.6pt;z-index:251747328;mso-width-relative:page;mso-height-relative:page;" filled="f" stroked="t" coordsize="21600,21600" o:gfxdata="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ytFBwNgAAAAMAQAADwAAAAAAAAABACAAAAAiAAAAZHJzL2Rvd25yZXYueG1sUEsBAhQAFAAA&#10;AAgAh07iQJOEdrHvAQAAuQMAAA4AAAAAAAAAAQAgAAAAJwEAAGRycy9lMm9Eb2MueG1sUEsFBgAA&#10;AAAGAAYAWQEAAIgFAAAAAA==&#10;">
                <v:fill on="f" focussize="0,0"/>
                <v:stroke weight="3pt" color="#7030A0 [3204]" miterlimit="8" joinstyle="miter"/>
                <v:imagedata o:title=""/>
                <o:lock v:ext="edit" aspectratio="f"/>
              </v:line>
            </w:pict>
          </mc:Fallback>
        </mc:AlternateContent>
      </w:r>
      <w:r>
        <w:rPr>
          <w:color w:val="auto"/>
          <w:sz w:val="21"/>
        </w:rPr>
        <mc:AlternateContent>
          <mc:Choice Requires="wps">
            <w:drawing>
              <wp:anchor distT="0" distB="0" distL="114300" distR="114300" simplePos="0" relativeHeight="251739136" behindDoc="0" locked="0" layoutInCell="1" allowOverlap="1">
                <wp:simplePos x="0" y="0"/>
                <wp:positionH relativeFrom="column">
                  <wp:posOffset>3876040</wp:posOffset>
                </wp:positionH>
                <wp:positionV relativeFrom="paragraph">
                  <wp:posOffset>2940685</wp:posOffset>
                </wp:positionV>
                <wp:extent cx="71120" cy="5626735"/>
                <wp:effectExtent l="19050" t="0" r="24130" b="12065"/>
                <wp:wrapNone/>
                <wp:docPr id="4" name="直接连接符 4"/>
                <wp:cNvGraphicFramePr/>
                <a:graphic xmlns:a="http://schemas.openxmlformats.org/drawingml/2006/main">
                  <a:graphicData uri="http://schemas.microsoft.com/office/word/2010/wordprocessingShape">
                    <wps:wsp>
                      <wps:cNvCnPr/>
                      <wps:spPr>
                        <a:xfrm flipV="1">
                          <a:off x="0" y="0"/>
                          <a:ext cx="71120" cy="562673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305.2pt;margin-top:231.55pt;height:443.05pt;width:5.6pt;z-index:251739136;mso-width-relative:page;mso-height-relative:page;" filled="f" stroked="t" coordsize="21600,21600" o:gfxdata="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GY094XbAAAADAEAAA8AAAAAAAAAAQAgAAAAIgAAAGRycy9kb3ducmV2Lnht&#10;bFBLAQIUABQAAAAIAIdO4kAAc07B9gEAAMADAAAOAAAAAAAAAAEAIAAAACoBAABkcnMvZTJvRG9j&#10;LnhtbFBLBQYAAAAABgAGAFkBAACSBQAAAAA=&#10;">
                <v:fill on="f" focussize="0,0"/>
                <v:stroke weight="3pt" color="#5B9BD5 [3204]" miterlimit="8" joinstyle="miter"/>
                <v:imagedata o:title=""/>
                <o:lock v:ext="edit" aspectratio="f"/>
              </v:line>
            </w:pict>
          </mc:Fallback>
        </mc:AlternateContent>
      </w:r>
      <w:r>
        <w:rPr>
          <w:color w:val="auto"/>
          <w:sz w:val="21"/>
        </w:rPr>
        <mc:AlternateContent>
          <mc:Choice Requires="wps">
            <w:drawing>
              <wp:anchor distT="0" distB="0" distL="114300" distR="114300" simplePos="0" relativeHeight="251744256" behindDoc="0" locked="0" layoutInCell="1" allowOverlap="1">
                <wp:simplePos x="0" y="0"/>
                <wp:positionH relativeFrom="column">
                  <wp:posOffset>2240280</wp:posOffset>
                </wp:positionH>
                <wp:positionV relativeFrom="paragraph">
                  <wp:posOffset>8547100</wp:posOffset>
                </wp:positionV>
                <wp:extent cx="1642745" cy="8255"/>
                <wp:effectExtent l="0" t="19050" r="14605" b="29845"/>
                <wp:wrapNone/>
                <wp:docPr id="46" name="直接连接符 46"/>
                <wp:cNvGraphicFramePr/>
                <a:graphic xmlns:a="http://schemas.openxmlformats.org/drawingml/2006/main">
                  <a:graphicData uri="http://schemas.microsoft.com/office/word/2010/wordprocessingShape">
                    <wps:wsp>
                      <wps:cNvCnPr/>
                      <wps:spPr>
                        <a:xfrm flipV="1">
                          <a:off x="0" y="0"/>
                          <a:ext cx="1642745" cy="825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76.4pt;margin-top:673pt;height:0.65pt;width:129.35pt;z-index:251744256;mso-width-relative:page;mso-height-relative:page;" filled="f" stroked="t" coordsize="21600,21600" o:gfxdata="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N1+Jy3AAAAA0BAAAPAAAAAAAAAAEAIAAAACIAAABkcnMvZG93bnJldi54&#10;bWxQSwECFAAUAAAACACHTuJAufbwSfYBAADBAwAADgAAAAAAAAABACAAAAArAQAAZHJzL2Uyb0Rv&#10;Yy54bWxQSwUGAAAAAAYABgBZAQAAkwUAAAAA&#10;">
                <v:fill on="f" focussize="0,0"/>
                <v:stroke weight="3pt" color="#5B9BD5 [3204]" miterlimit="8" joinstyle="miter"/>
                <v:imagedata o:title=""/>
                <o:lock v:ext="edit" aspectratio="f"/>
              </v:line>
            </w:pict>
          </mc:Fallback>
        </mc:AlternateContent>
      </w:r>
      <w:r>
        <w:rPr>
          <w:color w:val="auto"/>
          <w:sz w:val="21"/>
        </w:rPr>
        <mc:AlternateContent>
          <mc:Choice Requires="wps">
            <w:drawing>
              <wp:anchor distT="0" distB="0" distL="114300" distR="114300" simplePos="0" relativeHeight="251760640" behindDoc="0" locked="0" layoutInCell="1" allowOverlap="1">
                <wp:simplePos x="0" y="0"/>
                <wp:positionH relativeFrom="column">
                  <wp:posOffset>6781165</wp:posOffset>
                </wp:positionH>
                <wp:positionV relativeFrom="paragraph">
                  <wp:posOffset>5699125</wp:posOffset>
                </wp:positionV>
                <wp:extent cx="1134745" cy="476250"/>
                <wp:effectExtent l="0" t="0" r="8255" b="0"/>
                <wp:wrapNone/>
                <wp:docPr id="130" name="矩形 130"/>
                <wp:cNvGraphicFramePr/>
                <a:graphic xmlns:a="http://schemas.openxmlformats.org/drawingml/2006/main">
                  <a:graphicData uri="http://schemas.microsoft.com/office/word/2010/wordprocessingShape">
                    <wps:wsp>
                      <wps:cNvSpPr/>
                      <wps:spPr>
                        <a:xfrm>
                          <a:off x="8082915" y="6684645"/>
                          <a:ext cx="1134745" cy="476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3.95pt;margin-top:448.75pt;height:37.5pt;width:89.35pt;z-index:251760640;v-text-anchor:middle;mso-width-relative:page;mso-height-relative:page;" fillcolor="#FFFFFF [3212]" filled="t" stroked="f" coordsize="21600,21600" o:gfxdata="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O11lDtwAAAANAQAADwAAAAAAAAABACAAAAAi&#10;AAAAZHJzL2Rvd25yZXYueG1sUEsBAhQAFAAAAAgAh07iQNjqXQx4AgAA2wQAAA4AAAAAAAAAAQAg&#10;AAAAKwEAAGRycy9lMm9Eb2MueG1sUEsFBgAAAAAGAAYAWQEAABUGAAAAAA==&#10;">
                <v:fill on="t" focussize="0,0"/>
                <v:stroke on="f" weight="1pt"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53472" behindDoc="0" locked="0" layoutInCell="1" allowOverlap="1">
                <wp:simplePos x="0" y="0"/>
                <wp:positionH relativeFrom="column">
                  <wp:posOffset>6637020</wp:posOffset>
                </wp:positionH>
                <wp:positionV relativeFrom="paragraph">
                  <wp:posOffset>10891520</wp:posOffset>
                </wp:positionV>
                <wp:extent cx="278130" cy="7620"/>
                <wp:effectExtent l="635" t="19050" r="6985" b="30480"/>
                <wp:wrapNone/>
                <wp:docPr id="186" name="直接连接符 186"/>
                <wp:cNvGraphicFramePr/>
                <a:graphic xmlns:a="http://schemas.openxmlformats.org/drawingml/2006/main">
                  <a:graphicData uri="http://schemas.microsoft.com/office/word/2010/wordprocessingShape">
                    <wps:wsp>
                      <wps:cNvCnPr/>
                      <wps:spPr>
                        <a:xfrm flipV="1">
                          <a:off x="0" y="0"/>
                          <a:ext cx="278130" cy="7620"/>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522.6pt;margin-top:857.6pt;height:0.6pt;width:21.9pt;z-index:251753472;mso-width-relative:page;mso-height-relative:page;" filled="f" stroked="t" coordsize="21600,21600" o:gfxdata="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5RU5C2QAAAA8BAAAPAAAAAAAAAAEAIAAAACIAAABkcnMvZG93bnJldi54bWxQSwEC&#10;FAAUAAAACACHTuJAhr1ZBfMBAADCAwAADgAAAAAAAAABACAAAAAoAQAAZHJzL2Uyb0RvYy54bWxQ&#10;SwUGAAAAAAYABgBZAQAAjQUAAAAA&#10;">
                <v:fill on="f" focussize="0,0"/>
                <v:stroke weight="3pt" color="#0070C0 [3204]" miterlimit="8" joinstyle="miter"/>
                <v:imagedata o:title=""/>
                <o:lock v:ext="edit" aspectratio="f"/>
              </v:line>
            </w:pict>
          </mc:Fallback>
        </mc:AlternateContent>
      </w:r>
      <w:r>
        <w:rPr>
          <w:color w:val="auto"/>
          <w:sz w:val="21"/>
        </w:rPr>
        <mc:AlternateContent>
          <mc:Choice Requires="wps">
            <w:drawing>
              <wp:anchor distT="0" distB="0" distL="114300" distR="114300" simplePos="0" relativeHeight="251754496" behindDoc="0" locked="0" layoutInCell="1" allowOverlap="1">
                <wp:simplePos x="0" y="0"/>
                <wp:positionH relativeFrom="column">
                  <wp:posOffset>6638290</wp:posOffset>
                </wp:positionH>
                <wp:positionV relativeFrom="paragraph">
                  <wp:posOffset>10615930</wp:posOffset>
                </wp:positionV>
                <wp:extent cx="278130" cy="7620"/>
                <wp:effectExtent l="635" t="19050" r="6985" b="30480"/>
                <wp:wrapNone/>
                <wp:docPr id="187" name="直接连接符 187"/>
                <wp:cNvGraphicFramePr/>
                <a:graphic xmlns:a="http://schemas.openxmlformats.org/drawingml/2006/main">
                  <a:graphicData uri="http://schemas.microsoft.com/office/word/2010/wordprocessingShape">
                    <wps:wsp>
                      <wps:cNvCnPr/>
                      <wps:spPr>
                        <a:xfrm flipV="1">
                          <a:off x="0" y="0"/>
                          <a:ext cx="278130" cy="7620"/>
                        </a:xfrm>
                        <a:prstGeom prst="line">
                          <a:avLst/>
                        </a:prstGeom>
                        <a:ln w="3810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522.7pt;margin-top:835.9pt;height:0.6pt;width:21.9pt;z-index:251754496;mso-width-relative:page;mso-height-relative:page;" filled="f" stroked="t" coordsize="21600,21600" o:gfxdata="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hp3yKNsAAAAPAQAADwAAAAAAAAABACAAAAAiAAAAZHJzL2Rvd25yZXYueG1s&#10;UEsBAhQAFAAAAAgAh07iQBia+nD1AQAAwgMAAA4AAAAAAAAAAQAgAAAAKgEAAGRycy9lMm9Eb2Mu&#10;eG1sUEsFBgAAAAAGAAYAWQEAAJEFAAAAAA==&#10;">
                <v:fill on="f" focussize="0,0"/>
                <v:stroke weight="3pt" color="#7030A0 [3204]" miterlimit="8" joinstyle="miter"/>
                <v:imagedata o:title=""/>
                <o:lock v:ext="edit" aspectratio="f"/>
              </v:line>
            </w:pict>
          </mc:Fallback>
        </mc:AlternateContent>
      </w:r>
      <w:r>
        <w:rPr>
          <w:color w:val="auto"/>
          <w:sz w:val="21"/>
        </w:rPr>
        <mc:AlternateContent>
          <mc:Choice Requires="wps">
            <w:drawing>
              <wp:anchor distT="0" distB="0" distL="114300" distR="114300" simplePos="0" relativeHeight="251758592" behindDoc="0" locked="0" layoutInCell="1" allowOverlap="1">
                <wp:simplePos x="0" y="0"/>
                <wp:positionH relativeFrom="column">
                  <wp:posOffset>6717030</wp:posOffset>
                </wp:positionH>
                <wp:positionV relativeFrom="paragraph">
                  <wp:posOffset>10022205</wp:posOffset>
                </wp:positionV>
                <wp:extent cx="122555" cy="106680"/>
                <wp:effectExtent l="6985" t="6350" r="22860" b="20320"/>
                <wp:wrapNone/>
                <wp:docPr id="125" name="六边形 125"/>
                <wp:cNvGraphicFramePr/>
                <a:graphic xmlns:a="http://schemas.openxmlformats.org/drawingml/2006/main">
                  <a:graphicData uri="http://schemas.microsoft.com/office/word/2010/wordprocessingShape">
                    <wps:wsp>
                      <wps:cNvSpPr/>
                      <wps:spPr>
                        <a:xfrm>
                          <a:off x="0" y="0"/>
                          <a:ext cx="122555" cy="106680"/>
                        </a:xfrm>
                        <a:prstGeom prst="hexagon">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9" type="#_x0000_t9" style="position:absolute;left:0pt;margin-left:528.9pt;margin-top:789.15pt;height:8.4pt;width:9.65pt;z-index:251758592;v-text-anchor:middle;mso-width-relative:page;mso-height-relative:page;" fillcolor="#00B050" filled="t" stroked="t" coordsize="21600,21600" o:gfxdata="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Bq/KoNkAAAAPAQAADwAAAAAAAAABACAAAAAiAAAAZHJz&#10;L2Rvd25yZXYueG1sUEsBAhQAFAAAAAgAh07iQHvHh9h1AgAA/QQAAA4AAAAAAAAAAQAgAAAAKAEA&#10;AGRycy9lMm9Eb2MueG1sUEsFBgAAAAAGAAYAWQEAAA8GAAAAAA==&#10;" adj="4700">
                <v:fill on="t" focussize="0,0"/>
                <v:stroke weight="1pt" color="#00B05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676672" behindDoc="0" locked="0" layoutInCell="1" allowOverlap="1">
                <wp:simplePos x="0" y="0"/>
                <wp:positionH relativeFrom="column">
                  <wp:posOffset>6732270</wp:posOffset>
                </wp:positionH>
                <wp:positionV relativeFrom="paragraph">
                  <wp:posOffset>9744075</wp:posOffset>
                </wp:positionV>
                <wp:extent cx="91440" cy="99695"/>
                <wp:effectExtent l="6350" t="6350" r="16510" b="8255"/>
                <wp:wrapNone/>
                <wp:docPr id="63" name="椭圆 63"/>
                <wp:cNvGraphicFramePr/>
                <a:graphic xmlns:a="http://schemas.openxmlformats.org/drawingml/2006/main">
                  <a:graphicData uri="http://schemas.microsoft.com/office/word/2010/wordprocessingShape">
                    <wps:wsp>
                      <wps:cNvSpPr/>
                      <wps:spPr>
                        <a:xfrm>
                          <a:off x="0" y="0"/>
                          <a:ext cx="91440" cy="9969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480"/>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30.1pt;margin-top:767.25pt;height:7.85pt;width:7.2pt;z-index:251676672;v-text-anchor:middle;mso-width-relative:page;mso-height-relative:page;" fillcolor="#FF0000" filled="t" stroked="t" coordsize="21600,21600" o:gfxdata="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O1KnHDYAAAADwEAAA8AAAAAAAAAAQAgAAAAIgAAAGRycy9kb3du&#10;cmV2LnhtbFBLAQIUABQAAAAIAIdO4kCcv6bvcQIAAAEFAAAOAAAAAAAAAAEAIAAAACcBAABkcnMv&#10;ZTJvRG9jLnhtbFBLBQYAAAAABgAGAFkBAAAKBgAAAAA=&#10;">
                <v:fill on="t" focussize="0,0"/>
                <v:stroke weight="1pt" color="#FF0000 [3204]" miterlimit="8" joinstyle="miter"/>
                <v:imagedata o:title=""/>
                <o:lock v:ext="edit" aspectratio="f"/>
                <v:textbox>
                  <w:txbxContent>
                    <w:p>
                      <w:pPr>
                        <w:ind w:firstLine="480"/>
                        <w:jc w:val="center"/>
                      </w:pPr>
                      <w:r>
                        <w:rPr>
                          <w:rFonts w:hint="eastAsia"/>
                        </w:rPr>
                        <w:t xml:space="preserve">  </w:t>
                      </w:r>
                    </w:p>
                  </w:txbxContent>
                </v:textbox>
              </v:shape>
            </w:pict>
          </mc:Fallback>
        </mc:AlternateContent>
      </w:r>
      <w:r>
        <w:rPr>
          <w:color w:val="auto"/>
          <w:sz w:val="21"/>
        </w:rPr>
        <mc:AlternateContent>
          <mc:Choice Requires="wps">
            <w:drawing>
              <wp:anchor distT="0" distB="0" distL="114300" distR="114300" simplePos="0" relativeHeight="251759616" behindDoc="0" locked="0" layoutInCell="1" allowOverlap="1">
                <wp:simplePos x="0" y="0"/>
                <wp:positionH relativeFrom="column">
                  <wp:posOffset>6710045</wp:posOffset>
                </wp:positionH>
                <wp:positionV relativeFrom="paragraph">
                  <wp:posOffset>10314940</wp:posOffset>
                </wp:positionV>
                <wp:extent cx="111125" cy="111125"/>
                <wp:effectExtent l="7620" t="8255" r="14605" b="13970"/>
                <wp:wrapNone/>
                <wp:docPr id="126" name="正五边形 126"/>
                <wp:cNvGraphicFramePr/>
                <a:graphic xmlns:a="http://schemas.openxmlformats.org/drawingml/2006/main">
                  <a:graphicData uri="http://schemas.microsoft.com/office/word/2010/wordprocessingShape">
                    <wps:wsp>
                      <wps:cNvSpPr/>
                      <wps:spPr>
                        <a:xfrm>
                          <a:off x="0" y="0"/>
                          <a:ext cx="111125" cy="111125"/>
                        </a:xfrm>
                        <a:prstGeom prst="pentagon">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6" type="#_x0000_t56" style="position:absolute;left:0pt;margin-left:528.35pt;margin-top:812.2pt;height:8.75pt;width:8.75pt;z-index:251759616;v-text-anchor:middle;mso-width-relative:page;mso-height-relative:page;" fillcolor="#FFC000" filled="t" stroked="t" coordsize="21600,21600" o:gfxdata="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SLdsQ9oAAAAPAQAADwAAAAAAAAABACAAAAAiAAAAZHJz&#10;L2Rvd25yZXYueG1sUEsBAhQAFAAAAAgAh07iQDEhPvR0AgAAAQUAAA4AAAAAAAAAAQAgAAAAKQEA&#10;AGRycy9lMm9Eb2MueG1sUEsFBgAAAAAGAAYAWQEAAA8GAAAAAA==&#10;">
                <v:fill on="t" focussize="0,0"/>
                <v:stroke weight="1pt" color="#FFC0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675648" behindDoc="0" locked="0" layoutInCell="1" allowOverlap="1">
                <wp:simplePos x="0" y="0"/>
                <wp:positionH relativeFrom="column">
                  <wp:posOffset>6302375</wp:posOffset>
                </wp:positionH>
                <wp:positionV relativeFrom="paragraph">
                  <wp:posOffset>9295765</wp:posOffset>
                </wp:positionV>
                <wp:extent cx="1865630" cy="2182495"/>
                <wp:effectExtent l="4445" t="5080" r="15875" b="22225"/>
                <wp:wrapNone/>
                <wp:docPr id="61" name="文本框 61"/>
                <wp:cNvGraphicFramePr/>
                <a:graphic xmlns:a="http://schemas.openxmlformats.org/drawingml/2006/main">
                  <a:graphicData uri="http://schemas.microsoft.com/office/word/2010/wordprocessingShape">
                    <wps:wsp>
                      <wps:cNvSpPr txBox="1"/>
                      <wps:spPr>
                        <a:xfrm>
                          <a:off x="7445375" y="10210165"/>
                          <a:ext cx="1865630" cy="21824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firstLine="0" w:firstLineChars="0"/>
                            </w:pPr>
                            <w:r>
                              <w:rPr>
                                <w:rFonts w:hint="eastAsia"/>
                              </w:rPr>
                              <w:t>图例：</w:t>
                            </w:r>
                          </w:p>
                          <w:p>
                            <w:pPr>
                              <w:pStyle w:val="2"/>
                              <w:spacing w:after="0"/>
                              <w:ind w:firstLine="960" w:firstLineChars="400"/>
                            </w:pPr>
                            <w:r>
                              <w:rPr>
                                <w:rFonts w:hint="eastAsia"/>
                              </w:rPr>
                              <w:t>废气排放口</w:t>
                            </w:r>
                          </w:p>
                          <w:p>
                            <w:pPr>
                              <w:ind w:firstLine="960" w:firstLineChars="400"/>
                            </w:pPr>
                            <w:r>
                              <w:rPr>
                                <w:rFonts w:hint="eastAsia"/>
                              </w:rPr>
                              <w:t>废水排放口</w:t>
                            </w:r>
                          </w:p>
                          <w:p>
                            <w:pPr>
                              <w:pStyle w:val="2"/>
                              <w:spacing w:after="0"/>
                              <w:ind w:firstLine="960" w:firstLineChars="400"/>
                            </w:pPr>
                            <w:r>
                              <w:rPr>
                                <w:rFonts w:hint="eastAsia"/>
                              </w:rPr>
                              <w:t>雨水排放口</w:t>
                            </w:r>
                          </w:p>
                          <w:p>
                            <w:pPr>
                              <w:pStyle w:val="2"/>
                              <w:spacing w:after="0"/>
                              <w:ind w:firstLine="960" w:firstLineChars="400"/>
                            </w:pPr>
                            <w:r>
                              <w:rPr>
                                <w:rFonts w:hint="eastAsia"/>
                              </w:rPr>
                              <w:t>污水管线</w:t>
                            </w:r>
                          </w:p>
                          <w:p>
                            <w:pPr>
                              <w:ind w:firstLine="960" w:firstLineChars="400"/>
                              <w:rPr>
                                <w:rFonts w:hint="eastAsia"/>
                              </w:rPr>
                            </w:pPr>
                            <w:r>
                              <w:rPr>
                                <w:rFonts w:hint="eastAsia"/>
                              </w:rPr>
                              <w:t>雨水管线</w:t>
                            </w:r>
                          </w:p>
                          <w:p>
                            <w:pPr>
                              <w:pStyle w:val="2"/>
                              <w:rPr>
                                <w:rFonts w:hint="default" w:eastAsia="宋体"/>
                                <w:lang w:val="en-US" w:eastAsia="zh-CN"/>
                              </w:rPr>
                            </w:pPr>
                            <w:r>
                              <w:rPr>
                                <w:rFonts w:hint="eastAsia"/>
                                <w:lang w:val="en-US" w:eastAsia="zh-CN"/>
                              </w:rPr>
                              <w:t xml:space="preserve">    环保治理设施</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6.25pt;margin-top:731.95pt;height:171.85pt;width:146.9pt;z-index:251675648;mso-width-relative:page;mso-height-relative:page;" fillcolor="#FFFFFF [3201]" filled="t" stroked="t" coordsize="21600,21600" o:gfxdata="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a85uZtoAAAAOAQAADwAAAAAAAAABACAAAAAiAAAAZHJzL2Rvd25yZXYueG1s&#10;UEsBAhQAFAAAAAgAh07iQF/GDqdoAgAAxwQAAA4AAAAAAAAAAQAgAAAAKQEAAGRycy9lMm9Eb2Mu&#10;eG1sUEsFBgAAAAAGAAYAWQEAAAMGAAAAAA==&#10;">
                <v:fill on="t" focussize="0,0"/>
                <v:stroke weight="0.5pt" color="#000000 [3204]" joinstyle="round"/>
                <v:imagedata o:title=""/>
                <o:lock v:ext="edit" aspectratio="f"/>
                <v:textbox>
                  <w:txbxContent>
                    <w:p>
                      <w:pPr>
                        <w:ind w:firstLine="0" w:firstLineChars="0"/>
                      </w:pPr>
                      <w:r>
                        <w:rPr>
                          <w:rFonts w:hint="eastAsia"/>
                        </w:rPr>
                        <w:t>图例：</w:t>
                      </w:r>
                    </w:p>
                    <w:p>
                      <w:pPr>
                        <w:pStyle w:val="2"/>
                        <w:spacing w:after="0"/>
                        <w:ind w:firstLine="960" w:firstLineChars="400"/>
                      </w:pPr>
                      <w:r>
                        <w:rPr>
                          <w:rFonts w:hint="eastAsia"/>
                        </w:rPr>
                        <w:t>废气排放口</w:t>
                      </w:r>
                    </w:p>
                    <w:p>
                      <w:pPr>
                        <w:ind w:firstLine="960" w:firstLineChars="400"/>
                      </w:pPr>
                      <w:r>
                        <w:rPr>
                          <w:rFonts w:hint="eastAsia"/>
                        </w:rPr>
                        <w:t>废水排放口</w:t>
                      </w:r>
                    </w:p>
                    <w:p>
                      <w:pPr>
                        <w:pStyle w:val="2"/>
                        <w:spacing w:after="0"/>
                        <w:ind w:firstLine="960" w:firstLineChars="400"/>
                      </w:pPr>
                      <w:r>
                        <w:rPr>
                          <w:rFonts w:hint="eastAsia"/>
                        </w:rPr>
                        <w:t>雨水排放口</w:t>
                      </w:r>
                    </w:p>
                    <w:p>
                      <w:pPr>
                        <w:pStyle w:val="2"/>
                        <w:spacing w:after="0"/>
                        <w:ind w:firstLine="960" w:firstLineChars="400"/>
                      </w:pPr>
                      <w:r>
                        <w:rPr>
                          <w:rFonts w:hint="eastAsia"/>
                        </w:rPr>
                        <w:t>污水管线</w:t>
                      </w:r>
                    </w:p>
                    <w:p>
                      <w:pPr>
                        <w:ind w:firstLine="960" w:firstLineChars="400"/>
                        <w:rPr>
                          <w:rFonts w:hint="eastAsia"/>
                        </w:rPr>
                      </w:pPr>
                      <w:r>
                        <w:rPr>
                          <w:rFonts w:hint="eastAsia"/>
                        </w:rPr>
                        <w:t>雨水管线</w:t>
                      </w:r>
                    </w:p>
                    <w:p>
                      <w:pPr>
                        <w:pStyle w:val="2"/>
                        <w:rPr>
                          <w:rFonts w:hint="default" w:eastAsia="宋体"/>
                          <w:lang w:val="en-US" w:eastAsia="zh-CN"/>
                        </w:rPr>
                      </w:pPr>
                      <w:r>
                        <w:rPr>
                          <w:rFonts w:hint="eastAsia"/>
                          <w:lang w:val="en-US" w:eastAsia="zh-CN"/>
                        </w:rPr>
                        <w:t xml:space="preserve">    环保治理设施</w:t>
                      </w:r>
                    </w:p>
                  </w:txbxContent>
                </v:textbox>
              </v:shape>
            </w:pict>
          </mc:Fallback>
        </mc:AlternateContent>
      </w:r>
      <w:r>
        <w:rPr>
          <w:color w:val="auto"/>
          <w:sz w:val="21"/>
        </w:rPr>
        <mc:AlternateContent>
          <mc:Choice Requires="wps">
            <w:drawing>
              <wp:anchor distT="0" distB="0" distL="114300" distR="114300" simplePos="0" relativeHeight="251671552" behindDoc="0" locked="0" layoutInCell="1" allowOverlap="1">
                <wp:simplePos x="0" y="0"/>
                <wp:positionH relativeFrom="column">
                  <wp:posOffset>5637530</wp:posOffset>
                </wp:positionH>
                <wp:positionV relativeFrom="paragraph">
                  <wp:posOffset>6529070</wp:posOffset>
                </wp:positionV>
                <wp:extent cx="75565" cy="75565"/>
                <wp:effectExtent l="6350" t="6350" r="13335" b="13335"/>
                <wp:wrapNone/>
                <wp:docPr id="35" name="椭圆 35"/>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43.9pt;margin-top:514.1pt;height:5.95pt;width:5.95pt;z-index:251671552;v-text-anchor:middle;mso-width-relative:page;mso-height-relative:page;" fillcolor="#FF0000" filled="t" stroked="t" coordsize="21600,21600" o:gfxdata="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j672q1wAAAA0BAAAPAAAAAAAAAAEAIAAAACIAAABkcnMvZG93bnJldi54bWxQ&#10;SwECFAAUAAAACACHTuJAyNMZnGoCAAD2BAAADgAAAAAAAAABACAAAAAmAQAAZHJzL2Uyb0RvYy54&#10;bWxQSwUGAAAAAAYABgBZAQAAAgYAAAAA&#10;">
                <v:fill on="t" focussize="0,0"/>
                <v:stroke weight="1pt" color="#FF0000 [3204]" miterlimit="8" joinstyle="miter"/>
                <v:imagedata o:title=""/>
                <o:lock v:ext="edit" aspectratio="f"/>
              </v:shape>
            </w:pict>
          </mc:Fallback>
        </mc:AlternateContent>
      </w:r>
      <w:r>
        <w:rPr>
          <w:rFonts w:eastAsia="黑体"/>
          <w:color w:val="auto"/>
          <w:sz w:val="21"/>
          <w:szCs w:val="21"/>
        </w:rPr>
        <w:t>图2.2-</w:t>
      </w:r>
      <w:r>
        <w:rPr>
          <w:rFonts w:hint="eastAsia" w:eastAsia="黑体"/>
          <w:color w:val="auto"/>
          <w:sz w:val="21"/>
          <w:szCs w:val="21"/>
        </w:rPr>
        <w:t>2</w:t>
      </w:r>
      <w:r>
        <w:rPr>
          <w:rFonts w:eastAsia="黑体"/>
          <w:color w:val="auto"/>
          <w:sz w:val="21"/>
          <w:szCs w:val="21"/>
        </w:rPr>
        <w:t xml:space="preserve"> 厂区平面布置</w:t>
      </w:r>
      <w:r>
        <w:rPr>
          <w:rFonts w:hint="eastAsia" w:eastAsia="黑体"/>
          <w:color w:val="auto"/>
          <w:sz w:val="21"/>
          <w:szCs w:val="21"/>
        </w:rPr>
        <w:t>图</w:t>
      </w:r>
    </w:p>
    <w:p>
      <w:pPr>
        <w:ind w:firstLine="482"/>
        <w:rPr>
          <w:color w:val="auto"/>
        </w:rPr>
      </w:pPr>
      <w:r>
        <w:rPr>
          <w:rFonts w:hint="eastAsia" w:eastAsia="黑体"/>
          <w:b/>
          <w:bCs/>
          <w:color w:val="auto"/>
          <w:szCs w:val="24"/>
        </w:rPr>
        <w:drawing>
          <wp:anchor distT="0" distB="0" distL="114300" distR="114300" simplePos="0" relativeHeight="251669504" behindDoc="0" locked="0" layoutInCell="1" allowOverlap="1">
            <wp:simplePos x="0" y="0"/>
            <wp:positionH relativeFrom="column">
              <wp:posOffset>6767830</wp:posOffset>
            </wp:positionH>
            <wp:positionV relativeFrom="paragraph">
              <wp:posOffset>-131445</wp:posOffset>
            </wp:positionV>
            <wp:extent cx="775970" cy="807720"/>
            <wp:effectExtent l="0" t="0" r="5080" b="11430"/>
            <wp:wrapNone/>
            <wp:docPr id="9" name="图片 9" descr="9231966187c51f82577e5b8e845b6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9231966187c51f82577e5b8e845b6da"/>
                    <pic:cNvPicPr>
                      <a:picLocks noChangeAspect="1"/>
                    </pic:cNvPicPr>
                  </pic:nvPicPr>
                  <pic:blipFill>
                    <a:blip r:embed="rId54"/>
                    <a:stretch>
                      <a:fillRect/>
                    </a:stretch>
                  </pic:blipFill>
                  <pic:spPr>
                    <a:xfrm>
                      <a:off x="0" y="0"/>
                      <a:ext cx="775970" cy="807720"/>
                    </a:xfrm>
                    <a:prstGeom prst="rect">
                      <a:avLst/>
                    </a:prstGeom>
                  </pic:spPr>
                </pic:pic>
              </a:graphicData>
            </a:graphic>
          </wp:anchor>
        </w:drawing>
      </w:r>
      <w:r>
        <w:rPr>
          <w:rFonts w:hint="eastAsia"/>
          <w:color w:val="auto"/>
        </w:rPr>
        <w:drawing>
          <wp:anchor distT="0" distB="0" distL="114300" distR="114300" simplePos="0" relativeHeight="251668480" behindDoc="0" locked="0" layoutInCell="1" allowOverlap="1">
            <wp:simplePos x="0" y="0"/>
            <wp:positionH relativeFrom="column">
              <wp:posOffset>1111250</wp:posOffset>
            </wp:positionH>
            <wp:positionV relativeFrom="paragraph">
              <wp:posOffset>-140335</wp:posOffset>
            </wp:positionV>
            <wp:extent cx="6448425" cy="4848860"/>
            <wp:effectExtent l="9525" t="9525" r="19050" b="18415"/>
            <wp:wrapSquare wrapText="bothSides"/>
            <wp:docPr id="8" name="图片 8" descr="1653618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653618138(1)"/>
                    <pic:cNvPicPr>
                      <a:picLocks noChangeAspect="1"/>
                    </pic:cNvPicPr>
                  </pic:nvPicPr>
                  <pic:blipFill>
                    <a:blip r:embed="rId59"/>
                    <a:stretch>
                      <a:fillRect/>
                    </a:stretch>
                  </pic:blipFill>
                  <pic:spPr>
                    <a:xfrm>
                      <a:off x="0" y="0"/>
                      <a:ext cx="6448425" cy="4848860"/>
                    </a:xfrm>
                    <a:prstGeom prst="rect">
                      <a:avLst/>
                    </a:prstGeom>
                    <a:ln>
                      <a:solidFill>
                        <a:schemeClr val="tx1"/>
                      </a:solidFill>
                    </a:ln>
                  </pic:spPr>
                </pic:pic>
              </a:graphicData>
            </a:graphic>
          </wp:anchor>
        </w:drawing>
      </w:r>
    </w:p>
    <w:p>
      <w:pPr>
        <w:ind w:firstLine="480"/>
        <w:rPr>
          <w:color w:val="auto"/>
        </w:rPr>
      </w:pPr>
    </w:p>
    <w:p>
      <w:pPr>
        <w:pStyle w:val="2"/>
        <w:spacing w:after="0"/>
        <w:ind w:firstLine="480"/>
        <w:rPr>
          <w:color w:val="auto"/>
        </w:rPr>
      </w:pPr>
    </w:p>
    <w:p>
      <w:pPr>
        <w:ind w:firstLine="480"/>
        <w:rPr>
          <w:color w:val="auto"/>
        </w:rPr>
      </w:pPr>
    </w:p>
    <w:p>
      <w:pPr>
        <w:pStyle w:val="2"/>
        <w:spacing w:after="0"/>
        <w:ind w:firstLine="480"/>
        <w:rPr>
          <w:color w:val="auto"/>
        </w:rPr>
      </w:pPr>
    </w:p>
    <w:p>
      <w:pPr>
        <w:ind w:firstLine="480"/>
        <w:rPr>
          <w:color w:val="auto"/>
        </w:rPr>
      </w:pPr>
    </w:p>
    <w:p>
      <w:pPr>
        <w:ind w:firstLine="480"/>
        <w:rPr>
          <w:color w:val="auto"/>
        </w:rPr>
      </w:pPr>
      <w:r>
        <w:rPr>
          <w:color w:val="auto"/>
        </w:rPr>
        <mc:AlternateContent>
          <mc:Choice Requires="wps">
            <w:drawing>
              <wp:anchor distT="0" distB="0" distL="114300" distR="114300" simplePos="0" relativeHeight="251670528" behindDoc="0" locked="0" layoutInCell="1" allowOverlap="1">
                <wp:simplePos x="0" y="0"/>
                <wp:positionH relativeFrom="column">
                  <wp:posOffset>3893185</wp:posOffset>
                </wp:positionH>
                <wp:positionV relativeFrom="paragraph">
                  <wp:posOffset>216535</wp:posOffset>
                </wp:positionV>
                <wp:extent cx="319405" cy="2603500"/>
                <wp:effectExtent l="0" t="0" r="4445" b="6350"/>
                <wp:wrapNone/>
                <wp:docPr id="14" name="文本框 14"/>
                <wp:cNvGraphicFramePr/>
                <a:graphic xmlns:a="http://schemas.openxmlformats.org/drawingml/2006/main">
                  <a:graphicData uri="http://schemas.microsoft.com/office/word/2010/wordprocessingShape">
                    <wps:wsp>
                      <wps:cNvSpPr txBox="1"/>
                      <wps:spPr>
                        <a:xfrm>
                          <a:off x="4815205" y="3140710"/>
                          <a:ext cx="319405" cy="2603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b/>
                                <w:bCs/>
                                <w:color w:val="FF0000"/>
                              </w:rPr>
                            </w:pPr>
                            <w:r>
                              <w:rPr>
                                <w:rFonts w:hint="eastAsia"/>
                                <w:b/>
                                <w:bCs/>
                                <w:color w:val="FF0000"/>
                              </w:rPr>
                              <w:t>荣丰西路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6.55pt;margin-top:17.05pt;height:205pt;width:25.15pt;z-index:251670528;mso-width-relative:page;mso-height-relative:page;" filled="f" stroked="f" coordsize="21600,21600" o:gfxdata="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mR1M19oAAAAKAQAADwAAAAAAAAAB&#10;ACAAAAAiAAAAZHJzL2Rvd25yZXYueG1sUEsBAhQAFAAAAAgAh07iQGWcOyNHAgAAdAQAAA4AAAAA&#10;AAAAAQAgAAAAKQEAAGRycy9lMm9Eb2MueG1sUEsFBgAAAAAGAAYAWQEAAOIFAAAAAA==&#10;">
                <v:fill on="f" focussize="0,0"/>
                <v:stroke on="f" weight="0.5pt"/>
                <v:imagedata o:title=""/>
                <o:lock v:ext="edit" aspectratio="f"/>
                <v:textbox>
                  <w:txbxContent>
                    <w:p>
                      <w:pPr>
                        <w:ind w:firstLine="0" w:firstLineChars="0"/>
                        <w:rPr>
                          <w:b/>
                          <w:bCs/>
                          <w:color w:val="FF0000"/>
                        </w:rPr>
                      </w:pPr>
                      <w:r>
                        <w:rPr>
                          <w:rFonts w:hint="eastAsia"/>
                          <w:b/>
                          <w:bCs/>
                          <w:color w:val="FF0000"/>
                        </w:rPr>
                        <w:t>荣丰西路</w:t>
                      </w:r>
                    </w:p>
                  </w:txbxContent>
                </v:textbox>
              </v:shape>
            </w:pict>
          </mc:Fallback>
        </mc:AlternateContent>
      </w: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pStyle w:val="2"/>
        <w:spacing w:after="0"/>
        <w:ind w:firstLine="480"/>
        <w:rPr>
          <w:color w:val="auto"/>
        </w:rPr>
      </w:pPr>
    </w:p>
    <w:p>
      <w:pPr>
        <w:ind w:firstLine="480"/>
        <w:rPr>
          <w:color w:val="auto"/>
        </w:rPr>
      </w:pPr>
    </w:p>
    <w:p>
      <w:pPr>
        <w:pStyle w:val="2"/>
        <w:spacing w:after="0"/>
        <w:ind w:firstLine="480"/>
        <w:rPr>
          <w:color w:val="auto"/>
        </w:rPr>
      </w:pPr>
    </w:p>
    <w:p>
      <w:pPr>
        <w:ind w:firstLine="480"/>
        <w:rPr>
          <w:color w:val="auto"/>
        </w:rPr>
      </w:pPr>
    </w:p>
    <w:p>
      <w:pPr>
        <w:pStyle w:val="2"/>
        <w:spacing w:after="0"/>
        <w:ind w:firstLine="0" w:firstLineChars="0"/>
        <w:jc w:val="center"/>
        <w:rPr>
          <w:rFonts w:eastAsia="黑体"/>
          <w:color w:val="auto"/>
          <w:sz w:val="21"/>
          <w:szCs w:val="21"/>
        </w:rPr>
      </w:pPr>
    </w:p>
    <w:p>
      <w:pPr>
        <w:pStyle w:val="2"/>
        <w:spacing w:after="0"/>
        <w:ind w:firstLine="0" w:firstLineChars="0"/>
        <w:jc w:val="center"/>
        <w:rPr>
          <w:color w:val="auto"/>
        </w:rPr>
        <w:sectPr>
          <w:headerReference r:id="rId20" w:type="default"/>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eastAsia="黑体"/>
          <w:color w:val="auto"/>
          <w:sz w:val="21"/>
          <w:szCs w:val="21"/>
        </w:rPr>
        <w:t>图2.2-</w:t>
      </w:r>
      <w:r>
        <w:rPr>
          <w:rFonts w:hint="eastAsia" w:eastAsia="黑体"/>
          <w:color w:val="auto"/>
          <w:sz w:val="21"/>
          <w:szCs w:val="21"/>
        </w:rPr>
        <w:t>3</w:t>
      </w:r>
      <w:r>
        <w:rPr>
          <w:rFonts w:eastAsia="黑体"/>
          <w:color w:val="auto"/>
          <w:sz w:val="21"/>
          <w:szCs w:val="21"/>
        </w:rPr>
        <w:t xml:space="preserve"> 厂区周边环境现状图</w:t>
      </w:r>
    </w:p>
    <w:p>
      <w:pPr>
        <w:pStyle w:val="9"/>
        <w:adjustRightInd w:val="0"/>
        <w:snapToGrid w:val="0"/>
        <w:spacing w:before="0" w:beforeLines="0" w:after="0" w:afterLines="0"/>
        <w:jc w:val="left"/>
        <w:rPr>
          <w:b/>
          <w:bCs/>
          <w:color w:val="auto"/>
          <w:szCs w:val="32"/>
        </w:rPr>
      </w:pPr>
      <w:r>
        <w:rPr>
          <w:rFonts w:hint="eastAsia"/>
          <w:b/>
          <w:bCs/>
          <w:color w:val="auto"/>
          <w:szCs w:val="32"/>
        </w:rPr>
        <w:t>2.2.4 公用工程</w:t>
      </w:r>
    </w:p>
    <w:p>
      <w:pPr>
        <w:pStyle w:val="14"/>
        <w:spacing w:after="0"/>
        <w:ind w:firstLine="482"/>
        <w:rPr>
          <w:b/>
          <w:bCs/>
          <w:color w:val="auto"/>
        </w:rPr>
      </w:pPr>
      <w:r>
        <w:rPr>
          <w:rFonts w:hint="eastAsia"/>
          <w:b/>
          <w:bCs/>
          <w:color w:val="auto"/>
        </w:rPr>
        <w:t>1、给排水</w:t>
      </w:r>
    </w:p>
    <w:p>
      <w:pPr>
        <w:pStyle w:val="14"/>
        <w:spacing w:after="0"/>
        <w:ind w:firstLine="480"/>
        <w:rPr>
          <w:color w:val="auto"/>
        </w:rPr>
      </w:pPr>
      <w:r>
        <w:rPr>
          <w:rFonts w:hint="eastAsia"/>
          <w:color w:val="auto"/>
        </w:rPr>
        <w:t>（1）给水</w:t>
      </w:r>
    </w:p>
    <w:p>
      <w:pPr>
        <w:spacing w:line="360" w:lineRule="auto"/>
        <w:ind w:firstLine="480" w:firstLineChars="200"/>
        <w:rPr>
          <w:rFonts w:hint="eastAsia"/>
          <w:color w:val="auto"/>
          <w:lang w:val="en-US" w:eastAsia="zh-CN"/>
        </w:rPr>
      </w:pPr>
      <w:r>
        <w:rPr>
          <w:rFonts w:hint="eastAsia"/>
          <w:color w:val="auto"/>
          <w:lang w:val="en-US" w:eastAsia="zh-CN"/>
        </w:rPr>
        <w:t>淄博科技工业园给水情况：</w:t>
      </w:r>
    </w:p>
    <w:p>
      <w:pPr>
        <w:spacing w:line="360" w:lineRule="auto"/>
        <w:ind w:firstLine="480" w:firstLineChars="200"/>
        <w:rPr>
          <w:rFonts w:hint="default" w:eastAsia="宋体"/>
          <w:color w:val="auto"/>
          <w:lang w:val="en-US" w:eastAsia="zh-CN"/>
        </w:rPr>
      </w:pPr>
      <w:r>
        <w:rPr>
          <w:rFonts w:hint="default" w:ascii="Times New Roman" w:hAnsi="Times New Roman" w:cs="Times New Roman"/>
          <w:color w:val="auto"/>
          <w:kern w:val="0"/>
          <w:sz w:val="24"/>
          <w:szCs w:val="20"/>
        </w:rPr>
        <w:t>园区</w:t>
      </w:r>
      <w:r>
        <w:rPr>
          <w:rFonts w:hint="default" w:ascii="Times New Roman" w:hAnsi="Times New Roman" w:cs="Times New Roman"/>
          <w:color w:val="auto"/>
          <w:kern w:val="0"/>
          <w:sz w:val="24"/>
          <w:szCs w:val="20"/>
          <w:lang w:eastAsia="zh-CN"/>
        </w:rPr>
        <w:t>供水由淄博清醇供水有限公司提供</w:t>
      </w:r>
      <w:r>
        <w:rPr>
          <w:rFonts w:hint="default" w:ascii="Times New Roman" w:hAnsi="Times New Roman" w:cs="Times New Roman"/>
          <w:color w:val="auto"/>
          <w:kern w:val="0"/>
          <w:sz w:val="24"/>
          <w:szCs w:val="20"/>
        </w:rPr>
        <w:t>。园区的给水泵站主要位于居住区内，工业用地内根据工艺需要自行设置。管线由张田路、英雄路、三赢路接自</w:t>
      </w:r>
      <w:r>
        <w:rPr>
          <w:rFonts w:hint="default" w:ascii="Times New Roman" w:hAnsi="Times New Roman" w:cs="Times New Roman"/>
          <w:color w:val="auto"/>
          <w:kern w:val="0"/>
          <w:sz w:val="24"/>
          <w:szCs w:val="20"/>
          <w:lang w:eastAsia="zh-CN"/>
        </w:rPr>
        <w:t>张店区</w:t>
      </w:r>
      <w:r>
        <w:rPr>
          <w:rFonts w:hint="default" w:ascii="Times New Roman" w:hAnsi="Times New Roman" w:cs="Times New Roman"/>
          <w:color w:val="auto"/>
          <w:kern w:val="0"/>
          <w:sz w:val="24"/>
          <w:szCs w:val="20"/>
        </w:rPr>
        <w:t>城市给水管网，已铺设管网总长度约</w:t>
      </w:r>
      <w:r>
        <w:rPr>
          <w:rFonts w:hint="default" w:ascii="Times New Roman" w:hAnsi="Times New Roman" w:cs="Times New Roman"/>
          <w:color w:val="auto"/>
          <w:kern w:val="0"/>
          <w:sz w:val="24"/>
          <w:szCs w:val="20"/>
          <w:lang w:val="en-US" w:eastAsia="zh-CN"/>
        </w:rPr>
        <w:t>20</w:t>
      </w:r>
      <w:r>
        <w:rPr>
          <w:rFonts w:hint="default" w:ascii="Times New Roman" w:hAnsi="Times New Roman" w:cs="Times New Roman"/>
          <w:color w:val="auto"/>
          <w:kern w:val="0"/>
          <w:sz w:val="24"/>
          <w:szCs w:val="20"/>
        </w:rPr>
        <w:t>公里。采用环形和枝状相结合保证供水，给水管径为DN200-DN400。根据现状调查，目前工业园所有企业和居民区全部使用自来水，目前工业园工业新鲜水用量约</w:t>
      </w:r>
      <w:r>
        <w:rPr>
          <w:rFonts w:hint="default" w:ascii="Times New Roman" w:hAnsi="Times New Roman" w:cs="Times New Roman"/>
          <w:color w:val="auto"/>
          <w:kern w:val="0"/>
          <w:sz w:val="24"/>
          <w:szCs w:val="20"/>
          <w:lang w:val="en-US" w:eastAsia="zh-CN"/>
        </w:rPr>
        <w:t>550</w:t>
      </w:r>
      <w:r>
        <w:rPr>
          <w:rFonts w:hint="default" w:ascii="Times New Roman" w:hAnsi="Times New Roman" w:cs="Times New Roman"/>
          <w:color w:val="auto"/>
          <w:kern w:val="0"/>
          <w:sz w:val="24"/>
          <w:szCs w:val="20"/>
        </w:rPr>
        <w:t>m</w:t>
      </w:r>
      <w:r>
        <w:rPr>
          <w:rFonts w:hint="default" w:ascii="Times New Roman" w:hAnsi="Times New Roman" w:cs="Times New Roman"/>
          <w:color w:val="auto"/>
          <w:kern w:val="0"/>
          <w:sz w:val="24"/>
          <w:szCs w:val="20"/>
          <w:vertAlign w:val="superscript"/>
        </w:rPr>
        <w:t>3</w:t>
      </w:r>
      <w:r>
        <w:rPr>
          <w:rFonts w:hint="default" w:ascii="Times New Roman" w:hAnsi="Times New Roman" w:cs="Times New Roman"/>
          <w:color w:val="auto"/>
          <w:kern w:val="0"/>
          <w:sz w:val="24"/>
          <w:szCs w:val="20"/>
        </w:rPr>
        <w:t>/</w:t>
      </w:r>
      <w:r>
        <w:rPr>
          <w:rFonts w:hint="default" w:ascii="Times New Roman" w:hAnsi="Times New Roman" w:cs="Times New Roman"/>
          <w:color w:val="auto"/>
          <w:kern w:val="0"/>
          <w:sz w:val="24"/>
          <w:szCs w:val="20"/>
          <w:lang w:val="en-US" w:eastAsia="zh-CN"/>
        </w:rPr>
        <w:t>d</w:t>
      </w:r>
      <w:r>
        <w:rPr>
          <w:rFonts w:hint="default" w:ascii="Times New Roman" w:hAnsi="Times New Roman" w:cs="Times New Roman"/>
          <w:color w:val="auto"/>
          <w:kern w:val="0"/>
          <w:sz w:val="24"/>
          <w:szCs w:val="20"/>
        </w:rPr>
        <w:t>，自来水供水能力</w:t>
      </w:r>
      <w:r>
        <w:rPr>
          <w:rFonts w:hint="default" w:ascii="Times New Roman" w:hAnsi="Times New Roman" w:cs="Times New Roman"/>
          <w:color w:val="auto"/>
          <w:kern w:val="0"/>
          <w:sz w:val="24"/>
          <w:szCs w:val="20"/>
          <w:lang w:val="en-US" w:eastAsia="zh-CN"/>
        </w:rPr>
        <w:t>3500</w:t>
      </w:r>
      <w:r>
        <w:rPr>
          <w:rFonts w:hint="default" w:ascii="Times New Roman" w:hAnsi="Times New Roman" w:cs="Times New Roman"/>
          <w:color w:val="auto"/>
          <w:kern w:val="0"/>
          <w:sz w:val="24"/>
          <w:szCs w:val="20"/>
        </w:rPr>
        <w:t>m</w:t>
      </w:r>
      <w:r>
        <w:rPr>
          <w:rFonts w:hint="default" w:ascii="Times New Roman" w:hAnsi="Times New Roman" w:cs="Times New Roman"/>
          <w:color w:val="auto"/>
          <w:kern w:val="0"/>
          <w:sz w:val="24"/>
          <w:szCs w:val="20"/>
          <w:vertAlign w:val="superscript"/>
        </w:rPr>
        <w:t>3</w:t>
      </w:r>
      <w:r>
        <w:rPr>
          <w:rFonts w:hint="default" w:ascii="Times New Roman" w:hAnsi="Times New Roman" w:cs="Times New Roman"/>
          <w:color w:val="auto"/>
          <w:kern w:val="0"/>
          <w:sz w:val="24"/>
          <w:szCs w:val="20"/>
        </w:rPr>
        <w:t>/</w:t>
      </w:r>
      <w:r>
        <w:rPr>
          <w:rFonts w:hint="default" w:ascii="Times New Roman" w:hAnsi="Times New Roman" w:cs="Times New Roman"/>
          <w:color w:val="auto"/>
          <w:kern w:val="0"/>
          <w:sz w:val="24"/>
          <w:szCs w:val="20"/>
          <w:lang w:val="en-US" w:eastAsia="zh-CN"/>
        </w:rPr>
        <w:t>d</w:t>
      </w:r>
      <w:r>
        <w:rPr>
          <w:rFonts w:hint="default" w:ascii="Times New Roman" w:hAnsi="Times New Roman" w:cs="Times New Roman"/>
          <w:color w:val="auto"/>
          <w:kern w:val="0"/>
          <w:sz w:val="24"/>
          <w:szCs w:val="20"/>
        </w:rPr>
        <w:t>，目前实际供水</w:t>
      </w:r>
      <w:r>
        <w:rPr>
          <w:rFonts w:hint="default" w:ascii="Times New Roman" w:hAnsi="Times New Roman" w:cs="Times New Roman"/>
          <w:color w:val="auto"/>
          <w:kern w:val="0"/>
          <w:sz w:val="24"/>
          <w:szCs w:val="20"/>
          <w:lang w:eastAsia="zh-CN"/>
        </w:rPr>
        <w:t>约</w:t>
      </w:r>
      <w:r>
        <w:rPr>
          <w:rFonts w:hint="default" w:ascii="Times New Roman" w:hAnsi="Times New Roman" w:cs="Times New Roman"/>
          <w:color w:val="auto"/>
          <w:kern w:val="0"/>
          <w:sz w:val="24"/>
          <w:szCs w:val="20"/>
          <w:lang w:val="en-US" w:eastAsia="zh-CN"/>
        </w:rPr>
        <w:t>1000</w:t>
      </w:r>
      <w:r>
        <w:rPr>
          <w:rFonts w:hint="default" w:ascii="Times New Roman" w:hAnsi="Times New Roman" w:cs="Times New Roman"/>
          <w:color w:val="auto"/>
          <w:kern w:val="0"/>
          <w:sz w:val="24"/>
          <w:szCs w:val="20"/>
        </w:rPr>
        <w:t>m</w:t>
      </w:r>
      <w:r>
        <w:rPr>
          <w:rFonts w:hint="default" w:ascii="Times New Roman" w:hAnsi="Times New Roman" w:cs="Times New Roman"/>
          <w:color w:val="auto"/>
          <w:kern w:val="0"/>
          <w:sz w:val="24"/>
          <w:szCs w:val="20"/>
          <w:vertAlign w:val="superscript"/>
        </w:rPr>
        <w:t>3</w:t>
      </w:r>
      <w:r>
        <w:rPr>
          <w:rFonts w:hint="default" w:ascii="Times New Roman" w:hAnsi="Times New Roman" w:cs="Times New Roman"/>
          <w:color w:val="auto"/>
          <w:kern w:val="0"/>
          <w:sz w:val="24"/>
          <w:szCs w:val="20"/>
        </w:rPr>
        <w:t>/</w:t>
      </w:r>
      <w:r>
        <w:rPr>
          <w:rFonts w:hint="default" w:ascii="Times New Roman" w:hAnsi="Times New Roman" w:cs="Times New Roman"/>
          <w:color w:val="auto"/>
          <w:kern w:val="0"/>
          <w:sz w:val="24"/>
          <w:szCs w:val="20"/>
          <w:lang w:val="en-US" w:eastAsia="zh-CN"/>
        </w:rPr>
        <w:t>d</w:t>
      </w:r>
      <w:r>
        <w:rPr>
          <w:rFonts w:hint="default" w:ascii="Times New Roman" w:hAnsi="Times New Roman" w:cs="Times New Roman"/>
          <w:color w:val="auto"/>
          <w:kern w:val="0"/>
          <w:sz w:val="24"/>
          <w:szCs w:val="20"/>
        </w:rPr>
        <w:t>，工业园用水有保障。</w:t>
      </w:r>
    </w:p>
    <w:p>
      <w:pPr>
        <w:pStyle w:val="14"/>
        <w:spacing w:after="0"/>
        <w:ind w:firstLine="480"/>
        <w:rPr>
          <w:color w:val="auto"/>
        </w:rPr>
      </w:pPr>
      <w:r>
        <w:rPr>
          <w:rFonts w:hint="eastAsia"/>
          <w:color w:val="auto"/>
        </w:rPr>
        <w:t>拟建项目所用新鲜水来自市政管网供水，</w:t>
      </w:r>
      <w:r>
        <w:rPr>
          <w:color w:val="auto"/>
        </w:rPr>
        <w:t>运营期供水系统包括生产给水系统、生活给水系统。</w:t>
      </w:r>
      <w:r>
        <w:rPr>
          <w:rFonts w:hint="eastAsia"/>
          <w:color w:val="auto"/>
        </w:rPr>
        <w:t>本</w:t>
      </w:r>
      <w:r>
        <w:rPr>
          <w:color w:val="auto"/>
        </w:rPr>
        <w:t>项目实施后全厂新鲜水用水量合计为</w:t>
      </w:r>
      <w:r>
        <w:rPr>
          <w:rFonts w:hint="eastAsia"/>
          <w:color w:val="auto"/>
          <w:lang w:val="en-US" w:eastAsia="zh-CN"/>
        </w:rPr>
        <w:t>12525.76</w:t>
      </w:r>
      <w:r>
        <w:rPr>
          <w:color w:val="auto"/>
        </w:rPr>
        <w:t>m</w:t>
      </w:r>
      <w:r>
        <w:rPr>
          <w:color w:val="auto"/>
          <w:vertAlign w:val="superscript"/>
        </w:rPr>
        <w:t>3</w:t>
      </w:r>
      <w:r>
        <w:rPr>
          <w:color w:val="auto"/>
        </w:rPr>
        <w:t>/a，能够满足本项目需求</w:t>
      </w:r>
      <w:r>
        <w:rPr>
          <w:rFonts w:hint="eastAsia"/>
          <w:color w:val="auto"/>
          <w:lang w:eastAsia="zh-CN"/>
        </w:rPr>
        <w:t>，</w:t>
      </w:r>
      <w:r>
        <w:rPr>
          <w:rFonts w:hint="eastAsia"/>
          <w:color w:val="auto"/>
          <w:lang w:val="en-US" w:eastAsia="zh-CN"/>
        </w:rPr>
        <w:t>园区供水可以满足本项目的需求</w:t>
      </w:r>
      <w:r>
        <w:rPr>
          <w:color w:val="auto"/>
        </w:rPr>
        <w:t>。</w:t>
      </w:r>
    </w:p>
    <w:p>
      <w:pPr>
        <w:pStyle w:val="14"/>
        <w:spacing w:after="0"/>
        <w:ind w:firstLine="480"/>
        <w:rPr>
          <w:rFonts w:hint="eastAsia"/>
          <w:color w:val="auto"/>
          <w:lang w:val="en-US" w:eastAsia="zh-CN"/>
        </w:rPr>
      </w:pPr>
      <w:r>
        <w:rPr>
          <w:rFonts w:hint="eastAsia"/>
          <w:color w:val="auto"/>
          <w:lang w:val="en-US" w:eastAsia="zh-CN"/>
        </w:rPr>
        <w:t>1）生产用水</w:t>
      </w:r>
    </w:p>
    <w:p>
      <w:pPr>
        <w:rPr>
          <w:rFonts w:hint="default"/>
          <w:color w:val="auto"/>
          <w:lang w:val="en-US" w:eastAsia="zh-CN"/>
        </w:rPr>
      </w:pPr>
      <w:r>
        <w:rPr>
          <w:rFonts w:hint="eastAsia"/>
          <w:color w:val="auto"/>
          <w:lang w:val="en-US" w:eastAsia="zh-CN"/>
        </w:rPr>
        <w:t>根据项目物料平衡可知本项目生产过程中新鲜水用量为35m</w:t>
      </w:r>
      <w:r>
        <w:rPr>
          <w:rFonts w:hint="eastAsia"/>
          <w:color w:val="auto"/>
          <w:vertAlign w:val="superscript"/>
          <w:lang w:val="en-US" w:eastAsia="zh-CN"/>
        </w:rPr>
        <w:t>3</w:t>
      </w:r>
      <w:r>
        <w:rPr>
          <w:rFonts w:hint="eastAsia"/>
          <w:color w:val="auto"/>
          <w:lang w:val="en-US" w:eastAsia="zh-CN"/>
        </w:rPr>
        <w:t>/a。</w:t>
      </w:r>
    </w:p>
    <w:p>
      <w:pPr>
        <w:pStyle w:val="14"/>
        <w:spacing w:after="0"/>
        <w:ind w:firstLine="480"/>
        <w:rPr>
          <w:color w:val="auto"/>
        </w:rPr>
      </w:pPr>
      <w:r>
        <w:rPr>
          <w:rFonts w:hint="eastAsia"/>
          <w:color w:val="auto"/>
        </w:rPr>
        <w:t>1）</w:t>
      </w:r>
      <w:r>
        <w:rPr>
          <w:color w:val="auto"/>
        </w:rPr>
        <w:t>循环冷却水系统</w:t>
      </w:r>
    </w:p>
    <w:p>
      <w:pPr>
        <w:pStyle w:val="2"/>
        <w:spacing w:after="0"/>
        <w:ind w:firstLine="480"/>
        <w:rPr>
          <w:color w:val="auto"/>
          <w:szCs w:val="22"/>
        </w:rPr>
      </w:pPr>
      <w:r>
        <w:rPr>
          <w:rFonts w:hint="eastAsia"/>
          <w:color w:val="auto"/>
        </w:rPr>
        <w:t>拟建</w:t>
      </w:r>
      <w:r>
        <w:rPr>
          <w:color w:val="auto"/>
        </w:rPr>
        <w:t>项目所需循环水量为</w:t>
      </w:r>
      <w:r>
        <w:rPr>
          <w:rFonts w:hint="eastAsia"/>
          <w:color w:val="auto"/>
          <w:lang w:val="en-US" w:eastAsia="zh-CN"/>
        </w:rPr>
        <w:t>100</w:t>
      </w:r>
      <w:r>
        <w:rPr>
          <w:color w:val="auto"/>
        </w:rPr>
        <w:t>m</w:t>
      </w:r>
      <w:r>
        <w:rPr>
          <w:color w:val="auto"/>
          <w:vertAlign w:val="superscript"/>
        </w:rPr>
        <w:t>3</w:t>
      </w:r>
      <w:r>
        <w:rPr>
          <w:color w:val="auto"/>
        </w:rPr>
        <w:t>/h。厂区设置一座循环</w:t>
      </w:r>
      <w:r>
        <w:rPr>
          <w:rFonts w:hint="eastAsia"/>
          <w:color w:val="auto"/>
        </w:rPr>
        <w:t>水池</w:t>
      </w:r>
      <w:r>
        <w:rPr>
          <w:color w:val="auto"/>
        </w:rPr>
        <w:t>，</w:t>
      </w:r>
      <w:r>
        <w:rPr>
          <w:rFonts w:hint="eastAsia"/>
          <w:color w:val="auto"/>
        </w:rPr>
        <w:t>容积为100m</w:t>
      </w:r>
      <w:r>
        <w:rPr>
          <w:rFonts w:hint="eastAsia"/>
          <w:color w:val="auto"/>
          <w:vertAlign w:val="superscript"/>
        </w:rPr>
        <w:t>3</w:t>
      </w:r>
      <w:r>
        <w:rPr>
          <w:rFonts w:hint="eastAsia"/>
          <w:color w:val="auto"/>
        </w:rPr>
        <w:t>，</w:t>
      </w:r>
      <w:r>
        <w:rPr>
          <w:color w:val="auto"/>
        </w:rPr>
        <w:t>建设有1台玻璃钢冷却塔，设计给水水温26-28℃，回水水温30-38℃，进出水温差5-10℃，可以满足建设项目对冷却水的需求。补水量约占循环水量1.5%，补水量为</w:t>
      </w:r>
      <w:r>
        <w:rPr>
          <w:rFonts w:hint="eastAsia"/>
          <w:color w:val="auto"/>
          <w:lang w:val="en-US" w:eastAsia="zh-CN"/>
        </w:rPr>
        <w:t>1.5</w:t>
      </w:r>
      <w:r>
        <w:rPr>
          <w:color w:val="auto"/>
        </w:rPr>
        <w:t>m</w:t>
      </w:r>
      <w:r>
        <w:rPr>
          <w:color w:val="auto"/>
          <w:vertAlign w:val="superscript"/>
        </w:rPr>
        <w:t>3</w:t>
      </w:r>
      <w:r>
        <w:rPr>
          <w:color w:val="auto"/>
        </w:rPr>
        <w:t>/h，</w:t>
      </w:r>
      <w:r>
        <w:rPr>
          <w:rFonts w:hint="eastAsia"/>
          <w:color w:val="auto"/>
        </w:rPr>
        <w:t>新鲜水</w:t>
      </w:r>
      <w:r>
        <w:rPr>
          <w:color w:val="auto"/>
        </w:rPr>
        <w:t>总</w:t>
      </w:r>
      <w:r>
        <w:rPr>
          <w:color w:val="auto"/>
          <w:szCs w:val="22"/>
        </w:rPr>
        <w:t>用水量为</w:t>
      </w:r>
      <w:r>
        <w:rPr>
          <w:rFonts w:hint="eastAsia"/>
          <w:color w:val="auto"/>
          <w:szCs w:val="22"/>
          <w:lang w:val="en-US" w:eastAsia="zh-CN"/>
        </w:rPr>
        <w:t>1500</w:t>
      </w:r>
      <w:r>
        <w:rPr>
          <w:color w:val="auto"/>
          <w:szCs w:val="22"/>
        </w:rPr>
        <w:t>m</w:t>
      </w:r>
      <w:r>
        <w:rPr>
          <w:color w:val="auto"/>
          <w:szCs w:val="22"/>
          <w:vertAlign w:val="superscript"/>
        </w:rPr>
        <w:t>3</w:t>
      </w:r>
      <w:r>
        <w:rPr>
          <w:color w:val="auto"/>
          <w:szCs w:val="22"/>
        </w:rPr>
        <w:t>/a。</w:t>
      </w:r>
    </w:p>
    <w:p>
      <w:pPr>
        <w:pStyle w:val="2"/>
        <w:spacing w:after="0"/>
        <w:ind w:firstLine="480"/>
        <w:rPr>
          <w:color w:val="auto"/>
        </w:rPr>
      </w:pPr>
      <w:r>
        <w:rPr>
          <w:rFonts w:hint="eastAsia" w:eastAsia="仿宋_GB2312"/>
          <w:color w:val="auto"/>
        </w:rPr>
        <w:t>2</w:t>
      </w:r>
      <w:r>
        <w:rPr>
          <w:rFonts w:eastAsia="仿宋_GB2312"/>
          <w:color w:val="auto"/>
        </w:rPr>
        <w:t>）</w:t>
      </w:r>
      <w:r>
        <w:rPr>
          <w:color w:val="auto"/>
        </w:rPr>
        <w:t>化验室用水</w:t>
      </w:r>
    </w:p>
    <w:p>
      <w:pPr>
        <w:pStyle w:val="51"/>
        <w:spacing w:line="440" w:lineRule="exact"/>
        <w:ind w:firstLine="480" w:firstLineChars="200"/>
        <w:rPr>
          <w:rFonts w:ascii="Times New Roman" w:hAnsi="Times New Roman" w:cs="Times New Roman"/>
          <w:color w:val="auto"/>
        </w:rPr>
      </w:pPr>
      <w:r>
        <w:rPr>
          <w:rFonts w:ascii="Times New Roman" w:hAnsi="Times New Roman" w:cs="Times New Roman"/>
          <w:color w:val="auto"/>
        </w:rPr>
        <w:t>化验室每天用水0.5m</w:t>
      </w:r>
      <w:r>
        <w:rPr>
          <w:rFonts w:ascii="Times New Roman" w:hAnsi="Times New Roman" w:cs="Times New Roman"/>
          <w:color w:val="auto"/>
          <w:vertAlign w:val="superscript"/>
        </w:rPr>
        <w:t>3</w:t>
      </w:r>
      <w:r>
        <w:rPr>
          <w:rFonts w:ascii="Times New Roman" w:hAnsi="Times New Roman" w:cs="Times New Roman"/>
          <w:color w:val="auto"/>
        </w:rPr>
        <w:t>，用于仪器清洗，化验室年</w:t>
      </w:r>
      <w:r>
        <w:rPr>
          <w:rFonts w:hint="eastAsia" w:cs="Times New Roman"/>
          <w:color w:val="auto"/>
        </w:rPr>
        <w:t>新鲜水</w:t>
      </w:r>
      <w:r>
        <w:rPr>
          <w:rFonts w:ascii="Times New Roman" w:hAnsi="Times New Roman" w:cs="Times New Roman"/>
          <w:color w:val="auto"/>
        </w:rPr>
        <w:t>用水量为</w:t>
      </w:r>
      <w:r>
        <w:rPr>
          <w:rFonts w:hint="eastAsia" w:ascii="Times New Roman" w:hAnsi="Times New Roman" w:cs="Times New Roman"/>
          <w:color w:val="auto"/>
        </w:rPr>
        <w:t>150</w:t>
      </w:r>
      <w:r>
        <w:rPr>
          <w:rFonts w:ascii="Times New Roman" w:hAnsi="Times New Roman" w:cs="Times New Roman"/>
          <w:color w:val="auto"/>
        </w:rPr>
        <w:t>m</w:t>
      </w:r>
      <w:r>
        <w:rPr>
          <w:rFonts w:ascii="Times New Roman" w:hAnsi="Times New Roman" w:cs="Times New Roman"/>
          <w:color w:val="auto"/>
          <w:vertAlign w:val="superscript"/>
        </w:rPr>
        <w:t>3</w:t>
      </w:r>
      <w:r>
        <w:rPr>
          <w:rFonts w:ascii="Times New Roman" w:hAnsi="Times New Roman" w:cs="Times New Roman"/>
          <w:color w:val="auto"/>
        </w:rPr>
        <w:t>/a，来自厂区自来水供水系统。</w:t>
      </w:r>
    </w:p>
    <w:p>
      <w:pPr>
        <w:ind w:firstLine="480"/>
        <w:rPr>
          <w:color w:val="auto"/>
        </w:rPr>
      </w:pPr>
      <w:r>
        <w:rPr>
          <w:rFonts w:hint="eastAsia"/>
          <w:color w:val="auto"/>
        </w:rPr>
        <w:t>3）喷淋塔用水</w:t>
      </w:r>
    </w:p>
    <w:p>
      <w:pPr>
        <w:adjustRightInd w:val="0"/>
        <w:snapToGrid w:val="0"/>
        <w:ind w:firstLine="480"/>
        <w:rPr>
          <w:color w:val="auto"/>
        </w:rPr>
      </w:pPr>
      <w:r>
        <w:rPr>
          <w:color w:val="auto"/>
          <w:szCs w:val="24"/>
        </w:rPr>
        <w:t>喷淋塔排污水：根据设计单位提供资料，</w:t>
      </w:r>
      <w:r>
        <w:rPr>
          <w:rFonts w:hint="eastAsia"/>
          <w:color w:val="auto"/>
          <w:szCs w:val="24"/>
        </w:rPr>
        <w:t>喷淋塔容积为3m</w:t>
      </w:r>
      <w:r>
        <w:rPr>
          <w:rFonts w:hint="eastAsia"/>
          <w:color w:val="auto"/>
          <w:szCs w:val="24"/>
          <w:vertAlign w:val="superscript"/>
        </w:rPr>
        <w:t>3</w:t>
      </w:r>
      <w:r>
        <w:rPr>
          <w:rFonts w:hint="eastAsia"/>
          <w:color w:val="auto"/>
          <w:szCs w:val="24"/>
        </w:rPr>
        <w:t>，每15天排放一次废水，排水量为90%，损耗水量约1.5%，则补水量为2.75m</w:t>
      </w:r>
      <w:r>
        <w:rPr>
          <w:rFonts w:hint="eastAsia"/>
          <w:color w:val="auto"/>
          <w:szCs w:val="24"/>
          <w:vertAlign w:val="superscript"/>
        </w:rPr>
        <w:t>3</w:t>
      </w:r>
      <w:r>
        <w:rPr>
          <w:rFonts w:hint="eastAsia"/>
          <w:color w:val="auto"/>
          <w:szCs w:val="24"/>
        </w:rPr>
        <w:t>/次，每15天补充一次，每年补充20次，则年</w:t>
      </w:r>
      <w:r>
        <w:rPr>
          <w:rFonts w:hint="eastAsia"/>
          <w:color w:val="auto"/>
        </w:rPr>
        <w:t>新鲜水</w:t>
      </w:r>
      <w:r>
        <w:rPr>
          <w:rFonts w:hint="eastAsia"/>
          <w:color w:val="auto"/>
          <w:szCs w:val="24"/>
        </w:rPr>
        <w:t>补水量为55</w:t>
      </w:r>
      <w:r>
        <w:rPr>
          <w:color w:val="auto"/>
          <w:szCs w:val="24"/>
        </w:rPr>
        <w:t>m</w:t>
      </w:r>
      <w:r>
        <w:rPr>
          <w:color w:val="auto"/>
          <w:szCs w:val="24"/>
          <w:vertAlign w:val="superscript"/>
        </w:rPr>
        <w:t>3</w:t>
      </w:r>
      <w:r>
        <w:rPr>
          <w:color w:val="auto"/>
          <w:szCs w:val="24"/>
        </w:rPr>
        <w:t>/</w:t>
      </w:r>
      <w:r>
        <w:rPr>
          <w:rFonts w:hint="eastAsia"/>
          <w:color w:val="auto"/>
          <w:szCs w:val="24"/>
        </w:rPr>
        <w:t>a。本项目喷淋废水流入厂区污水处理站</w:t>
      </w:r>
      <w:r>
        <w:rPr>
          <w:rFonts w:hint="eastAsia"/>
          <w:color w:val="auto"/>
        </w:rPr>
        <w:t>。</w:t>
      </w:r>
    </w:p>
    <w:p>
      <w:pPr>
        <w:ind w:firstLine="480"/>
        <w:rPr>
          <w:color w:val="auto"/>
        </w:rPr>
      </w:pPr>
      <w:r>
        <w:rPr>
          <w:rFonts w:hint="eastAsia"/>
          <w:color w:val="auto"/>
        </w:rPr>
        <w:t>4</w:t>
      </w:r>
      <w:r>
        <w:rPr>
          <w:color w:val="auto"/>
        </w:rPr>
        <w:t>）地面清洗用水</w:t>
      </w:r>
    </w:p>
    <w:p>
      <w:pPr>
        <w:pStyle w:val="51"/>
        <w:spacing w:line="440" w:lineRule="exact"/>
        <w:ind w:firstLine="480" w:firstLineChars="200"/>
        <w:rPr>
          <w:rFonts w:ascii="Times New Roman" w:hAnsi="Times New Roman" w:cs="Times New Roman"/>
          <w:color w:val="auto"/>
        </w:rPr>
      </w:pPr>
      <w:r>
        <w:rPr>
          <w:rFonts w:ascii="Times New Roman" w:hAnsi="Times New Roman" w:cs="Times New Roman"/>
          <w:color w:val="auto"/>
        </w:rPr>
        <w:t>装置区和车间占地面积3965m</w:t>
      </w:r>
      <w:r>
        <w:rPr>
          <w:rFonts w:ascii="Times New Roman" w:hAnsi="Times New Roman" w:cs="Times New Roman"/>
          <w:color w:val="auto"/>
          <w:vertAlign w:val="superscript"/>
        </w:rPr>
        <w:t>2</w:t>
      </w:r>
      <w:r>
        <w:rPr>
          <w:rFonts w:ascii="Times New Roman" w:hAnsi="Times New Roman" w:cs="Times New Roman"/>
          <w:color w:val="auto"/>
        </w:rPr>
        <w:t>，每</w:t>
      </w:r>
      <w:r>
        <w:rPr>
          <w:rFonts w:hint="eastAsia" w:ascii="Times New Roman" w:hAnsi="Times New Roman" w:cs="Times New Roman"/>
          <w:color w:val="auto"/>
        </w:rPr>
        <w:t>两</w:t>
      </w:r>
      <w:r>
        <w:rPr>
          <w:rFonts w:ascii="Times New Roman" w:hAnsi="Times New Roman" w:cs="Times New Roman"/>
          <w:color w:val="auto"/>
        </w:rPr>
        <w:t>周清洗一次，每平方米用水平均定额</w:t>
      </w:r>
      <w:r>
        <w:rPr>
          <w:rFonts w:ascii="Times New Roman" w:hAnsi="Times New Roman" w:cs="Times New Roman"/>
          <w:color w:val="auto"/>
          <w:spacing w:val="30"/>
        </w:rPr>
        <w:t>为</w:t>
      </w:r>
      <w:r>
        <w:rPr>
          <w:rFonts w:ascii="Times New Roman" w:hAnsi="Times New Roman" w:eastAsia="Times New Roman" w:cs="Times New Roman"/>
          <w:color w:val="auto"/>
        </w:rPr>
        <w:t>2L/m</w:t>
      </w:r>
      <w:r>
        <w:rPr>
          <w:rFonts w:ascii="Times New Roman" w:hAnsi="Times New Roman" w:eastAsia="Times New Roman" w:cs="Times New Roman"/>
          <w:color w:val="auto"/>
          <w:vertAlign w:val="superscript"/>
        </w:rPr>
        <w:t>2</w:t>
      </w:r>
      <w:r>
        <w:rPr>
          <w:rFonts w:ascii="Times New Roman" w:hAnsi="Times New Roman" w:eastAsia="Times New Roman" w:cs="Times New Roman"/>
          <w:color w:val="auto"/>
        </w:rPr>
        <w:t>·</w:t>
      </w:r>
      <w:r>
        <w:rPr>
          <w:rFonts w:ascii="Times New Roman" w:hAnsi="Times New Roman" w:cs="Times New Roman"/>
          <w:color w:val="auto"/>
        </w:rPr>
        <w:t>次</w:t>
      </w:r>
      <w:r>
        <w:rPr>
          <w:rFonts w:ascii="Times New Roman" w:hAnsi="Times New Roman" w:cs="Times New Roman"/>
          <w:color w:val="auto"/>
          <w:spacing w:val="-9"/>
        </w:rPr>
        <w:t>，每次用水量7.93m</w:t>
      </w:r>
      <w:r>
        <w:rPr>
          <w:rFonts w:ascii="Times New Roman" w:hAnsi="Times New Roman" w:cs="Times New Roman"/>
          <w:color w:val="auto"/>
          <w:spacing w:val="-9"/>
          <w:vertAlign w:val="superscript"/>
        </w:rPr>
        <w:t>3</w:t>
      </w:r>
      <w:r>
        <w:rPr>
          <w:rFonts w:ascii="Times New Roman" w:hAnsi="Times New Roman" w:cs="Times New Roman"/>
          <w:color w:val="auto"/>
          <w:spacing w:val="-9"/>
        </w:rPr>
        <w:t>，每年清洗</w:t>
      </w:r>
      <w:r>
        <w:rPr>
          <w:rFonts w:hint="eastAsia" w:ascii="Times New Roman" w:hAnsi="Times New Roman" w:cs="Times New Roman"/>
          <w:color w:val="auto"/>
          <w:spacing w:val="-9"/>
        </w:rPr>
        <w:t>22</w:t>
      </w:r>
      <w:r>
        <w:rPr>
          <w:rFonts w:ascii="Times New Roman" w:hAnsi="Times New Roman" w:cs="Times New Roman"/>
          <w:color w:val="auto"/>
          <w:spacing w:val="-9"/>
        </w:rPr>
        <w:t>次，用水量为</w:t>
      </w:r>
      <w:r>
        <w:rPr>
          <w:rFonts w:hint="eastAsia" w:ascii="Times New Roman" w:hAnsi="Times New Roman" w:cs="Times New Roman"/>
          <w:color w:val="auto"/>
          <w:spacing w:val="-9"/>
        </w:rPr>
        <w:t>174.46</w:t>
      </w:r>
      <w:r>
        <w:rPr>
          <w:rFonts w:ascii="Times New Roman" w:hAnsi="Times New Roman" w:cs="Times New Roman"/>
          <w:color w:val="auto"/>
          <w:spacing w:val="-9"/>
        </w:rPr>
        <w:t>m</w:t>
      </w:r>
      <w:r>
        <w:rPr>
          <w:rFonts w:ascii="Times New Roman" w:hAnsi="Times New Roman" w:cs="Times New Roman"/>
          <w:color w:val="auto"/>
          <w:spacing w:val="-9"/>
          <w:vertAlign w:val="superscript"/>
        </w:rPr>
        <w:t>3</w:t>
      </w:r>
      <w:r>
        <w:rPr>
          <w:rFonts w:ascii="Times New Roman" w:hAnsi="Times New Roman" w:cs="Times New Roman"/>
          <w:color w:val="auto"/>
          <w:spacing w:val="-9"/>
        </w:rPr>
        <w:t>/a，</w:t>
      </w:r>
      <w:r>
        <w:rPr>
          <w:rFonts w:ascii="Times New Roman" w:hAnsi="Times New Roman" w:cs="Times New Roman"/>
          <w:color w:val="auto"/>
        </w:rPr>
        <w:t>来自厂区自来水供水系统。</w:t>
      </w:r>
    </w:p>
    <w:p>
      <w:pPr>
        <w:ind w:firstLine="480"/>
        <w:rPr>
          <w:color w:val="auto"/>
        </w:rPr>
      </w:pPr>
      <w:r>
        <w:rPr>
          <w:rFonts w:hint="eastAsia"/>
          <w:color w:val="auto"/>
        </w:rPr>
        <w:t>5</w:t>
      </w:r>
      <w:r>
        <w:rPr>
          <w:color w:val="auto"/>
        </w:rPr>
        <w:t>）生活用水</w:t>
      </w:r>
    </w:p>
    <w:p>
      <w:pPr>
        <w:pStyle w:val="51"/>
        <w:spacing w:line="440" w:lineRule="exact"/>
        <w:ind w:firstLine="480" w:firstLineChars="200"/>
        <w:rPr>
          <w:rFonts w:ascii="Times New Roman" w:hAnsi="Times New Roman" w:cs="Times New Roman"/>
          <w:color w:val="auto"/>
        </w:rPr>
      </w:pPr>
      <w:r>
        <w:rPr>
          <w:rFonts w:ascii="Times New Roman" w:hAnsi="Times New Roman" w:cs="Times New Roman"/>
          <w:color w:val="auto"/>
        </w:rPr>
        <w:t>拟建项目职工定员30人，生活用水标准（无住宿）以50L/人•d计，年工作日300天。日用水量为1.5m</w:t>
      </w:r>
      <w:r>
        <w:rPr>
          <w:rFonts w:ascii="Times New Roman" w:hAnsi="Times New Roman" w:cs="Times New Roman"/>
          <w:color w:val="auto"/>
          <w:vertAlign w:val="superscript"/>
        </w:rPr>
        <w:t>3</w:t>
      </w:r>
      <w:r>
        <w:rPr>
          <w:rFonts w:ascii="Times New Roman" w:hAnsi="Times New Roman" w:cs="Times New Roman"/>
          <w:color w:val="auto"/>
        </w:rPr>
        <w:t>/d，年</w:t>
      </w:r>
      <w:r>
        <w:rPr>
          <w:rFonts w:hint="eastAsia" w:cs="Times New Roman"/>
          <w:color w:val="auto"/>
        </w:rPr>
        <w:t>新鲜水</w:t>
      </w:r>
      <w:r>
        <w:rPr>
          <w:rFonts w:ascii="Times New Roman" w:hAnsi="Times New Roman" w:cs="Times New Roman"/>
          <w:color w:val="auto"/>
        </w:rPr>
        <w:t>用水量为1.5×300=450m</w:t>
      </w:r>
      <w:r>
        <w:rPr>
          <w:rFonts w:ascii="Times New Roman" w:hAnsi="Times New Roman" w:cs="Times New Roman"/>
          <w:color w:val="auto"/>
          <w:vertAlign w:val="superscript"/>
        </w:rPr>
        <w:t>3</w:t>
      </w:r>
      <w:r>
        <w:rPr>
          <w:rFonts w:ascii="Times New Roman" w:hAnsi="Times New Roman" w:cs="Times New Roman"/>
          <w:color w:val="auto"/>
        </w:rPr>
        <w:t>/a，来自厂区自来水供水系统。</w:t>
      </w:r>
    </w:p>
    <w:p>
      <w:pPr>
        <w:autoSpaceDE w:val="0"/>
        <w:autoSpaceDN w:val="0"/>
        <w:snapToGrid w:val="0"/>
        <w:ind w:firstLine="476"/>
        <w:rPr>
          <w:color w:val="auto"/>
          <w:spacing w:val="-1"/>
        </w:rPr>
      </w:pPr>
      <w:r>
        <w:rPr>
          <w:rFonts w:hint="eastAsia"/>
          <w:color w:val="auto"/>
          <w:spacing w:val="-1"/>
        </w:rPr>
        <w:t>6</w:t>
      </w:r>
      <w:r>
        <w:rPr>
          <w:color w:val="auto"/>
          <w:spacing w:val="-1"/>
        </w:rPr>
        <w:t>）绿化用水</w:t>
      </w:r>
    </w:p>
    <w:p>
      <w:pPr>
        <w:autoSpaceDE w:val="0"/>
        <w:autoSpaceDN w:val="0"/>
        <w:snapToGrid w:val="0"/>
        <w:ind w:firstLine="476"/>
        <w:rPr>
          <w:color w:val="auto"/>
        </w:rPr>
      </w:pPr>
      <w:r>
        <w:rPr>
          <w:rFonts w:hint="eastAsia"/>
          <w:color w:val="auto"/>
          <w:spacing w:val="-1"/>
        </w:rPr>
        <w:t>拟建项目</w:t>
      </w:r>
      <w:r>
        <w:rPr>
          <w:color w:val="auto"/>
          <w:spacing w:val="-1"/>
        </w:rPr>
        <w:t>厂区绿化面</w:t>
      </w:r>
      <w:r>
        <w:rPr>
          <w:color w:val="auto"/>
        </w:rPr>
        <w:t>积约</w:t>
      </w:r>
      <w:r>
        <w:rPr>
          <w:color w:val="auto"/>
          <w:spacing w:val="30"/>
        </w:rPr>
        <w:t>为</w:t>
      </w:r>
      <w:r>
        <w:rPr>
          <w:rFonts w:hint="eastAsia"/>
          <w:color w:val="auto"/>
        </w:rPr>
        <w:t>1452</w:t>
      </w:r>
      <w:r>
        <w:rPr>
          <w:rFonts w:eastAsia="Times New Roman"/>
          <w:color w:val="auto"/>
        </w:rPr>
        <w:t>m</w:t>
      </w:r>
      <w:r>
        <w:rPr>
          <w:rFonts w:eastAsia="Times New Roman"/>
          <w:color w:val="auto"/>
          <w:vertAlign w:val="superscript"/>
        </w:rPr>
        <w:t>2</w:t>
      </w:r>
      <w:r>
        <w:rPr>
          <w:color w:val="auto"/>
          <w:spacing w:val="-9"/>
        </w:rPr>
        <w:t>，</w:t>
      </w:r>
      <w:r>
        <w:rPr>
          <w:color w:val="auto"/>
        </w:rPr>
        <w:t>每平方米绿化用水平均定额</w:t>
      </w:r>
      <w:r>
        <w:rPr>
          <w:color w:val="auto"/>
          <w:spacing w:val="30"/>
        </w:rPr>
        <w:t>为</w:t>
      </w:r>
      <w:r>
        <w:rPr>
          <w:rFonts w:eastAsia="Times New Roman"/>
          <w:color w:val="auto"/>
        </w:rPr>
        <w:t>2L/m</w:t>
      </w:r>
      <w:r>
        <w:rPr>
          <w:rFonts w:eastAsia="Times New Roman"/>
          <w:color w:val="auto"/>
          <w:vertAlign w:val="superscript"/>
        </w:rPr>
        <w:t>2</w:t>
      </w:r>
      <w:r>
        <w:rPr>
          <w:rFonts w:eastAsia="Times New Roman"/>
          <w:color w:val="auto"/>
        </w:rPr>
        <w:t>·</w:t>
      </w:r>
      <w:r>
        <w:rPr>
          <w:color w:val="auto"/>
        </w:rPr>
        <w:t>d</w:t>
      </w:r>
      <w:r>
        <w:rPr>
          <w:color w:val="auto"/>
          <w:spacing w:val="-9"/>
        </w:rPr>
        <w:t>，</w:t>
      </w:r>
      <w:r>
        <w:rPr>
          <w:color w:val="auto"/>
        </w:rPr>
        <w:t>年绿化用水天数按</w:t>
      </w:r>
      <w:r>
        <w:rPr>
          <w:rFonts w:hint="eastAsia"/>
          <w:color w:val="auto"/>
        </w:rPr>
        <w:t>200</w:t>
      </w:r>
      <w:r>
        <w:rPr>
          <w:color w:val="auto"/>
        </w:rPr>
        <w:t>d计，则年用水量</w:t>
      </w:r>
      <w:r>
        <w:rPr>
          <w:color w:val="auto"/>
          <w:spacing w:val="30"/>
        </w:rPr>
        <w:t>为</w:t>
      </w:r>
      <w:r>
        <w:rPr>
          <w:rFonts w:hint="eastAsia"/>
          <w:color w:val="auto"/>
        </w:rPr>
        <w:t>580.8</w:t>
      </w:r>
      <w:r>
        <w:rPr>
          <w:rFonts w:eastAsia="Times New Roman"/>
          <w:color w:val="auto"/>
        </w:rPr>
        <w:t>m</w:t>
      </w:r>
      <w:r>
        <w:rPr>
          <w:rFonts w:eastAsia="Times New Roman"/>
          <w:color w:val="auto"/>
          <w:vertAlign w:val="superscript"/>
        </w:rPr>
        <w:t>3</w:t>
      </w:r>
      <w:r>
        <w:rPr>
          <w:rFonts w:eastAsia="Times New Roman"/>
          <w:color w:val="auto"/>
        </w:rPr>
        <w:t>/a</w:t>
      </w:r>
      <w:r>
        <w:rPr>
          <w:color w:val="auto"/>
        </w:rPr>
        <w:t>，</w:t>
      </w:r>
      <w:r>
        <w:rPr>
          <w:rFonts w:ascii="Times New Roman" w:hAnsi="Times New Roman" w:cs="Times New Roman"/>
          <w:color w:val="auto"/>
        </w:rPr>
        <w:t>来自厂区自来水供水系统</w:t>
      </w:r>
      <w:r>
        <w:rPr>
          <w:color w:val="auto"/>
        </w:rPr>
        <w:t>。</w:t>
      </w:r>
    </w:p>
    <w:p>
      <w:pPr>
        <w:pStyle w:val="2"/>
        <w:spacing w:after="0"/>
        <w:ind w:firstLine="480"/>
        <w:rPr>
          <w:color w:val="auto"/>
        </w:rPr>
      </w:pPr>
      <w:r>
        <w:rPr>
          <w:rFonts w:hint="eastAsia"/>
          <w:color w:val="auto"/>
        </w:rPr>
        <w:t>7）</w:t>
      </w:r>
      <w:r>
        <w:rPr>
          <w:color w:val="auto"/>
        </w:rPr>
        <w:t>道路降尘</w:t>
      </w:r>
    </w:p>
    <w:p>
      <w:pPr>
        <w:autoSpaceDE w:val="0"/>
        <w:autoSpaceDN w:val="0"/>
        <w:snapToGrid w:val="0"/>
        <w:ind w:firstLine="480"/>
        <w:rPr>
          <w:color w:val="auto"/>
        </w:rPr>
      </w:pPr>
      <w:r>
        <w:rPr>
          <w:color w:val="auto"/>
        </w:rPr>
        <w:t>厂区道路占地面积约</w:t>
      </w:r>
      <w:r>
        <w:rPr>
          <w:rFonts w:hint="eastAsia"/>
          <w:color w:val="auto"/>
        </w:rPr>
        <w:t>1700</w:t>
      </w:r>
      <w:r>
        <w:rPr>
          <w:color w:val="auto"/>
        </w:rPr>
        <w:t>m</w:t>
      </w:r>
      <w:r>
        <w:rPr>
          <w:color w:val="auto"/>
          <w:vertAlign w:val="superscript"/>
        </w:rPr>
        <w:t>2</w:t>
      </w:r>
      <w:r>
        <w:rPr>
          <w:color w:val="auto"/>
        </w:rPr>
        <w:t>，每天散水降尘一次，用水定额为</w:t>
      </w:r>
      <w:r>
        <w:rPr>
          <w:rFonts w:hint="eastAsia"/>
          <w:color w:val="auto"/>
        </w:rPr>
        <w:t>0.55</w:t>
      </w:r>
      <w:r>
        <w:rPr>
          <w:color w:val="auto"/>
        </w:rPr>
        <w:t>L/m</w:t>
      </w:r>
      <w:r>
        <w:rPr>
          <w:color w:val="auto"/>
          <w:vertAlign w:val="superscript"/>
        </w:rPr>
        <w:t>2</w:t>
      </w:r>
      <w:r>
        <w:rPr>
          <w:color w:val="auto"/>
        </w:rPr>
        <w:t>·d，年降尘用水天数按</w:t>
      </w:r>
      <w:r>
        <w:rPr>
          <w:rFonts w:hint="eastAsia"/>
          <w:color w:val="auto"/>
        </w:rPr>
        <w:t>300</w:t>
      </w:r>
      <w:r>
        <w:rPr>
          <w:color w:val="auto"/>
        </w:rPr>
        <w:t>d计，则年用水量为</w:t>
      </w:r>
      <w:r>
        <w:rPr>
          <w:rFonts w:hint="eastAsia"/>
          <w:color w:val="auto"/>
        </w:rPr>
        <w:t>280.5</w:t>
      </w:r>
      <w:r>
        <w:rPr>
          <w:color w:val="auto"/>
        </w:rPr>
        <w:t>m</w:t>
      </w:r>
      <w:r>
        <w:rPr>
          <w:color w:val="auto"/>
          <w:vertAlign w:val="superscript"/>
        </w:rPr>
        <w:t>3</w:t>
      </w:r>
      <w:r>
        <w:rPr>
          <w:color w:val="auto"/>
        </w:rPr>
        <w:t>/a，</w:t>
      </w:r>
      <w:r>
        <w:rPr>
          <w:rFonts w:ascii="Times New Roman" w:hAnsi="Times New Roman" w:cs="Times New Roman"/>
          <w:color w:val="auto"/>
        </w:rPr>
        <w:t>来自厂区自来水供水系统</w:t>
      </w:r>
      <w:r>
        <w:rPr>
          <w:color w:val="auto"/>
        </w:rPr>
        <w:t>。</w:t>
      </w:r>
    </w:p>
    <w:p>
      <w:pPr>
        <w:pStyle w:val="2"/>
        <w:spacing w:after="0"/>
        <w:ind w:firstLine="480"/>
        <w:rPr>
          <w:color w:val="auto"/>
        </w:rPr>
      </w:pPr>
      <w:r>
        <w:rPr>
          <w:rFonts w:hint="eastAsia"/>
          <w:color w:val="auto"/>
          <w:kern w:val="0"/>
          <w:lang w:bidi="ar"/>
        </w:rPr>
        <w:t>（2）</w:t>
      </w:r>
      <w:r>
        <w:rPr>
          <w:color w:val="auto"/>
          <w:kern w:val="0"/>
          <w:lang w:bidi="ar"/>
        </w:rPr>
        <w:t>排水</w:t>
      </w:r>
    </w:p>
    <w:p>
      <w:pPr>
        <w:autoSpaceDE w:val="0"/>
        <w:autoSpaceDN w:val="0"/>
        <w:snapToGrid w:val="0"/>
        <w:ind w:firstLine="480"/>
        <w:rPr>
          <w:color w:val="auto"/>
        </w:rPr>
      </w:pPr>
      <w:r>
        <w:rPr>
          <w:color w:val="auto"/>
        </w:rPr>
        <w:t>厂区排水系统按“清污分流”、“雨污分流”的原则进行建设，项目废水</w:t>
      </w:r>
      <w:r>
        <w:rPr>
          <w:rFonts w:hint="eastAsia"/>
          <w:color w:val="auto"/>
        </w:rPr>
        <w:t>总</w:t>
      </w:r>
      <w:r>
        <w:rPr>
          <w:color w:val="auto"/>
        </w:rPr>
        <w:t>排放量为</w:t>
      </w:r>
      <w:r>
        <w:rPr>
          <w:rFonts w:hint="eastAsia"/>
          <w:color w:val="auto"/>
        </w:rPr>
        <w:t>33</w:t>
      </w:r>
      <w:r>
        <w:rPr>
          <w:rFonts w:hint="eastAsia"/>
          <w:color w:val="auto"/>
          <w:lang w:val="en-US" w:eastAsia="zh-CN"/>
        </w:rPr>
        <w:t>60.518</w:t>
      </w:r>
      <w:r>
        <w:rPr>
          <w:rFonts w:eastAsia="Times New Roman"/>
          <w:color w:val="auto"/>
        </w:rPr>
        <w:t>m</w:t>
      </w:r>
      <w:r>
        <w:rPr>
          <w:rFonts w:eastAsia="Times New Roman"/>
          <w:color w:val="auto"/>
          <w:vertAlign w:val="superscript"/>
        </w:rPr>
        <w:t>3</w:t>
      </w:r>
      <w:r>
        <w:rPr>
          <w:rFonts w:eastAsia="Times New Roman"/>
          <w:color w:val="auto"/>
        </w:rPr>
        <w:t>/a</w:t>
      </w:r>
      <w:r>
        <w:rPr>
          <w:color w:val="auto"/>
        </w:rPr>
        <w:t>，</w:t>
      </w:r>
      <w:r>
        <w:rPr>
          <w:rFonts w:hint="eastAsia"/>
          <w:color w:val="auto"/>
        </w:rPr>
        <w:t>其中生活污水直接排入市政污水管网由光大水务（淄博）有限公司水质净化</w:t>
      </w:r>
      <w:r>
        <w:rPr>
          <w:rFonts w:hint="eastAsia"/>
          <w:color w:val="auto"/>
          <w:lang w:eastAsia="zh-CN"/>
        </w:rPr>
        <w:t>三分厂</w:t>
      </w:r>
      <w:r>
        <w:rPr>
          <w:rFonts w:hint="eastAsia"/>
          <w:color w:val="auto"/>
        </w:rPr>
        <w:t>处理，其余</w:t>
      </w:r>
      <w:r>
        <w:rPr>
          <w:color w:val="auto"/>
          <w:spacing w:val="29"/>
        </w:rPr>
        <w:t>污水水质满足</w:t>
      </w:r>
      <w:r>
        <w:rPr>
          <w:rFonts w:hint="eastAsia"/>
          <w:color w:val="auto"/>
          <w:lang w:val="en-US" w:eastAsia="zh-CN"/>
        </w:rPr>
        <w:t>《污水综合排放标准》（GB8978-1996）三级标准及光大水务（淄博）有限公司水质净化三分厂纳管水质要求</w:t>
      </w:r>
      <w:r>
        <w:rPr>
          <w:color w:val="auto"/>
        </w:rPr>
        <w:t>，排入</w:t>
      </w:r>
      <w:r>
        <w:rPr>
          <w:rFonts w:hint="eastAsia"/>
          <w:color w:val="auto"/>
        </w:rPr>
        <w:t>光大水务（淄博）有限公司水质净化</w:t>
      </w:r>
      <w:r>
        <w:rPr>
          <w:rFonts w:hint="eastAsia"/>
          <w:color w:val="auto"/>
          <w:lang w:eastAsia="zh-CN"/>
        </w:rPr>
        <w:t>三分厂</w:t>
      </w:r>
      <w:r>
        <w:rPr>
          <w:color w:val="auto"/>
        </w:rPr>
        <w:t>。</w:t>
      </w:r>
    </w:p>
    <w:p>
      <w:pPr>
        <w:ind w:firstLine="480"/>
        <w:rPr>
          <w:color w:val="auto"/>
        </w:rPr>
      </w:pPr>
      <w:r>
        <w:rPr>
          <w:color w:val="auto"/>
        </w:rPr>
        <w:t>1）循环冷却系统排水</w:t>
      </w:r>
    </w:p>
    <w:p>
      <w:pPr>
        <w:ind w:firstLine="480"/>
        <w:rPr>
          <w:color w:val="auto"/>
        </w:rPr>
      </w:pPr>
      <w:r>
        <w:rPr>
          <w:color w:val="auto"/>
        </w:rPr>
        <w:t>循环冷却水系统，总循环水量为</w:t>
      </w:r>
      <w:r>
        <w:rPr>
          <w:rFonts w:hint="eastAsia"/>
          <w:color w:val="auto"/>
          <w:lang w:val="en-US" w:eastAsia="zh-CN"/>
        </w:rPr>
        <w:t>100</w:t>
      </w:r>
      <w:r>
        <w:rPr>
          <w:color w:val="auto"/>
        </w:rPr>
        <w:t>m</w:t>
      </w:r>
      <w:r>
        <w:rPr>
          <w:color w:val="auto"/>
          <w:vertAlign w:val="superscript"/>
        </w:rPr>
        <w:t>3</w:t>
      </w:r>
      <w:r>
        <w:rPr>
          <w:color w:val="auto"/>
        </w:rPr>
        <w:t>/h，补水量约占循环水量1.5%，补水量为</w:t>
      </w:r>
      <w:r>
        <w:rPr>
          <w:rFonts w:hint="eastAsia"/>
          <w:color w:val="auto"/>
        </w:rPr>
        <w:t>3</w:t>
      </w:r>
      <w:r>
        <w:rPr>
          <w:color w:val="auto"/>
        </w:rPr>
        <w:t>m</w:t>
      </w:r>
      <w:r>
        <w:rPr>
          <w:color w:val="auto"/>
          <w:vertAlign w:val="superscript"/>
        </w:rPr>
        <w:t>3</w:t>
      </w:r>
      <w:r>
        <w:rPr>
          <w:color w:val="auto"/>
        </w:rPr>
        <w:t>/h，总用水量为</w:t>
      </w:r>
      <w:r>
        <w:rPr>
          <w:rFonts w:hint="eastAsia"/>
          <w:color w:val="auto"/>
        </w:rPr>
        <w:t>21600</w:t>
      </w:r>
      <w:r>
        <w:rPr>
          <w:color w:val="auto"/>
        </w:rPr>
        <w:t>m</w:t>
      </w:r>
      <w:r>
        <w:rPr>
          <w:color w:val="auto"/>
          <w:vertAlign w:val="superscript"/>
        </w:rPr>
        <w:t>3</w:t>
      </w:r>
      <w:r>
        <w:rPr>
          <w:color w:val="auto"/>
        </w:rPr>
        <w:t>/a。定期排水量为循环水量0.</w:t>
      </w:r>
      <w:r>
        <w:rPr>
          <w:rFonts w:hint="eastAsia"/>
          <w:color w:val="auto"/>
          <w:lang w:val="en-US" w:eastAsia="zh-CN"/>
        </w:rPr>
        <w:t>2</w:t>
      </w:r>
      <w:r>
        <w:rPr>
          <w:color w:val="auto"/>
        </w:rPr>
        <w:t>%，即</w:t>
      </w:r>
      <w:r>
        <w:rPr>
          <w:rFonts w:hint="eastAsia"/>
          <w:color w:val="auto"/>
          <w:lang w:val="en-US" w:eastAsia="zh-CN"/>
        </w:rPr>
        <w:t>1440</w:t>
      </w:r>
      <w:r>
        <w:rPr>
          <w:color w:val="auto"/>
        </w:rPr>
        <w:t>m</w:t>
      </w:r>
      <w:r>
        <w:rPr>
          <w:color w:val="auto"/>
          <w:vertAlign w:val="superscript"/>
        </w:rPr>
        <w:t>3</w:t>
      </w:r>
      <w:r>
        <w:rPr>
          <w:color w:val="auto"/>
        </w:rPr>
        <w:t>/a。</w:t>
      </w:r>
      <w:r>
        <w:rPr>
          <w:rFonts w:hint="eastAsia"/>
          <w:color w:val="auto"/>
          <w:szCs w:val="24"/>
        </w:rPr>
        <w:t>本项目</w:t>
      </w:r>
      <w:r>
        <w:rPr>
          <w:color w:val="auto"/>
        </w:rPr>
        <w:t>循环冷却系统排水</w:t>
      </w:r>
      <w:r>
        <w:rPr>
          <w:rFonts w:hint="eastAsia"/>
          <w:color w:val="auto"/>
          <w:szCs w:val="24"/>
        </w:rPr>
        <w:t>流入厂区污水处理站。</w:t>
      </w:r>
    </w:p>
    <w:p>
      <w:pPr>
        <w:ind w:left="480" w:leftChars="200" w:firstLine="0" w:firstLineChars="0"/>
        <w:rPr>
          <w:color w:val="auto"/>
        </w:rPr>
      </w:pPr>
      <w:r>
        <w:rPr>
          <w:rFonts w:hint="eastAsia"/>
          <w:color w:val="auto"/>
        </w:rPr>
        <w:t>2</w:t>
      </w:r>
      <w:r>
        <w:rPr>
          <w:color w:val="auto"/>
        </w:rPr>
        <w:t>）化验室排水</w:t>
      </w:r>
    </w:p>
    <w:p>
      <w:pPr>
        <w:ind w:firstLine="480"/>
        <w:rPr>
          <w:color w:val="auto"/>
        </w:rPr>
      </w:pPr>
      <w:r>
        <w:rPr>
          <w:color w:val="auto"/>
        </w:rPr>
        <w:t>化验室废水产污系数按0.8计算，化验室废水量为</w:t>
      </w:r>
      <w:r>
        <w:rPr>
          <w:rFonts w:hint="eastAsia"/>
          <w:color w:val="auto"/>
        </w:rPr>
        <w:t>120</w:t>
      </w:r>
      <w:r>
        <w:rPr>
          <w:color w:val="auto"/>
        </w:rPr>
        <w:t>m</w:t>
      </w:r>
      <w:r>
        <w:rPr>
          <w:color w:val="auto"/>
          <w:vertAlign w:val="superscript"/>
        </w:rPr>
        <w:t>3</w:t>
      </w:r>
      <w:r>
        <w:rPr>
          <w:color w:val="auto"/>
        </w:rPr>
        <w:t>/a。</w:t>
      </w:r>
      <w:r>
        <w:rPr>
          <w:rFonts w:hint="eastAsia"/>
          <w:color w:val="auto"/>
          <w:szCs w:val="24"/>
        </w:rPr>
        <w:t>本项目化验室废水流入厂区污水处理站。</w:t>
      </w:r>
    </w:p>
    <w:p>
      <w:pPr>
        <w:ind w:firstLine="480"/>
        <w:rPr>
          <w:color w:val="auto"/>
          <w:szCs w:val="22"/>
        </w:rPr>
      </w:pPr>
      <w:r>
        <w:rPr>
          <w:rFonts w:hint="eastAsia"/>
          <w:color w:val="auto"/>
        </w:rPr>
        <w:t>3）</w:t>
      </w:r>
      <w:r>
        <w:rPr>
          <w:color w:val="auto"/>
          <w:szCs w:val="22"/>
        </w:rPr>
        <w:t>喷淋塔排水</w:t>
      </w:r>
    </w:p>
    <w:p>
      <w:pPr>
        <w:pStyle w:val="2"/>
        <w:spacing w:after="0"/>
        <w:ind w:firstLine="480"/>
        <w:rPr>
          <w:color w:val="auto"/>
        </w:rPr>
      </w:pPr>
      <w:r>
        <w:rPr>
          <w:rFonts w:hint="eastAsia"/>
          <w:color w:val="auto"/>
        </w:rPr>
        <w:t>喷淋塔容积为3m</w:t>
      </w:r>
      <w:r>
        <w:rPr>
          <w:rFonts w:hint="eastAsia"/>
          <w:color w:val="auto"/>
          <w:vertAlign w:val="superscript"/>
        </w:rPr>
        <w:t>3</w:t>
      </w:r>
      <w:r>
        <w:rPr>
          <w:rFonts w:hint="eastAsia"/>
          <w:color w:val="auto"/>
        </w:rPr>
        <w:t>，每15天排放一次废水，排水量为90%，则排水量为2.7m</w:t>
      </w:r>
      <w:r>
        <w:rPr>
          <w:rFonts w:hint="eastAsia"/>
          <w:color w:val="auto"/>
          <w:vertAlign w:val="superscript"/>
        </w:rPr>
        <w:t>3</w:t>
      </w:r>
      <w:r>
        <w:rPr>
          <w:rFonts w:hint="eastAsia"/>
          <w:color w:val="auto"/>
        </w:rPr>
        <w:t>/次，每15天排放一次，则年排放量为54</w:t>
      </w:r>
      <w:r>
        <w:rPr>
          <w:color w:val="auto"/>
        </w:rPr>
        <w:t>m</w:t>
      </w:r>
      <w:r>
        <w:rPr>
          <w:color w:val="auto"/>
          <w:vertAlign w:val="superscript"/>
        </w:rPr>
        <w:t>3</w:t>
      </w:r>
      <w:r>
        <w:rPr>
          <w:color w:val="auto"/>
        </w:rPr>
        <w:t>/</w:t>
      </w:r>
      <w:r>
        <w:rPr>
          <w:rFonts w:hint="eastAsia"/>
          <w:color w:val="auto"/>
        </w:rPr>
        <w:t>a。本项目喷淋废水流入厂区污水处理站。</w:t>
      </w:r>
    </w:p>
    <w:p>
      <w:pPr>
        <w:ind w:firstLine="480"/>
        <w:rPr>
          <w:color w:val="auto"/>
        </w:rPr>
      </w:pPr>
      <w:r>
        <w:rPr>
          <w:rFonts w:hint="eastAsia"/>
          <w:color w:val="auto"/>
        </w:rPr>
        <w:t>4</w:t>
      </w:r>
      <w:r>
        <w:rPr>
          <w:color w:val="auto"/>
        </w:rPr>
        <w:t>）地面清洗废水</w:t>
      </w:r>
    </w:p>
    <w:p>
      <w:pPr>
        <w:pStyle w:val="2"/>
        <w:spacing w:after="0"/>
        <w:ind w:firstLine="480"/>
        <w:rPr>
          <w:color w:val="auto"/>
        </w:rPr>
      </w:pPr>
      <w:r>
        <w:rPr>
          <w:color w:val="auto"/>
        </w:rPr>
        <w:t>生产车间地面冲洗废水按使用量按80%计，项目地面清洗废水量为</w:t>
      </w:r>
      <w:r>
        <w:rPr>
          <w:rFonts w:hint="eastAsia"/>
          <w:color w:val="auto"/>
        </w:rPr>
        <w:t>139.57</w:t>
      </w:r>
      <w:r>
        <w:rPr>
          <w:color w:val="auto"/>
        </w:rPr>
        <w:t>m</w:t>
      </w:r>
      <w:r>
        <w:rPr>
          <w:color w:val="auto"/>
          <w:vertAlign w:val="superscript"/>
        </w:rPr>
        <w:t>3</w:t>
      </w:r>
      <w:r>
        <w:rPr>
          <w:color w:val="auto"/>
        </w:rPr>
        <w:t>/a。</w:t>
      </w:r>
      <w:r>
        <w:rPr>
          <w:rFonts w:hint="eastAsia"/>
          <w:color w:val="auto"/>
        </w:rPr>
        <w:t>本项目</w:t>
      </w:r>
      <w:r>
        <w:rPr>
          <w:color w:val="auto"/>
        </w:rPr>
        <w:t>地面清洗</w:t>
      </w:r>
      <w:r>
        <w:rPr>
          <w:rFonts w:hint="eastAsia"/>
          <w:color w:val="auto"/>
        </w:rPr>
        <w:t>废水流入厂区污水处理站。</w:t>
      </w:r>
    </w:p>
    <w:p>
      <w:pPr>
        <w:ind w:firstLine="480"/>
        <w:rPr>
          <w:color w:val="auto"/>
        </w:rPr>
      </w:pPr>
      <w:r>
        <w:rPr>
          <w:rFonts w:hint="eastAsia"/>
          <w:color w:val="auto"/>
        </w:rPr>
        <w:t>5</w:t>
      </w:r>
      <w:r>
        <w:rPr>
          <w:color w:val="auto"/>
        </w:rPr>
        <w:t>）生活污水</w:t>
      </w:r>
    </w:p>
    <w:p>
      <w:pPr>
        <w:ind w:firstLine="480"/>
        <w:rPr>
          <w:color w:val="auto"/>
        </w:rPr>
      </w:pPr>
      <w:r>
        <w:rPr>
          <w:color w:val="auto"/>
        </w:rPr>
        <w:t>生活污水主要来自于职工生活用水，生活污水按使用量的80%计算，产生量为3</w:t>
      </w:r>
      <w:r>
        <w:rPr>
          <w:rFonts w:hint="eastAsia"/>
          <w:color w:val="auto"/>
        </w:rPr>
        <w:t>60</w:t>
      </w:r>
      <w:r>
        <w:rPr>
          <w:color w:val="auto"/>
        </w:rPr>
        <w:t>m</w:t>
      </w:r>
      <w:r>
        <w:rPr>
          <w:color w:val="auto"/>
          <w:vertAlign w:val="superscript"/>
        </w:rPr>
        <w:t>3</w:t>
      </w:r>
      <w:r>
        <w:rPr>
          <w:color w:val="auto"/>
        </w:rPr>
        <w:t>/a</w:t>
      </w:r>
      <w:r>
        <w:rPr>
          <w:rFonts w:hint="eastAsia"/>
          <w:color w:val="auto"/>
        </w:rPr>
        <w:t>，排入市政污水管网后由光大水务（淄博）有限公司水质净化</w:t>
      </w:r>
      <w:r>
        <w:rPr>
          <w:rFonts w:hint="eastAsia"/>
          <w:color w:val="auto"/>
          <w:lang w:eastAsia="zh-CN"/>
        </w:rPr>
        <w:t>三分厂</w:t>
      </w:r>
      <w:r>
        <w:rPr>
          <w:rFonts w:hint="eastAsia"/>
          <w:color w:val="auto"/>
        </w:rPr>
        <w:t>处理。</w:t>
      </w:r>
    </w:p>
    <w:p>
      <w:pPr>
        <w:pStyle w:val="2"/>
        <w:spacing w:after="0"/>
        <w:ind w:firstLine="480"/>
        <w:rPr>
          <w:color w:val="auto"/>
        </w:rPr>
      </w:pPr>
      <w:r>
        <w:rPr>
          <w:rFonts w:hint="eastAsia"/>
          <w:color w:val="auto"/>
        </w:rPr>
        <w:t>6）生产废水</w:t>
      </w:r>
    </w:p>
    <w:p>
      <w:pPr>
        <w:ind w:firstLine="480"/>
        <w:rPr>
          <w:rFonts w:hint="eastAsia"/>
          <w:color w:val="auto"/>
        </w:rPr>
      </w:pPr>
      <w:r>
        <w:rPr>
          <w:rFonts w:hint="eastAsia"/>
          <w:color w:val="auto"/>
        </w:rPr>
        <w:t>本项目生产过程中，乳酸脱水会产生生产废水，主要成分为乳酸，根据物料衡算生产废水</w:t>
      </w:r>
      <w:r>
        <w:rPr>
          <w:rFonts w:hint="eastAsia"/>
          <w:color w:val="auto"/>
          <w:lang w:val="en-US" w:eastAsia="zh-CN"/>
        </w:rPr>
        <w:t>总</w:t>
      </w:r>
      <w:r>
        <w:rPr>
          <w:rFonts w:hint="eastAsia"/>
          <w:color w:val="auto"/>
        </w:rPr>
        <w:t>产生量约为</w:t>
      </w:r>
      <w:r>
        <w:rPr>
          <w:rFonts w:hint="eastAsia"/>
          <w:color w:val="auto"/>
          <w:lang w:val="en-US" w:eastAsia="zh-CN"/>
        </w:rPr>
        <w:t>1272.948</w:t>
      </w:r>
      <w:r>
        <w:rPr>
          <w:color w:val="auto"/>
        </w:rPr>
        <w:t>m</w:t>
      </w:r>
      <w:r>
        <w:rPr>
          <w:color w:val="auto"/>
          <w:vertAlign w:val="superscript"/>
        </w:rPr>
        <w:t>3</w:t>
      </w:r>
      <w:r>
        <w:rPr>
          <w:color w:val="auto"/>
        </w:rPr>
        <w:t>/a</w:t>
      </w:r>
      <w:r>
        <w:rPr>
          <w:rFonts w:hint="eastAsia"/>
          <w:color w:val="auto"/>
        </w:rPr>
        <w:t>，排入厂区污水处理站处理。</w:t>
      </w:r>
    </w:p>
    <w:p>
      <w:pPr>
        <w:pStyle w:val="2"/>
        <w:spacing w:after="0" w:line="360" w:lineRule="auto"/>
        <w:ind w:firstLine="482"/>
        <w:rPr>
          <w:b/>
          <w:color w:val="auto"/>
          <w:szCs w:val="20"/>
        </w:rPr>
      </w:pPr>
      <w:r>
        <w:rPr>
          <w:rFonts w:hint="eastAsia"/>
          <w:b/>
          <w:color w:val="auto"/>
          <w:szCs w:val="20"/>
        </w:rPr>
        <w:t>本项目水平衡见图2.2-6：</w:t>
      </w:r>
    </w:p>
    <w:p>
      <w:pPr>
        <w:spacing w:line="240" w:lineRule="auto"/>
        <w:ind w:firstLine="0" w:firstLineChars="0"/>
        <w:jc w:val="center"/>
        <w:rPr>
          <w:rFonts w:eastAsia="黑体"/>
          <w:color w:val="auto"/>
          <w:sz w:val="21"/>
          <w:szCs w:val="21"/>
        </w:rPr>
      </w:pPr>
      <w:r>
        <w:rPr>
          <w:rFonts w:eastAsia="黑体"/>
          <w:color w:val="auto"/>
          <w:sz w:val="21"/>
          <w:szCs w:val="21"/>
        </w:rPr>
        <w:drawing>
          <wp:inline distT="0" distB="0" distL="114300" distR="114300">
            <wp:extent cx="4783455" cy="4257040"/>
            <wp:effectExtent l="0" t="0" r="0" b="0"/>
            <wp:docPr id="32" name="ECB019B1-382A-4266-B25C-5B523AA43C14-1" descr="C:/Users/Administrator/AppData/Local/Temp/wps.fxdwwd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CB019B1-382A-4266-B25C-5B523AA43C14-1" descr="C:/Users/Administrator/AppData/Local/Temp/wps.fxdwwdwps"/>
                    <pic:cNvPicPr>
                      <a:picLocks noChangeAspect="1"/>
                    </pic:cNvPicPr>
                  </pic:nvPicPr>
                  <pic:blipFill>
                    <a:blip r:embed="rId60"/>
                    <a:stretch>
                      <a:fillRect/>
                    </a:stretch>
                  </pic:blipFill>
                  <pic:spPr>
                    <a:xfrm>
                      <a:off x="0" y="0"/>
                      <a:ext cx="4783455" cy="4257040"/>
                    </a:xfrm>
                    <a:prstGeom prst="rect">
                      <a:avLst/>
                    </a:prstGeom>
                  </pic:spPr>
                </pic:pic>
              </a:graphicData>
            </a:graphic>
          </wp:inline>
        </w:drawing>
      </w:r>
    </w:p>
    <w:p>
      <w:pPr>
        <w:spacing w:line="240" w:lineRule="auto"/>
        <w:ind w:firstLine="0" w:firstLineChars="0"/>
        <w:jc w:val="center"/>
        <w:rPr>
          <w:rFonts w:eastAsia="黑体"/>
          <w:color w:val="auto"/>
          <w:sz w:val="21"/>
          <w:szCs w:val="21"/>
        </w:rPr>
      </w:pPr>
      <w:r>
        <w:rPr>
          <w:rFonts w:eastAsia="黑体"/>
          <w:color w:val="auto"/>
          <w:sz w:val="21"/>
          <w:szCs w:val="21"/>
        </w:rPr>
        <w:t>图2.2-</w:t>
      </w:r>
      <w:r>
        <w:rPr>
          <w:rFonts w:hint="eastAsia" w:eastAsia="黑体"/>
          <w:color w:val="auto"/>
          <w:sz w:val="21"/>
          <w:szCs w:val="21"/>
          <w:lang w:val="en-US" w:eastAsia="zh-CN"/>
        </w:rPr>
        <w:t>6</w:t>
      </w:r>
      <w:r>
        <w:rPr>
          <w:rFonts w:eastAsia="黑体"/>
          <w:color w:val="auto"/>
          <w:sz w:val="21"/>
          <w:szCs w:val="21"/>
        </w:rPr>
        <w:t xml:space="preserve"> 本项目水平衡图</w:t>
      </w:r>
      <w:r>
        <w:rPr>
          <w:rFonts w:hint="eastAsia" w:eastAsia="黑体"/>
          <w:color w:val="auto"/>
          <w:sz w:val="21"/>
          <w:szCs w:val="21"/>
        </w:rPr>
        <w:t>m</w:t>
      </w:r>
      <w:r>
        <w:rPr>
          <w:rFonts w:hint="eastAsia" w:eastAsia="黑体"/>
          <w:color w:val="auto"/>
          <w:sz w:val="21"/>
          <w:szCs w:val="21"/>
          <w:vertAlign w:val="superscript"/>
        </w:rPr>
        <w:t>3</w:t>
      </w:r>
      <w:r>
        <w:rPr>
          <w:rFonts w:hint="eastAsia" w:eastAsia="黑体"/>
          <w:color w:val="auto"/>
          <w:sz w:val="21"/>
          <w:szCs w:val="21"/>
        </w:rPr>
        <w:t>/a</w:t>
      </w:r>
    </w:p>
    <w:p>
      <w:pPr>
        <w:pStyle w:val="2"/>
        <w:spacing w:after="0"/>
        <w:ind w:firstLine="482"/>
        <w:rPr>
          <w:b/>
          <w:color w:val="auto"/>
          <w:szCs w:val="20"/>
        </w:rPr>
      </w:pPr>
      <w:r>
        <w:rPr>
          <w:rFonts w:hint="eastAsia"/>
          <w:b/>
          <w:color w:val="auto"/>
          <w:szCs w:val="20"/>
        </w:rPr>
        <w:t>2、供配电</w:t>
      </w:r>
    </w:p>
    <w:p>
      <w:pPr>
        <w:ind w:firstLine="480"/>
        <w:rPr>
          <w:rFonts w:hint="eastAsia" w:cs="Times New Roman"/>
          <w:color w:val="auto"/>
          <w:kern w:val="0"/>
          <w:sz w:val="24"/>
          <w:szCs w:val="20"/>
          <w:lang w:val="en-US" w:eastAsia="zh-CN"/>
        </w:rPr>
      </w:pPr>
      <w:r>
        <w:rPr>
          <w:rFonts w:hint="eastAsia" w:cs="Times New Roman"/>
          <w:color w:val="auto"/>
          <w:kern w:val="0"/>
          <w:sz w:val="24"/>
          <w:szCs w:val="20"/>
          <w:lang w:val="en-US" w:eastAsia="zh-CN"/>
        </w:rPr>
        <w:t>淄博科技工业园供配电：</w:t>
      </w:r>
    </w:p>
    <w:p>
      <w:pPr>
        <w:ind w:firstLine="480"/>
        <w:rPr>
          <w:rFonts w:hint="eastAsia" w:eastAsia="宋体"/>
          <w:color w:val="auto"/>
          <w:lang w:eastAsia="zh-CN"/>
        </w:rPr>
      </w:pPr>
      <w:r>
        <w:rPr>
          <w:rFonts w:hint="eastAsia" w:cs="Times New Roman"/>
          <w:color w:val="auto"/>
          <w:kern w:val="0"/>
          <w:sz w:val="24"/>
          <w:szCs w:val="20"/>
          <w:lang w:val="en-US" w:eastAsia="zh-CN"/>
        </w:rPr>
        <w:t>园区</w:t>
      </w:r>
      <w:r>
        <w:rPr>
          <w:rFonts w:hint="default" w:ascii="Times New Roman" w:hAnsi="Times New Roman" w:cs="Times New Roman"/>
          <w:color w:val="auto"/>
          <w:kern w:val="0"/>
          <w:sz w:val="24"/>
          <w:szCs w:val="20"/>
        </w:rPr>
        <w:t>用电来自张店区供电公司，园区内现状保留1处220KV变电站</w:t>
      </w:r>
      <w:r>
        <w:rPr>
          <w:rFonts w:hint="default" w:ascii="Times New Roman" w:hAnsi="Times New Roman" w:cs="Times New Roman"/>
          <w:color w:val="auto"/>
          <w:kern w:val="0"/>
          <w:sz w:val="24"/>
          <w:szCs w:val="20"/>
          <w:lang w:eastAsia="zh-CN"/>
        </w:rPr>
        <w:t>和</w:t>
      </w:r>
      <w:r>
        <w:rPr>
          <w:rFonts w:hint="default" w:ascii="Times New Roman" w:hAnsi="Times New Roman" w:cs="Times New Roman"/>
          <w:color w:val="auto"/>
          <w:kern w:val="0"/>
          <w:sz w:val="24"/>
          <w:szCs w:val="20"/>
          <w:lang w:val="en-US" w:eastAsia="zh-CN"/>
        </w:rPr>
        <w:t>110kv高压站</w:t>
      </w:r>
      <w:r>
        <w:rPr>
          <w:rFonts w:hint="default" w:ascii="Times New Roman" w:hAnsi="Times New Roman" w:cs="Times New Roman"/>
          <w:color w:val="auto"/>
          <w:kern w:val="0"/>
          <w:sz w:val="24"/>
          <w:szCs w:val="20"/>
        </w:rPr>
        <w:t>，保证园区的供电可靠性。园区内现设置变配电室8处</w:t>
      </w:r>
      <w:r>
        <w:rPr>
          <w:rFonts w:hint="eastAsia" w:cs="Times New Roman"/>
          <w:color w:val="auto"/>
          <w:kern w:val="0"/>
          <w:sz w:val="24"/>
          <w:szCs w:val="20"/>
          <w:lang w:eastAsia="zh-CN"/>
        </w:rPr>
        <w:t>。</w:t>
      </w:r>
    </w:p>
    <w:p>
      <w:pPr>
        <w:ind w:firstLine="480"/>
        <w:rPr>
          <w:color w:val="auto"/>
        </w:rPr>
      </w:pPr>
      <w:r>
        <w:rPr>
          <w:rFonts w:hint="eastAsia"/>
          <w:color w:val="auto"/>
        </w:rPr>
        <w:t>拟建</w:t>
      </w:r>
      <w:r>
        <w:rPr>
          <w:color w:val="auto"/>
        </w:rPr>
        <w:t>项目年耗电量</w:t>
      </w:r>
      <w:r>
        <w:rPr>
          <w:rFonts w:hint="eastAsia"/>
          <w:color w:val="auto"/>
        </w:rPr>
        <w:t>480</w:t>
      </w:r>
      <w:r>
        <w:rPr>
          <w:color w:val="auto"/>
        </w:rPr>
        <w:t>万kWh/a，厂区建有变配电系统，由</w:t>
      </w:r>
      <w:r>
        <w:rPr>
          <w:rFonts w:hint="eastAsia"/>
          <w:color w:val="auto"/>
        </w:rPr>
        <w:t>张店区</w:t>
      </w:r>
      <w:r>
        <w:rPr>
          <w:color w:val="auto"/>
        </w:rPr>
        <w:t>供电</w:t>
      </w:r>
      <w:r>
        <w:rPr>
          <w:rFonts w:hint="eastAsia"/>
          <w:color w:val="auto"/>
        </w:rPr>
        <w:t>公司</w:t>
      </w:r>
      <w:r>
        <w:rPr>
          <w:color w:val="auto"/>
        </w:rPr>
        <w:t>提供，</w:t>
      </w:r>
      <w:r>
        <w:rPr>
          <w:rFonts w:hint="eastAsia"/>
          <w:color w:val="auto"/>
          <w:lang w:val="en-US" w:eastAsia="zh-CN"/>
        </w:rPr>
        <w:t>目前园区供电能力</w:t>
      </w:r>
      <w:r>
        <w:rPr>
          <w:color w:val="auto"/>
        </w:rPr>
        <w:t>能够满足本项目需求。</w:t>
      </w:r>
    </w:p>
    <w:p>
      <w:pPr>
        <w:ind w:firstLine="482"/>
        <w:rPr>
          <w:b/>
          <w:color w:val="auto"/>
        </w:rPr>
      </w:pPr>
      <w:r>
        <w:rPr>
          <w:rFonts w:hint="eastAsia"/>
          <w:b/>
          <w:color w:val="auto"/>
        </w:rPr>
        <w:t>3</w:t>
      </w:r>
      <w:r>
        <w:rPr>
          <w:b/>
          <w:color w:val="auto"/>
        </w:rPr>
        <w:t>、供热</w:t>
      </w:r>
    </w:p>
    <w:p>
      <w:pPr>
        <w:spacing w:line="360" w:lineRule="auto"/>
        <w:ind w:firstLine="424" w:firstLineChars="177"/>
        <w:rPr>
          <w:rFonts w:hint="default"/>
          <w:color w:val="auto"/>
          <w:lang w:val="en-US" w:eastAsia="zh-CN"/>
        </w:rPr>
      </w:pPr>
      <w:r>
        <w:rPr>
          <w:rFonts w:hint="eastAsia"/>
          <w:color w:val="auto"/>
          <w:lang w:val="en-US" w:eastAsia="zh-CN"/>
        </w:rPr>
        <w:t>根据</w:t>
      </w:r>
      <w:r>
        <w:rPr>
          <w:rFonts w:hint="eastAsia" w:ascii="宋体" w:hAnsi="宋体"/>
          <w:color w:val="auto"/>
          <w:lang w:eastAsia="zh-CN"/>
        </w:rPr>
        <w:t>淄博科技工业园</w:t>
      </w:r>
      <w:r>
        <w:rPr>
          <w:rFonts w:hint="eastAsia" w:ascii="宋体" w:hAnsi="宋体"/>
          <w:color w:val="auto"/>
        </w:rPr>
        <w:t>环境影响跟踪评价报告书</w:t>
      </w:r>
      <w:r>
        <w:rPr>
          <w:rFonts w:hint="eastAsia" w:ascii="宋体" w:hAnsi="宋体"/>
          <w:color w:val="auto"/>
          <w:lang w:val="en-US" w:eastAsia="zh-CN"/>
        </w:rPr>
        <w:t>可知，</w:t>
      </w:r>
      <w:r>
        <w:rPr>
          <w:rFonts w:hint="eastAsia"/>
          <w:color w:val="auto"/>
          <w:lang w:val="en-US" w:eastAsia="zh-CN"/>
        </w:rPr>
        <w:t>淄博科技工业园供热情况为：</w:t>
      </w:r>
    </w:p>
    <w:p>
      <w:pPr>
        <w:spacing w:line="360" w:lineRule="auto"/>
        <w:ind w:left="0" w:leftChars="0" w:firstLine="0" w:firstLineChars="0"/>
        <w:rPr>
          <w:rFonts w:hint="default" w:ascii="Times New Roman" w:hAnsi="Times New Roman" w:cs="Times New Roman"/>
          <w:color w:val="auto"/>
          <w:sz w:val="24"/>
          <w:lang w:val="en-US"/>
        </w:rPr>
      </w:pPr>
      <w:r>
        <w:rPr>
          <w:rFonts w:hint="default" w:ascii="Times New Roman" w:hAnsi="Times New Roman" w:cs="Times New Roman"/>
          <w:color w:val="auto"/>
          <w:sz w:val="24"/>
        </w:rPr>
        <w:t>工业园</w:t>
      </w:r>
      <w:r>
        <w:rPr>
          <w:rFonts w:hint="default" w:ascii="Times New Roman" w:hAnsi="Times New Roman" w:cs="Times New Roman"/>
          <w:color w:val="auto"/>
          <w:sz w:val="24"/>
          <w:lang w:eastAsia="zh-CN"/>
        </w:rPr>
        <w:t>现</w:t>
      </w:r>
      <w:r>
        <w:rPr>
          <w:rFonts w:hint="default" w:ascii="Times New Roman" w:hAnsi="Times New Roman" w:cs="Times New Roman"/>
          <w:color w:val="auto"/>
          <w:sz w:val="24"/>
        </w:rPr>
        <w:t>供热热源</w:t>
      </w:r>
      <w:r>
        <w:rPr>
          <w:rFonts w:hint="default" w:ascii="Times New Roman" w:hAnsi="Times New Roman" w:cs="Times New Roman"/>
          <w:color w:val="auto"/>
          <w:sz w:val="24"/>
          <w:lang w:eastAsia="zh-CN"/>
        </w:rPr>
        <w:t>为园区北部的淄博环保能源有限公司</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工业园内有</w:t>
      </w: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lang w:eastAsia="zh-CN"/>
        </w:rPr>
        <w:t>家企业由其供热</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分别为淄博美林电子有限公司、山东汇能电气有限公司、山东科汇电力自动化股份有限公司，淄博环保能源有限公司即将</w:t>
      </w:r>
      <w:r>
        <w:rPr>
          <w:rFonts w:hint="default" w:ascii="Times New Roman" w:hAnsi="Times New Roman" w:cs="Times New Roman"/>
          <w:color w:val="auto"/>
          <w:sz w:val="24"/>
        </w:rPr>
        <w:t>关停，且</w:t>
      </w:r>
      <w:r>
        <w:rPr>
          <w:rFonts w:hint="default" w:ascii="Times New Roman" w:hAnsi="Times New Roman" w:cs="Times New Roman"/>
          <w:color w:val="auto"/>
          <w:sz w:val="24"/>
          <w:lang w:eastAsia="zh-CN"/>
        </w:rPr>
        <w:t>其</w:t>
      </w:r>
      <w:r>
        <w:rPr>
          <w:rFonts w:hint="default" w:ascii="Times New Roman" w:hAnsi="Times New Roman" w:cs="Times New Roman"/>
          <w:color w:val="auto"/>
          <w:sz w:val="24"/>
        </w:rPr>
        <w:t>不在园区规划范围内。</w:t>
      </w:r>
      <w:r>
        <w:rPr>
          <w:rFonts w:hint="default" w:ascii="Times New Roman" w:hAnsi="Times New Roman" w:cs="Times New Roman"/>
          <w:color w:val="auto"/>
          <w:sz w:val="24"/>
          <w:lang w:eastAsia="zh-CN"/>
        </w:rPr>
        <w:t>园区的住宅尚未开始集中供热，园区计划于2018年实现集中供热后，</w:t>
      </w:r>
      <w:r>
        <w:rPr>
          <w:rFonts w:hint="eastAsia" w:ascii="Times New Roman" w:hAnsi="Times New Roman" w:cs="Times New Roman"/>
          <w:color w:val="auto"/>
          <w:sz w:val="24"/>
          <w:lang w:eastAsia="zh-CN"/>
        </w:rPr>
        <w:t>采暖</w:t>
      </w:r>
      <w:r>
        <w:rPr>
          <w:rFonts w:hint="default" w:ascii="Times New Roman" w:hAnsi="Times New Roman" w:cs="Times New Roman"/>
          <w:color w:val="auto"/>
          <w:sz w:val="24"/>
          <w:lang w:eastAsia="zh-CN"/>
        </w:rPr>
        <w:t>热源由淄博市热力有限公司的开泰能源站和工业园内在建的1×21MW燃气锅炉提供。</w:t>
      </w:r>
      <w:r>
        <w:rPr>
          <w:rFonts w:hint="eastAsia" w:ascii="Times New Roman" w:hAnsi="Times New Roman" w:cs="Times New Roman"/>
          <w:color w:val="auto"/>
          <w:sz w:val="24"/>
          <w:lang w:eastAsia="zh-CN"/>
        </w:rPr>
        <w:t>工业用热尚未有可依托的热源，</w:t>
      </w:r>
      <w:r>
        <w:rPr>
          <w:rFonts w:hint="default" w:ascii="Times New Roman" w:hAnsi="Times New Roman" w:cs="Times New Roman"/>
          <w:color w:val="auto"/>
          <w:sz w:val="24"/>
          <w:lang w:eastAsia="zh-CN"/>
        </w:rPr>
        <w:t>淄博</w:t>
      </w:r>
      <w:r>
        <w:rPr>
          <w:rFonts w:hint="eastAsia" w:ascii="Times New Roman" w:hAnsi="Times New Roman" w:cs="Times New Roman"/>
          <w:color w:val="auto"/>
          <w:sz w:val="24"/>
          <w:lang w:eastAsia="zh-CN"/>
        </w:rPr>
        <w:t>热力</w:t>
      </w:r>
      <w:r>
        <w:rPr>
          <w:rFonts w:hint="default" w:ascii="Times New Roman" w:hAnsi="Times New Roman" w:cs="Times New Roman"/>
          <w:color w:val="auto"/>
          <w:sz w:val="24"/>
          <w:lang w:eastAsia="zh-CN"/>
        </w:rPr>
        <w:t>有限公司</w:t>
      </w:r>
      <w:r>
        <w:rPr>
          <w:rFonts w:hint="eastAsia" w:ascii="Times New Roman" w:hAnsi="Times New Roman" w:cs="Times New Roman"/>
          <w:color w:val="auto"/>
          <w:sz w:val="24"/>
          <w:lang w:eastAsia="zh-CN"/>
        </w:rPr>
        <w:t>按供热规划将在淄</w:t>
      </w:r>
      <w:r>
        <w:rPr>
          <w:rFonts w:hint="default" w:ascii="Times New Roman" w:hAnsi="Times New Roman" w:cs="Times New Roman"/>
          <w:color w:val="auto"/>
          <w:sz w:val="24"/>
          <w:lang w:eastAsia="zh-CN"/>
        </w:rPr>
        <w:t>博环保能源有限公司</w:t>
      </w:r>
      <w:r>
        <w:rPr>
          <w:rFonts w:hint="eastAsia" w:ascii="Times New Roman" w:hAnsi="Times New Roman" w:cs="Times New Roman"/>
          <w:color w:val="auto"/>
          <w:sz w:val="24"/>
          <w:lang w:eastAsia="zh-CN"/>
        </w:rPr>
        <w:t>原址建设</w:t>
      </w:r>
      <w:r>
        <w:rPr>
          <w:rFonts w:hint="eastAsia" w:ascii="Times New Roman" w:hAnsi="Times New Roman" w:cs="Times New Roman"/>
          <w:color w:val="auto"/>
          <w:sz w:val="24"/>
          <w:lang w:val="en-US" w:eastAsia="zh-CN"/>
        </w:rPr>
        <w:t>3</w:t>
      </w:r>
      <w:r>
        <w:rPr>
          <w:rFonts w:hint="default"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168MW的热源</w:t>
      </w:r>
      <w:r>
        <w:rPr>
          <w:rFonts w:hint="eastAsia" w:ascii="Times New Roman" w:hAnsi="Times New Roman" w:cs="Times New Roman"/>
          <w:color w:val="auto"/>
          <w:sz w:val="24"/>
          <w:lang w:eastAsia="zh-CN"/>
        </w:rPr>
        <w:t>，可提供工业用热</w:t>
      </w:r>
      <w:r>
        <w:rPr>
          <w:rFonts w:hint="eastAsia" w:cs="Times New Roman"/>
          <w:color w:val="auto"/>
          <w:sz w:val="24"/>
          <w:lang w:eastAsia="zh-CN"/>
        </w:rPr>
        <w:t>（</w:t>
      </w:r>
      <w:r>
        <w:rPr>
          <w:rFonts w:hint="eastAsia" w:cs="Times New Roman"/>
          <w:color w:val="auto"/>
          <w:sz w:val="24"/>
          <w:lang w:val="en-US" w:eastAsia="zh-CN"/>
        </w:rPr>
        <w:t>目前尚未完成</w:t>
      </w:r>
      <w:r>
        <w:rPr>
          <w:rFonts w:hint="eastAsia" w:cs="Times New Roman"/>
          <w:color w:val="auto"/>
          <w:sz w:val="24"/>
          <w:lang w:eastAsia="zh-CN"/>
        </w:rPr>
        <w:t>）</w:t>
      </w:r>
      <w:r>
        <w:rPr>
          <w:rFonts w:hint="eastAsia" w:ascii="Times New Roman" w:hAnsi="Times New Roman" w:cs="Times New Roman"/>
          <w:color w:val="auto"/>
          <w:sz w:val="24"/>
          <w:lang w:eastAsia="zh-CN"/>
        </w:rPr>
        <w:t>。</w:t>
      </w:r>
      <w:r>
        <w:rPr>
          <w:rFonts w:hint="eastAsia" w:cs="Times New Roman"/>
          <w:color w:val="auto"/>
          <w:sz w:val="24"/>
          <w:lang w:val="en-US" w:eastAsia="zh-CN"/>
        </w:rPr>
        <w:t>因此目前</w:t>
      </w:r>
      <w:r>
        <w:rPr>
          <w:rFonts w:hint="default" w:ascii="Times New Roman" w:hAnsi="Times New Roman" w:cs="Times New Roman"/>
          <w:color w:val="auto"/>
          <w:szCs w:val="21"/>
        </w:rPr>
        <w:t>部分</w:t>
      </w:r>
      <w:r>
        <w:rPr>
          <w:rFonts w:hint="default" w:ascii="Times New Roman" w:hAnsi="Times New Roman" w:cs="Times New Roman"/>
          <w:color w:val="auto"/>
          <w:szCs w:val="21"/>
          <w:lang w:eastAsia="zh-CN"/>
        </w:rPr>
        <w:t>企业自建锅炉，</w:t>
      </w:r>
      <w:r>
        <w:rPr>
          <w:rFonts w:hint="eastAsia" w:ascii="Times New Roman" w:hAnsi="Times New Roman" w:cs="Times New Roman"/>
          <w:color w:val="auto"/>
          <w:szCs w:val="21"/>
          <w:lang w:eastAsia="zh-CN"/>
        </w:rPr>
        <w:t>无可依托的供热热源</w:t>
      </w:r>
      <w:r>
        <w:rPr>
          <w:rFonts w:hint="eastAsia" w:cs="Times New Roman"/>
          <w:color w:val="auto"/>
          <w:szCs w:val="21"/>
          <w:lang w:eastAsia="zh-CN"/>
        </w:rPr>
        <w:t>。</w:t>
      </w:r>
    </w:p>
    <w:p>
      <w:pPr>
        <w:widowControl/>
        <w:ind w:firstLine="480"/>
        <w:jc w:val="left"/>
        <w:rPr>
          <w:color w:val="auto"/>
        </w:rPr>
      </w:pPr>
      <w:r>
        <w:rPr>
          <w:rFonts w:hint="eastAsia"/>
          <w:color w:val="auto"/>
          <w:lang w:val="en-US" w:eastAsia="zh-CN"/>
        </w:rPr>
        <w:t>通过与园区管委会了解，园区</w:t>
      </w:r>
      <w:r>
        <w:rPr>
          <w:rFonts w:hint="default" w:ascii="Times New Roman" w:hAnsi="Times New Roman" w:eastAsia="宋体" w:cs="Times New Roman"/>
          <w:color w:val="auto"/>
          <w:lang w:val="en-US" w:eastAsia="zh-CN"/>
        </w:rPr>
        <w:t>目前在</w:t>
      </w:r>
      <w:r>
        <w:rPr>
          <w:rFonts w:hint="eastAsia" w:ascii="Times New Roman" w:hAnsi="Times New Roman" w:eastAsia="宋体" w:cs="Times New Roman"/>
          <w:color w:val="auto"/>
          <w:lang w:val="en-US" w:eastAsia="zh-CN"/>
        </w:rPr>
        <w:t>本项目</w:t>
      </w:r>
      <w:r>
        <w:rPr>
          <w:rFonts w:hint="default" w:ascii="Times New Roman" w:hAnsi="Times New Roman" w:eastAsia="宋体" w:cs="Times New Roman"/>
          <w:color w:val="auto"/>
          <w:lang w:val="en-US" w:eastAsia="zh-CN"/>
        </w:rPr>
        <w:t>附近没有供热管道，无法满足</w:t>
      </w:r>
      <w:r>
        <w:rPr>
          <w:rFonts w:hint="eastAsia" w:ascii="Times New Roman" w:hAnsi="Times New Roman" w:eastAsia="宋体" w:cs="Times New Roman"/>
          <w:color w:val="auto"/>
          <w:lang w:val="en-US" w:eastAsia="zh-CN"/>
        </w:rPr>
        <w:t>本项目</w:t>
      </w:r>
      <w:r>
        <w:rPr>
          <w:rFonts w:hint="default" w:ascii="Times New Roman" w:hAnsi="Times New Roman" w:eastAsia="宋体" w:cs="Times New Roman"/>
          <w:color w:val="auto"/>
          <w:lang w:val="en-US" w:eastAsia="zh-CN"/>
        </w:rPr>
        <w:t>供热需求</w:t>
      </w:r>
      <w:r>
        <w:rPr>
          <w:rFonts w:hint="eastAsia" w:ascii="Times New Roman" w:hAnsi="Times New Roman" w:eastAsia="宋体" w:cs="Times New Roman"/>
          <w:color w:val="auto"/>
          <w:lang w:val="en-US" w:eastAsia="zh-CN"/>
        </w:rPr>
        <w:t>，本项目</w:t>
      </w:r>
      <w:r>
        <w:rPr>
          <w:rFonts w:hint="eastAsia"/>
          <w:color w:val="auto"/>
        </w:rPr>
        <w:t>拟建设</w:t>
      </w:r>
      <w:r>
        <w:rPr>
          <w:rFonts w:hint="eastAsia" w:ascii="Times New Roman" w:hAnsi="Times New Roman" w:eastAsia="宋体" w:cs="Times New Roman"/>
          <w:color w:val="auto"/>
        </w:rPr>
        <w:t>1台1800kw燃气导</w:t>
      </w:r>
      <w:r>
        <w:rPr>
          <w:rFonts w:hint="eastAsia"/>
          <w:color w:val="auto"/>
        </w:rPr>
        <w:t>热油炉。导热油炉采用天然气燃烧，并设置低氮燃烧器，烟气经1根15m高排气筒DA00</w:t>
      </w:r>
      <w:r>
        <w:rPr>
          <w:rFonts w:hint="eastAsia"/>
          <w:color w:val="auto"/>
          <w:lang w:val="en-US" w:eastAsia="zh-CN"/>
        </w:rPr>
        <w:t>2</w:t>
      </w:r>
      <w:r>
        <w:rPr>
          <w:rFonts w:hint="eastAsia"/>
          <w:color w:val="auto"/>
        </w:rPr>
        <w:t>排放。天然气由绿博燃气有限公司通过管道输送至厂区，年消耗天然气量为</w:t>
      </w:r>
      <w:r>
        <w:rPr>
          <w:rFonts w:hint="eastAsia"/>
          <w:color w:val="auto"/>
          <w:lang w:val="en-US" w:eastAsia="zh-CN"/>
        </w:rPr>
        <w:t>150</w:t>
      </w:r>
      <w:r>
        <w:rPr>
          <w:rFonts w:hint="eastAsia"/>
          <w:color w:val="auto"/>
        </w:rPr>
        <w:t>万m</w:t>
      </w:r>
      <w:r>
        <w:rPr>
          <w:rFonts w:hint="eastAsia"/>
          <w:color w:val="auto"/>
          <w:vertAlign w:val="superscript"/>
        </w:rPr>
        <w:t>3</w:t>
      </w:r>
      <w:r>
        <w:rPr>
          <w:rFonts w:hint="eastAsia"/>
          <w:color w:val="auto"/>
        </w:rPr>
        <w:t>。</w:t>
      </w:r>
    </w:p>
    <w:p>
      <w:pPr>
        <w:pStyle w:val="2"/>
        <w:spacing w:after="0"/>
        <w:ind w:firstLine="482"/>
        <w:rPr>
          <w:b/>
          <w:color w:val="auto"/>
        </w:rPr>
      </w:pPr>
      <w:r>
        <w:rPr>
          <w:rFonts w:hint="eastAsia"/>
          <w:b/>
          <w:color w:val="auto"/>
        </w:rPr>
        <w:t>4</w:t>
      </w:r>
      <w:r>
        <w:rPr>
          <w:b/>
          <w:color w:val="auto"/>
        </w:rPr>
        <w:t>、储运工程</w:t>
      </w:r>
    </w:p>
    <w:p>
      <w:pPr>
        <w:ind w:firstLine="480"/>
        <w:rPr>
          <w:color w:val="auto"/>
        </w:rPr>
      </w:pPr>
      <w:r>
        <w:rPr>
          <w:rFonts w:hint="eastAsia"/>
          <w:color w:val="auto"/>
        </w:rPr>
        <w:t>拟建</w:t>
      </w:r>
      <w:r>
        <w:rPr>
          <w:color w:val="auto"/>
        </w:rPr>
        <w:t>项目原辅材料和产品有固体、液体</w:t>
      </w:r>
      <w:r>
        <w:rPr>
          <w:rFonts w:hint="eastAsia"/>
          <w:color w:val="auto"/>
        </w:rPr>
        <w:t>两</w:t>
      </w:r>
      <w:r>
        <w:rPr>
          <w:color w:val="auto"/>
        </w:rPr>
        <w:t>种形态。原辅材料厂外主要采用汽运方式运输，液体原辅材料厂外采用罐车运输。固体原料在厂内的输送通过叉车输送。液体原料厂内主要采用管道输送。原料和产品的外部运输均委托具有相应资质的运输公司进行运输。</w:t>
      </w:r>
    </w:p>
    <w:p>
      <w:pPr>
        <w:pStyle w:val="48"/>
        <w:spacing w:line="360" w:lineRule="auto"/>
        <w:ind w:firstLine="480" w:firstLineChars="200"/>
        <w:jc w:val="both"/>
        <w:rPr>
          <w:rFonts w:eastAsia="宋体"/>
          <w:color w:val="auto"/>
          <w:sz w:val="24"/>
        </w:rPr>
      </w:pPr>
      <w:r>
        <w:rPr>
          <w:rFonts w:hint="eastAsia" w:eastAsia="宋体"/>
          <w:snapToGrid/>
          <w:color w:val="auto"/>
          <w:spacing w:val="0"/>
          <w:kern w:val="2"/>
          <w:sz w:val="24"/>
          <w:lang w:eastAsia="zh-CN"/>
        </w:rPr>
        <w:t>催化剂</w:t>
      </w:r>
      <w:r>
        <w:rPr>
          <w:rFonts w:hint="eastAsia" w:eastAsia="宋体"/>
          <w:snapToGrid/>
          <w:color w:val="auto"/>
          <w:spacing w:val="0"/>
          <w:kern w:val="2"/>
          <w:sz w:val="24"/>
        </w:rPr>
        <w:t>、</w:t>
      </w:r>
      <w:r>
        <w:rPr>
          <w:rFonts w:hint="eastAsia" w:eastAsia="宋体"/>
          <w:snapToGrid/>
          <w:color w:val="auto"/>
          <w:spacing w:val="0"/>
          <w:kern w:val="2"/>
          <w:sz w:val="24"/>
          <w:lang w:eastAsia="zh-CN"/>
        </w:rPr>
        <w:t>催化剂</w:t>
      </w:r>
      <w:r>
        <w:rPr>
          <w:rFonts w:hint="eastAsia" w:eastAsia="宋体"/>
          <w:snapToGrid/>
          <w:color w:val="auto"/>
          <w:spacing w:val="0"/>
          <w:kern w:val="2"/>
          <w:sz w:val="24"/>
        </w:rPr>
        <w:t>、</w:t>
      </w:r>
      <w:r>
        <w:rPr>
          <w:rFonts w:hint="eastAsia" w:eastAsia="宋体"/>
          <w:snapToGrid/>
          <w:color w:val="auto"/>
          <w:spacing w:val="0"/>
          <w:kern w:val="2"/>
          <w:sz w:val="24"/>
          <w:lang w:eastAsia="zh-CN"/>
        </w:rPr>
        <w:t>催化剂</w:t>
      </w:r>
      <w:r>
        <w:rPr>
          <w:rFonts w:hint="eastAsia" w:eastAsia="宋体"/>
          <w:snapToGrid/>
          <w:color w:val="auto"/>
          <w:spacing w:val="0"/>
          <w:kern w:val="2"/>
          <w:sz w:val="24"/>
        </w:rPr>
        <w:t>、</w:t>
      </w:r>
      <w:r>
        <w:rPr>
          <w:rFonts w:hint="eastAsia" w:eastAsia="宋体"/>
          <w:snapToGrid/>
          <w:color w:val="auto"/>
          <w:spacing w:val="0"/>
          <w:kern w:val="2"/>
          <w:sz w:val="24"/>
          <w:lang w:eastAsia="zh-CN"/>
        </w:rPr>
        <w:t>催化剂</w:t>
      </w:r>
      <w:r>
        <w:rPr>
          <w:rFonts w:hint="eastAsia" w:eastAsia="宋体"/>
          <w:snapToGrid/>
          <w:color w:val="auto"/>
          <w:spacing w:val="0"/>
          <w:kern w:val="2"/>
          <w:sz w:val="24"/>
        </w:rPr>
        <w:t>、</w:t>
      </w:r>
      <w:r>
        <w:rPr>
          <w:rFonts w:hint="eastAsia" w:eastAsia="宋体"/>
          <w:snapToGrid/>
          <w:color w:val="auto"/>
          <w:spacing w:val="0"/>
          <w:kern w:val="2"/>
          <w:sz w:val="24"/>
          <w:lang w:eastAsia="zh-CN"/>
        </w:rPr>
        <w:t>催化剂</w:t>
      </w:r>
      <w:r>
        <w:rPr>
          <w:rFonts w:eastAsia="宋体"/>
          <w:snapToGrid/>
          <w:color w:val="auto"/>
          <w:spacing w:val="0"/>
          <w:kern w:val="2"/>
          <w:sz w:val="24"/>
        </w:rPr>
        <w:t>等</w:t>
      </w:r>
      <w:r>
        <w:rPr>
          <w:rFonts w:eastAsia="宋体"/>
          <w:color w:val="auto"/>
          <w:sz w:val="24"/>
        </w:rPr>
        <w:t>辅料储存在厂内原料仓库，原料</w:t>
      </w:r>
      <w:r>
        <w:rPr>
          <w:rFonts w:hint="eastAsia" w:eastAsia="宋体"/>
          <w:color w:val="auto"/>
          <w:sz w:val="24"/>
        </w:rPr>
        <w:t>乳酸</w:t>
      </w:r>
      <w:r>
        <w:rPr>
          <w:rFonts w:eastAsia="宋体"/>
          <w:color w:val="auto"/>
          <w:sz w:val="24"/>
        </w:rPr>
        <w:t>储存在厂内罐区</w:t>
      </w:r>
      <w:r>
        <w:rPr>
          <w:rFonts w:hint="eastAsia" w:eastAsia="宋体"/>
          <w:color w:val="auto"/>
          <w:sz w:val="24"/>
        </w:rPr>
        <w:t>，产品丙交酯和聚乳酸储存在厂内产品仓库</w:t>
      </w:r>
      <w:r>
        <w:rPr>
          <w:rFonts w:eastAsia="宋体"/>
          <w:color w:val="auto"/>
          <w:sz w:val="24"/>
        </w:rPr>
        <w:t>。</w:t>
      </w:r>
    </w:p>
    <w:p>
      <w:pPr>
        <w:ind w:firstLine="480"/>
        <w:jc w:val="left"/>
        <w:rPr>
          <w:color w:val="auto"/>
        </w:rPr>
      </w:pPr>
      <w:r>
        <w:rPr>
          <w:color w:val="auto"/>
        </w:rPr>
        <w:t>1、罐区设置情况</w:t>
      </w:r>
    </w:p>
    <w:p>
      <w:pPr>
        <w:ind w:firstLine="480"/>
        <w:jc w:val="left"/>
        <w:rPr>
          <w:color w:val="auto"/>
        </w:rPr>
      </w:pPr>
      <w:r>
        <w:rPr>
          <w:color w:val="auto"/>
          <w:szCs w:val="24"/>
        </w:rPr>
        <w:t>山东朗净新材料科技有限公司</w:t>
      </w:r>
      <w:r>
        <w:rPr>
          <w:color w:val="auto"/>
        </w:rPr>
        <w:t>厂区新建罐区</w:t>
      </w:r>
      <w:r>
        <w:rPr>
          <w:rFonts w:hint="eastAsia"/>
          <w:color w:val="auto"/>
        </w:rPr>
        <w:t>1</w:t>
      </w:r>
      <w:r>
        <w:rPr>
          <w:color w:val="auto"/>
        </w:rPr>
        <w:t>个，罐区</w:t>
      </w:r>
      <w:r>
        <w:rPr>
          <w:color w:val="auto"/>
          <w:szCs w:val="24"/>
        </w:rPr>
        <w:t>面积</w:t>
      </w:r>
      <w:r>
        <w:rPr>
          <w:rFonts w:hint="eastAsia"/>
          <w:color w:val="auto"/>
          <w:szCs w:val="24"/>
        </w:rPr>
        <w:t>142.5</w:t>
      </w:r>
      <w:r>
        <w:rPr>
          <w:color w:val="auto"/>
          <w:szCs w:val="24"/>
        </w:rPr>
        <w:t>m</w:t>
      </w:r>
      <w:r>
        <w:rPr>
          <w:color w:val="auto"/>
          <w:szCs w:val="24"/>
          <w:vertAlign w:val="superscript"/>
        </w:rPr>
        <w:t>2</w:t>
      </w:r>
      <w:r>
        <w:rPr>
          <w:color w:val="auto"/>
          <w:szCs w:val="24"/>
        </w:rPr>
        <w:t>，围</w:t>
      </w:r>
      <w:r>
        <w:rPr>
          <w:color w:val="auto"/>
        </w:rPr>
        <w:t>堰高度</w:t>
      </w:r>
      <w:r>
        <w:rPr>
          <w:rFonts w:hint="eastAsia"/>
          <w:color w:val="auto"/>
        </w:rPr>
        <w:t>1.0</w:t>
      </w:r>
      <w:r>
        <w:rPr>
          <w:color w:val="auto"/>
        </w:rPr>
        <w:t>m</w:t>
      </w:r>
      <w:r>
        <w:rPr>
          <w:rFonts w:hint="eastAsia"/>
          <w:color w:val="auto"/>
        </w:rPr>
        <w:t>。拟建</w:t>
      </w:r>
      <w:r>
        <w:rPr>
          <w:color w:val="auto"/>
        </w:rPr>
        <w:t>项目储罐设置情况见表</w:t>
      </w:r>
      <w:r>
        <w:rPr>
          <w:rFonts w:hint="eastAsia"/>
          <w:color w:val="auto"/>
        </w:rPr>
        <w:t>2.2</w:t>
      </w:r>
      <w:r>
        <w:rPr>
          <w:color w:val="auto"/>
        </w:rPr>
        <w:t>-</w:t>
      </w:r>
      <w:r>
        <w:rPr>
          <w:rFonts w:hint="eastAsia"/>
          <w:color w:val="auto"/>
        </w:rPr>
        <w:t>6。</w:t>
      </w:r>
    </w:p>
    <w:p>
      <w:pPr>
        <w:ind w:firstLine="482"/>
        <w:contextualSpacing/>
        <w:jc w:val="center"/>
        <w:rPr>
          <w:b/>
          <w:color w:val="auto"/>
        </w:rPr>
      </w:pPr>
      <w:r>
        <w:rPr>
          <w:b/>
          <w:color w:val="auto"/>
        </w:rPr>
        <w:t>表</w:t>
      </w:r>
      <w:r>
        <w:rPr>
          <w:rFonts w:hint="eastAsia"/>
          <w:b/>
          <w:color w:val="auto"/>
        </w:rPr>
        <w:t>2.2-6</w:t>
      </w:r>
      <w:r>
        <w:rPr>
          <w:b/>
          <w:color w:val="auto"/>
        </w:rPr>
        <w:t xml:space="preserve">  </w:t>
      </w:r>
      <w:r>
        <w:rPr>
          <w:rFonts w:hint="eastAsia"/>
          <w:b/>
          <w:color w:val="auto"/>
        </w:rPr>
        <w:t>拟建项目</w:t>
      </w:r>
      <w:r>
        <w:rPr>
          <w:b/>
          <w:color w:val="auto"/>
        </w:rPr>
        <w:t>罐区设置情况</w:t>
      </w:r>
    </w:p>
    <w:tbl>
      <w:tblPr>
        <w:tblStyle w:val="22"/>
        <w:tblW w:w="506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7"/>
        <w:gridCol w:w="1409"/>
        <w:gridCol w:w="1735"/>
        <w:gridCol w:w="703"/>
        <w:gridCol w:w="999"/>
        <w:gridCol w:w="849"/>
        <w:gridCol w:w="1502"/>
        <w:gridCol w:w="9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3"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罐区名称</w:t>
            </w:r>
          </w:p>
        </w:tc>
        <w:tc>
          <w:tcPr>
            <w:tcW w:w="762"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围堰尺寸（m）</w:t>
            </w:r>
          </w:p>
        </w:tc>
        <w:tc>
          <w:tcPr>
            <w:tcW w:w="938"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储罐名称</w:t>
            </w:r>
          </w:p>
        </w:tc>
        <w:tc>
          <w:tcPr>
            <w:tcW w:w="380"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储罐</w:t>
            </w:r>
          </w:p>
          <w:p>
            <w:pPr>
              <w:spacing w:line="240" w:lineRule="auto"/>
              <w:ind w:firstLine="0" w:firstLineChars="0"/>
              <w:jc w:val="center"/>
              <w:rPr>
                <w:b/>
                <w:color w:val="auto"/>
                <w:sz w:val="21"/>
                <w:szCs w:val="21"/>
              </w:rPr>
            </w:pPr>
            <w:r>
              <w:rPr>
                <w:b/>
                <w:color w:val="auto"/>
                <w:sz w:val="21"/>
                <w:szCs w:val="21"/>
              </w:rPr>
              <w:t>数量</w:t>
            </w:r>
          </w:p>
        </w:tc>
        <w:tc>
          <w:tcPr>
            <w:tcW w:w="540" w:type="pct"/>
            <w:vAlign w:val="center"/>
          </w:tcPr>
          <w:p>
            <w:pPr>
              <w:spacing w:line="240" w:lineRule="auto"/>
              <w:ind w:firstLine="0" w:firstLineChars="0"/>
              <w:jc w:val="center"/>
              <w:rPr>
                <w:b/>
                <w:color w:val="auto"/>
                <w:sz w:val="21"/>
                <w:szCs w:val="21"/>
              </w:rPr>
            </w:pPr>
            <w:r>
              <w:rPr>
                <w:b/>
                <w:color w:val="auto"/>
                <w:sz w:val="21"/>
                <w:szCs w:val="21"/>
              </w:rPr>
              <w:t>储罐</w:t>
            </w:r>
          </w:p>
          <w:p>
            <w:pPr>
              <w:spacing w:line="240" w:lineRule="auto"/>
              <w:ind w:firstLine="0" w:firstLineChars="0"/>
              <w:jc w:val="center"/>
              <w:rPr>
                <w:b/>
                <w:color w:val="auto"/>
                <w:sz w:val="21"/>
                <w:szCs w:val="21"/>
              </w:rPr>
            </w:pPr>
            <w:r>
              <w:rPr>
                <w:b/>
                <w:color w:val="auto"/>
                <w:sz w:val="21"/>
                <w:szCs w:val="21"/>
              </w:rPr>
              <w:t>类型</w:t>
            </w:r>
          </w:p>
        </w:tc>
        <w:tc>
          <w:tcPr>
            <w:tcW w:w="459"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材质</w:t>
            </w:r>
          </w:p>
        </w:tc>
        <w:tc>
          <w:tcPr>
            <w:tcW w:w="812"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规格参数（mm）</w:t>
            </w:r>
          </w:p>
        </w:tc>
        <w:tc>
          <w:tcPr>
            <w:tcW w:w="511"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单罐容积m</w:t>
            </w:r>
            <w:r>
              <w:rPr>
                <w:b/>
                <w:color w:val="auto"/>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3" w:type="pct"/>
            <w:tcMar>
              <w:left w:w="28"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t>乳酸罐区</w:t>
            </w:r>
          </w:p>
        </w:tc>
        <w:tc>
          <w:tcPr>
            <w:tcW w:w="762" w:type="pct"/>
            <w:tcMar>
              <w:left w:w="28"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t>15×9.5×1.0</w:t>
            </w:r>
          </w:p>
        </w:tc>
        <w:tc>
          <w:tcPr>
            <w:tcW w:w="938" w:type="pct"/>
            <w:tcMar>
              <w:left w:w="28" w:type="dxa"/>
              <w:right w:w="28" w:type="dxa"/>
            </w:tcMar>
            <w:vAlign w:val="center"/>
          </w:tcPr>
          <w:p>
            <w:pPr>
              <w:spacing w:line="240" w:lineRule="auto"/>
              <w:ind w:firstLine="0" w:firstLineChars="0"/>
              <w:jc w:val="center"/>
              <w:rPr>
                <w:color w:val="auto"/>
                <w:spacing w:val="-10"/>
                <w:sz w:val="21"/>
                <w:szCs w:val="21"/>
              </w:rPr>
            </w:pPr>
            <w:r>
              <w:rPr>
                <w:rFonts w:hint="eastAsia"/>
                <w:color w:val="auto"/>
                <w:spacing w:val="-10"/>
                <w:sz w:val="21"/>
                <w:szCs w:val="21"/>
              </w:rPr>
              <w:t>乳酸</w:t>
            </w:r>
            <w:r>
              <w:rPr>
                <w:color w:val="auto"/>
                <w:spacing w:val="-10"/>
                <w:sz w:val="21"/>
                <w:szCs w:val="21"/>
              </w:rPr>
              <w:t>储罐</w:t>
            </w:r>
          </w:p>
        </w:tc>
        <w:tc>
          <w:tcPr>
            <w:tcW w:w="380" w:type="pct"/>
            <w:tcMar>
              <w:left w:w="28"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t>2</w:t>
            </w:r>
          </w:p>
        </w:tc>
        <w:tc>
          <w:tcPr>
            <w:tcW w:w="540" w:type="pct"/>
            <w:vAlign w:val="center"/>
          </w:tcPr>
          <w:p>
            <w:pPr>
              <w:spacing w:line="240" w:lineRule="auto"/>
              <w:ind w:firstLine="0" w:firstLineChars="0"/>
              <w:jc w:val="center"/>
              <w:rPr>
                <w:rFonts w:hint="default" w:eastAsia="宋体"/>
                <w:color w:val="auto"/>
                <w:sz w:val="21"/>
                <w:szCs w:val="21"/>
                <w:lang w:val="en-US" w:eastAsia="zh-CN"/>
              </w:rPr>
            </w:pPr>
            <w:r>
              <w:rPr>
                <w:color w:val="auto"/>
                <w:sz w:val="21"/>
                <w:szCs w:val="21"/>
              </w:rPr>
              <w:t>立式罐</w:t>
            </w:r>
            <w:r>
              <w:rPr>
                <w:rFonts w:hint="eastAsia"/>
                <w:color w:val="auto"/>
                <w:sz w:val="21"/>
                <w:szCs w:val="21"/>
                <w:lang w:eastAsia="zh-CN"/>
              </w:rPr>
              <w:t>，</w:t>
            </w:r>
            <w:r>
              <w:rPr>
                <w:rFonts w:hint="eastAsia"/>
                <w:color w:val="auto"/>
                <w:sz w:val="21"/>
                <w:szCs w:val="21"/>
                <w:lang w:val="en-US" w:eastAsia="zh-CN"/>
              </w:rPr>
              <w:t>固定顶</w:t>
            </w:r>
          </w:p>
        </w:tc>
        <w:tc>
          <w:tcPr>
            <w:tcW w:w="459" w:type="pct"/>
            <w:tcMar>
              <w:left w:w="28"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t>玻璃钢</w:t>
            </w:r>
          </w:p>
        </w:tc>
        <w:tc>
          <w:tcPr>
            <w:tcW w:w="812" w:type="pct"/>
            <w:tcMar>
              <w:left w:w="28" w:type="dxa"/>
              <w:right w:w="28" w:type="dxa"/>
            </w:tcMar>
            <w:vAlign w:val="center"/>
          </w:tcPr>
          <w:p>
            <w:pPr>
              <w:spacing w:line="240" w:lineRule="auto"/>
              <w:ind w:firstLine="0" w:firstLineChars="0"/>
              <w:jc w:val="center"/>
              <w:rPr>
                <w:color w:val="auto"/>
                <w:sz w:val="21"/>
                <w:szCs w:val="21"/>
              </w:rPr>
            </w:pPr>
            <w:r>
              <w:rPr>
                <w:color w:val="auto"/>
                <w:sz w:val="21"/>
                <w:szCs w:val="21"/>
              </w:rPr>
              <w:t>Φ</w:t>
            </w:r>
            <w:r>
              <w:rPr>
                <w:rFonts w:hint="eastAsia"/>
                <w:color w:val="auto"/>
                <w:sz w:val="21"/>
                <w:szCs w:val="21"/>
              </w:rPr>
              <w:t>3500×6000</w:t>
            </w:r>
          </w:p>
        </w:tc>
        <w:tc>
          <w:tcPr>
            <w:tcW w:w="511" w:type="pct"/>
            <w:tcMar>
              <w:left w:w="28" w:type="dxa"/>
              <w:right w:w="28" w:type="dxa"/>
            </w:tcMar>
            <w:vAlign w:val="center"/>
          </w:tcPr>
          <w:p>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55</w:t>
            </w:r>
          </w:p>
        </w:tc>
      </w:tr>
    </w:tbl>
    <w:p>
      <w:pPr>
        <w:ind w:firstLine="480"/>
        <w:jc w:val="left"/>
        <w:rPr>
          <w:color w:val="auto"/>
        </w:rPr>
      </w:pPr>
      <w:r>
        <w:rPr>
          <w:color w:val="auto"/>
        </w:rPr>
        <w:t>2、储运</w:t>
      </w:r>
    </w:p>
    <w:p>
      <w:pPr>
        <w:ind w:firstLine="482"/>
        <w:contextualSpacing/>
        <w:jc w:val="center"/>
        <w:rPr>
          <w:b/>
          <w:color w:val="auto"/>
        </w:rPr>
      </w:pPr>
      <w:r>
        <w:rPr>
          <w:b/>
          <w:color w:val="auto"/>
        </w:rPr>
        <w:t>表</w:t>
      </w:r>
      <w:r>
        <w:rPr>
          <w:rFonts w:hint="eastAsia"/>
          <w:b/>
          <w:color w:val="auto"/>
        </w:rPr>
        <w:t>2.2-7</w:t>
      </w:r>
      <w:r>
        <w:rPr>
          <w:b/>
          <w:color w:val="auto"/>
        </w:rPr>
        <w:t xml:space="preserve">  主要原辅材料及成品储运一览表</w:t>
      </w:r>
    </w:p>
    <w:tbl>
      <w:tblPr>
        <w:tblStyle w:val="22"/>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4"/>
        <w:gridCol w:w="1277"/>
        <w:gridCol w:w="1001"/>
        <w:gridCol w:w="854"/>
        <w:gridCol w:w="1001"/>
        <w:gridCol w:w="925"/>
        <w:gridCol w:w="1625"/>
        <w:gridCol w:w="1034"/>
        <w:gridCol w:w="10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Align w:val="center"/>
          </w:tcPr>
          <w:p>
            <w:pPr>
              <w:spacing w:line="240" w:lineRule="auto"/>
              <w:ind w:firstLine="0" w:firstLineChars="0"/>
              <w:jc w:val="center"/>
              <w:rPr>
                <w:b/>
                <w:color w:val="auto"/>
                <w:sz w:val="21"/>
                <w:szCs w:val="21"/>
              </w:rPr>
            </w:pPr>
            <w:r>
              <w:rPr>
                <w:b/>
                <w:color w:val="auto"/>
                <w:sz w:val="21"/>
                <w:szCs w:val="21"/>
              </w:rPr>
              <w:t>序号</w:t>
            </w:r>
          </w:p>
        </w:tc>
        <w:tc>
          <w:tcPr>
            <w:tcW w:w="688" w:type="pct"/>
            <w:vAlign w:val="center"/>
          </w:tcPr>
          <w:p>
            <w:pPr>
              <w:spacing w:line="240" w:lineRule="auto"/>
              <w:ind w:firstLine="0" w:firstLineChars="0"/>
              <w:jc w:val="center"/>
              <w:rPr>
                <w:b/>
                <w:color w:val="auto"/>
                <w:sz w:val="21"/>
                <w:szCs w:val="21"/>
              </w:rPr>
            </w:pPr>
            <w:r>
              <w:rPr>
                <w:b/>
                <w:color w:val="auto"/>
                <w:sz w:val="21"/>
                <w:szCs w:val="21"/>
              </w:rPr>
              <w:t>名称</w:t>
            </w:r>
          </w:p>
        </w:tc>
        <w:tc>
          <w:tcPr>
            <w:tcW w:w="539" w:type="pct"/>
            <w:vAlign w:val="center"/>
          </w:tcPr>
          <w:p>
            <w:pPr>
              <w:spacing w:line="240" w:lineRule="auto"/>
              <w:ind w:firstLine="0" w:firstLineChars="0"/>
              <w:jc w:val="center"/>
              <w:rPr>
                <w:b/>
                <w:color w:val="auto"/>
                <w:sz w:val="21"/>
                <w:szCs w:val="21"/>
              </w:rPr>
            </w:pPr>
            <w:r>
              <w:rPr>
                <w:b/>
                <w:color w:val="auto"/>
                <w:sz w:val="21"/>
                <w:szCs w:val="21"/>
              </w:rPr>
              <w:t>规格</w:t>
            </w:r>
          </w:p>
        </w:tc>
        <w:tc>
          <w:tcPr>
            <w:tcW w:w="460" w:type="pct"/>
            <w:vAlign w:val="center"/>
          </w:tcPr>
          <w:p>
            <w:pPr>
              <w:spacing w:line="240" w:lineRule="auto"/>
              <w:ind w:firstLine="0" w:firstLineChars="0"/>
              <w:jc w:val="center"/>
              <w:rPr>
                <w:b/>
                <w:color w:val="auto"/>
                <w:sz w:val="21"/>
                <w:szCs w:val="21"/>
              </w:rPr>
            </w:pPr>
            <w:r>
              <w:rPr>
                <w:b/>
                <w:color w:val="auto"/>
                <w:sz w:val="21"/>
                <w:szCs w:val="21"/>
              </w:rPr>
              <w:t>形态</w:t>
            </w:r>
          </w:p>
        </w:tc>
        <w:tc>
          <w:tcPr>
            <w:tcW w:w="539" w:type="pct"/>
            <w:vAlign w:val="center"/>
          </w:tcPr>
          <w:p>
            <w:pPr>
              <w:spacing w:line="240" w:lineRule="auto"/>
              <w:ind w:firstLine="0" w:firstLineChars="0"/>
              <w:jc w:val="center"/>
              <w:rPr>
                <w:b/>
                <w:color w:val="auto"/>
                <w:sz w:val="21"/>
                <w:szCs w:val="21"/>
              </w:rPr>
            </w:pPr>
            <w:r>
              <w:rPr>
                <w:b/>
                <w:color w:val="auto"/>
                <w:sz w:val="21"/>
                <w:szCs w:val="21"/>
              </w:rPr>
              <w:t>年用量/产量（t）</w:t>
            </w:r>
          </w:p>
        </w:tc>
        <w:tc>
          <w:tcPr>
            <w:tcW w:w="498" w:type="pct"/>
            <w:vAlign w:val="center"/>
          </w:tcPr>
          <w:p>
            <w:pPr>
              <w:spacing w:line="240" w:lineRule="auto"/>
              <w:ind w:firstLine="0" w:firstLineChars="0"/>
              <w:jc w:val="center"/>
              <w:rPr>
                <w:b/>
                <w:color w:val="auto"/>
                <w:sz w:val="21"/>
                <w:szCs w:val="21"/>
              </w:rPr>
            </w:pPr>
            <w:r>
              <w:rPr>
                <w:b/>
                <w:color w:val="auto"/>
                <w:sz w:val="21"/>
                <w:szCs w:val="21"/>
              </w:rPr>
              <w:t>储存量（t）</w:t>
            </w:r>
          </w:p>
        </w:tc>
        <w:tc>
          <w:tcPr>
            <w:tcW w:w="875" w:type="pct"/>
            <w:vAlign w:val="center"/>
          </w:tcPr>
          <w:p>
            <w:pPr>
              <w:spacing w:line="240" w:lineRule="auto"/>
              <w:ind w:firstLine="0" w:firstLineChars="0"/>
              <w:jc w:val="center"/>
              <w:rPr>
                <w:b/>
                <w:color w:val="auto"/>
                <w:sz w:val="21"/>
                <w:szCs w:val="21"/>
              </w:rPr>
            </w:pPr>
            <w:r>
              <w:rPr>
                <w:b/>
                <w:color w:val="auto"/>
                <w:sz w:val="21"/>
                <w:szCs w:val="21"/>
              </w:rPr>
              <w:t>储存地点</w:t>
            </w:r>
          </w:p>
        </w:tc>
        <w:tc>
          <w:tcPr>
            <w:tcW w:w="557" w:type="pct"/>
            <w:vAlign w:val="center"/>
          </w:tcPr>
          <w:p>
            <w:pPr>
              <w:snapToGrid w:val="0"/>
              <w:spacing w:line="240" w:lineRule="auto"/>
              <w:ind w:firstLine="0" w:firstLineChars="0"/>
              <w:jc w:val="center"/>
              <w:rPr>
                <w:b/>
                <w:color w:val="auto"/>
                <w:sz w:val="21"/>
                <w:szCs w:val="21"/>
              </w:rPr>
            </w:pPr>
            <w:r>
              <w:rPr>
                <w:b/>
                <w:color w:val="auto"/>
                <w:sz w:val="21"/>
                <w:szCs w:val="21"/>
              </w:rPr>
              <w:t>运输方式</w:t>
            </w:r>
          </w:p>
        </w:tc>
        <w:tc>
          <w:tcPr>
            <w:tcW w:w="590" w:type="pct"/>
            <w:vAlign w:val="center"/>
          </w:tcPr>
          <w:p>
            <w:pPr>
              <w:snapToGrid w:val="0"/>
              <w:spacing w:line="240" w:lineRule="auto"/>
              <w:ind w:firstLine="0" w:firstLineChars="0"/>
              <w:jc w:val="center"/>
              <w:rPr>
                <w:b/>
                <w:color w:val="auto"/>
                <w:sz w:val="21"/>
                <w:szCs w:val="21"/>
              </w:rPr>
            </w:pPr>
            <w:r>
              <w:rPr>
                <w:b/>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Align w:val="center"/>
          </w:tcPr>
          <w:p>
            <w:pPr>
              <w:spacing w:line="240" w:lineRule="auto"/>
              <w:ind w:firstLine="0" w:firstLineChars="0"/>
              <w:jc w:val="center"/>
              <w:rPr>
                <w:color w:val="auto"/>
                <w:sz w:val="21"/>
                <w:szCs w:val="21"/>
              </w:rPr>
            </w:pPr>
            <w:r>
              <w:rPr>
                <w:color w:val="auto"/>
                <w:sz w:val="21"/>
                <w:szCs w:val="21"/>
              </w:rPr>
              <w:t>1</w:t>
            </w:r>
          </w:p>
        </w:tc>
        <w:tc>
          <w:tcPr>
            <w:tcW w:w="688" w:type="pct"/>
            <w:vAlign w:val="center"/>
          </w:tcPr>
          <w:p>
            <w:pPr>
              <w:spacing w:line="240" w:lineRule="auto"/>
              <w:ind w:firstLine="0" w:firstLineChars="0"/>
              <w:jc w:val="center"/>
              <w:rPr>
                <w:color w:val="auto"/>
                <w:sz w:val="21"/>
                <w:szCs w:val="21"/>
              </w:rPr>
            </w:pPr>
            <w:r>
              <w:rPr>
                <w:rFonts w:hint="eastAsia"/>
                <w:color w:val="auto"/>
                <w:sz w:val="21"/>
                <w:szCs w:val="21"/>
              </w:rPr>
              <w:t>乳酸</w:t>
            </w:r>
          </w:p>
        </w:tc>
        <w:tc>
          <w:tcPr>
            <w:tcW w:w="539"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98%</w:t>
            </w:r>
          </w:p>
        </w:tc>
        <w:tc>
          <w:tcPr>
            <w:tcW w:w="460"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液体</w:t>
            </w:r>
          </w:p>
        </w:tc>
        <w:tc>
          <w:tcPr>
            <w:tcW w:w="539" w:type="pct"/>
            <w:vAlign w:val="center"/>
          </w:tcPr>
          <w:p>
            <w:pPr>
              <w:spacing w:line="240" w:lineRule="auto"/>
              <w:ind w:firstLine="0" w:firstLineChars="0"/>
              <w:jc w:val="center"/>
              <w:rPr>
                <w:color w:val="auto"/>
                <w:sz w:val="21"/>
                <w:szCs w:val="21"/>
              </w:rPr>
            </w:pPr>
            <w:r>
              <w:rPr>
                <w:rFonts w:hint="eastAsia"/>
                <w:color w:val="auto"/>
                <w:sz w:val="21"/>
                <w:szCs w:val="21"/>
              </w:rPr>
              <w:t>3600</w:t>
            </w:r>
          </w:p>
        </w:tc>
        <w:tc>
          <w:tcPr>
            <w:tcW w:w="498" w:type="pct"/>
            <w:vAlign w:val="center"/>
          </w:tcPr>
          <w:p>
            <w:pPr>
              <w:spacing w:line="240" w:lineRule="auto"/>
              <w:ind w:firstLine="0" w:firstLineChars="0"/>
              <w:jc w:val="center"/>
              <w:rPr>
                <w:color w:val="auto"/>
                <w:sz w:val="21"/>
                <w:szCs w:val="21"/>
              </w:rPr>
            </w:pPr>
            <w:r>
              <w:rPr>
                <w:rFonts w:hint="eastAsia"/>
                <w:color w:val="auto"/>
                <w:sz w:val="21"/>
                <w:szCs w:val="21"/>
                <w:lang w:val="en-US" w:eastAsia="zh-CN"/>
              </w:rPr>
              <w:t>110</w:t>
            </w:r>
            <w:r>
              <w:rPr>
                <w:rFonts w:hint="eastAsia"/>
                <w:color w:val="auto"/>
                <w:sz w:val="21"/>
                <w:szCs w:val="21"/>
              </w:rPr>
              <w:t>T</w:t>
            </w:r>
          </w:p>
        </w:tc>
        <w:tc>
          <w:tcPr>
            <w:tcW w:w="875" w:type="pct"/>
            <w:vAlign w:val="center"/>
          </w:tcPr>
          <w:p>
            <w:pPr>
              <w:spacing w:line="240" w:lineRule="auto"/>
              <w:ind w:firstLine="0" w:firstLineChars="0"/>
              <w:jc w:val="center"/>
              <w:rPr>
                <w:color w:val="auto"/>
                <w:sz w:val="21"/>
                <w:szCs w:val="21"/>
              </w:rPr>
            </w:pPr>
            <w:r>
              <w:rPr>
                <w:rFonts w:hint="eastAsia"/>
                <w:color w:val="auto"/>
                <w:sz w:val="21"/>
                <w:szCs w:val="21"/>
              </w:rPr>
              <w:t>乳酸罐区</w:t>
            </w:r>
          </w:p>
        </w:tc>
        <w:tc>
          <w:tcPr>
            <w:tcW w:w="557" w:type="pct"/>
            <w:vAlign w:val="center"/>
          </w:tcPr>
          <w:p>
            <w:pPr>
              <w:spacing w:line="240" w:lineRule="auto"/>
              <w:ind w:firstLine="0" w:firstLineChars="0"/>
              <w:jc w:val="center"/>
              <w:rPr>
                <w:color w:val="auto"/>
                <w:sz w:val="21"/>
                <w:szCs w:val="21"/>
              </w:rPr>
            </w:pPr>
            <w:r>
              <w:rPr>
                <w:color w:val="auto"/>
                <w:sz w:val="21"/>
                <w:szCs w:val="21"/>
              </w:rPr>
              <w:t>槽车</w:t>
            </w:r>
          </w:p>
        </w:tc>
        <w:tc>
          <w:tcPr>
            <w:tcW w:w="590" w:type="pct"/>
            <w:vAlign w:val="center"/>
          </w:tcPr>
          <w:p>
            <w:pPr>
              <w:spacing w:line="240" w:lineRule="auto"/>
              <w:ind w:firstLine="0" w:firstLineChars="0"/>
              <w:jc w:val="center"/>
              <w:rPr>
                <w:color w:val="auto"/>
                <w:sz w:val="21"/>
                <w:szCs w:val="21"/>
              </w:rPr>
            </w:pPr>
            <w:r>
              <w:rPr>
                <w:color w:val="auto"/>
                <w:sz w:val="21"/>
                <w:szCs w:val="21"/>
              </w:rPr>
              <w:t>原料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Align w:val="center"/>
          </w:tcPr>
          <w:p>
            <w:pPr>
              <w:spacing w:line="240" w:lineRule="auto"/>
              <w:ind w:firstLine="0" w:firstLineChars="0"/>
              <w:jc w:val="center"/>
              <w:rPr>
                <w:color w:val="auto"/>
                <w:sz w:val="21"/>
                <w:szCs w:val="21"/>
              </w:rPr>
            </w:pPr>
            <w:r>
              <w:rPr>
                <w:color w:val="auto"/>
                <w:sz w:val="21"/>
                <w:szCs w:val="21"/>
              </w:rPr>
              <w:t>2</w:t>
            </w:r>
          </w:p>
        </w:tc>
        <w:tc>
          <w:tcPr>
            <w:tcW w:w="688" w:type="pct"/>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催化剂</w:t>
            </w:r>
          </w:p>
        </w:tc>
        <w:tc>
          <w:tcPr>
            <w:tcW w:w="539"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纯物质</w:t>
            </w:r>
          </w:p>
        </w:tc>
        <w:tc>
          <w:tcPr>
            <w:tcW w:w="460"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固体</w:t>
            </w:r>
          </w:p>
        </w:tc>
        <w:tc>
          <w:tcPr>
            <w:tcW w:w="539" w:type="pct"/>
            <w:vAlign w:val="center"/>
          </w:tcPr>
          <w:p>
            <w:pPr>
              <w:spacing w:line="240" w:lineRule="auto"/>
              <w:ind w:firstLine="0" w:firstLineChars="0"/>
              <w:jc w:val="center"/>
              <w:rPr>
                <w:color w:val="auto"/>
                <w:sz w:val="21"/>
                <w:szCs w:val="21"/>
              </w:rPr>
            </w:pPr>
          </w:p>
        </w:tc>
        <w:tc>
          <w:tcPr>
            <w:tcW w:w="498" w:type="pct"/>
            <w:vAlign w:val="center"/>
          </w:tcPr>
          <w:p>
            <w:pPr>
              <w:spacing w:line="240" w:lineRule="auto"/>
              <w:ind w:firstLine="0" w:firstLineChars="0"/>
              <w:jc w:val="center"/>
              <w:rPr>
                <w:color w:val="auto"/>
                <w:sz w:val="21"/>
                <w:szCs w:val="21"/>
              </w:rPr>
            </w:pPr>
          </w:p>
        </w:tc>
        <w:tc>
          <w:tcPr>
            <w:tcW w:w="875" w:type="pct"/>
            <w:vAlign w:val="center"/>
          </w:tcPr>
          <w:p>
            <w:pPr>
              <w:spacing w:line="240" w:lineRule="auto"/>
              <w:ind w:firstLine="0" w:firstLineChars="0"/>
              <w:jc w:val="center"/>
              <w:rPr>
                <w:color w:val="auto"/>
                <w:sz w:val="21"/>
                <w:szCs w:val="21"/>
              </w:rPr>
            </w:pPr>
            <w:r>
              <w:rPr>
                <w:rFonts w:hint="eastAsia"/>
                <w:color w:val="auto"/>
                <w:sz w:val="21"/>
                <w:szCs w:val="21"/>
              </w:rPr>
              <w:t>原料仓库</w:t>
            </w:r>
          </w:p>
        </w:tc>
        <w:tc>
          <w:tcPr>
            <w:tcW w:w="557" w:type="pct"/>
            <w:vAlign w:val="center"/>
          </w:tcPr>
          <w:p>
            <w:pPr>
              <w:spacing w:line="240" w:lineRule="auto"/>
              <w:ind w:firstLine="0" w:firstLineChars="0"/>
              <w:jc w:val="center"/>
              <w:rPr>
                <w:color w:val="auto"/>
                <w:sz w:val="21"/>
                <w:szCs w:val="21"/>
              </w:rPr>
            </w:pPr>
            <w:r>
              <w:rPr>
                <w:rFonts w:hint="eastAsia"/>
                <w:color w:val="auto"/>
                <w:sz w:val="21"/>
                <w:szCs w:val="21"/>
              </w:rPr>
              <w:t>汽运</w:t>
            </w:r>
          </w:p>
        </w:tc>
        <w:tc>
          <w:tcPr>
            <w:tcW w:w="590" w:type="pct"/>
            <w:vAlign w:val="center"/>
          </w:tcPr>
          <w:p>
            <w:pPr>
              <w:spacing w:line="240" w:lineRule="auto"/>
              <w:ind w:firstLine="0" w:firstLineChars="0"/>
              <w:jc w:val="center"/>
              <w:rPr>
                <w:color w:val="auto"/>
                <w:sz w:val="21"/>
                <w:szCs w:val="21"/>
              </w:rPr>
            </w:pPr>
            <w:r>
              <w:rPr>
                <w:color w:val="auto"/>
                <w:sz w:val="21"/>
                <w:szCs w:val="21"/>
              </w:rPr>
              <w:t>催化剂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Align w:val="center"/>
          </w:tcPr>
          <w:p>
            <w:pPr>
              <w:spacing w:line="240" w:lineRule="auto"/>
              <w:ind w:firstLine="0" w:firstLineChars="0"/>
              <w:jc w:val="center"/>
              <w:rPr>
                <w:color w:val="auto"/>
                <w:sz w:val="21"/>
                <w:szCs w:val="21"/>
              </w:rPr>
            </w:pPr>
            <w:r>
              <w:rPr>
                <w:color w:val="auto"/>
                <w:sz w:val="21"/>
                <w:szCs w:val="21"/>
              </w:rPr>
              <w:t>3</w:t>
            </w:r>
          </w:p>
        </w:tc>
        <w:tc>
          <w:tcPr>
            <w:tcW w:w="688" w:type="pct"/>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催化剂</w:t>
            </w:r>
          </w:p>
        </w:tc>
        <w:tc>
          <w:tcPr>
            <w:tcW w:w="539" w:type="pct"/>
            <w:vAlign w:val="center"/>
          </w:tcPr>
          <w:p>
            <w:pPr>
              <w:spacing w:line="240" w:lineRule="auto"/>
              <w:ind w:firstLine="0" w:firstLineChars="0"/>
              <w:jc w:val="center"/>
              <w:rPr>
                <w:color w:val="auto"/>
                <w:sz w:val="21"/>
                <w:szCs w:val="21"/>
              </w:rPr>
            </w:pPr>
            <w:r>
              <w:rPr>
                <w:rFonts w:hint="eastAsia"/>
                <w:color w:val="auto"/>
                <w:sz w:val="21"/>
                <w:szCs w:val="21"/>
              </w:rPr>
              <w:t>纯物质</w:t>
            </w:r>
          </w:p>
        </w:tc>
        <w:tc>
          <w:tcPr>
            <w:tcW w:w="460"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固体</w:t>
            </w:r>
          </w:p>
        </w:tc>
        <w:tc>
          <w:tcPr>
            <w:tcW w:w="539" w:type="pct"/>
            <w:vAlign w:val="center"/>
          </w:tcPr>
          <w:p>
            <w:pPr>
              <w:spacing w:line="240" w:lineRule="auto"/>
              <w:ind w:firstLine="0" w:firstLineChars="0"/>
              <w:jc w:val="center"/>
              <w:rPr>
                <w:color w:val="auto"/>
                <w:sz w:val="21"/>
                <w:szCs w:val="21"/>
              </w:rPr>
            </w:pPr>
          </w:p>
        </w:tc>
        <w:tc>
          <w:tcPr>
            <w:tcW w:w="498" w:type="pct"/>
            <w:vAlign w:val="center"/>
          </w:tcPr>
          <w:p>
            <w:pPr>
              <w:spacing w:line="240" w:lineRule="auto"/>
              <w:ind w:firstLine="0" w:firstLineChars="0"/>
              <w:jc w:val="center"/>
              <w:rPr>
                <w:color w:val="auto"/>
                <w:sz w:val="21"/>
                <w:szCs w:val="21"/>
              </w:rPr>
            </w:pPr>
          </w:p>
        </w:tc>
        <w:tc>
          <w:tcPr>
            <w:tcW w:w="875" w:type="pct"/>
            <w:vAlign w:val="center"/>
          </w:tcPr>
          <w:p>
            <w:pPr>
              <w:spacing w:line="240" w:lineRule="auto"/>
              <w:ind w:firstLine="0" w:firstLineChars="0"/>
              <w:jc w:val="center"/>
              <w:rPr>
                <w:color w:val="auto"/>
                <w:sz w:val="21"/>
                <w:szCs w:val="21"/>
              </w:rPr>
            </w:pPr>
            <w:r>
              <w:rPr>
                <w:rFonts w:hint="eastAsia"/>
                <w:color w:val="auto"/>
                <w:sz w:val="21"/>
                <w:szCs w:val="21"/>
              </w:rPr>
              <w:t>原料仓库</w:t>
            </w:r>
          </w:p>
        </w:tc>
        <w:tc>
          <w:tcPr>
            <w:tcW w:w="557" w:type="pct"/>
            <w:vAlign w:val="center"/>
          </w:tcPr>
          <w:p>
            <w:pPr>
              <w:spacing w:line="240" w:lineRule="auto"/>
              <w:ind w:firstLine="0" w:firstLineChars="0"/>
              <w:jc w:val="center"/>
              <w:rPr>
                <w:color w:val="auto"/>
                <w:sz w:val="21"/>
                <w:szCs w:val="21"/>
              </w:rPr>
            </w:pPr>
            <w:r>
              <w:rPr>
                <w:color w:val="auto"/>
                <w:sz w:val="21"/>
                <w:szCs w:val="21"/>
              </w:rPr>
              <w:t>汽运</w:t>
            </w:r>
          </w:p>
        </w:tc>
        <w:tc>
          <w:tcPr>
            <w:tcW w:w="590" w:type="pct"/>
            <w:vAlign w:val="center"/>
          </w:tcPr>
          <w:p>
            <w:pPr>
              <w:spacing w:line="240" w:lineRule="auto"/>
              <w:ind w:firstLine="0" w:firstLineChars="0"/>
              <w:jc w:val="center"/>
              <w:rPr>
                <w:color w:val="auto"/>
                <w:sz w:val="21"/>
                <w:szCs w:val="21"/>
              </w:rPr>
            </w:pPr>
            <w:r>
              <w:rPr>
                <w:color w:val="auto"/>
                <w:sz w:val="21"/>
                <w:szCs w:val="21"/>
              </w:rPr>
              <w:t>催化剂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Align w:val="center"/>
          </w:tcPr>
          <w:p>
            <w:pPr>
              <w:spacing w:line="240" w:lineRule="auto"/>
              <w:ind w:firstLine="0" w:firstLineChars="0"/>
              <w:jc w:val="center"/>
              <w:rPr>
                <w:color w:val="auto"/>
                <w:sz w:val="21"/>
                <w:szCs w:val="21"/>
              </w:rPr>
            </w:pPr>
            <w:r>
              <w:rPr>
                <w:color w:val="auto"/>
                <w:sz w:val="21"/>
                <w:szCs w:val="21"/>
              </w:rPr>
              <w:t>4</w:t>
            </w:r>
          </w:p>
        </w:tc>
        <w:tc>
          <w:tcPr>
            <w:tcW w:w="688" w:type="pct"/>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催化剂</w:t>
            </w:r>
          </w:p>
        </w:tc>
        <w:tc>
          <w:tcPr>
            <w:tcW w:w="539" w:type="pct"/>
            <w:vAlign w:val="center"/>
          </w:tcPr>
          <w:p>
            <w:pPr>
              <w:spacing w:line="240" w:lineRule="auto"/>
              <w:ind w:firstLine="0" w:firstLineChars="0"/>
              <w:jc w:val="center"/>
              <w:rPr>
                <w:color w:val="auto"/>
                <w:sz w:val="21"/>
                <w:szCs w:val="21"/>
              </w:rPr>
            </w:pPr>
            <w:r>
              <w:rPr>
                <w:rFonts w:hint="eastAsia"/>
                <w:color w:val="auto"/>
                <w:sz w:val="21"/>
                <w:szCs w:val="21"/>
              </w:rPr>
              <w:t>纯物质</w:t>
            </w:r>
          </w:p>
        </w:tc>
        <w:tc>
          <w:tcPr>
            <w:tcW w:w="460"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固体</w:t>
            </w:r>
          </w:p>
        </w:tc>
        <w:tc>
          <w:tcPr>
            <w:tcW w:w="539" w:type="pct"/>
            <w:vAlign w:val="center"/>
          </w:tcPr>
          <w:p>
            <w:pPr>
              <w:spacing w:line="240" w:lineRule="auto"/>
              <w:ind w:firstLine="0" w:firstLineChars="0"/>
              <w:jc w:val="center"/>
              <w:rPr>
                <w:color w:val="auto"/>
                <w:sz w:val="21"/>
                <w:szCs w:val="21"/>
              </w:rPr>
            </w:pPr>
          </w:p>
        </w:tc>
        <w:tc>
          <w:tcPr>
            <w:tcW w:w="498" w:type="pct"/>
            <w:vAlign w:val="center"/>
          </w:tcPr>
          <w:p>
            <w:pPr>
              <w:spacing w:line="240" w:lineRule="auto"/>
              <w:ind w:firstLine="0" w:firstLineChars="0"/>
              <w:jc w:val="center"/>
              <w:rPr>
                <w:color w:val="auto"/>
                <w:sz w:val="21"/>
                <w:szCs w:val="21"/>
              </w:rPr>
            </w:pPr>
          </w:p>
        </w:tc>
        <w:tc>
          <w:tcPr>
            <w:tcW w:w="875" w:type="pct"/>
            <w:vAlign w:val="center"/>
          </w:tcPr>
          <w:p>
            <w:pPr>
              <w:spacing w:line="240" w:lineRule="auto"/>
              <w:ind w:firstLine="0" w:firstLineChars="0"/>
              <w:jc w:val="center"/>
              <w:rPr>
                <w:color w:val="auto"/>
                <w:sz w:val="21"/>
                <w:szCs w:val="21"/>
              </w:rPr>
            </w:pPr>
            <w:r>
              <w:rPr>
                <w:rFonts w:hint="eastAsia"/>
                <w:color w:val="auto"/>
                <w:sz w:val="21"/>
                <w:szCs w:val="21"/>
              </w:rPr>
              <w:t>原料仓库</w:t>
            </w:r>
          </w:p>
        </w:tc>
        <w:tc>
          <w:tcPr>
            <w:tcW w:w="557" w:type="pct"/>
            <w:vAlign w:val="center"/>
          </w:tcPr>
          <w:p>
            <w:pPr>
              <w:spacing w:line="240" w:lineRule="auto"/>
              <w:ind w:firstLine="0" w:firstLineChars="0"/>
              <w:jc w:val="center"/>
              <w:rPr>
                <w:color w:val="auto"/>
                <w:sz w:val="21"/>
                <w:szCs w:val="21"/>
              </w:rPr>
            </w:pPr>
            <w:r>
              <w:rPr>
                <w:color w:val="auto"/>
                <w:sz w:val="21"/>
                <w:szCs w:val="21"/>
              </w:rPr>
              <w:t>汽运</w:t>
            </w:r>
          </w:p>
        </w:tc>
        <w:tc>
          <w:tcPr>
            <w:tcW w:w="590" w:type="pct"/>
            <w:vAlign w:val="center"/>
          </w:tcPr>
          <w:p>
            <w:pPr>
              <w:spacing w:line="240" w:lineRule="auto"/>
              <w:ind w:firstLine="0" w:firstLineChars="0"/>
              <w:jc w:val="center"/>
              <w:rPr>
                <w:color w:val="auto"/>
                <w:sz w:val="21"/>
                <w:szCs w:val="21"/>
              </w:rPr>
            </w:pPr>
            <w:r>
              <w:rPr>
                <w:color w:val="auto"/>
                <w:sz w:val="21"/>
                <w:szCs w:val="21"/>
              </w:rPr>
              <w:t>催化剂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Align w:val="center"/>
          </w:tcPr>
          <w:p>
            <w:pPr>
              <w:spacing w:line="240" w:lineRule="auto"/>
              <w:ind w:firstLine="0" w:firstLineChars="0"/>
              <w:jc w:val="center"/>
              <w:rPr>
                <w:color w:val="auto"/>
                <w:sz w:val="21"/>
                <w:szCs w:val="21"/>
              </w:rPr>
            </w:pPr>
            <w:r>
              <w:rPr>
                <w:rFonts w:hint="eastAsia"/>
                <w:color w:val="auto"/>
                <w:sz w:val="21"/>
                <w:szCs w:val="21"/>
              </w:rPr>
              <w:t>5</w:t>
            </w:r>
          </w:p>
        </w:tc>
        <w:tc>
          <w:tcPr>
            <w:tcW w:w="688" w:type="pct"/>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催化剂</w:t>
            </w:r>
          </w:p>
        </w:tc>
        <w:tc>
          <w:tcPr>
            <w:tcW w:w="539" w:type="pct"/>
            <w:vAlign w:val="center"/>
          </w:tcPr>
          <w:p>
            <w:pPr>
              <w:spacing w:line="240" w:lineRule="auto"/>
              <w:ind w:firstLine="0" w:firstLineChars="0"/>
              <w:jc w:val="center"/>
              <w:rPr>
                <w:color w:val="auto"/>
                <w:sz w:val="21"/>
                <w:szCs w:val="21"/>
              </w:rPr>
            </w:pPr>
            <w:r>
              <w:rPr>
                <w:rFonts w:hint="eastAsia"/>
                <w:color w:val="auto"/>
                <w:sz w:val="21"/>
                <w:szCs w:val="21"/>
              </w:rPr>
              <w:t>纯物质</w:t>
            </w:r>
          </w:p>
        </w:tc>
        <w:tc>
          <w:tcPr>
            <w:tcW w:w="460"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液体</w:t>
            </w:r>
          </w:p>
        </w:tc>
        <w:tc>
          <w:tcPr>
            <w:tcW w:w="539" w:type="pct"/>
            <w:vAlign w:val="center"/>
          </w:tcPr>
          <w:p>
            <w:pPr>
              <w:spacing w:line="240" w:lineRule="auto"/>
              <w:ind w:firstLine="0" w:firstLineChars="0"/>
              <w:jc w:val="center"/>
              <w:rPr>
                <w:color w:val="auto"/>
                <w:sz w:val="21"/>
                <w:szCs w:val="21"/>
              </w:rPr>
            </w:pPr>
          </w:p>
        </w:tc>
        <w:tc>
          <w:tcPr>
            <w:tcW w:w="498" w:type="pct"/>
            <w:vAlign w:val="center"/>
          </w:tcPr>
          <w:p>
            <w:pPr>
              <w:spacing w:line="240" w:lineRule="auto"/>
              <w:ind w:firstLine="0" w:firstLineChars="0"/>
              <w:jc w:val="center"/>
              <w:rPr>
                <w:color w:val="auto"/>
                <w:sz w:val="21"/>
                <w:szCs w:val="21"/>
              </w:rPr>
            </w:pPr>
          </w:p>
        </w:tc>
        <w:tc>
          <w:tcPr>
            <w:tcW w:w="875" w:type="pct"/>
            <w:vAlign w:val="center"/>
          </w:tcPr>
          <w:p>
            <w:pPr>
              <w:spacing w:line="240" w:lineRule="auto"/>
              <w:ind w:firstLine="0" w:firstLineChars="0"/>
              <w:jc w:val="center"/>
              <w:rPr>
                <w:color w:val="auto"/>
                <w:sz w:val="21"/>
                <w:szCs w:val="21"/>
              </w:rPr>
            </w:pPr>
            <w:r>
              <w:rPr>
                <w:rFonts w:hint="eastAsia"/>
                <w:color w:val="auto"/>
                <w:sz w:val="21"/>
                <w:szCs w:val="21"/>
              </w:rPr>
              <w:t>原料仓库</w:t>
            </w:r>
          </w:p>
        </w:tc>
        <w:tc>
          <w:tcPr>
            <w:tcW w:w="557" w:type="pct"/>
            <w:vAlign w:val="center"/>
          </w:tcPr>
          <w:p>
            <w:pPr>
              <w:spacing w:line="240" w:lineRule="auto"/>
              <w:ind w:firstLine="0" w:firstLineChars="0"/>
              <w:jc w:val="center"/>
              <w:rPr>
                <w:color w:val="auto"/>
                <w:sz w:val="21"/>
                <w:szCs w:val="21"/>
              </w:rPr>
            </w:pPr>
            <w:r>
              <w:rPr>
                <w:color w:val="auto"/>
                <w:sz w:val="21"/>
                <w:szCs w:val="21"/>
              </w:rPr>
              <w:t>汽运</w:t>
            </w:r>
          </w:p>
        </w:tc>
        <w:tc>
          <w:tcPr>
            <w:tcW w:w="590" w:type="pct"/>
            <w:vAlign w:val="center"/>
          </w:tcPr>
          <w:p>
            <w:pPr>
              <w:spacing w:line="240" w:lineRule="auto"/>
              <w:ind w:firstLine="0" w:firstLineChars="0"/>
              <w:jc w:val="center"/>
              <w:rPr>
                <w:color w:val="auto"/>
                <w:sz w:val="21"/>
                <w:szCs w:val="21"/>
              </w:rPr>
            </w:pPr>
            <w:r>
              <w:rPr>
                <w:color w:val="auto"/>
                <w:sz w:val="21"/>
                <w:szCs w:val="21"/>
              </w:rPr>
              <w:t>催化剂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Align w:val="center"/>
          </w:tcPr>
          <w:p>
            <w:pPr>
              <w:spacing w:line="240" w:lineRule="auto"/>
              <w:ind w:firstLine="0" w:firstLineChars="0"/>
              <w:jc w:val="center"/>
              <w:rPr>
                <w:color w:val="auto"/>
                <w:sz w:val="21"/>
                <w:szCs w:val="21"/>
              </w:rPr>
            </w:pPr>
            <w:r>
              <w:rPr>
                <w:color w:val="auto"/>
                <w:sz w:val="21"/>
                <w:szCs w:val="21"/>
              </w:rPr>
              <w:t>6</w:t>
            </w:r>
          </w:p>
        </w:tc>
        <w:tc>
          <w:tcPr>
            <w:tcW w:w="688" w:type="pct"/>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催化剂</w:t>
            </w:r>
          </w:p>
        </w:tc>
        <w:tc>
          <w:tcPr>
            <w:tcW w:w="539" w:type="pct"/>
            <w:vAlign w:val="center"/>
          </w:tcPr>
          <w:p>
            <w:pPr>
              <w:spacing w:line="240" w:lineRule="auto"/>
              <w:ind w:firstLine="0" w:firstLineChars="0"/>
              <w:jc w:val="center"/>
              <w:rPr>
                <w:color w:val="auto"/>
                <w:sz w:val="21"/>
                <w:szCs w:val="21"/>
              </w:rPr>
            </w:pPr>
            <w:r>
              <w:rPr>
                <w:rFonts w:hint="eastAsia"/>
                <w:color w:val="auto"/>
                <w:sz w:val="21"/>
                <w:szCs w:val="21"/>
              </w:rPr>
              <w:t>纯物质</w:t>
            </w:r>
          </w:p>
        </w:tc>
        <w:tc>
          <w:tcPr>
            <w:tcW w:w="460"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液体</w:t>
            </w:r>
          </w:p>
        </w:tc>
        <w:tc>
          <w:tcPr>
            <w:tcW w:w="539" w:type="pct"/>
            <w:vAlign w:val="center"/>
          </w:tcPr>
          <w:p>
            <w:pPr>
              <w:spacing w:line="240" w:lineRule="auto"/>
              <w:ind w:firstLine="0" w:firstLineChars="0"/>
              <w:jc w:val="center"/>
              <w:rPr>
                <w:color w:val="auto"/>
                <w:sz w:val="21"/>
                <w:szCs w:val="21"/>
              </w:rPr>
            </w:pPr>
          </w:p>
        </w:tc>
        <w:tc>
          <w:tcPr>
            <w:tcW w:w="498" w:type="pct"/>
            <w:vAlign w:val="center"/>
          </w:tcPr>
          <w:p>
            <w:pPr>
              <w:spacing w:line="240" w:lineRule="auto"/>
              <w:ind w:firstLine="0" w:firstLineChars="0"/>
              <w:jc w:val="center"/>
              <w:rPr>
                <w:color w:val="auto"/>
                <w:sz w:val="21"/>
                <w:szCs w:val="21"/>
              </w:rPr>
            </w:pPr>
          </w:p>
        </w:tc>
        <w:tc>
          <w:tcPr>
            <w:tcW w:w="875" w:type="pct"/>
            <w:vAlign w:val="center"/>
          </w:tcPr>
          <w:p>
            <w:pPr>
              <w:spacing w:line="240" w:lineRule="auto"/>
              <w:ind w:firstLine="0" w:firstLineChars="0"/>
              <w:jc w:val="center"/>
              <w:rPr>
                <w:color w:val="auto"/>
                <w:sz w:val="21"/>
                <w:szCs w:val="21"/>
              </w:rPr>
            </w:pPr>
            <w:r>
              <w:rPr>
                <w:rFonts w:hint="eastAsia"/>
                <w:color w:val="auto"/>
                <w:sz w:val="21"/>
                <w:szCs w:val="21"/>
              </w:rPr>
              <w:t>原料仓库</w:t>
            </w:r>
          </w:p>
        </w:tc>
        <w:tc>
          <w:tcPr>
            <w:tcW w:w="557" w:type="pct"/>
            <w:vAlign w:val="center"/>
          </w:tcPr>
          <w:p>
            <w:pPr>
              <w:spacing w:line="240" w:lineRule="auto"/>
              <w:ind w:firstLine="0" w:firstLineChars="0"/>
              <w:jc w:val="center"/>
              <w:rPr>
                <w:color w:val="auto"/>
                <w:sz w:val="21"/>
                <w:szCs w:val="21"/>
              </w:rPr>
            </w:pPr>
            <w:r>
              <w:rPr>
                <w:color w:val="auto"/>
                <w:sz w:val="21"/>
                <w:szCs w:val="21"/>
              </w:rPr>
              <w:t>汽运</w:t>
            </w:r>
          </w:p>
        </w:tc>
        <w:tc>
          <w:tcPr>
            <w:tcW w:w="590" w:type="pct"/>
            <w:vAlign w:val="center"/>
          </w:tcPr>
          <w:p>
            <w:pPr>
              <w:spacing w:line="240" w:lineRule="auto"/>
              <w:ind w:firstLine="0" w:firstLineChars="0"/>
              <w:jc w:val="center"/>
              <w:rPr>
                <w:color w:val="auto"/>
                <w:sz w:val="21"/>
                <w:szCs w:val="21"/>
              </w:rPr>
            </w:pPr>
            <w:r>
              <w:rPr>
                <w:color w:val="auto"/>
                <w:sz w:val="21"/>
                <w:szCs w:val="21"/>
              </w:rPr>
              <w:t>催化剂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Align w:val="center"/>
          </w:tcPr>
          <w:p>
            <w:pPr>
              <w:spacing w:line="240" w:lineRule="auto"/>
              <w:ind w:firstLine="0" w:firstLineChars="0"/>
              <w:jc w:val="center"/>
              <w:rPr>
                <w:color w:val="auto"/>
                <w:sz w:val="21"/>
                <w:szCs w:val="21"/>
              </w:rPr>
            </w:pPr>
            <w:r>
              <w:rPr>
                <w:color w:val="auto"/>
                <w:sz w:val="21"/>
                <w:szCs w:val="21"/>
              </w:rPr>
              <w:t>7</w:t>
            </w:r>
          </w:p>
        </w:tc>
        <w:tc>
          <w:tcPr>
            <w:tcW w:w="688" w:type="pct"/>
            <w:vAlign w:val="center"/>
          </w:tcPr>
          <w:p>
            <w:pPr>
              <w:spacing w:line="240" w:lineRule="auto"/>
              <w:ind w:firstLine="0" w:firstLineChars="0"/>
              <w:jc w:val="center"/>
              <w:rPr>
                <w:color w:val="auto"/>
                <w:sz w:val="21"/>
                <w:szCs w:val="21"/>
              </w:rPr>
            </w:pPr>
            <w:r>
              <w:rPr>
                <w:rFonts w:hint="eastAsia"/>
                <w:color w:val="auto"/>
                <w:sz w:val="21"/>
                <w:szCs w:val="21"/>
              </w:rPr>
              <w:t>次级乳酸</w:t>
            </w:r>
          </w:p>
        </w:tc>
        <w:tc>
          <w:tcPr>
            <w:tcW w:w="539" w:type="pct"/>
            <w:vAlign w:val="center"/>
          </w:tcPr>
          <w:p>
            <w:pPr>
              <w:spacing w:line="240" w:lineRule="auto"/>
              <w:ind w:firstLine="0" w:firstLineChars="0"/>
              <w:jc w:val="center"/>
              <w:rPr>
                <w:color w:val="auto"/>
                <w:sz w:val="21"/>
                <w:szCs w:val="21"/>
              </w:rPr>
            </w:pPr>
            <w:r>
              <w:rPr>
                <w:rFonts w:hint="eastAsia"/>
                <w:color w:val="auto"/>
                <w:sz w:val="21"/>
                <w:szCs w:val="21"/>
              </w:rPr>
              <w:t>/</w:t>
            </w:r>
          </w:p>
        </w:tc>
        <w:tc>
          <w:tcPr>
            <w:tcW w:w="460"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液</w:t>
            </w:r>
            <w:r>
              <w:rPr>
                <w:rFonts w:hint="eastAsia"/>
                <w:color w:val="auto"/>
                <w:sz w:val="21"/>
                <w:szCs w:val="21"/>
              </w:rPr>
              <w:t>体</w:t>
            </w:r>
          </w:p>
        </w:tc>
        <w:tc>
          <w:tcPr>
            <w:tcW w:w="539" w:type="pct"/>
            <w:vAlign w:val="center"/>
          </w:tcPr>
          <w:p>
            <w:pPr>
              <w:spacing w:line="240" w:lineRule="auto"/>
              <w:ind w:firstLine="0" w:firstLineChars="0"/>
              <w:jc w:val="center"/>
              <w:rPr>
                <w:color w:val="auto"/>
                <w:sz w:val="21"/>
                <w:szCs w:val="21"/>
              </w:rPr>
            </w:pPr>
            <w:r>
              <w:rPr>
                <w:rFonts w:hint="eastAsia"/>
                <w:color w:val="auto"/>
                <w:sz w:val="21"/>
                <w:szCs w:val="21"/>
              </w:rPr>
              <w:t>/</w:t>
            </w:r>
          </w:p>
        </w:tc>
        <w:tc>
          <w:tcPr>
            <w:tcW w:w="498" w:type="pct"/>
            <w:vAlign w:val="center"/>
          </w:tcPr>
          <w:p>
            <w:pPr>
              <w:spacing w:line="240" w:lineRule="auto"/>
              <w:ind w:firstLine="0" w:firstLineChars="0"/>
              <w:jc w:val="center"/>
              <w:rPr>
                <w:color w:val="auto"/>
                <w:sz w:val="21"/>
                <w:szCs w:val="21"/>
              </w:rPr>
            </w:pPr>
          </w:p>
        </w:tc>
        <w:tc>
          <w:tcPr>
            <w:tcW w:w="875" w:type="pct"/>
            <w:vAlign w:val="center"/>
          </w:tcPr>
          <w:p>
            <w:pPr>
              <w:spacing w:line="240" w:lineRule="auto"/>
              <w:ind w:firstLine="0" w:firstLineChars="0"/>
              <w:jc w:val="center"/>
              <w:rPr>
                <w:color w:val="auto"/>
                <w:sz w:val="21"/>
                <w:szCs w:val="21"/>
              </w:rPr>
            </w:pPr>
            <w:r>
              <w:rPr>
                <w:rFonts w:hint="eastAsia"/>
                <w:color w:val="auto"/>
                <w:sz w:val="21"/>
                <w:szCs w:val="21"/>
              </w:rPr>
              <w:t>成品仓库</w:t>
            </w:r>
          </w:p>
        </w:tc>
        <w:tc>
          <w:tcPr>
            <w:tcW w:w="557" w:type="pct"/>
            <w:vAlign w:val="center"/>
          </w:tcPr>
          <w:p>
            <w:pPr>
              <w:spacing w:line="240" w:lineRule="auto"/>
              <w:ind w:firstLine="0" w:firstLineChars="0"/>
              <w:jc w:val="center"/>
              <w:rPr>
                <w:color w:val="auto"/>
                <w:sz w:val="21"/>
                <w:szCs w:val="21"/>
              </w:rPr>
            </w:pPr>
            <w:r>
              <w:rPr>
                <w:color w:val="auto"/>
                <w:sz w:val="21"/>
                <w:szCs w:val="21"/>
              </w:rPr>
              <w:t>汽运</w:t>
            </w:r>
          </w:p>
        </w:tc>
        <w:tc>
          <w:tcPr>
            <w:tcW w:w="590" w:type="pct"/>
            <w:vAlign w:val="center"/>
          </w:tcPr>
          <w:p>
            <w:pPr>
              <w:spacing w:line="240" w:lineRule="auto"/>
              <w:ind w:firstLine="0" w:firstLineChars="0"/>
              <w:jc w:val="center"/>
              <w:rPr>
                <w:color w:val="auto"/>
                <w:sz w:val="21"/>
                <w:szCs w:val="21"/>
              </w:rPr>
            </w:pPr>
            <w:r>
              <w:rPr>
                <w:rFonts w:hint="eastAsia"/>
                <w:color w:val="auto"/>
                <w:sz w:val="21"/>
                <w:szCs w:val="21"/>
              </w:rPr>
              <w:t>产品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Align w:val="center"/>
          </w:tcPr>
          <w:p>
            <w:pPr>
              <w:spacing w:line="240" w:lineRule="auto"/>
              <w:ind w:firstLine="0" w:firstLineChars="0"/>
              <w:jc w:val="center"/>
              <w:rPr>
                <w:color w:val="auto"/>
                <w:sz w:val="21"/>
                <w:szCs w:val="21"/>
              </w:rPr>
            </w:pPr>
            <w:r>
              <w:rPr>
                <w:rFonts w:hint="eastAsia"/>
                <w:color w:val="auto"/>
                <w:sz w:val="21"/>
                <w:szCs w:val="21"/>
              </w:rPr>
              <w:t>8</w:t>
            </w:r>
          </w:p>
        </w:tc>
        <w:tc>
          <w:tcPr>
            <w:tcW w:w="688" w:type="pct"/>
            <w:vAlign w:val="center"/>
          </w:tcPr>
          <w:p>
            <w:pPr>
              <w:spacing w:line="240" w:lineRule="auto"/>
              <w:ind w:firstLine="0" w:firstLineChars="0"/>
              <w:jc w:val="center"/>
              <w:rPr>
                <w:color w:val="auto"/>
                <w:sz w:val="21"/>
                <w:szCs w:val="21"/>
              </w:rPr>
            </w:pPr>
            <w:r>
              <w:rPr>
                <w:rFonts w:hint="eastAsia"/>
                <w:color w:val="auto"/>
                <w:sz w:val="21"/>
                <w:szCs w:val="21"/>
              </w:rPr>
              <w:t>丙交酯</w:t>
            </w:r>
          </w:p>
        </w:tc>
        <w:tc>
          <w:tcPr>
            <w:tcW w:w="539" w:type="pct"/>
            <w:vAlign w:val="center"/>
          </w:tcPr>
          <w:p>
            <w:pPr>
              <w:spacing w:line="240" w:lineRule="auto"/>
              <w:ind w:firstLine="0" w:firstLineChars="0"/>
              <w:jc w:val="center"/>
              <w:rPr>
                <w:color w:val="auto"/>
                <w:sz w:val="21"/>
                <w:szCs w:val="21"/>
              </w:rPr>
            </w:pPr>
            <w:r>
              <w:rPr>
                <w:rFonts w:hint="eastAsia"/>
                <w:color w:val="auto"/>
                <w:sz w:val="21"/>
                <w:szCs w:val="21"/>
              </w:rPr>
              <w:t>/</w:t>
            </w:r>
          </w:p>
        </w:tc>
        <w:tc>
          <w:tcPr>
            <w:tcW w:w="460"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固体</w:t>
            </w:r>
          </w:p>
        </w:tc>
        <w:tc>
          <w:tcPr>
            <w:tcW w:w="539" w:type="pct"/>
            <w:vAlign w:val="center"/>
          </w:tcPr>
          <w:p>
            <w:pPr>
              <w:spacing w:line="240" w:lineRule="auto"/>
              <w:ind w:firstLine="0" w:firstLineChars="0"/>
              <w:jc w:val="center"/>
              <w:rPr>
                <w:color w:val="auto"/>
                <w:sz w:val="21"/>
                <w:szCs w:val="21"/>
              </w:rPr>
            </w:pPr>
            <w:r>
              <w:rPr>
                <w:rFonts w:hint="eastAsia"/>
                <w:color w:val="auto"/>
                <w:sz w:val="21"/>
                <w:szCs w:val="21"/>
              </w:rPr>
              <w:t>/</w:t>
            </w:r>
          </w:p>
        </w:tc>
        <w:tc>
          <w:tcPr>
            <w:tcW w:w="498" w:type="pct"/>
            <w:vAlign w:val="center"/>
          </w:tcPr>
          <w:p>
            <w:pPr>
              <w:spacing w:line="240" w:lineRule="auto"/>
              <w:ind w:firstLine="0" w:firstLineChars="0"/>
              <w:jc w:val="center"/>
              <w:rPr>
                <w:color w:val="auto"/>
                <w:sz w:val="21"/>
                <w:szCs w:val="21"/>
              </w:rPr>
            </w:pPr>
          </w:p>
        </w:tc>
        <w:tc>
          <w:tcPr>
            <w:tcW w:w="875" w:type="pct"/>
            <w:vAlign w:val="center"/>
          </w:tcPr>
          <w:p>
            <w:pPr>
              <w:spacing w:line="240" w:lineRule="auto"/>
              <w:ind w:firstLine="0" w:firstLineChars="0"/>
              <w:jc w:val="center"/>
              <w:rPr>
                <w:color w:val="auto"/>
                <w:sz w:val="21"/>
                <w:szCs w:val="21"/>
              </w:rPr>
            </w:pPr>
            <w:r>
              <w:rPr>
                <w:rFonts w:hint="eastAsia"/>
                <w:color w:val="auto"/>
                <w:sz w:val="21"/>
                <w:szCs w:val="21"/>
              </w:rPr>
              <w:t>成品仓库</w:t>
            </w:r>
          </w:p>
        </w:tc>
        <w:tc>
          <w:tcPr>
            <w:tcW w:w="557" w:type="pct"/>
            <w:vAlign w:val="center"/>
          </w:tcPr>
          <w:p>
            <w:pPr>
              <w:spacing w:line="240" w:lineRule="auto"/>
              <w:ind w:firstLine="0" w:firstLineChars="0"/>
              <w:jc w:val="center"/>
              <w:rPr>
                <w:color w:val="auto"/>
                <w:sz w:val="21"/>
                <w:szCs w:val="21"/>
              </w:rPr>
            </w:pPr>
            <w:r>
              <w:rPr>
                <w:color w:val="auto"/>
                <w:sz w:val="21"/>
                <w:szCs w:val="21"/>
              </w:rPr>
              <w:t>汽运</w:t>
            </w:r>
          </w:p>
        </w:tc>
        <w:tc>
          <w:tcPr>
            <w:tcW w:w="590" w:type="pct"/>
            <w:vAlign w:val="center"/>
          </w:tcPr>
          <w:p>
            <w:pPr>
              <w:spacing w:line="240" w:lineRule="auto"/>
              <w:ind w:firstLine="0" w:firstLineChars="0"/>
              <w:jc w:val="center"/>
              <w:rPr>
                <w:color w:val="auto"/>
                <w:sz w:val="21"/>
                <w:szCs w:val="21"/>
              </w:rPr>
            </w:pPr>
            <w:r>
              <w:rPr>
                <w:rFonts w:hint="eastAsia"/>
                <w:color w:val="auto"/>
                <w:sz w:val="21"/>
                <w:szCs w:val="21"/>
              </w:rPr>
              <w:t>产品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Align w:val="center"/>
          </w:tcPr>
          <w:p>
            <w:pPr>
              <w:spacing w:line="240" w:lineRule="auto"/>
              <w:ind w:firstLine="0" w:firstLineChars="0"/>
              <w:jc w:val="center"/>
              <w:rPr>
                <w:color w:val="auto"/>
                <w:sz w:val="21"/>
                <w:szCs w:val="21"/>
              </w:rPr>
            </w:pPr>
            <w:r>
              <w:rPr>
                <w:rFonts w:hint="eastAsia"/>
                <w:color w:val="auto"/>
                <w:sz w:val="21"/>
                <w:szCs w:val="21"/>
              </w:rPr>
              <w:t>9</w:t>
            </w:r>
          </w:p>
        </w:tc>
        <w:tc>
          <w:tcPr>
            <w:tcW w:w="688" w:type="pct"/>
            <w:vAlign w:val="center"/>
          </w:tcPr>
          <w:p>
            <w:pPr>
              <w:spacing w:line="240" w:lineRule="auto"/>
              <w:ind w:firstLine="0" w:firstLineChars="0"/>
              <w:jc w:val="center"/>
              <w:rPr>
                <w:color w:val="auto"/>
                <w:sz w:val="21"/>
                <w:szCs w:val="21"/>
              </w:rPr>
            </w:pPr>
            <w:r>
              <w:rPr>
                <w:rFonts w:hint="eastAsia"/>
                <w:color w:val="auto"/>
                <w:sz w:val="21"/>
                <w:szCs w:val="21"/>
              </w:rPr>
              <w:t>聚乳酸</w:t>
            </w:r>
          </w:p>
        </w:tc>
        <w:tc>
          <w:tcPr>
            <w:tcW w:w="539" w:type="pct"/>
            <w:vAlign w:val="center"/>
          </w:tcPr>
          <w:p>
            <w:pPr>
              <w:spacing w:line="240" w:lineRule="auto"/>
              <w:ind w:firstLine="0" w:firstLineChars="0"/>
              <w:jc w:val="center"/>
              <w:rPr>
                <w:color w:val="auto"/>
                <w:sz w:val="21"/>
                <w:szCs w:val="21"/>
              </w:rPr>
            </w:pPr>
            <w:r>
              <w:rPr>
                <w:rFonts w:hint="eastAsia"/>
                <w:color w:val="auto"/>
                <w:sz w:val="21"/>
                <w:szCs w:val="21"/>
              </w:rPr>
              <w:t>/</w:t>
            </w:r>
          </w:p>
        </w:tc>
        <w:tc>
          <w:tcPr>
            <w:tcW w:w="460"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固体</w:t>
            </w:r>
          </w:p>
        </w:tc>
        <w:tc>
          <w:tcPr>
            <w:tcW w:w="539" w:type="pct"/>
            <w:vAlign w:val="center"/>
          </w:tcPr>
          <w:p>
            <w:pPr>
              <w:spacing w:line="240" w:lineRule="auto"/>
              <w:ind w:firstLine="0" w:firstLineChars="0"/>
              <w:jc w:val="center"/>
              <w:rPr>
                <w:color w:val="auto"/>
                <w:sz w:val="21"/>
                <w:szCs w:val="21"/>
              </w:rPr>
            </w:pPr>
            <w:r>
              <w:rPr>
                <w:rFonts w:hint="eastAsia"/>
                <w:color w:val="auto"/>
                <w:sz w:val="21"/>
                <w:szCs w:val="21"/>
              </w:rPr>
              <w:t>/</w:t>
            </w:r>
          </w:p>
        </w:tc>
        <w:tc>
          <w:tcPr>
            <w:tcW w:w="498" w:type="pct"/>
            <w:vAlign w:val="center"/>
          </w:tcPr>
          <w:p>
            <w:pPr>
              <w:spacing w:line="240" w:lineRule="auto"/>
              <w:ind w:firstLine="0" w:firstLineChars="0"/>
              <w:jc w:val="center"/>
              <w:rPr>
                <w:color w:val="auto"/>
                <w:sz w:val="21"/>
                <w:szCs w:val="21"/>
              </w:rPr>
            </w:pPr>
          </w:p>
        </w:tc>
        <w:tc>
          <w:tcPr>
            <w:tcW w:w="875" w:type="pct"/>
            <w:vAlign w:val="center"/>
          </w:tcPr>
          <w:p>
            <w:pPr>
              <w:spacing w:line="240" w:lineRule="auto"/>
              <w:ind w:firstLine="0" w:firstLineChars="0"/>
              <w:jc w:val="center"/>
              <w:rPr>
                <w:color w:val="auto"/>
                <w:sz w:val="21"/>
                <w:szCs w:val="21"/>
              </w:rPr>
            </w:pPr>
            <w:r>
              <w:rPr>
                <w:rFonts w:hint="eastAsia"/>
                <w:color w:val="auto"/>
                <w:sz w:val="21"/>
                <w:szCs w:val="21"/>
              </w:rPr>
              <w:t>成品仓库</w:t>
            </w:r>
          </w:p>
        </w:tc>
        <w:tc>
          <w:tcPr>
            <w:tcW w:w="557" w:type="pct"/>
            <w:vAlign w:val="center"/>
          </w:tcPr>
          <w:p>
            <w:pPr>
              <w:spacing w:line="240" w:lineRule="auto"/>
              <w:ind w:firstLine="0" w:firstLineChars="0"/>
              <w:jc w:val="center"/>
              <w:rPr>
                <w:color w:val="auto"/>
                <w:sz w:val="21"/>
                <w:szCs w:val="21"/>
              </w:rPr>
            </w:pPr>
            <w:r>
              <w:rPr>
                <w:color w:val="auto"/>
                <w:sz w:val="21"/>
                <w:szCs w:val="21"/>
              </w:rPr>
              <w:t>汽运</w:t>
            </w:r>
          </w:p>
        </w:tc>
        <w:tc>
          <w:tcPr>
            <w:tcW w:w="590" w:type="pct"/>
            <w:vAlign w:val="center"/>
          </w:tcPr>
          <w:p>
            <w:pPr>
              <w:spacing w:line="240" w:lineRule="auto"/>
              <w:ind w:firstLine="0" w:firstLineChars="0"/>
              <w:jc w:val="center"/>
              <w:rPr>
                <w:color w:val="auto"/>
                <w:sz w:val="21"/>
                <w:szCs w:val="21"/>
              </w:rPr>
            </w:pPr>
            <w:r>
              <w:rPr>
                <w:rFonts w:hint="eastAsia"/>
                <w:color w:val="auto"/>
                <w:sz w:val="21"/>
                <w:szCs w:val="21"/>
              </w:rPr>
              <w:t>产品</w:t>
            </w:r>
          </w:p>
        </w:tc>
      </w:tr>
    </w:tbl>
    <w:p>
      <w:pPr>
        <w:pStyle w:val="9"/>
        <w:spacing w:before="0" w:beforeLines="0" w:after="0" w:afterLines="0"/>
        <w:rPr>
          <w:color w:val="auto"/>
        </w:rPr>
      </w:pPr>
      <w:r>
        <w:rPr>
          <w:rFonts w:hint="eastAsia"/>
          <w:color w:val="auto"/>
        </w:rPr>
        <w:t>2.2</w:t>
      </w:r>
      <w:r>
        <w:rPr>
          <w:color w:val="auto"/>
        </w:rPr>
        <w:t>.5原辅材料及能源消耗</w:t>
      </w:r>
    </w:p>
    <w:p>
      <w:pPr>
        <w:ind w:firstLine="480"/>
        <w:contextualSpacing/>
        <w:rPr>
          <w:color w:val="auto"/>
        </w:rPr>
      </w:pPr>
      <w:r>
        <w:rPr>
          <w:rFonts w:hint="eastAsia"/>
          <w:color w:val="auto"/>
        </w:rPr>
        <w:t>拟建</w:t>
      </w:r>
      <w:r>
        <w:rPr>
          <w:color w:val="auto"/>
        </w:rPr>
        <w:t>项目主要原辅料、能源消耗情况见表</w:t>
      </w:r>
      <w:r>
        <w:rPr>
          <w:rFonts w:hint="eastAsia"/>
          <w:color w:val="auto"/>
        </w:rPr>
        <w:t>2.2</w:t>
      </w:r>
      <w:r>
        <w:rPr>
          <w:color w:val="auto"/>
        </w:rPr>
        <w:t>-</w:t>
      </w:r>
      <w:r>
        <w:rPr>
          <w:rFonts w:hint="eastAsia"/>
          <w:color w:val="auto"/>
        </w:rPr>
        <w:t>8</w:t>
      </w:r>
      <w:r>
        <w:rPr>
          <w:color w:val="auto"/>
        </w:rPr>
        <w:t>，理化性质见表</w:t>
      </w:r>
      <w:r>
        <w:rPr>
          <w:rFonts w:hint="eastAsia"/>
          <w:color w:val="auto"/>
        </w:rPr>
        <w:t>2.2</w:t>
      </w:r>
      <w:r>
        <w:rPr>
          <w:color w:val="auto"/>
        </w:rPr>
        <w:t>-</w:t>
      </w:r>
      <w:r>
        <w:rPr>
          <w:rFonts w:hint="eastAsia"/>
          <w:color w:val="auto"/>
        </w:rPr>
        <w:t>9</w:t>
      </w:r>
      <w:r>
        <w:rPr>
          <w:color w:val="auto"/>
        </w:rPr>
        <w:t>，原辅料质量标准见表</w:t>
      </w:r>
      <w:r>
        <w:rPr>
          <w:rFonts w:hint="eastAsia"/>
          <w:color w:val="auto"/>
        </w:rPr>
        <w:t>2.2</w:t>
      </w:r>
      <w:r>
        <w:rPr>
          <w:color w:val="auto"/>
        </w:rPr>
        <w:t>-</w:t>
      </w:r>
      <w:r>
        <w:rPr>
          <w:rFonts w:hint="eastAsia"/>
          <w:color w:val="auto"/>
        </w:rPr>
        <w:t>10</w:t>
      </w:r>
      <w:r>
        <w:rPr>
          <w:color w:val="auto"/>
        </w:rPr>
        <w:t>。</w:t>
      </w:r>
    </w:p>
    <w:p>
      <w:pPr>
        <w:ind w:firstLine="482"/>
        <w:contextualSpacing/>
        <w:jc w:val="center"/>
        <w:rPr>
          <w:color w:val="auto"/>
        </w:rPr>
      </w:pPr>
      <w:r>
        <w:rPr>
          <w:b/>
          <w:color w:val="auto"/>
        </w:rPr>
        <w:t>表</w:t>
      </w:r>
      <w:r>
        <w:rPr>
          <w:rFonts w:hint="eastAsia"/>
          <w:b/>
          <w:color w:val="auto"/>
        </w:rPr>
        <w:t>2</w:t>
      </w:r>
      <w:r>
        <w:rPr>
          <w:b/>
          <w:color w:val="auto"/>
        </w:rPr>
        <w:t>.2-</w:t>
      </w:r>
      <w:r>
        <w:rPr>
          <w:rFonts w:hint="eastAsia"/>
          <w:b/>
          <w:color w:val="auto"/>
        </w:rPr>
        <w:t>8</w:t>
      </w:r>
      <w:r>
        <w:rPr>
          <w:b/>
          <w:color w:val="auto"/>
        </w:rPr>
        <w:t xml:space="preserve">  主要原辅材料、能源消耗表</w:t>
      </w:r>
    </w:p>
    <w:tbl>
      <w:tblPr>
        <w:tblStyle w:val="2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638"/>
        <w:gridCol w:w="1271"/>
        <w:gridCol w:w="987"/>
        <w:gridCol w:w="1350"/>
        <w:gridCol w:w="1157"/>
        <w:gridCol w:w="1043"/>
        <w:gridCol w:w="11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spacing w:line="240" w:lineRule="auto"/>
              <w:ind w:firstLine="0" w:firstLineChars="0"/>
              <w:jc w:val="center"/>
              <w:rPr>
                <w:b/>
                <w:color w:val="auto"/>
                <w:sz w:val="21"/>
                <w:szCs w:val="21"/>
              </w:rPr>
            </w:pPr>
            <w:r>
              <w:rPr>
                <w:b/>
                <w:color w:val="auto"/>
                <w:sz w:val="21"/>
                <w:szCs w:val="21"/>
              </w:rPr>
              <w:t>类别</w:t>
            </w:r>
          </w:p>
        </w:tc>
        <w:tc>
          <w:tcPr>
            <w:tcW w:w="0" w:type="auto"/>
            <w:vAlign w:val="center"/>
          </w:tcPr>
          <w:p>
            <w:pPr>
              <w:spacing w:line="240" w:lineRule="auto"/>
              <w:ind w:firstLine="0" w:firstLineChars="0"/>
              <w:jc w:val="center"/>
              <w:rPr>
                <w:b/>
                <w:color w:val="auto"/>
                <w:sz w:val="21"/>
                <w:szCs w:val="21"/>
              </w:rPr>
            </w:pPr>
            <w:r>
              <w:rPr>
                <w:b/>
                <w:color w:val="auto"/>
                <w:sz w:val="21"/>
                <w:szCs w:val="21"/>
              </w:rPr>
              <w:t>序号</w:t>
            </w:r>
          </w:p>
        </w:tc>
        <w:tc>
          <w:tcPr>
            <w:tcW w:w="0" w:type="auto"/>
            <w:vAlign w:val="center"/>
          </w:tcPr>
          <w:p>
            <w:pPr>
              <w:spacing w:line="240" w:lineRule="auto"/>
              <w:ind w:firstLine="0" w:firstLineChars="0"/>
              <w:jc w:val="center"/>
              <w:rPr>
                <w:b/>
                <w:color w:val="auto"/>
                <w:sz w:val="21"/>
                <w:szCs w:val="21"/>
              </w:rPr>
            </w:pPr>
            <w:r>
              <w:rPr>
                <w:b/>
                <w:color w:val="auto"/>
                <w:sz w:val="21"/>
                <w:szCs w:val="21"/>
              </w:rPr>
              <w:t>原材料名称</w:t>
            </w:r>
          </w:p>
        </w:tc>
        <w:tc>
          <w:tcPr>
            <w:tcW w:w="987" w:type="dxa"/>
            <w:vAlign w:val="center"/>
          </w:tcPr>
          <w:p>
            <w:pPr>
              <w:spacing w:line="240" w:lineRule="auto"/>
              <w:ind w:firstLine="0" w:firstLineChars="0"/>
              <w:jc w:val="center"/>
              <w:rPr>
                <w:b/>
                <w:color w:val="auto"/>
                <w:sz w:val="21"/>
                <w:szCs w:val="21"/>
              </w:rPr>
            </w:pPr>
            <w:r>
              <w:rPr>
                <w:b/>
                <w:color w:val="auto"/>
                <w:sz w:val="21"/>
                <w:szCs w:val="21"/>
              </w:rPr>
              <w:t>规格</w:t>
            </w:r>
          </w:p>
        </w:tc>
        <w:tc>
          <w:tcPr>
            <w:tcW w:w="1350" w:type="dxa"/>
            <w:vAlign w:val="center"/>
          </w:tcPr>
          <w:p>
            <w:pPr>
              <w:spacing w:line="240" w:lineRule="auto"/>
              <w:ind w:firstLine="0" w:firstLineChars="0"/>
              <w:jc w:val="center"/>
              <w:rPr>
                <w:b/>
                <w:color w:val="auto"/>
                <w:sz w:val="21"/>
                <w:szCs w:val="21"/>
              </w:rPr>
            </w:pPr>
            <w:r>
              <w:rPr>
                <w:b/>
                <w:color w:val="auto"/>
                <w:sz w:val="21"/>
                <w:szCs w:val="21"/>
              </w:rPr>
              <w:t>年用量（t/a）</w:t>
            </w:r>
          </w:p>
        </w:tc>
        <w:tc>
          <w:tcPr>
            <w:tcW w:w="1157" w:type="dxa"/>
            <w:vAlign w:val="center"/>
          </w:tcPr>
          <w:p>
            <w:pPr>
              <w:spacing w:line="240" w:lineRule="auto"/>
              <w:ind w:firstLine="0" w:firstLineChars="0"/>
              <w:jc w:val="center"/>
              <w:rPr>
                <w:b/>
                <w:color w:val="auto"/>
                <w:sz w:val="21"/>
                <w:szCs w:val="21"/>
              </w:rPr>
            </w:pPr>
            <w:r>
              <w:rPr>
                <w:rFonts w:hint="eastAsia"/>
                <w:b/>
                <w:color w:val="auto"/>
                <w:sz w:val="21"/>
                <w:szCs w:val="21"/>
              </w:rPr>
              <w:t>形态</w:t>
            </w:r>
          </w:p>
        </w:tc>
        <w:tc>
          <w:tcPr>
            <w:tcW w:w="1043" w:type="dxa"/>
            <w:vAlign w:val="center"/>
          </w:tcPr>
          <w:p>
            <w:pPr>
              <w:spacing w:line="240" w:lineRule="auto"/>
              <w:ind w:firstLine="0" w:firstLineChars="0"/>
              <w:jc w:val="center"/>
              <w:rPr>
                <w:b/>
                <w:color w:val="auto"/>
                <w:sz w:val="21"/>
                <w:szCs w:val="21"/>
              </w:rPr>
            </w:pPr>
            <w:r>
              <w:rPr>
                <w:b/>
                <w:color w:val="auto"/>
                <w:sz w:val="21"/>
                <w:szCs w:val="21"/>
              </w:rPr>
              <w:t>来源</w:t>
            </w:r>
          </w:p>
        </w:tc>
        <w:tc>
          <w:tcPr>
            <w:tcW w:w="1184" w:type="dxa"/>
            <w:vAlign w:val="center"/>
          </w:tcPr>
          <w:p>
            <w:pPr>
              <w:spacing w:line="240" w:lineRule="auto"/>
              <w:ind w:firstLine="0" w:firstLineChars="0"/>
              <w:jc w:val="center"/>
              <w:rPr>
                <w:b/>
                <w:color w:val="auto"/>
                <w:sz w:val="21"/>
                <w:szCs w:val="21"/>
              </w:rPr>
            </w:pPr>
            <w:r>
              <w:rPr>
                <w:b/>
                <w:color w:val="auto"/>
                <w:sz w:val="21"/>
                <w:szCs w:val="21"/>
              </w:rPr>
              <w:t>用途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gridSpan w:val="8"/>
            <w:vAlign w:val="center"/>
          </w:tcPr>
          <w:p>
            <w:pPr>
              <w:spacing w:line="240" w:lineRule="auto"/>
              <w:ind w:firstLine="0" w:firstLineChars="0"/>
              <w:jc w:val="center"/>
              <w:rPr>
                <w:b/>
                <w:color w:val="auto"/>
                <w:sz w:val="21"/>
                <w:szCs w:val="21"/>
              </w:rPr>
            </w:pPr>
            <w:r>
              <w:rPr>
                <w:b/>
                <w:color w:val="auto"/>
                <w:sz w:val="21"/>
                <w:szCs w:val="21"/>
              </w:rPr>
              <w:t>原辅料消耗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0" w:type="auto"/>
            <w:vMerge w:val="restart"/>
            <w:vAlign w:val="center"/>
          </w:tcPr>
          <w:p>
            <w:pPr>
              <w:spacing w:line="240" w:lineRule="auto"/>
              <w:ind w:firstLine="0" w:firstLineChars="0"/>
              <w:jc w:val="center"/>
              <w:rPr>
                <w:color w:val="auto"/>
                <w:sz w:val="21"/>
                <w:szCs w:val="21"/>
              </w:rPr>
            </w:pPr>
            <w:r>
              <w:rPr>
                <w:color w:val="auto"/>
                <w:sz w:val="21"/>
                <w:szCs w:val="21"/>
              </w:rPr>
              <w:t>原辅料</w:t>
            </w:r>
          </w:p>
        </w:tc>
        <w:tc>
          <w:tcPr>
            <w:tcW w:w="0" w:type="auto"/>
            <w:vAlign w:val="center"/>
          </w:tcPr>
          <w:p>
            <w:pPr>
              <w:spacing w:line="240" w:lineRule="auto"/>
              <w:ind w:firstLine="0" w:firstLineChars="0"/>
              <w:jc w:val="center"/>
              <w:rPr>
                <w:color w:val="auto"/>
                <w:sz w:val="21"/>
                <w:szCs w:val="21"/>
              </w:rPr>
            </w:pPr>
            <w:r>
              <w:rPr>
                <w:color w:val="auto"/>
                <w:sz w:val="21"/>
                <w:szCs w:val="21"/>
              </w:rPr>
              <w:t>1</w:t>
            </w:r>
          </w:p>
        </w:tc>
        <w:tc>
          <w:tcPr>
            <w:tcW w:w="0" w:type="auto"/>
            <w:vAlign w:val="center"/>
          </w:tcPr>
          <w:p>
            <w:pPr>
              <w:spacing w:line="240" w:lineRule="auto"/>
              <w:ind w:firstLine="0" w:firstLineChars="0"/>
              <w:jc w:val="center"/>
              <w:rPr>
                <w:color w:val="auto"/>
                <w:sz w:val="21"/>
                <w:szCs w:val="21"/>
              </w:rPr>
            </w:pPr>
            <w:r>
              <w:rPr>
                <w:rFonts w:hint="eastAsia"/>
                <w:color w:val="auto"/>
                <w:sz w:val="21"/>
                <w:szCs w:val="21"/>
              </w:rPr>
              <w:t>乳酸</w:t>
            </w:r>
          </w:p>
        </w:tc>
        <w:tc>
          <w:tcPr>
            <w:tcW w:w="987"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98%</w:t>
            </w:r>
          </w:p>
        </w:tc>
        <w:tc>
          <w:tcPr>
            <w:tcW w:w="1350" w:type="dxa"/>
            <w:vAlign w:val="center"/>
          </w:tcPr>
          <w:p>
            <w:pPr>
              <w:spacing w:line="240" w:lineRule="auto"/>
              <w:ind w:firstLine="0" w:firstLineChars="0"/>
              <w:jc w:val="center"/>
              <w:rPr>
                <w:color w:val="auto"/>
                <w:sz w:val="21"/>
                <w:szCs w:val="21"/>
              </w:rPr>
            </w:pPr>
            <w:r>
              <w:rPr>
                <w:rFonts w:hint="eastAsia"/>
                <w:color w:val="auto"/>
                <w:sz w:val="21"/>
                <w:szCs w:val="21"/>
              </w:rPr>
              <w:t>3600</w:t>
            </w:r>
          </w:p>
        </w:tc>
        <w:tc>
          <w:tcPr>
            <w:tcW w:w="1157"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液体</w:t>
            </w:r>
          </w:p>
        </w:tc>
        <w:tc>
          <w:tcPr>
            <w:tcW w:w="1043" w:type="dxa"/>
            <w:vAlign w:val="center"/>
          </w:tcPr>
          <w:p>
            <w:pPr>
              <w:spacing w:line="240" w:lineRule="auto"/>
              <w:ind w:firstLine="0" w:firstLineChars="0"/>
              <w:jc w:val="center"/>
              <w:rPr>
                <w:color w:val="auto"/>
                <w:sz w:val="21"/>
                <w:szCs w:val="21"/>
              </w:rPr>
            </w:pPr>
            <w:r>
              <w:rPr>
                <w:color w:val="auto"/>
                <w:sz w:val="21"/>
                <w:szCs w:val="21"/>
              </w:rPr>
              <w:t>外购</w:t>
            </w:r>
          </w:p>
        </w:tc>
        <w:tc>
          <w:tcPr>
            <w:tcW w:w="1184" w:type="dxa"/>
            <w:vAlign w:val="center"/>
          </w:tcPr>
          <w:p>
            <w:pPr>
              <w:spacing w:line="240" w:lineRule="auto"/>
              <w:ind w:firstLine="0" w:firstLineChars="0"/>
              <w:jc w:val="center"/>
              <w:rPr>
                <w:color w:val="auto"/>
                <w:sz w:val="21"/>
                <w:szCs w:val="21"/>
              </w:rPr>
            </w:pPr>
            <w:r>
              <w:rPr>
                <w:color w:val="auto"/>
                <w:sz w:val="21"/>
                <w:szCs w:val="21"/>
              </w:rPr>
              <w:t>原料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pPr>
              <w:spacing w:line="240" w:lineRule="auto"/>
              <w:ind w:firstLine="0" w:firstLineChars="0"/>
              <w:jc w:val="center"/>
              <w:rPr>
                <w:color w:val="auto"/>
                <w:sz w:val="21"/>
                <w:szCs w:val="21"/>
              </w:rPr>
            </w:pPr>
          </w:p>
        </w:tc>
        <w:tc>
          <w:tcPr>
            <w:tcW w:w="0" w:type="auto"/>
            <w:vAlign w:val="center"/>
          </w:tcPr>
          <w:p>
            <w:pPr>
              <w:spacing w:line="240" w:lineRule="auto"/>
              <w:ind w:firstLine="0" w:firstLineChars="0"/>
              <w:jc w:val="center"/>
              <w:rPr>
                <w:color w:val="auto"/>
                <w:sz w:val="21"/>
                <w:szCs w:val="21"/>
              </w:rPr>
            </w:pPr>
            <w:r>
              <w:rPr>
                <w:color w:val="auto"/>
                <w:sz w:val="21"/>
                <w:szCs w:val="21"/>
              </w:rPr>
              <w:t>2</w:t>
            </w:r>
          </w:p>
        </w:tc>
        <w:tc>
          <w:tcPr>
            <w:tcW w:w="0" w:type="auto"/>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催化剂</w:t>
            </w:r>
          </w:p>
        </w:tc>
        <w:tc>
          <w:tcPr>
            <w:tcW w:w="987"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纯物质</w:t>
            </w:r>
          </w:p>
        </w:tc>
        <w:tc>
          <w:tcPr>
            <w:tcW w:w="1350" w:type="dxa"/>
            <w:vAlign w:val="center"/>
          </w:tcPr>
          <w:p>
            <w:pPr>
              <w:spacing w:line="240" w:lineRule="auto"/>
              <w:ind w:firstLine="0" w:firstLineChars="0"/>
              <w:jc w:val="center"/>
              <w:rPr>
                <w:color w:val="auto"/>
                <w:sz w:val="21"/>
                <w:szCs w:val="21"/>
              </w:rPr>
            </w:pPr>
          </w:p>
        </w:tc>
        <w:tc>
          <w:tcPr>
            <w:tcW w:w="1157"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固体</w:t>
            </w:r>
          </w:p>
        </w:tc>
        <w:tc>
          <w:tcPr>
            <w:tcW w:w="1043" w:type="dxa"/>
            <w:vAlign w:val="center"/>
          </w:tcPr>
          <w:p>
            <w:pPr>
              <w:spacing w:line="240" w:lineRule="auto"/>
              <w:ind w:firstLine="0" w:firstLineChars="0"/>
              <w:jc w:val="center"/>
              <w:rPr>
                <w:color w:val="auto"/>
                <w:sz w:val="21"/>
                <w:szCs w:val="21"/>
              </w:rPr>
            </w:pPr>
            <w:r>
              <w:rPr>
                <w:color w:val="auto"/>
                <w:sz w:val="21"/>
                <w:szCs w:val="21"/>
              </w:rPr>
              <w:t>外购</w:t>
            </w:r>
          </w:p>
        </w:tc>
        <w:tc>
          <w:tcPr>
            <w:tcW w:w="1184" w:type="dxa"/>
            <w:vAlign w:val="center"/>
          </w:tcPr>
          <w:p>
            <w:pPr>
              <w:spacing w:line="240" w:lineRule="auto"/>
              <w:ind w:firstLine="0" w:firstLineChars="0"/>
              <w:jc w:val="center"/>
              <w:rPr>
                <w:color w:val="auto"/>
                <w:sz w:val="21"/>
                <w:szCs w:val="21"/>
              </w:rPr>
            </w:pPr>
            <w:r>
              <w:rPr>
                <w:color w:val="auto"/>
                <w:sz w:val="21"/>
                <w:szCs w:val="21"/>
              </w:rPr>
              <w:t>催化剂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pPr>
              <w:spacing w:line="240" w:lineRule="auto"/>
              <w:ind w:firstLine="0" w:firstLineChars="0"/>
              <w:jc w:val="center"/>
              <w:rPr>
                <w:color w:val="auto"/>
                <w:sz w:val="21"/>
                <w:szCs w:val="21"/>
              </w:rPr>
            </w:pPr>
          </w:p>
        </w:tc>
        <w:tc>
          <w:tcPr>
            <w:tcW w:w="0" w:type="auto"/>
            <w:vAlign w:val="center"/>
          </w:tcPr>
          <w:p>
            <w:pPr>
              <w:spacing w:line="240" w:lineRule="auto"/>
              <w:ind w:firstLine="0" w:firstLineChars="0"/>
              <w:jc w:val="center"/>
              <w:rPr>
                <w:color w:val="auto"/>
                <w:sz w:val="21"/>
                <w:szCs w:val="21"/>
              </w:rPr>
            </w:pPr>
            <w:r>
              <w:rPr>
                <w:color w:val="auto"/>
                <w:sz w:val="21"/>
                <w:szCs w:val="21"/>
              </w:rPr>
              <w:t>3</w:t>
            </w:r>
          </w:p>
        </w:tc>
        <w:tc>
          <w:tcPr>
            <w:tcW w:w="0" w:type="auto"/>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催化剂</w:t>
            </w:r>
          </w:p>
        </w:tc>
        <w:tc>
          <w:tcPr>
            <w:tcW w:w="987" w:type="dxa"/>
            <w:vAlign w:val="center"/>
          </w:tcPr>
          <w:p>
            <w:pPr>
              <w:spacing w:line="240" w:lineRule="auto"/>
              <w:ind w:firstLine="0" w:firstLineChars="0"/>
              <w:jc w:val="center"/>
              <w:rPr>
                <w:color w:val="auto"/>
                <w:sz w:val="21"/>
                <w:szCs w:val="21"/>
              </w:rPr>
            </w:pPr>
            <w:r>
              <w:rPr>
                <w:rFonts w:hint="eastAsia"/>
                <w:color w:val="auto"/>
                <w:sz w:val="21"/>
                <w:szCs w:val="21"/>
              </w:rPr>
              <w:t>纯物质</w:t>
            </w:r>
          </w:p>
        </w:tc>
        <w:tc>
          <w:tcPr>
            <w:tcW w:w="1350" w:type="dxa"/>
            <w:vAlign w:val="center"/>
          </w:tcPr>
          <w:p>
            <w:pPr>
              <w:spacing w:line="240" w:lineRule="auto"/>
              <w:ind w:firstLine="0" w:firstLineChars="0"/>
              <w:jc w:val="center"/>
              <w:rPr>
                <w:color w:val="auto"/>
                <w:sz w:val="21"/>
                <w:szCs w:val="21"/>
              </w:rPr>
            </w:pPr>
          </w:p>
        </w:tc>
        <w:tc>
          <w:tcPr>
            <w:tcW w:w="1157"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固体</w:t>
            </w:r>
          </w:p>
        </w:tc>
        <w:tc>
          <w:tcPr>
            <w:tcW w:w="1043" w:type="dxa"/>
            <w:vAlign w:val="center"/>
          </w:tcPr>
          <w:p>
            <w:pPr>
              <w:spacing w:line="240" w:lineRule="auto"/>
              <w:ind w:firstLine="0" w:firstLineChars="0"/>
              <w:jc w:val="center"/>
              <w:rPr>
                <w:color w:val="auto"/>
                <w:sz w:val="21"/>
                <w:szCs w:val="21"/>
              </w:rPr>
            </w:pPr>
            <w:r>
              <w:rPr>
                <w:color w:val="auto"/>
                <w:sz w:val="21"/>
                <w:szCs w:val="21"/>
              </w:rPr>
              <w:t>外购</w:t>
            </w:r>
          </w:p>
        </w:tc>
        <w:tc>
          <w:tcPr>
            <w:tcW w:w="1184" w:type="dxa"/>
            <w:vAlign w:val="center"/>
          </w:tcPr>
          <w:p>
            <w:pPr>
              <w:spacing w:line="240" w:lineRule="auto"/>
              <w:ind w:firstLine="0" w:firstLineChars="0"/>
              <w:jc w:val="center"/>
              <w:rPr>
                <w:color w:val="auto"/>
                <w:sz w:val="21"/>
                <w:szCs w:val="21"/>
              </w:rPr>
            </w:pPr>
            <w:r>
              <w:rPr>
                <w:color w:val="auto"/>
                <w:sz w:val="21"/>
                <w:szCs w:val="21"/>
              </w:rPr>
              <w:t>催化剂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pPr>
              <w:spacing w:line="240" w:lineRule="auto"/>
              <w:ind w:firstLine="0" w:firstLineChars="0"/>
              <w:jc w:val="center"/>
              <w:rPr>
                <w:color w:val="auto"/>
                <w:sz w:val="21"/>
                <w:szCs w:val="21"/>
              </w:rPr>
            </w:pPr>
          </w:p>
        </w:tc>
        <w:tc>
          <w:tcPr>
            <w:tcW w:w="0" w:type="auto"/>
            <w:vAlign w:val="center"/>
          </w:tcPr>
          <w:p>
            <w:pPr>
              <w:spacing w:line="240" w:lineRule="auto"/>
              <w:ind w:firstLine="0" w:firstLineChars="0"/>
              <w:jc w:val="center"/>
              <w:rPr>
                <w:color w:val="auto"/>
                <w:sz w:val="21"/>
                <w:szCs w:val="21"/>
              </w:rPr>
            </w:pPr>
            <w:r>
              <w:rPr>
                <w:color w:val="auto"/>
                <w:sz w:val="21"/>
                <w:szCs w:val="21"/>
              </w:rPr>
              <w:t>4</w:t>
            </w:r>
          </w:p>
        </w:tc>
        <w:tc>
          <w:tcPr>
            <w:tcW w:w="0" w:type="auto"/>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催化剂</w:t>
            </w:r>
          </w:p>
        </w:tc>
        <w:tc>
          <w:tcPr>
            <w:tcW w:w="987" w:type="dxa"/>
            <w:vAlign w:val="center"/>
          </w:tcPr>
          <w:p>
            <w:pPr>
              <w:spacing w:line="240" w:lineRule="auto"/>
              <w:ind w:firstLine="0" w:firstLineChars="0"/>
              <w:jc w:val="center"/>
              <w:rPr>
                <w:color w:val="auto"/>
                <w:sz w:val="21"/>
                <w:szCs w:val="21"/>
              </w:rPr>
            </w:pPr>
            <w:r>
              <w:rPr>
                <w:rFonts w:hint="eastAsia"/>
                <w:color w:val="auto"/>
                <w:sz w:val="21"/>
                <w:szCs w:val="21"/>
              </w:rPr>
              <w:t>纯物质</w:t>
            </w:r>
          </w:p>
        </w:tc>
        <w:tc>
          <w:tcPr>
            <w:tcW w:w="1350" w:type="dxa"/>
            <w:vAlign w:val="center"/>
          </w:tcPr>
          <w:p>
            <w:pPr>
              <w:spacing w:line="240" w:lineRule="auto"/>
              <w:ind w:firstLine="0" w:firstLineChars="0"/>
              <w:jc w:val="center"/>
              <w:rPr>
                <w:color w:val="auto"/>
                <w:sz w:val="21"/>
                <w:szCs w:val="21"/>
              </w:rPr>
            </w:pPr>
          </w:p>
        </w:tc>
        <w:tc>
          <w:tcPr>
            <w:tcW w:w="1157"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固体</w:t>
            </w:r>
          </w:p>
        </w:tc>
        <w:tc>
          <w:tcPr>
            <w:tcW w:w="1043" w:type="dxa"/>
            <w:vAlign w:val="center"/>
          </w:tcPr>
          <w:p>
            <w:pPr>
              <w:spacing w:line="240" w:lineRule="auto"/>
              <w:ind w:firstLine="0" w:firstLineChars="0"/>
              <w:jc w:val="center"/>
              <w:rPr>
                <w:color w:val="auto"/>
                <w:sz w:val="21"/>
                <w:szCs w:val="21"/>
              </w:rPr>
            </w:pPr>
            <w:r>
              <w:rPr>
                <w:color w:val="auto"/>
                <w:sz w:val="21"/>
                <w:szCs w:val="21"/>
              </w:rPr>
              <w:t>外购</w:t>
            </w:r>
          </w:p>
        </w:tc>
        <w:tc>
          <w:tcPr>
            <w:tcW w:w="1184" w:type="dxa"/>
            <w:vAlign w:val="center"/>
          </w:tcPr>
          <w:p>
            <w:pPr>
              <w:spacing w:line="240" w:lineRule="auto"/>
              <w:ind w:firstLine="0" w:firstLineChars="0"/>
              <w:jc w:val="center"/>
              <w:rPr>
                <w:color w:val="auto"/>
                <w:sz w:val="21"/>
                <w:szCs w:val="21"/>
              </w:rPr>
            </w:pPr>
            <w:r>
              <w:rPr>
                <w:color w:val="auto"/>
                <w:sz w:val="21"/>
                <w:szCs w:val="21"/>
              </w:rPr>
              <w:t>催化剂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pPr>
              <w:spacing w:line="240" w:lineRule="auto"/>
              <w:ind w:firstLine="0" w:firstLineChars="0"/>
              <w:jc w:val="center"/>
              <w:rPr>
                <w:color w:val="auto"/>
                <w:sz w:val="21"/>
                <w:szCs w:val="21"/>
              </w:rPr>
            </w:pPr>
          </w:p>
        </w:tc>
        <w:tc>
          <w:tcPr>
            <w:tcW w:w="0" w:type="auto"/>
            <w:vAlign w:val="center"/>
          </w:tcPr>
          <w:p>
            <w:pPr>
              <w:spacing w:line="240" w:lineRule="auto"/>
              <w:ind w:firstLine="0" w:firstLineChars="0"/>
              <w:jc w:val="center"/>
              <w:rPr>
                <w:color w:val="auto"/>
                <w:sz w:val="21"/>
                <w:szCs w:val="21"/>
              </w:rPr>
            </w:pPr>
            <w:r>
              <w:rPr>
                <w:rFonts w:hint="eastAsia"/>
                <w:color w:val="auto"/>
                <w:sz w:val="21"/>
                <w:szCs w:val="21"/>
              </w:rPr>
              <w:t>5</w:t>
            </w:r>
          </w:p>
        </w:tc>
        <w:tc>
          <w:tcPr>
            <w:tcW w:w="0" w:type="auto"/>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催化剂</w:t>
            </w:r>
          </w:p>
        </w:tc>
        <w:tc>
          <w:tcPr>
            <w:tcW w:w="987" w:type="dxa"/>
            <w:vAlign w:val="center"/>
          </w:tcPr>
          <w:p>
            <w:pPr>
              <w:spacing w:line="240" w:lineRule="auto"/>
              <w:ind w:firstLine="0" w:firstLineChars="0"/>
              <w:jc w:val="center"/>
              <w:rPr>
                <w:color w:val="auto"/>
                <w:sz w:val="21"/>
                <w:szCs w:val="21"/>
              </w:rPr>
            </w:pPr>
            <w:r>
              <w:rPr>
                <w:rFonts w:hint="eastAsia"/>
                <w:color w:val="auto"/>
                <w:sz w:val="21"/>
                <w:szCs w:val="21"/>
              </w:rPr>
              <w:t>纯物质</w:t>
            </w:r>
          </w:p>
        </w:tc>
        <w:tc>
          <w:tcPr>
            <w:tcW w:w="1350" w:type="dxa"/>
            <w:vAlign w:val="center"/>
          </w:tcPr>
          <w:p>
            <w:pPr>
              <w:spacing w:line="240" w:lineRule="auto"/>
              <w:ind w:firstLine="0" w:firstLineChars="0"/>
              <w:jc w:val="center"/>
              <w:rPr>
                <w:color w:val="auto"/>
                <w:sz w:val="21"/>
                <w:szCs w:val="21"/>
              </w:rPr>
            </w:pPr>
          </w:p>
        </w:tc>
        <w:tc>
          <w:tcPr>
            <w:tcW w:w="1157"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液体</w:t>
            </w:r>
          </w:p>
        </w:tc>
        <w:tc>
          <w:tcPr>
            <w:tcW w:w="1043" w:type="dxa"/>
            <w:vAlign w:val="center"/>
          </w:tcPr>
          <w:p>
            <w:pPr>
              <w:spacing w:line="240" w:lineRule="auto"/>
              <w:ind w:firstLine="0" w:firstLineChars="0"/>
              <w:jc w:val="center"/>
              <w:rPr>
                <w:color w:val="auto"/>
                <w:sz w:val="21"/>
                <w:szCs w:val="21"/>
              </w:rPr>
            </w:pPr>
            <w:r>
              <w:rPr>
                <w:color w:val="auto"/>
                <w:sz w:val="21"/>
                <w:szCs w:val="21"/>
              </w:rPr>
              <w:t>外购</w:t>
            </w:r>
          </w:p>
        </w:tc>
        <w:tc>
          <w:tcPr>
            <w:tcW w:w="1184" w:type="dxa"/>
            <w:vAlign w:val="center"/>
          </w:tcPr>
          <w:p>
            <w:pPr>
              <w:spacing w:line="240" w:lineRule="auto"/>
              <w:ind w:firstLine="0" w:firstLineChars="0"/>
              <w:jc w:val="center"/>
              <w:rPr>
                <w:color w:val="auto"/>
                <w:sz w:val="21"/>
                <w:szCs w:val="21"/>
              </w:rPr>
            </w:pPr>
            <w:r>
              <w:rPr>
                <w:color w:val="auto"/>
                <w:sz w:val="21"/>
                <w:szCs w:val="21"/>
              </w:rPr>
              <w:t>催化剂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pPr>
              <w:spacing w:line="240" w:lineRule="auto"/>
              <w:ind w:firstLine="0" w:firstLineChars="0"/>
              <w:jc w:val="center"/>
              <w:rPr>
                <w:color w:val="auto"/>
                <w:sz w:val="21"/>
                <w:szCs w:val="21"/>
              </w:rPr>
            </w:pPr>
          </w:p>
        </w:tc>
        <w:tc>
          <w:tcPr>
            <w:tcW w:w="0" w:type="auto"/>
            <w:vAlign w:val="center"/>
          </w:tcPr>
          <w:p>
            <w:pPr>
              <w:spacing w:line="240" w:lineRule="auto"/>
              <w:ind w:firstLine="0" w:firstLineChars="0"/>
              <w:jc w:val="center"/>
              <w:rPr>
                <w:color w:val="auto"/>
                <w:sz w:val="21"/>
                <w:szCs w:val="21"/>
              </w:rPr>
            </w:pPr>
            <w:r>
              <w:rPr>
                <w:rFonts w:hint="eastAsia"/>
                <w:color w:val="auto"/>
                <w:sz w:val="21"/>
                <w:szCs w:val="21"/>
              </w:rPr>
              <w:t>6</w:t>
            </w:r>
          </w:p>
        </w:tc>
        <w:tc>
          <w:tcPr>
            <w:tcW w:w="0" w:type="auto"/>
            <w:vAlign w:val="center"/>
          </w:tcPr>
          <w:p>
            <w:pPr>
              <w:spacing w:line="240" w:lineRule="auto"/>
              <w:ind w:firstLine="0" w:firstLineChars="0"/>
              <w:jc w:val="center"/>
              <w:rPr>
                <w:rFonts w:hint="eastAsia" w:eastAsia="宋体"/>
                <w:color w:val="auto"/>
                <w:szCs w:val="21"/>
                <w:lang w:eastAsia="zh-CN"/>
              </w:rPr>
            </w:pPr>
            <w:r>
              <w:rPr>
                <w:rFonts w:hint="eastAsia"/>
                <w:color w:val="auto"/>
                <w:sz w:val="21"/>
                <w:szCs w:val="21"/>
                <w:lang w:eastAsia="zh-CN"/>
              </w:rPr>
              <w:t>催化剂</w:t>
            </w:r>
          </w:p>
        </w:tc>
        <w:tc>
          <w:tcPr>
            <w:tcW w:w="987" w:type="dxa"/>
            <w:vAlign w:val="center"/>
          </w:tcPr>
          <w:p>
            <w:pPr>
              <w:spacing w:line="240" w:lineRule="auto"/>
              <w:ind w:firstLine="0" w:firstLineChars="0"/>
              <w:jc w:val="center"/>
              <w:rPr>
                <w:color w:val="auto"/>
                <w:sz w:val="21"/>
                <w:szCs w:val="21"/>
              </w:rPr>
            </w:pPr>
            <w:r>
              <w:rPr>
                <w:rFonts w:hint="eastAsia"/>
                <w:color w:val="auto"/>
                <w:sz w:val="21"/>
                <w:szCs w:val="21"/>
              </w:rPr>
              <w:t>纯物质</w:t>
            </w:r>
          </w:p>
        </w:tc>
        <w:tc>
          <w:tcPr>
            <w:tcW w:w="1350" w:type="dxa"/>
            <w:vAlign w:val="center"/>
          </w:tcPr>
          <w:p>
            <w:pPr>
              <w:spacing w:line="240" w:lineRule="auto"/>
              <w:ind w:firstLine="0" w:firstLineChars="0"/>
              <w:jc w:val="center"/>
              <w:rPr>
                <w:color w:val="auto"/>
                <w:sz w:val="21"/>
                <w:szCs w:val="21"/>
              </w:rPr>
            </w:pPr>
          </w:p>
        </w:tc>
        <w:tc>
          <w:tcPr>
            <w:tcW w:w="1157"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液体</w:t>
            </w:r>
          </w:p>
        </w:tc>
        <w:tc>
          <w:tcPr>
            <w:tcW w:w="1043" w:type="dxa"/>
            <w:vAlign w:val="center"/>
          </w:tcPr>
          <w:p>
            <w:pPr>
              <w:spacing w:line="240" w:lineRule="auto"/>
              <w:ind w:firstLine="0" w:firstLineChars="0"/>
              <w:jc w:val="center"/>
              <w:rPr>
                <w:color w:val="auto"/>
                <w:sz w:val="21"/>
                <w:szCs w:val="21"/>
              </w:rPr>
            </w:pPr>
            <w:r>
              <w:rPr>
                <w:color w:val="auto"/>
                <w:sz w:val="21"/>
                <w:szCs w:val="21"/>
              </w:rPr>
              <w:t>外购</w:t>
            </w:r>
          </w:p>
        </w:tc>
        <w:tc>
          <w:tcPr>
            <w:tcW w:w="1184" w:type="dxa"/>
            <w:vAlign w:val="center"/>
          </w:tcPr>
          <w:p>
            <w:pPr>
              <w:spacing w:line="240" w:lineRule="auto"/>
              <w:ind w:firstLine="0" w:firstLineChars="0"/>
              <w:jc w:val="center"/>
              <w:rPr>
                <w:color w:val="auto"/>
                <w:sz w:val="21"/>
                <w:szCs w:val="21"/>
              </w:rPr>
            </w:pPr>
            <w:r>
              <w:rPr>
                <w:color w:val="auto"/>
                <w:sz w:val="21"/>
                <w:szCs w:val="21"/>
              </w:rPr>
              <w:t>催化剂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gridSpan w:val="8"/>
            <w:vAlign w:val="center"/>
          </w:tcPr>
          <w:p>
            <w:pPr>
              <w:spacing w:line="240" w:lineRule="auto"/>
              <w:ind w:firstLine="0" w:firstLineChars="0"/>
              <w:jc w:val="center"/>
              <w:rPr>
                <w:b/>
                <w:color w:val="auto"/>
                <w:sz w:val="21"/>
                <w:szCs w:val="21"/>
              </w:rPr>
            </w:pPr>
            <w:r>
              <w:rPr>
                <w:b/>
                <w:color w:val="auto"/>
                <w:sz w:val="21"/>
                <w:szCs w:val="21"/>
              </w:rPr>
              <w:t>能源消耗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vAlign w:val="center"/>
          </w:tcPr>
          <w:p>
            <w:pPr>
              <w:spacing w:line="240" w:lineRule="auto"/>
              <w:ind w:firstLine="0" w:firstLineChars="0"/>
              <w:jc w:val="center"/>
              <w:rPr>
                <w:color w:val="auto"/>
                <w:sz w:val="21"/>
                <w:szCs w:val="21"/>
              </w:rPr>
            </w:pPr>
            <w:r>
              <w:rPr>
                <w:color w:val="auto"/>
                <w:sz w:val="21"/>
                <w:szCs w:val="21"/>
              </w:rPr>
              <w:t>能源</w:t>
            </w:r>
          </w:p>
        </w:tc>
        <w:tc>
          <w:tcPr>
            <w:tcW w:w="0" w:type="auto"/>
            <w:vAlign w:val="center"/>
          </w:tcPr>
          <w:p>
            <w:pPr>
              <w:spacing w:line="240" w:lineRule="auto"/>
              <w:ind w:firstLine="0" w:firstLineChars="0"/>
              <w:jc w:val="center"/>
              <w:rPr>
                <w:color w:val="auto"/>
                <w:sz w:val="21"/>
                <w:szCs w:val="21"/>
              </w:rPr>
            </w:pPr>
            <w:r>
              <w:rPr>
                <w:color w:val="auto"/>
                <w:sz w:val="21"/>
                <w:szCs w:val="21"/>
              </w:rPr>
              <w:t>1</w:t>
            </w:r>
          </w:p>
        </w:tc>
        <w:tc>
          <w:tcPr>
            <w:tcW w:w="0" w:type="auto"/>
            <w:vAlign w:val="center"/>
          </w:tcPr>
          <w:p>
            <w:pPr>
              <w:spacing w:line="240" w:lineRule="auto"/>
              <w:ind w:firstLine="0" w:firstLineChars="0"/>
              <w:jc w:val="center"/>
              <w:rPr>
                <w:color w:val="auto"/>
                <w:sz w:val="21"/>
                <w:szCs w:val="21"/>
              </w:rPr>
            </w:pPr>
            <w:r>
              <w:rPr>
                <w:color w:val="auto"/>
                <w:sz w:val="21"/>
                <w:szCs w:val="21"/>
              </w:rPr>
              <w:t>电</w:t>
            </w:r>
          </w:p>
        </w:tc>
        <w:tc>
          <w:tcPr>
            <w:tcW w:w="987" w:type="dxa"/>
            <w:vAlign w:val="center"/>
          </w:tcPr>
          <w:p>
            <w:pPr>
              <w:spacing w:line="240" w:lineRule="auto"/>
              <w:ind w:firstLine="0" w:firstLineChars="0"/>
              <w:jc w:val="center"/>
              <w:rPr>
                <w:color w:val="auto"/>
                <w:sz w:val="21"/>
                <w:szCs w:val="21"/>
              </w:rPr>
            </w:pPr>
            <w:r>
              <w:rPr>
                <w:color w:val="auto"/>
                <w:sz w:val="21"/>
                <w:szCs w:val="21"/>
              </w:rPr>
              <w:t>/</w:t>
            </w:r>
          </w:p>
        </w:tc>
        <w:tc>
          <w:tcPr>
            <w:tcW w:w="1350" w:type="dxa"/>
            <w:vAlign w:val="center"/>
          </w:tcPr>
          <w:p>
            <w:pPr>
              <w:spacing w:line="240" w:lineRule="auto"/>
              <w:ind w:firstLine="0" w:firstLineChars="0"/>
              <w:jc w:val="center"/>
              <w:rPr>
                <w:color w:val="auto"/>
                <w:spacing w:val="-8"/>
                <w:sz w:val="21"/>
                <w:szCs w:val="21"/>
              </w:rPr>
            </w:pPr>
            <w:r>
              <w:rPr>
                <w:bCs/>
                <w:color w:val="auto"/>
                <w:sz w:val="21"/>
                <w:szCs w:val="21"/>
              </w:rPr>
              <w:t>480</w:t>
            </w:r>
            <w:r>
              <w:rPr>
                <w:color w:val="auto"/>
                <w:spacing w:val="-8"/>
                <w:sz w:val="21"/>
                <w:szCs w:val="21"/>
              </w:rPr>
              <w:t>万kWh/a</w:t>
            </w:r>
          </w:p>
        </w:tc>
        <w:tc>
          <w:tcPr>
            <w:tcW w:w="1157" w:type="dxa"/>
            <w:vAlign w:val="center"/>
          </w:tcPr>
          <w:p>
            <w:pPr>
              <w:spacing w:line="240" w:lineRule="auto"/>
              <w:ind w:firstLine="0" w:firstLineChars="0"/>
              <w:jc w:val="center"/>
              <w:rPr>
                <w:color w:val="auto"/>
                <w:sz w:val="21"/>
                <w:szCs w:val="21"/>
              </w:rPr>
            </w:pPr>
            <w:r>
              <w:rPr>
                <w:color w:val="auto"/>
                <w:sz w:val="21"/>
                <w:szCs w:val="21"/>
              </w:rPr>
              <w:t>/</w:t>
            </w:r>
          </w:p>
        </w:tc>
        <w:tc>
          <w:tcPr>
            <w:tcW w:w="1043" w:type="dxa"/>
            <w:vAlign w:val="center"/>
          </w:tcPr>
          <w:p>
            <w:pPr>
              <w:spacing w:line="240" w:lineRule="auto"/>
              <w:ind w:firstLine="0" w:firstLineChars="0"/>
              <w:jc w:val="center"/>
              <w:rPr>
                <w:color w:val="auto"/>
                <w:spacing w:val="-6"/>
                <w:sz w:val="21"/>
                <w:szCs w:val="21"/>
              </w:rPr>
            </w:pPr>
            <w:r>
              <w:rPr>
                <w:rFonts w:hint="eastAsia"/>
                <w:color w:val="auto"/>
                <w:kern w:val="0"/>
                <w:sz w:val="21"/>
                <w:szCs w:val="21"/>
              </w:rPr>
              <w:t>张店区</w:t>
            </w:r>
            <w:r>
              <w:rPr>
                <w:color w:val="auto"/>
                <w:kern w:val="0"/>
                <w:sz w:val="21"/>
                <w:szCs w:val="21"/>
              </w:rPr>
              <w:t>供电</w:t>
            </w:r>
            <w:r>
              <w:rPr>
                <w:rFonts w:hint="eastAsia"/>
                <w:color w:val="auto"/>
                <w:kern w:val="0"/>
                <w:sz w:val="21"/>
                <w:szCs w:val="21"/>
              </w:rPr>
              <w:t>公司</w:t>
            </w:r>
            <w:r>
              <w:rPr>
                <w:color w:val="auto"/>
                <w:kern w:val="0"/>
                <w:sz w:val="21"/>
                <w:szCs w:val="21"/>
              </w:rPr>
              <w:t>供</w:t>
            </w:r>
            <w:r>
              <w:rPr>
                <w:color w:val="auto"/>
                <w:spacing w:val="-6"/>
                <w:sz w:val="21"/>
                <w:szCs w:val="21"/>
              </w:rPr>
              <w:t>电</w:t>
            </w:r>
          </w:p>
        </w:tc>
        <w:tc>
          <w:tcPr>
            <w:tcW w:w="1184" w:type="dxa"/>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pPr>
              <w:spacing w:line="240" w:lineRule="auto"/>
              <w:ind w:firstLine="0" w:firstLineChars="0"/>
              <w:jc w:val="center"/>
              <w:rPr>
                <w:color w:val="auto"/>
                <w:sz w:val="21"/>
                <w:szCs w:val="21"/>
              </w:rPr>
            </w:pPr>
          </w:p>
        </w:tc>
        <w:tc>
          <w:tcPr>
            <w:tcW w:w="0" w:type="auto"/>
            <w:vAlign w:val="center"/>
          </w:tcPr>
          <w:p>
            <w:pPr>
              <w:spacing w:line="240" w:lineRule="auto"/>
              <w:ind w:firstLine="0" w:firstLineChars="0"/>
              <w:jc w:val="center"/>
              <w:rPr>
                <w:color w:val="auto"/>
                <w:sz w:val="21"/>
                <w:szCs w:val="21"/>
              </w:rPr>
            </w:pPr>
            <w:r>
              <w:rPr>
                <w:color w:val="auto"/>
                <w:sz w:val="21"/>
                <w:szCs w:val="21"/>
              </w:rPr>
              <w:t>2</w:t>
            </w:r>
          </w:p>
        </w:tc>
        <w:tc>
          <w:tcPr>
            <w:tcW w:w="0" w:type="auto"/>
            <w:vAlign w:val="center"/>
          </w:tcPr>
          <w:p>
            <w:pPr>
              <w:spacing w:line="240" w:lineRule="auto"/>
              <w:ind w:firstLine="0" w:firstLineChars="0"/>
              <w:jc w:val="center"/>
              <w:rPr>
                <w:color w:val="auto"/>
                <w:sz w:val="21"/>
                <w:szCs w:val="21"/>
              </w:rPr>
            </w:pPr>
            <w:r>
              <w:rPr>
                <w:rFonts w:hint="eastAsia"/>
                <w:color w:val="auto"/>
                <w:sz w:val="21"/>
                <w:szCs w:val="21"/>
              </w:rPr>
              <w:t>天然气</w:t>
            </w:r>
          </w:p>
        </w:tc>
        <w:tc>
          <w:tcPr>
            <w:tcW w:w="987" w:type="dxa"/>
            <w:vAlign w:val="center"/>
          </w:tcPr>
          <w:p>
            <w:pPr>
              <w:spacing w:line="240" w:lineRule="auto"/>
              <w:ind w:firstLine="0" w:firstLineChars="0"/>
              <w:jc w:val="center"/>
              <w:rPr>
                <w:color w:val="auto"/>
                <w:sz w:val="21"/>
                <w:szCs w:val="21"/>
              </w:rPr>
            </w:pPr>
            <w:r>
              <w:rPr>
                <w:color w:val="auto"/>
                <w:sz w:val="21"/>
                <w:szCs w:val="21"/>
              </w:rPr>
              <w:t>/</w:t>
            </w:r>
          </w:p>
        </w:tc>
        <w:tc>
          <w:tcPr>
            <w:tcW w:w="1350" w:type="dxa"/>
            <w:vAlign w:val="center"/>
          </w:tcPr>
          <w:p>
            <w:pPr>
              <w:spacing w:line="240" w:lineRule="auto"/>
              <w:ind w:firstLine="0" w:firstLineChars="0"/>
              <w:jc w:val="center"/>
              <w:rPr>
                <w:color w:val="auto"/>
                <w:sz w:val="21"/>
                <w:szCs w:val="21"/>
              </w:rPr>
            </w:pPr>
            <w:r>
              <w:rPr>
                <w:rFonts w:hint="eastAsia"/>
                <w:bCs/>
                <w:color w:val="auto"/>
                <w:sz w:val="21"/>
                <w:szCs w:val="21"/>
                <w:lang w:val="en-US" w:eastAsia="zh-CN"/>
              </w:rPr>
              <w:t>150</w:t>
            </w:r>
            <w:r>
              <w:rPr>
                <w:rFonts w:hint="eastAsia"/>
                <w:bCs/>
                <w:color w:val="auto"/>
                <w:sz w:val="21"/>
                <w:szCs w:val="21"/>
              </w:rPr>
              <w:t>万m³/年</w:t>
            </w:r>
          </w:p>
        </w:tc>
        <w:tc>
          <w:tcPr>
            <w:tcW w:w="1157" w:type="dxa"/>
            <w:vAlign w:val="center"/>
          </w:tcPr>
          <w:p>
            <w:pPr>
              <w:spacing w:line="240" w:lineRule="auto"/>
              <w:ind w:firstLine="0" w:firstLineChars="0"/>
              <w:jc w:val="center"/>
              <w:rPr>
                <w:color w:val="auto"/>
                <w:sz w:val="21"/>
                <w:szCs w:val="21"/>
              </w:rPr>
            </w:pPr>
            <w:r>
              <w:rPr>
                <w:color w:val="auto"/>
                <w:sz w:val="21"/>
                <w:szCs w:val="21"/>
              </w:rPr>
              <w:t>/</w:t>
            </w:r>
          </w:p>
        </w:tc>
        <w:tc>
          <w:tcPr>
            <w:tcW w:w="1043" w:type="dxa"/>
            <w:vAlign w:val="center"/>
          </w:tcPr>
          <w:p>
            <w:pPr>
              <w:spacing w:line="240" w:lineRule="auto"/>
              <w:ind w:firstLine="0" w:firstLineChars="0"/>
              <w:jc w:val="center"/>
              <w:rPr>
                <w:color w:val="auto"/>
                <w:sz w:val="21"/>
                <w:szCs w:val="21"/>
              </w:rPr>
            </w:pPr>
            <w:r>
              <w:rPr>
                <w:color w:val="auto"/>
                <w:sz w:val="21"/>
                <w:szCs w:val="21"/>
              </w:rPr>
              <w:t>绿博燃气</w:t>
            </w:r>
          </w:p>
        </w:tc>
        <w:tc>
          <w:tcPr>
            <w:tcW w:w="1184" w:type="dxa"/>
            <w:vAlign w:val="center"/>
          </w:tcPr>
          <w:p>
            <w:pPr>
              <w:spacing w:line="240" w:lineRule="auto"/>
              <w:ind w:firstLine="0" w:firstLineChars="0"/>
              <w:jc w:val="center"/>
              <w:rPr>
                <w:color w:val="auto"/>
                <w:kern w:val="0"/>
                <w:sz w:val="21"/>
                <w:szCs w:val="21"/>
              </w:rPr>
            </w:pPr>
            <w:r>
              <w:rPr>
                <w:color w:val="auto"/>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pPr>
              <w:spacing w:line="240" w:lineRule="auto"/>
              <w:ind w:firstLine="0" w:firstLineChars="0"/>
              <w:jc w:val="center"/>
              <w:rPr>
                <w:color w:val="auto"/>
                <w:sz w:val="21"/>
                <w:szCs w:val="21"/>
              </w:rPr>
            </w:pPr>
          </w:p>
        </w:tc>
        <w:tc>
          <w:tcPr>
            <w:tcW w:w="0" w:type="auto"/>
            <w:vAlign w:val="center"/>
          </w:tcPr>
          <w:p>
            <w:pPr>
              <w:spacing w:line="240" w:lineRule="auto"/>
              <w:ind w:firstLine="0" w:firstLineChars="0"/>
              <w:jc w:val="center"/>
              <w:rPr>
                <w:color w:val="auto"/>
                <w:sz w:val="21"/>
                <w:szCs w:val="21"/>
              </w:rPr>
            </w:pPr>
            <w:r>
              <w:rPr>
                <w:color w:val="auto"/>
                <w:sz w:val="21"/>
                <w:szCs w:val="21"/>
              </w:rPr>
              <w:t>3</w:t>
            </w:r>
          </w:p>
        </w:tc>
        <w:tc>
          <w:tcPr>
            <w:tcW w:w="0" w:type="auto"/>
            <w:vAlign w:val="center"/>
          </w:tcPr>
          <w:p>
            <w:pPr>
              <w:spacing w:line="240" w:lineRule="auto"/>
              <w:ind w:firstLine="0" w:firstLineChars="0"/>
              <w:jc w:val="center"/>
              <w:rPr>
                <w:color w:val="auto"/>
                <w:sz w:val="21"/>
                <w:szCs w:val="21"/>
              </w:rPr>
            </w:pPr>
            <w:r>
              <w:rPr>
                <w:rFonts w:hint="eastAsia"/>
                <w:color w:val="auto"/>
                <w:sz w:val="21"/>
                <w:szCs w:val="21"/>
              </w:rPr>
              <w:t>新鲜水</w:t>
            </w:r>
          </w:p>
        </w:tc>
        <w:tc>
          <w:tcPr>
            <w:tcW w:w="987" w:type="dxa"/>
            <w:vAlign w:val="center"/>
          </w:tcPr>
          <w:p>
            <w:pPr>
              <w:spacing w:line="240" w:lineRule="auto"/>
              <w:ind w:firstLine="0" w:firstLineChars="0"/>
              <w:jc w:val="center"/>
              <w:rPr>
                <w:color w:val="auto"/>
                <w:sz w:val="21"/>
                <w:szCs w:val="21"/>
              </w:rPr>
            </w:pPr>
            <w:r>
              <w:rPr>
                <w:color w:val="auto"/>
                <w:sz w:val="21"/>
                <w:szCs w:val="21"/>
              </w:rPr>
              <w:t>/</w:t>
            </w:r>
          </w:p>
        </w:tc>
        <w:tc>
          <w:tcPr>
            <w:tcW w:w="1350" w:type="dxa"/>
            <w:vAlign w:val="center"/>
          </w:tcPr>
          <w:p>
            <w:pPr>
              <w:spacing w:line="240" w:lineRule="auto"/>
              <w:ind w:firstLine="0" w:firstLineChars="0"/>
              <w:jc w:val="center"/>
              <w:rPr>
                <w:color w:val="auto"/>
                <w:sz w:val="21"/>
                <w:szCs w:val="21"/>
              </w:rPr>
            </w:pPr>
            <w:r>
              <w:rPr>
                <w:rFonts w:hint="eastAsia"/>
                <w:bCs/>
                <w:color w:val="auto"/>
                <w:sz w:val="21"/>
                <w:szCs w:val="21"/>
              </w:rPr>
              <w:t>22255</w:t>
            </w:r>
            <w:r>
              <w:rPr>
                <w:bCs/>
                <w:color w:val="auto"/>
                <w:sz w:val="21"/>
                <w:szCs w:val="21"/>
              </w:rPr>
              <w:t>m</w:t>
            </w:r>
            <w:r>
              <w:rPr>
                <w:bCs/>
                <w:color w:val="auto"/>
                <w:sz w:val="21"/>
                <w:szCs w:val="21"/>
                <w:vertAlign w:val="superscript"/>
              </w:rPr>
              <w:t>3</w:t>
            </w:r>
            <w:r>
              <w:rPr>
                <w:bCs/>
                <w:color w:val="auto"/>
                <w:sz w:val="21"/>
                <w:szCs w:val="21"/>
              </w:rPr>
              <w:t>/a</w:t>
            </w:r>
            <w:r>
              <w:rPr>
                <w:color w:val="auto"/>
                <w:sz w:val="21"/>
                <w:szCs w:val="21"/>
              </w:rPr>
              <w:t xml:space="preserve"> </w:t>
            </w:r>
          </w:p>
        </w:tc>
        <w:tc>
          <w:tcPr>
            <w:tcW w:w="1157" w:type="dxa"/>
            <w:vAlign w:val="center"/>
          </w:tcPr>
          <w:p>
            <w:pPr>
              <w:spacing w:line="240" w:lineRule="auto"/>
              <w:ind w:firstLine="0" w:firstLineChars="0"/>
              <w:jc w:val="center"/>
              <w:rPr>
                <w:color w:val="auto"/>
                <w:sz w:val="21"/>
                <w:szCs w:val="21"/>
              </w:rPr>
            </w:pPr>
            <w:r>
              <w:rPr>
                <w:color w:val="auto"/>
                <w:sz w:val="21"/>
                <w:szCs w:val="21"/>
              </w:rPr>
              <w:t>/</w:t>
            </w:r>
          </w:p>
        </w:tc>
        <w:tc>
          <w:tcPr>
            <w:tcW w:w="1043" w:type="dxa"/>
            <w:vAlign w:val="center"/>
          </w:tcPr>
          <w:p>
            <w:pPr>
              <w:spacing w:line="240" w:lineRule="auto"/>
              <w:ind w:firstLine="0" w:firstLineChars="0"/>
              <w:jc w:val="center"/>
              <w:rPr>
                <w:color w:val="auto"/>
                <w:sz w:val="21"/>
                <w:szCs w:val="21"/>
              </w:rPr>
            </w:pPr>
            <w:r>
              <w:rPr>
                <w:rFonts w:hint="eastAsia"/>
                <w:color w:val="auto"/>
                <w:kern w:val="0"/>
                <w:sz w:val="21"/>
                <w:szCs w:val="21"/>
              </w:rPr>
              <w:t>市政供水官网</w:t>
            </w:r>
          </w:p>
        </w:tc>
        <w:tc>
          <w:tcPr>
            <w:tcW w:w="1184" w:type="dxa"/>
            <w:vAlign w:val="center"/>
          </w:tcPr>
          <w:p>
            <w:pPr>
              <w:spacing w:line="240" w:lineRule="auto"/>
              <w:ind w:firstLine="0" w:firstLineChars="0"/>
              <w:jc w:val="center"/>
              <w:rPr>
                <w:color w:val="auto"/>
                <w:sz w:val="21"/>
                <w:szCs w:val="21"/>
              </w:rPr>
            </w:pPr>
            <w:r>
              <w:rPr>
                <w:color w:val="auto"/>
                <w:sz w:val="21"/>
                <w:szCs w:val="21"/>
              </w:rPr>
              <w:t>/</w:t>
            </w:r>
          </w:p>
        </w:tc>
      </w:tr>
    </w:tbl>
    <w:p>
      <w:pPr>
        <w:pStyle w:val="2"/>
        <w:spacing w:after="0"/>
        <w:ind w:firstLine="480"/>
        <w:rPr>
          <w:color w:val="auto"/>
        </w:rPr>
        <w:sectPr>
          <w:headerReference r:id="rId21" w:type="default"/>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pPr>
        <w:ind w:firstLine="420"/>
        <w:jc w:val="center"/>
        <w:rPr>
          <w:rFonts w:eastAsia="黑体"/>
          <w:bCs/>
          <w:color w:val="auto"/>
          <w:sz w:val="21"/>
          <w:szCs w:val="21"/>
        </w:rPr>
      </w:pPr>
      <w:r>
        <w:rPr>
          <w:rFonts w:eastAsia="黑体"/>
          <w:bCs/>
          <w:color w:val="auto"/>
          <w:sz w:val="21"/>
          <w:szCs w:val="21"/>
        </w:rPr>
        <w:t>表2.2-</w:t>
      </w:r>
      <w:r>
        <w:rPr>
          <w:rFonts w:hint="eastAsia" w:eastAsia="黑体"/>
          <w:bCs/>
          <w:color w:val="auto"/>
          <w:sz w:val="21"/>
          <w:szCs w:val="21"/>
        </w:rPr>
        <w:t>9</w:t>
      </w:r>
      <w:r>
        <w:rPr>
          <w:rFonts w:eastAsia="黑体"/>
          <w:bCs/>
          <w:color w:val="auto"/>
          <w:sz w:val="21"/>
          <w:szCs w:val="21"/>
        </w:rPr>
        <w:t xml:space="preserve">  原辅料、产品理化性质</w:t>
      </w:r>
    </w:p>
    <w:tbl>
      <w:tblPr>
        <w:tblStyle w:val="2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46"/>
        <w:gridCol w:w="911"/>
        <w:gridCol w:w="948"/>
        <w:gridCol w:w="1676"/>
        <w:gridCol w:w="2012"/>
        <w:gridCol w:w="997"/>
        <w:gridCol w:w="1146"/>
        <w:gridCol w:w="961"/>
        <w:gridCol w:w="695"/>
        <w:gridCol w:w="650"/>
        <w:gridCol w:w="978"/>
        <w:gridCol w:w="26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类别</w:t>
            </w:r>
          </w:p>
        </w:tc>
        <w:tc>
          <w:tcPr>
            <w:tcW w:w="325"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标准化学名称</w:t>
            </w:r>
          </w:p>
        </w:tc>
        <w:tc>
          <w:tcPr>
            <w:tcW w:w="338"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别名</w:t>
            </w:r>
          </w:p>
        </w:tc>
        <w:tc>
          <w:tcPr>
            <w:tcW w:w="598"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分子式</w:t>
            </w:r>
          </w:p>
        </w:tc>
        <w:tc>
          <w:tcPr>
            <w:tcW w:w="717"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结构式</w:t>
            </w:r>
          </w:p>
        </w:tc>
        <w:tc>
          <w:tcPr>
            <w:tcW w:w="356"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分子量</w:t>
            </w:r>
          </w:p>
        </w:tc>
        <w:tc>
          <w:tcPr>
            <w:tcW w:w="409"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外观性状</w:t>
            </w:r>
          </w:p>
        </w:tc>
        <w:tc>
          <w:tcPr>
            <w:tcW w:w="343"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熔点℃</w:t>
            </w:r>
          </w:p>
        </w:tc>
        <w:tc>
          <w:tcPr>
            <w:tcW w:w="248"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沸点℃</w:t>
            </w:r>
          </w:p>
        </w:tc>
        <w:tc>
          <w:tcPr>
            <w:tcW w:w="232"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闪点℃</w:t>
            </w:r>
          </w:p>
        </w:tc>
        <w:tc>
          <w:tcPr>
            <w:tcW w:w="349"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相对密度（水=1）</w:t>
            </w:r>
          </w:p>
        </w:tc>
        <w:tc>
          <w:tcPr>
            <w:tcW w:w="958"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溶解性、毒理毒性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 w:type="pct"/>
            <w:vMerge w:val="restart"/>
            <w:tcMar>
              <w:left w:w="28" w:type="dxa"/>
              <w:right w:w="28" w:type="dxa"/>
            </w:tcMar>
            <w:vAlign w:val="center"/>
          </w:tcPr>
          <w:p>
            <w:pPr>
              <w:spacing w:line="240" w:lineRule="auto"/>
              <w:ind w:firstLine="0" w:firstLineChars="0"/>
              <w:jc w:val="center"/>
              <w:rPr>
                <w:color w:val="auto"/>
                <w:sz w:val="21"/>
                <w:szCs w:val="21"/>
              </w:rPr>
            </w:pPr>
            <w:r>
              <w:rPr>
                <w:color w:val="auto"/>
                <w:sz w:val="21"/>
                <w:szCs w:val="21"/>
              </w:rPr>
              <w:t>原辅料</w:t>
            </w:r>
          </w:p>
        </w:tc>
        <w:tc>
          <w:tcPr>
            <w:tcW w:w="325" w:type="pct"/>
            <w:tcMar>
              <w:left w:w="28"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t>乳酸</w:t>
            </w:r>
          </w:p>
        </w:tc>
        <w:tc>
          <w:tcPr>
            <w:tcW w:w="338" w:type="pct"/>
            <w:tcMar>
              <w:left w:w="28" w:type="dxa"/>
              <w:right w:w="28" w:type="dxa"/>
            </w:tcMar>
            <w:vAlign w:val="center"/>
          </w:tcPr>
          <w:p>
            <w:pPr>
              <w:spacing w:line="240" w:lineRule="auto"/>
              <w:ind w:firstLine="0" w:firstLineChars="0"/>
              <w:jc w:val="center"/>
              <w:rPr>
                <w:color w:val="auto"/>
                <w:sz w:val="21"/>
                <w:szCs w:val="21"/>
              </w:rPr>
            </w:pPr>
          </w:p>
          <w:p>
            <w:pPr>
              <w:spacing w:line="240" w:lineRule="auto"/>
              <w:ind w:firstLine="0" w:firstLineChars="0"/>
              <w:jc w:val="center"/>
              <w:rPr>
                <w:color w:val="auto"/>
                <w:sz w:val="21"/>
                <w:szCs w:val="21"/>
              </w:rPr>
            </w:pPr>
            <w:r>
              <w:rPr>
                <w:color w:val="auto"/>
                <w:sz w:val="21"/>
                <w:szCs w:val="21"/>
              </w:rPr>
              <w:t>α-羟基丙酸、2-羟基丙酸</w:t>
            </w:r>
          </w:p>
        </w:tc>
        <w:tc>
          <w:tcPr>
            <w:tcW w:w="598" w:type="pct"/>
            <w:tcMar>
              <w:left w:w="28" w:type="dxa"/>
              <w:right w:w="28" w:type="dxa"/>
            </w:tcMar>
            <w:vAlign w:val="center"/>
          </w:tcPr>
          <w:p>
            <w:pPr>
              <w:spacing w:line="240" w:lineRule="auto"/>
              <w:ind w:firstLine="0" w:firstLineChars="0"/>
              <w:jc w:val="center"/>
              <w:rPr>
                <w:color w:val="auto"/>
                <w:sz w:val="21"/>
                <w:szCs w:val="21"/>
              </w:rPr>
            </w:pPr>
            <w:r>
              <w:rPr>
                <w:color w:val="auto"/>
                <w:sz w:val="21"/>
                <w:szCs w:val="21"/>
              </w:rPr>
              <w:t>C</w:t>
            </w:r>
            <w:r>
              <w:rPr>
                <w:color w:val="auto"/>
                <w:sz w:val="21"/>
                <w:szCs w:val="21"/>
                <w:vertAlign w:val="subscript"/>
              </w:rPr>
              <w:t>3</w:t>
            </w:r>
            <w:r>
              <w:rPr>
                <w:color w:val="auto"/>
                <w:sz w:val="21"/>
                <w:szCs w:val="21"/>
              </w:rPr>
              <w:t>H</w:t>
            </w:r>
            <w:r>
              <w:rPr>
                <w:color w:val="auto"/>
                <w:sz w:val="21"/>
                <w:szCs w:val="21"/>
                <w:vertAlign w:val="subscript"/>
              </w:rPr>
              <w:t>6</w:t>
            </w:r>
            <w:r>
              <w:rPr>
                <w:color w:val="auto"/>
                <w:sz w:val="21"/>
                <w:szCs w:val="21"/>
              </w:rPr>
              <w:t>O</w:t>
            </w:r>
            <w:r>
              <w:rPr>
                <w:color w:val="auto"/>
                <w:sz w:val="21"/>
                <w:szCs w:val="21"/>
                <w:vertAlign w:val="subscript"/>
              </w:rPr>
              <w:t>3</w:t>
            </w:r>
          </w:p>
        </w:tc>
        <w:tc>
          <w:tcPr>
            <w:tcW w:w="717" w:type="pct"/>
            <w:tcMar>
              <w:left w:w="28" w:type="dxa"/>
              <w:right w:w="28" w:type="dxa"/>
            </w:tcMar>
            <w:vAlign w:val="center"/>
          </w:tcPr>
          <w:p>
            <w:pPr>
              <w:spacing w:line="240" w:lineRule="auto"/>
              <w:ind w:firstLine="0" w:firstLineChars="0"/>
              <w:jc w:val="center"/>
              <w:rPr>
                <w:color w:val="auto"/>
                <w:sz w:val="21"/>
                <w:szCs w:val="21"/>
              </w:rPr>
            </w:pPr>
            <w:r>
              <w:rPr>
                <w:color w:val="auto"/>
              </w:rPr>
              <w:drawing>
                <wp:inline distT="0" distB="0" distL="114300" distR="114300">
                  <wp:extent cx="1026160" cy="820420"/>
                  <wp:effectExtent l="0" t="0" r="2540" b="17780"/>
                  <wp:docPr id="2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5"/>
                          <pic:cNvPicPr>
                            <a:picLocks noChangeAspect="1"/>
                          </pic:cNvPicPr>
                        </pic:nvPicPr>
                        <pic:blipFill>
                          <a:blip r:embed="rId61"/>
                          <a:stretch>
                            <a:fillRect/>
                          </a:stretch>
                        </pic:blipFill>
                        <pic:spPr>
                          <a:xfrm>
                            <a:off x="0" y="0"/>
                            <a:ext cx="1026160" cy="820420"/>
                          </a:xfrm>
                          <a:prstGeom prst="rect">
                            <a:avLst/>
                          </a:prstGeom>
                          <a:noFill/>
                          <a:ln>
                            <a:noFill/>
                          </a:ln>
                        </pic:spPr>
                      </pic:pic>
                    </a:graphicData>
                  </a:graphic>
                </wp:inline>
              </w:drawing>
            </w:r>
          </w:p>
        </w:tc>
        <w:tc>
          <w:tcPr>
            <w:tcW w:w="356" w:type="pct"/>
            <w:tcMar>
              <w:left w:w="28" w:type="dxa"/>
              <w:right w:w="28" w:type="dxa"/>
            </w:tcMar>
            <w:vAlign w:val="center"/>
          </w:tcPr>
          <w:p>
            <w:pPr>
              <w:spacing w:line="240" w:lineRule="auto"/>
              <w:ind w:firstLine="0" w:firstLineChars="0"/>
              <w:jc w:val="center"/>
              <w:rPr>
                <w:color w:val="auto"/>
                <w:sz w:val="21"/>
                <w:szCs w:val="21"/>
              </w:rPr>
            </w:pPr>
          </w:p>
          <w:p>
            <w:pPr>
              <w:spacing w:line="240" w:lineRule="auto"/>
              <w:ind w:firstLine="0" w:firstLineChars="0"/>
              <w:jc w:val="center"/>
              <w:rPr>
                <w:color w:val="auto"/>
                <w:sz w:val="21"/>
                <w:szCs w:val="21"/>
              </w:rPr>
            </w:pPr>
            <w:r>
              <w:rPr>
                <w:color w:val="auto"/>
                <w:sz w:val="21"/>
                <w:szCs w:val="21"/>
              </w:rPr>
              <w:t>90.08</w:t>
            </w:r>
          </w:p>
        </w:tc>
        <w:tc>
          <w:tcPr>
            <w:tcW w:w="409" w:type="pct"/>
            <w:tcMar>
              <w:left w:w="28" w:type="dxa"/>
              <w:right w:w="28" w:type="dxa"/>
            </w:tcMar>
            <w:vAlign w:val="center"/>
          </w:tcPr>
          <w:p>
            <w:pPr>
              <w:spacing w:line="240" w:lineRule="auto"/>
              <w:ind w:firstLine="0" w:firstLineChars="0"/>
              <w:jc w:val="center"/>
              <w:rPr>
                <w:color w:val="auto"/>
                <w:sz w:val="21"/>
                <w:szCs w:val="21"/>
              </w:rPr>
            </w:pPr>
            <w:r>
              <w:rPr>
                <w:color w:val="auto"/>
                <w:sz w:val="21"/>
                <w:szCs w:val="21"/>
              </w:rPr>
              <w:t>为无色澄清或微黄色的粘性液体</w:t>
            </w:r>
          </w:p>
        </w:tc>
        <w:tc>
          <w:tcPr>
            <w:tcW w:w="343" w:type="pct"/>
            <w:tcMar>
              <w:left w:w="28" w:type="dxa"/>
              <w:right w:w="28" w:type="dxa"/>
            </w:tcMar>
            <w:vAlign w:val="center"/>
          </w:tcPr>
          <w:p>
            <w:pPr>
              <w:spacing w:line="240" w:lineRule="auto"/>
              <w:ind w:firstLine="0" w:firstLineChars="0"/>
              <w:jc w:val="center"/>
              <w:rPr>
                <w:color w:val="auto"/>
                <w:sz w:val="21"/>
                <w:szCs w:val="21"/>
              </w:rPr>
            </w:pPr>
          </w:p>
          <w:p>
            <w:pPr>
              <w:spacing w:line="240" w:lineRule="auto"/>
              <w:ind w:firstLine="0" w:firstLineChars="0"/>
              <w:jc w:val="center"/>
              <w:rPr>
                <w:color w:val="auto"/>
                <w:sz w:val="21"/>
                <w:szCs w:val="21"/>
              </w:rPr>
            </w:pPr>
            <w:r>
              <w:rPr>
                <w:color w:val="auto"/>
                <w:sz w:val="21"/>
                <w:szCs w:val="21"/>
              </w:rPr>
              <w:t>L: 53 °C，D: 53 °C，D/L: 16.8 °C</w:t>
            </w:r>
          </w:p>
        </w:tc>
        <w:tc>
          <w:tcPr>
            <w:tcW w:w="248" w:type="pct"/>
            <w:tcMar>
              <w:left w:w="28" w:type="dxa"/>
              <w:right w:w="28" w:type="dxa"/>
            </w:tcMar>
            <w:vAlign w:val="center"/>
          </w:tcPr>
          <w:p>
            <w:pPr>
              <w:spacing w:line="240" w:lineRule="auto"/>
              <w:ind w:firstLine="0" w:firstLineChars="0"/>
              <w:jc w:val="center"/>
              <w:rPr>
                <w:color w:val="auto"/>
                <w:sz w:val="21"/>
                <w:szCs w:val="21"/>
              </w:rPr>
            </w:pPr>
          </w:p>
          <w:p>
            <w:pPr>
              <w:spacing w:line="240" w:lineRule="auto"/>
              <w:ind w:firstLine="0" w:firstLineChars="0"/>
              <w:jc w:val="center"/>
              <w:rPr>
                <w:color w:val="auto"/>
                <w:sz w:val="21"/>
                <w:szCs w:val="21"/>
              </w:rPr>
            </w:pPr>
            <w:r>
              <w:rPr>
                <w:color w:val="auto"/>
                <w:sz w:val="21"/>
                <w:szCs w:val="21"/>
              </w:rPr>
              <w:t>122</w:t>
            </w:r>
          </w:p>
        </w:tc>
        <w:tc>
          <w:tcPr>
            <w:tcW w:w="232" w:type="pct"/>
            <w:tcMar>
              <w:left w:w="28" w:type="dxa"/>
              <w:right w:w="28" w:type="dxa"/>
            </w:tcMar>
            <w:vAlign w:val="center"/>
          </w:tcPr>
          <w:p>
            <w:pPr>
              <w:spacing w:line="240" w:lineRule="auto"/>
              <w:ind w:firstLine="0" w:firstLineChars="0"/>
              <w:jc w:val="center"/>
              <w:rPr>
                <w:color w:val="auto"/>
                <w:sz w:val="21"/>
                <w:szCs w:val="21"/>
              </w:rPr>
            </w:pPr>
          </w:p>
          <w:p>
            <w:pPr>
              <w:spacing w:line="240" w:lineRule="auto"/>
              <w:ind w:firstLine="0" w:firstLineChars="0"/>
              <w:jc w:val="center"/>
              <w:rPr>
                <w:color w:val="auto"/>
                <w:sz w:val="21"/>
                <w:szCs w:val="21"/>
              </w:rPr>
            </w:pPr>
            <w:r>
              <w:rPr>
                <w:rFonts w:hint="eastAsia"/>
                <w:color w:val="auto"/>
                <w:sz w:val="21"/>
                <w:szCs w:val="21"/>
              </w:rPr>
              <w:t>&gt;</w:t>
            </w:r>
            <w:r>
              <w:rPr>
                <w:color w:val="auto"/>
                <w:sz w:val="21"/>
                <w:szCs w:val="21"/>
              </w:rPr>
              <w:t>110</w:t>
            </w:r>
          </w:p>
        </w:tc>
        <w:tc>
          <w:tcPr>
            <w:tcW w:w="349" w:type="pct"/>
            <w:tcMar>
              <w:left w:w="28" w:type="dxa"/>
              <w:right w:w="28" w:type="dxa"/>
            </w:tcMar>
            <w:vAlign w:val="center"/>
          </w:tcPr>
          <w:p>
            <w:pPr>
              <w:spacing w:line="240" w:lineRule="auto"/>
              <w:ind w:firstLine="0" w:firstLineChars="0"/>
              <w:jc w:val="center"/>
              <w:rPr>
                <w:color w:val="auto"/>
                <w:sz w:val="21"/>
                <w:szCs w:val="21"/>
              </w:rPr>
            </w:pPr>
          </w:p>
          <w:p>
            <w:pPr>
              <w:spacing w:line="240" w:lineRule="auto"/>
              <w:ind w:firstLine="0" w:firstLineChars="0"/>
              <w:jc w:val="center"/>
              <w:rPr>
                <w:color w:val="auto"/>
                <w:sz w:val="21"/>
                <w:szCs w:val="21"/>
              </w:rPr>
            </w:pPr>
            <w:r>
              <w:rPr>
                <w:color w:val="auto"/>
                <w:sz w:val="21"/>
                <w:szCs w:val="21"/>
              </w:rPr>
              <w:t>1.209</w:t>
            </w:r>
          </w:p>
        </w:tc>
        <w:tc>
          <w:tcPr>
            <w:tcW w:w="958" w:type="pct"/>
            <w:tcMar>
              <w:left w:w="28" w:type="dxa"/>
              <w:right w:w="28" w:type="dxa"/>
            </w:tcMar>
            <w:vAlign w:val="center"/>
          </w:tcPr>
          <w:p>
            <w:pPr>
              <w:spacing w:line="240" w:lineRule="auto"/>
              <w:ind w:firstLine="0" w:firstLineChars="0"/>
              <w:jc w:val="center"/>
              <w:rPr>
                <w:color w:val="auto"/>
                <w:sz w:val="21"/>
                <w:szCs w:val="21"/>
              </w:rPr>
            </w:pPr>
          </w:p>
          <w:p>
            <w:pPr>
              <w:spacing w:line="240" w:lineRule="auto"/>
              <w:ind w:firstLine="0" w:firstLineChars="0"/>
              <w:jc w:val="center"/>
              <w:rPr>
                <w:color w:val="auto"/>
                <w:sz w:val="21"/>
                <w:szCs w:val="21"/>
              </w:rPr>
            </w:pPr>
            <w:r>
              <w:rPr>
                <w:color w:val="auto"/>
                <w:sz w:val="21"/>
                <w:szCs w:val="21"/>
              </w:rPr>
              <w:t>与乙醇（95%）、乙醚、水混溶，不溶于氯仿</w:t>
            </w:r>
            <w:r>
              <w:rPr>
                <w:rFonts w:hint="eastAsia"/>
                <w:color w:val="auto"/>
                <w:sz w:val="21"/>
                <w:szCs w:val="21"/>
              </w:rPr>
              <w:t>、</w:t>
            </w:r>
            <w:r>
              <w:rPr>
                <w:color w:val="auto"/>
              </w:rPr>
              <w:fldChar w:fldCharType="begin"/>
            </w:r>
            <w:r>
              <w:rPr>
                <w:color w:val="auto"/>
              </w:rPr>
              <w:instrText xml:space="preserve"> HYPERLINK "https://baike.baidu.com/item/%E4%BA%8C%E7%A1%AB%E5%8C%96%E7%A2%B3" \t "https://baike.baidu.com/item/%E4%B9%B3%E9%85%B8/_blank" </w:instrText>
            </w:r>
            <w:r>
              <w:rPr>
                <w:color w:val="auto"/>
              </w:rPr>
              <w:fldChar w:fldCharType="separate"/>
            </w:r>
            <w:r>
              <w:rPr>
                <w:color w:val="auto"/>
                <w:sz w:val="21"/>
                <w:szCs w:val="21"/>
              </w:rPr>
              <w:t>二硫化碳</w:t>
            </w:r>
            <w:r>
              <w:rPr>
                <w:color w:val="auto"/>
                <w:sz w:val="21"/>
                <w:szCs w:val="21"/>
              </w:rPr>
              <w:fldChar w:fldCharType="end"/>
            </w:r>
            <w:r>
              <w:rPr>
                <w:color w:val="auto"/>
                <w:sz w:val="21"/>
                <w:szCs w:val="21"/>
              </w:rPr>
              <w:t>和</w:t>
            </w:r>
            <w:r>
              <w:rPr>
                <w:color w:val="auto"/>
              </w:rPr>
              <w:fldChar w:fldCharType="begin"/>
            </w:r>
            <w:r>
              <w:rPr>
                <w:color w:val="auto"/>
              </w:rPr>
              <w:instrText xml:space="preserve"> HYPERLINK "https://baike.baidu.com/item/%E7%9F%B3%E6%B2%B9%E9%86%9A" \t "https://baike.baidu.com/item/%E4%B9%B3%E9%85%B8/_blank" </w:instrText>
            </w:r>
            <w:r>
              <w:rPr>
                <w:color w:val="auto"/>
              </w:rPr>
              <w:fldChar w:fldCharType="separate"/>
            </w:r>
            <w:r>
              <w:rPr>
                <w:color w:val="auto"/>
                <w:sz w:val="21"/>
                <w:szCs w:val="21"/>
              </w:rPr>
              <w:t>石油醚</w:t>
            </w:r>
            <w:r>
              <w:rPr>
                <w:color w:val="auto"/>
                <w:sz w:val="21"/>
                <w:szCs w:val="21"/>
              </w:rPr>
              <w:fldChar w:fldCharType="end"/>
            </w:r>
            <w:r>
              <w:rPr>
                <w:color w:val="auto"/>
                <w:sz w:val="21"/>
                <w:szCs w:val="21"/>
              </w:rPr>
              <w:t>。毒性：大鼠经口LD50为3.73g/kg体重；ADI无限制规定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 w:type="pct"/>
            <w:vMerge w:val="continue"/>
            <w:tcMar>
              <w:left w:w="28" w:type="dxa"/>
              <w:right w:w="28" w:type="dxa"/>
            </w:tcMar>
            <w:vAlign w:val="center"/>
          </w:tcPr>
          <w:p>
            <w:pPr>
              <w:spacing w:line="240" w:lineRule="auto"/>
              <w:ind w:firstLine="0" w:firstLineChars="0"/>
              <w:jc w:val="center"/>
              <w:rPr>
                <w:color w:val="auto"/>
                <w:sz w:val="21"/>
                <w:szCs w:val="21"/>
              </w:rPr>
            </w:pPr>
          </w:p>
        </w:tc>
        <w:tc>
          <w:tcPr>
            <w:tcW w:w="325" w:type="pct"/>
            <w:tcMar>
              <w:left w:w="28" w:type="dxa"/>
              <w:right w:w="28" w:type="dxa"/>
            </w:tcMar>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催化剂</w:t>
            </w:r>
          </w:p>
        </w:tc>
        <w:tc>
          <w:tcPr>
            <w:tcW w:w="338" w:type="pct"/>
            <w:tcMar>
              <w:left w:w="28" w:type="dxa"/>
              <w:right w:w="28" w:type="dxa"/>
            </w:tcMar>
            <w:vAlign w:val="center"/>
          </w:tcPr>
          <w:p>
            <w:pPr>
              <w:spacing w:line="240" w:lineRule="auto"/>
              <w:ind w:firstLine="0" w:firstLineChars="0"/>
              <w:jc w:val="center"/>
              <w:rPr>
                <w:color w:val="auto"/>
                <w:sz w:val="21"/>
                <w:szCs w:val="21"/>
              </w:rPr>
            </w:pPr>
          </w:p>
        </w:tc>
        <w:tc>
          <w:tcPr>
            <w:tcW w:w="598" w:type="pct"/>
            <w:tcMar>
              <w:left w:w="28" w:type="dxa"/>
              <w:right w:w="28" w:type="dxa"/>
            </w:tcMar>
            <w:vAlign w:val="center"/>
          </w:tcPr>
          <w:p>
            <w:pPr>
              <w:spacing w:line="240" w:lineRule="auto"/>
              <w:ind w:firstLine="0" w:firstLineChars="0"/>
              <w:jc w:val="center"/>
              <w:rPr>
                <w:color w:val="auto"/>
                <w:sz w:val="21"/>
                <w:szCs w:val="21"/>
              </w:rPr>
            </w:pPr>
          </w:p>
        </w:tc>
        <w:tc>
          <w:tcPr>
            <w:tcW w:w="717" w:type="pct"/>
            <w:tcMar>
              <w:left w:w="28" w:type="dxa"/>
              <w:right w:w="28" w:type="dxa"/>
            </w:tcMar>
            <w:vAlign w:val="center"/>
          </w:tcPr>
          <w:p>
            <w:pPr>
              <w:spacing w:line="240" w:lineRule="auto"/>
              <w:ind w:firstLine="0" w:firstLineChars="0"/>
              <w:jc w:val="center"/>
              <w:rPr>
                <w:color w:val="auto"/>
                <w:sz w:val="21"/>
                <w:szCs w:val="21"/>
              </w:rPr>
            </w:pPr>
          </w:p>
        </w:tc>
        <w:tc>
          <w:tcPr>
            <w:tcW w:w="356" w:type="pct"/>
            <w:tcMar>
              <w:left w:w="28" w:type="dxa"/>
              <w:right w:w="28" w:type="dxa"/>
            </w:tcMar>
            <w:vAlign w:val="center"/>
          </w:tcPr>
          <w:p>
            <w:pPr>
              <w:spacing w:line="240" w:lineRule="auto"/>
              <w:ind w:firstLine="0" w:firstLineChars="0"/>
              <w:jc w:val="center"/>
              <w:rPr>
                <w:color w:val="auto"/>
                <w:sz w:val="21"/>
                <w:szCs w:val="21"/>
              </w:rPr>
            </w:pPr>
          </w:p>
        </w:tc>
        <w:tc>
          <w:tcPr>
            <w:tcW w:w="409" w:type="pct"/>
            <w:tcMar>
              <w:left w:w="28" w:type="dxa"/>
              <w:right w:w="28" w:type="dxa"/>
            </w:tcMar>
            <w:vAlign w:val="center"/>
          </w:tcPr>
          <w:p>
            <w:pPr>
              <w:spacing w:line="240" w:lineRule="auto"/>
              <w:ind w:firstLine="0" w:firstLineChars="0"/>
              <w:jc w:val="center"/>
              <w:rPr>
                <w:color w:val="auto"/>
                <w:sz w:val="21"/>
                <w:szCs w:val="21"/>
              </w:rPr>
            </w:pPr>
          </w:p>
        </w:tc>
        <w:tc>
          <w:tcPr>
            <w:tcW w:w="343" w:type="pct"/>
            <w:tcMar>
              <w:left w:w="28" w:type="dxa"/>
              <w:right w:w="28" w:type="dxa"/>
            </w:tcMar>
            <w:vAlign w:val="center"/>
          </w:tcPr>
          <w:p>
            <w:pPr>
              <w:spacing w:line="240" w:lineRule="auto"/>
              <w:ind w:firstLine="0" w:firstLineChars="0"/>
              <w:jc w:val="center"/>
              <w:rPr>
                <w:color w:val="auto"/>
                <w:sz w:val="21"/>
                <w:szCs w:val="21"/>
              </w:rPr>
            </w:pPr>
          </w:p>
        </w:tc>
        <w:tc>
          <w:tcPr>
            <w:tcW w:w="248" w:type="pct"/>
            <w:tcMar>
              <w:left w:w="28" w:type="dxa"/>
              <w:right w:w="28" w:type="dxa"/>
            </w:tcMar>
            <w:vAlign w:val="center"/>
          </w:tcPr>
          <w:p>
            <w:pPr>
              <w:spacing w:line="240" w:lineRule="auto"/>
              <w:ind w:firstLine="0" w:firstLineChars="0"/>
              <w:jc w:val="center"/>
              <w:rPr>
                <w:color w:val="auto"/>
                <w:sz w:val="21"/>
                <w:szCs w:val="21"/>
              </w:rPr>
            </w:pPr>
          </w:p>
        </w:tc>
        <w:tc>
          <w:tcPr>
            <w:tcW w:w="232" w:type="pct"/>
            <w:tcMar>
              <w:left w:w="28" w:type="dxa"/>
              <w:right w:w="28" w:type="dxa"/>
            </w:tcMar>
            <w:vAlign w:val="center"/>
          </w:tcPr>
          <w:p>
            <w:pPr>
              <w:spacing w:line="240" w:lineRule="auto"/>
              <w:ind w:firstLine="0" w:firstLineChars="0"/>
              <w:jc w:val="center"/>
              <w:rPr>
                <w:color w:val="auto"/>
                <w:sz w:val="21"/>
                <w:szCs w:val="21"/>
              </w:rPr>
            </w:pPr>
          </w:p>
        </w:tc>
        <w:tc>
          <w:tcPr>
            <w:tcW w:w="349" w:type="pct"/>
            <w:tcMar>
              <w:left w:w="28" w:type="dxa"/>
              <w:right w:w="28" w:type="dxa"/>
            </w:tcMar>
            <w:vAlign w:val="center"/>
          </w:tcPr>
          <w:p>
            <w:pPr>
              <w:spacing w:line="240" w:lineRule="auto"/>
              <w:ind w:firstLine="0" w:firstLineChars="0"/>
              <w:jc w:val="center"/>
              <w:rPr>
                <w:color w:val="auto"/>
                <w:sz w:val="21"/>
                <w:szCs w:val="21"/>
              </w:rPr>
            </w:pPr>
          </w:p>
        </w:tc>
        <w:tc>
          <w:tcPr>
            <w:tcW w:w="958" w:type="pct"/>
            <w:tcMar>
              <w:left w:w="28" w:type="dxa"/>
              <w:right w:w="28" w:type="dxa"/>
            </w:tcMar>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 w:type="pct"/>
            <w:vMerge w:val="continue"/>
            <w:tcMar>
              <w:left w:w="28" w:type="dxa"/>
              <w:right w:w="28" w:type="dxa"/>
            </w:tcMar>
            <w:vAlign w:val="center"/>
          </w:tcPr>
          <w:p>
            <w:pPr>
              <w:spacing w:line="240" w:lineRule="auto"/>
              <w:ind w:firstLine="0" w:firstLineChars="0"/>
              <w:jc w:val="center"/>
              <w:rPr>
                <w:color w:val="auto"/>
                <w:sz w:val="21"/>
                <w:szCs w:val="21"/>
              </w:rPr>
            </w:pPr>
          </w:p>
        </w:tc>
        <w:tc>
          <w:tcPr>
            <w:tcW w:w="325" w:type="pct"/>
            <w:tcMar>
              <w:left w:w="28" w:type="dxa"/>
              <w:right w:w="28" w:type="dxa"/>
            </w:tcMar>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催化剂</w:t>
            </w:r>
          </w:p>
        </w:tc>
        <w:tc>
          <w:tcPr>
            <w:tcW w:w="338" w:type="pct"/>
            <w:tcMar>
              <w:left w:w="28" w:type="dxa"/>
              <w:right w:w="28" w:type="dxa"/>
            </w:tcMar>
            <w:vAlign w:val="center"/>
          </w:tcPr>
          <w:p>
            <w:pPr>
              <w:spacing w:line="240" w:lineRule="auto"/>
              <w:ind w:firstLine="0" w:firstLineChars="0"/>
              <w:jc w:val="center"/>
              <w:rPr>
                <w:color w:val="auto"/>
                <w:sz w:val="21"/>
                <w:szCs w:val="21"/>
              </w:rPr>
            </w:pPr>
          </w:p>
        </w:tc>
        <w:tc>
          <w:tcPr>
            <w:tcW w:w="598" w:type="pct"/>
            <w:tcMar>
              <w:left w:w="28" w:type="dxa"/>
              <w:right w:w="28" w:type="dxa"/>
            </w:tcMar>
            <w:vAlign w:val="center"/>
          </w:tcPr>
          <w:p>
            <w:pPr>
              <w:spacing w:line="240" w:lineRule="auto"/>
              <w:ind w:firstLine="0" w:firstLineChars="0"/>
              <w:jc w:val="center"/>
              <w:rPr>
                <w:color w:val="auto"/>
                <w:sz w:val="21"/>
                <w:szCs w:val="21"/>
              </w:rPr>
            </w:pPr>
          </w:p>
        </w:tc>
        <w:tc>
          <w:tcPr>
            <w:tcW w:w="717" w:type="pct"/>
            <w:tcMar>
              <w:left w:w="28" w:type="dxa"/>
              <w:right w:w="28" w:type="dxa"/>
            </w:tcMar>
            <w:vAlign w:val="center"/>
          </w:tcPr>
          <w:p>
            <w:pPr>
              <w:spacing w:line="240" w:lineRule="auto"/>
              <w:ind w:firstLine="0" w:firstLineChars="0"/>
              <w:jc w:val="center"/>
              <w:rPr>
                <w:color w:val="auto"/>
                <w:sz w:val="21"/>
                <w:szCs w:val="21"/>
              </w:rPr>
            </w:pPr>
            <w:r>
              <w:rPr>
                <w:sz w:val="21"/>
              </w:rPr>
              <mc:AlternateContent>
                <mc:Choice Requires="wps">
                  <w:drawing>
                    <wp:anchor distT="0" distB="0" distL="114300" distR="114300" simplePos="0" relativeHeight="251825152" behindDoc="0" locked="0" layoutInCell="1" allowOverlap="1">
                      <wp:simplePos x="0" y="0"/>
                      <wp:positionH relativeFrom="column">
                        <wp:posOffset>213360</wp:posOffset>
                      </wp:positionH>
                      <wp:positionV relativeFrom="paragraph">
                        <wp:posOffset>45720</wp:posOffset>
                      </wp:positionV>
                      <wp:extent cx="2286000" cy="452755"/>
                      <wp:effectExtent l="0" t="0" r="0" b="4445"/>
                      <wp:wrapNone/>
                      <wp:docPr id="58" name="文本框 58"/>
                      <wp:cNvGraphicFramePr/>
                      <a:graphic xmlns:a="http://schemas.openxmlformats.org/drawingml/2006/main">
                        <a:graphicData uri="http://schemas.microsoft.com/office/word/2010/wordprocessingShape">
                          <wps:wsp>
                            <wps:cNvSpPr txBox="1"/>
                            <wps:spPr>
                              <a:xfrm>
                                <a:off x="0" y="0"/>
                                <a:ext cx="2286000" cy="4527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pPr>
                                  <w:r>
                                    <w:rPr>
                                      <w:rFonts w:hint="eastAsia"/>
                                    </w:rPr>
                                    <w:t>涉及企业商业机密不予公示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8pt;margin-top:3.6pt;height:35.65pt;width:180pt;z-index:251825152;mso-width-relative:page;mso-height-relative:page;" fillcolor="#FFFFFF [3201]" filled="t" stroked="f" coordsize="21600,21600" o:gfxdata="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GQI2CXSAAAABwEAAA8AAAAAAAAA&#10;AQAgAAAAIgAAAGRycy9kb3ducmV2LnhtbFBLAQIUABQAAAAIAIdO4kAr6b7EUAIAAJEEAAAOAAAA&#10;AAAAAAEAIAAAACEBAABkcnMvZTJvRG9jLnhtbFBLBQYAAAAABgAGAFkBAADjBQAAAAA=&#10;">
                      <v:fill on="t" focussize="0,0"/>
                      <v:stroke on="f" weight="0.5pt"/>
                      <v:imagedata o:title=""/>
                      <o:lock v:ext="edit" aspectratio="f"/>
                      <v:textbox>
                        <w:txbxContent>
                          <w:p>
                            <w:pPr>
                              <w:ind w:firstLine="0" w:firstLineChars="0"/>
                            </w:pPr>
                            <w:r>
                              <w:rPr>
                                <w:rFonts w:hint="eastAsia"/>
                              </w:rPr>
                              <w:t>涉及企业商业机密不予公示</w:t>
                            </w:r>
                          </w:p>
                        </w:txbxContent>
                      </v:textbox>
                    </v:shape>
                  </w:pict>
                </mc:Fallback>
              </mc:AlternateContent>
            </w:r>
          </w:p>
        </w:tc>
        <w:tc>
          <w:tcPr>
            <w:tcW w:w="356" w:type="pct"/>
            <w:tcMar>
              <w:left w:w="28" w:type="dxa"/>
              <w:right w:w="28" w:type="dxa"/>
            </w:tcMar>
            <w:vAlign w:val="center"/>
          </w:tcPr>
          <w:p>
            <w:pPr>
              <w:spacing w:line="240" w:lineRule="auto"/>
              <w:ind w:firstLine="0" w:firstLineChars="0"/>
              <w:jc w:val="center"/>
              <w:rPr>
                <w:color w:val="auto"/>
                <w:sz w:val="21"/>
                <w:szCs w:val="21"/>
              </w:rPr>
            </w:pPr>
          </w:p>
        </w:tc>
        <w:tc>
          <w:tcPr>
            <w:tcW w:w="409" w:type="pct"/>
            <w:tcMar>
              <w:left w:w="28" w:type="dxa"/>
              <w:right w:w="28" w:type="dxa"/>
            </w:tcMar>
            <w:vAlign w:val="center"/>
          </w:tcPr>
          <w:p>
            <w:pPr>
              <w:spacing w:line="240" w:lineRule="auto"/>
              <w:ind w:firstLine="0" w:firstLineChars="0"/>
              <w:jc w:val="center"/>
              <w:rPr>
                <w:color w:val="auto"/>
                <w:sz w:val="21"/>
                <w:szCs w:val="21"/>
              </w:rPr>
            </w:pPr>
          </w:p>
        </w:tc>
        <w:tc>
          <w:tcPr>
            <w:tcW w:w="343" w:type="pct"/>
            <w:tcMar>
              <w:left w:w="28" w:type="dxa"/>
              <w:right w:w="28" w:type="dxa"/>
            </w:tcMar>
            <w:vAlign w:val="center"/>
          </w:tcPr>
          <w:p>
            <w:pPr>
              <w:spacing w:line="240" w:lineRule="auto"/>
              <w:ind w:firstLine="0" w:firstLineChars="0"/>
              <w:jc w:val="center"/>
              <w:rPr>
                <w:color w:val="auto"/>
                <w:sz w:val="21"/>
                <w:szCs w:val="21"/>
              </w:rPr>
            </w:pPr>
          </w:p>
        </w:tc>
        <w:tc>
          <w:tcPr>
            <w:tcW w:w="248" w:type="pct"/>
            <w:tcMar>
              <w:left w:w="28" w:type="dxa"/>
              <w:right w:w="28" w:type="dxa"/>
            </w:tcMar>
            <w:vAlign w:val="center"/>
          </w:tcPr>
          <w:p>
            <w:pPr>
              <w:spacing w:line="240" w:lineRule="auto"/>
              <w:ind w:firstLine="0" w:firstLineChars="0"/>
              <w:jc w:val="center"/>
              <w:rPr>
                <w:color w:val="auto"/>
                <w:sz w:val="21"/>
                <w:szCs w:val="21"/>
              </w:rPr>
            </w:pPr>
          </w:p>
        </w:tc>
        <w:tc>
          <w:tcPr>
            <w:tcW w:w="232" w:type="pct"/>
            <w:tcMar>
              <w:left w:w="28" w:type="dxa"/>
              <w:right w:w="28" w:type="dxa"/>
            </w:tcMar>
            <w:vAlign w:val="center"/>
          </w:tcPr>
          <w:p>
            <w:pPr>
              <w:spacing w:line="240" w:lineRule="auto"/>
              <w:ind w:firstLine="0" w:firstLineChars="0"/>
              <w:jc w:val="center"/>
              <w:rPr>
                <w:color w:val="auto"/>
                <w:sz w:val="21"/>
                <w:szCs w:val="21"/>
              </w:rPr>
            </w:pPr>
          </w:p>
        </w:tc>
        <w:tc>
          <w:tcPr>
            <w:tcW w:w="349" w:type="pct"/>
            <w:tcMar>
              <w:left w:w="28" w:type="dxa"/>
              <w:right w:w="28" w:type="dxa"/>
            </w:tcMar>
            <w:vAlign w:val="center"/>
          </w:tcPr>
          <w:p>
            <w:pPr>
              <w:spacing w:line="240" w:lineRule="auto"/>
              <w:ind w:firstLine="0" w:firstLineChars="0"/>
              <w:jc w:val="center"/>
              <w:rPr>
                <w:color w:val="auto"/>
                <w:sz w:val="21"/>
                <w:szCs w:val="21"/>
              </w:rPr>
            </w:pPr>
          </w:p>
        </w:tc>
        <w:tc>
          <w:tcPr>
            <w:tcW w:w="958" w:type="pct"/>
            <w:tcMar>
              <w:left w:w="28" w:type="dxa"/>
              <w:right w:w="28" w:type="dxa"/>
            </w:tcMar>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 w:type="pct"/>
            <w:vMerge w:val="continue"/>
            <w:tcMar>
              <w:left w:w="28" w:type="dxa"/>
              <w:right w:w="28" w:type="dxa"/>
            </w:tcMar>
            <w:vAlign w:val="center"/>
          </w:tcPr>
          <w:p>
            <w:pPr>
              <w:spacing w:line="240" w:lineRule="auto"/>
              <w:ind w:firstLine="0" w:firstLineChars="0"/>
              <w:jc w:val="center"/>
              <w:rPr>
                <w:color w:val="auto"/>
                <w:sz w:val="21"/>
                <w:szCs w:val="21"/>
              </w:rPr>
            </w:pPr>
          </w:p>
        </w:tc>
        <w:tc>
          <w:tcPr>
            <w:tcW w:w="325" w:type="pct"/>
            <w:tcMar>
              <w:left w:w="28" w:type="dxa"/>
              <w:right w:w="28" w:type="dxa"/>
            </w:tcMar>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催化剂</w:t>
            </w:r>
          </w:p>
        </w:tc>
        <w:tc>
          <w:tcPr>
            <w:tcW w:w="338" w:type="pct"/>
            <w:tcMar>
              <w:left w:w="28" w:type="dxa"/>
              <w:right w:w="28" w:type="dxa"/>
            </w:tcMar>
            <w:vAlign w:val="center"/>
          </w:tcPr>
          <w:p>
            <w:pPr>
              <w:spacing w:line="240" w:lineRule="auto"/>
              <w:ind w:firstLine="0" w:firstLineChars="0"/>
              <w:jc w:val="center"/>
              <w:rPr>
                <w:color w:val="auto"/>
                <w:sz w:val="21"/>
                <w:szCs w:val="21"/>
              </w:rPr>
            </w:pPr>
          </w:p>
        </w:tc>
        <w:tc>
          <w:tcPr>
            <w:tcW w:w="598" w:type="pct"/>
            <w:tcMar>
              <w:left w:w="28" w:type="dxa"/>
              <w:right w:w="28" w:type="dxa"/>
            </w:tcMar>
            <w:vAlign w:val="center"/>
          </w:tcPr>
          <w:p>
            <w:pPr>
              <w:spacing w:line="240" w:lineRule="auto"/>
              <w:ind w:firstLine="0" w:firstLineChars="0"/>
              <w:jc w:val="center"/>
              <w:rPr>
                <w:color w:val="auto"/>
                <w:sz w:val="21"/>
                <w:szCs w:val="21"/>
              </w:rPr>
            </w:pPr>
          </w:p>
        </w:tc>
        <w:tc>
          <w:tcPr>
            <w:tcW w:w="717" w:type="pct"/>
            <w:tcMar>
              <w:left w:w="28" w:type="dxa"/>
              <w:right w:w="28" w:type="dxa"/>
            </w:tcMar>
            <w:vAlign w:val="center"/>
          </w:tcPr>
          <w:p>
            <w:pPr>
              <w:spacing w:line="240" w:lineRule="auto"/>
              <w:ind w:firstLine="0" w:firstLineChars="0"/>
              <w:jc w:val="center"/>
              <w:rPr>
                <w:color w:val="auto"/>
                <w:sz w:val="21"/>
                <w:szCs w:val="21"/>
              </w:rPr>
            </w:pPr>
          </w:p>
        </w:tc>
        <w:tc>
          <w:tcPr>
            <w:tcW w:w="356" w:type="pct"/>
            <w:tcMar>
              <w:left w:w="28" w:type="dxa"/>
              <w:right w:w="28" w:type="dxa"/>
            </w:tcMar>
            <w:vAlign w:val="center"/>
          </w:tcPr>
          <w:p>
            <w:pPr>
              <w:spacing w:line="240" w:lineRule="auto"/>
              <w:ind w:firstLine="0" w:firstLineChars="0"/>
              <w:jc w:val="center"/>
              <w:rPr>
                <w:color w:val="auto"/>
                <w:sz w:val="21"/>
                <w:szCs w:val="21"/>
              </w:rPr>
            </w:pPr>
          </w:p>
        </w:tc>
        <w:tc>
          <w:tcPr>
            <w:tcW w:w="409" w:type="pct"/>
            <w:tcMar>
              <w:left w:w="28" w:type="dxa"/>
              <w:right w:w="28" w:type="dxa"/>
            </w:tcMar>
            <w:vAlign w:val="center"/>
          </w:tcPr>
          <w:p>
            <w:pPr>
              <w:spacing w:line="240" w:lineRule="auto"/>
              <w:ind w:firstLine="0" w:firstLineChars="0"/>
              <w:jc w:val="center"/>
              <w:rPr>
                <w:color w:val="auto"/>
                <w:sz w:val="21"/>
                <w:szCs w:val="21"/>
              </w:rPr>
            </w:pPr>
          </w:p>
        </w:tc>
        <w:tc>
          <w:tcPr>
            <w:tcW w:w="343" w:type="pct"/>
            <w:tcMar>
              <w:left w:w="28" w:type="dxa"/>
              <w:right w:w="28" w:type="dxa"/>
            </w:tcMar>
            <w:vAlign w:val="center"/>
          </w:tcPr>
          <w:p>
            <w:pPr>
              <w:spacing w:line="240" w:lineRule="auto"/>
              <w:ind w:firstLine="0" w:firstLineChars="0"/>
              <w:jc w:val="center"/>
              <w:rPr>
                <w:color w:val="auto"/>
                <w:sz w:val="21"/>
                <w:szCs w:val="21"/>
              </w:rPr>
            </w:pPr>
          </w:p>
        </w:tc>
        <w:tc>
          <w:tcPr>
            <w:tcW w:w="248" w:type="pct"/>
            <w:tcMar>
              <w:left w:w="28" w:type="dxa"/>
              <w:right w:w="28" w:type="dxa"/>
            </w:tcMar>
            <w:vAlign w:val="center"/>
          </w:tcPr>
          <w:p>
            <w:pPr>
              <w:spacing w:line="240" w:lineRule="auto"/>
              <w:ind w:firstLine="0" w:firstLineChars="0"/>
              <w:jc w:val="center"/>
              <w:rPr>
                <w:color w:val="auto"/>
                <w:sz w:val="21"/>
                <w:szCs w:val="21"/>
              </w:rPr>
            </w:pPr>
          </w:p>
        </w:tc>
        <w:tc>
          <w:tcPr>
            <w:tcW w:w="232" w:type="pct"/>
            <w:tcMar>
              <w:left w:w="28" w:type="dxa"/>
              <w:right w:w="28" w:type="dxa"/>
            </w:tcMar>
            <w:vAlign w:val="center"/>
          </w:tcPr>
          <w:p>
            <w:pPr>
              <w:spacing w:line="240" w:lineRule="auto"/>
              <w:ind w:firstLine="0" w:firstLineChars="0"/>
              <w:jc w:val="center"/>
              <w:rPr>
                <w:color w:val="auto"/>
                <w:sz w:val="21"/>
                <w:szCs w:val="21"/>
              </w:rPr>
            </w:pPr>
          </w:p>
        </w:tc>
        <w:tc>
          <w:tcPr>
            <w:tcW w:w="349" w:type="pct"/>
            <w:tcMar>
              <w:left w:w="28" w:type="dxa"/>
              <w:right w:w="28" w:type="dxa"/>
            </w:tcMar>
            <w:vAlign w:val="center"/>
          </w:tcPr>
          <w:p>
            <w:pPr>
              <w:spacing w:line="240" w:lineRule="auto"/>
              <w:ind w:firstLine="0" w:firstLineChars="0"/>
              <w:jc w:val="center"/>
              <w:rPr>
                <w:color w:val="auto"/>
                <w:sz w:val="21"/>
                <w:szCs w:val="21"/>
              </w:rPr>
            </w:pPr>
          </w:p>
        </w:tc>
        <w:tc>
          <w:tcPr>
            <w:tcW w:w="958" w:type="pct"/>
            <w:tcMar>
              <w:left w:w="28" w:type="dxa"/>
              <w:right w:w="28" w:type="dxa"/>
            </w:tcMar>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 w:type="pct"/>
            <w:vMerge w:val="continue"/>
            <w:tcMar>
              <w:left w:w="28" w:type="dxa"/>
              <w:right w:w="28" w:type="dxa"/>
            </w:tcMar>
            <w:vAlign w:val="center"/>
          </w:tcPr>
          <w:p>
            <w:pPr>
              <w:spacing w:line="240" w:lineRule="auto"/>
              <w:ind w:firstLine="0" w:firstLineChars="0"/>
              <w:jc w:val="center"/>
              <w:rPr>
                <w:color w:val="auto"/>
                <w:sz w:val="21"/>
                <w:szCs w:val="21"/>
              </w:rPr>
            </w:pPr>
          </w:p>
        </w:tc>
        <w:tc>
          <w:tcPr>
            <w:tcW w:w="325" w:type="pct"/>
            <w:tcMar>
              <w:left w:w="28" w:type="dxa"/>
              <w:right w:w="28" w:type="dxa"/>
            </w:tcMar>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催化剂</w:t>
            </w:r>
          </w:p>
        </w:tc>
        <w:tc>
          <w:tcPr>
            <w:tcW w:w="338" w:type="pct"/>
            <w:tcMar>
              <w:left w:w="28" w:type="dxa"/>
              <w:right w:w="28" w:type="dxa"/>
            </w:tcMar>
            <w:vAlign w:val="center"/>
          </w:tcPr>
          <w:p>
            <w:pPr>
              <w:spacing w:line="240" w:lineRule="auto"/>
              <w:ind w:firstLine="0" w:firstLineChars="0"/>
              <w:jc w:val="center"/>
              <w:rPr>
                <w:color w:val="auto"/>
                <w:sz w:val="21"/>
                <w:szCs w:val="21"/>
              </w:rPr>
            </w:pPr>
          </w:p>
        </w:tc>
        <w:tc>
          <w:tcPr>
            <w:tcW w:w="598" w:type="pct"/>
            <w:tcMar>
              <w:left w:w="28" w:type="dxa"/>
              <w:right w:w="28" w:type="dxa"/>
            </w:tcMar>
            <w:vAlign w:val="center"/>
          </w:tcPr>
          <w:p>
            <w:pPr>
              <w:spacing w:line="240" w:lineRule="auto"/>
              <w:ind w:firstLine="0" w:firstLineChars="0"/>
              <w:jc w:val="center"/>
              <w:rPr>
                <w:color w:val="auto"/>
                <w:sz w:val="21"/>
                <w:szCs w:val="21"/>
              </w:rPr>
            </w:pPr>
          </w:p>
        </w:tc>
        <w:tc>
          <w:tcPr>
            <w:tcW w:w="717" w:type="pct"/>
            <w:tcMar>
              <w:left w:w="28" w:type="dxa"/>
              <w:right w:w="28" w:type="dxa"/>
            </w:tcMar>
            <w:vAlign w:val="center"/>
          </w:tcPr>
          <w:p>
            <w:pPr>
              <w:spacing w:line="240" w:lineRule="auto"/>
              <w:ind w:firstLine="0" w:firstLineChars="0"/>
              <w:jc w:val="center"/>
              <w:rPr>
                <w:color w:val="auto"/>
                <w:sz w:val="21"/>
                <w:szCs w:val="21"/>
              </w:rPr>
            </w:pPr>
          </w:p>
        </w:tc>
        <w:tc>
          <w:tcPr>
            <w:tcW w:w="356" w:type="pct"/>
            <w:tcMar>
              <w:left w:w="28" w:type="dxa"/>
              <w:right w:w="28" w:type="dxa"/>
            </w:tcMar>
            <w:vAlign w:val="center"/>
          </w:tcPr>
          <w:p>
            <w:pPr>
              <w:spacing w:line="240" w:lineRule="auto"/>
              <w:ind w:firstLine="0" w:firstLineChars="0"/>
              <w:jc w:val="center"/>
              <w:rPr>
                <w:color w:val="auto"/>
                <w:sz w:val="21"/>
                <w:szCs w:val="21"/>
              </w:rPr>
            </w:pPr>
          </w:p>
        </w:tc>
        <w:tc>
          <w:tcPr>
            <w:tcW w:w="409" w:type="pct"/>
            <w:tcMar>
              <w:left w:w="28" w:type="dxa"/>
              <w:right w:w="28" w:type="dxa"/>
            </w:tcMar>
            <w:vAlign w:val="center"/>
          </w:tcPr>
          <w:p>
            <w:pPr>
              <w:spacing w:line="240" w:lineRule="auto"/>
              <w:ind w:firstLine="0" w:firstLineChars="0"/>
              <w:jc w:val="center"/>
              <w:rPr>
                <w:color w:val="auto"/>
                <w:sz w:val="21"/>
                <w:szCs w:val="21"/>
              </w:rPr>
            </w:pPr>
          </w:p>
        </w:tc>
        <w:tc>
          <w:tcPr>
            <w:tcW w:w="343" w:type="pct"/>
            <w:tcMar>
              <w:left w:w="28" w:type="dxa"/>
              <w:right w:w="28" w:type="dxa"/>
            </w:tcMar>
            <w:vAlign w:val="center"/>
          </w:tcPr>
          <w:p>
            <w:pPr>
              <w:spacing w:line="240" w:lineRule="auto"/>
              <w:ind w:firstLine="0" w:firstLineChars="0"/>
              <w:jc w:val="center"/>
              <w:rPr>
                <w:color w:val="auto"/>
                <w:sz w:val="21"/>
                <w:szCs w:val="21"/>
              </w:rPr>
            </w:pPr>
          </w:p>
        </w:tc>
        <w:tc>
          <w:tcPr>
            <w:tcW w:w="248" w:type="pct"/>
            <w:tcMar>
              <w:left w:w="28" w:type="dxa"/>
              <w:right w:w="28" w:type="dxa"/>
            </w:tcMar>
            <w:vAlign w:val="center"/>
          </w:tcPr>
          <w:p>
            <w:pPr>
              <w:spacing w:line="240" w:lineRule="auto"/>
              <w:ind w:firstLine="0" w:firstLineChars="0"/>
              <w:jc w:val="center"/>
              <w:rPr>
                <w:color w:val="auto"/>
                <w:sz w:val="21"/>
                <w:szCs w:val="21"/>
              </w:rPr>
            </w:pPr>
          </w:p>
        </w:tc>
        <w:tc>
          <w:tcPr>
            <w:tcW w:w="232" w:type="pct"/>
            <w:tcMar>
              <w:left w:w="28" w:type="dxa"/>
              <w:right w:w="28" w:type="dxa"/>
            </w:tcMar>
            <w:vAlign w:val="center"/>
          </w:tcPr>
          <w:p>
            <w:pPr>
              <w:spacing w:line="240" w:lineRule="auto"/>
              <w:ind w:firstLine="0" w:firstLineChars="0"/>
              <w:jc w:val="center"/>
              <w:rPr>
                <w:color w:val="auto"/>
                <w:sz w:val="21"/>
                <w:szCs w:val="21"/>
              </w:rPr>
            </w:pPr>
          </w:p>
        </w:tc>
        <w:tc>
          <w:tcPr>
            <w:tcW w:w="349" w:type="pct"/>
            <w:tcMar>
              <w:left w:w="28" w:type="dxa"/>
              <w:right w:w="28" w:type="dxa"/>
            </w:tcMar>
            <w:vAlign w:val="center"/>
          </w:tcPr>
          <w:p>
            <w:pPr>
              <w:spacing w:line="240" w:lineRule="auto"/>
              <w:ind w:firstLine="0" w:firstLineChars="0"/>
              <w:jc w:val="center"/>
              <w:rPr>
                <w:color w:val="auto"/>
                <w:sz w:val="21"/>
                <w:szCs w:val="21"/>
              </w:rPr>
            </w:pPr>
          </w:p>
        </w:tc>
        <w:tc>
          <w:tcPr>
            <w:tcW w:w="958" w:type="pct"/>
            <w:tcMar>
              <w:left w:w="28" w:type="dxa"/>
              <w:right w:w="28" w:type="dxa"/>
            </w:tcMar>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 w:type="pct"/>
            <w:vMerge w:val="continue"/>
            <w:tcMar>
              <w:left w:w="28" w:type="dxa"/>
              <w:right w:w="28" w:type="dxa"/>
            </w:tcMar>
            <w:vAlign w:val="center"/>
          </w:tcPr>
          <w:p>
            <w:pPr>
              <w:spacing w:line="240" w:lineRule="auto"/>
              <w:ind w:firstLine="0" w:firstLineChars="0"/>
              <w:jc w:val="center"/>
              <w:rPr>
                <w:color w:val="auto"/>
                <w:sz w:val="21"/>
                <w:szCs w:val="21"/>
              </w:rPr>
            </w:pPr>
          </w:p>
        </w:tc>
        <w:tc>
          <w:tcPr>
            <w:tcW w:w="325" w:type="pct"/>
            <w:tcMar>
              <w:left w:w="28" w:type="dxa"/>
              <w:right w:w="28" w:type="dxa"/>
            </w:tcMar>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催化剂</w:t>
            </w:r>
          </w:p>
        </w:tc>
        <w:tc>
          <w:tcPr>
            <w:tcW w:w="338" w:type="pct"/>
            <w:tcMar>
              <w:left w:w="28" w:type="dxa"/>
              <w:right w:w="28" w:type="dxa"/>
            </w:tcMar>
            <w:vAlign w:val="center"/>
          </w:tcPr>
          <w:p>
            <w:pPr>
              <w:spacing w:line="240" w:lineRule="auto"/>
              <w:ind w:firstLine="0" w:firstLineChars="0"/>
              <w:jc w:val="center"/>
              <w:rPr>
                <w:color w:val="auto"/>
                <w:sz w:val="21"/>
                <w:szCs w:val="21"/>
              </w:rPr>
            </w:pPr>
          </w:p>
        </w:tc>
        <w:tc>
          <w:tcPr>
            <w:tcW w:w="598" w:type="pct"/>
            <w:tcMar>
              <w:left w:w="28" w:type="dxa"/>
              <w:right w:w="28" w:type="dxa"/>
            </w:tcMar>
            <w:vAlign w:val="center"/>
          </w:tcPr>
          <w:p>
            <w:pPr>
              <w:spacing w:line="240" w:lineRule="auto"/>
              <w:ind w:firstLine="0" w:firstLineChars="0"/>
              <w:jc w:val="center"/>
              <w:rPr>
                <w:color w:val="auto"/>
                <w:sz w:val="21"/>
                <w:szCs w:val="21"/>
              </w:rPr>
            </w:pPr>
          </w:p>
        </w:tc>
        <w:tc>
          <w:tcPr>
            <w:tcW w:w="717" w:type="pct"/>
            <w:tcMar>
              <w:left w:w="28" w:type="dxa"/>
              <w:right w:w="28" w:type="dxa"/>
            </w:tcMar>
            <w:vAlign w:val="center"/>
          </w:tcPr>
          <w:p>
            <w:pPr>
              <w:spacing w:line="240" w:lineRule="auto"/>
              <w:ind w:firstLine="0" w:firstLineChars="0"/>
              <w:jc w:val="center"/>
              <w:rPr>
                <w:color w:val="auto"/>
              </w:rPr>
            </w:pPr>
          </w:p>
        </w:tc>
        <w:tc>
          <w:tcPr>
            <w:tcW w:w="356" w:type="pct"/>
            <w:tcMar>
              <w:left w:w="28" w:type="dxa"/>
              <w:right w:w="28" w:type="dxa"/>
            </w:tcMar>
            <w:vAlign w:val="center"/>
          </w:tcPr>
          <w:p>
            <w:pPr>
              <w:spacing w:line="240" w:lineRule="auto"/>
              <w:ind w:firstLine="0" w:firstLineChars="0"/>
              <w:jc w:val="center"/>
              <w:rPr>
                <w:color w:val="auto"/>
                <w:sz w:val="21"/>
                <w:szCs w:val="21"/>
              </w:rPr>
            </w:pPr>
          </w:p>
        </w:tc>
        <w:tc>
          <w:tcPr>
            <w:tcW w:w="409" w:type="pct"/>
            <w:tcMar>
              <w:left w:w="28" w:type="dxa"/>
              <w:right w:w="28" w:type="dxa"/>
            </w:tcMar>
            <w:vAlign w:val="center"/>
          </w:tcPr>
          <w:p>
            <w:pPr>
              <w:spacing w:line="240" w:lineRule="auto"/>
              <w:ind w:firstLine="0" w:firstLineChars="0"/>
              <w:jc w:val="center"/>
              <w:rPr>
                <w:color w:val="auto"/>
                <w:sz w:val="21"/>
                <w:szCs w:val="21"/>
              </w:rPr>
            </w:pPr>
          </w:p>
        </w:tc>
        <w:tc>
          <w:tcPr>
            <w:tcW w:w="343" w:type="pct"/>
            <w:tcMar>
              <w:left w:w="28" w:type="dxa"/>
              <w:right w:w="28" w:type="dxa"/>
            </w:tcMar>
            <w:vAlign w:val="center"/>
          </w:tcPr>
          <w:p>
            <w:pPr>
              <w:spacing w:line="240" w:lineRule="auto"/>
              <w:ind w:firstLine="0" w:firstLineChars="0"/>
              <w:jc w:val="center"/>
              <w:rPr>
                <w:color w:val="auto"/>
                <w:sz w:val="21"/>
                <w:szCs w:val="21"/>
              </w:rPr>
            </w:pPr>
          </w:p>
        </w:tc>
        <w:tc>
          <w:tcPr>
            <w:tcW w:w="248" w:type="pct"/>
            <w:tcMar>
              <w:left w:w="28" w:type="dxa"/>
              <w:right w:w="28" w:type="dxa"/>
            </w:tcMar>
            <w:vAlign w:val="center"/>
          </w:tcPr>
          <w:p>
            <w:pPr>
              <w:spacing w:line="240" w:lineRule="auto"/>
              <w:ind w:firstLine="0" w:firstLineChars="0"/>
              <w:jc w:val="center"/>
              <w:rPr>
                <w:color w:val="auto"/>
                <w:sz w:val="21"/>
                <w:szCs w:val="21"/>
              </w:rPr>
            </w:pPr>
          </w:p>
        </w:tc>
        <w:tc>
          <w:tcPr>
            <w:tcW w:w="232" w:type="pct"/>
            <w:tcMar>
              <w:left w:w="28" w:type="dxa"/>
              <w:right w:w="28" w:type="dxa"/>
            </w:tcMar>
            <w:vAlign w:val="center"/>
          </w:tcPr>
          <w:p>
            <w:pPr>
              <w:spacing w:line="240" w:lineRule="auto"/>
              <w:ind w:firstLine="0" w:firstLineChars="0"/>
              <w:jc w:val="center"/>
              <w:rPr>
                <w:color w:val="auto"/>
                <w:sz w:val="21"/>
                <w:szCs w:val="21"/>
              </w:rPr>
            </w:pPr>
          </w:p>
        </w:tc>
        <w:tc>
          <w:tcPr>
            <w:tcW w:w="349" w:type="pct"/>
            <w:tcMar>
              <w:left w:w="28" w:type="dxa"/>
              <w:right w:w="28" w:type="dxa"/>
            </w:tcMar>
            <w:vAlign w:val="center"/>
          </w:tcPr>
          <w:p>
            <w:pPr>
              <w:spacing w:line="240" w:lineRule="auto"/>
              <w:ind w:firstLine="0" w:firstLineChars="0"/>
              <w:jc w:val="center"/>
              <w:rPr>
                <w:color w:val="auto"/>
                <w:sz w:val="21"/>
                <w:szCs w:val="21"/>
              </w:rPr>
            </w:pPr>
          </w:p>
        </w:tc>
        <w:tc>
          <w:tcPr>
            <w:tcW w:w="958" w:type="pct"/>
            <w:tcMar>
              <w:left w:w="28" w:type="dxa"/>
              <w:right w:w="28" w:type="dxa"/>
            </w:tcMar>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 w:type="pct"/>
            <w:vMerge w:val="restart"/>
            <w:tcMar>
              <w:left w:w="28" w:type="dxa"/>
              <w:right w:w="28" w:type="dxa"/>
            </w:tcMar>
            <w:vAlign w:val="center"/>
          </w:tcPr>
          <w:p>
            <w:pPr>
              <w:spacing w:line="240" w:lineRule="auto"/>
              <w:ind w:firstLine="0" w:firstLineChars="0"/>
              <w:jc w:val="center"/>
              <w:rPr>
                <w:color w:val="auto"/>
                <w:sz w:val="21"/>
                <w:szCs w:val="21"/>
              </w:rPr>
            </w:pPr>
            <w:r>
              <w:rPr>
                <w:color w:val="auto"/>
                <w:sz w:val="21"/>
                <w:szCs w:val="21"/>
              </w:rPr>
              <w:t>产品</w:t>
            </w:r>
          </w:p>
        </w:tc>
        <w:tc>
          <w:tcPr>
            <w:tcW w:w="325" w:type="pct"/>
            <w:tcMar>
              <w:left w:w="28"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t>丙交酯</w:t>
            </w:r>
          </w:p>
        </w:tc>
        <w:tc>
          <w:tcPr>
            <w:tcW w:w="338" w:type="pct"/>
            <w:tcMar>
              <w:left w:w="28"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t>/</w:t>
            </w:r>
          </w:p>
        </w:tc>
        <w:tc>
          <w:tcPr>
            <w:tcW w:w="598" w:type="pct"/>
            <w:tcMar>
              <w:left w:w="28" w:type="dxa"/>
              <w:right w:w="28" w:type="dxa"/>
            </w:tcMar>
            <w:vAlign w:val="center"/>
          </w:tcPr>
          <w:p>
            <w:pPr>
              <w:spacing w:line="240" w:lineRule="auto"/>
              <w:ind w:firstLine="0" w:firstLineChars="0"/>
              <w:jc w:val="center"/>
              <w:rPr>
                <w:color w:val="auto"/>
                <w:sz w:val="21"/>
                <w:szCs w:val="21"/>
              </w:rPr>
            </w:pPr>
            <w:r>
              <w:rPr>
                <w:color w:val="auto"/>
                <w:sz w:val="21"/>
                <w:szCs w:val="21"/>
              </w:rPr>
              <w:t>C</w:t>
            </w:r>
            <w:r>
              <w:rPr>
                <w:color w:val="auto"/>
                <w:sz w:val="21"/>
                <w:szCs w:val="21"/>
                <w:vertAlign w:val="subscript"/>
              </w:rPr>
              <w:t>6</w:t>
            </w:r>
            <w:r>
              <w:rPr>
                <w:color w:val="auto"/>
                <w:sz w:val="21"/>
                <w:szCs w:val="21"/>
              </w:rPr>
              <w:t>H</w:t>
            </w:r>
            <w:r>
              <w:rPr>
                <w:color w:val="auto"/>
                <w:sz w:val="21"/>
                <w:szCs w:val="21"/>
                <w:vertAlign w:val="subscript"/>
              </w:rPr>
              <w:t>8</w:t>
            </w:r>
            <w:r>
              <w:rPr>
                <w:color w:val="auto"/>
                <w:sz w:val="21"/>
                <w:szCs w:val="21"/>
              </w:rPr>
              <w:t>O</w:t>
            </w:r>
            <w:r>
              <w:rPr>
                <w:color w:val="auto"/>
                <w:sz w:val="21"/>
                <w:szCs w:val="21"/>
                <w:vertAlign w:val="subscript"/>
              </w:rPr>
              <w:t>4</w:t>
            </w:r>
          </w:p>
        </w:tc>
        <w:tc>
          <w:tcPr>
            <w:tcW w:w="717" w:type="pct"/>
            <w:tcMar>
              <w:left w:w="28"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drawing>
                <wp:inline distT="0" distB="0" distL="114300" distR="114300">
                  <wp:extent cx="1010920" cy="644525"/>
                  <wp:effectExtent l="0" t="0" r="17780" b="3175"/>
                  <wp:docPr id="28" name="图片 28" descr="1651891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651891312(1)"/>
                          <pic:cNvPicPr>
                            <a:picLocks noChangeAspect="1"/>
                          </pic:cNvPicPr>
                        </pic:nvPicPr>
                        <pic:blipFill>
                          <a:blip r:embed="rId62"/>
                          <a:stretch>
                            <a:fillRect/>
                          </a:stretch>
                        </pic:blipFill>
                        <pic:spPr>
                          <a:xfrm>
                            <a:off x="0" y="0"/>
                            <a:ext cx="1010920" cy="644525"/>
                          </a:xfrm>
                          <a:prstGeom prst="rect">
                            <a:avLst/>
                          </a:prstGeom>
                        </pic:spPr>
                      </pic:pic>
                    </a:graphicData>
                  </a:graphic>
                </wp:inline>
              </w:drawing>
            </w:r>
          </w:p>
        </w:tc>
        <w:tc>
          <w:tcPr>
            <w:tcW w:w="356" w:type="pct"/>
            <w:tcMar>
              <w:left w:w="28" w:type="dxa"/>
              <w:right w:w="28" w:type="dxa"/>
            </w:tcMar>
            <w:vAlign w:val="center"/>
          </w:tcPr>
          <w:p>
            <w:pPr>
              <w:spacing w:line="240" w:lineRule="auto"/>
              <w:ind w:firstLine="0" w:firstLineChars="0"/>
              <w:jc w:val="center"/>
              <w:rPr>
                <w:color w:val="auto"/>
                <w:sz w:val="21"/>
                <w:szCs w:val="21"/>
              </w:rPr>
            </w:pPr>
          </w:p>
          <w:p>
            <w:pPr>
              <w:spacing w:line="240" w:lineRule="auto"/>
              <w:ind w:firstLine="0" w:firstLineChars="0"/>
              <w:jc w:val="center"/>
              <w:rPr>
                <w:color w:val="auto"/>
                <w:sz w:val="21"/>
                <w:szCs w:val="21"/>
              </w:rPr>
            </w:pPr>
            <w:r>
              <w:rPr>
                <w:color w:val="auto"/>
                <w:sz w:val="21"/>
                <w:szCs w:val="21"/>
              </w:rPr>
              <w:t>144</w:t>
            </w:r>
          </w:p>
        </w:tc>
        <w:tc>
          <w:tcPr>
            <w:tcW w:w="409" w:type="pct"/>
            <w:tcMar>
              <w:left w:w="28" w:type="dxa"/>
              <w:right w:w="28" w:type="dxa"/>
            </w:tcMar>
            <w:vAlign w:val="center"/>
          </w:tcPr>
          <w:p>
            <w:pPr>
              <w:spacing w:line="240" w:lineRule="auto"/>
              <w:ind w:firstLine="0" w:firstLineChars="0"/>
              <w:jc w:val="center"/>
              <w:rPr>
                <w:color w:val="auto"/>
                <w:sz w:val="21"/>
                <w:szCs w:val="21"/>
              </w:rPr>
            </w:pPr>
          </w:p>
          <w:p>
            <w:pPr>
              <w:spacing w:line="240" w:lineRule="auto"/>
              <w:ind w:firstLine="0" w:firstLineChars="0"/>
              <w:jc w:val="center"/>
              <w:rPr>
                <w:color w:val="auto"/>
                <w:sz w:val="21"/>
                <w:szCs w:val="21"/>
              </w:rPr>
            </w:pPr>
            <w:r>
              <w:rPr>
                <w:color w:val="auto"/>
                <w:sz w:val="21"/>
                <w:szCs w:val="21"/>
              </w:rPr>
              <w:t>无色透明片状或针状晶体</w:t>
            </w:r>
          </w:p>
        </w:tc>
        <w:tc>
          <w:tcPr>
            <w:tcW w:w="343" w:type="pct"/>
            <w:tcMar>
              <w:left w:w="28" w:type="dxa"/>
              <w:right w:w="28" w:type="dxa"/>
            </w:tcMar>
            <w:vAlign w:val="center"/>
          </w:tcPr>
          <w:p>
            <w:pPr>
              <w:spacing w:line="240" w:lineRule="auto"/>
              <w:ind w:firstLine="0" w:firstLineChars="0"/>
              <w:jc w:val="center"/>
              <w:rPr>
                <w:color w:val="auto"/>
                <w:sz w:val="21"/>
                <w:szCs w:val="21"/>
              </w:rPr>
            </w:pPr>
          </w:p>
          <w:p>
            <w:pPr>
              <w:spacing w:line="240" w:lineRule="auto"/>
              <w:ind w:firstLine="0" w:firstLineChars="0"/>
              <w:jc w:val="center"/>
              <w:rPr>
                <w:color w:val="auto"/>
                <w:sz w:val="21"/>
                <w:szCs w:val="21"/>
              </w:rPr>
            </w:pPr>
            <w:r>
              <w:rPr>
                <w:color w:val="auto"/>
                <w:sz w:val="21"/>
                <w:szCs w:val="21"/>
              </w:rPr>
              <w:t>93 至 100 ℃</w:t>
            </w:r>
          </w:p>
        </w:tc>
        <w:tc>
          <w:tcPr>
            <w:tcW w:w="248" w:type="pct"/>
            <w:tcMar>
              <w:left w:w="28" w:type="dxa"/>
              <w:right w:w="28" w:type="dxa"/>
            </w:tcMar>
            <w:vAlign w:val="center"/>
          </w:tcPr>
          <w:p>
            <w:pPr>
              <w:spacing w:line="240" w:lineRule="auto"/>
              <w:ind w:firstLine="0" w:firstLineChars="0"/>
              <w:jc w:val="center"/>
              <w:rPr>
                <w:color w:val="auto"/>
                <w:sz w:val="21"/>
                <w:szCs w:val="21"/>
              </w:rPr>
            </w:pPr>
          </w:p>
          <w:p>
            <w:pPr>
              <w:spacing w:line="240" w:lineRule="auto"/>
              <w:ind w:firstLine="0" w:firstLineChars="0"/>
              <w:jc w:val="center"/>
              <w:rPr>
                <w:color w:val="auto"/>
                <w:sz w:val="21"/>
                <w:szCs w:val="21"/>
              </w:rPr>
            </w:pPr>
            <w:r>
              <w:rPr>
                <w:color w:val="auto"/>
                <w:sz w:val="21"/>
                <w:szCs w:val="21"/>
              </w:rPr>
              <w:t>216 ℃</w:t>
            </w:r>
          </w:p>
        </w:tc>
        <w:tc>
          <w:tcPr>
            <w:tcW w:w="232" w:type="pct"/>
            <w:tcMar>
              <w:left w:w="28"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t>/</w:t>
            </w:r>
          </w:p>
        </w:tc>
        <w:tc>
          <w:tcPr>
            <w:tcW w:w="349" w:type="pct"/>
            <w:tcMar>
              <w:left w:w="28"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t>/</w:t>
            </w:r>
          </w:p>
        </w:tc>
        <w:tc>
          <w:tcPr>
            <w:tcW w:w="958" w:type="pct"/>
            <w:tcMar>
              <w:left w:w="28" w:type="dxa"/>
              <w:right w:w="28" w:type="dxa"/>
            </w:tcMar>
            <w:vAlign w:val="center"/>
          </w:tcPr>
          <w:p>
            <w:pPr>
              <w:spacing w:line="240" w:lineRule="auto"/>
              <w:ind w:firstLine="0" w:firstLineChars="0"/>
              <w:jc w:val="center"/>
              <w:rPr>
                <w:color w:val="auto"/>
                <w:sz w:val="21"/>
                <w:szCs w:val="21"/>
              </w:rPr>
            </w:pPr>
            <w:r>
              <w:rPr>
                <w:color w:val="auto"/>
                <w:sz w:val="21"/>
                <w:szCs w:val="21"/>
              </w:rPr>
              <w:t>在水中缓慢</w:t>
            </w:r>
            <w:r>
              <w:rPr>
                <w:color w:val="auto"/>
              </w:rPr>
              <w:fldChar w:fldCharType="begin"/>
            </w:r>
            <w:r>
              <w:rPr>
                <w:color w:val="auto"/>
              </w:rPr>
              <w:instrText xml:space="preserve"> HYPERLINK "https://baike.baidu.com/item/%E6%B0%B4%E8%A7%A3/378219" \t "https://baike.baidu.com/item/%E4%B8%99%E4%BA%A4%E9%85%AF/_blank" </w:instrText>
            </w:r>
            <w:r>
              <w:rPr>
                <w:color w:val="auto"/>
              </w:rPr>
              <w:fldChar w:fldCharType="separate"/>
            </w:r>
            <w:r>
              <w:rPr>
                <w:color w:val="auto"/>
                <w:sz w:val="21"/>
                <w:szCs w:val="21"/>
              </w:rPr>
              <w:t>水解</w:t>
            </w:r>
            <w:r>
              <w:rPr>
                <w:color w:val="auto"/>
                <w:sz w:val="21"/>
                <w:szCs w:val="21"/>
              </w:rPr>
              <w:fldChar w:fldCharType="end"/>
            </w:r>
            <w:r>
              <w:rPr>
                <w:color w:val="auto"/>
                <w:sz w:val="21"/>
                <w:szCs w:val="21"/>
              </w:rPr>
              <w:t>，水解的产物依次为乳酸低聚体、乳酸单体，完全降解后的产物为水和</w:t>
            </w:r>
            <w:r>
              <w:rPr>
                <w:color w:val="auto"/>
              </w:rPr>
              <w:fldChar w:fldCharType="begin"/>
            </w:r>
            <w:r>
              <w:rPr>
                <w:color w:val="auto"/>
              </w:rPr>
              <w:instrText xml:space="preserve"> HYPERLINK "https://baike.baidu.com/item/%E4%BA%8C%E6%B0%A7%E5%8C%96%E7%A2%B3/349143" \t "https://baike.baidu.com/item/%E4%B8%99%E4%BA%A4%E9%85%AF/_blank" </w:instrText>
            </w:r>
            <w:r>
              <w:rPr>
                <w:color w:val="auto"/>
              </w:rPr>
              <w:fldChar w:fldCharType="separate"/>
            </w:r>
            <w:r>
              <w:rPr>
                <w:color w:val="auto"/>
                <w:sz w:val="21"/>
                <w:szCs w:val="21"/>
              </w:rPr>
              <w:t>二氧化碳</w:t>
            </w:r>
            <w:r>
              <w:rPr>
                <w:color w:val="auto"/>
                <w:sz w:val="21"/>
                <w:szCs w:val="21"/>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 w:type="pct"/>
            <w:vMerge w:val="continue"/>
            <w:tcMar>
              <w:left w:w="28" w:type="dxa"/>
              <w:right w:w="28" w:type="dxa"/>
            </w:tcMar>
            <w:vAlign w:val="center"/>
          </w:tcPr>
          <w:p>
            <w:pPr>
              <w:spacing w:line="240" w:lineRule="auto"/>
              <w:ind w:firstLine="0" w:firstLineChars="0"/>
              <w:jc w:val="center"/>
              <w:rPr>
                <w:color w:val="auto"/>
                <w:sz w:val="21"/>
                <w:szCs w:val="21"/>
              </w:rPr>
            </w:pPr>
          </w:p>
        </w:tc>
        <w:tc>
          <w:tcPr>
            <w:tcW w:w="325" w:type="pct"/>
            <w:tcMar>
              <w:left w:w="28" w:type="dxa"/>
              <w:right w:w="28" w:type="dxa"/>
            </w:tcMar>
            <w:vAlign w:val="center"/>
          </w:tcPr>
          <w:p>
            <w:pPr>
              <w:spacing w:line="240" w:lineRule="auto"/>
              <w:ind w:firstLine="0" w:firstLineChars="0"/>
              <w:jc w:val="center"/>
              <w:rPr>
                <w:color w:val="auto"/>
                <w:sz w:val="18"/>
                <w:szCs w:val="18"/>
                <w:shd w:val="clear" w:color="auto" w:fill="FFFFFF"/>
              </w:rPr>
            </w:pPr>
            <w:r>
              <w:rPr>
                <w:rFonts w:hint="eastAsia"/>
                <w:color w:val="auto"/>
                <w:sz w:val="18"/>
                <w:szCs w:val="18"/>
                <w:shd w:val="clear" w:color="auto" w:fill="FFFFFF"/>
              </w:rPr>
              <w:t>聚乳酸</w:t>
            </w:r>
          </w:p>
        </w:tc>
        <w:tc>
          <w:tcPr>
            <w:tcW w:w="338" w:type="pct"/>
            <w:tcMar>
              <w:left w:w="28" w:type="dxa"/>
              <w:right w:w="28" w:type="dxa"/>
            </w:tcMar>
            <w:vAlign w:val="center"/>
          </w:tcPr>
          <w:p>
            <w:pPr>
              <w:spacing w:line="240" w:lineRule="auto"/>
              <w:ind w:firstLine="0" w:firstLineChars="0"/>
              <w:jc w:val="center"/>
              <w:rPr>
                <w:color w:val="auto"/>
                <w:sz w:val="21"/>
                <w:szCs w:val="21"/>
              </w:rPr>
            </w:pPr>
            <w:r>
              <w:rPr>
                <w:color w:val="auto"/>
                <w:sz w:val="21"/>
                <w:szCs w:val="21"/>
              </w:rPr>
              <w:t>聚丙交酯</w:t>
            </w:r>
          </w:p>
        </w:tc>
        <w:tc>
          <w:tcPr>
            <w:tcW w:w="598" w:type="pct"/>
            <w:tcMar>
              <w:left w:w="28" w:type="dxa"/>
              <w:right w:w="28" w:type="dxa"/>
            </w:tcMar>
            <w:vAlign w:val="center"/>
          </w:tcPr>
          <w:p>
            <w:pPr>
              <w:spacing w:line="240" w:lineRule="auto"/>
              <w:ind w:firstLine="0" w:firstLineChars="0"/>
              <w:jc w:val="center"/>
              <w:rPr>
                <w:color w:val="auto"/>
                <w:sz w:val="21"/>
                <w:szCs w:val="21"/>
              </w:rPr>
            </w:pPr>
            <w:r>
              <w:rPr>
                <w:color w:val="auto"/>
                <w:sz w:val="21"/>
                <w:szCs w:val="21"/>
              </w:rPr>
              <w:t>(C</w:t>
            </w:r>
            <w:r>
              <w:rPr>
                <w:color w:val="auto"/>
                <w:sz w:val="21"/>
                <w:szCs w:val="21"/>
                <w:vertAlign w:val="subscript"/>
              </w:rPr>
              <w:t>3</w:t>
            </w:r>
            <w:r>
              <w:rPr>
                <w:color w:val="auto"/>
                <w:sz w:val="21"/>
                <w:szCs w:val="21"/>
              </w:rPr>
              <w:t>H</w:t>
            </w:r>
            <w:r>
              <w:rPr>
                <w:color w:val="auto"/>
                <w:sz w:val="21"/>
                <w:szCs w:val="21"/>
                <w:vertAlign w:val="subscript"/>
              </w:rPr>
              <w:t>4</w:t>
            </w:r>
            <w:r>
              <w:rPr>
                <w:color w:val="auto"/>
                <w:sz w:val="21"/>
                <w:szCs w:val="21"/>
              </w:rPr>
              <w:t>O</w:t>
            </w:r>
            <w:r>
              <w:rPr>
                <w:color w:val="auto"/>
                <w:sz w:val="21"/>
                <w:szCs w:val="21"/>
                <w:vertAlign w:val="subscript"/>
              </w:rPr>
              <w:t>2</w:t>
            </w:r>
            <w:r>
              <w:rPr>
                <w:color w:val="auto"/>
                <w:sz w:val="21"/>
                <w:szCs w:val="21"/>
              </w:rPr>
              <w:t>)</w:t>
            </w:r>
            <w:r>
              <w:rPr>
                <w:color w:val="auto"/>
                <w:sz w:val="21"/>
                <w:szCs w:val="21"/>
                <w:vertAlign w:val="subscript"/>
              </w:rPr>
              <w:t>n</w:t>
            </w:r>
          </w:p>
        </w:tc>
        <w:tc>
          <w:tcPr>
            <w:tcW w:w="717" w:type="pct"/>
            <w:tcMar>
              <w:left w:w="28" w:type="dxa"/>
              <w:right w:w="28" w:type="dxa"/>
            </w:tcMar>
            <w:vAlign w:val="center"/>
          </w:tcPr>
          <w:p>
            <w:pPr>
              <w:spacing w:line="240" w:lineRule="auto"/>
              <w:ind w:firstLine="0" w:firstLineChars="0"/>
              <w:jc w:val="center"/>
              <w:rPr>
                <w:color w:val="auto"/>
              </w:rPr>
            </w:pPr>
            <w:r>
              <w:rPr>
                <w:rFonts w:hint="eastAsia"/>
                <w:color w:val="auto"/>
              </w:rPr>
              <w:drawing>
                <wp:inline distT="0" distB="0" distL="114300" distR="114300">
                  <wp:extent cx="979805" cy="703580"/>
                  <wp:effectExtent l="0" t="0" r="10795" b="1270"/>
                  <wp:docPr id="29" name="图片 29" descr="16518915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651891553(1)"/>
                          <pic:cNvPicPr>
                            <a:picLocks noChangeAspect="1"/>
                          </pic:cNvPicPr>
                        </pic:nvPicPr>
                        <pic:blipFill>
                          <a:blip r:embed="rId63"/>
                          <a:stretch>
                            <a:fillRect/>
                          </a:stretch>
                        </pic:blipFill>
                        <pic:spPr>
                          <a:xfrm>
                            <a:off x="0" y="0"/>
                            <a:ext cx="979805" cy="703580"/>
                          </a:xfrm>
                          <a:prstGeom prst="rect">
                            <a:avLst/>
                          </a:prstGeom>
                        </pic:spPr>
                      </pic:pic>
                    </a:graphicData>
                  </a:graphic>
                </wp:inline>
              </w:drawing>
            </w:r>
          </w:p>
        </w:tc>
        <w:tc>
          <w:tcPr>
            <w:tcW w:w="356" w:type="pct"/>
            <w:tcMar>
              <w:left w:w="28"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t>/</w:t>
            </w:r>
          </w:p>
        </w:tc>
        <w:tc>
          <w:tcPr>
            <w:tcW w:w="409" w:type="pct"/>
            <w:tcMar>
              <w:left w:w="28"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t>/</w:t>
            </w:r>
          </w:p>
        </w:tc>
        <w:tc>
          <w:tcPr>
            <w:tcW w:w="343" w:type="pct"/>
            <w:tcMar>
              <w:left w:w="28" w:type="dxa"/>
              <w:right w:w="28" w:type="dxa"/>
            </w:tcMar>
            <w:vAlign w:val="center"/>
          </w:tcPr>
          <w:p>
            <w:pPr>
              <w:spacing w:line="240" w:lineRule="auto"/>
              <w:ind w:firstLine="0" w:firstLineChars="0"/>
              <w:jc w:val="center"/>
              <w:rPr>
                <w:color w:val="auto"/>
                <w:sz w:val="21"/>
                <w:szCs w:val="21"/>
              </w:rPr>
            </w:pPr>
            <w:r>
              <w:rPr>
                <w:color w:val="auto"/>
                <w:sz w:val="21"/>
                <w:szCs w:val="21"/>
              </w:rPr>
              <w:t>176 ℃</w:t>
            </w:r>
          </w:p>
        </w:tc>
        <w:tc>
          <w:tcPr>
            <w:tcW w:w="248" w:type="pct"/>
            <w:tcMar>
              <w:left w:w="28"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t>/</w:t>
            </w:r>
          </w:p>
        </w:tc>
        <w:tc>
          <w:tcPr>
            <w:tcW w:w="232" w:type="pct"/>
            <w:tcMar>
              <w:left w:w="28"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t>/</w:t>
            </w:r>
          </w:p>
        </w:tc>
        <w:tc>
          <w:tcPr>
            <w:tcW w:w="349" w:type="pct"/>
            <w:tcMar>
              <w:left w:w="28" w:type="dxa"/>
              <w:right w:w="28" w:type="dxa"/>
            </w:tcMar>
            <w:vAlign w:val="center"/>
          </w:tcPr>
          <w:p>
            <w:pPr>
              <w:spacing w:line="240" w:lineRule="auto"/>
              <w:ind w:firstLine="0" w:firstLineChars="0"/>
              <w:jc w:val="center"/>
              <w:rPr>
                <w:color w:val="auto"/>
                <w:sz w:val="21"/>
                <w:szCs w:val="21"/>
              </w:rPr>
            </w:pPr>
          </w:p>
          <w:p>
            <w:pPr>
              <w:spacing w:line="240" w:lineRule="auto"/>
              <w:ind w:firstLine="0" w:firstLineChars="0"/>
              <w:jc w:val="center"/>
              <w:rPr>
                <w:color w:val="auto"/>
                <w:sz w:val="21"/>
                <w:szCs w:val="21"/>
              </w:rPr>
            </w:pPr>
            <w:r>
              <w:rPr>
                <w:color w:val="auto"/>
                <w:sz w:val="21"/>
                <w:szCs w:val="21"/>
              </w:rPr>
              <w:t>1.25</w:t>
            </w:r>
            <w:r>
              <w:rPr>
                <w:rFonts w:hint="eastAsia"/>
                <w:color w:val="auto"/>
                <w:sz w:val="21"/>
                <w:szCs w:val="21"/>
              </w:rPr>
              <w:t>~</w:t>
            </w:r>
            <w:r>
              <w:rPr>
                <w:color w:val="auto"/>
                <w:sz w:val="21"/>
                <w:szCs w:val="21"/>
              </w:rPr>
              <w:t>1.28 </w:t>
            </w:r>
          </w:p>
        </w:tc>
        <w:tc>
          <w:tcPr>
            <w:tcW w:w="958" w:type="pct"/>
            <w:tcMar>
              <w:left w:w="28" w:type="dxa"/>
              <w:right w:w="28" w:type="dxa"/>
            </w:tcMar>
            <w:vAlign w:val="center"/>
          </w:tcPr>
          <w:p>
            <w:pPr>
              <w:spacing w:line="240" w:lineRule="auto"/>
              <w:ind w:firstLine="0" w:firstLineChars="0"/>
              <w:jc w:val="center"/>
              <w:rPr>
                <w:color w:val="auto"/>
                <w:sz w:val="21"/>
                <w:szCs w:val="21"/>
              </w:rPr>
            </w:pPr>
          </w:p>
          <w:p>
            <w:pPr>
              <w:spacing w:line="240" w:lineRule="auto"/>
              <w:ind w:firstLine="0" w:firstLineChars="0"/>
              <w:jc w:val="center"/>
              <w:rPr>
                <w:color w:val="auto"/>
                <w:sz w:val="21"/>
                <w:szCs w:val="21"/>
              </w:rPr>
            </w:pPr>
            <w:r>
              <w:rPr>
                <w:color w:val="auto"/>
                <w:sz w:val="21"/>
                <w:szCs w:val="21"/>
              </w:rPr>
              <w:t>不溶</w:t>
            </w:r>
            <w:r>
              <w:rPr>
                <w:rFonts w:hint="eastAsia"/>
                <w:color w:val="auto"/>
                <w:sz w:val="21"/>
                <w:szCs w:val="21"/>
              </w:rPr>
              <w:t>于水</w:t>
            </w:r>
          </w:p>
        </w:tc>
      </w:tr>
    </w:tbl>
    <w:p>
      <w:pPr>
        <w:ind w:firstLine="420"/>
        <w:jc w:val="center"/>
        <w:rPr>
          <w:rFonts w:eastAsia="黑体"/>
          <w:bCs/>
          <w:color w:val="auto"/>
          <w:sz w:val="21"/>
          <w:szCs w:val="21"/>
        </w:rPr>
      </w:pPr>
      <w:r>
        <w:rPr>
          <w:rFonts w:hint="eastAsia" w:eastAsia="黑体"/>
          <w:bCs/>
          <w:color w:val="auto"/>
          <w:sz w:val="21"/>
          <w:szCs w:val="21"/>
        </w:rPr>
        <w:t>表2.2-10 原辅材料质量标准</w:t>
      </w:r>
    </w:p>
    <w:tbl>
      <w:tblPr>
        <w:tblStyle w:val="2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27"/>
        <w:gridCol w:w="2110"/>
        <w:gridCol w:w="2200"/>
        <w:gridCol w:w="818"/>
        <w:gridCol w:w="1017"/>
        <w:gridCol w:w="63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5"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标准化学名称</w:t>
            </w:r>
          </w:p>
        </w:tc>
        <w:tc>
          <w:tcPr>
            <w:tcW w:w="753"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质量标准号</w:t>
            </w:r>
          </w:p>
        </w:tc>
        <w:tc>
          <w:tcPr>
            <w:tcW w:w="785"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质量标准名称</w:t>
            </w:r>
          </w:p>
        </w:tc>
        <w:tc>
          <w:tcPr>
            <w:tcW w:w="292"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等级</w:t>
            </w:r>
          </w:p>
        </w:tc>
        <w:tc>
          <w:tcPr>
            <w:tcW w:w="363"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纯度</w:t>
            </w:r>
            <w:r>
              <w:rPr>
                <w:color w:val="auto"/>
                <w:sz w:val="21"/>
                <w:szCs w:val="21"/>
              </w:rPr>
              <w:t>%</w:t>
            </w:r>
          </w:p>
        </w:tc>
        <w:tc>
          <w:tcPr>
            <w:tcW w:w="2260" w:type="pct"/>
            <w:tcMar>
              <w:left w:w="28" w:type="dxa"/>
              <w:right w:w="28" w:type="dxa"/>
            </w:tcMar>
            <w:vAlign w:val="center"/>
          </w:tcPr>
          <w:p>
            <w:pPr>
              <w:spacing w:line="240" w:lineRule="auto"/>
              <w:ind w:firstLine="0" w:firstLineChars="0"/>
              <w:jc w:val="center"/>
              <w:rPr>
                <w:b/>
                <w:color w:val="auto"/>
                <w:sz w:val="21"/>
                <w:szCs w:val="21"/>
              </w:rPr>
            </w:pPr>
            <w:r>
              <w:rPr>
                <w:b/>
                <w:color w:val="auto"/>
                <w:sz w:val="21"/>
                <w:szCs w:val="21"/>
              </w:rPr>
              <w:t>杂质成分与含量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5" w:type="pct"/>
            <w:tcMar>
              <w:left w:w="28"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t>乳酸</w:t>
            </w:r>
          </w:p>
        </w:tc>
        <w:tc>
          <w:tcPr>
            <w:tcW w:w="753" w:type="pct"/>
            <w:tcMar>
              <w:left w:w="28"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t>GB1886.173-2016</w:t>
            </w:r>
          </w:p>
        </w:tc>
        <w:tc>
          <w:tcPr>
            <w:tcW w:w="785" w:type="pct"/>
            <w:tcMar>
              <w:left w:w="28"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t>食品安全国家标准 食品添加剂 乳酸</w:t>
            </w:r>
          </w:p>
        </w:tc>
        <w:tc>
          <w:tcPr>
            <w:tcW w:w="292" w:type="pct"/>
            <w:tcMar>
              <w:left w:w="28" w:type="dxa"/>
              <w:right w:w="28" w:type="dxa"/>
            </w:tcMar>
            <w:vAlign w:val="center"/>
          </w:tcPr>
          <w:p>
            <w:pPr>
              <w:spacing w:line="240" w:lineRule="auto"/>
              <w:ind w:firstLine="0" w:firstLineChars="0"/>
              <w:jc w:val="center"/>
              <w:rPr>
                <w:color w:val="auto"/>
                <w:sz w:val="21"/>
                <w:szCs w:val="21"/>
              </w:rPr>
            </w:pPr>
            <w:r>
              <w:rPr>
                <w:color w:val="auto"/>
                <w:sz w:val="21"/>
                <w:szCs w:val="21"/>
              </w:rPr>
              <w:t>合格品</w:t>
            </w:r>
          </w:p>
        </w:tc>
        <w:tc>
          <w:tcPr>
            <w:tcW w:w="363" w:type="pct"/>
            <w:tcMar>
              <w:left w:w="28" w:type="dxa"/>
              <w:right w:w="28" w:type="dxa"/>
            </w:tcMar>
            <w:vAlign w:val="center"/>
          </w:tcPr>
          <w:p>
            <w:pPr>
              <w:spacing w:line="240" w:lineRule="auto"/>
              <w:ind w:firstLine="0" w:firstLineChars="0"/>
              <w:jc w:val="center"/>
              <w:rPr>
                <w:color w:val="auto"/>
                <w:sz w:val="21"/>
                <w:szCs w:val="21"/>
              </w:rPr>
            </w:pPr>
            <w:r>
              <w:rPr>
                <w:color w:val="auto"/>
                <w:sz w:val="21"/>
                <w:szCs w:val="21"/>
              </w:rPr>
              <w:t>≥</w:t>
            </w:r>
            <w:r>
              <w:rPr>
                <w:rFonts w:hint="eastAsia"/>
                <w:color w:val="auto"/>
                <w:sz w:val="21"/>
                <w:szCs w:val="21"/>
              </w:rPr>
              <w:t>98</w:t>
            </w:r>
            <w:r>
              <w:rPr>
                <w:color w:val="auto"/>
                <w:sz w:val="21"/>
                <w:szCs w:val="21"/>
              </w:rPr>
              <w:t>%</w:t>
            </w:r>
          </w:p>
        </w:tc>
        <w:tc>
          <w:tcPr>
            <w:tcW w:w="2260" w:type="pct"/>
            <w:tcMar>
              <w:left w:w="28"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t>灼烧残渣</w:t>
            </w:r>
            <w:r>
              <w:rPr>
                <w:color w:val="auto"/>
                <w:sz w:val="21"/>
                <w:szCs w:val="21"/>
              </w:rPr>
              <w:t>≤</w:t>
            </w:r>
            <w:r>
              <w:rPr>
                <w:rFonts w:hint="eastAsia"/>
                <w:color w:val="auto"/>
                <w:sz w:val="21"/>
                <w:szCs w:val="21"/>
              </w:rPr>
              <w:t>0.1%；氯化物</w:t>
            </w:r>
            <w:r>
              <w:rPr>
                <w:color w:val="auto"/>
                <w:sz w:val="21"/>
                <w:szCs w:val="21"/>
              </w:rPr>
              <w:t>≤</w:t>
            </w:r>
            <w:r>
              <w:rPr>
                <w:rFonts w:hint="eastAsia"/>
                <w:color w:val="auto"/>
                <w:sz w:val="21"/>
                <w:szCs w:val="21"/>
              </w:rPr>
              <w:t>0.002%；硫酸盐</w:t>
            </w:r>
            <w:r>
              <w:rPr>
                <w:color w:val="auto"/>
                <w:sz w:val="21"/>
                <w:szCs w:val="21"/>
              </w:rPr>
              <w:t>≤</w:t>
            </w:r>
            <w:r>
              <w:rPr>
                <w:rFonts w:hint="eastAsia"/>
                <w:color w:val="auto"/>
                <w:sz w:val="21"/>
                <w:szCs w:val="21"/>
              </w:rPr>
              <w:t>0.005%；铁盐</w:t>
            </w:r>
            <w:r>
              <w:rPr>
                <w:color w:val="auto"/>
                <w:sz w:val="21"/>
                <w:szCs w:val="21"/>
              </w:rPr>
              <w:t>≤</w:t>
            </w:r>
            <w:r>
              <w:rPr>
                <w:rFonts w:hint="eastAsia"/>
                <w:color w:val="auto"/>
                <w:sz w:val="21"/>
                <w:szCs w:val="21"/>
              </w:rPr>
              <w:t>0.001%；氰化物</w:t>
            </w:r>
            <w:r>
              <w:rPr>
                <w:color w:val="auto"/>
                <w:sz w:val="21"/>
                <w:szCs w:val="21"/>
              </w:rPr>
              <w:t>≤</w:t>
            </w:r>
            <w:r>
              <w:rPr>
                <w:rFonts w:hint="eastAsia"/>
                <w:color w:val="auto"/>
                <w:sz w:val="21"/>
                <w:szCs w:val="21"/>
              </w:rPr>
              <w:t>1mg/kg；铅</w:t>
            </w:r>
            <w:r>
              <w:rPr>
                <w:color w:val="auto"/>
                <w:sz w:val="21"/>
                <w:szCs w:val="21"/>
              </w:rPr>
              <w:t>≤</w:t>
            </w:r>
            <w:r>
              <w:rPr>
                <w:rFonts w:hint="eastAsia"/>
                <w:color w:val="auto"/>
                <w:sz w:val="21"/>
                <w:szCs w:val="21"/>
              </w:rPr>
              <w:t>2.0干燥减量；砷</w:t>
            </w:r>
            <w:r>
              <w:rPr>
                <w:color w:val="auto"/>
                <w:sz w:val="21"/>
                <w:szCs w:val="21"/>
              </w:rPr>
              <w:t>≤</w:t>
            </w:r>
            <w:r>
              <w:rPr>
                <w:rFonts w:hint="eastAsia"/>
                <w:color w:val="auto"/>
                <w:sz w:val="21"/>
                <w:szCs w:val="21"/>
              </w:rPr>
              <w:t>1.0mg/kg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5" w:type="pct"/>
            <w:tcMar>
              <w:left w:w="28" w:type="dxa"/>
              <w:right w:w="28" w:type="dxa"/>
            </w:tcMar>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催化剂</w:t>
            </w:r>
          </w:p>
        </w:tc>
        <w:tc>
          <w:tcPr>
            <w:tcW w:w="753" w:type="pct"/>
            <w:tcMar>
              <w:left w:w="28" w:type="dxa"/>
              <w:right w:w="28" w:type="dxa"/>
            </w:tcMar>
            <w:vAlign w:val="center"/>
          </w:tcPr>
          <w:p>
            <w:pPr>
              <w:spacing w:line="240" w:lineRule="auto"/>
              <w:ind w:firstLine="0" w:firstLineChars="0"/>
              <w:jc w:val="center"/>
              <w:rPr>
                <w:color w:val="auto"/>
                <w:sz w:val="21"/>
                <w:szCs w:val="21"/>
              </w:rPr>
            </w:pPr>
            <w:r>
              <w:rPr>
                <w:sz w:val="21"/>
              </w:rPr>
              <mc:AlternateContent>
                <mc:Choice Requires="wps">
                  <w:drawing>
                    <wp:anchor distT="0" distB="0" distL="114300" distR="114300" simplePos="0" relativeHeight="251826176" behindDoc="0" locked="0" layoutInCell="1" allowOverlap="1">
                      <wp:simplePos x="0" y="0"/>
                      <wp:positionH relativeFrom="column">
                        <wp:posOffset>224155</wp:posOffset>
                      </wp:positionH>
                      <wp:positionV relativeFrom="paragraph">
                        <wp:posOffset>165735</wp:posOffset>
                      </wp:positionV>
                      <wp:extent cx="2286000" cy="452755"/>
                      <wp:effectExtent l="0" t="0" r="0" b="4445"/>
                      <wp:wrapNone/>
                      <wp:docPr id="67" name="文本框 67"/>
                      <wp:cNvGraphicFramePr/>
                      <a:graphic xmlns:a="http://schemas.openxmlformats.org/drawingml/2006/main">
                        <a:graphicData uri="http://schemas.microsoft.com/office/word/2010/wordprocessingShape">
                          <wps:wsp>
                            <wps:cNvSpPr txBox="1"/>
                            <wps:spPr>
                              <a:xfrm>
                                <a:off x="0" y="0"/>
                                <a:ext cx="2286000" cy="4527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pPr>
                                  <w:r>
                                    <w:rPr>
                                      <w:rFonts w:hint="eastAsia"/>
                                    </w:rPr>
                                    <w:t>涉及企业商业机密不予公示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65pt;margin-top:13.05pt;height:35.65pt;width:180pt;z-index:251826176;mso-width-relative:page;mso-height-relative:page;" fillcolor="#FFFFFF [3201]" filled="t" stroked="f" coordsize="21600,21600" o:gfxdata="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eTRwANQAAAAIAQAADwAAAAAA&#10;AAABACAAAAAiAAAAZHJzL2Rvd25yZXYueG1sUEsBAhQAFAAAAAgAh07iQCKAq09QAgAAkQQAAA4A&#10;AAAAAAAAAQAgAAAAIwEAAGRycy9lMm9Eb2MueG1sUEsFBgAAAAAGAAYAWQEAAOUFAAAAAA==&#10;">
                      <v:fill on="t" focussize="0,0"/>
                      <v:stroke on="f" weight="0.5pt"/>
                      <v:imagedata o:title=""/>
                      <o:lock v:ext="edit" aspectratio="f"/>
                      <v:textbox>
                        <w:txbxContent>
                          <w:p>
                            <w:pPr>
                              <w:ind w:firstLine="0" w:firstLineChars="0"/>
                            </w:pPr>
                            <w:r>
                              <w:rPr>
                                <w:rFonts w:hint="eastAsia"/>
                              </w:rPr>
                              <w:t>涉及企业商业机密不予公示</w:t>
                            </w:r>
                          </w:p>
                        </w:txbxContent>
                      </v:textbox>
                    </v:shape>
                  </w:pict>
                </mc:Fallback>
              </mc:AlternateContent>
            </w:r>
          </w:p>
        </w:tc>
        <w:tc>
          <w:tcPr>
            <w:tcW w:w="785" w:type="pct"/>
            <w:tcMar>
              <w:left w:w="28" w:type="dxa"/>
              <w:right w:w="28" w:type="dxa"/>
            </w:tcMar>
            <w:vAlign w:val="center"/>
          </w:tcPr>
          <w:p>
            <w:pPr>
              <w:spacing w:line="240" w:lineRule="auto"/>
              <w:ind w:firstLine="0" w:firstLineChars="0"/>
              <w:jc w:val="center"/>
              <w:rPr>
                <w:color w:val="auto"/>
                <w:sz w:val="21"/>
                <w:szCs w:val="21"/>
              </w:rPr>
            </w:pPr>
          </w:p>
        </w:tc>
        <w:tc>
          <w:tcPr>
            <w:tcW w:w="292" w:type="pct"/>
            <w:tcMar>
              <w:left w:w="28" w:type="dxa"/>
              <w:right w:w="28" w:type="dxa"/>
            </w:tcMar>
            <w:vAlign w:val="center"/>
          </w:tcPr>
          <w:p>
            <w:pPr>
              <w:spacing w:line="240" w:lineRule="auto"/>
              <w:ind w:firstLine="0" w:firstLineChars="0"/>
              <w:jc w:val="center"/>
              <w:rPr>
                <w:color w:val="auto"/>
                <w:sz w:val="21"/>
                <w:szCs w:val="21"/>
              </w:rPr>
            </w:pPr>
            <w:r>
              <w:rPr>
                <w:color w:val="auto"/>
                <w:sz w:val="21"/>
                <w:szCs w:val="21"/>
              </w:rPr>
              <w:t>合格品</w:t>
            </w:r>
          </w:p>
        </w:tc>
        <w:tc>
          <w:tcPr>
            <w:tcW w:w="363" w:type="pct"/>
            <w:tcMar>
              <w:left w:w="28" w:type="dxa"/>
              <w:right w:w="28" w:type="dxa"/>
            </w:tcMar>
            <w:vAlign w:val="center"/>
          </w:tcPr>
          <w:p>
            <w:pPr>
              <w:spacing w:line="240" w:lineRule="auto"/>
              <w:ind w:firstLine="0" w:firstLineChars="0"/>
              <w:jc w:val="center"/>
              <w:rPr>
                <w:color w:val="auto"/>
                <w:sz w:val="21"/>
                <w:szCs w:val="21"/>
              </w:rPr>
            </w:pPr>
          </w:p>
        </w:tc>
        <w:tc>
          <w:tcPr>
            <w:tcW w:w="2260" w:type="pct"/>
            <w:tcMar>
              <w:left w:w="28" w:type="dxa"/>
              <w:right w:w="28" w:type="dxa"/>
            </w:tcMar>
            <w:vAlign w:val="center"/>
          </w:tcPr>
          <w:p>
            <w:pPr>
              <w:spacing w:line="240" w:lineRule="auto"/>
              <w:ind w:firstLine="0" w:firstLineChars="0"/>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5" w:type="pct"/>
            <w:tcMar>
              <w:left w:w="28" w:type="dxa"/>
              <w:right w:w="28" w:type="dxa"/>
            </w:tcMar>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催化剂</w:t>
            </w:r>
          </w:p>
        </w:tc>
        <w:tc>
          <w:tcPr>
            <w:tcW w:w="753" w:type="pct"/>
            <w:tcMar>
              <w:left w:w="28" w:type="dxa"/>
              <w:right w:w="28" w:type="dxa"/>
            </w:tcMar>
            <w:vAlign w:val="center"/>
          </w:tcPr>
          <w:p>
            <w:pPr>
              <w:spacing w:line="240" w:lineRule="auto"/>
              <w:ind w:firstLine="0" w:firstLineChars="0"/>
              <w:jc w:val="center"/>
              <w:rPr>
                <w:color w:val="auto"/>
                <w:sz w:val="21"/>
                <w:szCs w:val="21"/>
              </w:rPr>
            </w:pPr>
          </w:p>
        </w:tc>
        <w:tc>
          <w:tcPr>
            <w:tcW w:w="785" w:type="pct"/>
            <w:tcMar>
              <w:left w:w="28" w:type="dxa"/>
              <w:right w:w="28" w:type="dxa"/>
            </w:tcMar>
            <w:vAlign w:val="center"/>
          </w:tcPr>
          <w:p>
            <w:pPr>
              <w:spacing w:line="240" w:lineRule="auto"/>
              <w:ind w:firstLine="0" w:firstLineChars="0"/>
              <w:jc w:val="center"/>
              <w:rPr>
                <w:rFonts w:hint="eastAsia" w:eastAsia="宋体"/>
                <w:color w:val="auto"/>
                <w:sz w:val="21"/>
                <w:szCs w:val="21"/>
                <w:lang w:eastAsia="zh-CN"/>
              </w:rPr>
            </w:pPr>
          </w:p>
        </w:tc>
        <w:tc>
          <w:tcPr>
            <w:tcW w:w="292" w:type="pct"/>
            <w:tcMar>
              <w:left w:w="28"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t>合格品</w:t>
            </w:r>
          </w:p>
        </w:tc>
        <w:tc>
          <w:tcPr>
            <w:tcW w:w="363" w:type="pct"/>
            <w:tcMar>
              <w:left w:w="28" w:type="dxa"/>
              <w:right w:w="28" w:type="dxa"/>
            </w:tcMar>
            <w:vAlign w:val="center"/>
          </w:tcPr>
          <w:p>
            <w:pPr>
              <w:spacing w:line="240" w:lineRule="auto"/>
              <w:ind w:firstLine="0" w:firstLineChars="0"/>
              <w:jc w:val="center"/>
              <w:rPr>
                <w:color w:val="auto"/>
                <w:sz w:val="21"/>
                <w:szCs w:val="21"/>
              </w:rPr>
            </w:pPr>
          </w:p>
        </w:tc>
        <w:tc>
          <w:tcPr>
            <w:tcW w:w="2260" w:type="pct"/>
            <w:tcMar>
              <w:left w:w="28" w:type="dxa"/>
              <w:right w:w="28" w:type="dxa"/>
            </w:tcMar>
            <w:vAlign w:val="center"/>
          </w:tcPr>
          <w:p>
            <w:pPr>
              <w:spacing w:line="240" w:lineRule="auto"/>
              <w:ind w:firstLine="0" w:firstLineChars="0"/>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5" w:type="pct"/>
            <w:tcMar>
              <w:left w:w="28" w:type="dxa"/>
              <w:right w:w="28" w:type="dxa"/>
            </w:tcMar>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催化剂</w:t>
            </w:r>
          </w:p>
        </w:tc>
        <w:tc>
          <w:tcPr>
            <w:tcW w:w="753" w:type="pct"/>
            <w:tcMar>
              <w:left w:w="28" w:type="dxa"/>
              <w:right w:w="28" w:type="dxa"/>
            </w:tcMar>
            <w:vAlign w:val="center"/>
          </w:tcPr>
          <w:p>
            <w:pPr>
              <w:spacing w:line="240" w:lineRule="auto"/>
              <w:ind w:firstLine="0" w:firstLineChars="0"/>
              <w:jc w:val="center"/>
              <w:rPr>
                <w:color w:val="auto"/>
                <w:sz w:val="21"/>
                <w:szCs w:val="21"/>
              </w:rPr>
            </w:pPr>
          </w:p>
        </w:tc>
        <w:tc>
          <w:tcPr>
            <w:tcW w:w="785" w:type="pct"/>
            <w:tcMar>
              <w:left w:w="28" w:type="dxa"/>
              <w:right w:w="28" w:type="dxa"/>
            </w:tcMar>
            <w:vAlign w:val="center"/>
          </w:tcPr>
          <w:p>
            <w:pPr>
              <w:spacing w:line="240" w:lineRule="auto"/>
              <w:ind w:firstLine="0" w:firstLineChars="0"/>
              <w:jc w:val="center"/>
              <w:rPr>
                <w:rFonts w:hint="eastAsia" w:eastAsia="宋体"/>
                <w:color w:val="auto"/>
                <w:sz w:val="21"/>
                <w:szCs w:val="21"/>
                <w:lang w:eastAsia="zh-CN"/>
              </w:rPr>
            </w:pPr>
          </w:p>
        </w:tc>
        <w:tc>
          <w:tcPr>
            <w:tcW w:w="292" w:type="pct"/>
            <w:tcMar>
              <w:left w:w="28"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t>合格品</w:t>
            </w:r>
          </w:p>
        </w:tc>
        <w:tc>
          <w:tcPr>
            <w:tcW w:w="363" w:type="pct"/>
            <w:tcMar>
              <w:left w:w="28" w:type="dxa"/>
              <w:right w:w="28" w:type="dxa"/>
            </w:tcMar>
            <w:vAlign w:val="center"/>
          </w:tcPr>
          <w:p>
            <w:pPr>
              <w:spacing w:line="240" w:lineRule="auto"/>
              <w:ind w:firstLine="0" w:firstLineChars="0"/>
              <w:jc w:val="center"/>
              <w:rPr>
                <w:color w:val="auto"/>
                <w:sz w:val="21"/>
                <w:szCs w:val="21"/>
              </w:rPr>
            </w:pPr>
          </w:p>
        </w:tc>
        <w:tc>
          <w:tcPr>
            <w:tcW w:w="2260" w:type="pct"/>
            <w:tcMar>
              <w:left w:w="28" w:type="dxa"/>
              <w:right w:w="28" w:type="dxa"/>
            </w:tcMar>
            <w:vAlign w:val="center"/>
          </w:tcPr>
          <w:p>
            <w:pPr>
              <w:spacing w:line="240" w:lineRule="auto"/>
              <w:ind w:firstLine="0" w:firstLineChars="0"/>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5" w:type="pct"/>
            <w:tcMar>
              <w:left w:w="28" w:type="dxa"/>
              <w:right w:w="28" w:type="dxa"/>
            </w:tcMar>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催化剂</w:t>
            </w:r>
          </w:p>
        </w:tc>
        <w:tc>
          <w:tcPr>
            <w:tcW w:w="753" w:type="pct"/>
            <w:tcMar>
              <w:left w:w="28" w:type="dxa"/>
              <w:right w:w="28" w:type="dxa"/>
            </w:tcMar>
            <w:vAlign w:val="center"/>
          </w:tcPr>
          <w:p>
            <w:pPr>
              <w:spacing w:line="240" w:lineRule="auto"/>
              <w:ind w:firstLine="0" w:firstLineChars="0"/>
              <w:jc w:val="center"/>
              <w:rPr>
                <w:color w:val="auto"/>
                <w:sz w:val="21"/>
                <w:szCs w:val="21"/>
              </w:rPr>
            </w:pPr>
          </w:p>
        </w:tc>
        <w:tc>
          <w:tcPr>
            <w:tcW w:w="785" w:type="pct"/>
            <w:tcMar>
              <w:left w:w="28" w:type="dxa"/>
              <w:right w:w="28" w:type="dxa"/>
            </w:tcMar>
            <w:vAlign w:val="center"/>
          </w:tcPr>
          <w:p>
            <w:pPr>
              <w:spacing w:line="240" w:lineRule="auto"/>
              <w:ind w:firstLine="0" w:firstLineChars="0"/>
              <w:jc w:val="center"/>
              <w:rPr>
                <w:color w:val="auto"/>
                <w:sz w:val="21"/>
                <w:szCs w:val="21"/>
              </w:rPr>
            </w:pPr>
          </w:p>
        </w:tc>
        <w:tc>
          <w:tcPr>
            <w:tcW w:w="292" w:type="pct"/>
            <w:tcMar>
              <w:left w:w="28"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t>一等品</w:t>
            </w:r>
          </w:p>
        </w:tc>
        <w:tc>
          <w:tcPr>
            <w:tcW w:w="363" w:type="pct"/>
            <w:tcMar>
              <w:left w:w="28" w:type="dxa"/>
              <w:right w:w="28" w:type="dxa"/>
            </w:tcMar>
            <w:vAlign w:val="center"/>
          </w:tcPr>
          <w:p>
            <w:pPr>
              <w:spacing w:line="240" w:lineRule="auto"/>
              <w:ind w:firstLine="0" w:firstLineChars="0"/>
              <w:jc w:val="center"/>
              <w:rPr>
                <w:color w:val="auto"/>
                <w:sz w:val="21"/>
                <w:szCs w:val="21"/>
              </w:rPr>
            </w:pPr>
          </w:p>
        </w:tc>
        <w:tc>
          <w:tcPr>
            <w:tcW w:w="2260" w:type="pct"/>
            <w:tcMar>
              <w:left w:w="28" w:type="dxa"/>
              <w:right w:w="28" w:type="dxa"/>
            </w:tcMar>
            <w:vAlign w:val="center"/>
          </w:tcPr>
          <w:p>
            <w:pPr>
              <w:spacing w:line="240" w:lineRule="auto"/>
              <w:ind w:firstLine="0" w:firstLineChars="0"/>
              <w:rPr>
                <w:color w:val="auto"/>
                <w:sz w:val="21"/>
                <w:szCs w:val="21"/>
              </w:rPr>
            </w:pPr>
          </w:p>
        </w:tc>
      </w:tr>
    </w:tbl>
    <w:p>
      <w:pPr>
        <w:ind w:firstLine="480"/>
        <w:rPr>
          <w:color w:val="auto"/>
        </w:rPr>
        <w:sectPr>
          <w:headerReference r:id="rId22" w:type="default"/>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pStyle w:val="9"/>
        <w:spacing w:before="0" w:beforeLines="0" w:after="0" w:afterLines="0"/>
        <w:rPr>
          <w:color w:val="auto"/>
        </w:rPr>
      </w:pPr>
      <w:r>
        <w:rPr>
          <w:rFonts w:hint="eastAsia"/>
          <w:color w:val="auto"/>
        </w:rPr>
        <w:t>2.2.6 生产设备</w:t>
      </w:r>
    </w:p>
    <w:p>
      <w:pPr>
        <w:ind w:firstLine="480"/>
        <w:rPr>
          <w:color w:val="auto"/>
        </w:rPr>
      </w:pPr>
      <w:r>
        <w:rPr>
          <w:rFonts w:hint="eastAsia"/>
          <w:color w:val="auto"/>
        </w:rPr>
        <w:t>项目生产中没有使用国家明令禁止的淘汰类和限制类的设备，符合国家相关产业政策和清洁生产标准。主要设备见下表。</w:t>
      </w:r>
    </w:p>
    <w:p>
      <w:pPr>
        <w:pStyle w:val="2"/>
        <w:spacing w:after="0"/>
        <w:ind w:firstLine="0" w:firstLineChars="0"/>
        <w:jc w:val="center"/>
        <w:rPr>
          <w:rFonts w:eastAsia="黑体"/>
          <w:color w:val="auto"/>
          <w:sz w:val="21"/>
          <w:szCs w:val="21"/>
        </w:rPr>
      </w:pPr>
      <w:r>
        <w:rPr>
          <w:rFonts w:eastAsia="黑体"/>
          <w:color w:val="auto"/>
          <w:sz w:val="21"/>
          <w:szCs w:val="21"/>
        </w:rPr>
        <w:t>表2.2-</w:t>
      </w:r>
      <w:r>
        <w:rPr>
          <w:rFonts w:hint="eastAsia" w:eastAsia="黑体"/>
          <w:color w:val="auto"/>
          <w:sz w:val="21"/>
          <w:szCs w:val="21"/>
        </w:rPr>
        <w:t>11</w:t>
      </w:r>
      <w:r>
        <w:rPr>
          <w:rFonts w:eastAsia="黑体"/>
          <w:color w:val="auto"/>
          <w:sz w:val="21"/>
          <w:szCs w:val="21"/>
        </w:rPr>
        <w:t xml:space="preserve"> 拟建项目设备清单</w:t>
      </w:r>
    </w:p>
    <w:tbl>
      <w:tblPr>
        <w:tblStyle w:val="22"/>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02"/>
        <w:gridCol w:w="364"/>
        <w:gridCol w:w="381"/>
        <w:gridCol w:w="1963"/>
        <w:gridCol w:w="1985"/>
        <w:gridCol w:w="2291"/>
        <w:gridCol w:w="910"/>
        <w:gridCol w:w="7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64" w:hRule="atLeast"/>
        </w:trPr>
        <w:tc>
          <w:tcPr>
            <w:tcW w:w="222" w:type="pct"/>
            <w:vAlign w:val="center"/>
          </w:tcPr>
          <w:p>
            <w:pPr>
              <w:spacing w:line="240" w:lineRule="auto"/>
              <w:ind w:firstLine="0" w:firstLineChars="0"/>
              <w:jc w:val="center"/>
              <w:rPr>
                <w:b/>
                <w:sz w:val="21"/>
                <w:szCs w:val="21"/>
              </w:rPr>
            </w:pPr>
            <w:bookmarkStart w:id="198" w:name="_Toc18319"/>
            <w:r>
              <w:rPr>
                <w:b/>
                <w:sz w:val="21"/>
                <w:szCs w:val="21"/>
              </w:rPr>
              <w:t>序号</w:t>
            </w:r>
          </w:p>
        </w:tc>
        <w:tc>
          <w:tcPr>
            <w:tcW w:w="411" w:type="pct"/>
            <w:gridSpan w:val="2"/>
            <w:vAlign w:val="center"/>
          </w:tcPr>
          <w:p>
            <w:pPr>
              <w:spacing w:line="240" w:lineRule="auto"/>
              <w:ind w:firstLine="0" w:firstLineChars="0"/>
              <w:jc w:val="center"/>
              <w:rPr>
                <w:b/>
                <w:sz w:val="21"/>
                <w:szCs w:val="21"/>
              </w:rPr>
            </w:pPr>
            <w:r>
              <w:rPr>
                <w:b/>
                <w:sz w:val="21"/>
                <w:szCs w:val="21"/>
              </w:rPr>
              <w:t>生产线</w:t>
            </w:r>
          </w:p>
        </w:tc>
        <w:tc>
          <w:tcPr>
            <w:tcW w:w="1083" w:type="pct"/>
            <w:vAlign w:val="center"/>
          </w:tcPr>
          <w:p>
            <w:pPr>
              <w:spacing w:line="240" w:lineRule="auto"/>
              <w:ind w:firstLine="0" w:firstLineChars="0"/>
              <w:jc w:val="center"/>
              <w:rPr>
                <w:b/>
                <w:sz w:val="21"/>
                <w:szCs w:val="21"/>
              </w:rPr>
            </w:pPr>
            <w:r>
              <w:rPr>
                <w:b/>
                <w:sz w:val="21"/>
                <w:szCs w:val="21"/>
              </w:rPr>
              <w:t>名称</w:t>
            </w:r>
          </w:p>
        </w:tc>
        <w:tc>
          <w:tcPr>
            <w:tcW w:w="1095" w:type="pct"/>
            <w:vAlign w:val="center"/>
          </w:tcPr>
          <w:p>
            <w:pPr>
              <w:spacing w:line="240" w:lineRule="auto"/>
              <w:ind w:firstLine="0" w:firstLineChars="0"/>
              <w:jc w:val="center"/>
              <w:rPr>
                <w:b/>
                <w:sz w:val="21"/>
                <w:szCs w:val="21"/>
              </w:rPr>
            </w:pPr>
            <w:r>
              <w:rPr>
                <w:b/>
                <w:sz w:val="21"/>
                <w:szCs w:val="21"/>
              </w:rPr>
              <w:t>规格型号</w:t>
            </w:r>
          </w:p>
        </w:tc>
        <w:tc>
          <w:tcPr>
            <w:tcW w:w="1264" w:type="pct"/>
            <w:vAlign w:val="center"/>
          </w:tcPr>
          <w:p>
            <w:pPr>
              <w:spacing w:line="240" w:lineRule="auto"/>
              <w:ind w:firstLine="0" w:firstLineChars="0"/>
              <w:jc w:val="center"/>
              <w:rPr>
                <w:b/>
                <w:sz w:val="21"/>
                <w:szCs w:val="21"/>
              </w:rPr>
            </w:pPr>
            <w:r>
              <w:rPr>
                <w:rFonts w:hint="eastAsia"/>
                <w:b/>
                <w:sz w:val="21"/>
                <w:szCs w:val="21"/>
              </w:rPr>
              <w:t>单位</w:t>
            </w:r>
          </w:p>
        </w:tc>
        <w:tc>
          <w:tcPr>
            <w:tcW w:w="502" w:type="pct"/>
            <w:vAlign w:val="center"/>
          </w:tcPr>
          <w:p>
            <w:pPr>
              <w:spacing w:line="240" w:lineRule="auto"/>
              <w:ind w:firstLine="0" w:firstLineChars="0"/>
              <w:jc w:val="center"/>
              <w:rPr>
                <w:b/>
                <w:sz w:val="21"/>
                <w:szCs w:val="21"/>
              </w:rPr>
            </w:pPr>
            <w:r>
              <w:rPr>
                <w:b/>
                <w:sz w:val="21"/>
                <w:szCs w:val="21"/>
              </w:rPr>
              <w:t>数量</w:t>
            </w:r>
          </w:p>
        </w:tc>
        <w:tc>
          <w:tcPr>
            <w:tcW w:w="423" w:type="pct"/>
            <w:vAlign w:val="center"/>
          </w:tcPr>
          <w:p>
            <w:pPr>
              <w:spacing w:line="240" w:lineRule="auto"/>
              <w:ind w:firstLine="0" w:firstLineChars="0"/>
              <w:jc w:val="center"/>
              <w:rPr>
                <w:b/>
                <w:sz w:val="21"/>
                <w:szCs w:val="21"/>
              </w:rPr>
            </w:pPr>
            <w:r>
              <w:rPr>
                <w:b/>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bCs/>
                <w:sz w:val="21"/>
                <w:szCs w:val="21"/>
              </w:rPr>
              <w:t>1</w:t>
            </w:r>
          </w:p>
        </w:tc>
        <w:tc>
          <w:tcPr>
            <w:tcW w:w="411" w:type="pct"/>
            <w:gridSpan w:val="2"/>
            <w:vMerge w:val="restart"/>
            <w:vAlign w:val="center"/>
          </w:tcPr>
          <w:p>
            <w:pPr>
              <w:spacing w:line="240" w:lineRule="auto"/>
              <w:ind w:firstLine="0" w:firstLineChars="0"/>
              <w:jc w:val="center"/>
              <w:rPr>
                <w:bCs/>
                <w:sz w:val="21"/>
                <w:szCs w:val="21"/>
              </w:rPr>
            </w:pPr>
            <w:r>
              <w:rPr>
                <w:rFonts w:hint="eastAsia"/>
                <w:bCs/>
                <w:sz w:val="21"/>
                <w:szCs w:val="21"/>
              </w:rPr>
              <w:t>生产装置区</w:t>
            </w:r>
          </w:p>
        </w:tc>
        <w:tc>
          <w:tcPr>
            <w:tcW w:w="1083" w:type="pct"/>
            <w:vAlign w:val="center"/>
          </w:tcPr>
          <w:p>
            <w:pPr>
              <w:autoSpaceDE w:val="0"/>
              <w:autoSpaceDN w:val="0"/>
              <w:adjustRightInd w:val="0"/>
              <w:spacing w:line="240" w:lineRule="auto"/>
              <w:ind w:firstLine="0" w:firstLineChars="0"/>
              <w:jc w:val="center"/>
              <w:rPr>
                <w:bCs/>
                <w:sz w:val="21"/>
                <w:szCs w:val="21"/>
              </w:rPr>
            </w:pPr>
            <w:r>
              <w:rPr>
                <w:rFonts w:hint="eastAsia"/>
                <w:bCs/>
                <w:sz w:val="21"/>
                <w:szCs w:val="21"/>
              </w:rPr>
              <w:t>预热器</w:t>
            </w:r>
          </w:p>
        </w:tc>
        <w:tc>
          <w:tcPr>
            <w:tcW w:w="1095" w:type="pct"/>
            <w:vAlign w:val="center"/>
          </w:tcPr>
          <w:p>
            <w:pPr>
              <w:autoSpaceDE w:val="0"/>
              <w:autoSpaceDN w:val="0"/>
              <w:adjustRightInd w:val="0"/>
              <w:spacing w:line="240" w:lineRule="auto"/>
              <w:ind w:firstLine="0" w:firstLineChars="0"/>
              <w:jc w:val="center"/>
              <w:rPr>
                <w:bCs/>
                <w:sz w:val="21"/>
                <w:szCs w:val="21"/>
              </w:rPr>
            </w:pPr>
          </w:p>
        </w:tc>
        <w:tc>
          <w:tcPr>
            <w:tcW w:w="1264" w:type="pct"/>
            <w:vAlign w:val="center"/>
          </w:tcPr>
          <w:p>
            <w:pPr>
              <w:autoSpaceDE w:val="0"/>
              <w:autoSpaceDN w:val="0"/>
              <w:adjustRightInd w:val="0"/>
              <w:spacing w:line="240" w:lineRule="auto"/>
              <w:ind w:firstLine="0" w:firstLineChars="0"/>
              <w:jc w:val="center"/>
              <w:rPr>
                <w:bCs/>
                <w:sz w:val="21"/>
                <w:szCs w:val="21"/>
              </w:rPr>
            </w:pPr>
            <w:r>
              <w:rPr>
                <w:rFonts w:hint="eastAsia"/>
                <w:bCs/>
                <w:sz w:val="21"/>
                <w:szCs w:val="21"/>
              </w:rPr>
              <w:t>台</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222" w:type="pct"/>
            <w:vAlign w:val="center"/>
          </w:tcPr>
          <w:p>
            <w:pPr>
              <w:spacing w:line="240" w:lineRule="auto"/>
              <w:ind w:firstLine="0" w:firstLineChars="0"/>
              <w:jc w:val="center"/>
              <w:rPr>
                <w:bCs/>
                <w:sz w:val="21"/>
                <w:szCs w:val="21"/>
              </w:rPr>
            </w:pPr>
            <w:r>
              <w:rPr>
                <w:bCs/>
                <w:sz w:val="21"/>
                <w:szCs w:val="21"/>
              </w:rPr>
              <w:t>2</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脱水塔</w:t>
            </w:r>
          </w:p>
        </w:tc>
        <w:tc>
          <w:tcPr>
            <w:tcW w:w="1095" w:type="pct"/>
            <w:vAlign w:val="center"/>
          </w:tcPr>
          <w:p>
            <w:pPr>
              <w:autoSpaceDE w:val="0"/>
              <w:autoSpaceDN w:val="0"/>
              <w:adjustRightInd w:val="0"/>
              <w:spacing w:line="240" w:lineRule="auto"/>
              <w:ind w:firstLine="0" w:firstLineChars="0"/>
              <w:jc w:val="center"/>
              <w:rPr>
                <w:bCs/>
                <w:sz w:val="21"/>
                <w:szCs w:val="21"/>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座</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bCs/>
                <w:sz w:val="21"/>
                <w:szCs w:val="21"/>
              </w:rPr>
              <w:t>3</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脱水蒸发器</w:t>
            </w:r>
          </w:p>
        </w:tc>
        <w:tc>
          <w:tcPr>
            <w:tcW w:w="1095" w:type="pct"/>
            <w:vAlign w:val="center"/>
          </w:tcPr>
          <w:p>
            <w:pPr>
              <w:autoSpaceDE w:val="0"/>
              <w:autoSpaceDN w:val="0"/>
              <w:adjustRightInd w:val="0"/>
              <w:spacing w:line="240" w:lineRule="auto"/>
              <w:ind w:firstLine="0" w:firstLineChars="0"/>
              <w:jc w:val="center"/>
              <w:rPr>
                <w:bCs/>
                <w:sz w:val="21"/>
                <w:szCs w:val="21"/>
              </w:rPr>
            </w:pPr>
          </w:p>
        </w:tc>
        <w:tc>
          <w:tcPr>
            <w:tcW w:w="1264" w:type="pct"/>
            <w:vAlign w:val="center"/>
          </w:tcPr>
          <w:p>
            <w:pPr>
              <w:spacing w:line="240" w:lineRule="auto"/>
              <w:ind w:firstLine="0" w:firstLineChars="0"/>
              <w:jc w:val="center"/>
              <w:rPr>
                <w:bCs/>
                <w:kern w:val="0"/>
                <w:sz w:val="21"/>
                <w:szCs w:val="21"/>
              </w:rPr>
            </w:pPr>
            <w:r>
              <w:rPr>
                <w:rFonts w:hint="eastAsia"/>
                <w:bCs/>
                <w:kern w:val="0"/>
                <w:sz w:val="21"/>
                <w:szCs w:val="21"/>
              </w:rPr>
              <w:t>座</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bCs/>
                <w:sz w:val="21"/>
                <w:szCs w:val="21"/>
              </w:rPr>
              <w:t>4</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脱水罐A</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lang w:val="zh-CN"/>
              </w:rPr>
              <w:t>座</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bCs/>
                <w:sz w:val="21"/>
                <w:szCs w:val="21"/>
              </w:rPr>
              <w:t>5</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脱水罐B</w:t>
            </w:r>
          </w:p>
        </w:tc>
        <w:tc>
          <w:tcPr>
            <w:tcW w:w="1095" w:type="pct"/>
            <w:vAlign w:val="center"/>
          </w:tcPr>
          <w:p>
            <w:pPr>
              <w:autoSpaceDE w:val="0"/>
              <w:autoSpaceDN w:val="0"/>
              <w:adjustRightInd w:val="0"/>
              <w:spacing w:line="240" w:lineRule="auto"/>
              <w:ind w:firstLine="0" w:firstLineChars="0"/>
              <w:jc w:val="center"/>
              <w:rPr>
                <w:bCs/>
                <w:sz w:val="21"/>
                <w:szCs w:val="21"/>
                <w:lang w:val="zh-CN"/>
              </w:rPr>
            </w:pPr>
            <w:r>
              <w:rPr>
                <w:sz w:val="21"/>
              </w:rPr>
              <mc:AlternateContent>
                <mc:Choice Requires="wps">
                  <w:drawing>
                    <wp:anchor distT="0" distB="0" distL="114300" distR="114300" simplePos="0" relativeHeight="251827200" behindDoc="0" locked="0" layoutInCell="1" allowOverlap="1">
                      <wp:simplePos x="0" y="0"/>
                      <wp:positionH relativeFrom="column">
                        <wp:posOffset>201295</wp:posOffset>
                      </wp:positionH>
                      <wp:positionV relativeFrom="paragraph">
                        <wp:posOffset>-1905</wp:posOffset>
                      </wp:positionV>
                      <wp:extent cx="913130" cy="1039495"/>
                      <wp:effectExtent l="0" t="0" r="1270" b="8255"/>
                      <wp:wrapNone/>
                      <wp:docPr id="25" name="文本框 25"/>
                      <wp:cNvGraphicFramePr/>
                      <a:graphic xmlns:a="http://schemas.openxmlformats.org/drawingml/2006/main">
                        <a:graphicData uri="http://schemas.microsoft.com/office/word/2010/wordprocessingShape">
                          <wps:wsp>
                            <wps:cNvSpPr txBox="1"/>
                            <wps:spPr>
                              <a:xfrm>
                                <a:off x="0" y="0"/>
                                <a:ext cx="913130" cy="103949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pPr>
                                  <w:r>
                                    <w:rPr>
                                      <w:rFonts w:hint="eastAsia"/>
                                    </w:rPr>
                                    <w:t>涉及企业商业机密不予公示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85pt;margin-top:-0.15pt;height:81.85pt;width:71.9pt;z-index:251827200;mso-width-relative:page;mso-height-relative:page;" fillcolor="#FFFFFF [3201]" filled="t" stroked="f" coordsize="21600,21600" o:gfxdata="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O5aiVdQAAAAIAQAADwAA&#10;AAAAAAABACAAAAAiAAAAZHJzL2Rvd25yZXYueG1sUEsBAhQAFAAAAAgAh07iQFfdJYpTAgAAkQQA&#10;AA4AAAAAAAAAAQAgAAAAIwEAAGRycy9lMm9Eb2MueG1sUEsFBgAAAAAGAAYAWQEAAOgFAAAAAA==&#10;">
                      <v:fill on="t" focussize="0,0"/>
                      <v:stroke on="f" weight="0.5pt"/>
                      <v:imagedata o:title=""/>
                      <o:lock v:ext="edit" aspectratio="f"/>
                      <v:textbox>
                        <w:txbxContent>
                          <w:p>
                            <w:pPr>
                              <w:ind w:firstLine="0" w:firstLineChars="0"/>
                            </w:pPr>
                            <w:r>
                              <w:rPr>
                                <w:rFonts w:hint="eastAsia"/>
                              </w:rPr>
                              <w:t>涉及企业商业机密不予公示</w:t>
                            </w:r>
                          </w:p>
                        </w:txbxContent>
                      </v:textbox>
                    </v:shape>
                  </w:pict>
                </mc:Fallback>
              </mc:AlternateContent>
            </w: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lang w:val="zh-CN"/>
              </w:rPr>
              <w:t>座</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6</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提纯蒸发器</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lang w:val="zh-CN"/>
              </w:rPr>
              <w:t>座</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bCs/>
                <w:sz w:val="21"/>
                <w:szCs w:val="21"/>
              </w:rPr>
              <w:t>7</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提纯接收罐A</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lang w:val="zh-CN"/>
              </w:rPr>
              <w:t>座</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8</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提纯接收罐B</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座</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9</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酯化蒸发器</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spacing w:line="240" w:lineRule="auto"/>
              <w:ind w:firstLine="0" w:firstLineChars="0"/>
              <w:jc w:val="center"/>
              <w:rPr>
                <w:bCs/>
                <w:sz w:val="21"/>
                <w:szCs w:val="21"/>
              </w:rPr>
            </w:pPr>
            <w:r>
              <w:rPr>
                <w:rFonts w:hint="eastAsia"/>
                <w:bCs/>
                <w:sz w:val="21"/>
                <w:szCs w:val="21"/>
              </w:rPr>
              <w:t>套</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222" w:type="pct"/>
            <w:vAlign w:val="center"/>
          </w:tcPr>
          <w:p>
            <w:pPr>
              <w:spacing w:line="240" w:lineRule="auto"/>
              <w:ind w:firstLine="0" w:firstLineChars="0"/>
              <w:jc w:val="center"/>
              <w:rPr>
                <w:bCs/>
                <w:sz w:val="21"/>
                <w:szCs w:val="21"/>
              </w:rPr>
            </w:pPr>
            <w:r>
              <w:rPr>
                <w:bCs/>
                <w:sz w:val="21"/>
                <w:szCs w:val="21"/>
              </w:rPr>
              <w:t>10</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酯化器</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spacing w:line="240" w:lineRule="auto"/>
              <w:ind w:firstLine="0" w:firstLineChars="0"/>
              <w:jc w:val="center"/>
              <w:rPr>
                <w:bCs/>
                <w:sz w:val="21"/>
                <w:szCs w:val="21"/>
              </w:rPr>
            </w:pPr>
            <w:r>
              <w:rPr>
                <w:rFonts w:hint="eastAsia"/>
                <w:bCs/>
                <w:sz w:val="21"/>
                <w:szCs w:val="21"/>
              </w:rPr>
              <w:t>套</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bCs/>
                <w:sz w:val="21"/>
                <w:szCs w:val="21"/>
              </w:rPr>
              <w:t>11</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精馏塔</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座</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1</w:t>
            </w:r>
            <w:r>
              <w:rPr>
                <w:bCs/>
                <w:sz w:val="21"/>
                <w:szCs w:val="21"/>
              </w:rPr>
              <w:t>2</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精馏蒸发器</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套</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1</w:t>
            </w:r>
            <w:r>
              <w:rPr>
                <w:bCs/>
                <w:sz w:val="21"/>
                <w:szCs w:val="21"/>
              </w:rPr>
              <w:t>3</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成品缓冲罐</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座</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1</w:t>
            </w:r>
            <w:r>
              <w:rPr>
                <w:bCs/>
                <w:sz w:val="21"/>
                <w:szCs w:val="21"/>
              </w:rPr>
              <w:t>4</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原料混合罐A/B</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座</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5" w:hRule="atLeast"/>
        </w:trPr>
        <w:tc>
          <w:tcPr>
            <w:tcW w:w="222" w:type="pct"/>
            <w:vAlign w:val="center"/>
          </w:tcPr>
          <w:p>
            <w:pPr>
              <w:spacing w:line="240" w:lineRule="auto"/>
              <w:ind w:firstLine="0" w:firstLineChars="0"/>
              <w:jc w:val="center"/>
              <w:rPr>
                <w:bCs/>
                <w:sz w:val="21"/>
                <w:szCs w:val="21"/>
              </w:rPr>
            </w:pPr>
            <w:r>
              <w:rPr>
                <w:rFonts w:hint="eastAsia"/>
                <w:bCs/>
                <w:sz w:val="21"/>
                <w:szCs w:val="21"/>
              </w:rPr>
              <w:t>1</w:t>
            </w:r>
            <w:r>
              <w:rPr>
                <w:bCs/>
                <w:sz w:val="21"/>
                <w:szCs w:val="21"/>
              </w:rPr>
              <w:t>5</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原料缓冲罐</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座</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1</w:t>
            </w:r>
            <w:r>
              <w:rPr>
                <w:bCs/>
                <w:sz w:val="21"/>
                <w:szCs w:val="21"/>
              </w:rPr>
              <w:t>6</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一级预聚器</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套</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1</w:t>
            </w:r>
            <w:r>
              <w:rPr>
                <w:bCs/>
                <w:sz w:val="21"/>
                <w:szCs w:val="21"/>
              </w:rPr>
              <w:t>7</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二级聚合器</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套</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1</w:t>
            </w:r>
            <w:r>
              <w:rPr>
                <w:bCs/>
                <w:sz w:val="21"/>
                <w:szCs w:val="21"/>
              </w:rPr>
              <w:t>8</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三级聚合器</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套</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1</w:t>
            </w:r>
            <w:r>
              <w:rPr>
                <w:bCs/>
                <w:sz w:val="21"/>
                <w:szCs w:val="21"/>
              </w:rPr>
              <w:t>9</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脱挥罐</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套</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2</w:t>
            </w:r>
            <w:r>
              <w:rPr>
                <w:bCs/>
                <w:sz w:val="21"/>
                <w:szCs w:val="21"/>
              </w:rPr>
              <w:t>0</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rPr>
            </w:pPr>
            <w:r>
              <w:rPr>
                <w:rFonts w:hint="eastAsia"/>
                <w:bCs/>
                <w:sz w:val="21"/>
                <w:szCs w:val="21"/>
              </w:rPr>
              <w:t>包装机</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lang w:val="zh-CN"/>
              </w:rPr>
              <w:t>台</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222" w:type="pct"/>
            <w:vAlign w:val="center"/>
          </w:tcPr>
          <w:p>
            <w:pPr>
              <w:spacing w:line="240" w:lineRule="auto"/>
              <w:ind w:firstLine="0" w:firstLineChars="0"/>
              <w:jc w:val="center"/>
              <w:rPr>
                <w:bCs/>
                <w:sz w:val="21"/>
                <w:szCs w:val="21"/>
              </w:rPr>
            </w:pPr>
            <w:r>
              <w:rPr>
                <w:rFonts w:hint="eastAsia"/>
                <w:bCs/>
                <w:sz w:val="21"/>
                <w:szCs w:val="21"/>
              </w:rPr>
              <w:t>2</w:t>
            </w:r>
            <w:r>
              <w:rPr>
                <w:bCs/>
                <w:sz w:val="21"/>
                <w:szCs w:val="21"/>
              </w:rPr>
              <w:t>1</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rPr>
            </w:pPr>
            <w:r>
              <w:rPr>
                <w:rFonts w:hint="eastAsia"/>
                <w:bCs/>
                <w:sz w:val="21"/>
                <w:szCs w:val="21"/>
              </w:rPr>
              <w:t>切粒机</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lang w:val="zh-CN"/>
              </w:rPr>
              <w:t>台</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2</w:t>
            </w:r>
            <w:r>
              <w:rPr>
                <w:bCs/>
                <w:sz w:val="21"/>
                <w:szCs w:val="21"/>
              </w:rPr>
              <w:t>2</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rPr>
            </w:pPr>
            <w:r>
              <w:rPr>
                <w:rFonts w:hint="eastAsia"/>
                <w:bCs/>
                <w:sz w:val="21"/>
                <w:szCs w:val="21"/>
              </w:rPr>
              <w:t>干燥机</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lang w:val="zh-CN"/>
              </w:rPr>
              <w:t>台</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2</w:t>
            </w:r>
            <w:r>
              <w:rPr>
                <w:bCs/>
                <w:sz w:val="21"/>
                <w:szCs w:val="21"/>
              </w:rPr>
              <w:t>3</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接收、缓冲罐</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座</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2</w:t>
            </w:r>
            <w:r>
              <w:rPr>
                <w:bCs/>
                <w:sz w:val="21"/>
                <w:szCs w:val="21"/>
              </w:rPr>
              <w:t>4</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接收、缓冲罐</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座</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2</w:t>
            </w:r>
            <w:r>
              <w:rPr>
                <w:bCs/>
                <w:sz w:val="21"/>
                <w:szCs w:val="21"/>
              </w:rPr>
              <w:t>5</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接收、缓冲罐</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座</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2</w:t>
            </w:r>
            <w:r>
              <w:rPr>
                <w:bCs/>
                <w:sz w:val="21"/>
                <w:szCs w:val="21"/>
              </w:rPr>
              <w:t>6</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接收、缓冲罐</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座</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2</w:t>
            </w:r>
            <w:r>
              <w:rPr>
                <w:bCs/>
                <w:sz w:val="21"/>
                <w:szCs w:val="21"/>
              </w:rPr>
              <w:t>7</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接收、缓冲罐</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座</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2</w:t>
            </w:r>
            <w:r>
              <w:rPr>
                <w:bCs/>
                <w:sz w:val="21"/>
                <w:szCs w:val="21"/>
              </w:rPr>
              <w:t>8</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仪表空气罐</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套</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2</w:t>
            </w:r>
            <w:r>
              <w:rPr>
                <w:bCs/>
                <w:sz w:val="21"/>
                <w:szCs w:val="21"/>
              </w:rPr>
              <w:t>9</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rPr>
            </w:pPr>
            <w:r>
              <w:rPr>
                <w:rFonts w:hint="eastAsia"/>
                <w:bCs/>
                <w:sz w:val="21"/>
                <w:szCs w:val="21"/>
              </w:rPr>
              <w:t>氮气罐</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套</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3</w:t>
            </w:r>
            <w:r>
              <w:rPr>
                <w:bCs/>
                <w:sz w:val="21"/>
                <w:szCs w:val="21"/>
              </w:rPr>
              <w:t>0</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rPr>
            </w:pPr>
            <w:r>
              <w:rPr>
                <w:rFonts w:hint="eastAsia"/>
                <w:bCs/>
                <w:sz w:val="21"/>
                <w:szCs w:val="21"/>
              </w:rPr>
              <w:t>冷水罐</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套</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3</w:t>
            </w:r>
            <w:r>
              <w:rPr>
                <w:bCs/>
                <w:sz w:val="21"/>
                <w:szCs w:val="21"/>
              </w:rPr>
              <w:t>1</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rPr>
            </w:pPr>
            <w:r>
              <w:rPr>
                <w:rFonts w:hint="eastAsia"/>
                <w:bCs/>
                <w:sz w:val="21"/>
                <w:szCs w:val="21"/>
              </w:rPr>
              <w:t>真空机组</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套</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3</w:t>
            </w:r>
            <w:r>
              <w:rPr>
                <w:bCs/>
                <w:sz w:val="21"/>
                <w:szCs w:val="21"/>
              </w:rPr>
              <w:t>2</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rPr>
            </w:pPr>
            <w:r>
              <w:rPr>
                <w:rFonts w:hint="eastAsia"/>
                <w:bCs/>
                <w:sz w:val="21"/>
                <w:szCs w:val="21"/>
              </w:rPr>
              <w:t>真空机组</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套</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3</w:t>
            </w:r>
            <w:r>
              <w:rPr>
                <w:bCs/>
                <w:sz w:val="21"/>
                <w:szCs w:val="21"/>
              </w:rPr>
              <w:t>3</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rPr>
            </w:pPr>
            <w:r>
              <w:rPr>
                <w:rFonts w:hint="eastAsia"/>
                <w:bCs/>
                <w:sz w:val="21"/>
                <w:szCs w:val="21"/>
              </w:rPr>
              <w:t>真空机组</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套</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3</w:t>
            </w:r>
            <w:r>
              <w:rPr>
                <w:bCs/>
                <w:sz w:val="21"/>
                <w:szCs w:val="21"/>
              </w:rPr>
              <w:t>4</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rPr>
            </w:pPr>
            <w:r>
              <w:rPr>
                <w:rFonts w:hint="eastAsia"/>
                <w:bCs/>
                <w:sz w:val="21"/>
                <w:szCs w:val="21"/>
              </w:rPr>
              <w:t>引风机</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套</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3</w:t>
            </w:r>
            <w:r>
              <w:rPr>
                <w:bCs/>
                <w:sz w:val="21"/>
                <w:szCs w:val="21"/>
              </w:rPr>
              <w:t>5</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rPr>
            </w:pPr>
            <w:r>
              <w:rPr>
                <w:rFonts w:hint="eastAsia"/>
                <w:bCs/>
                <w:sz w:val="21"/>
                <w:szCs w:val="21"/>
              </w:rPr>
              <w:t>喷淋塔</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座</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3</w:t>
            </w:r>
            <w:r>
              <w:rPr>
                <w:bCs/>
                <w:sz w:val="21"/>
                <w:szCs w:val="21"/>
              </w:rPr>
              <w:t>6</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rPr>
            </w:pPr>
            <w:r>
              <w:rPr>
                <w:rFonts w:hint="eastAsia"/>
                <w:bCs/>
                <w:sz w:val="21"/>
                <w:szCs w:val="21"/>
              </w:rPr>
              <w:t>冷冻机</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套</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3</w:t>
            </w:r>
            <w:r>
              <w:rPr>
                <w:bCs/>
                <w:sz w:val="21"/>
                <w:szCs w:val="21"/>
              </w:rPr>
              <w:t>7</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rPr>
            </w:pPr>
            <w:r>
              <w:rPr>
                <w:rFonts w:hint="eastAsia"/>
                <w:bCs/>
                <w:sz w:val="21"/>
                <w:szCs w:val="21"/>
              </w:rPr>
              <w:t>空压机</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套</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3</w:t>
            </w:r>
            <w:r>
              <w:rPr>
                <w:bCs/>
                <w:sz w:val="21"/>
                <w:szCs w:val="21"/>
              </w:rPr>
              <w:t>8</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rPr>
            </w:pPr>
            <w:r>
              <w:rPr>
                <w:rFonts w:hint="eastAsia"/>
                <w:bCs/>
                <w:sz w:val="21"/>
                <w:szCs w:val="21"/>
              </w:rPr>
              <w:t>冷凝器</w:t>
            </w:r>
          </w:p>
        </w:tc>
        <w:tc>
          <w:tcPr>
            <w:tcW w:w="1095" w:type="pct"/>
            <w:vAlign w:val="center"/>
          </w:tcPr>
          <w:p>
            <w:pPr>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套</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3</w:t>
            </w:r>
            <w:r>
              <w:rPr>
                <w:bCs/>
                <w:sz w:val="21"/>
                <w:szCs w:val="21"/>
              </w:rPr>
              <w:t>9</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rPr>
            </w:pPr>
            <w:r>
              <w:rPr>
                <w:rFonts w:hint="eastAsia"/>
                <w:bCs/>
                <w:sz w:val="21"/>
                <w:szCs w:val="21"/>
              </w:rPr>
              <w:t>冷凝器</w:t>
            </w:r>
          </w:p>
        </w:tc>
        <w:tc>
          <w:tcPr>
            <w:tcW w:w="1095" w:type="pct"/>
            <w:vAlign w:val="center"/>
          </w:tcPr>
          <w:p>
            <w:pPr>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套</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4</w:t>
            </w:r>
            <w:r>
              <w:rPr>
                <w:bCs/>
                <w:sz w:val="21"/>
                <w:szCs w:val="21"/>
              </w:rPr>
              <w:t>0</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rPr>
            </w:pPr>
            <w:r>
              <w:rPr>
                <w:rFonts w:hint="eastAsia"/>
                <w:bCs/>
                <w:sz w:val="21"/>
                <w:szCs w:val="21"/>
              </w:rPr>
              <w:t>冷凝器</w:t>
            </w:r>
          </w:p>
        </w:tc>
        <w:tc>
          <w:tcPr>
            <w:tcW w:w="1095" w:type="pct"/>
            <w:vAlign w:val="center"/>
          </w:tcPr>
          <w:p>
            <w:pPr>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套</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4</w:t>
            </w:r>
            <w:r>
              <w:rPr>
                <w:bCs/>
                <w:sz w:val="21"/>
                <w:szCs w:val="21"/>
              </w:rPr>
              <w:t>1</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rPr>
            </w:pPr>
            <w:r>
              <w:rPr>
                <w:rFonts w:hint="eastAsia"/>
                <w:bCs/>
                <w:sz w:val="21"/>
                <w:szCs w:val="21"/>
              </w:rPr>
              <w:t>冷凝器</w:t>
            </w:r>
          </w:p>
        </w:tc>
        <w:tc>
          <w:tcPr>
            <w:tcW w:w="1095" w:type="pct"/>
            <w:vAlign w:val="center"/>
          </w:tcPr>
          <w:p>
            <w:pPr>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套</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4</w:t>
            </w:r>
            <w:r>
              <w:rPr>
                <w:bCs/>
                <w:sz w:val="21"/>
                <w:szCs w:val="21"/>
              </w:rPr>
              <w:t>2</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rPr>
            </w:pPr>
            <w:r>
              <w:rPr>
                <w:rFonts w:hint="eastAsia"/>
                <w:bCs/>
                <w:sz w:val="21"/>
                <w:szCs w:val="21"/>
              </w:rPr>
              <w:t>转子泵</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rPr>
            </w:pPr>
            <w:r>
              <w:rPr>
                <w:rFonts w:hint="eastAsia"/>
                <w:bCs/>
                <w:sz w:val="21"/>
                <w:szCs w:val="21"/>
              </w:rPr>
              <w:t>台</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4</w:t>
            </w:r>
            <w:r>
              <w:rPr>
                <w:bCs/>
                <w:sz w:val="21"/>
                <w:szCs w:val="21"/>
              </w:rPr>
              <w:t>3</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rPr>
            </w:pPr>
            <w:r>
              <w:rPr>
                <w:rFonts w:hint="eastAsia"/>
                <w:bCs/>
                <w:sz w:val="21"/>
                <w:szCs w:val="21"/>
              </w:rPr>
              <w:t>齿轮泵</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台</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4</w:t>
            </w:r>
            <w:r>
              <w:rPr>
                <w:bCs/>
                <w:sz w:val="21"/>
                <w:szCs w:val="21"/>
              </w:rPr>
              <w:t>4</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autoSpaceDE w:val="0"/>
              <w:autoSpaceDN w:val="0"/>
              <w:adjustRightInd w:val="0"/>
              <w:spacing w:line="240" w:lineRule="auto"/>
              <w:ind w:firstLine="0" w:firstLineChars="0"/>
              <w:jc w:val="center"/>
              <w:rPr>
                <w:bCs/>
                <w:sz w:val="21"/>
                <w:szCs w:val="21"/>
              </w:rPr>
            </w:pPr>
            <w:r>
              <w:rPr>
                <w:rFonts w:hint="eastAsia"/>
                <w:bCs/>
                <w:sz w:val="21"/>
                <w:szCs w:val="21"/>
              </w:rPr>
              <w:t>磁力泵</w:t>
            </w:r>
          </w:p>
        </w:tc>
        <w:tc>
          <w:tcPr>
            <w:tcW w:w="1095" w:type="pct"/>
            <w:vAlign w:val="center"/>
          </w:tcPr>
          <w:p>
            <w:pPr>
              <w:autoSpaceDE w:val="0"/>
              <w:autoSpaceDN w:val="0"/>
              <w:adjustRightInd w:val="0"/>
              <w:spacing w:line="240" w:lineRule="auto"/>
              <w:ind w:firstLine="0" w:firstLineChars="0"/>
              <w:jc w:val="center"/>
              <w:rPr>
                <w:bCs/>
                <w:sz w:val="21"/>
                <w:szCs w:val="21"/>
                <w:lang w:val="zh-CN"/>
              </w:rPr>
            </w:pPr>
          </w:p>
        </w:tc>
        <w:tc>
          <w:tcPr>
            <w:tcW w:w="1264" w:type="pct"/>
            <w:vAlign w:val="center"/>
          </w:tcPr>
          <w:p>
            <w:pPr>
              <w:autoSpaceDE w:val="0"/>
              <w:autoSpaceDN w:val="0"/>
              <w:adjustRightInd w:val="0"/>
              <w:spacing w:line="240" w:lineRule="auto"/>
              <w:ind w:firstLine="0" w:firstLineChars="0"/>
              <w:jc w:val="center"/>
              <w:rPr>
                <w:bCs/>
                <w:sz w:val="21"/>
                <w:szCs w:val="21"/>
                <w:lang w:val="zh-CN"/>
              </w:rPr>
            </w:pPr>
            <w:r>
              <w:rPr>
                <w:rFonts w:hint="eastAsia"/>
                <w:bCs/>
                <w:sz w:val="21"/>
                <w:szCs w:val="21"/>
              </w:rPr>
              <w:t>台</w:t>
            </w:r>
          </w:p>
        </w:tc>
        <w:tc>
          <w:tcPr>
            <w:tcW w:w="502" w:type="pct"/>
            <w:vAlign w:val="center"/>
          </w:tcPr>
          <w:p>
            <w:pPr>
              <w:autoSpaceDE w:val="0"/>
              <w:autoSpaceDN w:val="0"/>
              <w:adjustRightInd w:val="0"/>
              <w:spacing w:line="240" w:lineRule="auto"/>
              <w:ind w:firstLine="0" w:firstLineChars="0"/>
              <w:jc w:val="center"/>
              <w:rPr>
                <w:bCs/>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00" w:hRule="atLeast"/>
        </w:trPr>
        <w:tc>
          <w:tcPr>
            <w:tcW w:w="222" w:type="pct"/>
            <w:vAlign w:val="center"/>
          </w:tcPr>
          <w:p>
            <w:pPr>
              <w:spacing w:line="240" w:lineRule="auto"/>
              <w:ind w:firstLine="0" w:firstLineChars="0"/>
              <w:jc w:val="center"/>
              <w:rPr>
                <w:bCs/>
                <w:sz w:val="21"/>
                <w:szCs w:val="21"/>
              </w:rPr>
            </w:pPr>
            <w:r>
              <w:rPr>
                <w:rFonts w:hint="eastAsia"/>
                <w:bCs/>
                <w:sz w:val="21"/>
                <w:szCs w:val="21"/>
              </w:rPr>
              <w:t>4</w:t>
            </w:r>
            <w:r>
              <w:rPr>
                <w:bCs/>
                <w:sz w:val="21"/>
                <w:szCs w:val="21"/>
              </w:rPr>
              <w:t>5</w:t>
            </w:r>
          </w:p>
        </w:tc>
        <w:tc>
          <w:tcPr>
            <w:tcW w:w="411" w:type="pct"/>
            <w:gridSpan w:val="2"/>
            <w:vMerge w:val="restart"/>
            <w:vAlign w:val="center"/>
          </w:tcPr>
          <w:p>
            <w:pPr>
              <w:spacing w:line="240" w:lineRule="auto"/>
              <w:ind w:firstLine="0" w:firstLineChars="0"/>
              <w:jc w:val="center"/>
              <w:rPr>
                <w:bCs/>
                <w:kern w:val="0"/>
                <w:sz w:val="21"/>
                <w:szCs w:val="21"/>
              </w:rPr>
            </w:pPr>
            <w:r>
              <w:rPr>
                <w:bCs/>
                <w:sz w:val="21"/>
                <w:szCs w:val="21"/>
              </w:rPr>
              <w:t>罐区</w:t>
            </w:r>
          </w:p>
        </w:tc>
        <w:tc>
          <w:tcPr>
            <w:tcW w:w="1083" w:type="pct"/>
            <w:vAlign w:val="center"/>
          </w:tcPr>
          <w:p>
            <w:pPr>
              <w:spacing w:line="240" w:lineRule="auto"/>
              <w:ind w:firstLine="0" w:firstLineChars="0"/>
              <w:jc w:val="center"/>
              <w:rPr>
                <w:sz w:val="21"/>
                <w:szCs w:val="21"/>
              </w:rPr>
            </w:pPr>
            <w:r>
              <w:rPr>
                <w:rFonts w:hint="eastAsia"/>
                <w:sz w:val="21"/>
                <w:szCs w:val="21"/>
              </w:rPr>
              <w:t>原料罐</w:t>
            </w:r>
          </w:p>
        </w:tc>
        <w:tc>
          <w:tcPr>
            <w:tcW w:w="1095" w:type="pct"/>
            <w:vAlign w:val="center"/>
          </w:tcPr>
          <w:p>
            <w:pPr>
              <w:spacing w:line="240" w:lineRule="auto"/>
              <w:ind w:firstLine="0" w:firstLineChars="0"/>
              <w:jc w:val="center"/>
              <w:rPr>
                <w:sz w:val="21"/>
                <w:szCs w:val="21"/>
              </w:rPr>
            </w:pPr>
          </w:p>
        </w:tc>
        <w:tc>
          <w:tcPr>
            <w:tcW w:w="1264" w:type="pct"/>
            <w:vAlign w:val="center"/>
          </w:tcPr>
          <w:p>
            <w:pPr>
              <w:spacing w:line="240" w:lineRule="auto"/>
              <w:ind w:firstLine="0" w:firstLineChars="0"/>
              <w:jc w:val="center"/>
              <w:rPr>
                <w:sz w:val="21"/>
                <w:szCs w:val="21"/>
              </w:rPr>
            </w:pPr>
            <w:r>
              <w:rPr>
                <w:rFonts w:hint="eastAsia"/>
                <w:sz w:val="21"/>
                <w:szCs w:val="21"/>
              </w:rPr>
              <w:t>个</w:t>
            </w:r>
          </w:p>
        </w:tc>
        <w:tc>
          <w:tcPr>
            <w:tcW w:w="502" w:type="pct"/>
            <w:vAlign w:val="center"/>
          </w:tcPr>
          <w:p>
            <w:pPr>
              <w:spacing w:line="240" w:lineRule="auto"/>
              <w:ind w:firstLine="0" w:firstLineChars="0"/>
              <w:jc w:val="center"/>
              <w:rPr>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00" w:hRule="atLeast"/>
        </w:trPr>
        <w:tc>
          <w:tcPr>
            <w:tcW w:w="222" w:type="pct"/>
            <w:vAlign w:val="center"/>
          </w:tcPr>
          <w:p>
            <w:pPr>
              <w:spacing w:line="240" w:lineRule="auto"/>
              <w:ind w:firstLine="0" w:firstLineChars="0"/>
              <w:jc w:val="center"/>
              <w:rPr>
                <w:bCs/>
                <w:sz w:val="21"/>
                <w:szCs w:val="21"/>
              </w:rPr>
            </w:pPr>
            <w:r>
              <w:rPr>
                <w:rFonts w:hint="eastAsia"/>
                <w:bCs/>
                <w:sz w:val="21"/>
                <w:szCs w:val="21"/>
              </w:rPr>
              <w:t>4</w:t>
            </w:r>
            <w:r>
              <w:rPr>
                <w:bCs/>
                <w:sz w:val="21"/>
                <w:szCs w:val="21"/>
              </w:rPr>
              <w:t>6</w:t>
            </w:r>
          </w:p>
        </w:tc>
        <w:tc>
          <w:tcPr>
            <w:tcW w:w="411" w:type="pct"/>
            <w:gridSpan w:val="2"/>
            <w:vMerge w:val="continue"/>
            <w:vAlign w:val="center"/>
          </w:tcPr>
          <w:p>
            <w:pPr>
              <w:spacing w:line="240" w:lineRule="auto"/>
              <w:ind w:firstLine="0" w:firstLineChars="0"/>
              <w:jc w:val="center"/>
              <w:rPr>
                <w:bCs/>
                <w:sz w:val="21"/>
                <w:szCs w:val="21"/>
              </w:rPr>
            </w:pPr>
          </w:p>
        </w:tc>
        <w:tc>
          <w:tcPr>
            <w:tcW w:w="1083" w:type="pct"/>
            <w:vAlign w:val="center"/>
          </w:tcPr>
          <w:p>
            <w:pPr>
              <w:spacing w:line="240" w:lineRule="auto"/>
              <w:ind w:firstLine="0" w:firstLineChars="0"/>
              <w:jc w:val="center"/>
              <w:rPr>
                <w:sz w:val="21"/>
                <w:szCs w:val="21"/>
              </w:rPr>
            </w:pPr>
            <w:r>
              <w:rPr>
                <w:rFonts w:hint="eastAsia"/>
                <w:sz w:val="21"/>
                <w:szCs w:val="21"/>
              </w:rPr>
              <w:t>原料缓冲罐</w:t>
            </w:r>
          </w:p>
        </w:tc>
        <w:tc>
          <w:tcPr>
            <w:tcW w:w="1095" w:type="pct"/>
            <w:vAlign w:val="center"/>
          </w:tcPr>
          <w:p>
            <w:pPr>
              <w:spacing w:line="240" w:lineRule="auto"/>
              <w:ind w:firstLine="0" w:firstLineChars="0"/>
              <w:jc w:val="center"/>
              <w:rPr>
                <w:sz w:val="21"/>
                <w:szCs w:val="21"/>
              </w:rPr>
            </w:pPr>
          </w:p>
        </w:tc>
        <w:tc>
          <w:tcPr>
            <w:tcW w:w="1264" w:type="pct"/>
            <w:vAlign w:val="center"/>
          </w:tcPr>
          <w:p>
            <w:pPr>
              <w:spacing w:line="240" w:lineRule="auto"/>
              <w:ind w:firstLine="0" w:firstLineChars="0"/>
              <w:jc w:val="center"/>
              <w:rPr>
                <w:sz w:val="21"/>
                <w:szCs w:val="21"/>
              </w:rPr>
            </w:pPr>
            <w:r>
              <w:rPr>
                <w:rFonts w:hint="eastAsia"/>
                <w:sz w:val="21"/>
                <w:szCs w:val="21"/>
              </w:rPr>
              <w:t>个</w:t>
            </w:r>
          </w:p>
        </w:tc>
        <w:tc>
          <w:tcPr>
            <w:tcW w:w="502" w:type="pct"/>
            <w:vAlign w:val="center"/>
          </w:tcPr>
          <w:p>
            <w:pPr>
              <w:spacing w:line="240" w:lineRule="auto"/>
              <w:ind w:firstLine="0" w:firstLineChars="0"/>
              <w:jc w:val="center"/>
              <w:rPr>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4</w:t>
            </w:r>
            <w:r>
              <w:rPr>
                <w:bCs/>
                <w:sz w:val="21"/>
                <w:szCs w:val="21"/>
              </w:rPr>
              <w:t>7</w:t>
            </w:r>
          </w:p>
        </w:tc>
        <w:tc>
          <w:tcPr>
            <w:tcW w:w="201" w:type="pct"/>
            <w:vMerge w:val="restart"/>
            <w:vAlign w:val="center"/>
          </w:tcPr>
          <w:p>
            <w:pPr>
              <w:spacing w:line="240" w:lineRule="auto"/>
              <w:ind w:firstLine="0" w:firstLineChars="0"/>
              <w:jc w:val="center"/>
              <w:rPr>
                <w:bCs/>
                <w:kern w:val="0"/>
                <w:sz w:val="21"/>
                <w:szCs w:val="21"/>
              </w:rPr>
            </w:pPr>
            <w:r>
              <w:rPr>
                <w:rFonts w:hint="eastAsia"/>
                <w:bCs/>
                <w:kern w:val="0"/>
                <w:sz w:val="21"/>
                <w:szCs w:val="21"/>
              </w:rPr>
              <w:t>公用工程</w:t>
            </w:r>
          </w:p>
        </w:tc>
        <w:tc>
          <w:tcPr>
            <w:tcW w:w="210" w:type="pct"/>
            <w:vMerge w:val="restart"/>
            <w:vAlign w:val="center"/>
          </w:tcPr>
          <w:p>
            <w:pPr>
              <w:spacing w:line="240" w:lineRule="auto"/>
              <w:ind w:firstLine="0" w:firstLineChars="0"/>
              <w:jc w:val="center"/>
              <w:rPr>
                <w:bCs/>
                <w:kern w:val="0"/>
                <w:sz w:val="21"/>
                <w:szCs w:val="21"/>
              </w:rPr>
            </w:pPr>
            <w:r>
              <w:rPr>
                <w:rFonts w:hint="eastAsia"/>
                <w:bCs/>
                <w:kern w:val="0"/>
                <w:sz w:val="21"/>
                <w:szCs w:val="21"/>
              </w:rPr>
              <w:t>锅炉房</w:t>
            </w:r>
          </w:p>
        </w:tc>
        <w:tc>
          <w:tcPr>
            <w:tcW w:w="1083" w:type="pct"/>
            <w:vAlign w:val="center"/>
          </w:tcPr>
          <w:p>
            <w:pPr>
              <w:spacing w:line="240" w:lineRule="auto"/>
              <w:ind w:firstLine="0" w:firstLineChars="0"/>
              <w:jc w:val="center"/>
              <w:rPr>
                <w:sz w:val="21"/>
                <w:szCs w:val="21"/>
              </w:rPr>
            </w:pPr>
            <w:r>
              <w:rPr>
                <w:rFonts w:hint="eastAsia"/>
                <w:sz w:val="21"/>
                <w:szCs w:val="21"/>
              </w:rPr>
              <w:t>导热油炉</w:t>
            </w:r>
          </w:p>
        </w:tc>
        <w:tc>
          <w:tcPr>
            <w:tcW w:w="1095" w:type="pct"/>
            <w:vAlign w:val="center"/>
          </w:tcPr>
          <w:p>
            <w:pPr>
              <w:spacing w:line="240" w:lineRule="auto"/>
              <w:ind w:firstLine="0" w:firstLineChars="0"/>
              <w:jc w:val="center"/>
              <w:rPr>
                <w:sz w:val="21"/>
                <w:szCs w:val="21"/>
              </w:rPr>
            </w:pPr>
          </w:p>
        </w:tc>
        <w:tc>
          <w:tcPr>
            <w:tcW w:w="1264" w:type="pct"/>
            <w:vAlign w:val="center"/>
          </w:tcPr>
          <w:p>
            <w:pPr>
              <w:spacing w:line="240" w:lineRule="auto"/>
              <w:ind w:firstLine="0" w:firstLineChars="0"/>
              <w:jc w:val="center"/>
              <w:rPr>
                <w:sz w:val="21"/>
                <w:szCs w:val="21"/>
              </w:rPr>
            </w:pPr>
            <w:r>
              <w:rPr>
                <w:rFonts w:hint="eastAsia"/>
                <w:sz w:val="21"/>
                <w:szCs w:val="21"/>
              </w:rPr>
              <w:t>套</w:t>
            </w:r>
          </w:p>
        </w:tc>
        <w:tc>
          <w:tcPr>
            <w:tcW w:w="502" w:type="pct"/>
            <w:vAlign w:val="center"/>
          </w:tcPr>
          <w:p>
            <w:pPr>
              <w:spacing w:line="240" w:lineRule="auto"/>
              <w:ind w:firstLine="0" w:firstLineChars="0"/>
              <w:jc w:val="center"/>
              <w:rPr>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4</w:t>
            </w:r>
            <w:r>
              <w:rPr>
                <w:bCs/>
                <w:sz w:val="21"/>
                <w:szCs w:val="21"/>
              </w:rPr>
              <w:t>8</w:t>
            </w:r>
          </w:p>
        </w:tc>
        <w:tc>
          <w:tcPr>
            <w:tcW w:w="201" w:type="pct"/>
            <w:vMerge w:val="continue"/>
            <w:vAlign w:val="center"/>
          </w:tcPr>
          <w:p>
            <w:pPr>
              <w:spacing w:line="240" w:lineRule="auto"/>
              <w:ind w:firstLine="0" w:firstLineChars="0"/>
              <w:jc w:val="center"/>
              <w:rPr>
                <w:bCs/>
                <w:kern w:val="0"/>
                <w:sz w:val="21"/>
                <w:szCs w:val="21"/>
              </w:rPr>
            </w:pPr>
          </w:p>
        </w:tc>
        <w:tc>
          <w:tcPr>
            <w:tcW w:w="210" w:type="pct"/>
            <w:vMerge w:val="continue"/>
            <w:vAlign w:val="center"/>
          </w:tcPr>
          <w:p>
            <w:pPr>
              <w:spacing w:line="240" w:lineRule="auto"/>
              <w:ind w:firstLine="0" w:firstLineChars="0"/>
              <w:jc w:val="center"/>
              <w:rPr>
                <w:bCs/>
                <w:kern w:val="0"/>
                <w:sz w:val="21"/>
                <w:szCs w:val="21"/>
              </w:rPr>
            </w:pPr>
          </w:p>
        </w:tc>
        <w:tc>
          <w:tcPr>
            <w:tcW w:w="1083" w:type="pct"/>
            <w:vAlign w:val="center"/>
          </w:tcPr>
          <w:p>
            <w:pPr>
              <w:spacing w:line="240" w:lineRule="auto"/>
              <w:ind w:firstLine="0" w:firstLineChars="0"/>
              <w:jc w:val="center"/>
              <w:rPr>
                <w:sz w:val="21"/>
                <w:szCs w:val="21"/>
              </w:rPr>
            </w:pPr>
            <w:r>
              <w:rPr>
                <w:rFonts w:hint="eastAsia"/>
                <w:sz w:val="21"/>
                <w:szCs w:val="21"/>
              </w:rPr>
              <w:t>热媒离心泵</w:t>
            </w:r>
          </w:p>
        </w:tc>
        <w:tc>
          <w:tcPr>
            <w:tcW w:w="1095" w:type="pct"/>
            <w:vAlign w:val="center"/>
          </w:tcPr>
          <w:p>
            <w:pPr>
              <w:spacing w:line="240" w:lineRule="auto"/>
              <w:ind w:firstLine="0" w:firstLineChars="0"/>
              <w:jc w:val="center"/>
              <w:rPr>
                <w:sz w:val="21"/>
                <w:szCs w:val="21"/>
              </w:rPr>
            </w:pPr>
          </w:p>
        </w:tc>
        <w:tc>
          <w:tcPr>
            <w:tcW w:w="1264" w:type="pct"/>
            <w:vAlign w:val="center"/>
          </w:tcPr>
          <w:p>
            <w:pPr>
              <w:spacing w:line="240" w:lineRule="auto"/>
              <w:ind w:firstLine="0" w:firstLineChars="0"/>
              <w:jc w:val="center"/>
              <w:rPr>
                <w:sz w:val="21"/>
                <w:szCs w:val="21"/>
              </w:rPr>
            </w:pPr>
            <w:r>
              <w:rPr>
                <w:rFonts w:hint="eastAsia"/>
                <w:sz w:val="21"/>
                <w:szCs w:val="21"/>
              </w:rPr>
              <w:t>台</w:t>
            </w:r>
          </w:p>
        </w:tc>
        <w:tc>
          <w:tcPr>
            <w:tcW w:w="502" w:type="pct"/>
            <w:vAlign w:val="center"/>
          </w:tcPr>
          <w:p>
            <w:pPr>
              <w:spacing w:line="240" w:lineRule="auto"/>
              <w:ind w:firstLine="0" w:firstLineChars="0"/>
              <w:jc w:val="center"/>
              <w:rPr>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4</w:t>
            </w:r>
            <w:r>
              <w:rPr>
                <w:bCs/>
                <w:sz w:val="21"/>
                <w:szCs w:val="21"/>
              </w:rPr>
              <w:t>9</w:t>
            </w:r>
          </w:p>
        </w:tc>
        <w:tc>
          <w:tcPr>
            <w:tcW w:w="201" w:type="pct"/>
            <w:vMerge w:val="continue"/>
            <w:vAlign w:val="center"/>
          </w:tcPr>
          <w:p>
            <w:pPr>
              <w:spacing w:line="240" w:lineRule="auto"/>
              <w:ind w:firstLine="0" w:firstLineChars="0"/>
              <w:jc w:val="center"/>
              <w:rPr>
                <w:bCs/>
                <w:kern w:val="0"/>
                <w:sz w:val="21"/>
                <w:szCs w:val="21"/>
              </w:rPr>
            </w:pPr>
          </w:p>
        </w:tc>
        <w:tc>
          <w:tcPr>
            <w:tcW w:w="210" w:type="pct"/>
            <w:vMerge w:val="continue"/>
            <w:vAlign w:val="center"/>
          </w:tcPr>
          <w:p>
            <w:pPr>
              <w:spacing w:line="240" w:lineRule="auto"/>
              <w:ind w:firstLine="0" w:firstLineChars="0"/>
              <w:jc w:val="center"/>
              <w:rPr>
                <w:bCs/>
                <w:kern w:val="0"/>
                <w:sz w:val="21"/>
                <w:szCs w:val="21"/>
              </w:rPr>
            </w:pPr>
          </w:p>
        </w:tc>
        <w:tc>
          <w:tcPr>
            <w:tcW w:w="1083" w:type="pct"/>
            <w:vAlign w:val="center"/>
          </w:tcPr>
          <w:p>
            <w:pPr>
              <w:spacing w:line="240" w:lineRule="auto"/>
              <w:ind w:firstLine="0" w:firstLineChars="0"/>
              <w:jc w:val="center"/>
              <w:rPr>
                <w:sz w:val="21"/>
                <w:szCs w:val="21"/>
              </w:rPr>
            </w:pPr>
            <w:r>
              <w:rPr>
                <w:rFonts w:hint="eastAsia"/>
                <w:sz w:val="21"/>
                <w:szCs w:val="21"/>
              </w:rPr>
              <w:t>低氮燃烧器</w:t>
            </w:r>
          </w:p>
        </w:tc>
        <w:tc>
          <w:tcPr>
            <w:tcW w:w="1095" w:type="pct"/>
            <w:vAlign w:val="center"/>
          </w:tcPr>
          <w:p>
            <w:pPr>
              <w:spacing w:line="240" w:lineRule="auto"/>
              <w:ind w:firstLine="0" w:firstLineChars="0"/>
              <w:jc w:val="center"/>
              <w:rPr>
                <w:sz w:val="21"/>
                <w:szCs w:val="21"/>
              </w:rPr>
            </w:pPr>
          </w:p>
        </w:tc>
        <w:tc>
          <w:tcPr>
            <w:tcW w:w="1264" w:type="pct"/>
            <w:vAlign w:val="center"/>
          </w:tcPr>
          <w:p>
            <w:pPr>
              <w:spacing w:line="240" w:lineRule="auto"/>
              <w:ind w:firstLine="0" w:firstLineChars="0"/>
              <w:jc w:val="center"/>
              <w:rPr>
                <w:sz w:val="21"/>
                <w:szCs w:val="21"/>
              </w:rPr>
            </w:pPr>
            <w:r>
              <w:rPr>
                <w:rFonts w:hint="eastAsia"/>
                <w:sz w:val="21"/>
                <w:szCs w:val="21"/>
              </w:rPr>
              <w:t>台</w:t>
            </w:r>
          </w:p>
        </w:tc>
        <w:tc>
          <w:tcPr>
            <w:tcW w:w="502" w:type="pct"/>
            <w:vAlign w:val="center"/>
          </w:tcPr>
          <w:p>
            <w:pPr>
              <w:spacing w:line="240" w:lineRule="auto"/>
              <w:ind w:firstLine="0" w:firstLineChars="0"/>
              <w:jc w:val="center"/>
              <w:rPr>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5</w:t>
            </w:r>
            <w:r>
              <w:rPr>
                <w:bCs/>
                <w:sz w:val="21"/>
                <w:szCs w:val="21"/>
              </w:rPr>
              <w:t>0</w:t>
            </w:r>
          </w:p>
        </w:tc>
        <w:tc>
          <w:tcPr>
            <w:tcW w:w="201" w:type="pct"/>
            <w:vMerge w:val="continue"/>
            <w:vAlign w:val="center"/>
          </w:tcPr>
          <w:p>
            <w:pPr>
              <w:spacing w:line="240" w:lineRule="auto"/>
              <w:ind w:firstLine="0" w:firstLineChars="0"/>
              <w:jc w:val="center"/>
              <w:rPr>
                <w:bCs/>
                <w:kern w:val="0"/>
                <w:sz w:val="21"/>
                <w:szCs w:val="21"/>
              </w:rPr>
            </w:pPr>
          </w:p>
        </w:tc>
        <w:tc>
          <w:tcPr>
            <w:tcW w:w="210" w:type="pct"/>
            <w:vMerge w:val="restart"/>
            <w:vAlign w:val="center"/>
          </w:tcPr>
          <w:p>
            <w:pPr>
              <w:spacing w:line="240" w:lineRule="auto"/>
              <w:ind w:firstLine="0" w:firstLineChars="0"/>
              <w:jc w:val="center"/>
              <w:rPr>
                <w:bCs/>
                <w:kern w:val="0"/>
                <w:sz w:val="21"/>
                <w:szCs w:val="21"/>
              </w:rPr>
            </w:pPr>
            <w:r>
              <w:rPr>
                <w:bCs/>
                <w:kern w:val="0"/>
                <w:sz w:val="21"/>
                <w:szCs w:val="21"/>
              </w:rPr>
              <w:t>循环冷却系统</w:t>
            </w:r>
          </w:p>
        </w:tc>
        <w:tc>
          <w:tcPr>
            <w:tcW w:w="1083" w:type="pct"/>
            <w:vAlign w:val="center"/>
          </w:tcPr>
          <w:p>
            <w:pPr>
              <w:spacing w:line="240" w:lineRule="auto"/>
              <w:ind w:firstLine="0" w:firstLineChars="0"/>
              <w:jc w:val="center"/>
              <w:rPr>
                <w:sz w:val="21"/>
                <w:szCs w:val="21"/>
              </w:rPr>
            </w:pPr>
            <w:r>
              <w:rPr>
                <w:rFonts w:hint="eastAsia"/>
                <w:sz w:val="21"/>
                <w:szCs w:val="21"/>
              </w:rPr>
              <w:t>水冷螺杆冷水机组</w:t>
            </w:r>
          </w:p>
        </w:tc>
        <w:tc>
          <w:tcPr>
            <w:tcW w:w="1095" w:type="pct"/>
            <w:vAlign w:val="center"/>
          </w:tcPr>
          <w:p>
            <w:pPr>
              <w:spacing w:line="240" w:lineRule="auto"/>
              <w:ind w:firstLine="0" w:firstLineChars="0"/>
              <w:jc w:val="center"/>
              <w:rPr>
                <w:sz w:val="21"/>
                <w:szCs w:val="21"/>
              </w:rPr>
            </w:pPr>
          </w:p>
        </w:tc>
        <w:tc>
          <w:tcPr>
            <w:tcW w:w="1264" w:type="pct"/>
            <w:vAlign w:val="center"/>
          </w:tcPr>
          <w:p>
            <w:pPr>
              <w:spacing w:line="240" w:lineRule="auto"/>
              <w:ind w:firstLine="0" w:firstLineChars="0"/>
              <w:jc w:val="center"/>
              <w:rPr>
                <w:sz w:val="21"/>
                <w:szCs w:val="21"/>
              </w:rPr>
            </w:pPr>
            <w:r>
              <w:rPr>
                <w:rFonts w:hint="eastAsia"/>
                <w:sz w:val="21"/>
                <w:szCs w:val="21"/>
              </w:rPr>
              <w:t>套</w:t>
            </w:r>
          </w:p>
        </w:tc>
        <w:tc>
          <w:tcPr>
            <w:tcW w:w="502" w:type="pct"/>
            <w:vAlign w:val="center"/>
          </w:tcPr>
          <w:p>
            <w:pPr>
              <w:spacing w:line="240" w:lineRule="auto"/>
              <w:ind w:firstLine="0" w:firstLineChars="0"/>
              <w:jc w:val="center"/>
              <w:rPr>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5</w:t>
            </w:r>
            <w:r>
              <w:rPr>
                <w:bCs/>
                <w:sz w:val="21"/>
                <w:szCs w:val="21"/>
              </w:rPr>
              <w:t>1</w:t>
            </w:r>
          </w:p>
        </w:tc>
        <w:tc>
          <w:tcPr>
            <w:tcW w:w="201" w:type="pct"/>
            <w:vMerge w:val="continue"/>
            <w:vAlign w:val="center"/>
          </w:tcPr>
          <w:p>
            <w:pPr>
              <w:spacing w:line="240" w:lineRule="auto"/>
              <w:ind w:firstLine="0" w:firstLineChars="0"/>
              <w:jc w:val="center"/>
              <w:rPr>
                <w:bCs/>
                <w:kern w:val="0"/>
                <w:sz w:val="21"/>
                <w:szCs w:val="21"/>
              </w:rPr>
            </w:pPr>
          </w:p>
        </w:tc>
        <w:tc>
          <w:tcPr>
            <w:tcW w:w="210" w:type="pct"/>
            <w:vMerge w:val="continue"/>
            <w:vAlign w:val="center"/>
          </w:tcPr>
          <w:p>
            <w:pPr>
              <w:spacing w:line="240" w:lineRule="auto"/>
              <w:ind w:firstLine="0" w:firstLineChars="0"/>
              <w:jc w:val="center"/>
              <w:rPr>
                <w:bCs/>
                <w:kern w:val="0"/>
                <w:sz w:val="21"/>
                <w:szCs w:val="21"/>
              </w:rPr>
            </w:pPr>
          </w:p>
        </w:tc>
        <w:tc>
          <w:tcPr>
            <w:tcW w:w="1083" w:type="pct"/>
            <w:vAlign w:val="center"/>
          </w:tcPr>
          <w:p>
            <w:pPr>
              <w:spacing w:line="240" w:lineRule="auto"/>
              <w:ind w:firstLine="0" w:firstLineChars="0"/>
              <w:jc w:val="center"/>
              <w:rPr>
                <w:sz w:val="21"/>
                <w:szCs w:val="21"/>
              </w:rPr>
            </w:pPr>
            <w:r>
              <w:rPr>
                <w:rFonts w:hint="eastAsia"/>
                <w:sz w:val="21"/>
                <w:szCs w:val="21"/>
              </w:rPr>
              <w:t>逆流式冷却塔</w:t>
            </w:r>
          </w:p>
        </w:tc>
        <w:tc>
          <w:tcPr>
            <w:tcW w:w="1095" w:type="pct"/>
            <w:vAlign w:val="center"/>
          </w:tcPr>
          <w:p>
            <w:pPr>
              <w:spacing w:line="240" w:lineRule="auto"/>
              <w:ind w:firstLine="0" w:firstLineChars="0"/>
              <w:jc w:val="center"/>
              <w:rPr>
                <w:sz w:val="21"/>
                <w:szCs w:val="21"/>
              </w:rPr>
            </w:pPr>
          </w:p>
        </w:tc>
        <w:tc>
          <w:tcPr>
            <w:tcW w:w="1264" w:type="pct"/>
            <w:vAlign w:val="center"/>
          </w:tcPr>
          <w:p>
            <w:pPr>
              <w:spacing w:line="240" w:lineRule="auto"/>
              <w:ind w:firstLine="0" w:firstLineChars="0"/>
              <w:jc w:val="center"/>
              <w:rPr>
                <w:sz w:val="21"/>
                <w:szCs w:val="21"/>
              </w:rPr>
            </w:pPr>
            <w:r>
              <w:rPr>
                <w:rFonts w:hint="eastAsia"/>
                <w:sz w:val="21"/>
                <w:szCs w:val="21"/>
              </w:rPr>
              <w:t>台</w:t>
            </w:r>
          </w:p>
        </w:tc>
        <w:tc>
          <w:tcPr>
            <w:tcW w:w="502" w:type="pct"/>
            <w:vAlign w:val="center"/>
          </w:tcPr>
          <w:p>
            <w:pPr>
              <w:spacing w:line="240" w:lineRule="auto"/>
              <w:ind w:firstLine="0" w:firstLineChars="0"/>
              <w:jc w:val="center"/>
              <w:rPr>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5</w:t>
            </w:r>
            <w:r>
              <w:rPr>
                <w:bCs/>
                <w:sz w:val="21"/>
                <w:szCs w:val="21"/>
              </w:rPr>
              <w:t>2</w:t>
            </w:r>
          </w:p>
        </w:tc>
        <w:tc>
          <w:tcPr>
            <w:tcW w:w="201" w:type="pct"/>
            <w:vMerge w:val="continue"/>
            <w:vAlign w:val="center"/>
          </w:tcPr>
          <w:p>
            <w:pPr>
              <w:spacing w:line="240" w:lineRule="auto"/>
              <w:ind w:firstLine="0" w:firstLineChars="0"/>
              <w:jc w:val="center"/>
              <w:rPr>
                <w:bCs/>
                <w:kern w:val="0"/>
                <w:sz w:val="21"/>
                <w:szCs w:val="21"/>
              </w:rPr>
            </w:pPr>
          </w:p>
        </w:tc>
        <w:tc>
          <w:tcPr>
            <w:tcW w:w="210" w:type="pct"/>
            <w:vMerge w:val="continue"/>
            <w:vAlign w:val="center"/>
          </w:tcPr>
          <w:p>
            <w:pPr>
              <w:spacing w:line="240" w:lineRule="auto"/>
              <w:ind w:firstLine="0" w:firstLineChars="0"/>
              <w:jc w:val="center"/>
              <w:rPr>
                <w:bCs/>
                <w:kern w:val="0"/>
                <w:sz w:val="21"/>
                <w:szCs w:val="21"/>
              </w:rPr>
            </w:pPr>
          </w:p>
        </w:tc>
        <w:tc>
          <w:tcPr>
            <w:tcW w:w="1083" w:type="pct"/>
            <w:vAlign w:val="center"/>
          </w:tcPr>
          <w:p>
            <w:pPr>
              <w:spacing w:line="240" w:lineRule="auto"/>
              <w:ind w:firstLine="0" w:firstLineChars="0"/>
              <w:jc w:val="center"/>
              <w:rPr>
                <w:sz w:val="21"/>
                <w:szCs w:val="21"/>
              </w:rPr>
            </w:pPr>
            <w:r>
              <w:rPr>
                <w:rFonts w:hint="eastAsia"/>
                <w:sz w:val="21"/>
                <w:szCs w:val="21"/>
              </w:rPr>
              <w:t>循环水泵</w:t>
            </w:r>
          </w:p>
        </w:tc>
        <w:tc>
          <w:tcPr>
            <w:tcW w:w="1095" w:type="pct"/>
            <w:vAlign w:val="center"/>
          </w:tcPr>
          <w:p>
            <w:pPr>
              <w:spacing w:line="240" w:lineRule="auto"/>
              <w:ind w:firstLine="0" w:firstLineChars="0"/>
              <w:jc w:val="center"/>
              <w:rPr>
                <w:sz w:val="21"/>
                <w:szCs w:val="21"/>
              </w:rPr>
            </w:pPr>
          </w:p>
        </w:tc>
        <w:tc>
          <w:tcPr>
            <w:tcW w:w="1264" w:type="pct"/>
            <w:vAlign w:val="center"/>
          </w:tcPr>
          <w:p>
            <w:pPr>
              <w:spacing w:line="240" w:lineRule="auto"/>
              <w:ind w:firstLine="0" w:firstLineChars="0"/>
              <w:jc w:val="center"/>
              <w:rPr>
                <w:sz w:val="21"/>
                <w:szCs w:val="21"/>
              </w:rPr>
            </w:pPr>
            <w:r>
              <w:rPr>
                <w:rFonts w:hint="eastAsia"/>
                <w:sz w:val="21"/>
                <w:szCs w:val="21"/>
              </w:rPr>
              <w:t>台</w:t>
            </w:r>
          </w:p>
        </w:tc>
        <w:tc>
          <w:tcPr>
            <w:tcW w:w="502" w:type="pct"/>
            <w:vAlign w:val="center"/>
          </w:tcPr>
          <w:p>
            <w:pPr>
              <w:spacing w:line="240" w:lineRule="auto"/>
              <w:ind w:firstLine="0" w:firstLineChars="0"/>
              <w:jc w:val="center"/>
              <w:rPr>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43" w:hRule="atLeast"/>
        </w:trPr>
        <w:tc>
          <w:tcPr>
            <w:tcW w:w="222" w:type="pct"/>
            <w:vAlign w:val="center"/>
          </w:tcPr>
          <w:p>
            <w:pPr>
              <w:spacing w:line="240" w:lineRule="auto"/>
              <w:ind w:firstLine="0" w:firstLineChars="0"/>
              <w:jc w:val="center"/>
              <w:rPr>
                <w:bCs/>
                <w:sz w:val="21"/>
                <w:szCs w:val="21"/>
              </w:rPr>
            </w:pPr>
            <w:r>
              <w:rPr>
                <w:rFonts w:hint="eastAsia"/>
                <w:bCs/>
                <w:sz w:val="21"/>
                <w:szCs w:val="21"/>
              </w:rPr>
              <w:t>5</w:t>
            </w:r>
            <w:r>
              <w:rPr>
                <w:bCs/>
                <w:sz w:val="21"/>
                <w:szCs w:val="21"/>
              </w:rPr>
              <w:t>3</w:t>
            </w:r>
          </w:p>
        </w:tc>
        <w:tc>
          <w:tcPr>
            <w:tcW w:w="201" w:type="pct"/>
            <w:vMerge w:val="continue"/>
            <w:vAlign w:val="center"/>
          </w:tcPr>
          <w:p>
            <w:pPr>
              <w:spacing w:line="240" w:lineRule="auto"/>
              <w:ind w:firstLine="0" w:firstLineChars="0"/>
              <w:jc w:val="center"/>
              <w:rPr>
                <w:bCs/>
                <w:kern w:val="0"/>
                <w:sz w:val="21"/>
                <w:szCs w:val="21"/>
              </w:rPr>
            </w:pPr>
          </w:p>
        </w:tc>
        <w:tc>
          <w:tcPr>
            <w:tcW w:w="210" w:type="pct"/>
            <w:vMerge w:val="restart"/>
            <w:vAlign w:val="center"/>
          </w:tcPr>
          <w:p>
            <w:pPr>
              <w:spacing w:line="240" w:lineRule="auto"/>
              <w:ind w:firstLine="0" w:firstLineChars="0"/>
              <w:jc w:val="center"/>
              <w:rPr>
                <w:bCs/>
                <w:kern w:val="0"/>
                <w:sz w:val="21"/>
                <w:szCs w:val="21"/>
              </w:rPr>
            </w:pPr>
            <w:r>
              <w:rPr>
                <w:bCs/>
                <w:kern w:val="0"/>
                <w:sz w:val="21"/>
                <w:szCs w:val="21"/>
              </w:rPr>
              <w:t>消防系统</w:t>
            </w:r>
          </w:p>
        </w:tc>
        <w:tc>
          <w:tcPr>
            <w:tcW w:w="1083" w:type="pct"/>
            <w:vAlign w:val="center"/>
          </w:tcPr>
          <w:p>
            <w:pPr>
              <w:spacing w:line="240" w:lineRule="auto"/>
              <w:ind w:firstLine="0" w:firstLineChars="0"/>
              <w:jc w:val="center"/>
              <w:rPr>
                <w:sz w:val="21"/>
                <w:szCs w:val="21"/>
              </w:rPr>
            </w:pPr>
            <w:r>
              <w:rPr>
                <w:rFonts w:hint="eastAsia"/>
                <w:sz w:val="21"/>
                <w:szCs w:val="21"/>
              </w:rPr>
              <w:t>消防水泵</w:t>
            </w:r>
          </w:p>
        </w:tc>
        <w:tc>
          <w:tcPr>
            <w:tcW w:w="1095" w:type="pct"/>
            <w:vAlign w:val="center"/>
          </w:tcPr>
          <w:p>
            <w:pPr>
              <w:spacing w:line="240" w:lineRule="auto"/>
              <w:ind w:firstLine="0" w:firstLineChars="0"/>
              <w:jc w:val="center"/>
              <w:rPr>
                <w:sz w:val="21"/>
                <w:szCs w:val="21"/>
              </w:rPr>
            </w:pPr>
          </w:p>
        </w:tc>
        <w:tc>
          <w:tcPr>
            <w:tcW w:w="1264" w:type="pct"/>
            <w:vAlign w:val="center"/>
          </w:tcPr>
          <w:p>
            <w:pPr>
              <w:spacing w:line="240" w:lineRule="auto"/>
              <w:ind w:firstLine="0" w:firstLineChars="0"/>
              <w:jc w:val="center"/>
              <w:rPr>
                <w:sz w:val="21"/>
                <w:szCs w:val="21"/>
              </w:rPr>
            </w:pPr>
            <w:r>
              <w:rPr>
                <w:rFonts w:hint="eastAsia"/>
                <w:sz w:val="21"/>
                <w:szCs w:val="21"/>
              </w:rPr>
              <w:t>台</w:t>
            </w:r>
          </w:p>
        </w:tc>
        <w:tc>
          <w:tcPr>
            <w:tcW w:w="502" w:type="pct"/>
            <w:vAlign w:val="center"/>
          </w:tcPr>
          <w:p>
            <w:pPr>
              <w:spacing w:line="240" w:lineRule="auto"/>
              <w:ind w:firstLine="0" w:firstLineChars="0"/>
              <w:jc w:val="center"/>
              <w:rPr>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5</w:t>
            </w:r>
            <w:r>
              <w:rPr>
                <w:bCs/>
                <w:sz w:val="21"/>
                <w:szCs w:val="21"/>
              </w:rPr>
              <w:t>4</w:t>
            </w:r>
          </w:p>
        </w:tc>
        <w:tc>
          <w:tcPr>
            <w:tcW w:w="201" w:type="pct"/>
            <w:vMerge w:val="continue"/>
            <w:vAlign w:val="center"/>
          </w:tcPr>
          <w:p>
            <w:pPr>
              <w:spacing w:line="240" w:lineRule="auto"/>
              <w:ind w:firstLine="0" w:firstLineChars="0"/>
              <w:jc w:val="center"/>
              <w:rPr>
                <w:bCs/>
                <w:kern w:val="0"/>
                <w:sz w:val="21"/>
                <w:szCs w:val="21"/>
              </w:rPr>
            </w:pPr>
          </w:p>
        </w:tc>
        <w:tc>
          <w:tcPr>
            <w:tcW w:w="210" w:type="pct"/>
            <w:vMerge w:val="continue"/>
            <w:vAlign w:val="center"/>
          </w:tcPr>
          <w:p>
            <w:pPr>
              <w:spacing w:line="240" w:lineRule="auto"/>
              <w:ind w:firstLine="0" w:firstLineChars="0"/>
              <w:jc w:val="center"/>
              <w:rPr>
                <w:bCs/>
                <w:kern w:val="0"/>
                <w:sz w:val="21"/>
                <w:szCs w:val="21"/>
              </w:rPr>
            </w:pPr>
          </w:p>
        </w:tc>
        <w:tc>
          <w:tcPr>
            <w:tcW w:w="1083" w:type="pct"/>
            <w:vAlign w:val="center"/>
          </w:tcPr>
          <w:p>
            <w:pPr>
              <w:spacing w:line="240" w:lineRule="auto"/>
              <w:ind w:firstLine="0" w:firstLineChars="0"/>
              <w:jc w:val="center"/>
              <w:rPr>
                <w:sz w:val="21"/>
                <w:szCs w:val="21"/>
              </w:rPr>
            </w:pPr>
            <w:r>
              <w:rPr>
                <w:rFonts w:hint="eastAsia"/>
                <w:sz w:val="21"/>
                <w:szCs w:val="21"/>
              </w:rPr>
              <w:t>潜污泵</w:t>
            </w:r>
          </w:p>
        </w:tc>
        <w:tc>
          <w:tcPr>
            <w:tcW w:w="1095" w:type="pct"/>
            <w:vAlign w:val="center"/>
          </w:tcPr>
          <w:p>
            <w:pPr>
              <w:spacing w:line="240" w:lineRule="auto"/>
              <w:ind w:firstLine="0" w:firstLineChars="0"/>
              <w:jc w:val="center"/>
              <w:rPr>
                <w:sz w:val="21"/>
                <w:szCs w:val="21"/>
              </w:rPr>
            </w:pPr>
          </w:p>
        </w:tc>
        <w:tc>
          <w:tcPr>
            <w:tcW w:w="1264" w:type="pct"/>
            <w:vAlign w:val="center"/>
          </w:tcPr>
          <w:p>
            <w:pPr>
              <w:spacing w:line="240" w:lineRule="auto"/>
              <w:ind w:firstLine="0" w:firstLineChars="0"/>
              <w:jc w:val="center"/>
              <w:rPr>
                <w:sz w:val="21"/>
                <w:szCs w:val="21"/>
              </w:rPr>
            </w:pPr>
            <w:r>
              <w:rPr>
                <w:rFonts w:hint="eastAsia"/>
                <w:sz w:val="21"/>
                <w:szCs w:val="21"/>
              </w:rPr>
              <w:t>台</w:t>
            </w:r>
          </w:p>
        </w:tc>
        <w:tc>
          <w:tcPr>
            <w:tcW w:w="502" w:type="pct"/>
            <w:vAlign w:val="center"/>
          </w:tcPr>
          <w:p>
            <w:pPr>
              <w:spacing w:line="240" w:lineRule="auto"/>
              <w:ind w:firstLine="0" w:firstLineChars="0"/>
              <w:jc w:val="center"/>
              <w:rPr>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5</w:t>
            </w:r>
            <w:r>
              <w:rPr>
                <w:bCs/>
                <w:sz w:val="21"/>
                <w:szCs w:val="21"/>
              </w:rPr>
              <w:t>5</w:t>
            </w:r>
          </w:p>
        </w:tc>
        <w:tc>
          <w:tcPr>
            <w:tcW w:w="411" w:type="pct"/>
            <w:gridSpan w:val="2"/>
            <w:vMerge w:val="restart"/>
            <w:vAlign w:val="center"/>
          </w:tcPr>
          <w:p>
            <w:pPr>
              <w:spacing w:line="240" w:lineRule="auto"/>
              <w:ind w:firstLine="0" w:firstLineChars="0"/>
              <w:jc w:val="center"/>
              <w:rPr>
                <w:bCs/>
                <w:kern w:val="0"/>
                <w:sz w:val="21"/>
                <w:szCs w:val="21"/>
              </w:rPr>
            </w:pPr>
            <w:r>
              <w:rPr>
                <w:rFonts w:hint="eastAsia"/>
                <w:bCs/>
                <w:kern w:val="0"/>
                <w:sz w:val="21"/>
                <w:szCs w:val="21"/>
              </w:rPr>
              <w:t>实验室</w:t>
            </w:r>
          </w:p>
        </w:tc>
        <w:tc>
          <w:tcPr>
            <w:tcW w:w="1083" w:type="pct"/>
            <w:vAlign w:val="center"/>
          </w:tcPr>
          <w:p>
            <w:pPr>
              <w:spacing w:line="240" w:lineRule="auto"/>
              <w:ind w:firstLine="0" w:firstLineChars="0"/>
              <w:jc w:val="center"/>
              <w:rPr>
                <w:sz w:val="21"/>
                <w:szCs w:val="21"/>
              </w:rPr>
            </w:pPr>
            <w:r>
              <w:rPr>
                <w:rFonts w:hint="eastAsia"/>
                <w:sz w:val="21"/>
                <w:szCs w:val="21"/>
              </w:rPr>
              <w:t>GC-MS</w:t>
            </w:r>
          </w:p>
        </w:tc>
        <w:tc>
          <w:tcPr>
            <w:tcW w:w="1095" w:type="pct"/>
            <w:vAlign w:val="center"/>
          </w:tcPr>
          <w:p>
            <w:pPr>
              <w:spacing w:line="240" w:lineRule="auto"/>
              <w:ind w:firstLine="0" w:firstLineChars="0"/>
              <w:jc w:val="center"/>
              <w:rPr>
                <w:sz w:val="21"/>
                <w:szCs w:val="21"/>
              </w:rPr>
            </w:pPr>
          </w:p>
        </w:tc>
        <w:tc>
          <w:tcPr>
            <w:tcW w:w="1264" w:type="pct"/>
            <w:vAlign w:val="center"/>
          </w:tcPr>
          <w:p>
            <w:pPr>
              <w:spacing w:line="240" w:lineRule="auto"/>
              <w:ind w:firstLine="0" w:firstLineChars="0"/>
              <w:jc w:val="center"/>
              <w:rPr>
                <w:sz w:val="21"/>
                <w:szCs w:val="21"/>
              </w:rPr>
            </w:pPr>
            <w:r>
              <w:rPr>
                <w:rFonts w:hint="eastAsia"/>
                <w:sz w:val="21"/>
                <w:szCs w:val="21"/>
              </w:rPr>
              <w:t>台</w:t>
            </w:r>
          </w:p>
        </w:tc>
        <w:tc>
          <w:tcPr>
            <w:tcW w:w="502" w:type="pct"/>
            <w:vAlign w:val="center"/>
          </w:tcPr>
          <w:p>
            <w:pPr>
              <w:spacing w:line="240" w:lineRule="auto"/>
              <w:ind w:firstLine="0" w:firstLineChars="0"/>
              <w:jc w:val="center"/>
              <w:rPr>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5</w:t>
            </w:r>
            <w:r>
              <w:rPr>
                <w:bCs/>
                <w:sz w:val="21"/>
                <w:szCs w:val="21"/>
              </w:rPr>
              <w:t>6</w:t>
            </w:r>
          </w:p>
        </w:tc>
        <w:tc>
          <w:tcPr>
            <w:tcW w:w="411" w:type="pct"/>
            <w:gridSpan w:val="2"/>
            <w:vMerge w:val="continue"/>
            <w:vAlign w:val="center"/>
          </w:tcPr>
          <w:p>
            <w:pPr>
              <w:spacing w:line="240" w:lineRule="auto"/>
              <w:ind w:firstLine="0" w:firstLineChars="0"/>
              <w:jc w:val="center"/>
              <w:rPr>
                <w:bCs/>
                <w:kern w:val="0"/>
                <w:sz w:val="21"/>
                <w:szCs w:val="21"/>
              </w:rPr>
            </w:pPr>
          </w:p>
        </w:tc>
        <w:tc>
          <w:tcPr>
            <w:tcW w:w="1083" w:type="pct"/>
            <w:vAlign w:val="center"/>
          </w:tcPr>
          <w:p>
            <w:pPr>
              <w:spacing w:line="240" w:lineRule="auto"/>
              <w:ind w:firstLine="0" w:firstLineChars="0"/>
              <w:jc w:val="center"/>
              <w:rPr>
                <w:sz w:val="21"/>
                <w:szCs w:val="21"/>
              </w:rPr>
            </w:pPr>
            <w:r>
              <w:rPr>
                <w:rFonts w:hint="eastAsia"/>
                <w:sz w:val="21"/>
                <w:szCs w:val="21"/>
              </w:rPr>
              <w:t>差示扫描量热仪</w:t>
            </w:r>
          </w:p>
        </w:tc>
        <w:tc>
          <w:tcPr>
            <w:tcW w:w="1095" w:type="pct"/>
            <w:vAlign w:val="center"/>
          </w:tcPr>
          <w:p>
            <w:pPr>
              <w:spacing w:line="240" w:lineRule="auto"/>
              <w:ind w:firstLine="0" w:firstLineChars="0"/>
              <w:jc w:val="center"/>
              <w:rPr>
                <w:sz w:val="21"/>
                <w:szCs w:val="21"/>
              </w:rPr>
            </w:pPr>
          </w:p>
        </w:tc>
        <w:tc>
          <w:tcPr>
            <w:tcW w:w="1264" w:type="pct"/>
            <w:vAlign w:val="center"/>
          </w:tcPr>
          <w:p>
            <w:pPr>
              <w:spacing w:line="240" w:lineRule="auto"/>
              <w:ind w:firstLine="0" w:firstLineChars="0"/>
              <w:jc w:val="center"/>
              <w:rPr>
                <w:sz w:val="21"/>
                <w:szCs w:val="21"/>
              </w:rPr>
            </w:pPr>
            <w:r>
              <w:rPr>
                <w:rFonts w:hint="eastAsia"/>
                <w:sz w:val="21"/>
                <w:szCs w:val="21"/>
              </w:rPr>
              <w:t>台</w:t>
            </w:r>
          </w:p>
        </w:tc>
        <w:tc>
          <w:tcPr>
            <w:tcW w:w="502" w:type="pct"/>
            <w:vAlign w:val="center"/>
          </w:tcPr>
          <w:p>
            <w:pPr>
              <w:spacing w:line="240" w:lineRule="auto"/>
              <w:ind w:firstLine="0" w:firstLineChars="0"/>
              <w:jc w:val="center"/>
              <w:rPr>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2" w:type="pct"/>
            <w:vAlign w:val="center"/>
          </w:tcPr>
          <w:p>
            <w:pPr>
              <w:spacing w:line="240" w:lineRule="auto"/>
              <w:ind w:firstLine="0" w:firstLineChars="0"/>
              <w:jc w:val="center"/>
              <w:rPr>
                <w:bCs/>
                <w:sz w:val="21"/>
                <w:szCs w:val="21"/>
              </w:rPr>
            </w:pPr>
            <w:r>
              <w:rPr>
                <w:rFonts w:hint="eastAsia"/>
                <w:bCs/>
                <w:sz w:val="21"/>
                <w:szCs w:val="21"/>
              </w:rPr>
              <w:t>5</w:t>
            </w:r>
            <w:r>
              <w:rPr>
                <w:bCs/>
                <w:sz w:val="21"/>
                <w:szCs w:val="21"/>
              </w:rPr>
              <w:t>7</w:t>
            </w:r>
          </w:p>
        </w:tc>
        <w:tc>
          <w:tcPr>
            <w:tcW w:w="411" w:type="pct"/>
            <w:gridSpan w:val="2"/>
            <w:vMerge w:val="continue"/>
            <w:vAlign w:val="center"/>
          </w:tcPr>
          <w:p>
            <w:pPr>
              <w:spacing w:line="240" w:lineRule="auto"/>
              <w:ind w:firstLine="0" w:firstLineChars="0"/>
              <w:jc w:val="center"/>
              <w:rPr>
                <w:bCs/>
                <w:kern w:val="0"/>
                <w:sz w:val="21"/>
                <w:szCs w:val="21"/>
              </w:rPr>
            </w:pPr>
          </w:p>
        </w:tc>
        <w:tc>
          <w:tcPr>
            <w:tcW w:w="1083" w:type="pct"/>
            <w:vAlign w:val="center"/>
          </w:tcPr>
          <w:p>
            <w:pPr>
              <w:spacing w:line="240" w:lineRule="auto"/>
              <w:ind w:firstLine="0" w:firstLineChars="0"/>
              <w:jc w:val="center"/>
              <w:rPr>
                <w:sz w:val="21"/>
                <w:szCs w:val="21"/>
              </w:rPr>
            </w:pPr>
            <w:r>
              <w:rPr>
                <w:rFonts w:hint="eastAsia"/>
                <w:sz w:val="21"/>
                <w:szCs w:val="21"/>
              </w:rPr>
              <w:t>GPC</w:t>
            </w:r>
          </w:p>
        </w:tc>
        <w:tc>
          <w:tcPr>
            <w:tcW w:w="1095" w:type="pct"/>
            <w:vAlign w:val="center"/>
          </w:tcPr>
          <w:p>
            <w:pPr>
              <w:spacing w:line="240" w:lineRule="auto"/>
              <w:ind w:firstLine="0" w:firstLineChars="0"/>
              <w:jc w:val="center"/>
              <w:rPr>
                <w:sz w:val="21"/>
                <w:szCs w:val="21"/>
              </w:rPr>
            </w:pPr>
          </w:p>
        </w:tc>
        <w:tc>
          <w:tcPr>
            <w:tcW w:w="1264" w:type="pct"/>
            <w:vAlign w:val="center"/>
          </w:tcPr>
          <w:p>
            <w:pPr>
              <w:spacing w:line="240" w:lineRule="auto"/>
              <w:ind w:firstLine="0" w:firstLineChars="0"/>
              <w:jc w:val="center"/>
              <w:rPr>
                <w:sz w:val="21"/>
                <w:szCs w:val="21"/>
              </w:rPr>
            </w:pPr>
            <w:r>
              <w:rPr>
                <w:rFonts w:hint="eastAsia"/>
                <w:sz w:val="21"/>
                <w:szCs w:val="21"/>
              </w:rPr>
              <w:t>台</w:t>
            </w:r>
          </w:p>
        </w:tc>
        <w:tc>
          <w:tcPr>
            <w:tcW w:w="502" w:type="pct"/>
            <w:vAlign w:val="center"/>
          </w:tcPr>
          <w:p>
            <w:pPr>
              <w:spacing w:line="240" w:lineRule="auto"/>
              <w:ind w:firstLine="0" w:firstLineChars="0"/>
              <w:jc w:val="center"/>
              <w:rPr>
                <w:sz w:val="21"/>
                <w:szCs w:val="21"/>
              </w:rPr>
            </w:pPr>
          </w:p>
        </w:tc>
        <w:tc>
          <w:tcPr>
            <w:tcW w:w="423" w:type="pct"/>
            <w:vAlign w:val="center"/>
          </w:tcPr>
          <w:p>
            <w:pPr>
              <w:spacing w:line="240" w:lineRule="auto"/>
              <w:ind w:firstLine="0" w:firstLineChars="0"/>
              <w:jc w:val="center"/>
              <w:rPr>
                <w:bCs/>
                <w:sz w:val="21"/>
                <w:szCs w:val="21"/>
              </w:rPr>
            </w:pPr>
            <w:r>
              <w:rPr>
                <w:rFonts w:hint="eastAsia"/>
                <w:bCs/>
                <w:sz w:val="21"/>
                <w:szCs w:val="21"/>
              </w:rPr>
              <w:t>--</w:t>
            </w:r>
          </w:p>
        </w:tc>
      </w:tr>
    </w:tbl>
    <w:p>
      <w:pPr>
        <w:rPr>
          <w:rFonts w:hint="eastAsia"/>
        </w:rPr>
        <w:sectPr>
          <w:headerReference r:id="rId23" w:type="default"/>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bookmarkEnd w:id="198"/>
    <w:p>
      <w:pPr>
        <w:pStyle w:val="8"/>
        <w:spacing w:before="0" w:beforeLines="0" w:after="0" w:afterLines="0" w:line="360" w:lineRule="auto"/>
        <w:rPr>
          <w:rStyle w:val="78"/>
          <w:szCs w:val="32"/>
        </w:rPr>
      </w:pPr>
      <w:r>
        <w:rPr>
          <w:rStyle w:val="78"/>
          <w:rFonts w:hint="eastAsia"/>
          <w:szCs w:val="32"/>
        </w:rPr>
        <w:t>2.3工艺流程分析</w:t>
      </w:r>
    </w:p>
    <w:p>
      <w:pPr>
        <w:pStyle w:val="8"/>
        <w:spacing w:before="0" w:beforeLines="0" w:after="0" w:afterLines="0" w:line="360" w:lineRule="auto"/>
        <w:rPr>
          <w:sz w:val="24"/>
          <w:szCs w:val="32"/>
        </w:rPr>
      </w:pPr>
      <w:bookmarkStart w:id="199" w:name="_Toc109803223"/>
      <w:bookmarkStart w:id="200" w:name="_Toc8086"/>
      <w:bookmarkStart w:id="201" w:name="_Toc22435"/>
      <w:bookmarkStart w:id="202" w:name="_Toc5429"/>
      <w:r>
        <w:rPr>
          <w:rFonts w:hint="eastAsia"/>
          <w:sz w:val="24"/>
          <w:szCs w:val="32"/>
        </w:rPr>
        <w:t>2.3.1工艺原理</w:t>
      </w:r>
      <w:bookmarkEnd w:id="199"/>
      <w:bookmarkEnd w:id="200"/>
      <w:bookmarkEnd w:id="201"/>
      <w:bookmarkEnd w:id="202"/>
    </w:p>
    <w:p>
      <w:pPr>
        <w:ind w:firstLine="480"/>
        <w:rPr>
          <w:szCs w:val="24"/>
        </w:rPr>
      </w:pPr>
      <w:r>
        <w:rPr>
          <w:rFonts w:hint="eastAsia"/>
          <w:szCs w:val="24"/>
        </w:rPr>
        <w:t>本项目以玉米、木薯等经天然微生物发酵纯化制备的乳酸为原料，L-乳酸经过常压、真空脱水，脱水后的低聚物进行断链酯化作用，产生丙交酯。产生的丙交酯经提纯后进行常压聚合，形成聚乳酸。本项目生产工序为连续生产。</w:t>
      </w:r>
    </w:p>
    <w:p>
      <w:pPr>
        <w:pStyle w:val="8"/>
        <w:spacing w:before="0" w:beforeLines="0" w:after="0" w:afterLines="0" w:line="360" w:lineRule="auto"/>
        <w:rPr>
          <w:sz w:val="24"/>
          <w:szCs w:val="32"/>
        </w:rPr>
      </w:pPr>
      <w:bookmarkStart w:id="203" w:name="_Toc5617"/>
      <w:bookmarkStart w:id="204" w:name="_Toc2956"/>
      <w:bookmarkStart w:id="205" w:name="_Toc109803224"/>
      <w:bookmarkStart w:id="206" w:name="_Toc13832"/>
      <w:r>
        <w:rPr>
          <w:rFonts w:hint="eastAsia"/>
          <w:sz w:val="24"/>
          <w:szCs w:val="32"/>
        </w:rPr>
        <w:t>2.3.2聚乳酸生产工艺</w:t>
      </w:r>
      <w:bookmarkEnd w:id="203"/>
      <w:bookmarkEnd w:id="204"/>
      <w:bookmarkEnd w:id="205"/>
      <w:bookmarkEnd w:id="206"/>
    </w:p>
    <w:p>
      <w:pPr>
        <w:ind w:firstLine="0" w:firstLineChars="0"/>
        <w:rPr>
          <w:rFonts w:eastAsia="黑体"/>
          <w:szCs w:val="24"/>
        </w:rPr>
      </w:pPr>
      <w:r>
        <w:rPr>
          <w:rFonts w:eastAsia="黑体"/>
          <w:szCs w:val="24"/>
        </w:rPr>
        <w:t>2.3.2.1 聚乳酸工艺流程</w:t>
      </w:r>
      <w:r>
        <w:rPr>
          <w:rFonts w:hint="eastAsia" w:eastAsia="黑体"/>
          <w:szCs w:val="24"/>
        </w:rPr>
        <w:t>及</w:t>
      </w:r>
      <w:r>
        <w:rPr>
          <w:rFonts w:eastAsia="黑体"/>
          <w:szCs w:val="24"/>
        </w:rPr>
        <w:t>产污环节分析</w:t>
      </w:r>
    </w:p>
    <w:p>
      <w:pPr>
        <w:pStyle w:val="2"/>
        <w:spacing w:after="0"/>
        <w:ind w:firstLine="480"/>
      </w:pPr>
      <w:r>
        <w:rPr>
          <w:rFonts w:hint="eastAsia"/>
        </w:rPr>
        <w:t>1、生产工艺流程</w:t>
      </w:r>
    </w:p>
    <w:p>
      <w:pPr>
        <w:ind w:firstLine="480"/>
      </w:pPr>
      <w:r>
        <w:rPr>
          <w:rFonts w:hint="eastAsia"/>
        </w:rPr>
        <w:t>部分操作参数、原辅料因涉及企业商业机密，不予公示。</w:t>
      </w:r>
    </w:p>
    <w:p>
      <w:pPr>
        <w:pStyle w:val="52"/>
        <w:ind w:firstLine="480"/>
        <w:jc w:val="left"/>
        <w:rPr>
          <w:szCs w:val="24"/>
        </w:rPr>
      </w:pPr>
      <w:r>
        <w:rPr>
          <w:rFonts w:hint="eastAsia"/>
          <w:szCs w:val="24"/>
        </w:rPr>
        <w:t>（1）脱水工序</w:t>
      </w:r>
    </w:p>
    <w:p>
      <w:pPr>
        <w:pStyle w:val="52"/>
        <w:ind w:firstLine="480"/>
        <w:jc w:val="left"/>
        <w:rPr>
          <w:szCs w:val="24"/>
        </w:rPr>
      </w:pPr>
      <w:r>
        <w:rPr>
          <w:rFonts w:hint="eastAsia"/>
          <w:szCs w:val="24"/>
        </w:rPr>
        <w:t>将乳酸从原料罐打入预热器进行预加热，再由泵将预热后的乳酸打入脱水塔除去部分游离水，脱水完成的乳酸为液相，进入提纯反应塔。此时脱除的水进入气相，经过两级冷凝收集。</w:t>
      </w:r>
    </w:p>
    <w:p>
      <w:pPr>
        <w:pStyle w:val="52"/>
        <w:ind w:firstLine="480"/>
        <w:jc w:val="left"/>
        <w:rPr>
          <w:szCs w:val="24"/>
        </w:rPr>
      </w:pPr>
      <w:r>
        <w:rPr>
          <w:rFonts w:hint="eastAsia"/>
          <w:szCs w:val="24"/>
        </w:rPr>
        <w:t>产污环节：</w:t>
      </w:r>
    </w:p>
    <w:p>
      <w:pPr>
        <w:ind w:firstLine="480"/>
      </w:pPr>
      <w:r>
        <w:rPr>
          <w:rFonts w:hint="eastAsia"/>
        </w:rPr>
        <w:t>G1：乳酸脱水过程中会产生冷凝不凝气，主要成分为乳酸、水，以VOCs计；</w:t>
      </w:r>
    </w:p>
    <w:p>
      <w:pPr>
        <w:pStyle w:val="2"/>
        <w:spacing w:after="0"/>
        <w:ind w:firstLine="480"/>
      </w:pPr>
      <w:r>
        <w:rPr>
          <w:rFonts w:hint="eastAsia"/>
        </w:rPr>
        <w:t>W1：脱水过程中会产生废水，主要成分为乳酸。</w:t>
      </w:r>
    </w:p>
    <w:p>
      <w:pPr>
        <w:pStyle w:val="52"/>
        <w:ind w:firstLine="480"/>
        <w:jc w:val="left"/>
        <w:rPr>
          <w:szCs w:val="24"/>
        </w:rPr>
      </w:pPr>
      <w:r>
        <w:rPr>
          <w:rFonts w:hint="eastAsia"/>
          <w:szCs w:val="24"/>
        </w:rPr>
        <w:t>经脱水塔脱除游离水后的乳酸泵入提纯反应塔，进一步脱水并预聚。将催化剂泵入提纯塔，通过抽真空方式乳酸在催化剂的作用下，进一步除去分子间的水并形成低聚物，形成的乳酸低聚物为液态，脱除的水为气态，通过抽真空使气液分离，从而分离出乳酸低聚物。形成的乳酸低聚物通过泵打入提纯罐A</w:t>
      </w:r>
      <w:r>
        <w:rPr>
          <w:szCs w:val="24"/>
        </w:rPr>
        <w:t>/B</w:t>
      </w:r>
      <w:r>
        <w:rPr>
          <w:rFonts w:hint="eastAsia"/>
          <w:szCs w:val="24"/>
        </w:rPr>
        <w:t>。抽真空废气经过两级冷凝收集。</w:t>
      </w:r>
    </w:p>
    <w:p>
      <w:pPr>
        <w:pStyle w:val="52"/>
        <w:ind w:firstLine="480"/>
        <w:jc w:val="left"/>
        <w:rPr>
          <w:szCs w:val="24"/>
        </w:rPr>
      </w:pPr>
      <w:r>
        <w:rPr>
          <w:rFonts w:hint="eastAsia"/>
          <w:szCs w:val="24"/>
        </w:rPr>
        <w:t>产污环节：</w:t>
      </w:r>
    </w:p>
    <w:p>
      <w:pPr>
        <w:ind w:firstLine="480"/>
      </w:pPr>
      <w:r>
        <w:rPr>
          <w:rFonts w:hint="eastAsia"/>
        </w:rPr>
        <w:t>G2：乳酸低聚过程中会产生冷凝不凝气，主要成分为乳酸、水，以VOCs计；</w:t>
      </w:r>
    </w:p>
    <w:p>
      <w:pPr>
        <w:ind w:firstLine="480"/>
      </w:pPr>
      <w:r>
        <w:rPr>
          <w:rFonts w:hint="eastAsia"/>
        </w:rPr>
        <w:t>G3：催化剂配置、投加过程中会产生颗粒物，主要成分为</w:t>
      </w:r>
      <w:r>
        <w:rPr>
          <w:rFonts w:hint="eastAsia"/>
          <w:szCs w:val="24"/>
        </w:rPr>
        <w:t>催化剂。</w:t>
      </w:r>
    </w:p>
    <w:p>
      <w:pPr>
        <w:pStyle w:val="2"/>
        <w:spacing w:after="0"/>
        <w:ind w:firstLine="480"/>
      </w:pPr>
      <w:r>
        <w:rPr>
          <w:rFonts w:hint="eastAsia"/>
        </w:rPr>
        <w:t>S1：会产生包装催化剂的废包装袋S1。</w:t>
      </w:r>
    </w:p>
    <w:p>
      <w:pPr>
        <w:ind w:firstLine="480"/>
      </w:pPr>
      <w:r>
        <w:rPr>
          <w:rFonts w:hint="eastAsia"/>
        </w:rPr>
        <w:t>（2）酯化工序</w:t>
      </w:r>
      <w:r>
        <w:rPr>
          <w:rFonts w:hint="eastAsia"/>
          <w:szCs w:val="24"/>
        </w:rPr>
        <w:t xml:space="preserve"> </w:t>
      </w:r>
    </w:p>
    <w:p>
      <w:pPr>
        <w:pStyle w:val="2"/>
        <w:spacing w:after="0"/>
        <w:ind w:left="240" w:leftChars="100" w:firstLine="480"/>
      </w:pPr>
      <w:r>
        <w:rPr>
          <w:rFonts w:hint="eastAsia"/>
        </w:rPr>
        <w:t>经过脱水聚合后形成的乳酸低聚物，在真空作用下进入酯化反应塔，泵入催化剂，在高温、抽真空条件下，催化剂会促进乳酸低聚物发生断链，生成粗丙交酯。生成的粗丙交酯经过两级冷凝收集。</w:t>
      </w:r>
    </w:p>
    <w:p>
      <w:pPr>
        <w:pStyle w:val="13"/>
        <w:ind w:firstLine="482"/>
        <w:rPr>
          <w:b/>
          <w:bCs/>
          <w:szCs w:val="24"/>
        </w:rPr>
      </w:pPr>
      <w:r>
        <w:rPr>
          <w:rFonts w:hint="eastAsia"/>
          <w:b/>
          <w:bCs/>
          <w:szCs w:val="24"/>
        </w:rPr>
        <w:t>产污环节：</w:t>
      </w:r>
    </w:p>
    <w:p>
      <w:pPr>
        <w:pStyle w:val="2"/>
        <w:spacing w:after="0"/>
        <w:ind w:firstLine="480"/>
        <w:jc w:val="left"/>
      </w:pPr>
      <w:r>
        <w:rPr>
          <w:rFonts w:hint="eastAsia"/>
        </w:rPr>
        <w:t>G4：酯化反应过程中会产生不凝气，主要成分为乳酸、乳酸低聚物、丙交酯，以VOCs计；</w:t>
      </w:r>
    </w:p>
    <w:p>
      <w:pPr>
        <w:pStyle w:val="13"/>
        <w:ind w:firstLine="480"/>
      </w:pPr>
      <w:r>
        <w:rPr>
          <w:rFonts w:hint="eastAsia"/>
        </w:rPr>
        <w:t>S2：会产生高沸物，作为废物处理，主要成分为低聚乳酸及催化剂。</w:t>
      </w:r>
    </w:p>
    <w:p>
      <w:pPr>
        <w:ind w:firstLine="480"/>
      </w:pPr>
      <w:r>
        <w:rPr>
          <w:rFonts w:hint="eastAsia"/>
        </w:rPr>
        <w:t>（3）精制工序</w:t>
      </w:r>
    </w:p>
    <w:p>
      <w:pPr>
        <w:pStyle w:val="52"/>
        <w:ind w:firstLine="480"/>
      </w:pPr>
      <w:r>
        <w:rPr>
          <w:rFonts w:hint="eastAsia"/>
        </w:rPr>
        <w:t>精馏工艺：</w:t>
      </w:r>
    </w:p>
    <w:p>
      <w:pPr>
        <w:pStyle w:val="52"/>
        <w:ind w:firstLine="480"/>
      </w:pPr>
      <w:r>
        <w:rPr>
          <w:rFonts w:hint="eastAsia"/>
        </w:rPr>
        <w:t>得到的粗丙交酯进入脱轻塔，根据沸点不同，精馏分离出</w:t>
      </w:r>
      <w:r>
        <w:rPr>
          <w:rFonts w:hint="eastAsia"/>
          <w:szCs w:val="24"/>
        </w:rPr>
        <w:t>沸点低的乳酸、乳酸低聚物、</w:t>
      </w:r>
      <w:r>
        <w:rPr>
          <w:rFonts w:hint="eastAsia"/>
        </w:rPr>
        <w:t>水分。得到的丙交酯进一步</w:t>
      </w:r>
      <w:r>
        <w:rPr>
          <w:rFonts w:hint="eastAsia"/>
          <w:szCs w:val="24"/>
        </w:rPr>
        <w:t>精馏分离出精丙交酯。</w:t>
      </w:r>
    </w:p>
    <w:p>
      <w:pPr>
        <w:pStyle w:val="52"/>
        <w:ind w:firstLine="480"/>
        <w:rPr>
          <w:szCs w:val="24"/>
        </w:rPr>
      </w:pPr>
      <w:r>
        <w:rPr>
          <w:rFonts w:hint="eastAsia"/>
          <w:szCs w:val="24"/>
        </w:rPr>
        <w:t>本工序为物理转化，不涉及化学反应方程式。</w:t>
      </w:r>
    </w:p>
    <w:p>
      <w:pPr>
        <w:pStyle w:val="52"/>
        <w:ind w:firstLine="482"/>
        <w:jc w:val="left"/>
        <w:rPr>
          <w:b/>
          <w:bCs/>
          <w:szCs w:val="24"/>
        </w:rPr>
      </w:pPr>
      <w:r>
        <w:rPr>
          <w:rFonts w:hint="eastAsia"/>
          <w:b/>
          <w:bCs/>
          <w:szCs w:val="24"/>
        </w:rPr>
        <w:t>产污环节：</w:t>
      </w:r>
    </w:p>
    <w:p>
      <w:pPr>
        <w:pStyle w:val="52"/>
        <w:ind w:firstLine="480"/>
        <w:jc w:val="left"/>
        <w:rPr>
          <w:szCs w:val="24"/>
        </w:rPr>
      </w:pPr>
      <w:r>
        <w:rPr>
          <w:rFonts w:hint="eastAsia"/>
          <w:szCs w:val="24"/>
        </w:rPr>
        <w:t>G5：精制过程中会产生</w:t>
      </w:r>
      <w:r>
        <w:rPr>
          <w:rFonts w:hint="eastAsia"/>
        </w:rPr>
        <w:t>不凝气，主要成分为丙交酯，以VOCs计；</w:t>
      </w:r>
    </w:p>
    <w:p>
      <w:pPr>
        <w:pStyle w:val="52"/>
        <w:ind w:firstLine="480"/>
        <w:jc w:val="left"/>
      </w:pPr>
      <w:r>
        <w:rPr>
          <w:rFonts w:hint="eastAsia"/>
          <w:szCs w:val="24"/>
        </w:rPr>
        <w:t>S3：精制过程产生的前馏分，主要成分为</w:t>
      </w:r>
      <w:r>
        <w:rPr>
          <w:rFonts w:hint="eastAsia"/>
        </w:rPr>
        <w:t>主要成分为乳酸、乳酸低聚物、水，回用于脱水工序；</w:t>
      </w:r>
    </w:p>
    <w:p>
      <w:pPr>
        <w:pStyle w:val="52"/>
        <w:ind w:firstLine="480"/>
        <w:jc w:val="left"/>
        <w:rPr>
          <w:szCs w:val="24"/>
        </w:rPr>
      </w:pPr>
      <w:r>
        <w:rPr>
          <w:rFonts w:hint="eastAsia"/>
          <w:szCs w:val="24"/>
        </w:rPr>
        <w:t>（4）水解工序</w:t>
      </w:r>
    </w:p>
    <w:p>
      <w:pPr>
        <w:pStyle w:val="52"/>
        <w:ind w:firstLine="480"/>
        <w:jc w:val="left"/>
        <w:rPr>
          <w:szCs w:val="24"/>
        </w:rPr>
      </w:pPr>
      <w:r>
        <w:rPr>
          <w:rFonts w:hint="eastAsia"/>
          <w:szCs w:val="24"/>
        </w:rPr>
        <w:t xml:space="preserve">残余的高沸物含泵入水解罐，加入自来水，控制一定温度，使其水解成乳酸，后以次级乳酸（饲料添加剂用）进行出售。 </w:t>
      </w:r>
    </w:p>
    <w:p>
      <w:pPr>
        <w:pStyle w:val="52"/>
        <w:ind w:firstLine="482"/>
        <w:jc w:val="left"/>
        <w:rPr>
          <w:b/>
          <w:bCs/>
          <w:szCs w:val="24"/>
        </w:rPr>
      </w:pPr>
      <w:r>
        <w:rPr>
          <w:rFonts w:hint="eastAsia"/>
          <w:b/>
          <w:bCs/>
          <w:szCs w:val="24"/>
        </w:rPr>
        <w:t>产污环节：</w:t>
      </w:r>
    </w:p>
    <w:p>
      <w:pPr>
        <w:pStyle w:val="52"/>
        <w:ind w:firstLine="480"/>
        <w:jc w:val="left"/>
      </w:pPr>
      <w:r>
        <w:rPr>
          <w:rFonts w:hint="eastAsia"/>
          <w:szCs w:val="24"/>
        </w:rPr>
        <w:t>S4：水解过程中产生罐底残渣，主要为催化剂、水</w:t>
      </w:r>
      <w:r>
        <w:rPr>
          <w:rFonts w:hint="eastAsia"/>
        </w:rPr>
        <w:t>。</w:t>
      </w:r>
    </w:p>
    <w:p>
      <w:pPr>
        <w:pStyle w:val="52"/>
        <w:ind w:firstLine="480"/>
        <w:jc w:val="left"/>
        <w:rPr>
          <w:szCs w:val="24"/>
        </w:rPr>
      </w:pPr>
      <w:r>
        <w:rPr>
          <w:rFonts w:hint="eastAsia"/>
          <w:szCs w:val="24"/>
        </w:rPr>
        <w:t>《饲料添加剂 有机酸通用要求》（GB/T22142-2008）适用于利用单一有机酸调节剂制成的能够提高配合饲料酸度（pH值降低），或者改善青贮饲料品质的均匀混合物，本项目采用乳酸低聚物水解为单一的乳酸，形成的次级乳酸可以满足要求。</w:t>
      </w:r>
    </w:p>
    <w:p>
      <w:pPr>
        <w:pStyle w:val="52"/>
        <w:ind w:firstLine="0" w:firstLineChars="0"/>
        <w:jc w:val="left"/>
        <w:rPr>
          <w:szCs w:val="24"/>
        </w:rPr>
      </w:pPr>
      <w:r>
        <w:rPr>
          <w:rFonts w:hint="eastAsia"/>
          <w:szCs w:val="24"/>
        </w:rPr>
        <w:t xml:space="preserve">（5）聚合工序： </w:t>
      </w:r>
    </w:p>
    <w:p>
      <w:pPr>
        <w:pStyle w:val="71"/>
        <w:ind w:firstLine="480"/>
      </w:pPr>
      <w:r>
        <w:rPr>
          <w:rFonts w:hint="eastAsia"/>
        </w:rPr>
        <w:t>精制后的丙交酯先导入成品暂存罐，再打入原料混合釜，加入催化剂混合后进入一级、二级、三级预聚器，控制其温度，使丙交酯聚合，得最终产品聚乳酸（PLA）。</w:t>
      </w:r>
    </w:p>
    <w:p>
      <w:pPr>
        <w:pStyle w:val="2"/>
        <w:spacing w:after="0"/>
        <w:ind w:firstLine="0" w:firstLineChars="0"/>
      </w:pPr>
      <w:r>
        <w:rPr>
          <w:rFonts w:hint="eastAsia"/>
        </w:rPr>
        <w:t>（6）脱挥</w:t>
      </w:r>
    </w:p>
    <w:p>
      <w:pPr>
        <w:pStyle w:val="52"/>
        <w:ind w:firstLine="480"/>
        <w:jc w:val="left"/>
        <w:rPr>
          <w:szCs w:val="24"/>
        </w:rPr>
      </w:pPr>
      <w:r>
        <w:rPr>
          <w:rFonts w:hint="eastAsia"/>
          <w:szCs w:val="24"/>
        </w:rPr>
        <w:t>聚乳酸进入预热器通过导热油预热后进入脱挥罐，加热后抽真空将混入聚乳酸中的催化剂和未反应的丙交酯单体从脱挥罐顶部脱除，成品从脱挥罐底部排出。</w:t>
      </w:r>
    </w:p>
    <w:p>
      <w:pPr>
        <w:ind w:firstLine="480"/>
      </w:pPr>
      <w:r>
        <w:rPr>
          <w:rFonts w:hint="eastAsia"/>
        </w:rPr>
        <w:t>产污环节：</w:t>
      </w:r>
    </w:p>
    <w:p>
      <w:pPr>
        <w:pStyle w:val="2"/>
        <w:spacing w:after="0"/>
        <w:ind w:firstLine="480"/>
      </w:pPr>
      <w:r>
        <w:rPr>
          <w:rFonts w:hint="eastAsia"/>
        </w:rPr>
        <w:t>G6：聚乳酸脱挥过程中会产生有机废气主要为丙交酯，以VOCs计。</w:t>
      </w:r>
    </w:p>
    <w:p>
      <w:pPr>
        <w:pStyle w:val="2"/>
        <w:spacing w:after="0"/>
        <w:ind w:firstLine="0" w:firstLineChars="0"/>
      </w:pPr>
      <w:r>
        <w:rPr>
          <w:rFonts w:hint="eastAsia"/>
        </w:rPr>
        <w:t>（7）造粒包装</w:t>
      </w:r>
    </w:p>
    <w:p>
      <w:pPr>
        <w:pStyle w:val="52"/>
        <w:ind w:firstLine="480"/>
        <w:jc w:val="left"/>
        <w:rPr>
          <w:szCs w:val="24"/>
        </w:rPr>
      </w:pPr>
      <w:r>
        <w:rPr>
          <w:rFonts w:hint="eastAsia"/>
          <w:szCs w:val="24"/>
        </w:rPr>
        <w:t>①造粒：经过脱挥后的聚乳酸从磨机机头挤出，经过熔体增压泵进入到水下切粒系统模头处，出口模后立刻被高速旋转的切刀切成圆润的颗粒，整个过程都是密闭在水里，不会有烟气散发在空气当中同时，水泵将水箱里的水输送至完全封闭的切割室中，水将切好的颗粒输送到密闭的水循环管路中冷却后进入到离心脱水机中离心脱水，脱除颗粒中多余的水分，成品颗粒从离心机出料口排出。</w:t>
      </w:r>
    </w:p>
    <w:p>
      <w:pPr>
        <w:pStyle w:val="52"/>
        <w:ind w:firstLine="480"/>
        <w:jc w:val="left"/>
        <w:rPr>
          <w:szCs w:val="24"/>
        </w:rPr>
      </w:pPr>
      <w:r>
        <w:rPr>
          <w:rFonts w:hint="eastAsia"/>
          <w:szCs w:val="24"/>
        </w:rPr>
        <w:t>②干燥：切粒后的粒子（直径3-5mm）经过传送带，输进干燥器，干燥器中的除湿媒介是由陶瓷纤维及有机添加剂为主体构成得蜂巢转轮，干燥风将干燥塔内部原料的湿气带走，回来的潮湿回风穿过蜂巢转轮的大量小孔时，水分迅速被蜂巢转轮吸收。干燥控制含水率在0.03-0.05%。经干燥处理的粒子，经检验合格后，直接进行包装。干燥器自带两级除尘器（旋风除尘器+布袋除尘器）。</w:t>
      </w:r>
    </w:p>
    <w:p>
      <w:pPr>
        <w:ind w:firstLine="480"/>
      </w:pPr>
      <w:r>
        <w:rPr>
          <w:rFonts w:hint="eastAsia"/>
        </w:rPr>
        <w:t>产污环节：</w:t>
      </w:r>
    </w:p>
    <w:p>
      <w:pPr>
        <w:pStyle w:val="2"/>
        <w:spacing w:after="0"/>
        <w:ind w:firstLine="480"/>
      </w:pPr>
      <w:r>
        <w:rPr>
          <w:rFonts w:hint="eastAsia"/>
        </w:rPr>
        <w:t>G7：干燥过程中会产生颗粒物；</w:t>
      </w:r>
    </w:p>
    <w:p>
      <w:pPr>
        <w:ind w:firstLine="480"/>
      </w:pPr>
      <w:r>
        <w:rPr>
          <w:rFonts w:hint="eastAsia"/>
        </w:rPr>
        <w:t>S4：检测过程中会产生不合格品，不合格品降级出售。</w:t>
      </w:r>
    </w:p>
    <w:p>
      <w:pPr>
        <w:ind w:firstLine="480"/>
        <w:contextualSpacing/>
        <w:rPr>
          <w:b/>
        </w:rPr>
      </w:pPr>
      <w:r>
        <w:rPr>
          <w:rFonts w:hint="eastAsia"/>
        </w:rPr>
        <w:t>2、</w:t>
      </w:r>
      <w:r>
        <w:rPr>
          <w:b/>
        </w:rPr>
        <w:t>生产工艺流程及产污节点图</w:t>
      </w:r>
    </w:p>
    <w:p>
      <w:pPr>
        <w:ind w:firstLine="480"/>
        <w:contextualSpacing/>
      </w:pPr>
      <w:r>
        <w:rPr>
          <w:rFonts w:hint="eastAsia"/>
        </w:rPr>
        <w:t>聚乳酸</w:t>
      </w:r>
      <w:r>
        <w:t>生产工艺流程及产污节点见图</w:t>
      </w:r>
      <w:r>
        <w:rPr>
          <w:rFonts w:hint="eastAsia"/>
        </w:rPr>
        <w:t>2.3</w:t>
      </w:r>
      <w:r>
        <w:t>-1。</w:t>
      </w:r>
    </w:p>
    <w:p>
      <w:pPr>
        <w:pStyle w:val="2"/>
        <w:spacing w:line="240" w:lineRule="auto"/>
        <w:ind w:firstLine="0" w:firstLineChars="0"/>
        <w:jc w:val="center"/>
        <w:rPr>
          <w:b/>
          <w:bCs/>
        </w:rPr>
      </w:pPr>
    </w:p>
    <w:p>
      <w:pPr>
        <w:ind w:firstLine="0" w:firstLineChars="0"/>
        <w:jc w:val="center"/>
      </w:pPr>
      <w:r>
        <w:rPr>
          <w:rFonts w:hint="eastAsia"/>
        </w:rPr>
        <w:t>涉及企业商业机密不予公示</w:t>
      </w:r>
    </w:p>
    <w:p>
      <w:pPr>
        <w:pStyle w:val="2"/>
        <w:spacing w:line="240" w:lineRule="auto"/>
        <w:ind w:firstLine="0" w:firstLineChars="0"/>
        <w:jc w:val="center"/>
      </w:pPr>
      <w:r>
        <mc:AlternateContent>
          <mc:Choice Requires="wps">
            <w:drawing>
              <wp:anchor distT="0" distB="0" distL="114300" distR="114300" simplePos="0" relativeHeight="251829248" behindDoc="0" locked="0" layoutInCell="1" allowOverlap="1">
                <wp:simplePos x="0" y="0"/>
                <wp:positionH relativeFrom="column">
                  <wp:posOffset>1605280</wp:posOffset>
                </wp:positionH>
                <wp:positionV relativeFrom="paragraph">
                  <wp:posOffset>5248275</wp:posOffset>
                </wp:positionV>
                <wp:extent cx="494665" cy="238125"/>
                <wp:effectExtent l="0" t="0" r="635" b="9525"/>
                <wp:wrapNone/>
                <wp:docPr id="85" name="矩形 85"/>
                <wp:cNvGraphicFramePr/>
                <a:graphic xmlns:a="http://schemas.openxmlformats.org/drawingml/2006/main">
                  <a:graphicData uri="http://schemas.microsoft.com/office/word/2010/wordprocessingShape">
                    <wps:wsp>
                      <wps:cNvSpPr/>
                      <wps:spPr>
                        <a:xfrm>
                          <a:off x="0" y="0"/>
                          <a:ext cx="494665" cy="238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6.4pt;margin-top:413.25pt;height:18.75pt;width:38.95pt;z-index:251829248;v-text-anchor:middle;mso-width-relative:page;mso-height-relative:page;" fillcolor="#FFFFFF [3212]" filled="t" stroked="f" coordsize="21600,21600" o:gfxdata="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GC3VNtsAAAALAQAADwAAAAAAAAABACAAAAAiAAAAZHJzL2Rvd25yZXYu&#10;eG1sUEsBAhQAFAAAAAgAh07iQGXQBp5qAgAAzAQAAA4AAAAAAAAAAQAgAAAAKgEAAGRycy9lMm9E&#10;b2MueG1sUEsFBgAAAAAGAAYAWQEAAAYGAAAAAA==&#10;">
                <v:fill on="t" focussize="0,0"/>
                <v:stroke on="f" weight="1pt" miterlimit="8" joinstyle="miter"/>
                <v:imagedata o:title=""/>
                <o:lock v:ext="edit" aspectratio="f"/>
              </v:rect>
            </w:pict>
          </mc:Fallback>
        </mc:AlternateContent>
      </w:r>
      <w:r>
        <mc:AlternateContent>
          <mc:Choice Requires="wps">
            <w:drawing>
              <wp:anchor distT="0" distB="0" distL="114300" distR="114300" simplePos="0" relativeHeight="251828224" behindDoc="0" locked="0" layoutInCell="1" allowOverlap="1">
                <wp:simplePos x="0" y="0"/>
                <wp:positionH relativeFrom="column">
                  <wp:posOffset>3140710</wp:posOffset>
                </wp:positionH>
                <wp:positionV relativeFrom="paragraph">
                  <wp:posOffset>2303145</wp:posOffset>
                </wp:positionV>
                <wp:extent cx="419735" cy="76200"/>
                <wp:effectExtent l="0" t="0" r="18415" b="0"/>
                <wp:wrapNone/>
                <wp:docPr id="138" name="矩形 138"/>
                <wp:cNvGraphicFramePr/>
                <a:graphic xmlns:a="http://schemas.openxmlformats.org/drawingml/2006/main">
                  <a:graphicData uri="http://schemas.microsoft.com/office/word/2010/wordprocessingShape">
                    <wps:wsp>
                      <wps:cNvSpPr/>
                      <wps:spPr>
                        <a:xfrm>
                          <a:off x="0" y="0"/>
                          <a:ext cx="419735"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7.3pt;margin-top:181.35pt;height:6pt;width:33.05pt;z-index:251828224;v-text-anchor:middle;mso-width-relative:page;mso-height-relative:page;" fillcolor="#FFFFFF [3212]" filled="t" stroked="f" coordsize="21600,21600" o:gfxdata="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y8ATS2gAAAAsBAAAPAAAAAAAAAAEAIAAAACIAAABkcnMvZG93bnJldi54&#10;bWxQSwECFAAUAAAACACHTuJAf6ueX2oCAADNBAAADgAAAAAAAAABACAAAAApAQAAZHJzL2Uyb0Rv&#10;Yy54bWxQSwUGAAAAAAYABgBZAQAABQYAAAAA&#10;">
                <v:fill on="t" focussize="0,0"/>
                <v:stroke on="f" weight="1pt" miterlimit="8" joinstyle="miter"/>
                <v:imagedata o:title=""/>
                <o:lock v:ext="edit" aspectratio="f"/>
              </v:rect>
            </w:pict>
          </mc:Fallback>
        </mc:AlternateContent>
      </w:r>
    </w:p>
    <w:p>
      <w:pPr>
        <w:ind w:firstLine="0" w:firstLineChars="0"/>
        <w:jc w:val="center"/>
        <w:rPr>
          <w:rFonts w:eastAsia="黑体"/>
          <w:sz w:val="21"/>
          <w:szCs w:val="21"/>
        </w:rPr>
      </w:pPr>
      <w:r>
        <w:rPr>
          <w:rFonts w:eastAsia="黑体"/>
          <w:sz w:val="21"/>
          <w:szCs w:val="21"/>
        </w:rPr>
        <w:t>图2.3-1 本项目工艺流程与产污环节图</w:t>
      </w:r>
    </w:p>
    <w:p>
      <w:pPr>
        <w:ind w:firstLine="0" w:firstLineChars="0"/>
      </w:pPr>
    </w:p>
    <w:p>
      <w:pPr>
        <w:pStyle w:val="2"/>
        <w:spacing w:after="0"/>
        <w:ind w:firstLine="480"/>
      </w:pPr>
      <w:r>
        <w:rPr>
          <w:rFonts w:hint="eastAsia"/>
        </w:rPr>
        <w:t>二、物料平衡</w:t>
      </w:r>
    </w:p>
    <w:p>
      <w:pPr>
        <w:ind w:firstLine="480"/>
      </w:pPr>
      <w:r>
        <w:rPr>
          <w:rFonts w:hint="eastAsia"/>
        </w:rPr>
        <w:t>本项目为持续生产项目，连续生产不分批次，聚乳酸生产年物料平衡见表2.3-1，年物料平衡图见图2.3-2</w:t>
      </w:r>
    </w:p>
    <w:p>
      <w:pPr>
        <w:snapToGrid w:val="0"/>
        <w:ind w:firstLine="0" w:firstLineChars="0"/>
        <w:jc w:val="center"/>
        <w:rPr>
          <w:rFonts w:eastAsia="黑体"/>
          <w:b/>
          <w:sz w:val="21"/>
          <w:szCs w:val="21"/>
        </w:rPr>
      </w:pPr>
      <w:r>
        <w:rPr>
          <w:rFonts w:eastAsia="黑体"/>
          <w:b/>
          <w:sz w:val="21"/>
          <w:szCs w:val="21"/>
        </w:rPr>
        <w:t>表</w:t>
      </w:r>
      <w:r>
        <w:rPr>
          <w:rFonts w:hint="eastAsia" w:eastAsia="黑体"/>
          <w:b/>
          <w:sz w:val="21"/>
          <w:szCs w:val="21"/>
        </w:rPr>
        <w:t>2.3-1</w:t>
      </w:r>
      <w:r>
        <w:rPr>
          <w:rFonts w:eastAsia="黑体"/>
          <w:b/>
          <w:sz w:val="21"/>
          <w:szCs w:val="21"/>
        </w:rPr>
        <w:t xml:space="preserve">  EVA生产年物料平衡表</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53"/>
        <w:gridCol w:w="1372"/>
        <w:gridCol w:w="2149"/>
        <w:gridCol w:w="42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5" w:type="pct"/>
            <w:gridSpan w:val="2"/>
            <w:vAlign w:val="center"/>
          </w:tcPr>
          <w:p>
            <w:pPr>
              <w:adjustRightInd w:val="0"/>
              <w:snapToGrid w:val="0"/>
              <w:spacing w:line="240" w:lineRule="auto"/>
              <w:ind w:firstLine="0" w:firstLineChars="0"/>
              <w:jc w:val="center"/>
              <w:rPr>
                <w:b/>
                <w:sz w:val="21"/>
                <w:szCs w:val="21"/>
              </w:rPr>
            </w:pPr>
            <w:r>
              <w:rPr>
                <w:b/>
                <w:sz w:val="21"/>
                <w:szCs w:val="21"/>
                <w:lang w:bidi="ar"/>
              </w:rPr>
              <w:t>进方（t/a）</w:t>
            </w:r>
          </w:p>
        </w:tc>
        <w:tc>
          <w:tcPr>
            <w:tcW w:w="3424" w:type="pct"/>
            <w:gridSpan w:val="2"/>
            <w:vAlign w:val="center"/>
          </w:tcPr>
          <w:p>
            <w:pPr>
              <w:adjustRightInd w:val="0"/>
              <w:snapToGrid w:val="0"/>
              <w:spacing w:line="240" w:lineRule="auto"/>
              <w:ind w:firstLine="0" w:firstLineChars="0"/>
              <w:jc w:val="center"/>
              <w:rPr>
                <w:b/>
                <w:sz w:val="21"/>
                <w:szCs w:val="21"/>
              </w:rPr>
            </w:pPr>
            <w:r>
              <w:rPr>
                <w:b/>
                <w:sz w:val="21"/>
                <w:szCs w:val="21"/>
                <w:lang w:bidi="ar"/>
              </w:rPr>
              <w:t>出方（t/a）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pct"/>
            <w:vAlign w:val="center"/>
          </w:tcPr>
          <w:p>
            <w:pPr>
              <w:adjustRightInd w:val="0"/>
              <w:snapToGrid w:val="0"/>
              <w:spacing w:line="240" w:lineRule="auto"/>
              <w:ind w:firstLine="0" w:firstLineChars="0"/>
              <w:jc w:val="center"/>
              <w:rPr>
                <w:b/>
                <w:sz w:val="21"/>
                <w:szCs w:val="21"/>
              </w:rPr>
            </w:pPr>
            <w:r>
              <w:rPr>
                <w:b/>
                <w:sz w:val="21"/>
                <w:szCs w:val="21"/>
                <w:lang w:bidi="ar"/>
              </w:rPr>
              <w:t>名称</w:t>
            </w:r>
          </w:p>
        </w:tc>
        <w:tc>
          <w:tcPr>
            <w:tcW w:w="738" w:type="pct"/>
            <w:vAlign w:val="center"/>
          </w:tcPr>
          <w:p>
            <w:pPr>
              <w:adjustRightInd w:val="0"/>
              <w:snapToGrid w:val="0"/>
              <w:spacing w:line="240" w:lineRule="auto"/>
              <w:ind w:firstLine="0" w:firstLineChars="0"/>
              <w:jc w:val="center"/>
              <w:rPr>
                <w:b/>
                <w:sz w:val="21"/>
                <w:szCs w:val="21"/>
              </w:rPr>
            </w:pPr>
            <w:r>
              <w:rPr>
                <w:b/>
                <w:sz w:val="21"/>
                <w:szCs w:val="21"/>
                <w:lang w:bidi="ar"/>
              </w:rPr>
              <w:t>数量</w:t>
            </w:r>
          </w:p>
        </w:tc>
        <w:tc>
          <w:tcPr>
            <w:tcW w:w="1157" w:type="pct"/>
            <w:vAlign w:val="center"/>
          </w:tcPr>
          <w:p>
            <w:pPr>
              <w:adjustRightInd w:val="0"/>
              <w:snapToGrid w:val="0"/>
              <w:spacing w:line="240" w:lineRule="auto"/>
              <w:ind w:firstLine="0" w:firstLineChars="0"/>
              <w:jc w:val="center"/>
              <w:rPr>
                <w:b/>
                <w:sz w:val="21"/>
                <w:szCs w:val="21"/>
              </w:rPr>
            </w:pPr>
            <w:r>
              <w:rPr>
                <w:b/>
                <w:sz w:val="21"/>
                <w:szCs w:val="21"/>
                <w:lang w:bidi="ar"/>
              </w:rPr>
              <w:t>产品</w:t>
            </w:r>
          </w:p>
        </w:tc>
        <w:tc>
          <w:tcPr>
            <w:tcW w:w="2267" w:type="pct"/>
            <w:vAlign w:val="center"/>
          </w:tcPr>
          <w:p>
            <w:pPr>
              <w:adjustRightInd w:val="0"/>
              <w:snapToGrid w:val="0"/>
              <w:spacing w:line="240" w:lineRule="auto"/>
              <w:ind w:firstLine="0" w:firstLineChars="0"/>
              <w:jc w:val="center"/>
              <w:rPr>
                <w:sz w:val="21"/>
                <w:szCs w:val="21"/>
              </w:rPr>
            </w:pPr>
            <w:r>
              <w:rPr>
                <w:b/>
                <w:sz w:val="21"/>
                <w:szCs w:val="21"/>
                <w:lang w:bidi="ar"/>
              </w:rPr>
              <w:t>废气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pct"/>
            <w:vAlign w:val="center"/>
          </w:tcPr>
          <w:p>
            <w:pPr>
              <w:adjustRightInd w:val="0"/>
              <w:snapToGrid w:val="0"/>
              <w:spacing w:line="240" w:lineRule="auto"/>
              <w:ind w:firstLine="0" w:firstLineChars="0"/>
              <w:jc w:val="center"/>
              <w:rPr>
                <w:sz w:val="21"/>
                <w:szCs w:val="21"/>
              </w:rPr>
            </w:pPr>
            <w:r>
              <w:rPr>
                <w:rFonts w:hint="eastAsia"/>
                <w:sz w:val="21"/>
                <w:szCs w:val="21"/>
              </w:rPr>
              <w:t>乳酸原料</w:t>
            </w:r>
          </w:p>
        </w:tc>
        <w:tc>
          <w:tcPr>
            <w:tcW w:w="738" w:type="pct"/>
            <w:vAlign w:val="center"/>
          </w:tcPr>
          <w:p>
            <w:pPr>
              <w:adjustRightInd w:val="0"/>
              <w:snapToGrid w:val="0"/>
              <w:spacing w:line="240" w:lineRule="auto"/>
              <w:ind w:firstLine="0" w:firstLineChars="0"/>
              <w:jc w:val="center"/>
              <w:rPr>
                <w:sz w:val="21"/>
                <w:szCs w:val="21"/>
              </w:rPr>
            </w:pPr>
            <w:r>
              <w:rPr>
                <w:rFonts w:hint="eastAsia"/>
                <w:sz w:val="21"/>
                <w:szCs w:val="21"/>
              </w:rPr>
              <w:t>3600</w:t>
            </w:r>
          </w:p>
        </w:tc>
        <w:tc>
          <w:tcPr>
            <w:tcW w:w="1157" w:type="pct"/>
            <w:vMerge w:val="restart"/>
            <w:vAlign w:val="center"/>
          </w:tcPr>
          <w:p>
            <w:pPr>
              <w:ind w:firstLine="0" w:firstLineChars="0"/>
              <w:jc w:val="center"/>
            </w:pPr>
            <w:r>
              <w:rPr>
                <w:rFonts w:hint="eastAsia"/>
              </w:rPr>
              <w:t>涉及企业商业机密不予公示</w:t>
            </w:r>
          </w:p>
          <w:p>
            <w:pPr>
              <w:autoSpaceDE w:val="0"/>
              <w:autoSpaceDN w:val="0"/>
              <w:adjustRightInd w:val="0"/>
              <w:spacing w:line="240" w:lineRule="auto"/>
              <w:ind w:firstLine="0" w:firstLineChars="0"/>
              <w:jc w:val="center"/>
              <w:rPr>
                <w:sz w:val="21"/>
                <w:szCs w:val="21"/>
              </w:rPr>
            </w:pPr>
          </w:p>
        </w:tc>
        <w:tc>
          <w:tcPr>
            <w:tcW w:w="2267" w:type="pct"/>
            <w:vMerge w:val="restart"/>
            <w:vAlign w:val="center"/>
          </w:tcPr>
          <w:p>
            <w:pPr>
              <w:pStyle w:val="2"/>
              <w:spacing w:after="0" w:line="240" w:lineRule="auto"/>
              <w:ind w:firstLine="0" w:firstLineChars="0"/>
              <w:jc w:val="center"/>
              <w:rPr>
                <w:sz w:val="21"/>
                <w:szCs w:val="21"/>
              </w:rPr>
            </w:pPr>
            <w:r>
              <w:rPr>
                <w:sz w:val="21"/>
                <w:szCs w:val="21"/>
              </w:rPr>
              <w:t>【G1】VOCs</w:t>
            </w:r>
            <w:r>
              <w:rPr>
                <w:rFonts w:hint="eastAsia"/>
                <w:sz w:val="21"/>
                <w:szCs w:val="21"/>
              </w:rPr>
              <w:t>0.0353</w:t>
            </w:r>
            <w:r>
              <w:rPr>
                <w:sz w:val="21"/>
                <w:szCs w:val="21"/>
              </w:rPr>
              <w:t>；</w:t>
            </w:r>
          </w:p>
          <w:p>
            <w:pPr>
              <w:pStyle w:val="2"/>
              <w:spacing w:after="0" w:line="240" w:lineRule="auto"/>
              <w:ind w:firstLine="0" w:firstLineChars="0"/>
              <w:jc w:val="center"/>
              <w:rPr>
                <w:sz w:val="21"/>
                <w:szCs w:val="21"/>
              </w:rPr>
            </w:pPr>
            <w:r>
              <w:rPr>
                <w:sz w:val="21"/>
                <w:szCs w:val="21"/>
              </w:rPr>
              <w:t>【G</w:t>
            </w:r>
            <w:r>
              <w:rPr>
                <w:rFonts w:hint="eastAsia"/>
                <w:sz w:val="21"/>
                <w:szCs w:val="21"/>
              </w:rPr>
              <w:t>2</w:t>
            </w:r>
            <w:r>
              <w:rPr>
                <w:sz w:val="21"/>
                <w:szCs w:val="21"/>
              </w:rPr>
              <w:t>】VOCs</w:t>
            </w:r>
            <w:r>
              <w:rPr>
                <w:rFonts w:hint="eastAsia"/>
                <w:sz w:val="21"/>
                <w:szCs w:val="21"/>
              </w:rPr>
              <w:t>0.0699</w:t>
            </w:r>
            <w:r>
              <w:rPr>
                <w:sz w:val="21"/>
                <w:szCs w:val="21"/>
              </w:rPr>
              <w:t>；</w:t>
            </w:r>
          </w:p>
          <w:p>
            <w:pPr>
              <w:pStyle w:val="2"/>
              <w:spacing w:after="0" w:line="240" w:lineRule="auto"/>
              <w:ind w:firstLine="0" w:firstLineChars="0"/>
              <w:jc w:val="center"/>
              <w:rPr>
                <w:sz w:val="21"/>
                <w:szCs w:val="21"/>
              </w:rPr>
            </w:pPr>
            <w:r>
              <w:rPr>
                <w:sz w:val="21"/>
                <w:szCs w:val="21"/>
              </w:rPr>
              <w:t>【</w:t>
            </w:r>
            <w:r>
              <w:rPr>
                <w:rFonts w:hint="eastAsia"/>
                <w:sz w:val="21"/>
                <w:szCs w:val="21"/>
              </w:rPr>
              <w:t>G3</w:t>
            </w:r>
            <w:r>
              <w:rPr>
                <w:sz w:val="21"/>
                <w:szCs w:val="21"/>
              </w:rPr>
              <w:t>】</w:t>
            </w:r>
            <w:r>
              <w:rPr>
                <w:rFonts w:hint="eastAsia"/>
                <w:sz w:val="21"/>
                <w:szCs w:val="21"/>
              </w:rPr>
              <w:t>颗粒物0.003</w:t>
            </w:r>
            <w:r>
              <w:rPr>
                <w:sz w:val="21"/>
                <w:szCs w:val="21"/>
              </w:rPr>
              <w:t>；</w:t>
            </w:r>
          </w:p>
          <w:p>
            <w:pPr>
              <w:pStyle w:val="2"/>
              <w:spacing w:after="0" w:line="240" w:lineRule="auto"/>
              <w:ind w:firstLine="0" w:firstLineChars="0"/>
              <w:jc w:val="center"/>
              <w:rPr>
                <w:sz w:val="21"/>
                <w:szCs w:val="21"/>
              </w:rPr>
            </w:pPr>
            <w:r>
              <w:rPr>
                <w:sz w:val="21"/>
                <w:szCs w:val="21"/>
              </w:rPr>
              <w:t>【G</w:t>
            </w:r>
            <w:r>
              <w:rPr>
                <w:rFonts w:hint="eastAsia"/>
                <w:sz w:val="21"/>
                <w:szCs w:val="21"/>
              </w:rPr>
              <w:t>4</w:t>
            </w:r>
            <w:r>
              <w:rPr>
                <w:sz w:val="21"/>
                <w:szCs w:val="21"/>
              </w:rPr>
              <w:t>】VOCs</w:t>
            </w:r>
            <w:r>
              <w:rPr>
                <w:rFonts w:hint="eastAsia"/>
                <w:sz w:val="21"/>
                <w:szCs w:val="21"/>
              </w:rPr>
              <w:t>1.0984</w:t>
            </w:r>
            <w:r>
              <w:rPr>
                <w:sz w:val="21"/>
                <w:szCs w:val="21"/>
              </w:rPr>
              <w:t>；</w:t>
            </w:r>
          </w:p>
          <w:p>
            <w:pPr>
              <w:pStyle w:val="2"/>
              <w:spacing w:after="0" w:line="240" w:lineRule="auto"/>
              <w:ind w:firstLine="0" w:firstLineChars="0"/>
              <w:jc w:val="center"/>
              <w:rPr>
                <w:sz w:val="21"/>
                <w:szCs w:val="21"/>
              </w:rPr>
            </w:pPr>
            <w:r>
              <w:rPr>
                <w:sz w:val="21"/>
                <w:szCs w:val="21"/>
              </w:rPr>
              <w:t>【G</w:t>
            </w:r>
            <w:r>
              <w:rPr>
                <w:rFonts w:hint="eastAsia"/>
                <w:sz w:val="21"/>
                <w:szCs w:val="21"/>
              </w:rPr>
              <w:t>5</w:t>
            </w:r>
            <w:r>
              <w:rPr>
                <w:sz w:val="21"/>
                <w:szCs w:val="21"/>
              </w:rPr>
              <w:t>】VOCs</w:t>
            </w:r>
            <w:r>
              <w:rPr>
                <w:rFonts w:hint="eastAsia"/>
                <w:sz w:val="21"/>
                <w:szCs w:val="21"/>
              </w:rPr>
              <w:t>0.1711</w:t>
            </w:r>
            <w:r>
              <w:rPr>
                <w:sz w:val="21"/>
                <w:szCs w:val="21"/>
              </w:rPr>
              <w:t>；</w:t>
            </w:r>
          </w:p>
          <w:p>
            <w:pPr>
              <w:pStyle w:val="2"/>
              <w:spacing w:after="0" w:line="240" w:lineRule="auto"/>
              <w:ind w:firstLine="0" w:firstLineChars="0"/>
              <w:jc w:val="center"/>
              <w:rPr>
                <w:sz w:val="21"/>
                <w:szCs w:val="21"/>
              </w:rPr>
            </w:pPr>
            <w:r>
              <w:rPr>
                <w:sz w:val="21"/>
                <w:szCs w:val="21"/>
              </w:rPr>
              <w:t>【G</w:t>
            </w:r>
            <w:r>
              <w:rPr>
                <w:rFonts w:hint="eastAsia"/>
                <w:sz w:val="21"/>
                <w:szCs w:val="21"/>
              </w:rPr>
              <w:t>6</w:t>
            </w:r>
            <w:r>
              <w:rPr>
                <w:sz w:val="21"/>
                <w:szCs w:val="21"/>
              </w:rPr>
              <w:t>】VOC</w:t>
            </w:r>
            <w:r>
              <w:rPr>
                <w:rFonts w:hint="eastAsia"/>
                <w:sz w:val="21"/>
                <w:szCs w:val="21"/>
              </w:rPr>
              <w:t>s2.16</w:t>
            </w:r>
            <w:r>
              <w:rPr>
                <w:sz w:val="21"/>
                <w:szCs w:val="21"/>
              </w:rPr>
              <w:t>；</w:t>
            </w:r>
          </w:p>
          <w:p>
            <w:pPr>
              <w:pStyle w:val="2"/>
              <w:spacing w:after="0" w:line="240" w:lineRule="auto"/>
              <w:ind w:firstLine="0" w:firstLineChars="0"/>
              <w:jc w:val="center"/>
              <w:rPr>
                <w:sz w:val="21"/>
                <w:szCs w:val="21"/>
              </w:rPr>
            </w:pPr>
            <w:r>
              <w:rPr>
                <w:sz w:val="21"/>
                <w:szCs w:val="21"/>
              </w:rPr>
              <w:t>【G</w:t>
            </w:r>
            <w:r>
              <w:rPr>
                <w:rFonts w:hint="eastAsia"/>
                <w:sz w:val="21"/>
                <w:szCs w:val="21"/>
              </w:rPr>
              <w:t>7</w:t>
            </w:r>
            <w:r>
              <w:rPr>
                <w:sz w:val="21"/>
                <w:szCs w:val="21"/>
              </w:rPr>
              <w:t>】</w:t>
            </w:r>
            <w:r>
              <w:rPr>
                <w:rFonts w:hint="eastAsia"/>
                <w:sz w:val="21"/>
                <w:szCs w:val="21"/>
              </w:rPr>
              <w:t>颗粒物0.50</w:t>
            </w:r>
            <w:r>
              <w:rPr>
                <w:sz w:val="21"/>
                <w:szCs w:val="21"/>
              </w:rPr>
              <w:t>；</w:t>
            </w:r>
          </w:p>
          <w:p>
            <w:pPr>
              <w:pStyle w:val="2"/>
              <w:spacing w:after="0" w:line="240" w:lineRule="auto"/>
              <w:ind w:firstLine="0" w:firstLineChars="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pct"/>
            <w:vAlign w:val="center"/>
          </w:tcPr>
          <w:p>
            <w:pPr>
              <w:adjustRightInd w:val="0"/>
              <w:snapToGrid w:val="0"/>
              <w:spacing w:line="240" w:lineRule="auto"/>
              <w:ind w:firstLine="0" w:firstLineChars="0"/>
              <w:jc w:val="center"/>
              <w:rPr>
                <w:sz w:val="21"/>
                <w:szCs w:val="21"/>
              </w:rPr>
            </w:pPr>
            <w:r>
              <w:rPr>
                <w:rFonts w:hint="eastAsia"/>
                <w:sz w:val="21"/>
                <w:szCs w:val="21"/>
              </w:rPr>
              <w:t>催化剂</w:t>
            </w:r>
          </w:p>
        </w:tc>
        <w:tc>
          <w:tcPr>
            <w:tcW w:w="738" w:type="pct"/>
            <w:vAlign w:val="center"/>
          </w:tcPr>
          <w:p>
            <w:pPr>
              <w:adjustRightInd w:val="0"/>
              <w:snapToGrid w:val="0"/>
              <w:spacing w:line="240" w:lineRule="auto"/>
              <w:ind w:firstLine="0" w:firstLineChars="0"/>
              <w:jc w:val="center"/>
              <w:rPr>
                <w:sz w:val="21"/>
                <w:szCs w:val="21"/>
              </w:rPr>
            </w:pPr>
          </w:p>
        </w:tc>
        <w:tc>
          <w:tcPr>
            <w:tcW w:w="1157" w:type="pct"/>
            <w:vMerge w:val="continue"/>
            <w:vAlign w:val="center"/>
          </w:tcPr>
          <w:p>
            <w:pPr>
              <w:spacing w:line="240" w:lineRule="auto"/>
              <w:ind w:firstLine="0" w:firstLineChars="0"/>
              <w:jc w:val="center"/>
              <w:rPr>
                <w:sz w:val="21"/>
                <w:szCs w:val="22"/>
              </w:rPr>
            </w:pPr>
          </w:p>
        </w:tc>
        <w:tc>
          <w:tcPr>
            <w:tcW w:w="2267" w:type="pct"/>
            <w:vMerge w:val="continue"/>
            <w:vAlign w:val="center"/>
          </w:tcPr>
          <w:p>
            <w:pPr>
              <w:spacing w:line="240" w:lineRule="auto"/>
              <w:ind w:firstLine="0" w:firstLineChars="0"/>
              <w:jc w:val="center"/>
              <w:rPr>
                <w:sz w:val="21"/>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pct"/>
            <w:vAlign w:val="center"/>
          </w:tcPr>
          <w:p>
            <w:pPr>
              <w:adjustRightInd w:val="0"/>
              <w:snapToGrid w:val="0"/>
              <w:spacing w:line="240" w:lineRule="auto"/>
              <w:ind w:firstLine="0" w:firstLineChars="0"/>
              <w:jc w:val="center"/>
              <w:rPr>
                <w:sz w:val="21"/>
                <w:szCs w:val="21"/>
              </w:rPr>
            </w:pPr>
            <w:r>
              <w:rPr>
                <w:rFonts w:hint="eastAsia"/>
                <w:sz w:val="21"/>
                <w:szCs w:val="21"/>
              </w:rPr>
              <w:t>催化剂</w:t>
            </w:r>
          </w:p>
        </w:tc>
        <w:tc>
          <w:tcPr>
            <w:tcW w:w="738" w:type="pct"/>
            <w:vAlign w:val="center"/>
          </w:tcPr>
          <w:p>
            <w:pPr>
              <w:adjustRightInd w:val="0"/>
              <w:snapToGrid w:val="0"/>
              <w:spacing w:line="240" w:lineRule="auto"/>
              <w:ind w:firstLine="0" w:firstLineChars="0"/>
              <w:jc w:val="center"/>
              <w:rPr>
                <w:sz w:val="21"/>
                <w:szCs w:val="21"/>
              </w:rPr>
            </w:pPr>
          </w:p>
        </w:tc>
        <w:tc>
          <w:tcPr>
            <w:tcW w:w="1157" w:type="pct"/>
            <w:vMerge w:val="continue"/>
            <w:vAlign w:val="center"/>
          </w:tcPr>
          <w:p>
            <w:pPr>
              <w:spacing w:line="240" w:lineRule="auto"/>
              <w:ind w:firstLine="0" w:firstLineChars="0"/>
              <w:jc w:val="center"/>
              <w:rPr>
                <w:sz w:val="21"/>
                <w:szCs w:val="22"/>
              </w:rPr>
            </w:pPr>
          </w:p>
        </w:tc>
        <w:tc>
          <w:tcPr>
            <w:tcW w:w="2267" w:type="pct"/>
            <w:vMerge w:val="continue"/>
            <w:vAlign w:val="center"/>
          </w:tcPr>
          <w:p>
            <w:pPr>
              <w:spacing w:line="240" w:lineRule="auto"/>
              <w:ind w:firstLine="0" w:firstLineChars="0"/>
              <w:jc w:val="center"/>
              <w:rPr>
                <w:sz w:val="21"/>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pct"/>
            <w:vAlign w:val="center"/>
          </w:tcPr>
          <w:p>
            <w:pPr>
              <w:adjustRightInd w:val="0"/>
              <w:snapToGrid w:val="0"/>
              <w:spacing w:line="240" w:lineRule="auto"/>
              <w:ind w:firstLine="0" w:firstLineChars="0"/>
              <w:jc w:val="center"/>
              <w:rPr>
                <w:sz w:val="21"/>
                <w:szCs w:val="21"/>
              </w:rPr>
            </w:pPr>
            <w:r>
              <w:rPr>
                <w:rFonts w:hint="eastAsia"/>
                <w:sz w:val="21"/>
                <w:szCs w:val="21"/>
              </w:rPr>
              <w:t>催化剂</w:t>
            </w:r>
          </w:p>
        </w:tc>
        <w:tc>
          <w:tcPr>
            <w:tcW w:w="738" w:type="pct"/>
            <w:vAlign w:val="center"/>
          </w:tcPr>
          <w:p>
            <w:pPr>
              <w:adjustRightInd w:val="0"/>
              <w:snapToGrid w:val="0"/>
              <w:spacing w:line="240" w:lineRule="auto"/>
              <w:ind w:firstLine="0" w:firstLineChars="0"/>
              <w:jc w:val="center"/>
              <w:rPr>
                <w:sz w:val="21"/>
                <w:szCs w:val="21"/>
              </w:rPr>
            </w:pPr>
          </w:p>
        </w:tc>
        <w:tc>
          <w:tcPr>
            <w:tcW w:w="1157" w:type="pct"/>
            <w:vMerge w:val="continue"/>
            <w:vAlign w:val="center"/>
          </w:tcPr>
          <w:p>
            <w:pPr>
              <w:spacing w:line="240" w:lineRule="auto"/>
              <w:ind w:firstLine="0" w:firstLineChars="0"/>
              <w:jc w:val="center"/>
              <w:rPr>
                <w:sz w:val="21"/>
                <w:szCs w:val="22"/>
              </w:rPr>
            </w:pPr>
          </w:p>
        </w:tc>
        <w:tc>
          <w:tcPr>
            <w:tcW w:w="2267" w:type="pct"/>
            <w:vMerge w:val="continue"/>
            <w:vAlign w:val="center"/>
          </w:tcPr>
          <w:p>
            <w:pPr>
              <w:spacing w:line="240" w:lineRule="auto"/>
              <w:ind w:firstLine="0" w:firstLineChars="0"/>
              <w:jc w:val="center"/>
              <w:rPr>
                <w:sz w:val="21"/>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pct"/>
            <w:vAlign w:val="center"/>
          </w:tcPr>
          <w:p>
            <w:pPr>
              <w:adjustRightInd w:val="0"/>
              <w:snapToGrid w:val="0"/>
              <w:spacing w:line="240" w:lineRule="auto"/>
              <w:ind w:firstLine="0" w:firstLineChars="0"/>
              <w:jc w:val="center"/>
              <w:rPr>
                <w:sz w:val="21"/>
                <w:szCs w:val="21"/>
              </w:rPr>
            </w:pPr>
            <w:r>
              <w:rPr>
                <w:rFonts w:hint="eastAsia"/>
                <w:sz w:val="21"/>
                <w:szCs w:val="21"/>
              </w:rPr>
              <w:t>催化剂</w:t>
            </w:r>
          </w:p>
        </w:tc>
        <w:tc>
          <w:tcPr>
            <w:tcW w:w="738" w:type="pct"/>
            <w:vAlign w:val="center"/>
          </w:tcPr>
          <w:p>
            <w:pPr>
              <w:adjustRightInd w:val="0"/>
              <w:snapToGrid w:val="0"/>
              <w:spacing w:line="240" w:lineRule="auto"/>
              <w:ind w:firstLine="0" w:firstLineChars="0"/>
              <w:jc w:val="center"/>
              <w:rPr>
                <w:sz w:val="21"/>
                <w:szCs w:val="21"/>
              </w:rPr>
            </w:pPr>
          </w:p>
        </w:tc>
        <w:tc>
          <w:tcPr>
            <w:tcW w:w="1157" w:type="pct"/>
            <w:vMerge w:val="continue"/>
            <w:vAlign w:val="center"/>
          </w:tcPr>
          <w:p>
            <w:pPr>
              <w:spacing w:line="240" w:lineRule="auto"/>
              <w:ind w:firstLine="0" w:firstLineChars="0"/>
              <w:jc w:val="center"/>
              <w:rPr>
                <w:sz w:val="21"/>
                <w:szCs w:val="22"/>
              </w:rPr>
            </w:pPr>
          </w:p>
        </w:tc>
        <w:tc>
          <w:tcPr>
            <w:tcW w:w="2267" w:type="pct"/>
            <w:vMerge w:val="continue"/>
            <w:vAlign w:val="center"/>
          </w:tcPr>
          <w:p>
            <w:pPr>
              <w:spacing w:line="240" w:lineRule="auto"/>
              <w:ind w:firstLine="0" w:firstLineChars="0"/>
              <w:jc w:val="center"/>
              <w:rPr>
                <w:sz w:val="21"/>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pct"/>
            <w:vAlign w:val="center"/>
          </w:tcPr>
          <w:p>
            <w:pPr>
              <w:adjustRightInd w:val="0"/>
              <w:snapToGrid w:val="0"/>
              <w:spacing w:line="240" w:lineRule="auto"/>
              <w:ind w:firstLine="0" w:firstLineChars="0"/>
              <w:jc w:val="center"/>
              <w:rPr>
                <w:sz w:val="21"/>
                <w:szCs w:val="21"/>
              </w:rPr>
            </w:pPr>
            <w:r>
              <w:rPr>
                <w:rFonts w:hint="eastAsia"/>
                <w:sz w:val="21"/>
                <w:szCs w:val="21"/>
              </w:rPr>
              <w:t>催化剂</w:t>
            </w:r>
          </w:p>
        </w:tc>
        <w:tc>
          <w:tcPr>
            <w:tcW w:w="738" w:type="pct"/>
            <w:vAlign w:val="center"/>
          </w:tcPr>
          <w:p>
            <w:pPr>
              <w:adjustRightInd w:val="0"/>
              <w:snapToGrid w:val="0"/>
              <w:spacing w:line="240" w:lineRule="auto"/>
              <w:ind w:firstLine="0" w:firstLineChars="0"/>
              <w:jc w:val="center"/>
              <w:rPr>
                <w:sz w:val="21"/>
                <w:szCs w:val="21"/>
              </w:rPr>
            </w:pPr>
          </w:p>
        </w:tc>
        <w:tc>
          <w:tcPr>
            <w:tcW w:w="1157" w:type="pct"/>
            <w:vMerge w:val="continue"/>
            <w:vAlign w:val="center"/>
          </w:tcPr>
          <w:p>
            <w:pPr>
              <w:spacing w:line="240" w:lineRule="auto"/>
              <w:ind w:firstLine="0" w:firstLineChars="0"/>
              <w:jc w:val="center"/>
              <w:rPr>
                <w:sz w:val="21"/>
                <w:szCs w:val="22"/>
              </w:rPr>
            </w:pPr>
          </w:p>
        </w:tc>
        <w:tc>
          <w:tcPr>
            <w:tcW w:w="2267" w:type="pct"/>
            <w:vMerge w:val="continue"/>
            <w:vAlign w:val="center"/>
          </w:tcPr>
          <w:p>
            <w:pPr>
              <w:spacing w:line="240" w:lineRule="auto"/>
              <w:ind w:firstLine="0" w:firstLineChars="0"/>
              <w:jc w:val="center"/>
              <w:rPr>
                <w:sz w:val="21"/>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836" w:type="pct"/>
            <w:vAlign w:val="center"/>
          </w:tcPr>
          <w:p>
            <w:pPr>
              <w:adjustRightInd w:val="0"/>
              <w:snapToGrid w:val="0"/>
              <w:spacing w:line="240" w:lineRule="auto"/>
              <w:ind w:firstLine="0" w:firstLineChars="0"/>
              <w:jc w:val="center"/>
              <w:rPr>
                <w:sz w:val="21"/>
                <w:szCs w:val="21"/>
              </w:rPr>
            </w:pPr>
            <w:r>
              <w:rPr>
                <w:rFonts w:hint="eastAsia"/>
                <w:sz w:val="21"/>
                <w:szCs w:val="21"/>
              </w:rPr>
              <w:t>水</w:t>
            </w:r>
          </w:p>
        </w:tc>
        <w:tc>
          <w:tcPr>
            <w:tcW w:w="738" w:type="pct"/>
            <w:vAlign w:val="center"/>
          </w:tcPr>
          <w:p>
            <w:pPr>
              <w:adjustRightInd w:val="0"/>
              <w:snapToGrid w:val="0"/>
              <w:spacing w:line="240" w:lineRule="auto"/>
              <w:ind w:firstLine="0" w:firstLineChars="0"/>
              <w:jc w:val="center"/>
              <w:rPr>
                <w:sz w:val="21"/>
                <w:szCs w:val="21"/>
              </w:rPr>
            </w:pPr>
          </w:p>
        </w:tc>
        <w:tc>
          <w:tcPr>
            <w:tcW w:w="1157" w:type="pct"/>
            <w:vMerge w:val="continue"/>
            <w:vAlign w:val="center"/>
          </w:tcPr>
          <w:p>
            <w:pPr>
              <w:spacing w:line="240" w:lineRule="auto"/>
              <w:ind w:firstLine="0" w:firstLineChars="0"/>
              <w:jc w:val="center"/>
              <w:rPr>
                <w:sz w:val="21"/>
                <w:szCs w:val="22"/>
              </w:rPr>
            </w:pPr>
          </w:p>
        </w:tc>
        <w:tc>
          <w:tcPr>
            <w:tcW w:w="2267" w:type="pct"/>
            <w:vMerge w:val="continue"/>
            <w:vAlign w:val="center"/>
          </w:tcPr>
          <w:p>
            <w:pPr>
              <w:spacing w:line="240" w:lineRule="auto"/>
              <w:ind w:firstLine="0" w:firstLineChars="0"/>
              <w:jc w:val="center"/>
              <w:rPr>
                <w:sz w:val="21"/>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6" w:type="pct"/>
            <w:vMerge w:val="restart"/>
            <w:vAlign w:val="center"/>
          </w:tcPr>
          <w:p>
            <w:pPr>
              <w:adjustRightInd w:val="0"/>
              <w:snapToGrid w:val="0"/>
              <w:spacing w:line="240" w:lineRule="auto"/>
              <w:ind w:firstLine="0" w:firstLineChars="0"/>
              <w:jc w:val="center"/>
              <w:rPr>
                <w:sz w:val="21"/>
                <w:szCs w:val="21"/>
              </w:rPr>
            </w:pPr>
            <w:r>
              <w:rPr>
                <w:sz w:val="21"/>
                <w:szCs w:val="21"/>
                <w:lang w:bidi="ar"/>
              </w:rPr>
              <w:t>合计</w:t>
            </w:r>
          </w:p>
        </w:tc>
        <w:tc>
          <w:tcPr>
            <w:tcW w:w="738" w:type="pct"/>
            <w:vMerge w:val="restart"/>
            <w:vAlign w:val="center"/>
          </w:tcPr>
          <w:p>
            <w:pPr>
              <w:adjustRightInd w:val="0"/>
              <w:snapToGrid w:val="0"/>
              <w:spacing w:line="240" w:lineRule="auto"/>
              <w:ind w:firstLine="0" w:firstLineChars="0"/>
              <w:jc w:val="center"/>
              <w:rPr>
                <w:sz w:val="21"/>
                <w:szCs w:val="21"/>
              </w:rPr>
            </w:pPr>
            <w:r>
              <w:rPr>
                <w:rFonts w:hint="eastAsia"/>
                <w:sz w:val="21"/>
                <w:szCs w:val="21"/>
              </w:rPr>
              <w:t>3700</w:t>
            </w:r>
          </w:p>
        </w:tc>
        <w:tc>
          <w:tcPr>
            <w:tcW w:w="1157" w:type="pct"/>
            <w:vAlign w:val="center"/>
          </w:tcPr>
          <w:p>
            <w:pPr>
              <w:adjustRightInd w:val="0"/>
              <w:snapToGrid w:val="0"/>
              <w:spacing w:line="240" w:lineRule="auto"/>
              <w:ind w:firstLine="0" w:firstLineChars="0"/>
              <w:jc w:val="center"/>
              <w:rPr>
                <w:sz w:val="21"/>
                <w:szCs w:val="21"/>
              </w:rPr>
            </w:pPr>
            <w:r>
              <w:rPr>
                <w:rFonts w:hint="eastAsia"/>
                <w:sz w:val="21"/>
                <w:szCs w:val="21"/>
                <w:lang w:bidi="ar"/>
              </w:rPr>
              <w:t>3600</w:t>
            </w:r>
          </w:p>
        </w:tc>
        <w:tc>
          <w:tcPr>
            <w:tcW w:w="2267" w:type="pct"/>
            <w:vAlign w:val="center"/>
          </w:tcPr>
          <w:p>
            <w:pPr>
              <w:adjustRightInd w:val="0"/>
              <w:snapToGrid w:val="0"/>
              <w:spacing w:line="240" w:lineRule="auto"/>
              <w:ind w:firstLine="0" w:firstLineChars="0"/>
              <w:jc w:val="center"/>
              <w:rPr>
                <w:sz w:val="21"/>
                <w:szCs w:val="21"/>
              </w:rPr>
            </w:pPr>
            <w:r>
              <w:rPr>
                <w:rFonts w:hint="eastAsia"/>
                <w:sz w:val="21"/>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pct"/>
            <w:vMerge w:val="continue"/>
            <w:vAlign w:val="center"/>
          </w:tcPr>
          <w:p>
            <w:pPr>
              <w:spacing w:line="240" w:lineRule="auto"/>
              <w:ind w:firstLine="0" w:firstLineChars="0"/>
              <w:jc w:val="center"/>
              <w:rPr>
                <w:sz w:val="21"/>
                <w:szCs w:val="22"/>
              </w:rPr>
            </w:pPr>
          </w:p>
        </w:tc>
        <w:tc>
          <w:tcPr>
            <w:tcW w:w="738" w:type="pct"/>
            <w:vMerge w:val="continue"/>
            <w:vAlign w:val="center"/>
          </w:tcPr>
          <w:p>
            <w:pPr>
              <w:spacing w:line="240" w:lineRule="auto"/>
              <w:ind w:firstLine="0" w:firstLineChars="0"/>
              <w:jc w:val="center"/>
              <w:rPr>
                <w:sz w:val="21"/>
                <w:szCs w:val="22"/>
              </w:rPr>
            </w:pPr>
          </w:p>
        </w:tc>
        <w:tc>
          <w:tcPr>
            <w:tcW w:w="3424" w:type="pct"/>
            <w:gridSpan w:val="2"/>
            <w:vAlign w:val="center"/>
          </w:tcPr>
          <w:p>
            <w:pPr>
              <w:adjustRightInd w:val="0"/>
              <w:snapToGrid w:val="0"/>
              <w:spacing w:line="240" w:lineRule="auto"/>
              <w:ind w:firstLine="0" w:firstLineChars="0"/>
              <w:jc w:val="center"/>
              <w:rPr>
                <w:sz w:val="21"/>
                <w:szCs w:val="21"/>
              </w:rPr>
            </w:pPr>
            <w:r>
              <w:rPr>
                <w:rFonts w:hint="eastAsia"/>
                <w:sz w:val="21"/>
                <w:szCs w:val="21"/>
                <w:lang w:bidi="ar"/>
              </w:rPr>
              <w:t>3700</w:t>
            </w:r>
          </w:p>
        </w:tc>
      </w:tr>
    </w:tbl>
    <w:p>
      <w:pPr>
        <w:ind w:firstLine="480"/>
        <w:rPr>
          <w:rFonts w:hint="eastAsia"/>
          <w:color w:val="auto"/>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color w:val="auto"/>
        </w:rPr>
        <w:br w:type="page"/>
      </w:r>
    </w:p>
    <w:p>
      <w:pPr>
        <w:pStyle w:val="8"/>
        <w:spacing w:before="0" w:beforeLines="0" w:after="0" w:afterLines="0" w:line="360" w:lineRule="auto"/>
        <w:rPr>
          <w:rStyle w:val="54"/>
          <w:b/>
          <w:bCs/>
          <w:color w:val="auto"/>
          <w:szCs w:val="32"/>
        </w:rPr>
      </w:pPr>
      <w:bookmarkStart w:id="207" w:name="_Toc13333"/>
      <w:r>
        <w:rPr>
          <w:rStyle w:val="54"/>
          <w:rFonts w:hint="eastAsia"/>
          <w:b/>
          <w:bCs/>
          <w:color w:val="auto"/>
          <w:szCs w:val="32"/>
        </w:rPr>
        <w:t>2.4产污环节</w:t>
      </w:r>
      <w:bookmarkEnd w:id="207"/>
    </w:p>
    <w:p>
      <w:pPr>
        <w:pStyle w:val="2"/>
        <w:spacing w:after="0"/>
        <w:ind w:firstLine="480"/>
        <w:rPr>
          <w:color w:val="auto"/>
        </w:rPr>
      </w:pPr>
      <w:r>
        <w:rPr>
          <w:rFonts w:hint="eastAsia"/>
          <w:color w:val="auto"/>
        </w:rPr>
        <w:t>拟建项目生产装置及辅助公用设施产污详见下表：</w:t>
      </w:r>
    </w:p>
    <w:p>
      <w:pPr>
        <w:ind w:firstLine="0" w:firstLineChars="0"/>
        <w:jc w:val="center"/>
        <w:rPr>
          <w:rFonts w:eastAsia="黑体"/>
          <w:color w:val="auto"/>
          <w:sz w:val="21"/>
          <w:szCs w:val="21"/>
        </w:rPr>
      </w:pPr>
      <w:r>
        <w:rPr>
          <w:rFonts w:eastAsia="黑体"/>
          <w:color w:val="auto"/>
          <w:sz w:val="21"/>
          <w:szCs w:val="21"/>
        </w:rPr>
        <w:t>表2.4-1 拟建项目主要污染产生环节一览表</w:t>
      </w:r>
    </w:p>
    <w:tbl>
      <w:tblPr>
        <w:tblStyle w:val="2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789"/>
        <w:gridCol w:w="615"/>
        <w:gridCol w:w="568"/>
        <w:gridCol w:w="1647"/>
        <w:gridCol w:w="1025"/>
        <w:gridCol w:w="2057"/>
        <w:gridCol w:w="23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35" w:type="pct"/>
            <w:vAlign w:val="center"/>
          </w:tcPr>
          <w:p>
            <w:pPr>
              <w:snapToGrid w:val="0"/>
              <w:spacing w:line="312" w:lineRule="exact"/>
              <w:ind w:firstLine="0" w:firstLineChars="0"/>
              <w:jc w:val="center"/>
              <w:rPr>
                <w:b/>
                <w:color w:val="auto"/>
                <w:sz w:val="21"/>
                <w:szCs w:val="21"/>
              </w:rPr>
            </w:pPr>
            <w:r>
              <w:rPr>
                <w:b/>
                <w:color w:val="auto"/>
                <w:sz w:val="21"/>
                <w:szCs w:val="21"/>
              </w:rPr>
              <w:t>装置名称</w:t>
            </w:r>
          </w:p>
        </w:tc>
        <w:tc>
          <w:tcPr>
            <w:tcW w:w="339" w:type="pct"/>
            <w:vAlign w:val="center"/>
          </w:tcPr>
          <w:p>
            <w:pPr>
              <w:snapToGrid w:val="0"/>
              <w:spacing w:line="312" w:lineRule="exact"/>
              <w:ind w:firstLine="0" w:firstLineChars="0"/>
              <w:jc w:val="center"/>
              <w:rPr>
                <w:b/>
                <w:color w:val="auto"/>
                <w:sz w:val="21"/>
                <w:szCs w:val="21"/>
              </w:rPr>
            </w:pPr>
            <w:r>
              <w:rPr>
                <w:b/>
                <w:color w:val="auto"/>
                <w:sz w:val="21"/>
                <w:szCs w:val="21"/>
              </w:rPr>
              <w:t>类别</w:t>
            </w:r>
          </w:p>
        </w:tc>
        <w:tc>
          <w:tcPr>
            <w:tcW w:w="313" w:type="pct"/>
            <w:vAlign w:val="center"/>
          </w:tcPr>
          <w:p>
            <w:pPr>
              <w:snapToGrid w:val="0"/>
              <w:spacing w:line="312" w:lineRule="exact"/>
              <w:ind w:firstLine="0" w:firstLineChars="0"/>
              <w:jc w:val="center"/>
              <w:rPr>
                <w:b/>
                <w:color w:val="auto"/>
                <w:sz w:val="21"/>
                <w:szCs w:val="21"/>
              </w:rPr>
            </w:pPr>
            <w:r>
              <w:rPr>
                <w:b/>
                <w:color w:val="auto"/>
                <w:sz w:val="21"/>
                <w:szCs w:val="21"/>
              </w:rPr>
              <w:t>编号</w:t>
            </w:r>
          </w:p>
        </w:tc>
        <w:tc>
          <w:tcPr>
            <w:tcW w:w="908" w:type="pct"/>
            <w:vAlign w:val="center"/>
          </w:tcPr>
          <w:p>
            <w:pPr>
              <w:snapToGrid w:val="0"/>
              <w:spacing w:line="312" w:lineRule="exact"/>
              <w:ind w:firstLine="0" w:firstLineChars="0"/>
              <w:jc w:val="center"/>
              <w:rPr>
                <w:b/>
                <w:color w:val="auto"/>
                <w:sz w:val="21"/>
                <w:szCs w:val="21"/>
              </w:rPr>
            </w:pPr>
            <w:r>
              <w:rPr>
                <w:b/>
                <w:color w:val="auto"/>
                <w:sz w:val="21"/>
                <w:szCs w:val="21"/>
              </w:rPr>
              <w:t>产生环节</w:t>
            </w:r>
          </w:p>
        </w:tc>
        <w:tc>
          <w:tcPr>
            <w:tcW w:w="565" w:type="pct"/>
            <w:vAlign w:val="center"/>
          </w:tcPr>
          <w:p>
            <w:pPr>
              <w:snapToGrid w:val="0"/>
              <w:spacing w:line="312" w:lineRule="exact"/>
              <w:ind w:firstLine="0" w:firstLineChars="0"/>
              <w:jc w:val="center"/>
              <w:rPr>
                <w:b/>
                <w:color w:val="auto"/>
                <w:sz w:val="21"/>
                <w:szCs w:val="21"/>
              </w:rPr>
            </w:pPr>
            <w:r>
              <w:rPr>
                <w:b/>
                <w:color w:val="auto"/>
                <w:sz w:val="21"/>
                <w:szCs w:val="21"/>
              </w:rPr>
              <w:t>性质</w:t>
            </w:r>
          </w:p>
        </w:tc>
        <w:tc>
          <w:tcPr>
            <w:tcW w:w="1134" w:type="pct"/>
            <w:vAlign w:val="center"/>
          </w:tcPr>
          <w:p>
            <w:pPr>
              <w:snapToGrid w:val="0"/>
              <w:spacing w:line="312" w:lineRule="exact"/>
              <w:ind w:firstLine="0" w:firstLineChars="0"/>
              <w:jc w:val="center"/>
              <w:rPr>
                <w:b/>
                <w:color w:val="auto"/>
                <w:sz w:val="21"/>
                <w:szCs w:val="21"/>
              </w:rPr>
            </w:pPr>
            <w:r>
              <w:rPr>
                <w:b/>
                <w:color w:val="auto"/>
                <w:sz w:val="21"/>
                <w:szCs w:val="21"/>
              </w:rPr>
              <w:t>污染物</w:t>
            </w:r>
          </w:p>
        </w:tc>
        <w:tc>
          <w:tcPr>
            <w:tcW w:w="1304" w:type="pct"/>
            <w:vAlign w:val="center"/>
          </w:tcPr>
          <w:p>
            <w:pPr>
              <w:snapToGrid w:val="0"/>
              <w:spacing w:line="312" w:lineRule="exact"/>
              <w:ind w:firstLine="0" w:firstLineChars="0"/>
              <w:jc w:val="center"/>
              <w:rPr>
                <w:b/>
                <w:color w:val="auto"/>
                <w:sz w:val="21"/>
                <w:szCs w:val="21"/>
              </w:rPr>
            </w:pPr>
            <w:r>
              <w:rPr>
                <w:rFonts w:hint="eastAsia"/>
                <w:b/>
                <w:color w:val="auto"/>
                <w:sz w:val="21"/>
                <w:szCs w:val="21"/>
              </w:rPr>
              <w:t>治理措施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35" w:type="pct"/>
            <w:vMerge w:val="restart"/>
            <w:vAlign w:val="center"/>
          </w:tcPr>
          <w:p>
            <w:pPr>
              <w:snapToGrid w:val="0"/>
              <w:spacing w:line="312" w:lineRule="exact"/>
              <w:ind w:firstLine="0" w:firstLineChars="0"/>
              <w:jc w:val="center"/>
              <w:rPr>
                <w:color w:val="auto"/>
                <w:sz w:val="21"/>
                <w:szCs w:val="21"/>
              </w:rPr>
            </w:pPr>
            <w:r>
              <w:rPr>
                <w:color w:val="auto"/>
                <w:sz w:val="21"/>
                <w:szCs w:val="21"/>
              </w:rPr>
              <w:t>生产装置及罐区</w:t>
            </w:r>
          </w:p>
        </w:tc>
        <w:tc>
          <w:tcPr>
            <w:tcW w:w="339" w:type="pct"/>
            <w:vMerge w:val="restart"/>
            <w:vAlign w:val="center"/>
          </w:tcPr>
          <w:p>
            <w:pPr>
              <w:snapToGrid w:val="0"/>
              <w:spacing w:line="312" w:lineRule="exact"/>
              <w:ind w:firstLine="0" w:firstLineChars="0"/>
              <w:jc w:val="center"/>
              <w:rPr>
                <w:color w:val="auto"/>
                <w:sz w:val="21"/>
                <w:szCs w:val="21"/>
              </w:rPr>
            </w:pPr>
            <w:r>
              <w:rPr>
                <w:color w:val="auto"/>
                <w:sz w:val="21"/>
                <w:szCs w:val="21"/>
              </w:rPr>
              <w:t>废气</w:t>
            </w:r>
          </w:p>
        </w:tc>
        <w:tc>
          <w:tcPr>
            <w:tcW w:w="313" w:type="pct"/>
            <w:vAlign w:val="center"/>
          </w:tcPr>
          <w:p>
            <w:pPr>
              <w:snapToGrid w:val="0"/>
              <w:spacing w:line="312" w:lineRule="exact"/>
              <w:ind w:firstLine="0" w:firstLineChars="0"/>
              <w:jc w:val="center"/>
              <w:rPr>
                <w:color w:val="auto"/>
                <w:sz w:val="21"/>
                <w:szCs w:val="21"/>
              </w:rPr>
            </w:pPr>
            <w:r>
              <w:rPr>
                <w:color w:val="auto"/>
                <w:sz w:val="21"/>
                <w:szCs w:val="21"/>
              </w:rPr>
              <w:t>G1</w:t>
            </w:r>
          </w:p>
        </w:tc>
        <w:tc>
          <w:tcPr>
            <w:tcW w:w="908" w:type="pct"/>
            <w:vAlign w:val="center"/>
          </w:tcPr>
          <w:p>
            <w:pPr>
              <w:snapToGrid w:val="0"/>
              <w:spacing w:line="312" w:lineRule="exact"/>
              <w:ind w:firstLine="0" w:firstLineChars="0"/>
              <w:jc w:val="center"/>
              <w:rPr>
                <w:color w:val="auto"/>
                <w:sz w:val="21"/>
                <w:szCs w:val="21"/>
              </w:rPr>
            </w:pPr>
            <w:r>
              <w:rPr>
                <w:rFonts w:hint="eastAsia"/>
                <w:color w:val="auto"/>
                <w:sz w:val="21"/>
                <w:szCs w:val="21"/>
              </w:rPr>
              <w:t>脱水不凝气</w:t>
            </w:r>
          </w:p>
        </w:tc>
        <w:tc>
          <w:tcPr>
            <w:tcW w:w="565" w:type="pct"/>
            <w:vAlign w:val="center"/>
          </w:tcPr>
          <w:p>
            <w:pPr>
              <w:snapToGrid w:val="0"/>
              <w:spacing w:line="312" w:lineRule="exact"/>
              <w:ind w:firstLine="0" w:firstLineChars="0"/>
              <w:jc w:val="center"/>
              <w:rPr>
                <w:color w:val="auto"/>
                <w:sz w:val="21"/>
                <w:szCs w:val="21"/>
              </w:rPr>
            </w:pPr>
            <w:r>
              <w:rPr>
                <w:color w:val="auto"/>
                <w:sz w:val="21"/>
                <w:szCs w:val="21"/>
              </w:rPr>
              <w:t>有组织</w:t>
            </w:r>
          </w:p>
        </w:tc>
        <w:tc>
          <w:tcPr>
            <w:tcW w:w="1134" w:type="pct"/>
            <w:vAlign w:val="center"/>
          </w:tcPr>
          <w:p>
            <w:pPr>
              <w:snapToGrid w:val="0"/>
              <w:spacing w:line="312" w:lineRule="exact"/>
              <w:ind w:firstLine="0" w:firstLineChars="0"/>
              <w:jc w:val="center"/>
              <w:rPr>
                <w:color w:val="auto"/>
                <w:sz w:val="21"/>
                <w:szCs w:val="21"/>
              </w:rPr>
            </w:pPr>
            <w:r>
              <w:rPr>
                <w:color w:val="auto"/>
                <w:sz w:val="21"/>
                <w:szCs w:val="21"/>
              </w:rPr>
              <w:t>VOCs</w:t>
            </w:r>
          </w:p>
        </w:tc>
        <w:tc>
          <w:tcPr>
            <w:tcW w:w="1304" w:type="pct"/>
            <w:vMerge w:val="restart"/>
            <w:vAlign w:val="center"/>
          </w:tcPr>
          <w:p>
            <w:pPr>
              <w:snapToGrid w:val="0"/>
              <w:spacing w:line="312" w:lineRule="exact"/>
              <w:ind w:firstLine="0" w:firstLineChars="0"/>
              <w:jc w:val="center"/>
              <w:rPr>
                <w:color w:val="auto"/>
                <w:sz w:val="21"/>
                <w:szCs w:val="21"/>
              </w:rPr>
            </w:pPr>
            <w:r>
              <w:rPr>
                <w:rFonts w:hint="eastAsia"/>
                <w:color w:val="auto"/>
                <w:sz w:val="21"/>
                <w:szCs w:val="21"/>
                <w:lang w:eastAsia="zh-CN"/>
              </w:rPr>
              <w:t>碱喷淋</w:t>
            </w:r>
            <w:r>
              <w:rPr>
                <w:rFonts w:hint="eastAsia"/>
                <w:color w:val="auto"/>
                <w:sz w:val="21"/>
                <w:szCs w:val="21"/>
              </w:rPr>
              <w:t>+活性炭吸附+15m高排气筒DA001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35" w:type="pct"/>
            <w:vMerge w:val="continue"/>
            <w:vAlign w:val="center"/>
          </w:tcPr>
          <w:p>
            <w:pPr>
              <w:snapToGrid w:val="0"/>
              <w:spacing w:line="312" w:lineRule="exact"/>
              <w:ind w:firstLine="0" w:firstLineChars="0"/>
              <w:jc w:val="center"/>
              <w:rPr>
                <w:color w:val="auto"/>
                <w:sz w:val="21"/>
                <w:szCs w:val="21"/>
              </w:rPr>
            </w:pPr>
          </w:p>
        </w:tc>
        <w:tc>
          <w:tcPr>
            <w:tcW w:w="339" w:type="pct"/>
            <w:vMerge w:val="continue"/>
            <w:vAlign w:val="center"/>
          </w:tcPr>
          <w:p>
            <w:pPr>
              <w:snapToGrid w:val="0"/>
              <w:spacing w:line="312" w:lineRule="exact"/>
              <w:ind w:firstLine="0" w:firstLineChars="0"/>
              <w:jc w:val="center"/>
              <w:rPr>
                <w:color w:val="auto"/>
                <w:sz w:val="21"/>
                <w:szCs w:val="21"/>
              </w:rPr>
            </w:pPr>
          </w:p>
        </w:tc>
        <w:tc>
          <w:tcPr>
            <w:tcW w:w="313" w:type="pct"/>
            <w:vAlign w:val="center"/>
          </w:tcPr>
          <w:p>
            <w:pPr>
              <w:snapToGrid w:val="0"/>
              <w:spacing w:line="312" w:lineRule="exact"/>
              <w:ind w:firstLine="0" w:firstLineChars="0"/>
              <w:jc w:val="center"/>
              <w:rPr>
                <w:color w:val="auto"/>
                <w:sz w:val="21"/>
                <w:szCs w:val="21"/>
              </w:rPr>
            </w:pPr>
            <w:r>
              <w:rPr>
                <w:rFonts w:hint="eastAsia"/>
                <w:color w:val="auto"/>
                <w:sz w:val="21"/>
                <w:szCs w:val="21"/>
              </w:rPr>
              <w:t>G2</w:t>
            </w:r>
          </w:p>
        </w:tc>
        <w:tc>
          <w:tcPr>
            <w:tcW w:w="908" w:type="pct"/>
            <w:vAlign w:val="center"/>
          </w:tcPr>
          <w:p>
            <w:pPr>
              <w:snapToGrid w:val="0"/>
              <w:spacing w:line="312"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低聚不</w:t>
            </w:r>
            <w:r>
              <w:rPr>
                <w:rFonts w:hint="eastAsia"/>
                <w:color w:val="auto"/>
                <w:sz w:val="21"/>
                <w:szCs w:val="21"/>
              </w:rPr>
              <w:t>凝气</w:t>
            </w:r>
          </w:p>
        </w:tc>
        <w:tc>
          <w:tcPr>
            <w:tcW w:w="565" w:type="pct"/>
            <w:vAlign w:val="center"/>
          </w:tcPr>
          <w:p>
            <w:pPr>
              <w:snapToGrid w:val="0"/>
              <w:spacing w:line="312" w:lineRule="exact"/>
              <w:ind w:firstLine="0" w:firstLineChars="0"/>
              <w:jc w:val="center"/>
              <w:rPr>
                <w:color w:val="auto"/>
                <w:sz w:val="21"/>
                <w:szCs w:val="21"/>
              </w:rPr>
            </w:pPr>
            <w:r>
              <w:rPr>
                <w:color w:val="auto"/>
                <w:sz w:val="21"/>
                <w:szCs w:val="21"/>
              </w:rPr>
              <w:t>有组织</w:t>
            </w:r>
          </w:p>
        </w:tc>
        <w:tc>
          <w:tcPr>
            <w:tcW w:w="1134" w:type="pct"/>
            <w:vAlign w:val="center"/>
          </w:tcPr>
          <w:p>
            <w:pPr>
              <w:snapToGrid w:val="0"/>
              <w:spacing w:line="312" w:lineRule="exact"/>
              <w:ind w:firstLine="0" w:firstLineChars="0"/>
              <w:jc w:val="center"/>
              <w:rPr>
                <w:color w:val="auto"/>
                <w:sz w:val="21"/>
                <w:szCs w:val="21"/>
              </w:rPr>
            </w:pPr>
            <w:r>
              <w:rPr>
                <w:color w:val="auto"/>
                <w:sz w:val="21"/>
                <w:szCs w:val="21"/>
              </w:rPr>
              <w:t>VOCs</w:t>
            </w:r>
          </w:p>
        </w:tc>
        <w:tc>
          <w:tcPr>
            <w:tcW w:w="1304" w:type="pct"/>
            <w:vMerge w:val="continue"/>
            <w:vAlign w:val="center"/>
          </w:tcPr>
          <w:p>
            <w:pPr>
              <w:snapToGrid w:val="0"/>
              <w:spacing w:line="312" w:lineRule="exact"/>
              <w:ind w:firstLine="0" w:firstLineChars="0"/>
              <w:jc w:val="center"/>
              <w:rPr>
                <w:rFonts w:hint="eastAsia"/>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35" w:type="pct"/>
            <w:vMerge w:val="continue"/>
            <w:vAlign w:val="center"/>
          </w:tcPr>
          <w:p>
            <w:pPr>
              <w:snapToGrid w:val="0"/>
              <w:spacing w:line="312" w:lineRule="exact"/>
              <w:ind w:firstLine="0" w:firstLineChars="0"/>
              <w:jc w:val="center"/>
              <w:rPr>
                <w:color w:val="auto"/>
                <w:sz w:val="21"/>
                <w:szCs w:val="21"/>
              </w:rPr>
            </w:pPr>
          </w:p>
        </w:tc>
        <w:tc>
          <w:tcPr>
            <w:tcW w:w="339" w:type="pct"/>
            <w:vMerge w:val="continue"/>
            <w:vAlign w:val="center"/>
          </w:tcPr>
          <w:p>
            <w:pPr>
              <w:snapToGrid w:val="0"/>
              <w:spacing w:line="312" w:lineRule="exact"/>
              <w:ind w:firstLine="0" w:firstLineChars="0"/>
              <w:jc w:val="center"/>
              <w:rPr>
                <w:color w:val="auto"/>
                <w:sz w:val="21"/>
                <w:szCs w:val="21"/>
              </w:rPr>
            </w:pPr>
          </w:p>
        </w:tc>
        <w:tc>
          <w:tcPr>
            <w:tcW w:w="313" w:type="pct"/>
            <w:vAlign w:val="center"/>
          </w:tcPr>
          <w:p>
            <w:pPr>
              <w:snapToGrid w:val="0"/>
              <w:spacing w:line="312" w:lineRule="exact"/>
              <w:ind w:firstLine="0" w:firstLineChars="0"/>
              <w:jc w:val="center"/>
              <w:rPr>
                <w:rFonts w:hint="eastAsia" w:eastAsia="宋体"/>
                <w:color w:val="auto"/>
                <w:sz w:val="21"/>
                <w:szCs w:val="21"/>
                <w:lang w:eastAsia="zh-CN"/>
              </w:rPr>
            </w:pPr>
            <w:r>
              <w:rPr>
                <w:rFonts w:hint="eastAsia"/>
                <w:color w:val="auto"/>
                <w:sz w:val="21"/>
                <w:szCs w:val="21"/>
              </w:rPr>
              <w:t>G</w:t>
            </w:r>
            <w:r>
              <w:rPr>
                <w:rFonts w:hint="eastAsia"/>
                <w:color w:val="auto"/>
                <w:sz w:val="21"/>
                <w:szCs w:val="21"/>
                <w:lang w:val="en-US" w:eastAsia="zh-CN"/>
              </w:rPr>
              <w:t>3</w:t>
            </w:r>
          </w:p>
        </w:tc>
        <w:tc>
          <w:tcPr>
            <w:tcW w:w="908" w:type="pct"/>
            <w:vAlign w:val="center"/>
          </w:tcPr>
          <w:p>
            <w:pPr>
              <w:snapToGrid w:val="0"/>
              <w:spacing w:line="312" w:lineRule="exact"/>
              <w:ind w:firstLine="0" w:firstLineChars="0"/>
              <w:jc w:val="center"/>
              <w:rPr>
                <w:color w:val="auto"/>
                <w:sz w:val="21"/>
                <w:szCs w:val="21"/>
              </w:rPr>
            </w:pPr>
            <w:r>
              <w:rPr>
                <w:rFonts w:hint="eastAsia"/>
                <w:color w:val="auto"/>
                <w:sz w:val="21"/>
                <w:szCs w:val="21"/>
              </w:rPr>
              <w:t>催化剂</w:t>
            </w:r>
            <w:r>
              <w:rPr>
                <w:rFonts w:hint="eastAsia"/>
                <w:color w:val="auto"/>
                <w:sz w:val="21"/>
                <w:szCs w:val="21"/>
                <w:lang w:val="en-US" w:eastAsia="zh-CN"/>
              </w:rPr>
              <w:t>投料、</w:t>
            </w:r>
            <w:r>
              <w:rPr>
                <w:rFonts w:hint="eastAsia"/>
                <w:color w:val="auto"/>
                <w:sz w:val="21"/>
                <w:szCs w:val="21"/>
              </w:rPr>
              <w:t>配置废气</w:t>
            </w:r>
          </w:p>
        </w:tc>
        <w:tc>
          <w:tcPr>
            <w:tcW w:w="565" w:type="pct"/>
            <w:vAlign w:val="center"/>
          </w:tcPr>
          <w:p>
            <w:pPr>
              <w:snapToGrid w:val="0"/>
              <w:spacing w:line="312" w:lineRule="exact"/>
              <w:ind w:firstLine="0" w:firstLineChars="0"/>
              <w:jc w:val="center"/>
              <w:rPr>
                <w:color w:val="auto"/>
                <w:sz w:val="21"/>
                <w:szCs w:val="21"/>
              </w:rPr>
            </w:pPr>
            <w:r>
              <w:rPr>
                <w:rFonts w:hint="eastAsia"/>
                <w:color w:val="auto"/>
                <w:sz w:val="21"/>
                <w:szCs w:val="21"/>
              </w:rPr>
              <w:t>无组织</w:t>
            </w:r>
          </w:p>
        </w:tc>
        <w:tc>
          <w:tcPr>
            <w:tcW w:w="1134" w:type="pct"/>
            <w:vAlign w:val="center"/>
          </w:tcPr>
          <w:p>
            <w:pPr>
              <w:snapToGrid w:val="0"/>
              <w:spacing w:line="312" w:lineRule="exact"/>
              <w:ind w:firstLine="0" w:firstLineChars="0"/>
              <w:jc w:val="center"/>
              <w:rPr>
                <w:color w:val="auto"/>
                <w:sz w:val="21"/>
                <w:szCs w:val="21"/>
              </w:rPr>
            </w:pPr>
            <w:r>
              <w:rPr>
                <w:rFonts w:hint="eastAsia"/>
                <w:color w:val="auto"/>
                <w:sz w:val="21"/>
                <w:szCs w:val="21"/>
              </w:rPr>
              <w:t>颗粒物</w:t>
            </w:r>
          </w:p>
        </w:tc>
        <w:tc>
          <w:tcPr>
            <w:tcW w:w="1304" w:type="pct"/>
            <w:vAlign w:val="center"/>
          </w:tcPr>
          <w:p>
            <w:pPr>
              <w:snapToGrid w:val="0"/>
              <w:spacing w:line="312" w:lineRule="exact"/>
              <w:ind w:firstLine="0" w:firstLineChars="0"/>
              <w:jc w:val="center"/>
              <w:rPr>
                <w:rFonts w:hint="default" w:eastAsia="宋体"/>
                <w:color w:val="auto"/>
                <w:sz w:val="21"/>
                <w:szCs w:val="21"/>
                <w:lang w:val="en-US" w:eastAsia="zh-CN"/>
              </w:rPr>
            </w:pPr>
            <w:r>
              <w:rPr>
                <w:rFonts w:hint="eastAsia"/>
                <w:color w:val="auto"/>
                <w:sz w:val="21"/>
                <w:szCs w:val="21"/>
              </w:rPr>
              <w:t>密闭</w:t>
            </w:r>
            <w:r>
              <w:rPr>
                <w:rFonts w:hint="eastAsia"/>
                <w:color w:val="auto"/>
                <w:sz w:val="21"/>
                <w:szCs w:val="21"/>
                <w:lang w:val="en-US" w:eastAsia="zh-CN"/>
              </w:rPr>
              <w:t>罐内配置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35" w:type="pct"/>
            <w:vMerge w:val="continue"/>
            <w:vAlign w:val="center"/>
          </w:tcPr>
          <w:p>
            <w:pPr>
              <w:snapToGrid w:val="0"/>
              <w:spacing w:line="312" w:lineRule="exact"/>
              <w:ind w:firstLine="0" w:firstLineChars="0"/>
              <w:jc w:val="center"/>
              <w:rPr>
                <w:color w:val="auto"/>
                <w:sz w:val="21"/>
                <w:szCs w:val="21"/>
              </w:rPr>
            </w:pPr>
          </w:p>
        </w:tc>
        <w:tc>
          <w:tcPr>
            <w:tcW w:w="339" w:type="pct"/>
            <w:vMerge w:val="continue"/>
            <w:vAlign w:val="center"/>
          </w:tcPr>
          <w:p>
            <w:pPr>
              <w:snapToGrid w:val="0"/>
              <w:spacing w:line="312" w:lineRule="exact"/>
              <w:ind w:firstLine="0" w:firstLineChars="0"/>
              <w:jc w:val="center"/>
              <w:rPr>
                <w:color w:val="auto"/>
                <w:sz w:val="21"/>
                <w:szCs w:val="21"/>
              </w:rPr>
            </w:pPr>
          </w:p>
        </w:tc>
        <w:tc>
          <w:tcPr>
            <w:tcW w:w="313" w:type="pct"/>
            <w:vAlign w:val="center"/>
          </w:tcPr>
          <w:p>
            <w:pPr>
              <w:snapToGrid w:val="0"/>
              <w:spacing w:line="312" w:lineRule="exact"/>
              <w:ind w:firstLine="0" w:firstLineChars="0"/>
              <w:jc w:val="center"/>
              <w:rPr>
                <w:color w:val="auto"/>
                <w:sz w:val="21"/>
                <w:szCs w:val="21"/>
              </w:rPr>
            </w:pPr>
            <w:r>
              <w:rPr>
                <w:color w:val="auto"/>
                <w:sz w:val="21"/>
                <w:szCs w:val="21"/>
              </w:rPr>
              <w:t>G</w:t>
            </w:r>
            <w:r>
              <w:rPr>
                <w:rFonts w:hint="eastAsia"/>
                <w:color w:val="auto"/>
                <w:sz w:val="21"/>
                <w:szCs w:val="21"/>
              </w:rPr>
              <w:t>4</w:t>
            </w:r>
          </w:p>
        </w:tc>
        <w:tc>
          <w:tcPr>
            <w:tcW w:w="908" w:type="pct"/>
            <w:vAlign w:val="center"/>
          </w:tcPr>
          <w:p>
            <w:pPr>
              <w:snapToGrid w:val="0"/>
              <w:spacing w:line="312" w:lineRule="exact"/>
              <w:ind w:firstLine="0" w:firstLineChars="0"/>
              <w:jc w:val="center"/>
              <w:rPr>
                <w:color w:val="auto"/>
                <w:sz w:val="21"/>
                <w:szCs w:val="21"/>
              </w:rPr>
            </w:pPr>
            <w:r>
              <w:rPr>
                <w:rFonts w:hint="eastAsia"/>
                <w:color w:val="auto"/>
                <w:sz w:val="21"/>
                <w:szCs w:val="21"/>
              </w:rPr>
              <w:t>酯化不凝气</w:t>
            </w:r>
          </w:p>
        </w:tc>
        <w:tc>
          <w:tcPr>
            <w:tcW w:w="565" w:type="pct"/>
            <w:vAlign w:val="center"/>
          </w:tcPr>
          <w:p>
            <w:pPr>
              <w:snapToGrid w:val="0"/>
              <w:spacing w:line="312" w:lineRule="exact"/>
              <w:ind w:firstLine="0" w:firstLineChars="0"/>
              <w:jc w:val="center"/>
              <w:rPr>
                <w:color w:val="auto"/>
                <w:sz w:val="21"/>
                <w:szCs w:val="21"/>
              </w:rPr>
            </w:pPr>
            <w:r>
              <w:rPr>
                <w:color w:val="auto"/>
                <w:sz w:val="21"/>
                <w:szCs w:val="21"/>
              </w:rPr>
              <w:t>有组织</w:t>
            </w:r>
          </w:p>
        </w:tc>
        <w:tc>
          <w:tcPr>
            <w:tcW w:w="1134" w:type="pct"/>
            <w:vAlign w:val="center"/>
          </w:tcPr>
          <w:p>
            <w:pPr>
              <w:snapToGrid w:val="0"/>
              <w:spacing w:line="312" w:lineRule="exact"/>
              <w:ind w:firstLine="0" w:firstLineChars="0"/>
              <w:jc w:val="center"/>
              <w:rPr>
                <w:color w:val="auto"/>
                <w:sz w:val="21"/>
                <w:szCs w:val="21"/>
              </w:rPr>
            </w:pPr>
            <w:r>
              <w:rPr>
                <w:color w:val="auto"/>
                <w:sz w:val="21"/>
                <w:szCs w:val="21"/>
              </w:rPr>
              <w:t>VOCs</w:t>
            </w:r>
          </w:p>
        </w:tc>
        <w:tc>
          <w:tcPr>
            <w:tcW w:w="1304" w:type="pct"/>
            <w:vMerge w:val="restart"/>
            <w:vAlign w:val="center"/>
          </w:tcPr>
          <w:p>
            <w:pPr>
              <w:snapToGrid w:val="0"/>
              <w:spacing w:line="312" w:lineRule="exact"/>
              <w:ind w:firstLine="0" w:firstLineChars="0"/>
              <w:jc w:val="center"/>
              <w:rPr>
                <w:color w:val="auto"/>
                <w:sz w:val="21"/>
                <w:szCs w:val="21"/>
              </w:rPr>
            </w:pPr>
            <w:r>
              <w:rPr>
                <w:rFonts w:hint="eastAsia"/>
                <w:color w:val="auto"/>
                <w:sz w:val="21"/>
                <w:szCs w:val="21"/>
                <w:lang w:eastAsia="zh-CN"/>
              </w:rPr>
              <w:t>碱喷淋</w:t>
            </w:r>
            <w:r>
              <w:rPr>
                <w:rFonts w:hint="eastAsia"/>
                <w:color w:val="auto"/>
                <w:sz w:val="21"/>
                <w:szCs w:val="21"/>
              </w:rPr>
              <w:t>+活性炭吸附+15m高排气筒DA001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35" w:type="pct"/>
            <w:vMerge w:val="continue"/>
            <w:vAlign w:val="center"/>
          </w:tcPr>
          <w:p>
            <w:pPr>
              <w:snapToGrid w:val="0"/>
              <w:spacing w:line="312" w:lineRule="exact"/>
              <w:ind w:firstLine="0" w:firstLineChars="0"/>
              <w:jc w:val="center"/>
              <w:rPr>
                <w:color w:val="auto"/>
                <w:sz w:val="21"/>
                <w:szCs w:val="21"/>
              </w:rPr>
            </w:pPr>
          </w:p>
        </w:tc>
        <w:tc>
          <w:tcPr>
            <w:tcW w:w="339" w:type="pct"/>
            <w:vMerge w:val="continue"/>
            <w:vAlign w:val="center"/>
          </w:tcPr>
          <w:p>
            <w:pPr>
              <w:snapToGrid w:val="0"/>
              <w:spacing w:line="312" w:lineRule="exact"/>
              <w:ind w:firstLine="0" w:firstLineChars="0"/>
              <w:jc w:val="center"/>
              <w:rPr>
                <w:color w:val="auto"/>
                <w:sz w:val="21"/>
                <w:szCs w:val="21"/>
              </w:rPr>
            </w:pPr>
          </w:p>
        </w:tc>
        <w:tc>
          <w:tcPr>
            <w:tcW w:w="313" w:type="pct"/>
            <w:vAlign w:val="center"/>
          </w:tcPr>
          <w:p>
            <w:pPr>
              <w:snapToGrid w:val="0"/>
              <w:spacing w:line="312" w:lineRule="exact"/>
              <w:ind w:firstLine="0" w:firstLineChars="0"/>
              <w:jc w:val="center"/>
              <w:rPr>
                <w:color w:val="auto"/>
                <w:sz w:val="21"/>
                <w:szCs w:val="21"/>
              </w:rPr>
            </w:pPr>
            <w:r>
              <w:rPr>
                <w:color w:val="auto"/>
                <w:sz w:val="21"/>
                <w:szCs w:val="21"/>
              </w:rPr>
              <w:t>G</w:t>
            </w:r>
            <w:r>
              <w:rPr>
                <w:rFonts w:hint="eastAsia"/>
                <w:color w:val="auto"/>
                <w:sz w:val="21"/>
                <w:szCs w:val="21"/>
              </w:rPr>
              <w:t>5</w:t>
            </w:r>
          </w:p>
        </w:tc>
        <w:tc>
          <w:tcPr>
            <w:tcW w:w="908" w:type="pct"/>
            <w:vAlign w:val="center"/>
          </w:tcPr>
          <w:p>
            <w:pPr>
              <w:snapToGrid w:val="0"/>
              <w:spacing w:line="312" w:lineRule="exact"/>
              <w:ind w:firstLine="0" w:firstLineChars="0"/>
              <w:jc w:val="center"/>
              <w:rPr>
                <w:color w:val="auto"/>
                <w:sz w:val="21"/>
                <w:szCs w:val="21"/>
              </w:rPr>
            </w:pPr>
            <w:r>
              <w:rPr>
                <w:rFonts w:hint="eastAsia"/>
                <w:color w:val="auto"/>
                <w:sz w:val="21"/>
                <w:szCs w:val="21"/>
              </w:rPr>
              <w:t>精制不凝气</w:t>
            </w:r>
          </w:p>
        </w:tc>
        <w:tc>
          <w:tcPr>
            <w:tcW w:w="565" w:type="pct"/>
            <w:vAlign w:val="center"/>
          </w:tcPr>
          <w:p>
            <w:pPr>
              <w:snapToGrid w:val="0"/>
              <w:spacing w:line="312" w:lineRule="exact"/>
              <w:ind w:firstLine="0" w:firstLineChars="0"/>
              <w:jc w:val="center"/>
              <w:rPr>
                <w:color w:val="auto"/>
                <w:sz w:val="21"/>
                <w:szCs w:val="21"/>
              </w:rPr>
            </w:pPr>
            <w:r>
              <w:rPr>
                <w:color w:val="auto"/>
                <w:sz w:val="21"/>
                <w:szCs w:val="21"/>
              </w:rPr>
              <w:t>有组织</w:t>
            </w:r>
          </w:p>
        </w:tc>
        <w:tc>
          <w:tcPr>
            <w:tcW w:w="1134" w:type="pct"/>
            <w:vAlign w:val="center"/>
          </w:tcPr>
          <w:p>
            <w:pPr>
              <w:snapToGrid w:val="0"/>
              <w:spacing w:line="312" w:lineRule="exact"/>
              <w:ind w:firstLine="0" w:firstLineChars="0"/>
              <w:jc w:val="center"/>
              <w:rPr>
                <w:color w:val="auto"/>
                <w:sz w:val="21"/>
                <w:szCs w:val="21"/>
              </w:rPr>
            </w:pPr>
            <w:r>
              <w:rPr>
                <w:color w:val="auto"/>
                <w:sz w:val="21"/>
                <w:szCs w:val="21"/>
              </w:rPr>
              <w:t>VOCs</w:t>
            </w:r>
          </w:p>
        </w:tc>
        <w:tc>
          <w:tcPr>
            <w:tcW w:w="1304" w:type="pct"/>
            <w:vMerge w:val="continue"/>
            <w:vAlign w:val="center"/>
          </w:tcPr>
          <w:p>
            <w:pPr>
              <w:snapToGrid w:val="0"/>
              <w:spacing w:line="312" w:lineRule="exac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435" w:type="pct"/>
            <w:vMerge w:val="continue"/>
            <w:vAlign w:val="center"/>
          </w:tcPr>
          <w:p>
            <w:pPr>
              <w:snapToGrid w:val="0"/>
              <w:spacing w:line="312" w:lineRule="exact"/>
              <w:ind w:firstLine="0" w:firstLineChars="0"/>
              <w:jc w:val="center"/>
              <w:rPr>
                <w:color w:val="auto"/>
                <w:sz w:val="21"/>
                <w:szCs w:val="21"/>
              </w:rPr>
            </w:pPr>
          </w:p>
        </w:tc>
        <w:tc>
          <w:tcPr>
            <w:tcW w:w="339" w:type="pct"/>
            <w:vMerge w:val="continue"/>
            <w:vAlign w:val="center"/>
          </w:tcPr>
          <w:p>
            <w:pPr>
              <w:snapToGrid w:val="0"/>
              <w:spacing w:line="312" w:lineRule="exact"/>
              <w:ind w:firstLine="0" w:firstLineChars="0"/>
              <w:jc w:val="center"/>
              <w:rPr>
                <w:color w:val="auto"/>
                <w:sz w:val="21"/>
                <w:szCs w:val="21"/>
              </w:rPr>
            </w:pPr>
          </w:p>
        </w:tc>
        <w:tc>
          <w:tcPr>
            <w:tcW w:w="313" w:type="pct"/>
            <w:vAlign w:val="center"/>
          </w:tcPr>
          <w:p>
            <w:pPr>
              <w:snapToGrid w:val="0"/>
              <w:spacing w:line="312" w:lineRule="exact"/>
              <w:ind w:firstLine="0" w:firstLineChars="0"/>
              <w:jc w:val="center"/>
              <w:rPr>
                <w:rFonts w:hint="eastAsia" w:eastAsia="宋体"/>
                <w:color w:val="auto"/>
                <w:sz w:val="21"/>
                <w:szCs w:val="21"/>
                <w:lang w:eastAsia="zh-CN"/>
              </w:rPr>
            </w:pPr>
            <w:r>
              <w:rPr>
                <w:color w:val="auto"/>
                <w:sz w:val="21"/>
                <w:szCs w:val="21"/>
              </w:rPr>
              <w:t>G</w:t>
            </w:r>
            <w:r>
              <w:rPr>
                <w:rFonts w:hint="eastAsia"/>
                <w:color w:val="auto"/>
                <w:sz w:val="21"/>
                <w:szCs w:val="21"/>
                <w:lang w:val="en-US" w:eastAsia="zh-CN"/>
              </w:rPr>
              <w:t>6</w:t>
            </w:r>
          </w:p>
        </w:tc>
        <w:tc>
          <w:tcPr>
            <w:tcW w:w="908" w:type="pct"/>
            <w:vAlign w:val="center"/>
          </w:tcPr>
          <w:p>
            <w:pPr>
              <w:snapToGrid w:val="0"/>
              <w:spacing w:line="312" w:lineRule="exact"/>
              <w:ind w:firstLine="0" w:firstLineChars="0"/>
              <w:jc w:val="center"/>
              <w:rPr>
                <w:color w:val="auto"/>
                <w:sz w:val="21"/>
                <w:szCs w:val="21"/>
              </w:rPr>
            </w:pPr>
            <w:r>
              <w:rPr>
                <w:rFonts w:hint="eastAsia"/>
                <w:color w:val="auto"/>
                <w:sz w:val="21"/>
                <w:szCs w:val="21"/>
              </w:rPr>
              <w:t>脱挥废气</w:t>
            </w:r>
          </w:p>
        </w:tc>
        <w:tc>
          <w:tcPr>
            <w:tcW w:w="565" w:type="pct"/>
            <w:vAlign w:val="center"/>
          </w:tcPr>
          <w:p>
            <w:pPr>
              <w:snapToGrid w:val="0"/>
              <w:spacing w:line="312" w:lineRule="exact"/>
              <w:ind w:firstLine="0" w:firstLineChars="0"/>
              <w:jc w:val="center"/>
              <w:rPr>
                <w:color w:val="auto"/>
                <w:sz w:val="21"/>
                <w:szCs w:val="21"/>
              </w:rPr>
            </w:pPr>
            <w:r>
              <w:rPr>
                <w:color w:val="auto"/>
                <w:sz w:val="21"/>
                <w:szCs w:val="21"/>
              </w:rPr>
              <w:t>有组织</w:t>
            </w:r>
          </w:p>
        </w:tc>
        <w:tc>
          <w:tcPr>
            <w:tcW w:w="1134" w:type="pct"/>
            <w:vAlign w:val="center"/>
          </w:tcPr>
          <w:p>
            <w:pPr>
              <w:snapToGrid w:val="0"/>
              <w:spacing w:line="312" w:lineRule="exact"/>
              <w:ind w:firstLine="0" w:firstLineChars="0"/>
              <w:jc w:val="center"/>
              <w:rPr>
                <w:color w:val="auto"/>
                <w:sz w:val="21"/>
                <w:szCs w:val="21"/>
              </w:rPr>
            </w:pPr>
            <w:r>
              <w:rPr>
                <w:color w:val="auto"/>
                <w:sz w:val="21"/>
                <w:szCs w:val="21"/>
              </w:rPr>
              <w:t>VOCs</w:t>
            </w:r>
          </w:p>
        </w:tc>
        <w:tc>
          <w:tcPr>
            <w:tcW w:w="1304" w:type="pct"/>
            <w:vMerge w:val="continue"/>
            <w:vAlign w:val="center"/>
          </w:tcPr>
          <w:p>
            <w:pPr>
              <w:snapToGrid w:val="0"/>
              <w:spacing w:line="312" w:lineRule="exac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35" w:type="pct"/>
            <w:vMerge w:val="continue"/>
            <w:vAlign w:val="center"/>
          </w:tcPr>
          <w:p>
            <w:pPr>
              <w:snapToGrid w:val="0"/>
              <w:spacing w:line="312" w:lineRule="exact"/>
              <w:ind w:firstLine="0" w:firstLineChars="0"/>
              <w:jc w:val="center"/>
              <w:rPr>
                <w:color w:val="auto"/>
                <w:sz w:val="21"/>
                <w:szCs w:val="21"/>
              </w:rPr>
            </w:pPr>
          </w:p>
        </w:tc>
        <w:tc>
          <w:tcPr>
            <w:tcW w:w="339" w:type="pct"/>
            <w:vMerge w:val="continue"/>
            <w:vAlign w:val="center"/>
          </w:tcPr>
          <w:p>
            <w:pPr>
              <w:snapToGrid w:val="0"/>
              <w:spacing w:line="312" w:lineRule="exact"/>
              <w:ind w:firstLine="0" w:firstLineChars="0"/>
              <w:jc w:val="center"/>
              <w:rPr>
                <w:color w:val="auto"/>
                <w:sz w:val="21"/>
                <w:szCs w:val="21"/>
              </w:rPr>
            </w:pPr>
          </w:p>
        </w:tc>
        <w:tc>
          <w:tcPr>
            <w:tcW w:w="313" w:type="pct"/>
            <w:vAlign w:val="center"/>
          </w:tcPr>
          <w:p>
            <w:pPr>
              <w:snapToGrid w:val="0"/>
              <w:spacing w:line="312" w:lineRule="exact"/>
              <w:ind w:firstLine="0" w:firstLineChars="0"/>
              <w:jc w:val="center"/>
              <w:rPr>
                <w:rFonts w:hint="eastAsia" w:eastAsia="宋体"/>
                <w:color w:val="auto"/>
                <w:sz w:val="21"/>
                <w:szCs w:val="21"/>
                <w:lang w:eastAsia="zh-CN"/>
              </w:rPr>
            </w:pPr>
            <w:r>
              <w:rPr>
                <w:color w:val="auto"/>
                <w:sz w:val="21"/>
                <w:szCs w:val="21"/>
              </w:rPr>
              <w:t>G</w:t>
            </w:r>
            <w:r>
              <w:rPr>
                <w:rFonts w:hint="eastAsia"/>
                <w:color w:val="auto"/>
                <w:sz w:val="21"/>
                <w:szCs w:val="21"/>
                <w:lang w:val="en-US" w:eastAsia="zh-CN"/>
              </w:rPr>
              <w:t>7</w:t>
            </w:r>
          </w:p>
        </w:tc>
        <w:tc>
          <w:tcPr>
            <w:tcW w:w="908" w:type="pct"/>
            <w:vAlign w:val="center"/>
          </w:tcPr>
          <w:p>
            <w:pPr>
              <w:snapToGrid w:val="0"/>
              <w:spacing w:line="312" w:lineRule="exact"/>
              <w:ind w:firstLine="0" w:firstLineChars="0"/>
              <w:jc w:val="center"/>
              <w:rPr>
                <w:color w:val="auto"/>
                <w:sz w:val="21"/>
                <w:szCs w:val="21"/>
              </w:rPr>
            </w:pPr>
            <w:r>
              <w:rPr>
                <w:rFonts w:hint="eastAsia"/>
                <w:color w:val="auto"/>
                <w:sz w:val="21"/>
                <w:szCs w:val="21"/>
              </w:rPr>
              <w:t>干燥</w:t>
            </w:r>
            <w:r>
              <w:rPr>
                <w:color w:val="auto"/>
                <w:sz w:val="21"/>
                <w:szCs w:val="21"/>
              </w:rPr>
              <w:t>废气</w:t>
            </w:r>
          </w:p>
        </w:tc>
        <w:tc>
          <w:tcPr>
            <w:tcW w:w="565" w:type="pct"/>
            <w:vAlign w:val="center"/>
          </w:tcPr>
          <w:p>
            <w:pPr>
              <w:snapToGrid w:val="0"/>
              <w:spacing w:line="312" w:lineRule="exact"/>
              <w:ind w:firstLine="0" w:firstLineChars="0"/>
              <w:jc w:val="center"/>
              <w:rPr>
                <w:rFonts w:hint="eastAsia" w:eastAsia="宋体"/>
                <w:color w:val="auto"/>
                <w:sz w:val="21"/>
                <w:szCs w:val="21"/>
                <w:lang w:eastAsia="zh-CN"/>
              </w:rPr>
            </w:pPr>
            <w:r>
              <w:rPr>
                <w:rFonts w:hint="eastAsia"/>
                <w:color w:val="auto"/>
                <w:sz w:val="21"/>
                <w:szCs w:val="21"/>
                <w:lang w:val="en-US" w:eastAsia="zh-CN"/>
              </w:rPr>
              <w:t>无组织</w:t>
            </w:r>
          </w:p>
        </w:tc>
        <w:tc>
          <w:tcPr>
            <w:tcW w:w="1134" w:type="pct"/>
            <w:vAlign w:val="center"/>
          </w:tcPr>
          <w:p>
            <w:pPr>
              <w:snapToGrid w:val="0"/>
              <w:spacing w:line="312" w:lineRule="exact"/>
              <w:ind w:firstLine="0" w:firstLineChars="0"/>
              <w:jc w:val="center"/>
              <w:rPr>
                <w:color w:val="auto"/>
                <w:sz w:val="21"/>
                <w:szCs w:val="21"/>
              </w:rPr>
            </w:pPr>
            <w:r>
              <w:rPr>
                <w:rFonts w:hint="eastAsia"/>
                <w:color w:val="auto"/>
                <w:sz w:val="21"/>
                <w:szCs w:val="21"/>
              </w:rPr>
              <w:t>颗粒物</w:t>
            </w:r>
          </w:p>
        </w:tc>
        <w:tc>
          <w:tcPr>
            <w:tcW w:w="1304" w:type="pct"/>
            <w:vAlign w:val="center"/>
          </w:tcPr>
          <w:p>
            <w:pPr>
              <w:snapToGrid w:val="0"/>
              <w:spacing w:line="312" w:lineRule="exact"/>
              <w:ind w:firstLine="0" w:firstLineChars="0"/>
              <w:jc w:val="center"/>
              <w:rPr>
                <w:rFonts w:hint="default" w:eastAsia="宋体"/>
                <w:color w:val="auto"/>
                <w:sz w:val="21"/>
                <w:szCs w:val="21"/>
                <w:lang w:val="en-US" w:eastAsia="zh-CN"/>
              </w:rPr>
            </w:pPr>
            <w:r>
              <w:rPr>
                <w:rFonts w:hint="eastAsia"/>
                <w:color w:val="auto"/>
                <w:sz w:val="21"/>
                <w:szCs w:val="21"/>
              </w:rPr>
              <w:t>干燥机自带</w:t>
            </w:r>
            <w:r>
              <w:rPr>
                <w:rFonts w:hint="eastAsia"/>
                <w:color w:val="auto"/>
                <w:sz w:val="21"/>
                <w:szCs w:val="21"/>
                <w:lang w:val="en-US" w:eastAsia="zh-CN"/>
              </w:rPr>
              <w:t>两级除尘器（</w:t>
            </w:r>
            <w:r>
              <w:rPr>
                <w:rFonts w:hint="eastAsia"/>
                <w:color w:val="auto"/>
                <w:sz w:val="21"/>
                <w:szCs w:val="21"/>
              </w:rPr>
              <w:t>旋风除尘器</w:t>
            </w:r>
            <w:r>
              <w:rPr>
                <w:rFonts w:hint="eastAsia"/>
                <w:color w:val="auto"/>
                <w:sz w:val="21"/>
                <w:szCs w:val="21"/>
                <w:lang w:val="en-US" w:eastAsia="zh-CN"/>
              </w:rPr>
              <w:t>+袋式除尘器）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35" w:type="pct"/>
            <w:vMerge w:val="continue"/>
            <w:vAlign w:val="center"/>
          </w:tcPr>
          <w:p>
            <w:pPr>
              <w:snapToGrid w:val="0"/>
              <w:spacing w:line="312" w:lineRule="exact"/>
              <w:ind w:firstLine="0" w:firstLineChars="0"/>
              <w:jc w:val="center"/>
              <w:rPr>
                <w:color w:val="auto"/>
                <w:sz w:val="21"/>
                <w:szCs w:val="21"/>
              </w:rPr>
            </w:pPr>
          </w:p>
        </w:tc>
        <w:tc>
          <w:tcPr>
            <w:tcW w:w="339" w:type="pct"/>
            <w:vMerge w:val="restart"/>
            <w:vAlign w:val="center"/>
          </w:tcPr>
          <w:p>
            <w:pPr>
              <w:snapToGrid w:val="0"/>
              <w:spacing w:line="312" w:lineRule="exact"/>
              <w:ind w:firstLine="0" w:firstLineChars="0"/>
              <w:jc w:val="center"/>
              <w:rPr>
                <w:color w:val="auto"/>
                <w:sz w:val="21"/>
                <w:szCs w:val="21"/>
              </w:rPr>
            </w:pPr>
            <w:r>
              <w:rPr>
                <w:color w:val="auto"/>
                <w:sz w:val="21"/>
                <w:szCs w:val="21"/>
              </w:rPr>
              <w:t>废水</w:t>
            </w:r>
          </w:p>
        </w:tc>
        <w:tc>
          <w:tcPr>
            <w:tcW w:w="313" w:type="pct"/>
            <w:vAlign w:val="center"/>
          </w:tcPr>
          <w:p>
            <w:pPr>
              <w:snapToGrid w:val="0"/>
              <w:spacing w:line="312" w:lineRule="exact"/>
              <w:ind w:firstLine="0" w:firstLineChars="0"/>
              <w:jc w:val="center"/>
              <w:rPr>
                <w:color w:val="auto"/>
                <w:sz w:val="21"/>
                <w:szCs w:val="21"/>
              </w:rPr>
            </w:pPr>
            <w:r>
              <w:rPr>
                <w:color w:val="auto"/>
                <w:sz w:val="21"/>
                <w:szCs w:val="21"/>
              </w:rPr>
              <w:t>W1</w:t>
            </w:r>
          </w:p>
        </w:tc>
        <w:tc>
          <w:tcPr>
            <w:tcW w:w="908" w:type="pct"/>
            <w:vAlign w:val="center"/>
          </w:tcPr>
          <w:p>
            <w:pPr>
              <w:snapToGrid w:val="0"/>
              <w:spacing w:line="312" w:lineRule="exact"/>
              <w:ind w:firstLine="0" w:firstLineChars="0"/>
              <w:jc w:val="center"/>
              <w:rPr>
                <w:color w:val="auto"/>
                <w:sz w:val="21"/>
                <w:szCs w:val="21"/>
              </w:rPr>
            </w:pPr>
            <w:r>
              <w:rPr>
                <w:rFonts w:hint="eastAsia"/>
                <w:color w:val="auto"/>
                <w:sz w:val="21"/>
                <w:szCs w:val="21"/>
              </w:rPr>
              <w:t>脱水废水</w:t>
            </w:r>
          </w:p>
        </w:tc>
        <w:tc>
          <w:tcPr>
            <w:tcW w:w="565" w:type="pct"/>
            <w:vAlign w:val="center"/>
          </w:tcPr>
          <w:p>
            <w:pPr>
              <w:snapToGrid w:val="0"/>
              <w:spacing w:line="312" w:lineRule="exact"/>
              <w:ind w:firstLine="0" w:firstLineChars="0"/>
              <w:jc w:val="center"/>
              <w:rPr>
                <w:color w:val="auto"/>
                <w:sz w:val="21"/>
                <w:szCs w:val="21"/>
              </w:rPr>
            </w:pPr>
            <w:r>
              <w:rPr>
                <w:color w:val="auto"/>
                <w:sz w:val="21"/>
                <w:szCs w:val="21"/>
              </w:rPr>
              <w:t>间歇排放</w:t>
            </w:r>
          </w:p>
        </w:tc>
        <w:tc>
          <w:tcPr>
            <w:tcW w:w="1134" w:type="pct"/>
            <w:vAlign w:val="center"/>
          </w:tcPr>
          <w:p>
            <w:pPr>
              <w:snapToGrid w:val="0"/>
              <w:spacing w:line="312"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COD</w:t>
            </w:r>
          </w:p>
        </w:tc>
        <w:tc>
          <w:tcPr>
            <w:tcW w:w="1304" w:type="pct"/>
            <w:vMerge w:val="restart"/>
            <w:vAlign w:val="center"/>
          </w:tcPr>
          <w:p>
            <w:pPr>
              <w:snapToGrid w:val="0"/>
              <w:spacing w:line="312" w:lineRule="exact"/>
              <w:ind w:firstLine="0" w:firstLineChars="0"/>
              <w:jc w:val="center"/>
              <w:rPr>
                <w:color w:val="auto"/>
                <w:sz w:val="21"/>
                <w:szCs w:val="21"/>
              </w:rPr>
            </w:pPr>
            <w:r>
              <w:rPr>
                <w:rFonts w:hint="eastAsia"/>
                <w:color w:val="auto"/>
                <w:sz w:val="21"/>
                <w:szCs w:val="21"/>
              </w:rPr>
              <w:t>污水处理站处理后排入光大水务（淄博）有限公司水质净化</w:t>
            </w:r>
            <w:r>
              <w:rPr>
                <w:rFonts w:hint="eastAsia"/>
                <w:color w:val="auto"/>
                <w:sz w:val="21"/>
                <w:szCs w:val="21"/>
                <w:lang w:eastAsia="zh-CN"/>
              </w:rPr>
              <w:t>三分厂</w:t>
            </w:r>
            <w:r>
              <w:rPr>
                <w:rFonts w:hint="eastAsia"/>
                <w:color w:val="auto"/>
                <w:sz w:val="21"/>
                <w:szCs w:val="21"/>
              </w:rPr>
              <w:t>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35" w:type="pct"/>
            <w:vMerge w:val="continue"/>
            <w:vAlign w:val="center"/>
          </w:tcPr>
          <w:p>
            <w:pPr>
              <w:snapToGrid w:val="0"/>
              <w:spacing w:line="312" w:lineRule="exact"/>
              <w:ind w:firstLine="0" w:firstLineChars="0"/>
              <w:jc w:val="center"/>
              <w:rPr>
                <w:color w:val="auto"/>
                <w:sz w:val="21"/>
                <w:szCs w:val="21"/>
              </w:rPr>
            </w:pPr>
          </w:p>
        </w:tc>
        <w:tc>
          <w:tcPr>
            <w:tcW w:w="339" w:type="pct"/>
            <w:vMerge w:val="continue"/>
            <w:vAlign w:val="center"/>
          </w:tcPr>
          <w:p>
            <w:pPr>
              <w:snapToGrid w:val="0"/>
              <w:spacing w:line="312" w:lineRule="exact"/>
              <w:ind w:firstLine="0" w:firstLineChars="0"/>
              <w:jc w:val="center"/>
              <w:rPr>
                <w:color w:val="auto"/>
                <w:sz w:val="21"/>
                <w:szCs w:val="21"/>
              </w:rPr>
            </w:pPr>
          </w:p>
        </w:tc>
        <w:tc>
          <w:tcPr>
            <w:tcW w:w="313" w:type="pct"/>
            <w:vAlign w:val="center"/>
          </w:tcPr>
          <w:p>
            <w:pPr>
              <w:snapToGrid w:val="0"/>
              <w:spacing w:line="312" w:lineRule="exact"/>
              <w:ind w:firstLine="0" w:firstLineChars="0"/>
              <w:jc w:val="center"/>
              <w:rPr>
                <w:rFonts w:hint="eastAsia" w:eastAsia="宋体"/>
                <w:color w:val="auto"/>
                <w:sz w:val="21"/>
                <w:szCs w:val="21"/>
                <w:lang w:val="en-US" w:eastAsia="zh-CN"/>
              </w:rPr>
            </w:pPr>
            <w:r>
              <w:rPr>
                <w:color w:val="auto"/>
                <w:sz w:val="21"/>
                <w:szCs w:val="21"/>
              </w:rPr>
              <w:t>W</w:t>
            </w:r>
            <w:r>
              <w:rPr>
                <w:rFonts w:hint="eastAsia"/>
                <w:color w:val="auto"/>
                <w:sz w:val="21"/>
                <w:szCs w:val="21"/>
                <w:lang w:val="en-US" w:eastAsia="zh-CN"/>
              </w:rPr>
              <w:t>2</w:t>
            </w:r>
          </w:p>
        </w:tc>
        <w:tc>
          <w:tcPr>
            <w:tcW w:w="908" w:type="pct"/>
            <w:vAlign w:val="center"/>
          </w:tcPr>
          <w:p>
            <w:pPr>
              <w:snapToGrid w:val="0"/>
              <w:spacing w:line="312"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低聚废水</w:t>
            </w:r>
          </w:p>
        </w:tc>
        <w:tc>
          <w:tcPr>
            <w:tcW w:w="565" w:type="pct"/>
            <w:vAlign w:val="center"/>
          </w:tcPr>
          <w:p>
            <w:pPr>
              <w:snapToGrid w:val="0"/>
              <w:spacing w:line="312" w:lineRule="exact"/>
              <w:ind w:firstLine="0" w:firstLineChars="0"/>
              <w:jc w:val="center"/>
              <w:rPr>
                <w:color w:val="auto"/>
                <w:sz w:val="21"/>
                <w:szCs w:val="21"/>
              </w:rPr>
            </w:pPr>
            <w:r>
              <w:rPr>
                <w:color w:val="auto"/>
                <w:sz w:val="21"/>
                <w:szCs w:val="21"/>
              </w:rPr>
              <w:t>间歇排放</w:t>
            </w:r>
          </w:p>
        </w:tc>
        <w:tc>
          <w:tcPr>
            <w:tcW w:w="1134" w:type="pct"/>
            <w:vAlign w:val="center"/>
          </w:tcPr>
          <w:p>
            <w:pPr>
              <w:snapToGrid w:val="0"/>
              <w:spacing w:line="312" w:lineRule="exact"/>
              <w:ind w:firstLine="0" w:firstLineChars="0"/>
              <w:jc w:val="center"/>
              <w:rPr>
                <w:rFonts w:hint="eastAsia"/>
                <w:color w:val="auto"/>
                <w:sz w:val="21"/>
                <w:szCs w:val="21"/>
                <w:lang w:val="en-US" w:eastAsia="zh-CN"/>
              </w:rPr>
            </w:pPr>
            <w:r>
              <w:rPr>
                <w:rFonts w:hint="eastAsia"/>
                <w:color w:val="auto"/>
                <w:sz w:val="21"/>
                <w:szCs w:val="21"/>
                <w:lang w:val="en-US" w:eastAsia="zh-CN"/>
              </w:rPr>
              <w:t>COD</w:t>
            </w:r>
          </w:p>
        </w:tc>
        <w:tc>
          <w:tcPr>
            <w:tcW w:w="1304" w:type="pct"/>
            <w:vMerge w:val="continue"/>
            <w:vAlign w:val="center"/>
          </w:tcPr>
          <w:p>
            <w:pPr>
              <w:snapToGrid w:val="0"/>
              <w:spacing w:line="312" w:lineRule="exact"/>
              <w:ind w:firstLine="0" w:firstLineChars="0"/>
              <w:jc w:val="center"/>
              <w:rPr>
                <w:rFonts w:hint="eastAsia"/>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435" w:type="pct"/>
            <w:vMerge w:val="continue"/>
            <w:vAlign w:val="center"/>
          </w:tcPr>
          <w:p>
            <w:pPr>
              <w:snapToGrid w:val="0"/>
              <w:spacing w:line="312" w:lineRule="exact"/>
              <w:ind w:firstLine="0" w:firstLineChars="0"/>
              <w:jc w:val="center"/>
              <w:rPr>
                <w:color w:val="auto"/>
                <w:sz w:val="21"/>
                <w:szCs w:val="21"/>
              </w:rPr>
            </w:pPr>
          </w:p>
        </w:tc>
        <w:tc>
          <w:tcPr>
            <w:tcW w:w="339" w:type="pct"/>
            <w:vMerge w:val="restart"/>
            <w:vAlign w:val="center"/>
          </w:tcPr>
          <w:p>
            <w:pPr>
              <w:snapToGrid w:val="0"/>
              <w:spacing w:line="312" w:lineRule="exact"/>
              <w:ind w:firstLine="0" w:firstLineChars="0"/>
              <w:jc w:val="center"/>
              <w:rPr>
                <w:color w:val="auto"/>
                <w:sz w:val="21"/>
                <w:szCs w:val="21"/>
              </w:rPr>
            </w:pPr>
            <w:r>
              <w:rPr>
                <w:color w:val="auto"/>
                <w:sz w:val="21"/>
                <w:szCs w:val="21"/>
              </w:rPr>
              <w:t>固废</w:t>
            </w:r>
          </w:p>
        </w:tc>
        <w:tc>
          <w:tcPr>
            <w:tcW w:w="313" w:type="pct"/>
            <w:vAlign w:val="center"/>
          </w:tcPr>
          <w:p>
            <w:pPr>
              <w:snapToGrid w:val="0"/>
              <w:spacing w:line="312" w:lineRule="exact"/>
              <w:ind w:firstLine="0" w:firstLineChars="0"/>
              <w:jc w:val="center"/>
              <w:rPr>
                <w:color w:val="auto"/>
                <w:sz w:val="21"/>
                <w:szCs w:val="21"/>
              </w:rPr>
            </w:pPr>
            <w:r>
              <w:rPr>
                <w:color w:val="auto"/>
                <w:sz w:val="21"/>
                <w:szCs w:val="21"/>
              </w:rPr>
              <w:t>S1</w:t>
            </w:r>
          </w:p>
        </w:tc>
        <w:tc>
          <w:tcPr>
            <w:tcW w:w="908" w:type="pct"/>
            <w:vAlign w:val="center"/>
          </w:tcPr>
          <w:p>
            <w:pPr>
              <w:snapToGrid w:val="0"/>
              <w:spacing w:line="312" w:lineRule="exact"/>
              <w:ind w:firstLine="0" w:firstLineChars="0"/>
              <w:jc w:val="center"/>
              <w:rPr>
                <w:color w:val="auto"/>
                <w:sz w:val="21"/>
                <w:szCs w:val="21"/>
              </w:rPr>
            </w:pPr>
            <w:r>
              <w:rPr>
                <w:rFonts w:hint="eastAsia"/>
                <w:color w:val="auto"/>
                <w:sz w:val="21"/>
                <w:szCs w:val="21"/>
              </w:rPr>
              <w:t>废包装袋、</w:t>
            </w:r>
            <w:r>
              <w:rPr>
                <w:color w:val="auto"/>
                <w:sz w:val="21"/>
                <w:szCs w:val="21"/>
              </w:rPr>
              <w:t>废包装桶</w:t>
            </w:r>
          </w:p>
        </w:tc>
        <w:tc>
          <w:tcPr>
            <w:tcW w:w="565" w:type="pct"/>
            <w:vAlign w:val="center"/>
          </w:tcPr>
          <w:p>
            <w:pPr>
              <w:snapToGrid w:val="0"/>
              <w:spacing w:line="312" w:lineRule="exact"/>
              <w:ind w:firstLine="0" w:firstLineChars="0"/>
              <w:jc w:val="center"/>
              <w:rPr>
                <w:color w:val="auto"/>
                <w:sz w:val="21"/>
                <w:szCs w:val="21"/>
              </w:rPr>
            </w:pPr>
            <w:r>
              <w:rPr>
                <w:rFonts w:hint="eastAsia"/>
                <w:color w:val="auto"/>
                <w:sz w:val="21"/>
                <w:szCs w:val="21"/>
              </w:rPr>
              <w:t>一般工业固废</w:t>
            </w:r>
          </w:p>
        </w:tc>
        <w:tc>
          <w:tcPr>
            <w:tcW w:w="1134" w:type="pct"/>
            <w:vAlign w:val="center"/>
          </w:tcPr>
          <w:p>
            <w:pPr>
              <w:snapToGrid w:val="0"/>
              <w:spacing w:line="312" w:lineRule="exact"/>
              <w:ind w:firstLine="0" w:firstLineChars="0"/>
              <w:jc w:val="center"/>
              <w:rPr>
                <w:color w:val="auto"/>
                <w:sz w:val="21"/>
                <w:szCs w:val="21"/>
              </w:rPr>
            </w:pPr>
            <w:r>
              <w:rPr>
                <w:color w:val="auto"/>
                <w:sz w:val="21"/>
                <w:szCs w:val="21"/>
              </w:rPr>
              <w:t>沾染</w:t>
            </w:r>
            <w:r>
              <w:rPr>
                <w:rFonts w:hint="eastAsia"/>
                <w:color w:val="auto"/>
                <w:sz w:val="21"/>
                <w:szCs w:val="21"/>
              </w:rPr>
              <w:t>催化剂</w:t>
            </w:r>
          </w:p>
        </w:tc>
        <w:tc>
          <w:tcPr>
            <w:tcW w:w="1304" w:type="pct"/>
            <w:vAlign w:val="center"/>
          </w:tcPr>
          <w:p>
            <w:pPr>
              <w:snapToGrid w:val="0"/>
              <w:spacing w:line="312" w:lineRule="exact"/>
              <w:ind w:firstLine="0" w:firstLineChars="0"/>
              <w:jc w:val="center"/>
              <w:rPr>
                <w:color w:val="auto"/>
                <w:sz w:val="21"/>
                <w:szCs w:val="21"/>
              </w:rPr>
            </w:pPr>
            <w:r>
              <w:rPr>
                <w:rFonts w:hint="eastAsia"/>
                <w:color w:val="auto"/>
                <w:sz w:val="21"/>
                <w:szCs w:val="21"/>
              </w:rPr>
              <w:t>收集后统一外售至废品回收站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435" w:type="pct"/>
            <w:vMerge w:val="continue"/>
            <w:vAlign w:val="center"/>
          </w:tcPr>
          <w:p>
            <w:pPr>
              <w:snapToGrid w:val="0"/>
              <w:spacing w:line="312" w:lineRule="exact"/>
              <w:ind w:firstLine="0" w:firstLineChars="0"/>
              <w:jc w:val="center"/>
              <w:rPr>
                <w:color w:val="auto"/>
                <w:sz w:val="21"/>
                <w:szCs w:val="21"/>
              </w:rPr>
            </w:pPr>
          </w:p>
        </w:tc>
        <w:tc>
          <w:tcPr>
            <w:tcW w:w="339" w:type="pct"/>
            <w:vMerge w:val="continue"/>
            <w:vAlign w:val="center"/>
          </w:tcPr>
          <w:p>
            <w:pPr>
              <w:snapToGrid w:val="0"/>
              <w:spacing w:line="312" w:lineRule="exact"/>
              <w:ind w:firstLine="0" w:firstLineChars="0"/>
              <w:jc w:val="center"/>
              <w:rPr>
                <w:color w:val="auto"/>
                <w:sz w:val="21"/>
                <w:szCs w:val="21"/>
              </w:rPr>
            </w:pPr>
          </w:p>
        </w:tc>
        <w:tc>
          <w:tcPr>
            <w:tcW w:w="313" w:type="pct"/>
            <w:vAlign w:val="center"/>
          </w:tcPr>
          <w:p>
            <w:pPr>
              <w:snapToGrid w:val="0"/>
              <w:spacing w:line="312" w:lineRule="exact"/>
              <w:ind w:firstLine="0" w:firstLineChars="0"/>
              <w:jc w:val="center"/>
              <w:rPr>
                <w:color w:val="auto"/>
                <w:sz w:val="21"/>
                <w:szCs w:val="21"/>
              </w:rPr>
            </w:pPr>
            <w:r>
              <w:rPr>
                <w:color w:val="auto"/>
                <w:sz w:val="21"/>
                <w:szCs w:val="21"/>
              </w:rPr>
              <w:t>S2</w:t>
            </w:r>
          </w:p>
        </w:tc>
        <w:tc>
          <w:tcPr>
            <w:tcW w:w="908" w:type="pct"/>
            <w:vAlign w:val="center"/>
          </w:tcPr>
          <w:p>
            <w:pPr>
              <w:snapToGrid w:val="0"/>
              <w:spacing w:line="312" w:lineRule="exact"/>
              <w:ind w:firstLine="0" w:firstLineChars="0"/>
              <w:jc w:val="center"/>
              <w:rPr>
                <w:color w:val="auto"/>
                <w:sz w:val="21"/>
                <w:szCs w:val="21"/>
                <w:highlight w:val="none"/>
              </w:rPr>
            </w:pPr>
            <w:r>
              <w:rPr>
                <w:rFonts w:hint="eastAsia"/>
                <w:color w:val="auto"/>
                <w:sz w:val="21"/>
                <w:szCs w:val="21"/>
                <w:highlight w:val="none"/>
              </w:rPr>
              <w:t>高沸物</w:t>
            </w:r>
          </w:p>
        </w:tc>
        <w:tc>
          <w:tcPr>
            <w:tcW w:w="565" w:type="pct"/>
            <w:vAlign w:val="center"/>
          </w:tcPr>
          <w:p>
            <w:pPr>
              <w:snapToGrid w:val="0"/>
              <w:spacing w:line="312" w:lineRule="exact"/>
              <w:ind w:firstLine="0" w:firstLineChars="0"/>
              <w:jc w:val="center"/>
              <w:rPr>
                <w:color w:val="auto"/>
                <w:sz w:val="21"/>
                <w:szCs w:val="21"/>
                <w:highlight w:val="none"/>
              </w:rPr>
            </w:pPr>
            <w:r>
              <w:rPr>
                <w:rFonts w:hint="eastAsia"/>
                <w:color w:val="auto"/>
                <w:sz w:val="21"/>
                <w:szCs w:val="21"/>
                <w:highlight w:val="none"/>
                <w:lang w:val="en-US" w:eastAsia="zh-CN"/>
              </w:rPr>
              <w:t>危险废物</w:t>
            </w:r>
          </w:p>
        </w:tc>
        <w:tc>
          <w:tcPr>
            <w:tcW w:w="1134" w:type="pct"/>
            <w:vAlign w:val="center"/>
          </w:tcPr>
          <w:p>
            <w:pPr>
              <w:snapToGrid w:val="0"/>
              <w:spacing w:line="312" w:lineRule="exact"/>
              <w:ind w:firstLine="0"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废催化剂</w:t>
            </w:r>
          </w:p>
        </w:tc>
        <w:tc>
          <w:tcPr>
            <w:tcW w:w="1304" w:type="pct"/>
            <w:vAlign w:val="center"/>
          </w:tcPr>
          <w:p>
            <w:pPr>
              <w:snapToGrid w:val="0"/>
              <w:spacing w:line="312"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委托有资质单位处置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35" w:type="pct"/>
            <w:vMerge w:val="continue"/>
            <w:vAlign w:val="center"/>
          </w:tcPr>
          <w:p>
            <w:pPr>
              <w:snapToGrid w:val="0"/>
              <w:spacing w:line="312" w:lineRule="exact"/>
              <w:ind w:firstLine="0" w:firstLineChars="0"/>
              <w:jc w:val="center"/>
              <w:rPr>
                <w:color w:val="auto"/>
                <w:sz w:val="21"/>
                <w:szCs w:val="21"/>
              </w:rPr>
            </w:pPr>
          </w:p>
        </w:tc>
        <w:tc>
          <w:tcPr>
            <w:tcW w:w="339" w:type="pct"/>
            <w:vMerge w:val="continue"/>
            <w:vAlign w:val="center"/>
          </w:tcPr>
          <w:p>
            <w:pPr>
              <w:snapToGrid w:val="0"/>
              <w:spacing w:line="312" w:lineRule="exact"/>
              <w:ind w:firstLine="0" w:firstLineChars="0"/>
              <w:jc w:val="center"/>
              <w:rPr>
                <w:color w:val="auto"/>
                <w:sz w:val="21"/>
                <w:szCs w:val="21"/>
              </w:rPr>
            </w:pPr>
          </w:p>
        </w:tc>
        <w:tc>
          <w:tcPr>
            <w:tcW w:w="313" w:type="pct"/>
            <w:vAlign w:val="center"/>
          </w:tcPr>
          <w:p>
            <w:pPr>
              <w:snapToGrid w:val="0"/>
              <w:spacing w:line="312" w:lineRule="exact"/>
              <w:ind w:firstLine="0" w:firstLineChars="0"/>
              <w:jc w:val="center"/>
              <w:rPr>
                <w:color w:val="auto"/>
                <w:sz w:val="21"/>
                <w:szCs w:val="21"/>
              </w:rPr>
            </w:pPr>
            <w:r>
              <w:rPr>
                <w:color w:val="auto"/>
                <w:sz w:val="21"/>
                <w:szCs w:val="21"/>
              </w:rPr>
              <w:t>S3</w:t>
            </w:r>
          </w:p>
        </w:tc>
        <w:tc>
          <w:tcPr>
            <w:tcW w:w="908" w:type="pct"/>
            <w:vAlign w:val="center"/>
          </w:tcPr>
          <w:p>
            <w:pPr>
              <w:snapToGrid w:val="0"/>
              <w:spacing w:line="312" w:lineRule="exact"/>
              <w:ind w:firstLine="0" w:firstLineChars="0"/>
              <w:jc w:val="center"/>
              <w:rPr>
                <w:color w:val="auto"/>
                <w:sz w:val="21"/>
                <w:szCs w:val="21"/>
                <w:highlight w:val="none"/>
              </w:rPr>
            </w:pPr>
            <w:r>
              <w:rPr>
                <w:rFonts w:hint="eastAsia"/>
                <w:color w:val="auto"/>
                <w:sz w:val="21"/>
                <w:szCs w:val="21"/>
                <w:highlight w:val="none"/>
              </w:rPr>
              <w:t>前馏分</w:t>
            </w:r>
          </w:p>
        </w:tc>
        <w:tc>
          <w:tcPr>
            <w:tcW w:w="565" w:type="pct"/>
            <w:vAlign w:val="center"/>
          </w:tcPr>
          <w:p>
            <w:pPr>
              <w:snapToGrid w:val="0"/>
              <w:spacing w:line="312" w:lineRule="exact"/>
              <w:ind w:firstLine="0"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w:t>
            </w:r>
          </w:p>
        </w:tc>
        <w:tc>
          <w:tcPr>
            <w:tcW w:w="1134" w:type="pct"/>
            <w:vAlign w:val="center"/>
          </w:tcPr>
          <w:p>
            <w:pPr>
              <w:snapToGrid w:val="0"/>
              <w:spacing w:line="312" w:lineRule="exact"/>
              <w:ind w:firstLine="0" w:firstLineChars="0"/>
              <w:jc w:val="center"/>
              <w:rPr>
                <w:color w:val="auto"/>
                <w:sz w:val="21"/>
                <w:szCs w:val="21"/>
                <w:highlight w:val="none"/>
              </w:rPr>
            </w:pPr>
            <w:r>
              <w:rPr>
                <w:rFonts w:hint="eastAsia"/>
                <w:color w:val="auto"/>
                <w:sz w:val="21"/>
                <w:szCs w:val="21"/>
                <w:highlight w:val="none"/>
              </w:rPr>
              <w:t>水、乳酸、未反应的乳酸低聚物</w:t>
            </w:r>
          </w:p>
        </w:tc>
        <w:tc>
          <w:tcPr>
            <w:tcW w:w="1304" w:type="pct"/>
            <w:vAlign w:val="center"/>
          </w:tcPr>
          <w:p>
            <w:pPr>
              <w:snapToGrid w:val="0"/>
              <w:spacing w:line="312" w:lineRule="exact"/>
              <w:ind w:firstLine="0" w:firstLineChars="0"/>
              <w:jc w:val="center"/>
              <w:rPr>
                <w:color w:val="auto"/>
                <w:sz w:val="21"/>
                <w:szCs w:val="21"/>
              </w:rPr>
            </w:pPr>
            <w:r>
              <w:rPr>
                <w:rFonts w:hint="eastAsia"/>
                <w:color w:val="auto"/>
                <w:sz w:val="21"/>
                <w:szCs w:val="21"/>
              </w:rPr>
              <w:t>回用于脱水工序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35" w:type="pct"/>
            <w:vMerge w:val="continue"/>
            <w:vAlign w:val="center"/>
          </w:tcPr>
          <w:p>
            <w:pPr>
              <w:snapToGrid w:val="0"/>
              <w:spacing w:line="312" w:lineRule="exact"/>
              <w:ind w:firstLine="0" w:firstLineChars="0"/>
              <w:jc w:val="center"/>
              <w:rPr>
                <w:color w:val="auto"/>
                <w:sz w:val="21"/>
                <w:szCs w:val="21"/>
              </w:rPr>
            </w:pPr>
          </w:p>
        </w:tc>
        <w:tc>
          <w:tcPr>
            <w:tcW w:w="339" w:type="pct"/>
            <w:vMerge w:val="continue"/>
            <w:vAlign w:val="center"/>
          </w:tcPr>
          <w:p>
            <w:pPr>
              <w:snapToGrid w:val="0"/>
              <w:spacing w:line="312" w:lineRule="exact"/>
              <w:ind w:firstLine="0" w:firstLineChars="0"/>
              <w:jc w:val="center"/>
              <w:rPr>
                <w:color w:val="auto"/>
                <w:sz w:val="21"/>
                <w:szCs w:val="21"/>
              </w:rPr>
            </w:pPr>
          </w:p>
        </w:tc>
        <w:tc>
          <w:tcPr>
            <w:tcW w:w="313" w:type="pct"/>
            <w:vAlign w:val="center"/>
          </w:tcPr>
          <w:p>
            <w:pPr>
              <w:snapToGrid w:val="0"/>
              <w:spacing w:line="312" w:lineRule="exact"/>
              <w:ind w:firstLine="0" w:firstLineChars="0"/>
              <w:jc w:val="center"/>
              <w:rPr>
                <w:rFonts w:hint="eastAsia"/>
                <w:color w:val="auto"/>
                <w:sz w:val="21"/>
                <w:szCs w:val="21"/>
              </w:rPr>
            </w:pPr>
            <w:r>
              <w:rPr>
                <w:rFonts w:hint="eastAsia"/>
                <w:color w:val="auto"/>
                <w:sz w:val="21"/>
                <w:szCs w:val="21"/>
              </w:rPr>
              <w:t>S</w:t>
            </w:r>
            <w:r>
              <w:rPr>
                <w:rFonts w:hint="eastAsia"/>
                <w:color w:val="auto"/>
                <w:sz w:val="21"/>
                <w:szCs w:val="21"/>
                <w:lang w:val="en-US" w:eastAsia="zh-CN"/>
              </w:rPr>
              <w:t>4</w:t>
            </w:r>
          </w:p>
        </w:tc>
        <w:tc>
          <w:tcPr>
            <w:tcW w:w="908" w:type="pct"/>
            <w:vAlign w:val="center"/>
          </w:tcPr>
          <w:p>
            <w:pPr>
              <w:snapToGrid w:val="0"/>
              <w:spacing w:line="312"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罐底残渣</w:t>
            </w:r>
          </w:p>
        </w:tc>
        <w:tc>
          <w:tcPr>
            <w:tcW w:w="565" w:type="pct"/>
            <w:vAlign w:val="center"/>
          </w:tcPr>
          <w:p>
            <w:pPr>
              <w:snapToGrid w:val="0"/>
              <w:spacing w:line="312" w:lineRule="exact"/>
              <w:ind w:firstLine="0" w:firstLineChars="0"/>
              <w:jc w:val="center"/>
              <w:rPr>
                <w:rFonts w:hint="eastAsia" w:eastAsia="宋体"/>
                <w:color w:val="auto"/>
                <w:sz w:val="21"/>
                <w:szCs w:val="21"/>
                <w:lang w:val="en-US" w:eastAsia="zh-CN"/>
              </w:rPr>
            </w:pPr>
            <w:r>
              <w:rPr>
                <w:rFonts w:hint="eastAsia"/>
                <w:color w:val="auto"/>
                <w:sz w:val="21"/>
                <w:szCs w:val="21"/>
                <w:lang w:val="en-US" w:eastAsia="zh-CN"/>
              </w:rPr>
              <w:t>危险废物</w:t>
            </w:r>
          </w:p>
        </w:tc>
        <w:tc>
          <w:tcPr>
            <w:tcW w:w="1134" w:type="pct"/>
            <w:vAlign w:val="center"/>
          </w:tcPr>
          <w:p>
            <w:pPr>
              <w:snapToGrid w:val="0"/>
              <w:spacing w:line="312" w:lineRule="exact"/>
              <w:ind w:firstLine="0" w:firstLineChars="0"/>
              <w:jc w:val="center"/>
              <w:rPr>
                <w:rFonts w:hint="eastAsia" w:eastAsia="宋体"/>
                <w:color w:val="auto"/>
                <w:sz w:val="21"/>
                <w:szCs w:val="21"/>
                <w:lang w:val="en-US" w:eastAsia="zh-CN"/>
              </w:rPr>
            </w:pPr>
            <w:r>
              <w:rPr>
                <w:rFonts w:hint="eastAsia"/>
                <w:color w:val="auto"/>
                <w:sz w:val="21"/>
                <w:szCs w:val="21"/>
                <w:lang w:val="en-US" w:eastAsia="zh-CN"/>
              </w:rPr>
              <w:t>废催化剂</w:t>
            </w:r>
          </w:p>
        </w:tc>
        <w:tc>
          <w:tcPr>
            <w:tcW w:w="1304" w:type="pct"/>
            <w:vAlign w:val="center"/>
          </w:tcPr>
          <w:p>
            <w:pPr>
              <w:snapToGrid w:val="0"/>
              <w:spacing w:line="312" w:lineRule="exact"/>
              <w:ind w:firstLine="0" w:firstLineChars="0"/>
              <w:jc w:val="center"/>
              <w:rPr>
                <w:rFonts w:hint="eastAsia"/>
                <w:color w:val="auto"/>
                <w:sz w:val="21"/>
                <w:szCs w:val="21"/>
              </w:rPr>
            </w:pPr>
            <w:r>
              <w:rPr>
                <w:rFonts w:hint="eastAsia"/>
                <w:color w:val="auto"/>
                <w:sz w:val="21"/>
                <w:szCs w:val="21"/>
                <w:lang w:val="en-US" w:eastAsia="zh-CN"/>
              </w:rPr>
              <w:t>委托有资质单位处置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35" w:type="pct"/>
            <w:vMerge w:val="continue"/>
            <w:vAlign w:val="center"/>
          </w:tcPr>
          <w:p>
            <w:pPr>
              <w:snapToGrid w:val="0"/>
              <w:spacing w:line="312" w:lineRule="exact"/>
              <w:ind w:firstLine="0" w:firstLineChars="0"/>
              <w:jc w:val="center"/>
              <w:rPr>
                <w:color w:val="auto"/>
                <w:sz w:val="21"/>
                <w:szCs w:val="21"/>
              </w:rPr>
            </w:pPr>
          </w:p>
        </w:tc>
        <w:tc>
          <w:tcPr>
            <w:tcW w:w="339" w:type="pct"/>
            <w:vMerge w:val="continue"/>
            <w:vAlign w:val="center"/>
          </w:tcPr>
          <w:p>
            <w:pPr>
              <w:snapToGrid w:val="0"/>
              <w:spacing w:line="312" w:lineRule="exact"/>
              <w:ind w:firstLine="0" w:firstLineChars="0"/>
              <w:jc w:val="center"/>
              <w:rPr>
                <w:color w:val="auto"/>
                <w:sz w:val="21"/>
                <w:szCs w:val="21"/>
              </w:rPr>
            </w:pPr>
          </w:p>
        </w:tc>
        <w:tc>
          <w:tcPr>
            <w:tcW w:w="313" w:type="pct"/>
            <w:vAlign w:val="center"/>
          </w:tcPr>
          <w:p>
            <w:pPr>
              <w:snapToGrid w:val="0"/>
              <w:spacing w:line="312" w:lineRule="exact"/>
              <w:ind w:firstLine="0" w:firstLineChars="0"/>
              <w:jc w:val="center"/>
              <w:rPr>
                <w:rFonts w:hint="eastAsia" w:eastAsia="宋体"/>
                <w:color w:val="auto"/>
                <w:sz w:val="21"/>
                <w:szCs w:val="21"/>
                <w:lang w:val="en-US" w:eastAsia="zh-CN"/>
              </w:rPr>
            </w:pPr>
            <w:r>
              <w:rPr>
                <w:rFonts w:hint="eastAsia"/>
                <w:color w:val="auto"/>
                <w:sz w:val="21"/>
                <w:szCs w:val="21"/>
              </w:rPr>
              <w:t>S</w:t>
            </w:r>
            <w:r>
              <w:rPr>
                <w:rFonts w:hint="eastAsia"/>
                <w:color w:val="auto"/>
                <w:sz w:val="21"/>
                <w:szCs w:val="21"/>
                <w:lang w:val="en-US" w:eastAsia="zh-CN"/>
              </w:rPr>
              <w:t>5</w:t>
            </w:r>
          </w:p>
        </w:tc>
        <w:tc>
          <w:tcPr>
            <w:tcW w:w="908" w:type="pct"/>
            <w:vAlign w:val="center"/>
          </w:tcPr>
          <w:p>
            <w:pPr>
              <w:snapToGrid w:val="0"/>
              <w:spacing w:line="312" w:lineRule="exact"/>
              <w:ind w:firstLine="0" w:firstLineChars="0"/>
              <w:jc w:val="center"/>
              <w:rPr>
                <w:color w:val="auto"/>
                <w:sz w:val="21"/>
                <w:szCs w:val="21"/>
              </w:rPr>
            </w:pPr>
            <w:r>
              <w:rPr>
                <w:rFonts w:hint="eastAsia"/>
                <w:color w:val="auto"/>
                <w:sz w:val="21"/>
                <w:szCs w:val="21"/>
              </w:rPr>
              <w:t>不合格品</w:t>
            </w:r>
          </w:p>
        </w:tc>
        <w:tc>
          <w:tcPr>
            <w:tcW w:w="565" w:type="pct"/>
            <w:vAlign w:val="center"/>
          </w:tcPr>
          <w:p>
            <w:pPr>
              <w:snapToGrid w:val="0"/>
              <w:spacing w:line="312" w:lineRule="exact"/>
              <w:ind w:firstLine="0" w:firstLineChars="0"/>
              <w:jc w:val="center"/>
              <w:rPr>
                <w:color w:val="auto"/>
                <w:sz w:val="21"/>
                <w:szCs w:val="21"/>
              </w:rPr>
            </w:pPr>
            <w:r>
              <w:rPr>
                <w:rFonts w:hint="eastAsia"/>
                <w:color w:val="auto"/>
                <w:sz w:val="21"/>
                <w:szCs w:val="21"/>
              </w:rPr>
              <w:t>一般工业固废</w:t>
            </w:r>
          </w:p>
        </w:tc>
        <w:tc>
          <w:tcPr>
            <w:tcW w:w="1134" w:type="pct"/>
            <w:vAlign w:val="center"/>
          </w:tcPr>
          <w:p>
            <w:pPr>
              <w:snapToGrid w:val="0"/>
              <w:spacing w:line="312" w:lineRule="exact"/>
              <w:ind w:firstLine="0" w:firstLineChars="0"/>
              <w:jc w:val="center"/>
              <w:rPr>
                <w:color w:val="auto"/>
                <w:sz w:val="21"/>
                <w:szCs w:val="21"/>
              </w:rPr>
            </w:pPr>
            <w:r>
              <w:rPr>
                <w:rFonts w:hint="eastAsia"/>
                <w:color w:val="auto"/>
                <w:sz w:val="21"/>
                <w:szCs w:val="21"/>
              </w:rPr>
              <w:t>聚乳酸</w:t>
            </w:r>
          </w:p>
        </w:tc>
        <w:tc>
          <w:tcPr>
            <w:tcW w:w="1304" w:type="pct"/>
            <w:vAlign w:val="center"/>
          </w:tcPr>
          <w:p>
            <w:pPr>
              <w:snapToGrid w:val="0"/>
              <w:spacing w:line="312"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降级出售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35" w:type="pct"/>
            <w:vMerge w:val="restart"/>
            <w:vAlign w:val="center"/>
          </w:tcPr>
          <w:p>
            <w:pPr>
              <w:snapToGrid w:val="0"/>
              <w:spacing w:line="312" w:lineRule="exact"/>
              <w:ind w:firstLine="0" w:firstLineChars="0"/>
              <w:rPr>
                <w:color w:val="auto"/>
                <w:sz w:val="21"/>
                <w:szCs w:val="21"/>
              </w:rPr>
            </w:pPr>
            <w:r>
              <w:rPr>
                <w:color w:val="auto"/>
                <w:sz w:val="21"/>
                <w:szCs w:val="21"/>
              </w:rPr>
              <w:t>辅助及公用设施</w:t>
            </w:r>
          </w:p>
        </w:tc>
        <w:tc>
          <w:tcPr>
            <w:tcW w:w="339" w:type="pct"/>
            <w:vMerge w:val="restart"/>
            <w:vAlign w:val="center"/>
          </w:tcPr>
          <w:p>
            <w:pPr>
              <w:snapToGrid w:val="0"/>
              <w:spacing w:line="312" w:lineRule="exact"/>
              <w:ind w:firstLine="0" w:firstLineChars="0"/>
              <w:jc w:val="center"/>
              <w:rPr>
                <w:color w:val="auto"/>
                <w:sz w:val="21"/>
                <w:szCs w:val="21"/>
              </w:rPr>
            </w:pPr>
            <w:r>
              <w:rPr>
                <w:color w:val="auto"/>
                <w:sz w:val="21"/>
                <w:szCs w:val="21"/>
              </w:rPr>
              <w:t>废水</w:t>
            </w:r>
          </w:p>
        </w:tc>
        <w:tc>
          <w:tcPr>
            <w:tcW w:w="313" w:type="pct"/>
            <w:vAlign w:val="center"/>
          </w:tcPr>
          <w:p>
            <w:pPr>
              <w:snapToGrid w:val="0"/>
              <w:spacing w:line="312" w:lineRule="exact"/>
              <w:ind w:firstLine="0" w:firstLineChars="0"/>
              <w:jc w:val="center"/>
              <w:rPr>
                <w:color w:val="auto"/>
                <w:sz w:val="21"/>
                <w:szCs w:val="21"/>
              </w:rPr>
            </w:pPr>
            <w:r>
              <w:rPr>
                <w:color w:val="auto"/>
                <w:sz w:val="21"/>
                <w:szCs w:val="21"/>
              </w:rPr>
              <w:t>W3</w:t>
            </w:r>
          </w:p>
        </w:tc>
        <w:tc>
          <w:tcPr>
            <w:tcW w:w="908" w:type="pct"/>
            <w:vAlign w:val="center"/>
          </w:tcPr>
          <w:p>
            <w:pPr>
              <w:snapToGrid w:val="0"/>
              <w:spacing w:line="312" w:lineRule="exact"/>
              <w:ind w:firstLine="0" w:firstLineChars="0"/>
              <w:jc w:val="center"/>
              <w:rPr>
                <w:color w:val="auto"/>
                <w:sz w:val="21"/>
                <w:szCs w:val="21"/>
              </w:rPr>
            </w:pPr>
            <w:r>
              <w:rPr>
                <w:color w:val="auto"/>
                <w:sz w:val="21"/>
                <w:szCs w:val="21"/>
              </w:rPr>
              <w:t>循环冷却系统排水</w:t>
            </w:r>
          </w:p>
        </w:tc>
        <w:tc>
          <w:tcPr>
            <w:tcW w:w="565" w:type="pct"/>
            <w:vAlign w:val="center"/>
          </w:tcPr>
          <w:p>
            <w:pPr>
              <w:spacing w:line="312" w:lineRule="exact"/>
              <w:ind w:firstLine="0" w:firstLineChars="0"/>
              <w:jc w:val="center"/>
              <w:rPr>
                <w:color w:val="auto"/>
                <w:sz w:val="21"/>
              </w:rPr>
            </w:pPr>
            <w:r>
              <w:rPr>
                <w:color w:val="auto"/>
                <w:sz w:val="21"/>
                <w:szCs w:val="21"/>
              </w:rPr>
              <w:t>间歇排放</w:t>
            </w:r>
          </w:p>
        </w:tc>
        <w:tc>
          <w:tcPr>
            <w:tcW w:w="1134" w:type="pct"/>
            <w:vAlign w:val="center"/>
          </w:tcPr>
          <w:p>
            <w:pPr>
              <w:snapToGrid w:val="0"/>
              <w:spacing w:line="312" w:lineRule="exact"/>
              <w:ind w:firstLine="0" w:firstLineChars="0"/>
              <w:jc w:val="center"/>
              <w:rPr>
                <w:color w:val="auto"/>
                <w:sz w:val="21"/>
                <w:szCs w:val="21"/>
              </w:rPr>
            </w:pPr>
            <w:r>
              <w:rPr>
                <w:color w:val="auto"/>
                <w:sz w:val="21"/>
                <w:szCs w:val="21"/>
              </w:rPr>
              <w:t>COD、SS、全盐量</w:t>
            </w:r>
          </w:p>
        </w:tc>
        <w:tc>
          <w:tcPr>
            <w:tcW w:w="1304" w:type="pct"/>
            <w:vMerge w:val="restart"/>
            <w:vAlign w:val="center"/>
          </w:tcPr>
          <w:p>
            <w:pPr>
              <w:snapToGrid w:val="0"/>
              <w:spacing w:line="312" w:lineRule="exact"/>
              <w:ind w:firstLine="0" w:firstLineChars="0"/>
              <w:jc w:val="center"/>
              <w:rPr>
                <w:color w:val="auto"/>
                <w:sz w:val="21"/>
                <w:szCs w:val="21"/>
              </w:rPr>
            </w:pPr>
            <w:r>
              <w:rPr>
                <w:rFonts w:hint="eastAsia"/>
                <w:color w:val="auto"/>
                <w:sz w:val="21"/>
                <w:szCs w:val="21"/>
              </w:rPr>
              <w:t>污水处理站处理后排入光大水务（淄博）有限公司水质净化</w:t>
            </w:r>
            <w:r>
              <w:rPr>
                <w:rFonts w:hint="eastAsia"/>
                <w:color w:val="auto"/>
                <w:sz w:val="21"/>
                <w:szCs w:val="21"/>
                <w:lang w:eastAsia="zh-CN"/>
              </w:rPr>
              <w:t>三分厂</w:t>
            </w:r>
            <w:r>
              <w:rPr>
                <w:rFonts w:hint="eastAsia"/>
                <w:color w:val="auto"/>
                <w:sz w:val="21"/>
                <w:szCs w:val="21"/>
              </w:rPr>
              <w:t>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35" w:type="pct"/>
            <w:vMerge w:val="continue"/>
            <w:vAlign w:val="center"/>
          </w:tcPr>
          <w:p>
            <w:pPr>
              <w:snapToGrid w:val="0"/>
              <w:spacing w:line="312" w:lineRule="exact"/>
              <w:ind w:firstLine="0" w:firstLineChars="0"/>
              <w:jc w:val="center"/>
              <w:rPr>
                <w:color w:val="auto"/>
                <w:sz w:val="21"/>
                <w:szCs w:val="21"/>
              </w:rPr>
            </w:pPr>
          </w:p>
        </w:tc>
        <w:tc>
          <w:tcPr>
            <w:tcW w:w="339" w:type="pct"/>
            <w:vMerge w:val="continue"/>
            <w:vAlign w:val="center"/>
          </w:tcPr>
          <w:p>
            <w:pPr>
              <w:snapToGrid w:val="0"/>
              <w:spacing w:line="312" w:lineRule="exact"/>
              <w:ind w:firstLine="0" w:firstLineChars="0"/>
              <w:jc w:val="center"/>
              <w:rPr>
                <w:color w:val="auto"/>
                <w:sz w:val="21"/>
                <w:szCs w:val="21"/>
              </w:rPr>
            </w:pPr>
          </w:p>
        </w:tc>
        <w:tc>
          <w:tcPr>
            <w:tcW w:w="313" w:type="pct"/>
            <w:vAlign w:val="center"/>
          </w:tcPr>
          <w:p>
            <w:pPr>
              <w:snapToGrid w:val="0"/>
              <w:spacing w:line="312" w:lineRule="exact"/>
              <w:ind w:firstLine="0" w:firstLineChars="0"/>
              <w:jc w:val="center"/>
              <w:rPr>
                <w:color w:val="auto"/>
                <w:sz w:val="21"/>
                <w:szCs w:val="21"/>
              </w:rPr>
            </w:pPr>
            <w:r>
              <w:rPr>
                <w:color w:val="auto"/>
                <w:sz w:val="21"/>
                <w:szCs w:val="21"/>
              </w:rPr>
              <w:t>W</w:t>
            </w:r>
            <w:r>
              <w:rPr>
                <w:rFonts w:hint="eastAsia"/>
                <w:color w:val="auto"/>
                <w:sz w:val="21"/>
                <w:szCs w:val="21"/>
              </w:rPr>
              <w:t>4</w:t>
            </w:r>
          </w:p>
        </w:tc>
        <w:tc>
          <w:tcPr>
            <w:tcW w:w="908" w:type="pct"/>
            <w:vAlign w:val="center"/>
          </w:tcPr>
          <w:p>
            <w:pPr>
              <w:snapToGrid w:val="0"/>
              <w:spacing w:line="312" w:lineRule="exact"/>
              <w:ind w:firstLine="0" w:firstLineChars="0"/>
              <w:jc w:val="center"/>
              <w:rPr>
                <w:color w:val="auto"/>
                <w:sz w:val="21"/>
                <w:szCs w:val="21"/>
              </w:rPr>
            </w:pPr>
            <w:r>
              <w:rPr>
                <w:color w:val="auto"/>
                <w:sz w:val="21"/>
                <w:szCs w:val="21"/>
              </w:rPr>
              <w:t>化验室排水</w:t>
            </w:r>
          </w:p>
        </w:tc>
        <w:tc>
          <w:tcPr>
            <w:tcW w:w="565" w:type="pct"/>
            <w:vAlign w:val="center"/>
          </w:tcPr>
          <w:p>
            <w:pPr>
              <w:spacing w:line="312" w:lineRule="exact"/>
              <w:ind w:firstLine="0" w:firstLineChars="0"/>
              <w:jc w:val="center"/>
              <w:rPr>
                <w:color w:val="auto"/>
                <w:sz w:val="21"/>
                <w:szCs w:val="21"/>
              </w:rPr>
            </w:pPr>
            <w:r>
              <w:rPr>
                <w:color w:val="auto"/>
                <w:sz w:val="21"/>
                <w:szCs w:val="21"/>
              </w:rPr>
              <w:t>间歇排放</w:t>
            </w:r>
          </w:p>
        </w:tc>
        <w:tc>
          <w:tcPr>
            <w:tcW w:w="1134" w:type="pct"/>
            <w:vAlign w:val="center"/>
          </w:tcPr>
          <w:p>
            <w:pPr>
              <w:snapToGrid w:val="0"/>
              <w:spacing w:line="312" w:lineRule="exact"/>
              <w:ind w:firstLine="0" w:firstLineChars="0"/>
              <w:jc w:val="center"/>
              <w:rPr>
                <w:color w:val="auto"/>
                <w:sz w:val="21"/>
                <w:szCs w:val="21"/>
              </w:rPr>
            </w:pPr>
            <w:r>
              <w:rPr>
                <w:color w:val="auto"/>
                <w:sz w:val="21"/>
                <w:szCs w:val="21"/>
              </w:rPr>
              <w:t>pH、COD、SS</w:t>
            </w:r>
          </w:p>
        </w:tc>
        <w:tc>
          <w:tcPr>
            <w:tcW w:w="1304" w:type="pct"/>
            <w:vMerge w:val="continue"/>
            <w:vAlign w:val="center"/>
          </w:tcPr>
          <w:p>
            <w:pPr>
              <w:snapToGrid w:val="0"/>
              <w:spacing w:line="312" w:lineRule="exac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35" w:type="pct"/>
            <w:vMerge w:val="continue"/>
            <w:vAlign w:val="center"/>
          </w:tcPr>
          <w:p>
            <w:pPr>
              <w:snapToGrid w:val="0"/>
              <w:spacing w:line="312" w:lineRule="exact"/>
              <w:ind w:firstLine="0" w:firstLineChars="0"/>
              <w:jc w:val="center"/>
              <w:rPr>
                <w:color w:val="auto"/>
                <w:sz w:val="21"/>
                <w:szCs w:val="21"/>
              </w:rPr>
            </w:pPr>
          </w:p>
        </w:tc>
        <w:tc>
          <w:tcPr>
            <w:tcW w:w="339" w:type="pct"/>
            <w:vMerge w:val="continue"/>
            <w:vAlign w:val="center"/>
          </w:tcPr>
          <w:p>
            <w:pPr>
              <w:snapToGrid w:val="0"/>
              <w:spacing w:line="312" w:lineRule="exact"/>
              <w:ind w:firstLine="0" w:firstLineChars="0"/>
              <w:jc w:val="center"/>
              <w:rPr>
                <w:color w:val="auto"/>
                <w:sz w:val="21"/>
                <w:szCs w:val="21"/>
              </w:rPr>
            </w:pPr>
          </w:p>
        </w:tc>
        <w:tc>
          <w:tcPr>
            <w:tcW w:w="313" w:type="pct"/>
            <w:vAlign w:val="center"/>
          </w:tcPr>
          <w:p>
            <w:pPr>
              <w:snapToGrid w:val="0"/>
              <w:spacing w:line="312" w:lineRule="exact"/>
              <w:ind w:firstLine="0" w:firstLineChars="0"/>
              <w:jc w:val="center"/>
              <w:rPr>
                <w:color w:val="auto"/>
                <w:sz w:val="21"/>
                <w:szCs w:val="21"/>
              </w:rPr>
            </w:pPr>
            <w:r>
              <w:rPr>
                <w:color w:val="auto"/>
                <w:sz w:val="21"/>
                <w:szCs w:val="21"/>
              </w:rPr>
              <w:t>W</w:t>
            </w:r>
            <w:r>
              <w:rPr>
                <w:rFonts w:hint="eastAsia"/>
                <w:color w:val="auto"/>
                <w:sz w:val="21"/>
                <w:szCs w:val="21"/>
              </w:rPr>
              <w:t>5</w:t>
            </w:r>
          </w:p>
        </w:tc>
        <w:tc>
          <w:tcPr>
            <w:tcW w:w="908" w:type="pct"/>
            <w:vAlign w:val="center"/>
          </w:tcPr>
          <w:p>
            <w:pPr>
              <w:snapToGrid w:val="0"/>
              <w:spacing w:line="312" w:lineRule="exact"/>
              <w:ind w:firstLine="0" w:firstLineChars="0"/>
              <w:jc w:val="center"/>
              <w:rPr>
                <w:color w:val="auto"/>
                <w:sz w:val="21"/>
                <w:szCs w:val="21"/>
              </w:rPr>
            </w:pPr>
            <w:r>
              <w:rPr>
                <w:color w:val="auto"/>
                <w:sz w:val="21"/>
                <w:szCs w:val="21"/>
              </w:rPr>
              <w:t>地面清洗废水</w:t>
            </w:r>
          </w:p>
        </w:tc>
        <w:tc>
          <w:tcPr>
            <w:tcW w:w="565" w:type="pct"/>
            <w:vAlign w:val="center"/>
          </w:tcPr>
          <w:p>
            <w:pPr>
              <w:spacing w:line="312" w:lineRule="exact"/>
              <w:ind w:firstLine="0" w:firstLineChars="0"/>
              <w:jc w:val="center"/>
              <w:rPr>
                <w:color w:val="auto"/>
                <w:sz w:val="21"/>
              </w:rPr>
            </w:pPr>
            <w:r>
              <w:rPr>
                <w:color w:val="auto"/>
                <w:sz w:val="21"/>
              </w:rPr>
              <w:t>间歇排放</w:t>
            </w:r>
          </w:p>
        </w:tc>
        <w:tc>
          <w:tcPr>
            <w:tcW w:w="1134" w:type="pct"/>
            <w:vAlign w:val="center"/>
          </w:tcPr>
          <w:p>
            <w:pPr>
              <w:snapToGrid w:val="0"/>
              <w:spacing w:line="312" w:lineRule="exact"/>
              <w:ind w:firstLine="0" w:firstLineChars="0"/>
              <w:jc w:val="center"/>
              <w:rPr>
                <w:color w:val="auto"/>
                <w:sz w:val="21"/>
                <w:szCs w:val="21"/>
              </w:rPr>
            </w:pPr>
            <w:r>
              <w:rPr>
                <w:color w:val="auto"/>
                <w:sz w:val="21"/>
                <w:szCs w:val="21"/>
              </w:rPr>
              <w:t>COD、SS</w:t>
            </w:r>
          </w:p>
        </w:tc>
        <w:tc>
          <w:tcPr>
            <w:tcW w:w="1304" w:type="pct"/>
            <w:vMerge w:val="continue"/>
            <w:vAlign w:val="center"/>
          </w:tcPr>
          <w:p>
            <w:pPr>
              <w:snapToGrid w:val="0"/>
              <w:spacing w:line="312" w:lineRule="exac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35" w:type="pct"/>
            <w:vMerge w:val="continue"/>
            <w:vAlign w:val="center"/>
          </w:tcPr>
          <w:p>
            <w:pPr>
              <w:snapToGrid w:val="0"/>
              <w:spacing w:line="312" w:lineRule="exact"/>
              <w:ind w:firstLine="0" w:firstLineChars="0"/>
              <w:jc w:val="center"/>
              <w:rPr>
                <w:color w:val="auto"/>
                <w:sz w:val="21"/>
                <w:szCs w:val="21"/>
              </w:rPr>
            </w:pPr>
          </w:p>
        </w:tc>
        <w:tc>
          <w:tcPr>
            <w:tcW w:w="339" w:type="pct"/>
            <w:vMerge w:val="continue"/>
            <w:vAlign w:val="center"/>
          </w:tcPr>
          <w:p>
            <w:pPr>
              <w:snapToGrid w:val="0"/>
              <w:spacing w:line="312" w:lineRule="exact"/>
              <w:ind w:firstLine="0" w:firstLineChars="0"/>
              <w:jc w:val="center"/>
              <w:rPr>
                <w:color w:val="auto"/>
                <w:sz w:val="21"/>
                <w:szCs w:val="21"/>
              </w:rPr>
            </w:pPr>
          </w:p>
        </w:tc>
        <w:tc>
          <w:tcPr>
            <w:tcW w:w="313" w:type="pct"/>
            <w:vAlign w:val="center"/>
          </w:tcPr>
          <w:p>
            <w:pPr>
              <w:snapToGrid w:val="0"/>
              <w:spacing w:line="312" w:lineRule="exact"/>
              <w:ind w:firstLine="0" w:firstLineChars="0"/>
              <w:jc w:val="center"/>
              <w:rPr>
                <w:color w:val="auto"/>
                <w:sz w:val="21"/>
                <w:szCs w:val="21"/>
              </w:rPr>
            </w:pPr>
            <w:r>
              <w:rPr>
                <w:color w:val="auto"/>
                <w:sz w:val="21"/>
                <w:szCs w:val="21"/>
              </w:rPr>
              <w:t>W</w:t>
            </w:r>
            <w:r>
              <w:rPr>
                <w:rFonts w:hint="eastAsia"/>
                <w:color w:val="auto"/>
                <w:sz w:val="21"/>
                <w:szCs w:val="21"/>
              </w:rPr>
              <w:t>6</w:t>
            </w:r>
          </w:p>
        </w:tc>
        <w:tc>
          <w:tcPr>
            <w:tcW w:w="908" w:type="pct"/>
            <w:vAlign w:val="center"/>
          </w:tcPr>
          <w:p>
            <w:pPr>
              <w:snapToGrid w:val="0"/>
              <w:spacing w:line="312" w:lineRule="exact"/>
              <w:ind w:firstLine="0" w:firstLineChars="0"/>
              <w:jc w:val="center"/>
              <w:rPr>
                <w:color w:val="auto"/>
                <w:sz w:val="21"/>
                <w:szCs w:val="21"/>
              </w:rPr>
            </w:pPr>
            <w:r>
              <w:rPr>
                <w:rFonts w:hint="eastAsia"/>
                <w:color w:val="auto"/>
                <w:sz w:val="21"/>
                <w:szCs w:val="21"/>
              </w:rPr>
              <w:t>喷淋塔废水</w:t>
            </w:r>
          </w:p>
        </w:tc>
        <w:tc>
          <w:tcPr>
            <w:tcW w:w="565" w:type="pct"/>
            <w:vAlign w:val="center"/>
          </w:tcPr>
          <w:p>
            <w:pPr>
              <w:spacing w:line="312" w:lineRule="exact"/>
              <w:ind w:firstLine="0" w:firstLineChars="0"/>
              <w:jc w:val="center"/>
              <w:rPr>
                <w:color w:val="auto"/>
                <w:sz w:val="21"/>
              </w:rPr>
            </w:pPr>
            <w:r>
              <w:rPr>
                <w:color w:val="auto"/>
                <w:sz w:val="21"/>
              </w:rPr>
              <w:t>间歇排放</w:t>
            </w:r>
          </w:p>
        </w:tc>
        <w:tc>
          <w:tcPr>
            <w:tcW w:w="1134" w:type="pct"/>
            <w:vAlign w:val="center"/>
          </w:tcPr>
          <w:p>
            <w:pPr>
              <w:snapToGrid w:val="0"/>
              <w:spacing w:line="312" w:lineRule="exact"/>
              <w:ind w:firstLine="0" w:firstLineChars="0"/>
              <w:jc w:val="center"/>
              <w:rPr>
                <w:color w:val="auto"/>
                <w:sz w:val="21"/>
                <w:szCs w:val="21"/>
              </w:rPr>
            </w:pPr>
            <w:r>
              <w:rPr>
                <w:color w:val="auto"/>
                <w:sz w:val="21"/>
                <w:szCs w:val="21"/>
              </w:rPr>
              <w:t>pH、COD、</w:t>
            </w:r>
            <w:r>
              <w:rPr>
                <w:color w:val="auto"/>
                <w:kern w:val="0"/>
                <w:sz w:val="21"/>
                <w:szCs w:val="21"/>
              </w:rPr>
              <w:t>BOD</w:t>
            </w:r>
            <w:r>
              <w:rPr>
                <w:color w:val="auto"/>
                <w:kern w:val="0"/>
                <w:sz w:val="21"/>
                <w:szCs w:val="21"/>
                <w:vertAlign w:val="subscript"/>
              </w:rPr>
              <w:t>5</w:t>
            </w:r>
            <w:r>
              <w:rPr>
                <w:rFonts w:hint="eastAsia"/>
                <w:color w:val="auto"/>
                <w:kern w:val="0"/>
                <w:sz w:val="21"/>
                <w:szCs w:val="21"/>
              </w:rPr>
              <w:t>、乳酸</w:t>
            </w:r>
          </w:p>
        </w:tc>
        <w:tc>
          <w:tcPr>
            <w:tcW w:w="1304" w:type="pct"/>
            <w:vMerge w:val="continue"/>
            <w:vAlign w:val="center"/>
          </w:tcPr>
          <w:p>
            <w:pPr>
              <w:snapToGrid w:val="0"/>
              <w:spacing w:line="312" w:lineRule="exac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35" w:type="pct"/>
            <w:vMerge w:val="continue"/>
            <w:vAlign w:val="center"/>
          </w:tcPr>
          <w:p>
            <w:pPr>
              <w:snapToGrid w:val="0"/>
              <w:spacing w:line="312" w:lineRule="exact"/>
              <w:ind w:firstLine="0" w:firstLineChars="0"/>
              <w:jc w:val="center"/>
              <w:rPr>
                <w:color w:val="auto"/>
                <w:sz w:val="21"/>
                <w:szCs w:val="21"/>
              </w:rPr>
            </w:pPr>
          </w:p>
        </w:tc>
        <w:tc>
          <w:tcPr>
            <w:tcW w:w="339" w:type="pct"/>
            <w:vMerge w:val="continue"/>
            <w:vAlign w:val="center"/>
          </w:tcPr>
          <w:p>
            <w:pPr>
              <w:snapToGrid w:val="0"/>
              <w:spacing w:line="312" w:lineRule="exact"/>
              <w:ind w:firstLine="0" w:firstLineChars="0"/>
              <w:jc w:val="center"/>
              <w:rPr>
                <w:color w:val="auto"/>
                <w:sz w:val="21"/>
                <w:szCs w:val="21"/>
              </w:rPr>
            </w:pPr>
          </w:p>
        </w:tc>
        <w:tc>
          <w:tcPr>
            <w:tcW w:w="313" w:type="pct"/>
            <w:vAlign w:val="center"/>
          </w:tcPr>
          <w:p>
            <w:pPr>
              <w:snapToGrid w:val="0"/>
              <w:spacing w:line="312" w:lineRule="exact"/>
              <w:ind w:firstLine="0" w:firstLineChars="0"/>
              <w:jc w:val="center"/>
              <w:rPr>
                <w:color w:val="auto"/>
                <w:sz w:val="21"/>
                <w:szCs w:val="21"/>
              </w:rPr>
            </w:pPr>
            <w:r>
              <w:rPr>
                <w:color w:val="auto"/>
                <w:sz w:val="21"/>
                <w:szCs w:val="21"/>
              </w:rPr>
              <w:t>W</w:t>
            </w:r>
            <w:r>
              <w:rPr>
                <w:rFonts w:hint="eastAsia"/>
                <w:color w:val="auto"/>
                <w:sz w:val="21"/>
                <w:szCs w:val="21"/>
              </w:rPr>
              <w:t>7</w:t>
            </w:r>
          </w:p>
        </w:tc>
        <w:tc>
          <w:tcPr>
            <w:tcW w:w="908" w:type="pct"/>
            <w:vAlign w:val="center"/>
          </w:tcPr>
          <w:p>
            <w:pPr>
              <w:snapToGrid w:val="0"/>
              <w:spacing w:line="312" w:lineRule="exact"/>
              <w:ind w:firstLine="0" w:firstLineChars="0"/>
              <w:jc w:val="center"/>
              <w:rPr>
                <w:color w:val="auto"/>
                <w:sz w:val="21"/>
                <w:szCs w:val="21"/>
              </w:rPr>
            </w:pPr>
            <w:r>
              <w:rPr>
                <w:color w:val="auto"/>
                <w:sz w:val="21"/>
                <w:szCs w:val="21"/>
              </w:rPr>
              <w:t>生活污水</w:t>
            </w:r>
          </w:p>
        </w:tc>
        <w:tc>
          <w:tcPr>
            <w:tcW w:w="565" w:type="pct"/>
            <w:vAlign w:val="center"/>
          </w:tcPr>
          <w:p>
            <w:pPr>
              <w:spacing w:line="312" w:lineRule="exact"/>
              <w:ind w:firstLine="0" w:firstLineChars="0"/>
              <w:jc w:val="center"/>
              <w:rPr>
                <w:color w:val="auto"/>
                <w:sz w:val="21"/>
              </w:rPr>
            </w:pPr>
            <w:r>
              <w:rPr>
                <w:color w:val="auto"/>
                <w:sz w:val="21"/>
                <w:szCs w:val="21"/>
              </w:rPr>
              <w:t>间歇排放</w:t>
            </w:r>
          </w:p>
        </w:tc>
        <w:tc>
          <w:tcPr>
            <w:tcW w:w="1134" w:type="pct"/>
            <w:vAlign w:val="center"/>
          </w:tcPr>
          <w:p>
            <w:pPr>
              <w:snapToGrid w:val="0"/>
              <w:spacing w:line="312" w:lineRule="exact"/>
              <w:ind w:firstLine="0" w:firstLineChars="0"/>
              <w:jc w:val="center"/>
              <w:rPr>
                <w:color w:val="auto"/>
                <w:sz w:val="21"/>
                <w:szCs w:val="21"/>
              </w:rPr>
            </w:pPr>
            <w:r>
              <w:rPr>
                <w:color w:val="auto"/>
                <w:sz w:val="21"/>
                <w:szCs w:val="21"/>
              </w:rPr>
              <w:t>pH、COD、</w:t>
            </w:r>
            <w:r>
              <w:rPr>
                <w:color w:val="auto"/>
                <w:kern w:val="0"/>
                <w:sz w:val="21"/>
                <w:szCs w:val="21"/>
              </w:rPr>
              <w:t>BOD</w:t>
            </w:r>
            <w:r>
              <w:rPr>
                <w:color w:val="auto"/>
                <w:kern w:val="0"/>
                <w:sz w:val="21"/>
                <w:szCs w:val="21"/>
                <w:vertAlign w:val="subscript"/>
              </w:rPr>
              <w:t>5</w:t>
            </w:r>
            <w:r>
              <w:rPr>
                <w:color w:val="auto"/>
                <w:sz w:val="21"/>
                <w:szCs w:val="21"/>
              </w:rPr>
              <w:t>、SS、氨氮、总氮、总磷</w:t>
            </w:r>
          </w:p>
        </w:tc>
        <w:tc>
          <w:tcPr>
            <w:tcW w:w="1304" w:type="pct"/>
            <w:vAlign w:val="center"/>
          </w:tcPr>
          <w:p>
            <w:pPr>
              <w:snapToGrid w:val="0"/>
              <w:spacing w:line="312" w:lineRule="exact"/>
              <w:ind w:firstLine="0" w:firstLineChars="0"/>
              <w:jc w:val="center"/>
              <w:rPr>
                <w:color w:val="auto"/>
                <w:sz w:val="21"/>
                <w:szCs w:val="21"/>
              </w:rPr>
            </w:pPr>
            <w:r>
              <w:rPr>
                <w:rFonts w:hint="eastAsia"/>
                <w:color w:val="auto"/>
                <w:sz w:val="21"/>
                <w:szCs w:val="21"/>
              </w:rPr>
              <w:t>排入光大水务（淄博）有限公司水质净化</w:t>
            </w:r>
            <w:r>
              <w:rPr>
                <w:rFonts w:hint="eastAsia"/>
                <w:color w:val="auto"/>
                <w:sz w:val="21"/>
                <w:szCs w:val="21"/>
                <w:lang w:eastAsia="zh-CN"/>
              </w:rPr>
              <w:t>三分厂</w:t>
            </w:r>
            <w:r>
              <w:rPr>
                <w:rFonts w:hint="eastAsia"/>
                <w:color w:val="auto"/>
                <w:sz w:val="21"/>
                <w:szCs w:val="21"/>
              </w:rPr>
              <w:t>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435" w:type="pct"/>
            <w:vMerge w:val="continue"/>
            <w:vAlign w:val="center"/>
          </w:tcPr>
          <w:p>
            <w:pPr>
              <w:snapToGrid w:val="0"/>
              <w:spacing w:line="312" w:lineRule="exact"/>
              <w:ind w:firstLine="0" w:firstLineChars="0"/>
              <w:jc w:val="center"/>
              <w:rPr>
                <w:color w:val="auto"/>
                <w:sz w:val="21"/>
                <w:szCs w:val="21"/>
              </w:rPr>
            </w:pPr>
          </w:p>
        </w:tc>
        <w:tc>
          <w:tcPr>
            <w:tcW w:w="339" w:type="pct"/>
            <w:vMerge w:val="restart"/>
            <w:vAlign w:val="center"/>
          </w:tcPr>
          <w:p>
            <w:pPr>
              <w:snapToGrid w:val="0"/>
              <w:spacing w:line="312" w:lineRule="exact"/>
              <w:ind w:firstLine="0" w:firstLineChars="0"/>
              <w:jc w:val="center"/>
              <w:rPr>
                <w:color w:val="auto"/>
                <w:sz w:val="21"/>
                <w:szCs w:val="21"/>
              </w:rPr>
            </w:pPr>
            <w:r>
              <w:rPr>
                <w:color w:val="auto"/>
                <w:sz w:val="21"/>
                <w:szCs w:val="21"/>
              </w:rPr>
              <w:t>固废</w:t>
            </w:r>
          </w:p>
        </w:tc>
        <w:tc>
          <w:tcPr>
            <w:tcW w:w="313" w:type="pct"/>
            <w:vAlign w:val="center"/>
          </w:tcPr>
          <w:p>
            <w:pPr>
              <w:snapToGrid w:val="0"/>
              <w:spacing w:line="312" w:lineRule="exact"/>
              <w:ind w:firstLine="0" w:firstLineChars="0"/>
              <w:jc w:val="center"/>
              <w:rPr>
                <w:rFonts w:hint="eastAsia" w:eastAsia="宋体"/>
                <w:color w:val="auto"/>
                <w:sz w:val="21"/>
                <w:szCs w:val="21"/>
                <w:lang w:val="en-US" w:eastAsia="zh-CN"/>
              </w:rPr>
            </w:pPr>
            <w:r>
              <w:rPr>
                <w:color w:val="auto"/>
                <w:sz w:val="21"/>
                <w:szCs w:val="21"/>
              </w:rPr>
              <w:t>S</w:t>
            </w:r>
            <w:r>
              <w:rPr>
                <w:rFonts w:hint="eastAsia"/>
                <w:color w:val="auto"/>
                <w:sz w:val="21"/>
                <w:szCs w:val="21"/>
                <w:lang w:val="en-US" w:eastAsia="zh-CN"/>
              </w:rPr>
              <w:t>6</w:t>
            </w:r>
          </w:p>
        </w:tc>
        <w:tc>
          <w:tcPr>
            <w:tcW w:w="908" w:type="pct"/>
            <w:vAlign w:val="center"/>
          </w:tcPr>
          <w:p>
            <w:pPr>
              <w:snapToGrid w:val="0"/>
              <w:spacing w:line="312" w:lineRule="exact"/>
              <w:ind w:firstLine="0" w:firstLineChars="0"/>
              <w:jc w:val="center"/>
              <w:rPr>
                <w:color w:val="auto"/>
                <w:sz w:val="21"/>
                <w:szCs w:val="21"/>
              </w:rPr>
            </w:pPr>
            <w:r>
              <w:rPr>
                <w:color w:val="auto"/>
                <w:sz w:val="21"/>
                <w:szCs w:val="21"/>
              </w:rPr>
              <w:t>废润滑油</w:t>
            </w:r>
          </w:p>
        </w:tc>
        <w:tc>
          <w:tcPr>
            <w:tcW w:w="565" w:type="pct"/>
            <w:vAlign w:val="center"/>
          </w:tcPr>
          <w:p>
            <w:pPr>
              <w:snapToGrid w:val="0"/>
              <w:spacing w:line="312" w:lineRule="exact"/>
              <w:ind w:firstLine="0" w:firstLineChars="0"/>
              <w:jc w:val="center"/>
              <w:rPr>
                <w:color w:val="auto"/>
                <w:sz w:val="21"/>
                <w:szCs w:val="21"/>
              </w:rPr>
            </w:pPr>
            <w:r>
              <w:rPr>
                <w:color w:val="auto"/>
                <w:sz w:val="21"/>
                <w:szCs w:val="21"/>
              </w:rPr>
              <w:t>危险废物</w:t>
            </w:r>
          </w:p>
        </w:tc>
        <w:tc>
          <w:tcPr>
            <w:tcW w:w="1134" w:type="pct"/>
            <w:vAlign w:val="center"/>
          </w:tcPr>
          <w:p>
            <w:pPr>
              <w:snapToGrid w:val="0"/>
              <w:spacing w:line="312" w:lineRule="exact"/>
              <w:ind w:firstLine="0" w:firstLineChars="0"/>
              <w:jc w:val="center"/>
              <w:rPr>
                <w:color w:val="auto"/>
                <w:sz w:val="21"/>
                <w:szCs w:val="21"/>
              </w:rPr>
            </w:pPr>
            <w:r>
              <w:rPr>
                <w:color w:val="auto"/>
                <w:sz w:val="21"/>
                <w:szCs w:val="21"/>
              </w:rPr>
              <w:t>矿物油</w:t>
            </w:r>
          </w:p>
        </w:tc>
        <w:tc>
          <w:tcPr>
            <w:tcW w:w="1304" w:type="pct"/>
            <w:vMerge w:val="restart"/>
            <w:vAlign w:val="center"/>
          </w:tcPr>
          <w:p>
            <w:pPr>
              <w:snapToGrid w:val="0"/>
              <w:spacing w:line="312" w:lineRule="exact"/>
              <w:ind w:firstLine="0" w:firstLineChars="0"/>
              <w:jc w:val="center"/>
              <w:rPr>
                <w:color w:val="auto"/>
                <w:sz w:val="21"/>
                <w:szCs w:val="21"/>
              </w:rPr>
            </w:pPr>
            <w:r>
              <w:rPr>
                <w:rFonts w:hint="eastAsia"/>
                <w:color w:val="auto"/>
                <w:sz w:val="21"/>
                <w:szCs w:val="21"/>
              </w:rPr>
              <w:t>委托有资质的单位处置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35" w:type="pct"/>
            <w:vMerge w:val="continue"/>
            <w:vAlign w:val="center"/>
          </w:tcPr>
          <w:p>
            <w:pPr>
              <w:snapToGrid w:val="0"/>
              <w:spacing w:line="312" w:lineRule="exact"/>
              <w:ind w:firstLine="0" w:firstLineChars="0"/>
              <w:jc w:val="center"/>
              <w:rPr>
                <w:color w:val="auto"/>
                <w:sz w:val="21"/>
                <w:szCs w:val="21"/>
              </w:rPr>
            </w:pPr>
          </w:p>
        </w:tc>
        <w:tc>
          <w:tcPr>
            <w:tcW w:w="339" w:type="pct"/>
            <w:vMerge w:val="continue"/>
            <w:vAlign w:val="center"/>
          </w:tcPr>
          <w:p>
            <w:pPr>
              <w:snapToGrid w:val="0"/>
              <w:spacing w:line="312" w:lineRule="exact"/>
              <w:ind w:firstLine="0" w:firstLineChars="0"/>
              <w:jc w:val="center"/>
              <w:rPr>
                <w:color w:val="auto"/>
                <w:sz w:val="21"/>
                <w:szCs w:val="21"/>
              </w:rPr>
            </w:pPr>
          </w:p>
        </w:tc>
        <w:tc>
          <w:tcPr>
            <w:tcW w:w="313" w:type="pct"/>
            <w:vAlign w:val="center"/>
          </w:tcPr>
          <w:p>
            <w:pPr>
              <w:snapToGrid w:val="0"/>
              <w:spacing w:line="312" w:lineRule="exact"/>
              <w:ind w:firstLine="0" w:firstLineChars="0"/>
              <w:jc w:val="center"/>
              <w:rPr>
                <w:color w:val="auto"/>
                <w:sz w:val="21"/>
                <w:szCs w:val="21"/>
              </w:rPr>
            </w:pPr>
            <w:r>
              <w:rPr>
                <w:color w:val="auto"/>
                <w:sz w:val="21"/>
                <w:szCs w:val="21"/>
              </w:rPr>
              <w:t>S</w:t>
            </w:r>
            <w:r>
              <w:rPr>
                <w:rFonts w:hint="eastAsia"/>
                <w:color w:val="auto"/>
                <w:sz w:val="21"/>
                <w:szCs w:val="21"/>
              </w:rPr>
              <w:t>7</w:t>
            </w:r>
          </w:p>
        </w:tc>
        <w:tc>
          <w:tcPr>
            <w:tcW w:w="908" w:type="pct"/>
            <w:vAlign w:val="center"/>
          </w:tcPr>
          <w:p>
            <w:pPr>
              <w:spacing w:line="312" w:lineRule="exact"/>
              <w:ind w:firstLine="0" w:firstLineChars="0"/>
              <w:jc w:val="center"/>
              <w:rPr>
                <w:color w:val="auto"/>
                <w:kern w:val="0"/>
                <w:sz w:val="21"/>
                <w:szCs w:val="21"/>
              </w:rPr>
            </w:pPr>
            <w:r>
              <w:rPr>
                <w:color w:val="auto"/>
                <w:kern w:val="0"/>
                <w:sz w:val="21"/>
                <w:szCs w:val="21"/>
              </w:rPr>
              <w:t>化验室废试剂瓶</w:t>
            </w:r>
          </w:p>
        </w:tc>
        <w:tc>
          <w:tcPr>
            <w:tcW w:w="565" w:type="pct"/>
            <w:vAlign w:val="center"/>
          </w:tcPr>
          <w:p>
            <w:pPr>
              <w:snapToGrid w:val="0"/>
              <w:spacing w:line="312" w:lineRule="exact"/>
              <w:ind w:firstLine="0" w:firstLineChars="0"/>
              <w:jc w:val="center"/>
              <w:rPr>
                <w:color w:val="auto"/>
                <w:sz w:val="21"/>
                <w:szCs w:val="21"/>
              </w:rPr>
            </w:pPr>
            <w:r>
              <w:rPr>
                <w:color w:val="auto"/>
                <w:sz w:val="21"/>
                <w:szCs w:val="21"/>
              </w:rPr>
              <w:t>危险废物</w:t>
            </w:r>
          </w:p>
        </w:tc>
        <w:tc>
          <w:tcPr>
            <w:tcW w:w="1134" w:type="pct"/>
            <w:vAlign w:val="center"/>
          </w:tcPr>
          <w:p>
            <w:pPr>
              <w:snapToGrid w:val="0"/>
              <w:spacing w:line="312" w:lineRule="exact"/>
              <w:ind w:firstLine="0" w:firstLineChars="0"/>
              <w:jc w:val="center"/>
              <w:rPr>
                <w:color w:val="auto"/>
                <w:sz w:val="21"/>
                <w:szCs w:val="21"/>
              </w:rPr>
            </w:pPr>
            <w:r>
              <w:rPr>
                <w:color w:val="auto"/>
                <w:sz w:val="21"/>
                <w:szCs w:val="21"/>
              </w:rPr>
              <w:t>废酸、废碱</w:t>
            </w:r>
          </w:p>
        </w:tc>
        <w:tc>
          <w:tcPr>
            <w:tcW w:w="1304" w:type="pct"/>
            <w:vMerge w:val="continue"/>
            <w:vAlign w:val="center"/>
          </w:tcPr>
          <w:p>
            <w:pPr>
              <w:snapToGrid w:val="0"/>
              <w:spacing w:line="312" w:lineRule="exac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35" w:type="pct"/>
            <w:vMerge w:val="continue"/>
            <w:vAlign w:val="center"/>
          </w:tcPr>
          <w:p>
            <w:pPr>
              <w:snapToGrid w:val="0"/>
              <w:spacing w:line="312" w:lineRule="exact"/>
              <w:ind w:firstLine="0" w:firstLineChars="0"/>
              <w:jc w:val="center"/>
              <w:rPr>
                <w:color w:val="auto"/>
                <w:sz w:val="21"/>
                <w:szCs w:val="21"/>
              </w:rPr>
            </w:pPr>
          </w:p>
        </w:tc>
        <w:tc>
          <w:tcPr>
            <w:tcW w:w="339" w:type="pct"/>
            <w:vMerge w:val="continue"/>
            <w:vAlign w:val="center"/>
          </w:tcPr>
          <w:p>
            <w:pPr>
              <w:snapToGrid w:val="0"/>
              <w:spacing w:line="312" w:lineRule="exact"/>
              <w:ind w:firstLine="0" w:firstLineChars="0"/>
              <w:jc w:val="center"/>
              <w:rPr>
                <w:color w:val="auto"/>
                <w:sz w:val="21"/>
                <w:szCs w:val="21"/>
              </w:rPr>
            </w:pPr>
          </w:p>
        </w:tc>
        <w:tc>
          <w:tcPr>
            <w:tcW w:w="313" w:type="pct"/>
            <w:vAlign w:val="center"/>
          </w:tcPr>
          <w:p>
            <w:pPr>
              <w:snapToGrid w:val="0"/>
              <w:spacing w:line="312" w:lineRule="exact"/>
              <w:ind w:firstLine="0" w:firstLineChars="0"/>
              <w:jc w:val="center"/>
              <w:rPr>
                <w:color w:val="auto"/>
                <w:sz w:val="21"/>
                <w:szCs w:val="21"/>
              </w:rPr>
            </w:pPr>
            <w:r>
              <w:rPr>
                <w:color w:val="auto"/>
                <w:sz w:val="21"/>
                <w:szCs w:val="21"/>
              </w:rPr>
              <w:t>S</w:t>
            </w:r>
            <w:r>
              <w:rPr>
                <w:rFonts w:hint="eastAsia"/>
                <w:color w:val="auto"/>
                <w:sz w:val="21"/>
                <w:szCs w:val="21"/>
              </w:rPr>
              <w:t>8</w:t>
            </w:r>
          </w:p>
        </w:tc>
        <w:tc>
          <w:tcPr>
            <w:tcW w:w="908" w:type="pct"/>
            <w:vAlign w:val="center"/>
          </w:tcPr>
          <w:p>
            <w:pPr>
              <w:spacing w:line="312" w:lineRule="exact"/>
              <w:ind w:firstLine="0" w:firstLineChars="0"/>
              <w:jc w:val="center"/>
              <w:rPr>
                <w:color w:val="auto"/>
                <w:kern w:val="0"/>
                <w:sz w:val="21"/>
                <w:szCs w:val="21"/>
              </w:rPr>
            </w:pPr>
            <w:r>
              <w:rPr>
                <w:color w:val="auto"/>
                <w:kern w:val="0"/>
                <w:sz w:val="21"/>
                <w:szCs w:val="21"/>
              </w:rPr>
              <w:t>化验室废液</w:t>
            </w:r>
          </w:p>
        </w:tc>
        <w:tc>
          <w:tcPr>
            <w:tcW w:w="565" w:type="pct"/>
            <w:vAlign w:val="center"/>
          </w:tcPr>
          <w:p>
            <w:pPr>
              <w:snapToGrid w:val="0"/>
              <w:spacing w:line="312" w:lineRule="exact"/>
              <w:ind w:firstLine="0" w:firstLineChars="0"/>
              <w:jc w:val="center"/>
              <w:rPr>
                <w:color w:val="auto"/>
                <w:sz w:val="21"/>
                <w:szCs w:val="21"/>
              </w:rPr>
            </w:pPr>
            <w:r>
              <w:rPr>
                <w:color w:val="auto"/>
                <w:sz w:val="21"/>
                <w:szCs w:val="21"/>
              </w:rPr>
              <w:t>危险废物</w:t>
            </w:r>
          </w:p>
        </w:tc>
        <w:tc>
          <w:tcPr>
            <w:tcW w:w="1134" w:type="pct"/>
            <w:vAlign w:val="center"/>
          </w:tcPr>
          <w:p>
            <w:pPr>
              <w:snapToGrid w:val="0"/>
              <w:spacing w:line="312" w:lineRule="exact"/>
              <w:ind w:firstLine="0" w:firstLineChars="0"/>
              <w:jc w:val="center"/>
              <w:rPr>
                <w:color w:val="auto"/>
                <w:sz w:val="21"/>
                <w:szCs w:val="21"/>
              </w:rPr>
            </w:pPr>
            <w:r>
              <w:rPr>
                <w:color w:val="auto"/>
                <w:sz w:val="21"/>
                <w:szCs w:val="21"/>
              </w:rPr>
              <w:t>废酸、废碱</w:t>
            </w:r>
          </w:p>
        </w:tc>
        <w:tc>
          <w:tcPr>
            <w:tcW w:w="1304" w:type="pct"/>
            <w:vMerge w:val="continue"/>
            <w:vAlign w:val="center"/>
          </w:tcPr>
          <w:p>
            <w:pPr>
              <w:snapToGrid w:val="0"/>
              <w:spacing w:line="312" w:lineRule="exac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35" w:type="pct"/>
            <w:vMerge w:val="continue"/>
            <w:vAlign w:val="center"/>
          </w:tcPr>
          <w:p>
            <w:pPr>
              <w:snapToGrid w:val="0"/>
              <w:spacing w:line="312" w:lineRule="exact"/>
              <w:ind w:firstLine="0" w:firstLineChars="0"/>
              <w:jc w:val="center"/>
              <w:rPr>
                <w:color w:val="auto"/>
                <w:sz w:val="21"/>
                <w:szCs w:val="21"/>
              </w:rPr>
            </w:pPr>
          </w:p>
        </w:tc>
        <w:tc>
          <w:tcPr>
            <w:tcW w:w="339" w:type="pct"/>
            <w:vMerge w:val="continue"/>
            <w:vAlign w:val="center"/>
          </w:tcPr>
          <w:p>
            <w:pPr>
              <w:snapToGrid w:val="0"/>
              <w:spacing w:line="312" w:lineRule="exact"/>
              <w:ind w:firstLine="0" w:firstLineChars="0"/>
              <w:jc w:val="center"/>
              <w:rPr>
                <w:color w:val="auto"/>
                <w:sz w:val="21"/>
                <w:szCs w:val="21"/>
              </w:rPr>
            </w:pPr>
          </w:p>
        </w:tc>
        <w:tc>
          <w:tcPr>
            <w:tcW w:w="313" w:type="pct"/>
            <w:vAlign w:val="center"/>
          </w:tcPr>
          <w:p>
            <w:pPr>
              <w:snapToGrid w:val="0"/>
              <w:spacing w:line="312"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S9</w:t>
            </w:r>
          </w:p>
        </w:tc>
        <w:tc>
          <w:tcPr>
            <w:tcW w:w="908" w:type="pct"/>
            <w:vAlign w:val="center"/>
          </w:tcPr>
          <w:p>
            <w:pPr>
              <w:spacing w:line="312" w:lineRule="exact"/>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废导热油</w:t>
            </w:r>
          </w:p>
        </w:tc>
        <w:tc>
          <w:tcPr>
            <w:tcW w:w="565" w:type="pct"/>
            <w:vAlign w:val="center"/>
          </w:tcPr>
          <w:p>
            <w:pPr>
              <w:snapToGrid w:val="0"/>
              <w:spacing w:line="312" w:lineRule="exact"/>
              <w:ind w:firstLine="0" w:firstLineChars="0"/>
              <w:jc w:val="center"/>
              <w:rPr>
                <w:color w:val="auto"/>
                <w:sz w:val="21"/>
                <w:szCs w:val="21"/>
              </w:rPr>
            </w:pPr>
            <w:r>
              <w:rPr>
                <w:color w:val="auto"/>
                <w:sz w:val="21"/>
                <w:szCs w:val="21"/>
              </w:rPr>
              <w:t>危险废物</w:t>
            </w:r>
          </w:p>
        </w:tc>
        <w:tc>
          <w:tcPr>
            <w:tcW w:w="1134" w:type="pct"/>
            <w:vAlign w:val="center"/>
          </w:tcPr>
          <w:p>
            <w:pPr>
              <w:snapToGrid w:val="0"/>
              <w:spacing w:line="312" w:lineRule="exact"/>
              <w:ind w:firstLine="0" w:firstLineChars="0"/>
              <w:jc w:val="center"/>
              <w:rPr>
                <w:rFonts w:hint="eastAsia" w:eastAsia="宋体"/>
                <w:color w:val="auto"/>
                <w:sz w:val="21"/>
                <w:szCs w:val="21"/>
                <w:lang w:val="en-US" w:eastAsia="zh-CN"/>
              </w:rPr>
            </w:pPr>
            <w:r>
              <w:rPr>
                <w:rFonts w:hint="eastAsia"/>
                <w:color w:val="auto"/>
                <w:sz w:val="21"/>
                <w:szCs w:val="21"/>
                <w:lang w:val="en-US" w:eastAsia="zh-CN"/>
              </w:rPr>
              <w:t>导热油</w:t>
            </w:r>
          </w:p>
        </w:tc>
        <w:tc>
          <w:tcPr>
            <w:tcW w:w="1304" w:type="pct"/>
            <w:vMerge w:val="continue"/>
            <w:vAlign w:val="center"/>
          </w:tcPr>
          <w:p>
            <w:pPr>
              <w:snapToGrid w:val="0"/>
              <w:spacing w:line="312" w:lineRule="exac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35" w:type="pct"/>
            <w:vMerge w:val="continue"/>
            <w:vAlign w:val="center"/>
          </w:tcPr>
          <w:p>
            <w:pPr>
              <w:snapToGrid w:val="0"/>
              <w:spacing w:line="312" w:lineRule="exact"/>
              <w:ind w:firstLine="0" w:firstLineChars="0"/>
              <w:jc w:val="center"/>
              <w:rPr>
                <w:color w:val="auto"/>
                <w:sz w:val="21"/>
                <w:szCs w:val="21"/>
              </w:rPr>
            </w:pPr>
          </w:p>
        </w:tc>
        <w:tc>
          <w:tcPr>
            <w:tcW w:w="339" w:type="pct"/>
            <w:vMerge w:val="continue"/>
            <w:vAlign w:val="center"/>
          </w:tcPr>
          <w:p>
            <w:pPr>
              <w:snapToGrid w:val="0"/>
              <w:spacing w:line="312" w:lineRule="exact"/>
              <w:ind w:firstLine="0" w:firstLineChars="0"/>
              <w:jc w:val="center"/>
              <w:rPr>
                <w:color w:val="auto"/>
                <w:sz w:val="21"/>
                <w:szCs w:val="21"/>
              </w:rPr>
            </w:pPr>
          </w:p>
        </w:tc>
        <w:tc>
          <w:tcPr>
            <w:tcW w:w="313" w:type="pct"/>
            <w:vAlign w:val="center"/>
          </w:tcPr>
          <w:p>
            <w:pPr>
              <w:snapToGrid w:val="0"/>
              <w:spacing w:line="312"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S10</w:t>
            </w:r>
          </w:p>
        </w:tc>
        <w:tc>
          <w:tcPr>
            <w:tcW w:w="908" w:type="pct"/>
            <w:vAlign w:val="center"/>
          </w:tcPr>
          <w:p>
            <w:pPr>
              <w:snapToGrid w:val="0"/>
              <w:spacing w:line="312" w:lineRule="exact"/>
              <w:ind w:firstLine="0" w:firstLineChars="0"/>
              <w:jc w:val="center"/>
              <w:rPr>
                <w:color w:val="auto"/>
                <w:kern w:val="0"/>
                <w:sz w:val="21"/>
                <w:szCs w:val="21"/>
              </w:rPr>
            </w:pPr>
            <w:r>
              <w:rPr>
                <w:color w:val="auto"/>
                <w:sz w:val="21"/>
                <w:szCs w:val="21"/>
              </w:rPr>
              <w:t>生活垃圾</w:t>
            </w:r>
          </w:p>
        </w:tc>
        <w:tc>
          <w:tcPr>
            <w:tcW w:w="565" w:type="pct"/>
            <w:vAlign w:val="center"/>
          </w:tcPr>
          <w:p>
            <w:pPr>
              <w:snapToGrid w:val="0"/>
              <w:spacing w:line="312" w:lineRule="exact"/>
              <w:ind w:firstLine="0" w:firstLineChars="0"/>
              <w:jc w:val="center"/>
              <w:rPr>
                <w:color w:val="auto"/>
                <w:sz w:val="21"/>
                <w:szCs w:val="21"/>
              </w:rPr>
            </w:pPr>
            <w:r>
              <w:rPr>
                <w:rFonts w:hint="eastAsia"/>
                <w:color w:val="auto"/>
                <w:sz w:val="21"/>
                <w:szCs w:val="21"/>
              </w:rPr>
              <w:t>一般工业固废</w:t>
            </w:r>
          </w:p>
        </w:tc>
        <w:tc>
          <w:tcPr>
            <w:tcW w:w="1134" w:type="pct"/>
            <w:vAlign w:val="center"/>
          </w:tcPr>
          <w:p>
            <w:pPr>
              <w:snapToGrid w:val="0"/>
              <w:spacing w:line="312" w:lineRule="exact"/>
              <w:ind w:firstLine="0" w:firstLineChars="0"/>
              <w:jc w:val="center"/>
              <w:rPr>
                <w:color w:val="auto"/>
                <w:sz w:val="21"/>
                <w:szCs w:val="21"/>
              </w:rPr>
            </w:pPr>
            <w:r>
              <w:rPr>
                <w:color w:val="auto"/>
                <w:sz w:val="21"/>
                <w:szCs w:val="21"/>
              </w:rPr>
              <w:t>生活垃圾</w:t>
            </w:r>
          </w:p>
        </w:tc>
        <w:tc>
          <w:tcPr>
            <w:tcW w:w="1304" w:type="pct"/>
            <w:vAlign w:val="center"/>
          </w:tcPr>
          <w:p>
            <w:pPr>
              <w:snapToGrid w:val="0"/>
              <w:spacing w:line="312" w:lineRule="exact"/>
              <w:ind w:firstLine="0" w:firstLineChars="0"/>
              <w:jc w:val="center"/>
              <w:rPr>
                <w:color w:val="auto"/>
                <w:sz w:val="21"/>
                <w:szCs w:val="21"/>
              </w:rPr>
            </w:pPr>
            <w:r>
              <w:rPr>
                <w:rFonts w:hint="eastAsia"/>
                <w:color w:val="auto"/>
                <w:sz w:val="21"/>
                <w:szCs w:val="21"/>
              </w:rPr>
              <w:t>环卫部门定期清运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35" w:type="pct"/>
            <w:vMerge w:val="restart"/>
            <w:vAlign w:val="center"/>
          </w:tcPr>
          <w:p>
            <w:pPr>
              <w:snapToGrid w:val="0"/>
              <w:spacing w:line="312" w:lineRule="exact"/>
              <w:ind w:firstLine="0" w:firstLineChars="0"/>
              <w:jc w:val="center"/>
              <w:rPr>
                <w:color w:val="auto"/>
                <w:sz w:val="21"/>
                <w:szCs w:val="21"/>
              </w:rPr>
            </w:pPr>
            <w:r>
              <w:rPr>
                <w:color w:val="auto"/>
                <w:sz w:val="21"/>
                <w:szCs w:val="21"/>
              </w:rPr>
              <w:t>环保工程</w:t>
            </w:r>
          </w:p>
        </w:tc>
        <w:tc>
          <w:tcPr>
            <w:tcW w:w="339" w:type="pct"/>
            <w:vAlign w:val="center"/>
          </w:tcPr>
          <w:p>
            <w:pPr>
              <w:snapToGrid w:val="0"/>
              <w:spacing w:line="312" w:lineRule="exact"/>
              <w:ind w:firstLine="0" w:firstLineChars="0"/>
              <w:jc w:val="center"/>
              <w:rPr>
                <w:color w:val="auto"/>
                <w:sz w:val="21"/>
                <w:szCs w:val="21"/>
              </w:rPr>
            </w:pPr>
            <w:r>
              <w:rPr>
                <w:color w:val="auto"/>
                <w:sz w:val="21"/>
                <w:szCs w:val="21"/>
              </w:rPr>
              <w:t>固废</w:t>
            </w:r>
          </w:p>
        </w:tc>
        <w:tc>
          <w:tcPr>
            <w:tcW w:w="313" w:type="pct"/>
            <w:vAlign w:val="center"/>
          </w:tcPr>
          <w:p>
            <w:pPr>
              <w:snapToGrid w:val="0"/>
              <w:spacing w:line="312" w:lineRule="exact"/>
              <w:ind w:firstLine="0" w:firstLineChars="0"/>
              <w:jc w:val="center"/>
              <w:rPr>
                <w:rFonts w:hint="default" w:eastAsia="宋体"/>
                <w:color w:val="auto"/>
                <w:sz w:val="21"/>
                <w:szCs w:val="21"/>
                <w:lang w:val="en-US" w:eastAsia="zh-CN"/>
              </w:rPr>
            </w:pPr>
            <w:r>
              <w:rPr>
                <w:color w:val="auto"/>
                <w:sz w:val="21"/>
                <w:szCs w:val="21"/>
              </w:rPr>
              <w:t>S</w:t>
            </w:r>
            <w:r>
              <w:rPr>
                <w:rFonts w:hint="eastAsia"/>
                <w:color w:val="auto"/>
                <w:sz w:val="21"/>
                <w:szCs w:val="21"/>
                <w:lang w:val="en-US" w:eastAsia="zh-CN"/>
              </w:rPr>
              <w:t>11</w:t>
            </w:r>
          </w:p>
        </w:tc>
        <w:tc>
          <w:tcPr>
            <w:tcW w:w="908" w:type="pct"/>
            <w:vAlign w:val="center"/>
          </w:tcPr>
          <w:p>
            <w:pPr>
              <w:snapToGrid w:val="0"/>
              <w:spacing w:line="312" w:lineRule="exact"/>
              <w:ind w:firstLine="0" w:firstLineChars="0"/>
              <w:jc w:val="center"/>
              <w:rPr>
                <w:color w:val="auto"/>
                <w:sz w:val="21"/>
                <w:szCs w:val="21"/>
              </w:rPr>
            </w:pPr>
            <w:r>
              <w:rPr>
                <w:rFonts w:hint="eastAsia"/>
                <w:color w:val="auto"/>
                <w:sz w:val="21"/>
                <w:szCs w:val="21"/>
              </w:rPr>
              <w:t>废活性炭</w:t>
            </w:r>
          </w:p>
        </w:tc>
        <w:tc>
          <w:tcPr>
            <w:tcW w:w="565" w:type="pct"/>
            <w:vAlign w:val="center"/>
          </w:tcPr>
          <w:p>
            <w:pPr>
              <w:spacing w:line="312" w:lineRule="exact"/>
              <w:ind w:firstLine="0" w:firstLineChars="0"/>
              <w:jc w:val="center"/>
              <w:rPr>
                <w:color w:val="auto"/>
                <w:sz w:val="21"/>
                <w:szCs w:val="21"/>
              </w:rPr>
            </w:pPr>
            <w:r>
              <w:rPr>
                <w:rFonts w:hint="eastAsia"/>
                <w:color w:val="auto"/>
                <w:sz w:val="21"/>
                <w:szCs w:val="21"/>
              </w:rPr>
              <w:t>危险废物</w:t>
            </w:r>
          </w:p>
        </w:tc>
        <w:tc>
          <w:tcPr>
            <w:tcW w:w="1134" w:type="pct"/>
            <w:vAlign w:val="center"/>
          </w:tcPr>
          <w:p>
            <w:pPr>
              <w:snapToGrid w:val="0"/>
              <w:spacing w:line="312" w:lineRule="exact"/>
              <w:ind w:firstLine="0" w:firstLineChars="0"/>
              <w:jc w:val="center"/>
              <w:rPr>
                <w:color w:val="auto"/>
                <w:sz w:val="21"/>
                <w:szCs w:val="21"/>
              </w:rPr>
            </w:pPr>
            <w:r>
              <w:rPr>
                <w:rFonts w:hint="eastAsia"/>
                <w:color w:val="auto"/>
                <w:sz w:val="21"/>
                <w:szCs w:val="21"/>
              </w:rPr>
              <w:t>乳酸</w:t>
            </w:r>
          </w:p>
        </w:tc>
        <w:tc>
          <w:tcPr>
            <w:tcW w:w="1304" w:type="pct"/>
            <w:vAlign w:val="center"/>
          </w:tcPr>
          <w:p>
            <w:pPr>
              <w:snapToGrid w:val="0"/>
              <w:spacing w:line="312" w:lineRule="exact"/>
              <w:ind w:firstLine="0" w:firstLineChars="0"/>
              <w:jc w:val="center"/>
              <w:rPr>
                <w:color w:val="auto"/>
                <w:sz w:val="21"/>
                <w:szCs w:val="21"/>
              </w:rPr>
            </w:pPr>
            <w:r>
              <w:rPr>
                <w:rFonts w:hint="eastAsia"/>
                <w:color w:val="auto"/>
                <w:sz w:val="21"/>
                <w:szCs w:val="21"/>
              </w:rPr>
              <w:t>委托有资质的单位处置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35" w:type="pct"/>
            <w:vMerge w:val="continue"/>
            <w:vAlign w:val="center"/>
          </w:tcPr>
          <w:p>
            <w:pPr>
              <w:snapToGrid w:val="0"/>
              <w:spacing w:line="312" w:lineRule="exact"/>
              <w:ind w:firstLine="0" w:firstLineChars="0"/>
              <w:jc w:val="center"/>
              <w:rPr>
                <w:color w:val="auto"/>
                <w:sz w:val="21"/>
                <w:szCs w:val="21"/>
              </w:rPr>
            </w:pPr>
          </w:p>
        </w:tc>
        <w:tc>
          <w:tcPr>
            <w:tcW w:w="339" w:type="pct"/>
            <w:vAlign w:val="center"/>
          </w:tcPr>
          <w:p>
            <w:pPr>
              <w:snapToGrid w:val="0"/>
              <w:spacing w:line="312" w:lineRule="exact"/>
              <w:ind w:firstLine="0" w:firstLineChars="0"/>
              <w:jc w:val="center"/>
              <w:rPr>
                <w:color w:val="auto"/>
                <w:sz w:val="21"/>
                <w:szCs w:val="21"/>
              </w:rPr>
            </w:pPr>
            <w:r>
              <w:rPr>
                <w:color w:val="auto"/>
                <w:sz w:val="21"/>
                <w:szCs w:val="21"/>
              </w:rPr>
              <w:t>固废</w:t>
            </w:r>
          </w:p>
        </w:tc>
        <w:tc>
          <w:tcPr>
            <w:tcW w:w="313" w:type="pct"/>
            <w:vAlign w:val="center"/>
          </w:tcPr>
          <w:p>
            <w:pPr>
              <w:snapToGrid w:val="0"/>
              <w:spacing w:line="312" w:lineRule="exact"/>
              <w:ind w:firstLine="0" w:firstLineChars="0"/>
              <w:jc w:val="center"/>
              <w:rPr>
                <w:rFonts w:hint="default" w:eastAsia="宋体"/>
                <w:color w:val="auto"/>
                <w:sz w:val="21"/>
                <w:szCs w:val="21"/>
                <w:lang w:val="en-US" w:eastAsia="zh-CN"/>
              </w:rPr>
            </w:pPr>
            <w:r>
              <w:rPr>
                <w:color w:val="auto"/>
                <w:sz w:val="21"/>
                <w:szCs w:val="21"/>
              </w:rPr>
              <w:t>S</w:t>
            </w:r>
            <w:r>
              <w:rPr>
                <w:rFonts w:hint="eastAsia"/>
                <w:color w:val="auto"/>
                <w:sz w:val="21"/>
                <w:szCs w:val="21"/>
                <w:lang w:val="en-US" w:eastAsia="zh-CN"/>
              </w:rPr>
              <w:t>12</w:t>
            </w:r>
          </w:p>
        </w:tc>
        <w:tc>
          <w:tcPr>
            <w:tcW w:w="908" w:type="pct"/>
            <w:vAlign w:val="center"/>
          </w:tcPr>
          <w:p>
            <w:pPr>
              <w:snapToGrid w:val="0"/>
              <w:spacing w:line="312" w:lineRule="exact"/>
              <w:ind w:firstLine="0" w:firstLineChars="0"/>
              <w:jc w:val="center"/>
              <w:rPr>
                <w:color w:val="auto"/>
                <w:sz w:val="21"/>
                <w:szCs w:val="21"/>
              </w:rPr>
            </w:pPr>
            <w:r>
              <w:rPr>
                <w:color w:val="auto"/>
                <w:sz w:val="21"/>
                <w:szCs w:val="21"/>
              </w:rPr>
              <w:t>污泥</w:t>
            </w:r>
          </w:p>
        </w:tc>
        <w:tc>
          <w:tcPr>
            <w:tcW w:w="565" w:type="pct"/>
            <w:vAlign w:val="center"/>
          </w:tcPr>
          <w:p>
            <w:pPr>
              <w:spacing w:line="312" w:lineRule="exact"/>
              <w:ind w:firstLine="0" w:firstLineChars="0"/>
              <w:jc w:val="center"/>
              <w:rPr>
                <w:color w:val="auto"/>
                <w:sz w:val="21"/>
                <w:szCs w:val="21"/>
              </w:rPr>
            </w:pPr>
            <w:r>
              <w:rPr>
                <w:rFonts w:hint="eastAsia"/>
                <w:color w:val="auto"/>
                <w:sz w:val="21"/>
                <w:szCs w:val="21"/>
              </w:rPr>
              <w:t>危险废物</w:t>
            </w:r>
          </w:p>
        </w:tc>
        <w:tc>
          <w:tcPr>
            <w:tcW w:w="1134" w:type="pct"/>
            <w:vAlign w:val="center"/>
          </w:tcPr>
          <w:p>
            <w:pPr>
              <w:snapToGrid w:val="0"/>
              <w:spacing w:line="312" w:lineRule="exact"/>
              <w:ind w:firstLine="0" w:firstLineChars="0"/>
              <w:jc w:val="center"/>
              <w:rPr>
                <w:color w:val="auto"/>
                <w:sz w:val="21"/>
                <w:szCs w:val="21"/>
              </w:rPr>
            </w:pPr>
            <w:r>
              <w:rPr>
                <w:rFonts w:hint="eastAsia"/>
                <w:color w:val="auto"/>
                <w:sz w:val="21"/>
                <w:szCs w:val="21"/>
              </w:rPr>
              <w:t>物化</w:t>
            </w:r>
            <w:r>
              <w:rPr>
                <w:color w:val="auto"/>
                <w:sz w:val="21"/>
                <w:szCs w:val="21"/>
              </w:rPr>
              <w:t>污泥</w:t>
            </w:r>
          </w:p>
        </w:tc>
        <w:tc>
          <w:tcPr>
            <w:tcW w:w="1304" w:type="pct"/>
            <w:vAlign w:val="center"/>
          </w:tcPr>
          <w:p>
            <w:pPr>
              <w:snapToGrid w:val="0"/>
              <w:spacing w:line="312" w:lineRule="exact"/>
              <w:ind w:firstLine="0" w:firstLineChars="0"/>
              <w:jc w:val="center"/>
              <w:rPr>
                <w:color w:val="auto"/>
                <w:sz w:val="21"/>
                <w:szCs w:val="21"/>
              </w:rPr>
            </w:pPr>
            <w:r>
              <w:rPr>
                <w:rFonts w:hint="eastAsia"/>
                <w:color w:val="auto"/>
                <w:sz w:val="21"/>
                <w:szCs w:val="21"/>
              </w:rPr>
              <w:t>泥饼外运</w:t>
            </w:r>
          </w:p>
        </w:tc>
      </w:tr>
    </w:tbl>
    <w:p>
      <w:pPr>
        <w:ind w:firstLine="0" w:firstLineChars="0"/>
        <w:rPr>
          <w:rStyle w:val="54"/>
          <w:b w:val="0"/>
          <w:bCs w:val="0"/>
          <w:color w:val="auto"/>
        </w:rPr>
      </w:pPr>
      <w:bookmarkStart w:id="208" w:name="_Toc591"/>
      <w:bookmarkStart w:id="209" w:name="_Toc23456"/>
      <w:r>
        <w:rPr>
          <w:rStyle w:val="54"/>
          <w:rFonts w:hint="eastAsia"/>
          <w:b w:val="0"/>
          <w:bCs w:val="0"/>
          <w:color w:val="auto"/>
        </w:rPr>
        <w:t>2</w:t>
      </w:r>
      <w:r>
        <w:rPr>
          <w:rStyle w:val="54"/>
          <w:b w:val="0"/>
          <w:bCs w:val="0"/>
          <w:color w:val="auto"/>
        </w:rPr>
        <w:t>.</w:t>
      </w:r>
      <w:r>
        <w:rPr>
          <w:rStyle w:val="54"/>
          <w:rFonts w:hint="eastAsia"/>
          <w:b w:val="0"/>
          <w:bCs w:val="0"/>
          <w:color w:val="auto"/>
        </w:rPr>
        <w:t>5</w:t>
      </w:r>
      <w:r>
        <w:rPr>
          <w:rStyle w:val="54"/>
          <w:b w:val="0"/>
          <w:bCs w:val="0"/>
          <w:color w:val="auto"/>
        </w:rPr>
        <w:t>主要污染物产生、治理及排放情况</w:t>
      </w:r>
      <w:bookmarkEnd w:id="208"/>
    </w:p>
    <w:bookmarkEnd w:id="209"/>
    <w:p>
      <w:pPr>
        <w:ind w:firstLine="0" w:firstLineChars="0"/>
        <w:outlineLvl w:val="2"/>
        <w:rPr>
          <w:rStyle w:val="53"/>
          <w:color w:val="auto"/>
        </w:rPr>
      </w:pPr>
      <w:r>
        <w:rPr>
          <w:rStyle w:val="53"/>
          <w:rFonts w:hint="eastAsia"/>
          <w:color w:val="auto"/>
        </w:rPr>
        <w:t>2</w:t>
      </w:r>
      <w:r>
        <w:rPr>
          <w:rStyle w:val="53"/>
          <w:color w:val="auto"/>
        </w:rPr>
        <w:t>.</w:t>
      </w:r>
      <w:r>
        <w:rPr>
          <w:rStyle w:val="53"/>
          <w:rFonts w:hint="eastAsia"/>
          <w:color w:val="auto"/>
        </w:rPr>
        <w:t>5</w:t>
      </w:r>
      <w:r>
        <w:rPr>
          <w:rStyle w:val="53"/>
          <w:color w:val="auto"/>
        </w:rPr>
        <w:t>.1废气</w:t>
      </w:r>
    </w:p>
    <w:p>
      <w:pPr>
        <w:ind w:firstLine="480"/>
        <w:rPr>
          <w:color w:val="auto"/>
        </w:rPr>
      </w:pPr>
      <w:r>
        <w:rPr>
          <w:color w:val="auto"/>
        </w:rPr>
        <w:t>本项目废气包括有组织排放和无组织排放，有组织排放</w:t>
      </w:r>
      <w:r>
        <w:rPr>
          <w:rFonts w:hint="eastAsia"/>
          <w:color w:val="auto"/>
        </w:rPr>
        <w:t>主要为</w:t>
      </w:r>
      <w:r>
        <w:rPr>
          <w:color w:val="auto"/>
        </w:rPr>
        <w:t>工艺废气</w:t>
      </w:r>
      <w:r>
        <w:rPr>
          <w:rFonts w:hint="eastAsia"/>
          <w:color w:val="auto"/>
        </w:rPr>
        <w:t>、锅炉废气、污水处理站废气</w:t>
      </w:r>
      <w:r>
        <w:rPr>
          <w:color w:val="auto"/>
        </w:rPr>
        <w:t>；无组织废气主要是装置区无组织废气和罐区无组织废气等。</w:t>
      </w:r>
    </w:p>
    <w:p>
      <w:pPr>
        <w:ind w:firstLine="0" w:firstLineChars="0"/>
        <w:jc w:val="center"/>
        <w:rPr>
          <w:rFonts w:ascii="Times New Roman" w:hAnsi="Times New Roman" w:eastAsia="黑体" w:cs="Times New Roman"/>
          <w:color w:val="auto"/>
          <w:sz w:val="21"/>
          <w:szCs w:val="21"/>
        </w:rPr>
      </w:pPr>
      <w:r>
        <w:rPr>
          <w:rFonts w:ascii="Times New Roman" w:hAnsi="Times New Roman" w:eastAsia="黑体" w:cs="Times New Roman"/>
          <w:color w:val="auto"/>
          <w:sz w:val="21"/>
          <w:szCs w:val="21"/>
        </w:rPr>
        <w:t>表</w:t>
      </w:r>
      <w:r>
        <w:rPr>
          <w:rFonts w:hint="eastAsia" w:ascii="Times New Roman" w:hAnsi="Times New Roman" w:eastAsia="黑体" w:cs="Times New Roman"/>
          <w:color w:val="auto"/>
          <w:sz w:val="21"/>
          <w:szCs w:val="21"/>
        </w:rPr>
        <w:t>2.5</w:t>
      </w:r>
      <w:r>
        <w:rPr>
          <w:rFonts w:ascii="Times New Roman" w:hAnsi="Times New Roman" w:eastAsia="黑体" w:cs="Times New Roman"/>
          <w:color w:val="auto"/>
          <w:sz w:val="21"/>
          <w:szCs w:val="21"/>
        </w:rPr>
        <w:t>-1 本项目废气污染物产生情况</w:t>
      </w:r>
    </w:p>
    <w:tbl>
      <w:tblPr>
        <w:tblStyle w:val="2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97"/>
        <w:gridCol w:w="2297"/>
        <w:gridCol w:w="2335"/>
        <w:gridCol w:w="23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37" w:type="pct"/>
            <w:vAlign w:val="center"/>
          </w:tcPr>
          <w:p>
            <w:pPr>
              <w:pStyle w:val="2"/>
              <w:spacing w:after="0" w:line="240" w:lineRule="auto"/>
              <w:ind w:firstLine="0" w:firstLineChars="0"/>
              <w:jc w:val="center"/>
              <w:rPr>
                <w:b/>
                <w:color w:val="auto"/>
                <w:sz w:val="21"/>
                <w:szCs w:val="21"/>
              </w:rPr>
            </w:pPr>
            <w:r>
              <w:rPr>
                <w:b/>
                <w:color w:val="auto"/>
                <w:sz w:val="21"/>
                <w:szCs w:val="21"/>
              </w:rPr>
              <w:t>产污环节</w:t>
            </w:r>
          </w:p>
        </w:tc>
        <w:tc>
          <w:tcPr>
            <w:tcW w:w="1237" w:type="pct"/>
            <w:vAlign w:val="center"/>
          </w:tcPr>
          <w:p>
            <w:pPr>
              <w:pStyle w:val="2"/>
              <w:spacing w:after="0" w:line="240" w:lineRule="auto"/>
              <w:ind w:firstLine="0" w:firstLineChars="0"/>
              <w:jc w:val="center"/>
              <w:rPr>
                <w:b/>
                <w:color w:val="auto"/>
                <w:sz w:val="21"/>
                <w:szCs w:val="21"/>
              </w:rPr>
            </w:pPr>
            <w:r>
              <w:rPr>
                <w:b/>
                <w:color w:val="auto"/>
                <w:sz w:val="21"/>
                <w:szCs w:val="21"/>
              </w:rPr>
              <w:t>污染物产生量依据</w:t>
            </w:r>
          </w:p>
        </w:tc>
        <w:tc>
          <w:tcPr>
            <w:tcW w:w="1257" w:type="pct"/>
            <w:vAlign w:val="center"/>
          </w:tcPr>
          <w:p>
            <w:pPr>
              <w:pStyle w:val="2"/>
              <w:spacing w:after="0" w:line="240" w:lineRule="auto"/>
              <w:ind w:firstLine="0" w:firstLineChars="0"/>
              <w:jc w:val="center"/>
              <w:rPr>
                <w:b/>
                <w:color w:val="auto"/>
                <w:sz w:val="21"/>
                <w:szCs w:val="21"/>
              </w:rPr>
            </w:pPr>
            <w:r>
              <w:rPr>
                <w:b/>
                <w:color w:val="auto"/>
                <w:sz w:val="21"/>
                <w:szCs w:val="21"/>
              </w:rPr>
              <w:t>主要成分</w:t>
            </w:r>
          </w:p>
        </w:tc>
        <w:tc>
          <w:tcPr>
            <w:tcW w:w="1267" w:type="pct"/>
            <w:vAlign w:val="center"/>
          </w:tcPr>
          <w:p>
            <w:pPr>
              <w:pStyle w:val="2"/>
              <w:spacing w:after="0" w:line="240" w:lineRule="auto"/>
              <w:ind w:firstLine="0" w:firstLineChars="0"/>
              <w:jc w:val="center"/>
              <w:rPr>
                <w:b/>
                <w:color w:val="auto"/>
                <w:sz w:val="21"/>
                <w:szCs w:val="21"/>
              </w:rPr>
            </w:pPr>
            <w:r>
              <w:rPr>
                <w:b/>
                <w:color w:val="auto"/>
                <w:sz w:val="21"/>
                <w:szCs w:val="21"/>
              </w:rPr>
              <w:t>产生量（t/a）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37" w:type="pct"/>
            <w:vAlign w:val="center"/>
          </w:tcPr>
          <w:p>
            <w:pPr>
              <w:snapToGrid w:val="0"/>
              <w:spacing w:line="312" w:lineRule="exact"/>
              <w:ind w:firstLine="0" w:firstLineChars="0"/>
              <w:jc w:val="center"/>
              <w:rPr>
                <w:color w:val="auto"/>
                <w:sz w:val="21"/>
                <w:szCs w:val="21"/>
              </w:rPr>
            </w:pPr>
            <w:r>
              <w:rPr>
                <w:rFonts w:hint="eastAsia"/>
                <w:color w:val="auto"/>
                <w:sz w:val="21"/>
                <w:szCs w:val="21"/>
              </w:rPr>
              <w:t>脱水不凝气</w:t>
            </w:r>
          </w:p>
        </w:tc>
        <w:tc>
          <w:tcPr>
            <w:tcW w:w="1237" w:type="pct"/>
            <w:vAlign w:val="center"/>
          </w:tcPr>
          <w:p>
            <w:pPr>
              <w:pStyle w:val="2"/>
              <w:spacing w:after="0" w:line="240" w:lineRule="auto"/>
              <w:ind w:firstLine="0" w:firstLineChars="0"/>
              <w:jc w:val="center"/>
              <w:rPr>
                <w:bCs/>
                <w:color w:val="auto"/>
                <w:sz w:val="21"/>
                <w:szCs w:val="21"/>
              </w:rPr>
            </w:pPr>
            <w:r>
              <w:rPr>
                <w:bCs/>
                <w:color w:val="auto"/>
                <w:sz w:val="21"/>
                <w:szCs w:val="21"/>
              </w:rPr>
              <w:t>物料衡算</w:t>
            </w:r>
          </w:p>
        </w:tc>
        <w:tc>
          <w:tcPr>
            <w:tcW w:w="1257" w:type="pct"/>
            <w:vAlign w:val="center"/>
          </w:tcPr>
          <w:p>
            <w:pPr>
              <w:pStyle w:val="2"/>
              <w:spacing w:after="0" w:line="240" w:lineRule="auto"/>
              <w:ind w:firstLine="0" w:firstLineChars="0"/>
              <w:jc w:val="center"/>
              <w:rPr>
                <w:bCs/>
                <w:color w:val="auto"/>
                <w:sz w:val="21"/>
                <w:szCs w:val="21"/>
              </w:rPr>
            </w:pPr>
            <w:r>
              <w:rPr>
                <w:bCs/>
                <w:color w:val="auto"/>
                <w:sz w:val="21"/>
                <w:szCs w:val="21"/>
              </w:rPr>
              <w:t>VOCs</w:t>
            </w:r>
          </w:p>
        </w:tc>
        <w:tc>
          <w:tcPr>
            <w:tcW w:w="1267" w:type="pct"/>
            <w:vAlign w:val="center"/>
          </w:tcPr>
          <w:p>
            <w:pPr>
              <w:pStyle w:val="2"/>
              <w:spacing w:after="0"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0.0353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37" w:type="pct"/>
            <w:vAlign w:val="center"/>
          </w:tcPr>
          <w:p>
            <w:pPr>
              <w:snapToGrid w:val="0"/>
              <w:spacing w:line="312" w:lineRule="exact"/>
              <w:ind w:firstLine="0" w:firstLineChars="0"/>
              <w:jc w:val="center"/>
              <w:rPr>
                <w:color w:val="auto"/>
                <w:sz w:val="21"/>
                <w:szCs w:val="21"/>
              </w:rPr>
            </w:pPr>
            <w:r>
              <w:rPr>
                <w:rFonts w:hint="eastAsia"/>
                <w:color w:val="auto"/>
                <w:sz w:val="21"/>
                <w:szCs w:val="21"/>
                <w:lang w:val="en-US" w:eastAsia="zh-CN"/>
              </w:rPr>
              <w:t>低聚不凝</w:t>
            </w:r>
            <w:r>
              <w:rPr>
                <w:rFonts w:hint="eastAsia"/>
                <w:color w:val="auto"/>
                <w:sz w:val="21"/>
                <w:szCs w:val="21"/>
              </w:rPr>
              <w:t>气</w:t>
            </w:r>
          </w:p>
        </w:tc>
        <w:tc>
          <w:tcPr>
            <w:tcW w:w="1237" w:type="pct"/>
            <w:vAlign w:val="center"/>
          </w:tcPr>
          <w:p>
            <w:pPr>
              <w:pStyle w:val="2"/>
              <w:spacing w:after="0" w:line="240" w:lineRule="auto"/>
              <w:ind w:firstLine="0" w:firstLineChars="0"/>
              <w:jc w:val="center"/>
              <w:rPr>
                <w:bCs/>
                <w:color w:val="auto"/>
                <w:sz w:val="21"/>
                <w:szCs w:val="21"/>
              </w:rPr>
            </w:pPr>
            <w:r>
              <w:rPr>
                <w:bCs/>
                <w:color w:val="auto"/>
                <w:sz w:val="21"/>
                <w:szCs w:val="21"/>
              </w:rPr>
              <w:t>物料衡算</w:t>
            </w:r>
          </w:p>
        </w:tc>
        <w:tc>
          <w:tcPr>
            <w:tcW w:w="1257" w:type="pct"/>
            <w:vAlign w:val="center"/>
          </w:tcPr>
          <w:p>
            <w:pPr>
              <w:pStyle w:val="2"/>
              <w:spacing w:after="0" w:line="240" w:lineRule="auto"/>
              <w:ind w:firstLine="0" w:firstLineChars="0"/>
              <w:jc w:val="center"/>
              <w:rPr>
                <w:bCs/>
                <w:color w:val="auto"/>
                <w:sz w:val="21"/>
                <w:szCs w:val="21"/>
              </w:rPr>
            </w:pPr>
            <w:r>
              <w:rPr>
                <w:bCs/>
                <w:color w:val="auto"/>
                <w:sz w:val="21"/>
                <w:szCs w:val="21"/>
              </w:rPr>
              <w:t>VOCs</w:t>
            </w:r>
          </w:p>
        </w:tc>
        <w:tc>
          <w:tcPr>
            <w:tcW w:w="1267" w:type="pct"/>
            <w:vAlign w:val="center"/>
          </w:tcPr>
          <w:p>
            <w:pPr>
              <w:pStyle w:val="2"/>
              <w:spacing w:after="0"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0.0699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37" w:type="pct"/>
            <w:vAlign w:val="center"/>
          </w:tcPr>
          <w:p>
            <w:pPr>
              <w:snapToGrid w:val="0"/>
              <w:spacing w:line="312" w:lineRule="exact"/>
              <w:ind w:firstLine="0" w:firstLineChars="0"/>
              <w:jc w:val="center"/>
              <w:rPr>
                <w:color w:val="auto"/>
                <w:sz w:val="21"/>
                <w:szCs w:val="21"/>
              </w:rPr>
            </w:pPr>
            <w:r>
              <w:rPr>
                <w:rFonts w:hint="eastAsia"/>
                <w:color w:val="auto"/>
                <w:sz w:val="21"/>
                <w:szCs w:val="21"/>
              </w:rPr>
              <w:t>催化剂</w:t>
            </w:r>
            <w:r>
              <w:rPr>
                <w:rFonts w:hint="eastAsia"/>
                <w:color w:val="auto"/>
                <w:sz w:val="21"/>
                <w:szCs w:val="21"/>
                <w:lang w:val="en-US" w:eastAsia="zh-CN"/>
              </w:rPr>
              <w:t>投料、</w:t>
            </w:r>
            <w:r>
              <w:rPr>
                <w:rFonts w:hint="eastAsia"/>
                <w:color w:val="auto"/>
                <w:sz w:val="21"/>
                <w:szCs w:val="21"/>
              </w:rPr>
              <w:t>配置废气</w:t>
            </w:r>
          </w:p>
        </w:tc>
        <w:tc>
          <w:tcPr>
            <w:tcW w:w="1237" w:type="pct"/>
            <w:vAlign w:val="center"/>
          </w:tcPr>
          <w:p>
            <w:pPr>
              <w:pStyle w:val="2"/>
              <w:spacing w:after="0" w:line="240" w:lineRule="auto"/>
              <w:ind w:firstLine="0" w:firstLineChars="0"/>
              <w:jc w:val="center"/>
              <w:rPr>
                <w:bCs/>
                <w:color w:val="auto"/>
                <w:sz w:val="21"/>
                <w:szCs w:val="21"/>
              </w:rPr>
            </w:pPr>
            <w:r>
              <w:rPr>
                <w:bCs/>
                <w:color w:val="auto"/>
                <w:sz w:val="21"/>
                <w:szCs w:val="21"/>
              </w:rPr>
              <w:t>物料衡算</w:t>
            </w:r>
          </w:p>
        </w:tc>
        <w:tc>
          <w:tcPr>
            <w:tcW w:w="1257" w:type="pct"/>
            <w:vAlign w:val="center"/>
          </w:tcPr>
          <w:p>
            <w:pPr>
              <w:pStyle w:val="2"/>
              <w:spacing w:after="0" w:line="240" w:lineRule="auto"/>
              <w:ind w:firstLine="0" w:firstLineChars="0"/>
              <w:jc w:val="center"/>
              <w:rPr>
                <w:bCs/>
                <w:color w:val="auto"/>
                <w:sz w:val="21"/>
                <w:szCs w:val="21"/>
              </w:rPr>
            </w:pPr>
            <w:r>
              <w:rPr>
                <w:rFonts w:hint="eastAsia"/>
                <w:bCs/>
                <w:color w:val="auto"/>
                <w:sz w:val="21"/>
                <w:szCs w:val="21"/>
              </w:rPr>
              <w:t>颗粒物</w:t>
            </w:r>
          </w:p>
        </w:tc>
        <w:tc>
          <w:tcPr>
            <w:tcW w:w="1267" w:type="pct"/>
            <w:vAlign w:val="center"/>
          </w:tcPr>
          <w:p>
            <w:pPr>
              <w:pStyle w:val="2"/>
              <w:spacing w:after="0" w:line="240" w:lineRule="auto"/>
              <w:ind w:firstLine="0" w:firstLineChars="0"/>
              <w:jc w:val="center"/>
              <w:rPr>
                <w:rFonts w:hint="eastAsia" w:eastAsia="宋体"/>
                <w:bCs/>
                <w:color w:val="auto"/>
                <w:sz w:val="21"/>
                <w:szCs w:val="21"/>
                <w:lang w:eastAsia="zh-CN"/>
              </w:rPr>
            </w:pPr>
            <w:r>
              <w:rPr>
                <w:rFonts w:hint="eastAsia"/>
                <w:bCs/>
                <w:color w:val="auto"/>
                <w:sz w:val="21"/>
                <w:szCs w:val="21"/>
              </w:rPr>
              <w:t>0.00</w:t>
            </w:r>
            <w:r>
              <w:rPr>
                <w:rFonts w:hint="eastAsia"/>
                <w:bCs/>
                <w:color w:val="auto"/>
                <w:sz w:val="21"/>
                <w:szCs w:val="21"/>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37" w:type="pct"/>
            <w:vAlign w:val="center"/>
          </w:tcPr>
          <w:p>
            <w:pPr>
              <w:snapToGrid w:val="0"/>
              <w:spacing w:line="312" w:lineRule="exact"/>
              <w:ind w:firstLine="0" w:firstLineChars="0"/>
              <w:jc w:val="center"/>
              <w:rPr>
                <w:color w:val="auto"/>
                <w:sz w:val="21"/>
                <w:szCs w:val="21"/>
              </w:rPr>
            </w:pPr>
            <w:r>
              <w:rPr>
                <w:rFonts w:hint="eastAsia"/>
                <w:color w:val="auto"/>
                <w:sz w:val="21"/>
                <w:szCs w:val="21"/>
              </w:rPr>
              <w:t>酯化不凝气</w:t>
            </w:r>
          </w:p>
        </w:tc>
        <w:tc>
          <w:tcPr>
            <w:tcW w:w="1237" w:type="pct"/>
            <w:vAlign w:val="center"/>
          </w:tcPr>
          <w:p>
            <w:pPr>
              <w:pStyle w:val="2"/>
              <w:spacing w:after="0" w:line="240" w:lineRule="auto"/>
              <w:ind w:firstLine="0" w:firstLineChars="0"/>
              <w:jc w:val="center"/>
              <w:rPr>
                <w:bCs/>
                <w:color w:val="auto"/>
                <w:sz w:val="21"/>
                <w:szCs w:val="21"/>
              </w:rPr>
            </w:pPr>
            <w:r>
              <w:rPr>
                <w:bCs/>
                <w:color w:val="auto"/>
                <w:sz w:val="21"/>
                <w:szCs w:val="21"/>
              </w:rPr>
              <w:t>物料衡算</w:t>
            </w:r>
          </w:p>
        </w:tc>
        <w:tc>
          <w:tcPr>
            <w:tcW w:w="1257" w:type="pct"/>
            <w:vAlign w:val="center"/>
          </w:tcPr>
          <w:p>
            <w:pPr>
              <w:pStyle w:val="2"/>
              <w:spacing w:after="0" w:line="240" w:lineRule="auto"/>
              <w:ind w:firstLine="0" w:firstLineChars="0"/>
              <w:jc w:val="center"/>
              <w:rPr>
                <w:bCs/>
                <w:color w:val="auto"/>
                <w:sz w:val="21"/>
                <w:szCs w:val="21"/>
              </w:rPr>
            </w:pPr>
            <w:r>
              <w:rPr>
                <w:bCs/>
                <w:color w:val="auto"/>
                <w:sz w:val="21"/>
                <w:szCs w:val="21"/>
              </w:rPr>
              <w:t>VOCs</w:t>
            </w:r>
          </w:p>
        </w:tc>
        <w:tc>
          <w:tcPr>
            <w:tcW w:w="1267" w:type="pct"/>
            <w:vAlign w:val="center"/>
          </w:tcPr>
          <w:p>
            <w:pPr>
              <w:pStyle w:val="2"/>
              <w:spacing w:after="0"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1.0984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37" w:type="pct"/>
            <w:vAlign w:val="center"/>
          </w:tcPr>
          <w:p>
            <w:pPr>
              <w:snapToGrid w:val="0"/>
              <w:spacing w:line="312" w:lineRule="exact"/>
              <w:ind w:firstLine="0" w:firstLineChars="0"/>
              <w:jc w:val="center"/>
              <w:rPr>
                <w:color w:val="auto"/>
                <w:sz w:val="21"/>
                <w:szCs w:val="21"/>
              </w:rPr>
            </w:pPr>
            <w:r>
              <w:rPr>
                <w:rFonts w:hint="eastAsia"/>
                <w:color w:val="auto"/>
                <w:sz w:val="21"/>
                <w:szCs w:val="21"/>
              </w:rPr>
              <w:t>精制不凝气</w:t>
            </w:r>
          </w:p>
        </w:tc>
        <w:tc>
          <w:tcPr>
            <w:tcW w:w="1237" w:type="pct"/>
            <w:vAlign w:val="center"/>
          </w:tcPr>
          <w:p>
            <w:pPr>
              <w:pStyle w:val="2"/>
              <w:spacing w:after="0" w:line="240" w:lineRule="auto"/>
              <w:ind w:firstLine="0" w:firstLineChars="0"/>
              <w:jc w:val="center"/>
              <w:rPr>
                <w:bCs/>
                <w:color w:val="auto"/>
                <w:sz w:val="21"/>
                <w:szCs w:val="21"/>
              </w:rPr>
            </w:pPr>
            <w:r>
              <w:rPr>
                <w:bCs/>
                <w:color w:val="auto"/>
                <w:sz w:val="21"/>
                <w:szCs w:val="21"/>
              </w:rPr>
              <w:t>物料衡算</w:t>
            </w:r>
          </w:p>
        </w:tc>
        <w:tc>
          <w:tcPr>
            <w:tcW w:w="1257" w:type="pct"/>
            <w:vAlign w:val="center"/>
          </w:tcPr>
          <w:p>
            <w:pPr>
              <w:pStyle w:val="2"/>
              <w:spacing w:after="0" w:line="240" w:lineRule="auto"/>
              <w:ind w:firstLine="0" w:firstLineChars="0"/>
              <w:jc w:val="center"/>
              <w:rPr>
                <w:bCs/>
                <w:color w:val="auto"/>
                <w:sz w:val="21"/>
                <w:szCs w:val="21"/>
              </w:rPr>
            </w:pPr>
            <w:r>
              <w:rPr>
                <w:bCs/>
                <w:color w:val="auto"/>
                <w:sz w:val="21"/>
                <w:szCs w:val="21"/>
              </w:rPr>
              <w:t>VOCs</w:t>
            </w:r>
          </w:p>
        </w:tc>
        <w:tc>
          <w:tcPr>
            <w:tcW w:w="1267" w:type="pct"/>
            <w:vAlign w:val="center"/>
          </w:tcPr>
          <w:p>
            <w:pPr>
              <w:pStyle w:val="2"/>
              <w:spacing w:after="0"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0.1711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37" w:type="pct"/>
            <w:vAlign w:val="center"/>
          </w:tcPr>
          <w:p>
            <w:pPr>
              <w:snapToGrid w:val="0"/>
              <w:spacing w:line="312" w:lineRule="exact"/>
              <w:ind w:firstLine="0" w:firstLineChars="0"/>
              <w:jc w:val="center"/>
              <w:rPr>
                <w:color w:val="auto"/>
                <w:sz w:val="21"/>
                <w:szCs w:val="21"/>
              </w:rPr>
            </w:pPr>
            <w:r>
              <w:rPr>
                <w:rFonts w:hint="eastAsia"/>
                <w:color w:val="auto"/>
                <w:sz w:val="21"/>
                <w:szCs w:val="21"/>
              </w:rPr>
              <w:t>脱挥废气</w:t>
            </w:r>
          </w:p>
        </w:tc>
        <w:tc>
          <w:tcPr>
            <w:tcW w:w="1237" w:type="pct"/>
            <w:vAlign w:val="center"/>
          </w:tcPr>
          <w:p>
            <w:pPr>
              <w:pStyle w:val="2"/>
              <w:spacing w:after="0" w:line="240" w:lineRule="auto"/>
              <w:ind w:firstLine="0" w:firstLineChars="0"/>
              <w:jc w:val="center"/>
              <w:rPr>
                <w:bCs/>
                <w:color w:val="auto"/>
                <w:sz w:val="21"/>
                <w:szCs w:val="21"/>
              </w:rPr>
            </w:pPr>
            <w:r>
              <w:rPr>
                <w:bCs/>
                <w:color w:val="auto"/>
                <w:sz w:val="21"/>
                <w:szCs w:val="21"/>
              </w:rPr>
              <w:t>物料衡算</w:t>
            </w:r>
          </w:p>
        </w:tc>
        <w:tc>
          <w:tcPr>
            <w:tcW w:w="1257" w:type="pct"/>
            <w:vAlign w:val="center"/>
          </w:tcPr>
          <w:p>
            <w:pPr>
              <w:pStyle w:val="2"/>
              <w:spacing w:after="0" w:line="240" w:lineRule="auto"/>
              <w:ind w:firstLine="0" w:firstLineChars="0"/>
              <w:jc w:val="center"/>
              <w:rPr>
                <w:bCs/>
                <w:color w:val="auto"/>
                <w:sz w:val="21"/>
                <w:szCs w:val="21"/>
              </w:rPr>
            </w:pPr>
            <w:r>
              <w:rPr>
                <w:bCs/>
                <w:color w:val="auto"/>
                <w:sz w:val="21"/>
                <w:szCs w:val="21"/>
              </w:rPr>
              <w:t>VOCs</w:t>
            </w:r>
          </w:p>
        </w:tc>
        <w:tc>
          <w:tcPr>
            <w:tcW w:w="1267" w:type="pct"/>
            <w:vAlign w:val="center"/>
          </w:tcPr>
          <w:p>
            <w:pPr>
              <w:pStyle w:val="2"/>
              <w:spacing w:after="0"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2.16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37" w:type="pct"/>
            <w:vAlign w:val="center"/>
          </w:tcPr>
          <w:p>
            <w:pPr>
              <w:snapToGrid w:val="0"/>
              <w:spacing w:line="312" w:lineRule="exact"/>
              <w:ind w:firstLine="0" w:firstLineChars="0"/>
              <w:jc w:val="center"/>
              <w:rPr>
                <w:color w:val="auto"/>
                <w:sz w:val="21"/>
                <w:szCs w:val="21"/>
              </w:rPr>
            </w:pPr>
            <w:r>
              <w:rPr>
                <w:rFonts w:hint="eastAsia"/>
                <w:color w:val="auto"/>
                <w:sz w:val="21"/>
                <w:szCs w:val="21"/>
              </w:rPr>
              <w:t>干燥</w:t>
            </w:r>
            <w:r>
              <w:rPr>
                <w:color w:val="auto"/>
                <w:sz w:val="21"/>
                <w:szCs w:val="21"/>
              </w:rPr>
              <w:t>废气</w:t>
            </w:r>
          </w:p>
        </w:tc>
        <w:tc>
          <w:tcPr>
            <w:tcW w:w="1237" w:type="pct"/>
            <w:vAlign w:val="center"/>
          </w:tcPr>
          <w:p>
            <w:pPr>
              <w:pStyle w:val="2"/>
              <w:spacing w:after="0" w:line="240" w:lineRule="auto"/>
              <w:ind w:firstLine="0" w:firstLineChars="0"/>
              <w:jc w:val="center"/>
              <w:rPr>
                <w:bCs/>
                <w:color w:val="auto"/>
                <w:sz w:val="21"/>
                <w:szCs w:val="21"/>
              </w:rPr>
            </w:pPr>
            <w:r>
              <w:rPr>
                <w:bCs/>
                <w:color w:val="auto"/>
                <w:sz w:val="21"/>
                <w:szCs w:val="21"/>
              </w:rPr>
              <w:t>物料衡算</w:t>
            </w:r>
          </w:p>
        </w:tc>
        <w:tc>
          <w:tcPr>
            <w:tcW w:w="1257" w:type="pct"/>
            <w:vAlign w:val="center"/>
          </w:tcPr>
          <w:p>
            <w:pPr>
              <w:pStyle w:val="2"/>
              <w:spacing w:after="0" w:line="240" w:lineRule="auto"/>
              <w:ind w:firstLine="0" w:firstLineChars="0"/>
              <w:jc w:val="center"/>
              <w:rPr>
                <w:bCs/>
                <w:color w:val="auto"/>
                <w:sz w:val="21"/>
                <w:szCs w:val="21"/>
              </w:rPr>
            </w:pPr>
            <w:r>
              <w:rPr>
                <w:rFonts w:hint="eastAsia"/>
                <w:bCs/>
                <w:color w:val="auto"/>
                <w:sz w:val="21"/>
                <w:szCs w:val="21"/>
              </w:rPr>
              <w:t>颗粒物</w:t>
            </w:r>
          </w:p>
        </w:tc>
        <w:tc>
          <w:tcPr>
            <w:tcW w:w="1267" w:type="pct"/>
            <w:vAlign w:val="center"/>
          </w:tcPr>
          <w:p>
            <w:pPr>
              <w:pStyle w:val="2"/>
              <w:spacing w:after="0" w:line="240" w:lineRule="auto"/>
              <w:ind w:firstLine="0" w:firstLineChars="0"/>
              <w:jc w:val="center"/>
              <w:rPr>
                <w:bCs/>
                <w:color w:val="auto"/>
                <w:sz w:val="21"/>
                <w:szCs w:val="21"/>
              </w:rPr>
            </w:pPr>
            <w:r>
              <w:rPr>
                <w:rFonts w:hint="eastAsia"/>
                <w:bCs/>
                <w:color w:val="auto"/>
                <w:sz w:val="21"/>
                <w:szCs w:val="21"/>
              </w:rPr>
              <w:t>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37" w:type="pct"/>
            <w:vMerge w:val="restart"/>
            <w:vAlign w:val="center"/>
          </w:tcPr>
          <w:p>
            <w:pPr>
              <w:snapToGrid w:val="0"/>
              <w:spacing w:line="340" w:lineRule="exact"/>
              <w:ind w:firstLine="0" w:firstLineChars="0"/>
              <w:jc w:val="center"/>
              <w:rPr>
                <w:color w:val="auto"/>
                <w:sz w:val="21"/>
                <w:szCs w:val="21"/>
              </w:rPr>
            </w:pPr>
            <w:r>
              <w:rPr>
                <w:rFonts w:hint="eastAsia"/>
                <w:color w:val="auto"/>
                <w:sz w:val="21"/>
                <w:szCs w:val="21"/>
              </w:rPr>
              <w:t>污水处理站废气</w:t>
            </w:r>
          </w:p>
        </w:tc>
        <w:tc>
          <w:tcPr>
            <w:tcW w:w="1237" w:type="pct"/>
            <w:vMerge w:val="restart"/>
            <w:vAlign w:val="center"/>
          </w:tcPr>
          <w:p>
            <w:pPr>
              <w:pStyle w:val="2"/>
              <w:spacing w:after="0" w:line="240" w:lineRule="auto"/>
              <w:ind w:firstLine="0" w:firstLineChars="0"/>
              <w:jc w:val="center"/>
              <w:rPr>
                <w:bCs/>
                <w:color w:val="auto"/>
                <w:sz w:val="21"/>
                <w:szCs w:val="21"/>
              </w:rPr>
            </w:pPr>
            <w:r>
              <w:rPr>
                <w:rFonts w:hint="eastAsia"/>
                <w:bCs/>
                <w:color w:val="auto"/>
                <w:sz w:val="21"/>
                <w:szCs w:val="21"/>
              </w:rPr>
              <w:t>产污系数</w:t>
            </w:r>
          </w:p>
        </w:tc>
        <w:tc>
          <w:tcPr>
            <w:tcW w:w="1257" w:type="pct"/>
            <w:vAlign w:val="center"/>
          </w:tcPr>
          <w:p>
            <w:pPr>
              <w:pStyle w:val="2"/>
              <w:spacing w:after="0" w:line="240" w:lineRule="auto"/>
              <w:ind w:firstLine="0" w:firstLineChars="0"/>
              <w:jc w:val="center"/>
              <w:rPr>
                <w:bCs/>
                <w:color w:val="auto"/>
                <w:sz w:val="21"/>
                <w:szCs w:val="21"/>
              </w:rPr>
            </w:pPr>
            <w:r>
              <w:rPr>
                <w:rFonts w:hint="eastAsia"/>
                <w:bCs/>
                <w:color w:val="auto"/>
                <w:sz w:val="21"/>
                <w:szCs w:val="21"/>
              </w:rPr>
              <w:t>氨</w:t>
            </w:r>
          </w:p>
        </w:tc>
        <w:tc>
          <w:tcPr>
            <w:tcW w:w="1267" w:type="pct"/>
            <w:vAlign w:val="center"/>
          </w:tcPr>
          <w:p>
            <w:pPr>
              <w:pStyle w:val="2"/>
              <w:spacing w:after="0" w:line="240" w:lineRule="auto"/>
              <w:ind w:firstLine="0" w:firstLineChars="0"/>
              <w:jc w:val="center"/>
              <w:rPr>
                <w:bCs/>
                <w:color w:val="auto"/>
                <w:sz w:val="21"/>
                <w:szCs w:val="21"/>
              </w:rPr>
            </w:pPr>
            <w:r>
              <w:rPr>
                <w:rFonts w:hint="eastAsia"/>
                <w:bCs/>
                <w:color w:val="auto"/>
                <w:sz w:val="21"/>
                <w:szCs w:val="21"/>
              </w:rPr>
              <w:t>0.037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37" w:type="pct"/>
            <w:vMerge w:val="continue"/>
            <w:vAlign w:val="center"/>
          </w:tcPr>
          <w:p>
            <w:pPr>
              <w:snapToGrid w:val="0"/>
              <w:spacing w:line="340" w:lineRule="exact"/>
              <w:ind w:firstLine="0" w:firstLineChars="0"/>
              <w:jc w:val="center"/>
              <w:rPr>
                <w:color w:val="auto"/>
                <w:sz w:val="21"/>
                <w:szCs w:val="21"/>
              </w:rPr>
            </w:pPr>
          </w:p>
        </w:tc>
        <w:tc>
          <w:tcPr>
            <w:tcW w:w="1237" w:type="pct"/>
            <w:vMerge w:val="continue"/>
            <w:vAlign w:val="center"/>
          </w:tcPr>
          <w:p>
            <w:pPr>
              <w:pStyle w:val="2"/>
              <w:spacing w:after="0" w:line="240" w:lineRule="auto"/>
              <w:ind w:firstLine="0" w:firstLineChars="0"/>
              <w:jc w:val="center"/>
              <w:rPr>
                <w:bCs/>
                <w:color w:val="auto"/>
                <w:sz w:val="21"/>
                <w:szCs w:val="21"/>
              </w:rPr>
            </w:pPr>
          </w:p>
        </w:tc>
        <w:tc>
          <w:tcPr>
            <w:tcW w:w="1257" w:type="pct"/>
            <w:vAlign w:val="center"/>
          </w:tcPr>
          <w:p>
            <w:pPr>
              <w:pStyle w:val="2"/>
              <w:spacing w:after="0" w:line="240" w:lineRule="auto"/>
              <w:ind w:firstLine="0" w:firstLineChars="0"/>
              <w:jc w:val="center"/>
              <w:rPr>
                <w:bCs/>
                <w:color w:val="auto"/>
                <w:sz w:val="21"/>
                <w:szCs w:val="21"/>
              </w:rPr>
            </w:pPr>
            <w:r>
              <w:rPr>
                <w:rFonts w:hint="eastAsia"/>
                <w:bCs/>
                <w:color w:val="auto"/>
                <w:sz w:val="21"/>
                <w:szCs w:val="21"/>
              </w:rPr>
              <w:t>硫化氢</w:t>
            </w:r>
          </w:p>
        </w:tc>
        <w:tc>
          <w:tcPr>
            <w:tcW w:w="1267" w:type="pct"/>
            <w:vAlign w:val="center"/>
          </w:tcPr>
          <w:p>
            <w:pPr>
              <w:pStyle w:val="2"/>
              <w:spacing w:after="0" w:line="240" w:lineRule="auto"/>
              <w:ind w:firstLine="0" w:firstLineChars="0"/>
              <w:jc w:val="center"/>
              <w:rPr>
                <w:bCs/>
                <w:color w:val="auto"/>
                <w:sz w:val="21"/>
                <w:szCs w:val="21"/>
              </w:rPr>
            </w:pPr>
            <w:r>
              <w:rPr>
                <w:rFonts w:hint="eastAsia"/>
                <w:bCs/>
                <w:color w:val="auto"/>
                <w:sz w:val="21"/>
                <w:szCs w:val="21"/>
              </w:rPr>
              <w:t>0.0009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37" w:type="pct"/>
            <w:vMerge w:val="continue"/>
            <w:vAlign w:val="center"/>
          </w:tcPr>
          <w:p>
            <w:pPr>
              <w:snapToGrid w:val="0"/>
              <w:spacing w:line="340" w:lineRule="exact"/>
              <w:ind w:firstLine="0" w:firstLineChars="0"/>
              <w:jc w:val="center"/>
              <w:rPr>
                <w:color w:val="auto"/>
                <w:sz w:val="21"/>
                <w:szCs w:val="21"/>
              </w:rPr>
            </w:pPr>
          </w:p>
        </w:tc>
        <w:tc>
          <w:tcPr>
            <w:tcW w:w="1237" w:type="pct"/>
            <w:vMerge w:val="continue"/>
            <w:vAlign w:val="center"/>
          </w:tcPr>
          <w:p>
            <w:pPr>
              <w:pStyle w:val="2"/>
              <w:spacing w:after="0" w:line="240" w:lineRule="auto"/>
              <w:ind w:firstLine="0" w:firstLineChars="0"/>
              <w:jc w:val="center"/>
              <w:rPr>
                <w:bCs/>
                <w:color w:val="auto"/>
                <w:sz w:val="21"/>
                <w:szCs w:val="21"/>
              </w:rPr>
            </w:pPr>
          </w:p>
        </w:tc>
        <w:tc>
          <w:tcPr>
            <w:tcW w:w="1257" w:type="pct"/>
            <w:vAlign w:val="center"/>
          </w:tcPr>
          <w:p>
            <w:pPr>
              <w:pStyle w:val="2"/>
              <w:spacing w:after="0" w:line="240" w:lineRule="auto"/>
              <w:ind w:firstLine="0" w:firstLineChars="0"/>
              <w:jc w:val="center"/>
              <w:rPr>
                <w:bCs/>
                <w:color w:val="auto"/>
                <w:sz w:val="21"/>
                <w:szCs w:val="21"/>
              </w:rPr>
            </w:pPr>
            <w:r>
              <w:rPr>
                <w:bCs/>
                <w:color w:val="auto"/>
                <w:sz w:val="21"/>
                <w:szCs w:val="21"/>
              </w:rPr>
              <w:t>VOCs</w:t>
            </w:r>
          </w:p>
        </w:tc>
        <w:tc>
          <w:tcPr>
            <w:tcW w:w="1267" w:type="pct"/>
            <w:vAlign w:val="center"/>
          </w:tcPr>
          <w:p>
            <w:pPr>
              <w:pStyle w:val="2"/>
              <w:spacing w:after="0" w:line="240" w:lineRule="auto"/>
              <w:ind w:firstLine="0" w:firstLineChars="0"/>
              <w:jc w:val="center"/>
              <w:rPr>
                <w:bCs/>
                <w:color w:val="auto"/>
                <w:sz w:val="21"/>
                <w:szCs w:val="21"/>
              </w:rPr>
            </w:pPr>
            <w:r>
              <w:rPr>
                <w:rFonts w:hint="eastAsia"/>
                <w:bCs/>
                <w:color w:val="auto"/>
                <w:sz w:val="21"/>
                <w:szCs w:val="21"/>
              </w:rPr>
              <w:t>0.012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37" w:type="pct"/>
            <w:vAlign w:val="center"/>
          </w:tcPr>
          <w:p>
            <w:pPr>
              <w:snapToGrid w:val="0"/>
              <w:spacing w:line="340" w:lineRule="exact"/>
              <w:ind w:firstLine="0" w:firstLineChars="0"/>
              <w:jc w:val="center"/>
              <w:rPr>
                <w:color w:val="auto"/>
                <w:sz w:val="21"/>
                <w:szCs w:val="21"/>
              </w:rPr>
            </w:pPr>
            <w:r>
              <w:rPr>
                <w:rFonts w:hint="eastAsia"/>
                <w:color w:val="auto"/>
                <w:sz w:val="21"/>
                <w:szCs w:val="21"/>
              </w:rPr>
              <w:t>装置区无组织废气</w:t>
            </w:r>
          </w:p>
        </w:tc>
        <w:tc>
          <w:tcPr>
            <w:tcW w:w="1237" w:type="pct"/>
            <w:vAlign w:val="center"/>
          </w:tcPr>
          <w:p>
            <w:pPr>
              <w:pStyle w:val="2"/>
              <w:spacing w:after="0" w:line="240" w:lineRule="auto"/>
              <w:ind w:firstLine="0" w:firstLineChars="0"/>
              <w:jc w:val="center"/>
              <w:rPr>
                <w:bCs/>
                <w:color w:val="auto"/>
                <w:sz w:val="21"/>
                <w:szCs w:val="21"/>
              </w:rPr>
            </w:pPr>
            <w:r>
              <w:rPr>
                <w:rFonts w:hint="eastAsia"/>
                <w:bCs/>
                <w:color w:val="auto"/>
                <w:sz w:val="21"/>
                <w:szCs w:val="21"/>
              </w:rPr>
              <w:t>产污系数</w:t>
            </w:r>
          </w:p>
        </w:tc>
        <w:tc>
          <w:tcPr>
            <w:tcW w:w="1257" w:type="pct"/>
            <w:vAlign w:val="center"/>
          </w:tcPr>
          <w:p>
            <w:pPr>
              <w:pStyle w:val="2"/>
              <w:spacing w:after="0" w:line="240" w:lineRule="auto"/>
              <w:ind w:firstLine="0" w:firstLineChars="0"/>
              <w:jc w:val="center"/>
              <w:rPr>
                <w:bCs/>
                <w:color w:val="auto"/>
                <w:sz w:val="21"/>
                <w:szCs w:val="21"/>
              </w:rPr>
            </w:pPr>
            <w:r>
              <w:rPr>
                <w:bCs/>
                <w:color w:val="auto"/>
                <w:sz w:val="21"/>
                <w:szCs w:val="21"/>
              </w:rPr>
              <w:t>VOCs</w:t>
            </w:r>
          </w:p>
        </w:tc>
        <w:tc>
          <w:tcPr>
            <w:tcW w:w="1267" w:type="pct"/>
            <w:vAlign w:val="center"/>
          </w:tcPr>
          <w:p>
            <w:pPr>
              <w:pStyle w:val="2"/>
              <w:spacing w:after="0" w:line="240" w:lineRule="auto"/>
              <w:ind w:firstLine="0" w:firstLineChars="0"/>
              <w:jc w:val="center"/>
              <w:rPr>
                <w:bCs/>
                <w:color w:val="auto"/>
                <w:sz w:val="21"/>
                <w:szCs w:val="21"/>
              </w:rPr>
            </w:pPr>
            <w:r>
              <w:rPr>
                <w:rFonts w:hint="eastAsia"/>
                <w:bCs/>
                <w:color w:val="auto"/>
                <w:sz w:val="21"/>
                <w:szCs w:val="21"/>
              </w:rPr>
              <w:t>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37" w:type="pct"/>
            <w:vMerge w:val="restart"/>
            <w:vAlign w:val="center"/>
          </w:tcPr>
          <w:p>
            <w:pPr>
              <w:snapToGrid w:val="0"/>
              <w:spacing w:line="340" w:lineRule="exact"/>
              <w:ind w:firstLine="0" w:firstLineChars="0"/>
              <w:jc w:val="center"/>
              <w:rPr>
                <w:color w:val="auto"/>
                <w:sz w:val="21"/>
                <w:szCs w:val="21"/>
              </w:rPr>
            </w:pPr>
            <w:r>
              <w:rPr>
                <w:rFonts w:hint="eastAsia"/>
                <w:color w:val="auto"/>
                <w:sz w:val="21"/>
                <w:szCs w:val="21"/>
              </w:rPr>
              <w:t>锅炉房废气</w:t>
            </w:r>
          </w:p>
        </w:tc>
        <w:tc>
          <w:tcPr>
            <w:tcW w:w="1237" w:type="pct"/>
            <w:vMerge w:val="restart"/>
            <w:vAlign w:val="center"/>
          </w:tcPr>
          <w:p>
            <w:pPr>
              <w:pStyle w:val="2"/>
              <w:spacing w:after="0" w:line="240" w:lineRule="auto"/>
              <w:ind w:firstLine="0" w:firstLineChars="0"/>
              <w:jc w:val="center"/>
              <w:rPr>
                <w:bCs/>
                <w:color w:val="auto"/>
                <w:sz w:val="21"/>
                <w:szCs w:val="21"/>
              </w:rPr>
            </w:pPr>
            <w:r>
              <w:rPr>
                <w:rFonts w:hint="eastAsia"/>
                <w:bCs/>
                <w:color w:val="auto"/>
                <w:sz w:val="21"/>
                <w:szCs w:val="21"/>
              </w:rPr>
              <w:t>产污系数法</w:t>
            </w:r>
          </w:p>
        </w:tc>
        <w:tc>
          <w:tcPr>
            <w:tcW w:w="1257" w:type="pct"/>
            <w:vAlign w:val="center"/>
          </w:tcPr>
          <w:p>
            <w:pPr>
              <w:pStyle w:val="45"/>
              <w:rPr>
                <w:bCs/>
                <w:color w:val="auto"/>
                <w:szCs w:val="21"/>
              </w:rPr>
            </w:pPr>
            <w:r>
              <w:rPr>
                <w:rFonts w:hint="eastAsia"/>
                <w:color w:val="auto"/>
              </w:rPr>
              <w:t>SO</w:t>
            </w:r>
            <w:r>
              <w:rPr>
                <w:rFonts w:hint="eastAsia"/>
                <w:color w:val="auto"/>
                <w:vertAlign w:val="subscript"/>
              </w:rPr>
              <w:t>2</w:t>
            </w:r>
          </w:p>
        </w:tc>
        <w:tc>
          <w:tcPr>
            <w:tcW w:w="1267" w:type="pct"/>
            <w:vAlign w:val="center"/>
          </w:tcPr>
          <w:p>
            <w:pPr>
              <w:pStyle w:val="2"/>
              <w:spacing w:after="0" w:line="240" w:lineRule="auto"/>
              <w:ind w:firstLine="0" w:firstLineChars="0"/>
              <w:jc w:val="center"/>
              <w:rPr>
                <w:bCs/>
                <w:color w:val="auto"/>
                <w:sz w:val="21"/>
                <w:szCs w:val="21"/>
              </w:rPr>
            </w:pPr>
            <w:r>
              <w:rPr>
                <w:rFonts w:hint="eastAsia"/>
                <w:bCs/>
                <w:color w:val="auto"/>
                <w:sz w:val="21"/>
                <w:szCs w:val="21"/>
              </w:rPr>
              <w:t>0.064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37" w:type="pct"/>
            <w:vMerge w:val="continue"/>
            <w:vAlign w:val="center"/>
          </w:tcPr>
          <w:p>
            <w:pPr>
              <w:snapToGrid w:val="0"/>
              <w:spacing w:line="340" w:lineRule="exact"/>
              <w:ind w:firstLine="0" w:firstLineChars="0"/>
              <w:jc w:val="center"/>
              <w:rPr>
                <w:color w:val="auto"/>
                <w:sz w:val="21"/>
                <w:szCs w:val="21"/>
              </w:rPr>
            </w:pPr>
          </w:p>
        </w:tc>
        <w:tc>
          <w:tcPr>
            <w:tcW w:w="1237" w:type="pct"/>
            <w:vMerge w:val="continue"/>
            <w:vAlign w:val="center"/>
          </w:tcPr>
          <w:p>
            <w:pPr>
              <w:pStyle w:val="2"/>
              <w:spacing w:after="0" w:line="240" w:lineRule="auto"/>
              <w:ind w:firstLine="0" w:firstLineChars="0"/>
              <w:jc w:val="center"/>
              <w:rPr>
                <w:bCs/>
                <w:color w:val="auto"/>
                <w:sz w:val="21"/>
                <w:szCs w:val="21"/>
              </w:rPr>
            </w:pPr>
          </w:p>
        </w:tc>
        <w:tc>
          <w:tcPr>
            <w:tcW w:w="1257" w:type="pct"/>
            <w:vAlign w:val="center"/>
          </w:tcPr>
          <w:p>
            <w:pPr>
              <w:pStyle w:val="45"/>
              <w:rPr>
                <w:bCs/>
                <w:color w:val="auto"/>
                <w:szCs w:val="21"/>
              </w:rPr>
            </w:pPr>
            <w:r>
              <w:rPr>
                <w:rFonts w:hint="eastAsia"/>
                <w:color w:val="auto"/>
              </w:rPr>
              <w:t>NOx</w:t>
            </w:r>
          </w:p>
        </w:tc>
        <w:tc>
          <w:tcPr>
            <w:tcW w:w="1267" w:type="pct"/>
            <w:vAlign w:val="center"/>
          </w:tcPr>
          <w:p>
            <w:pPr>
              <w:pStyle w:val="2"/>
              <w:spacing w:after="0" w:line="240" w:lineRule="auto"/>
              <w:ind w:firstLine="0" w:firstLineChars="0"/>
              <w:jc w:val="center"/>
              <w:rPr>
                <w:bCs/>
                <w:color w:val="auto"/>
                <w:sz w:val="21"/>
                <w:szCs w:val="21"/>
              </w:rPr>
            </w:pPr>
            <w:r>
              <w:rPr>
                <w:rFonts w:hint="eastAsia"/>
                <w:bCs/>
                <w:color w:val="auto"/>
                <w:sz w:val="21"/>
                <w:szCs w:val="21"/>
              </w:rPr>
              <w:t>0.60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37" w:type="pct"/>
            <w:vMerge w:val="continue"/>
            <w:vAlign w:val="center"/>
          </w:tcPr>
          <w:p>
            <w:pPr>
              <w:snapToGrid w:val="0"/>
              <w:spacing w:line="340" w:lineRule="exact"/>
              <w:ind w:firstLine="0" w:firstLineChars="0"/>
              <w:jc w:val="center"/>
              <w:rPr>
                <w:color w:val="auto"/>
                <w:sz w:val="21"/>
                <w:szCs w:val="21"/>
              </w:rPr>
            </w:pPr>
          </w:p>
        </w:tc>
        <w:tc>
          <w:tcPr>
            <w:tcW w:w="1237" w:type="pct"/>
            <w:vMerge w:val="continue"/>
            <w:vAlign w:val="center"/>
          </w:tcPr>
          <w:p>
            <w:pPr>
              <w:pStyle w:val="2"/>
              <w:spacing w:after="0" w:line="240" w:lineRule="auto"/>
              <w:ind w:firstLine="0" w:firstLineChars="0"/>
              <w:jc w:val="center"/>
              <w:rPr>
                <w:bCs/>
                <w:color w:val="auto"/>
                <w:sz w:val="21"/>
                <w:szCs w:val="21"/>
              </w:rPr>
            </w:pPr>
          </w:p>
        </w:tc>
        <w:tc>
          <w:tcPr>
            <w:tcW w:w="1257" w:type="pct"/>
            <w:vAlign w:val="center"/>
          </w:tcPr>
          <w:p>
            <w:pPr>
              <w:pStyle w:val="45"/>
              <w:rPr>
                <w:bCs/>
                <w:color w:val="auto"/>
                <w:szCs w:val="21"/>
              </w:rPr>
            </w:pPr>
            <w:r>
              <w:rPr>
                <w:rFonts w:hint="eastAsia"/>
                <w:color w:val="auto"/>
              </w:rPr>
              <w:t>颗粒物</w:t>
            </w:r>
          </w:p>
        </w:tc>
        <w:tc>
          <w:tcPr>
            <w:tcW w:w="1267" w:type="pct"/>
            <w:vAlign w:val="center"/>
          </w:tcPr>
          <w:p>
            <w:pPr>
              <w:pStyle w:val="2"/>
              <w:spacing w:after="0" w:line="240" w:lineRule="auto"/>
              <w:ind w:firstLine="0" w:firstLineChars="0"/>
              <w:jc w:val="center"/>
              <w:rPr>
                <w:bCs/>
                <w:color w:val="auto"/>
                <w:sz w:val="21"/>
                <w:szCs w:val="21"/>
              </w:rPr>
            </w:pPr>
            <w:r>
              <w:rPr>
                <w:rFonts w:hint="eastAsia"/>
                <w:bCs/>
                <w:color w:val="auto"/>
                <w:sz w:val="21"/>
                <w:szCs w:val="21"/>
              </w:rPr>
              <w:t>0.033</w:t>
            </w:r>
          </w:p>
        </w:tc>
      </w:tr>
    </w:tbl>
    <w:p>
      <w:pPr>
        <w:ind w:firstLine="482"/>
        <w:rPr>
          <w:b/>
          <w:color w:val="auto"/>
        </w:rPr>
      </w:pPr>
      <w:r>
        <w:rPr>
          <w:rFonts w:hint="eastAsia"/>
          <w:b/>
          <w:color w:val="auto"/>
        </w:rPr>
        <w:t>1、无组织废气</w:t>
      </w:r>
    </w:p>
    <w:p>
      <w:pPr>
        <w:ind w:firstLine="482"/>
        <w:rPr>
          <w:b/>
          <w:color w:val="auto"/>
        </w:rPr>
      </w:pPr>
      <w:r>
        <w:rPr>
          <w:b/>
          <w:color w:val="auto"/>
        </w:rPr>
        <w:t>（</w:t>
      </w:r>
      <w:r>
        <w:rPr>
          <w:rFonts w:hint="eastAsia"/>
          <w:b/>
          <w:color w:val="auto"/>
        </w:rPr>
        <w:t>1</w:t>
      </w:r>
      <w:r>
        <w:rPr>
          <w:b/>
          <w:color w:val="auto"/>
        </w:rPr>
        <w:t>）装置区无组织排放</w:t>
      </w:r>
    </w:p>
    <w:p>
      <w:pPr>
        <w:ind w:firstLine="480"/>
        <w:rPr>
          <w:bCs/>
          <w:color w:val="auto"/>
        </w:rPr>
      </w:pPr>
      <w:r>
        <w:rPr>
          <w:bCs/>
          <w:color w:val="auto"/>
        </w:rPr>
        <w:t>装置区无组织废气主要是设备动静密封处废气的泄漏。</w:t>
      </w:r>
    </w:p>
    <w:p>
      <w:pPr>
        <w:spacing w:line="420" w:lineRule="atLeast"/>
        <w:ind w:firstLine="480"/>
        <w:rPr>
          <w:bCs/>
          <w:color w:val="auto"/>
        </w:rPr>
      </w:pPr>
      <w:r>
        <w:rPr>
          <w:bCs/>
          <w:color w:val="auto"/>
        </w:rPr>
        <w:t>参照《排污许可证申请与核发技术规范 石化工业》（HJ853-2017），挥发性有机物流经的设备与管线组件密封点泄漏的挥发性有机物排放量可按照下式计算：</w:t>
      </w:r>
    </w:p>
    <w:p>
      <w:pPr>
        <w:spacing w:line="420" w:lineRule="atLeast"/>
        <w:ind w:firstLine="0" w:firstLineChars="0"/>
        <w:jc w:val="center"/>
        <w:rPr>
          <w:bCs/>
          <w:color w:val="auto"/>
        </w:rPr>
      </w:pPr>
      <w:r>
        <w:rPr>
          <w:color w:val="auto"/>
        </w:rPr>
        <w:drawing>
          <wp:inline distT="0" distB="0" distL="114300" distR="114300">
            <wp:extent cx="2624455" cy="593725"/>
            <wp:effectExtent l="0" t="0" r="4445" b="15875"/>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64"/>
                    <a:stretch>
                      <a:fillRect/>
                    </a:stretch>
                  </pic:blipFill>
                  <pic:spPr>
                    <a:xfrm>
                      <a:off x="0" y="0"/>
                      <a:ext cx="2624455" cy="593725"/>
                    </a:xfrm>
                    <a:prstGeom prst="rect">
                      <a:avLst/>
                    </a:prstGeom>
                    <a:noFill/>
                    <a:ln>
                      <a:noFill/>
                    </a:ln>
                  </pic:spPr>
                </pic:pic>
              </a:graphicData>
            </a:graphic>
          </wp:inline>
        </w:drawing>
      </w:r>
    </w:p>
    <w:p>
      <w:pPr>
        <w:spacing w:line="420" w:lineRule="atLeast"/>
        <w:ind w:firstLine="0" w:firstLineChars="0"/>
        <w:rPr>
          <w:bCs/>
          <w:color w:val="auto"/>
        </w:rPr>
      </w:pPr>
      <w:r>
        <w:rPr>
          <w:bCs/>
          <w:color w:val="auto"/>
        </w:rPr>
        <w:t>式中：E</w:t>
      </w:r>
      <w:r>
        <w:rPr>
          <w:bCs/>
          <w:color w:val="auto"/>
          <w:vertAlign w:val="subscript"/>
        </w:rPr>
        <w:t>设备</w:t>
      </w:r>
      <w:r>
        <w:rPr>
          <w:bCs/>
          <w:color w:val="auto"/>
        </w:rPr>
        <w:t>—设备与管线组件密封点泄漏的挥发性有机物年许可排放量，kg/a；</w:t>
      </w:r>
    </w:p>
    <w:p>
      <w:pPr>
        <w:ind w:firstLine="480"/>
        <w:rPr>
          <w:bCs/>
          <w:color w:val="auto"/>
        </w:rPr>
      </w:pPr>
      <w:r>
        <w:rPr>
          <w:bCs/>
          <w:color w:val="auto"/>
        </w:rPr>
        <w:t>t</w:t>
      </w:r>
      <w:r>
        <w:rPr>
          <w:bCs/>
          <w:color w:val="auto"/>
          <w:vertAlign w:val="subscript"/>
        </w:rPr>
        <w:t>i</w:t>
      </w:r>
      <w:r>
        <w:rPr>
          <w:bCs/>
          <w:color w:val="auto"/>
        </w:rPr>
        <w:t>—密封点i的年运行时间，h/a；</w:t>
      </w:r>
    </w:p>
    <w:p>
      <w:pPr>
        <w:ind w:firstLine="480"/>
        <w:rPr>
          <w:bCs/>
          <w:color w:val="auto"/>
        </w:rPr>
      </w:pPr>
      <w:r>
        <w:rPr>
          <w:bCs/>
          <w:color w:val="auto"/>
        </w:rPr>
        <w:t>e</w:t>
      </w:r>
      <w:r>
        <w:rPr>
          <w:bCs/>
          <w:color w:val="auto"/>
          <w:vertAlign w:val="subscript"/>
        </w:rPr>
        <w:t>TOC,i</w:t>
      </w:r>
      <w:r>
        <w:rPr>
          <w:bCs/>
          <w:color w:val="auto"/>
        </w:rPr>
        <w:t>—密封点i的总有机碳（TOC）排放速率，kg/h；</w:t>
      </w:r>
    </w:p>
    <w:p>
      <w:pPr>
        <w:ind w:firstLine="480"/>
        <w:rPr>
          <w:bCs/>
          <w:color w:val="auto"/>
        </w:rPr>
      </w:pPr>
      <w:r>
        <w:rPr>
          <w:bCs/>
          <w:color w:val="auto"/>
        </w:rPr>
        <w:t>WF</w:t>
      </w:r>
      <w:r>
        <w:rPr>
          <w:bCs/>
          <w:color w:val="auto"/>
          <w:vertAlign w:val="subscript"/>
        </w:rPr>
        <w:t>VOCs,i</w:t>
      </w:r>
      <w:r>
        <w:rPr>
          <w:bCs/>
          <w:color w:val="auto"/>
        </w:rPr>
        <w:t>—流经密封点i的物料中挥发性有机物平均质量分数，根据设计文件取值；</w:t>
      </w:r>
    </w:p>
    <w:p>
      <w:pPr>
        <w:ind w:firstLine="456"/>
        <w:rPr>
          <w:bCs/>
          <w:color w:val="auto"/>
          <w:spacing w:val="-6"/>
        </w:rPr>
      </w:pPr>
      <w:r>
        <w:rPr>
          <w:bCs/>
          <w:color w:val="auto"/>
          <w:spacing w:val="-6"/>
        </w:rPr>
        <w:t>WF</w:t>
      </w:r>
      <w:r>
        <w:rPr>
          <w:bCs/>
          <w:color w:val="auto"/>
          <w:spacing w:val="-6"/>
          <w:vertAlign w:val="subscript"/>
        </w:rPr>
        <w:t>TOC,i</w:t>
      </w:r>
      <w:r>
        <w:rPr>
          <w:bCs/>
          <w:color w:val="auto"/>
          <w:spacing w:val="-6"/>
        </w:rPr>
        <w:t>—流经密封点i的物料中总有机碳（TOC）平均质量分数，根据设计文件取值；</w:t>
      </w:r>
    </w:p>
    <w:p>
      <w:pPr>
        <w:ind w:firstLine="480"/>
        <w:rPr>
          <w:bCs/>
          <w:color w:val="auto"/>
        </w:rPr>
      </w:pPr>
      <w:r>
        <w:rPr>
          <w:bCs/>
          <w:color w:val="auto"/>
        </w:rPr>
        <w:t>n—挥发性有机物流经的设备与管线组件密封点数。</w:t>
      </w:r>
    </w:p>
    <w:p>
      <w:pPr>
        <w:ind w:firstLine="480"/>
        <w:rPr>
          <w:bCs/>
          <w:color w:val="auto"/>
        </w:rPr>
      </w:pPr>
      <w:r>
        <w:rPr>
          <w:bCs/>
          <w:color w:val="auto"/>
        </w:rPr>
        <w:t>根据HJ853-2017，石油化学工业设备与管线的总有机碳（TOC）排放取值参数见下表。</w:t>
      </w:r>
    </w:p>
    <w:p>
      <w:pPr>
        <w:ind w:firstLine="0" w:firstLineChars="0"/>
        <w:jc w:val="center"/>
        <w:rPr>
          <w:rFonts w:ascii="Times New Roman" w:hAnsi="Times New Roman" w:eastAsia="黑体" w:cs="Times New Roman"/>
          <w:color w:val="auto"/>
          <w:sz w:val="21"/>
          <w:szCs w:val="21"/>
        </w:rPr>
      </w:pPr>
      <w:r>
        <w:rPr>
          <w:rFonts w:ascii="Times New Roman" w:hAnsi="Times New Roman" w:eastAsia="黑体" w:cs="Times New Roman"/>
          <w:color w:val="auto"/>
          <w:sz w:val="21"/>
          <w:szCs w:val="21"/>
        </w:rPr>
        <w:t>表</w:t>
      </w:r>
      <w:r>
        <w:rPr>
          <w:rFonts w:hint="eastAsia" w:ascii="Times New Roman" w:hAnsi="Times New Roman" w:eastAsia="黑体" w:cs="Times New Roman"/>
          <w:color w:val="auto"/>
          <w:sz w:val="21"/>
          <w:szCs w:val="21"/>
        </w:rPr>
        <w:t>2.5</w:t>
      </w:r>
      <w:r>
        <w:rPr>
          <w:rFonts w:ascii="Times New Roman" w:hAnsi="Times New Roman" w:eastAsia="黑体" w:cs="Times New Roman"/>
          <w:color w:val="auto"/>
          <w:sz w:val="21"/>
          <w:szCs w:val="21"/>
        </w:rPr>
        <w:t>-2  设备与管线总有机碳（TOC）排放取值参数表</w:t>
      </w:r>
    </w:p>
    <w:tbl>
      <w:tblPr>
        <w:tblStyle w:val="2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96"/>
        <w:gridCol w:w="3989"/>
        <w:gridCol w:w="30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3" w:type="pct"/>
            <w:vAlign w:val="center"/>
          </w:tcPr>
          <w:p>
            <w:pPr>
              <w:spacing w:line="240" w:lineRule="auto"/>
              <w:ind w:firstLine="0" w:firstLineChars="0"/>
              <w:jc w:val="center"/>
              <w:rPr>
                <w:b/>
                <w:bCs/>
                <w:color w:val="auto"/>
                <w:sz w:val="21"/>
                <w:szCs w:val="21"/>
                <w:lang w:bidi="ar"/>
              </w:rPr>
            </w:pPr>
            <w:r>
              <w:rPr>
                <w:b/>
                <w:bCs/>
                <w:color w:val="auto"/>
                <w:sz w:val="21"/>
                <w:szCs w:val="21"/>
                <w:lang w:bidi="ar"/>
              </w:rPr>
              <w:t>类型</w:t>
            </w:r>
          </w:p>
        </w:tc>
        <w:tc>
          <w:tcPr>
            <w:tcW w:w="2148" w:type="pct"/>
            <w:vAlign w:val="center"/>
          </w:tcPr>
          <w:p>
            <w:pPr>
              <w:spacing w:line="240" w:lineRule="auto"/>
              <w:ind w:firstLine="0" w:firstLineChars="0"/>
              <w:jc w:val="center"/>
              <w:rPr>
                <w:b/>
                <w:bCs/>
                <w:color w:val="auto"/>
                <w:sz w:val="21"/>
                <w:szCs w:val="21"/>
                <w:lang w:bidi="ar"/>
              </w:rPr>
            </w:pPr>
            <w:r>
              <w:rPr>
                <w:b/>
                <w:bCs/>
                <w:color w:val="auto"/>
                <w:sz w:val="21"/>
                <w:szCs w:val="21"/>
                <w:lang w:bidi="ar"/>
              </w:rPr>
              <w:t>设备类型</w:t>
            </w:r>
          </w:p>
        </w:tc>
        <w:tc>
          <w:tcPr>
            <w:tcW w:w="1667" w:type="pct"/>
            <w:vAlign w:val="center"/>
          </w:tcPr>
          <w:p>
            <w:pPr>
              <w:spacing w:line="240" w:lineRule="auto"/>
              <w:ind w:firstLine="0" w:firstLineChars="0"/>
              <w:jc w:val="center"/>
              <w:rPr>
                <w:b/>
                <w:bCs/>
                <w:color w:val="auto"/>
                <w:sz w:val="21"/>
                <w:szCs w:val="21"/>
                <w:lang w:bidi="ar"/>
              </w:rPr>
            </w:pPr>
            <w:r>
              <w:rPr>
                <w:b/>
                <w:bCs/>
                <w:color w:val="auto"/>
                <w:sz w:val="21"/>
                <w:szCs w:val="21"/>
                <w:lang w:bidi="ar"/>
              </w:rPr>
              <w:t>排放速率（kg/h/排放源）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3" w:type="pct"/>
            <w:vMerge w:val="restart"/>
            <w:vAlign w:val="center"/>
          </w:tcPr>
          <w:p>
            <w:pPr>
              <w:spacing w:line="240" w:lineRule="auto"/>
              <w:ind w:firstLine="0" w:firstLineChars="0"/>
              <w:jc w:val="center"/>
              <w:rPr>
                <w:color w:val="auto"/>
                <w:sz w:val="21"/>
                <w:szCs w:val="21"/>
                <w:lang w:bidi="ar"/>
              </w:rPr>
            </w:pPr>
            <w:r>
              <w:rPr>
                <w:color w:val="auto"/>
                <w:sz w:val="21"/>
                <w:szCs w:val="21"/>
                <w:lang w:bidi="ar"/>
              </w:rPr>
              <w:t>石油化学工业</w:t>
            </w:r>
          </w:p>
        </w:tc>
        <w:tc>
          <w:tcPr>
            <w:tcW w:w="2148" w:type="pct"/>
            <w:vAlign w:val="center"/>
          </w:tcPr>
          <w:p>
            <w:pPr>
              <w:spacing w:line="240" w:lineRule="auto"/>
              <w:ind w:firstLine="0" w:firstLineChars="0"/>
              <w:jc w:val="center"/>
              <w:rPr>
                <w:color w:val="auto"/>
                <w:sz w:val="21"/>
                <w:szCs w:val="21"/>
                <w:lang w:bidi="ar"/>
              </w:rPr>
            </w:pPr>
            <w:r>
              <w:rPr>
                <w:color w:val="auto"/>
                <w:sz w:val="21"/>
                <w:szCs w:val="21"/>
                <w:lang w:bidi="ar"/>
              </w:rPr>
              <w:t>气体阀门</w:t>
            </w:r>
          </w:p>
        </w:tc>
        <w:tc>
          <w:tcPr>
            <w:tcW w:w="1667" w:type="pct"/>
            <w:vAlign w:val="center"/>
          </w:tcPr>
          <w:p>
            <w:pPr>
              <w:spacing w:line="240" w:lineRule="auto"/>
              <w:ind w:firstLine="0" w:firstLineChars="0"/>
              <w:jc w:val="center"/>
              <w:rPr>
                <w:color w:val="auto"/>
                <w:sz w:val="21"/>
                <w:szCs w:val="21"/>
                <w:lang w:bidi="ar"/>
              </w:rPr>
            </w:pPr>
            <w:r>
              <w:rPr>
                <w:color w:val="auto"/>
                <w:sz w:val="21"/>
                <w:szCs w:val="21"/>
                <w:lang w:bidi="ar"/>
              </w:rPr>
              <w:t>0.024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3" w:type="pct"/>
            <w:vMerge w:val="continue"/>
            <w:vAlign w:val="center"/>
          </w:tcPr>
          <w:p>
            <w:pPr>
              <w:spacing w:line="240" w:lineRule="auto"/>
              <w:ind w:firstLine="0" w:firstLineChars="0"/>
              <w:jc w:val="center"/>
              <w:rPr>
                <w:color w:val="auto"/>
                <w:sz w:val="21"/>
                <w:szCs w:val="21"/>
                <w:lang w:bidi="ar"/>
              </w:rPr>
            </w:pPr>
          </w:p>
        </w:tc>
        <w:tc>
          <w:tcPr>
            <w:tcW w:w="2148" w:type="pct"/>
            <w:vAlign w:val="center"/>
          </w:tcPr>
          <w:p>
            <w:pPr>
              <w:spacing w:line="240" w:lineRule="auto"/>
              <w:ind w:firstLine="0" w:firstLineChars="0"/>
              <w:jc w:val="center"/>
              <w:rPr>
                <w:color w:val="auto"/>
                <w:sz w:val="21"/>
                <w:szCs w:val="21"/>
                <w:lang w:bidi="ar"/>
              </w:rPr>
            </w:pPr>
            <w:r>
              <w:rPr>
                <w:color w:val="auto"/>
                <w:sz w:val="21"/>
                <w:szCs w:val="21"/>
                <w:lang w:bidi="ar"/>
              </w:rPr>
              <w:t>开口阀或开口管线</w:t>
            </w:r>
          </w:p>
        </w:tc>
        <w:tc>
          <w:tcPr>
            <w:tcW w:w="1667" w:type="pct"/>
            <w:vAlign w:val="center"/>
          </w:tcPr>
          <w:p>
            <w:pPr>
              <w:spacing w:line="240" w:lineRule="auto"/>
              <w:ind w:firstLine="0" w:firstLineChars="0"/>
              <w:jc w:val="center"/>
              <w:rPr>
                <w:color w:val="auto"/>
                <w:sz w:val="21"/>
                <w:szCs w:val="21"/>
                <w:lang w:bidi="ar"/>
              </w:rPr>
            </w:pPr>
            <w:r>
              <w:rPr>
                <w:color w:val="auto"/>
                <w:sz w:val="21"/>
                <w:szCs w:val="21"/>
                <w:lang w:bidi="ar"/>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3" w:type="pct"/>
            <w:vMerge w:val="continue"/>
            <w:vAlign w:val="center"/>
          </w:tcPr>
          <w:p>
            <w:pPr>
              <w:spacing w:line="240" w:lineRule="auto"/>
              <w:ind w:firstLine="0" w:firstLineChars="0"/>
              <w:jc w:val="center"/>
              <w:rPr>
                <w:color w:val="auto"/>
                <w:sz w:val="21"/>
                <w:szCs w:val="21"/>
                <w:lang w:bidi="ar"/>
              </w:rPr>
            </w:pPr>
          </w:p>
        </w:tc>
        <w:tc>
          <w:tcPr>
            <w:tcW w:w="2148" w:type="pct"/>
            <w:vAlign w:val="center"/>
          </w:tcPr>
          <w:p>
            <w:pPr>
              <w:spacing w:line="240" w:lineRule="auto"/>
              <w:ind w:firstLine="0" w:firstLineChars="0"/>
              <w:jc w:val="center"/>
              <w:rPr>
                <w:color w:val="auto"/>
                <w:sz w:val="21"/>
                <w:szCs w:val="21"/>
                <w:lang w:bidi="ar"/>
              </w:rPr>
            </w:pPr>
            <w:r>
              <w:rPr>
                <w:color w:val="auto"/>
                <w:sz w:val="21"/>
                <w:szCs w:val="21"/>
                <w:lang w:bidi="ar"/>
              </w:rPr>
              <w:t>有机液体阀门</w:t>
            </w:r>
          </w:p>
        </w:tc>
        <w:tc>
          <w:tcPr>
            <w:tcW w:w="1667" w:type="pct"/>
            <w:vAlign w:val="center"/>
          </w:tcPr>
          <w:p>
            <w:pPr>
              <w:spacing w:line="240" w:lineRule="auto"/>
              <w:ind w:firstLine="0" w:firstLineChars="0"/>
              <w:jc w:val="center"/>
              <w:rPr>
                <w:color w:val="auto"/>
                <w:sz w:val="21"/>
                <w:szCs w:val="21"/>
                <w:lang w:bidi="ar"/>
              </w:rPr>
            </w:pPr>
            <w:r>
              <w:rPr>
                <w:color w:val="auto"/>
                <w:sz w:val="21"/>
                <w:szCs w:val="21"/>
                <w:lang w:bidi="ar"/>
              </w:rPr>
              <w:t>0.036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3" w:type="pct"/>
            <w:vMerge w:val="continue"/>
            <w:vAlign w:val="center"/>
          </w:tcPr>
          <w:p>
            <w:pPr>
              <w:spacing w:line="240" w:lineRule="auto"/>
              <w:ind w:firstLine="0" w:firstLineChars="0"/>
              <w:jc w:val="center"/>
              <w:rPr>
                <w:color w:val="auto"/>
                <w:sz w:val="21"/>
                <w:szCs w:val="21"/>
                <w:lang w:bidi="ar"/>
              </w:rPr>
            </w:pPr>
          </w:p>
        </w:tc>
        <w:tc>
          <w:tcPr>
            <w:tcW w:w="2148" w:type="pct"/>
            <w:vAlign w:val="center"/>
          </w:tcPr>
          <w:p>
            <w:pPr>
              <w:spacing w:line="240" w:lineRule="auto"/>
              <w:ind w:firstLine="0" w:firstLineChars="0"/>
              <w:jc w:val="center"/>
              <w:rPr>
                <w:color w:val="auto"/>
                <w:sz w:val="21"/>
                <w:szCs w:val="21"/>
                <w:lang w:bidi="ar"/>
              </w:rPr>
            </w:pPr>
            <w:r>
              <w:rPr>
                <w:color w:val="auto"/>
                <w:sz w:val="21"/>
                <w:szCs w:val="21"/>
                <w:lang w:bidi="ar"/>
              </w:rPr>
              <w:t>法兰或连接件</w:t>
            </w:r>
          </w:p>
        </w:tc>
        <w:tc>
          <w:tcPr>
            <w:tcW w:w="1667" w:type="pct"/>
            <w:vAlign w:val="center"/>
          </w:tcPr>
          <w:p>
            <w:pPr>
              <w:spacing w:line="240" w:lineRule="auto"/>
              <w:ind w:firstLine="0" w:firstLineChars="0"/>
              <w:jc w:val="center"/>
              <w:rPr>
                <w:color w:val="auto"/>
                <w:sz w:val="21"/>
                <w:szCs w:val="21"/>
                <w:lang w:bidi="ar"/>
              </w:rPr>
            </w:pPr>
            <w:r>
              <w:rPr>
                <w:color w:val="auto"/>
                <w:sz w:val="21"/>
                <w:szCs w:val="21"/>
                <w:lang w:bidi="ar"/>
              </w:rPr>
              <w:t>0.044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3" w:type="pct"/>
            <w:vMerge w:val="continue"/>
            <w:vAlign w:val="center"/>
          </w:tcPr>
          <w:p>
            <w:pPr>
              <w:spacing w:line="240" w:lineRule="auto"/>
              <w:ind w:firstLine="0" w:firstLineChars="0"/>
              <w:jc w:val="center"/>
              <w:rPr>
                <w:color w:val="auto"/>
                <w:sz w:val="21"/>
                <w:szCs w:val="21"/>
                <w:lang w:bidi="ar"/>
              </w:rPr>
            </w:pPr>
          </w:p>
        </w:tc>
        <w:tc>
          <w:tcPr>
            <w:tcW w:w="2148" w:type="pct"/>
            <w:vAlign w:val="center"/>
          </w:tcPr>
          <w:p>
            <w:pPr>
              <w:spacing w:line="240" w:lineRule="auto"/>
              <w:ind w:firstLine="0" w:firstLineChars="0"/>
              <w:jc w:val="center"/>
              <w:rPr>
                <w:color w:val="auto"/>
                <w:sz w:val="21"/>
                <w:szCs w:val="21"/>
                <w:lang w:bidi="ar"/>
              </w:rPr>
            </w:pPr>
            <w:r>
              <w:rPr>
                <w:color w:val="auto"/>
                <w:sz w:val="21"/>
                <w:szCs w:val="21"/>
                <w:lang w:bidi="ar"/>
              </w:rPr>
              <w:t>泵、压缩机、搅拌器、泄压设备</w:t>
            </w:r>
          </w:p>
        </w:tc>
        <w:tc>
          <w:tcPr>
            <w:tcW w:w="1667" w:type="pct"/>
            <w:vAlign w:val="center"/>
          </w:tcPr>
          <w:p>
            <w:pPr>
              <w:spacing w:line="240" w:lineRule="auto"/>
              <w:ind w:firstLine="0" w:firstLineChars="0"/>
              <w:jc w:val="center"/>
              <w:rPr>
                <w:color w:val="auto"/>
                <w:sz w:val="21"/>
                <w:szCs w:val="21"/>
                <w:lang w:bidi="ar"/>
              </w:rPr>
            </w:pPr>
            <w:r>
              <w:rPr>
                <w:color w:val="auto"/>
                <w:sz w:val="21"/>
                <w:szCs w:val="21"/>
                <w:lang w:bidi="ar"/>
              </w:rPr>
              <w:t>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3" w:type="pct"/>
            <w:vMerge w:val="continue"/>
            <w:vAlign w:val="center"/>
          </w:tcPr>
          <w:p>
            <w:pPr>
              <w:spacing w:line="240" w:lineRule="auto"/>
              <w:ind w:firstLine="0" w:firstLineChars="0"/>
              <w:jc w:val="center"/>
              <w:rPr>
                <w:color w:val="auto"/>
                <w:sz w:val="21"/>
                <w:szCs w:val="21"/>
                <w:lang w:bidi="ar"/>
              </w:rPr>
            </w:pPr>
          </w:p>
        </w:tc>
        <w:tc>
          <w:tcPr>
            <w:tcW w:w="2148" w:type="pct"/>
            <w:vAlign w:val="center"/>
          </w:tcPr>
          <w:p>
            <w:pPr>
              <w:spacing w:line="240" w:lineRule="auto"/>
              <w:ind w:firstLine="0" w:firstLineChars="0"/>
              <w:jc w:val="center"/>
              <w:rPr>
                <w:color w:val="auto"/>
                <w:sz w:val="21"/>
                <w:szCs w:val="21"/>
                <w:lang w:bidi="ar"/>
              </w:rPr>
            </w:pPr>
            <w:r>
              <w:rPr>
                <w:color w:val="auto"/>
                <w:sz w:val="21"/>
                <w:szCs w:val="21"/>
                <w:lang w:bidi="ar"/>
              </w:rPr>
              <w:t>其他</w:t>
            </w:r>
          </w:p>
        </w:tc>
        <w:tc>
          <w:tcPr>
            <w:tcW w:w="1667" w:type="pct"/>
            <w:vAlign w:val="center"/>
          </w:tcPr>
          <w:p>
            <w:pPr>
              <w:spacing w:line="240" w:lineRule="auto"/>
              <w:ind w:firstLine="0" w:firstLineChars="0"/>
              <w:jc w:val="center"/>
              <w:rPr>
                <w:color w:val="auto"/>
                <w:sz w:val="21"/>
                <w:szCs w:val="21"/>
                <w:lang w:bidi="ar"/>
              </w:rPr>
            </w:pPr>
            <w:r>
              <w:rPr>
                <w:color w:val="auto"/>
                <w:sz w:val="21"/>
                <w:szCs w:val="21"/>
                <w:lang w:bidi="ar"/>
              </w:rPr>
              <w:t>0.073</w:t>
            </w:r>
          </w:p>
        </w:tc>
      </w:tr>
    </w:tbl>
    <w:p>
      <w:pPr>
        <w:pStyle w:val="2"/>
        <w:spacing w:after="0" w:line="360" w:lineRule="auto"/>
        <w:ind w:firstLine="480"/>
        <w:rPr>
          <w:color w:val="auto"/>
          <w:lang w:bidi="ar"/>
        </w:rPr>
      </w:pPr>
      <w:r>
        <w:rPr>
          <w:rFonts w:hint="eastAsia"/>
          <w:color w:val="auto"/>
          <w:lang w:bidi="ar"/>
        </w:rPr>
        <w:t>拟建项目</w:t>
      </w:r>
      <w:r>
        <w:rPr>
          <w:color w:val="auto"/>
          <w:lang w:bidi="ar"/>
        </w:rPr>
        <w:t>设备动静密封点数量统计见表</w:t>
      </w:r>
      <w:r>
        <w:rPr>
          <w:rFonts w:hint="eastAsia"/>
          <w:color w:val="auto"/>
          <w:lang w:bidi="ar"/>
        </w:rPr>
        <w:t>2.5</w:t>
      </w:r>
      <w:r>
        <w:rPr>
          <w:color w:val="auto"/>
          <w:lang w:bidi="ar"/>
        </w:rPr>
        <w:t>-3，装置区无组织废气VOCs计算结果见表</w:t>
      </w:r>
      <w:r>
        <w:rPr>
          <w:rFonts w:hint="eastAsia"/>
          <w:color w:val="auto"/>
          <w:lang w:bidi="ar"/>
        </w:rPr>
        <w:t>2.5</w:t>
      </w:r>
      <w:r>
        <w:rPr>
          <w:color w:val="auto"/>
          <w:lang w:bidi="ar"/>
        </w:rPr>
        <w:t>-4。</w:t>
      </w:r>
    </w:p>
    <w:p>
      <w:pPr>
        <w:pStyle w:val="2"/>
        <w:spacing w:after="0" w:line="360" w:lineRule="auto"/>
        <w:ind w:firstLine="0" w:firstLineChars="0"/>
        <w:jc w:val="center"/>
        <w:rPr>
          <w:b/>
          <w:bCs/>
          <w:color w:val="auto"/>
          <w:lang w:bidi="ar"/>
        </w:rPr>
      </w:pPr>
      <w:r>
        <w:rPr>
          <w:b/>
          <w:bCs/>
          <w:color w:val="auto"/>
          <w:lang w:bidi="ar"/>
        </w:rPr>
        <w:t>表</w:t>
      </w:r>
      <w:r>
        <w:rPr>
          <w:rFonts w:hint="eastAsia"/>
          <w:b/>
          <w:bCs/>
          <w:color w:val="auto"/>
          <w:lang w:bidi="ar"/>
        </w:rPr>
        <w:t>2.5</w:t>
      </w:r>
      <w:r>
        <w:rPr>
          <w:b/>
          <w:bCs/>
          <w:color w:val="auto"/>
          <w:lang w:bidi="ar"/>
        </w:rPr>
        <w:t xml:space="preserve">-3 </w:t>
      </w:r>
      <w:r>
        <w:rPr>
          <w:rFonts w:hint="eastAsia"/>
          <w:b/>
          <w:bCs/>
          <w:color w:val="auto"/>
          <w:lang w:bidi="ar"/>
        </w:rPr>
        <w:t>拟建项目</w:t>
      </w:r>
      <w:r>
        <w:rPr>
          <w:b/>
          <w:bCs/>
          <w:color w:val="auto"/>
          <w:lang w:bidi="ar"/>
        </w:rPr>
        <w:t>动静密封点数量统计表</w:t>
      </w:r>
    </w:p>
    <w:tbl>
      <w:tblPr>
        <w:tblStyle w:val="2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96"/>
        <w:gridCol w:w="3989"/>
        <w:gridCol w:w="30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3" w:type="pct"/>
            <w:vAlign w:val="center"/>
          </w:tcPr>
          <w:p>
            <w:pPr>
              <w:spacing w:line="240" w:lineRule="auto"/>
              <w:ind w:firstLine="0" w:firstLineChars="0"/>
              <w:jc w:val="center"/>
              <w:rPr>
                <w:b/>
                <w:bCs/>
                <w:color w:val="auto"/>
                <w:sz w:val="21"/>
                <w:szCs w:val="21"/>
                <w:lang w:bidi="ar"/>
              </w:rPr>
            </w:pPr>
            <w:r>
              <w:rPr>
                <w:b/>
                <w:bCs/>
                <w:color w:val="auto"/>
                <w:sz w:val="21"/>
                <w:szCs w:val="21"/>
                <w:lang w:bidi="ar"/>
              </w:rPr>
              <w:t>类型</w:t>
            </w:r>
          </w:p>
        </w:tc>
        <w:tc>
          <w:tcPr>
            <w:tcW w:w="2148" w:type="pct"/>
            <w:vAlign w:val="center"/>
          </w:tcPr>
          <w:p>
            <w:pPr>
              <w:spacing w:line="240" w:lineRule="auto"/>
              <w:ind w:firstLine="0" w:firstLineChars="0"/>
              <w:jc w:val="center"/>
              <w:rPr>
                <w:b/>
                <w:bCs/>
                <w:color w:val="auto"/>
                <w:sz w:val="21"/>
                <w:szCs w:val="21"/>
                <w:lang w:bidi="ar"/>
              </w:rPr>
            </w:pPr>
            <w:r>
              <w:rPr>
                <w:b/>
                <w:bCs/>
                <w:color w:val="auto"/>
                <w:sz w:val="21"/>
                <w:szCs w:val="21"/>
                <w:lang w:bidi="ar"/>
              </w:rPr>
              <w:t>设备类型</w:t>
            </w:r>
          </w:p>
        </w:tc>
        <w:tc>
          <w:tcPr>
            <w:tcW w:w="1667" w:type="pct"/>
            <w:vAlign w:val="center"/>
          </w:tcPr>
          <w:p>
            <w:pPr>
              <w:spacing w:line="240" w:lineRule="auto"/>
              <w:ind w:firstLine="0" w:firstLineChars="0"/>
              <w:jc w:val="center"/>
              <w:rPr>
                <w:b/>
                <w:bCs/>
                <w:color w:val="auto"/>
                <w:sz w:val="21"/>
                <w:szCs w:val="21"/>
                <w:lang w:bidi="ar"/>
              </w:rPr>
            </w:pPr>
            <w:r>
              <w:rPr>
                <w:b/>
                <w:bCs/>
                <w:color w:val="auto"/>
                <w:sz w:val="21"/>
                <w:szCs w:val="21"/>
                <w:lang w:bidi="ar"/>
              </w:rPr>
              <w:t>装置区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3" w:type="pct"/>
            <w:vMerge w:val="restart"/>
            <w:vAlign w:val="center"/>
          </w:tcPr>
          <w:p>
            <w:pPr>
              <w:spacing w:line="240" w:lineRule="auto"/>
              <w:ind w:firstLine="0" w:firstLineChars="0"/>
              <w:jc w:val="center"/>
              <w:rPr>
                <w:color w:val="auto"/>
                <w:sz w:val="21"/>
                <w:szCs w:val="21"/>
                <w:lang w:bidi="ar"/>
              </w:rPr>
            </w:pPr>
            <w:r>
              <w:rPr>
                <w:color w:val="auto"/>
                <w:sz w:val="21"/>
                <w:szCs w:val="21"/>
                <w:lang w:bidi="ar"/>
              </w:rPr>
              <w:t>石油化学工业</w:t>
            </w:r>
          </w:p>
        </w:tc>
        <w:tc>
          <w:tcPr>
            <w:tcW w:w="2148" w:type="pct"/>
            <w:vAlign w:val="center"/>
          </w:tcPr>
          <w:p>
            <w:pPr>
              <w:spacing w:line="240" w:lineRule="auto"/>
              <w:ind w:firstLine="0" w:firstLineChars="0"/>
              <w:jc w:val="center"/>
              <w:rPr>
                <w:color w:val="auto"/>
                <w:sz w:val="21"/>
                <w:szCs w:val="21"/>
                <w:lang w:bidi="ar"/>
              </w:rPr>
            </w:pPr>
            <w:r>
              <w:rPr>
                <w:color w:val="auto"/>
                <w:sz w:val="21"/>
                <w:szCs w:val="21"/>
                <w:lang w:bidi="ar"/>
              </w:rPr>
              <w:t>气体阀门</w:t>
            </w:r>
          </w:p>
        </w:tc>
        <w:tc>
          <w:tcPr>
            <w:tcW w:w="1667" w:type="pct"/>
            <w:vAlign w:val="center"/>
          </w:tcPr>
          <w:p>
            <w:pPr>
              <w:spacing w:line="240" w:lineRule="auto"/>
              <w:ind w:firstLine="0" w:firstLineChars="0"/>
              <w:jc w:val="center"/>
              <w:rPr>
                <w:color w:val="auto"/>
                <w:sz w:val="21"/>
                <w:szCs w:val="21"/>
                <w:lang w:bidi="ar"/>
              </w:rPr>
            </w:pPr>
            <w:r>
              <w:rPr>
                <w:color w:val="auto"/>
                <w:sz w:val="21"/>
                <w:szCs w:val="21"/>
                <w:lang w:bidi="ar"/>
              </w:rPr>
              <w:t>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3" w:type="pct"/>
            <w:vMerge w:val="continue"/>
            <w:vAlign w:val="center"/>
          </w:tcPr>
          <w:p>
            <w:pPr>
              <w:spacing w:line="240" w:lineRule="auto"/>
              <w:ind w:firstLine="0" w:firstLineChars="0"/>
              <w:jc w:val="center"/>
              <w:rPr>
                <w:color w:val="auto"/>
                <w:sz w:val="21"/>
                <w:szCs w:val="21"/>
                <w:lang w:bidi="ar"/>
              </w:rPr>
            </w:pPr>
          </w:p>
        </w:tc>
        <w:tc>
          <w:tcPr>
            <w:tcW w:w="2148" w:type="pct"/>
            <w:vAlign w:val="center"/>
          </w:tcPr>
          <w:p>
            <w:pPr>
              <w:spacing w:line="240" w:lineRule="auto"/>
              <w:ind w:firstLine="0" w:firstLineChars="0"/>
              <w:jc w:val="center"/>
              <w:rPr>
                <w:color w:val="auto"/>
                <w:sz w:val="21"/>
                <w:szCs w:val="21"/>
                <w:lang w:bidi="ar"/>
              </w:rPr>
            </w:pPr>
            <w:r>
              <w:rPr>
                <w:color w:val="auto"/>
                <w:sz w:val="21"/>
                <w:szCs w:val="21"/>
                <w:lang w:bidi="ar"/>
              </w:rPr>
              <w:t>开口阀或开口管线</w:t>
            </w:r>
          </w:p>
        </w:tc>
        <w:tc>
          <w:tcPr>
            <w:tcW w:w="1667" w:type="pct"/>
            <w:vAlign w:val="center"/>
          </w:tcPr>
          <w:p>
            <w:pPr>
              <w:spacing w:line="240" w:lineRule="auto"/>
              <w:ind w:firstLine="0" w:firstLineChars="0"/>
              <w:jc w:val="center"/>
              <w:rPr>
                <w:color w:val="auto"/>
                <w:sz w:val="21"/>
                <w:szCs w:val="21"/>
                <w:lang w:bidi="ar"/>
              </w:rPr>
            </w:pPr>
            <w:r>
              <w:rPr>
                <w:color w:val="auto"/>
                <w:sz w:val="21"/>
                <w:szCs w:val="21"/>
                <w:lang w:bidi="ar"/>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3" w:type="pct"/>
            <w:vMerge w:val="continue"/>
            <w:vAlign w:val="center"/>
          </w:tcPr>
          <w:p>
            <w:pPr>
              <w:spacing w:line="240" w:lineRule="auto"/>
              <w:ind w:firstLine="0" w:firstLineChars="0"/>
              <w:jc w:val="center"/>
              <w:rPr>
                <w:color w:val="auto"/>
                <w:sz w:val="21"/>
                <w:szCs w:val="21"/>
                <w:lang w:bidi="ar"/>
              </w:rPr>
            </w:pPr>
          </w:p>
        </w:tc>
        <w:tc>
          <w:tcPr>
            <w:tcW w:w="2148" w:type="pct"/>
            <w:vAlign w:val="center"/>
          </w:tcPr>
          <w:p>
            <w:pPr>
              <w:spacing w:line="240" w:lineRule="auto"/>
              <w:ind w:firstLine="0" w:firstLineChars="0"/>
              <w:jc w:val="center"/>
              <w:rPr>
                <w:color w:val="auto"/>
                <w:sz w:val="21"/>
                <w:szCs w:val="21"/>
                <w:lang w:bidi="ar"/>
              </w:rPr>
            </w:pPr>
            <w:r>
              <w:rPr>
                <w:color w:val="auto"/>
                <w:sz w:val="21"/>
                <w:szCs w:val="21"/>
                <w:lang w:bidi="ar"/>
              </w:rPr>
              <w:t>有机液体阀门</w:t>
            </w:r>
          </w:p>
        </w:tc>
        <w:tc>
          <w:tcPr>
            <w:tcW w:w="1667" w:type="pct"/>
            <w:vAlign w:val="center"/>
          </w:tcPr>
          <w:p>
            <w:pPr>
              <w:spacing w:line="240" w:lineRule="auto"/>
              <w:ind w:firstLine="0" w:firstLineChars="0"/>
              <w:jc w:val="center"/>
              <w:rPr>
                <w:color w:val="auto"/>
                <w:sz w:val="21"/>
                <w:szCs w:val="21"/>
                <w:lang w:bidi="ar"/>
              </w:rPr>
            </w:pPr>
            <w:r>
              <w:rPr>
                <w:color w:val="auto"/>
                <w:sz w:val="21"/>
                <w:szCs w:val="21"/>
                <w:lang w:bidi="ar"/>
              </w:rPr>
              <w:t>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3" w:type="pct"/>
            <w:vMerge w:val="continue"/>
            <w:vAlign w:val="center"/>
          </w:tcPr>
          <w:p>
            <w:pPr>
              <w:spacing w:line="240" w:lineRule="auto"/>
              <w:ind w:firstLine="0" w:firstLineChars="0"/>
              <w:jc w:val="center"/>
              <w:rPr>
                <w:color w:val="auto"/>
                <w:sz w:val="21"/>
                <w:szCs w:val="21"/>
                <w:lang w:bidi="ar"/>
              </w:rPr>
            </w:pPr>
          </w:p>
        </w:tc>
        <w:tc>
          <w:tcPr>
            <w:tcW w:w="2148" w:type="pct"/>
            <w:vAlign w:val="center"/>
          </w:tcPr>
          <w:p>
            <w:pPr>
              <w:spacing w:line="240" w:lineRule="auto"/>
              <w:ind w:firstLine="0" w:firstLineChars="0"/>
              <w:jc w:val="center"/>
              <w:rPr>
                <w:color w:val="auto"/>
                <w:sz w:val="21"/>
                <w:szCs w:val="21"/>
                <w:lang w:bidi="ar"/>
              </w:rPr>
            </w:pPr>
            <w:r>
              <w:rPr>
                <w:color w:val="auto"/>
                <w:sz w:val="21"/>
                <w:szCs w:val="21"/>
                <w:lang w:bidi="ar"/>
              </w:rPr>
              <w:t>法兰或连接件</w:t>
            </w:r>
          </w:p>
        </w:tc>
        <w:tc>
          <w:tcPr>
            <w:tcW w:w="1667" w:type="pct"/>
            <w:vAlign w:val="center"/>
          </w:tcPr>
          <w:p>
            <w:pPr>
              <w:spacing w:line="240" w:lineRule="auto"/>
              <w:ind w:firstLine="0" w:firstLineChars="0"/>
              <w:jc w:val="center"/>
              <w:rPr>
                <w:color w:val="auto"/>
                <w:sz w:val="21"/>
                <w:szCs w:val="21"/>
                <w:lang w:bidi="ar"/>
              </w:rPr>
            </w:pPr>
            <w:r>
              <w:rPr>
                <w:color w:val="auto"/>
                <w:sz w:val="21"/>
                <w:szCs w:val="21"/>
                <w:lang w:bidi="ar"/>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3" w:type="pct"/>
            <w:vMerge w:val="continue"/>
            <w:vAlign w:val="center"/>
          </w:tcPr>
          <w:p>
            <w:pPr>
              <w:spacing w:line="240" w:lineRule="auto"/>
              <w:ind w:firstLine="0" w:firstLineChars="0"/>
              <w:jc w:val="center"/>
              <w:rPr>
                <w:color w:val="auto"/>
                <w:sz w:val="21"/>
                <w:szCs w:val="21"/>
                <w:lang w:bidi="ar"/>
              </w:rPr>
            </w:pPr>
          </w:p>
        </w:tc>
        <w:tc>
          <w:tcPr>
            <w:tcW w:w="2148" w:type="pct"/>
            <w:vAlign w:val="center"/>
          </w:tcPr>
          <w:p>
            <w:pPr>
              <w:spacing w:line="240" w:lineRule="auto"/>
              <w:ind w:firstLine="0" w:firstLineChars="0"/>
              <w:jc w:val="center"/>
              <w:rPr>
                <w:color w:val="auto"/>
                <w:sz w:val="21"/>
                <w:szCs w:val="21"/>
                <w:lang w:bidi="ar"/>
              </w:rPr>
            </w:pPr>
            <w:r>
              <w:rPr>
                <w:color w:val="auto"/>
                <w:sz w:val="21"/>
                <w:szCs w:val="21"/>
                <w:lang w:bidi="ar"/>
              </w:rPr>
              <w:t>泵、压缩机、搅拌器、泄压设备</w:t>
            </w:r>
          </w:p>
        </w:tc>
        <w:tc>
          <w:tcPr>
            <w:tcW w:w="1667" w:type="pct"/>
            <w:vAlign w:val="center"/>
          </w:tcPr>
          <w:p>
            <w:pPr>
              <w:spacing w:line="240" w:lineRule="auto"/>
              <w:ind w:firstLine="0" w:firstLineChars="0"/>
              <w:jc w:val="center"/>
              <w:rPr>
                <w:color w:val="auto"/>
                <w:sz w:val="21"/>
                <w:szCs w:val="21"/>
                <w:lang w:bidi="ar"/>
              </w:rPr>
            </w:pPr>
            <w:r>
              <w:rPr>
                <w:color w:val="auto"/>
                <w:sz w:val="21"/>
                <w:szCs w:val="21"/>
                <w:lang w:bidi="ar"/>
              </w:rPr>
              <w:t>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3" w:type="pct"/>
            <w:vMerge w:val="continue"/>
            <w:vAlign w:val="center"/>
          </w:tcPr>
          <w:p>
            <w:pPr>
              <w:spacing w:line="240" w:lineRule="auto"/>
              <w:ind w:firstLine="0" w:firstLineChars="0"/>
              <w:jc w:val="center"/>
              <w:rPr>
                <w:color w:val="auto"/>
                <w:sz w:val="21"/>
                <w:szCs w:val="21"/>
                <w:lang w:bidi="ar"/>
              </w:rPr>
            </w:pPr>
          </w:p>
        </w:tc>
        <w:tc>
          <w:tcPr>
            <w:tcW w:w="2148" w:type="pct"/>
            <w:vAlign w:val="center"/>
          </w:tcPr>
          <w:p>
            <w:pPr>
              <w:spacing w:line="240" w:lineRule="auto"/>
              <w:ind w:firstLine="0" w:firstLineChars="0"/>
              <w:jc w:val="center"/>
              <w:rPr>
                <w:color w:val="auto"/>
                <w:sz w:val="21"/>
                <w:szCs w:val="21"/>
                <w:lang w:bidi="ar"/>
              </w:rPr>
            </w:pPr>
            <w:r>
              <w:rPr>
                <w:color w:val="auto"/>
                <w:sz w:val="21"/>
                <w:szCs w:val="21"/>
                <w:lang w:bidi="ar"/>
              </w:rPr>
              <w:t>其他</w:t>
            </w:r>
          </w:p>
        </w:tc>
        <w:tc>
          <w:tcPr>
            <w:tcW w:w="1667" w:type="pct"/>
            <w:vAlign w:val="center"/>
          </w:tcPr>
          <w:p>
            <w:pPr>
              <w:spacing w:line="240" w:lineRule="auto"/>
              <w:ind w:firstLine="0" w:firstLineChars="0"/>
              <w:jc w:val="center"/>
              <w:rPr>
                <w:color w:val="auto"/>
                <w:sz w:val="21"/>
                <w:szCs w:val="21"/>
                <w:lang w:bidi="ar"/>
              </w:rPr>
            </w:pPr>
            <w:r>
              <w:rPr>
                <w:color w:val="auto"/>
                <w:sz w:val="21"/>
                <w:szCs w:val="21"/>
                <w:lang w:bidi="ar"/>
              </w:rPr>
              <w:t>26</w:t>
            </w:r>
          </w:p>
        </w:tc>
      </w:tr>
    </w:tbl>
    <w:p>
      <w:pPr>
        <w:ind w:firstLine="0" w:firstLineChars="0"/>
        <w:jc w:val="center"/>
        <w:rPr>
          <w:b/>
          <w:bCs/>
          <w:color w:val="auto"/>
          <w:lang w:bidi="ar"/>
        </w:rPr>
      </w:pPr>
      <w:r>
        <w:rPr>
          <w:b/>
          <w:bCs/>
          <w:color w:val="auto"/>
          <w:lang w:bidi="ar"/>
        </w:rPr>
        <w:t>表</w:t>
      </w:r>
      <w:r>
        <w:rPr>
          <w:rFonts w:hint="eastAsia"/>
          <w:b/>
          <w:bCs/>
          <w:color w:val="auto"/>
          <w:lang w:bidi="ar"/>
        </w:rPr>
        <w:t>2.5</w:t>
      </w:r>
      <w:r>
        <w:rPr>
          <w:b/>
          <w:bCs/>
          <w:color w:val="auto"/>
          <w:lang w:bidi="ar"/>
        </w:rPr>
        <w:t xml:space="preserve">-4 </w:t>
      </w:r>
      <w:r>
        <w:rPr>
          <w:rFonts w:hint="eastAsia"/>
          <w:b/>
          <w:bCs/>
          <w:color w:val="auto"/>
          <w:lang w:bidi="ar"/>
        </w:rPr>
        <w:t>拟建项目</w:t>
      </w:r>
      <w:r>
        <w:rPr>
          <w:b/>
          <w:bCs/>
          <w:color w:val="auto"/>
          <w:lang w:bidi="ar"/>
        </w:rPr>
        <w:t>装置区无组织废气VOCs计算结果表</w:t>
      </w:r>
    </w:p>
    <w:tbl>
      <w:tblPr>
        <w:tblStyle w:val="2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2"/>
        <w:gridCol w:w="2248"/>
        <w:gridCol w:w="1962"/>
        <w:gridCol w:w="1119"/>
        <w:gridCol w:w="1294"/>
        <w:gridCol w:w="18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spacing w:line="240" w:lineRule="auto"/>
              <w:ind w:firstLine="0" w:firstLineChars="0"/>
              <w:jc w:val="center"/>
              <w:rPr>
                <w:b/>
                <w:bCs/>
                <w:color w:val="auto"/>
                <w:sz w:val="21"/>
                <w:szCs w:val="21"/>
                <w:lang w:bidi="ar"/>
              </w:rPr>
            </w:pPr>
            <w:r>
              <w:rPr>
                <w:b/>
                <w:bCs/>
                <w:color w:val="auto"/>
                <w:sz w:val="21"/>
                <w:szCs w:val="21"/>
                <w:lang w:bidi="ar"/>
              </w:rPr>
              <w:t>装置名称</w:t>
            </w:r>
          </w:p>
        </w:tc>
        <w:tc>
          <w:tcPr>
            <w:tcW w:w="0" w:type="auto"/>
            <w:vAlign w:val="center"/>
          </w:tcPr>
          <w:p>
            <w:pPr>
              <w:spacing w:line="240" w:lineRule="auto"/>
              <w:ind w:firstLine="0" w:firstLineChars="0"/>
              <w:jc w:val="center"/>
              <w:rPr>
                <w:b/>
                <w:bCs/>
                <w:color w:val="auto"/>
                <w:sz w:val="21"/>
                <w:szCs w:val="21"/>
                <w:lang w:bidi="ar"/>
              </w:rPr>
            </w:pPr>
            <w:r>
              <w:rPr>
                <w:b/>
                <w:bCs/>
                <w:color w:val="auto"/>
                <w:sz w:val="21"/>
                <w:szCs w:val="21"/>
                <w:lang w:bidi="ar"/>
              </w:rPr>
              <w:t>设备类型</w:t>
            </w:r>
          </w:p>
        </w:tc>
        <w:tc>
          <w:tcPr>
            <w:tcW w:w="0" w:type="auto"/>
            <w:vAlign w:val="center"/>
          </w:tcPr>
          <w:p>
            <w:pPr>
              <w:spacing w:line="240" w:lineRule="auto"/>
              <w:ind w:firstLine="0" w:firstLineChars="0"/>
              <w:jc w:val="center"/>
              <w:rPr>
                <w:b/>
                <w:bCs/>
                <w:color w:val="auto"/>
                <w:sz w:val="21"/>
                <w:szCs w:val="21"/>
                <w:lang w:bidi="ar"/>
              </w:rPr>
            </w:pPr>
            <w:r>
              <w:rPr>
                <w:b/>
                <w:bCs/>
                <w:color w:val="auto"/>
                <w:sz w:val="21"/>
                <w:szCs w:val="21"/>
                <w:lang w:bidi="ar"/>
              </w:rPr>
              <w:t>排放速率（kg/h/排放源）</w:t>
            </w:r>
          </w:p>
        </w:tc>
        <w:tc>
          <w:tcPr>
            <w:tcW w:w="0" w:type="auto"/>
            <w:vAlign w:val="center"/>
          </w:tcPr>
          <w:p>
            <w:pPr>
              <w:spacing w:line="240" w:lineRule="auto"/>
              <w:ind w:firstLine="0" w:firstLineChars="0"/>
              <w:jc w:val="center"/>
              <w:rPr>
                <w:b/>
                <w:bCs/>
                <w:color w:val="auto"/>
                <w:sz w:val="21"/>
                <w:szCs w:val="21"/>
                <w:lang w:bidi="ar"/>
              </w:rPr>
            </w:pPr>
            <w:r>
              <w:rPr>
                <w:b/>
                <w:bCs/>
                <w:color w:val="auto"/>
                <w:sz w:val="21"/>
                <w:szCs w:val="21"/>
                <w:lang w:bidi="ar"/>
              </w:rPr>
              <w:t>数量（个）</w:t>
            </w:r>
          </w:p>
        </w:tc>
        <w:tc>
          <w:tcPr>
            <w:tcW w:w="0" w:type="auto"/>
            <w:vAlign w:val="center"/>
          </w:tcPr>
          <w:p>
            <w:pPr>
              <w:spacing w:line="240" w:lineRule="auto"/>
              <w:ind w:firstLine="0" w:firstLineChars="0"/>
              <w:jc w:val="center"/>
              <w:rPr>
                <w:b/>
                <w:bCs/>
                <w:color w:val="auto"/>
                <w:sz w:val="21"/>
                <w:szCs w:val="21"/>
                <w:lang w:bidi="ar"/>
              </w:rPr>
            </w:pPr>
            <w:r>
              <w:rPr>
                <w:b/>
                <w:bCs/>
                <w:color w:val="auto"/>
                <w:sz w:val="21"/>
                <w:szCs w:val="21"/>
                <w:lang w:bidi="ar"/>
              </w:rPr>
              <w:t>运行时间（h）</w:t>
            </w:r>
          </w:p>
        </w:tc>
        <w:tc>
          <w:tcPr>
            <w:tcW w:w="0" w:type="auto"/>
            <w:vAlign w:val="center"/>
          </w:tcPr>
          <w:p>
            <w:pPr>
              <w:spacing w:line="240" w:lineRule="auto"/>
              <w:ind w:firstLine="0" w:firstLineChars="0"/>
              <w:jc w:val="center"/>
              <w:rPr>
                <w:b/>
                <w:bCs/>
                <w:color w:val="auto"/>
                <w:sz w:val="21"/>
                <w:szCs w:val="21"/>
                <w:lang w:bidi="ar"/>
              </w:rPr>
            </w:pPr>
            <w:r>
              <w:rPr>
                <w:b/>
                <w:bCs/>
                <w:color w:val="auto"/>
                <w:sz w:val="21"/>
                <w:szCs w:val="21"/>
                <w:lang w:bidi="ar"/>
              </w:rPr>
              <w:t>污染物排放量（kg/a）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spacing w:line="240" w:lineRule="auto"/>
              <w:ind w:firstLine="0" w:firstLineChars="0"/>
              <w:jc w:val="center"/>
              <w:rPr>
                <w:color w:val="auto"/>
                <w:sz w:val="21"/>
                <w:szCs w:val="21"/>
                <w:lang w:bidi="ar"/>
              </w:rPr>
            </w:pPr>
            <w:r>
              <w:rPr>
                <w:color w:val="auto"/>
                <w:sz w:val="21"/>
                <w:szCs w:val="21"/>
                <w:lang w:bidi="ar"/>
              </w:rPr>
              <w:t>装置区</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气体阀门</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0.024</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23</w:t>
            </w:r>
          </w:p>
        </w:tc>
        <w:tc>
          <w:tcPr>
            <w:tcW w:w="0" w:type="auto"/>
            <w:vAlign w:val="center"/>
          </w:tcPr>
          <w:p>
            <w:pPr>
              <w:spacing w:line="240" w:lineRule="auto"/>
              <w:ind w:firstLine="0" w:firstLineChars="0"/>
              <w:jc w:val="center"/>
              <w:rPr>
                <w:color w:val="auto"/>
                <w:sz w:val="21"/>
                <w:szCs w:val="21"/>
                <w:lang w:bidi="ar"/>
              </w:rPr>
            </w:pPr>
            <w:r>
              <w:rPr>
                <w:rFonts w:hint="eastAsia"/>
                <w:color w:val="auto"/>
                <w:sz w:val="21"/>
                <w:szCs w:val="21"/>
                <w:lang w:bidi="ar"/>
              </w:rPr>
              <w:t>6000</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9.94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spacing w:line="240" w:lineRule="auto"/>
              <w:ind w:firstLine="0" w:firstLineChars="0"/>
              <w:jc w:val="center"/>
              <w:rPr>
                <w:color w:val="auto"/>
                <w:sz w:val="21"/>
                <w:szCs w:val="21"/>
                <w:lang w:bidi="ar"/>
              </w:rPr>
            </w:pP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开口阀或开口管线</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0.03</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10</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6000</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3.24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spacing w:line="240" w:lineRule="auto"/>
              <w:ind w:firstLine="0" w:firstLineChars="0"/>
              <w:jc w:val="center"/>
              <w:rPr>
                <w:color w:val="auto"/>
                <w:sz w:val="21"/>
                <w:szCs w:val="21"/>
                <w:lang w:bidi="ar"/>
              </w:rPr>
            </w:pP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有机液体阀门</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0.036</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36</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6000</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14.0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spacing w:line="240" w:lineRule="auto"/>
              <w:ind w:firstLine="0" w:firstLineChars="0"/>
              <w:jc w:val="center"/>
              <w:rPr>
                <w:color w:val="auto"/>
                <w:sz w:val="21"/>
                <w:szCs w:val="21"/>
                <w:lang w:bidi="ar"/>
              </w:rPr>
            </w:pP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法兰或连接件</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0.044</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90</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6000</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42.77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spacing w:line="240" w:lineRule="auto"/>
              <w:ind w:firstLine="0" w:firstLineChars="0"/>
              <w:jc w:val="center"/>
              <w:rPr>
                <w:color w:val="auto"/>
                <w:sz w:val="21"/>
                <w:szCs w:val="21"/>
                <w:lang w:bidi="ar"/>
              </w:rPr>
            </w:pP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泵、压缩机、搅拌器、泄压设备</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0.14</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31</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6000</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46.87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spacing w:line="240" w:lineRule="auto"/>
              <w:ind w:firstLine="0" w:firstLineChars="0"/>
              <w:jc w:val="center"/>
              <w:rPr>
                <w:color w:val="auto"/>
                <w:sz w:val="21"/>
                <w:szCs w:val="21"/>
                <w:lang w:bidi="ar"/>
              </w:rPr>
            </w:pP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其他</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0.073</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26</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6000</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20.50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spacing w:line="240" w:lineRule="auto"/>
              <w:ind w:firstLine="0" w:firstLineChars="0"/>
              <w:jc w:val="center"/>
              <w:rPr>
                <w:color w:val="auto"/>
                <w:sz w:val="21"/>
                <w:szCs w:val="21"/>
                <w:lang w:bidi="ar"/>
              </w:rPr>
            </w:pP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小计</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6000</w:t>
            </w:r>
          </w:p>
        </w:tc>
        <w:tc>
          <w:tcPr>
            <w:tcW w:w="0" w:type="auto"/>
            <w:vAlign w:val="center"/>
          </w:tcPr>
          <w:p>
            <w:pPr>
              <w:spacing w:line="240" w:lineRule="auto"/>
              <w:ind w:firstLine="0" w:firstLineChars="0"/>
              <w:jc w:val="center"/>
              <w:rPr>
                <w:color w:val="auto"/>
                <w:sz w:val="21"/>
                <w:szCs w:val="21"/>
                <w:lang w:bidi="ar"/>
              </w:rPr>
            </w:pPr>
            <w:r>
              <w:rPr>
                <w:color w:val="auto"/>
                <w:sz w:val="21"/>
                <w:szCs w:val="21"/>
                <w:lang w:bidi="ar"/>
              </w:rPr>
              <w:t>137.32</w:t>
            </w:r>
          </w:p>
        </w:tc>
      </w:tr>
    </w:tbl>
    <w:p>
      <w:pPr>
        <w:ind w:firstLine="480"/>
        <w:rPr>
          <w:color w:val="auto"/>
          <w:lang w:bidi="ar"/>
        </w:rPr>
      </w:pPr>
      <w:r>
        <w:rPr>
          <w:color w:val="auto"/>
          <w:lang w:bidi="ar"/>
        </w:rPr>
        <w:t>根据以上公式计算得出</w:t>
      </w:r>
      <w:r>
        <w:rPr>
          <w:rFonts w:hint="eastAsia"/>
          <w:color w:val="auto"/>
          <w:lang w:bidi="ar"/>
        </w:rPr>
        <w:t>拟建项目</w:t>
      </w:r>
      <w:r>
        <w:rPr>
          <w:color w:val="auto"/>
          <w:lang w:bidi="ar"/>
        </w:rPr>
        <w:t>装置区设备动静密封点VOCs排放量为0.1</w:t>
      </w:r>
      <w:r>
        <w:rPr>
          <w:rFonts w:hint="eastAsia"/>
          <w:color w:val="auto"/>
          <w:lang w:bidi="ar"/>
        </w:rPr>
        <w:t>4</w:t>
      </w:r>
      <w:r>
        <w:rPr>
          <w:color w:val="auto"/>
          <w:lang w:bidi="ar"/>
        </w:rPr>
        <w:t>t/a</w:t>
      </w:r>
      <w:r>
        <w:rPr>
          <w:rFonts w:hint="eastAsia"/>
          <w:color w:val="auto"/>
          <w:lang w:bidi="ar"/>
        </w:rPr>
        <w:t>。</w:t>
      </w:r>
    </w:p>
    <w:p>
      <w:pPr>
        <w:pStyle w:val="14"/>
        <w:spacing w:after="0"/>
        <w:ind w:firstLine="482"/>
        <w:rPr>
          <w:b/>
          <w:bCs/>
          <w:color w:val="auto"/>
        </w:rPr>
      </w:pPr>
      <w:r>
        <w:rPr>
          <w:rFonts w:hint="eastAsia"/>
          <w:b/>
          <w:bCs/>
          <w:color w:val="auto"/>
        </w:rPr>
        <w:t>（2）生产工艺无组织排放废气</w:t>
      </w:r>
    </w:p>
    <w:p>
      <w:pPr>
        <w:pStyle w:val="14"/>
        <w:spacing w:after="0"/>
        <w:ind w:firstLine="480"/>
        <w:rPr>
          <w:color w:val="auto"/>
        </w:rPr>
      </w:pPr>
      <w:r>
        <w:rPr>
          <w:rFonts w:hint="eastAsia"/>
          <w:color w:val="auto"/>
        </w:rPr>
        <w:t>本项目生产工艺无组织废气主要为催化剂配置废气及催化剂投料废气</w:t>
      </w:r>
      <w:r>
        <w:rPr>
          <w:rFonts w:hint="eastAsia"/>
          <w:color w:val="auto"/>
          <w:lang w:val="en-US" w:eastAsia="zh-CN"/>
        </w:rPr>
        <w:t>G3</w:t>
      </w:r>
      <w:r>
        <w:rPr>
          <w:rFonts w:hint="eastAsia"/>
          <w:color w:val="auto"/>
          <w:lang w:eastAsia="zh-CN"/>
        </w:rPr>
        <w:t>、</w:t>
      </w:r>
      <w:r>
        <w:rPr>
          <w:rFonts w:hint="eastAsia"/>
          <w:color w:val="auto"/>
          <w:lang w:val="en-US" w:eastAsia="zh-CN"/>
        </w:rPr>
        <w:t>干燥废气G7</w:t>
      </w:r>
      <w:r>
        <w:rPr>
          <w:rFonts w:hint="eastAsia"/>
          <w:color w:val="auto"/>
        </w:rPr>
        <w:t>主要污染物为颗粒物。</w:t>
      </w:r>
    </w:p>
    <w:p>
      <w:pPr>
        <w:pStyle w:val="14"/>
        <w:spacing w:after="0"/>
        <w:ind w:firstLine="0" w:firstLineChars="0"/>
        <w:jc w:val="center"/>
        <w:rPr>
          <w:rFonts w:eastAsia="黑体"/>
          <w:color w:val="auto"/>
          <w:sz w:val="21"/>
          <w:szCs w:val="21"/>
        </w:rPr>
      </w:pPr>
    </w:p>
    <w:p>
      <w:pPr>
        <w:pStyle w:val="14"/>
        <w:spacing w:after="0"/>
        <w:ind w:firstLine="0" w:firstLineChars="0"/>
        <w:jc w:val="center"/>
        <w:rPr>
          <w:rFonts w:eastAsia="黑体"/>
          <w:color w:val="auto"/>
          <w:sz w:val="21"/>
          <w:szCs w:val="21"/>
        </w:rPr>
      </w:pPr>
    </w:p>
    <w:p>
      <w:pPr>
        <w:pStyle w:val="14"/>
        <w:spacing w:after="0"/>
        <w:ind w:firstLine="0" w:firstLineChars="0"/>
        <w:jc w:val="center"/>
        <w:rPr>
          <w:rFonts w:eastAsia="黑体"/>
          <w:color w:val="auto"/>
          <w:sz w:val="21"/>
          <w:szCs w:val="21"/>
        </w:rPr>
      </w:pPr>
      <w:r>
        <w:rPr>
          <w:rFonts w:eastAsia="黑体"/>
          <w:color w:val="auto"/>
          <w:sz w:val="21"/>
          <w:szCs w:val="21"/>
        </w:rPr>
        <w:t>表2.5-5 聚乳酸装置工艺废气无组织污染物产生情况</w:t>
      </w:r>
    </w:p>
    <w:tbl>
      <w:tblPr>
        <w:tblStyle w:val="2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19"/>
        <w:gridCol w:w="1616"/>
        <w:gridCol w:w="1913"/>
        <w:gridCol w:w="1378"/>
        <w:gridCol w:w="1378"/>
        <w:gridCol w:w="13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872" w:type="pct"/>
            <w:vAlign w:val="center"/>
          </w:tcPr>
          <w:p>
            <w:pPr>
              <w:spacing w:line="312" w:lineRule="exact"/>
              <w:ind w:firstLine="0" w:firstLineChars="0"/>
              <w:jc w:val="center"/>
              <w:rPr>
                <w:b/>
                <w:color w:val="auto"/>
                <w:sz w:val="21"/>
                <w:szCs w:val="21"/>
              </w:rPr>
            </w:pPr>
            <w:r>
              <w:rPr>
                <w:b/>
                <w:color w:val="auto"/>
                <w:sz w:val="21"/>
                <w:szCs w:val="21"/>
              </w:rPr>
              <w:t>产污环节</w:t>
            </w:r>
          </w:p>
        </w:tc>
        <w:tc>
          <w:tcPr>
            <w:tcW w:w="870" w:type="pct"/>
            <w:vAlign w:val="center"/>
          </w:tcPr>
          <w:p>
            <w:pPr>
              <w:spacing w:line="312" w:lineRule="exact"/>
              <w:ind w:firstLine="0" w:firstLineChars="0"/>
              <w:jc w:val="center"/>
              <w:rPr>
                <w:b/>
                <w:color w:val="auto"/>
                <w:sz w:val="21"/>
                <w:szCs w:val="21"/>
              </w:rPr>
            </w:pPr>
            <w:r>
              <w:rPr>
                <w:b/>
                <w:color w:val="auto"/>
                <w:sz w:val="21"/>
                <w:szCs w:val="21"/>
              </w:rPr>
              <w:t>污染物产生量依据</w:t>
            </w:r>
          </w:p>
        </w:tc>
        <w:tc>
          <w:tcPr>
            <w:tcW w:w="1030" w:type="pct"/>
            <w:vAlign w:val="center"/>
          </w:tcPr>
          <w:p>
            <w:pPr>
              <w:spacing w:line="312" w:lineRule="exact"/>
              <w:ind w:firstLine="0" w:firstLineChars="0"/>
              <w:jc w:val="center"/>
              <w:rPr>
                <w:b/>
                <w:color w:val="auto"/>
                <w:sz w:val="21"/>
                <w:szCs w:val="21"/>
              </w:rPr>
            </w:pPr>
            <w:r>
              <w:rPr>
                <w:b/>
                <w:color w:val="auto"/>
                <w:sz w:val="21"/>
                <w:szCs w:val="21"/>
              </w:rPr>
              <w:t>主要成分</w:t>
            </w:r>
          </w:p>
        </w:tc>
        <w:tc>
          <w:tcPr>
            <w:tcW w:w="742" w:type="pct"/>
            <w:vAlign w:val="center"/>
          </w:tcPr>
          <w:p>
            <w:pPr>
              <w:spacing w:line="312" w:lineRule="exact"/>
              <w:ind w:firstLine="0" w:firstLineChars="0"/>
              <w:jc w:val="center"/>
              <w:rPr>
                <w:b/>
                <w:color w:val="auto"/>
                <w:sz w:val="21"/>
                <w:szCs w:val="21"/>
              </w:rPr>
            </w:pPr>
            <w:r>
              <w:rPr>
                <w:b/>
                <w:color w:val="auto"/>
                <w:sz w:val="21"/>
                <w:szCs w:val="21"/>
              </w:rPr>
              <w:t>产生量（t/a）</w:t>
            </w:r>
          </w:p>
        </w:tc>
        <w:tc>
          <w:tcPr>
            <w:tcW w:w="742" w:type="pct"/>
            <w:vAlign w:val="center"/>
          </w:tcPr>
          <w:p>
            <w:pPr>
              <w:spacing w:line="312" w:lineRule="exact"/>
              <w:ind w:firstLine="0" w:firstLineChars="0"/>
              <w:jc w:val="center"/>
              <w:rPr>
                <w:rFonts w:hint="default" w:eastAsia="宋体"/>
                <w:b/>
                <w:color w:val="auto"/>
                <w:sz w:val="21"/>
                <w:szCs w:val="21"/>
                <w:lang w:val="en-US" w:eastAsia="zh-CN"/>
              </w:rPr>
            </w:pPr>
            <w:r>
              <w:rPr>
                <w:rFonts w:hint="eastAsia"/>
                <w:b/>
                <w:color w:val="auto"/>
                <w:sz w:val="21"/>
                <w:szCs w:val="21"/>
                <w:lang w:val="en-US" w:eastAsia="zh-CN"/>
              </w:rPr>
              <w:t>处理措施</w:t>
            </w:r>
          </w:p>
        </w:tc>
        <w:tc>
          <w:tcPr>
            <w:tcW w:w="742" w:type="pct"/>
            <w:vAlign w:val="center"/>
          </w:tcPr>
          <w:p>
            <w:pPr>
              <w:spacing w:line="312" w:lineRule="exact"/>
              <w:ind w:firstLine="0" w:firstLineChars="0"/>
              <w:jc w:val="center"/>
              <w:rPr>
                <w:rFonts w:hint="default"/>
                <w:b/>
                <w:color w:val="auto"/>
                <w:sz w:val="21"/>
                <w:szCs w:val="21"/>
                <w:lang w:val="en-US" w:eastAsia="zh-CN"/>
              </w:rPr>
            </w:pPr>
            <w:r>
              <w:rPr>
                <w:rFonts w:hint="eastAsia"/>
                <w:b/>
                <w:color w:val="auto"/>
                <w:sz w:val="21"/>
                <w:szCs w:val="21"/>
                <w:lang w:val="en-US" w:eastAsia="zh-CN"/>
              </w:rPr>
              <w:t>排放量</w:t>
            </w:r>
            <w:r>
              <w:rPr>
                <w:b/>
                <w:color w:val="auto"/>
                <w:sz w:val="21"/>
                <w:szCs w:val="21"/>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872" w:type="pct"/>
            <w:vAlign w:val="center"/>
          </w:tcPr>
          <w:p>
            <w:pPr>
              <w:spacing w:line="312" w:lineRule="exact"/>
              <w:ind w:firstLine="0" w:firstLineChars="0"/>
              <w:jc w:val="center"/>
              <w:rPr>
                <w:rFonts w:hint="default" w:eastAsia="宋体"/>
                <w:bCs/>
                <w:color w:val="auto"/>
                <w:sz w:val="21"/>
                <w:szCs w:val="21"/>
                <w:lang w:val="en-US" w:eastAsia="zh-CN"/>
              </w:rPr>
            </w:pPr>
            <w:r>
              <w:rPr>
                <w:rFonts w:hint="eastAsia"/>
                <w:bCs/>
                <w:color w:val="auto"/>
                <w:sz w:val="21"/>
                <w:szCs w:val="21"/>
              </w:rPr>
              <w:t>催化剂配置废气G</w:t>
            </w:r>
            <w:r>
              <w:rPr>
                <w:rFonts w:hint="eastAsia"/>
                <w:bCs/>
                <w:color w:val="auto"/>
                <w:sz w:val="21"/>
                <w:szCs w:val="21"/>
                <w:lang w:val="en-US" w:eastAsia="zh-CN"/>
              </w:rPr>
              <w:t>3-1</w:t>
            </w:r>
          </w:p>
        </w:tc>
        <w:tc>
          <w:tcPr>
            <w:tcW w:w="870" w:type="pct"/>
            <w:vAlign w:val="center"/>
          </w:tcPr>
          <w:p>
            <w:pPr>
              <w:spacing w:line="312" w:lineRule="exact"/>
              <w:ind w:firstLine="0" w:firstLineChars="0"/>
              <w:jc w:val="center"/>
              <w:rPr>
                <w:bCs/>
                <w:color w:val="auto"/>
                <w:sz w:val="21"/>
                <w:szCs w:val="21"/>
              </w:rPr>
            </w:pPr>
            <w:r>
              <w:rPr>
                <w:bCs/>
                <w:color w:val="auto"/>
                <w:sz w:val="21"/>
                <w:szCs w:val="21"/>
              </w:rPr>
              <w:t>物料衡算</w:t>
            </w:r>
          </w:p>
        </w:tc>
        <w:tc>
          <w:tcPr>
            <w:tcW w:w="1030" w:type="pct"/>
            <w:vAlign w:val="center"/>
          </w:tcPr>
          <w:p>
            <w:pPr>
              <w:spacing w:line="312" w:lineRule="exact"/>
              <w:ind w:firstLine="0" w:firstLineChars="0"/>
              <w:jc w:val="center"/>
              <w:rPr>
                <w:bCs/>
                <w:color w:val="auto"/>
                <w:sz w:val="21"/>
                <w:szCs w:val="21"/>
              </w:rPr>
            </w:pPr>
            <w:r>
              <w:rPr>
                <w:rFonts w:hint="eastAsia"/>
                <w:bCs/>
                <w:color w:val="auto"/>
                <w:sz w:val="21"/>
                <w:szCs w:val="21"/>
              </w:rPr>
              <w:t>颗粒物</w:t>
            </w:r>
          </w:p>
        </w:tc>
        <w:tc>
          <w:tcPr>
            <w:tcW w:w="742" w:type="pct"/>
            <w:vAlign w:val="center"/>
          </w:tcPr>
          <w:p>
            <w:pPr>
              <w:spacing w:line="312" w:lineRule="exact"/>
              <w:ind w:firstLine="0" w:firstLineChars="0"/>
              <w:jc w:val="center"/>
              <w:rPr>
                <w:bCs/>
                <w:color w:val="auto"/>
                <w:sz w:val="21"/>
                <w:szCs w:val="21"/>
              </w:rPr>
            </w:pPr>
            <w:r>
              <w:rPr>
                <w:rFonts w:hint="eastAsia"/>
                <w:bCs/>
                <w:color w:val="auto"/>
                <w:sz w:val="21"/>
                <w:szCs w:val="21"/>
              </w:rPr>
              <w:t>0.0015</w:t>
            </w:r>
          </w:p>
        </w:tc>
        <w:tc>
          <w:tcPr>
            <w:tcW w:w="742" w:type="pct"/>
            <w:vMerge w:val="restart"/>
            <w:vAlign w:val="center"/>
          </w:tcPr>
          <w:p>
            <w:pPr>
              <w:spacing w:line="312" w:lineRule="exact"/>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操作密闭</w:t>
            </w:r>
          </w:p>
        </w:tc>
        <w:tc>
          <w:tcPr>
            <w:tcW w:w="1378" w:type="dxa"/>
            <w:vAlign w:val="center"/>
          </w:tcPr>
          <w:p>
            <w:pPr>
              <w:spacing w:line="312" w:lineRule="exact"/>
              <w:ind w:firstLine="0" w:firstLineChars="0"/>
              <w:jc w:val="center"/>
              <w:rPr>
                <w:rFonts w:hint="eastAsia"/>
                <w:bCs/>
                <w:color w:val="auto"/>
                <w:sz w:val="21"/>
                <w:szCs w:val="21"/>
              </w:rPr>
            </w:pPr>
            <w:r>
              <w:rPr>
                <w:rFonts w:hint="eastAsia"/>
                <w:bCs/>
                <w:color w:val="auto"/>
                <w:sz w:val="21"/>
                <w:szCs w:val="21"/>
              </w:rPr>
              <w:t>0.0015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872" w:type="pct"/>
            <w:vAlign w:val="center"/>
          </w:tcPr>
          <w:p>
            <w:pPr>
              <w:spacing w:line="312" w:lineRule="exact"/>
              <w:ind w:firstLine="0" w:firstLineChars="0"/>
              <w:jc w:val="center"/>
              <w:rPr>
                <w:rFonts w:hint="default" w:eastAsia="宋体"/>
                <w:bCs/>
                <w:color w:val="auto"/>
                <w:sz w:val="21"/>
                <w:szCs w:val="21"/>
                <w:lang w:val="en-US" w:eastAsia="zh-CN"/>
              </w:rPr>
            </w:pPr>
            <w:r>
              <w:rPr>
                <w:rFonts w:hint="eastAsia"/>
                <w:bCs/>
                <w:color w:val="auto"/>
                <w:sz w:val="21"/>
                <w:szCs w:val="21"/>
              </w:rPr>
              <w:t>投料废气G3</w:t>
            </w:r>
            <w:r>
              <w:rPr>
                <w:rFonts w:hint="eastAsia"/>
                <w:bCs/>
                <w:color w:val="auto"/>
                <w:sz w:val="21"/>
                <w:szCs w:val="21"/>
                <w:lang w:val="en-US" w:eastAsia="zh-CN"/>
              </w:rPr>
              <w:t>-2</w:t>
            </w:r>
          </w:p>
        </w:tc>
        <w:tc>
          <w:tcPr>
            <w:tcW w:w="870" w:type="pct"/>
            <w:vAlign w:val="center"/>
          </w:tcPr>
          <w:p>
            <w:pPr>
              <w:spacing w:line="312" w:lineRule="exact"/>
              <w:ind w:firstLine="0" w:firstLineChars="0"/>
              <w:jc w:val="center"/>
              <w:rPr>
                <w:bCs/>
                <w:color w:val="auto"/>
                <w:sz w:val="21"/>
                <w:szCs w:val="21"/>
              </w:rPr>
            </w:pPr>
            <w:r>
              <w:rPr>
                <w:bCs/>
                <w:color w:val="auto"/>
                <w:sz w:val="21"/>
                <w:szCs w:val="21"/>
              </w:rPr>
              <w:t>物料衡算</w:t>
            </w:r>
          </w:p>
        </w:tc>
        <w:tc>
          <w:tcPr>
            <w:tcW w:w="1030" w:type="pct"/>
            <w:vAlign w:val="center"/>
          </w:tcPr>
          <w:p>
            <w:pPr>
              <w:spacing w:line="312" w:lineRule="exact"/>
              <w:ind w:firstLine="0" w:firstLineChars="0"/>
              <w:jc w:val="center"/>
              <w:rPr>
                <w:bCs/>
                <w:color w:val="auto"/>
                <w:sz w:val="21"/>
                <w:szCs w:val="21"/>
              </w:rPr>
            </w:pPr>
            <w:r>
              <w:rPr>
                <w:rFonts w:hint="eastAsia"/>
                <w:bCs/>
                <w:color w:val="auto"/>
                <w:sz w:val="21"/>
                <w:szCs w:val="21"/>
              </w:rPr>
              <w:t>颗粒物</w:t>
            </w:r>
          </w:p>
        </w:tc>
        <w:tc>
          <w:tcPr>
            <w:tcW w:w="742" w:type="pct"/>
            <w:vAlign w:val="center"/>
          </w:tcPr>
          <w:p>
            <w:pPr>
              <w:spacing w:line="312" w:lineRule="exact"/>
              <w:ind w:firstLine="0" w:firstLineChars="0"/>
              <w:jc w:val="center"/>
              <w:rPr>
                <w:bCs/>
                <w:color w:val="auto"/>
                <w:sz w:val="21"/>
                <w:szCs w:val="21"/>
              </w:rPr>
            </w:pPr>
            <w:r>
              <w:rPr>
                <w:rFonts w:hint="eastAsia"/>
                <w:bCs/>
                <w:color w:val="auto"/>
                <w:sz w:val="21"/>
                <w:szCs w:val="21"/>
              </w:rPr>
              <w:t>0.0015</w:t>
            </w:r>
          </w:p>
        </w:tc>
        <w:tc>
          <w:tcPr>
            <w:tcW w:w="742" w:type="pct"/>
            <w:vMerge w:val="continue"/>
            <w:vAlign w:val="center"/>
          </w:tcPr>
          <w:p>
            <w:pPr>
              <w:spacing w:line="312" w:lineRule="exact"/>
              <w:ind w:firstLine="0" w:firstLineChars="0"/>
              <w:jc w:val="center"/>
              <w:rPr>
                <w:rFonts w:hint="eastAsia"/>
                <w:bCs/>
                <w:color w:val="auto"/>
                <w:sz w:val="21"/>
                <w:szCs w:val="21"/>
              </w:rPr>
            </w:pPr>
          </w:p>
        </w:tc>
        <w:tc>
          <w:tcPr>
            <w:tcW w:w="1378" w:type="dxa"/>
            <w:vAlign w:val="center"/>
          </w:tcPr>
          <w:p>
            <w:pPr>
              <w:spacing w:line="312" w:lineRule="exact"/>
              <w:ind w:firstLine="0" w:firstLineChars="0"/>
              <w:jc w:val="center"/>
              <w:rPr>
                <w:rFonts w:hint="eastAsia"/>
                <w:bCs/>
                <w:color w:val="auto"/>
                <w:sz w:val="21"/>
                <w:szCs w:val="21"/>
              </w:rPr>
            </w:pPr>
            <w:r>
              <w:rPr>
                <w:rFonts w:hint="eastAsia"/>
                <w:bCs/>
                <w:color w:val="auto"/>
                <w:sz w:val="21"/>
                <w:szCs w:val="21"/>
              </w:rPr>
              <w:t>0.0015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872" w:type="pct"/>
            <w:vAlign w:val="center"/>
          </w:tcPr>
          <w:p>
            <w:pPr>
              <w:spacing w:line="312" w:lineRule="exact"/>
              <w:ind w:firstLine="0" w:firstLineChars="0"/>
              <w:jc w:val="center"/>
              <w:rPr>
                <w:rFonts w:hint="eastAsia"/>
                <w:bCs/>
                <w:color w:val="auto"/>
                <w:sz w:val="21"/>
                <w:szCs w:val="21"/>
              </w:rPr>
            </w:pPr>
            <w:r>
              <w:rPr>
                <w:rFonts w:hint="eastAsia"/>
                <w:bCs/>
                <w:color w:val="auto"/>
                <w:sz w:val="21"/>
                <w:szCs w:val="21"/>
                <w:lang w:val="en-US" w:eastAsia="zh-CN"/>
              </w:rPr>
              <w:t>干燥废气G7</w:t>
            </w:r>
          </w:p>
        </w:tc>
        <w:tc>
          <w:tcPr>
            <w:tcW w:w="870" w:type="pct"/>
            <w:vAlign w:val="center"/>
          </w:tcPr>
          <w:p>
            <w:pPr>
              <w:spacing w:line="312" w:lineRule="exact"/>
              <w:ind w:firstLine="0" w:firstLineChars="0"/>
              <w:jc w:val="center"/>
              <w:rPr>
                <w:bCs/>
                <w:color w:val="auto"/>
                <w:sz w:val="21"/>
                <w:szCs w:val="21"/>
              </w:rPr>
            </w:pPr>
            <w:r>
              <w:rPr>
                <w:bCs/>
                <w:color w:val="auto"/>
                <w:sz w:val="21"/>
                <w:szCs w:val="21"/>
              </w:rPr>
              <w:t>物料衡算</w:t>
            </w:r>
          </w:p>
        </w:tc>
        <w:tc>
          <w:tcPr>
            <w:tcW w:w="1030" w:type="pct"/>
            <w:vAlign w:val="center"/>
          </w:tcPr>
          <w:p>
            <w:pPr>
              <w:spacing w:line="312" w:lineRule="exact"/>
              <w:ind w:firstLine="0" w:firstLineChars="0"/>
              <w:jc w:val="center"/>
              <w:rPr>
                <w:rFonts w:hint="eastAsia"/>
                <w:bCs/>
                <w:color w:val="auto"/>
                <w:sz w:val="21"/>
                <w:szCs w:val="21"/>
              </w:rPr>
            </w:pPr>
            <w:r>
              <w:rPr>
                <w:rFonts w:hint="eastAsia"/>
                <w:bCs/>
                <w:color w:val="auto"/>
                <w:sz w:val="21"/>
                <w:szCs w:val="21"/>
              </w:rPr>
              <w:t>颗粒物</w:t>
            </w:r>
          </w:p>
        </w:tc>
        <w:tc>
          <w:tcPr>
            <w:tcW w:w="742" w:type="pct"/>
            <w:vAlign w:val="center"/>
          </w:tcPr>
          <w:p>
            <w:pPr>
              <w:spacing w:line="312" w:lineRule="exact"/>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0.5</w:t>
            </w:r>
          </w:p>
        </w:tc>
        <w:tc>
          <w:tcPr>
            <w:tcW w:w="742" w:type="pct"/>
            <w:vAlign w:val="center"/>
          </w:tcPr>
          <w:p>
            <w:pPr>
              <w:spacing w:line="312" w:lineRule="exact"/>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旋风除尘器+袋式除尘器</w:t>
            </w:r>
          </w:p>
        </w:tc>
        <w:tc>
          <w:tcPr>
            <w:tcW w:w="742" w:type="pct"/>
            <w:vAlign w:val="center"/>
          </w:tcPr>
          <w:p>
            <w:pPr>
              <w:spacing w:line="312" w:lineRule="exact"/>
              <w:ind w:firstLine="0" w:firstLineChars="0"/>
              <w:jc w:val="center"/>
              <w:rPr>
                <w:rFonts w:hint="default"/>
                <w:color w:val="auto"/>
                <w:lang w:val="en-US" w:eastAsia="zh-CN"/>
              </w:rPr>
            </w:pPr>
            <w:r>
              <w:rPr>
                <w:rFonts w:hint="eastAsia"/>
                <w:bCs/>
                <w:color w:val="auto"/>
                <w:sz w:val="21"/>
                <w:szCs w:val="21"/>
                <w:lang w:val="en-US" w:eastAsia="zh-CN"/>
              </w:rPr>
              <w:t>0.005</w:t>
            </w:r>
          </w:p>
        </w:tc>
      </w:tr>
    </w:tbl>
    <w:p>
      <w:pPr>
        <w:pStyle w:val="14"/>
        <w:spacing w:after="0"/>
        <w:ind w:firstLine="482"/>
        <w:rPr>
          <w:b/>
          <w:bCs/>
          <w:color w:val="auto"/>
        </w:rPr>
      </w:pPr>
      <w:r>
        <w:rPr>
          <w:rFonts w:hint="eastAsia"/>
          <w:b/>
          <w:bCs/>
          <w:color w:val="auto"/>
        </w:rPr>
        <w:t>（3）污水处理站未收集废气</w:t>
      </w:r>
    </w:p>
    <w:p>
      <w:pPr>
        <w:spacing w:line="360" w:lineRule="auto"/>
        <w:ind w:firstLine="480"/>
        <w:rPr>
          <w:color w:val="auto"/>
          <w:szCs w:val="24"/>
        </w:rPr>
      </w:pPr>
      <w:r>
        <w:rPr>
          <w:rFonts w:hint="eastAsia"/>
          <w:color w:val="auto"/>
          <w:szCs w:val="24"/>
        </w:rPr>
        <w:t>污水厂各处理单元的恶臭物质排污系数可通过单位时间内单位体积散发量表征。类比同类项目数据，各单元单位时间内单位面积氨和硫化氢产生量本项目臭气源强采用美国EPA对城市污水处理厂恶臭污染物产生情况为氨产生速率为0.1mg/s·m</w:t>
      </w:r>
      <w:r>
        <w:rPr>
          <w:rFonts w:hint="eastAsia"/>
          <w:color w:val="auto"/>
          <w:szCs w:val="24"/>
          <w:vertAlign w:val="superscript"/>
        </w:rPr>
        <w:t>2</w:t>
      </w:r>
      <w:r>
        <w:rPr>
          <w:rFonts w:hint="eastAsia"/>
          <w:color w:val="auto"/>
          <w:szCs w:val="24"/>
        </w:rPr>
        <w:t>，硫化氢产生速率为0.00221mg/s·m</w:t>
      </w:r>
      <w:r>
        <w:rPr>
          <w:rFonts w:hint="eastAsia"/>
          <w:color w:val="auto"/>
          <w:szCs w:val="24"/>
          <w:vertAlign w:val="superscript"/>
        </w:rPr>
        <w:t>2</w:t>
      </w:r>
      <w:r>
        <w:rPr>
          <w:rFonts w:hint="eastAsia"/>
          <w:color w:val="auto"/>
          <w:szCs w:val="24"/>
        </w:rPr>
        <w:t>，本项目污水处理未收集单元面积为12m</w:t>
      </w:r>
      <w:r>
        <w:rPr>
          <w:rFonts w:hint="eastAsia"/>
          <w:color w:val="auto"/>
          <w:szCs w:val="24"/>
          <w:vertAlign w:val="superscript"/>
        </w:rPr>
        <w:t>2</w:t>
      </w:r>
      <w:r>
        <w:rPr>
          <w:rFonts w:hint="eastAsia"/>
          <w:color w:val="auto"/>
          <w:szCs w:val="24"/>
        </w:rPr>
        <w:t>，年运行7200h，经计算，氨的产生量为0.021t/a，硫化氢的产生量为0.0005t/a。</w:t>
      </w:r>
    </w:p>
    <w:p>
      <w:pPr>
        <w:pStyle w:val="2"/>
        <w:spacing w:after="0"/>
        <w:ind w:firstLine="480"/>
        <w:rPr>
          <w:color w:val="auto"/>
        </w:rPr>
      </w:pPr>
      <w:r>
        <w:rPr>
          <w:rFonts w:hint="eastAsia"/>
          <w:color w:val="auto"/>
        </w:rPr>
        <w:t>本项目污水处理站采取钢板加盖密闭，减少无组织排放。</w:t>
      </w:r>
    </w:p>
    <w:p>
      <w:pPr>
        <w:ind w:firstLine="480"/>
        <w:rPr>
          <w:color w:val="auto"/>
        </w:rPr>
      </w:pPr>
      <w:r>
        <w:rPr>
          <w:rFonts w:hint="eastAsia"/>
          <w:color w:val="auto"/>
        </w:rPr>
        <w:t>本项目</w:t>
      </w:r>
      <w:r>
        <w:rPr>
          <w:color w:val="auto"/>
        </w:rPr>
        <w:t>无组织污染物排放量统计见下表。</w:t>
      </w:r>
    </w:p>
    <w:p>
      <w:pPr>
        <w:pStyle w:val="48"/>
        <w:spacing w:line="360" w:lineRule="auto"/>
        <w:rPr>
          <w:rFonts w:eastAsia="仿宋_GB2312"/>
          <w:b w:val="0"/>
          <w:bCs/>
          <w:color w:val="auto"/>
          <w:sz w:val="24"/>
        </w:rPr>
      </w:pPr>
      <w:r>
        <w:rPr>
          <w:b w:val="0"/>
          <w:bCs/>
          <w:color w:val="auto"/>
        </w:rPr>
        <w:t>表</w:t>
      </w:r>
      <w:r>
        <w:rPr>
          <w:rFonts w:hint="eastAsia"/>
          <w:b w:val="0"/>
          <w:bCs/>
          <w:color w:val="auto"/>
        </w:rPr>
        <w:t>2.5</w:t>
      </w:r>
      <w:r>
        <w:rPr>
          <w:b w:val="0"/>
          <w:bCs/>
          <w:color w:val="auto"/>
        </w:rPr>
        <w:t>-</w:t>
      </w:r>
      <w:r>
        <w:rPr>
          <w:rFonts w:hint="eastAsia"/>
          <w:b w:val="0"/>
          <w:bCs/>
          <w:color w:val="auto"/>
        </w:rPr>
        <w:t>6</w:t>
      </w:r>
      <w:r>
        <w:rPr>
          <w:b w:val="0"/>
          <w:bCs/>
          <w:color w:val="auto"/>
        </w:rPr>
        <w:t xml:space="preserve">  无组织污染物排放量统计表</w:t>
      </w:r>
    </w:p>
    <w:tbl>
      <w:tblPr>
        <w:tblStyle w:val="22"/>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00"/>
        <w:gridCol w:w="2119"/>
        <w:gridCol w:w="1987"/>
        <w:gridCol w:w="1987"/>
        <w:gridCol w:w="198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646" w:type="pct"/>
            <w:vAlign w:val="center"/>
          </w:tcPr>
          <w:p>
            <w:pPr>
              <w:pStyle w:val="2"/>
              <w:spacing w:after="0" w:line="240" w:lineRule="auto"/>
              <w:ind w:firstLine="0" w:firstLineChars="0"/>
              <w:jc w:val="center"/>
              <w:rPr>
                <w:b/>
                <w:color w:val="auto"/>
                <w:sz w:val="21"/>
                <w:szCs w:val="21"/>
              </w:rPr>
            </w:pPr>
            <w:r>
              <w:rPr>
                <w:b/>
                <w:color w:val="auto"/>
                <w:sz w:val="21"/>
                <w:szCs w:val="21"/>
              </w:rPr>
              <w:t>序号</w:t>
            </w:r>
          </w:p>
        </w:tc>
        <w:tc>
          <w:tcPr>
            <w:tcW w:w="1141" w:type="pct"/>
            <w:vAlign w:val="center"/>
          </w:tcPr>
          <w:p>
            <w:pPr>
              <w:pStyle w:val="2"/>
              <w:spacing w:after="0" w:line="240" w:lineRule="auto"/>
              <w:ind w:firstLine="0" w:firstLineChars="0"/>
              <w:jc w:val="center"/>
              <w:rPr>
                <w:b/>
                <w:color w:val="auto"/>
                <w:sz w:val="21"/>
                <w:szCs w:val="21"/>
              </w:rPr>
            </w:pPr>
            <w:r>
              <w:rPr>
                <w:b/>
                <w:color w:val="auto"/>
                <w:sz w:val="21"/>
                <w:szCs w:val="21"/>
              </w:rPr>
              <w:t>污染物</w:t>
            </w:r>
          </w:p>
        </w:tc>
        <w:tc>
          <w:tcPr>
            <w:tcW w:w="1070" w:type="pct"/>
          </w:tcPr>
          <w:p>
            <w:pPr>
              <w:pStyle w:val="2"/>
              <w:spacing w:after="0" w:line="240" w:lineRule="auto"/>
              <w:ind w:firstLine="0" w:firstLineChars="0"/>
              <w:jc w:val="center"/>
              <w:rPr>
                <w:b/>
                <w:color w:val="auto"/>
                <w:sz w:val="21"/>
                <w:szCs w:val="21"/>
              </w:rPr>
            </w:pPr>
            <w:r>
              <w:rPr>
                <w:b/>
                <w:color w:val="auto"/>
                <w:sz w:val="21"/>
                <w:szCs w:val="21"/>
              </w:rPr>
              <w:t>产生量（t/a）</w:t>
            </w:r>
          </w:p>
        </w:tc>
        <w:tc>
          <w:tcPr>
            <w:tcW w:w="1070" w:type="pct"/>
          </w:tcPr>
          <w:p>
            <w:pPr>
              <w:pStyle w:val="2"/>
              <w:spacing w:after="0" w:line="240" w:lineRule="auto"/>
              <w:ind w:firstLine="0" w:firstLineChars="0"/>
              <w:jc w:val="center"/>
              <w:rPr>
                <w:b/>
                <w:color w:val="auto"/>
                <w:sz w:val="21"/>
                <w:szCs w:val="21"/>
              </w:rPr>
            </w:pPr>
            <w:r>
              <w:rPr>
                <w:b/>
                <w:color w:val="auto"/>
                <w:sz w:val="21"/>
                <w:szCs w:val="21"/>
              </w:rPr>
              <w:t>消减量（t/a）</w:t>
            </w:r>
          </w:p>
        </w:tc>
        <w:tc>
          <w:tcPr>
            <w:tcW w:w="1070" w:type="pct"/>
            <w:vAlign w:val="center"/>
          </w:tcPr>
          <w:p>
            <w:pPr>
              <w:pStyle w:val="2"/>
              <w:spacing w:after="0" w:line="240" w:lineRule="auto"/>
              <w:ind w:firstLine="0" w:firstLineChars="0"/>
              <w:jc w:val="center"/>
              <w:rPr>
                <w:b/>
                <w:color w:val="auto"/>
                <w:sz w:val="21"/>
                <w:szCs w:val="21"/>
              </w:rPr>
            </w:pPr>
            <w:r>
              <w:rPr>
                <w:b/>
                <w:color w:val="auto"/>
                <w:sz w:val="21"/>
                <w:szCs w:val="21"/>
              </w:rPr>
              <w:t>排放量（t/a）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646" w:type="pct"/>
            <w:vAlign w:val="center"/>
          </w:tcPr>
          <w:p>
            <w:pPr>
              <w:pStyle w:val="2"/>
              <w:spacing w:after="0" w:line="240" w:lineRule="auto"/>
              <w:ind w:firstLine="0" w:firstLineChars="0"/>
              <w:jc w:val="center"/>
              <w:rPr>
                <w:color w:val="auto"/>
                <w:sz w:val="21"/>
                <w:szCs w:val="21"/>
              </w:rPr>
            </w:pPr>
            <w:r>
              <w:rPr>
                <w:color w:val="auto"/>
                <w:sz w:val="21"/>
                <w:szCs w:val="21"/>
              </w:rPr>
              <w:t>1</w:t>
            </w:r>
          </w:p>
        </w:tc>
        <w:tc>
          <w:tcPr>
            <w:tcW w:w="1141" w:type="pct"/>
            <w:vAlign w:val="center"/>
          </w:tcPr>
          <w:p>
            <w:pPr>
              <w:spacing w:line="240" w:lineRule="auto"/>
              <w:ind w:firstLine="0" w:firstLineChars="0"/>
              <w:jc w:val="center"/>
              <w:rPr>
                <w:color w:val="auto"/>
                <w:sz w:val="21"/>
                <w:szCs w:val="21"/>
              </w:rPr>
            </w:pPr>
            <w:r>
              <w:rPr>
                <w:rFonts w:hint="eastAsia"/>
                <w:color w:val="auto"/>
                <w:sz w:val="21"/>
                <w:szCs w:val="21"/>
              </w:rPr>
              <w:t>颗粒物</w:t>
            </w:r>
          </w:p>
        </w:tc>
        <w:tc>
          <w:tcPr>
            <w:tcW w:w="3033" w:type="dxa"/>
            <w:vAlign w:val="center"/>
          </w:tcPr>
          <w:p>
            <w:pPr>
              <w:pStyle w:val="2"/>
              <w:spacing w:after="0" w:line="240" w:lineRule="auto"/>
              <w:ind w:firstLine="0" w:firstLineChars="0"/>
              <w:jc w:val="center"/>
              <w:rPr>
                <w:color w:val="auto"/>
                <w:sz w:val="21"/>
                <w:szCs w:val="21"/>
              </w:rPr>
            </w:pPr>
            <w:r>
              <w:rPr>
                <w:rFonts w:hint="eastAsia"/>
                <w:bCs/>
                <w:color w:val="auto"/>
                <w:sz w:val="21"/>
                <w:szCs w:val="21"/>
              </w:rPr>
              <w:t>0.003</w:t>
            </w:r>
          </w:p>
        </w:tc>
        <w:tc>
          <w:tcPr>
            <w:tcW w:w="1070" w:type="pct"/>
            <w:vAlign w:val="center"/>
          </w:tcPr>
          <w:p>
            <w:pPr>
              <w:pStyle w:val="2"/>
              <w:spacing w:after="0" w:line="240" w:lineRule="auto"/>
              <w:ind w:firstLine="0" w:firstLineChars="0"/>
              <w:jc w:val="center"/>
              <w:rPr>
                <w:color w:val="auto"/>
                <w:sz w:val="21"/>
                <w:szCs w:val="21"/>
              </w:rPr>
            </w:pPr>
            <w:r>
              <w:rPr>
                <w:color w:val="auto"/>
                <w:sz w:val="21"/>
                <w:szCs w:val="21"/>
              </w:rPr>
              <w:t>0</w:t>
            </w:r>
          </w:p>
        </w:tc>
        <w:tc>
          <w:tcPr>
            <w:tcW w:w="3033" w:type="dxa"/>
            <w:vAlign w:val="center"/>
          </w:tcPr>
          <w:p>
            <w:pPr>
              <w:pStyle w:val="2"/>
              <w:spacing w:after="0" w:line="240" w:lineRule="auto"/>
              <w:ind w:firstLine="0" w:firstLineChars="0"/>
              <w:jc w:val="center"/>
              <w:rPr>
                <w:color w:val="auto"/>
                <w:sz w:val="21"/>
                <w:szCs w:val="21"/>
              </w:rPr>
            </w:pPr>
            <w:r>
              <w:rPr>
                <w:rFonts w:hint="eastAsia"/>
                <w:bCs/>
                <w:color w:val="auto"/>
                <w:sz w:val="21"/>
                <w:szCs w:val="21"/>
              </w:rPr>
              <w:t>0.003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646" w:type="pct"/>
            <w:vAlign w:val="center"/>
          </w:tcPr>
          <w:p>
            <w:pPr>
              <w:pStyle w:val="2"/>
              <w:spacing w:after="0" w:line="240" w:lineRule="auto"/>
              <w:ind w:firstLine="0" w:firstLineChars="0"/>
              <w:jc w:val="center"/>
              <w:rPr>
                <w:color w:val="auto"/>
                <w:sz w:val="21"/>
                <w:szCs w:val="21"/>
              </w:rPr>
            </w:pPr>
            <w:r>
              <w:rPr>
                <w:color w:val="auto"/>
                <w:sz w:val="21"/>
                <w:szCs w:val="21"/>
              </w:rPr>
              <w:t>2</w:t>
            </w:r>
          </w:p>
        </w:tc>
        <w:tc>
          <w:tcPr>
            <w:tcW w:w="1141" w:type="pct"/>
            <w:vAlign w:val="center"/>
          </w:tcPr>
          <w:p>
            <w:pPr>
              <w:pStyle w:val="2"/>
              <w:spacing w:after="0" w:line="240" w:lineRule="auto"/>
              <w:ind w:firstLine="0" w:firstLineChars="0"/>
              <w:jc w:val="center"/>
              <w:rPr>
                <w:bCs/>
                <w:color w:val="auto"/>
                <w:sz w:val="21"/>
                <w:szCs w:val="21"/>
              </w:rPr>
            </w:pPr>
            <w:r>
              <w:rPr>
                <w:color w:val="auto"/>
                <w:sz w:val="21"/>
                <w:szCs w:val="21"/>
              </w:rPr>
              <w:t>VOCs</w:t>
            </w:r>
          </w:p>
        </w:tc>
        <w:tc>
          <w:tcPr>
            <w:tcW w:w="3033" w:type="dxa"/>
            <w:vAlign w:val="center"/>
          </w:tcPr>
          <w:p>
            <w:pPr>
              <w:pStyle w:val="2"/>
              <w:spacing w:after="0" w:line="240" w:lineRule="auto"/>
              <w:ind w:firstLine="0" w:firstLineChars="0"/>
              <w:jc w:val="center"/>
              <w:rPr>
                <w:color w:val="auto"/>
                <w:sz w:val="21"/>
                <w:szCs w:val="21"/>
              </w:rPr>
            </w:pPr>
            <w:r>
              <w:rPr>
                <w:rFonts w:hint="eastAsia"/>
                <w:bCs/>
                <w:color w:val="auto"/>
                <w:sz w:val="21"/>
                <w:szCs w:val="21"/>
              </w:rPr>
              <w:t>0.14</w:t>
            </w:r>
          </w:p>
        </w:tc>
        <w:tc>
          <w:tcPr>
            <w:tcW w:w="1070" w:type="pct"/>
            <w:vAlign w:val="center"/>
          </w:tcPr>
          <w:p>
            <w:pPr>
              <w:pStyle w:val="2"/>
              <w:spacing w:after="0" w:line="240" w:lineRule="auto"/>
              <w:ind w:firstLine="0" w:firstLineChars="0"/>
              <w:jc w:val="center"/>
              <w:rPr>
                <w:color w:val="auto"/>
                <w:sz w:val="21"/>
                <w:szCs w:val="21"/>
              </w:rPr>
            </w:pPr>
            <w:r>
              <w:rPr>
                <w:color w:val="auto"/>
                <w:sz w:val="21"/>
                <w:szCs w:val="21"/>
              </w:rPr>
              <w:t>0</w:t>
            </w:r>
          </w:p>
        </w:tc>
        <w:tc>
          <w:tcPr>
            <w:tcW w:w="3033" w:type="dxa"/>
            <w:vAlign w:val="center"/>
          </w:tcPr>
          <w:p>
            <w:pPr>
              <w:pStyle w:val="2"/>
              <w:spacing w:after="0" w:line="240" w:lineRule="auto"/>
              <w:ind w:firstLine="0" w:firstLineChars="0"/>
              <w:jc w:val="center"/>
              <w:rPr>
                <w:color w:val="auto"/>
                <w:sz w:val="21"/>
                <w:szCs w:val="21"/>
              </w:rPr>
            </w:pPr>
            <w:r>
              <w:rPr>
                <w:rFonts w:hint="eastAsia"/>
                <w:bCs/>
                <w:color w:val="auto"/>
                <w:sz w:val="21"/>
                <w:szCs w:val="21"/>
              </w:rPr>
              <w:t>0.14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646" w:type="pct"/>
            <w:vAlign w:val="center"/>
          </w:tcPr>
          <w:p>
            <w:pPr>
              <w:pStyle w:val="2"/>
              <w:spacing w:after="0" w:line="240" w:lineRule="auto"/>
              <w:ind w:firstLine="0" w:firstLineChars="0"/>
              <w:jc w:val="center"/>
              <w:rPr>
                <w:color w:val="auto"/>
                <w:sz w:val="21"/>
                <w:szCs w:val="21"/>
              </w:rPr>
            </w:pPr>
            <w:r>
              <w:rPr>
                <w:rFonts w:hint="eastAsia"/>
                <w:color w:val="auto"/>
                <w:sz w:val="21"/>
                <w:szCs w:val="21"/>
              </w:rPr>
              <w:t>3</w:t>
            </w:r>
          </w:p>
        </w:tc>
        <w:tc>
          <w:tcPr>
            <w:tcW w:w="1141" w:type="pct"/>
            <w:vAlign w:val="center"/>
          </w:tcPr>
          <w:p>
            <w:pPr>
              <w:pStyle w:val="2"/>
              <w:spacing w:after="0" w:line="240" w:lineRule="auto"/>
              <w:ind w:firstLine="0" w:firstLineChars="0"/>
              <w:jc w:val="center"/>
              <w:rPr>
                <w:color w:val="auto"/>
                <w:sz w:val="21"/>
                <w:szCs w:val="21"/>
              </w:rPr>
            </w:pPr>
            <w:r>
              <w:rPr>
                <w:rFonts w:hint="eastAsia"/>
                <w:color w:val="auto"/>
                <w:sz w:val="21"/>
                <w:szCs w:val="21"/>
              </w:rPr>
              <w:t>氨</w:t>
            </w:r>
          </w:p>
        </w:tc>
        <w:tc>
          <w:tcPr>
            <w:tcW w:w="3033" w:type="dxa"/>
            <w:vAlign w:val="center"/>
          </w:tcPr>
          <w:p>
            <w:pPr>
              <w:pStyle w:val="2"/>
              <w:spacing w:after="0" w:line="240" w:lineRule="auto"/>
              <w:ind w:firstLine="0" w:firstLineChars="0"/>
              <w:jc w:val="center"/>
              <w:rPr>
                <w:bCs/>
                <w:color w:val="auto"/>
                <w:sz w:val="21"/>
                <w:szCs w:val="21"/>
              </w:rPr>
            </w:pPr>
            <w:r>
              <w:rPr>
                <w:rFonts w:hint="eastAsia"/>
                <w:bCs/>
                <w:color w:val="auto"/>
                <w:sz w:val="21"/>
                <w:szCs w:val="21"/>
              </w:rPr>
              <w:t>0.021</w:t>
            </w:r>
          </w:p>
        </w:tc>
        <w:tc>
          <w:tcPr>
            <w:tcW w:w="1070" w:type="pct"/>
            <w:vAlign w:val="center"/>
          </w:tcPr>
          <w:p>
            <w:pPr>
              <w:pStyle w:val="2"/>
              <w:spacing w:after="0" w:line="240" w:lineRule="auto"/>
              <w:ind w:firstLine="0" w:firstLineChars="0"/>
              <w:jc w:val="center"/>
              <w:rPr>
                <w:color w:val="auto"/>
                <w:sz w:val="21"/>
                <w:szCs w:val="21"/>
              </w:rPr>
            </w:pPr>
            <w:r>
              <w:rPr>
                <w:rFonts w:hint="eastAsia"/>
                <w:color w:val="auto"/>
                <w:sz w:val="21"/>
                <w:szCs w:val="21"/>
              </w:rPr>
              <w:t>0</w:t>
            </w:r>
          </w:p>
        </w:tc>
        <w:tc>
          <w:tcPr>
            <w:tcW w:w="3033" w:type="dxa"/>
            <w:vAlign w:val="center"/>
          </w:tcPr>
          <w:p>
            <w:pPr>
              <w:pStyle w:val="2"/>
              <w:spacing w:after="0" w:line="240" w:lineRule="auto"/>
              <w:ind w:firstLine="0" w:firstLineChars="0"/>
              <w:jc w:val="center"/>
              <w:rPr>
                <w:bCs/>
                <w:color w:val="auto"/>
                <w:sz w:val="21"/>
                <w:szCs w:val="21"/>
              </w:rPr>
            </w:pPr>
            <w:r>
              <w:rPr>
                <w:rFonts w:hint="eastAsia"/>
                <w:bCs/>
                <w:color w:val="auto"/>
                <w:sz w:val="21"/>
                <w:szCs w:val="21"/>
              </w:rPr>
              <w:t>0.021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646" w:type="pct"/>
            <w:vAlign w:val="center"/>
          </w:tcPr>
          <w:p>
            <w:pPr>
              <w:pStyle w:val="2"/>
              <w:spacing w:after="0" w:line="240" w:lineRule="auto"/>
              <w:ind w:firstLine="0" w:firstLineChars="0"/>
              <w:jc w:val="center"/>
              <w:rPr>
                <w:color w:val="auto"/>
                <w:sz w:val="21"/>
                <w:szCs w:val="21"/>
              </w:rPr>
            </w:pPr>
            <w:r>
              <w:rPr>
                <w:rFonts w:hint="eastAsia"/>
                <w:color w:val="auto"/>
                <w:sz w:val="21"/>
                <w:szCs w:val="21"/>
              </w:rPr>
              <w:t>4</w:t>
            </w:r>
          </w:p>
        </w:tc>
        <w:tc>
          <w:tcPr>
            <w:tcW w:w="1141" w:type="pct"/>
            <w:vAlign w:val="center"/>
          </w:tcPr>
          <w:p>
            <w:pPr>
              <w:pStyle w:val="2"/>
              <w:spacing w:after="0" w:line="240" w:lineRule="auto"/>
              <w:ind w:firstLine="0" w:firstLineChars="0"/>
              <w:jc w:val="center"/>
              <w:rPr>
                <w:color w:val="auto"/>
                <w:sz w:val="21"/>
                <w:szCs w:val="21"/>
              </w:rPr>
            </w:pPr>
            <w:r>
              <w:rPr>
                <w:rFonts w:hint="eastAsia"/>
                <w:color w:val="auto"/>
                <w:sz w:val="21"/>
                <w:szCs w:val="21"/>
              </w:rPr>
              <w:t>硫化氢</w:t>
            </w:r>
          </w:p>
        </w:tc>
        <w:tc>
          <w:tcPr>
            <w:tcW w:w="3033" w:type="dxa"/>
            <w:vAlign w:val="center"/>
          </w:tcPr>
          <w:p>
            <w:pPr>
              <w:pStyle w:val="2"/>
              <w:spacing w:after="0" w:line="240" w:lineRule="auto"/>
              <w:ind w:firstLine="0" w:firstLineChars="0"/>
              <w:jc w:val="center"/>
              <w:rPr>
                <w:bCs/>
                <w:color w:val="auto"/>
                <w:sz w:val="21"/>
                <w:szCs w:val="21"/>
              </w:rPr>
            </w:pPr>
            <w:r>
              <w:rPr>
                <w:rFonts w:hint="eastAsia"/>
                <w:bCs/>
                <w:color w:val="auto"/>
                <w:sz w:val="21"/>
                <w:szCs w:val="21"/>
              </w:rPr>
              <w:t>0.0005</w:t>
            </w:r>
          </w:p>
        </w:tc>
        <w:tc>
          <w:tcPr>
            <w:tcW w:w="1070" w:type="pct"/>
            <w:vAlign w:val="center"/>
          </w:tcPr>
          <w:p>
            <w:pPr>
              <w:pStyle w:val="2"/>
              <w:spacing w:after="0" w:line="240" w:lineRule="auto"/>
              <w:ind w:firstLine="0" w:firstLineChars="0"/>
              <w:jc w:val="center"/>
              <w:rPr>
                <w:color w:val="auto"/>
                <w:sz w:val="21"/>
                <w:szCs w:val="21"/>
              </w:rPr>
            </w:pPr>
            <w:r>
              <w:rPr>
                <w:rFonts w:hint="eastAsia"/>
                <w:color w:val="auto"/>
                <w:sz w:val="21"/>
                <w:szCs w:val="21"/>
              </w:rPr>
              <w:t>0</w:t>
            </w:r>
          </w:p>
        </w:tc>
        <w:tc>
          <w:tcPr>
            <w:tcW w:w="3033" w:type="dxa"/>
            <w:vAlign w:val="center"/>
          </w:tcPr>
          <w:p>
            <w:pPr>
              <w:pStyle w:val="2"/>
              <w:spacing w:after="0" w:line="240" w:lineRule="auto"/>
              <w:ind w:firstLine="0" w:firstLineChars="0"/>
              <w:jc w:val="center"/>
              <w:rPr>
                <w:bCs/>
                <w:color w:val="auto"/>
                <w:sz w:val="21"/>
                <w:szCs w:val="21"/>
              </w:rPr>
            </w:pPr>
            <w:r>
              <w:rPr>
                <w:rFonts w:hint="eastAsia"/>
                <w:bCs/>
                <w:color w:val="auto"/>
                <w:sz w:val="21"/>
                <w:szCs w:val="21"/>
              </w:rPr>
              <w:t>0.0005</w:t>
            </w:r>
          </w:p>
        </w:tc>
      </w:tr>
    </w:tbl>
    <w:p>
      <w:pPr>
        <w:ind w:firstLine="482"/>
        <w:rPr>
          <w:b/>
          <w:color w:val="auto"/>
        </w:rPr>
      </w:pPr>
      <w:r>
        <w:rPr>
          <w:b/>
          <w:color w:val="auto"/>
        </w:rPr>
        <w:t>2、有组织废气</w:t>
      </w:r>
    </w:p>
    <w:p>
      <w:pPr>
        <w:pStyle w:val="2"/>
        <w:spacing w:after="0"/>
        <w:ind w:firstLine="480"/>
        <w:rPr>
          <w:color w:val="auto"/>
        </w:rPr>
      </w:pPr>
      <w:r>
        <w:rPr>
          <w:color w:val="auto"/>
        </w:rPr>
        <w:t>（1）有组织废气治理措施</w:t>
      </w:r>
    </w:p>
    <w:p>
      <w:pPr>
        <w:ind w:firstLine="480"/>
        <w:rPr>
          <w:color w:val="auto"/>
        </w:rPr>
      </w:pPr>
      <w:r>
        <w:rPr>
          <w:rFonts w:hint="eastAsia"/>
          <w:color w:val="auto"/>
        </w:rPr>
        <w:t>生产工序中有组织废气包括反应过程中产生的冷凝不凝气以及污水处理站废气，经收集后通过废气处理装置（</w:t>
      </w:r>
      <w:r>
        <w:rPr>
          <w:rFonts w:hint="eastAsia"/>
          <w:color w:val="auto"/>
          <w:lang w:eastAsia="zh-CN"/>
        </w:rPr>
        <w:t>碱喷淋</w:t>
      </w:r>
      <w:r>
        <w:rPr>
          <w:rFonts w:hint="eastAsia"/>
          <w:color w:val="auto"/>
        </w:rPr>
        <w:t>+活性炭吸附）</w:t>
      </w:r>
      <w:r>
        <w:rPr>
          <w:color w:val="auto"/>
        </w:rPr>
        <w:t>处理后由15m排气筒（DA00</w:t>
      </w:r>
      <w:r>
        <w:rPr>
          <w:rFonts w:hint="eastAsia"/>
          <w:color w:val="auto"/>
        </w:rPr>
        <w:t>1</w:t>
      </w:r>
      <w:r>
        <w:rPr>
          <w:color w:val="auto"/>
        </w:rPr>
        <w:t>）排放</w:t>
      </w:r>
      <w:r>
        <w:rPr>
          <w:rFonts w:hint="eastAsia"/>
          <w:color w:val="auto"/>
        </w:rPr>
        <w:t>；锅炉房废气安装低氮燃烧器通过15m高排气筒（DA00</w:t>
      </w:r>
      <w:r>
        <w:rPr>
          <w:rFonts w:hint="eastAsia"/>
          <w:color w:val="auto"/>
          <w:lang w:val="en-US" w:eastAsia="zh-CN"/>
        </w:rPr>
        <w:t>2</w:t>
      </w:r>
      <w:r>
        <w:rPr>
          <w:rFonts w:hint="eastAsia"/>
          <w:color w:val="auto"/>
        </w:rPr>
        <w:t>）排放。</w:t>
      </w:r>
    </w:p>
    <w:p>
      <w:pPr>
        <w:spacing w:line="240" w:lineRule="auto"/>
        <w:ind w:firstLine="0" w:firstLineChars="0"/>
        <w:jc w:val="center"/>
        <w:rPr>
          <w:rFonts w:eastAsia="黑体"/>
          <w:color w:val="auto"/>
          <w:sz w:val="21"/>
          <w:szCs w:val="21"/>
        </w:rPr>
      </w:pPr>
      <w:r>
        <w:rPr>
          <w:rFonts w:eastAsia="黑体"/>
          <w:color w:val="auto"/>
          <w:sz w:val="21"/>
          <w:szCs w:val="21"/>
        </w:rPr>
        <w:drawing>
          <wp:inline distT="0" distB="0" distL="114300" distR="114300">
            <wp:extent cx="5753100" cy="4468495"/>
            <wp:effectExtent l="0" t="0" r="0" b="0"/>
            <wp:docPr id="21" name="ECB019B1-382A-4266-B25C-5B523AA43C14-2" descr="C:/Users/Administrator/AppData/Local/Temp/wps.XoAHUj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CB019B1-382A-4266-B25C-5B523AA43C14-2" descr="C:/Users/Administrator/AppData/Local/Temp/wps.XoAHUjwps"/>
                    <pic:cNvPicPr>
                      <a:picLocks noChangeAspect="1"/>
                    </pic:cNvPicPr>
                  </pic:nvPicPr>
                  <pic:blipFill>
                    <a:blip r:embed="rId65"/>
                    <a:stretch>
                      <a:fillRect/>
                    </a:stretch>
                  </pic:blipFill>
                  <pic:spPr>
                    <a:xfrm>
                      <a:off x="0" y="0"/>
                      <a:ext cx="5753100" cy="4468495"/>
                    </a:xfrm>
                    <a:prstGeom prst="rect">
                      <a:avLst/>
                    </a:prstGeom>
                  </pic:spPr>
                </pic:pic>
              </a:graphicData>
            </a:graphic>
          </wp:inline>
        </w:drawing>
      </w:r>
    </w:p>
    <w:p>
      <w:pPr>
        <w:spacing w:line="240" w:lineRule="auto"/>
        <w:ind w:firstLine="0" w:firstLineChars="0"/>
        <w:jc w:val="center"/>
        <w:rPr>
          <w:rFonts w:eastAsia="黑体"/>
          <w:color w:val="auto"/>
          <w:sz w:val="21"/>
          <w:szCs w:val="21"/>
        </w:rPr>
      </w:pPr>
      <w:r>
        <w:rPr>
          <w:rFonts w:eastAsia="黑体"/>
          <w:color w:val="auto"/>
          <w:sz w:val="21"/>
          <w:szCs w:val="21"/>
        </w:rPr>
        <w:t>图</w:t>
      </w:r>
      <w:r>
        <w:rPr>
          <w:rFonts w:hint="eastAsia" w:eastAsia="黑体"/>
          <w:color w:val="auto"/>
          <w:sz w:val="21"/>
          <w:szCs w:val="21"/>
        </w:rPr>
        <w:t>2.5-1</w:t>
      </w:r>
      <w:r>
        <w:rPr>
          <w:rFonts w:eastAsia="黑体"/>
          <w:color w:val="auto"/>
          <w:sz w:val="21"/>
          <w:szCs w:val="21"/>
        </w:rPr>
        <w:t xml:space="preserve"> 拟建项目有组织废气收集走向图</w:t>
      </w:r>
    </w:p>
    <w:p>
      <w:pPr>
        <w:ind w:firstLine="480"/>
        <w:rPr>
          <w:bCs/>
          <w:color w:val="auto"/>
        </w:rPr>
      </w:pPr>
      <w:r>
        <w:rPr>
          <w:bCs/>
          <w:color w:val="auto"/>
        </w:rPr>
        <w:t>废气治理设施主要设备见表</w:t>
      </w:r>
      <w:r>
        <w:rPr>
          <w:rFonts w:hint="eastAsia"/>
          <w:bCs/>
          <w:color w:val="auto"/>
        </w:rPr>
        <w:t>2.5</w:t>
      </w:r>
      <w:r>
        <w:rPr>
          <w:bCs/>
          <w:color w:val="auto"/>
        </w:rPr>
        <w:t>-</w:t>
      </w:r>
      <w:r>
        <w:rPr>
          <w:rFonts w:hint="eastAsia"/>
          <w:bCs/>
          <w:color w:val="auto"/>
        </w:rPr>
        <w:t>7。</w:t>
      </w:r>
    </w:p>
    <w:p>
      <w:pPr>
        <w:spacing w:line="240" w:lineRule="auto"/>
        <w:ind w:firstLine="0" w:firstLineChars="0"/>
        <w:jc w:val="center"/>
        <w:rPr>
          <w:rFonts w:ascii="Times New Roman" w:hAnsi="Times New Roman" w:eastAsia="黑体" w:cs="Times New Roman"/>
          <w:color w:val="auto"/>
          <w:sz w:val="21"/>
          <w:szCs w:val="21"/>
        </w:rPr>
      </w:pPr>
      <w:r>
        <w:rPr>
          <w:rFonts w:ascii="Times New Roman" w:hAnsi="Times New Roman" w:eastAsia="黑体" w:cs="Times New Roman"/>
          <w:color w:val="auto"/>
          <w:sz w:val="21"/>
          <w:szCs w:val="21"/>
        </w:rPr>
        <w:t>表</w:t>
      </w:r>
      <w:r>
        <w:rPr>
          <w:rFonts w:hint="eastAsia" w:ascii="Times New Roman" w:hAnsi="Times New Roman" w:eastAsia="黑体" w:cs="Times New Roman"/>
          <w:color w:val="auto"/>
          <w:sz w:val="21"/>
          <w:szCs w:val="21"/>
        </w:rPr>
        <w:t>2.5</w:t>
      </w:r>
      <w:r>
        <w:rPr>
          <w:rFonts w:ascii="Times New Roman" w:hAnsi="Times New Roman" w:eastAsia="黑体" w:cs="Times New Roman"/>
          <w:color w:val="auto"/>
          <w:sz w:val="21"/>
          <w:szCs w:val="21"/>
        </w:rPr>
        <w:t>-</w:t>
      </w:r>
      <w:r>
        <w:rPr>
          <w:rFonts w:hint="eastAsia" w:ascii="Times New Roman" w:hAnsi="Times New Roman" w:eastAsia="黑体" w:cs="Times New Roman"/>
          <w:color w:val="auto"/>
          <w:sz w:val="21"/>
          <w:szCs w:val="21"/>
        </w:rPr>
        <w:t>7</w:t>
      </w:r>
      <w:r>
        <w:rPr>
          <w:rFonts w:ascii="Times New Roman" w:hAnsi="Times New Roman" w:eastAsia="黑体" w:cs="Times New Roman"/>
          <w:color w:val="auto"/>
          <w:sz w:val="21"/>
          <w:szCs w:val="21"/>
        </w:rPr>
        <w:t xml:space="preserve">  废气治理设施主要设备清单</w:t>
      </w:r>
    </w:p>
    <w:tbl>
      <w:tblPr>
        <w:tblStyle w:val="2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88"/>
        <w:gridCol w:w="3272"/>
        <w:gridCol w:w="3043"/>
        <w:gridCol w:w="990"/>
        <w:gridCol w:w="9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32" w:type="pct"/>
            <w:tcBorders>
              <w:tl2br w:val="nil"/>
              <w:tr2bl w:val="nil"/>
            </w:tcBorders>
            <w:vAlign w:val="center"/>
          </w:tcPr>
          <w:p>
            <w:pPr>
              <w:pStyle w:val="2"/>
              <w:spacing w:after="0" w:line="240" w:lineRule="auto"/>
              <w:ind w:firstLine="0" w:firstLineChars="0"/>
              <w:jc w:val="center"/>
              <w:rPr>
                <w:b/>
                <w:bCs/>
                <w:color w:val="auto"/>
                <w:sz w:val="21"/>
                <w:szCs w:val="21"/>
              </w:rPr>
            </w:pPr>
            <w:r>
              <w:rPr>
                <w:b/>
                <w:bCs/>
                <w:color w:val="auto"/>
                <w:sz w:val="21"/>
                <w:szCs w:val="21"/>
              </w:rPr>
              <w:t>序号</w:t>
            </w:r>
          </w:p>
        </w:tc>
        <w:tc>
          <w:tcPr>
            <w:tcW w:w="1761" w:type="pct"/>
            <w:tcBorders>
              <w:tl2br w:val="nil"/>
              <w:tr2bl w:val="nil"/>
            </w:tcBorders>
            <w:vAlign w:val="center"/>
          </w:tcPr>
          <w:p>
            <w:pPr>
              <w:pStyle w:val="2"/>
              <w:spacing w:after="0" w:line="240" w:lineRule="auto"/>
              <w:ind w:firstLine="0" w:firstLineChars="0"/>
              <w:jc w:val="center"/>
              <w:rPr>
                <w:b/>
                <w:bCs/>
                <w:color w:val="auto"/>
                <w:sz w:val="21"/>
                <w:szCs w:val="21"/>
              </w:rPr>
            </w:pPr>
            <w:r>
              <w:rPr>
                <w:b/>
                <w:bCs/>
                <w:color w:val="auto"/>
                <w:sz w:val="21"/>
                <w:szCs w:val="21"/>
              </w:rPr>
              <w:t>名称</w:t>
            </w:r>
          </w:p>
        </w:tc>
        <w:tc>
          <w:tcPr>
            <w:tcW w:w="1638" w:type="pct"/>
            <w:tcBorders>
              <w:tl2br w:val="nil"/>
              <w:tr2bl w:val="nil"/>
            </w:tcBorders>
            <w:vAlign w:val="center"/>
          </w:tcPr>
          <w:p>
            <w:pPr>
              <w:pStyle w:val="2"/>
              <w:spacing w:after="0" w:line="240" w:lineRule="auto"/>
              <w:ind w:firstLine="0" w:firstLineChars="0"/>
              <w:jc w:val="center"/>
              <w:rPr>
                <w:b/>
                <w:bCs/>
                <w:color w:val="auto"/>
                <w:sz w:val="21"/>
                <w:szCs w:val="21"/>
              </w:rPr>
            </w:pPr>
            <w:r>
              <w:rPr>
                <w:b/>
                <w:bCs/>
                <w:color w:val="auto"/>
                <w:sz w:val="21"/>
                <w:szCs w:val="21"/>
              </w:rPr>
              <w:t>型号及规格</w:t>
            </w:r>
          </w:p>
        </w:tc>
        <w:tc>
          <w:tcPr>
            <w:tcW w:w="533" w:type="pct"/>
            <w:tcBorders>
              <w:tl2br w:val="nil"/>
              <w:tr2bl w:val="nil"/>
            </w:tcBorders>
            <w:vAlign w:val="center"/>
          </w:tcPr>
          <w:p>
            <w:pPr>
              <w:pStyle w:val="2"/>
              <w:spacing w:after="0" w:line="240" w:lineRule="auto"/>
              <w:ind w:firstLine="0" w:firstLineChars="0"/>
              <w:jc w:val="center"/>
              <w:rPr>
                <w:b/>
                <w:bCs/>
                <w:color w:val="auto"/>
                <w:sz w:val="21"/>
                <w:szCs w:val="21"/>
              </w:rPr>
            </w:pPr>
            <w:r>
              <w:rPr>
                <w:b/>
                <w:bCs/>
                <w:color w:val="auto"/>
                <w:sz w:val="21"/>
                <w:szCs w:val="21"/>
              </w:rPr>
              <w:t>单位</w:t>
            </w:r>
          </w:p>
        </w:tc>
        <w:tc>
          <w:tcPr>
            <w:tcW w:w="533" w:type="pct"/>
            <w:tcBorders>
              <w:tl2br w:val="nil"/>
              <w:tr2bl w:val="nil"/>
            </w:tcBorders>
            <w:vAlign w:val="center"/>
          </w:tcPr>
          <w:p>
            <w:pPr>
              <w:pStyle w:val="2"/>
              <w:spacing w:after="0" w:line="240" w:lineRule="auto"/>
              <w:ind w:firstLine="0" w:firstLineChars="0"/>
              <w:jc w:val="center"/>
              <w:rPr>
                <w:b/>
                <w:bCs/>
                <w:color w:val="auto"/>
                <w:sz w:val="21"/>
                <w:szCs w:val="21"/>
              </w:rPr>
            </w:pPr>
            <w:r>
              <w:rPr>
                <w:b/>
                <w:bCs/>
                <w:color w:val="auto"/>
                <w:sz w:val="21"/>
                <w:szCs w:val="21"/>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32" w:type="pct"/>
            <w:tcBorders>
              <w:tl2br w:val="nil"/>
              <w:tr2bl w:val="nil"/>
            </w:tcBorders>
            <w:vAlign w:val="center"/>
          </w:tcPr>
          <w:p>
            <w:pPr>
              <w:pStyle w:val="2"/>
              <w:spacing w:after="0" w:line="240" w:lineRule="auto"/>
              <w:ind w:firstLine="0" w:firstLineChars="0"/>
              <w:jc w:val="center"/>
              <w:rPr>
                <w:color w:val="auto"/>
                <w:sz w:val="21"/>
                <w:szCs w:val="21"/>
              </w:rPr>
            </w:pPr>
            <w:r>
              <w:rPr>
                <w:color w:val="auto"/>
                <w:sz w:val="21"/>
                <w:szCs w:val="21"/>
              </w:rPr>
              <w:t>1</w:t>
            </w:r>
          </w:p>
        </w:tc>
        <w:tc>
          <w:tcPr>
            <w:tcW w:w="1761" w:type="pct"/>
            <w:tcBorders>
              <w:tl2br w:val="nil"/>
              <w:tr2bl w:val="nil"/>
            </w:tcBorders>
            <w:vAlign w:val="center"/>
          </w:tcPr>
          <w:p>
            <w:pPr>
              <w:pStyle w:val="2"/>
              <w:spacing w:after="0" w:line="240" w:lineRule="auto"/>
              <w:ind w:firstLine="0" w:firstLineChars="0"/>
              <w:jc w:val="center"/>
              <w:rPr>
                <w:color w:val="auto"/>
                <w:sz w:val="21"/>
                <w:szCs w:val="21"/>
              </w:rPr>
            </w:pPr>
            <w:r>
              <w:rPr>
                <w:color w:val="auto"/>
                <w:sz w:val="21"/>
                <w:szCs w:val="21"/>
              </w:rPr>
              <w:t>一体化活性炭吸附箱</w:t>
            </w:r>
          </w:p>
        </w:tc>
        <w:tc>
          <w:tcPr>
            <w:tcW w:w="1638" w:type="pct"/>
            <w:tcBorders>
              <w:tl2br w:val="nil"/>
              <w:tr2bl w:val="nil"/>
            </w:tcBorders>
            <w:vAlign w:val="center"/>
          </w:tcPr>
          <w:p>
            <w:pPr>
              <w:pStyle w:val="2"/>
              <w:spacing w:after="0" w:line="240" w:lineRule="auto"/>
              <w:ind w:firstLine="0" w:firstLineChars="0"/>
              <w:jc w:val="center"/>
              <w:rPr>
                <w:color w:val="auto"/>
                <w:sz w:val="21"/>
                <w:szCs w:val="21"/>
              </w:rPr>
            </w:pPr>
            <w:r>
              <w:rPr>
                <w:rFonts w:hint="eastAsia"/>
                <w:color w:val="auto"/>
                <w:sz w:val="21"/>
                <w:szCs w:val="21"/>
              </w:rPr>
              <w:t>1</w:t>
            </w:r>
            <w:r>
              <w:rPr>
                <w:color w:val="auto"/>
                <w:sz w:val="21"/>
                <w:szCs w:val="21"/>
              </w:rPr>
              <w:t>5</w:t>
            </w:r>
            <w:r>
              <w:rPr>
                <w:rFonts w:hint="eastAsia"/>
                <w:color w:val="auto"/>
                <w:sz w:val="21"/>
                <w:szCs w:val="21"/>
              </w:rPr>
              <w:t>00× 1</w:t>
            </w:r>
            <w:r>
              <w:rPr>
                <w:color w:val="auto"/>
                <w:sz w:val="21"/>
                <w:szCs w:val="21"/>
              </w:rPr>
              <w:t>100</w:t>
            </w:r>
            <w:r>
              <w:rPr>
                <w:rFonts w:hint="eastAsia"/>
                <w:color w:val="auto"/>
                <w:sz w:val="21"/>
                <w:szCs w:val="21"/>
              </w:rPr>
              <w:t>× 13</w:t>
            </w:r>
            <w:r>
              <w:rPr>
                <w:color w:val="auto"/>
                <w:sz w:val="21"/>
                <w:szCs w:val="21"/>
              </w:rPr>
              <w:t>0</w:t>
            </w:r>
            <w:r>
              <w:rPr>
                <w:rFonts w:hint="eastAsia"/>
                <w:color w:val="auto"/>
                <w:sz w:val="21"/>
                <w:szCs w:val="21"/>
              </w:rPr>
              <w:t>0mm</w:t>
            </w:r>
          </w:p>
        </w:tc>
        <w:tc>
          <w:tcPr>
            <w:tcW w:w="533" w:type="pct"/>
            <w:tcBorders>
              <w:tl2br w:val="nil"/>
              <w:tr2bl w:val="nil"/>
            </w:tcBorders>
            <w:vAlign w:val="center"/>
          </w:tcPr>
          <w:p>
            <w:pPr>
              <w:pStyle w:val="2"/>
              <w:spacing w:after="0" w:line="240" w:lineRule="auto"/>
              <w:ind w:firstLine="0" w:firstLineChars="0"/>
              <w:jc w:val="center"/>
              <w:rPr>
                <w:color w:val="auto"/>
                <w:sz w:val="21"/>
                <w:szCs w:val="21"/>
              </w:rPr>
            </w:pPr>
            <w:r>
              <w:rPr>
                <w:color w:val="auto"/>
                <w:sz w:val="21"/>
                <w:szCs w:val="21"/>
              </w:rPr>
              <w:t>台</w:t>
            </w:r>
          </w:p>
        </w:tc>
        <w:tc>
          <w:tcPr>
            <w:tcW w:w="533" w:type="pct"/>
            <w:tcBorders>
              <w:tl2br w:val="nil"/>
              <w:tr2bl w:val="nil"/>
            </w:tcBorders>
            <w:vAlign w:val="center"/>
          </w:tcPr>
          <w:p>
            <w:pPr>
              <w:pStyle w:val="2"/>
              <w:spacing w:after="0" w:line="240" w:lineRule="auto"/>
              <w:ind w:firstLine="0" w:firstLineChars="0"/>
              <w:jc w:val="center"/>
              <w:rPr>
                <w:color w:val="auto"/>
                <w:sz w:val="21"/>
                <w:szCs w:val="21"/>
              </w:rPr>
            </w:pPr>
            <w:r>
              <w:rPr>
                <w:rFonts w:hint="eastAsia"/>
                <w:color w:val="auto"/>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32" w:type="pct"/>
            <w:tcBorders>
              <w:tl2br w:val="nil"/>
              <w:tr2bl w:val="nil"/>
            </w:tcBorders>
            <w:vAlign w:val="center"/>
          </w:tcPr>
          <w:p>
            <w:pPr>
              <w:pStyle w:val="2"/>
              <w:spacing w:after="0" w:line="240" w:lineRule="auto"/>
              <w:ind w:firstLine="0" w:firstLineChars="0"/>
              <w:jc w:val="center"/>
              <w:rPr>
                <w:color w:val="auto"/>
                <w:sz w:val="21"/>
                <w:szCs w:val="21"/>
              </w:rPr>
            </w:pPr>
            <w:r>
              <w:rPr>
                <w:color w:val="auto"/>
                <w:sz w:val="21"/>
                <w:szCs w:val="21"/>
              </w:rPr>
              <w:t>2</w:t>
            </w:r>
          </w:p>
        </w:tc>
        <w:tc>
          <w:tcPr>
            <w:tcW w:w="1761" w:type="pct"/>
            <w:tcBorders>
              <w:tl2br w:val="nil"/>
              <w:tr2bl w:val="nil"/>
            </w:tcBorders>
            <w:vAlign w:val="center"/>
          </w:tcPr>
          <w:p>
            <w:pPr>
              <w:pStyle w:val="2"/>
              <w:spacing w:after="0" w:line="240" w:lineRule="auto"/>
              <w:ind w:firstLine="0" w:firstLineChars="0"/>
              <w:jc w:val="center"/>
              <w:rPr>
                <w:color w:val="auto"/>
                <w:sz w:val="21"/>
                <w:szCs w:val="21"/>
              </w:rPr>
            </w:pPr>
            <w:r>
              <w:rPr>
                <w:rFonts w:hint="eastAsia"/>
                <w:color w:val="auto"/>
                <w:sz w:val="21"/>
                <w:szCs w:val="21"/>
              </w:rPr>
              <w:t>喷淋塔</w:t>
            </w:r>
          </w:p>
        </w:tc>
        <w:tc>
          <w:tcPr>
            <w:tcW w:w="1638" w:type="pct"/>
            <w:tcBorders>
              <w:tl2br w:val="nil"/>
              <w:tr2bl w:val="nil"/>
            </w:tcBorders>
            <w:vAlign w:val="center"/>
          </w:tcPr>
          <w:p>
            <w:pPr>
              <w:pStyle w:val="2"/>
              <w:spacing w:after="0" w:line="240" w:lineRule="auto"/>
              <w:ind w:firstLine="0" w:firstLineChars="0"/>
              <w:jc w:val="center"/>
              <w:rPr>
                <w:color w:val="auto"/>
                <w:sz w:val="21"/>
                <w:szCs w:val="21"/>
              </w:rPr>
            </w:pPr>
            <w:r>
              <w:rPr>
                <w:rFonts w:hint="eastAsia"/>
                <w:color w:val="auto"/>
                <w:sz w:val="21"/>
                <w:szCs w:val="21"/>
              </w:rPr>
              <w:t>0.8m×4m</w:t>
            </w:r>
          </w:p>
        </w:tc>
        <w:tc>
          <w:tcPr>
            <w:tcW w:w="533" w:type="pct"/>
            <w:tcBorders>
              <w:tl2br w:val="nil"/>
              <w:tr2bl w:val="nil"/>
            </w:tcBorders>
            <w:vAlign w:val="center"/>
          </w:tcPr>
          <w:p>
            <w:pPr>
              <w:pStyle w:val="2"/>
              <w:spacing w:after="0" w:line="240" w:lineRule="auto"/>
              <w:ind w:firstLine="0" w:firstLineChars="0"/>
              <w:jc w:val="center"/>
              <w:rPr>
                <w:color w:val="auto"/>
                <w:sz w:val="21"/>
                <w:szCs w:val="21"/>
              </w:rPr>
            </w:pPr>
            <w:r>
              <w:rPr>
                <w:rFonts w:hint="eastAsia"/>
                <w:color w:val="auto"/>
                <w:sz w:val="21"/>
                <w:szCs w:val="21"/>
              </w:rPr>
              <w:t>座</w:t>
            </w:r>
          </w:p>
        </w:tc>
        <w:tc>
          <w:tcPr>
            <w:tcW w:w="533" w:type="pct"/>
            <w:tcBorders>
              <w:tl2br w:val="nil"/>
              <w:tr2bl w:val="nil"/>
            </w:tcBorders>
            <w:vAlign w:val="center"/>
          </w:tcPr>
          <w:p>
            <w:pPr>
              <w:pStyle w:val="2"/>
              <w:spacing w:after="0" w:line="240" w:lineRule="auto"/>
              <w:ind w:firstLine="0" w:firstLineChars="0"/>
              <w:jc w:val="center"/>
              <w:rPr>
                <w:color w:val="auto"/>
                <w:sz w:val="21"/>
                <w:szCs w:val="21"/>
              </w:rPr>
            </w:pPr>
            <w:r>
              <w:rPr>
                <w:rFonts w:hint="eastAsia"/>
                <w:color w:val="auto"/>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32" w:type="pct"/>
            <w:tcBorders>
              <w:tl2br w:val="nil"/>
              <w:tr2bl w:val="nil"/>
            </w:tcBorders>
            <w:vAlign w:val="center"/>
          </w:tcPr>
          <w:p>
            <w:pPr>
              <w:pStyle w:val="2"/>
              <w:spacing w:after="0" w:line="240" w:lineRule="auto"/>
              <w:ind w:firstLine="0" w:firstLineChars="0"/>
              <w:jc w:val="center"/>
              <w:rPr>
                <w:color w:val="auto"/>
                <w:sz w:val="21"/>
                <w:szCs w:val="21"/>
              </w:rPr>
            </w:pPr>
            <w:r>
              <w:rPr>
                <w:color w:val="auto"/>
                <w:sz w:val="21"/>
                <w:szCs w:val="21"/>
              </w:rPr>
              <w:t>3</w:t>
            </w:r>
          </w:p>
        </w:tc>
        <w:tc>
          <w:tcPr>
            <w:tcW w:w="1761" w:type="pct"/>
            <w:tcBorders>
              <w:tl2br w:val="nil"/>
              <w:tr2bl w:val="nil"/>
            </w:tcBorders>
            <w:vAlign w:val="center"/>
          </w:tcPr>
          <w:p>
            <w:pPr>
              <w:pStyle w:val="2"/>
              <w:spacing w:after="0" w:line="240" w:lineRule="auto"/>
              <w:ind w:firstLine="0" w:firstLineChars="0"/>
              <w:jc w:val="center"/>
              <w:rPr>
                <w:color w:val="auto"/>
                <w:sz w:val="21"/>
                <w:szCs w:val="21"/>
              </w:rPr>
            </w:pPr>
            <w:r>
              <w:rPr>
                <w:color w:val="auto"/>
                <w:sz w:val="21"/>
                <w:szCs w:val="21"/>
              </w:rPr>
              <w:t>引风机</w:t>
            </w:r>
          </w:p>
        </w:tc>
        <w:tc>
          <w:tcPr>
            <w:tcW w:w="1638" w:type="pct"/>
            <w:tcBorders>
              <w:tl2br w:val="nil"/>
              <w:tr2bl w:val="nil"/>
            </w:tcBorders>
            <w:vAlign w:val="center"/>
          </w:tcPr>
          <w:p>
            <w:pPr>
              <w:pStyle w:val="2"/>
              <w:spacing w:after="0" w:line="240" w:lineRule="auto"/>
              <w:ind w:firstLine="0" w:firstLineChars="0"/>
              <w:jc w:val="center"/>
              <w:rPr>
                <w:color w:val="auto"/>
                <w:sz w:val="21"/>
                <w:szCs w:val="21"/>
              </w:rPr>
            </w:pPr>
            <w:r>
              <w:rPr>
                <w:rFonts w:hint="eastAsia"/>
                <w:color w:val="auto"/>
                <w:sz w:val="21"/>
                <w:szCs w:val="21"/>
              </w:rPr>
              <w:t>1.5kw</w:t>
            </w:r>
          </w:p>
        </w:tc>
        <w:tc>
          <w:tcPr>
            <w:tcW w:w="533" w:type="pct"/>
            <w:tcBorders>
              <w:tl2br w:val="nil"/>
              <w:tr2bl w:val="nil"/>
            </w:tcBorders>
            <w:vAlign w:val="center"/>
          </w:tcPr>
          <w:p>
            <w:pPr>
              <w:pStyle w:val="2"/>
              <w:spacing w:after="0" w:line="240" w:lineRule="auto"/>
              <w:ind w:firstLine="0" w:firstLineChars="0"/>
              <w:jc w:val="center"/>
              <w:rPr>
                <w:color w:val="auto"/>
                <w:sz w:val="21"/>
                <w:szCs w:val="21"/>
              </w:rPr>
            </w:pPr>
            <w:r>
              <w:rPr>
                <w:color w:val="auto"/>
                <w:sz w:val="21"/>
                <w:szCs w:val="21"/>
              </w:rPr>
              <w:t>台</w:t>
            </w:r>
          </w:p>
        </w:tc>
        <w:tc>
          <w:tcPr>
            <w:tcW w:w="533" w:type="pct"/>
            <w:tcBorders>
              <w:tl2br w:val="nil"/>
              <w:tr2bl w:val="nil"/>
            </w:tcBorders>
            <w:vAlign w:val="center"/>
          </w:tcPr>
          <w:p>
            <w:pPr>
              <w:pStyle w:val="2"/>
              <w:spacing w:after="0" w:line="240" w:lineRule="auto"/>
              <w:ind w:firstLine="0" w:firstLineChars="0"/>
              <w:jc w:val="center"/>
              <w:rPr>
                <w:color w:val="auto"/>
                <w:sz w:val="21"/>
                <w:szCs w:val="21"/>
              </w:rPr>
            </w:pPr>
            <w:r>
              <w:rPr>
                <w:color w:val="auto"/>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32" w:type="pct"/>
            <w:tcBorders>
              <w:tl2br w:val="nil"/>
              <w:tr2bl w:val="nil"/>
            </w:tcBorders>
            <w:vAlign w:val="center"/>
          </w:tcPr>
          <w:p>
            <w:pPr>
              <w:pStyle w:val="2"/>
              <w:spacing w:after="0" w:line="240" w:lineRule="auto"/>
              <w:ind w:firstLine="0" w:firstLineChars="0"/>
              <w:jc w:val="center"/>
              <w:rPr>
                <w:color w:val="auto"/>
                <w:sz w:val="21"/>
                <w:szCs w:val="21"/>
              </w:rPr>
            </w:pPr>
            <w:r>
              <w:rPr>
                <w:color w:val="auto"/>
                <w:sz w:val="21"/>
                <w:szCs w:val="21"/>
              </w:rPr>
              <w:t>4</w:t>
            </w:r>
          </w:p>
        </w:tc>
        <w:tc>
          <w:tcPr>
            <w:tcW w:w="1761" w:type="pct"/>
            <w:tcBorders>
              <w:tl2br w:val="nil"/>
              <w:tr2bl w:val="nil"/>
            </w:tcBorders>
            <w:vAlign w:val="center"/>
          </w:tcPr>
          <w:p>
            <w:pPr>
              <w:pStyle w:val="2"/>
              <w:spacing w:after="0" w:line="240" w:lineRule="auto"/>
              <w:ind w:firstLine="0" w:firstLineChars="0"/>
              <w:jc w:val="center"/>
              <w:rPr>
                <w:color w:val="auto"/>
                <w:sz w:val="21"/>
                <w:szCs w:val="21"/>
              </w:rPr>
            </w:pPr>
            <w:r>
              <w:rPr>
                <w:color w:val="auto"/>
                <w:sz w:val="21"/>
                <w:szCs w:val="21"/>
              </w:rPr>
              <w:t>收集管道系统</w:t>
            </w:r>
          </w:p>
        </w:tc>
        <w:tc>
          <w:tcPr>
            <w:tcW w:w="1638" w:type="pct"/>
            <w:tcBorders>
              <w:tl2br w:val="nil"/>
              <w:tr2bl w:val="nil"/>
            </w:tcBorders>
            <w:vAlign w:val="center"/>
          </w:tcPr>
          <w:p>
            <w:pPr>
              <w:pStyle w:val="2"/>
              <w:spacing w:after="0" w:line="240" w:lineRule="auto"/>
              <w:ind w:firstLine="0" w:firstLineChars="0"/>
              <w:jc w:val="center"/>
              <w:rPr>
                <w:color w:val="auto"/>
                <w:sz w:val="21"/>
                <w:szCs w:val="21"/>
              </w:rPr>
            </w:pPr>
            <w:r>
              <w:rPr>
                <w:rFonts w:hint="eastAsia"/>
                <w:color w:val="auto"/>
                <w:sz w:val="21"/>
                <w:szCs w:val="21"/>
              </w:rPr>
              <w:t>SUS304</w:t>
            </w:r>
          </w:p>
        </w:tc>
        <w:tc>
          <w:tcPr>
            <w:tcW w:w="533" w:type="pct"/>
            <w:tcBorders>
              <w:tl2br w:val="nil"/>
              <w:tr2bl w:val="nil"/>
            </w:tcBorders>
            <w:vAlign w:val="center"/>
          </w:tcPr>
          <w:p>
            <w:pPr>
              <w:pStyle w:val="2"/>
              <w:spacing w:after="0" w:line="240" w:lineRule="auto"/>
              <w:ind w:firstLine="0" w:firstLineChars="0"/>
              <w:jc w:val="center"/>
              <w:rPr>
                <w:color w:val="auto"/>
                <w:sz w:val="21"/>
                <w:szCs w:val="21"/>
              </w:rPr>
            </w:pPr>
            <w:r>
              <w:rPr>
                <w:color w:val="auto"/>
                <w:sz w:val="21"/>
                <w:szCs w:val="21"/>
              </w:rPr>
              <w:t>宗</w:t>
            </w:r>
          </w:p>
        </w:tc>
        <w:tc>
          <w:tcPr>
            <w:tcW w:w="533" w:type="pct"/>
            <w:tcBorders>
              <w:tl2br w:val="nil"/>
              <w:tr2bl w:val="nil"/>
            </w:tcBorders>
            <w:vAlign w:val="center"/>
          </w:tcPr>
          <w:p>
            <w:pPr>
              <w:pStyle w:val="2"/>
              <w:spacing w:after="0" w:line="240" w:lineRule="auto"/>
              <w:ind w:firstLine="0" w:firstLineChars="0"/>
              <w:jc w:val="center"/>
              <w:rPr>
                <w:color w:val="auto"/>
                <w:sz w:val="21"/>
                <w:szCs w:val="21"/>
              </w:rPr>
            </w:pPr>
            <w:r>
              <w:rPr>
                <w:color w:val="auto"/>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32" w:type="pct"/>
            <w:tcBorders>
              <w:tl2br w:val="nil"/>
              <w:tr2bl w:val="nil"/>
            </w:tcBorders>
            <w:vAlign w:val="center"/>
          </w:tcPr>
          <w:p>
            <w:pPr>
              <w:pStyle w:val="2"/>
              <w:spacing w:after="0" w:line="240" w:lineRule="auto"/>
              <w:ind w:firstLine="0" w:firstLineChars="0"/>
              <w:jc w:val="center"/>
              <w:rPr>
                <w:color w:val="auto"/>
                <w:sz w:val="21"/>
                <w:szCs w:val="21"/>
              </w:rPr>
            </w:pPr>
            <w:r>
              <w:rPr>
                <w:color w:val="auto"/>
                <w:sz w:val="21"/>
                <w:szCs w:val="21"/>
              </w:rPr>
              <w:t>5</w:t>
            </w:r>
          </w:p>
        </w:tc>
        <w:tc>
          <w:tcPr>
            <w:tcW w:w="1761" w:type="pct"/>
            <w:tcBorders>
              <w:tl2br w:val="nil"/>
              <w:tr2bl w:val="nil"/>
            </w:tcBorders>
            <w:vAlign w:val="center"/>
          </w:tcPr>
          <w:p>
            <w:pPr>
              <w:pStyle w:val="2"/>
              <w:spacing w:after="0" w:line="240" w:lineRule="auto"/>
              <w:ind w:firstLine="0" w:firstLineChars="0"/>
              <w:jc w:val="center"/>
              <w:rPr>
                <w:color w:val="auto"/>
                <w:sz w:val="21"/>
                <w:szCs w:val="21"/>
              </w:rPr>
            </w:pPr>
            <w:r>
              <w:rPr>
                <w:color w:val="auto"/>
                <w:sz w:val="21"/>
                <w:szCs w:val="21"/>
              </w:rPr>
              <w:t>排气筒</w:t>
            </w:r>
          </w:p>
        </w:tc>
        <w:tc>
          <w:tcPr>
            <w:tcW w:w="1638" w:type="pct"/>
            <w:tcBorders>
              <w:tl2br w:val="nil"/>
              <w:tr2bl w:val="nil"/>
            </w:tcBorders>
            <w:vAlign w:val="center"/>
          </w:tcPr>
          <w:p>
            <w:pPr>
              <w:pStyle w:val="2"/>
              <w:spacing w:after="0" w:line="240" w:lineRule="auto"/>
              <w:ind w:firstLine="0" w:firstLineChars="0"/>
              <w:jc w:val="center"/>
              <w:rPr>
                <w:color w:val="auto"/>
                <w:sz w:val="21"/>
                <w:szCs w:val="21"/>
              </w:rPr>
            </w:pPr>
            <w:r>
              <w:rPr>
                <w:rFonts w:hint="eastAsia"/>
                <w:color w:val="auto"/>
                <w:sz w:val="21"/>
                <w:szCs w:val="21"/>
              </w:rPr>
              <w:t>Φ0.25×15m；Φ0.38×15m</w:t>
            </w:r>
          </w:p>
          <w:p>
            <w:pPr>
              <w:pStyle w:val="2"/>
              <w:spacing w:after="0" w:line="240" w:lineRule="auto"/>
              <w:ind w:firstLine="0" w:firstLineChars="0"/>
              <w:jc w:val="center"/>
              <w:rPr>
                <w:color w:val="auto"/>
                <w:sz w:val="21"/>
                <w:szCs w:val="21"/>
              </w:rPr>
            </w:pPr>
          </w:p>
          <w:p>
            <w:pPr>
              <w:ind w:firstLine="480"/>
              <w:rPr>
                <w:color w:val="auto"/>
              </w:rPr>
            </w:pPr>
          </w:p>
          <w:p>
            <w:pPr>
              <w:pStyle w:val="2"/>
              <w:spacing w:after="0" w:line="240" w:lineRule="auto"/>
              <w:ind w:firstLine="0" w:firstLineChars="0"/>
              <w:jc w:val="center"/>
              <w:rPr>
                <w:color w:val="auto"/>
                <w:sz w:val="21"/>
                <w:szCs w:val="21"/>
              </w:rPr>
            </w:pPr>
          </w:p>
        </w:tc>
        <w:tc>
          <w:tcPr>
            <w:tcW w:w="533" w:type="pct"/>
            <w:tcBorders>
              <w:tl2br w:val="nil"/>
              <w:tr2bl w:val="nil"/>
            </w:tcBorders>
            <w:vAlign w:val="center"/>
          </w:tcPr>
          <w:p>
            <w:pPr>
              <w:pStyle w:val="2"/>
              <w:spacing w:after="0" w:line="240" w:lineRule="auto"/>
              <w:ind w:firstLine="0" w:firstLineChars="0"/>
              <w:jc w:val="center"/>
              <w:rPr>
                <w:color w:val="auto"/>
                <w:sz w:val="21"/>
                <w:szCs w:val="21"/>
              </w:rPr>
            </w:pPr>
            <w:r>
              <w:rPr>
                <w:color w:val="auto"/>
                <w:sz w:val="21"/>
                <w:szCs w:val="21"/>
              </w:rPr>
              <w:t>座</w:t>
            </w:r>
          </w:p>
        </w:tc>
        <w:tc>
          <w:tcPr>
            <w:tcW w:w="533" w:type="pct"/>
            <w:tcBorders>
              <w:tl2br w:val="nil"/>
              <w:tr2bl w:val="nil"/>
            </w:tcBorders>
            <w:vAlign w:val="center"/>
          </w:tcPr>
          <w:p>
            <w:pPr>
              <w:pStyle w:val="2"/>
              <w:spacing w:after="0"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32" w:type="pct"/>
            <w:tcBorders>
              <w:tl2br w:val="nil"/>
              <w:tr2bl w:val="nil"/>
            </w:tcBorders>
            <w:vAlign w:val="center"/>
          </w:tcPr>
          <w:p>
            <w:pPr>
              <w:pStyle w:val="2"/>
              <w:spacing w:after="0" w:line="240" w:lineRule="auto"/>
              <w:ind w:firstLine="0" w:firstLineChars="0"/>
              <w:jc w:val="center"/>
              <w:rPr>
                <w:color w:val="auto"/>
                <w:sz w:val="21"/>
                <w:szCs w:val="21"/>
              </w:rPr>
            </w:pPr>
            <w:r>
              <w:rPr>
                <w:rFonts w:hint="eastAsia"/>
                <w:color w:val="auto"/>
                <w:sz w:val="21"/>
                <w:szCs w:val="21"/>
              </w:rPr>
              <w:t>6</w:t>
            </w:r>
          </w:p>
        </w:tc>
        <w:tc>
          <w:tcPr>
            <w:tcW w:w="1761" w:type="pct"/>
            <w:tcBorders>
              <w:tl2br w:val="nil"/>
              <w:tr2bl w:val="nil"/>
            </w:tcBorders>
            <w:vAlign w:val="center"/>
          </w:tcPr>
          <w:p>
            <w:pPr>
              <w:pStyle w:val="2"/>
              <w:spacing w:after="0" w:line="240" w:lineRule="auto"/>
              <w:ind w:firstLine="0" w:firstLineChars="0"/>
              <w:jc w:val="center"/>
              <w:rPr>
                <w:color w:val="auto"/>
                <w:sz w:val="21"/>
                <w:szCs w:val="21"/>
              </w:rPr>
            </w:pPr>
            <w:r>
              <w:rPr>
                <w:rFonts w:hint="eastAsia"/>
                <w:color w:val="auto"/>
                <w:sz w:val="21"/>
                <w:szCs w:val="21"/>
              </w:rPr>
              <w:t>旋风除尘器</w:t>
            </w:r>
          </w:p>
        </w:tc>
        <w:tc>
          <w:tcPr>
            <w:tcW w:w="1638" w:type="pct"/>
            <w:tcBorders>
              <w:tl2br w:val="nil"/>
              <w:tr2bl w:val="nil"/>
            </w:tcBorders>
            <w:vAlign w:val="center"/>
          </w:tcPr>
          <w:p>
            <w:pPr>
              <w:pStyle w:val="2"/>
              <w:spacing w:after="0" w:line="240" w:lineRule="auto"/>
              <w:ind w:firstLine="0" w:firstLineChars="0"/>
              <w:jc w:val="center"/>
              <w:rPr>
                <w:color w:val="auto"/>
                <w:sz w:val="21"/>
                <w:szCs w:val="21"/>
              </w:rPr>
            </w:pPr>
            <w:r>
              <w:rPr>
                <w:rFonts w:hint="eastAsia"/>
                <w:color w:val="auto"/>
                <w:sz w:val="21"/>
                <w:szCs w:val="21"/>
              </w:rPr>
              <w:t>/</w:t>
            </w:r>
          </w:p>
        </w:tc>
        <w:tc>
          <w:tcPr>
            <w:tcW w:w="533" w:type="pct"/>
            <w:tcBorders>
              <w:tl2br w:val="nil"/>
              <w:tr2bl w:val="nil"/>
            </w:tcBorders>
            <w:vAlign w:val="center"/>
          </w:tcPr>
          <w:p>
            <w:pPr>
              <w:pStyle w:val="2"/>
              <w:spacing w:after="0" w:line="240" w:lineRule="auto"/>
              <w:ind w:firstLine="0" w:firstLineChars="0"/>
              <w:jc w:val="center"/>
              <w:rPr>
                <w:color w:val="auto"/>
                <w:sz w:val="21"/>
                <w:szCs w:val="21"/>
              </w:rPr>
            </w:pPr>
            <w:r>
              <w:rPr>
                <w:rFonts w:hint="eastAsia"/>
                <w:color w:val="auto"/>
                <w:sz w:val="21"/>
                <w:szCs w:val="21"/>
              </w:rPr>
              <w:t>座</w:t>
            </w:r>
          </w:p>
        </w:tc>
        <w:tc>
          <w:tcPr>
            <w:tcW w:w="533" w:type="pct"/>
            <w:tcBorders>
              <w:tl2br w:val="nil"/>
              <w:tr2bl w:val="nil"/>
            </w:tcBorders>
            <w:vAlign w:val="center"/>
          </w:tcPr>
          <w:p>
            <w:pPr>
              <w:pStyle w:val="2"/>
              <w:spacing w:after="0" w:line="240" w:lineRule="auto"/>
              <w:ind w:firstLine="0" w:firstLineChars="0"/>
              <w:jc w:val="center"/>
              <w:rPr>
                <w:color w:val="auto"/>
                <w:sz w:val="21"/>
                <w:szCs w:val="21"/>
              </w:rPr>
            </w:pPr>
            <w:r>
              <w:rPr>
                <w:rFonts w:hint="eastAsia"/>
                <w:color w:val="auto"/>
                <w:sz w:val="21"/>
                <w:szCs w:val="21"/>
              </w:rPr>
              <w:t>1</w:t>
            </w:r>
          </w:p>
        </w:tc>
      </w:tr>
    </w:tbl>
    <w:p>
      <w:pPr>
        <w:ind w:firstLine="0" w:firstLineChars="0"/>
        <w:rPr>
          <w:b/>
          <w:color w:val="auto"/>
        </w:rPr>
      </w:pPr>
      <w:r>
        <w:rPr>
          <w:rFonts w:hint="eastAsia"/>
          <w:b/>
          <w:color w:val="auto"/>
        </w:rPr>
        <w:t>（2）</w:t>
      </w:r>
      <w:r>
        <w:rPr>
          <w:b/>
          <w:color w:val="auto"/>
        </w:rPr>
        <w:t>有组织废气产生及排放情况：</w:t>
      </w:r>
    </w:p>
    <w:p>
      <w:pPr>
        <w:ind w:firstLine="482"/>
        <w:rPr>
          <w:b/>
          <w:bCs/>
          <w:color w:val="auto"/>
        </w:rPr>
      </w:pPr>
      <w:r>
        <w:rPr>
          <w:rFonts w:hint="eastAsia"/>
          <w:b/>
          <w:bCs/>
          <w:color w:val="auto"/>
        </w:rPr>
        <w:t>①聚乳酸装置生产废气</w:t>
      </w:r>
    </w:p>
    <w:p>
      <w:pPr>
        <w:pStyle w:val="2"/>
        <w:spacing w:after="0"/>
        <w:ind w:firstLine="480"/>
        <w:rPr>
          <w:color w:val="auto"/>
        </w:rPr>
      </w:pPr>
      <w:r>
        <w:rPr>
          <w:rFonts w:hint="eastAsia"/>
          <w:color w:val="auto"/>
        </w:rPr>
        <w:t>聚乳酸装置生产废气主要为冷凝器冷凝后的不凝气，主要为有机废气。</w:t>
      </w:r>
    </w:p>
    <w:p>
      <w:pPr>
        <w:spacing w:line="240" w:lineRule="auto"/>
        <w:ind w:firstLine="0" w:firstLineChars="0"/>
        <w:jc w:val="center"/>
        <w:rPr>
          <w:rFonts w:ascii="Times New Roman" w:hAnsi="Times New Roman" w:eastAsia="黑体" w:cs="Times New Roman"/>
          <w:color w:val="auto"/>
          <w:sz w:val="21"/>
          <w:szCs w:val="21"/>
        </w:rPr>
      </w:pPr>
      <w:r>
        <w:rPr>
          <w:rFonts w:hint="eastAsia" w:ascii="Times New Roman" w:hAnsi="Times New Roman" w:eastAsia="黑体" w:cs="Times New Roman"/>
          <w:color w:val="auto"/>
          <w:sz w:val="21"/>
          <w:szCs w:val="21"/>
        </w:rPr>
        <w:t>表 2.5-8 聚乳酸装置工艺废气有组织污染物产生情况</w:t>
      </w:r>
    </w:p>
    <w:tbl>
      <w:tblPr>
        <w:tblStyle w:val="22"/>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02"/>
        <w:gridCol w:w="2299"/>
        <w:gridCol w:w="2721"/>
        <w:gridCol w:w="19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0" w:type="pct"/>
            <w:vAlign w:val="center"/>
          </w:tcPr>
          <w:p>
            <w:pPr>
              <w:spacing w:line="312" w:lineRule="exact"/>
              <w:ind w:firstLine="0" w:firstLineChars="0"/>
              <w:jc w:val="center"/>
              <w:rPr>
                <w:b/>
                <w:color w:val="auto"/>
                <w:sz w:val="21"/>
                <w:szCs w:val="21"/>
              </w:rPr>
            </w:pPr>
            <w:r>
              <w:rPr>
                <w:b/>
                <w:color w:val="auto"/>
                <w:sz w:val="21"/>
                <w:szCs w:val="21"/>
              </w:rPr>
              <w:t>产污环节</w:t>
            </w:r>
          </w:p>
        </w:tc>
        <w:tc>
          <w:tcPr>
            <w:tcW w:w="1238" w:type="pct"/>
            <w:vAlign w:val="center"/>
          </w:tcPr>
          <w:p>
            <w:pPr>
              <w:spacing w:line="312" w:lineRule="exact"/>
              <w:ind w:firstLine="0" w:firstLineChars="0"/>
              <w:jc w:val="center"/>
              <w:rPr>
                <w:b/>
                <w:color w:val="auto"/>
                <w:sz w:val="21"/>
                <w:szCs w:val="21"/>
              </w:rPr>
            </w:pPr>
            <w:r>
              <w:rPr>
                <w:b/>
                <w:color w:val="auto"/>
                <w:sz w:val="21"/>
                <w:szCs w:val="21"/>
              </w:rPr>
              <w:t>污染物产生量依据</w:t>
            </w:r>
          </w:p>
        </w:tc>
        <w:tc>
          <w:tcPr>
            <w:tcW w:w="1465" w:type="pct"/>
            <w:vAlign w:val="center"/>
          </w:tcPr>
          <w:p>
            <w:pPr>
              <w:spacing w:line="312" w:lineRule="exact"/>
              <w:ind w:firstLine="0" w:firstLineChars="0"/>
              <w:jc w:val="center"/>
              <w:rPr>
                <w:b/>
                <w:color w:val="auto"/>
                <w:sz w:val="21"/>
                <w:szCs w:val="21"/>
              </w:rPr>
            </w:pPr>
            <w:r>
              <w:rPr>
                <w:b/>
                <w:color w:val="auto"/>
                <w:sz w:val="21"/>
                <w:szCs w:val="21"/>
              </w:rPr>
              <w:t>主要成分</w:t>
            </w:r>
          </w:p>
        </w:tc>
        <w:tc>
          <w:tcPr>
            <w:tcW w:w="1055" w:type="pct"/>
            <w:vAlign w:val="center"/>
          </w:tcPr>
          <w:p>
            <w:pPr>
              <w:spacing w:line="312" w:lineRule="exact"/>
              <w:ind w:firstLine="0" w:firstLineChars="0"/>
              <w:jc w:val="center"/>
              <w:rPr>
                <w:b/>
                <w:color w:val="auto"/>
                <w:sz w:val="21"/>
                <w:szCs w:val="21"/>
              </w:rPr>
            </w:pPr>
            <w:r>
              <w:rPr>
                <w:b/>
                <w:color w:val="auto"/>
                <w:sz w:val="21"/>
                <w:szCs w:val="21"/>
              </w:rPr>
              <w:t>产生量（t/a）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1240" w:type="pct"/>
            <w:vAlign w:val="center"/>
          </w:tcPr>
          <w:p>
            <w:pPr>
              <w:snapToGrid w:val="0"/>
              <w:spacing w:line="312" w:lineRule="exact"/>
              <w:ind w:firstLine="0" w:firstLineChars="0"/>
              <w:jc w:val="center"/>
              <w:rPr>
                <w:color w:val="auto"/>
                <w:sz w:val="21"/>
                <w:szCs w:val="21"/>
              </w:rPr>
            </w:pPr>
            <w:r>
              <w:rPr>
                <w:rFonts w:hint="eastAsia"/>
                <w:color w:val="auto"/>
                <w:sz w:val="21"/>
                <w:szCs w:val="21"/>
              </w:rPr>
              <w:t>脱水不凝气</w:t>
            </w:r>
          </w:p>
        </w:tc>
        <w:tc>
          <w:tcPr>
            <w:tcW w:w="1238" w:type="pct"/>
            <w:vAlign w:val="center"/>
          </w:tcPr>
          <w:p>
            <w:pPr>
              <w:spacing w:line="312" w:lineRule="exact"/>
              <w:ind w:firstLine="0" w:firstLineChars="0"/>
              <w:jc w:val="center"/>
              <w:rPr>
                <w:bCs/>
                <w:color w:val="auto"/>
                <w:sz w:val="21"/>
                <w:szCs w:val="21"/>
              </w:rPr>
            </w:pPr>
            <w:r>
              <w:rPr>
                <w:bCs/>
                <w:color w:val="auto"/>
                <w:sz w:val="21"/>
                <w:szCs w:val="21"/>
              </w:rPr>
              <w:t>物料衡算</w:t>
            </w:r>
          </w:p>
        </w:tc>
        <w:tc>
          <w:tcPr>
            <w:tcW w:w="1465" w:type="pct"/>
            <w:vAlign w:val="center"/>
          </w:tcPr>
          <w:p>
            <w:pPr>
              <w:pStyle w:val="2"/>
              <w:spacing w:after="0" w:line="240" w:lineRule="auto"/>
              <w:ind w:left="0" w:leftChars="0" w:firstLine="0" w:firstLineChars="0"/>
              <w:jc w:val="center"/>
              <w:rPr>
                <w:bCs/>
                <w:color w:val="auto"/>
                <w:sz w:val="21"/>
                <w:szCs w:val="21"/>
              </w:rPr>
            </w:pPr>
            <w:r>
              <w:rPr>
                <w:bCs/>
                <w:color w:val="auto"/>
                <w:sz w:val="21"/>
                <w:szCs w:val="21"/>
              </w:rPr>
              <w:t>VOCs</w:t>
            </w:r>
          </w:p>
        </w:tc>
        <w:tc>
          <w:tcPr>
            <w:tcW w:w="1055" w:type="pct"/>
            <w:vAlign w:val="center"/>
          </w:tcPr>
          <w:p>
            <w:pPr>
              <w:pStyle w:val="2"/>
              <w:spacing w:after="0" w:line="240" w:lineRule="auto"/>
              <w:ind w:left="0" w:leftChars="0" w:firstLine="0" w:firstLineChars="0"/>
              <w:jc w:val="center"/>
              <w:rPr>
                <w:bCs/>
                <w:color w:val="auto"/>
                <w:sz w:val="21"/>
                <w:szCs w:val="21"/>
              </w:rPr>
            </w:pPr>
            <w:r>
              <w:rPr>
                <w:rFonts w:hint="eastAsia"/>
                <w:bCs/>
                <w:color w:val="auto"/>
                <w:sz w:val="21"/>
                <w:szCs w:val="21"/>
                <w:lang w:val="en-US" w:eastAsia="zh-CN"/>
              </w:rPr>
              <w:t>0.0353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5" w:hRule="atLeast"/>
        </w:trPr>
        <w:tc>
          <w:tcPr>
            <w:tcW w:w="1240" w:type="pct"/>
            <w:vAlign w:val="center"/>
          </w:tcPr>
          <w:p>
            <w:pPr>
              <w:snapToGrid w:val="0"/>
              <w:spacing w:line="312" w:lineRule="exact"/>
              <w:ind w:firstLine="0" w:firstLineChars="0"/>
              <w:jc w:val="center"/>
              <w:rPr>
                <w:color w:val="auto"/>
                <w:sz w:val="21"/>
                <w:szCs w:val="21"/>
              </w:rPr>
            </w:pPr>
            <w:r>
              <w:rPr>
                <w:rFonts w:hint="eastAsia"/>
                <w:color w:val="auto"/>
                <w:sz w:val="21"/>
                <w:szCs w:val="21"/>
                <w:lang w:val="en-US" w:eastAsia="zh-CN"/>
              </w:rPr>
              <w:t>低聚不凝</w:t>
            </w:r>
            <w:r>
              <w:rPr>
                <w:rFonts w:hint="eastAsia"/>
                <w:color w:val="auto"/>
                <w:sz w:val="21"/>
                <w:szCs w:val="21"/>
              </w:rPr>
              <w:t>气</w:t>
            </w:r>
          </w:p>
        </w:tc>
        <w:tc>
          <w:tcPr>
            <w:tcW w:w="1238" w:type="pct"/>
            <w:vAlign w:val="center"/>
          </w:tcPr>
          <w:p>
            <w:pPr>
              <w:spacing w:line="312" w:lineRule="exact"/>
              <w:ind w:firstLine="0" w:firstLineChars="0"/>
              <w:jc w:val="center"/>
              <w:rPr>
                <w:bCs/>
                <w:color w:val="auto"/>
                <w:sz w:val="21"/>
                <w:szCs w:val="21"/>
              </w:rPr>
            </w:pPr>
            <w:r>
              <w:rPr>
                <w:bCs/>
                <w:color w:val="auto"/>
                <w:sz w:val="21"/>
                <w:szCs w:val="21"/>
              </w:rPr>
              <w:t>物料衡算</w:t>
            </w:r>
          </w:p>
        </w:tc>
        <w:tc>
          <w:tcPr>
            <w:tcW w:w="1465" w:type="pct"/>
            <w:vAlign w:val="center"/>
          </w:tcPr>
          <w:p>
            <w:pPr>
              <w:pStyle w:val="2"/>
              <w:spacing w:after="0" w:line="240" w:lineRule="auto"/>
              <w:ind w:left="0" w:leftChars="0" w:firstLine="0" w:firstLineChars="0"/>
              <w:jc w:val="center"/>
              <w:rPr>
                <w:bCs/>
                <w:color w:val="auto"/>
                <w:sz w:val="21"/>
                <w:szCs w:val="21"/>
              </w:rPr>
            </w:pPr>
            <w:r>
              <w:rPr>
                <w:bCs/>
                <w:color w:val="auto"/>
                <w:sz w:val="21"/>
                <w:szCs w:val="21"/>
              </w:rPr>
              <w:t>VOCs</w:t>
            </w:r>
          </w:p>
        </w:tc>
        <w:tc>
          <w:tcPr>
            <w:tcW w:w="1055" w:type="pct"/>
            <w:vAlign w:val="center"/>
          </w:tcPr>
          <w:p>
            <w:pPr>
              <w:pStyle w:val="2"/>
              <w:spacing w:after="0" w:line="240" w:lineRule="auto"/>
              <w:ind w:left="0" w:leftChars="0" w:firstLine="0" w:firstLineChars="0"/>
              <w:jc w:val="center"/>
              <w:rPr>
                <w:bCs/>
                <w:color w:val="auto"/>
                <w:sz w:val="21"/>
                <w:szCs w:val="21"/>
              </w:rPr>
            </w:pPr>
            <w:r>
              <w:rPr>
                <w:rFonts w:hint="eastAsia"/>
                <w:bCs/>
                <w:color w:val="auto"/>
                <w:sz w:val="21"/>
                <w:szCs w:val="21"/>
                <w:lang w:val="en-US" w:eastAsia="zh-CN"/>
              </w:rPr>
              <w:t>0.0699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0" w:type="pct"/>
            <w:vAlign w:val="center"/>
          </w:tcPr>
          <w:p>
            <w:pPr>
              <w:snapToGrid w:val="0"/>
              <w:spacing w:line="312" w:lineRule="exact"/>
              <w:ind w:firstLine="0" w:firstLineChars="0"/>
              <w:jc w:val="center"/>
              <w:rPr>
                <w:rFonts w:ascii="宋体" w:hAnsi="宋体" w:cs="宋体"/>
                <w:color w:val="auto"/>
                <w:sz w:val="21"/>
                <w:szCs w:val="21"/>
                <w:lang w:bidi="ar"/>
              </w:rPr>
            </w:pPr>
            <w:r>
              <w:rPr>
                <w:rFonts w:hint="eastAsia"/>
                <w:color w:val="auto"/>
                <w:sz w:val="21"/>
                <w:szCs w:val="21"/>
              </w:rPr>
              <w:t>酯化不凝气</w:t>
            </w:r>
          </w:p>
        </w:tc>
        <w:tc>
          <w:tcPr>
            <w:tcW w:w="1238" w:type="pct"/>
            <w:vAlign w:val="center"/>
          </w:tcPr>
          <w:p>
            <w:pPr>
              <w:spacing w:line="312" w:lineRule="exact"/>
              <w:ind w:firstLine="0" w:firstLineChars="0"/>
              <w:jc w:val="center"/>
              <w:rPr>
                <w:bCs/>
                <w:color w:val="auto"/>
                <w:sz w:val="21"/>
                <w:szCs w:val="21"/>
              </w:rPr>
            </w:pPr>
            <w:r>
              <w:rPr>
                <w:bCs/>
                <w:color w:val="auto"/>
                <w:sz w:val="21"/>
                <w:szCs w:val="21"/>
              </w:rPr>
              <w:t>物料衡算</w:t>
            </w:r>
          </w:p>
        </w:tc>
        <w:tc>
          <w:tcPr>
            <w:tcW w:w="1465" w:type="pct"/>
            <w:vAlign w:val="center"/>
          </w:tcPr>
          <w:p>
            <w:pPr>
              <w:pStyle w:val="2"/>
              <w:spacing w:after="0" w:line="240" w:lineRule="auto"/>
              <w:ind w:left="0" w:leftChars="0" w:firstLine="0" w:firstLineChars="0"/>
              <w:jc w:val="center"/>
              <w:rPr>
                <w:rFonts w:ascii="宋体" w:hAnsi="宋体" w:cs="宋体"/>
                <w:color w:val="auto"/>
                <w:sz w:val="21"/>
                <w:szCs w:val="21"/>
                <w:lang w:bidi="ar"/>
              </w:rPr>
            </w:pPr>
            <w:r>
              <w:rPr>
                <w:bCs/>
                <w:color w:val="auto"/>
                <w:sz w:val="21"/>
                <w:szCs w:val="21"/>
              </w:rPr>
              <w:t>VOCs</w:t>
            </w:r>
          </w:p>
        </w:tc>
        <w:tc>
          <w:tcPr>
            <w:tcW w:w="1055" w:type="pct"/>
            <w:vAlign w:val="center"/>
          </w:tcPr>
          <w:p>
            <w:pPr>
              <w:pStyle w:val="2"/>
              <w:spacing w:after="0" w:line="240" w:lineRule="auto"/>
              <w:ind w:left="0" w:leftChars="0" w:firstLine="0" w:firstLineChars="0"/>
              <w:jc w:val="center"/>
              <w:rPr>
                <w:bCs/>
                <w:color w:val="auto"/>
                <w:sz w:val="21"/>
                <w:szCs w:val="21"/>
              </w:rPr>
            </w:pPr>
            <w:r>
              <w:rPr>
                <w:rFonts w:hint="eastAsia"/>
                <w:bCs/>
                <w:color w:val="auto"/>
                <w:sz w:val="21"/>
                <w:szCs w:val="21"/>
                <w:lang w:val="en-US" w:eastAsia="zh-CN"/>
              </w:rPr>
              <w:t>1.0984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0" w:type="pct"/>
            <w:vAlign w:val="center"/>
          </w:tcPr>
          <w:p>
            <w:pPr>
              <w:snapToGrid w:val="0"/>
              <w:spacing w:line="312" w:lineRule="exact"/>
              <w:ind w:firstLine="0" w:firstLineChars="0"/>
              <w:jc w:val="center"/>
              <w:rPr>
                <w:rFonts w:ascii="宋体" w:hAnsi="宋体" w:cs="宋体"/>
                <w:color w:val="auto"/>
                <w:sz w:val="21"/>
                <w:szCs w:val="21"/>
                <w:lang w:bidi="ar"/>
              </w:rPr>
            </w:pPr>
            <w:r>
              <w:rPr>
                <w:rFonts w:hint="eastAsia"/>
                <w:color w:val="auto"/>
                <w:sz w:val="21"/>
                <w:szCs w:val="21"/>
              </w:rPr>
              <w:t>精制不凝气</w:t>
            </w:r>
          </w:p>
        </w:tc>
        <w:tc>
          <w:tcPr>
            <w:tcW w:w="1238" w:type="pct"/>
            <w:vAlign w:val="center"/>
          </w:tcPr>
          <w:p>
            <w:pPr>
              <w:spacing w:line="312" w:lineRule="exact"/>
              <w:ind w:firstLine="0" w:firstLineChars="0"/>
              <w:jc w:val="center"/>
              <w:rPr>
                <w:bCs/>
                <w:color w:val="auto"/>
                <w:sz w:val="21"/>
                <w:szCs w:val="21"/>
              </w:rPr>
            </w:pPr>
            <w:r>
              <w:rPr>
                <w:bCs/>
                <w:color w:val="auto"/>
                <w:sz w:val="21"/>
                <w:szCs w:val="21"/>
              </w:rPr>
              <w:t>物料衡算</w:t>
            </w:r>
          </w:p>
        </w:tc>
        <w:tc>
          <w:tcPr>
            <w:tcW w:w="1465" w:type="pct"/>
            <w:vAlign w:val="center"/>
          </w:tcPr>
          <w:p>
            <w:pPr>
              <w:pStyle w:val="2"/>
              <w:spacing w:after="0" w:line="240" w:lineRule="auto"/>
              <w:ind w:left="0" w:leftChars="0" w:firstLine="0" w:firstLineChars="0"/>
              <w:jc w:val="center"/>
              <w:rPr>
                <w:rFonts w:ascii="宋体" w:hAnsi="宋体" w:cs="宋体"/>
                <w:color w:val="auto"/>
                <w:sz w:val="21"/>
                <w:szCs w:val="21"/>
                <w:lang w:bidi="ar"/>
              </w:rPr>
            </w:pPr>
            <w:r>
              <w:rPr>
                <w:bCs/>
                <w:color w:val="auto"/>
                <w:sz w:val="21"/>
                <w:szCs w:val="21"/>
              </w:rPr>
              <w:t>VOCs</w:t>
            </w:r>
          </w:p>
        </w:tc>
        <w:tc>
          <w:tcPr>
            <w:tcW w:w="1055" w:type="pct"/>
            <w:vAlign w:val="center"/>
          </w:tcPr>
          <w:p>
            <w:pPr>
              <w:pStyle w:val="2"/>
              <w:spacing w:after="0" w:line="240" w:lineRule="auto"/>
              <w:ind w:left="0" w:leftChars="0" w:firstLine="0" w:firstLineChars="0"/>
              <w:jc w:val="center"/>
              <w:rPr>
                <w:bCs/>
                <w:color w:val="auto"/>
                <w:sz w:val="21"/>
                <w:szCs w:val="21"/>
              </w:rPr>
            </w:pPr>
            <w:r>
              <w:rPr>
                <w:rFonts w:hint="eastAsia"/>
                <w:bCs/>
                <w:color w:val="auto"/>
                <w:sz w:val="21"/>
                <w:szCs w:val="21"/>
                <w:lang w:val="en-US" w:eastAsia="zh-CN"/>
              </w:rPr>
              <w:t>0.1711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0" w:type="pct"/>
            <w:vAlign w:val="center"/>
          </w:tcPr>
          <w:p>
            <w:pPr>
              <w:snapToGrid w:val="0"/>
              <w:spacing w:line="312" w:lineRule="exact"/>
              <w:ind w:firstLine="0" w:firstLineChars="0"/>
              <w:jc w:val="center"/>
              <w:rPr>
                <w:rFonts w:ascii="宋体" w:hAnsi="宋体" w:cs="宋体"/>
                <w:color w:val="auto"/>
                <w:sz w:val="21"/>
                <w:szCs w:val="21"/>
                <w:lang w:bidi="ar"/>
              </w:rPr>
            </w:pPr>
            <w:r>
              <w:rPr>
                <w:rFonts w:hint="eastAsia"/>
                <w:color w:val="auto"/>
                <w:sz w:val="21"/>
                <w:szCs w:val="21"/>
              </w:rPr>
              <w:t>脱挥废气</w:t>
            </w:r>
          </w:p>
        </w:tc>
        <w:tc>
          <w:tcPr>
            <w:tcW w:w="1238" w:type="pct"/>
            <w:vAlign w:val="center"/>
          </w:tcPr>
          <w:p>
            <w:pPr>
              <w:spacing w:line="312" w:lineRule="exact"/>
              <w:ind w:firstLine="0" w:firstLineChars="0"/>
              <w:jc w:val="center"/>
              <w:rPr>
                <w:bCs/>
                <w:color w:val="auto"/>
                <w:sz w:val="21"/>
                <w:szCs w:val="21"/>
              </w:rPr>
            </w:pPr>
            <w:r>
              <w:rPr>
                <w:bCs/>
                <w:color w:val="auto"/>
                <w:sz w:val="21"/>
                <w:szCs w:val="21"/>
              </w:rPr>
              <w:t>物料衡算</w:t>
            </w:r>
          </w:p>
        </w:tc>
        <w:tc>
          <w:tcPr>
            <w:tcW w:w="1465" w:type="pct"/>
            <w:vAlign w:val="center"/>
          </w:tcPr>
          <w:p>
            <w:pPr>
              <w:pStyle w:val="2"/>
              <w:spacing w:after="0" w:line="240" w:lineRule="auto"/>
              <w:ind w:left="0" w:leftChars="0" w:firstLine="0" w:firstLineChars="0"/>
              <w:jc w:val="center"/>
              <w:rPr>
                <w:rFonts w:ascii="宋体" w:hAnsi="宋体" w:cs="宋体"/>
                <w:color w:val="auto"/>
                <w:sz w:val="21"/>
                <w:szCs w:val="21"/>
                <w:lang w:bidi="ar"/>
              </w:rPr>
            </w:pPr>
            <w:r>
              <w:rPr>
                <w:bCs/>
                <w:color w:val="auto"/>
                <w:sz w:val="21"/>
                <w:szCs w:val="21"/>
              </w:rPr>
              <w:t>VOCs</w:t>
            </w:r>
          </w:p>
        </w:tc>
        <w:tc>
          <w:tcPr>
            <w:tcW w:w="1055" w:type="pct"/>
            <w:vAlign w:val="center"/>
          </w:tcPr>
          <w:p>
            <w:pPr>
              <w:pStyle w:val="2"/>
              <w:spacing w:after="0" w:line="240" w:lineRule="auto"/>
              <w:ind w:left="0" w:leftChars="0" w:firstLine="0" w:firstLineChars="0"/>
              <w:jc w:val="center"/>
              <w:rPr>
                <w:bCs/>
                <w:color w:val="auto"/>
                <w:sz w:val="21"/>
                <w:szCs w:val="21"/>
              </w:rPr>
            </w:pPr>
            <w:r>
              <w:rPr>
                <w:rFonts w:hint="eastAsia"/>
                <w:bCs/>
                <w:color w:val="auto"/>
                <w:sz w:val="21"/>
                <w:szCs w:val="21"/>
                <w:lang w:val="en-US" w:eastAsia="zh-CN"/>
              </w:rPr>
              <w:t>2.16</w:t>
            </w:r>
          </w:p>
        </w:tc>
      </w:tr>
    </w:tbl>
    <w:p>
      <w:pPr>
        <w:ind w:firstLine="482"/>
        <w:rPr>
          <w:b/>
          <w:bCs/>
          <w:color w:val="auto"/>
        </w:rPr>
      </w:pPr>
      <w:r>
        <w:rPr>
          <w:rFonts w:hint="eastAsia"/>
          <w:b/>
          <w:bCs/>
          <w:color w:val="auto"/>
        </w:rPr>
        <w:t>②导热油锅炉燃烧废气</w:t>
      </w:r>
    </w:p>
    <w:p>
      <w:pPr>
        <w:ind w:firstLine="480"/>
        <w:rPr>
          <w:color w:val="auto"/>
        </w:rPr>
      </w:pPr>
      <w:r>
        <w:rPr>
          <w:rFonts w:hint="eastAsia"/>
          <w:color w:val="auto"/>
        </w:rPr>
        <w:t>项目拟建设1</w:t>
      </w:r>
      <w:r>
        <w:rPr>
          <w:rFonts w:hint="eastAsia" w:ascii="Times New Roman" w:hAnsi="Times New Roman" w:eastAsia="宋体" w:cs="Times New Roman"/>
          <w:color w:val="auto"/>
        </w:rPr>
        <w:t>台1800kw燃</w:t>
      </w:r>
      <w:r>
        <w:rPr>
          <w:rFonts w:hint="eastAsia"/>
          <w:color w:val="auto"/>
        </w:rPr>
        <w:t>气导热油锅炉机组。天然气用量为</w:t>
      </w:r>
      <w:r>
        <w:rPr>
          <w:rFonts w:hint="eastAsia"/>
          <w:color w:val="auto"/>
          <w:lang w:val="en-US" w:eastAsia="zh-CN"/>
        </w:rPr>
        <w:t>150</w:t>
      </w:r>
      <w:r>
        <w:rPr>
          <w:rFonts w:hint="eastAsia"/>
          <w:color w:val="auto"/>
        </w:rPr>
        <w:t>万m</w:t>
      </w:r>
      <w:r>
        <w:rPr>
          <w:rFonts w:hint="eastAsia"/>
          <w:color w:val="auto"/>
          <w:vertAlign w:val="superscript"/>
        </w:rPr>
        <w:t>3</w:t>
      </w:r>
      <w:r>
        <w:rPr>
          <w:rFonts w:hint="eastAsia"/>
          <w:color w:val="auto"/>
        </w:rPr>
        <w:t>/a。</w:t>
      </w:r>
    </w:p>
    <w:p>
      <w:pPr>
        <w:ind w:firstLine="480"/>
        <w:rPr>
          <w:color w:val="auto"/>
        </w:rPr>
      </w:pPr>
      <w:r>
        <w:rPr>
          <w:color w:val="auto"/>
        </w:rPr>
        <w:t>项目燃烧的天然气属于清洁原料，其燃烧产生的污染物较少</w:t>
      </w:r>
      <w:r>
        <w:rPr>
          <w:rFonts w:hint="eastAsia"/>
          <w:color w:val="auto"/>
        </w:rPr>
        <w:t>。根据《排污许可证申请与核发技术规范  锅炉》（HJ953—2018）表F.3燃气工业锅炉的废气产排污系数，每燃烧1万m</w:t>
      </w:r>
      <w:r>
        <w:rPr>
          <w:rFonts w:hint="eastAsia"/>
          <w:color w:val="auto"/>
          <w:vertAlign w:val="superscript"/>
        </w:rPr>
        <w:t>3</w:t>
      </w:r>
      <w:r>
        <w:rPr>
          <w:rFonts w:hint="eastAsia"/>
          <w:color w:val="auto"/>
        </w:rPr>
        <w:t>天然气</w:t>
      </w:r>
      <w:r>
        <w:rPr>
          <w:color w:val="auto"/>
        </w:rPr>
        <w:t>产生18.71kgNOx、0.02SkgSO</w:t>
      </w:r>
      <w:r>
        <w:rPr>
          <w:color w:val="auto"/>
          <w:vertAlign w:val="subscript"/>
        </w:rPr>
        <w:t>2</w:t>
      </w:r>
      <w:r>
        <w:rPr>
          <w:rFonts w:hint="eastAsia"/>
          <w:color w:val="auto"/>
        </w:rPr>
        <w:t>（</w:t>
      </w:r>
      <w:r>
        <w:rPr>
          <w:color w:val="auto"/>
        </w:rPr>
        <w:t>其中S含量是指燃气收到基硫分含量，单位为mg/m</w:t>
      </w:r>
      <w:r>
        <w:rPr>
          <w:color w:val="auto"/>
          <w:vertAlign w:val="superscript"/>
        </w:rPr>
        <w:t>3</w:t>
      </w:r>
      <w:r>
        <w:rPr>
          <w:color w:val="auto"/>
        </w:rPr>
        <w:t>，</w:t>
      </w:r>
      <w:r>
        <w:rPr>
          <w:rFonts w:hint="eastAsia"/>
          <w:color w:val="auto"/>
        </w:rPr>
        <w:t>按照二类</w:t>
      </w:r>
      <w:r>
        <w:rPr>
          <w:color w:val="auto"/>
        </w:rPr>
        <w:t>天然气总硫含量为</w:t>
      </w:r>
      <w:r>
        <w:rPr>
          <w:rFonts w:hint="eastAsia"/>
          <w:color w:val="auto"/>
        </w:rPr>
        <w:t>100</w:t>
      </w:r>
      <w:r>
        <w:rPr>
          <w:color w:val="auto"/>
        </w:rPr>
        <w:t>mg/m</w:t>
      </w:r>
      <w:r>
        <w:rPr>
          <w:color w:val="auto"/>
          <w:vertAlign w:val="superscript"/>
        </w:rPr>
        <w:t>3</w:t>
      </w:r>
      <w:r>
        <w:rPr>
          <w:rFonts w:hint="eastAsia"/>
          <w:color w:val="auto"/>
        </w:rPr>
        <w:t>计算）。又</w:t>
      </w:r>
      <w:r>
        <w:rPr>
          <w:color w:val="auto"/>
        </w:rPr>
        <w:t>依据《纳入排污许可管理的火电等17个行业污染物排放量计算方法（试行）》中附录A，每燃烧1</w:t>
      </w:r>
      <w:r>
        <w:rPr>
          <w:rFonts w:hint="eastAsia"/>
          <w:color w:val="auto"/>
        </w:rPr>
        <w:t>万</w:t>
      </w:r>
      <w:r>
        <w:rPr>
          <w:color w:val="auto"/>
        </w:rPr>
        <w:t>m</w:t>
      </w:r>
      <w:r>
        <w:rPr>
          <w:color w:val="auto"/>
          <w:vertAlign w:val="superscript"/>
        </w:rPr>
        <w:t>3</w:t>
      </w:r>
      <w:r>
        <w:rPr>
          <w:color w:val="auto"/>
        </w:rPr>
        <w:t>天然气产生1</w:t>
      </w:r>
      <w:r>
        <w:rPr>
          <w:rFonts w:hint="eastAsia"/>
          <w:color w:val="auto"/>
        </w:rPr>
        <w:t>.</w:t>
      </w:r>
      <w:r>
        <w:rPr>
          <w:color w:val="auto"/>
        </w:rPr>
        <w:t>039</w:t>
      </w:r>
      <w:r>
        <w:rPr>
          <w:rFonts w:hint="eastAsia"/>
          <w:color w:val="auto"/>
        </w:rPr>
        <w:t>k</w:t>
      </w:r>
      <w:r>
        <w:rPr>
          <w:color w:val="auto"/>
        </w:rPr>
        <w:t>g烟尘；</w:t>
      </w:r>
    </w:p>
    <w:p>
      <w:pPr>
        <w:keepNext w:val="0"/>
        <w:keepLines w:val="0"/>
        <w:pageBreakBefore w:val="0"/>
        <w:widowControl w:val="0"/>
        <w:kinsoku/>
        <w:wordWrap/>
        <w:overflowPunct/>
        <w:topLinePunct w:val="0"/>
        <w:autoSpaceDE/>
        <w:autoSpaceDN/>
        <w:bidi w:val="0"/>
        <w:adjustRightInd/>
        <w:snapToGrid/>
        <w:ind w:firstLine="480"/>
        <w:textAlignment w:val="auto"/>
        <w:rPr>
          <w:rFonts w:hint="eastAsia"/>
          <w:color w:val="auto"/>
          <w:lang w:val="en-US" w:eastAsia="zh-CN"/>
        </w:rPr>
      </w:pPr>
      <w:r>
        <w:rPr>
          <w:rFonts w:hint="eastAsia"/>
          <w:color w:val="auto"/>
          <w:lang w:val="en-US" w:eastAsia="zh-CN"/>
        </w:rPr>
        <w:t>参照</w:t>
      </w:r>
      <w:r>
        <w:rPr>
          <w:rFonts w:hint="eastAsia"/>
          <w:color w:val="auto"/>
        </w:rPr>
        <w:t>排污许可证申请与核发技术规范  锅炉》（HJ953—2018）</w:t>
      </w:r>
      <w:r>
        <w:rPr>
          <w:rFonts w:hint="eastAsia"/>
          <w:color w:val="auto"/>
          <w:lang w:val="en-US" w:eastAsia="zh-CN"/>
        </w:rPr>
        <w:t>表5基准烟气量取值表中，燃气锅炉基准烟气量计算公式为：</w:t>
      </w:r>
    </w:p>
    <w:p>
      <w:pPr>
        <w:keepNext w:val="0"/>
        <w:keepLines w:val="0"/>
        <w:pageBreakBefore w:val="0"/>
        <w:widowControl w:val="0"/>
        <w:kinsoku/>
        <w:wordWrap/>
        <w:overflowPunct/>
        <w:topLinePunct w:val="0"/>
        <w:autoSpaceDE/>
        <w:autoSpaceDN/>
        <w:bidi w:val="0"/>
        <w:adjustRightInd/>
        <w:snapToGrid/>
        <w:ind w:firstLine="480"/>
        <w:textAlignment w:val="auto"/>
        <w:rPr>
          <w:rFonts w:hint="eastAsia"/>
          <w:color w:val="auto"/>
          <w:vertAlign w:val="baseline"/>
          <w:lang w:val="en-US" w:eastAsia="zh-CN"/>
        </w:rPr>
      </w:pPr>
      <w:r>
        <w:rPr>
          <w:rFonts w:hint="eastAsia"/>
          <w:color w:val="auto"/>
          <w:lang w:val="en-US" w:eastAsia="zh-CN"/>
        </w:rPr>
        <w:t>Vgy=0.285Qnet+0.343</w:t>
      </w:r>
      <w:r>
        <w:rPr>
          <w:rFonts w:hint="eastAsia"/>
          <w:color w:val="auto"/>
        </w:rPr>
        <w:t>N</w:t>
      </w:r>
      <w:r>
        <w:rPr>
          <w:color w:val="auto"/>
        </w:rPr>
        <w:t>m</w:t>
      </w:r>
      <w:r>
        <w:rPr>
          <w:color w:val="auto"/>
          <w:vertAlign w:val="superscript"/>
        </w:rPr>
        <w:t>3</w:t>
      </w:r>
      <w:r>
        <w:rPr>
          <w:rFonts w:hint="eastAsia"/>
          <w:color w:val="auto"/>
          <w:vertAlign w:val="baseline"/>
          <w:lang w:val="en-US" w:eastAsia="zh-CN"/>
        </w:rPr>
        <w:t>/m</w:t>
      </w:r>
      <w:r>
        <w:rPr>
          <w:rFonts w:hint="eastAsia"/>
          <w:color w:val="auto"/>
          <w:vertAlign w:val="superscript"/>
          <w:lang w:val="en-US" w:eastAsia="zh-CN"/>
        </w:rPr>
        <w:t>3</w:t>
      </w:r>
    </w:p>
    <w:p>
      <w:pPr>
        <w:pStyle w:val="2"/>
        <w:keepNext w:val="0"/>
        <w:keepLines w:val="0"/>
        <w:pageBreakBefore w:val="0"/>
        <w:widowControl w:val="0"/>
        <w:kinsoku/>
        <w:wordWrap/>
        <w:overflowPunct/>
        <w:topLinePunct w:val="0"/>
        <w:autoSpaceDE/>
        <w:autoSpaceDN/>
        <w:bidi w:val="0"/>
        <w:adjustRightInd/>
        <w:snapToGrid/>
        <w:spacing w:after="0"/>
        <w:textAlignment w:val="auto"/>
        <w:rPr>
          <w:rFonts w:hint="eastAsia"/>
          <w:color w:val="auto"/>
          <w:vertAlign w:val="baseline"/>
          <w:lang w:val="en-US" w:eastAsia="zh-CN"/>
        </w:rPr>
      </w:pPr>
      <w:r>
        <w:rPr>
          <w:rFonts w:hint="eastAsia"/>
          <w:color w:val="auto"/>
          <w:vertAlign w:val="baseline"/>
          <w:lang w:val="en-US" w:eastAsia="zh-CN"/>
        </w:rPr>
        <w:t>其中：</w:t>
      </w:r>
      <w:r>
        <w:rPr>
          <w:rFonts w:hint="eastAsia"/>
          <w:color w:val="auto"/>
          <w:lang w:val="en-US" w:eastAsia="zh-CN"/>
        </w:rPr>
        <w:t>Vgy：基准烟气量，</w:t>
      </w:r>
      <w:r>
        <w:rPr>
          <w:rFonts w:hint="eastAsia"/>
          <w:color w:val="auto"/>
        </w:rPr>
        <w:t>N</w:t>
      </w:r>
      <w:r>
        <w:rPr>
          <w:color w:val="auto"/>
        </w:rPr>
        <w:t>m</w:t>
      </w:r>
      <w:r>
        <w:rPr>
          <w:color w:val="auto"/>
          <w:vertAlign w:val="superscript"/>
        </w:rPr>
        <w:t>3</w:t>
      </w:r>
      <w:r>
        <w:rPr>
          <w:rFonts w:hint="eastAsia"/>
          <w:color w:val="auto"/>
          <w:vertAlign w:val="baseline"/>
          <w:lang w:val="en-US" w:eastAsia="zh-CN"/>
        </w:rPr>
        <w:t>/m</w:t>
      </w:r>
      <w:r>
        <w:rPr>
          <w:rFonts w:hint="eastAsia"/>
          <w:color w:val="auto"/>
          <w:vertAlign w:val="superscript"/>
          <w:lang w:val="en-US" w:eastAsia="zh-CN"/>
        </w:rPr>
        <w:t>3</w:t>
      </w:r>
      <w:r>
        <w:rPr>
          <w:rFonts w:hint="eastAsia"/>
          <w:color w:val="auto"/>
          <w:vertAlign w:val="baseline"/>
          <w:lang w:val="en-US" w:eastAsia="zh-CN"/>
        </w:rPr>
        <w:t>；</w:t>
      </w:r>
    </w:p>
    <w:p>
      <w:pPr>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Qnet：气体燃料低位发热量（MJ/</w:t>
      </w:r>
      <w:r>
        <w:rPr>
          <w:rFonts w:hint="eastAsia"/>
          <w:color w:val="auto"/>
          <w:vertAlign w:val="baseline"/>
          <w:lang w:val="en-US" w:eastAsia="zh-CN"/>
        </w:rPr>
        <w:t>m</w:t>
      </w:r>
      <w:r>
        <w:rPr>
          <w:rFonts w:hint="eastAsia"/>
          <w:color w:val="auto"/>
          <w:vertAlign w:val="superscript"/>
          <w:lang w:val="en-US" w:eastAsia="zh-CN"/>
        </w:rPr>
        <w:t>3</w:t>
      </w:r>
      <w:r>
        <w:rPr>
          <w:rFonts w:hint="eastAsia"/>
          <w:color w:val="auto"/>
          <w:lang w:val="en-US" w:eastAsia="zh-CN"/>
        </w:rPr>
        <w:t>），本项目天然气Qnet为45.88MJ/</w:t>
      </w:r>
      <w:r>
        <w:rPr>
          <w:rFonts w:hint="eastAsia"/>
          <w:color w:val="auto"/>
          <w:vertAlign w:val="baseline"/>
          <w:lang w:val="en-US" w:eastAsia="zh-CN"/>
        </w:rPr>
        <w:t>m</w:t>
      </w:r>
      <w:r>
        <w:rPr>
          <w:rFonts w:hint="eastAsia"/>
          <w:color w:val="auto"/>
          <w:vertAlign w:val="superscript"/>
          <w:lang w:val="en-US" w:eastAsia="zh-CN"/>
        </w:rPr>
        <w:t>3</w:t>
      </w:r>
    </w:p>
    <w:p>
      <w:pPr>
        <w:keepNext w:val="0"/>
        <w:keepLines w:val="0"/>
        <w:pageBreakBefore w:val="0"/>
        <w:widowControl w:val="0"/>
        <w:kinsoku/>
        <w:wordWrap/>
        <w:overflowPunct/>
        <w:topLinePunct w:val="0"/>
        <w:autoSpaceDE/>
        <w:autoSpaceDN/>
        <w:bidi w:val="0"/>
        <w:adjustRightInd/>
        <w:snapToGrid/>
        <w:ind w:firstLine="480"/>
        <w:textAlignment w:val="auto"/>
        <w:rPr>
          <w:color w:val="auto"/>
        </w:rPr>
      </w:pPr>
      <w:r>
        <w:rPr>
          <w:rFonts w:hint="eastAsia"/>
          <w:color w:val="auto"/>
          <w:lang w:val="en-US" w:eastAsia="zh-CN"/>
        </w:rPr>
        <w:t>根据计算Vgy=0.285×45.88+0.343=13.4188</w:t>
      </w:r>
      <w:r>
        <w:rPr>
          <w:rFonts w:hint="eastAsia"/>
          <w:color w:val="auto"/>
        </w:rPr>
        <w:t>N</w:t>
      </w:r>
      <w:r>
        <w:rPr>
          <w:color w:val="auto"/>
        </w:rPr>
        <w:t>m</w:t>
      </w:r>
      <w:r>
        <w:rPr>
          <w:color w:val="auto"/>
          <w:vertAlign w:val="superscript"/>
        </w:rPr>
        <w:t>3</w:t>
      </w:r>
      <w:r>
        <w:rPr>
          <w:rFonts w:hint="eastAsia"/>
          <w:color w:val="auto"/>
          <w:vertAlign w:val="baseline"/>
          <w:lang w:val="en-US" w:eastAsia="zh-CN"/>
        </w:rPr>
        <w:t>/m</w:t>
      </w:r>
      <w:r>
        <w:rPr>
          <w:rFonts w:hint="eastAsia"/>
          <w:color w:val="auto"/>
          <w:vertAlign w:val="superscript"/>
          <w:lang w:val="en-US" w:eastAsia="zh-CN"/>
        </w:rPr>
        <w:t>3</w:t>
      </w:r>
      <w:r>
        <w:rPr>
          <w:rFonts w:hint="eastAsia"/>
          <w:color w:val="auto"/>
          <w:vertAlign w:val="baseline"/>
          <w:lang w:val="en-US" w:eastAsia="zh-CN"/>
        </w:rPr>
        <w:t>，因此</w:t>
      </w:r>
      <w:r>
        <w:rPr>
          <w:color w:val="auto"/>
        </w:rPr>
        <w:t>每燃烧1m</w:t>
      </w:r>
      <w:r>
        <w:rPr>
          <w:color w:val="auto"/>
          <w:vertAlign w:val="superscript"/>
        </w:rPr>
        <w:t>3</w:t>
      </w:r>
      <w:r>
        <w:rPr>
          <w:color w:val="auto"/>
        </w:rPr>
        <w:t>天然气废气量</w:t>
      </w:r>
      <w:r>
        <w:rPr>
          <w:rFonts w:hint="eastAsia"/>
          <w:color w:val="auto"/>
          <w:lang w:val="en-US" w:eastAsia="zh-CN"/>
        </w:rPr>
        <w:t>约</w:t>
      </w:r>
      <w:r>
        <w:rPr>
          <w:color w:val="auto"/>
        </w:rPr>
        <w:t>为</w:t>
      </w:r>
      <w:r>
        <w:rPr>
          <w:rFonts w:hint="eastAsia"/>
          <w:color w:val="auto"/>
          <w:lang w:val="en-US" w:eastAsia="zh-CN"/>
        </w:rPr>
        <w:t>13.42</w:t>
      </w:r>
      <w:r>
        <w:rPr>
          <w:rFonts w:hint="eastAsia"/>
          <w:color w:val="auto"/>
        </w:rPr>
        <w:t>N</w:t>
      </w:r>
      <w:r>
        <w:rPr>
          <w:color w:val="auto"/>
        </w:rPr>
        <w:t>m</w:t>
      </w:r>
      <w:r>
        <w:rPr>
          <w:color w:val="auto"/>
          <w:vertAlign w:val="superscript"/>
        </w:rPr>
        <w:t>3</w:t>
      </w:r>
      <w:r>
        <w:rPr>
          <w:color w:val="auto"/>
        </w:rPr>
        <w:t>。</w:t>
      </w:r>
    </w:p>
    <w:p>
      <w:pPr>
        <w:ind w:firstLine="480"/>
        <w:rPr>
          <w:color w:val="auto"/>
        </w:rPr>
      </w:pPr>
      <w:r>
        <w:rPr>
          <w:rFonts w:hint="eastAsia"/>
          <w:color w:val="auto"/>
        </w:rPr>
        <w:t>燃气锅炉污染物产生及排放见下表。</w:t>
      </w:r>
    </w:p>
    <w:p>
      <w:pPr>
        <w:pStyle w:val="57"/>
        <w:rPr>
          <w:color w:val="auto"/>
        </w:rPr>
      </w:pPr>
      <w:r>
        <w:rPr>
          <w:rFonts w:hint="eastAsia"/>
          <w:color w:val="auto"/>
        </w:rPr>
        <w:t>表2.5-9  锅炉废气污染物产生排放一览表</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3"/>
        <w:gridCol w:w="833"/>
        <w:gridCol w:w="835"/>
        <w:gridCol w:w="625"/>
        <w:gridCol w:w="833"/>
        <w:gridCol w:w="1436"/>
        <w:gridCol w:w="979"/>
        <w:gridCol w:w="573"/>
        <w:gridCol w:w="996"/>
        <w:gridCol w:w="649"/>
        <w:gridCol w:w="6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80" w:type="pct"/>
            <w:vMerge w:val="restart"/>
            <w:tcBorders>
              <w:tl2br w:val="nil"/>
              <w:tr2bl w:val="nil"/>
            </w:tcBorders>
            <w:vAlign w:val="center"/>
          </w:tcPr>
          <w:p>
            <w:pPr>
              <w:pStyle w:val="45"/>
              <w:ind w:firstLine="0" w:firstLineChars="0"/>
              <w:rPr>
                <w:b/>
                <w:bCs/>
                <w:color w:val="auto"/>
              </w:rPr>
            </w:pPr>
            <w:r>
              <w:rPr>
                <w:rFonts w:hint="eastAsia"/>
                <w:b/>
                <w:bCs/>
                <w:color w:val="auto"/>
              </w:rPr>
              <w:t>装置</w:t>
            </w:r>
          </w:p>
        </w:tc>
        <w:tc>
          <w:tcPr>
            <w:tcW w:w="448" w:type="pct"/>
            <w:vMerge w:val="restart"/>
            <w:tcBorders>
              <w:tl2br w:val="nil"/>
              <w:tr2bl w:val="nil"/>
            </w:tcBorders>
            <w:vAlign w:val="center"/>
          </w:tcPr>
          <w:p>
            <w:pPr>
              <w:pStyle w:val="45"/>
              <w:ind w:firstLine="0" w:firstLineChars="0"/>
              <w:rPr>
                <w:b/>
                <w:bCs/>
                <w:color w:val="auto"/>
              </w:rPr>
            </w:pPr>
            <w:r>
              <w:rPr>
                <w:rFonts w:hint="eastAsia"/>
                <w:b/>
                <w:bCs/>
                <w:color w:val="auto"/>
              </w:rPr>
              <w:t>天然气消耗量/(m</w:t>
            </w:r>
            <w:r>
              <w:rPr>
                <w:rFonts w:hint="eastAsia"/>
                <w:b/>
                <w:bCs/>
                <w:color w:val="auto"/>
                <w:vertAlign w:val="superscript"/>
              </w:rPr>
              <w:t>3</w:t>
            </w:r>
            <w:r>
              <w:rPr>
                <w:rFonts w:hint="eastAsia"/>
                <w:b/>
                <w:bCs/>
                <w:color w:val="auto"/>
              </w:rPr>
              <w:t>/h)</w:t>
            </w:r>
          </w:p>
        </w:tc>
        <w:tc>
          <w:tcPr>
            <w:tcW w:w="449" w:type="pct"/>
            <w:vMerge w:val="restart"/>
            <w:tcBorders>
              <w:tl2br w:val="nil"/>
              <w:tr2bl w:val="nil"/>
            </w:tcBorders>
            <w:vAlign w:val="center"/>
          </w:tcPr>
          <w:p>
            <w:pPr>
              <w:pStyle w:val="45"/>
              <w:ind w:firstLine="0" w:firstLineChars="0"/>
              <w:rPr>
                <w:b/>
                <w:bCs/>
                <w:color w:val="auto"/>
              </w:rPr>
            </w:pPr>
            <w:r>
              <w:rPr>
                <w:rFonts w:hint="eastAsia"/>
                <w:b/>
                <w:bCs/>
                <w:color w:val="auto"/>
              </w:rPr>
              <w:t>污染源</w:t>
            </w:r>
          </w:p>
        </w:tc>
        <w:tc>
          <w:tcPr>
            <w:tcW w:w="336" w:type="pct"/>
            <w:vMerge w:val="restart"/>
            <w:tcBorders>
              <w:tl2br w:val="nil"/>
              <w:tr2bl w:val="nil"/>
            </w:tcBorders>
            <w:vAlign w:val="center"/>
          </w:tcPr>
          <w:p>
            <w:pPr>
              <w:pStyle w:val="45"/>
              <w:ind w:firstLine="0" w:firstLineChars="0"/>
              <w:rPr>
                <w:b/>
                <w:bCs/>
                <w:color w:val="auto"/>
              </w:rPr>
            </w:pPr>
            <w:r>
              <w:rPr>
                <w:rFonts w:hint="eastAsia"/>
                <w:b/>
                <w:bCs/>
                <w:color w:val="auto"/>
              </w:rPr>
              <w:t>污染物</w:t>
            </w:r>
          </w:p>
        </w:tc>
        <w:tc>
          <w:tcPr>
            <w:tcW w:w="448" w:type="pct"/>
            <w:vMerge w:val="restart"/>
            <w:tcBorders>
              <w:tl2br w:val="nil"/>
              <w:tr2bl w:val="nil"/>
            </w:tcBorders>
            <w:vAlign w:val="center"/>
          </w:tcPr>
          <w:p>
            <w:pPr>
              <w:pStyle w:val="45"/>
              <w:ind w:firstLine="0" w:firstLineChars="0"/>
              <w:rPr>
                <w:b/>
                <w:bCs/>
                <w:color w:val="auto"/>
              </w:rPr>
            </w:pPr>
            <w:r>
              <w:rPr>
                <w:rFonts w:hint="eastAsia"/>
                <w:b/>
                <w:bCs/>
                <w:color w:val="auto"/>
              </w:rPr>
              <w:t>烟气量/(m</w:t>
            </w:r>
            <w:r>
              <w:rPr>
                <w:rFonts w:hint="eastAsia"/>
                <w:b/>
                <w:bCs/>
                <w:color w:val="auto"/>
                <w:vertAlign w:val="superscript"/>
              </w:rPr>
              <w:t>3</w:t>
            </w:r>
            <w:r>
              <w:rPr>
                <w:rFonts w:hint="eastAsia"/>
                <w:b/>
                <w:bCs/>
                <w:color w:val="auto"/>
              </w:rPr>
              <w:t>/h)</w:t>
            </w:r>
          </w:p>
        </w:tc>
        <w:tc>
          <w:tcPr>
            <w:tcW w:w="1300" w:type="pct"/>
            <w:gridSpan w:val="2"/>
            <w:tcBorders>
              <w:tl2br w:val="nil"/>
              <w:tr2bl w:val="nil"/>
            </w:tcBorders>
            <w:vAlign w:val="center"/>
          </w:tcPr>
          <w:p>
            <w:pPr>
              <w:pStyle w:val="45"/>
              <w:ind w:firstLine="0" w:firstLineChars="0"/>
              <w:rPr>
                <w:rFonts w:hint="eastAsia"/>
                <w:b/>
                <w:bCs/>
                <w:color w:val="auto"/>
              </w:rPr>
            </w:pPr>
            <w:r>
              <w:rPr>
                <w:rFonts w:hint="eastAsia"/>
                <w:b/>
                <w:bCs/>
                <w:color w:val="auto"/>
              </w:rPr>
              <w:t>污染物产生</w:t>
            </w:r>
          </w:p>
        </w:tc>
        <w:tc>
          <w:tcPr>
            <w:tcW w:w="308" w:type="pct"/>
            <w:vMerge w:val="restart"/>
            <w:tcBorders>
              <w:tl2br w:val="nil"/>
              <w:tr2bl w:val="nil"/>
            </w:tcBorders>
            <w:vAlign w:val="center"/>
          </w:tcPr>
          <w:p>
            <w:pPr>
              <w:pStyle w:val="45"/>
              <w:ind w:firstLine="0" w:firstLineChars="0"/>
              <w:rPr>
                <w:b/>
                <w:bCs/>
                <w:color w:val="auto"/>
              </w:rPr>
            </w:pPr>
            <w:r>
              <w:rPr>
                <w:rFonts w:hint="eastAsia"/>
                <w:b/>
                <w:bCs/>
                <w:color w:val="auto"/>
              </w:rPr>
              <w:t>治理设施</w:t>
            </w:r>
          </w:p>
        </w:tc>
        <w:tc>
          <w:tcPr>
            <w:tcW w:w="885" w:type="pct"/>
            <w:gridSpan w:val="2"/>
            <w:tcBorders>
              <w:tl2br w:val="nil"/>
              <w:tr2bl w:val="nil"/>
            </w:tcBorders>
            <w:vAlign w:val="center"/>
          </w:tcPr>
          <w:p>
            <w:pPr>
              <w:pStyle w:val="45"/>
              <w:ind w:firstLine="0" w:firstLineChars="0"/>
              <w:rPr>
                <w:b/>
                <w:bCs/>
                <w:color w:val="auto"/>
              </w:rPr>
            </w:pPr>
            <w:r>
              <w:rPr>
                <w:rFonts w:hint="eastAsia"/>
                <w:b/>
                <w:bCs/>
                <w:color w:val="auto"/>
              </w:rPr>
              <w:t>污染物排放</w:t>
            </w:r>
          </w:p>
        </w:tc>
        <w:tc>
          <w:tcPr>
            <w:tcW w:w="342" w:type="pct"/>
            <w:vMerge w:val="restart"/>
            <w:tcBorders>
              <w:tl2br w:val="nil"/>
              <w:tr2bl w:val="nil"/>
            </w:tcBorders>
            <w:vAlign w:val="center"/>
          </w:tcPr>
          <w:p>
            <w:pPr>
              <w:pStyle w:val="45"/>
              <w:rPr>
                <w:color w:val="auto"/>
              </w:rPr>
            </w:pPr>
            <w:r>
              <w:rPr>
                <w:rFonts w:hint="eastAsia"/>
                <w:b/>
                <w:bCs/>
                <w:color w:val="auto"/>
              </w:rPr>
              <w:t>排放时间/h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80" w:type="pct"/>
            <w:vMerge w:val="continue"/>
            <w:tcBorders>
              <w:tl2br w:val="nil"/>
              <w:tr2bl w:val="nil"/>
            </w:tcBorders>
            <w:vAlign w:val="center"/>
          </w:tcPr>
          <w:p>
            <w:pPr>
              <w:pStyle w:val="45"/>
              <w:ind w:firstLine="0" w:firstLineChars="0"/>
              <w:rPr>
                <w:b/>
                <w:bCs/>
                <w:color w:val="auto"/>
              </w:rPr>
            </w:pPr>
          </w:p>
        </w:tc>
        <w:tc>
          <w:tcPr>
            <w:tcW w:w="448" w:type="pct"/>
            <w:vMerge w:val="continue"/>
            <w:tcBorders>
              <w:tl2br w:val="nil"/>
              <w:tr2bl w:val="nil"/>
            </w:tcBorders>
            <w:vAlign w:val="center"/>
          </w:tcPr>
          <w:p>
            <w:pPr>
              <w:pStyle w:val="45"/>
              <w:ind w:firstLine="0" w:firstLineChars="0"/>
              <w:rPr>
                <w:b/>
                <w:bCs/>
                <w:color w:val="auto"/>
              </w:rPr>
            </w:pPr>
          </w:p>
        </w:tc>
        <w:tc>
          <w:tcPr>
            <w:tcW w:w="449" w:type="pct"/>
            <w:vMerge w:val="continue"/>
            <w:tcBorders>
              <w:tl2br w:val="nil"/>
              <w:tr2bl w:val="nil"/>
            </w:tcBorders>
            <w:vAlign w:val="center"/>
          </w:tcPr>
          <w:p>
            <w:pPr>
              <w:pStyle w:val="45"/>
              <w:ind w:firstLine="0" w:firstLineChars="0"/>
              <w:rPr>
                <w:b/>
                <w:bCs/>
                <w:color w:val="auto"/>
              </w:rPr>
            </w:pPr>
          </w:p>
        </w:tc>
        <w:tc>
          <w:tcPr>
            <w:tcW w:w="336" w:type="pct"/>
            <w:vMerge w:val="continue"/>
            <w:tcBorders>
              <w:tl2br w:val="nil"/>
              <w:tr2bl w:val="nil"/>
            </w:tcBorders>
            <w:vAlign w:val="center"/>
          </w:tcPr>
          <w:p>
            <w:pPr>
              <w:pStyle w:val="45"/>
              <w:ind w:firstLine="0" w:firstLineChars="0"/>
              <w:rPr>
                <w:b/>
                <w:bCs/>
                <w:color w:val="auto"/>
              </w:rPr>
            </w:pPr>
          </w:p>
        </w:tc>
        <w:tc>
          <w:tcPr>
            <w:tcW w:w="448" w:type="pct"/>
            <w:vMerge w:val="continue"/>
            <w:tcBorders>
              <w:tl2br w:val="nil"/>
              <w:tr2bl w:val="nil"/>
            </w:tcBorders>
            <w:vAlign w:val="center"/>
          </w:tcPr>
          <w:p>
            <w:pPr>
              <w:pStyle w:val="45"/>
              <w:ind w:firstLine="0" w:firstLineChars="0"/>
              <w:rPr>
                <w:b/>
                <w:bCs/>
                <w:color w:val="auto"/>
              </w:rPr>
            </w:pPr>
          </w:p>
        </w:tc>
        <w:tc>
          <w:tcPr>
            <w:tcW w:w="773" w:type="pct"/>
            <w:tcBorders>
              <w:tl2br w:val="nil"/>
              <w:tr2bl w:val="nil"/>
            </w:tcBorders>
            <w:vAlign w:val="center"/>
          </w:tcPr>
          <w:p>
            <w:pPr>
              <w:pStyle w:val="45"/>
              <w:ind w:firstLine="0" w:firstLineChars="0"/>
              <w:rPr>
                <w:rFonts w:hint="eastAsia"/>
                <w:b/>
                <w:bCs/>
                <w:color w:val="auto"/>
              </w:rPr>
            </w:pPr>
            <w:r>
              <w:rPr>
                <w:rFonts w:hint="eastAsia"/>
                <w:b/>
                <w:bCs/>
                <w:color w:val="auto"/>
              </w:rPr>
              <w:t>浓度/(mg/m</w:t>
            </w:r>
            <w:r>
              <w:rPr>
                <w:rFonts w:hint="eastAsia"/>
                <w:b/>
                <w:bCs/>
                <w:color w:val="auto"/>
                <w:vertAlign w:val="superscript"/>
              </w:rPr>
              <w:t>3</w:t>
            </w:r>
            <w:r>
              <w:rPr>
                <w:rFonts w:hint="eastAsia"/>
                <w:b/>
                <w:bCs/>
                <w:color w:val="auto"/>
              </w:rPr>
              <w:t>)</w:t>
            </w:r>
          </w:p>
        </w:tc>
        <w:tc>
          <w:tcPr>
            <w:tcW w:w="527" w:type="pct"/>
            <w:tcBorders>
              <w:tl2br w:val="nil"/>
              <w:tr2bl w:val="nil"/>
            </w:tcBorders>
            <w:vAlign w:val="center"/>
          </w:tcPr>
          <w:p>
            <w:pPr>
              <w:pStyle w:val="45"/>
              <w:ind w:firstLine="0" w:firstLineChars="0"/>
              <w:rPr>
                <w:b/>
                <w:bCs/>
                <w:color w:val="auto"/>
              </w:rPr>
            </w:pPr>
            <w:r>
              <w:rPr>
                <w:rFonts w:hint="eastAsia"/>
                <w:b/>
                <w:bCs/>
                <w:color w:val="auto"/>
              </w:rPr>
              <w:t>产生量/(t/a)</w:t>
            </w:r>
          </w:p>
        </w:tc>
        <w:tc>
          <w:tcPr>
            <w:tcW w:w="308" w:type="pct"/>
            <w:vMerge w:val="continue"/>
            <w:tcBorders>
              <w:tl2br w:val="nil"/>
              <w:tr2bl w:val="nil"/>
            </w:tcBorders>
            <w:vAlign w:val="center"/>
          </w:tcPr>
          <w:p>
            <w:pPr>
              <w:pStyle w:val="45"/>
              <w:ind w:firstLine="0" w:firstLineChars="0"/>
              <w:rPr>
                <w:b/>
                <w:bCs/>
                <w:color w:val="auto"/>
              </w:rPr>
            </w:pPr>
          </w:p>
        </w:tc>
        <w:tc>
          <w:tcPr>
            <w:tcW w:w="536" w:type="pct"/>
            <w:tcBorders>
              <w:tl2br w:val="nil"/>
              <w:tr2bl w:val="nil"/>
            </w:tcBorders>
            <w:vAlign w:val="center"/>
          </w:tcPr>
          <w:p>
            <w:pPr>
              <w:pStyle w:val="45"/>
              <w:ind w:firstLine="0" w:firstLineChars="0"/>
              <w:rPr>
                <w:b/>
                <w:bCs/>
                <w:color w:val="auto"/>
              </w:rPr>
            </w:pPr>
            <w:r>
              <w:rPr>
                <w:rFonts w:hint="eastAsia"/>
                <w:b/>
                <w:bCs/>
                <w:color w:val="auto"/>
              </w:rPr>
              <w:t>浓度/(mg/m</w:t>
            </w:r>
            <w:r>
              <w:rPr>
                <w:rFonts w:hint="eastAsia"/>
                <w:b/>
                <w:bCs/>
                <w:color w:val="auto"/>
                <w:vertAlign w:val="superscript"/>
              </w:rPr>
              <w:t>3</w:t>
            </w:r>
            <w:r>
              <w:rPr>
                <w:rFonts w:hint="eastAsia"/>
                <w:b/>
                <w:bCs/>
                <w:color w:val="auto"/>
              </w:rPr>
              <w:t>)</w:t>
            </w:r>
          </w:p>
        </w:tc>
        <w:tc>
          <w:tcPr>
            <w:tcW w:w="348" w:type="pct"/>
            <w:tcBorders>
              <w:tl2br w:val="nil"/>
              <w:tr2bl w:val="nil"/>
            </w:tcBorders>
            <w:vAlign w:val="center"/>
          </w:tcPr>
          <w:p>
            <w:pPr>
              <w:pStyle w:val="45"/>
              <w:ind w:firstLine="0" w:firstLineChars="0"/>
              <w:rPr>
                <w:b/>
                <w:bCs/>
                <w:color w:val="auto"/>
              </w:rPr>
            </w:pPr>
            <w:r>
              <w:rPr>
                <w:rFonts w:hint="eastAsia"/>
                <w:b/>
                <w:bCs/>
                <w:color w:val="auto"/>
              </w:rPr>
              <w:t>排放量/(t/a)</w:t>
            </w:r>
          </w:p>
        </w:tc>
        <w:tc>
          <w:tcPr>
            <w:tcW w:w="342" w:type="pct"/>
            <w:vMerge w:val="continue"/>
            <w:tcBorders>
              <w:tl2br w:val="nil"/>
              <w:tr2bl w:val="nil"/>
            </w:tcBorders>
            <w:vAlign w:val="center"/>
          </w:tcPr>
          <w:p>
            <w:pPr>
              <w:pStyle w:val="45"/>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80" w:type="pct"/>
            <w:vMerge w:val="restart"/>
            <w:tcBorders>
              <w:tl2br w:val="nil"/>
              <w:tr2bl w:val="nil"/>
            </w:tcBorders>
            <w:vAlign w:val="center"/>
          </w:tcPr>
          <w:p>
            <w:pPr>
              <w:pStyle w:val="45"/>
              <w:ind w:firstLine="0" w:firstLineChars="0"/>
              <w:rPr>
                <w:color w:val="auto"/>
              </w:rPr>
            </w:pPr>
            <w:r>
              <w:rPr>
                <w:rFonts w:hint="eastAsia"/>
                <w:color w:val="auto"/>
              </w:rPr>
              <w:t>1800kw燃气导热油锅炉机组</w:t>
            </w:r>
          </w:p>
        </w:tc>
        <w:tc>
          <w:tcPr>
            <w:tcW w:w="448" w:type="pct"/>
            <w:vMerge w:val="restart"/>
            <w:tcBorders>
              <w:tl2br w:val="nil"/>
              <w:tr2bl w:val="nil"/>
            </w:tcBorders>
            <w:vAlign w:val="center"/>
          </w:tcPr>
          <w:p>
            <w:pPr>
              <w:pStyle w:val="45"/>
              <w:ind w:firstLine="0" w:firstLineChars="0"/>
              <w:rPr>
                <w:color w:val="auto"/>
              </w:rPr>
            </w:pPr>
            <w:r>
              <w:rPr>
                <w:rFonts w:hint="eastAsia"/>
                <w:color w:val="auto"/>
                <w:lang w:val="en-US" w:eastAsia="zh-CN"/>
              </w:rPr>
              <w:t>208</w:t>
            </w:r>
          </w:p>
        </w:tc>
        <w:tc>
          <w:tcPr>
            <w:tcW w:w="449" w:type="pct"/>
            <w:vMerge w:val="restart"/>
            <w:tcBorders>
              <w:tl2br w:val="nil"/>
              <w:tr2bl w:val="nil"/>
            </w:tcBorders>
            <w:vAlign w:val="center"/>
          </w:tcPr>
          <w:p>
            <w:pPr>
              <w:pStyle w:val="45"/>
              <w:ind w:firstLine="0" w:firstLineChars="0"/>
              <w:rPr>
                <w:rFonts w:hint="eastAsia" w:eastAsia="宋体"/>
                <w:color w:val="auto"/>
                <w:szCs w:val="24"/>
                <w:lang w:eastAsia="zh-CN"/>
              </w:rPr>
            </w:pPr>
            <w:r>
              <w:rPr>
                <w:rFonts w:hint="eastAsia"/>
                <w:color w:val="auto"/>
              </w:rPr>
              <w:t>排气筒DA00</w:t>
            </w:r>
            <w:r>
              <w:rPr>
                <w:rFonts w:hint="eastAsia"/>
                <w:color w:val="auto"/>
                <w:lang w:val="en-US" w:eastAsia="zh-CN"/>
              </w:rPr>
              <w:t>2</w:t>
            </w:r>
          </w:p>
        </w:tc>
        <w:tc>
          <w:tcPr>
            <w:tcW w:w="336" w:type="pct"/>
            <w:tcBorders>
              <w:tl2br w:val="nil"/>
              <w:tr2bl w:val="nil"/>
            </w:tcBorders>
            <w:vAlign w:val="center"/>
          </w:tcPr>
          <w:p>
            <w:pPr>
              <w:pStyle w:val="45"/>
              <w:ind w:firstLine="0" w:firstLineChars="0"/>
              <w:rPr>
                <w:color w:val="auto"/>
              </w:rPr>
            </w:pPr>
            <w:r>
              <w:rPr>
                <w:rFonts w:hint="eastAsia"/>
                <w:color w:val="auto"/>
              </w:rPr>
              <w:t>SO</w:t>
            </w:r>
            <w:r>
              <w:rPr>
                <w:rFonts w:hint="eastAsia"/>
                <w:color w:val="auto"/>
                <w:vertAlign w:val="subscript"/>
              </w:rPr>
              <w:t>2</w:t>
            </w:r>
          </w:p>
        </w:tc>
        <w:tc>
          <w:tcPr>
            <w:tcW w:w="448" w:type="pct"/>
            <w:vMerge w:val="restart"/>
            <w:tcBorders>
              <w:tl2br w:val="nil"/>
              <w:tr2bl w:val="nil"/>
            </w:tcBorders>
            <w:vAlign w:val="center"/>
          </w:tcPr>
          <w:p>
            <w:pPr>
              <w:pStyle w:val="45"/>
              <w:ind w:firstLine="0" w:firstLineChars="0"/>
              <w:rPr>
                <w:rFonts w:hint="default"/>
                <w:color w:val="auto"/>
                <w:lang w:val="en-US"/>
              </w:rPr>
            </w:pPr>
            <w:r>
              <w:rPr>
                <w:rFonts w:hint="eastAsia"/>
                <w:color w:val="auto"/>
                <w:lang w:val="en-US" w:eastAsia="zh-CN"/>
              </w:rPr>
              <w:t>2792</w:t>
            </w:r>
          </w:p>
        </w:tc>
        <w:tc>
          <w:tcPr>
            <w:tcW w:w="773" w:type="pct"/>
            <w:tcBorders>
              <w:tl2br w:val="nil"/>
              <w:tr2bl w:val="nil"/>
            </w:tcBorders>
            <w:vAlign w:val="center"/>
          </w:tcPr>
          <w:p>
            <w:pPr>
              <w:pStyle w:val="45"/>
              <w:ind w:firstLine="0" w:firstLineChars="0"/>
              <w:rPr>
                <w:rFonts w:hint="eastAsia"/>
                <w:color w:val="auto"/>
                <w:lang w:val="en-US" w:eastAsia="zh-CN"/>
              </w:rPr>
            </w:pPr>
            <w:r>
              <w:rPr>
                <w:rFonts w:hint="eastAsia"/>
                <w:color w:val="auto"/>
                <w:lang w:val="en-US" w:eastAsia="zh-CN"/>
              </w:rPr>
              <w:t>22.39</w:t>
            </w:r>
          </w:p>
        </w:tc>
        <w:tc>
          <w:tcPr>
            <w:tcW w:w="527" w:type="pct"/>
            <w:tcBorders>
              <w:tl2br w:val="nil"/>
              <w:tr2bl w:val="nil"/>
            </w:tcBorders>
            <w:vAlign w:val="center"/>
          </w:tcPr>
          <w:p>
            <w:pPr>
              <w:pStyle w:val="45"/>
              <w:ind w:firstLine="0" w:firstLineChars="0"/>
              <w:rPr>
                <w:color w:val="auto"/>
              </w:rPr>
            </w:pPr>
            <w:r>
              <w:rPr>
                <w:rFonts w:hint="eastAsia"/>
                <w:color w:val="auto"/>
                <w:lang w:val="en-US" w:eastAsia="zh-CN"/>
              </w:rPr>
              <w:t>0.45</w:t>
            </w:r>
          </w:p>
        </w:tc>
        <w:tc>
          <w:tcPr>
            <w:tcW w:w="308" w:type="pct"/>
            <w:tcBorders>
              <w:tl2br w:val="nil"/>
              <w:tr2bl w:val="nil"/>
            </w:tcBorders>
            <w:vAlign w:val="center"/>
          </w:tcPr>
          <w:p>
            <w:pPr>
              <w:pStyle w:val="45"/>
              <w:ind w:firstLine="0" w:firstLineChars="0"/>
              <w:rPr>
                <w:color w:val="auto"/>
                <w:szCs w:val="24"/>
              </w:rPr>
            </w:pPr>
            <w:r>
              <w:rPr>
                <w:rFonts w:hint="eastAsia"/>
                <w:color w:val="auto"/>
              </w:rPr>
              <w:t>直排</w:t>
            </w:r>
          </w:p>
        </w:tc>
        <w:tc>
          <w:tcPr>
            <w:tcW w:w="536" w:type="pct"/>
            <w:tcBorders>
              <w:tl2br w:val="nil"/>
              <w:tr2bl w:val="nil"/>
            </w:tcBorders>
            <w:vAlign w:val="center"/>
          </w:tcPr>
          <w:p>
            <w:pPr>
              <w:pStyle w:val="45"/>
              <w:ind w:firstLine="0" w:firstLineChars="0"/>
              <w:rPr>
                <w:color w:val="auto"/>
                <w:szCs w:val="24"/>
              </w:rPr>
            </w:pPr>
            <w:r>
              <w:rPr>
                <w:rFonts w:hint="eastAsia"/>
                <w:color w:val="auto"/>
                <w:lang w:val="en-US" w:eastAsia="zh-CN"/>
              </w:rPr>
              <w:t>22.39</w:t>
            </w:r>
          </w:p>
        </w:tc>
        <w:tc>
          <w:tcPr>
            <w:tcW w:w="348" w:type="pct"/>
            <w:tcBorders>
              <w:tl2br w:val="nil"/>
              <w:tr2bl w:val="nil"/>
            </w:tcBorders>
            <w:vAlign w:val="center"/>
          </w:tcPr>
          <w:p>
            <w:pPr>
              <w:pStyle w:val="45"/>
              <w:ind w:firstLine="0" w:firstLineChars="0"/>
              <w:rPr>
                <w:color w:val="auto"/>
                <w:szCs w:val="24"/>
              </w:rPr>
            </w:pPr>
            <w:r>
              <w:rPr>
                <w:rFonts w:hint="eastAsia"/>
                <w:color w:val="auto"/>
                <w:lang w:val="en-US" w:eastAsia="zh-CN"/>
              </w:rPr>
              <w:t>0.45</w:t>
            </w:r>
          </w:p>
        </w:tc>
        <w:tc>
          <w:tcPr>
            <w:tcW w:w="342" w:type="pct"/>
            <w:vMerge w:val="restart"/>
            <w:tcBorders>
              <w:tl2br w:val="nil"/>
              <w:tr2bl w:val="nil"/>
            </w:tcBorders>
            <w:vAlign w:val="center"/>
          </w:tcPr>
          <w:p>
            <w:pPr>
              <w:pStyle w:val="45"/>
              <w:rPr>
                <w:rFonts w:hint="default" w:eastAsia="宋体"/>
                <w:color w:val="auto"/>
                <w:lang w:val="en-US" w:eastAsia="zh-CN"/>
              </w:rPr>
            </w:pPr>
            <w:r>
              <w:rPr>
                <w:rFonts w:hint="eastAsia"/>
                <w:color w:val="auto"/>
                <w:lang w:val="en-US" w:eastAsia="zh-CN"/>
              </w:rPr>
              <w:t>7200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80" w:type="pct"/>
            <w:vMerge w:val="continue"/>
            <w:tcBorders>
              <w:tl2br w:val="nil"/>
              <w:tr2bl w:val="nil"/>
            </w:tcBorders>
            <w:vAlign w:val="center"/>
          </w:tcPr>
          <w:p>
            <w:pPr>
              <w:pStyle w:val="45"/>
              <w:ind w:firstLine="0" w:firstLineChars="0"/>
              <w:rPr>
                <w:color w:val="auto"/>
              </w:rPr>
            </w:pPr>
          </w:p>
        </w:tc>
        <w:tc>
          <w:tcPr>
            <w:tcW w:w="448" w:type="pct"/>
            <w:vMerge w:val="continue"/>
            <w:tcBorders>
              <w:tl2br w:val="nil"/>
              <w:tr2bl w:val="nil"/>
            </w:tcBorders>
            <w:vAlign w:val="center"/>
          </w:tcPr>
          <w:p>
            <w:pPr>
              <w:pStyle w:val="45"/>
              <w:ind w:firstLine="0" w:firstLineChars="0"/>
              <w:rPr>
                <w:color w:val="auto"/>
              </w:rPr>
            </w:pPr>
          </w:p>
        </w:tc>
        <w:tc>
          <w:tcPr>
            <w:tcW w:w="449" w:type="pct"/>
            <w:vMerge w:val="continue"/>
            <w:tcBorders>
              <w:tl2br w:val="nil"/>
              <w:tr2bl w:val="nil"/>
            </w:tcBorders>
            <w:vAlign w:val="center"/>
          </w:tcPr>
          <w:p>
            <w:pPr>
              <w:pStyle w:val="45"/>
              <w:ind w:firstLine="0" w:firstLineChars="0"/>
              <w:rPr>
                <w:color w:val="auto"/>
              </w:rPr>
            </w:pPr>
          </w:p>
        </w:tc>
        <w:tc>
          <w:tcPr>
            <w:tcW w:w="336" w:type="pct"/>
            <w:tcBorders>
              <w:tl2br w:val="nil"/>
              <w:tr2bl w:val="nil"/>
            </w:tcBorders>
            <w:vAlign w:val="center"/>
          </w:tcPr>
          <w:p>
            <w:pPr>
              <w:pStyle w:val="45"/>
              <w:ind w:firstLine="0" w:firstLineChars="0"/>
              <w:rPr>
                <w:color w:val="auto"/>
              </w:rPr>
            </w:pPr>
            <w:r>
              <w:rPr>
                <w:rFonts w:hint="eastAsia"/>
                <w:color w:val="auto"/>
              </w:rPr>
              <w:t>NOx</w:t>
            </w:r>
          </w:p>
        </w:tc>
        <w:tc>
          <w:tcPr>
            <w:tcW w:w="448" w:type="pct"/>
            <w:vMerge w:val="continue"/>
            <w:tcBorders>
              <w:tl2br w:val="nil"/>
              <w:tr2bl w:val="nil"/>
            </w:tcBorders>
            <w:vAlign w:val="center"/>
          </w:tcPr>
          <w:p>
            <w:pPr>
              <w:pStyle w:val="45"/>
              <w:ind w:firstLine="0" w:firstLineChars="0"/>
              <w:rPr>
                <w:color w:val="auto"/>
              </w:rPr>
            </w:pPr>
          </w:p>
        </w:tc>
        <w:tc>
          <w:tcPr>
            <w:tcW w:w="773" w:type="pct"/>
            <w:tcBorders>
              <w:tl2br w:val="nil"/>
              <w:tr2bl w:val="nil"/>
            </w:tcBorders>
            <w:vAlign w:val="center"/>
          </w:tcPr>
          <w:p>
            <w:pPr>
              <w:pStyle w:val="45"/>
              <w:ind w:firstLine="0" w:firstLineChars="0"/>
              <w:rPr>
                <w:rFonts w:hint="eastAsia"/>
                <w:color w:val="auto"/>
                <w:lang w:val="en-US" w:eastAsia="zh-CN"/>
              </w:rPr>
            </w:pPr>
            <w:r>
              <w:rPr>
                <w:rFonts w:hint="eastAsia"/>
                <w:color w:val="auto"/>
                <w:lang w:val="en-US" w:eastAsia="zh-CN"/>
              </w:rPr>
              <w:t>139.29</w:t>
            </w:r>
          </w:p>
        </w:tc>
        <w:tc>
          <w:tcPr>
            <w:tcW w:w="527" w:type="pct"/>
            <w:tcBorders>
              <w:tl2br w:val="nil"/>
              <w:tr2bl w:val="nil"/>
            </w:tcBorders>
            <w:vAlign w:val="center"/>
          </w:tcPr>
          <w:p>
            <w:pPr>
              <w:pStyle w:val="45"/>
              <w:ind w:firstLine="0" w:firstLineChars="0"/>
              <w:rPr>
                <w:color w:val="auto"/>
              </w:rPr>
            </w:pPr>
            <w:r>
              <w:rPr>
                <w:rFonts w:hint="eastAsia"/>
                <w:color w:val="auto"/>
                <w:lang w:val="en-US" w:eastAsia="zh-CN"/>
              </w:rPr>
              <w:t>2.8</w:t>
            </w:r>
          </w:p>
        </w:tc>
        <w:tc>
          <w:tcPr>
            <w:tcW w:w="308" w:type="pct"/>
            <w:tcBorders>
              <w:tl2br w:val="nil"/>
              <w:tr2bl w:val="nil"/>
            </w:tcBorders>
            <w:vAlign w:val="center"/>
          </w:tcPr>
          <w:p>
            <w:pPr>
              <w:pStyle w:val="45"/>
              <w:ind w:firstLine="0" w:firstLineChars="0"/>
              <w:rPr>
                <w:color w:val="auto"/>
                <w:szCs w:val="24"/>
              </w:rPr>
            </w:pPr>
            <w:r>
              <w:rPr>
                <w:rFonts w:hint="eastAsia"/>
                <w:color w:val="auto"/>
              </w:rPr>
              <w:t>低氮燃烧</w:t>
            </w:r>
          </w:p>
        </w:tc>
        <w:tc>
          <w:tcPr>
            <w:tcW w:w="536" w:type="pct"/>
            <w:tcBorders>
              <w:tl2br w:val="nil"/>
              <w:tr2bl w:val="nil"/>
            </w:tcBorders>
            <w:vAlign w:val="center"/>
          </w:tcPr>
          <w:p>
            <w:pPr>
              <w:pStyle w:val="45"/>
              <w:ind w:firstLine="0" w:firstLineChars="0"/>
              <w:rPr>
                <w:color w:val="auto"/>
                <w:szCs w:val="24"/>
              </w:rPr>
            </w:pPr>
            <w:r>
              <w:rPr>
                <w:rFonts w:hint="eastAsia"/>
                <w:color w:val="auto"/>
                <w:szCs w:val="24"/>
                <w:lang w:val="en-US" w:eastAsia="zh-CN"/>
              </w:rPr>
              <w:t>69.65</w:t>
            </w:r>
          </w:p>
        </w:tc>
        <w:tc>
          <w:tcPr>
            <w:tcW w:w="348" w:type="pct"/>
            <w:tcBorders>
              <w:tl2br w:val="nil"/>
              <w:tr2bl w:val="nil"/>
            </w:tcBorders>
            <w:vAlign w:val="center"/>
          </w:tcPr>
          <w:p>
            <w:pPr>
              <w:pStyle w:val="45"/>
              <w:ind w:firstLine="0" w:firstLineChars="0"/>
              <w:rPr>
                <w:color w:val="auto"/>
                <w:szCs w:val="24"/>
              </w:rPr>
            </w:pPr>
            <w:r>
              <w:rPr>
                <w:rFonts w:hint="eastAsia"/>
                <w:color w:val="auto"/>
                <w:szCs w:val="24"/>
                <w:lang w:val="en-US" w:eastAsia="zh-CN"/>
              </w:rPr>
              <w:t>1.4</w:t>
            </w:r>
          </w:p>
        </w:tc>
        <w:tc>
          <w:tcPr>
            <w:tcW w:w="342" w:type="pct"/>
            <w:vMerge w:val="continue"/>
            <w:tcBorders>
              <w:tl2br w:val="nil"/>
              <w:tr2bl w:val="nil"/>
            </w:tcBorders>
            <w:vAlign w:val="center"/>
          </w:tcPr>
          <w:p>
            <w:pPr>
              <w:pStyle w:val="45"/>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80" w:type="pct"/>
            <w:vMerge w:val="continue"/>
            <w:tcBorders>
              <w:tl2br w:val="nil"/>
              <w:tr2bl w:val="nil"/>
            </w:tcBorders>
            <w:vAlign w:val="center"/>
          </w:tcPr>
          <w:p>
            <w:pPr>
              <w:pStyle w:val="45"/>
              <w:ind w:firstLine="0" w:firstLineChars="0"/>
              <w:rPr>
                <w:color w:val="auto"/>
              </w:rPr>
            </w:pPr>
          </w:p>
        </w:tc>
        <w:tc>
          <w:tcPr>
            <w:tcW w:w="448" w:type="pct"/>
            <w:vMerge w:val="continue"/>
            <w:tcBorders>
              <w:tl2br w:val="nil"/>
              <w:tr2bl w:val="nil"/>
            </w:tcBorders>
            <w:vAlign w:val="center"/>
          </w:tcPr>
          <w:p>
            <w:pPr>
              <w:pStyle w:val="45"/>
              <w:ind w:firstLine="0" w:firstLineChars="0"/>
              <w:rPr>
                <w:color w:val="auto"/>
              </w:rPr>
            </w:pPr>
          </w:p>
        </w:tc>
        <w:tc>
          <w:tcPr>
            <w:tcW w:w="449" w:type="pct"/>
            <w:vMerge w:val="continue"/>
            <w:tcBorders>
              <w:tl2br w:val="nil"/>
              <w:tr2bl w:val="nil"/>
            </w:tcBorders>
            <w:vAlign w:val="center"/>
          </w:tcPr>
          <w:p>
            <w:pPr>
              <w:pStyle w:val="45"/>
              <w:ind w:firstLine="0" w:firstLineChars="0"/>
              <w:rPr>
                <w:color w:val="auto"/>
              </w:rPr>
            </w:pPr>
          </w:p>
        </w:tc>
        <w:tc>
          <w:tcPr>
            <w:tcW w:w="336" w:type="pct"/>
            <w:tcBorders>
              <w:tl2br w:val="nil"/>
              <w:tr2bl w:val="nil"/>
            </w:tcBorders>
            <w:vAlign w:val="center"/>
          </w:tcPr>
          <w:p>
            <w:pPr>
              <w:pStyle w:val="45"/>
              <w:ind w:firstLine="0" w:firstLineChars="0"/>
              <w:rPr>
                <w:color w:val="auto"/>
              </w:rPr>
            </w:pPr>
            <w:r>
              <w:rPr>
                <w:rFonts w:hint="eastAsia"/>
                <w:color w:val="auto"/>
              </w:rPr>
              <w:t>颗粒物</w:t>
            </w:r>
          </w:p>
        </w:tc>
        <w:tc>
          <w:tcPr>
            <w:tcW w:w="448" w:type="pct"/>
            <w:vMerge w:val="continue"/>
            <w:tcBorders>
              <w:tl2br w:val="nil"/>
              <w:tr2bl w:val="nil"/>
            </w:tcBorders>
            <w:vAlign w:val="center"/>
          </w:tcPr>
          <w:p>
            <w:pPr>
              <w:pStyle w:val="45"/>
              <w:ind w:firstLine="0" w:firstLineChars="0"/>
              <w:rPr>
                <w:color w:val="auto"/>
              </w:rPr>
            </w:pPr>
          </w:p>
        </w:tc>
        <w:tc>
          <w:tcPr>
            <w:tcW w:w="773" w:type="pct"/>
            <w:tcBorders>
              <w:tl2br w:val="nil"/>
              <w:tr2bl w:val="nil"/>
            </w:tcBorders>
            <w:vAlign w:val="center"/>
          </w:tcPr>
          <w:p>
            <w:pPr>
              <w:pStyle w:val="45"/>
              <w:ind w:firstLine="0" w:firstLineChars="0"/>
              <w:rPr>
                <w:rFonts w:hint="eastAsia"/>
                <w:color w:val="auto"/>
                <w:lang w:val="en-US" w:eastAsia="zh-CN"/>
              </w:rPr>
            </w:pPr>
            <w:r>
              <w:rPr>
                <w:rFonts w:hint="eastAsia"/>
                <w:color w:val="auto"/>
                <w:lang w:val="en-US" w:eastAsia="zh-CN"/>
              </w:rPr>
              <w:t>7.96</w:t>
            </w:r>
          </w:p>
        </w:tc>
        <w:tc>
          <w:tcPr>
            <w:tcW w:w="527" w:type="pct"/>
            <w:tcBorders>
              <w:tl2br w:val="nil"/>
              <w:tr2bl w:val="nil"/>
            </w:tcBorders>
            <w:vAlign w:val="center"/>
          </w:tcPr>
          <w:p>
            <w:pPr>
              <w:pStyle w:val="45"/>
              <w:ind w:firstLine="0" w:firstLineChars="0"/>
              <w:rPr>
                <w:color w:val="auto"/>
              </w:rPr>
            </w:pPr>
            <w:r>
              <w:rPr>
                <w:rFonts w:hint="eastAsia"/>
                <w:color w:val="auto"/>
              </w:rPr>
              <w:t>0.</w:t>
            </w:r>
            <w:r>
              <w:rPr>
                <w:rFonts w:hint="eastAsia"/>
                <w:color w:val="auto"/>
                <w:lang w:val="en-US" w:eastAsia="zh-CN"/>
              </w:rPr>
              <w:t>16</w:t>
            </w:r>
          </w:p>
        </w:tc>
        <w:tc>
          <w:tcPr>
            <w:tcW w:w="308" w:type="pct"/>
            <w:tcBorders>
              <w:tl2br w:val="nil"/>
              <w:tr2bl w:val="nil"/>
            </w:tcBorders>
            <w:vAlign w:val="center"/>
          </w:tcPr>
          <w:p>
            <w:pPr>
              <w:pStyle w:val="45"/>
              <w:ind w:firstLine="0" w:firstLineChars="0"/>
              <w:rPr>
                <w:color w:val="auto"/>
                <w:szCs w:val="24"/>
              </w:rPr>
            </w:pPr>
            <w:r>
              <w:rPr>
                <w:rFonts w:hint="eastAsia"/>
                <w:color w:val="auto"/>
              </w:rPr>
              <w:t>直排</w:t>
            </w:r>
          </w:p>
        </w:tc>
        <w:tc>
          <w:tcPr>
            <w:tcW w:w="536" w:type="pct"/>
            <w:tcBorders>
              <w:tl2br w:val="nil"/>
              <w:tr2bl w:val="nil"/>
            </w:tcBorders>
            <w:vAlign w:val="center"/>
          </w:tcPr>
          <w:p>
            <w:pPr>
              <w:pStyle w:val="45"/>
              <w:ind w:firstLine="0" w:firstLineChars="0"/>
              <w:rPr>
                <w:color w:val="auto"/>
                <w:szCs w:val="24"/>
              </w:rPr>
            </w:pPr>
            <w:r>
              <w:rPr>
                <w:rFonts w:hint="eastAsia"/>
                <w:color w:val="auto"/>
                <w:lang w:val="en-US" w:eastAsia="zh-CN"/>
              </w:rPr>
              <w:t>7.96</w:t>
            </w:r>
          </w:p>
        </w:tc>
        <w:tc>
          <w:tcPr>
            <w:tcW w:w="348" w:type="pct"/>
            <w:tcBorders>
              <w:tl2br w:val="nil"/>
              <w:tr2bl w:val="nil"/>
            </w:tcBorders>
            <w:vAlign w:val="center"/>
          </w:tcPr>
          <w:p>
            <w:pPr>
              <w:pStyle w:val="45"/>
              <w:ind w:firstLine="0" w:firstLineChars="0"/>
              <w:rPr>
                <w:color w:val="auto"/>
                <w:szCs w:val="24"/>
              </w:rPr>
            </w:pPr>
            <w:r>
              <w:rPr>
                <w:rFonts w:hint="eastAsia"/>
                <w:color w:val="auto"/>
              </w:rPr>
              <w:t>0.</w:t>
            </w:r>
            <w:r>
              <w:rPr>
                <w:rFonts w:hint="eastAsia"/>
                <w:color w:val="auto"/>
                <w:lang w:val="en-US" w:eastAsia="zh-CN"/>
              </w:rPr>
              <w:t>16</w:t>
            </w:r>
          </w:p>
        </w:tc>
        <w:tc>
          <w:tcPr>
            <w:tcW w:w="342" w:type="pct"/>
            <w:vMerge w:val="continue"/>
            <w:tcBorders>
              <w:tl2br w:val="nil"/>
              <w:tr2bl w:val="nil"/>
            </w:tcBorders>
            <w:vAlign w:val="center"/>
          </w:tcPr>
          <w:p>
            <w:pPr>
              <w:pStyle w:val="45"/>
              <w:rPr>
                <w:color w:val="auto"/>
              </w:rPr>
            </w:pPr>
          </w:p>
        </w:tc>
      </w:tr>
    </w:tbl>
    <w:p>
      <w:pPr>
        <w:ind w:firstLine="480"/>
        <w:rPr>
          <w:rFonts w:hint="eastAsia"/>
          <w:color w:val="auto"/>
        </w:rPr>
      </w:pPr>
    </w:p>
    <w:p>
      <w:pPr>
        <w:ind w:firstLine="480"/>
        <w:rPr>
          <w:color w:val="auto"/>
        </w:rPr>
      </w:pPr>
      <w:r>
        <w:rPr>
          <w:rFonts w:hint="eastAsia"/>
          <w:color w:val="auto"/>
        </w:rPr>
        <w:t>③污水处理站废气</w:t>
      </w:r>
    </w:p>
    <w:p>
      <w:pPr>
        <w:ind w:firstLine="480"/>
        <w:rPr>
          <w:color w:val="auto"/>
          <w:szCs w:val="24"/>
        </w:rPr>
      </w:pPr>
      <w:r>
        <w:rPr>
          <w:rFonts w:hint="eastAsia"/>
          <w:color w:val="auto"/>
        </w:rPr>
        <w:t>本项目拟建厂区</w:t>
      </w:r>
      <w:r>
        <w:rPr>
          <w:color w:val="auto"/>
          <w:szCs w:val="24"/>
        </w:rPr>
        <w:t>污水处理站主要污染物为</w:t>
      </w:r>
      <w:r>
        <w:rPr>
          <w:rFonts w:hint="eastAsia"/>
          <w:color w:val="auto"/>
          <w:szCs w:val="24"/>
        </w:rPr>
        <w:t>水解酸化池</w:t>
      </w:r>
      <w:r>
        <w:rPr>
          <w:color w:val="auto"/>
          <w:szCs w:val="24"/>
        </w:rPr>
        <w:t>、</w:t>
      </w:r>
      <w:r>
        <w:rPr>
          <w:rFonts w:hint="eastAsia"/>
          <w:color w:val="auto"/>
          <w:szCs w:val="24"/>
        </w:rPr>
        <w:t>高倍增生物池、</w:t>
      </w:r>
      <w:r>
        <w:rPr>
          <w:color w:val="auto"/>
          <w:szCs w:val="24"/>
        </w:rPr>
        <w:t>污泥</w:t>
      </w:r>
      <w:r>
        <w:rPr>
          <w:rFonts w:hint="eastAsia"/>
          <w:color w:val="auto"/>
          <w:szCs w:val="24"/>
        </w:rPr>
        <w:t>收集池</w:t>
      </w:r>
      <w:r>
        <w:rPr>
          <w:color w:val="auto"/>
          <w:szCs w:val="24"/>
        </w:rPr>
        <w:t>等产生的废气</w:t>
      </w:r>
      <w:r>
        <w:rPr>
          <w:rFonts w:hint="eastAsia"/>
          <w:color w:val="auto"/>
          <w:szCs w:val="24"/>
        </w:rPr>
        <w:t>，</w:t>
      </w:r>
      <w:r>
        <w:rPr>
          <w:color w:val="auto"/>
          <w:szCs w:val="24"/>
        </w:rPr>
        <w:t>主要污染物为</w:t>
      </w:r>
      <w:r>
        <w:rPr>
          <w:rFonts w:hint="eastAsia"/>
          <w:color w:val="auto"/>
          <w:szCs w:val="24"/>
        </w:rPr>
        <w:t>VOCs</w:t>
      </w:r>
      <w:r>
        <w:rPr>
          <w:color w:val="auto"/>
          <w:szCs w:val="24"/>
        </w:rPr>
        <w:t>和</w:t>
      </w:r>
      <w:r>
        <w:rPr>
          <w:rFonts w:hint="eastAsia"/>
          <w:color w:val="auto"/>
          <w:szCs w:val="24"/>
        </w:rPr>
        <w:t>恶</w:t>
      </w:r>
      <w:r>
        <w:rPr>
          <w:color w:val="auto"/>
          <w:szCs w:val="24"/>
        </w:rPr>
        <w:t>臭气(含硫化氢、氨等）</w:t>
      </w:r>
      <w:r>
        <w:rPr>
          <w:rFonts w:hint="eastAsia"/>
          <w:color w:val="auto"/>
          <w:szCs w:val="24"/>
        </w:rPr>
        <w:t>，本项目对水解酸化池</w:t>
      </w:r>
      <w:r>
        <w:rPr>
          <w:color w:val="auto"/>
          <w:szCs w:val="24"/>
        </w:rPr>
        <w:t>、</w:t>
      </w:r>
      <w:r>
        <w:rPr>
          <w:rFonts w:hint="eastAsia"/>
          <w:color w:val="auto"/>
          <w:szCs w:val="24"/>
        </w:rPr>
        <w:t>高倍增生物池、</w:t>
      </w:r>
      <w:r>
        <w:rPr>
          <w:color w:val="auto"/>
          <w:szCs w:val="24"/>
        </w:rPr>
        <w:t>污泥</w:t>
      </w:r>
      <w:r>
        <w:rPr>
          <w:rFonts w:hint="eastAsia"/>
          <w:color w:val="auto"/>
          <w:szCs w:val="24"/>
        </w:rPr>
        <w:t>收集池产生的废气进行有组织收集处理</w:t>
      </w:r>
      <w:r>
        <w:rPr>
          <w:color w:val="auto"/>
          <w:szCs w:val="24"/>
        </w:rPr>
        <w:t>。</w:t>
      </w:r>
    </w:p>
    <w:p>
      <w:pPr>
        <w:pStyle w:val="2"/>
        <w:spacing w:after="0"/>
        <w:ind w:firstLine="480"/>
        <w:rPr>
          <w:color w:val="auto"/>
        </w:rPr>
      </w:pPr>
      <w:r>
        <w:rPr>
          <w:rFonts w:hint="eastAsia"/>
          <w:color w:val="auto"/>
        </w:rPr>
        <w:t>①恶臭气体</w:t>
      </w:r>
    </w:p>
    <w:p>
      <w:pPr>
        <w:pStyle w:val="2"/>
        <w:spacing w:after="0"/>
        <w:ind w:firstLine="480"/>
        <w:rPr>
          <w:color w:val="auto"/>
        </w:rPr>
      </w:pPr>
      <w:r>
        <w:rPr>
          <w:rFonts w:hint="eastAsia"/>
          <w:color w:val="auto"/>
        </w:rPr>
        <w:t>污水厂各处理单元的恶臭物质排污系数可通过单位时间内单位体积散发量表征。类比同类项目数据，各单元单位时间内单位面积氨和硫化氢产生量本项目臭气源强采用美国EPA对城市污水处理厂恶臭污染物产生情况为氨产生速率为0.1mg/s·m</w:t>
      </w:r>
      <w:r>
        <w:rPr>
          <w:rFonts w:hint="eastAsia"/>
          <w:color w:val="auto"/>
          <w:vertAlign w:val="superscript"/>
        </w:rPr>
        <w:t>2</w:t>
      </w:r>
      <w:r>
        <w:rPr>
          <w:rFonts w:hint="eastAsia"/>
          <w:color w:val="auto"/>
        </w:rPr>
        <w:t>，硫化氢产生速率为0.00221mg/s·m</w:t>
      </w:r>
      <w:r>
        <w:rPr>
          <w:rFonts w:hint="eastAsia"/>
          <w:color w:val="auto"/>
          <w:vertAlign w:val="superscript"/>
        </w:rPr>
        <w:t>2</w:t>
      </w:r>
      <w:r>
        <w:rPr>
          <w:rFonts w:hint="eastAsia"/>
          <w:color w:val="auto"/>
        </w:rPr>
        <w:t>，本项目污水处理水解酸化池、高倍增生物池、</w:t>
      </w:r>
      <w:r>
        <w:rPr>
          <w:color w:val="auto"/>
        </w:rPr>
        <w:t>污泥</w:t>
      </w:r>
      <w:r>
        <w:rPr>
          <w:rFonts w:hint="eastAsia"/>
          <w:color w:val="auto"/>
        </w:rPr>
        <w:t>收集池单元面积为6.1875m</w:t>
      </w:r>
      <w:r>
        <w:rPr>
          <w:rFonts w:hint="eastAsia"/>
          <w:color w:val="auto"/>
          <w:vertAlign w:val="superscript"/>
        </w:rPr>
        <w:t>2</w:t>
      </w:r>
      <w:r>
        <w:rPr>
          <w:rFonts w:hint="eastAsia"/>
          <w:color w:val="auto"/>
        </w:rPr>
        <w:t>、6.1875m</w:t>
      </w:r>
      <w:r>
        <w:rPr>
          <w:rFonts w:hint="eastAsia"/>
          <w:color w:val="auto"/>
          <w:vertAlign w:val="superscript"/>
        </w:rPr>
        <w:t>2</w:t>
      </w:r>
      <w:r>
        <w:rPr>
          <w:rFonts w:hint="eastAsia"/>
          <w:color w:val="auto"/>
        </w:rPr>
        <w:t>、0.75m</w:t>
      </w:r>
      <w:r>
        <w:rPr>
          <w:rFonts w:hint="eastAsia"/>
          <w:color w:val="auto"/>
          <w:vertAlign w:val="superscript"/>
        </w:rPr>
        <w:t>2</w:t>
      </w:r>
      <w:r>
        <w:rPr>
          <w:rFonts w:hint="eastAsia"/>
          <w:color w:val="auto"/>
        </w:rPr>
        <w:t>，年运行7200h，经计算，氨的产生量为0.016t/a，硫化氢的产生量为0.0004t/a。</w:t>
      </w:r>
    </w:p>
    <w:p>
      <w:pPr>
        <w:spacing w:line="360" w:lineRule="auto"/>
        <w:ind w:firstLine="480"/>
        <w:rPr>
          <w:color w:val="auto"/>
          <w:szCs w:val="24"/>
        </w:rPr>
      </w:pPr>
      <w:r>
        <w:rPr>
          <w:color w:val="auto"/>
          <w:szCs w:val="24"/>
        </w:rPr>
        <w:t>②VOCs</w:t>
      </w:r>
    </w:p>
    <w:p>
      <w:pPr>
        <w:spacing w:line="360" w:lineRule="auto"/>
        <w:ind w:firstLine="480"/>
        <w:rPr>
          <w:color w:val="auto"/>
          <w:szCs w:val="24"/>
        </w:rPr>
      </w:pPr>
      <w:r>
        <w:rPr>
          <w:color w:val="auto"/>
          <w:szCs w:val="24"/>
        </w:rPr>
        <w:t>VOCs排放量《石油化工行业VOCs排放量计算办法》排放系数法计算得出。计算公式如下:</w:t>
      </w:r>
    </w:p>
    <w:p>
      <w:pPr>
        <w:spacing w:line="360" w:lineRule="auto"/>
        <w:ind w:firstLine="0" w:firstLineChars="0"/>
        <w:jc w:val="center"/>
        <w:rPr>
          <w:color w:val="auto"/>
          <w:szCs w:val="24"/>
        </w:rPr>
      </w:pPr>
      <w:r>
        <w:rPr>
          <w:color w:val="auto"/>
          <w:szCs w:val="24"/>
        </w:rPr>
        <w:drawing>
          <wp:inline distT="0" distB="0" distL="114300" distR="114300">
            <wp:extent cx="1551940" cy="402590"/>
            <wp:effectExtent l="0" t="0" r="10160" b="16510"/>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66"/>
                    <a:stretch>
                      <a:fillRect/>
                    </a:stretch>
                  </pic:blipFill>
                  <pic:spPr>
                    <a:xfrm>
                      <a:off x="0" y="0"/>
                      <a:ext cx="1551940" cy="402590"/>
                    </a:xfrm>
                    <a:prstGeom prst="rect">
                      <a:avLst/>
                    </a:prstGeom>
                    <a:noFill/>
                    <a:ln>
                      <a:noFill/>
                    </a:ln>
                  </pic:spPr>
                </pic:pic>
              </a:graphicData>
            </a:graphic>
          </wp:inline>
        </w:drawing>
      </w:r>
    </w:p>
    <w:p>
      <w:pPr>
        <w:spacing w:line="360" w:lineRule="auto"/>
        <w:ind w:firstLine="480"/>
        <w:rPr>
          <w:color w:val="auto"/>
          <w:szCs w:val="24"/>
        </w:rPr>
      </w:pPr>
      <w:r>
        <w:rPr>
          <w:rFonts w:hint="eastAsia"/>
          <w:color w:val="auto"/>
          <w:szCs w:val="24"/>
        </w:rPr>
        <w:t>式中：D</w:t>
      </w:r>
      <w:r>
        <w:rPr>
          <w:rFonts w:hint="eastAsia"/>
          <w:color w:val="auto"/>
          <w:szCs w:val="24"/>
          <w:vertAlign w:val="subscript"/>
        </w:rPr>
        <w:t>产生量</w:t>
      </w:r>
      <w:r>
        <w:rPr>
          <w:rFonts w:hint="eastAsia"/>
          <w:color w:val="auto"/>
          <w:szCs w:val="24"/>
        </w:rPr>
        <w:t>—核算时段内废水处理过程挥发性有机物的产生量，t；</w:t>
      </w:r>
    </w:p>
    <w:p>
      <w:pPr>
        <w:spacing w:line="360" w:lineRule="auto"/>
        <w:ind w:firstLine="1680" w:firstLineChars="700"/>
        <w:rPr>
          <w:bCs/>
          <w:color w:val="auto"/>
          <w:szCs w:val="24"/>
        </w:rPr>
      </w:pPr>
      <w:r>
        <w:rPr>
          <w:rFonts w:hint="eastAsia"/>
          <w:bCs/>
          <w:color w:val="auto"/>
          <w:szCs w:val="24"/>
        </w:rPr>
        <w:t>n—废水处理设施的个数，量纲一的量；</w:t>
      </w:r>
    </w:p>
    <w:p>
      <w:pPr>
        <w:spacing w:line="360" w:lineRule="auto"/>
        <w:ind w:firstLine="480"/>
        <w:rPr>
          <w:color w:val="auto"/>
          <w:szCs w:val="24"/>
        </w:rPr>
      </w:pPr>
      <w:r>
        <w:rPr>
          <w:rFonts w:hint="eastAsia"/>
          <w:bCs/>
          <w:color w:val="auto"/>
          <w:szCs w:val="24"/>
        </w:rPr>
        <w:t xml:space="preserve">          Q</w:t>
      </w:r>
      <w:r>
        <w:rPr>
          <w:rFonts w:hint="eastAsia"/>
          <w:bCs/>
          <w:color w:val="auto"/>
          <w:szCs w:val="24"/>
          <w:vertAlign w:val="subscript"/>
        </w:rPr>
        <w:t>i</w:t>
      </w:r>
      <w:r>
        <w:rPr>
          <w:rFonts w:hint="eastAsia"/>
          <w:bCs/>
          <w:color w:val="auto"/>
          <w:szCs w:val="24"/>
        </w:rPr>
        <w:t>—核算时段内第i个废水处理设施的废水处理力量，m</w:t>
      </w:r>
      <w:r>
        <w:rPr>
          <w:rFonts w:hint="eastAsia"/>
          <w:bCs/>
          <w:color w:val="auto"/>
          <w:szCs w:val="24"/>
          <w:vertAlign w:val="superscript"/>
        </w:rPr>
        <w:t>3</w:t>
      </w:r>
      <w:r>
        <w:rPr>
          <w:rFonts w:hint="eastAsia"/>
          <w:bCs/>
          <w:color w:val="auto"/>
          <w:szCs w:val="24"/>
        </w:rPr>
        <w:t>；</w:t>
      </w:r>
    </w:p>
    <w:p>
      <w:pPr>
        <w:spacing w:line="360" w:lineRule="auto"/>
        <w:ind w:firstLine="480"/>
        <w:rPr>
          <w:bCs/>
          <w:color w:val="auto"/>
          <w:szCs w:val="24"/>
        </w:rPr>
      </w:pPr>
      <w:r>
        <w:rPr>
          <w:rFonts w:hint="eastAsia"/>
          <w:bCs/>
          <w:color w:val="auto"/>
          <w:szCs w:val="24"/>
        </w:rPr>
        <w:t xml:space="preserve">          α—第i个污水处理设施挥发性有机物的产生系数，取值见表2.5-10。</w:t>
      </w:r>
    </w:p>
    <w:p>
      <w:pPr>
        <w:snapToGrid w:val="0"/>
        <w:spacing w:line="240" w:lineRule="auto"/>
        <w:ind w:firstLine="0" w:firstLineChars="0"/>
        <w:jc w:val="center"/>
        <w:rPr>
          <w:rFonts w:eastAsia="黑体"/>
          <w:b w:val="0"/>
          <w:bCs/>
          <w:color w:val="auto"/>
          <w:sz w:val="21"/>
          <w:szCs w:val="21"/>
        </w:rPr>
      </w:pPr>
      <w:r>
        <w:rPr>
          <w:rFonts w:hint="eastAsia" w:eastAsia="黑体"/>
          <w:b w:val="0"/>
          <w:bCs/>
          <w:color w:val="auto"/>
          <w:sz w:val="21"/>
          <w:szCs w:val="21"/>
        </w:rPr>
        <w:t>表2.5-10废水处理过程挥发性有机物产生系数</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21"/>
        <w:gridCol w:w="2321"/>
        <w:gridCol w:w="2323"/>
        <w:gridCol w:w="23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8" w:type="pct"/>
            <w:gridSpan w:val="2"/>
            <w:tcBorders>
              <w:tl2br w:val="nil"/>
              <w:tr2bl w:val="nil"/>
            </w:tcBorders>
            <w:vAlign w:val="center"/>
          </w:tcPr>
          <w:p>
            <w:pPr>
              <w:spacing w:line="240" w:lineRule="auto"/>
              <w:ind w:firstLine="0" w:firstLineChars="0"/>
              <w:jc w:val="center"/>
              <w:rPr>
                <w:b/>
                <w:color w:val="auto"/>
                <w:sz w:val="21"/>
                <w:szCs w:val="21"/>
              </w:rPr>
            </w:pPr>
            <w:r>
              <w:rPr>
                <w:rFonts w:hint="eastAsia"/>
                <w:b/>
                <w:color w:val="auto"/>
                <w:sz w:val="21"/>
                <w:szCs w:val="21"/>
              </w:rPr>
              <w:t>排放源</w:t>
            </w:r>
          </w:p>
        </w:tc>
        <w:tc>
          <w:tcPr>
            <w:tcW w:w="1250" w:type="pct"/>
            <w:tcBorders>
              <w:tl2br w:val="nil"/>
              <w:tr2bl w:val="nil"/>
            </w:tcBorders>
            <w:vAlign w:val="center"/>
          </w:tcPr>
          <w:p>
            <w:pPr>
              <w:spacing w:line="240" w:lineRule="auto"/>
              <w:ind w:firstLine="0" w:firstLineChars="0"/>
              <w:jc w:val="center"/>
              <w:rPr>
                <w:b/>
                <w:color w:val="auto"/>
                <w:sz w:val="21"/>
                <w:szCs w:val="21"/>
              </w:rPr>
            </w:pPr>
            <w:r>
              <w:rPr>
                <w:rFonts w:hint="eastAsia"/>
                <w:b/>
                <w:color w:val="auto"/>
                <w:sz w:val="21"/>
                <w:szCs w:val="21"/>
              </w:rPr>
              <w:t>单位</w:t>
            </w:r>
          </w:p>
        </w:tc>
        <w:tc>
          <w:tcPr>
            <w:tcW w:w="1250" w:type="pct"/>
            <w:tcBorders>
              <w:tl2br w:val="nil"/>
              <w:tr2bl w:val="nil"/>
            </w:tcBorders>
            <w:vAlign w:val="center"/>
          </w:tcPr>
          <w:p>
            <w:pPr>
              <w:spacing w:line="240" w:lineRule="auto"/>
              <w:ind w:firstLine="0" w:firstLineChars="0"/>
              <w:jc w:val="center"/>
              <w:rPr>
                <w:b/>
                <w:color w:val="auto"/>
                <w:sz w:val="21"/>
                <w:szCs w:val="21"/>
              </w:rPr>
            </w:pPr>
            <w:r>
              <w:rPr>
                <w:rFonts w:hint="eastAsia"/>
                <w:b/>
                <w:color w:val="auto"/>
                <w:sz w:val="21"/>
                <w:szCs w:val="21"/>
              </w:rPr>
              <w:t>产生系数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vMerge w:val="restar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油/水分离器</w:t>
            </w:r>
          </w:p>
        </w:tc>
        <w:tc>
          <w:tcPr>
            <w:tcW w:w="1249"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水中油的质量浓度＞3500mg/L</w:t>
            </w:r>
          </w:p>
        </w:tc>
        <w:tc>
          <w:tcPr>
            <w:tcW w:w="1250"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kg/m</w:t>
            </w:r>
            <w:r>
              <w:rPr>
                <w:rFonts w:hint="eastAsia"/>
                <w:bCs/>
                <w:color w:val="auto"/>
                <w:sz w:val="21"/>
                <w:szCs w:val="21"/>
                <w:vertAlign w:val="superscript"/>
              </w:rPr>
              <w:t>3</w:t>
            </w:r>
            <w:r>
              <w:rPr>
                <w:rFonts w:hint="eastAsia"/>
                <w:bCs/>
                <w:color w:val="auto"/>
                <w:sz w:val="21"/>
                <w:szCs w:val="21"/>
              </w:rPr>
              <w:t>废水</w:t>
            </w:r>
          </w:p>
        </w:tc>
        <w:tc>
          <w:tcPr>
            <w:tcW w:w="1250"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vMerge w:val="continue"/>
            <w:tcBorders>
              <w:tl2br w:val="nil"/>
              <w:tr2bl w:val="nil"/>
            </w:tcBorders>
            <w:vAlign w:val="center"/>
          </w:tcPr>
          <w:p>
            <w:pPr>
              <w:spacing w:line="240" w:lineRule="auto"/>
              <w:ind w:firstLine="0" w:firstLineChars="0"/>
              <w:jc w:val="center"/>
              <w:rPr>
                <w:bCs/>
                <w:color w:val="auto"/>
                <w:sz w:val="21"/>
                <w:szCs w:val="21"/>
              </w:rPr>
            </w:pPr>
          </w:p>
        </w:tc>
        <w:tc>
          <w:tcPr>
            <w:tcW w:w="1249"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水中油的质量浓度880～3500mg/L</w:t>
            </w:r>
          </w:p>
        </w:tc>
        <w:tc>
          <w:tcPr>
            <w:tcW w:w="1250"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kg/m</w:t>
            </w:r>
            <w:r>
              <w:rPr>
                <w:rFonts w:hint="eastAsia"/>
                <w:bCs/>
                <w:color w:val="auto"/>
                <w:sz w:val="21"/>
                <w:szCs w:val="21"/>
                <w:vertAlign w:val="superscript"/>
              </w:rPr>
              <w:t>3</w:t>
            </w:r>
            <w:r>
              <w:rPr>
                <w:rFonts w:hint="eastAsia"/>
                <w:bCs/>
                <w:color w:val="auto"/>
                <w:sz w:val="21"/>
                <w:szCs w:val="21"/>
              </w:rPr>
              <w:t>废水</w:t>
            </w:r>
          </w:p>
        </w:tc>
        <w:tc>
          <w:tcPr>
            <w:tcW w:w="1250"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0.111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vMerge w:val="continue"/>
            <w:tcBorders>
              <w:tl2br w:val="nil"/>
              <w:tr2bl w:val="nil"/>
            </w:tcBorders>
            <w:vAlign w:val="center"/>
          </w:tcPr>
          <w:p>
            <w:pPr>
              <w:spacing w:line="240" w:lineRule="auto"/>
              <w:ind w:firstLine="0" w:firstLineChars="0"/>
              <w:jc w:val="center"/>
              <w:rPr>
                <w:bCs/>
                <w:color w:val="auto"/>
                <w:sz w:val="21"/>
                <w:szCs w:val="21"/>
              </w:rPr>
            </w:pPr>
          </w:p>
        </w:tc>
        <w:tc>
          <w:tcPr>
            <w:tcW w:w="1249"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水中油的质量浓度＜880mg/L</w:t>
            </w:r>
          </w:p>
        </w:tc>
        <w:tc>
          <w:tcPr>
            <w:tcW w:w="1250"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kg/m</w:t>
            </w:r>
            <w:r>
              <w:rPr>
                <w:rFonts w:hint="eastAsia"/>
                <w:bCs/>
                <w:color w:val="auto"/>
                <w:sz w:val="21"/>
                <w:szCs w:val="21"/>
                <w:vertAlign w:val="superscript"/>
              </w:rPr>
              <w:t>3</w:t>
            </w:r>
            <w:r>
              <w:rPr>
                <w:rFonts w:hint="eastAsia"/>
                <w:bCs/>
                <w:color w:val="auto"/>
                <w:sz w:val="21"/>
                <w:szCs w:val="21"/>
              </w:rPr>
              <w:t>废水</w:t>
            </w:r>
          </w:p>
        </w:tc>
        <w:tc>
          <w:tcPr>
            <w:tcW w:w="1250"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0.0225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8" w:type="pct"/>
            <w:gridSpan w:val="2"/>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生物处理设施</w:t>
            </w:r>
          </w:p>
        </w:tc>
        <w:tc>
          <w:tcPr>
            <w:tcW w:w="1250"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kg/m</w:t>
            </w:r>
            <w:r>
              <w:rPr>
                <w:rFonts w:hint="eastAsia"/>
                <w:bCs/>
                <w:color w:val="auto"/>
                <w:sz w:val="21"/>
                <w:szCs w:val="21"/>
                <w:vertAlign w:val="superscript"/>
              </w:rPr>
              <w:t>3</w:t>
            </w:r>
            <w:r>
              <w:rPr>
                <w:rFonts w:hint="eastAsia"/>
                <w:bCs/>
                <w:color w:val="auto"/>
                <w:sz w:val="21"/>
                <w:szCs w:val="21"/>
              </w:rPr>
              <w:t>废水</w:t>
            </w:r>
          </w:p>
        </w:tc>
        <w:tc>
          <w:tcPr>
            <w:tcW w:w="1250"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0.005</w:t>
            </w:r>
          </w:p>
        </w:tc>
      </w:tr>
    </w:tbl>
    <w:p>
      <w:pPr>
        <w:spacing w:line="360" w:lineRule="auto"/>
        <w:ind w:firstLine="480"/>
        <w:rPr>
          <w:color w:val="auto"/>
          <w:szCs w:val="24"/>
        </w:rPr>
      </w:pPr>
      <w:r>
        <w:rPr>
          <w:color w:val="auto"/>
          <w:szCs w:val="24"/>
        </w:rPr>
        <w:t>本项目</w:t>
      </w:r>
      <w:r>
        <w:rPr>
          <w:rFonts w:hint="eastAsia"/>
          <w:color w:val="auto"/>
          <w:szCs w:val="24"/>
        </w:rPr>
        <w:t>采用生物处理设施</w:t>
      </w:r>
      <w:r>
        <w:rPr>
          <w:rFonts w:hint="eastAsia"/>
          <w:bCs/>
          <w:color w:val="auto"/>
          <w:szCs w:val="24"/>
        </w:rPr>
        <w:t>，</w:t>
      </w:r>
      <w:r>
        <w:rPr>
          <w:color w:val="auto"/>
          <w:szCs w:val="24"/>
        </w:rPr>
        <w:t>排放系数取</w:t>
      </w:r>
      <w:r>
        <w:rPr>
          <w:rFonts w:hint="eastAsia"/>
          <w:color w:val="auto"/>
          <w:szCs w:val="24"/>
        </w:rPr>
        <w:t>0.005</w:t>
      </w:r>
      <w:r>
        <w:rPr>
          <w:color w:val="auto"/>
          <w:szCs w:val="24"/>
        </w:rPr>
        <w:t>kg/m</w:t>
      </w:r>
      <w:r>
        <w:rPr>
          <w:color w:val="auto"/>
          <w:szCs w:val="24"/>
          <w:vertAlign w:val="superscript"/>
        </w:rPr>
        <w:t>3</w:t>
      </w:r>
      <w:r>
        <w:rPr>
          <w:rFonts w:hint="eastAsia"/>
          <w:color w:val="auto"/>
          <w:szCs w:val="24"/>
        </w:rPr>
        <w:t>，总排水量为2390.71</w:t>
      </w:r>
      <w:r>
        <w:rPr>
          <w:color w:val="auto"/>
          <w:szCs w:val="24"/>
        </w:rPr>
        <w:t>m</w:t>
      </w:r>
      <w:r>
        <w:rPr>
          <w:color w:val="auto"/>
          <w:szCs w:val="24"/>
          <w:vertAlign w:val="superscript"/>
        </w:rPr>
        <w:t>3</w:t>
      </w:r>
      <w:r>
        <w:rPr>
          <w:color w:val="auto"/>
          <w:szCs w:val="24"/>
        </w:rPr>
        <w:t>/a</w:t>
      </w:r>
      <w:r>
        <w:rPr>
          <w:rFonts w:hint="eastAsia"/>
          <w:color w:val="auto"/>
          <w:szCs w:val="24"/>
        </w:rPr>
        <w:t>，</w:t>
      </w:r>
      <w:r>
        <w:rPr>
          <w:color w:val="auto"/>
          <w:szCs w:val="24"/>
        </w:rPr>
        <w:t>计算得到</w:t>
      </w:r>
      <w:r>
        <w:rPr>
          <w:rFonts w:hint="eastAsia"/>
          <w:color w:val="auto"/>
          <w:szCs w:val="24"/>
        </w:rPr>
        <w:t>VOCs</w:t>
      </w:r>
      <w:r>
        <w:rPr>
          <w:color w:val="auto"/>
          <w:szCs w:val="24"/>
        </w:rPr>
        <w:t>产生量为</w:t>
      </w:r>
      <w:r>
        <w:rPr>
          <w:rFonts w:hint="eastAsia"/>
          <w:color w:val="auto"/>
          <w:szCs w:val="24"/>
        </w:rPr>
        <w:t>0.012</w:t>
      </w:r>
      <w:r>
        <w:rPr>
          <w:color w:val="auto"/>
          <w:szCs w:val="24"/>
        </w:rPr>
        <w:t>t/a。</w:t>
      </w:r>
    </w:p>
    <w:p>
      <w:pPr>
        <w:ind w:firstLine="480"/>
        <w:rPr>
          <w:color w:val="auto"/>
        </w:rPr>
      </w:pPr>
      <w:r>
        <w:rPr>
          <w:rFonts w:hint="eastAsia"/>
          <w:color w:val="auto"/>
        </w:rPr>
        <w:t>拟建项目</w:t>
      </w:r>
      <w:r>
        <w:rPr>
          <w:color w:val="auto"/>
        </w:rPr>
        <w:t>有组织废气产生及排放情况见表</w:t>
      </w:r>
      <w:r>
        <w:rPr>
          <w:rFonts w:hint="eastAsia"/>
          <w:color w:val="auto"/>
        </w:rPr>
        <w:t>2.5</w:t>
      </w:r>
      <w:r>
        <w:rPr>
          <w:color w:val="auto"/>
        </w:rPr>
        <w:t>-</w:t>
      </w:r>
      <w:r>
        <w:rPr>
          <w:rFonts w:hint="eastAsia"/>
          <w:color w:val="auto"/>
        </w:rPr>
        <w:t>11</w:t>
      </w:r>
      <w:r>
        <w:rPr>
          <w:color w:val="auto"/>
        </w:rPr>
        <w:t>。</w:t>
      </w:r>
    </w:p>
    <w:p>
      <w:pPr>
        <w:pStyle w:val="2"/>
        <w:spacing w:after="0"/>
        <w:ind w:firstLine="480"/>
        <w:rPr>
          <w:color w:val="auto"/>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pPr>
        <w:ind w:firstLine="0" w:firstLineChars="0"/>
        <w:jc w:val="center"/>
        <w:rPr>
          <w:rFonts w:eastAsia="黑体"/>
          <w:b w:val="0"/>
          <w:bCs/>
          <w:color w:val="auto"/>
          <w:sz w:val="21"/>
          <w:szCs w:val="21"/>
        </w:rPr>
      </w:pPr>
      <w:r>
        <w:rPr>
          <w:rFonts w:eastAsia="黑体"/>
          <w:b w:val="0"/>
          <w:bCs/>
          <w:color w:val="auto"/>
          <w:sz w:val="21"/>
          <w:szCs w:val="21"/>
        </w:rPr>
        <w:t>表</w:t>
      </w:r>
      <w:r>
        <w:rPr>
          <w:rFonts w:hint="eastAsia" w:eastAsia="黑体"/>
          <w:b w:val="0"/>
          <w:bCs/>
          <w:color w:val="auto"/>
          <w:sz w:val="21"/>
          <w:szCs w:val="21"/>
        </w:rPr>
        <w:t>2.5-11</w:t>
      </w:r>
      <w:r>
        <w:rPr>
          <w:rFonts w:eastAsia="黑体"/>
          <w:b w:val="0"/>
          <w:bCs/>
          <w:color w:val="auto"/>
          <w:sz w:val="21"/>
          <w:szCs w:val="21"/>
        </w:rPr>
        <w:t xml:space="preserve">  </w:t>
      </w:r>
      <w:r>
        <w:rPr>
          <w:rFonts w:hint="eastAsia" w:eastAsia="黑体"/>
          <w:b w:val="0"/>
          <w:bCs/>
          <w:color w:val="auto"/>
          <w:sz w:val="21"/>
          <w:szCs w:val="21"/>
        </w:rPr>
        <w:t>拟建项目</w:t>
      </w:r>
      <w:r>
        <w:rPr>
          <w:rFonts w:eastAsia="黑体"/>
          <w:b w:val="0"/>
          <w:bCs/>
          <w:color w:val="auto"/>
          <w:sz w:val="21"/>
          <w:szCs w:val="21"/>
        </w:rPr>
        <w:t>有组织废气产生及排放情况一览表</w:t>
      </w:r>
    </w:p>
    <w:tbl>
      <w:tblPr>
        <w:tblStyle w:val="22"/>
        <w:tblW w:w="142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7"/>
        <w:gridCol w:w="875"/>
        <w:gridCol w:w="838"/>
        <w:gridCol w:w="868"/>
        <w:gridCol w:w="752"/>
        <w:gridCol w:w="798"/>
        <w:gridCol w:w="899"/>
        <w:gridCol w:w="899"/>
        <w:gridCol w:w="1134"/>
        <w:gridCol w:w="798"/>
        <w:gridCol w:w="899"/>
        <w:gridCol w:w="805"/>
        <w:gridCol w:w="798"/>
        <w:gridCol w:w="618"/>
        <w:gridCol w:w="468"/>
        <w:gridCol w:w="510"/>
        <w:gridCol w:w="468"/>
        <w:gridCol w:w="8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947" w:type="dxa"/>
            <w:vMerge w:val="restart"/>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废气来源</w:t>
            </w:r>
          </w:p>
        </w:tc>
        <w:tc>
          <w:tcPr>
            <w:tcW w:w="875" w:type="dxa"/>
            <w:vMerge w:val="restart"/>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废气/排气筒编号</w:t>
            </w:r>
          </w:p>
        </w:tc>
        <w:tc>
          <w:tcPr>
            <w:tcW w:w="838" w:type="dxa"/>
            <w:vMerge w:val="restart"/>
            <w:vAlign w:val="center"/>
          </w:tcPr>
          <w:p>
            <w:pPr>
              <w:adjustRightInd w:val="0"/>
              <w:snapToGrid w:val="0"/>
              <w:spacing w:line="240" w:lineRule="auto"/>
              <w:ind w:firstLine="0" w:firstLineChars="0"/>
              <w:jc w:val="center"/>
              <w:rPr>
                <w:b/>
                <w:color w:val="auto"/>
                <w:sz w:val="21"/>
                <w:szCs w:val="21"/>
              </w:rPr>
            </w:pPr>
            <w:r>
              <w:rPr>
                <w:b/>
                <w:color w:val="auto"/>
                <w:sz w:val="21"/>
                <w:szCs w:val="21"/>
              </w:rPr>
              <w:t>废气量</w:t>
            </w:r>
          </w:p>
          <w:p>
            <w:pPr>
              <w:widowControl/>
              <w:adjustRightInd w:val="0"/>
              <w:snapToGrid w:val="0"/>
              <w:spacing w:line="240" w:lineRule="auto"/>
              <w:ind w:firstLine="0" w:firstLineChars="0"/>
              <w:jc w:val="center"/>
              <w:rPr>
                <w:b/>
                <w:color w:val="auto"/>
                <w:sz w:val="21"/>
                <w:szCs w:val="21"/>
              </w:rPr>
            </w:pPr>
            <w:r>
              <w:rPr>
                <w:b/>
                <w:color w:val="auto"/>
                <w:sz w:val="21"/>
                <w:szCs w:val="21"/>
              </w:rPr>
              <w:t>Nm</w:t>
            </w:r>
            <w:r>
              <w:rPr>
                <w:b/>
                <w:color w:val="auto"/>
                <w:sz w:val="21"/>
                <w:szCs w:val="21"/>
                <w:vertAlign w:val="superscript"/>
              </w:rPr>
              <w:t>3</w:t>
            </w:r>
            <w:r>
              <w:rPr>
                <w:b/>
                <w:color w:val="auto"/>
                <w:sz w:val="21"/>
                <w:szCs w:val="21"/>
              </w:rPr>
              <w:t>/h</w:t>
            </w:r>
          </w:p>
        </w:tc>
        <w:tc>
          <w:tcPr>
            <w:tcW w:w="868" w:type="dxa"/>
            <w:vMerge w:val="restart"/>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污染物</w:t>
            </w:r>
          </w:p>
        </w:tc>
        <w:tc>
          <w:tcPr>
            <w:tcW w:w="3348" w:type="dxa"/>
            <w:gridSpan w:val="4"/>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产生情况</w:t>
            </w:r>
          </w:p>
        </w:tc>
        <w:tc>
          <w:tcPr>
            <w:tcW w:w="1134" w:type="dxa"/>
            <w:vMerge w:val="restart"/>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治理措施及净化效率</w:t>
            </w:r>
          </w:p>
        </w:tc>
        <w:tc>
          <w:tcPr>
            <w:tcW w:w="2502" w:type="dxa"/>
            <w:gridSpan w:val="3"/>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排放情况</w:t>
            </w:r>
          </w:p>
        </w:tc>
        <w:tc>
          <w:tcPr>
            <w:tcW w:w="1416" w:type="dxa"/>
            <w:gridSpan w:val="2"/>
            <w:vAlign w:val="center"/>
          </w:tcPr>
          <w:p>
            <w:pPr>
              <w:adjustRightInd w:val="0"/>
              <w:snapToGrid w:val="0"/>
              <w:spacing w:line="240" w:lineRule="auto"/>
              <w:ind w:firstLine="0" w:firstLineChars="0"/>
              <w:jc w:val="center"/>
              <w:rPr>
                <w:b/>
                <w:color w:val="auto"/>
                <w:sz w:val="21"/>
                <w:szCs w:val="21"/>
              </w:rPr>
            </w:pPr>
            <w:r>
              <w:rPr>
                <w:b/>
                <w:color w:val="auto"/>
                <w:sz w:val="21"/>
                <w:szCs w:val="21"/>
              </w:rPr>
              <w:t>排放标准</w:t>
            </w:r>
          </w:p>
        </w:tc>
        <w:tc>
          <w:tcPr>
            <w:tcW w:w="2290" w:type="dxa"/>
            <w:gridSpan w:val="4"/>
            <w:vAlign w:val="center"/>
          </w:tcPr>
          <w:p>
            <w:pPr>
              <w:adjustRightInd w:val="0"/>
              <w:snapToGrid w:val="0"/>
              <w:spacing w:line="240" w:lineRule="auto"/>
              <w:ind w:firstLine="0" w:firstLineChars="0"/>
              <w:jc w:val="center"/>
              <w:rPr>
                <w:b/>
                <w:color w:val="auto"/>
                <w:sz w:val="21"/>
                <w:szCs w:val="21"/>
              </w:rPr>
            </w:pPr>
            <w:r>
              <w:rPr>
                <w:b/>
                <w:color w:val="auto"/>
                <w:sz w:val="21"/>
                <w:szCs w:val="21"/>
              </w:rPr>
              <w:t>排气筒参数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7" w:type="dxa"/>
            <w:vMerge w:val="continue"/>
            <w:vAlign w:val="center"/>
          </w:tcPr>
          <w:p>
            <w:pPr>
              <w:widowControl/>
              <w:adjustRightInd w:val="0"/>
              <w:snapToGrid w:val="0"/>
              <w:spacing w:line="240" w:lineRule="auto"/>
              <w:ind w:firstLine="0" w:firstLineChars="0"/>
              <w:jc w:val="center"/>
              <w:rPr>
                <w:b/>
                <w:color w:val="auto"/>
                <w:sz w:val="21"/>
                <w:szCs w:val="21"/>
              </w:rPr>
            </w:pPr>
          </w:p>
        </w:tc>
        <w:tc>
          <w:tcPr>
            <w:tcW w:w="875" w:type="dxa"/>
            <w:vMerge w:val="continue"/>
            <w:vAlign w:val="center"/>
          </w:tcPr>
          <w:p>
            <w:pPr>
              <w:widowControl/>
              <w:adjustRightInd w:val="0"/>
              <w:snapToGrid w:val="0"/>
              <w:spacing w:line="240" w:lineRule="auto"/>
              <w:ind w:firstLine="0" w:firstLineChars="0"/>
              <w:jc w:val="center"/>
              <w:rPr>
                <w:b/>
                <w:color w:val="auto"/>
                <w:sz w:val="21"/>
                <w:szCs w:val="21"/>
              </w:rPr>
            </w:pPr>
          </w:p>
        </w:tc>
        <w:tc>
          <w:tcPr>
            <w:tcW w:w="838" w:type="dxa"/>
            <w:vMerge w:val="continue"/>
            <w:vAlign w:val="center"/>
          </w:tcPr>
          <w:p>
            <w:pPr>
              <w:widowControl/>
              <w:adjustRightInd w:val="0"/>
              <w:snapToGrid w:val="0"/>
              <w:spacing w:line="240" w:lineRule="auto"/>
              <w:ind w:firstLine="0" w:firstLineChars="0"/>
              <w:jc w:val="center"/>
              <w:rPr>
                <w:b/>
                <w:color w:val="auto"/>
                <w:sz w:val="21"/>
                <w:szCs w:val="21"/>
              </w:rPr>
            </w:pPr>
          </w:p>
        </w:tc>
        <w:tc>
          <w:tcPr>
            <w:tcW w:w="868" w:type="dxa"/>
            <w:vMerge w:val="continue"/>
            <w:vAlign w:val="center"/>
          </w:tcPr>
          <w:p>
            <w:pPr>
              <w:widowControl/>
              <w:adjustRightInd w:val="0"/>
              <w:snapToGrid w:val="0"/>
              <w:spacing w:line="240" w:lineRule="auto"/>
              <w:ind w:firstLine="0" w:firstLineChars="0"/>
              <w:jc w:val="center"/>
              <w:rPr>
                <w:b/>
                <w:color w:val="auto"/>
                <w:sz w:val="21"/>
                <w:szCs w:val="21"/>
              </w:rPr>
            </w:pPr>
          </w:p>
        </w:tc>
        <w:tc>
          <w:tcPr>
            <w:tcW w:w="752" w:type="dxa"/>
            <w:vMerge w:val="restart"/>
            <w:vAlign w:val="center"/>
          </w:tcPr>
          <w:p>
            <w:pPr>
              <w:widowControl/>
              <w:adjustRightInd w:val="0"/>
              <w:snapToGrid w:val="0"/>
              <w:spacing w:line="240" w:lineRule="auto"/>
              <w:ind w:firstLine="0" w:firstLineChars="0"/>
              <w:jc w:val="center"/>
              <w:rPr>
                <w:b/>
                <w:color w:val="auto"/>
                <w:sz w:val="21"/>
                <w:szCs w:val="21"/>
              </w:rPr>
            </w:pPr>
            <w:r>
              <w:rPr>
                <w:rFonts w:hint="eastAsia"/>
                <w:b/>
                <w:color w:val="auto"/>
                <w:sz w:val="21"/>
                <w:szCs w:val="21"/>
              </w:rPr>
              <w:t>核算方法</w:t>
            </w:r>
          </w:p>
        </w:tc>
        <w:tc>
          <w:tcPr>
            <w:tcW w:w="798" w:type="dxa"/>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浓度</w:t>
            </w:r>
          </w:p>
        </w:tc>
        <w:tc>
          <w:tcPr>
            <w:tcW w:w="899" w:type="dxa"/>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速率</w:t>
            </w:r>
          </w:p>
        </w:tc>
        <w:tc>
          <w:tcPr>
            <w:tcW w:w="899" w:type="dxa"/>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产生量</w:t>
            </w:r>
          </w:p>
        </w:tc>
        <w:tc>
          <w:tcPr>
            <w:tcW w:w="1134" w:type="dxa"/>
            <w:vMerge w:val="continue"/>
            <w:vAlign w:val="center"/>
          </w:tcPr>
          <w:p>
            <w:pPr>
              <w:widowControl/>
              <w:adjustRightInd w:val="0"/>
              <w:snapToGrid w:val="0"/>
              <w:spacing w:line="240" w:lineRule="auto"/>
              <w:ind w:firstLine="0" w:firstLineChars="0"/>
              <w:jc w:val="center"/>
              <w:rPr>
                <w:b/>
                <w:color w:val="auto"/>
                <w:sz w:val="21"/>
                <w:szCs w:val="21"/>
              </w:rPr>
            </w:pPr>
          </w:p>
        </w:tc>
        <w:tc>
          <w:tcPr>
            <w:tcW w:w="798" w:type="dxa"/>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浓度</w:t>
            </w:r>
          </w:p>
        </w:tc>
        <w:tc>
          <w:tcPr>
            <w:tcW w:w="899" w:type="dxa"/>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速率</w:t>
            </w:r>
          </w:p>
        </w:tc>
        <w:tc>
          <w:tcPr>
            <w:tcW w:w="805" w:type="dxa"/>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排放量</w:t>
            </w:r>
          </w:p>
        </w:tc>
        <w:tc>
          <w:tcPr>
            <w:tcW w:w="798" w:type="dxa"/>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浓度</w:t>
            </w:r>
          </w:p>
        </w:tc>
        <w:tc>
          <w:tcPr>
            <w:tcW w:w="618" w:type="dxa"/>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速率</w:t>
            </w:r>
          </w:p>
        </w:tc>
        <w:tc>
          <w:tcPr>
            <w:tcW w:w="468" w:type="dxa"/>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高度</w:t>
            </w:r>
          </w:p>
        </w:tc>
        <w:tc>
          <w:tcPr>
            <w:tcW w:w="510" w:type="dxa"/>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内径</w:t>
            </w:r>
          </w:p>
        </w:tc>
        <w:tc>
          <w:tcPr>
            <w:tcW w:w="468" w:type="dxa"/>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温度</w:t>
            </w:r>
          </w:p>
        </w:tc>
        <w:tc>
          <w:tcPr>
            <w:tcW w:w="844" w:type="dxa"/>
            <w:vMerge w:val="restart"/>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排放方式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7" w:type="dxa"/>
            <w:vMerge w:val="continue"/>
            <w:vAlign w:val="center"/>
          </w:tcPr>
          <w:p>
            <w:pPr>
              <w:widowControl/>
              <w:adjustRightInd w:val="0"/>
              <w:snapToGrid w:val="0"/>
              <w:spacing w:line="240" w:lineRule="auto"/>
              <w:ind w:firstLine="0" w:firstLineChars="0"/>
              <w:jc w:val="center"/>
              <w:rPr>
                <w:b/>
                <w:color w:val="auto"/>
                <w:sz w:val="21"/>
                <w:szCs w:val="21"/>
              </w:rPr>
            </w:pPr>
          </w:p>
        </w:tc>
        <w:tc>
          <w:tcPr>
            <w:tcW w:w="875" w:type="dxa"/>
            <w:vMerge w:val="continue"/>
            <w:vAlign w:val="center"/>
          </w:tcPr>
          <w:p>
            <w:pPr>
              <w:widowControl/>
              <w:adjustRightInd w:val="0"/>
              <w:snapToGrid w:val="0"/>
              <w:spacing w:line="240" w:lineRule="auto"/>
              <w:ind w:firstLine="0" w:firstLineChars="0"/>
              <w:jc w:val="center"/>
              <w:rPr>
                <w:b/>
                <w:color w:val="auto"/>
                <w:sz w:val="21"/>
                <w:szCs w:val="21"/>
              </w:rPr>
            </w:pPr>
          </w:p>
        </w:tc>
        <w:tc>
          <w:tcPr>
            <w:tcW w:w="838" w:type="dxa"/>
            <w:vMerge w:val="continue"/>
            <w:vAlign w:val="center"/>
          </w:tcPr>
          <w:p>
            <w:pPr>
              <w:widowControl/>
              <w:adjustRightInd w:val="0"/>
              <w:snapToGrid w:val="0"/>
              <w:spacing w:line="240" w:lineRule="auto"/>
              <w:ind w:firstLine="0" w:firstLineChars="0"/>
              <w:jc w:val="center"/>
              <w:rPr>
                <w:b/>
                <w:color w:val="auto"/>
                <w:sz w:val="21"/>
                <w:szCs w:val="21"/>
              </w:rPr>
            </w:pPr>
          </w:p>
        </w:tc>
        <w:tc>
          <w:tcPr>
            <w:tcW w:w="868" w:type="dxa"/>
            <w:vMerge w:val="continue"/>
            <w:vAlign w:val="center"/>
          </w:tcPr>
          <w:p>
            <w:pPr>
              <w:widowControl/>
              <w:adjustRightInd w:val="0"/>
              <w:snapToGrid w:val="0"/>
              <w:spacing w:line="240" w:lineRule="auto"/>
              <w:ind w:firstLine="0" w:firstLineChars="0"/>
              <w:jc w:val="center"/>
              <w:rPr>
                <w:b/>
                <w:color w:val="auto"/>
                <w:sz w:val="21"/>
                <w:szCs w:val="21"/>
              </w:rPr>
            </w:pPr>
          </w:p>
        </w:tc>
        <w:tc>
          <w:tcPr>
            <w:tcW w:w="752" w:type="dxa"/>
            <w:vMerge w:val="continue"/>
            <w:vAlign w:val="center"/>
          </w:tcPr>
          <w:p>
            <w:pPr>
              <w:widowControl/>
              <w:adjustRightInd w:val="0"/>
              <w:snapToGrid w:val="0"/>
              <w:spacing w:line="240" w:lineRule="auto"/>
              <w:ind w:firstLine="0" w:firstLineChars="0"/>
              <w:jc w:val="center"/>
              <w:rPr>
                <w:b/>
                <w:color w:val="auto"/>
                <w:sz w:val="21"/>
                <w:szCs w:val="21"/>
              </w:rPr>
            </w:pPr>
          </w:p>
        </w:tc>
        <w:tc>
          <w:tcPr>
            <w:tcW w:w="798" w:type="dxa"/>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mg/m</w:t>
            </w:r>
            <w:r>
              <w:rPr>
                <w:b/>
                <w:color w:val="auto"/>
                <w:sz w:val="21"/>
                <w:szCs w:val="21"/>
                <w:vertAlign w:val="superscript"/>
              </w:rPr>
              <w:t>3</w:t>
            </w:r>
          </w:p>
        </w:tc>
        <w:tc>
          <w:tcPr>
            <w:tcW w:w="899" w:type="dxa"/>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kg/h</w:t>
            </w:r>
          </w:p>
        </w:tc>
        <w:tc>
          <w:tcPr>
            <w:tcW w:w="899" w:type="dxa"/>
            <w:tcBorders>
              <w:bottom w:val="single" w:color="auto" w:sz="4" w:space="0"/>
            </w:tcBorders>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t/a</w:t>
            </w:r>
          </w:p>
        </w:tc>
        <w:tc>
          <w:tcPr>
            <w:tcW w:w="1134" w:type="dxa"/>
            <w:vMerge w:val="continue"/>
            <w:tcBorders>
              <w:bottom w:val="single" w:color="auto" w:sz="4" w:space="0"/>
            </w:tcBorders>
            <w:vAlign w:val="center"/>
          </w:tcPr>
          <w:p>
            <w:pPr>
              <w:widowControl/>
              <w:adjustRightInd w:val="0"/>
              <w:snapToGrid w:val="0"/>
              <w:spacing w:line="240" w:lineRule="auto"/>
              <w:ind w:firstLine="0" w:firstLineChars="0"/>
              <w:jc w:val="center"/>
              <w:rPr>
                <w:b/>
                <w:color w:val="auto"/>
                <w:sz w:val="21"/>
                <w:szCs w:val="21"/>
              </w:rPr>
            </w:pPr>
          </w:p>
        </w:tc>
        <w:tc>
          <w:tcPr>
            <w:tcW w:w="798" w:type="dxa"/>
            <w:tcBorders>
              <w:bottom w:val="single" w:color="auto" w:sz="4" w:space="0"/>
            </w:tcBorders>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mg/m</w:t>
            </w:r>
            <w:r>
              <w:rPr>
                <w:b/>
                <w:color w:val="auto"/>
                <w:sz w:val="21"/>
                <w:szCs w:val="21"/>
                <w:vertAlign w:val="superscript"/>
              </w:rPr>
              <w:t>3</w:t>
            </w:r>
          </w:p>
        </w:tc>
        <w:tc>
          <w:tcPr>
            <w:tcW w:w="899" w:type="dxa"/>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kg/h</w:t>
            </w:r>
          </w:p>
        </w:tc>
        <w:tc>
          <w:tcPr>
            <w:tcW w:w="805" w:type="dxa"/>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t/a</w:t>
            </w:r>
          </w:p>
        </w:tc>
        <w:tc>
          <w:tcPr>
            <w:tcW w:w="798" w:type="dxa"/>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mg/m</w:t>
            </w:r>
            <w:r>
              <w:rPr>
                <w:b/>
                <w:color w:val="auto"/>
                <w:sz w:val="21"/>
                <w:szCs w:val="21"/>
                <w:vertAlign w:val="superscript"/>
              </w:rPr>
              <w:t>3</w:t>
            </w:r>
          </w:p>
        </w:tc>
        <w:tc>
          <w:tcPr>
            <w:tcW w:w="618" w:type="dxa"/>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kg/h</w:t>
            </w:r>
          </w:p>
        </w:tc>
        <w:tc>
          <w:tcPr>
            <w:tcW w:w="468" w:type="dxa"/>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m</w:t>
            </w:r>
          </w:p>
        </w:tc>
        <w:tc>
          <w:tcPr>
            <w:tcW w:w="510" w:type="dxa"/>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m</w:t>
            </w:r>
          </w:p>
        </w:tc>
        <w:tc>
          <w:tcPr>
            <w:tcW w:w="468" w:type="dxa"/>
            <w:vAlign w:val="center"/>
          </w:tcPr>
          <w:p>
            <w:pPr>
              <w:widowControl/>
              <w:adjustRightInd w:val="0"/>
              <w:snapToGrid w:val="0"/>
              <w:spacing w:line="240" w:lineRule="auto"/>
              <w:ind w:firstLine="0" w:firstLineChars="0"/>
              <w:jc w:val="center"/>
              <w:rPr>
                <w:b/>
                <w:color w:val="auto"/>
                <w:sz w:val="21"/>
                <w:szCs w:val="21"/>
              </w:rPr>
            </w:pPr>
            <w:r>
              <w:rPr>
                <w:b/>
                <w:color w:val="auto"/>
                <w:sz w:val="21"/>
                <w:szCs w:val="21"/>
              </w:rPr>
              <w:t>℃</w:t>
            </w:r>
          </w:p>
        </w:tc>
        <w:tc>
          <w:tcPr>
            <w:tcW w:w="844" w:type="dxa"/>
            <w:vMerge w:val="continue"/>
            <w:vAlign w:val="center"/>
          </w:tcPr>
          <w:p>
            <w:pPr>
              <w:widowControl/>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7" w:type="dxa"/>
            <w:vAlign w:val="center"/>
          </w:tcPr>
          <w:p>
            <w:pPr>
              <w:snapToGrid w:val="0"/>
              <w:spacing w:line="340" w:lineRule="exact"/>
              <w:ind w:firstLine="0" w:firstLineChars="0"/>
              <w:jc w:val="center"/>
              <w:rPr>
                <w:color w:val="auto"/>
                <w:sz w:val="21"/>
                <w:szCs w:val="21"/>
              </w:rPr>
            </w:pPr>
            <w:r>
              <w:rPr>
                <w:rFonts w:hint="eastAsia"/>
                <w:color w:val="auto"/>
                <w:sz w:val="21"/>
                <w:szCs w:val="21"/>
              </w:rPr>
              <w:t>脱水不凝气</w:t>
            </w:r>
          </w:p>
        </w:tc>
        <w:tc>
          <w:tcPr>
            <w:tcW w:w="875" w:type="dxa"/>
            <w:vAlign w:val="center"/>
          </w:tcPr>
          <w:p>
            <w:pPr>
              <w:snapToGrid w:val="0"/>
              <w:spacing w:line="340" w:lineRule="exact"/>
              <w:ind w:firstLine="0" w:firstLineChars="0"/>
              <w:jc w:val="center"/>
              <w:rPr>
                <w:color w:val="auto"/>
                <w:sz w:val="21"/>
                <w:szCs w:val="21"/>
              </w:rPr>
            </w:pPr>
            <w:r>
              <w:rPr>
                <w:color w:val="auto"/>
                <w:sz w:val="21"/>
                <w:szCs w:val="21"/>
              </w:rPr>
              <w:t>G1</w:t>
            </w:r>
          </w:p>
        </w:tc>
        <w:tc>
          <w:tcPr>
            <w:tcW w:w="83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w:t>
            </w:r>
          </w:p>
        </w:tc>
        <w:tc>
          <w:tcPr>
            <w:tcW w:w="8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VOCs</w:t>
            </w:r>
          </w:p>
        </w:tc>
        <w:tc>
          <w:tcPr>
            <w:tcW w:w="752"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物料衡算法</w:t>
            </w:r>
          </w:p>
        </w:tc>
        <w:tc>
          <w:tcPr>
            <w:tcW w:w="798" w:type="dxa"/>
            <w:vAlign w:val="center"/>
          </w:tcPr>
          <w:p>
            <w:pPr>
              <w:adjustRightInd w:val="0"/>
              <w:snapToGrid w:val="0"/>
              <w:spacing w:line="240" w:lineRule="auto"/>
              <w:ind w:firstLine="0" w:firstLineChars="0"/>
              <w:jc w:val="center"/>
              <w:rPr>
                <w:color w:val="auto"/>
                <w:sz w:val="21"/>
                <w:szCs w:val="21"/>
              </w:rPr>
            </w:pPr>
            <w:r>
              <w:rPr>
                <w:color w:val="auto"/>
                <w:sz w:val="21"/>
                <w:szCs w:val="21"/>
              </w:rPr>
              <w:t>/</w:t>
            </w:r>
          </w:p>
        </w:tc>
        <w:tc>
          <w:tcPr>
            <w:tcW w:w="899" w:type="dxa"/>
            <w:vAlign w:val="center"/>
          </w:tcPr>
          <w:p>
            <w:pPr>
              <w:snapToGrid w:val="0"/>
              <w:spacing w:line="340" w:lineRule="exact"/>
              <w:ind w:firstLine="0" w:firstLineChars="0"/>
              <w:jc w:val="center"/>
              <w:rPr>
                <w:color w:val="auto"/>
                <w:sz w:val="21"/>
                <w:szCs w:val="21"/>
              </w:rPr>
            </w:pPr>
            <w:r>
              <w:rPr>
                <w:color w:val="auto"/>
                <w:sz w:val="21"/>
                <w:szCs w:val="21"/>
              </w:rPr>
              <w:t>0.</w:t>
            </w:r>
            <w:r>
              <w:rPr>
                <w:rFonts w:hint="eastAsia"/>
                <w:color w:val="auto"/>
                <w:sz w:val="21"/>
                <w:szCs w:val="21"/>
                <w:lang w:val="en-US" w:eastAsia="zh-CN"/>
              </w:rPr>
              <w:t>049</w:t>
            </w:r>
            <w:r>
              <w:rPr>
                <w:color w:val="auto"/>
                <w:sz w:val="21"/>
                <w:szCs w:val="21"/>
              </w:rPr>
              <w:t xml:space="preserve"> </w:t>
            </w:r>
          </w:p>
        </w:tc>
        <w:tc>
          <w:tcPr>
            <w:tcW w:w="899" w:type="dxa"/>
            <w:vAlign w:val="center"/>
          </w:tcPr>
          <w:p>
            <w:pPr>
              <w:snapToGrid w:val="0"/>
              <w:spacing w:line="340" w:lineRule="exact"/>
              <w:ind w:firstLine="0" w:firstLineChars="0"/>
              <w:jc w:val="center"/>
              <w:rPr>
                <w:color w:val="auto"/>
                <w:sz w:val="21"/>
                <w:szCs w:val="21"/>
              </w:rPr>
            </w:pPr>
            <w:r>
              <w:rPr>
                <w:rFonts w:hint="eastAsia"/>
                <w:color w:val="auto"/>
                <w:sz w:val="21"/>
                <w:szCs w:val="21"/>
                <w:lang w:val="en-US" w:eastAsia="zh-CN"/>
              </w:rPr>
              <w:t>0.3528</w:t>
            </w:r>
            <w:r>
              <w:rPr>
                <w:color w:val="auto"/>
                <w:sz w:val="21"/>
                <w:szCs w:val="21"/>
              </w:rPr>
              <w:t xml:space="preserve"> </w:t>
            </w:r>
          </w:p>
        </w:tc>
        <w:tc>
          <w:tcPr>
            <w:tcW w:w="1134" w:type="dxa"/>
            <w:vMerge w:val="restart"/>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lang w:eastAsia="zh-CN"/>
              </w:rPr>
              <w:t>碱喷淋</w:t>
            </w:r>
            <w:r>
              <w:rPr>
                <w:rFonts w:hint="eastAsia"/>
                <w:color w:val="auto"/>
                <w:sz w:val="21"/>
                <w:szCs w:val="21"/>
              </w:rPr>
              <w:t>+</w:t>
            </w:r>
            <w:r>
              <w:rPr>
                <w:color w:val="auto"/>
                <w:sz w:val="21"/>
                <w:szCs w:val="21"/>
              </w:rPr>
              <w:t>活性炭吸附，处理效率80%</w:t>
            </w:r>
            <w:r>
              <w:rPr>
                <w:rFonts w:hint="eastAsia"/>
                <w:color w:val="auto"/>
                <w:sz w:val="21"/>
                <w:szCs w:val="21"/>
              </w:rPr>
              <w:t>+15m高排气筒DA001</w:t>
            </w:r>
          </w:p>
        </w:tc>
        <w:tc>
          <w:tcPr>
            <w:tcW w:w="798" w:type="dxa"/>
            <w:vAlign w:val="center"/>
          </w:tcPr>
          <w:p>
            <w:pPr>
              <w:adjustRightInd w:val="0"/>
              <w:snapToGrid w:val="0"/>
              <w:spacing w:line="240" w:lineRule="auto"/>
              <w:ind w:firstLine="0" w:firstLineChars="0"/>
              <w:jc w:val="center"/>
              <w:rPr>
                <w:color w:val="auto"/>
                <w:sz w:val="21"/>
                <w:szCs w:val="21"/>
              </w:rPr>
            </w:pPr>
            <w:r>
              <w:rPr>
                <w:color w:val="auto"/>
                <w:sz w:val="21"/>
                <w:szCs w:val="21"/>
              </w:rPr>
              <w:t>/</w:t>
            </w:r>
          </w:p>
        </w:tc>
        <w:tc>
          <w:tcPr>
            <w:tcW w:w="899" w:type="dxa"/>
            <w:vAlign w:val="center"/>
          </w:tcPr>
          <w:p>
            <w:pPr>
              <w:widowControl/>
              <w:adjustRightInd w:val="0"/>
              <w:snapToGrid w:val="0"/>
              <w:spacing w:line="240" w:lineRule="auto"/>
              <w:ind w:firstLine="0" w:firstLineChars="0"/>
              <w:jc w:val="center"/>
              <w:rPr>
                <w:rFonts w:hint="default" w:eastAsia="宋体"/>
                <w:color w:val="auto"/>
                <w:sz w:val="21"/>
                <w:szCs w:val="21"/>
                <w:lang w:val="en-US" w:eastAsia="zh-CN"/>
              </w:rPr>
            </w:pPr>
            <w:r>
              <w:rPr>
                <w:color w:val="auto"/>
                <w:sz w:val="21"/>
                <w:szCs w:val="21"/>
              </w:rPr>
              <w:t>0.0</w:t>
            </w:r>
            <w:r>
              <w:rPr>
                <w:rFonts w:hint="eastAsia"/>
                <w:color w:val="auto"/>
                <w:sz w:val="21"/>
                <w:szCs w:val="21"/>
                <w:lang w:val="en-US" w:eastAsia="zh-CN"/>
              </w:rPr>
              <w:t>098</w:t>
            </w:r>
          </w:p>
        </w:tc>
        <w:tc>
          <w:tcPr>
            <w:tcW w:w="805"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0.071</w:t>
            </w:r>
            <w:r>
              <w:rPr>
                <w:color w:val="auto"/>
                <w:sz w:val="21"/>
                <w:szCs w:val="21"/>
              </w:rPr>
              <w:t xml:space="preserve"> </w:t>
            </w:r>
          </w:p>
        </w:tc>
        <w:tc>
          <w:tcPr>
            <w:tcW w:w="79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w:t>
            </w:r>
          </w:p>
        </w:tc>
        <w:tc>
          <w:tcPr>
            <w:tcW w:w="618" w:type="dxa"/>
            <w:vAlign w:val="center"/>
          </w:tcPr>
          <w:p>
            <w:pPr>
              <w:adjustRightInd w:val="0"/>
              <w:snapToGrid w:val="0"/>
              <w:spacing w:line="240" w:lineRule="auto"/>
              <w:ind w:firstLine="0" w:firstLineChars="0"/>
              <w:jc w:val="center"/>
              <w:rPr>
                <w:color w:val="auto"/>
                <w:sz w:val="21"/>
                <w:szCs w:val="21"/>
              </w:rPr>
            </w:pPr>
            <w:r>
              <w:rPr>
                <w:color w:val="auto"/>
                <w:sz w:val="21"/>
                <w:szCs w:val="21"/>
              </w:rPr>
              <w:t>/</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15</w:t>
            </w:r>
          </w:p>
        </w:tc>
        <w:tc>
          <w:tcPr>
            <w:tcW w:w="510"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0.</w:t>
            </w:r>
            <w:r>
              <w:rPr>
                <w:rFonts w:hint="eastAsia"/>
                <w:color w:val="auto"/>
                <w:sz w:val="21"/>
                <w:szCs w:val="21"/>
              </w:rPr>
              <w:t>1</w:t>
            </w:r>
            <w:r>
              <w:rPr>
                <w:color w:val="auto"/>
                <w:sz w:val="21"/>
                <w:szCs w:val="21"/>
              </w:rPr>
              <w:t>5</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常温</w:t>
            </w:r>
          </w:p>
        </w:tc>
        <w:tc>
          <w:tcPr>
            <w:tcW w:w="844"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连续</w:t>
            </w:r>
            <w:r>
              <w:rPr>
                <w:rFonts w:hint="eastAsia"/>
                <w:color w:val="auto"/>
                <w:sz w:val="21"/>
                <w:szCs w:val="21"/>
              </w:rPr>
              <w:t>7200h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947" w:type="dxa"/>
            <w:vAlign w:val="center"/>
          </w:tcPr>
          <w:p>
            <w:pPr>
              <w:snapToGrid w:val="0"/>
              <w:spacing w:line="34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低聚不凝气</w:t>
            </w:r>
          </w:p>
        </w:tc>
        <w:tc>
          <w:tcPr>
            <w:tcW w:w="875" w:type="dxa"/>
            <w:vAlign w:val="center"/>
          </w:tcPr>
          <w:p>
            <w:pPr>
              <w:snapToGrid w:val="0"/>
              <w:spacing w:line="340" w:lineRule="exact"/>
              <w:ind w:firstLine="0" w:firstLineChars="0"/>
              <w:jc w:val="center"/>
              <w:rPr>
                <w:rFonts w:hint="eastAsia" w:eastAsia="宋体"/>
                <w:color w:val="auto"/>
                <w:sz w:val="21"/>
                <w:szCs w:val="21"/>
                <w:lang w:val="en-US" w:eastAsia="zh-CN"/>
              </w:rPr>
            </w:pPr>
            <w:r>
              <w:rPr>
                <w:color w:val="auto"/>
                <w:sz w:val="21"/>
                <w:szCs w:val="21"/>
              </w:rPr>
              <w:t>G</w:t>
            </w:r>
            <w:r>
              <w:rPr>
                <w:rFonts w:hint="eastAsia"/>
                <w:color w:val="auto"/>
                <w:sz w:val="21"/>
                <w:szCs w:val="21"/>
                <w:lang w:val="en-US" w:eastAsia="zh-CN"/>
              </w:rPr>
              <w:t>2</w:t>
            </w:r>
          </w:p>
        </w:tc>
        <w:tc>
          <w:tcPr>
            <w:tcW w:w="838" w:type="dxa"/>
            <w:vAlign w:val="center"/>
          </w:tcPr>
          <w:p>
            <w:pPr>
              <w:widowControl/>
              <w:adjustRightInd w:val="0"/>
              <w:snapToGrid w:val="0"/>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c>
          <w:tcPr>
            <w:tcW w:w="8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VOCs</w:t>
            </w:r>
          </w:p>
        </w:tc>
        <w:tc>
          <w:tcPr>
            <w:tcW w:w="752" w:type="dxa"/>
            <w:vAlign w:val="center"/>
          </w:tcPr>
          <w:p>
            <w:pPr>
              <w:widowControl/>
              <w:adjustRightInd w:val="0"/>
              <w:snapToGrid w:val="0"/>
              <w:spacing w:line="240" w:lineRule="auto"/>
              <w:ind w:firstLine="0" w:firstLineChars="0"/>
              <w:jc w:val="center"/>
              <w:rPr>
                <w:rFonts w:hint="eastAsia"/>
                <w:color w:val="auto"/>
                <w:sz w:val="21"/>
                <w:szCs w:val="21"/>
              </w:rPr>
            </w:pPr>
            <w:r>
              <w:rPr>
                <w:rFonts w:hint="eastAsia"/>
                <w:color w:val="auto"/>
                <w:sz w:val="21"/>
                <w:szCs w:val="21"/>
              </w:rPr>
              <w:t>物料衡算法</w:t>
            </w:r>
          </w:p>
        </w:tc>
        <w:tc>
          <w:tcPr>
            <w:tcW w:w="798" w:type="dxa"/>
            <w:vAlign w:val="center"/>
          </w:tcPr>
          <w:p>
            <w:pPr>
              <w:adjustRightInd w:val="0"/>
              <w:snapToGrid w:val="0"/>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c>
          <w:tcPr>
            <w:tcW w:w="899" w:type="dxa"/>
            <w:vAlign w:val="center"/>
          </w:tcPr>
          <w:p>
            <w:pPr>
              <w:snapToGrid w:val="0"/>
              <w:spacing w:line="34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0.097</w:t>
            </w:r>
          </w:p>
        </w:tc>
        <w:tc>
          <w:tcPr>
            <w:tcW w:w="899" w:type="dxa"/>
            <w:vAlign w:val="center"/>
          </w:tcPr>
          <w:p>
            <w:pPr>
              <w:snapToGrid w:val="0"/>
              <w:spacing w:line="340" w:lineRule="exact"/>
              <w:ind w:firstLine="0" w:firstLineChars="0"/>
              <w:jc w:val="center"/>
              <w:rPr>
                <w:rFonts w:hint="default"/>
                <w:color w:val="auto"/>
                <w:sz w:val="21"/>
                <w:szCs w:val="21"/>
                <w:lang w:val="en-US" w:eastAsia="zh-CN"/>
              </w:rPr>
            </w:pPr>
            <w:r>
              <w:rPr>
                <w:rFonts w:hint="eastAsia"/>
                <w:color w:val="auto"/>
                <w:sz w:val="21"/>
                <w:szCs w:val="21"/>
                <w:lang w:val="en-US" w:eastAsia="zh-CN"/>
              </w:rPr>
              <w:t>0.6985</w:t>
            </w:r>
          </w:p>
        </w:tc>
        <w:tc>
          <w:tcPr>
            <w:tcW w:w="1134" w:type="dxa"/>
            <w:vMerge w:val="continue"/>
            <w:vAlign w:val="center"/>
          </w:tcPr>
          <w:p>
            <w:pPr>
              <w:widowControl/>
              <w:adjustRightInd w:val="0"/>
              <w:snapToGrid w:val="0"/>
              <w:spacing w:line="240" w:lineRule="auto"/>
              <w:ind w:firstLine="0" w:firstLineChars="0"/>
              <w:jc w:val="center"/>
              <w:rPr>
                <w:rFonts w:hint="eastAsia"/>
                <w:color w:val="auto"/>
                <w:sz w:val="21"/>
                <w:szCs w:val="21"/>
              </w:rPr>
            </w:pPr>
          </w:p>
        </w:tc>
        <w:tc>
          <w:tcPr>
            <w:tcW w:w="798" w:type="dxa"/>
            <w:vAlign w:val="center"/>
          </w:tcPr>
          <w:p>
            <w:pPr>
              <w:adjustRightInd w:val="0"/>
              <w:snapToGrid w:val="0"/>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c>
          <w:tcPr>
            <w:tcW w:w="899" w:type="dxa"/>
            <w:vAlign w:val="center"/>
          </w:tcPr>
          <w:p>
            <w:pPr>
              <w:widowControl/>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0.0194</w:t>
            </w:r>
          </w:p>
        </w:tc>
        <w:tc>
          <w:tcPr>
            <w:tcW w:w="805" w:type="dxa"/>
            <w:vAlign w:val="center"/>
          </w:tcPr>
          <w:p>
            <w:pPr>
              <w:widowControl/>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0.140</w:t>
            </w:r>
          </w:p>
        </w:tc>
        <w:tc>
          <w:tcPr>
            <w:tcW w:w="79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w:t>
            </w:r>
          </w:p>
        </w:tc>
        <w:tc>
          <w:tcPr>
            <w:tcW w:w="61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15</w:t>
            </w:r>
          </w:p>
        </w:tc>
        <w:tc>
          <w:tcPr>
            <w:tcW w:w="510"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0.</w:t>
            </w:r>
            <w:r>
              <w:rPr>
                <w:rFonts w:hint="eastAsia"/>
                <w:color w:val="auto"/>
                <w:sz w:val="21"/>
                <w:szCs w:val="21"/>
              </w:rPr>
              <w:t>1</w:t>
            </w:r>
            <w:r>
              <w:rPr>
                <w:color w:val="auto"/>
                <w:sz w:val="21"/>
                <w:szCs w:val="21"/>
              </w:rPr>
              <w:t>5</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常温</w:t>
            </w:r>
          </w:p>
        </w:tc>
        <w:tc>
          <w:tcPr>
            <w:tcW w:w="844"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连续</w:t>
            </w:r>
            <w:r>
              <w:rPr>
                <w:rFonts w:hint="eastAsia"/>
                <w:color w:val="auto"/>
                <w:sz w:val="21"/>
                <w:szCs w:val="21"/>
              </w:rPr>
              <w:t>7200h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947" w:type="dxa"/>
            <w:vAlign w:val="center"/>
          </w:tcPr>
          <w:p>
            <w:pPr>
              <w:snapToGrid w:val="0"/>
              <w:spacing w:line="340" w:lineRule="exact"/>
              <w:ind w:firstLine="0" w:firstLineChars="0"/>
              <w:jc w:val="center"/>
              <w:rPr>
                <w:color w:val="auto"/>
                <w:sz w:val="21"/>
                <w:szCs w:val="21"/>
              </w:rPr>
            </w:pPr>
            <w:r>
              <w:rPr>
                <w:rFonts w:hint="eastAsia"/>
                <w:color w:val="auto"/>
                <w:sz w:val="21"/>
                <w:szCs w:val="21"/>
              </w:rPr>
              <w:t>酯化不凝气</w:t>
            </w:r>
          </w:p>
        </w:tc>
        <w:tc>
          <w:tcPr>
            <w:tcW w:w="875" w:type="dxa"/>
            <w:vAlign w:val="center"/>
          </w:tcPr>
          <w:p>
            <w:pPr>
              <w:snapToGrid w:val="0"/>
              <w:spacing w:line="340" w:lineRule="exact"/>
              <w:ind w:firstLine="0" w:firstLineChars="0"/>
              <w:jc w:val="center"/>
              <w:rPr>
                <w:color w:val="auto"/>
                <w:sz w:val="21"/>
                <w:szCs w:val="21"/>
              </w:rPr>
            </w:pPr>
            <w:r>
              <w:rPr>
                <w:color w:val="auto"/>
                <w:sz w:val="21"/>
                <w:szCs w:val="21"/>
              </w:rPr>
              <w:t>G4</w:t>
            </w:r>
          </w:p>
        </w:tc>
        <w:tc>
          <w:tcPr>
            <w:tcW w:w="83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w:t>
            </w:r>
          </w:p>
        </w:tc>
        <w:tc>
          <w:tcPr>
            <w:tcW w:w="8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VOCs</w:t>
            </w:r>
          </w:p>
        </w:tc>
        <w:tc>
          <w:tcPr>
            <w:tcW w:w="752"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物料衡算法</w:t>
            </w:r>
          </w:p>
        </w:tc>
        <w:tc>
          <w:tcPr>
            <w:tcW w:w="79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w:t>
            </w:r>
          </w:p>
        </w:tc>
        <w:tc>
          <w:tcPr>
            <w:tcW w:w="899" w:type="dxa"/>
            <w:vAlign w:val="center"/>
          </w:tcPr>
          <w:p>
            <w:pPr>
              <w:snapToGrid w:val="0"/>
              <w:spacing w:line="340" w:lineRule="exact"/>
              <w:ind w:firstLine="0" w:firstLineChars="0"/>
              <w:jc w:val="center"/>
              <w:rPr>
                <w:color w:val="auto"/>
                <w:sz w:val="21"/>
                <w:szCs w:val="21"/>
              </w:rPr>
            </w:pPr>
            <w:r>
              <w:rPr>
                <w:rFonts w:hint="eastAsia"/>
                <w:color w:val="auto"/>
                <w:sz w:val="21"/>
                <w:szCs w:val="21"/>
                <w:lang w:val="en-US" w:eastAsia="zh-CN"/>
              </w:rPr>
              <w:t>0.153</w:t>
            </w:r>
            <w:r>
              <w:rPr>
                <w:color w:val="auto"/>
                <w:sz w:val="21"/>
                <w:szCs w:val="21"/>
              </w:rPr>
              <w:t xml:space="preserve"> </w:t>
            </w:r>
          </w:p>
        </w:tc>
        <w:tc>
          <w:tcPr>
            <w:tcW w:w="899" w:type="dxa"/>
            <w:vAlign w:val="center"/>
          </w:tcPr>
          <w:p>
            <w:pPr>
              <w:snapToGrid w:val="0"/>
              <w:spacing w:line="34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1.0984</w:t>
            </w:r>
            <w:r>
              <w:rPr>
                <w:color w:val="auto"/>
                <w:sz w:val="21"/>
                <w:szCs w:val="21"/>
              </w:rPr>
              <w:t xml:space="preserve"> </w:t>
            </w:r>
          </w:p>
        </w:tc>
        <w:tc>
          <w:tcPr>
            <w:tcW w:w="1134" w:type="dxa"/>
            <w:vMerge w:val="continue"/>
            <w:vAlign w:val="center"/>
          </w:tcPr>
          <w:p>
            <w:pPr>
              <w:adjustRightInd w:val="0"/>
              <w:snapToGrid w:val="0"/>
              <w:spacing w:line="240" w:lineRule="auto"/>
              <w:ind w:firstLine="0" w:firstLineChars="0"/>
              <w:jc w:val="center"/>
              <w:rPr>
                <w:color w:val="auto"/>
                <w:sz w:val="21"/>
                <w:szCs w:val="21"/>
              </w:rPr>
            </w:pPr>
          </w:p>
        </w:tc>
        <w:tc>
          <w:tcPr>
            <w:tcW w:w="79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w:t>
            </w:r>
          </w:p>
        </w:tc>
        <w:tc>
          <w:tcPr>
            <w:tcW w:w="899" w:type="dxa"/>
            <w:vAlign w:val="center"/>
          </w:tcPr>
          <w:p>
            <w:pPr>
              <w:widowControl/>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0.0305</w:t>
            </w:r>
          </w:p>
        </w:tc>
        <w:tc>
          <w:tcPr>
            <w:tcW w:w="805"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0.220</w:t>
            </w:r>
            <w:r>
              <w:rPr>
                <w:color w:val="auto"/>
                <w:sz w:val="21"/>
                <w:szCs w:val="21"/>
              </w:rPr>
              <w:t xml:space="preserve"> </w:t>
            </w:r>
          </w:p>
        </w:tc>
        <w:tc>
          <w:tcPr>
            <w:tcW w:w="79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w:t>
            </w:r>
          </w:p>
        </w:tc>
        <w:tc>
          <w:tcPr>
            <w:tcW w:w="61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15</w:t>
            </w:r>
          </w:p>
        </w:tc>
        <w:tc>
          <w:tcPr>
            <w:tcW w:w="510"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0.</w:t>
            </w:r>
            <w:r>
              <w:rPr>
                <w:rFonts w:hint="eastAsia"/>
                <w:color w:val="auto"/>
                <w:sz w:val="21"/>
                <w:szCs w:val="21"/>
              </w:rPr>
              <w:t>1</w:t>
            </w:r>
            <w:r>
              <w:rPr>
                <w:color w:val="auto"/>
                <w:sz w:val="21"/>
                <w:szCs w:val="21"/>
              </w:rPr>
              <w:t>5</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常温</w:t>
            </w:r>
          </w:p>
        </w:tc>
        <w:tc>
          <w:tcPr>
            <w:tcW w:w="844"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连续</w:t>
            </w:r>
            <w:r>
              <w:rPr>
                <w:rFonts w:hint="eastAsia"/>
                <w:color w:val="auto"/>
                <w:sz w:val="21"/>
                <w:szCs w:val="21"/>
              </w:rPr>
              <w:t>7200h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7" w:type="dxa"/>
            <w:vAlign w:val="center"/>
          </w:tcPr>
          <w:p>
            <w:pPr>
              <w:snapToGrid w:val="0"/>
              <w:spacing w:line="340" w:lineRule="exact"/>
              <w:ind w:firstLine="0" w:firstLineChars="0"/>
              <w:jc w:val="center"/>
              <w:rPr>
                <w:color w:val="auto"/>
                <w:sz w:val="21"/>
                <w:szCs w:val="21"/>
              </w:rPr>
            </w:pPr>
            <w:r>
              <w:rPr>
                <w:rFonts w:hint="eastAsia"/>
                <w:color w:val="auto"/>
                <w:sz w:val="21"/>
                <w:szCs w:val="21"/>
              </w:rPr>
              <w:t>精制不凝气</w:t>
            </w:r>
          </w:p>
        </w:tc>
        <w:tc>
          <w:tcPr>
            <w:tcW w:w="875" w:type="dxa"/>
            <w:vAlign w:val="center"/>
          </w:tcPr>
          <w:p>
            <w:pPr>
              <w:snapToGrid w:val="0"/>
              <w:spacing w:line="340" w:lineRule="exact"/>
              <w:ind w:firstLine="0" w:firstLineChars="0"/>
              <w:jc w:val="center"/>
              <w:rPr>
                <w:color w:val="auto"/>
                <w:sz w:val="21"/>
                <w:szCs w:val="21"/>
              </w:rPr>
            </w:pPr>
            <w:r>
              <w:rPr>
                <w:color w:val="auto"/>
                <w:sz w:val="21"/>
                <w:szCs w:val="21"/>
              </w:rPr>
              <w:t>G5</w:t>
            </w:r>
          </w:p>
        </w:tc>
        <w:tc>
          <w:tcPr>
            <w:tcW w:w="83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w:t>
            </w:r>
          </w:p>
        </w:tc>
        <w:tc>
          <w:tcPr>
            <w:tcW w:w="8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VOCs</w:t>
            </w:r>
          </w:p>
        </w:tc>
        <w:tc>
          <w:tcPr>
            <w:tcW w:w="752"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物料衡算法</w:t>
            </w:r>
          </w:p>
        </w:tc>
        <w:tc>
          <w:tcPr>
            <w:tcW w:w="798" w:type="dxa"/>
            <w:vAlign w:val="center"/>
          </w:tcPr>
          <w:p>
            <w:pPr>
              <w:adjustRightInd w:val="0"/>
              <w:snapToGrid w:val="0"/>
              <w:spacing w:line="240" w:lineRule="auto"/>
              <w:ind w:firstLine="0" w:firstLineChars="0"/>
              <w:jc w:val="center"/>
              <w:rPr>
                <w:color w:val="auto"/>
                <w:sz w:val="21"/>
                <w:szCs w:val="21"/>
              </w:rPr>
            </w:pPr>
            <w:r>
              <w:rPr>
                <w:color w:val="auto"/>
                <w:sz w:val="21"/>
                <w:szCs w:val="21"/>
              </w:rPr>
              <w:t>/</w:t>
            </w:r>
          </w:p>
        </w:tc>
        <w:tc>
          <w:tcPr>
            <w:tcW w:w="899" w:type="dxa"/>
            <w:vAlign w:val="center"/>
          </w:tcPr>
          <w:p>
            <w:pPr>
              <w:snapToGrid w:val="0"/>
              <w:spacing w:line="34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0.024</w:t>
            </w:r>
          </w:p>
        </w:tc>
        <w:tc>
          <w:tcPr>
            <w:tcW w:w="899" w:type="dxa"/>
            <w:vAlign w:val="center"/>
          </w:tcPr>
          <w:p>
            <w:pPr>
              <w:snapToGrid w:val="0"/>
              <w:spacing w:line="340" w:lineRule="exact"/>
              <w:ind w:firstLine="0" w:firstLineChars="0"/>
              <w:jc w:val="center"/>
              <w:rPr>
                <w:color w:val="auto"/>
                <w:sz w:val="21"/>
                <w:szCs w:val="21"/>
              </w:rPr>
            </w:pPr>
            <w:r>
              <w:rPr>
                <w:rFonts w:hint="eastAsia"/>
                <w:color w:val="auto"/>
                <w:sz w:val="21"/>
                <w:szCs w:val="21"/>
                <w:lang w:val="en-US" w:eastAsia="zh-CN"/>
              </w:rPr>
              <w:t>0.1711</w:t>
            </w:r>
          </w:p>
        </w:tc>
        <w:tc>
          <w:tcPr>
            <w:tcW w:w="1134" w:type="dxa"/>
            <w:vMerge w:val="continue"/>
            <w:vAlign w:val="center"/>
          </w:tcPr>
          <w:p>
            <w:pPr>
              <w:widowControl/>
              <w:adjustRightInd w:val="0"/>
              <w:snapToGrid w:val="0"/>
              <w:spacing w:line="240" w:lineRule="auto"/>
              <w:ind w:firstLine="0" w:firstLineChars="0"/>
              <w:jc w:val="center"/>
              <w:rPr>
                <w:color w:val="auto"/>
                <w:sz w:val="21"/>
                <w:szCs w:val="21"/>
              </w:rPr>
            </w:pPr>
          </w:p>
        </w:tc>
        <w:tc>
          <w:tcPr>
            <w:tcW w:w="79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w:t>
            </w:r>
          </w:p>
        </w:tc>
        <w:tc>
          <w:tcPr>
            <w:tcW w:w="899"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0.0048</w:t>
            </w:r>
            <w:r>
              <w:rPr>
                <w:color w:val="auto"/>
                <w:sz w:val="21"/>
                <w:szCs w:val="21"/>
              </w:rPr>
              <w:t xml:space="preserve"> </w:t>
            </w:r>
          </w:p>
        </w:tc>
        <w:tc>
          <w:tcPr>
            <w:tcW w:w="805"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0.</w:t>
            </w:r>
            <w:r>
              <w:rPr>
                <w:rFonts w:hint="eastAsia"/>
                <w:color w:val="auto"/>
                <w:sz w:val="21"/>
                <w:szCs w:val="21"/>
                <w:lang w:val="en-US" w:eastAsia="zh-CN"/>
              </w:rPr>
              <w:t>034</w:t>
            </w:r>
            <w:r>
              <w:rPr>
                <w:color w:val="auto"/>
                <w:sz w:val="21"/>
                <w:szCs w:val="21"/>
              </w:rPr>
              <w:t xml:space="preserve"> </w:t>
            </w:r>
          </w:p>
        </w:tc>
        <w:tc>
          <w:tcPr>
            <w:tcW w:w="79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w:t>
            </w:r>
          </w:p>
        </w:tc>
        <w:tc>
          <w:tcPr>
            <w:tcW w:w="61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15</w:t>
            </w:r>
          </w:p>
        </w:tc>
        <w:tc>
          <w:tcPr>
            <w:tcW w:w="510"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0.</w:t>
            </w:r>
            <w:r>
              <w:rPr>
                <w:rFonts w:hint="eastAsia"/>
                <w:color w:val="auto"/>
                <w:sz w:val="21"/>
                <w:szCs w:val="21"/>
              </w:rPr>
              <w:t>1</w:t>
            </w:r>
            <w:r>
              <w:rPr>
                <w:color w:val="auto"/>
                <w:sz w:val="21"/>
                <w:szCs w:val="21"/>
              </w:rPr>
              <w:t>5</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常温</w:t>
            </w:r>
          </w:p>
        </w:tc>
        <w:tc>
          <w:tcPr>
            <w:tcW w:w="844"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连续</w:t>
            </w:r>
            <w:r>
              <w:rPr>
                <w:rFonts w:hint="eastAsia"/>
                <w:color w:val="auto"/>
                <w:sz w:val="21"/>
                <w:szCs w:val="21"/>
              </w:rPr>
              <w:t>7200h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7" w:type="dxa"/>
            <w:vAlign w:val="center"/>
          </w:tcPr>
          <w:p>
            <w:pPr>
              <w:snapToGrid w:val="0"/>
              <w:spacing w:line="340" w:lineRule="exact"/>
              <w:ind w:firstLine="0" w:firstLineChars="0"/>
              <w:jc w:val="center"/>
              <w:rPr>
                <w:color w:val="auto"/>
                <w:sz w:val="21"/>
                <w:szCs w:val="21"/>
              </w:rPr>
            </w:pPr>
            <w:r>
              <w:rPr>
                <w:rFonts w:hint="eastAsia"/>
                <w:color w:val="auto"/>
                <w:sz w:val="21"/>
                <w:szCs w:val="21"/>
              </w:rPr>
              <w:t>脱挥废气</w:t>
            </w:r>
          </w:p>
        </w:tc>
        <w:tc>
          <w:tcPr>
            <w:tcW w:w="875" w:type="dxa"/>
            <w:vAlign w:val="center"/>
          </w:tcPr>
          <w:p>
            <w:pPr>
              <w:snapToGrid w:val="0"/>
              <w:spacing w:line="340" w:lineRule="exact"/>
              <w:ind w:firstLine="0" w:firstLineChars="0"/>
              <w:jc w:val="center"/>
              <w:rPr>
                <w:rFonts w:hint="eastAsia" w:eastAsia="宋体"/>
                <w:color w:val="auto"/>
                <w:sz w:val="21"/>
                <w:szCs w:val="21"/>
                <w:lang w:eastAsia="zh-CN"/>
              </w:rPr>
            </w:pPr>
            <w:r>
              <w:rPr>
                <w:rFonts w:hint="eastAsia"/>
                <w:color w:val="auto"/>
                <w:sz w:val="21"/>
                <w:szCs w:val="21"/>
              </w:rPr>
              <w:t>G</w:t>
            </w:r>
            <w:r>
              <w:rPr>
                <w:rFonts w:hint="eastAsia"/>
                <w:color w:val="auto"/>
                <w:sz w:val="21"/>
                <w:szCs w:val="21"/>
                <w:lang w:val="en-US" w:eastAsia="zh-CN"/>
              </w:rPr>
              <w:t>6</w:t>
            </w:r>
          </w:p>
        </w:tc>
        <w:tc>
          <w:tcPr>
            <w:tcW w:w="838"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w:t>
            </w:r>
          </w:p>
        </w:tc>
        <w:tc>
          <w:tcPr>
            <w:tcW w:w="8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VOCs</w:t>
            </w:r>
          </w:p>
        </w:tc>
        <w:tc>
          <w:tcPr>
            <w:tcW w:w="752"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物料衡算法</w:t>
            </w:r>
          </w:p>
        </w:tc>
        <w:tc>
          <w:tcPr>
            <w:tcW w:w="798"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w:t>
            </w:r>
          </w:p>
        </w:tc>
        <w:tc>
          <w:tcPr>
            <w:tcW w:w="899" w:type="dxa"/>
            <w:vAlign w:val="center"/>
          </w:tcPr>
          <w:p>
            <w:pPr>
              <w:snapToGrid w:val="0"/>
              <w:spacing w:line="340" w:lineRule="exact"/>
              <w:ind w:firstLine="0" w:firstLineChars="0"/>
              <w:jc w:val="center"/>
              <w:rPr>
                <w:color w:val="auto"/>
                <w:sz w:val="21"/>
                <w:szCs w:val="21"/>
              </w:rPr>
            </w:pPr>
            <w:r>
              <w:rPr>
                <w:color w:val="auto"/>
                <w:sz w:val="21"/>
                <w:szCs w:val="21"/>
              </w:rPr>
              <w:t xml:space="preserve">0.300 </w:t>
            </w:r>
          </w:p>
        </w:tc>
        <w:tc>
          <w:tcPr>
            <w:tcW w:w="899" w:type="dxa"/>
            <w:vAlign w:val="center"/>
          </w:tcPr>
          <w:p>
            <w:pPr>
              <w:snapToGrid w:val="0"/>
              <w:spacing w:line="34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2.16</w:t>
            </w:r>
          </w:p>
        </w:tc>
        <w:tc>
          <w:tcPr>
            <w:tcW w:w="1134" w:type="dxa"/>
            <w:vMerge w:val="continue"/>
            <w:vAlign w:val="center"/>
          </w:tcPr>
          <w:p>
            <w:pPr>
              <w:widowControl/>
              <w:adjustRightInd w:val="0"/>
              <w:snapToGrid w:val="0"/>
              <w:spacing w:line="240" w:lineRule="auto"/>
              <w:ind w:firstLine="0" w:firstLineChars="0"/>
              <w:jc w:val="center"/>
              <w:rPr>
                <w:color w:val="auto"/>
                <w:sz w:val="21"/>
                <w:szCs w:val="21"/>
              </w:rPr>
            </w:pPr>
          </w:p>
        </w:tc>
        <w:tc>
          <w:tcPr>
            <w:tcW w:w="798"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w:t>
            </w:r>
          </w:p>
        </w:tc>
        <w:tc>
          <w:tcPr>
            <w:tcW w:w="899"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0.06</w:t>
            </w:r>
            <w:r>
              <w:rPr>
                <w:color w:val="auto"/>
                <w:sz w:val="21"/>
                <w:szCs w:val="21"/>
              </w:rPr>
              <w:t xml:space="preserve"> </w:t>
            </w:r>
          </w:p>
        </w:tc>
        <w:tc>
          <w:tcPr>
            <w:tcW w:w="805"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0.</w:t>
            </w:r>
            <w:r>
              <w:rPr>
                <w:rFonts w:hint="eastAsia"/>
                <w:color w:val="auto"/>
                <w:sz w:val="21"/>
                <w:szCs w:val="21"/>
                <w:lang w:val="en-US" w:eastAsia="zh-CN"/>
              </w:rPr>
              <w:t>432</w:t>
            </w:r>
            <w:r>
              <w:rPr>
                <w:color w:val="auto"/>
                <w:sz w:val="21"/>
                <w:szCs w:val="21"/>
              </w:rPr>
              <w:t xml:space="preserve"> </w:t>
            </w:r>
          </w:p>
        </w:tc>
        <w:tc>
          <w:tcPr>
            <w:tcW w:w="79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w:t>
            </w:r>
          </w:p>
        </w:tc>
        <w:tc>
          <w:tcPr>
            <w:tcW w:w="61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15</w:t>
            </w:r>
          </w:p>
        </w:tc>
        <w:tc>
          <w:tcPr>
            <w:tcW w:w="510"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0.</w:t>
            </w:r>
            <w:r>
              <w:rPr>
                <w:rFonts w:hint="eastAsia"/>
                <w:color w:val="auto"/>
                <w:sz w:val="21"/>
                <w:szCs w:val="21"/>
              </w:rPr>
              <w:t>1</w:t>
            </w:r>
            <w:r>
              <w:rPr>
                <w:color w:val="auto"/>
                <w:sz w:val="21"/>
                <w:szCs w:val="21"/>
              </w:rPr>
              <w:t>5</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常温</w:t>
            </w:r>
          </w:p>
        </w:tc>
        <w:tc>
          <w:tcPr>
            <w:tcW w:w="844"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连续</w:t>
            </w:r>
            <w:r>
              <w:rPr>
                <w:rFonts w:hint="eastAsia"/>
                <w:color w:val="auto"/>
                <w:sz w:val="21"/>
                <w:szCs w:val="21"/>
              </w:rPr>
              <w:t>7200h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7" w:type="dxa"/>
            <w:vAlign w:val="center"/>
          </w:tcPr>
          <w:p>
            <w:pPr>
              <w:snapToGrid w:val="0"/>
              <w:spacing w:line="340" w:lineRule="exact"/>
              <w:ind w:firstLine="0" w:firstLineChars="0"/>
              <w:jc w:val="center"/>
              <w:rPr>
                <w:color w:val="auto"/>
                <w:sz w:val="21"/>
                <w:szCs w:val="21"/>
              </w:rPr>
            </w:pPr>
            <w:r>
              <w:rPr>
                <w:rFonts w:hint="eastAsia"/>
                <w:color w:val="auto"/>
                <w:sz w:val="21"/>
                <w:szCs w:val="21"/>
              </w:rPr>
              <w:t>污水处理站废气</w:t>
            </w:r>
          </w:p>
        </w:tc>
        <w:tc>
          <w:tcPr>
            <w:tcW w:w="875" w:type="dxa"/>
            <w:vAlign w:val="center"/>
          </w:tcPr>
          <w:p>
            <w:pPr>
              <w:snapToGrid w:val="0"/>
              <w:spacing w:line="340" w:lineRule="exact"/>
              <w:ind w:firstLine="0" w:firstLineChars="0"/>
              <w:jc w:val="center"/>
              <w:rPr>
                <w:color w:val="auto"/>
                <w:sz w:val="21"/>
                <w:szCs w:val="21"/>
              </w:rPr>
            </w:pPr>
            <w:r>
              <w:rPr>
                <w:rFonts w:hint="eastAsia"/>
                <w:color w:val="auto"/>
                <w:sz w:val="21"/>
                <w:szCs w:val="21"/>
              </w:rPr>
              <w:t>/</w:t>
            </w:r>
          </w:p>
        </w:tc>
        <w:tc>
          <w:tcPr>
            <w:tcW w:w="838"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w:t>
            </w:r>
          </w:p>
        </w:tc>
        <w:tc>
          <w:tcPr>
            <w:tcW w:w="8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VOCs</w:t>
            </w:r>
          </w:p>
        </w:tc>
        <w:tc>
          <w:tcPr>
            <w:tcW w:w="752"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物料衡算法</w:t>
            </w:r>
          </w:p>
        </w:tc>
        <w:tc>
          <w:tcPr>
            <w:tcW w:w="798"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w:t>
            </w:r>
          </w:p>
        </w:tc>
        <w:tc>
          <w:tcPr>
            <w:tcW w:w="899" w:type="dxa"/>
            <w:vAlign w:val="center"/>
          </w:tcPr>
          <w:p>
            <w:pPr>
              <w:snapToGrid w:val="0"/>
              <w:spacing w:line="340" w:lineRule="exact"/>
              <w:ind w:firstLine="0" w:firstLineChars="0"/>
              <w:jc w:val="center"/>
              <w:rPr>
                <w:color w:val="auto"/>
                <w:sz w:val="21"/>
                <w:szCs w:val="21"/>
              </w:rPr>
            </w:pPr>
            <w:r>
              <w:rPr>
                <w:rFonts w:hint="eastAsia"/>
                <w:color w:val="auto"/>
                <w:sz w:val="21"/>
                <w:szCs w:val="21"/>
              </w:rPr>
              <w:t>0.002</w:t>
            </w:r>
          </w:p>
        </w:tc>
        <w:tc>
          <w:tcPr>
            <w:tcW w:w="899" w:type="dxa"/>
            <w:vAlign w:val="center"/>
          </w:tcPr>
          <w:p>
            <w:pPr>
              <w:snapToGrid w:val="0"/>
              <w:spacing w:line="340" w:lineRule="exact"/>
              <w:ind w:firstLine="0" w:firstLineChars="0"/>
              <w:jc w:val="center"/>
              <w:rPr>
                <w:color w:val="auto"/>
                <w:sz w:val="21"/>
                <w:szCs w:val="21"/>
              </w:rPr>
            </w:pPr>
            <w:r>
              <w:rPr>
                <w:rFonts w:hint="eastAsia"/>
                <w:color w:val="auto"/>
                <w:sz w:val="21"/>
                <w:szCs w:val="21"/>
              </w:rPr>
              <w:t>0.012</w:t>
            </w:r>
          </w:p>
        </w:tc>
        <w:tc>
          <w:tcPr>
            <w:tcW w:w="1134" w:type="dxa"/>
            <w:vMerge w:val="continue"/>
            <w:vAlign w:val="center"/>
          </w:tcPr>
          <w:p>
            <w:pPr>
              <w:widowControl/>
              <w:adjustRightInd w:val="0"/>
              <w:snapToGrid w:val="0"/>
              <w:spacing w:line="240" w:lineRule="auto"/>
              <w:ind w:firstLine="0" w:firstLineChars="0"/>
              <w:jc w:val="center"/>
              <w:rPr>
                <w:color w:val="auto"/>
                <w:sz w:val="21"/>
                <w:szCs w:val="21"/>
              </w:rPr>
            </w:pPr>
          </w:p>
        </w:tc>
        <w:tc>
          <w:tcPr>
            <w:tcW w:w="798"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w:t>
            </w:r>
          </w:p>
        </w:tc>
        <w:tc>
          <w:tcPr>
            <w:tcW w:w="899"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0.0003</w:t>
            </w:r>
          </w:p>
        </w:tc>
        <w:tc>
          <w:tcPr>
            <w:tcW w:w="805"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0.002</w:t>
            </w:r>
          </w:p>
        </w:tc>
        <w:tc>
          <w:tcPr>
            <w:tcW w:w="79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w:t>
            </w:r>
          </w:p>
        </w:tc>
        <w:tc>
          <w:tcPr>
            <w:tcW w:w="61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15</w:t>
            </w:r>
          </w:p>
        </w:tc>
        <w:tc>
          <w:tcPr>
            <w:tcW w:w="510"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0.</w:t>
            </w:r>
            <w:r>
              <w:rPr>
                <w:rFonts w:hint="eastAsia"/>
                <w:color w:val="auto"/>
                <w:sz w:val="21"/>
                <w:szCs w:val="21"/>
              </w:rPr>
              <w:t>1</w:t>
            </w:r>
            <w:r>
              <w:rPr>
                <w:color w:val="auto"/>
                <w:sz w:val="21"/>
                <w:szCs w:val="21"/>
              </w:rPr>
              <w:t>5</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常温</w:t>
            </w:r>
          </w:p>
        </w:tc>
        <w:tc>
          <w:tcPr>
            <w:tcW w:w="844"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连续</w:t>
            </w:r>
            <w:r>
              <w:rPr>
                <w:rFonts w:hint="eastAsia"/>
                <w:color w:val="auto"/>
                <w:sz w:val="21"/>
                <w:szCs w:val="21"/>
              </w:rPr>
              <w:t>7200h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7" w:type="dxa"/>
            <w:vAlign w:val="center"/>
          </w:tcPr>
          <w:p>
            <w:pPr>
              <w:snapToGrid w:val="0"/>
              <w:spacing w:line="340" w:lineRule="exact"/>
              <w:ind w:firstLine="0" w:firstLineChars="0"/>
              <w:jc w:val="center"/>
              <w:rPr>
                <w:color w:val="auto"/>
                <w:sz w:val="21"/>
                <w:szCs w:val="21"/>
              </w:rPr>
            </w:pPr>
            <w:r>
              <w:rPr>
                <w:rFonts w:hint="eastAsia"/>
                <w:color w:val="auto"/>
                <w:sz w:val="21"/>
                <w:szCs w:val="21"/>
              </w:rPr>
              <w:t>混合废气</w:t>
            </w:r>
          </w:p>
        </w:tc>
        <w:tc>
          <w:tcPr>
            <w:tcW w:w="875" w:type="dxa"/>
            <w:vAlign w:val="center"/>
          </w:tcPr>
          <w:p>
            <w:pPr>
              <w:snapToGrid w:val="0"/>
              <w:spacing w:line="340" w:lineRule="exact"/>
              <w:ind w:firstLine="0" w:firstLineChars="0"/>
              <w:jc w:val="center"/>
              <w:rPr>
                <w:color w:val="auto"/>
                <w:sz w:val="21"/>
                <w:szCs w:val="21"/>
              </w:rPr>
            </w:pPr>
            <w:r>
              <w:rPr>
                <w:rFonts w:hint="eastAsia"/>
                <w:color w:val="auto"/>
                <w:sz w:val="21"/>
                <w:szCs w:val="21"/>
              </w:rPr>
              <w:t>DA001</w:t>
            </w:r>
          </w:p>
        </w:tc>
        <w:tc>
          <w:tcPr>
            <w:tcW w:w="838"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5000</w:t>
            </w:r>
          </w:p>
        </w:tc>
        <w:tc>
          <w:tcPr>
            <w:tcW w:w="8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VOCs</w:t>
            </w:r>
          </w:p>
        </w:tc>
        <w:tc>
          <w:tcPr>
            <w:tcW w:w="752"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物料衡算法</w:t>
            </w:r>
          </w:p>
        </w:tc>
        <w:tc>
          <w:tcPr>
            <w:tcW w:w="798" w:type="dxa"/>
            <w:vAlign w:val="center"/>
          </w:tcPr>
          <w:p>
            <w:pPr>
              <w:widowControl/>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124.8</w:t>
            </w:r>
          </w:p>
        </w:tc>
        <w:tc>
          <w:tcPr>
            <w:tcW w:w="899" w:type="dxa"/>
            <w:vAlign w:val="center"/>
          </w:tcPr>
          <w:p>
            <w:pPr>
              <w:snapToGrid w:val="0"/>
              <w:spacing w:line="340" w:lineRule="exact"/>
              <w:ind w:firstLine="0" w:firstLineChars="0"/>
              <w:jc w:val="center"/>
              <w:rPr>
                <w:color w:val="auto"/>
                <w:sz w:val="21"/>
                <w:szCs w:val="21"/>
              </w:rPr>
            </w:pPr>
            <w:r>
              <w:rPr>
                <w:rFonts w:hint="eastAsia"/>
                <w:color w:val="auto"/>
                <w:sz w:val="21"/>
                <w:szCs w:val="21"/>
                <w:lang w:val="en-US" w:eastAsia="zh-CN"/>
              </w:rPr>
              <w:t>0.624</w:t>
            </w:r>
            <w:r>
              <w:rPr>
                <w:color w:val="auto"/>
                <w:sz w:val="21"/>
                <w:szCs w:val="21"/>
              </w:rPr>
              <w:t xml:space="preserve"> </w:t>
            </w:r>
          </w:p>
        </w:tc>
        <w:tc>
          <w:tcPr>
            <w:tcW w:w="899" w:type="dxa"/>
            <w:vAlign w:val="center"/>
          </w:tcPr>
          <w:p>
            <w:pPr>
              <w:snapToGrid w:val="0"/>
              <w:spacing w:line="34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4.4928</w:t>
            </w:r>
          </w:p>
        </w:tc>
        <w:tc>
          <w:tcPr>
            <w:tcW w:w="1134" w:type="dxa"/>
            <w:vMerge w:val="continue"/>
            <w:vAlign w:val="center"/>
          </w:tcPr>
          <w:p>
            <w:pPr>
              <w:widowControl/>
              <w:adjustRightInd w:val="0"/>
              <w:snapToGrid w:val="0"/>
              <w:spacing w:line="240" w:lineRule="auto"/>
              <w:ind w:firstLine="0" w:firstLineChars="0"/>
              <w:jc w:val="center"/>
              <w:rPr>
                <w:color w:val="auto"/>
                <w:sz w:val="21"/>
                <w:szCs w:val="21"/>
              </w:rPr>
            </w:pPr>
          </w:p>
        </w:tc>
        <w:tc>
          <w:tcPr>
            <w:tcW w:w="798" w:type="dxa"/>
            <w:vAlign w:val="center"/>
          </w:tcPr>
          <w:p>
            <w:pPr>
              <w:widowControl/>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24.96</w:t>
            </w:r>
          </w:p>
        </w:tc>
        <w:tc>
          <w:tcPr>
            <w:tcW w:w="899" w:type="dxa"/>
            <w:vAlign w:val="center"/>
          </w:tcPr>
          <w:p>
            <w:pPr>
              <w:widowControl/>
              <w:adjustRightInd w:val="0"/>
              <w:snapToGrid w:val="0"/>
              <w:spacing w:line="240" w:lineRule="auto"/>
              <w:ind w:firstLine="0" w:firstLineChars="0"/>
              <w:jc w:val="center"/>
              <w:rPr>
                <w:rFonts w:hint="default" w:eastAsia="宋体"/>
                <w:color w:val="auto"/>
                <w:sz w:val="21"/>
                <w:szCs w:val="21"/>
                <w:lang w:val="en-US" w:eastAsia="zh-CN"/>
              </w:rPr>
            </w:pPr>
            <w:r>
              <w:rPr>
                <w:color w:val="auto"/>
                <w:sz w:val="21"/>
                <w:szCs w:val="21"/>
              </w:rPr>
              <w:t>0.</w:t>
            </w:r>
            <w:r>
              <w:rPr>
                <w:rFonts w:hint="eastAsia"/>
                <w:color w:val="auto"/>
                <w:sz w:val="21"/>
                <w:szCs w:val="21"/>
                <w:lang w:val="en-US" w:eastAsia="zh-CN"/>
              </w:rPr>
              <w:t>1248</w:t>
            </w:r>
          </w:p>
        </w:tc>
        <w:tc>
          <w:tcPr>
            <w:tcW w:w="805" w:type="dxa"/>
            <w:vAlign w:val="center"/>
          </w:tcPr>
          <w:p>
            <w:pPr>
              <w:widowControl/>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0.899</w:t>
            </w:r>
          </w:p>
        </w:tc>
        <w:tc>
          <w:tcPr>
            <w:tcW w:w="798"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60</w:t>
            </w:r>
          </w:p>
        </w:tc>
        <w:tc>
          <w:tcPr>
            <w:tcW w:w="618"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3.0</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15</w:t>
            </w:r>
          </w:p>
        </w:tc>
        <w:tc>
          <w:tcPr>
            <w:tcW w:w="510"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0.</w:t>
            </w:r>
            <w:r>
              <w:rPr>
                <w:rFonts w:hint="eastAsia"/>
                <w:color w:val="auto"/>
                <w:sz w:val="21"/>
                <w:szCs w:val="21"/>
              </w:rPr>
              <w:t>1</w:t>
            </w:r>
            <w:r>
              <w:rPr>
                <w:color w:val="auto"/>
                <w:sz w:val="21"/>
                <w:szCs w:val="21"/>
              </w:rPr>
              <w:t>5</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常温</w:t>
            </w:r>
          </w:p>
        </w:tc>
        <w:tc>
          <w:tcPr>
            <w:tcW w:w="844"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连续</w:t>
            </w:r>
            <w:r>
              <w:rPr>
                <w:rFonts w:hint="eastAsia"/>
                <w:color w:val="auto"/>
                <w:sz w:val="21"/>
                <w:szCs w:val="21"/>
              </w:rPr>
              <w:t>7200h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7" w:type="dxa"/>
            <w:vMerge w:val="restart"/>
            <w:vAlign w:val="center"/>
          </w:tcPr>
          <w:p>
            <w:pPr>
              <w:snapToGrid w:val="0"/>
              <w:spacing w:line="340" w:lineRule="exact"/>
              <w:ind w:firstLine="0" w:firstLineChars="0"/>
              <w:jc w:val="center"/>
              <w:rPr>
                <w:color w:val="auto"/>
                <w:sz w:val="21"/>
                <w:szCs w:val="21"/>
              </w:rPr>
            </w:pPr>
            <w:r>
              <w:rPr>
                <w:rFonts w:hint="eastAsia"/>
                <w:color w:val="auto"/>
                <w:sz w:val="21"/>
                <w:szCs w:val="21"/>
              </w:rPr>
              <w:t>污水处理站废气</w:t>
            </w:r>
          </w:p>
        </w:tc>
        <w:tc>
          <w:tcPr>
            <w:tcW w:w="875" w:type="dxa"/>
            <w:vAlign w:val="center"/>
          </w:tcPr>
          <w:p>
            <w:pPr>
              <w:snapToGrid w:val="0"/>
              <w:spacing w:line="340" w:lineRule="exact"/>
              <w:ind w:firstLine="0" w:firstLineChars="0"/>
              <w:jc w:val="center"/>
              <w:rPr>
                <w:color w:val="auto"/>
                <w:sz w:val="21"/>
                <w:szCs w:val="21"/>
              </w:rPr>
            </w:pPr>
            <w:r>
              <w:rPr>
                <w:rFonts w:hint="eastAsia"/>
                <w:color w:val="auto"/>
                <w:sz w:val="21"/>
                <w:szCs w:val="21"/>
              </w:rPr>
              <w:t>/</w:t>
            </w:r>
          </w:p>
        </w:tc>
        <w:tc>
          <w:tcPr>
            <w:tcW w:w="838"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w:t>
            </w:r>
          </w:p>
        </w:tc>
        <w:tc>
          <w:tcPr>
            <w:tcW w:w="868" w:type="dxa"/>
            <w:vAlign w:val="center"/>
          </w:tcPr>
          <w:p>
            <w:pPr>
              <w:snapToGrid w:val="0"/>
              <w:spacing w:line="340" w:lineRule="exact"/>
              <w:ind w:firstLine="0" w:firstLineChars="0"/>
              <w:jc w:val="center"/>
              <w:rPr>
                <w:color w:val="auto"/>
                <w:sz w:val="21"/>
                <w:szCs w:val="21"/>
              </w:rPr>
            </w:pPr>
            <w:r>
              <w:rPr>
                <w:rFonts w:hint="eastAsia"/>
                <w:color w:val="auto"/>
                <w:sz w:val="21"/>
                <w:szCs w:val="21"/>
              </w:rPr>
              <w:t>氨</w:t>
            </w:r>
          </w:p>
        </w:tc>
        <w:tc>
          <w:tcPr>
            <w:tcW w:w="752"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产污系数法</w:t>
            </w:r>
          </w:p>
        </w:tc>
        <w:tc>
          <w:tcPr>
            <w:tcW w:w="798"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0.4</w:t>
            </w:r>
          </w:p>
        </w:tc>
        <w:tc>
          <w:tcPr>
            <w:tcW w:w="899" w:type="dxa"/>
            <w:vAlign w:val="center"/>
          </w:tcPr>
          <w:p>
            <w:pPr>
              <w:snapToGrid w:val="0"/>
              <w:spacing w:line="340" w:lineRule="exact"/>
              <w:ind w:firstLine="0" w:firstLineChars="0"/>
              <w:jc w:val="center"/>
              <w:rPr>
                <w:color w:val="auto"/>
                <w:sz w:val="21"/>
                <w:szCs w:val="21"/>
              </w:rPr>
            </w:pPr>
            <w:r>
              <w:rPr>
                <w:rFonts w:hint="eastAsia"/>
                <w:color w:val="auto"/>
                <w:sz w:val="21"/>
                <w:szCs w:val="21"/>
              </w:rPr>
              <w:t>0.002</w:t>
            </w:r>
          </w:p>
        </w:tc>
        <w:tc>
          <w:tcPr>
            <w:tcW w:w="899"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0.016</w:t>
            </w:r>
          </w:p>
        </w:tc>
        <w:tc>
          <w:tcPr>
            <w:tcW w:w="1134" w:type="dxa"/>
            <w:vMerge w:val="continue"/>
            <w:vAlign w:val="center"/>
          </w:tcPr>
          <w:p>
            <w:pPr>
              <w:widowControl/>
              <w:adjustRightInd w:val="0"/>
              <w:snapToGrid w:val="0"/>
              <w:spacing w:line="240" w:lineRule="auto"/>
              <w:ind w:firstLine="0" w:firstLineChars="0"/>
              <w:jc w:val="center"/>
              <w:rPr>
                <w:color w:val="auto"/>
                <w:sz w:val="21"/>
                <w:szCs w:val="21"/>
              </w:rPr>
            </w:pPr>
          </w:p>
        </w:tc>
        <w:tc>
          <w:tcPr>
            <w:tcW w:w="798"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0.08</w:t>
            </w:r>
          </w:p>
        </w:tc>
        <w:tc>
          <w:tcPr>
            <w:tcW w:w="899"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0.0004</w:t>
            </w:r>
          </w:p>
        </w:tc>
        <w:tc>
          <w:tcPr>
            <w:tcW w:w="805"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0.0032</w:t>
            </w:r>
          </w:p>
        </w:tc>
        <w:tc>
          <w:tcPr>
            <w:tcW w:w="798"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20</w:t>
            </w:r>
          </w:p>
        </w:tc>
        <w:tc>
          <w:tcPr>
            <w:tcW w:w="618"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1.0</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15</w:t>
            </w:r>
          </w:p>
        </w:tc>
        <w:tc>
          <w:tcPr>
            <w:tcW w:w="510"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0.</w:t>
            </w:r>
            <w:r>
              <w:rPr>
                <w:rFonts w:hint="eastAsia"/>
                <w:color w:val="auto"/>
                <w:sz w:val="21"/>
                <w:szCs w:val="21"/>
              </w:rPr>
              <w:t>1</w:t>
            </w:r>
            <w:r>
              <w:rPr>
                <w:color w:val="auto"/>
                <w:sz w:val="21"/>
                <w:szCs w:val="21"/>
              </w:rPr>
              <w:t>5</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常温</w:t>
            </w:r>
          </w:p>
        </w:tc>
        <w:tc>
          <w:tcPr>
            <w:tcW w:w="844"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连续</w:t>
            </w:r>
            <w:r>
              <w:rPr>
                <w:rFonts w:hint="eastAsia"/>
                <w:color w:val="auto"/>
                <w:sz w:val="21"/>
                <w:szCs w:val="21"/>
              </w:rPr>
              <w:t>7200h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7" w:type="dxa"/>
            <w:vMerge w:val="continue"/>
            <w:vAlign w:val="center"/>
          </w:tcPr>
          <w:p>
            <w:pPr>
              <w:snapToGrid w:val="0"/>
              <w:spacing w:line="340" w:lineRule="exact"/>
              <w:ind w:firstLine="0" w:firstLineChars="0"/>
              <w:jc w:val="center"/>
              <w:rPr>
                <w:color w:val="auto"/>
                <w:sz w:val="21"/>
                <w:szCs w:val="21"/>
              </w:rPr>
            </w:pPr>
          </w:p>
        </w:tc>
        <w:tc>
          <w:tcPr>
            <w:tcW w:w="875" w:type="dxa"/>
            <w:vAlign w:val="center"/>
          </w:tcPr>
          <w:p>
            <w:pPr>
              <w:snapToGrid w:val="0"/>
              <w:spacing w:line="340" w:lineRule="exact"/>
              <w:ind w:firstLine="0" w:firstLineChars="0"/>
              <w:jc w:val="center"/>
              <w:rPr>
                <w:color w:val="auto"/>
                <w:sz w:val="21"/>
                <w:szCs w:val="21"/>
              </w:rPr>
            </w:pPr>
            <w:r>
              <w:rPr>
                <w:rFonts w:hint="eastAsia"/>
                <w:color w:val="auto"/>
                <w:sz w:val="21"/>
                <w:szCs w:val="21"/>
              </w:rPr>
              <w:t>/</w:t>
            </w:r>
          </w:p>
        </w:tc>
        <w:tc>
          <w:tcPr>
            <w:tcW w:w="838"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w:t>
            </w:r>
          </w:p>
        </w:tc>
        <w:tc>
          <w:tcPr>
            <w:tcW w:w="868"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硫化氢</w:t>
            </w:r>
          </w:p>
        </w:tc>
        <w:tc>
          <w:tcPr>
            <w:tcW w:w="752"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产污系数法</w:t>
            </w:r>
          </w:p>
        </w:tc>
        <w:tc>
          <w:tcPr>
            <w:tcW w:w="798"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0.01</w:t>
            </w:r>
          </w:p>
        </w:tc>
        <w:tc>
          <w:tcPr>
            <w:tcW w:w="899" w:type="dxa"/>
            <w:vAlign w:val="center"/>
          </w:tcPr>
          <w:p>
            <w:pPr>
              <w:snapToGrid w:val="0"/>
              <w:spacing w:line="340" w:lineRule="exact"/>
              <w:ind w:firstLine="0" w:firstLineChars="0"/>
              <w:jc w:val="center"/>
              <w:rPr>
                <w:color w:val="auto"/>
                <w:sz w:val="21"/>
                <w:szCs w:val="21"/>
              </w:rPr>
            </w:pPr>
            <w:r>
              <w:rPr>
                <w:rFonts w:hint="eastAsia"/>
                <w:color w:val="auto"/>
                <w:sz w:val="21"/>
                <w:szCs w:val="21"/>
              </w:rPr>
              <w:t>0.00005</w:t>
            </w:r>
          </w:p>
        </w:tc>
        <w:tc>
          <w:tcPr>
            <w:tcW w:w="899"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0.0004</w:t>
            </w:r>
          </w:p>
        </w:tc>
        <w:tc>
          <w:tcPr>
            <w:tcW w:w="1134" w:type="dxa"/>
            <w:vMerge w:val="continue"/>
            <w:vAlign w:val="center"/>
          </w:tcPr>
          <w:p>
            <w:pPr>
              <w:widowControl/>
              <w:adjustRightInd w:val="0"/>
              <w:snapToGrid w:val="0"/>
              <w:spacing w:line="240" w:lineRule="auto"/>
              <w:ind w:firstLine="0" w:firstLineChars="0"/>
              <w:jc w:val="center"/>
              <w:rPr>
                <w:color w:val="auto"/>
                <w:sz w:val="21"/>
                <w:szCs w:val="21"/>
              </w:rPr>
            </w:pPr>
          </w:p>
        </w:tc>
        <w:tc>
          <w:tcPr>
            <w:tcW w:w="798"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0.002</w:t>
            </w:r>
          </w:p>
        </w:tc>
        <w:tc>
          <w:tcPr>
            <w:tcW w:w="899"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0.00001</w:t>
            </w:r>
          </w:p>
        </w:tc>
        <w:tc>
          <w:tcPr>
            <w:tcW w:w="805"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0.00008</w:t>
            </w:r>
          </w:p>
        </w:tc>
        <w:tc>
          <w:tcPr>
            <w:tcW w:w="798"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3</w:t>
            </w:r>
          </w:p>
        </w:tc>
        <w:tc>
          <w:tcPr>
            <w:tcW w:w="618"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0.1</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15</w:t>
            </w:r>
          </w:p>
        </w:tc>
        <w:tc>
          <w:tcPr>
            <w:tcW w:w="510"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0.</w:t>
            </w:r>
            <w:r>
              <w:rPr>
                <w:rFonts w:hint="eastAsia"/>
                <w:color w:val="auto"/>
                <w:sz w:val="21"/>
                <w:szCs w:val="21"/>
              </w:rPr>
              <w:t>1</w:t>
            </w:r>
            <w:r>
              <w:rPr>
                <w:color w:val="auto"/>
                <w:sz w:val="21"/>
                <w:szCs w:val="21"/>
              </w:rPr>
              <w:t>5</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常温</w:t>
            </w:r>
          </w:p>
        </w:tc>
        <w:tc>
          <w:tcPr>
            <w:tcW w:w="844"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连续</w:t>
            </w:r>
            <w:r>
              <w:rPr>
                <w:rFonts w:hint="eastAsia"/>
                <w:color w:val="auto"/>
                <w:sz w:val="21"/>
                <w:szCs w:val="21"/>
              </w:rPr>
              <w:t>7200h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7" w:type="dxa"/>
            <w:vMerge w:val="restart"/>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锅炉废气</w:t>
            </w:r>
          </w:p>
        </w:tc>
        <w:tc>
          <w:tcPr>
            <w:tcW w:w="875" w:type="dxa"/>
            <w:vMerge w:val="restart"/>
            <w:vAlign w:val="center"/>
          </w:tcPr>
          <w:p>
            <w:pPr>
              <w:snapToGrid w:val="0"/>
              <w:spacing w:line="340" w:lineRule="exact"/>
              <w:ind w:firstLine="0" w:firstLineChars="0"/>
              <w:jc w:val="center"/>
              <w:rPr>
                <w:rFonts w:hint="eastAsia" w:eastAsia="宋体"/>
                <w:color w:val="auto"/>
                <w:sz w:val="21"/>
                <w:szCs w:val="21"/>
                <w:lang w:eastAsia="zh-CN"/>
              </w:rPr>
            </w:pPr>
            <w:r>
              <w:rPr>
                <w:rFonts w:hint="eastAsia"/>
                <w:color w:val="auto"/>
                <w:sz w:val="21"/>
                <w:szCs w:val="21"/>
              </w:rPr>
              <w:t>DA00</w:t>
            </w:r>
            <w:r>
              <w:rPr>
                <w:rFonts w:hint="eastAsia"/>
                <w:color w:val="auto"/>
                <w:sz w:val="21"/>
                <w:szCs w:val="21"/>
                <w:lang w:val="en-US" w:eastAsia="zh-CN"/>
              </w:rPr>
              <w:t>2</w:t>
            </w:r>
          </w:p>
        </w:tc>
        <w:tc>
          <w:tcPr>
            <w:tcW w:w="838" w:type="dxa"/>
            <w:vMerge w:val="restart"/>
            <w:vAlign w:val="center"/>
          </w:tcPr>
          <w:p>
            <w:pPr>
              <w:widowControl/>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2833</w:t>
            </w:r>
          </w:p>
        </w:tc>
        <w:tc>
          <w:tcPr>
            <w:tcW w:w="868" w:type="dxa"/>
            <w:vAlign w:val="center"/>
          </w:tcPr>
          <w:p>
            <w:pPr>
              <w:pStyle w:val="45"/>
              <w:ind w:firstLine="0" w:firstLineChars="0"/>
              <w:rPr>
                <w:color w:val="auto"/>
                <w:szCs w:val="21"/>
              </w:rPr>
            </w:pPr>
            <w:r>
              <w:rPr>
                <w:rFonts w:hint="eastAsia"/>
                <w:color w:val="auto"/>
              </w:rPr>
              <w:t>SO</w:t>
            </w:r>
            <w:r>
              <w:rPr>
                <w:rFonts w:hint="eastAsia"/>
                <w:color w:val="auto"/>
                <w:vertAlign w:val="subscript"/>
              </w:rPr>
              <w:t>2</w:t>
            </w:r>
          </w:p>
        </w:tc>
        <w:tc>
          <w:tcPr>
            <w:tcW w:w="752"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产污系数法</w:t>
            </w:r>
          </w:p>
        </w:tc>
        <w:tc>
          <w:tcPr>
            <w:tcW w:w="798" w:type="dxa"/>
            <w:vAlign w:val="center"/>
          </w:tcPr>
          <w:p>
            <w:pPr>
              <w:pStyle w:val="45"/>
              <w:ind w:firstLine="0" w:firstLineChars="0"/>
              <w:rPr>
                <w:color w:val="auto"/>
                <w:sz w:val="21"/>
                <w:szCs w:val="21"/>
              </w:rPr>
            </w:pPr>
            <w:r>
              <w:rPr>
                <w:rFonts w:hint="eastAsia"/>
                <w:color w:val="auto"/>
                <w:lang w:val="en-US" w:eastAsia="zh-CN"/>
              </w:rPr>
              <w:t>22.39</w:t>
            </w:r>
          </w:p>
        </w:tc>
        <w:tc>
          <w:tcPr>
            <w:tcW w:w="899"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0.0625</w:t>
            </w:r>
          </w:p>
        </w:tc>
        <w:tc>
          <w:tcPr>
            <w:tcW w:w="899" w:type="dxa"/>
            <w:vAlign w:val="center"/>
          </w:tcPr>
          <w:p>
            <w:pPr>
              <w:pStyle w:val="45"/>
              <w:ind w:firstLine="0" w:firstLineChars="0"/>
              <w:rPr>
                <w:color w:val="auto"/>
                <w:sz w:val="21"/>
                <w:szCs w:val="21"/>
              </w:rPr>
            </w:pPr>
            <w:r>
              <w:rPr>
                <w:rFonts w:hint="eastAsia"/>
                <w:color w:val="auto"/>
                <w:lang w:val="en-US" w:eastAsia="zh-CN"/>
              </w:rPr>
              <w:t>0.45</w:t>
            </w:r>
          </w:p>
        </w:tc>
        <w:tc>
          <w:tcPr>
            <w:tcW w:w="1134" w:type="dxa"/>
            <w:vAlign w:val="center"/>
          </w:tcPr>
          <w:p>
            <w:pPr>
              <w:pStyle w:val="45"/>
              <w:ind w:firstLine="0" w:firstLineChars="0"/>
              <w:rPr>
                <w:color w:val="auto"/>
                <w:szCs w:val="21"/>
              </w:rPr>
            </w:pPr>
            <w:r>
              <w:rPr>
                <w:rFonts w:hint="eastAsia"/>
                <w:color w:val="auto"/>
              </w:rPr>
              <w:t>直排DA00</w:t>
            </w:r>
            <w:r>
              <w:rPr>
                <w:rFonts w:hint="eastAsia"/>
                <w:color w:val="auto"/>
                <w:lang w:val="en-US" w:eastAsia="zh-CN"/>
              </w:rPr>
              <w:t>2</w:t>
            </w:r>
          </w:p>
        </w:tc>
        <w:tc>
          <w:tcPr>
            <w:tcW w:w="798" w:type="dxa"/>
            <w:vAlign w:val="center"/>
          </w:tcPr>
          <w:p>
            <w:pPr>
              <w:pStyle w:val="45"/>
              <w:ind w:firstLine="0" w:firstLineChars="0"/>
              <w:rPr>
                <w:color w:val="auto"/>
                <w:sz w:val="21"/>
                <w:szCs w:val="21"/>
              </w:rPr>
            </w:pPr>
            <w:r>
              <w:rPr>
                <w:rFonts w:hint="eastAsia"/>
                <w:color w:val="auto"/>
                <w:lang w:val="en-US" w:eastAsia="zh-CN"/>
              </w:rPr>
              <w:t>22.39</w:t>
            </w:r>
          </w:p>
        </w:tc>
        <w:tc>
          <w:tcPr>
            <w:tcW w:w="899"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0.0625</w:t>
            </w:r>
          </w:p>
        </w:tc>
        <w:tc>
          <w:tcPr>
            <w:tcW w:w="805" w:type="dxa"/>
            <w:vAlign w:val="center"/>
          </w:tcPr>
          <w:p>
            <w:pPr>
              <w:pStyle w:val="45"/>
              <w:ind w:firstLine="0" w:firstLineChars="0"/>
              <w:rPr>
                <w:color w:val="auto"/>
                <w:sz w:val="21"/>
                <w:szCs w:val="21"/>
              </w:rPr>
            </w:pPr>
            <w:r>
              <w:rPr>
                <w:rFonts w:hint="eastAsia"/>
                <w:color w:val="auto"/>
                <w:lang w:val="en-US" w:eastAsia="zh-CN"/>
              </w:rPr>
              <w:t>0.45</w:t>
            </w:r>
          </w:p>
        </w:tc>
        <w:tc>
          <w:tcPr>
            <w:tcW w:w="798"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50</w:t>
            </w:r>
          </w:p>
        </w:tc>
        <w:tc>
          <w:tcPr>
            <w:tcW w:w="618"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15</w:t>
            </w:r>
          </w:p>
        </w:tc>
        <w:tc>
          <w:tcPr>
            <w:tcW w:w="510"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0.</w:t>
            </w:r>
            <w:r>
              <w:rPr>
                <w:rFonts w:hint="eastAsia"/>
                <w:color w:val="auto"/>
                <w:sz w:val="21"/>
                <w:szCs w:val="21"/>
              </w:rPr>
              <w:t>38</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常温</w:t>
            </w:r>
          </w:p>
        </w:tc>
        <w:tc>
          <w:tcPr>
            <w:tcW w:w="844"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7200h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7" w:type="dxa"/>
            <w:vMerge w:val="continue"/>
            <w:vAlign w:val="center"/>
          </w:tcPr>
          <w:p>
            <w:pPr>
              <w:widowControl/>
              <w:adjustRightInd w:val="0"/>
              <w:snapToGrid w:val="0"/>
              <w:spacing w:line="240" w:lineRule="auto"/>
              <w:ind w:firstLine="0" w:firstLineChars="0"/>
              <w:jc w:val="center"/>
              <w:rPr>
                <w:color w:val="auto"/>
                <w:sz w:val="21"/>
                <w:szCs w:val="21"/>
              </w:rPr>
            </w:pPr>
          </w:p>
        </w:tc>
        <w:tc>
          <w:tcPr>
            <w:tcW w:w="875" w:type="dxa"/>
            <w:vMerge w:val="continue"/>
            <w:vAlign w:val="center"/>
          </w:tcPr>
          <w:p>
            <w:pPr>
              <w:snapToGrid w:val="0"/>
              <w:spacing w:line="340" w:lineRule="exact"/>
              <w:ind w:firstLine="0" w:firstLineChars="0"/>
              <w:jc w:val="center"/>
              <w:rPr>
                <w:color w:val="auto"/>
                <w:sz w:val="21"/>
                <w:szCs w:val="21"/>
              </w:rPr>
            </w:pPr>
          </w:p>
        </w:tc>
        <w:tc>
          <w:tcPr>
            <w:tcW w:w="838" w:type="dxa"/>
            <w:vMerge w:val="continue"/>
            <w:vAlign w:val="center"/>
          </w:tcPr>
          <w:p>
            <w:pPr>
              <w:widowControl/>
              <w:adjustRightInd w:val="0"/>
              <w:snapToGrid w:val="0"/>
              <w:spacing w:line="240" w:lineRule="auto"/>
              <w:ind w:firstLine="0" w:firstLineChars="0"/>
              <w:jc w:val="center"/>
              <w:rPr>
                <w:color w:val="auto"/>
                <w:sz w:val="21"/>
                <w:szCs w:val="21"/>
              </w:rPr>
            </w:pPr>
          </w:p>
        </w:tc>
        <w:tc>
          <w:tcPr>
            <w:tcW w:w="868" w:type="dxa"/>
            <w:vAlign w:val="center"/>
          </w:tcPr>
          <w:p>
            <w:pPr>
              <w:pStyle w:val="45"/>
              <w:ind w:firstLine="0" w:firstLineChars="0"/>
              <w:rPr>
                <w:color w:val="auto"/>
                <w:szCs w:val="21"/>
              </w:rPr>
            </w:pPr>
            <w:r>
              <w:rPr>
                <w:rFonts w:hint="eastAsia"/>
                <w:color w:val="auto"/>
              </w:rPr>
              <w:t>NOx</w:t>
            </w:r>
          </w:p>
        </w:tc>
        <w:tc>
          <w:tcPr>
            <w:tcW w:w="752"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产污系数法</w:t>
            </w:r>
          </w:p>
        </w:tc>
        <w:tc>
          <w:tcPr>
            <w:tcW w:w="798" w:type="dxa"/>
            <w:vAlign w:val="center"/>
          </w:tcPr>
          <w:p>
            <w:pPr>
              <w:pStyle w:val="45"/>
              <w:ind w:firstLine="0" w:firstLineChars="0"/>
              <w:rPr>
                <w:color w:val="auto"/>
                <w:sz w:val="21"/>
                <w:szCs w:val="21"/>
              </w:rPr>
            </w:pPr>
            <w:r>
              <w:rPr>
                <w:rFonts w:hint="eastAsia"/>
                <w:color w:val="auto"/>
                <w:lang w:val="en-US" w:eastAsia="zh-CN"/>
              </w:rPr>
              <w:t>139.29</w:t>
            </w:r>
          </w:p>
        </w:tc>
        <w:tc>
          <w:tcPr>
            <w:tcW w:w="899"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0.389</w:t>
            </w:r>
          </w:p>
        </w:tc>
        <w:tc>
          <w:tcPr>
            <w:tcW w:w="899" w:type="dxa"/>
            <w:vAlign w:val="center"/>
          </w:tcPr>
          <w:p>
            <w:pPr>
              <w:pStyle w:val="45"/>
              <w:ind w:firstLine="0" w:firstLineChars="0"/>
              <w:rPr>
                <w:color w:val="auto"/>
                <w:sz w:val="21"/>
                <w:szCs w:val="21"/>
              </w:rPr>
            </w:pPr>
            <w:r>
              <w:rPr>
                <w:rFonts w:hint="eastAsia"/>
                <w:color w:val="auto"/>
                <w:lang w:val="en-US" w:eastAsia="zh-CN"/>
              </w:rPr>
              <w:t>2.8</w:t>
            </w:r>
          </w:p>
        </w:tc>
        <w:tc>
          <w:tcPr>
            <w:tcW w:w="1134" w:type="dxa"/>
            <w:vAlign w:val="center"/>
          </w:tcPr>
          <w:p>
            <w:pPr>
              <w:pStyle w:val="45"/>
              <w:ind w:firstLine="0" w:firstLineChars="0"/>
              <w:rPr>
                <w:color w:val="auto"/>
                <w:szCs w:val="21"/>
              </w:rPr>
            </w:pPr>
            <w:r>
              <w:rPr>
                <w:rFonts w:hint="eastAsia"/>
                <w:color w:val="auto"/>
              </w:rPr>
              <w:t>低氮燃烧，</w:t>
            </w:r>
            <w:r>
              <w:rPr>
                <w:rFonts w:hint="eastAsia"/>
                <w:color w:val="auto"/>
                <w:szCs w:val="21"/>
              </w:rPr>
              <w:t>处理效率50%</w:t>
            </w:r>
            <w:r>
              <w:rPr>
                <w:rFonts w:hint="eastAsia"/>
                <w:color w:val="auto"/>
              </w:rPr>
              <w:t>+15m高排气筒DA00</w:t>
            </w:r>
            <w:r>
              <w:rPr>
                <w:rFonts w:hint="eastAsia"/>
                <w:color w:val="auto"/>
                <w:lang w:val="en-US" w:eastAsia="zh-CN"/>
              </w:rPr>
              <w:t>2</w:t>
            </w:r>
          </w:p>
        </w:tc>
        <w:tc>
          <w:tcPr>
            <w:tcW w:w="798"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69.65</w:t>
            </w:r>
          </w:p>
        </w:tc>
        <w:tc>
          <w:tcPr>
            <w:tcW w:w="899"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0.194</w:t>
            </w:r>
          </w:p>
        </w:tc>
        <w:tc>
          <w:tcPr>
            <w:tcW w:w="805"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1.4</w:t>
            </w:r>
          </w:p>
        </w:tc>
        <w:tc>
          <w:tcPr>
            <w:tcW w:w="798"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100</w:t>
            </w:r>
          </w:p>
        </w:tc>
        <w:tc>
          <w:tcPr>
            <w:tcW w:w="618"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15</w:t>
            </w:r>
          </w:p>
        </w:tc>
        <w:tc>
          <w:tcPr>
            <w:tcW w:w="510"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0.</w:t>
            </w:r>
            <w:r>
              <w:rPr>
                <w:rFonts w:hint="eastAsia"/>
                <w:color w:val="auto"/>
                <w:sz w:val="21"/>
                <w:szCs w:val="21"/>
              </w:rPr>
              <w:t>38</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常温</w:t>
            </w:r>
          </w:p>
        </w:tc>
        <w:tc>
          <w:tcPr>
            <w:tcW w:w="844"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7200h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7" w:type="dxa"/>
            <w:vMerge w:val="continue"/>
            <w:vAlign w:val="center"/>
          </w:tcPr>
          <w:p>
            <w:pPr>
              <w:widowControl/>
              <w:adjustRightInd w:val="0"/>
              <w:snapToGrid w:val="0"/>
              <w:spacing w:line="240" w:lineRule="auto"/>
              <w:ind w:firstLine="0" w:firstLineChars="0"/>
              <w:jc w:val="center"/>
              <w:rPr>
                <w:color w:val="auto"/>
                <w:sz w:val="21"/>
                <w:szCs w:val="21"/>
              </w:rPr>
            </w:pPr>
          </w:p>
        </w:tc>
        <w:tc>
          <w:tcPr>
            <w:tcW w:w="875" w:type="dxa"/>
            <w:vMerge w:val="continue"/>
            <w:vAlign w:val="center"/>
          </w:tcPr>
          <w:p>
            <w:pPr>
              <w:snapToGrid w:val="0"/>
              <w:spacing w:line="340" w:lineRule="exact"/>
              <w:ind w:firstLine="0" w:firstLineChars="0"/>
              <w:jc w:val="center"/>
              <w:rPr>
                <w:color w:val="auto"/>
                <w:sz w:val="21"/>
                <w:szCs w:val="21"/>
              </w:rPr>
            </w:pPr>
          </w:p>
        </w:tc>
        <w:tc>
          <w:tcPr>
            <w:tcW w:w="838" w:type="dxa"/>
            <w:vMerge w:val="continue"/>
            <w:vAlign w:val="center"/>
          </w:tcPr>
          <w:p>
            <w:pPr>
              <w:widowControl/>
              <w:adjustRightInd w:val="0"/>
              <w:snapToGrid w:val="0"/>
              <w:spacing w:line="240" w:lineRule="auto"/>
              <w:ind w:firstLine="0" w:firstLineChars="0"/>
              <w:jc w:val="center"/>
              <w:rPr>
                <w:color w:val="auto"/>
                <w:sz w:val="21"/>
                <w:szCs w:val="21"/>
              </w:rPr>
            </w:pPr>
          </w:p>
        </w:tc>
        <w:tc>
          <w:tcPr>
            <w:tcW w:w="868" w:type="dxa"/>
            <w:vAlign w:val="center"/>
          </w:tcPr>
          <w:p>
            <w:pPr>
              <w:pStyle w:val="45"/>
              <w:ind w:firstLine="0" w:firstLineChars="0"/>
              <w:rPr>
                <w:color w:val="auto"/>
                <w:szCs w:val="21"/>
              </w:rPr>
            </w:pPr>
            <w:r>
              <w:rPr>
                <w:rFonts w:hint="eastAsia"/>
                <w:color w:val="auto"/>
              </w:rPr>
              <w:t>颗粒物</w:t>
            </w:r>
          </w:p>
        </w:tc>
        <w:tc>
          <w:tcPr>
            <w:tcW w:w="752"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产污系数法</w:t>
            </w:r>
          </w:p>
        </w:tc>
        <w:tc>
          <w:tcPr>
            <w:tcW w:w="798" w:type="dxa"/>
            <w:vAlign w:val="center"/>
          </w:tcPr>
          <w:p>
            <w:pPr>
              <w:pStyle w:val="45"/>
              <w:ind w:firstLine="0" w:firstLineChars="0"/>
              <w:rPr>
                <w:color w:val="auto"/>
                <w:sz w:val="21"/>
                <w:szCs w:val="21"/>
              </w:rPr>
            </w:pPr>
            <w:r>
              <w:rPr>
                <w:rFonts w:hint="eastAsia"/>
                <w:color w:val="auto"/>
                <w:lang w:val="en-US" w:eastAsia="zh-CN"/>
              </w:rPr>
              <w:t>7.96</w:t>
            </w:r>
          </w:p>
        </w:tc>
        <w:tc>
          <w:tcPr>
            <w:tcW w:w="899"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0.022</w:t>
            </w:r>
          </w:p>
        </w:tc>
        <w:tc>
          <w:tcPr>
            <w:tcW w:w="899" w:type="dxa"/>
            <w:vAlign w:val="center"/>
          </w:tcPr>
          <w:p>
            <w:pPr>
              <w:pStyle w:val="45"/>
              <w:ind w:firstLine="0" w:firstLineChars="0"/>
              <w:rPr>
                <w:color w:val="auto"/>
                <w:sz w:val="21"/>
                <w:szCs w:val="21"/>
              </w:rPr>
            </w:pPr>
            <w:r>
              <w:rPr>
                <w:rFonts w:hint="eastAsia"/>
                <w:color w:val="auto"/>
              </w:rPr>
              <w:t>0.</w:t>
            </w:r>
            <w:r>
              <w:rPr>
                <w:rFonts w:hint="eastAsia"/>
                <w:color w:val="auto"/>
                <w:lang w:val="en-US" w:eastAsia="zh-CN"/>
              </w:rPr>
              <w:t>16</w:t>
            </w:r>
          </w:p>
        </w:tc>
        <w:tc>
          <w:tcPr>
            <w:tcW w:w="1134" w:type="dxa"/>
            <w:vAlign w:val="center"/>
          </w:tcPr>
          <w:p>
            <w:pPr>
              <w:pStyle w:val="45"/>
              <w:ind w:firstLine="0" w:firstLineChars="0"/>
              <w:rPr>
                <w:color w:val="auto"/>
                <w:szCs w:val="21"/>
              </w:rPr>
            </w:pPr>
            <w:r>
              <w:rPr>
                <w:rFonts w:hint="eastAsia"/>
                <w:color w:val="auto"/>
              </w:rPr>
              <w:t>直排DA00</w:t>
            </w:r>
            <w:r>
              <w:rPr>
                <w:rFonts w:hint="eastAsia"/>
                <w:color w:val="auto"/>
                <w:lang w:val="en-US" w:eastAsia="zh-CN"/>
              </w:rPr>
              <w:t>2</w:t>
            </w:r>
          </w:p>
        </w:tc>
        <w:tc>
          <w:tcPr>
            <w:tcW w:w="798" w:type="dxa"/>
            <w:vAlign w:val="center"/>
          </w:tcPr>
          <w:p>
            <w:pPr>
              <w:pStyle w:val="45"/>
              <w:ind w:firstLine="0" w:firstLineChars="0"/>
              <w:rPr>
                <w:color w:val="auto"/>
                <w:sz w:val="21"/>
                <w:szCs w:val="21"/>
              </w:rPr>
            </w:pPr>
            <w:r>
              <w:rPr>
                <w:rFonts w:hint="eastAsia"/>
                <w:color w:val="auto"/>
                <w:lang w:val="en-US" w:eastAsia="zh-CN"/>
              </w:rPr>
              <w:t>7.96</w:t>
            </w:r>
          </w:p>
        </w:tc>
        <w:tc>
          <w:tcPr>
            <w:tcW w:w="899"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0.022</w:t>
            </w:r>
          </w:p>
        </w:tc>
        <w:tc>
          <w:tcPr>
            <w:tcW w:w="805" w:type="dxa"/>
            <w:vAlign w:val="center"/>
          </w:tcPr>
          <w:p>
            <w:pPr>
              <w:pStyle w:val="45"/>
              <w:ind w:firstLine="0" w:firstLineChars="0"/>
              <w:rPr>
                <w:color w:val="auto"/>
                <w:sz w:val="21"/>
                <w:szCs w:val="21"/>
              </w:rPr>
            </w:pPr>
            <w:r>
              <w:rPr>
                <w:rFonts w:hint="eastAsia"/>
                <w:color w:val="auto"/>
              </w:rPr>
              <w:t>0.</w:t>
            </w:r>
            <w:r>
              <w:rPr>
                <w:rFonts w:hint="eastAsia"/>
                <w:color w:val="auto"/>
                <w:lang w:val="en-US" w:eastAsia="zh-CN"/>
              </w:rPr>
              <w:t>16</w:t>
            </w:r>
          </w:p>
        </w:tc>
        <w:tc>
          <w:tcPr>
            <w:tcW w:w="798"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10</w:t>
            </w:r>
          </w:p>
        </w:tc>
        <w:tc>
          <w:tcPr>
            <w:tcW w:w="618"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15</w:t>
            </w:r>
          </w:p>
        </w:tc>
        <w:tc>
          <w:tcPr>
            <w:tcW w:w="510"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0.</w:t>
            </w:r>
            <w:r>
              <w:rPr>
                <w:rFonts w:hint="eastAsia"/>
                <w:color w:val="auto"/>
                <w:sz w:val="21"/>
                <w:szCs w:val="21"/>
              </w:rPr>
              <w:t>38</w:t>
            </w:r>
          </w:p>
        </w:tc>
        <w:tc>
          <w:tcPr>
            <w:tcW w:w="468" w:type="dxa"/>
            <w:vAlign w:val="center"/>
          </w:tcPr>
          <w:p>
            <w:pPr>
              <w:widowControl/>
              <w:adjustRightInd w:val="0"/>
              <w:snapToGrid w:val="0"/>
              <w:spacing w:line="240" w:lineRule="auto"/>
              <w:ind w:firstLine="0" w:firstLineChars="0"/>
              <w:jc w:val="center"/>
              <w:rPr>
                <w:color w:val="auto"/>
                <w:sz w:val="21"/>
                <w:szCs w:val="21"/>
              </w:rPr>
            </w:pPr>
            <w:r>
              <w:rPr>
                <w:color w:val="auto"/>
                <w:sz w:val="21"/>
                <w:szCs w:val="21"/>
              </w:rPr>
              <w:t>常温</w:t>
            </w:r>
          </w:p>
        </w:tc>
        <w:tc>
          <w:tcPr>
            <w:tcW w:w="844"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7200h</w:t>
            </w:r>
          </w:p>
        </w:tc>
      </w:tr>
    </w:tbl>
    <w:p>
      <w:pPr>
        <w:pStyle w:val="2"/>
        <w:spacing w:after="0" w:line="360" w:lineRule="auto"/>
        <w:ind w:firstLine="480"/>
        <w:rPr>
          <w:color w:val="auto"/>
        </w:rPr>
      </w:pPr>
      <w:r>
        <w:rPr>
          <w:color w:val="auto"/>
        </w:rPr>
        <w:t>由上表看出装置区排气筒（DA00</w:t>
      </w:r>
      <w:r>
        <w:rPr>
          <w:rFonts w:hint="eastAsia"/>
          <w:color w:val="auto"/>
        </w:rPr>
        <w:t>1</w:t>
      </w:r>
      <w:r>
        <w:rPr>
          <w:color w:val="auto"/>
        </w:rPr>
        <w:t>）废气中VOCs排放浓度满足《挥发性有机物排放标准 第6部分：有机化工行业》（DB37/2801.6-2018）表1有机化工企业或生产设施</w:t>
      </w:r>
      <w:r>
        <w:rPr>
          <w:rFonts w:hint="eastAsia"/>
          <w:color w:val="auto"/>
        </w:rPr>
        <w:t>（其他行业）</w:t>
      </w:r>
      <w:r>
        <w:rPr>
          <w:color w:val="auto"/>
        </w:rPr>
        <w:t xml:space="preserve"> VOCs 排放限值要求</w:t>
      </w:r>
      <w:r>
        <w:rPr>
          <w:rFonts w:hint="eastAsia"/>
          <w:color w:val="auto"/>
        </w:rPr>
        <w:t>，氨、硫化氢满足《有机化工企业污水处理厂（站）挥发性有机物及恶臭污染物排放标准》（DB37/3161-2018）表1挥发性有机物和恶臭污染物排放限值；锅炉房排气筒（DA00</w:t>
      </w:r>
      <w:r>
        <w:rPr>
          <w:rFonts w:hint="eastAsia"/>
          <w:color w:val="auto"/>
          <w:lang w:val="en-US" w:eastAsia="zh-CN"/>
        </w:rPr>
        <w:t>2</w:t>
      </w:r>
      <w:r>
        <w:rPr>
          <w:rFonts w:hint="eastAsia"/>
          <w:color w:val="auto"/>
        </w:rPr>
        <w:t>）废气中颗粒物、二氧化硫、氮氧化物</w:t>
      </w:r>
      <w:r>
        <w:rPr>
          <w:color w:val="auto"/>
        </w:rPr>
        <w:t>排放浓度满足《锅炉大气污染物排放标准》（DB37/2374—2018）表2新建锅炉大气污染物排放浓度限值中重点控制区排放限值。</w:t>
      </w:r>
    </w:p>
    <w:p>
      <w:pPr>
        <w:ind w:firstLine="480"/>
        <w:rPr>
          <w:color w:val="auto"/>
        </w:rPr>
      </w:pPr>
      <w:r>
        <w:rPr>
          <w:rFonts w:hint="eastAsia"/>
          <w:color w:val="auto"/>
        </w:rPr>
        <w:t>有组织污染物排放量统计见表2.5-12</w:t>
      </w:r>
      <w:r>
        <w:rPr>
          <w:color w:val="auto"/>
        </w:rPr>
        <w:t>。</w:t>
      </w:r>
    </w:p>
    <w:p>
      <w:pPr>
        <w:pStyle w:val="48"/>
        <w:spacing w:line="360" w:lineRule="auto"/>
        <w:rPr>
          <w:b w:val="0"/>
          <w:bCs/>
          <w:color w:val="auto"/>
        </w:rPr>
      </w:pPr>
    </w:p>
    <w:p>
      <w:pPr>
        <w:pStyle w:val="48"/>
        <w:spacing w:line="360" w:lineRule="auto"/>
        <w:rPr>
          <w:b w:val="0"/>
          <w:bCs/>
          <w:color w:val="auto"/>
        </w:rPr>
      </w:pPr>
    </w:p>
    <w:p>
      <w:pPr>
        <w:pStyle w:val="48"/>
        <w:spacing w:line="360" w:lineRule="auto"/>
        <w:rPr>
          <w:rFonts w:eastAsia="仿宋_GB2312"/>
          <w:b w:val="0"/>
          <w:bCs/>
          <w:color w:val="auto"/>
          <w:sz w:val="24"/>
        </w:rPr>
      </w:pPr>
      <w:r>
        <w:rPr>
          <w:b w:val="0"/>
          <w:bCs/>
          <w:color w:val="auto"/>
        </w:rPr>
        <w:t>表</w:t>
      </w:r>
      <w:r>
        <w:rPr>
          <w:rFonts w:hint="eastAsia"/>
          <w:b w:val="0"/>
          <w:bCs/>
          <w:color w:val="auto"/>
        </w:rPr>
        <w:t>2.5</w:t>
      </w:r>
      <w:r>
        <w:rPr>
          <w:b w:val="0"/>
          <w:bCs/>
          <w:color w:val="auto"/>
        </w:rPr>
        <w:t>-1</w:t>
      </w:r>
      <w:r>
        <w:rPr>
          <w:rFonts w:hint="eastAsia"/>
          <w:b w:val="0"/>
          <w:bCs/>
          <w:color w:val="auto"/>
        </w:rPr>
        <w:t>2</w:t>
      </w:r>
      <w:r>
        <w:rPr>
          <w:b w:val="0"/>
          <w:bCs/>
          <w:color w:val="auto"/>
        </w:rPr>
        <w:t xml:space="preserve">  有组织污染物排放量统计表</w:t>
      </w:r>
    </w:p>
    <w:tbl>
      <w:tblPr>
        <w:tblStyle w:val="22"/>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836"/>
        <w:gridCol w:w="3234"/>
        <w:gridCol w:w="3033"/>
        <w:gridCol w:w="3030"/>
        <w:gridCol w:w="303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648" w:type="pct"/>
            <w:vAlign w:val="center"/>
          </w:tcPr>
          <w:p>
            <w:pPr>
              <w:pStyle w:val="2"/>
              <w:spacing w:after="0" w:line="240" w:lineRule="auto"/>
              <w:ind w:firstLine="0" w:firstLineChars="0"/>
              <w:jc w:val="center"/>
              <w:rPr>
                <w:b/>
                <w:color w:val="auto"/>
                <w:sz w:val="21"/>
                <w:szCs w:val="21"/>
              </w:rPr>
            </w:pPr>
            <w:r>
              <w:rPr>
                <w:b/>
                <w:color w:val="auto"/>
                <w:sz w:val="21"/>
                <w:szCs w:val="21"/>
              </w:rPr>
              <w:t>序号</w:t>
            </w:r>
          </w:p>
        </w:tc>
        <w:tc>
          <w:tcPr>
            <w:tcW w:w="1141" w:type="pct"/>
            <w:vAlign w:val="center"/>
          </w:tcPr>
          <w:p>
            <w:pPr>
              <w:pStyle w:val="2"/>
              <w:spacing w:after="0" w:line="240" w:lineRule="auto"/>
              <w:ind w:firstLine="0" w:firstLineChars="0"/>
              <w:jc w:val="center"/>
              <w:rPr>
                <w:b/>
                <w:color w:val="auto"/>
                <w:sz w:val="21"/>
                <w:szCs w:val="21"/>
              </w:rPr>
            </w:pPr>
            <w:r>
              <w:rPr>
                <w:b/>
                <w:color w:val="auto"/>
                <w:sz w:val="21"/>
                <w:szCs w:val="21"/>
              </w:rPr>
              <w:t>污染物</w:t>
            </w:r>
          </w:p>
        </w:tc>
        <w:tc>
          <w:tcPr>
            <w:tcW w:w="1070" w:type="pct"/>
            <w:vAlign w:val="center"/>
          </w:tcPr>
          <w:p>
            <w:pPr>
              <w:pStyle w:val="2"/>
              <w:spacing w:after="0" w:line="240" w:lineRule="auto"/>
              <w:ind w:firstLine="0" w:firstLineChars="0"/>
              <w:jc w:val="center"/>
              <w:rPr>
                <w:b/>
                <w:color w:val="auto"/>
                <w:sz w:val="21"/>
                <w:szCs w:val="21"/>
              </w:rPr>
            </w:pPr>
            <w:r>
              <w:rPr>
                <w:b/>
                <w:color w:val="auto"/>
                <w:sz w:val="21"/>
                <w:szCs w:val="21"/>
              </w:rPr>
              <w:t>产生量（t/a）</w:t>
            </w:r>
          </w:p>
        </w:tc>
        <w:tc>
          <w:tcPr>
            <w:tcW w:w="1069" w:type="pct"/>
            <w:vAlign w:val="center"/>
          </w:tcPr>
          <w:p>
            <w:pPr>
              <w:pStyle w:val="2"/>
              <w:spacing w:after="0" w:line="240" w:lineRule="auto"/>
              <w:ind w:firstLine="0" w:firstLineChars="0"/>
              <w:jc w:val="center"/>
              <w:rPr>
                <w:b/>
                <w:color w:val="auto"/>
                <w:sz w:val="21"/>
                <w:szCs w:val="21"/>
              </w:rPr>
            </w:pPr>
            <w:r>
              <w:rPr>
                <w:b/>
                <w:color w:val="auto"/>
                <w:sz w:val="21"/>
                <w:szCs w:val="21"/>
              </w:rPr>
              <w:t>消减量（t/a）</w:t>
            </w:r>
          </w:p>
        </w:tc>
        <w:tc>
          <w:tcPr>
            <w:tcW w:w="1069" w:type="pct"/>
            <w:vAlign w:val="center"/>
          </w:tcPr>
          <w:p>
            <w:pPr>
              <w:pStyle w:val="2"/>
              <w:spacing w:after="0" w:line="240" w:lineRule="auto"/>
              <w:ind w:firstLine="0" w:firstLineChars="0"/>
              <w:jc w:val="center"/>
              <w:rPr>
                <w:b/>
                <w:color w:val="auto"/>
                <w:sz w:val="21"/>
                <w:szCs w:val="21"/>
              </w:rPr>
            </w:pPr>
            <w:r>
              <w:rPr>
                <w:b/>
                <w:color w:val="auto"/>
                <w:sz w:val="21"/>
                <w:szCs w:val="21"/>
              </w:rPr>
              <w:t>排放量（t/a）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648" w:type="pct"/>
            <w:vAlign w:val="center"/>
          </w:tcPr>
          <w:p>
            <w:pPr>
              <w:pStyle w:val="2"/>
              <w:spacing w:after="0" w:line="240" w:lineRule="auto"/>
              <w:ind w:firstLine="0" w:firstLineChars="0"/>
              <w:jc w:val="center"/>
              <w:rPr>
                <w:color w:val="auto"/>
                <w:sz w:val="21"/>
                <w:szCs w:val="21"/>
              </w:rPr>
            </w:pPr>
            <w:r>
              <w:rPr>
                <w:color w:val="auto"/>
                <w:sz w:val="21"/>
                <w:szCs w:val="21"/>
              </w:rPr>
              <w:t>1</w:t>
            </w:r>
          </w:p>
        </w:tc>
        <w:tc>
          <w:tcPr>
            <w:tcW w:w="1141" w:type="pct"/>
            <w:vAlign w:val="center"/>
          </w:tcPr>
          <w:p>
            <w:pPr>
              <w:widowControl/>
              <w:adjustRightInd w:val="0"/>
              <w:snapToGrid w:val="0"/>
              <w:spacing w:line="240" w:lineRule="auto"/>
              <w:ind w:firstLine="0" w:firstLineChars="0"/>
              <w:jc w:val="center"/>
              <w:rPr>
                <w:color w:val="auto"/>
                <w:sz w:val="21"/>
                <w:szCs w:val="21"/>
              </w:rPr>
            </w:pPr>
            <w:r>
              <w:rPr>
                <w:color w:val="auto"/>
                <w:sz w:val="21"/>
                <w:szCs w:val="21"/>
              </w:rPr>
              <w:t>VOCs</w:t>
            </w:r>
          </w:p>
        </w:tc>
        <w:tc>
          <w:tcPr>
            <w:tcW w:w="1070" w:type="pct"/>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4.4928</w:t>
            </w:r>
          </w:p>
        </w:tc>
        <w:tc>
          <w:tcPr>
            <w:tcW w:w="1069" w:type="pct"/>
            <w:vAlign w:val="center"/>
          </w:tcPr>
          <w:p>
            <w:pPr>
              <w:pStyle w:val="2"/>
              <w:spacing w:after="0"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3.5942</w:t>
            </w:r>
          </w:p>
        </w:tc>
        <w:tc>
          <w:tcPr>
            <w:tcW w:w="1069" w:type="pct"/>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0.899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648" w:type="pct"/>
            <w:vAlign w:val="center"/>
          </w:tcPr>
          <w:p>
            <w:pPr>
              <w:pStyle w:val="2"/>
              <w:spacing w:after="0"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2</w:t>
            </w:r>
          </w:p>
        </w:tc>
        <w:tc>
          <w:tcPr>
            <w:tcW w:w="1141" w:type="pct"/>
            <w:vAlign w:val="center"/>
          </w:tcPr>
          <w:p>
            <w:pPr>
              <w:pStyle w:val="45"/>
              <w:rPr>
                <w:color w:val="auto"/>
                <w:szCs w:val="21"/>
              </w:rPr>
            </w:pPr>
            <w:r>
              <w:rPr>
                <w:rFonts w:hint="eastAsia"/>
                <w:color w:val="auto"/>
              </w:rPr>
              <w:t>SO</w:t>
            </w:r>
            <w:r>
              <w:rPr>
                <w:rFonts w:hint="eastAsia"/>
                <w:color w:val="auto"/>
                <w:vertAlign w:val="subscript"/>
              </w:rPr>
              <w:t>2</w:t>
            </w:r>
          </w:p>
        </w:tc>
        <w:tc>
          <w:tcPr>
            <w:tcW w:w="1070" w:type="pct"/>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0.45</w:t>
            </w:r>
          </w:p>
        </w:tc>
        <w:tc>
          <w:tcPr>
            <w:tcW w:w="1069" w:type="pct"/>
            <w:vAlign w:val="center"/>
          </w:tcPr>
          <w:p>
            <w:pPr>
              <w:pStyle w:val="2"/>
              <w:spacing w:after="0" w:line="240" w:lineRule="auto"/>
              <w:ind w:firstLine="0" w:firstLineChars="0"/>
              <w:jc w:val="center"/>
              <w:rPr>
                <w:color w:val="auto"/>
                <w:sz w:val="21"/>
                <w:szCs w:val="21"/>
              </w:rPr>
            </w:pPr>
            <w:r>
              <w:rPr>
                <w:rFonts w:hint="eastAsia"/>
                <w:color w:val="auto"/>
                <w:sz w:val="21"/>
                <w:szCs w:val="21"/>
              </w:rPr>
              <w:t>0</w:t>
            </w:r>
          </w:p>
        </w:tc>
        <w:tc>
          <w:tcPr>
            <w:tcW w:w="1069" w:type="pct"/>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2" w:hRule="exact"/>
        </w:trPr>
        <w:tc>
          <w:tcPr>
            <w:tcW w:w="1836" w:type="dxa"/>
            <w:vAlign w:val="center"/>
          </w:tcPr>
          <w:p>
            <w:pPr>
              <w:pStyle w:val="2"/>
              <w:spacing w:after="0" w:line="240" w:lineRule="auto"/>
              <w:ind w:left="0" w:leftChars="0" w:firstLine="0" w:firstLineChars="0"/>
              <w:jc w:val="center"/>
              <w:rPr>
                <w:color w:val="auto"/>
                <w:sz w:val="21"/>
                <w:szCs w:val="21"/>
              </w:rPr>
            </w:pPr>
            <w:r>
              <w:rPr>
                <w:rFonts w:hint="eastAsia"/>
                <w:color w:val="auto"/>
                <w:sz w:val="21"/>
                <w:szCs w:val="21"/>
              </w:rPr>
              <w:t>3</w:t>
            </w:r>
          </w:p>
        </w:tc>
        <w:tc>
          <w:tcPr>
            <w:tcW w:w="1141" w:type="pct"/>
            <w:vAlign w:val="center"/>
          </w:tcPr>
          <w:p>
            <w:pPr>
              <w:pStyle w:val="45"/>
              <w:rPr>
                <w:color w:val="auto"/>
                <w:szCs w:val="21"/>
              </w:rPr>
            </w:pPr>
            <w:r>
              <w:rPr>
                <w:rFonts w:hint="eastAsia"/>
                <w:color w:val="auto"/>
              </w:rPr>
              <w:t>NOx</w:t>
            </w:r>
          </w:p>
        </w:tc>
        <w:tc>
          <w:tcPr>
            <w:tcW w:w="1070" w:type="pct"/>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2.8</w:t>
            </w:r>
          </w:p>
        </w:tc>
        <w:tc>
          <w:tcPr>
            <w:tcW w:w="1069" w:type="pct"/>
            <w:vAlign w:val="center"/>
          </w:tcPr>
          <w:p>
            <w:pPr>
              <w:pStyle w:val="2"/>
              <w:spacing w:after="0"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1.4</w:t>
            </w:r>
          </w:p>
        </w:tc>
        <w:tc>
          <w:tcPr>
            <w:tcW w:w="1069" w:type="pct"/>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2" w:hRule="exact"/>
        </w:trPr>
        <w:tc>
          <w:tcPr>
            <w:tcW w:w="1836" w:type="dxa"/>
            <w:vAlign w:val="center"/>
          </w:tcPr>
          <w:p>
            <w:pPr>
              <w:pStyle w:val="2"/>
              <w:spacing w:after="0" w:line="240" w:lineRule="auto"/>
              <w:ind w:left="0" w:leftChars="0" w:firstLine="0" w:firstLineChars="0"/>
              <w:jc w:val="center"/>
              <w:rPr>
                <w:rFonts w:hint="eastAsia"/>
                <w:color w:val="auto"/>
                <w:sz w:val="21"/>
                <w:szCs w:val="21"/>
              </w:rPr>
            </w:pPr>
            <w:r>
              <w:rPr>
                <w:rFonts w:hint="eastAsia"/>
                <w:color w:val="auto"/>
                <w:sz w:val="21"/>
                <w:szCs w:val="21"/>
              </w:rPr>
              <w:t>4</w:t>
            </w:r>
          </w:p>
        </w:tc>
        <w:tc>
          <w:tcPr>
            <w:tcW w:w="1141" w:type="pct"/>
            <w:vAlign w:val="center"/>
          </w:tcPr>
          <w:p>
            <w:pPr>
              <w:pStyle w:val="45"/>
              <w:rPr>
                <w:rFonts w:hint="eastAsia" w:eastAsia="宋体"/>
                <w:color w:val="auto"/>
                <w:lang w:val="en-US" w:eastAsia="zh-CN"/>
              </w:rPr>
            </w:pPr>
            <w:r>
              <w:rPr>
                <w:rFonts w:hint="eastAsia"/>
                <w:color w:val="auto"/>
                <w:lang w:val="en-US" w:eastAsia="zh-CN"/>
              </w:rPr>
              <w:t>颗粒物</w:t>
            </w:r>
          </w:p>
        </w:tc>
        <w:tc>
          <w:tcPr>
            <w:tcW w:w="1070"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0.16</w:t>
            </w:r>
          </w:p>
        </w:tc>
        <w:tc>
          <w:tcPr>
            <w:tcW w:w="1069" w:type="pct"/>
            <w:vAlign w:val="center"/>
          </w:tcPr>
          <w:p>
            <w:pPr>
              <w:pStyle w:val="2"/>
              <w:spacing w:after="0"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0</w:t>
            </w:r>
          </w:p>
        </w:tc>
        <w:tc>
          <w:tcPr>
            <w:tcW w:w="1069" w:type="pct"/>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2" w:hRule="exact"/>
        </w:trPr>
        <w:tc>
          <w:tcPr>
            <w:tcW w:w="1836" w:type="dxa"/>
            <w:vAlign w:val="center"/>
          </w:tcPr>
          <w:p>
            <w:pPr>
              <w:pStyle w:val="2"/>
              <w:spacing w:after="0" w:line="240" w:lineRule="auto"/>
              <w:ind w:left="0" w:leftChars="0" w:firstLine="0" w:firstLineChars="0"/>
              <w:jc w:val="center"/>
              <w:rPr>
                <w:color w:val="auto"/>
                <w:sz w:val="21"/>
                <w:szCs w:val="21"/>
              </w:rPr>
            </w:pPr>
            <w:r>
              <w:rPr>
                <w:rFonts w:hint="eastAsia"/>
                <w:color w:val="auto"/>
                <w:sz w:val="21"/>
                <w:szCs w:val="21"/>
              </w:rPr>
              <w:t>5</w:t>
            </w:r>
          </w:p>
        </w:tc>
        <w:tc>
          <w:tcPr>
            <w:tcW w:w="1141" w:type="pct"/>
            <w:vAlign w:val="center"/>
          </w:tcPr>
          <w:p>
            <w:pPr>
              <w:pStyle w:val="45"/>
              <w:rPr>
                <w:color w:val="auto"/>
              </w:rPr>
            </w:pPr>
            <w:r>
              <w:rPr>
                <w:rFonts w:hint="eastAsia"/>
                <w:color w:val="auto"/>
              </w:rPr>
              <w:t>氨</w:t>
            </w:r>
          </w:p>
        </w:tc>
        <w:tc>
          <w:tcPr>
            <w:tcW w:w="1070"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0.016</w:t>
            </w:r>
          </w:p>
        </w:tc>
        <w:tc>
          <w:tcPr>
            <w:tcW w:w="1069" w:type="pct"/>
            <w:vAlign w:val="center"/>
          </w:tcPr>
          <w:p>
            <w:pPr>
              <w:pStyle w:val="2"/>
              <w:spacing w:after="0" w:line="240" w:lineRule="auto"/>
              <w:ind w:firstLine="0" w:firstLineChars="0"/>
              <w:jc w:val="center"/>
              <w:rPr>
                <w:color w:val="auto"/>
                <w:sz w:val="21"/>
                <w:szCs w:val="21"/>
              </w:rPr>
            </w:pPr>
            <w:r>
              <w:rPr>
                <w:rFonts w:hint="eastAsia"/>
                <w:color w:val="auto"/>
                <w:sz w:val="21"/>
                <w:szCs w:val="21"/>
              </w:rPr>
              <w:t>0.0128</w:t>
            </w:r>
          </w:p>
        </w:tc>
        <w:tc>
          <w:tcPr>
            <w:tcW w:w="1069"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0.0032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2" w:hRule="exact"/>
        </w:trPr>
        <w:tc>
          <w:tcPr>
            <w:tcW w:w="1836" w:type="dxa"/>
            <w:vAlign w:val="center"/>
          </w:tcPr>
          <w:p>
            <w:pPr>
              <w:pStyle w:val="2"/>
              <w:spacing w:after="0" w:line="240" w:lineRule="auto"/>
              <w:ind w:left="0" w:leftChars="0" w:firstLine="0" w:firstLineChars="0"/>
              <w:jc w:val="center"/>
              <w:rPr>
                <w:rFonts w:hint="eastAsia" w:eastAsia="宋体"/>
                <w:color w:val="auto"/>
                <w:sz w:val="21"/>
                <w:szCs w:val="21"/>
                <w:lang w:val="en-US" w:eastAsia="zh-CN"/>
              </w:rPr>
            </w:pPr>
            <w:r>
              <w:rPr>
                <w:rFonts w:hint="eastAsia"/>
                <w:color w:val="auto"/>
                <w:sz w:val="21"/>
                <w:szCs w:val="21"/>
                <w:lang w:val="en-US" w:eastAsia="zh-CN"/>
              </w:rPr>
              <w:t>6</w:t>
            </w:r>
          </w:p>
        </w:tc>
        <w:tc>
          <w:tcPr>
            <w:tcW w:w="1141" w:type="pct"/>
            <w:vAlign w:val="center"/>
          </w:tcPr>
          <w:p>
            <w:pPr>
              <w:pStyle w:val="45"/>
              <w:rPr>
                <w:color w:val="auto"/>
              </w:rPr>
            </w:pPr>
            <w:r>
              <w:rPr>
                <w:rFonts w:hint="eastAsia"/>
                <w:color w:val="auto"/>
              </w:rPr>
              <w:t>硫化氢</w:t>
            </w:r>
          </w:p>
        </w:tc>
        <w:tc>
          <w:tcPr>
            <w:tcW w:w="1070"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0.0004</w:t>
            </w:r>
          </w:p>
        </w:tc>
        <w:tc>
          <w:tcPr>
            <w:tcW w:w="1069" w:type="pct"/>
            <w:vAlign w:val="center"/>
          </w:tcPr>
          <w:p>
            <w:pPr>
              <w:pStyle w:val="2"/>
              <w:spacing w:after="0" w:line="240" w:lineRule="auto"/>
              <w:ind w:firstLine="0" w:firstLineChars="0"/>
              <w:jc w:val="center"/>
              <w:rPr>
                <w:color w:val="auto"/>
                <w:sz w:val="21"/>
                <w:szCs w:val="21"/>
              </w:rPr>
            </w:pPr>
            <w:r>
              <w:rPr>
                <w:rFonts w:hint="eastAsia"/>
                <w:color w:val="auto"/>
                <w:sz w:val="21"/>
                <w:szCs w:val="21"/>
              </w:rPr>
              <w:t>0.00032</w:t>
            </w:r>
          </w:p>
        </w:tc>
        <w:tc>
          <w:tcPr>
            <w:tcW w:w="1069"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0.00008</w:t>
            </w:r>
          </w:p>
        </w:tc>
      </w:tr>
    </w:tbl>
    <w:p>
      <w:pPr>
        <w:pStyle w:val="2"/>
        <w:rPr>
          <w:color w:val="auto"/>
        </w:rPr>
        <w:sectPr>
          <w:headerReference r:id="rId24" w:type="default"/>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ind w:firstLine="482"/>
        <w:rPr>
          <w:b/>
          <w:color w:val="auto"/>
        </w:rPr>
      </w:pPr>
      <w:r>
        <w:rPr>
          <w:rFonts w:hint="eastAsia"/>
          <w:b/>
          <w:color w:val="auto"/>
        </w:rPr>
        <w:t>3</w:t>
      </w:r>
      <w:r>
        <w:rPr>
          <w:b/>
          <w:color w:val="auto"/>
        </w:rPr>
        <w:t>、废气污染物排放量统计</w:t>
      </w:r>
    </w:p>
    <w:p>
      <w:pPr>
        <w:ind w:firstLine="480"/>
        <w:rPr>
          <w:color w:val="auto"/>
        </w:rPr>
      </w:pPr>
      <w:r>
        <w:rPr>
          <w:color w:val="auto"/>
        </w:rPr>
        <w:t>项目废气污染物排放量统计见下表。</w:t>
      </w:r>
    </w:p>
    <w:p>
      <w:pPr>
        <w:pStyle w:val="48"/>
        <w:spacing w:line="360" w:lineRule="auto"/>
        <w:rPr>
          <w:b w:val="0"/>
          <w:bCs/>
          <w:color w:val="auto"/>
        </w:rPr>
      </w:pPr>
      <w:r>
        <w:rPr>
          <w:b w:val="0"/>
          <w:bCs/>
          <w:color w:val="auto"/>
        </w:rPr>
        <w:t>表</w:t>
      </w:r>
      <w:r>
        <w:rPr>
          <w:rFonts w:hint="eastAsia"/>
          <w:b w:val="0"/>
          <w:bCs/>
          <w:color w:val="auto"/>
        </w:rPr>
        <w:t>2.5</w:t>
      </w:r>
      <w:r>
        <w:rPr>
          <w:b w:val="0"/>
          <w:bCs/>
          <w:color w:val="auto"/>
        </w:rPr>
        <w:t>-</w:t>
      </w:r>
      <w:r>
        <w:rPr>
          <w:rFonts w:hint="eastAsia"/>
          <w:b w:val="0"/>
          <w:bCs/>
          <w:color w:val="auto"/>
        </w:rPr>
        <w:t>13</w:t>
      </w:r>
      <w:r>
        <w:rPr>
          <w:b w:val="0"/>
          <w:bCs/>
          <w:color w:val="auto"/>
        </w:rPr>
        <w:t xml:space="preserve">  废气污染物排放量统计表</w:t>
      </w:r>
    </w:p>
    <w:tbl>
      <w:tblPr>
        <w:tblStyle w:val="22"/>
        <w:tblW w:w="4994"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01"/>
        <w:gridCol w:w="2119"/>
        <w:gridCol w:w="1987"/>
        <w:gridCol w:w="1985"/>
        <w:gridCol w:w="198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47" w:type="pct"/>
            <w:vAlign w:val="center"/>
          </w:tcPr>
          <w:p>
            <w:pPr>
              <w:pStyle w:val="2"/>
              <w:spacing w:after="0" w:line="240" w:lineRule="auto"/>
              <w:ind w:firstLine="0" w:firstLineChars="0"/>
              <w:jc w:val="center"/>
              <w:rPr>
                <w:b/>
                <w:color w:val="auto"/>
                <w:sz w:val="21"/>
                <w:szCs w:val="21"/>
              </w:rPr>
            </w:pPr>
            <w:r>
              <w:rPr>
                <w:b/>
                <w:color w:val="auto"/>
                <w:sz w:val="21"/>
                <w:szCs w:val="21"/>
              </w:rPr>
              <w:t>种类</w:t>
            </w:r>
          </w:p>
        </w:tc>
        <w:tc>
          <w:tcPr>
            <w:tcW w:w="1141" w:type="pct"/>
            <w:vAlign w:val="center"/>
          </w:tcPr>
          <w:p>
            <w:pPr>
              <w:pStyle w:val="2"/>
              <w:spacing w:after="0" w:line="240" w:lineRule="auto"/>
              <w:ind w:firstLine="0" w:firstLineChars="0"/>
              <w:jc w:val="center"/>
              <w:rPr>
                <w:b/>
                <w:color w:val="auto"/>
                <w:sz w:val="21"/>
                <w:szCs w:val="21"/>
              </w:rPr>
            </w:pPr>
            <w:r>
              <w:rPr>
                <w:b/>
                <w:color w:val="auto"/>
                <w:sz w:val="21"/>
                <w:szCs w:val="21"/>
              </w:rPr>
              <w:t>污染物</w:t>
            </w:r>
          </w:p>
        </w:tc>
        <w:tc>
          <w:tcPr>
            <w:tcW w:w="1070" w:type="pct"/>
          </w:tcPr>
          <w:p>
            <w:pPr>
              <w:pStyle w:val="2"/>
              <w:spacing w:after="0" w:line="240" w:lineRule="auto"/>
              <w:ind w:firstLine="0" w:firstLineChars="0"/>
              <w:jc w:val="center"/>
              <w:rPr>
                <w:b/>
                <w:color w:val="auto"/>
                <w:sz w:val="21"/>
                <w:szCs w:val="21"/>
              </w:rPr>
            </w:pPr>
            <w:r>
              <w:rPr>
                <w:b/>
                <w:color w:val="auto"/>
                <w:sz w:val="21"/>
                <w:szCs w:val="21"/>
              </w:rPr>
              <w:t>产生量（t/a）</w:t>
            </w:r>
          </w:p>
        </w:tc>
        <w:tc>
          <w:tcPr>
            <w:tcW w:w="1069" w:type="pct"/>
          </w:tcPr>
          <w:p>
            <w:pPr>
              <w:pStyle w:val="2"/>
              <w:spacing w:after="0" w:line="240" w:lineRule="auto"/>
              <w:ind w:firstLine="0" w:firstLineChars="0"/>
              <w:jc w:val="center"/>
              <w:rPr>
                <w:b/>
                <w:color w:val="auto"/>
                <w:sz w:val="21"/>
                <w:szCs w:val="21"/>
              </w:rPr>
            </w:pPr>
            <w:r>
              <w:rPr>
                <w:b/>
                <w:color w:val="auto"/>
                <w:sz w:val="21"/>
                <w:szCs w:val="21"/>
              </w:rPr>
              <w:t>消减量（t/a）</w:t>
            </w:r>
          </w:p>
        </w:tc>
        <w:tc>
          <w:tcPr>
            <w:tcW w:w="1069" w:type="pct"/>
            <w:vAlign w:val="center"/>
          </w:tcPr>
          <w:p>
            <w:pPr>
              <w:pStyle w:val="2"/>
              <w:spacing w:after="0" w:line="240" w:lineRule="auto"/>
              <w:ind w:firstLine="0" w:firstLineChars="0"/>
              <w:jc w:val="center"/>
              <w:rPr>
                <w:b/>
                <w:color w:val="auto"/>
                <w:sz w:val="21"/>
                <w:szCs w:val="21"/>
              </w:rPr>
            </w:pPr>
            <w:r>
              <w:rPr>
                <w:b/>
                <w:color w:val="auto"/>
                <w:sz w:val="21"/>
                <w:szCs w:val="21"/>
              </w:rPr>
              <w:t>排放量（t/a）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47" w:type="pct"/>
            <w:vMerge w:val="restart"/>
            <w:vAlign w:val="center"/>
          </w:tcPr>
          <w:p>
            <w:pPr>
              <w:pStyle w:val="2"/>
              <w:spacing w:after="0" w:line="240" w:lineRule="auto"/>
              <w:ind w:firstLine="0" w:firstLineChars="0"/>
              <w:jc w:val="center"/>
              <w:rPr>
                <w:color w:val="auto"/>
                <w:sz w:val="21"/>
                <w:szCs w:val="21"/>
              </w:rPr>
            </w:pPr>
            <w:r>
              <w:rPr>
                <w:color w:val="auto"/>
                <w:sz w:val="21"/>
                <w:szCs w:val="21"/>
              </w:rPr>
              <w:t>有组织</w:t>
            </w:r>
          </w:p>
        </w:tc>
        <w:tc>
          <w:tcPr>
            <w:tcW w:w="1141" w:type="pct"/>
            <w:vAlign w:val="center"/>
          </w:tcPr>
          <w:p>
            <w:pPr>
              <w:widowControl/>
              <w:adjustRightInd w:val="0"/>
              <w:snapToGrid w:val="0"/>
              <w:spacing w:line="240" w:lineRule="auto"/>
              <w:ind w:firstLine="0" w:firstLineChars="0"/>
              <w:jc w:val="center"/>
              <w:rPr>
                <w:color w:val="auto"/>
                <w:sz w:val="21"/>
                <w:szCs w:val="21"/>
              </w:rPr>
            </w:pPr>
            <w:r>
              <w:rPr>
                <w:color w:val="auto"/>
                <w:sz w:val="21"/>
                <w:szCs w:val="21"/>
              </w:rPr>
              <w:t>VOCs</w:t>
            </w:r>
          </w:p>
        </w:tc>
        <w:tc>
          <w:tcPr>
            <w:tcW w:w="1987"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4.4928</w:t>
            </w:r>
          </w:p>
        </w:tc>
        <w:tc>
          <w:tcPr>
            <w:tcW w:w="1985" w:type="dxa"/>
            <w:vAlign w:val="center"/>
          </w:tcPr>
          <w:p>
            <w:pPr>
              <w:pStyle w:val="2"/>
              <w:spacing w:after="0" w:line="240" w:lineRule="auto"/>
              <w:ind w:left="0" w:leftChars="0" w:firstLine="0" w:firstLineChars="0"/>
              <w:jc w:val="center"/>
              <w:rPr>
                <w:color w:val="auto"/>
                <w:sz w:val="21"/>
                <w:szCs w:val="21"/>
              </w:rPr>
            </w:pPr>
            <w:r>
              <w:rPr>
                <w:rFonts w:hint="eastAsia"/>
                <w:color w:val="auto"/>
                <w:sz w:val="21"/>
                <w:szCs w:val="21"/>
                <w:lang w:val="en-US" w:eastAsia="zh-CN"/>
              </w:rPr>
              <w:t>3.5942</w:t>
            </w:r>
          </w:p>
        </w:tc>
        <w:tc>
          <w:tcPr>
            <w:tcW w:w="1985"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0.899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47" w:type="pct"/>
            <w:vMerge w:val="continue"/>
            <w:vAlign w:val="center"/>
          </w:tcPr>
          <w:p>
            <w:pPr>
              <w:pStyle w:val="2"/>
              <w:spacing w:after="0" w:line="240" w:lineRule="auto"/>
              <w:ind w:firstLine="0" w:firstLineChars="0"/>
              <w:jc w:val="center"/>
              <w:rPr>
                <w:color w:val="auto"/>
                <w:sz w:val="21"/>
                <w:szCs w:val="21"/>
              </w:rPr>
            </w:pPr>
          </w:p>
        </w:tc>
        <w:tc>
          <w:tcPr>
            <w:tcW w:w="2119" w:type="dxa"/>
            <w:vAlign w:val="center"/>
          </w:tcPr>
          <w:p>
            <w:pPr>
              <w:pStyle w:val="45"/>
              <w:ind w:firstLine="0" w:firstLineChars="0"/>
              <w:rPr>
                <w:color w:val="auto"/>
                <w:szCs w:val="21"/>
              </w:rPr>
            </w:pPr>
            <w:r>
              <w:rPr>
                <w:rFonts w:hint="eastAsia"/>
                <w:color w:val="auto"/>
              </w:rPr>
              <w:t>SO</w:t>
            </w:r>
            <w:r>
              <w:rPr>
                <w:rFonts w:hint="eastAsia"/>
                <w:color w:val="auto"/>
                <w:vertAlign w:val="subscript"/>
              </w:rPr>
              <w:t>2</w:t>
            </w:r>
          </w:p>
        </w:tc>
        <w:tc>
          <w:tcPr>
            <w:tcW w:w="1987"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0.45</w:t>
            </w:r>
          </w:p>
        </w:tc>
        <w:tc>
          <w:tcPr>
            <w:tcW w:w="1985" w:type="dxa"/>
            <w:vAlign w:val="center"/>
          </w:tcPr>
          <w:p>
            <w:pPr>
              <w:pStyle w:val="2"/>
              <w:spacing w:after="0" w:line="240" w:lineRule="auto"/>
              <w:ind w:left="0" w:leftChars="0" w:firstLine="0" w:firstLineChars="0"/>
              <w:jc w:val="center"/>
              <w:rPr>
                <w:color w:val="auto"/>
                <w:sz w:val="21"/>
                <w:szCs w:val="21"/>
              </w:rPr>
            </w:pPr>
            <w:r>
              <w:rPr>
                <w:rFonts w:hint="eastAsia"/>
                <w:color w:val="auto"/>
                <w:sz w:val="21"/>
                <w:szCs w:val="21"/>
              </w:rPr>
              <w:t>0</w:t>
            </w:r>
          </w:p>
        </w:tc>
        <w:tc>
          <w:tcPr>
            <w:tcW w:w="1985"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0.45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47" w:type="pct"/>
            <w:vMerge w:val="continue"/>
            <w:vAlign w:val="center"/>
          </w:tcPr>
          <w:p>
            <w:pPr>
              <w:pStyle w:val="2"/>
              <w:spacing w:after="0" w:line="240" w:lineRule="auto"/>
              <w:ind w:firstLine="0" w:firstLineChars="0"/>
              <w:jc w:val="center"/>
              <w:rPr>
                <w:color w:val="auto"/>
                <w:sz w:val="21"/>
                <w:szCs w:val="21"/>
              </w:rPr>
            </w:pPr>
          </w:p>
        </w:tc>
        <w:tc>
          <w:tcPr>
            <w:tcW w:w="2119" w:type="dxa"/>
            <w:vAlign w:val="center"/>
          </w:tcPr>
          <w:p>
            <w:pPr>
              <w:pStyle w:val="45"/>
              <w:ind w:firstLine="0" w:firstLineChars="0"/>
              <w:rPr>
                <w:rFonts w:hint="eastAsia"/>
                <w:color w:val="auto"/>
              </w:rPr>
            </w:pPr>
            <w:r>
              <w:rPr>
                <w:rFonts w:hint="eastAsia"/>
                <w:color w:val="auto"/>
              </w:rPr>
              <w:t>NOx</w:t>
            </w:r>
          </w:p>
        </w:tc>
        <w:tc>
          <w:tcPr>
            <w:tcW w:w="1987" w:type="dxa"/>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lang w:val="en-US" w:eastAsia="zh-CN"/>
              </w:rPr>
              <w:t>2.8</w:t>
            </w:r>
          </w:p>
        </w:tc>
        <w:tc>
          <w:tcPr>
            <w:tcW w:w="1985" w:type="dxa"/>
            <w:vAlign w:val="center"/>
          </w:tcPr>
          <w:p>
            <w:pPr>
              <w:pStyle w:val="2"/>
              <w:spacing w:after="0" w:line="240" w:lineRule="auto"/>
              <w:ind w:left="0" w:leftChars="0" w:firstLine="0" w:firstLineChars="0"/>
              <w:jc w:val="center"/>
              <w:rPr>
                <w:rFonts w:hint="eastAsia"/>
                <w:color w:val="auto"/>
                <w:sz w:val="21"/>
                <w:szCs w:val="21"/>
              </w:rPr>
            </w:pPr>
            <w:r>
              <w:rPr>
                <w:rFonts w:hint="eastAsia"/>
                <w:color w:val="auto"/>
                <w:sz w:val="21"/>
                <w:szCs w:val="21"/>
                <w:lang w:val="en-US" w:eastAsia="zh-CN"/>
              </w:rPr>
              <w:t>1.4</w:t>
            </w:r>
          </w:p>
        </w:tc>
        <w:tc>
          <w:tcPr>
            <w:tcW w:w="1985" w:type="dxa"/>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lang w:val="en-US" w:eastAsia="zh-CN"/>
              </w:rPr>
              <w:t>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47" w:type="pct"/>
            <w:vMerge w:val="continue"/>
            <w:vAlign w:val="center"/>
          </w:tcPr>
          <w:p>
            <w:pPr>
              <w:pStyle w:val="2"/>
              <w:spacing w:after="0" w:line="240" w:lineRule="auto"/>
              <w:ind w:firstLine="0" w:firstLineChars="0"/>
              <w:jc w:val="center"/>
              <w:rPr>
                <w:color w:val="auto"/>
                <w:sz w:val="21"/>
                <w:szCs w:val="21"/>
              </w:rPr>
            </w:pPr>
          </w:p>
        </w:tc>
        <w:tc>
          <w:tcPr>
            <w:tcW w:w="2119" w:type="dxa"/>
            <w:vAlign w:val="center"/>
          </w:tcPr>
          <w:p>
            <w:pPr>
              <w:pStyle w:val="45"/>
              <w:ind w:firstLine="0" w:firstLineChars="0"/>
              <w:rPr>
                <w:color w:val="auto"/>
                <w:szCs w:val="21"/>
              </w:rPr>
            </w:pPr>
            <w:r>
              <w:rPr>
                <w:rFonts w:hint="eastAsia"/>
                <w:color w:val="auto"/>
                <w:lang w:val="en-US" w:eastAsia="zh-CN"/>
              </w:rPr>
              <w:t>颗粒物</w:t>
            </w:r>
          </w:p>
        </w:tc>
        <w:tc>
          <w:tcPr>
            <w:tcW w:w="1987"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0.16</w:t>
            </w:r>
          </w:p>
        </w:tc>
        <w:tc>
          <w:tcPr>
            <w:tcW w:w="1985" w:type="dxa"/>
            <w:vAlign w:val="center"/>
          </w:tcPr>
          <w:p>
            <w:pPr>
              <w:pStyle w:val="2"/>
              <w:spacing w:after="0" w:line="240" w:lineRule="auto"/>
              <w:ind w:left="0" w:leftChars="0" w:firstLine="0" w:firstLineChars="0"/>
              <w:jc w:val="center"/>
              <w:rPr>
                <w:color w:val="auto"/>
                <w:sz w:val="21"/>
                <w:szCs w:val="21"/>
              </w:rPr>
            </w:pPr>
            <w:r>
              <w:rPr>
                <w:rFonts w:hint="eastAsia"/>
                <w:color w:val="auto"/>
                <w:sz w:val="21"/>
                <w:szCs w:val="21"/>
                <w:lang w:val="en-US" w:eastAsia="zh-CN"/>
              </w:rPr>
              <w:t>0</w:t>
            </w:r>
          </w:p>
        </w:tc>
        <w:tc>
          <w:tcPr>
            <w:tcW w:w="1985"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0.16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47" w:type="pct"/>
            <w:vMerge w:val="continue"/>
            <w:vAlign w:val="center"/>
          </w:tcPr>
          <w:p>
            <w:pPr>
              <w:pStyle w:val="2"/>
              <w:spacing w:after="0" w:line="240" w:lineRule="auto"/>
              <w:ind w:firstLine="0" w:firstLineChars="0"/>
              <w:jc w:val="center"/>
              <w:rPr>
                <w:color w:val="auto"/>
                <w:sz w:val="21"/>
                <w:szCs w:val="21"/>
              </w:rPr>
            </w:pPr>
          </w:p>
        </w:tc>
        <w:tc>
          <w:tcPr>
            <w:tcW w:w="1141" w:type="pct"/>
            <w:vAlign w:val="center"/>
          </w:tcPr>
          <w:p>
            <w:pPr>
              <w:pStyle w:val="45"/>
              <w:rPr>
                <w:color w:val="auto"/>
              </w:rPr>
            </w:pPr>
            <w:r>
              <w:rPr>
                <w:rFonts w:hint="eastAsia"/>
                <w:color w:val="auto"/>
              </w:rPr>
              <w:t>氨</w:t>
            </w:r>
          </w:p>
        </w:tc>
        <w:tc>
          <w:tcPr>
            <w:tcW w:w="1070"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0.016</w:t>
            </w:r>
          </w:p>
        </w:tc>
        <w:tc>
          <w:tcPr>
            <w:tcW w:w="1069" w:type="pct"/>
            <w:vAlign w:val="center"/>
          </w:tcPr>
          <w:p>
            <w:pPr>
              <w:pStyle w:val="2"/>
              <w:spacing w:after="0" w:line="240" w:lineRule="auto"/>
              <w:ind w:firstLine="0" w:firstLineChars="0"/>
              <w:jc w:val="center"/>
              <w:rPr>
                <w:color w:val="auto"/>
                <w:sz w:val="21"/>
                <w:szCs w:val="21"/>
              </w:rPr>
            </w:pPr>
            <w:r>
              <w:rPr>
                <w:rFonts w:hint="eastAsia"/>
                <w:color w:val="auto"/>
                <w:sz w:val="21"/>
                <w:szCs w:val="21"/>
              </w:rPr>
              <w:t>0.0128</w:t>
            </w:r>
          </w:p>
        </w:tc>
        <w:tc>
          <w:tcPr>
            <w:tcW w:w="1069"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0.0032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47" w:type="pct"/>
            <w:vMerge w:val="continue"/>
            <w:vAlign w:val="center"/>
          </w:tcPr>
          <w:p>
            <w:pPr>
              <w:pStyle w:val="2"/>
              <w:spacing w:after="0" w:line="240" w:lineRule="auto"/>
              <w:ind w:firstLine="0" w:firstLineChars="0"/>
              <w:jc w:val="center"/>
              <w:rPr>
                <w:color w:val="auto"/>
                <w:sz w:val="21"/>
                <w:szCs w:val="21"/>
              </w:rPr>
            </w:pPr>
          </w:p>
        </w:tc>
        <w:tc>
          <w:tcPr>
            <w:tcW w:w="1141" w:type="pct"/>
            <w:vAlign w:val="center"/>
          </w:tcPr>
          <w:p>
            <w:pPr>
              <w:pStyle w:val="45"/>
              <w:rPr>
                <w:color w:val="auto"/>
              </w:rPr>
            </w:pPr>
            <w:r>
              <w:rPr>
                <w:rFonts w:hint="eastAsia"/>
                <w:color w:val="auto"/>
              </w:rPr>
              <w:t>硫化氢</w:t>
            </w:r>
          </w:p>
        </w:tc>
        <w:tc>
          <w:tcPr>
            <w:tcW w:w="1070"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0.0004</w:t>
            </w:r>
          </w:p>
        </w:tc>
        <w:tc>
          <w:tcPr>
            <w:tcW w:w="1069" w:type="pct"/>
            <w:vAlign w:val="center"/>
          </w:tcPr>
          <w:p>
            <w:pPr>
              <w:pStyle w:val="2"/>
              <w:spacing w:after="0" w:line="240" w:lineRule="auto"/>
              <w:ind w:firstLine="0" w:firstLineChars="0"/>
              <w:jc w:val="center"/>
              <w:rPr>
                <w:color w:val="auto"/>
                <w:sz w:val="21"/>
                <w:szCs w:val="21"/>
              </w:rPr>
            </w:pPr>
            <w:r>
              <w:rPr>
                <w:rFonts w:hint="eastAsia"/>
                <w:color w:val="auto"/>
                <w:sz w:val="21"/>
                <w:szCs w:val="21"/>
              </w:rPr>
              <w:t>0.00032</w:t>
            </w:r>
          </w:p>
        </w:tc>
        <w:tc>
          <w:tcPr>
            <w:tcW w:w="1069"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0.00008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47" w:type="pct"/>
            <w:vMerge w:val="restart"/>
            <w:vAlign w:val="center"/>
          </w:tcPr>
          <w:p>
            <w:pPr>
              <w:pStyle w:val="2"/>
              <w:spacing w:after="0" w:line="240" w:lineRule="auto"/>
              <w:ind w:firstLine="0" w:firstLineChars="0"/>
              <w:jc w:val="center"/>
              <w:rPr>
                <w:color w:val="auto"/>
                <w:sz w:val="21"/>
                <w:szCs w:val="21"/>
              </w:rPr>
            </w:pPr>
            <w:r>
              <w:rPr>
                <w:color w:val="auto"/>
                <w:sz w:val="21"/>
                <w:szCs w:val="21"/>
              </w:rPr>
              <w:t>无组织</w:t>
            </w:r>
          </w:p>
        </w:tc>
        <w:tc>
          <w:tcPr>
            <w:tcW w:w="1141" w:type="pct"/>
            <w:vAlign w:val="center"/>
          </w:tcPr>
          <w:p>
            <w:pPr>
              <w:spacing w:line="240" w:lineRule="auto"/>
              <w:ind w:firstLine="0" w:firstLineChars="0"/>
              <w:jc w:val="center"/>
              <w:rPr>
                <w:color w:val="auto"/>
                <w:sz w:val="21"/>
                <w:szCs w:val="21"/>
              </w:rPr>
            </w:pPr>
            <w:r>
              <w:rPr>
                <w:rFonts w:hint="eastAsia"/>
                <w:color w:val="auto"/>
                <w:sz w:val="21"/>
                <w:szCs w:val="21"/>
              </w:rPr>
              <w:t>颗粒物</w:t>
            </w:r>
          </w:p>
        </w:tc>
        <w:tc>
          <w:tcPr>
            <w:tcW w:w="1070" w:type="pct"/>
            <w:vAlign w:val="center"/>
          </w:tcPr>
          <w:p>
            <w:pPr>
              <w:pStyle w:val="2"/>
              <w:spacing w:after="0" w:line="240" w:lineRule="auto"/>
              <w:ind w:firstLine="0" w:firstLineChars="0"/>
              <w:jc w:val="center"/>
              <w:rPr>
                <w:color w:val="auto"/>
                <w:sz w:val="21"/>
                <w:szCs w:val="21"/>
              </w:rPr>
            </w:pPr>
            <w:r>
              <w:rPr>
                <w:rFonts w:hint="eastAsia"/>
                <w:bCs/>
                <w:color w:val="auto"/>
                <w:sz w:val="21"/>
                <w:szCs w:val="21"/>
              </w:rPr>
              <w:t>0.</w:t>
            </w:r>
            <w:r>
              <w:rPr>
                <w:rFonts w:hint="eastAsia"/>
                <w:bCs/>
                <w:color w:val="auto"/>
                <w:sz w:val="21"/>
                <w:szCs w:val="21"/>
                <w:lang w:val="en-US" w:eastAsia="zh-CN"/>
              </w:rPr>
              <w:t>5</w:t>
            </w:r>
            <w:r>
              <w:rPr>
                <w:rFonts w:hint="eastAsia"/>
                <w:bCs/>
                <w:color w:val="auto"/>
                <w:sz w:val="21"/>
                <w:szCs w:val="21"/>
              </w:rPr>
              <w:t>03</w:t>
            </w:r>
          </w:p>
        </w:tc>
        <w:tc>
          <w:tcPr>
            <w:tcW w:w="1069" w:type="pct"/>
            <w:vAlign w:val="center"/>
          </w:tcPr>
          <w:p>
            <w:pPr>
              <w:pStyle w:val="2"/>
              <w:spacing w:after="0"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0.495</w:t>
            </w:r>
          </w:p>
        </w:tc>
        <w:tc>
          <w:tcPr>
            <w:tcW w:w="1069" w:type="pct"/>
            <w:vAlign w:val="center"/>
          </w:tcPr>
          <w:p>
            <w:pPr>
              <w:pStyle w:val="2"/>
              <w:spacing w:after="0" w:line="240" w:lineRule="auto"/>
              <w:ind w:firstLine="0" w:firstLineChars="0"/>
              <w:jc w:val="center"/>
              <w:rPr>
                <w:rFonts w:hint="eastAsia" w:eastAsia="宋体"/>
                <w:color w:val="auto"/>
                <w:sz w:val="21"/>
                <w:szCs w:val="21"/>
                <w:lang w:eastAsia="zh-CN"/>
              </w:rPr>
            </w:pPr>
            <w:r>
              <w:rPr>
                <w:rFonts w:hint="eastAsia"/>
                <w:bCs/>
                <w:color w:val="auto"/>
                <w:sz w:val="21"/>
                <w:szCs w:val="21"/>
              </w:rPr>
              <w:t>0.00</w:t>
            </w:r>
            <w:r>
              <w:rPr>
                <w:rFonts w:hint="eastAsia"/>
                <w:bCs/>
                <w:color w:val="auto"/>
                <w:sz w:val="21"/>
                <w:szCs w:val="21"/>
                <w:lang w:val="en-US" w:eastAsia="zh-CN"/>
              </w:rPr>
              <w:t>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47" w:type="pct"/>
            <w:vMerge w:val="continue"/>
            <w:vAlign w:val="center"/>
          </w:tcPr>
          <w:p>
            <w:pPr>
              <w:pStyle w:val="2"/>
              <w:spacing w:after="0" w:line="240" w:lineRule="auto"/>
              <w:ind w:firstLine="0" w:firstLineChars="0"/>
              <w:jc w:val="center"/>
              <w:rPr>
                <w:color w:val="auto"/>
                <w:sz w:val="21"/>
                <w:szCs w:val="21"/>
              </w:rPr>
            </w:pPr>
          </w:p>
        </w:tc>
        <w:tc>
          <w:tcPr>
            <w:tcW w:w="1141" w:type="pct"/>
            <w:vAlign w:val="center"/>
          </w:tcPr>
          <w:p>
            <w:pPr>
              <w:pStyle w:val="2"/>
              <w:spacing w:after="0" w:line="240" w:lineRule="auto"/>
              <w:ind w:firstLine="0" w:firstLineChars="0"/>
              <w:jc w:val="center"/>
              <w:rPr>
                <w:bCs/>
                <w:color w:val="auto"/>
                <w:sz w:val="21"/>
                <w:szCs w:val="21"/>
              </w:rPr>
            </w:pPr>
            <w:r>
              <w:rPr>
                <w:color w:val="auto"/>
                <w:sz w:val="21"/>
                <w:szCs w:val="21"/>
              </w:rPr>
              <w:t>VOCs</w:t>
            </w:r>
          </w:p>
        </w:tc>
        <w:tc>
          <w:tcPr>
            <w:tcW w:w="1070" w:type="pct"/>
            <w:vAlign w:val="center"/>
          </w:tcPr>
          <w:p>
            <w:pPr>
              <w:pStyle w:val="2"/>
              <w:spacing w:after="0" w:line="240" w:lineRule="auto"/>
              <w:ind w:firstLine="0" w:firstLineChars="0"/>
              <w:jc w:val="center"/>
              <w:rPr>
                <w:color w:val="auto"/>
                <w:sz w:val="21"/>
                <w:szCs w:val="21"/>
              </w:rPr>
            </w:pPr>
            <w:r>
              <w:rPr>
                <w:rFonts w:hint="eastAsia"/>
                <w:bCs/>
                <w:color w:val="auto"/>
                <w:sz w:val="21"/>
                <w:szCs w:val="21"/>
              </w:rPr>
              <w:t>0.152</w:t>
            </w:r>
          </w:p>
        </w:tc>
        <w:tc>
          <w:tcPr>
            <w:tcW w:w="1069" w:type="pct"/>
            <w:vAlign w:val="center"/>
          </w:tcPr>
          <w:p>
            <w:pPr>
              <w:pStyle w:val="2"/>
              <w:spacing w:after="0" w:line="240" w:lineRule="auto"/>
              <w:ind w:firstLine="0" w:firstLineChars="0"/>
              <w:jc w:val="center"/>
              <w:rPr>
                <w:color w:val="auto"/>
                <w:sz w:val="21"/>
                <w:szCs w:val="21"/>
              </w:rPr>
            </w:pPr>
            <w:r>
              <w:rPr>
                <w:rFonts w:hint="eastAsia"/>
                <w:color w:val="auto"/>
                <w:sz w:val="21"/>
                <w:szCs w:val="21"/>
              </w:rPr>
              <w:t>0</w:t>
            </w:r>
          </w:p>
        </w:tc>
        <w:tc>
          <w:tcPr>
            <w:tcW w:w="1069" w:type="pct"/>
            <w:vAlign w:val="center"/>
          </w:tcPr>
          <w:p>
            <w:pPr>
              <w:pStyle w:val="2"/>
              <w:spacing w:after="0" w:line="240" w:lineRule="auto"/>
              <w:ind w:firstLine="0" w:firstLineChars="0"/>
              <w:jc w:val="center"/>
              <w:rPr>
                <w:color w:val="auto"/>
                <w:sz w:val="21"/>
                <w:szCs w:val="21"/>
              </w:rPr>
            </w:pPr>
            <w:r>
              <w:rPr>
                <w:rFonts w:hint="eastAsia"/>
                <w:bCs/>
                <w:color w:val="auto"/>
                <w:sz w:val="21"/>
                <w:szCs w:val="21"/>
              </w:rPr>
              <w:t>0.152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47" w:type="pct"/>
            <w:vMerge w:val="continue"/>
            <w:vAlign w:val="center"/>
          </w:tcPr>
          <w:p>
            <w:pPr>
              <w:pStyle w:val="2"/>
              <w:spacing w:after="0" w:line="240" w:lineRule="auto"/>
              <w:ind w:firstLine="0" w:firstLineChars="0"/>
              <w:jc w:val="center"/>
              <w:rPr>
                <w:color w:val="auto"/>
                <w:sz w:val="21"/>
                <w:szCs w:val="21"/>
              </w:rPr>
            </w:pPr>
          </w:p>
        </w:tc>
        <w:tc>
          <w:tcPr>
            <w:tcW w:w="1141" w:type="pct"/>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氨</w:t>
            </w:r>
          </w:p>
        </w:tc>
        <w:tc>
          <w:tcPr>
            <w:tcW w:w="1070" w:type="pct"/>
            <w:vAlign w:val="center"/>
          </w:tcPr>
          <w:p>
            <w:pPr>
              <w:pStyle w:val="2"/>
              <w:spacing w:after="0" w:line="240" w:lineRule="auto"/>
              <w:ind w:firstLine="0" w:firstLineChars="0"/>
              <w:jc w:val="center"/>
              <w:rPr>
                <w:bCs/>
                <w:color w:val="auto"/>
                <w:sz w:val="21"/>
                <w:szCs w:val="21"/>
              </w:rPr>
            </w:pPr>
            <w:r>
              <w:rPr>
                <w:rFonts w:hint="eastAsia"/>
                <w:bCs/>
                <w:color w:val="auto"/>
                <w:sz w:val="21"/>
                <w:szCs w:val="21"/>
              </w:rPr>
              <w:t>0.021</w:t>
            </w:r>
          </w:p>
        </w:tc>
        <w:tc>
          <w:tcPr>
            <w:tcW w:w="1069" w:type="pct"/>
            <w:vAlign w:val="center"/>
          </w:tcPr>
          <w:p>
            <w:pPr>
              <w:pStyle w:val="2"/>
              <w:spacing w:after="0" w:line="240" w:lineRule="auto"/>
              <w:ind w:firstLine="0" w:firstLineChars="0"/>
              <w:jc w:val="center"/>
              <w:rPr>
                <w:color w:val="auto"/>
                <w:sz w:val="21"/>
                <w:szCs w:val="21"/>
              </w:rPr>
            </w:pPr>
            <w:r>
              <w:rPr>
                <w:rFonts w:hint="eastAsia"/>
                <w:color w:val="auto"/>
                <w:sz w:val="21"/>
                <w:szCs w:val="21"/>
              </w:rPr>
              <w:t>0</w:t>
            </w:r>
          </w:p>
        </w:tc>
        <w:tc>
          <w:tcPr>
            <w:tcW w:w="1069" w:type="pct"/>
            <w:vAlign w:val="center"/>
          </w:tcPr>
          <w:p>
            <w:pPr>
              <w:pStyle w:val="2"/>
              <w:spacing w:after="0" w:line="240" w:lineRule="auto"/>
              <w:ind w:firstLine="0" w:firstLineChars="0"/>
              <w:jc w:val="center"/>
              <w:rPr>
                <w:bCs/>
                <w:color w:val="auto"/>
                <w:sz w:val="21"/>
                <w:szCs w:val="21"/>
              </w:rPr>
            </w:pPr>
            <w:r>
              <w:rPr>
                <w:rFonts w:hint="eastAsia"/>
                <w:bCs/>
                <w:color w:val="auto"/>
                <w:sz w:val="21"/>
                <w:szCs w:val="21"/>
              </w:rPr>
              <w:t>0.021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47" w:type="pct"/>
            <w:vMerge w:val="continue"/>
            <w:vAlign w:val="center"/>
          </w:tcPr>
          <w:p>
            <w:pPr>
              <w:pStyle w:val="2"/>
              <w:spacing w:after="0" w:line="240" w:lineRule="auto"/>
              <w:ind w:firstLine="0" w:firstLineChars="0"/>
              <w:jc w:val="center"/>
              <w:rPr>
                <w:color w:val="auto"/>
                <w:sz w:val="21"/>
                <w:szCs w:val="21"/>
              </w:rPr>
            </w:pPr>
          </w:p>
        </w:tc>
        <w:tc>
          <w:tcPr>
            <w:tcW w:w="1141" w:type="pct"/>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硫化氢</w:t>
            </w:r>
          </w:p>
        </w:tc>
        <w:tc>
          <w:tcPr>
            <w:tcW w:w="1070" w:type="pct"/>
            <w:vAlign w:val="center"/>
          </w:tcPr>
          <w:p>
            <w:pPr>
              <w:pStyle w:val="2"/>
              <w:spacing w:after="0" w:line="240" w:lineRule="auto"/>
              <w:ind w:firstLine="0" w:firstLineChars="0"/>
              <w:jc w:val="center"/>
              <w:rPr>
                <w:bCs/>
                <w:color w:val="auto"/>
                <w:sz w:val="21"/>
                <w:szCs w:val="21"/>
              </w:rPr>
            </w:pPr>
            <w:r>
              <w:rPr>
                <w:rFonts w:hint="eastAsia"/>
                <w:bCs/>
                <w:color w:val="auto"/>
                <w:sz w:val="21"/>
                <w:szCs w:val="21"/>
              </w:rPr>
              <w:t>0.0005</w:t>
            </w:r>
          </w:p>
        </w:tc>
        <w:tc>
          <w:tcPr>
            <w:tcW w:w="1069" w:type="pct"/>
            <w:vAlign w:val="center"/>
          </w:tcPr>
          <w:p>
            <w:pPr>
              <w:pStyle w:val="2"/>
              <w:spacing w:after="0" w:line="240" w:lineRule="auto"/>
              <w:ind w:firstLine="0" w:firstLineChars="0"/>
              <w:jc w:val="center"/>
              <w:rPr>
                <w:color w:val="auto"/>
                <w:sz w:val="21"/>
                <w:szCs w:val="21"/>
              </w:rPr>
            </w:pPr>
            <w:r>
              <w:rPr>
                <w:rFonts w:hint="eastAsia"/>
                <w:color w:val="auto"/>
                <w:sz w:val="21"/>
                <w:szCs w:val="21"/>
              </w:rPr>
              <w:t>0</w:t>
            </w:r>
          </w:p>
        </w:tc>
        <w:tc>
          <w:tcPr>
            <w:tcW w:w="1069" w:type="pct"/>
            <w:vAlign w:val="center"/>
          </w:tcPr>
          <w:p>
            <w:pPr>
              <w:pStyle w:val="2"/>
              <w:spacing w:after="0" w:line="240" w:lineRule="auto"/>
              <w:ind w:firstLine="0" w:firstLineChars="0"/>
              <w:jc w:val="center"/>
              <w:rPr>
                <w:bCs/>
                <w:color w:val="auto"/>
                <w:sz w:val="21"/>
                <w:szCs w:val="21"/>
              </w:rPr>
            </w:pPr>
            <w:r>
              <w:rPr>
                <w:rFonts w:hint="eastAsia"/>
                <w:bCs/>
                <w:color w:val="auto"/>
                <w:sz w:val="21"/>
                <w:szCs w:val="21"/>
              </w:rPr>
              <w:t>0.0005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47" w:type="pct"/>
            <w:vMerge w:val="restart"/>
            <w:vAlign w:val="center"/>
          </w:tcPr>
          <w:p>
            <w:pPr>
              <w:pStyle w:val="2"/>
              <w:spacing w:after="0" w:line="240" w:lineRule="auto"/>
              <w:ind w:firstLine="0" w:firstLineChars="0"/>
              <w:jc w:val="center"/>
              <w:rPr>
                <w:color w:val="auto"/>
                <w:sz w:val="21"/>
                <w:szCs w:val="21"/>
              </w:rPr>
            </w:pPr>
            <w:r>
              <w:rPr>
                <w:rFonts w:hint="eastAsia"/>
                <w:color w:val="auto"/>
                <w:sz w:val="21"/>
                <w:szCs w:val="21"/>
              </w:rPr>
              <w:t>合计</w:t>
            </w:r>
          </w:p>
        </w:tc>
        <w:tc>
          <w:tcPr>
            <w:tcW w:w="1141" w:type="pct"/>
            <w:vAlign w:val="center"/>
          </w:tcPr>
          <w:p>
            <w:pPr>
              <w:widowControl/>
              <w:adjustRightInd w:val="0"/>
              <w:snapToGrid w:val="0"/>
              <w:spacing w:line="240" w:lineRule="auto"/>
              <w:ind w:firstLine="0" w:firstLineChars="0"/>
              <w:jc w:val="center"/>
              <w:rPr>
                <w:color w:val="auto"/>
                <w:sz w:val="21"/>
                <w:szCs w:val="21"/>
              </w:rPr>
            </w:pPr>
            <w:r>
              <w:rPr>
                <w:color w:val="auto"/>
                <w:sz w:val="21"/>
                <w:szCs w:val="21"/>
              </w:rPr>
              <w:t>VOCs</w:t>
            </w:r>
          </w:p>
        </w:tc>
        <w:tc>
          <w:tcPr>
            <w:tcW w:w="1070" w:type="pct"/>
            <w:vAlign w:val="center"/>
          </w:tcPr>
          <w:p>
            <w:pPr>
              <w:pStyle w:val="2"/>
              <w:spacing w:after="0"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4.645</w:t>
            </w:r>
          </w:p>
        </w:tc>
        <w:tc>
          <w:tcPr>
            <w:tcW w:w="1069" w:type="pct"/>
            <w:vAlign w:val="center"/>
          </w:tcPr>
          <w:p>
            <w:pPr>
              <w:pStyle w:val="2"/>
              <w:spacing w:after="0" w:line="240" w:lineRule="auto"/>
              <w:ind w:firstLine="0" w:firstLineChars="0"/>
              <w:jc w:val="center"/>
              <w:rPr>
                <w:color w:val="auto"/>
                <w:sz w:val="21"/>
                <w:szCs w:val="21"/>
              </w:rPr>
            </w:pPr>
            <w:r>
              <w:rPr>
                <w:rFonts w:hint="eastAsia"/>
                <w:color w:val="auto"/>
                <w:sz w:val="21"/>
                <w:szCs w:val="21"/>
                <w:lang w:val="en-US" w:eastAsia="zh-CN"/>
              </w:rPr>
              <w:t>3.5942</w:t>
            </w:r>
          </w:p>
        </w:tc>
        <w:tc>
          <w:tcPr>
            <w:tcW w:w="1069" w:type="pct"/>
            <w:vAlign w:val="center"/>
          </w:tcPr>
          <w:p>
            <w:pPr>
              <w:pStyle w:val="2"/>
              <w:spacing w:after="0"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1.051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47" w:type="pct"/>
            <w:vMerge w:val="continue"/>
            <w:vAlign w:val="center"/>
          </w:tcPr>
          <w:p>
            <w:pPr>
              <w:pStyle w:val="2"/>
              <w:spacing w:after="0" w:line="240" w:lineRule="auto"/>
              <w:ind w:firstLine="0" w:firstLineChars="0"/>
              <w:jc w:val="center"/>
              <w:rPr>
                <w:color w:val="auto"/>
                <w:sz w:val="21"/>
                <w:szCs w:val="21"/>
              </w:rPr>
            </w:pPr>
          </w:p>
        </w:tc>
        <w:tc>
          <w:tcPr>
            <w:tcW w:w="1141" w:type="pct"/>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颗粒物</w:t>
            </w:r>
          </w:p>
        </w:tc>
        <w:tc>
          <w:tcPr>
            <w:tcW w:w="1070" w:type="pct"/>
            <w:vAlign w:val="center"/>
          </w:tcPr>
          <w:p>
            <w:pPr>
              <w:pStyle w:val="2"/>
              <w:spacing w:after="0" w:line="240" w:lineRule="auto"/>
              <w:ind w:firstLine="0" w:firstLineChars="0"/>
              <w:jc w:val="center"/>
              <w:rPr>
                <w:rFonts w:hint="default" w:eastAsia="宋体"/>
                <w:bCs/>
                <w:color w:val="auto"/>
                <w:sz w:val="21"/>
                <w:szCs w:val="21"/>
                <w:lang w:val="en-US" w:eastAsia="zh-CN"/>
              </w:rPr>
            </w:pPr>
            <w:r>
              <w:rPr>
                <w:rFonts w:hint="eastAsia"/>
                <w:bCs/>
                <w:color w:val="auto"/>
                <w:sz w:val="21"/>
                <w:szCs w:val="21"/>
              </w:rPr>
              <w:t>0.</w:t>
            </w:r>
            <w:r>
              <w:rPr>
                <w:rFonts w:hint="eastAsia"/>
                <w:bCs/>
                <w:color w:val="auto"/>
                <w:sz w:val="21"/>
                <w:szCs w:val="21"/>
                <w:lang w:val="en-US" w:eastAsia="zh-CN"/>
              </w:rPr>
              <w:t>663</w:t>
            </w:r>
          </w:p>
        </w:tc>
        <w:tc>
          <w:tcPr>
            <w:tcW w:w="1069" w:type="pct"/>
            <w:vAlign w:val="center"/>
          </w:tcPr>
          <w:p>
            <w:pPr>
              <w:pStyle w:val="2"/>
              <w:spacing w:after="0" w:line="240" w:lineRule="auto"/>
              <w:ind w:firstLine="0" w:firstLineChars="0"/>
              <w:jc w:val="center"/>
              <w:rPr>
                <w:rFonts w:hint="default" w:eastAsia="宋体"/>
                <w:color w:val="auto"/>
                <w:sz w:val="21"/>
                <w:szCs w:val="21"/>
                <w:lang w:val="en-US" w:eastAsia="zh-CN"/>
              </w:rPr>
            </w:pPr>
            <w:r>
              <w:rPr>
                <w:rFonts w:hint="eastAsia"/>
                <w:color w:val="auto"/>
                <w:sz w:val="21"/>
                <w:szCs w:val="21"/>
              </w:rPr>
              <w:t>0.4</w:t>
            </w:r>
            <w:r>
              <w:rPr>
                <w:rFonts w:hint="eastAsia"/>
                <w:color w:val="auto"/>
                <w:sz w:val="21"/>
                <w:szCs w:val="21"/>
                <w:lang w:val="en-US" w:eastAsia="zh-CN"/>
              </w:rPr>
              <w:t>95</w:t>
            </w:r>
          </w:p>
        </w:tc>
        <w:tc>
          <w:tcPr>
            <w:tcW w:w="1069" w:type="pct"/>
            <w:vAlign w:val="center"/>
          </w:tcPr>
          <w:p>
            <w:pPr>
              <w:pStyle w:val="2"/>
              <w:spacing w:after="0" w:line="240" w:lineRule="auto"/>
              <w:ind w:firstLine="0" w:firstLineChars="0"/>
              <w:jc w:val="center"/>
              <w:rPr>
                <w:rFonts w:hint="default" w:eastAsia="宋体"/>
                <w:bCs/>
                <w:color w:val="auto"/>
                <w:sz w:val="21"/>
                <w:szCs w:val="21"/>
                <w:lang w:val="en-US" w:eastAsia="zh-CN"/>
              </w:rPr>
            </w:pPr>
            <w:r>
              <w:rPr>
                <w:rFonts w:hint="eastAsia"/>
                <w:bCs/>
                <w:color w:val="auto"/>
                <w:sz w:val="21"/>
                <w:szCs w:val="21"/>
              </w:rPr>
              <w:t>0.</w:t>
            </w:r>
            <w:r>
              <w:rPr>
                <w:rFonts w:hint="eastAsia"/>
                <w:bCs/>
                <w:color w:val="auto"/>
                <w:sz w:val="21"/>
                <w:szCs w:val="21"/>
                <w:lang w:val="en-US" w:eastAsia="zh-CN"/>
              </w:rPr>
              <w:t>168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47" w:type="pct"/>
            <w:vMerge w:val="continue"/>
            <w:vAlign w:val="center"/>
          </w:tcPr>
          <w:p>
            <w:pPr>
              <w:pStyle w:val="2"/>
              <w:spacing w:after="0" w:line="240" w:lineRule="auto"/>
              <w:ind w:firstLine="0" w:firstLineChars="0"/>
              <w:jc w:val="center"/>
              <w:rPr>
                <w:color w:val="auto"/>
                <w:sz w:val="21"/>
                <w:szCs w:val="21"/>
              </w:rPr>
            </w:pPr>
          </w:p>
        </w:tc>
        <w:tc>
          <w:tcPr>
            <w:tcW w:w="1141" w:type="pct"/>
            <w:vAlign w:val="center"/>
          </w:tcPr>
          <w:p>
            <w:pPr>
              <w:pStyle w:val="45"/>
              <w:rPr>
                <w:color w:val="auto"/>
                <w:szCs w:val="21"/>
              </w:rPr>
            </w:pPr>
            <w:r>
              <w:rPr>
                <w:rFonts w:hint="eastAsia"/>
                <w:color w:val="auto"/>
              </w:rPr>
              <w:t>SO</w:t>
            </w:r>
            <w:r>
              <w:rPr>
                <w:rFonts w:hint="eastAsia"/>
                <w:color w:val="auto"/>
                <w:vertAlign w:val="subscript"/>
              </w:rPr>
              <w:t>2</w:t>
            </w:r>
          </w:p>
        </w:tc>
        <w:tc>
          <w:tcPr>
            <w:tcW w:w="1987" w:type="dxa"/>
            <w:vAlign w:val="center"/>
          </w:tcPr>
          <w:p>
            <w:pPr>
              <w:adjustRightInd w:val="0"/>
              <w:snapToGrid w:val="0"/>
              <w:spacing w:line="240" w:lineRule="auto"/>
              <w:ind w:firstLine="0" w:firstLineChars="0"/>
              <w:jc w:val="center"/>
              <w:rPr>
                <w:bCs/>
                <w:color w:val="auto"/>
                <w:sz w:val="21"/>
                <w:szCs w:val="21"/>
              </w:rPr>
            </w:pPr>
            <w:r>
              <w:rPr>
                <w:rFonts w:hint="eastAsia"/>
                <w:color w:val="auto"/>
                <w:sz w:val="21"/>
                <w:szCs w:val="21"/>
                <w:lang w:val="en-US" w:eastAsia="zh-CN"/>
              </w:rPr>
              <w:t>0.45</w:t>
            </w:r>
          </w:p>
        </w:tc>
        <w:tc>
          <w:tcPr>
            <w:tcW w:w="1985" w:type="dxa"/>
            <w:vAlign w:val="center"/>
          </w:tcPr>
          <w:p>
            <w:pPr>
              <w:pStyle w:val="2"/>
              <w:spacing w:after="0" w:line="240" w:lineRule="auto"/>
              <w:ind w:left="0" w:leftChars="0" w:firstLine="0" w:firstLineChars="0"/>
              <w:jc w:val="center"/>
              <w:rPr>
                <w:color w:val="auto"/>
                <w:sz w:val="21"/>
                <w:szCs w:val="21"/>
              </w:rPr>
            </w:pPr>
            <w:r>
              <w:rPr>
                <w:rFonts w:hint="eastAsia"/>
                <w:color w:val="auto"/>
                <w:sz w:val="21"/>
                <w:szCs w:val="21"/>
              </w:rPr>
              <w:t>0</w:t>
            </w:r>
          </w:p>
        </w:tc>
        <w:tc>
          <w:tcPr>
            <w:tcW w:w="1985" w:type="dxa"/>
            <w:vAlign w:val="center"/>
          </w:tcPr>
          <w:p>
            <w:pPr>
              <w:adjustRightInd w:val="0"/>
              <w:snapToGrid w:val="0"/>
              <w:spacing w:line="240" w:lineRule="auto"/>
              <w:ind w:firstLine="0" w:firstLineChars="0"/>
              <w:jc w:val="center"/>
              <w:rPr>
                <w:bCs/>
                <w:color w:val="auto"/>
                <w:sz w:val="21"/>
                <w:szCs w:val="21"/>
              </w:rPr>
            </w:pPr>
            <w:r>
              <w:rPr>
                <w:rFonts w:hint="eastAsia"/>
                <w:color w:val="auto"/>
                <w:sz w:val="21"/>
                <w:szCs w:val="21"/>
                <w:lang w:val="en-US" w:eastAsia="zh-CN"/>
              </w:rPr>
              <w:t>0.45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47" w:type="pct"/>
            <w:vMerge w:val="continue"/>
            <w:vAlign w:val="center"/>
          </w:tcPr>
          <w:p>
            <w:pPr>
              <w:pStyle w:val="2"/>
              <w:spacing w:after="0" w:line="240" w:lineRule="auto"/>
              <w:ind w:firstLine="0" w:firstLineChars="0"/>
              <w:jc w:val="center"/>
              <w:rPr>
                <w:color w:val="auto"/>
                <w:sz w:val="21"/>
                <w:szCs w:val="21"/>
              </w:rPr>
            </w:pPr>
          </w:p>
        </w:tc>
        <w:tc>
          <w:tcPr>
            <w:tcW w:w="1141" w:type="pct"/>
            <w:vAlign w:val="center"/>
          </w:tcPr>
          <w:p>
            <w:pPr>
              <w:pStyle w:val="45"/>
              <w:rPr>
                <w:color w:val="auto"/>
                <w:szCs w:val="21"/>
              </w:rPr>
            </w:pPr>
            <w:r>
              <w:rPr>
                <w:rFonts w:hint="eastAsia"/>
                <w:color w:val="auto"/>
              </w:rPr>
              <w:t>NOx</w:t>
            </w:r>
          </w:p>
        </w:tc>
        <w:tc>
          <w:tcPr>
            <w:tcW w:w="1987" w:type="dxa"/>
            <w:vAlign w:val="center"/>
          </w:tcPr>
          <w:p>
            <w:pPr>
              <w:adjustRightInd w:val="0"/>
              <w:snapToGrid w:val="0"/>
              <w:spacing w:line="240" w:lineRule="auto"/>
              <w:ind w:firstLine="0" w:firstLineChars="0"/>
              <w:jc w:val="center"/>
              <w:rPr>
                <w:bCs/>
                <w:color w:val="auto"/>
                <w:sz w:val="21"/>
                <w:szCs w:val="21"/>
              </w:rPr>
            </w:pPr>
            <w:r>
              <w:rPr>
                <w:rFonts w:hint="eastAsia"/>
                <w:color w:val="auto"/>
                <w:sz w:val="21"/>
                <w:szCs w:val="21"/>
                <w:lang w:val="en-US" w:eastAsia="zh-CN"/>
              </w:rPr>
              <w:t>2.8</w:t>
            </w:r>
          </w:p>
        </w:tc>
        <w:tc>
          <w:tcPr>
            <w:tcW w:w="1985" w:type="dxa"/>
            <w:vAlign w:val="center"/>
          </w:tcPr>
          <w:p>
            <w:pPr>
              <w:pStyle w:val="2"/>
              <w:spacing w:after="0" w:line="240" w:lineRule="auto"/>
              <w:ind w:left="0" w:leftChars="0" w:firstLine="0" w:firstLineChars="0"/>
              <w:jc w:val="center"/>
              <w:rPr>
                <w:color w:val="auto"/>
                <w:sz w:val="21"/>
                <w:szCs w:val="21"/>
              </w:rPr>
            </w:pPr>
            <w:r>
              <w:rPr>
                <w:rFonts w:hint="eastAsia"/>
                <w:color w:val="auto"/>
                <w:sz w:val="21"/>
                <w:szCs w:val="21"/>
                <w:lang w:val="en-US" w:eastAsia="zh-CN"/>
              </w:rPr>
              <w:t>1.4</w:t>
            </w:r>
          </w:p>
        </w:tc>
        <w:tc>
          <w:tcPr>
            <w:tcW w:w="1985" w:type="dxa"/>
            <w:vAlign w:val="center"/>
          </w:tcPr>
          <w:p>
            <w:pPr>
              <w:adjustRightInd w:val="0"/>
              <w:snapToGrid w:val="0"/>
              <w:spacing w:line="240" w:lineRule="auto"/>
              <w:ind w:firstLine="0" w:firstLineChars="0"/>
              <w:jc w:val="center"/>
              <w:rPr>
                <w:bCs/>
                <w:color w:val="auto"/>
                <w:sz w:val="21"/>
                <w:szCs w:val="21"/>
              </w:rPr>
            </w:pPr>
            <w:r>
              <w:rPr>
                <w:rFonts w:hint="eastAsia"/>
                <w:color w:val="auto"/>
                <w:sz w:val="21"/>
                <w:szCs w:val="21"/>
                <w:lang w:val="en-US" w:eastAsia="zh-CN"/>
              </w:rPr>
              <w:t>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47" w:type="pct"/>
            <w:vMerge w:val="continue"/>
            <w:vAlign w:val="center"/>
          </w:tcPr>
          <w:p>
            <w:pPr>
              <w:pStyle w:val="2"/>
              <w:spacing w:after="0" w:line="240" w:lineRule="auto"/>
              <w:ind w:firstLine="0" w:firstLineChars="0"/>
              <w:jc w:val="center"/>
              <w:rPr>
                <w:color w:val="auto"/>
                <w:sz w:val="21"/>
                <w:szCs w:val="21"/>
              </w:rPr>
            </w:pPr>
          </w:p>
        </w:tc>
        <w:tc>
          <w:tcPr>
            <w:tcW w:w="1141" w:type="pct"/>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氨</w:t>
            </w:r>
          </w:p>
        </w:tc>
        <w:tc>
          <w:tcPr>
            <w:tcW w:w="1070" w:type="pct"/>
            <w:vAlign w:val="center"/>
          </w:tcPr>
          <w:p>
            <w:pPr>
              <w:pStyle w:val="2"/>
              <w:spacing w:after="0" w:line="240" w:lineRule="auto"/>
              <w:ind w:firstLine="0" w:firstLineChars="0"/>
              <w:jc w:val="center"/>
              <w:rPr>
                <w:bCs/>
                <w:color w:val="auto"/>
                <w:sz w:val="21"/>
                <w:szCs w:val="21"/>
              </w:rPr>
            </w:pPr>
            <w:r>
              <w:rPr>
                <w:rFonts w:hint="eastAsia"/>
                <w:bCs/>
                <w:color w:val="auto"/>
                <w:sz w:val="21"/>
                <w:szCs w:val="21"/>
              </w:rPr>
              <w:t>0.037</w:t>
            </w:r>
          </w:p>
        </w:tc>
        <w:tc>
          <w:tcPr>
            <w:tcW w:w="1069" w:type="pct"/>
            <w:vAlign w:val="center"/>
          </w:tcPr>
          <w:p>
            <w:pPr>
              <w:pStyle w:val="2"/>
              <w:spacing w:after="0" w:line="240" w:lineRule="auto"/>
              <w:ind w:firstLine="0" w:firstLineChars="0"/>
              <w:jc w:val="center"/>
              <w:rPr>
                <w:color w:val="auto"/>
                <w:sz w:val="21"/>
                <w:szCs w:val="21"/>
              </w:rPr>
            </w:pPr>
            <w:r>
              <w:rPr>
                <w:rFonts w:hint="eastAsia"/>
                <w:color w:val="auto"/>
                <w:sz w:val="21"/>
                <w:szCs w:val="21"/>
              </w:rPr>
              <w:t>0.0128</w:t>
            </w:r>
          </w:p>
        </w:tc>
        <w:tc>
          <w:tcPr>
            <w:tcW w:w="1069" w:type="pct"/>
            <w:vAlign w:val="center"/>
          </w:tcPr>
          <w:p>
            <w:pPr>
              <w:pStyle w:val="2"/>
              <w:spacing w:after="0" w:line="240" w:lineRule="auto"/>
              <w:ind w:firstLine="0" w:firstLineChars="0"/>
              <w:jc w:val="center"/>
              <w:rPr>
                <w:bCs/>
                <w:color w:val="auto"/>
                <w:sz w:val="21"/>
                <w:szCs w:val="21"/>
              </w:rPr>
            </w:pPr>
            <w:r>
              <w:rPr>
                <w:rFonts w:hint="eastAsia"/>
                <w:bCs/>
                <w:color w:val="auto"/>
                <w:sz w:val="21"/>
                <w:szCs w:val="21"/>
              </w:rPr>
              <w:t>0.0242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47" w:type="pct"/>
            <w:vMerge w:val="continue"/>
            <w:vAlign w:val="center"/>
          </w:tcPr>
          <w:p>
            <w:pPr>
              <w:pStyle w:val="2"/>
              <w:spacing w:after="0" w:line="240" w:lineRule="auto"/>
              <w:ind w:firstLine="0" w:firstLineChars="0"/>
              <w:jc w:val="center"/>
              <w:rPr>
                <w:color w:val="auto"/>
                <w:sz w:val="21"/>
                <w:szCs w:val="21"/>
              </w:rPr>
            </w:pPr>
          </w:p>
        </w:tc>
        <w:tc>
          <w:tcPr>
            <w:tcW w:w="1141" w:type="pct"/>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硫化氢</w:t>
            </w:r>
          </w:p>
        </w:tc>
        <w:tc>
          <w:tcPr>
            <w:tcW w:w="1070" w:type="pct"/>
            <w:vAlign w:val="center"/>
          </w:tcPr>
          <w:p>
            <w:pPr>
              <w:pStyle w:val="2"/>
              <w:spacing w:after="0" w:line="240" w:lineRule="auto"/>
              <w:ind w:firstLine="0" w:firstLineChars="0"/>
              <w:jc w:val="center"/>
              <w:rPr>
                <w:bCs/>
                <w:color w:val="auto"/>
                <w:sz w:val="21"/>
                <w:szCs w:val="21"/>
              </w:rPr>
            </w:pPr>
            <w:r>
              <w:rPr>
                <w:rFonts w:hint="eastAsia"/>
                <w:bCs/>
                <w:color w:val="auto"/>
                <w:sz w:val="21"/>
                <w:szCs w:val="21"/>
              </w:rPr>
              <w:t>0.0011</w:t>
            </w:r>
          </w:p>
        </w:tc>
        <w:tc>
          <w:tcPr>
            <w:tcW w:w="1069" w:type="pct"/>
            <w:vAlign w:val="center"/>
          </w:tcPr>
          <w:p>
            <w:pPr>
              <w:pStyle w:val="2"/>
              <w:spacing w:after="0" w:line="240" w:lineRule="auto"/>
              <w:ind w:firstLine="0" w:firstLineChars="0"/>
              <w:jc w:val="center"/>
              <w:rPr>
                <w:color w:val="auto"/>
                <w:sz w:val="21"/>
                <w:szCs w:val="21"/>
              </w:rPr>
            </w:pPr>
            <w:r>
              <w:rPr>
                <w:rFonts w:hint="eastAsia"/>
                <w:color w:val="auto"/>
                <w:sz w:val="21"/>
                <w:szCs w:val="21"/>
              </w:rPr>
              <w:t>0.00032</w:t>
            </w:r>
          </w:p>
        </w:tc>
        <w:tc>
          <w:tcPr>
            <w:tcW w:w="1069" w:type="pct"/>
            <w:vAlign w:val="center"/>
          </w:tcPr>
          <w:p>
            <w:pPr>
              <w:pStyle w:val="2"/>
              <w:spacing w:after="0" w:line="240" w:lineRule="auto"/>
              <w:ind w:firstLine="0" w:firstLineChars="0"/>
              <w:jc w:val="center"/>
              <w:rPr>
                <w:bCs/>
                <w:color w:val="auto"/>
                <w:sz w:val="21"/>
                <w:szCs w:val="21"/>
              </w:rPr>
            </w:pPr>
            <w:r>
              <w:rPr>
                <w:rFonts w:hint="eastAsia"/>
                <w:bCs/>
                <w:color w:val="auto"/>
                <w:sz w:val="21"/>
                <w:szCs w:val="21"/>
              </w:rPr>
              <w:t>0.0008</w:t>
            </w:r>
          </w:p>
        </w:tc>
      </w:tr>
    </w:tbl>
    <w:p>
      <w:pPr>
        <w:ind w:firstLine="0" w:firstLineChars="0"/>
        <w:contextualSpacing/>
        <w:outlineLvl w:val="2"/>
        <w:rPr>
          <w:rStyle w:val="53"/>
          <w:color w:val="auto"/>
        </w:rPr>
      </w:pPr>
      <w:r>
        <w:rPr>
          <w:rStyle w:val="53"/>
          <w:rFonts w:hint="eastAsia"/>
          <w:color w:val="auto"/>
        </w:rPr>
        <w:t>2.5</w:t>
      </w:r>
      <w:r>
        <w:rPr>
          <w:rStyle w:val="53"/>
          <w:color w:val="auto"/>
        </w:rPr>
        <w:t>.2废水</w:t>
      </w:r>
    </w:p>
    <w:p>
      <w:pPr>
        <w:ind w:firstLine="480"/>
        <w:contextualSpacing/>
        <w:rPr>
          <w:color w:val="auto"/>
        </w:rPr>
      </w:pPr>
      <w:r>
        <w:rPr>
          <w:color w:val="auto"/>
        </w:rPr>
        <w:t>1、废水产生情况</w:t>
      </w:r>
    </w:p>
    <w:p>
      <w:pPr>
        <w:ind w:firstLine="489" w:firstLineChars="204"/>
        <w:contextualSpacing/>
        <w:rPr>
          <w:bCs/>
          <w:color w:val="auto"/>
          <w:szCs w:val="21"/>
        </w:rPr>
      </w:pPr>
      <w:r>
        <w:rPr>
          <w:rFonts w:hint="eastAsia"/>
          <w:bCs/>
          <w:color w:val="auto"/>
          <w:szCs w:val="21"/>
        </w:rPr>
        <w:t>拟建项目</w:t>
      </w:r>
      <w:r>
        <w:rPr>
          <w:bCs/>
          <w:color w:val="auto"/>
          <w:szCs w:val="21"/>
        </w:rPr>
        <w:t>正常产生废水主要为循环冷却系统排水、化验室排水、</w:t>
      </w:r>
      <w:r>
        <w:rPr>
          <w:rFonts w:hint="eastAsia"/>
          <w:bCs/>
          <w:color w:val="auto"/>
          <w:szCs w:val="21"/>
        </w:rPr>
        <w:t>喷淋塔排水、</w:t>
      </w:r>
      <w:r>
        <w:rPr>
          <w:bCs/>
          <w:color w:val="auto"/>
          <w:szCs w:val="21"/>
        </w:rPr>
        <w:t>地面清洗废水、生活废水和</w:t>
      </w:r>
      <w:r>
        <w:rPr>
          <w:rFonts w:hint="eastAsia"/>
          <w:bCs/>
          <w:color w:val="auto"/>
          <w:szCs w:val="21"/>
        </w:rPr>
        <w:t>生产废水</w:t>
      </w:r>
      <w:r>
        <w:rPr>
          <w:bCs/>
          <w:color w:val="auto"/>
          <w:szCs w:val="21"/>
        </w:rPr>
        <w:t>。</w:t>
      </w:r>
    </w:p>
    <w:p>
      <w:pPr>
        <w:ind w:firstLine="480"/>
        <w:contextualSpacing/>
        <w:rPr>
          <w:bCs/>
          <w:color w:val="auto"/>
          <w:szCs w:val="21"/>
        </w:rPr>
      </w:pPr>
      <w:r>
        <w:rPr>
          <w:bCs/>
          <w:color w:val="auto"/>
          <w:szCs w:val="21"/>
        </w:rPr>
        <w:t>本项目废水主要包括：</w:t>
      </w:r>
    </w:p>
    <w:p>
      <w:pPr>
        <w:ind w:firstLine="480"/>
        <w:rPr>
          <w:bCs/>
          <w:color w:val="auto"/>
          <w:szCs w:val="21"/>
        </w:rPr>
      </w:pPr>
      <w:r>
        <w:rPr>
          <w:bCs/>
          <w:color w:val="auto"/>
          <w:szCs w:val="21"/>
        </w:rPr>
        <w:t>（1）循环冷却系统排水（W</w:t>
      </w:r>
      <w:r>
        <w:rPr>
          <w:rFonts w:hint="eastAsia"/>
          <w:bCs/>
          <w:color w:val="auto"/>
          <w:szCs w:val="21"/>
        </w:rPr>
        <w:t>1</w:t>
      </w:r>
      <w:r>
        <w:rPr>
          <w:bCs/>
          <w:color w:val="auto"/>
          <w:szCs w:val="21"/>
        </w:rPr>
        <w:t>）</w:t>
      </w:r>
    </w:p>
    <w:p>
      <w:pPr>
        <w:ind w:firstLine="480"/>
        <w:rPr>
          <w:bCs/>
          <w:color w:val="auto"/>
          <w:szCs w:val="21"/>
        </w:rPr>
      </w:pPr>
      <w:r>
        <w:rPr>
          <w:bCs/>
          <w:color w:val="auto"/>
          <w:szCs w:val="21"/>
        </w:rPr>
        <w:t>（2）化验室废水（W</w:t>
      </w:r>
      <w:r>
        <w:rPr>
          <w:rFonts w:hint="eastAsia"/>
          <w:bCs/>
          <w:color w:val="auto"/>
          <w:szCs w:val="21"/>
        </w:rPr>
        <w:t>2</w:t>
      </w:r>
      <w:r>
        <w:rPr>
          <w:bCs/>
          <w:color w:val="auto"/>
          <w:szCs w:val="21"/>
        </w:rPr>
        <w:t>）</w:t>
      </w:r>
    </w:p>
    <w:p>
      <w:pPr>
        <w:pStyle w:val="2"/>
        <w:spacing w:after="0"/>
        <w:ind w:firstLine="480"/>
        <w:rPr>
          <w:color w:val="auto"/>
        </w:rPr>
      </w:pPr>
      <w:r>
        <w:rPr>
          <w:bCs/>
          <w:color w:val="auto"/>
          <w:szCs w:val="21"/>
        </w:rPr>
        <w:t>（3）喷淋塔排水</w:t>
      </w:r>
      <w:r>
        <w:rPr>
          <w:rFonts w:hint="eastAsia"/>
          <w:bCs/>
          <w:color w:val="auto"/>
          <w:szCs w:val="21"/>
        </w:rPr>
        <w:t>（</w:t>
      </w:r>
      <w:r>
        <w:rPr>
          <w:bCs/>
          <w:color w:val="auto"/>
          <w:szCs w:val="21"/>
        </w:rPr>
        <w:t>W</w:t>
      </w:r>
      <w:r>
        <w:rPr>
          <w:rFonts w:hint="eastAsia"/>
          <w:bCs/>
          <w:color w:val="auto"/>
          <w:szCs w:val="21"/>
        </w:rPr>
        <w:t>3）</w:t>
      </w:r>
    </w:p>
    <w:p>
      <w:pPr>
        <w:ind w:firstLine="480"/>
        <w:rPr>
          <w:bCs/>
          <w:color w:val="auto"/>
          <w:szCs w:val="21"/>
        </w:rPr>
      </w:pPr>
      <w:r>
        <w:rPr>
          <w:bCs/>
          <w:color w:val="auto"/>
          <w:szCs w:val="21"/>
        </w:rPr>
        <w:t>（4）地面清洗废水（W</w:t>
      </w:r>
      <w:r>
        <w:rPr>
          <w:rFonts w:hint="eastAsia"/>
          <w:bCs/>
          <w:color w:val="auto"/>
          <w:szCs w:val="21"/>
        </w:rPr>
        <w:t>4</w:t>
      </w:r>
      <w:r>
        <w:rPr>
          <w:bCs/>
          <w:color w:val="auto"/>
          <w:szCs w:val="21"/>
        </w:rPr>
        <w:t>）</w:t>
      </w:r>
    </w:p>
    <w:p>
      <w:pPr>
        <w:pStyle w:val="2"/>
        <w:spacing w:after="0"/>
        <w:ind w:firstLine="480"/>
        <w:rPr>
          <w:color w:val="auto"/>
        </w:rPr>
      </w:pPr>
      <w:r>
        <w:rPr>
          <w:color w:val="auto"/>
        </w:rPr>
        <w:t>（5）</w:t>
      </w:r>
      <w:r>
        <w:rPr>
          <w:bCs/>
          <w:color w:val="auto"/>
          <w:szCs w:val="21"/>
        </w:rPr>
        <w:t>员工生活污水（W</w:t>
      </w:r>
      <w:r>
        <w:rPr>
          <w:rFonts w:hint="eastAsia"/>
          <w:bCs/>
          <w:color w:val="auto"/>
          <w:szCs w:val="21"/>
        </w:rPr>
        <w:t>5</w:t>
      </w:r>
      <w:r>
        <w:rPr>
          <w:bCs/>
          <w:color w:val="auto"/>
          <w:szCs w:val="21"/>
        </w:rPr>
        <w:t>）</w:t>
      </w:r>
    </w:p>
    <w:p>
      <w:pPr>
        <w:pStyle w:val="2"/>
        <w:spacing w:after="0"/>
        <w:ind w:firstLine="480"/>
        <w:rPr>
          <w:color w:val="auto"/>
        </w:rPr>
      </w:pPr>
      <w:r>
        <w:rPr>
          <w:color w:val="auto"/>
        </w:rPr>
        <w:t>（6）生产废水</w:t>
      </w:r>
      <w:r>
        <w:rPr>
          <w:bCs/>
          <w:color w:val="auto"/>
          <w:szCs w:val="21"/>
        </w:rPr>
        <w:t>（W</w:t>
      </w:r>
      <w:r>
        <w:rPr>
          <w:rFonts w:hint="eastAsia"/>
          <w:bCs/>
          <w:color w:val="auto"/>
          <w:szCs w:val="21"/>
        </w:rPr>
        <w:t>6</w:t>
      </w:r>
      <w:r>
        <w:rPr>
          <w:bCs/>
          <w:color w:val="auto"/>
          <w:szCs w:val="21"/>
        </w:rPr>
        <w:t>）</w:t>
      </w:r>
    </w:p>
    <w:p>
      <w:pPr>
        <w:ind w:firstLine="489" w:firstLineChars="204"/>
        <w:contextualSpacing/>
        <w:rPr>
          <w:rFonts w:eastAsia="黑体"/>
          <w:b/>
          <w:color w:val="auto"/>
          <w:sz w:val="21"/>
          <w:szCs w:val="21"/>
        </w:rPr>
      </w:pPr>
      <w:r>
        <w:rPr>
          <w:color w:val="auto"/>
        </w:rPr>
        <w:t>本项目废水水质情况见表</w:t>
      </w:r>
      <w:r>
        <w:rPr>
          <w:rFonts w:hint="eastAsia"/>
          <w:color w:val="auto"/>
        </w:rPr>
        <w:t>2.5</w:t>
      </w:r>
      <w:r>
        <w:rPr>
          <w:color w:val="auto"/>
        </w:rPr>
        <w:t>-1</w:t>
      </w:r>
      <w:r>
        <w:rPr>
          <w:rFonts w:hint="eastAsia"/>
          <w:color w:val="auto"/>
        </w:rPr>
        <w:t>4</w:t>
      </w:r>
      <w:r>
        <w:rPr>
          <w:color w:val="auto"/>
        </w:rPr>
        <w:t>。</w:t>
      </w:r>
    </w:p>
    <w:p>
      <w:pPr>
        <w:ind w:firstLine="0" w:firstLineChars="0"/>
        <w:jc w:val="center"/>
        <w:textAlignment w:val="baseline"/>
        <w:rPr>
          <w:rFonts w:eastAsia="黑体"/>
          <w:b/>
          <w:color w:val="auto"/>
          <w:sz w:val="21"/>
          <w:szCs w:val="21"/>
        </w:rPr>
      </w:pPr>
    </w:p>
    <w:p>
      <w:pPr>
        <w:ind w:firstLine="0" w:firstLineChars="0"/>
        <w:jc w:val="center"/>
        <w:textAlignment w:val="baseline"/>
        <w:rPr>
          <w:rFonts w:eastAsia="黑体"/>
          <w:b/>
          <w:color w:val="auto"/>
          <w:sz w:val="21"/>
          <w:szCs w:val="21"/>
        </w:rPr>
      </w:pPr>
    </w:p>
    <w:p>
      <w:pPr>
        <w:ind w:firstLine="0" w:firstLineChars="0"/>
        <w:jc w:val="center"/>
        <w:textAlignment w:val="baseline"/>
        <w:rPr>
          <w:rFonts w:eastAsia="黑体"/>
          <w:b/>
          <w:color w:val="auto"/>
          <w:sz w:val="21"/>
          <w:szCs w:val="21"/>
        </w:rPr>
      </w:pPr>
    </w:p>
    <w:p>
      <w:pPr>
        <w:ind w:firstLine="0" w:firstLineChars="0"/>
        <w:jc w:val="center"/>
        <w:textAlignment w:val="baseline"/>
        <w:rPr>
          <w:rFonts w:eastAsia="黑体"/>
          <w:b/>
          <w:color w:val="auto"/>
          <w:sz w:val="21"/>
          <w:szCs w:val="21"/>
        </w:rPr>
      </w:pPr>
    </w:p>
    <w:p>
      <w:pPr>
        <w:ind w:firstLine="0" w:firstLineChars="0"/>
        <w:jc w:val="center"/>
        <w:textAlignment w:val="baseline"/>
        <w:rPr>
          <w:rFonts w:eastAsia="黑体"/>
          <w:b w:val="0"/>
          <w:bCs/>
          <w:color w:val="auto"/>
          <w:sz w:val="21"/>
          <w:szCs w:val="21"/>
        </w:rPr>
      </w:pPr>
      <w:r>
        <w:rPr>
          <w:rFonts w:eastAsia="黑体"/>
          <w:b w:val="0"/>
          <w:bCs/>
          <w:color w:val="auto"/>
          <w:sz w:val="21"/>
          <w:szCs w:val="21"/>
        </w:rPr>
        <w:t>表</w:t>
      </w:r>
      <w:r>
        <w:rPr>
          <w:rFonts w:hint="eastAsia" w:eastAsia="黑体"/>
          <w:b w:val="0"/>
          <w:bCs/>
          <w:color w:val="auto"/>
          <w:sz w:val="21"/>
          <w:szCs w:val="21"/>
        </w:rPr>
        <w:t>2.5</w:t>
      </w:r>
      <w:r>
        <w:rPr>
          <w:rFonts w:eastAsia="黑体"/>
          <w:b w:val="0"/>
          <w:bCs/>
          <w:color w:val="auto"/>
          <w:sz w:val="21"/>
          <w:szCs w:val="21"/>
        </w:rPr>
        <w:t>-1</w:t>
      </w:r>
      <w:r>
        <w:rPr>
          <w:rFonts w:hint="eastAsia" w:eastAsia="黑体"/>
          <w:b w:val="0"/>
          <w:bCs/>
          <w:color w:val="auto"/>
          <w:sz w:val="21"/>
          <w:szCs w:val="21"/>
        </w:rPr>
        <w:t>4</w:t>
      </w:r>
      <w:r>
        <w:rPr>
          <w:rFonts w:eastAsia="黑体"/>
          <w:b w:val="0"/>
          <w:bCs/>
          <w:color w:val="auto"/>
          <w:sz w:val="21"/>
          <w:szCs w:val="21"/>
        </w:rPr>
        <w:t xml:space="preserve">  本项目废水水质情况  单位：m</w:t>
      </w:r>
      <w:r>
        <w:rPr>
          <w:rFonts w:eastAsia="黑体"/>
          <w:b w:val="0"/>
          <w:bCs/>
          <w:color w:val="auto"/>
          <w:sz w:val="21"/>
          <w:szCs w:val="21"/>
          <w:vertAlign w:val="superscript"/>
        </w:rPr>
        <w:t>3</w:t>
      </w:r>
      <w:r>
        <w:rPr>
          <w:rFonts w:eastAsia="黑体"/>
          <w:b w:val="0"/>
          <w:bCs/>
          <w:color w:val="auto"/>
          <w:sz w:val="21"/>
          <w:szCs w:val="21"/>
        </w:rPr>
        <w:t>/a</w:t>
      </w:r>
    </w:p>
    <w:tbl>
      <w:tblPr>
        <w:tblStyle w:val="22"/>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060"/>
        <w:gridCol w:w="752"/>
        <w:gridCol w:w="1004"/>
        <w:gridCol w:w="1009"/>
        <w:gridCol w:w="1363"/>
        <w:gridCol w:w="1031"/>
        <w:gridCol w:w="206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restart"/>
            <w:vAlign w:val="center"/>
          </w:tcPr>
          <w:p>
            <w:pPr>
              <w:adjustRightInd w:val="0"/>
              <w:snapToGrid w:val="0"/>
              <w:spacing w:line="240" w:lineRule="auto"/>
              <w:ind w:firstLine="0" w:firstLineChars="0"/>
              <w:jc w:val="center"/>
              <w:rPr>
                <w:b/>
                <w:color w:val="auto"/>
                <w:sz w:val="21"/>
                <w:szCs w:val="21"/>
              </w:rPr>
            </w:pPr>
            <w:r>
              <w:rPr>
                <w:b/>
                <w:color w:val="auto"/>
                <w:sz w:val="21"/>
                <w:szCs w:val="21"/>
              </w:rPr>
              <w:t>废水来源</w:t>
            </w:r>
          </w:p>
        </w:tc>
        <w:tc>
          <w:tcPr>
            <w:tcW w:w="405" w:type="pct"/>
            <w:vMerge w:val="restart"/>
            <w:vAlign w:val="center"/>
          </w:tcPr>
          <w:p>
            <w:pPr>
              <w:adjustRightInd w:val="0"/>
              <w:snapToGrid w:val="0"/>
              <w:spacing w:line="240" w:lineRule="auto"/>
              <w:ind w:firstLine="0" w:firstLineChars="0"/>
              <w:jc w:val="center"/>
              <w:rPr>
                <w:b/>
                <w:color w:val="auto"/>
                <w:sz w:val="21"/>
                <w:szCs w:val="21"/>
              </w:rPr>
            </w:pPr>
            <w:r>
              <w:rPr>
                <w:b/>
                <w:color w:val="auto"/>
                <w:sz w:val="21"/>
                <w:szCs w:val="21"/>
              </w:rPr>
              <w:t>排放编号</w:t>
            </w:r>
          </w:p>
        </w:tc>
        <w:tc>
          <w:tcPr>
            <w:tcW w:w="540" w:type="pct"/>
            <w:vMerge w:val="restart"/>
            <w:vAlign w:val="center"/>
          </w:tcPr>
          <w:p>
            <w:pPr>
              <w:adjustRightInd w:val="0"/>
              <w:snapToGrid w:val="0"/>
              <w:spacing w:line="240" w:lineRule="auto"/>
              <w:ind w:firstLine="0" w:firstLineChars="0"/>
              <w:jc w:val="center"/>
              <w:rPr>
                <w:b/>
                <w:color w:val="auto"/>
                <w:sz w:val="21"/>
                <w:szCs w:val="21"/>
              </w:rPr>
            </w:pPr>
            <w:r>
              <w:rPr>
                <w:b/>
                <w:color w:val="auto"/>
                <w:sz w:val="21"/>
                <w:szCs w:val="21"/>
              </w:rPr>
              <w:t>排放量</w:t>
            </w:r>
          </w:p>
        </w:tc>
        <w:tc>
          <w:tcPr>
            <w:tcW w:w="543" w:type="pct"/>
            <w:vMerge w:val="restart"/>
            <w:vAlign w:val="center"/>
          </w:tcPr>
          <w:p>
            <w:pPr>
              <w:adjustRightInd w:val="0"/>
              <w:snapToGrid w:val="0"/>
              <w:spacing w:line="240" w:lineRule="auto"/>
              <w:ind w:firstLine="0" w:firstLineChars="0"/>
              <w:jc w:val="center"/>
              <w:rPr>
                <w:b/>
                <w:color w:val="auto"/>
                <w:sz w:val="21"/>
                <w:szCs w:val="21"/>
              </w:rPr>
            </w:pPr>
            <w:r>
              <w:rPr>
                <w:b/>
                <w:color w:val="auto"/>
                <w:sz w:val="21"/>
                <w:szCs w:val="21"/>
              </w:rPr>
              <w:t>污染因子</w:t>
            </w:r>
          </w:p>
        </w:tc>
        <w:tc>
          <w:tcPr>
            <w:tcW w:w="1289" w:type="pct"/>
            <w:gridSpan w:val="2"/>
            <w:vAlign w:val="center"/>
          </w:tcPr>
          <w:p>
            <w:pPr>
              <w:adjustRightInd w:val="0"/>
              <w:snapToGrid w:val="0"/>
              <w:spacing w:line="240" w:lineRule="auto"/>
              <w:ind w:firstLine="0" w:firstLineChars="0"/>
              <w:jc w:val="center"/>
              <w:rPr>
                <w:b/>
                <w:color w:val="auto"/>
                <w:sz w:val="21"/>
                <w:szCs w:val="21"/>
              </w:rPr>
            </w:pPr>
            <w:r>
              <w:rPr>
                <w:b/>
                <w:color w:val="auto"/>
                <w:sz w:val="21"/>
                <w:szCs w:val="21"/>
              </w:rPr>
              <w:t>污染物产生情况</w:t>
            </w:r>
          </w:p>
        </w:tc>
        <w:tc>
          <w:tcPr>
            <w:tcW w:w="1110" w:type="pct"/>
            <w:vMerge w:val="restart"/>
            <w:vAlign w:val="center"/>
          </w:tcPr>
          <w:p>
            <w:pPr>
              <w:adjustRightInd w:val="0"/>
              <w:snapToGrid w:val="0"/>
              <w:spacing w:line="240" w:lineRule="auto"/>
              <w:ind w:firstLine="0" w:firstLineChars="0"/>
              <w:jc w:val="center"/>
              <w:rPr>
                <w:b/>
                <w:color w:val="auto"/>
                <w:sz w:val="21"/>
                <w:szCs w:val="21"/>
              </w:rPr>
            </w:pPr>
            <w:r>
              <w:rPr>
                <w:b/>
                <w:color w:val="auto"/>
                <w:sz w:val="21"/>
                <w:szCs w:val="21"/>
              </w:rPr>
              <w:t>处理措施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b/>
                <w:color w:val="auto"/>
                <w:sz w:val="21"/>
                <w:szCs w:val="21"/>
              </w:rPr>
            </w:pPr>
          </w:p>
        </w:tc>
        <w:tc>
          <w:tcPr>
            <w:tcW w:w="405" w:type="pct"/>
            <w:vMerge w:val="continue"/>
            <w:vAlign w:val="center"/>
          </w:tcPr>
          <w:p>
            <w:pPr>
              <w:adjustRightInd w:val="0"/>
              <w:snapToGrid w:val="0"/>
              <w:spacing w:line="240" w:lineRule="auto"/>
              <w:ind w:firstLine="0" w:firstLineChars="0"/>
              <w:jc w:val="center"/>
              <w:rPr>
                <w:b/>
                <w:color w:val="auto"/>
                <w:sz w:val="21"/>
                <w:szCs w:val="21"/>
              </w:rPr>
            </w:pPr>
          </w:p>
        </w:tc>
        <w:tc>
          <w:tcPr>
            <w:tcW w:w="540" w:type="pct"/>
            <w:vMerge w:val="continue"/>
            <w:vAlign w:val="center"/>
          </w:tcPr>
          <w:p>
            <w:pPr>
              <w:adjustRightInd w:val="0"/>
              <w:snapToGrid w:val="0"/>
              <w:spacing w:line="240" w:lineRule="auto"/>
              <w:ind w:firstLine="0" w:firstLineChars="0"/>
              <w:jc w:val="center"/>
              <w:rPr>
                <w:b/>
                <w:color w:val="auto"/>
                <w:sz w:val="21"/>
                <w:szCs w:val="21"/>
              </w:rPr>
            </w:pPr>
          </w:p>
        </w:tc>
        <w:tc>
          <w:tcPr>
            <w:tcW w:w="543" w:type="pct"/>
            <w:vMerge w:val="continue"/>
            <w:vAlign w:val="center"/>
          </w:tcPr>
          <w:p>
            <w:pPr>
              <w:adjustRightInd w:val="0"/>
              <w:snapToGrid w:val="0"/>
              <w:spacing w:line="240" w:lineRule="auto"/>
              <w:ind w:firstLine="0" w:firstLineChars="0"/>
              <w:jc w:val="center"/>
              <w:rPr>
                <w:b/>
                <w:color w:val="auto"/>
                <w:sz w:val="21"/>
                <w:szCs w:val="21"/>
              </w:rPr>
            </w:pPr>
          </w:p>
        </w:tc>
        <w:tc>
          <w:tcPr>
            <w:tcW w:w="734" w:type="pct"/>
            <w:vAlign w:val="center"/>
          </w:tcPr>
          <w:p>
            <w:pPr>
              <w:tabs>
                <w:tab w:val="left" w:pos="5388"/>
              </w:tabs>
              <w:autoSpaceDE w:val="0"/>
              <w:autoSpaceDN w:val="0"/>
              <w:spacing w:line="240" w:lineRule="auto"/>
              <w:ind w:firstLine="0" w:firstLineChars="0"/>
              <w:jc w:val="center"/>
              <w:rPr>
                <w:b/>
                <w:color w:val="auto"/>
                <w:sz w:val="21"/>
                <w:szCs w:val="21"/>
              </w:rPr>
            </w:pPr>
            <w:r>
              <w:rPr>
                <w:b/>
                <w:color w:val="auto"/>
                <w:sz w:val="21"/>
                <w:szCs w:val="21"/>
              </w:rPr>
              <w:t>浓度（mg/L）</w:t>
            </w:r>
          </w:p>
        </w:tc>
        <w:tc>
          <w:tcPr>
            <w:tcW w:w="555" w:type="pct"/>
            <w:vAlign w:val="center"/>
          </w:tcPr>
          <w:p>
            <w:pPr>
              <w:tabs>
                <w:tab w:val="left" w:pos="5388"/>
              </w:tabs>
              <w:autoSpaceDE w:val="0"/>
              <w:autoSpaceDN w:val="0"/>
              <w:spacing w:line="240" w:lineRule="auto"/>
              <w:ind w:firstLine="0" w:firstLineChars="0"/>
              <w:jc w:val="center"/>
              <w:rPr>
                <w:b/>
                <w:color w:val="auto"/>
                <w:sz w:val="21"/>
                <w:szCs w:val="21"/>
              </w:rPr>
            </w:pPr>
            <w:r>
              <w:rPr>
                <w:b/>
                <w:color w:val="auto"/>
                <w:sz w:val="21"/>
                <w:szCs w:val="21"/>
              </w:rPr>
              <w:t>产生量（t/a）</w:t>
            </w:r>
          </w:p>
        </w:tc>
        <w:tc>
          <w:tcPr>
            <w:tcW w:w="1110" w:type="pct"/>
            <w:vMerge w:val="continue"/>
            <w:vAlign w:val="center"/>
          </w:tcPr>
          <w:p>
            <w:pPr>
              <w:adjustRightInd w:val="0"/>
              <w:snapToGrid w:val="0"/>
              <w:spacing w:line="240" w:lineRule="auto"/>
              <w:ind w:firstLine="0" w:firstLineChars="0"/>
              <w:jc w:val="center"/>
              <w:rPr>
                <w:b/>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109"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循环冷却系统排水</w:t>
            </w:r>
          </w:p>
        </w:tc>
        <w:tc>
          <w:tcPr>
            <w:tcW w:w="405"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W1</w:t>
            </w:r>
          </w:p>
        </w:tc>
        <w:tc>
          <w:tcPr>
            <w:tcW w:w="540"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1440</w:t>
            </w: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COD</w:t>
            </w:r>
          </w:p>
        </w:tc>
        <w:tc>
          <w:tcPr>
            <w:tcW w:w="734"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150</w:t>
            </w:r>
          </w:p>
        </w:tc>
        <w:tc>
          <w:tcPr>
            <w:tcW w:w="555"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0.</w:t>
            </w:r>
            <w:r>
              <w:rPr>
                <w:rFonts w:hint="eastAsia"/>
                <w:color w:val="auto"/>
                <w:sz w:val="21"/>
                <w:szCs w:val="21"/>
              </w:rPr>
              <w:t>216</w:t>
            </w:r>
          </w:p>
        </w:tc>
        <w:tc>
          <w:tcPr>
            <w:tcW w:w="1110"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进入</w:t>
            </w:r>
            <w:r>
              <w:rPr>
                <w:rFonts w:hint="eastAsia"/>
                <w:color w:val="auto"/>
                <w:sz w:val="21"/>
                <w:szCs w:val="21"/>
              </w:rPr>
              <w:t>厂区</w:t>
            </w:r>
            <w:r>
              <w:rPr>
                <w:color w:val="auto"/>
                <w:sz w:val="21"/>
                <w:szCs w:val="21"/>
              </w:rPr>
              <w:t>污水处理系统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rFonts w:hint="eastAsia"/>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rFonts w:hint="eastAsia"/>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kern w:val="0"/>
                <w:sz w:val="21"/>
                <w:szCs w:val="21"/>
              </w:rPr>
              <w:t>BOD</w:t>
            </w:r>
            <w:r>
              <w:rPr>
                <w:color w:val="auto"/>
                <w:kern w:val="0"/>
                <w:sz w:val="21"/>
                <w:szCs w:val="21"/>
                <w:vertAlign w:val="subscript"/>
              </w:rPr>
              <w:t>5</w:t>
            </w:r>
          </w:p>
        </w:tc>
        <w:tc>
          <w:tcPr>
            <w:tcW w:w="734" w:type="pct"/>
            <w:vAlign w:val="center"/>
          </w:tcPr>
          <w:p>
            <w:pPr>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45</w:t>
            </w:r>
          </w:p>
        </w:tc>
        <w:tc>
          <w:tcPr>
            <w:tcW w:w="555" w:type="pct"/>
            <w:vAlign w:val="center"/>
          </w:tcPr>
          <w:p>
            <w:pPr>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0.065</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bCs/>
                <w:color w:val="auto"/>
                <w:sz w:val="21"/>
                <w:szCs w:val="21"/>
              </w:rPr>
              <w:t>NH</w:t>
            </w:r>
            <w:r>
              <w:rPr>
                <w:bCs/>
                <w:color w:val="auto"/>
                <w:sz w:val="21"/>
                <w:szCs w:val="21"/>
                <w:vertAlign w:val="subscript"/>
              </w:rPr>
              <w:t>3</w:t>
            </w:r>
            <w:r>
              <w:rPr>
                <w:bCs/>
                <w:color w:val="auto"/>
                <w:sz w:val="21"/>
                <w:szCs w:val="21"/>
              </w:rPr>
              <w:t>-N</w:t>
            </w:r>
          </w:p>
        </w:tc>
        <w:tc>
          <w:tcPr>
            <w:tcW w:w="734"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5</w:t>
            </w:r>
          </w:p>
        </w:tc>
        <w:tc>
          <w:tcPr>
            <w:tcW w:w="555"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0.0072</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SS</w:t>
            </w:r>
          </w:p>
        </w:tc>
        <w:tc>
          <w:tcPr>
            <w:tcW w:w="734"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200</w:t>
            </w:r>
          </w:p>
        </w:tc>
        <w:tc>
          <w:tcPr>
            <w:tcW w:w="555"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0.288</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石油类</w:t>
            </w:r>
          </w:p>
        </w:tc>
        <w:tc>
          <w:tcPr>
            <w:tcW w:w="734"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5</w:t>
            </w:r>
          </w:p>
        </w:tc>
        <w:tc>
          <w:tcPr>
            <w:tcW w:w="555"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0.007</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全盐量</w:t>
            </w:r>
          </w:p>
        </w:tc>
        <w:tc>
          <w:tcPr>
            <w:tcW w:w="734"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1000</w:t>
            </w:r>
          </w:p>
        </w:tc>
        <w:tc>
          <w:tcPr>
            <w:tcW w:w="555"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1.44</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化验室排水</w:t>
            </w:r>
          </w:p>
        </w:tc>
        <w:tc>
          <w:tcPr>
            <w:tcW w:w="405"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W2</w:t>
            </w:r>
          </w:p>
        </w:tc>
        <w:tc>
          <w:tcPr>
            <w:tcW w:w="540"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120</w:t>
            </w: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PH</w:t>
            </w:r>
          </w:p>
        </w:tc>
        <w:tc>
          <w:tcPr>
            <w:tcW w:w="734"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6</w:t>
            </w:r>
            <w:r>
              <w:rPr>
                <w:color w:val="auto"/>
                <w:sz w:val="21"/>
                <w:szCs w:val="21"/>
                <w:lang w:val="en-US" w:eastAsia="zh-CN"/>
              </w:rPr>
              <w:t>～7</w:t>
            </w:r>
          </w:p>
        </w:tc>
        <w:tc>
          <w:tcPr>
            <w:tcW w:w="555"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w:t>
            </w:r>
          </w:p>
        </w:tc>
        <w:tc>
          <w:tcPr>
            <w:tcW w:w="1110"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进入</w:t>
            </w:r>
            <w:r>
              <w:rPr>
                <w:rFonts w:hint="eastAsia"/>
                <w:color w:val="auto"/>
                <w:sz w:val="21"/>
                <w:szCs w:val="21"/>
              </w:rPr>
              <w:t>厂区</w:t>
            </w:r>
            <w:r>
              <w:rPr>
                <w:color w:val="auto"/>
                <w:sz w:val="21"/>
                <w:szCs w:val="21"/>
              </w:rPr>
              <w:t>污水处理系统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COD</w:t>
            </w:r>
          </w:p>
        </w:tc>
        <w:tc>
          <w:tcPr>
            <w:tcW w:w="734"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150</w:t>
            </w:r>
          </w:p>
        </w:tc>
        <w:tc>
          <w:tcPr>
            <w:tcW w:w="555"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0.018</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bCs/>
                <w:color w:val="auto"/>
                <w:sz w:val="21"/>
                <w:szCs w:val="21"/>
              </w:rPr>
              <w:t>NH</w:t>
            </w:r>
            <w:r>
              <w:rPr>
                <w:bCs/>
                <w:color w:val="auto"/>
                <w:sz w:val="21"/>
                <w:szCs w:val="21"/>
                <w:vertAlign w:val="subscript"/>
              </w:rPr>
              <w:t>3</w:t>
            </w:r>
            <w:r>
              <w:rPr>
                <w:bCs/>
                <w:color w:val="auto"/>
                <w:sz w:val="21"/>
                <w:szCs w:val="21"/>
              </w:rPr>
              <w:t>-N</w:t>
            </w:r>
          </w:p>
        </w:tc>
        <w:tc>
          <w:tcPr>
            <w:tcW w:w="734"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5</w:t>
            </w:r>
          </w:p>
        </w:tc>
        <w:tc>
          <w:tcPr>
            <w:tcW w:w="555"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0.0006</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kern w:val="0"/>
                <w:sz w:val="21"/>
                <w:szCs w:val="21"/>
              </w:rPr>
              <w:t>BOD</w:t>
            </w:r>
            <w:r>
              <w:rPr>
                <w:color w:val="auto"/>
                <w:kern w:val="0"/>
                <w:sz w:val="21"/>
                <w:szCs w:val="21"/>
                <w:vertAlign w:val="subscript"/>
              </w:rPr>
              <w:t>5</w:t>
            </w:r>
          </w:p>
        </w:tc>
        <w:tc>
          <w:tcPr>
            <w:tcW w:w="734"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50</w:t>
            </w:r>
          </w:p>
        </w:tc>
        <w:tc>
          <w:tcPr>
            <w:tcW w:w="555"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0.006</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SS</w:t>
            </w:r>
          </w:p>
        </w:tc>
        <w:tc>
          <w:tcPr>
            <w:tcW w:w="734"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200</w:t>
            </w:r>
          </w:p>
        </w:tc>
        <w:tc>
          <w:tcPr>
            <w:tcW w:w="555"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0.024</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喷淋塔排水</w:t>
            </w:r>
          </w:p>
        </w:tc>
        <w:tc>
          <w:tcPr>
            <w:tcW w:w="405"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W3</w:t>
            </w:r>
          </w:p>
        </w:tc>
        <w:tc>
          <w:tcPr>
            <w:tcW w:w="540"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54</w:t>
            </w:r>
          </w:p>
        </w:tc>
        <w:tc>
          <w:tcPr>
            <w:tcW w:w="543" w:type="pct"/>
            <w:vAlign w:val="center"/>
          </w:tcPr>
          <w:p>
            <w:pPr>
              <w:spacing w:line="312" w:lineRule="exact"/>
              <w:ind w:firstLine="0" w:firstLineChars="0"/>
              <w:jc w:val="center"/>
              <w:rPr>
                <w:color w:val="auto"/>
                <w:sz w:val="21"/>
                <w:szCs w:val="21"/>
              </w:rPr>
            </w:pPr>
            <w:r>
              <w:rPr>
                <w:bCs/>
                <w:color w:val="auto"/>
                <w:sz w:val="21"/>
                <w:szCs w:val="21"/>
              </w:rPr>
              <w:t>pH</w:t>
            </w:r>
          </w:p>
        </w:tc>
        <w:tc>
          <w:tcPr>
            <w:tcW w:w="734"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7~</w:t>
            </w:r>
            <w:r>
              <w:rPr>
                <w:color w:val="auto"/>
                <w:sz w:val="21"/>
                <w:szCs w:val="21"/>
                <w:lang w:val="en-US" w:eastAsia="zh-CN"/>
              </w:rPr>
              <w:t>8</w:t>
            </w:r>
          </w:p>
        </w:tc>
        <w:tc>
          <w:tcPr>
            <w:tcW w:w="555"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w:t>
            </w:r>
          </w:p>
        </w:tc>
        <w:tc>
          <w:tcPr>
            <w:tcW w:w="1110"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进入</w:t>
            </w:r>
            <w:r>
              <w:rPr>
                <w:rFonts w:hint="eastAsia"/>
                <w:color w:val="auto"/>
                <w:sz w:val="21"/>
                <w:szCs w:val="21"/>
              </w:rPr>
              <w:t>厂区</w:t>
            </w:r>
            <w:r>
              <w:rPr>
                <w:color w:val="auto"/>
                <w:sz w:val="21"/>
                <w:szCs w:val="21"/>
              </w:rPr>
              <w:t>污水处理系统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spacing w:line="312" w:lineRule="exact"/>
              <w:ind w:firstLine="0" w:firstLineChars="0"/>
              <w:jc w:val="center"/>
              <w:rPr>
                <w:color w:val="auto"/>
                <w:sz w:val="21"/>
                <w:szCs w:val="21"/>
              </w:rPr>
            </w:pPr>
            <w:r>
              <w:rPr>
                <w:bCs/>
                <w:color w:val="auto"/>
                <w:sz w:val="21"/>
                <w:szCs w:val="21"/>
              </w:rPr>
              <w:t>COD</w:t>
            </w:r>
          </w:p>
        </w:tc>
        <w:tc>
          <w:tcPr>
            <w:tcW w:w="734" w:type="pct"/>
            <w:vAlign w:val="center"/>
          </w:tcPr>
          <w:p>
            <w:pPr>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2000</w:t>
            </w:r>
          </w:p>
        </w:tc>
        <w:tc>
          <w:tcPr>
            <w:tcW w:w="555" w:type="pct"/>
            <w:vAlign w:val="center"/>
          </w:tcPr>
          <w:p>
            <w:pPr>
              <w:spacing w:line="240" w:lineRule="auto"/>
              <w:ind w:firstLine="0" w:firstLineChars="0"/>
              <w:jc w:val="center"/>
              <w:rPr>
                <w:rFonts w:hint="eastAsia"/>
                <w:color w:val="auto"/>
                <w:sz w:val="21"/>
                <w:szCs w:val="21"/>
                <w:lang w:eastAsia="zh-CN"/>
              </w:rPr>
            </w:pPr>
            <w:r>
              <w:rPr>
                <w:rFonts w:hint="default"/>
                <w:color w:val="auto"/>
                <w:sz w:val="21"/>
                <w:szCs w:val="21"/>
                <w:lang w:val="en-US" w:eastAsia="zh-CN"/>
              </w:rPr>
              <w:t>0.12</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spacing w:line="312" w:lineRule="exact"/>
              <w:ind w:firstLine="0" w:firstLineChars="0"/>
              <w:jc w:val="center"/>
              <w:rPr>
                <w:bCs/>
                <w:color w:val="auto"/>
                <w:sz w:val="21"/>
                <w:szCs w:val="21"/>
              </w:rPr>
            </w:pPr>
            <w:r>
              <w:rPr>
                <w:color w:val="auto"/>
                <w:kern w:val="0"/>
                <w:sz w:val="21"/>
                <w:szCs w:val="21"/>
              </w:rPr>
              <w:t>BOD</w:t>
            </w:r>
            <w:r>
              <w:rPr>
                <w:color w:val="auto"/>
                <w:kern w:val="0"/>
                <w:sz w:val="21"/>
                <w:szCs w:val="21"/>
                <w:vertAlign w:val="subscript"/>
              </w:rPr>
              <w:t>5</w:t>
            </w:r>
          </w:p>
        </w:tc>
        <w:tc>
          <w:tcPr>
            <w:tcW w:w="734" w:type="pct"/>
            <w:vAlign w:val="center"/>
          </w:tcPr>
          <w:p>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 xml:space="preserve"> </w:t>
            </w:r>
            <w:r>
              <w:rPr>
                <w:color w:val="auto"/>
                <w:sz w:val="21"/>
                <w:szCs w:val="21"/>
                <w:lang w:val="en-US" w:eastAsia="zh-CN"/>
              </w:rPr>
              <w:t>300</w:t>
            </w:r>
          </w:p>
        </w:tc>
        <w:tc>
          <w:tcPr>
            <w:tcW w:w="555" w:type="pct"/>
            <w:vAlign w:val="center"/>
          </w:tcPr>
          <w:p>
            <w:pPr>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0.02</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spacing w:line="312" w:lineRule="exact"/>
              <w:ind w:firstLine="0" w:firstLineChars="0"/>
              <w:jc w:val="center"/>
              <w:rPr>
                <w:color w:val="auto"/>
                <w:sz w:val="21"/>
                <w:szCs w:val="21"/>
              </w:rPr>
            </w:pPr>
            <w:r>
              <w:rPr>
                <w:bCs/>
                <w:color w:val="auto"/>
                <w:sz w:val="21"/>
                <w:szCs w:val="21"/>
              </w:rPr>
              <w:t>NH</w:t>
            </w:r>
            <w:r>
              <w:rPr>
                <w:bCs/>
                <w:color w:val="auto"/>
                <w:sz w:val="21"/>
                <w:szCs w:val="21"/>
                <w:vertAlign w:val="subscript"/>
              </w:rPr>
              <w:t>3</w:t>
            </w:r>
            <w:r>
              <w:rPr>
                <w:bCs/>
                <w:color w:val="auto"/>
                <w:sz w:val="21"/>
                <w:szCs w:val="21"/>
              </w:rPr>
              <w:t>-N</w:t>
            </w:r>
          </w:p>
        </w:tc>
        <w:tc>
          <w:tcPr>
            <w:tcW w:w="734"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5</w:t>
            </w:r>
          </w:p>
        </w:tc>
        <w:tc>
          <w:tcPr>
            <w:tcW w:w="555"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0.0003</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地面清洗废水</w:t>
            </w:r>
          </w:p>
        </w:tc>
        <w:tc>
          <w:tcPr>
            <w:tcW w:w="405"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W4</w:t>
            </w:r>
          </w:p>
        </w:tc>
        <w:tc>
          <w:tcPr>
            <w:tcW w:w="540"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139.57</w:t>
            </w: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COD</w:t>
            </w:r>
          </w:p>
        </w:tc>
        <w:tc>
          <w:tcPr>
            <w:tcW w:w="734"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200</w:t>
            </w:r>
          </w:p>
        </w:tc>
        <w:tc>
          <w:tcPr>
            <w:tcW w:w="555"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0.055</w:t>
            </w:r>
          </w:p>
        </w:tc>
        <w:tc>
          <w:tcPr>
            <w:tcW w:w="1110"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进入</w:t>
            </w:r>
            <w:r>
              <w:rPr>
                <w:rFonts w:hint="eastAsia"/>
                <w:color w:val="auto"/>
                <w:sz w:val="21"/>
                <w:szCs w:val="21"/>
              </w:rPr>
              <w:t>厂区</w:t>
            </w:r>
            <w:r>
              <w:rPr>
                <w:color w:val="auto"/>
                <w:sz w:val="21"/>
                <w:szCs w:val="21"/>
              </w:rPr>
              <w:t>污水处理系统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bCs/>
                <w:color w:val="auto"/>
                <w:sz w:val="21"/>
                <w:szCs w:val="21"/>
              </w:rPr>
              <w:t>NH</w:t>
            </w:r>
            <w:r>
              <w:rPr>
                <w:bCs/>
                <w:color w:val="auto"/>
                <w:sz w:val="21"/>
                <w:szCs w:val="21"/>
                <w:vertAlign w:val="subscript"/>
              </w:rPr>
              <w:t>3</w:t>
            </w:r>
            <w:r>
              <w:rPr>
                <w:bCs/>
                <w:color w:val="auto"/>
                <w:sz w:val="21"/>
                <w:szCs w:val="21"/>
              </w:rPr>
              <w:t>-N</w:t>
            </w:r>
          </w:p>
        </w:tc>
        <w:tc>
          <w:tcPr>
            <w:tcW w:w="734"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5</w:t>
            </w:r>
          </w:p>
        </w:tc>
        <w:tc>
          <w:tcPr>
            <w:tcW w:w="555"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0.0005</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SS</w:t>
            </w:r>
          </w:p>
        </w:tc>
        <w:tc>
          <w:tcPr>
            <w:tcW w:w="734"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400</w:t>
            </w:r>
          </w:p>
        </w:tc>
        <w:tc>
          <w:tcPr>
            <w:tcW w:w="555"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0.109</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kern w:val="0"/>
                <w:sz w:val="21"/>
                <w:szCs w:val="21"/>
              </w:rPr>
              <w:t>BOD</w:t>
            </w:r>
            <w:r>
              <w:rPr>
                <w:color w:val="auto"/>
                <w:kern w:val="0"/>
                <w:sz w:val="21"/>
                <w:szCs w:val="21"/>
                <w:vertAlign w:val="subscript"/>
              </w:rPr>
              <w:t>5</w:t>
            </w:r>
          </w:p>
        </w:tc>
        <w:tc>
          <w:tcPr>
            <w:tcW w:w="734" w:type="pct"/>
            <w:vAlign w:val="center"/>
          </w:tcPr>
          <w:p>
            <w:pPr>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80</w:t>
            </w:r>
          </w:p>
        </w:tc>
        <w:tc>
          <w:tcPr>
            <w:tcW w:w="555" w:type="pct"/>
            <w:vAlign w:val="center"/>
          </w:tcPr>
          <w:p>
            <w:pPr>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0.022</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trPr>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石油类</w:t>
            </w:r>
          </w:p>
        </w:tc>
        <w:tc>
          <w:tcPr>
            <w:tcW w:w="734"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5</w:t>
            </w:r>
          </w:p>
        </w:tc>
        <w:tc>
          <w:tcPr>
            <w:tcW w:w="555"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0.001</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生产废水</w:t>
            </w:r>
          </w:p>
        </w:tc>
        <w:tc>
          <w:tcPr>
            <w:tcW w:w="405"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W6</w:t>
            </w:r>
          </w:p>
        </w:tc>
        <w:tc>
          <w:tcPr>
            <w:tcW w:w="540" w:type="pct"/>
            <w:vMerge w:val="restart"/>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1272.948</w:t>
            </w:r>
          </w:p>
        </w:tc>
        <w:tc>
          <w:tcPr>
            <w:tcW w:w="543" w:type="pct"/>
            <w:vAlign w:val="center"/>
          </w:tcPr>
          <w:p>
            <w:pPr>
              <w:adjustRightInd w:val="0"/>
              <w:snapToGrid w:val="0"/>
              <w:spacing w:line="240" w:lineRule="auto"/>
              <w:ind w:firstLine="0" w:firstLineChars="0"/>
              <w:jc w:val="center"/>
              <w:rPr>
                <w:color w:val="auto"/>
                <w:sz w:val="21"/>
                <w:szCs w:val="21"/>
              </w:rPr>
            </w:pPr>
            <w:r>
              <w:rPr>
                <w:color w:val="auto"/>
                <w:sz w:val="21"/>
                <w:szCs w:val="21"/>
              </w:rPr>
              <w:t>pH</w:t>
            </w:r>
          </w:p>
        </w:tc>
        <w:tc>
          <w:tcPr>
            <w:tcW w:w="734" w:type="pct"/>
            <w:vAlign w:val="center"/>
          </w:tcPr>
          <w:p>
            <w:pPr>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5~6</w:t>
            </w:r>
          </w:p>
        </w:tc>
        <w:tc>
          <w:tcPr>
            <w:tcW w:w="555" w:type="pct"/>
            <w:vAlign w:val="center"/>
          </w:tcPr>
          <w:p>
            <w:pPr>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w:t>
            </w:r>
          </w:p>
        </w:tc>
        <w:tc>
          <w:tcPr>
            <w:tcW w:w="1110"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进入</w:t>
            </w:r>
            <w:r>
              <w:rPr>
                <w:rFonts w:hint="eastAsia"/>
                <w:color w:val="auto"/>
                <w:sz w:val="21"/>
                <w:szCs w:val="21"/>
              </w:rPr>
              <w:t>厂区</w:t>
            </w:r>
            <w:r>
              <w:rPr>
                <w:color w:val="auto"/>
                <w:sz w:val="21"/>
                <w:szCs w:val="21"/>
              </w:rPr>
              <w:t>污水处理系统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rFonts w:hint="default" w:eastAsia="宋体"/>
                <w:color w:val="auto"/>
                <w:sz w:val="21"/>
                <w:szCs w:val="21"/>
                <w:lang w:val="en-US" w:eastAsia="zh-CN"/>
              </w:rPr>
            </w:pPr>
          </w:p>
        </w:tc>
        <w:tc>
          <w:tcPr>
            <w:tcW w:w="543" w:type="pct"/>
            <w:vAlign w:val="center"/>
          </w:tcPr>
          <w:p>
            <w:pPr>
              <w:adjustRightInd w:val="0"/>
              <w:snapToGrid w:val="0"/>
              <w:spacing w:line="240" w:lineRule="auto"/>
              <w:ind w:firstLine="0" w:firstLineChars="0"/>
              <w:jc w:val="center"/>
              <w:rPr>
                <w:color w:val="auto"/>
                <w:sz w:val="21"/>
                <w:szCs w:val="21"/>
              </w:rPr>
            </w:pPr>
            <w:r>
              <w:rPr>
                <w:color w:val="auto"/>
                <w:sz w:val="21"/>
                <w:szCs w:val="21"/>
              </w:rPr>
              <w:t>COD</w:t>
            </w:r>
          </w:p>
        </w:tc>
        <w:tc>
          <w:tcPr>
            <w:tcW w:w="734" w:type="pct"/>
            <w:vAlign w:val="center"/>
          </w:tcPr>
          <w:p>
            <w:pPr>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12000</w:t>
            </w:r>
          </w:p>
        </w:tc>
        <w:tc>
          <w:tcPr>
            <w:tcW w:w="555" w:type="pct"/>
            <w:vAlign w:val="center"/>
          </w:tcPr>
          <w:p>
            <w:pPr>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15.276</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rFonts w:hint="eastAsia"/>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rFonts w:hint="eastAsia"/>
                <w:color w:val="auto"/>
                <w:sz w:val="21"/>
                <w:szCs w:val="21"/>
                <w:lang w:val="en-US" w:eastAsia="zh-CN"/>
              </w:rPr>
            </w:pPr>
          </w:p>
        </w:tc>
        <w:tc>
          <w:tcPr>
            <w:tcW w:w="543" w:type="pct"/>
            <w:vAlign w:val="center"/>
          </w:tcPr>
          <w:p>
            <w:pPr>
              <w:adjustRightInd w:val="0"/>
              <w:snapToGrid w:val="0"/>
              <w:spacing w:line="240" w:lineRule="auto"/>
              <w:ind w:firstLine="0" w:firstLineChars="0"/>
              <w:jc w:val="center"/>
              <w:rPr>
                <w:color w:val="auto"/>
                <w:sz w:val="21"/>
                <w:szCs w:val="21"/>
              </w:rPr>
            </w:pPr>
            <w:r>
              <w:rPr>
                <w:bCs/>
                <w:color w:val="auto"/>
                <w:sz w:val="21"/>
                <w:szCs w:val="21"/>
              </w:rPr>
              <w:t>NH</w:t>
            </w:r>
            <w:r>
              <w:rPr>
                <w:bCs/>
                <w:color w:val="auto"/>
                <w:sz w:val="21"/>
                <w:szCs w:val="21"/>
                <w:vertAlign w:val="subscript"/>
              </w:rPr>
              <w:t>3</w:t>
            </w:r>
            <w:r>
              <w:rPr>
                <w:bCs/>
                <w:color w:val="auto"/>
                <w:sz w:val="21"/>
                <w:szCs w:val="21"/>
              </w:rPr>
              <w:t>-N</w:t>
            </w:r>
          </w:p>
        </w:tc>
        <w:tc>
          <w:tcPr>
            <w:tcW w:w="734" w:type="pct"/>
            <w:vAlign w:val="center"/>
          </w:tcPr>
          <w:p>
            <w:pPr>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20</w:t>
            </w:r>
          </w:p>
        </w:tc>
        <w:tc>
          <w:tcPr>
            <w:tcW w:w="555" w:type="pct"/>
            <w:vAlign w:val="center"/>
          </w:tcPr>
          <w:p>
            <w:pPr>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0.025</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rFonts w:hint="eastAsia"/>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rFonts w:hint="eastAsia"/>
                <w:color w:val="auto"/>
                <w:sz w:val="21"/>
                <w:szCs w:val="21"/>
                <w:lang w:val="en-US" w:eastAsia="zh-CN"/>
              </w:rPr>
            </w:pPr>
          </w:p>
        </w:tc>
        <w:tc>
          <w:tcPr>
            <w:tcW w:w="543" w:type="pct"/>
            <w:vAlign w:val="center"/>
          </w:tcPr>
          <w:p>
            <w:pPr>
              <w:adjustRightInd w:val="0"/>
              <w:snapToGrid w:val="0"/>
              <w:spacing w:line="240" w:lineRule="auto"/>
              <w:ind w:firstLine="0" w:firstLineChars="0"/>
              <w:jc w:val="center"/>
              <w:rPr>
                <w:bCs/>
                <w:color w:val="auto"/>
                <w:sz w:val="21"/>
                <w:szCs w:val="21"/>
              </w:rPr>
            </w:pPr>
            <w:r>
              <w:rPr>
                <w:color w:val="auto"/>
                <w:kern w:val="0"/>
                <w:sz w:val="21"/>
                <w:szCs w:val="21"/>
              </w:rPr>
              <w:t>BOD</w:t>
            </w:r>
            <w:r>
              <w:rPr>
                <w:color w:val="auto"/>
                <w:kern w:val="0"/>
                <w:sz w:val="21"/>
                <w:szCs w:val="21"/>
                <w:vertAlign w:val="subscript"/>
              </w:rPr>
              <w:t>5</w:t>
            </w:r>
          </w:p>
        </w:tc>
        <w:tc>
          <w:tcPr>
            <w:tcW w:w="734" w:type="pct"/>
            <w:vAlign w:val="center"/>
          </w:tcPr>
          <w:p>
            <w:pPr>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3600</w:t>
            </w:r>
          </w:p>
        </w:tc>
        <w:tc>
          <w:tcPr>
            <w:tcW w:w="555" w:type="pct"/>
            <w:vAlign w:val="center"/>
          </w:tcPr>
          <w:p>
            <w:pPr>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4.58</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进入</w:t>
            </w:r>
            <w:r>
              <w:rPr>
                <w:rFonts w:hint="eastAsia"/>
                <w:color w:val="auto"/>
                <w:sz w:val="21"/>
                <w:szCs w:val="21"/>
                <w:lang w:val="en-US" w:eastAsia="zh-CN"/>
              </w:rPr>
              <w:t>厂区</w:t>
            </w:r>
            <w:r>
              <w:rPr>
                <w:rFonts w:hint="eastAsia"/>
                <w:color w:val="auto"/>
                <w:sz w:val="21"/>
                <w:szCs w:val="21"/>
              </w:rPr>
              <w:t>污水处理</w:t>
            </w:r>
            <w:r>
              <w:rPr>
                <w:rFonts w:hint="eastAsia"/>
                <w:color w:val="auto"/>
                <w:sz w:val="21"/>
                <w:szCs w:val="21"/>
                <w:lang w:val="en-US" w:eastAsia="zh-CN"/>
              </w:rPr>
              <w:t>站</w:t>
            </w:r>
            <w:r>
              <w:rPr>
                <w:color w:val="auto"/>
                <w:sz w:val="21"/>
                <w:szCs w:val="21"/>
              </w:rPr>
              <w:t>综合废水</w:t>
            </w:r>
          </w:p>
        </w:tc>
        <w:tc>
          <w:tcPr>
            <w:tcW w:w="405"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w:t>
            </w:r>
          </w:p>
        </w:tc>
        <w:tc>
          <w:tcPr>
            <w:tcW w:w="540" w:type="pct"/>
            <w:vMerge w:val="restart"/>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3026.518</w:t>
            </w:r>
          </w:p>
        </w:tc>
        <w:tc>
          <w:tcPr>
            <w:tcW w:w="543" w:type="pct"/>
            <w:vAlign w:val="center"/>
          </w:tcPr>
          <w:p>
            <w:pPr>
              <w:adjustRightInd w:val="0"/>
              <w:snapToGrid w:val="0"/>
              <w:spacing w:line="240" w:lineRule="auto"/>
              <w:ind w:firstLine="0" w:firstLineChars="0"/>
              <w:jc w:val="center"/>
              <w:rPr>
                <w:color w:val="auto"/>
                <w:sz w:val="21"/>
                <w:szCs w:val="21"/>
              </w:rPr>
            </w:pPr>
            <w:r>
              <w:rPr>
                <w:color w:val="auto"/>
                <w:sz w:val="21"/>
                <w:szCs w:val="21"/>
              </w:rPr>
              <w:t>pH</w:t>
            </w:r>
          </w:p>
        </w:tc>
        <w:tc>
          <w:tcPr>
            <w:tcW w:w="734"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6</w:t>
            </w:r>
            <w:r>
              <w:rPr>
                <w:color w:val="auto"/>
                <w:sz w:val="21"/>
                <w:szCs w:val="21"/>
                <w:lang w:val="en-US" w:eastAsia="zh-CN"/>
              </w:rPr>
              <w:t>～7</w:t>
            </w:r>
          </w:p>
        </w:tc>
        <w:tc>
          <w:tcPr>
            <w:tcW w:w="555" w:type="pct"/>
            <w:vAlign w:val="center"/>
          </w:tcPr>
          <w:p>
            <w:pPr>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w:t>
            </w:r>
          </w:p>
        </w:tc>
        <w:tc>
          <w:tcPr>
            <w:tcW w:w="1110"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进入</w:t>
            </w:r>
            <w:r>
              <w:rPr>
                <w:rFonts w:hint="eastAsia"/>
                <w:color w:val="auto"/>
                <w:sz w:val="21"/>
                <w:szCs w:val="21"/>
              </w:rPr>
              <w:t>厂区</w:t>
            </w:r>
            <w:r>
              <w:rPr>
                <w:color w:val="auto"/>
                <w:sz w:val="21"/>
                <w:szCs w:val="21"/>
              </w:rPr>
              <w:t>污水处理系统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adjustRightInd w:val="0"/>
              <w:snapToGrid w:val="0"/>
              <w:spacing w:line="240" w:lineRule="auto"/>
              <w:ind w:firstLine="0" w:firstLineChars="0"/>
              <w:jc w:val="center"/>
              <w:rPr>
                <w:color w:val="auto"/>
                <w:sz w:val="21"/>
                <w:szCs w:val="21"/>
              </w:rPr>
            </w:pPr>
            <w:r>
              <w:rPr>
                <w:color w:val="auto"/>
                <w:kern w:val="0"/>
                <w:sz w:val="21"/>
                <w:szCs w:val="21"/>
              </w:rPr>
              <w:t>COD</w:t>
            </w:r>
          </w:p>
        </w:tc>
        <w:tc>
          <w:tcPr>
            <w:tcW w:w="734" w:type="pct"/>
            <w:vAlign w:val="center"/>
          </w:tcPr>
          <w:p>
            <w:pPr>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5182.52</w:t>
            </w:r>
          </w:p>
        </w:tc>
        <w:tc>
          <w:tcPr>
            <w:tcW w:w="555"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15.685</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adjustRightInd w:val="0"/>
              <w:snapToGrid w:val="0"/>
              <w:spacing w:line="240" w:lineRule="auto"/>
              <w:ind w:firstLine="0" w:firstLineChars="0"/>
              <w:jc w:val="center"/>
              <w:rPr>
                <w:color w:val="auto"/>
                <w:kern w:val="0"/>
                <w:sz w:val="21"/>
                <w:szCs w:val="21"/>
              </w:rPr>
            </w:pPr>
            <w:r>
              <w:rPr>
                <w:bCs/>
                <w:color w:val="auto"/>
                <w:sz w:val="21"/>
                <w:szCs w:val="21"/>
              </w:rPr>
              <w:t>NH</w:t>
            </w:r>
            <w:r>
              <w:rPr>
                <w:bCs/>
                <w:color w:val="auto"/>
                <w:sz w:val="21"/>
                <w:szCs w:val="21"/>
                <w:vertAlign w:val="subscript"/>
              </w:rPr>
              <w:t>3</w:t>
            </w:r>
            <w:r>
              <w:rPr>
                <w:bCs/>
                <w:color w:val="auto"/>
                <w:sz w:val="21"/>
                <w:szCs w:val="21"/>
              </w:rPr>
              <w:t>-N</w:t>
            </w:r>
          </w:p>
        </w:tc>
        <w:tc>
          <w:tcPr>
            <w:tcW w:w="734" w:type="pct"/>
            <w:vAlign w:val="center"/>
          </w:tcPr>
          <w:p>
            <w:pPr>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11.23</w:t>
            </w:r>
          </w:p>
        </w:tc>
        <w:tc>
          <w:tcPr>
            <w:tcW w:w="555" w:type="pct"/>
            <w:vAlign w:val="center"/>
          </w:tcPr>
          <w:p>
            <w:pPr>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0.034</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adjustRightInd w:val="0"/>
              <w:snapToGrid w:val="0"/>
              <w:spacing w:line="240" w:lineRule="auto"/>
              <w:ind w:firstLine="0" w:firstLineChars="0"/>
              <w:jc w:val="center"/>
              <w:rPr>
                <w:color w:val="auto"/>
                <w:sz w:val="21"/>
                <w:szCs w:val="21"/>
              </w:rPr>
            </w:pPr>
            <w:r>
              <w:rPr>
                <w:color w:val="auto"/>
                <w:kern w:val="0"/>
                <w:sz w:val="21"/>
                <w:szCs w:val="21"/>
              </w:rPr>
              <w:t>BOD</w:t>
            </w:r>
            <w:r>
              <w:rPr>
                <w:color w:val="auto"/>
                <w:kern w:val="0"/>
                <w:sz w:val="21"/>
                <w:szCs w:val="21"/>
                <w:vertAlign w:val="subscript"/>
              </w:rPr>
              <w:t>5</w:t>
            </w:r>
          </w:p>
        </w:tc>
        <w:tc>
          <w:tcPr>
            <w:tcW w:w="734" w:type="pct"/>
            <w:vAlign w:val="center"/>
          </w:tcPr>
          <w:p>
            <w:pPr>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1550.63</w:t>
            </w:r>
          </w:p>
        </w:tc>
        <w:tc>
          <w:tcPr>
            <w:tcW w:w="555" w:type="pct"/>
            <w:vAlign w:val="center"/>
          </w:tcPr>
          <w:p>
            <w:pPr>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4.693</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adjustRightInd w:val="0"/>
              <w:snapToGrid w:val="0"/>
              <w:spacing w:line="240" w:lineRule="auto"/>
              <w:ind w:firstLine="0" w:firstLineChars="0"/>
              <w:jc w:val="center"/>
              <w:rPr>
                <w:color w:val="auto"/>
                <w:sz w:val="21"/>
                <w:szCs w:val="21"/>
              </w:rPr>
            </w:pPr>
            <w:r>
              <w:rPr>
                <w:color w:val="auto"/>
                <w:kern w:val="0"/>
                <w:sz w:val="21"/>
                <w:szCs w:val="21"/>
              </w:rPr>
              <w:t>SS</w:t>
            </w:r>
          </w:p>
        </w:tc>
        <w:tc>
          <w:tcPr>
            <w:tcW w:w="734" w:type="pct"/>
            <w:vAlign w:val="center"/>
          </w:tcPr>
          <w:p>
            <w:pPr>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232.94</w:t>
            </w:r>
          </w:p>
        </w:tc>
        <w:tc>
          <w:tcPr>
            <w:tcW w:w="555"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0.705</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adjustRightInd w:val="0"/>
              <w:snapToGrid w:val="0"/>
              <w:spacing w:line="240" w:lineRule="auto"/>
              <w:ind w:firstLine="0" w:firstLineChars="0"/>
              <w:jc w:val="center"/>
              <w:rPr>
                <w:color w:val="auto"/>
                <w:sz w:val="21"/>
                <w:szCs w:val="21"/>
              </w:rPr>
            </w:pPr>
            <w:r>
              <w:rPr>
                <w:color w:val="auto"/>
                <w:sz w:val="21"/>
                <w:szCs w:val="21"/>
              </w:rPr>
              <w:t>石油类</w:t>
            </w:r>
          </w:p>
        </w:tc>
        <w:tc>
          <w:tcPr>
            <w:tcW w:w="734" w:type="pct"/>
            <w:vAlign w:val="center"/>
          </w:tcPr>
          <w:p>
            <w:pPr>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4.96</w:t>
            </w:r>
          </w:p>
        </w:tc>
        <w:tc>
          <w:tcPr>
            <w:tcW w:w="555"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0.015</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全盐量</w:t>
            </w:r>
          </w:p>
        </w:tc>
        <w:tc>
          <w:tcPr>
            <w:tcW w:w="734" w:type="pct"/>
            <w:vAlign w:val="center"/>
          </w:tcPr>
          <w:p>
            <w:pPr>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951.59</w:t>
            </w:r>
          </w:p>
        </w:tc>
        <w:tc>
          <w:tcPr>
            <w:tcW w:w="555" w:type="pct"/>
            <w:vAlign w:val="center"/>
          </w:tcPr>
          <w:p>
            <w:pPr>
              <w:spacing w:line="240" w:lineRule="auto"/>
              <w:ind w:firstLine="0" w:firstLineChars="0"/>
              <w:jc w:val="center"/>
              <w:rPr>
                <w:color w:val="auto"/>
                <w:sz w:val="21"/>
                <w:szCs w:val="21"/>
              </w:rPr>
            </w:pPr>
            <w:r>
              <w:rPr>
                <w:rFonts w:hint="default"/>
                <w:color w:val="auto"/>
                <w:sz w:val="21"/>
                <w:szCs w:val="21"/>
                <w:lang w:val="en-US" w:eastAsia="zh-CN"/>
              </w:rPr>
              <w:t>2.88</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生活污水</w:t>
            </w:r>
          </w:p>
        </w:tc>
        <w:tc>
          <w:tcPr>
            <w:tcW w:w="405"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W5</w:t>
            </w:r>
          </w:p>
        </w:tc>
        <w:tc>
          <w:tcPr>
            <w:tcW w:w="540"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360</w:t>
            </w:r>
          </w:p>
        </w:tc>
        <w:tc>
          <w:tcPr>
            <w:tcW w:w="543" w:type="pct"/>
            <w:vAlign w:val="center"/>
          </w:tcPr>
          <w:p>
            <w:pPr>
              <w:adjustRightInd w:val="0"/>
              <w:snapToGrid w:val="0"/>
              <w:spacing w:line="240" w:lineRule="auto"/>
              <w:ind w:firstLine="0" w:firstLineChars="0"/>
              <w:jc w:val="center"/>
              <w:rPr>
                <w:color w:val="auto"/>
                <w:sz w:val="21"/>
                <w:szCs w:val="21"/>
              </w:rPr>
            </w:pPr>
            <w:r>
              <w:rPr>
                <w:color w:val="auto"/>
                <w:sz w:val="21"/>
                <w:szCs w:val="21"/>
              </w:rPr>
              <w:t>pH</w:t>
            </w:r>
          </w:p>
        </w:tc>
        <w:tc>
          <w:tcPr>
            <w:tcW w:w="734" w:type="pct"/>
            <w:vAlign w:val="center"/>
          </w:tcPr>
          <w:p>
            <w:pPr>
              <w:adjustRightInd w:val="0"/>
              <w:snapToGrid w:val="0"/>
              <w:spacing w:line="240" w:lineRule="auto"/>
              <w:ind w:firstLine="0" w:firstLineChars="0"/>
              <w:jc w:val="center"/>
              <w:rPr>
                <w:color w:val="auto"/>
                <w:sz w:val="21"/>
                <w:szCs w:val="21"/>
              </w:rPr>
            </w:pPr>
            <w:r>
              <w:rPr>
                <w:color w:val="auto"/>
                <w:sz w:val="21"/>
                <w:szCs w:val="21"/>
              </w:rPr>
              <w:t>7～8</w:t>
            </w:r>
          </w:p>
        </w:tc>
        <w:tc>
          <w:tcPr>
            <w:tcW w:w="555" w:type="pct"/>
            <w:vAlign w:val="center"/>
          </w:tcPr>
          <w:p>
            <w:pPr>
              <w:spacing w:line="240" w:lineRule="auto"/>
              <w:ind w:firstLine="0" w:firstLineChars="0"/>
              <w:jc w:val="center"/>
              <w:rPr>
                <w:color w:val="auto"/>
                <w:sz w:val="21"/>
                <w:szCs w:val="21"/>
              </w:rPr>
            </w:pPr>
            <w:r>
              <w:rPr>
                <w:rFonts w:hint="eastAsia"/>
                <w:color w:val="auto"/>
                <w:sz w:val="21"/>
                <w:szCs w:val="21"/>
              </w:rPr>
              <w:t>/</w:t>
            </w:r>
          </w:p>
        </w:tc>
        <w:tc>
          <w:tcPr>
            <w:tcW w:w="1110"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排入市政管网后由光大水务（淄博）有限公司水质净化</w:t>
            </w:r>
            <w:r>
              <w:rPr>
                <w:rFonts w:hint="eastAsia"/>
                <w:color w:val="auto"/>
                <w:sz w:val="21"/>
                <w:szCs w:val="21"/>
                <w:lang w:eastAsia="zh-CN"/>
              </w:rPr>
              <w:t>三分厂</w:t>
            </w:r>
            <w:r>
              <w:rPr>
                <w:rFonts w:hint="eastAsia"/>
                <w:color w:val="auto"/>
                <w:sz w:val="21"/>
                <w:szCs w:val="21"/>
              </w:rPr>
              <w:t>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adjustRightInd w:val="0"/>
              <w:snapToGrid w:val="0"/>
              <w:spacing w:line="240" w:lineRule="auto"/>
              <w:ind w:firstLine="0" w:firstLineChars="0"/>
              <w:jc w:val="center"/>
              <w:rPr>
                <w:color w:val="auto"/>
                <w:sz w:val="21"/>
                <w:szCs w:val="21"/>
              </w:rPr>
            </w:pPr>
            <w:r>
              <w:rPr>
                <w:color w:val="auto"/>
                <w:kern w:val="0"/>
                <w:sz w:val="21"/>
                <w:szCs w:val="21"/>
              </w:rPr>
              <w:t>COD</w:t>
            </w:r>
          </w:p>
        </w:tc>
        <w:tc>
          <w:tcPr>
            <w:tcW w:w="734" w:type="pct"/>
            <w:vAlign w:val="center"/>
          </w:tcPr>
          <w:p>
            <w:pPr>
              <w:spacing w:line="240" w:lineRule="auto"/>
              <w:ind w:firstLine="0" w:firstLineChars="0"/>
              <w:jc w:val="center"/>
              <w:rPr>
                <w:color w:val="auto"/>
                <w:sz w:val="21"/>
                <w:szCs w:val="21"/>
              </w:rPr>
            </w:pPr>
            <w:r>
              <w:rPr>
                <w:color w:val="auto"/>
                <w:sz w:val="21"/>
                <w:szCs w:val="21"/>
              </w:rPr>
              <w:t>400.00</w:t>
            </w:r>
          </w:p>
        </w:tc>
        <w:tc>
          <w:tcPr>
            <w:tcW w:w="555" w:type="pct"/>
            <w:vAlign w:val="center"/>
          </w:tcPr>
          <w:p>
            <w:pPr>
              <w:spacing w:line="240" w:lineRule="auto"/>
              <w:ind w:firstLine="0" w:firstLineChars="0"/>
              <w:jc w:val="center"/>
              <w:rPr>
                <w:color w:val="auto"/>
                <w:sz w:val="21"/>
                <w:szCs w:val="21"/>
              </w:rPr>
            </w:pPr>
            <w:r>
              <w:rPr>
                <w:rFonts w:hint="eastAsia"/>
                <w:color w:val="auto"/>
                <w:sz w:val="21"/>
                <w:szCs w:val="21"/>
              </w:rPr>
              <w:t>0.144</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adjustRightInd w:val="0"/>
              <w:snapToGrid w:val="0"/>
              <w:spacing w:line="240" w:lineRule="auto"/>
              <w:ind w:firstLine="0" w:firstLineChars="0"/>
              <w:jc w:val="center"/>
              <w:rPr>
                <w:color w:val="auto"/>
                <w:sz w:val="21"/>
                <w:szCs w:val="21"/>
              </w:rPr>
            </w:pPr>
            <w:r>
              <w:rPr>
                <w:color w:val="auto"/>
                <w:kern w:val="0"/>
                <w:sz w:val="21"/>
                <w:szCs w:val="21"/>
              </w:rPr>
              <w:t>BOD</w:t>
            </w:r>
            <w:r>
              <w:rPr>
                <w:color w:val="auto"/>
                <w:kern w:val="0"/>
                <w:sz w:val="21"/>
                <w:szCs w:val="21"/>
                <w:vertAlign w:val="subscript"/>
              </w:rPr>
              <w:t>5</w:t>
            </w:r>
          </w:p>
        </w:tc>
        <w:tc>
          <w:tcPr>
            <w:tcW w:w="734" w:type="pct"/>
            <w:vAlign w:val="center"/>
          </w:tcPr>
          <w:p>
            <w:pPr>
              <w:spacing w:line="240" w:lineRule="auto"/>
              <w:ind w:firstLine="0" w:firstLineChars="0"/>
              <w:jc w:val="center"/>
              <w:rPr>
                <w:color w:val="auto"/>
                <w:sz w:val="21"/>
                <w:szCs w:val="21"/>
              </w:rPr>
            </w:pPr>
            <w:r>
              <w:rPr>
                <w:color w:val="auto"/>
                <w:sz w:val="21"/>
                <w:szCs w:val="21"/>
              </w:rPr>
              <w:t>300.00</w:t>
            </w:r>
          </w:p>
        </w:tc>
        <w:tc>
          <w:tcPr>
            <w:tcW w:w="555" w:type="pct"/>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rPr>
              <w:t>0.</w:t>
            </w:r>
            <w:r>
              <w:rPr>
                <w:rFonts w:hint="eastAsia"/>
                <w:color w:val="auto"/>
                <w:sz w:val="21"/>
                <w:szCs w:val="21"/>
                <w:lang w:eastAsia="zh-CN"/>
              </w:rPr>
              <w:t>15</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adjustRightInd w:val="0"/>
              <w:snapToGrid w:val="0"/>
              <w:spacing w:line="240" w:lineRule="auto"/>
              <w:ind w:firstLine="0" w:firstLineChars="0"/>
              <w:jc w:val="center"/>
              <w:rPr>
                <w:color w:val="auto"/>
                <w:sz w:val="21"/>
                <w:szCs w:val="21"/>
              </w:rPr>
            </w:pPr>
            <w:r>
              <w:rPr>
                <w:color w:val="auto"/>
                <w:sz w:val="21"/>
                <w:szCs w:val="21"/>
              </w:rPr>
              <w:t>氨氮</w:t>
            </w:r>
          </w:p>
        </w:tc>
        <w:tc>
          <w:tcPr>
            <w:tcW w:w="734" w:type="pct"/>
            <w:vAlign w:val="center"/>
          </w:tcPr>
          <w:p>
            <w:pPr>
              <w:spacing w:line="240" w:lineRule="auto"/>
              <w:ind w:firstLine="0" w:firstLineChars="0"/>
              <w:jc w:val="center"/>
              <w:rPr>
                <w:color w:val="auto"/>
                <w:sz w:val="21"/>
                <w:szCs w:val="21"/>
              </w:rPr>
            </w:pPr>
            <w:r>
              <w:rPr>
                <w:color w:val="auto"/>
                <w:sz w:val="21"/>
                <w:szCs w:val="21"/>
              </w:rPr>
              <w:t>30.00</w:t>
            </w:r>
          </w:p>
        </w:tc>
        <w:tc>
          <w:tcPr>
            <w:tcW w:w="555" w:type="pct"/>
            <w:vAlign w:val="center"/>
          </w:tcPr>
          <w:p>
            <w:pPr>
              <w:spacing w:line="240" w:lineRule="auto"/>
              <w:ind w:firstLine="0" w:firstLineChars="0"/>
              <w:jc w:val="center"/>
              <w:rPr>
                <w:color w:val="auto"/>
                <w:sz w:val="21"/>
                <w:szCs w:val="21"/>
              </w:rPr>
            </w:pPr>
            <w:r>
              <w:rPr>
                <w:rFonts w:hint="eastAsia"/>
                <w:color w:val="auto"/>
                <w:sz w:val="21"/>
                <w:szCs w:val="21"/>
              </w:rPr>
              <w:t>0.011</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adjustRightInd w:val="0"/>
              <w:snapToGrid w:val="0"/>
              <w:spacing w:line="240" w:lineRule="auto"/>
              <w:ind w:firstLine="0" w:firstLineChars="0"/>
              <w:jc w:val="center"/>
              <w:rPr>
                <w:color w:val="auto"/>
                <w:sz w:val="21"/>
                <w:szCs w:val="21"/>
              </w:rPr>
            </w:pPr>
            <w:r>
              <w:rPr>
                <w:color w:val="auto"/>
                <w:sz w:val="21"/>
                <w:szCs w:val="21"/>
              </w:rPr>
              <w:t>总氮</w:t>
            </w:r>
          </w:p>
        </w:tc>
        <w:tc>
          <w:tcPr>
            <w:tcW w:w="734" w:type="pct"/>
            <w:vAlign w:val="center"/>
          </w:tcPr>
          <w:p>
            <w:pPr>
              <w:spacing w:line="240" w:lineRule="auto"/>
              <w:ind w:firstLine="0" w:firstLineChars="0"/>
              <w:jc w:val="center"/>
              <w:rPr>
                <w:color w:val="auto"/>
                <w:sz w:val="21"/>
                <w:szCs w:val="21"/>
              </w:rPr>
            </w:pPr>
            <w:r>
              <w:rPr>
                <w:color w:val="auto"/>
                <w:sz w:val="21"/>
                <w:szCs w:val="21"/>
              </w:rPr>
              <w:t>50.00</w:t>
            </w:r>
          </w:p>
        </w:tc>
        <w:tc>
          <w:tcPr>
            <w:tcW w:w="555" w:type="pct"/>
            <w:vAlign w:val="center"/>
          </w:tcPr>
          <w:p>
            <w:pPr>
              <w:spacing w:line="240" w:lineRule="auto"/>
              <w:ind w:firstLine="0" w:firstLineChars="0"/>
              <w:jc w:val="center"/>
              <w:rPr>
                <w:color w:val="auto"/>
                <w:sz w:val="21"/>
                <w:szCs w:val="21"/>
              </w:rPr>
            </w:pPr>
            <w:r>
              <w:rPr>
                <w:rFonts w:hint="eastAsia"/>
                <w:color w:val="auto"/>
                <w:sz w:val="21"/>
                <w:szCs w:val="21"/>
              </w:rPr>
              <w:t>0.018</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adjustRightInd w:val="0"/>
              <w:snapToGrid w:val="0"/>
              <w:spacing w:line="240" w:lineRule="auto"/>
              <w:ind w:firstLine="0" w:firstLineChars="0"/>
              <w:jc w:val="center"/>
              <w:rPr>
                <w:color w:val="auto"/>
                <w:sz w:val="21"/>
                <w:szCs w:val="21"/>
              </w:rPr>
            </w:pPr>
            <w:r>
              <w:rPr>
                <w:color w:val="auto"/>
                <w:sz w:val="21"/>
                <w:szCs w:val="21"/>
              </w:rPr>
              <w:t>总磷</w:t>
            </w:r>
          </w:p>
        </w:tc>
        <w:tc>
          <w:tcPr>
            <w:tcW w:w="734" w:type="pct"/>
            <w:vAlign w:val="center"/>
          </w:tcPr>
          <w:p>
            <w:pPr>
              <w:spacing w:line="240" w:lineRule="auto"/>
              <w:ind w:firstLine="0" w:firstLineChars="0"/>
              <w:jc w:val="center"/>
              <w:rPr>
                <w:color w:val="auto"/>
                <w:sz w:val="21"/>
                <w:szCs w:val="21"/>
              </w:rPr>
            </w:pPr>
            <w:r>
              <w:rPr>
                <w:color w:val="auto"/>
                <w:sz w:val="21"/>
                <w:szCs w:val="21"/>
              </w:rPr>
              <w:t>5.0</w:t>
            </w:r>
          </w:p>
        </w:tc>
        <w:tc>
          <w:tcPr>
            <w:tcW w:w="555" w:type="pct"/>
            <w:vAlign w:val="center"/>
          </w:tcPr>
          <w:p>
            <w:pPr>
              <w:spacing w:line="240" w:lineRule="auto"/>
              <w:ind w:firstLine="0" w:firstLineChars="0"/>
              <w:jc w:val="center"/>
              <w:rPr>
                <w:color w:val="auto"/>
                <w:sz w:val="21"/>
                <w:szCs w:val="21"/>
              </w:rPr>
            </w:pPr>
            <w:r>
              <w:rPr>
                <w:rFonts w:hint="eastAsia"/>
                <w:color w:val="auto"/>
                <w:sz w:val="21"/>
                <w:szCs w:val="21"/>
              </w:rPr>
              <w:t>0.002</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adjustRightInd w:val="0"/>
              <w:snapToGrid w:val="0"/>
              <w:spacing w:line="240" w:lineRule="auto"/>
              <w:ind w:firstLine="0" w:firstLineChars="0"/>
              <w:jc w:val="center"/>
              <w:rPr>
                <w:color w:val="auto"/>
                <w:sz w:val="21"/>
                <w:szCs w:val="21"/>
              </w:rPr>
            </w:pPr>
            <w:r>
              <w:rPr>
                <w:color w:val="auto"/>
                <w:kern w:val="0"/>
                <w:sz w:val="21"/>
                <w:szCs w:val="21"/>
              </w:rPr>
              <w:t>SS</w:t>
            </w:r>
          </w:p>
        </w:tc>
        <w:tc>
          <w:tcPr>
            <w:tcW w:w="734" w:type="pct"/>
            <w:vAlign w:val="center"/>
          </w:tcPr>
          <w:p>
            <w:pPr>
              <w:spacing w:line="240" w:lineRule="auto"/>
              <w:ind w:firstLine="0" w:firstLineChars="0"/>
              <w:jc w:val="center"/>
              <w:rPr>
                <w:color w:val="auto"/>
                <w:sz w:val="21"/>
                <w:szCs w:val="21"/>
              </w:rPr>
            </w:pPr>
            <w:r>
              <w:rPr>
                <w:color w:val="auto"/>
                <w:sz w:val="21"/>
                <w:szCs w:val="21"/>
              </w:rPr>
              <w:t>300.00</w:t>
            </w:r>
          </w:p>
        </w:tc>
        <w:tc>
          <w:tcPr>
            <w:tcW w:w="555" w:type="pct"/>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rPr>
              <w:t>0.</w:t>
            </w:r>
            <w:r>
              <w:rPr>
                <w:rFonts w:hint="eastAsia"/>
                <w:color w:val="auto"/>
                <w:sz w:val="21"/>
                <w:szCs w:val="21"/>
                <w:lang w:eastAsia="zh-CN"/>
              </w:rPr>
              <w:t>15</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bl>
    <w:p>
      <w:pPr>
        <w:pStyle w:val="14"/>
        <w:spacing w:after="0"/>
        <w:ind w:firstLine="480"/>
        <w:rPr>
          <w:color w:val="auto"/>
        </w:rPr>
      </w:pPr>
      <w:r>
        <w:rPr>
          <w:rFonts w:hint="eastAsia"/>
          <w:color w:val="auto"/>
        </w:rPr>
        <w:t>2、污水处理</w:t>
      </w:r>
    </w:p>
    <w:p>
      <w:pPr>
        <w:pStyle w:val="14"/>
        <w:spacing w:after="0"/>
        <w:ind w:firstLine="480"/>
        <w:rPr>
          <w:color w:val="auto"/>
        </w:rPr>
      </w:pPr>
      <w:r>
        <w:rPr>
          <w:rFonts w:hint="eastAsia"/>
          <w:color w:val="auto"/>
        </w:rPr>
        <w:t>拟建项目</w:t>
      </w:r>
      <w:r>
        <w:rPr>
          <w:color w:val="auto"/>
        </w:rPr>
        <w:t>新上一套一体化污水处理系统，将循环冷却系统排水、化验室排水、</w:t>
      </w:r>
      <w:r>
        <w:rPr>
          <w:rFonts w:hint="eastAsia"/>
          <w:color w:val="auto"/>
        </w:rPr>
        <w:t>喷淋塔排水、</w:t>
      </w:r>
      <w:r>
        <w:rPr>
          <w:color w:val="auto"/>
        </w:rPr>
        <w:t>地面清洗废水和</w:t>
      </w:r>
      <w:r>
        <w:rPr>
          <w:rFonts w:hint="eastAsia"/>
          <w:color w:val="auto"/>
        </w:rPr>
        <w:t>生产废水</w:t>
      </w:r>
      <w:r>
        <w:rPr>
          <w:color w:val="auto"/>
        </w:rPr>
        <w:t>收集后经处理后回用，处理能力</w:t>
      </w:r>
      <w:r>
        <w:rPr>
          <w:rFonts w:hint="eastAsia"/>
          <w:color w:val="auto"/>
        </w:rPr>
        <w:t>0.5</w:t>
      </w:r>
      <w:r>
        <w:rPr>
          <w:color w:val="auto"/>
        </w:rPr>
        <w:t>m</w:t>
      </w:r>
      <w:r>
        <w:rPr>
          <w:color w:val="auto"/>
          <w:vertAlign w:val="superscript"/>
        </w:rPr>
        <w:t>3</w:t>
      </w:r>
      <w:r>
        <w:rPr>
          <w:color w:val="auto"/>
        </w:rPr>
        <w:t>/h，年处理废水</w:t>
      </w:r>
      <w:r>
        <w:rPr>
          <w:rFonts w:hint="eastAsia"/>
          <w:color w:val="auto"/>
        </w:rPr>
        <w:t>3600</w:t>
      </w:r>
      <w:r>
        <w:rPr>
          <w:color w:val="auto"/>
        </w:rPr>
        <w:t>m</w:t>
      </w:r>
      <w:r>
        <w:rPr>
          <w:color w:val="auto"/>
          <w:vertAlign w:val="superscript"/>
        </w:rPr>
        <w:t>3</w:t>
      </w:r>
      <w:r>
        <w:rPr>
          <w:color w:val="auto"/>
        </w:rPr>
        <w:t>。</w:t>
      </w:r>
      <w:r>
        <w:rPr>
          <w:rFonts w:hint="eastAsia"/>
          <w:color w:val="auto"/>
          <w:lang w:val="en-US" w:eastAsia="zh-CN"/>
        </w:rPr>
        <w:t>生产</w:t>
      </w:r>
      <w:r>
        <w:rPr>
          <w:color w:val="auto"/>
        </w:rPr>
        <w:t>废水</w:t>
      </w:r>
      <w:r>
        <w:rPr>
          <w:rFonts w:hint="eastAsia"/>
          <w:color w:val="auto"/>
        </w:rPr>
        <w:t>经过污水处理站处理后</w:t>
      </w:r>
      <w:r>
        <w:rPr>
          <w:rFonts w:hint="eastAsia"/>
          <w:color w:val="auto"/>
          <w:lang w:val="en-US" w:eastAsia="zh-CN"/>
        </w:rPr>
        <w:t>与生活污水汇合后执行《污水综合排放标准》（GB8978-1996）三级标准及光大水务（淄博）有限公司水质净化三分厂纳管水质要求</w:t>
      </w:r>
      <w:r>
        <w:rPr>
          <w:color w:val="auto"/>
        </w:rPr>
        <w:t>。</w:t>
      </w:r>
    </w:p>
    <w:p>
      <w:pPr>
        <w:pStyle w:val="2"/>
        <w:spacing w:after="0" w:line="360" w:lineRule="auto"/>
        <w:ind w:firstLine="480"/>
        <w:rPr>
          <w:color w:val="auto"/>
        </w:rPr>
      </w:pPr>
      <w:r>
        <w:rPr>
          <w:color w:val="auto"/>
        </w:rPr>
        <w:t>处理工艺如下：</w:t>
      </w:r>
    </w:p>
    <w:p>
      <w:pPr>
        <w:pStyle w:val="2"/>
        <w:spacing w:after="0"/>
        <w:ind w:firstLine="0" w:firstLineChars="0"/>
        <w:jc w:val="center"/>
        <w:rPr>
          <w:b w:val="0"/>
          <w:bCs w:val="0"/>
          <w:color w:val="auto"/>
        </w:rPr>
      </w:pPr>
      <w:r>
        <w:rPr>
          <w:rFonts w:hint="eastAsia" w:cs="宋体" w:asciiTheme="minorEastAsia" w:hAnsiTheme="minorEastAsia"/>
          <w:b w:val="0"/>
          <w:bCs w:val="0"/>
          <w:color w:val="auto"/>
        </w:rPr>
        <w:drawing>
          <wp:anchor distT="0" distB="0" distL="114300" distR="114300" simplePos="0" relativeHeight="251665408" behindDoc="0" locked="0" layoutInCell="1" allowOverlap="1">
            <wp:simplePos x="0" y="0"/>
            <wp:positionH relativeFrom="column">
              <wp:posOffset>843280</wp:posOffset>
            </wp:positionH>
            <wp:positionV relativeFrom="paragraph">
              <wp:posOffset>77470</wp:posOffset>
            </wp:positionV>
            <wp:extent cx="3758565" cy="4348480"/>
            <wp:effectExtent l="0" t="0" r="13335" b="13970"/>
            <wp:wrapTopAndBottom/>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3758565" cy="4348480"/>
                    </a:xfrm>
                    <a:prstGeom prst="rect">
                      <a:avLst/>
                    </a:prstGeom>
                    <a:noFill/>
                    <a:ln>
                      <a:noFill/>
                    </a:ln>
                  </pic:spPr>
                </pic:pic>
              </a:graphicData>
            </a:graphic>
          </wp:anchor>
        </w:drawing>
      </w:r>
      <w:r>
        <w:rPr>
          <w:rFonts w:eastAsia="黑体"/>
          <w:b w:val="0"/>
          <w:bCs w:val="0"/>
          <w:color w:val="auto"/>
          <w:sz w:val="21"/>
          <w:szCs w:val="21"/>
        </w:rPr>
        <w:t>图</w:t>
      </w:r>
      <w:r>
        <w:rPr>
          <w:rFonts w:hint="eastAsia" w:eastAsia="黑体"/>
          <w:b w:val="0"/>
          <w:bCs w:val="0"/>
          <w:color w:val="auto"/>
          <w:sz w:val="21"/>
          <w:szCs w:val="21"/>
        </w:rPr>
        <w:t>2</w:t>
      </w:r>
      <w:r>
        <w:rPr>
          <w:rFonts w:eastAsia="黑体"/>
          <w:b w:val="0"/>
          <w:bCs w:val="0"/>
          <w:color w:val="auto"/>
          <w:sz w:val="21"/>
          <w:szCs w:val="21"/>
        </w:rPr>
        <w:t>.</w:t>
      </w:r>
      <w:r>
        <w:rPr>
          <w:rFonts w:hint="eastAsia" w:eastAsia="黑体"/>
          <w:b w:val="0"/>
          <w:bCs w:val="0"/>
          <w:color w:val="auto"/>
          <w:sz w:val="21"/>
          <w:szCs w:val="21"/>
        </w:rPr>
        <w:t>5</w:t>
      </w:r>
      <w:r>
        <w:rPr>
          <w:rFonts w:eastAsia="黑体"/>
          <w:b w:val="0"/>
          <w:bCs w:val="0"/>
          <w:color w:val="auto"/>
          <w:sz w:val="21"/>
          <w:szCs w:val="21"/>
        </w:rPr>
        <w:t>-2  污水处理工艺流程图</w:t>
      </w:r>
    </w:p>
    <w:p>
      <w:pPr>
        <w:spacing w:line="360" w:lineRule="auto"/>
        <w:ind w:firstLine="480"/>
        <w:rPr>
          <w:rFonts w:cs="宋体" w:asciiTheme="minorEastAsia" w:hAnsiTheme="minorEastAsia"/>
          <w:color w:val="auto"/>
        </w:rPr>
      </w:pPr>
      <w:r>
        <w:rPr>
          <w:bCs/>
          <w:color w:val="auto"/>
          <w:szCs w:val="21"/>
        </w:rPr>
        <w:t>循环冷却系统排水、化验室排水、</w:t>
      </w:r>
      <w:r>
        <w:rPr>
          <w:rFonts w:hint="eastAsia"/>
          <w:bCs/>
          <w:color w:val="auto"/>
          <w:szCs w:val="21"/>
        </w:rPr>
        <w:t>喷淋塔排水、</w:t>
      </w:r>
      <w:r>
        <w:rPr>
          <w:bCs/>
          <w:color w:val="auto"/>
          <w:szCs w:val="21"/>
        </w:rPr>
        <w:t>地面清洗废水和</w:t>
      </w:r>
      <w:r>
        <w:rPr>
          <w:rFonts w:hint="eastAsia"/>
          <w:bCs/>
          <w:color w:val="auto"/>
          <w:szCs w:val="21"/>
        </w:rPr>
        <w:t>生产废水</w:t>
      </w:r>
      <w:r>
        <w:rPr>
          <w:rFonts w:hint="eastAsia" w:cs="宋体" w:asciiTheme="minorEastAsia" w:hAnsiTheme="minorEastAsia"/>
          <w:color w:val="auto"/>
        </w:rPr>
        <w:t>经管道压力流至污水处理站内废水收集池，在废水收集池内暂存均质，以防来水水质水量波动过大对后续处理构筑物的冲击过大，影响后续处理构筑物正常运行。收集池水由泵提升至深度厌氧（水解酸化）池进行生化处理。</w:t>
      </w:r>
    </w:p>
    <w:p>
      <w:pPr>
        <w:spacing w:line="360" w:lineRule="auto"/>
        <w:ind w:firstLine="480"/>
        <w:rPr>
          <w:rFonts w:cs="宋体" w:asciiTheme="minorEastAsia" w:hAnsiTheme="minorEastAsia"/>
          <w:color w:val="auto"/>
        </w:rPr>
      </w:pPr>
      <w:r>
        <w:rPr>
          <w:rFonts w:hint="eastAsia" w:cs="宋体" w:asciiTheme="minorEastAsia" w:hAnsiTheme="minorEastAsia"/>
          <w:color w:val="auto"/>
        </w:rPr>
        <w:t>经生化处理降解水中</w:t>
      </w:r>
      <w:r>
        <w:rPr>
          <w:rFonts w:hint="default" w:ascii="Times New Roman" w:hAnsi="Times New Roman" w:cs="Times New Roman"/>
          <w:color w:val="auto"/>
        </w:rPr>
        <w:t>的COD</w:t>
      </w:r>
      <w:r>
        <w:rPr>
          <w:rFonts w:hint="eastAsia" w:cs="宋体" w:asciiTheme="minorEastAsia" w:hAnsiTheme="minorEastAsia"/>
          <w:color w:val="auto"/>
        </w:rPr>
        <w:t>污染物后自流进入沉淀池，进行固液分离，沉淀池上清液自流至高倍增好氧生物处理池,底部浓缩污泥作为内回流污泥由气提装置回流至深度厌氧（水解酸化）池。</w:t>
      </w:r>
    </w:p>
    <w:p>
      <w:pPr>
        <w:ind w:firstLine="480"/>
        <w:rPr>
          <w:rFonts w:hint="eastAsia" w:cs="宋体" w:asciiTheme="minorEastAsia" w:hAnsiTheme="minorEastAsia"/>
          <w:color w:val="auto"/>
        </w:rPr>
      </w:pPr>
      <w:r>
        <w:rPr>
          <w:rFonts w:hint="eastAsia" w:cs="宋体" w:asciiTheme="minorEastAsia" w:hAnsiTheme="minorEastAsia"/>
          <w:color w:val="auto"/>
        </w:rPr>
        <w:t>沉淀池水自流至高倍增好氧生物处理池，进一步降解水中COD污染物后自流至二沉池。二沉池部分污泥回流至高倍增好氧生物处理池及深度厌氧（水解酸化）池，剩余污泥经泵提升至污泥池，上清液自流至监测排放池，达标后外排。</w:t>
      </w:r>
    </w:p>
    <w:p>
      <w:pPr>
        <w:pStyle w:val="2"/>
        <w:spacing w:after="0" w:line="360" w:lineRule="auto"/>
        <w:ind w:firstLine="480"/>
        <w:rPr>
          <w:rFonts w:hint="default" w:eastAsia="宋体" w:cs="宋体" w:asciiTheme="minorEastAsia" w:hAnsiTheme="minorEastAsia"/>
          <w:color w:val="auto"/>
          <w:kern w:val="2"/>
          <w:sz w:val="24"/>
          <w:szCs w:val="20"/>
          <w:lang w:val="en-US" w:eastAsia="zh-CN" w:bidi="ar-SA"/>
        </w:rPr>
      </w:pPr>
      <w:r>
        <w:rPr>
          <w:rFonts w:hint="eastAsia" w:eastAsia="宋体" w:cs="宋体" w:asciiTheme="minorEastAsia" w:hAnsiTheme="minorEastAsia"/>
          <w:color w:val="auto"/>
          <w:kern w:val="2"/>
          <w:sz w:val="24"/>
          <w:szCs w:val="20"/>
          <w:lang w:val="en-US" w:eastAsia="zh-CN" w:bidi="ar-SA"/>
        </w:rPr>
        <w:t>高倍增好氧生物池原理：</w:t>
      </w:r>
      <w:r>
        <w:rPr>
          <w:rFonts w:hint="eastAsia" w:cs="宋体" w:asciiTheme="minorEastAsia" w:hAnsiTheme="minorEastAsia"/>
          <w:color w:val="auto"/>
          <w:kern w:val="2"/>
          <w:sz w:val="24"/>
          <w:szCs w:val="20"/>
          <w:lang w:val="en-US" w:eastAsia="zh-CN" w:bidi="ar-SA"/>
        </w:rPr>
        <w:t>主要为好氧处理，</w:t>
      </w:r>
      <w:r>
        <w:rPr>
          <w:rFonts w:hint="eastAsia" w:eastAsia="宋体" w:cs="宋体" w:asciiTheme="minorEastAsia" w:hAnsiTheme="minorEastAsia"/>
          <w:color w:val="auto"/>
          <w:kern w:val="2"/>
          <w:sz w:val="24"/>
          <w:szCs w:val="20"/>
          <w:lang w:val="en-US" w:eastAsia="zh-CN" w:bidi="ar-SA"/>
        </w:rPr>
        <w:t>高倍增好氧生物池</w:t>
      </w:r>
      <w:r>
        <w:rPr>
          <w:rFonts w:hint="eastAsia" w:cs="宋体" w:asciiTheme="minorEastAsia" w:hAnsiTheme="minorEastAsia"/>
          <w:color w:val="auto"/>
          <w:kern w:val="2"/>
          <w:sz w:val="24"/>
          <w:szCs w:val="20"/>
          <w:lang w:val="en-US" w:eastAsia="zh-CN" w:bidi="ar-SA"/>
        </w:rPr>
        <w:t>是利用污水中的好氧微生物在有游离氧存在的条件下，消化、降解污水中的有机物，使其稳定化、无害化的处理装置。好氧池一般为接触氧化池的形式，池内设置有填料，已经充氧的污水浸没全部填料，并以一定的流速流经填料。微生物一部分以生物膜的形式固着于填料表面，一部分则以絮状悬浮于水中，因此它兼有生物滤池和活性污泥法的特点。接触氧化池中微生物所需的氧通常由人工曝气供给。生物膜生长至一定厚度后，近填料壁的微生物将由于缺氧而进行厌氧代谢，产生的气体及曝气形成的冲刷作用造成部分生物膜脱落，促进了新生物膜的生长，形成生物的新陈代谢。脱落的生物膜随出水进入后续的二沉池。</w:t>
      </w:r>
    </w:p>
    <w:p>
      <w:pPr>
        <w:pStyle w:val="2"/>
        <w:spacing w:after="0" w:line="360" w:lineRule="auto"/>
        <w:ind w:firstLine="480"/>
        <w:rPr>
          <w:rFonts w:eastAsia="黑体"/>
          <w:b/>
          <w:color w:val="auto"/>
          <w:sz w:val="21"/>
          <w:szCs w:val="21"/>
        </w:rPr>
      </w:pPr>
      <w:r>
        <w:rPr>
          <w:color w:val="auto"/>
        </w:rPr>
        <w:t>污水处理系统主要构筑物及设备见表</w:t>
      </w:r>
      <w:r>
        <w:rPr>
          <w:rFonts w:hint="eastAsia"/>
          <w:color w:val="auto"/>
        </w:rPr>
        <w:t>2</w:t>
      </w:r>
      <w:r>
        <w:rPr>
          <w:color w:val="auto"/>
        </w:rPr>
        <w:t>.</w:t>
      </w:r>
      <w:r>
        <w:rPr>
          <w:rFonts w:hint="eastAsia"/>
          <w:color w:val="auto"/>
        </w:rPr>
        <w:t>5</w:t>
      </w:r>
      <w:r>
        <w:rPr>
          <w:color w:val="auto"/>
        </w:rPr>
        <w:t>-1</w:t>
      </w:r>
      <w:r>
        <w:rPr>
          <w:rFonts w:hint="eastAsia"/>
          <w:color w:val="auto"/>
        </w:rPr>
        <w:t>5</w:t>
      </w:r>
      <w:r>
        <w:rPr>
          <w:color w:val="auto"/>
        </w:rPr>
        <w:t>。</w:t>
      </w:r>
    </w:p>
    <w:p>
      <w:pPr>
        <w:ind w:firstLine="0" w:firstLineChars="0"/>
        <w:jc w:val="center"/>
        <w:rPr>
          <w:rFonts w:eastAsia="黑体"/>
          <w:b w:val="0"/>
          <w:bCs/>
          <w:color w:val="auto"/>
          <w:sz w:val="21"/>
          <w:szCs w:val="21"/>
        </w:rPr>
      </w:pPr>
      <w:r>
        <w:rPr>
          <w:rFonts w:eastAsia="黑体"/>
          <w:b w:val="0"/>
          <w:bCs/>
          <w:color w:val="auto"/>
          <w:sz w:val="21"/>
          <w:szCs w:val="21"/>
        </w:rPr>
        <w:t>表</w:t>
      </w:r>
      <w:r>
        <w:rPr>
          <w:rFonts w:hint="eastAsia" w:eastAsia="黑体"/>
          <w:b w:val="0"/>
          <w:bCs/>
          <w:color w:val="auto"/>
          <w:sz w:val="21"/>
          <w:szCs w:val="21"/>
        </w:rPr>
        <w:t>2.5-15</w:t>
      </w:r>
      <w:r>
        <w:rPr>
          <w:rFonts w:eastAsia="黑体"/>
          <w:b w:val="0"/>
          <w:bCs/>
          <w:color w:val="auto"/>
          <w:sz w:val="21"/>
          <w:szCs w:val="21"/>
        </w:rPr>
        <w:t xml:space="preserve">  污水处理系统主要构筑物及设备清单</w:t>
      </w:r>
    </w:p>
    <w:tbl>
      <w:tblPr>
        <w:tblStyle w:val="22"/>
        <w:tblW w:w="4994"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158"/>
        <w:gridCol w:w="2550"/>
        <w:gridCol w:w="3805"/>
        <w:gridCol w:w="882"/>
        <w:gridCol w:w="882"/>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624" w:type="pct"/>
            <w:tcBorders>
              <w:bottom w:val="single" w:color="008000" w:sz="6" w:space="0"/>
            </w:tcBorders>
            <w:vAlign w:val="center"/>
          </w:tcPr>
          <w:p>
            <w:pPr>
              <w:widowControl/>
              <w:snapToGrid w:val="0"/>
              <w:spacing w:line="240" w:lineRule="auto"/>
              <w:ind w:firstLine="0" w:firstLineChars="0"/>
              <w:jc w:val="center"/>
              <w:rPr>
                <w:b/>
                <w:color w:val="auto"/>
                <w:kern w:val="0"/>
                <w:sz w:val="21"/>
                <w:szCs w:val="21"/>
              </w:rPr>
            </w:pPr>
            <w:r>
              <w:rPr>
                <w:b/>
                <w:color w:val="auto"/>
                <w:kern w:val="0"/>
                <w:sz w:val="21"/>
                <w:szCs w:val="21"/>
              </w:rPr>
              <w:t>序号</w:t>
            </w:r>
          </w:p>
        </w:tc>
        <w:tc>
          <w:tcPr>
            <w:tcW w:w="1374" w:type="pct"/>
            <w:tcBorders>
              <w:bottom w:val="single" w:color="008000" w:sz="6" w:space="0"/>
            </w:tcBorders>
            <w:vAlign w:val="center"/>
          </w:tcPr>
          <w:p>
            <w:pPr>
              <w:widowControl/>
              <w:snapToGrid w:val="0"/>
              <w:spacing w:line="240" w:lineRule="auto"/>
              <w:ind w:firstLine="0" w:firstLineChars="0"/>
              <w:jc w:val="center"/>
              <w:rPr>
                <w:b/>
                <w:color w:val="auto"/>
                <w:kern w:val="0"/>
                <w:sz w:val="21"/>
                <w:szCs w:val="21"/>
              </w:rPr>
            </w:pPr>
            <w:r>
              <w:rPr>
                <w:b/>
                <w:color w:val="auto"/>
                <w:kern w:val="0"/>
                <w:sz w:val="21"/>
                <w:szCs w:val="21"/>
              </w:rPr>
              <w:t>构筑物、设备名称</w:t>
            </w:r>
          </w:p>
        </w:tc>
        <w:tc>
          <w:tcPr>
            <w:tcW w:w="2050" w:type="pct"/>
            <w:tcBorders>
              <w:bottom w:val="single" w:color="008000" w:sz="6" w:space="0"/>
            </w:tcBorders>
            <w:vAlign w:val="center"/>
          </w:tcPr>
          <w:p>
            <w:pPr>
              <w:widowControl/>
              <w:snapToGrid w:val="0"/>
              <w:spacing w:line="240" w:lineRule="auto"/>
              <w:ind w:firstLine="0" w:firstLineChars="0"/>
              <w:jc w:val="center"/>
              <w:rPr>
                <w:b/>
                <w:color w:val="auto"/>
                <w:kern w:val="0"/>
                <w:sz w:val="21"/>
                <w:szCs w:val="21"/>
              </w:rPr>
            </w:pPr>
            <w:r>
              <w:rPr>
                <w:b/>
                <w:color w:val="auto"/>
                <w:kern w:val="0"/>
                <w:sz w:val="21"/>
                <w:szCs w:val="21"/>
              </w:rPr>
              <w:t>规格、型号</w:t>
            </w:r>
          </w:p>
        </w:tc>
        <w:tc>
          <w:tcPr>
            <w:tcW w:w="475" w:type="pct"/>
            <w:tcBorders>
              <w:bottom w:val="single" w:color="008000" w:sz="6" w:space="0"/>
            </w:tcBorders>
            <w:vAlign w:val="center"/>
          </w:tcPr>
          <w:p>
            <w:pPr>
              <w:widowControl/>
              <w:snapToGrid w:val="0"/>
              <w:spacing w:line="240" w:lineRule="auto"/>
              <w:ind w:firstLine="0" w:firstLineChars="0"/>
              <w:jc w:val="center"/>
              <w:rPr>
                <w:b/>
                <w:color w:val="auto"/>
                <w:kern w:val="0"/>
                <w:sz w:val="21"/>
                <w:szCs w:val="21"/>
              </w:rPr>
            </w:pPr>
            <w:r>
              <w:rPr>
                <w:b/>
                <w:color w:val="auto"/>
                <w:kern w:val="0"/>
                <w:sz w:val="21"/>
                <w:szCs w:val="21"/>
              </w:rPr>
              <w:t>单位</w:t>
            </w:r>
          </w:p>
        </w:tc>
        <w:tc>
          <w:tcPr>
            <w:tcW w:w="475" w:type="pct"/>
            <w:tcBorders>
              <w:bottom w:val="single" w:color="008000" w:sz="6" w:space="0"/>
            </w:tcBorders>
            <w:vAlign w:val="center"/>
          </w:tcPr>
          <w:p>
            <w:pPr>
              <w:widowControl/>
              <w:snapToGrid w:val="0"/>
              <w:spacing w:line="240" w:lineRule="auto"/>
              <w:ind w:firstLine="0" w:firstLineChars="0"/>
              <w:jc w:val="center"/>
              <w:rPr>
                <w:b/>
                <w:color w:val="auto"/>
                <w:kern w:val="0"/>
                <w:sz w:val="21"/>
                <w:szCs w:val="21"/>
              </w:rPr>
            </w:pPr>
            <w:r>
              <w:rPr>
                <w:b/>
                <w:color w:val="auto"/>
                <w:kern w:val="0"/>
                <w:sz w:val="21"/>
                <w:szCs w:val="21"/>
              </w:rPr>
              <w:t>数量</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624"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1</w:t>
            </w:r>
          </w:p>
        </w:tc>
        <w:tc>
          <w:tcPr>
            <w:tcW w:w="1374" w:type="pct"/>
            <w:vAlign w:val="center"/>
          </w:tcPr>
          <w:p>
            <w:pPr>
              <w:widowControl/>
              <w:snapToGrid w:val="0"/>
              <w:spacing w:line="240" w:lineRule="auto"/>
              <w:ind w:firstLine="0" w:firstLineChars="0"/>
              <w:jc w:val="center"/>
              <w:rPr>
                <w:color w:val="auto"/>
                <w:kern w:val="0"/>
                <w:sz w:val="21"/>
                <w:szCs w:val="21"/>
              </w:rPr>
            </w:pPr>
            <w:r>
              <w:rPr>
                <w:rFonts w:hint="eastAsia"/>
                <w:color w:val="auto"/>
                <w:kern w:val="0"/>
                <w:sz w:val="21"/>
                <w:szCs w:val="21"/>
              </w:rPr>
              <w:t>废水收集池</w:t>
            </w:r>
          </w:p>
        </w:tc>
        <w:tc>
          <w:tcPr>
            <w:tcW w:w="2050"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2.25m×1.75m×2.9m</w:t>
            </w:r>
          </w:p>
        </w:tc>
        <w:tc>
          <w:tcPr>
            <w:tcW w:w="475"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座</w:t>
            </w:r>
          </w:p>
        </w:tc>
        <w:tc>
          <w:tcPr>
            <w:tcW w:w="475" w:type="pct"/>
            <w:vAlign w:val="center"/>
          </w:tcPr>
          <w:p>
            <w:pPr>
              <w:widowControl/>
              <w:snapToGrid w:val="0"/>
              <w:spacing w:line="240" w:lineRule="auto"/>
              <w:ind w:firstLine="0" w:firstLineChars="0"/>
              <w:jc w:val="center"/>
              <w:rPr>
                <w:color w:val="auto"/>
                <w:kern w:val="0"/>
                <w:sz w:val="21"/>
                <w:szCs w:val="21"/>
              </w:rPr>
            </w:pPr>
            <w:r>
              <w:rPr>
                <w:rFonts w:hint="eastAsia"/>
                <w:color w:val="auto"/>
                <w:kern w:val="0"/>
                <w:sz w:val="21"/>
                <w:szCs w:val="21"/>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300" w:hRule="atLeast"/>
        </w:trPr>
        <w:tc>
          <w:tcPr>
            <w:tcW w:w="624"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2</w:t>
            </w:r>
          </w:p>
        </w:tc>
        <w:tc>
          <w:tcPr>
            <w:tcW w:w="1374"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提升泵</w:t>
            </w:r>
          </w:p>
        </w:tc>
        <w:tc>
          <w:tcPr>
            <w:tcW w:w="2050" w:type="pct"/>
            <w:vAlign w:val="center"/>
          </w:tcPr>
          <w:p>
            <w:pPr>
              <w:widowControl/>
              <w:snapToGrid w:val="0"/>
              <w:spacing w:line="240" w:lineRule="auto"/>
              <w:ind w:firstLine="0" w:firstLineChars="0"/>
              <w:jc w:val="center"/>
              <w:rPr>
                <w:color w:val="auto"/>
                <w:kern w:val="0"/>
                <w:sz w:val="21"/>
                <w:szCs w:val="21"/>
              </w:rPr>
            </w:pPr>
            <w:r>
              <w:rPr>
                <w:rFonts w:hint="eastAsia"/>
                <w:color w:val="auto"/>
                <w:kern w:val="0"/>
                <w:sz w:val="21"/>
                <w:szCs w:val="21"/>
              </w:rPr>
              <w:t>型式：离心泵</w:t>
            </w:r>
            <w:r>
              <w:rPr>
                <w:color w:val="auto"/>
                <w:kern w:val="0"/>
                <w:sz w:val="21"/>
                <w:szCs w:val="21"/>
              </w:rPr>
              <w:t>Q=0.5m3/h  H=5m</w:t>
            </w:r>
          </w:p>
          <w:p>
            <w:pPr>
              <w:widowControl/>
              <w:snapToGrid w:val="0"/>
              <w:spacing w:line="240" w:lineRule="auto"/>
              <w:ind w:firstLine="0" w:firstLineChars="0"/>
              <w:jc w:val="center"/>
              <w:rPr>
                <w:color w:val="auto"/>
                <w:kern w:val="0"/>
                <w:sz w:val="21"/>
                <w:szCs w:val="21"/>
              </w:rPr>
            </w:pPr>
            <w:r>
              <w:rPr>
                <w:rFonts w:hint="eastAsia"/>
                <w:color w:val="auto"/>
                <w:kern w:val="0"/>
                <w:sz w:val="21"/>
                <w:szCs w:val="21"/>
              </w:rPr>
              <w:t>防护等级</w:t>
            </w:r>
            <w:r>
              <w:rPr>
                <w:color w:val="auto"/>
                <w:kern w:val="0"/>
                <w:sz w:val="21"/>
                <w:szCs w:val="21"/>
              </w:rPr>
              <w:t>IP55</w:t>
            </w:r>
            <w:r>
              <w:rPr>
                <w:rFonts w:hint="eastAsia"/>
                <w:color w:val="auto"/>
                <w:kern w:val="0"/>
                <w:sz w:val="21"/>
                <w:szCs w:val="21"/>
              </w:rPr>
              <w:t xml:space="preserve"> </w:t>
            </w:r>
          </w:p>
        </w:tc>
        <w:tc>
          <w:tcPr>
            <w:tcW w:w="475"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台</w:t>
            </w:r>
          </w:p>
        </w:tc>
        <w:tc>
          <w:tcPr>
            <w:tcW w:w="475" w:type="pct"/>
            <w:vAlign w:val="center"/>
          </w:tcPr>
          <w:p>
            <w:pPr>
              <w:widowControl/>
              <w:snapToGrid w:val="0"/>
              <w:spacing w:line="240" w:lineRule="auto"/>
              <w:ind w:firstLine="0" w:firstLineChars="0"/>
              <w:jc w:val="center"/>
              <w:rPr>
                <w:color w:val="auto"/>
                <w:kern w:val="0"/>
                <w:sz w:val="21"/>
                <w:szCs w:val="21"/>
              </w:rPr>
            </w:pPr>
            <w:r>
              <w:rPr>
                <w:rFonts w:hint="eastAsia"/>
                <w:color w:val="auto"/>
                <w:kern w:val="0"/>
                <w:sz w:val="21"/>
                <w:szCs w:val="21"/>
              </w:rPr>
              <w:t>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624"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3</w:t>
            </w:r>
          </w:p>
        </w:tc>
        <w:tc>
          <w:tcPr>
            <w:tcW w:w="1374" w:type="pct"/>
            <w:vAlign w:val="center"/>
          </w:tcPr>
          <w:p>
            <w:pPr>
              <w:widowControl/>
              <w:snapToGrid w:val="0"/>
              <w:spacing w:line="240" w:lineRule="auto"/>
              <w:ind w:firstLine="0" w:firstLineChars="0"/>
              <w:jc w:val="center"/>
              <w:rPr>
                <w:color w:val="auto"/>
                <w:kern w:val="0"/>
                <w:sz w:val="21"/>
                <w:szCs w:val="21"/>
              </w:rPr>
            </w:pPr>
            <w:r>
              <w:rPr>
                <w:rFonts w:hint="eastAsia"/>
                <w:color w:val="auto"/>
                <w:kern w:val="0"/>
                <w:sz w:val="21"/>
                <w:szCs w:val="21"/>
              </w:rPr>
              <w:t>水解酸化池</w:t>
            </w:r>
          </w:p>
        </w:tc>
        <w:tc>
          <w:tcPr>
            <w:tcW w:w="2050" w:type="pct"/>
            <w:vAlign w:val="center"/>
          </w:tcPr>
          <w:p>
            <w:pPr>
              <w:widowControl/>
              <w:snapToGrid w:val="0"/>
              <w:spacing w:line="240" w:lineRule="auto"/>
              <w:ind w:firstLine="0" w:firstLineChars="0"/>
              <w:jc w:val="center"/>
              <w:rPr>
                <w:color w:val="auto"/>
                <w:kern w:val="0"/>
                <w:sz w:val="21"/>
                <w:szCs w:val="21"/>
              </w:rPr>
            </w:pPr>
            <w:r>
              <w:rPr>
                <w:rFonts w:hint="eastAsia"/>
                <w:color w:val="auto"/>
                <w:kern w:val="0"/>
                <w:sz w:val="21"/>
                <w:szCs w:val="21"/>
              </w:rPr>
              <w:t>2</w:t>
            </w:r>
            <w:r>
              <w:rPr>
                <w:color w:val="auto"/>
                <w:kern w:val="0"/>
                <w:sz w:val="21"/>
                <w:szCs w:val="21"/>
              </w:rPr>
              <w:t>.25m</w:t>
            </w:r>
            <w:r>
              <w:rPr>
                <w:rFonts w:hint="eastAsia"/>
                <w:color w:val="auto"/>
                <w:kern w:val="0"/>
                <w:sz w:val="21"/>
                <w:szCs w:val="21"/>
              </w:rPr>
              <w:t>×</w:t>
            </w:r>
            <w:r>
              <w:rPr>
                <w:color w:val="auto"/>
                <w:kern w:val="0"/>
                <w:sz w:val="21"/>
                <w:szCs w:val="21"/>
              </w:rPr>
              <w:t>2.75m</w:t>
            </w:r>
            <w:r>
              <w:rPr>
                <w:rFonts w:hint="eastAsia"/>
                <w:color w:val="auto"/>
                <w:kern w:val="0"/>
                <w:sz w:val="21"/>
                <w:szCs w:val="21"/>
              </w:rPr>
              <w:t>×</w:t>
            </w:r>
            <w:r>
              <w:rPr>
                <w:color w:val="auto"/>
                <w:kern w:val="0"/>
                <w:sz w:val="21"/>
                <w:szCs w:val="21"/>
              </w:rPr>
              <w:t>2.9m</w:t>
            </w:r>
          </w:p>
        </w:tc>
        <w:tc>
          <w:tcPr>
            <w:tcW w:w="475"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座</w:t>
            </w:r>
          </w:p>
        </w:tc>
        <w:tc>
          <w:tcPr>
            <w:tcW w:w="475" w:type="pct"/>
            <w:vAlign w:val="center"/>
          </w:tcPr>
          <w:p>
            <w:pPr>
              <w:widowControl/>
              <w:snapToGrid w:val="0"/>
              <w:spacing w:line="240" w:lineRule="auto"/>
              <w:ind w:firstLine="0" w:firstLineChars="0"/>
              <w:jc w:val="center"/>
              <w:rPr>
                <w:color w:val="auto"/>
                <w:kern w:val="0"/>
                <w:sz w:val="21"/>
                <w:szCs w:val="21"/>
              </w:rPr>
            </w:pPr>
            <w:r>
              <w:rPr>
                <w:rFonts w:hint="eastAsia"/>
                <w:color w:val="auto"/>
                <w:kern w:val="0"/>
                <w:sz w:val="21"/>
                <w:szCs w:val="21"/>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624"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4</w:t>
            </w:r>
          </w:p>
        </w:tc>
        <w:tc>
          <w:tcPr>
            <w:tcW w:w="1374" w:type="pct"/>
            <w:vAlign w:val="center"/>
          </w:tcPr>
          <w:p>
            <w:pPr>
              <w:widowControl/>
              <w:snapToGrid w:val="0"/>
              <w:spacing w:line="240" w:lineRule="auto"/>
              <w:ind w:firstLine="0" w:firstLineChars="0"/>
              <w:jc w:val="center"/>
              <w:rPr>
                <w:color w:val="auto"/>
                <w:kern w:val="0"/>
                <w:sz w:val="21"/>
                <w:szCs w:val="21"/>
              </w:rPr>
            </w:pPr>
            <w:r>
              <w:rPr>
                <w:rFonts w:hint="eastAsia"/>
                <w:color w:val="auto"/>
                <w:kern w:val="0"/>
                <w:sz w:val="21"/>
                <w:szCs w:val="21"/>
              </w:rPr>
              <w:t>高倍增生物池</w:t>
            </w:r>
          </w:p>
        </w:tc>
        <w:tc>
          <w:tcPr>
            <w:tcW w:w="2050" w:type="pct"/>
            <w:vAlign w:val="center"/>
          </w:tcPr>
          <w:p>
            <w:pPr>
              <w:widowControl/>
              <w:snapToGrid w:val="0"/>
              <w:spacing w:line="240" w:lineRule="auto"/>
              <w:ind w:firstLine="0" w:firstLineChars="0"/>
              <w:jc w:val="center"/>
              <w:rPr>
                <w:color w:val="auto"/>
                <w:kern w:val="0"/>
                <w:sz w:val="21"/>
                <w:szCs w:val="21"/>
              </w:rPr>
            </w:pPr>
            <w:r>
              <w:rPr>
                <w:rFonts w:hint="eastAsia"/>
                <w:color w:val="auto"/>
                <w:kern w:val="0"/>
                <w:sz w:val="21"/>
                <w:szCs w:val="21"/>
              </w:rPr>
              <w:t>2</w:t>
            </w:r>
            <w:r>
              <w:rPr>
                <w:color w:val="auto"/>
                <w:kern w:val="0"/>
                <w:sz w:val="21"/>
                <w:szCs w:val="21"/>
              </w:rPr>
              <w:t>.25m</w:t>
            </w:r>
            <w:r>
              <w:rPr>
                <w:rFonts w:hint="eastAsia"/>
                <w:color w:val="auto"/>
                <w:kern w:val="0"/>
                <w:sz w:val="21"/>
                <w:szCs w:val="21"/>
              </w:rPr>
              <w:t>×</w:t>
            </w:r>
            <w:r>
              <w:rPr>
                <w:color w:val="auto"/>
                <w:kern w:val="0"/>
                <w:sz w:val="21"/>
                <w:szCs w:val="21"/>
              </w:rPr>
              <w:t>2.75m</w:t>
            </w:r>
            <w:r>
              <w:rPr>
                <w:rFonts w:hint="eastAsia"/>
                <w:color w:val="auto"/>
                <w:kern w:val="0"/>
                <w:sz w:val="21"/>
                <w:szCs w:val="21"/>
              </w:rPr>
              <w:t>×</w:t>
            </w:r>
            <w:r>
              <w:rPr>
                <w:color w:val="auto"/>
                <w:kern w:val="0"/>
                <w:sz w:val="21"/>
                <w:szCs w:val="21"/>
              </w:rPr>
              <w:t>2.9m</w:t>
            </w:r>
          </w:p>
        </w:tc>
        <w:tc>
          <w:tcPr>
            <w:tcW w:w="475"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座</w:t>
            </w:r>
          </w:p>
        </w:tc>
        <w:tc>
          <w:tcPr>
            <w:tcW w:w="475" w:type="pct"/>
            <w:vAlign w:val="center"/>
          </w:tcPr>
          <w:p>
            <w:pPr>
              <w:widowControl/>
              <w:snapToGrid w:val="0"/>
              <w:spacing w:line="240" w:lineRule="auto"/>
              <w:ind w:firstLine="0" w:firstLineChars="0"/>
              <w:jc w:val="center"/>
              <w:rPr>
                <w:color w:val="auto"/>
                <w:kern w:val="0"/>
                <w:sz w:val="21"/>
                <w:szCs w:val="21"/>
              </w:rPr>
            </w:pPr>
            <w:r>
              <w:rPr>
                <w:rFonts w:hint="eastAsia"/>
                <w:color w:val="auto"/>
                <w:kern w:val="0"/>
                <w:sz w:val="21"/>
                <w:szCs w:val="21"/>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624"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5</w:t>
            </w:r>
          </w:p>
        </w:tc>
        <w:tc>
          <w:tcPr>
            <w:tcW w:w="1374" w:type="pct"/>
            <w:vAlign w:val="center"/>
          </w:tcPr>
          <w:p>
            <w:pPr>
              <w:widowControl/>
              <w:snapToGrid w:val="0"/>
              <w:spacing w:line="240" w:lineRule="auto"/>
              <w:ind w:firstLine="0" w:firstLineChars="0"/>
              <w:jc w:val="center"/>
              <w:rPr>
                <w:color w:val="auto"/>
                <w:kern w:val="0"/>
                <w:sz w:val="21"/>
                <w:szCs w:val="21"/>
              </w:rPr>
            </w:pPr>
            <w:r>
              <w:rPr>
                <w:rFonts w:hint="eastAsia"/>
                <w:color w:val="auto"/>
                <w:kern w:val="0"/>
                <w:sz w:val="21"/>
                <w:szCs w:val="21"/>
              </w:rPr>
              <w:t>二沉池</w:t>
            </w:r>
          </w:p>
        </w:tc>
        <w:tc>
          <w:tcPr>
            <w:tcW w:w="2050"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1.75m</w:t>
            </w:r>
            <w:r>
              <w:rPr>
                <w:rFonts w:hint="eastAsia"/>
                <w:color w:val="auto"/>
                <w:kern w:val="0"/>
                <w:sz w:val="21"/>
                <w:szCs w:val="21"/>
              </w:rPr>
              <w:t>×</w:t>
            </w:r>
            <w:r>
              <w:rPr>
                <w:color w:val="auto"/>
                <w:kern w:val="0"/>
                <w:sz w:val="21"/>
                <w:szCs w:val="21"/>
              </w:rPr>
              <w:t>2.25m</w:t>
            </w:r>
            <w:r>
              <w:rPr>
                <w:rFonts w:hint="eastAsia"/>
                <w:color w:val="auto"/>
                <w:kern w:val="0"/>
                <w:sz w:val="21"/>
                <w:szCs w:val="21"/>
              </w:rPr>
              <w:t>×</w:t>
            </w:r>
            <w:r>
              <w:rPr>
                <w:color w:val="auto"/>
                <w:kern w:val="0"/>
                <w:sz w:val="21"/>
                <w:szCs w:val="21"/>
              </w:rPr>
              <w:t>2.9m</w:t>
            </w:r>
          </w:p>
        </w:tc>
        <w:tc>
          <w:tcPr>
            <w:tcW w:w="475"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座</w:t>
            </w:r>
          </w:p>
        </w:tc>
        <w:tc>
          <w:tcPr>
            <w:tcW w:w="475" w:type="pct"/>
            <w:vAlign w:val="center"/>
          </w:tcPr>
          <w:p>
            <w:pPr>
              <w:widowControl/>
              <w:snapToGrid w:val="0"/>
              <w:spacing w:line="240" w:lineRule="auto"/>
              <w:ind w:firstLine="0" w:firstLineChars="0"/>
              <w:jc w:val="center"/>
              <w:rPr>
                <w:color w:val="auto"/>
                <w:kern w:val="0"/>
                <w:sz w:val="21"/>
                <w:szCs w:val="21"/>
              </w:rPr>
            </w:pPr>
            <w:r>
              <w:rPr>
                <w:rFonts w:hint="eastAsia"/>
                <w:color w:val="auto"/>
                <w:kern w:val="0"/>
                <w:sz w:val="21"/>
                <w:szCs w:val="21"/>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624"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6</w:t>
            </w:r>
          </w:p>
        </w:tc>
        <w:tc>
          <w:tcPr>
            <w:tcW w:w="1374" w:type="pct"/>
            <w:vAlign w:val="center"/>
          </w:tcPr>
          <w:p>
            <w:pPr>
              <w:widowControl/>
              <w:snapToGrid w:val="0"/>
              <w:spacing w:line="240" w:lineRule="auto"/>
              <w:ind w:firstLine="0" w:firstLineChars="0"/>
              <w:jc w:val="center"/>
              <w:rPr>
                <w:color w:val="auto"/>
                <w:kern w:val="0"/>
                <w:sz w:val="21"/>
                <w:szCs w:val="21"/>
              </w:rPr>
            </w:pPr>
            <w:r>
              <w:rPr>
                <w:rFonts w:hint="eastAsia"/>
                <w:color w:val="auto"/>
                <w:kern w:val="0"/>
                <w:sz w:val="21"/>
                <w:szCs w:val="21"/>
              </w:rPr>
              <w:t>监测排放池</w:t>
            </w:r>
          </w:p>
        </w:tc>
        <w:tc>
          <w:tcPr>
            <w:tcW w:w="2050"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0.75m</w:t>
            </w:r>
            <w:r>
              <w:rPr>
                <w:rFonts w:hint="eastAsia"/>
                <w:color w:val="auto"/>
                <w:kern w:val="0"/>
                <w:sz w:val="21"/>
                <w:szCs w:val="21"/>
              </w:rPr>
              <w:t>×</w:t>
            </w:r>
            <w:r>
              <w:rPr>
                <w:color w:val="auto"/>
                <w:kern w:val="0"/>
                <w:sz w:val="21"/>
                <w:szCs w:val="21"/>
              </w:rPr>
              <w:t>1m</w:t>
            </w:r>
            <w:r>
              <w:rPr>
                <w:rFonts w:hint="eastAsia"/>
                <w:color w:val="auto"/>
                <w:kern w:val="0"/>
                <w:sz w:val="21"/>
                <w:szCs w:val="21"/>
              </w:rPr>
              <w:t>×</w:t>
            </w:r>
            <w:r>
              <w:rPr>
                <w:color w:val="auto"/>
                <w:kern w:val="0"/>
                <w:sz w:val="21"/>
                <w:szCs w:val="21"/>
              </w:rPr>
              <w:t>2.5m</w:t>
            </w:r>
          </w:p>
        </w:tc>
        <w:tc>
          <w:tcPr>
            <w:tcW w:w="475"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座</w:t>
            </w:r>
          </w:p>
        </w:tc>
        <w:tc>
          <w:tcPr>
            <w:tcW w:w="475" w:type="pct"/>
            <w:vAlign w:val="center"/>
          </w:tcPr>
          <w:p>
            <w:pPr>
              <w:widowControl/>
              <w:snapToGrid w:val="0"/>
              <w:spacing w:line="240" w:lineRule="auto"/>
              <w:ind w:firstLine="0" w:firstLineChars="0"/>
              <w:jc w:val="center"/>
              <w:rPr>
                <w:color w:val="auto"/>
                <w:kern w:val="0"/>
                <w:sz w:val="21"/>
                <w:szCs w:val="21"/>
              </w:rPr>
            </w:pPr>
            <w:r>
              <w:rPr>
                <w:rFonts w:hint="eastAsia"/>
                <w:color w:val="auto"/>
                <w:kern w:val="0"/>
                <w:sz w:val="21"/>
                <w:szCs w:val="21"/>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624"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7</w:t>
            </w:r>
          </w:p>
        </w:tc>
        <w:tc>
          <w:tcPr>
            <w:tcW w:w="1374"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回用水池</w:t>
            </w:r>
          </w:p>
        </w:tc>
        <w:tc>
          <w:tcPr>
            <w:tcW w:w="2050"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0.75m</w:t>
            </w:r>
            <w:r>
              <w:rPr>
                <w:rFonts w:hint="eastAsia"/>
                <w:color w:val="auto"/>
                <w:kern w:val="0"/>
                <w:sz w:val="21"/>
                <w:szCs w:val="21"/>
              </w:rPr>
              <w:t>×</w:t>
            </w:r>
            <w:r>
              <w:rPr>
                <w:color w:val="auto"/>
                <w:kern w:val="0"/>
                <w:sz w:val="21"/>
                <w:szCs w:val="21"/>
              </w:rPr>
              <w:t>2.5m</w:t>
            </w:r>
            <w:r>
              <w:rPr>
                <w:rFonts w:hint="eastAsia"/>
                <w:color w:val="auto"/>
                <w:kern w:val="0"/>
                <w:sz w:val="21"/>
                <w:szCs w:val="21"/>
              </w:rPr>
              <w:t>×</w:t>
            </w:r>
            <w:r>
              <w:rPr>
                <w:color w:val="auto"/>
                <w:kern w:val="0"/>
                <w:sz w:val="21"/>
                <w:szCs w:val="21"/>
              </w:rPr>
              <w:t>2.9m</w:t>
            </w:r>
          </w:p>
        </w:tc>
        <w:tc>
          <w:tcPr>
            <w:tcW w:w="475"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座</w:t>
            </w:r>
          </w:p>
        </w:tc>
        <w:tc>
          <w:tcPr>
            <w:tcW w:w="475" w:type="pct"/>
            <w:vAlign w:val="center"/>
          </w:tcPr>
          <w:p>
            <w:pPr>
              <w:widowControl/>
              <w:snapToGrid w:val="0"/>
              <w:spacing w:line="240" w:lineRule="auto"/>
              <w:ind w:firstLine="0" w:firstLineChars="0"/>
              <w:jc w:val="center"/>
              <w:rPr>
                <w:color w:val="auto"/>
                <w:kern w:val="0"/>
                <w:sz w:val="21"/>
                <w:szCs w:val="21"/>
              </w:rPr>
            </w:pPr>
            <w:r>
              <w:rPr>
                <w:rFonts w:hint="eastAsia"/>
                <w:color w:val="auto"/>
                <w:kern w:val="0"/>
                <w:sz w:val="21"/>
                <w:szCs w:val="21"/>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624"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8</w:t>
            </w:r>
          </w:p>
        </w:tc>
        <w:tc>
          <w:tcPr>
            <w:tcW w:w="1374"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回用水泵</w:t>
            </w:r>
          </w:p>
        </w:tc>
        <w:tc>
          <w:tcPr>
            <w:tcW w:w="2050"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1m</w:t>
            </w:r>
            <w:r>
              <w:rPr>
                <w:rFonts w:hint="eastAsia"/>
                <w:color w:val="auto"/>
                <w:kern w:val="0"/>
                <w:sz w:val="21"/>
                <w:szCs w:val="21"/>
              </w:rPr>
              <w:t>×</w:t>
            </w:r>
            <w:r>
              <w:rPr>
                <w:color w:val="auto"/>
                <w:kern w:val="0"/>
                <w:sz w:val="21"/>
                <w:szCs w:val="21"/>
              </w:rPr>
              <w:t>1m</w:t>
            </w:r>
            <w:r>
              <w:rPr>
                <w:rFonts w:hint="eastAsia"/>
                <w:color w:val="auto"/>
                <w:kern w:val="0"/>
                <w:sz w:val="21"/>
                <w:szCs w:val="21"/>
              </w:rPr>
              <w:t>×</w:t>
            </w:r>
            <w:r>
              <w:rPr>
                <w:color w:val="auto"/>
                <w:kern w:val="0"/>
                <w:sz w:val="21"/>
                <w:szCs w:val="21"/>
              </w:rPr>
              <w:t>1.5m</w:t>
            </w:r>
          </w:p>
        </w:tc>
        <w:tc>
          <w:tcPr>
            <w:tcW w:w="475"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台</w:t>
            </w:r>
          </w:p>
        </w:tc>
        <w:tc>
          <w:tcPr>
            <w:tcW w:w="475" w:type="pct"/>
            <w:vAlign w:val="center"/>
          </w:tcPr>
          <w:p>
            <w:pPr>
              <w:widowControl/>
              <w:snapToGrid w:val="0"/>
              <w:spacing w:line="240" w:lineRule="auto"/>
              <w:ind w:firstLine="0" w:firstLineChars="0"/>
              <w:jc w:val="center"/>
              <w:rPr>
                <w:color w:val="auto"/>
                <w:kern w:val="0"/>
                <w:sz w:val="21"/>
                <w:szCs w:val="21"/>
              </w:rPr>
            </w:pPr>
            <w:r>
              <w:rPr>
                <w:rFonts w:hint="eastAsia"/>
                <w:color w:val="auto"/>
                <w:kern w:val="0"/>
                <w:sz w:val="21"/>
                <w:szCs w:val="21"/>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624"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9</w:t>
            </w:r>
          </w:p>
        </w:tc>
        <w:tc>
          <w:tcPr>
            <w:tcW w:w="1374"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污泥</w:t>
            </w:r>
            <w:r>
              <w:rPr>
                <w:rFonts w:hint="eastAsia"/>
                <w:color w:val="auto"/>
                <w:kern w:val="0"/>
                <w:sz w:val="21"/>
                <w:szCs w:val="21"/>
              </w:rPr>
              <w:t>收集池</w:t>
            </w:r>
          </w:p>
        </w:tc>
        <w:tc>
          <w:tcPr>
            <w:tcW w:w="2050"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0.75m</w:t>
            </w:r>
            <w:r>
              <w:rPr>
                <w:rFonts w:hint="eastAsia"/>
                <w:color w:val="auto"/>
                <w:kern w:val="0"/>
                <w:sz w:val="21"/>
                <w:szCs w:val="21"/>
              </w:rPr>
              <w:t>×</w:t>
            </w:r>
            <w:r>
              <w:rPr>
                <w:color w:val="auto"/>
                <w:kern w:val="0"/>
                <w:sz w:val="21"/>
                <w:szCs w:val="21"/>
              </w:rPr>
              <w:t>1m</w:t>
            </w:r>
            <w:r>
              <w:rPr>
                <w:rFonts w:hint="eastAsia"/>
                <w:color w:val="auto"/>
                <w:kern w:val="0"/>
                <w:sz w:val="21"/>
                <w:szCs w:val="21"/>
              </w:rPr>
              <w:t>×</w:t>
            </w:r>
            <w:r>
              <w:rPr>
                <w:color w:val="auto"/>
                <w:kern w:val="0"/>
                <w:sz w:val="21"/>
                <w:szCs w:val="21"/>
              </w:rPr>
              <w:t>2.5m</w:t>
            </w:r>
          </w:p>
        </w:tc>
        <w:tc>
          <w:tcPr>
            <w:tcW w:w="475" w:type="pct"/>
            <w:vAlign w:val="center"/>
          </w:tcPr>
          <w:p>
            <w:pPr>
              <w:widowControl/>
              <w:snapToGrid w:val="0"/>
              <w:spacing w:line="240" w:lineRule="auto"/>
              <w:ind w:firstLine="0" w:firstLineChars="0"/>
              <w:jc w:val="center"/>
              <w:rPr>
                <w:color w:val="auto"/>
                <w:kern w:val="0"/>
                <w:sz w:val="21"/>
                <w:szCs w:val="21"/>
              </w:rPr>
            </w:pPr>
            <w:r>
              <w:rPr>
                <w:color w:val="auto"/>
                <w:kern w:val="0"/>
                <w:sz w:val="21"/>
                <w:szCs w:val="21"/>
              </w:rPr>
              <w:t>座</w:t>
            </w:r>
          </w:p>
        </w:tc>
        <w:tc>
          <w:tcPr>
            <w:tcW w:w="475" w:type="pct"/>
            <w:vAlign w:val="center"/>
          </w:tcPr>
          <w:p>
            <w:pPr>
              <w:widowControl/>
              <w:snapToGrid w:val="0"/>
              <w:spacing w:line="240" w:lineRule="auto"/>
              <w:ind w:firstLine="0" w:firstLineChars="0"/>
              <w:jc w:val="center"/>
              <w:rPr>
                <w:color w:val="auto"/>
                <w:kern w:val="0"/>
                <w:sz w:val="21"/>
                <w:szCs w:val="21"/>
              </w:rPr>
            </w:pPr>
            <w:r>
              <w:rPr>
                <w:rFonts w:hint="eastAsia"/>
                <w:color w:val="auto"/>
                <w:kern w:val="0"/>
                <w:sz w:val="21"/>
                <w:szCs w:val="21"/>
              </w:rPr>
              <w:t>1</w:t>
            </w:r>
          </w:p>
        </w:tc>
      </w:tr>
    </w:tbl>
    <w:p>
      <w:pPr>
        <w:numPr>
          <w:ilvl w:val="0"/>
          <w:numId w:val="9"/>
        </w:numPr>
        <w:ind w:firstLine="480"/>
        <w:rPr>
          <w:color w:val="auto"/>
        </w:rPr>
      </w:pPr>
      <w:r>
        <w:rPr>
          <w:rFonts w:hint="eastAsia"/>
          <w:color w:val="auto"/>
        </w:rPr>
        <w:t>出水水质</w:t>
      </w:r>
    </w:p>
    <w:p>
      <w:pPr>
        <w:pStyle w:val="2"/>
        <w:spacing w:after="0"/>
        <w:ind w:left="480" w:leftChars="200" w:firstLine="0" w:firstLineChars="0"/>
        <w:rPr>
          <w:color w:val="auto"/>
        </w:rPr>
      </w:pPr>
      <w:r>
        <w:rPr>
          <w:rFonts w:hint="eastAsia"/>
          <w:color w:val="auto"/>
        </w:rPr>
        <w:t>收集废水经处理后出水水质见下表。</w:t>
      </w:r>
    </w:p>
    <w:p>
      <w:pPr>
        <w:adjustRightInd w:val="0"/>
        <w:snapToGrid w:val="0"/>
        <w:ind w:firstLine="0" w:firstLineChars="0"/>
        <w:jc w:val="center"/>
        <w:rPr>
          <w:rFonts w:eastAsia="黑体"/>
          <w:b w:val="0"/>
          <w:bCs/>
          <w:color w:val="auto"/>
          <w:sz w:val="21"/>
          <w:szCs w:val="21"/>
        </w:rPr>
      </w:pPr>
      <w:r>
        <w:rPr>
          <w:rFonts w:eastAsia="黑体"/>
          <w:b w:val="0"/>
          <w:bCs/>
          <w:color w:val="auto"/>
          <w:sz w:val="21"/>
          <w:szCs w:val="21"/>
        </w:rPr>
        <w:t>表</w:t>
      </w:r>
      <w:r>
        <w:rPr>
          <w:rFonts w:hint="eastAsia" w:eastAsia="黑体"/>
          <w:b w:val="0"/>
          <w:bCs/>
          <w:color w:val="auto"/>
          <w:sz w:val="21"/>
          <w:szCs w:val="21"/>
        </w:rPr>
        <w:t>2.5</w:t>
      </w:r>
      <w:r>
        <w:rPr>
          <w:rFonts w:eastAsia="黑体"/>
          <w:b w:val="0"/>
          <w:bCs/>
          <w:color w:val="auto"/>
          <w:sz w:val="21"/>
          <w:szCs w:val="21"/>
        </w:rPr>
        <w:t>-1</w:t>
      </w:r>
      <w:r>
        <w:rPr>
          <w:rFonts w:hint="eastAsia" w:eastAsia="黑体"/>
          <w:b w:val="0"/>
          <w:bCs/>
          <w:color w:val="auto"/>
          <w:sz w:val="21"/>
          <w:szCs w:val="21"/>
        </w:rPr>
        <w:t>6</w:t>
      </w:r>
      <w:r>
        <w:rPr>
          <w:rFonts w:eastAsia="黑体"/>
          <w:b w:val="0"/>
          <w:bCs/>
          <w:color w:val="auto"/>
          <w:sz w:val="21"/>
          <w:szCs w:val="21"/>
        </w:rPr>
        <w:t xml:space="preserve">  污水处理站出水水质   单位：mg/L</w:t>
      </w:r>
    </w:p>
    <w:tbl>
      <w:tblPr>
        <w:tblStyle w:val="22"/>
        <w:tblW w:w="4994"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51"/>
        <w:gridCol w:w="1155"/>
        <w:gridCol w:w="1161"/>
        <w:gridCol w:w="1161"/>
        <w:gridCol w:w="1161"/>
        <w:gridCol w:w="1161"/>
        <w:gridCol w:w="1161"/>
        <w:gridCol w:w="116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0" w:type="pct"/>
            <w:vAlign w:val="center"/>
          </w:tcPr>
          <w:p>
            <w:pPr>
              <w:adjustRightInd w:val="0"/>
              <w:snapToGrid w:val="0"/>
              <w:spacing w:line="240" w:lineRule="auto"/>
              <w:ind w:firstLine="0" w:firstLineChars="0"/>
              <w:jc w:val="center"/>
              <w:rPr>
                <w:b/>
                <w:bCs/>
                <w:color w:val="auto"/>
                <w:sz w:val="21"/>
                <w:szCs w:val="21"/>
              </w:rPr>
            </w:pPr>
            <w:r>
              <w:rPr>
                <w:b/>
                <w:bCs/>
                <w:color w:val="auto"/>
                <w:sz w:val="21"/>
                <w:szCs w:val="21"/>
              </w:rPr>
              <w:t>处理单元</w:t>
            </w:r>
          </w:p>
        </w:tc>
        <w:tc>
          <w:tcPr>
            <w:tcW w:w="622" w:type="pct"/>
            <w:vAlign w:val="center"/>
          </w:tcPr>
          <w:p>
            <w:pPr>
              <w:adjustRightInd w:val="0"/>
              <w:snapToGrid w:val="0"/>
              <w:spacing w:line="240" w:lineRule="auto"/>
              <w:ind w:firstLine="0" w:firstLineChars="0"/>
              <w:jc w:val="center"/>
              <w:rPr>
                <w:b/>
                <w:bCs/>
                <w:color w:val="auto"/>
                <w:sz w:val="21"/>
                <w:szCs w:val="21"/>
              </w:rPr>
            </w:pPr>
            <w:r>
              <w:rPr>
                <w:b/>
                <w:bCs/>
                <w:color w:val="auto"/>
                <w:sz w:val="21"/>
                <w:szCs w:val="21"/>
              </w:rPr>
              <w:t>项目</w:t>
            </w:r>
          </w:p>
        </w:tc>
        <w:tc>
          <w:tcPr>
            <w:tcW w:w="625" w:type="pct"/>
            <w:vAlign w:val="center"/>
          </w:tcPr>
          <w:p>
            <w:pPr>
              <w:adjustRightInd w:val="0"/>
              <w:snapToGrid w:val="0"/>
              <w:spacing w:line="240" w:lineRule="auto"/>
              <w:ind w:firstLine="0" w:firstLineChars="0"/>
              <w:jc w:val="center"/>
              <w:rPr>
                <w:b/>
                <w:bCs/>
                <w:color w:val="auto"/>
                <w:sz w:val="21"/>
                <w:szCs w:val="21"/>
              </w:rPr>
            </w:pPr>
            <w:r>
              <w:rPr>
                <w:b/>
                <w:bCs/>
                <w:color w:val="auto"/>
                <w:sz w:val="21"/>
                <w:szCs w:val="21"/>
              </w:rPr>
              <w:t>pH</w:t>
            </w:r>
          </w:p>
        </w:tc>
        <w:tc>
          <w:tcPr>
            <w:tcW w:w="625" w:type="pct"/>
            <w:vAlign w:val="center"/>
          </w:tcPr>
          <w:p>
            <w:pPr>
              <w:adjustRightInd w:val="0"/>
              <w:snapToGrid w:val="0"/>
              <w:spacing w:line="240" w:lineRule="auto"/>
              <w:ind w:firstLine="0" w:firstLineChars="0"/>
              <w:jc w:val="center"/>
              <w:rPr>
                <w:b/>
                <w:bCs/>
                <w:color w:val="auto"/>
                <w:sz w:val="21"/>
                <w:szCs w:val="21"/>
              </w:rPr>
            </w:pPr>
            <w:r>
              <w:rPr>
                <w:b/>
                <w:bCs/>
                <w:color w:val="auto"/>
                <w:kern w:val="0"/>
                <w:sz w:val="21"/>
                <w:szCs w:val="21"/>
              </w:rPr>
              <w:t>COD</w:t>
            </w:r>
          </w:p>
        </w:tc>
        <w:tc>
          <w:tcPr>
            <w:tcW w:w="625" w:type="pct"/>
            <w:vAlign w:val="center"/>
          </w:tcPr>
          <w:p>
            <w:pPr>
              <w:adjustRightInd w:val="0"/>
              <w:snapToGrid w:val="0"/>
              <w:spacing w:line="240" w:lineRule="auto"/>
              <w:ind w:firstLine="0" w:firstLineChars="0"/>
              <w:jc w:val="center"/>
              <w:rPr>
                <w:b/>
                <w:bCs/>
                <w:color w:val="auto"/>
                <w:sz w:val="21"/>
                <w:szCs w:val="21"/>
              </w:rPr>
            </w:pPr>
            <w:r>
              <w:rPr>
                <w:b/>
                <w:bCs/>
                <w:color w:val="auto"/>
                <w:kern w:val="0"/>
                <w:sz w:val="21"/>
                <w:szCs w:val="21"/>
              </w:rPr>
              <w:t>BOD</w:t>
            </w:r>
            <w:r>
              <w:rPr>
                <w:b/>
                <w:bCs/>
                <w:color w:val="auto"/>
                <w:kern w:val="0"/>
                <w:sz w:val="21"/>
                <w:szCs w:val="21"/>
                <w:vertAlign w:val="subscript"/>
              </w:rPr>
              <w:t>5</w:t>
            </w:r>
          </w:p>
        </w:tc>
        <w:tc>
          <w:tcPr>
            <w:tcW w:w="625" w:type="pct"/>
            <w:vAlign w:val="center"/>
          </w:tcPr>
          <w:p>
            <w:pPr>
              <w:adjustRightInd w:val="0"/>
              <w:snapToGrid w:val="0"/>
              <w:spacing w:line="240" w:lineRule="auto"/>
              <w:ind w:firstLine="0" w:firstLineChars="0"/>
              <w:jc w:val="center"/>
              <w:rPr>
                <w:b/>
                <w:bCs/>
                <w:color w:val="auto"/>
                <w:sz w:val="21"/>
                <w:szCs w:val="21"/>
              </w:rPr>
            </w:pPr>
            <w:r>
              <w:rPr>
                <w:b/>
                <w:bCs/>
                <w:color w:val="auto"/>
                <w:kern w:val="0"/>
                <w:sz w:val="21"/>
                <w:szCs w:val="21"/>
              </w:rPr>
              <w:t>SS</w:t>
            </w:r>
          </w:p>
        </w:tc>
        <w:tc>
          <w:tcPr>
            <w:tcW w:w="625" w:type="pct"/>
            <w:vAlign w:val="center"/>
          </w:tcPr>
          <w:p>
            <w:pPr>
              <w:adjustRightInd w:val="0"/>
              <w:snapToGrid w:val="0"/>
              <w:spacing w:line="240" w:lineRule="auto"/>
              <w:ind w:firstLine="0" w:firstLineChars="0"/>
              <w:jc w:val="center"/>
              <w:rPr>
                <w:b/>
                <w:bCs/>
                <w:color w:val="auto"/>
                <w:sz w:val="21"/>
                <w:szCs w:val="21"/>
              </w:rPr>
            </w:pPr>
            <w:r>
              <w:rPr>
                <w:b/>
                <w:bCs/>
                <w:color w:val="auto"/>
                <w:sz w:val="21"/>
                <w:szCs w:val="21"/>
              </w:rPr>
              <w:t>石油类</w:t>
            </w:r>
          </w:p>
        </w:tc>
        <w:tc>
          <w:tcPr>
            <w:tcW w:w="628" w:type="pct"/>
            <w:vAlign w:val="center"/>
          </w:tcPr>
          <w:p>
            <w:pPr>
              <w:adjustRightInd w:val="0"/>
              <w:snapToGrid w:val="0"/>
              <w:spacing w:line="240" w:lineRule="auto"/>
              <w:ind w:firstLine="0" w:firstLineChars="0"/>
              <w:jc w:val="center"/>
              <w:rPr>
                <w:b/>
                <w:bCs/>
                <w:color w:val="auto"/>
                <w:sz w:val="21"/>
                <w:szCs w:val="21"/>
              </w:rPr>
            </w:pPr>
            <w:r>
              <w:rPr>
                <w:b/>
                <w:bCs/>
                <w:color w:val="auto"/>
                <w:sz w:val="21"/>
                <w:szCs w:val="21"/>
              </w:rPr>
              <w:t>全盐量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3" w:hRule="atLeast"/>
        </w:trPr>
        <w:tc>
          <w:tcPr>
            <w:tcW w:w="620"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水解酸化池</w:t>
            </w:r>
          </w:p>
        </w:tc>
        <w:tc>
          <w:tcPr>
            <w:tcW w:w="622" w:type="pct"/>
            <w:vAlign w:val="center"/>
          </w:tcPr>
          <w:p>
            <w:pPr>
              <w:adjustRightInd w:val="0"/>
              <w:snapToGrid w:val="0"/>
              <w:spacing w:line="240" w:lineRule="auto"/>
              <w:ind w:firstLine="0" w:firstLineChars="0"/>
              <w:jc w:val="center"/>
              <w:rPr>
                <w:color w:val="auto"/>
                <w:sz w:val="21"/>
                <w:szCs w:val="21"/>
              </w:rPr>
            </w:pPr>
            <w:r>
              <w:rPr>
                <w:color w:val="auto"/>
                <w:sz w:val="21"/>
                <w:szCs w:val="21"/>
              </w:rPr>
              <w:t>进水</w:t>
            </w:r>
          </w:p>
        </w:tc>
        <w:tc>
          <w:tcPr>
            <w:tcW w:w="625" w:type="pct"/>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color w:val="auto"/>
                <w:sz w:val="21"/>
                <w:szCs w:val="21"/>
              </w:rPr>
              <w:t>7～8</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5500</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1600</w:t>
            </w:r>
          </w:p>
        </w:tc>
        <w:tc>
          <w:tcPr>
            <w:tcW w:w="625" w:type="pct"/>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300</w:t>
            </w:r>
          </w:p>
        </w:tc>
        <w:tc>
          <w:tcPr>
            <w:tcW w:w="625" w:type="pct"/>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w:t>
            </w:r>
          </w:p>
        </w:tc>
        <w:tc>
          <w:tcPr>
            <w:tcW w:w="628" w:type="pct"/>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3" w:hRule="atLeast"/>
        </w:trPr>
        <w:tc>
          <w:tcPr>
            <w:tcW w:w="620" w:type="pct"/>
            <w:vMerge w:val="continue"/>
            <w:vAlign w:val="center"/>
          </w:tcPr>
          <w:p>
            <w:pPr>
              <w:adjustRightInd w:val="0"/>
              <w:snapToGrid w:val="0"/>
              <w:spacing w:line="240" w:lineRule="auto"/>
              <w:ind w:firstLine="0" w:firstLineChars="0"/>
              <w:jc w:val="center"/>
              <w:rPr>
                <w:rFonts w:hint="eastAsia"/>
                <w:color w:val="auto"/>
                <w:sz w:val="21"/>
                <w:szCs w:val="21"/>
              </w:rPr>
            </w:pPr>
          </w:p>
        </w:tc>
        <w:tc>
          <w:tcPr>
            <w:tcW w:w="622"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去除率（%）</w:t>
            </w:r>
          </w:p>
        </w:tc>
        <w:tc>
          <w:tcPr>
            <w:tcW w:w="625" w:type="pct"/>
            <w:vAlign w:val="center"/>
          </w:tcPr>
          <w:p>
            <w:pPr>
              <w:adjustRightInd w:val="0"/>
              <w:snapToGrid w:val="0"/>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60%</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60%</w:t>
            </w:r>
          </w:p>
        </w:tc>
        <w:tc>
          <w:tcPr>
            <w:tcW w:w="625" w:type="pct"/>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10%</w:t>
            </w:r>
          </w:p>
        </w:tc>
        <w:tc>
          <w:tcPr>
            <w:tcW w:w="625" w:type="pct"/>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w:t>
            </w:r>
          </w:p>
        </w:tc>
        <w:tc>
          <w:tcPr>
            <w:tcW w:w="628" w:type="pct"/>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0" w:type="pct"/>
            <w:vMerge w:val="continue"/>
            <w:vAlign w:val="center"/>
          </w:tcPr>
          <w:p>
            <w:pPr>
              <w:adjustRightInd w:val="0"/>
              <w:snapToGrid w:val="0"/>
              <w:spacing w:line="240" w:lineRule="auto"/>
              <w:ind w:firstLine="0" w:firstLineChars="0"/>
              <w:jc w:val="center"/>
              <w:rPr>
                <w:color w:val="auto"/>
                <w:sz w:val="21"/>
                <w:szCs w:val="21"/>
              </w:rPr>
            </w:pPr>
          </w:p>
        </w:tc>
        <w:tc>
          <w:tcPr>
            <w:tcW w:w="622" w:type="pct"/>
            <w:vAlign w:val="center"/>
          </w:tcPr>
          <w:p>
            <w:pPr>
              <w:adjustRightInd w:val="0"/>
              <w:snapToGrid w:val="0"/>
              <w:spacing w:line="240" w:lineRule="auto"/>
              <w:ind w:firstLine="0" w:firstLineChars="0"/>
              <w:jc w:val="center"/>
              <w:rPr>
                <w:color w:val="auto"/>
                <w:sz w:val="21"/>
                <w:szCs w:val="21"/>
              </w:rPr>
            </w:pPr>
            <w:r>
              <w:rPr>
                <w:color w:val="auto"/>
                <w:sz w:val="21"/>
                <w:szCs w:val="21"/>
              </w:rPr>
              <w:t>出水</w:t>
            </w:r>
          </w:p>
        </w:tc>
        <w:tc>
          <w:tcPr>
            <w:tcW w:w="625" w:type="pct"/>
            <w:vAlign w:val="center"/>
          </w:tcPr>
          <w:p>
            <w:pPr>
              <w:adjustRightInd w:val="0"/>
              <w:snapToGrid w:val="0"/>
              <w:spacing w:line="240" w:lineRule="auto"/>
              <w:ind w:firstLine="0" w:firstLineChars="0"/>
              <w:jc w:val="center"/>
              <w:rPr>
                <w:color w:val="auto"/>
                <w:sz w:val="21"/>
                <w:szCs w:val="21"/>
              </w:rPr>
            </w:pPr>
            <w:r>
              <w:rPr>
                <w:color w:val="auto"/>
                <w:sz w:val="21"/>
                <w:szCs w:val="21"/>
              </w:rPr>
              <w:t>7～8</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2200</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640</w:t>
            </w:r>
          </w:p>
        </w:tc>
        <w:tc>
          <w:tcPr>
            <w:tcW w:w="625" w:type="pct"/>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270</w:t>
            </w:r>
          </w:p>
        </w:tc>
        <w:tc>
          <w:tcPr>
            <w:tcW w:w="625" w:type="pct"/>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3.73</w:t>
            </w:r>
          </w:p>
        </w:tc>
        <w:tc>
          <w:tcPr>
            <w:tcW w:w="628" w:type="pct"/>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716.6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0"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水解沉淀池</w:t>
            </w:r>
          </w:p>
        </w:tc>
        <w:tc>
          <w:tcPr>
            <w:tcW w:w="622" w:type="pct"/>
            <w:vAlign w:val="center"/>
          </w:tcPr>
          <w:p>
            <w:pPr>
              <w:adjustRightInd w:val="0"/>
              <w:snapToGrid w:val="0"/>
              <w:spacing w:line="240" w:lineRule="auto"/>
              <w:ind w:firstLine="0" w:firstLineChars="0"/>
              <w:jc w:val="center"/>
              <w:rPr>
                <w:color w:val="auto"/>
                <w:sz w:val="21"/>
                <w:szCs w:val="21"/>
              </w:rPr>
            </w:pPr>
            <w:r>
              <w:rPr>
                <w:color w:val="auto"/>
                <w:sz w:val="21"/>
                <w:szCs w:val="21"/>
              </w:rPr>
              <w:t>进水</w:t>
            </w:r>
          </w:p>
        </w:tc>
        <w:tc>
          <w:tcPr>
            <w:tcW w:w="625" w:type="pct"/>
            <w:vAlign w:val="center"/>
          </w:tcPr>
          <w:p>
            <w:pPr>
              <w:adjustRightInd w:val="0"/>
              <w:snapToGrid w:val="0"/>
              <w:spacing w:line="240" w:lineRule="auto"/>
              <w:ind w:firstLine="0" w:firstLineChars="0"/>
              <w:jc w:val="center"/>
              <w:rPr>
                <w:color w:val="auto"/>
                <w:sz w:val="21"/>
                <w:szCs w:val="21"/>
              </w:rPr>
            </w:pPr>
            <w:r>
              <w:rPr>
                <w:color w:val="auto"/>
                <w:sz w:val="21"/>
                <w:szCs w:val="21"/>
              </w:rPr>
              <w:t>7～8</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2200</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640</w:t>
            </w:r>
          </w:p>
        </w:tc>
        <w:tc>
          <w:tcPr>
            <w:tcW w:w="625" w:type="pct"/>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270</w:t>
            </w:r>
          </w:p>
        </w:tc>
        <w:tc>
          <w:tcPr>
            <w:tcW w:w="625" w:type="pct"/>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3.73</w:t>
            </w:r>
          </w:p>
        </w:tc>
        <w:tc>
          <w:tcPr>
            <w:tcW w:w="628" w:type="pct"/>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716.6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0" w:type="pct"/>
            <w:vMerge w:val="continue"/>
            <w:vAlign w:val="center"/>
          </w:tcPr>
          <w:p>
            <w:pPr>
              <w:adjustRightInd w:val="0"/>
              <w:snapToGrid w:val="0"/>
              <w:spacing w:line="240" w:lineRule="auto"/>
              <w:ind w:firstLine="0" w:firstLineChars="0"/>
              <w:jc w:val="center"/>
              <w:rPr>
                <w:rFonts w:hint="eastAsia"/>
                <w:color w:val="auto"/>
                <w:sz w:val="21"/>
                <w:szCs w:val="21"/>
              </w:rPr>
            </w:pPr>
          </w:p>
        </w:tc>
        <w:tc>
          <w:tcPr>
            <w:tcW w:w="622"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去除率（%）</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15%</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15%</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20%</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30%</w:t>
            </w:r>
          </w:p>
        </w:tc>
        <w:tc>
          <w:tcPr>
            <w:tcW w:w="628"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0" w:type="pct"/>
            <w:vMerge w:val="continue"/>
            <w:vAlign w:val="center"/>
          </w:tcPr>
          <w:p>
            <w:pPr>
              <w:adjustRightInd w:val="0"/>
              <w:snapToGrid w:val="0"/>
              <w:spacing w:line="240" w:lineRule="auto"/>
              <w:ind w:firstLine="0" w:firstLineChars="0"/>
              <w:jc w:val="center"/>
              <w:rPr>
                <w:color w:val="auto"/>
                <w:sz w:val="21"/>
                <w:szCs w:val="21"/>
              </w:rPr>
            </w:pPr>
          </w:p>
        </w:tc>
        <w:tc>
          <w:tcPr>
            <w:tcW w:w="622" w:type="pct"/>
            <w:vAlign w:val="center"/>
          </w:tcPr>
          <w:p>
            <w:pPr>
              <w:adjustRightInd w:val="0"/>
              <w:snapToGrid w:val="0"/>
              <w:spacing w:line="240" w:lineRule="auto"/>
              <w:ind w:firstLine="0" w:firstLineChars="0"/>
              <w:jc w:val="center"/>
              <w:rPr>
                <w:color w:val="auto"/>
                <w:sz w:val="21"/>
                <w:szCs w:val="21"/>
              </w:rPr>
            </w:pPr>
            <w:r>
              <w:rPr>
                <w:color w:val="auto"/>
                <w:sz w:val="21"/>
                <w:szCs w:val="21"/>
              </w:rPr>
              <w:t>出水</w:t>
            </w:r>
          </w:p>
        </w:tc>
        <w:tc>
          <w:tcPr>
            <w:tcW w:w="625" w:type="pct"/>
            <w:vAlign w:val="center"/>
          </w:tcPr>
          <w:p>
            <w:pPr>
              <w:adjustRightInd w:val="0"/>
              <w:snapToGrid w:val="0"/>
              <w:spacing w:line="240" w:lineRule="auto"/>
              <w:ind w:firstLine="0" w:firstLineChars="0"/>
              <w:jc w:val="center"/>
              <w:rPr>
                <w:color w:val="auto"/>
                <w:sz w:val="21"/>
                <w:szCs w:val="21"/>
              </w:rPr>
            </w:pPr>
            <w:r>
              <w:rPr>
                <w:color w:val="auto"/>
                <w:sz w:val="21"/>
                <w:szCs w:val="21"/>
              </w:rPr>
              <w:t>7～8</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1870</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544</w:t>
            </w:r>
          </w:p>
        </w:tc>
        <w:tc>
          <w:tcPr>
            <w:tcW w:w="625" w:type="pct"/>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216</w:t>
            </w:r>
          </w:p>
        </w:tc>
        <w:tc>
          <w:tcPr>
            <w:tcW w:w="625" w:type="pct"/>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2.611</w:t>
            </w:r>
          </w:p>
        </w:tc>
        <w:tc>
          <w:tcPr>
            <w:tcW w:w="628" w:type="pct"/>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644.94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0"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kern w:val="0"/>
                <w:sz w:val="21"/>
                <w:szCs w:val="21"/>
              </w:rPr>
              <w:t>高倍增</w:t>
            </w:r>
            <w:r>
              <w:rPr>
                <w:rFonts w:hint="eastAsia"/>
                <w:color w:val="auto"/>
                <w:kern w:val="0"/>
                <w:sz w:val="21"/>
                <w:szCs w:val="21"/>
                <w:lang w:val="en-US" w:eastAsia="zh-CN"/>
              </w:rPr>
              <w:t>好氧</w:t>
            </w:r>
            <w:r>
              <w:rPr>
                <w:rFonts w:hint="eastAsia"/>
                <w:color w:val="auto"/>
                <w:kern w:val="0"/>
                <w:sz w:val="21"/>
                <w:szCs w:val="21"/>
              </w:rPr>
              <w:t>生物池</w:t>
            </w:r>
          </w:p>
        </w:tc>
        <w:tc>
          <w:tcPr>
            <w:tcW w:w="622" w:type="pct"/>
            <w:vAlign w:val="center"/>
          </w:tcPr>
          <w:p>
            <w:pPr>
              <w:adjustRightInd w:val="0"/>
              <w:snapToGrid w:val="0"/>
              <w:spacing w:line="240" w:lineRule="auto"/>
              <w:ind w:firstLine="0" w:firstLineChars="0"/>
              <w:jc w:val="center"/>
              <w:rPr>
                <w:color w:val="auto"/>
                <w:sz w:val="21"/>
                <w:szCs w:val="21"/>
              </w:rPr>
            </w:pPr>
            <w:r>
              <w:rPr>
                <w:color w:val="auto"/>
                <w:sz w:val="21"/>
                <w:szCs w:val="21"/>
              </w:rPr>
              <w:t>进水</w:t>
            </w:r>
          </w:p>
        </w:tc>
        <w:tc>
          <w:tcPr>
            <w:tcW w:w="625" w:type="pct"/>
            <w:vAlign w:val="center"/>
          </w:tcPr>
          <w:p>
            <w:pPr>
              <w:adjustRightInd w:val="0"/>
              <w:snapToGrid w:val="0"/>
              <w:spacing w:line="240" w:lineRule="auto"/>
              <w:ind w:firstLine="0" w:firstLineChars="0"/>
              <w:jc w:val="center"/>
              <w:rPr>
                <w:color w:val="auto"/>
                <w:sz w:val="21"/>
                <w:szCs w:val="21"/>
              </w:rPr>
            </w:pPr>
            <w:r>
              <w:rPr>
                <w:color w:val="auto"/>
                <w:sz w:val="21"/>
                <w:szCs w:val="21"/>
              </w:rPr>
              <w:t>7～8</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1870</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544</w:t>
            </w:r>
          </w:p>
        </w:tc>
        <w:tc>
          <w:tcPr>
            <w:tcW w:w="625" w:type="pct"/>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216</w:t>
            </w:r>
          </w:p>
        </w:tc>
        <w:tc>
          <w:tcPr>
            <w:tcW w:w="625" w:type="pct"/>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2.611</w:t>
            </w:r>
          </w:p>
        </w:tc>
        <w:tc>
          <w:tcPr>
            <w:tcW w:w="628" w:type="pct"/>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644.94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0" w:type="pct"/>
            <w:vMerge w:val="continue"/>
            <w:vAlign w:val="center"/>
          </w:tcPr>
          <w:p>
            <w:pPr>
              <w:adjustRightInd w:val="0"/>
              <w:snapToGrid w:val="0"/>
              <w:spacing w:line="240" w:lineRule="auto"/>
              <w:ind w:firstLine="0" w:firstLineChars="0"/>
              <w:jc w:val="center"/>
              <w:rPr>
                <w:rFonts w:hint="eastAsia"/>
                <w:color w:val="auto"/>
                <w:kern w:val="0"/>
                <w:sz w:val="21"/>
                <w:szCs w:val="21"/>
              </w:rPr>
            </w:pPr>
          </w:p>
        </w:tc>
        <w:tc>
          <w:tcPr>
            <w:tcW w:w="622"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去除率（%）</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70%</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70%</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40%</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10%</w:t>
            </w:r>
          </w:p>
        </w:tc>
        <w:tc>
          <w:tcPr>
            <w:tcW w:w="628"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0" w:type="pct"/>
            <w:vMerge w:val="continue"/>
            <w:vAlign w:val="center"/>
          </w:tcPr>
          <w:p>
            <w:pPr>
              <w:adjustRightInd w:val="0"/>
              <w:snapToGrid w:val="0"/>
              <w:spacing w:line="240" w:lineRule="auto"/>
              <w:ind w:firstLine="0" w:firstLineChars="0"/>
              <w:jc w:val="center"/>
              <w:rPr>
                <w:color w:val="auto"/>
                <w:sz w:val="21"/>
                <w:szCs w:val="21"/>
              </w:rPr>
            </w:pPr>
          </w:p>
        </w:tc>
        <w:tc>
          <w:tcPr>
            <w:tcW w:w="622" w:type="pct"/>
            <w:vAlign w:val="center"/>
          </w:tcPr>
          <w:p>
            <w:pPr>
              <w:adjustRightInd w:val="0"/>
              <w:snapToGrid w:val="0"/>
              <w:spacing w:line="240" w:lineRule="auto"/>
              <w:ind w:firstLine="0" w:firstLineChars="0"/>
              <w:jc w:val="center"/>
              <w:rPr>
                <w:color w:val="auto"/>
                <w:sz w:val="21"/>
                <w:szCs w:val="21"/>
              </w:rPr>
            </w:pPr>
            <w:r>
              <w:rPr>
                <w:color w:val="auto"/>
                <w:sz w:val="21"/>
                <w:szCs w:val="21"/>
              </w:rPr>
              <w:t>出水</w:t>
            </w:r>
          </w:p>
        </w:tc>
        <w:tc>
          <w:tcPr>
            <w:tcW w:w="625" w:type="pct"/>
            <w:vAlign w:val="center"/>
          </w:tcPr>
          <w:p>
            <w:pPr>
              <w:adjustRightInd w:val="0"/>
              <w:snapToGrid w:val="0"/>
              <w:spacing w:line="240" w:lineRule="auto"/>
              <w:ind w:firstLine="0" w:firstLineChars="0"/>
              <w:jc w:val="center"/>
              <w:rPr>
                <w:color w:val="auto"/>
                <w:sz w:val="21"/>
                <w:szCs w:val="21"/>
              </w:rPr>
            </w:pPr>
            <w:r>
              <w:rPr>
                <w:color w:val="auto"/>
                <w:sz w:val="21"/>
                <w:szCs w:val="21"/>
              </w:rPr>
              <w:t>7～8</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561</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163.2</w:t>
            </w:r>
          </w:p>
        </w:tc>
        <w:tc>
          <w:tcPr>
            <w:tcW w:w="625" w:type="pct"/>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129.6</w:t>
            </w:r>
          </w:p>
        </w:tc>
        <w:tc>
          <w:tcPr>
            <w:tcW w:w="625" w:type="pct"/>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2.3499</w:t>
            </w:r>
          </w:p>
        </w:tc>
        <w:tc>
          <w:tcPr>
            <w:tcW w:w="628" w:type="pct"/>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580.446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0"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二沉池</w:t>
            </w:r>
          </w:p>
        </w:tc>
        <w:tc>
          <w:tcPr>
            <w:tcW w:w="622" w:type="pct"/>
            <w:vAlign w:val="center"/>
          </w:tcPr>
          <w:p>
            <w:pPr>
              <w:adjustRightInd w:val="0"/>
              <w:snapToGrid w:val="0"/>
              <w:spacing w:line="240" w:lineRule="auto"/>
              <w:ind w:firstLine="0" w:firstLineChars="0"/>
              <w:jc w:val="center"/>
              <w:rPr>
                <w:color w:val="auto"/>
                <w:sz w:val="21"/>
                <w:szCs w:val="21"/>
              </w:rPr>
            </w:pPr>
            <w:r>
              <w:rPr>
                <w:color w:val="auto"/>
                <w:sz w:val="21"/>
                <w:szCs w:val="21"/>
              </w:rPr>
              <w:t>进水</w:t>
            </w:r>
          </w:p>
        </w:tc>
        <w:tc>
          <w:tcPr>
            <w:tcW w:w="625" w:type="pct"/>
            <w:vAlign w:val="center"/>
          </w:tcPr>
          <w:p>
            <w:pPr>
              <w:adjustRightInd w:val="0"/>
              <w:snapToGrid w:val="0"/>
              <w:spacing w:line="240" w:lineRule="auto"/>
              <w:ind w:firstLine="0" w:firstLineChars="0"/>
              <w:jc w:val="center"/>
              <w:rPr>
                <w:color w:val="auto"/>
                <w:sz w:val="21"/>
                <w:szCs w:val="21"/>
              </w:rPr>
            </w:pPr>
            <w:r>
              <w:rPr>
                <w:color w:val="auto"/>
                <w:sz w:val="21"/>
                <w:szCs w:val="21"/>
              </w:rPr>
              <w:t>7～8</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561</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163.2</w:t>
            </w:r>
          </w:p>
        </w:tc>
        <w:tc>
          <w:tcPr>
            <w:tcW w:w="625" w:type="pct"/>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129.6</w:t>
            </w:r>
          </w:p>
        </w:tc>
        <w:tc>
          <w:tcPr>
            <w:tcW w:w="625" w:type="pct"/>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2.3499</w:t>
            </w:r>
          </w:p>
        </w:tc>
        <w:tc>
          <w:tcPr>
            <w:tcW w:w="628" w:type="pct"/>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580.446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0" w:type="pct"/>
            <w:vMerge w:val="continue"/>
            <w:vAlign w:val="center"/>
          </w:tcPr>
          <w:p>
            <w:pPr>
              <w:adjustRightInd w:val="0"/>
              <w:snapToGrid w:val="0"/>
              <w:spacing w:line="240" w:lineRule="auto"/>
              <w:ind w:firstLine="0" w:firstLineChars="0"/>
              <w:jc w:val="center"/>
              <w:rPr>
                <w:rFonts w:hint="eastAsia"/>
                <w:color w:val="auto"/>
                <w:sz w:val="21"/>
                <w:szCs w:val="21"/>
              </w:rPr>
            </w:pPr>
          </w:p>
        </w:tc>
        <w:tc>
          <w:tcPr>
            <w:tcW w:w="622"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去除率（%）</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20%</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20%</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70%</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10%</w:t>
            </w:r>
          </w:p>
        </w:tc>
        <w:tc>
          <w:tcPr>
            <w:tcW w:w="628"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0" w:type="pct"/>
            <w:vMerge w:val="continue"/>
            <w:vAlign w:val="center"/>
          </w:tcPr>
          <w:p>
            <w:pPr>
              <w:adjustRightInd w:val="0"/>
              <w:snapToGrid w:val="0"/>
              <w:spacing w:line="240" w:lineRule="auto"/>
              <w:ind w:firstLine="0" w:firstLineChars="0"/>
              <w:jc w:val="center"/>
              <w:rPr>
                <w:color w:val="auto"/>
                <w:sz w:val="21"/>
                <w:szCs w:val="21"/>
              </w:rPr>
            </w:pPr>
          </w:p>
        </w:tc>
        <w:tc>
          <w:tcPr>
            <w:tcW w:w="622" w:type="pct"/>
            <w:vAlign w:val="center"/>
          </w:tcPr>
          <w:p>
            <w:pPr>
              <w:adjustRightInd w:val="0"/>
              <w:snapToGrid w:val="0"/>
              <w:spacing w:line="240" w:lineRule="auto"/>
              <w:ind w:firstLine="0" w:firstLineChars="0"/>
              <w:jc w:val="center"/>
              <w:rPr>
                <w:color w:val="auto"/>
                <w:sz w:val="21"/>
                <w:szCs w:val="21"/>
              </w:rPr>
            </w:pPr>
            <w:r>
              <w:rPr>
                <w:color w:val="auto"/>
                <w:sz w:val="21"/>
                <w:szCs w:val="21"/>
              </w:rPr>
              <w:t>出水</w:t>
            </w:r>
          </w:p>
        </w:tc>
        <w:tc>
          <w:tcPr>
            <w:tcW w:w="625" w:type="pct"/>
            <w:vAlign w:val="center"/>
          </w:tcPr>
          <w:p>
            <w:pPr>
              <w:adjustRightInd w:val="0"/>
              <w:snapToGrid w:val="0"/>
              <w:spacing w:line="240" w:lineRule="auto"/>
              <w:ind w:firstLine="0" w:firstLineChars="0"/>
              <w:jc w:val="center"/>
              <w:rPr>
                <w:color w:val="auto"/>
                <w:sz w:val="21"/>
                <w:szCs w:val="21"/>
              </w:rPr>
            </w:pPr>
            <w:r>
              <w:rPr>
                <w:color w:val="auto"/>
                <w:sz w:val="21"/>
                <w:szCs w:val="21"/>
              </w:rPr>
              <w:t>7～8</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448.8</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130.56</w:t>
            </w:r>
          </w:p>
        </w:tc>
        <w:tc>
          <w:tcPr>
            <w:tcW w:w="625" w:type="pct"/>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38.88</w:t>
            </w:r>
          </w:p>
        </w:tc>
        <w:tc>
          <w:tcPr>
            <w:tcW w:w="625" w:type="pct"/>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2.11491</w:t>
            </w:r>
          </w:p>
        </w:tc>
        <w:tc>
          <w:tcPr>
            <w:tcW w:w="628" w:type="pct"/>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522.4014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42" w:type="pct"/>
            <w:gridSpan w:val="2"/>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出水标准</w:t>
            </w:r>
          </w:p>
        </w:tc>
        <w:tc>
          <w:tcPr>
            <w:tcW w:w="625" w:type="pct"/>
            <w:vAlign w:val="center"/>
          </w:tcPr>
          <w:p>
            <w:pPr>
              <w:tabs>
                <w:tab w:val="left" w:pos="5388"/>
              </w:tabs>
              <w:autoSpaceDE w:val="0"/>
              <w:autoSpaceDN w:val="0"/>
              <w:spacing w:line="240" w:lineRule="auto"/>
              <w:ind w:firstLine="0" w:firstLineChars="0"/>
              <w:jc w:val="center"/>
              <w:rPr>
                <w:rFonts w:hint="eastAsia" w:eastAsia="宋体"/>
                <w:color w:val="auto"/>
                <w:sz w:val="21"/>
                <w:szCs w:val="21"/>
                <w:lang w:eastAsia="zh-CN"/>
              </w:rPr>
            </w:pPr>
            <w:r>
              <w:rPr>
                <w:color w:val="auto"/>
                <w:sz w:val="21"/>
                <w:szCs w:val="21"/>
              </w:rPr>
              <w:t>6～9</w:t>
            </w:r>
          </w:p>
        </w:tc>
        <w:tc>
          <w:tcPr>
            <w:tcW w:w="625" w:type="pct"/>
            <w:vAlign w:val="center"/>
          </w:tcPr>
          <w:p>
            <w:pPr>
              <w:tabs>
                <w:tab w:val="left" w:pos="5388"/>
              </w:tabs>
              <w:autoSpaceDE w:val="0"/>
              <w:autoSpaceDN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500</w:t>
            </w:r>
          </w:p>
        </w:tc>
        <w:tc>
          <w:tcPr>
            <w:tcW w:w="625" w:type="pct"/>
            <w:vAlign w:val="center"/>
          </w:tcPr>
          <w:p>
            <w:pPr>
              <w:tabs>
                <w:tab w:val="left" w:pos="5388"/>
              </w:tabs>
              <w:autoSpaceDE w:val="0"/>
              <w:autoSpaceDN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150</w:t>
            </w:r>
          </w:p>
        </w:tc>
        <w:tc>
          <w:tcPr>
            <w:tcW w:w="625" w:type="pct"/>
            <w:vAlign w:val="center"/>
          </w:tcPr>
          <w:p>
            <w:pPr>
              <w:tabs>
                <w:tab w:val="left" w:pos="5388"/>
              </w:tabs>
              <w:autoSpaceDE w:val="0"/>
              <w:autoSpaceDN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400</w:t>
            </w:r>
          </w:p>
        </w:tc>
        <w:tc>
          <w:tcPr>
            <w:tcW w:w="625" w:type="pct"/>
            <w:vAlign w:val="center"/>
          </w:tcPr>
          <w:p>
            <w:pPr>
              <w:tabs>
                <w:tab w:val="left" w:pos="5388"/>
              </w:tabs>
              <w:autoSpaceDE w:val="0"/>
              <w:autoSpaceDN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30</w:t>
            </w:r>
          </w:p>
        </w:tc>
        <w:tc>
          <w:tcPr>
            <w:tcW w:w="628" w:type="pct"/>
            <w:vAlign w:val="center"/>
          </w:tcPr>
          <w:p>
            <w:pPr>
              <w:tabs>
                <w:tab w:val="left" w:pos="5388"/>
              </w:tabs>
              <w:autoSpaceDE w:val="0"/>
              <w:autoSpaceDN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1600</w:t>
            </w:r>
          </w:p>
        </w:tc>
      </w:tr>
    </w:tbl>
    <w:p>
      <w:pPr>
        <w:ind w:firstLine="480"/>
        <w:rPr>
          <w:rStyle w:val="53"/>
          <w:rFonts w:hint="eastAsia" w:cs="Times New Roman"/>
          <w:color w:val="auto"/>
        </w:rPr>
      </w:pPr>
      <w:r>
        <w:rPr>
          <w:color w:val="auto"/>
        </w:rPr>
        <w:t>由表</w:t>
      </w:r>
      <w:r>
        <w:rPr>
          <w:rFonts w:hint="eastAsia"/>
          <w:color w:val="auto"/>
        </w:rPr>
        <w:t>2.5</w:t>
      </w:r>
      <w:r>
        <w:rPr>
          <w:color w:val="auto"/>
        </w:rPr>
        <w:t>-1</w:t>
      </w:r>
      <w:r>
        <w:rPr>
          <w:rFonts w:hint="eastAsia"/>
          <w:color w:val="auto"/>
        </w:rPr>
        <w:t>7</w:t>
      </w:r>
      <w:r>
        <w:rPr>
          <w:color w:val="auto"/>
        </w:rPr>
        <w:t>可以看出，污水站出水能够满足</w:t>
      </w:r>
      <w:r>
        <w:rPr>
          <w:rFonts w:hint="eastAsia"/>
          <w:color w:val="auto"/>
          <w:lang w:val="en-US" w:eastAsia="zh-CN"/>
        </w:rPr>
        <w:t>《污水综合排放标准》（GB8978-1996）三级标准及光大水务（淄博）有限公司水质净化三分厂纳管水质要求</w:t>
      </w:r>
      <w:r>
        <w:rPr>
          <w:color w:val="auto"/>
        </w:rPr>
        <w:t>。</w:t>
      </w:r>
    </w:p>
    <w:p>
      <w:pPr>
        <w:pStyle w:val="55"/>
        <w:spacing w:line="360" w:lineRule="auto"/>
        <w:ind w:firstLine="0" w:firstLineChars="0"/>
        <w:outlineLvl w:val="2"/>
        <w:rPr>
          <w:rStyle w:val="53"/>
          <w:rFonts w:cs="Times New Roman"/>
          <w:color w:val="auto"/>
        </w:rPr>
      </w:pPr>
      <w:r>
        <w:rPr>
          <w:rStyle w:val="53"/>
          <w:rFonts w:hint="eastAsia" w:cs="Times New Roman"/>
          <w:color w:val="auto"/>
        </w:rPr>
        <w:t>2</w:t>
      </w:r>
      <w:r>
        <w:rPr>
          <w:rStyle w:val="53"/>
          <w:rFonts w:cs="Times New Roman"/>
          <w:color w:val="auto"/>
        </w:rPr>
        <w:t>.</w:t>
      </w:r>
      <w:r>
        <w:rPr>
          <w:rStyle w:val="53"/>
          <w:rFonts w:hint="eastAsia" w:cs="Times New Roman"/>
          <w:color w:val="auto"/>
        </w:rPr>
        <w:t>5</w:t>
      </w:r>
      <w:r>
        <w:rPr>
          <w:rStyle w:val="53"/>
          <w:rFonts w:cs="Times New Roman"/>
          <w:color w:val="auto"/>
        </w:rPr>
        <w:t>.3固废</w:t>
      </w:r>
    </w:p>
    <w:p>
      <w:pPr>
        <w:pStyle w:val="2"/>
        <w:spacing w:after="0"/>
        <w:ind w:firstLine="480"/>
        <w:rPr>
          <w:rFonts w:hint="eastAsia"/>
          <w:color w:val="auto"/>
          <w:lang w:eastAsia="zh-CN"/>
        </w:rPr>
      </w:pPr>
      <w:r>
        <w:rPr>
          <w:rFonts w:hint="eastAsia"/>
          <w:color w:val="auto"/>
          <w:lang w:eastAsia="zh-CN"/>
        </w:rPr>
        <w:t>拟建项目主要固废包括废包装袋、废包装桶、高沸物、</w:t>
      </w:r>
      <w:r>
        <w:rPr>
          <w:rFonts w:hint="eastAsia"/>
          <w:color w:val="auto"/>
          <w:lang w:val="en-US" w:eastAsia="zh-CN"/>
        </w:rPr>
        <w:t>罐底残渣、</w:t>
      </w:r>
      <w:r>
        <w:rPr>
          <w:rFonts w:hint="eastAsia"/>
          <w:color w:val="auto"/>
          <w:lang w:eastAsia="zh-CN"/>
        </w:rPr>
        <w:t>废活性炭、废润滑油、化验室废试剂瓶、化验室废液、污水站污泥、</w:t>
      </w:r>
      <w:r>
        <w:rPr>
          <w:rFonts w:hint="eastAsia"/>
          <w:color w:val="auto"/>
          <w:lang w:val="en-US" w:eastAsia="zh-CN"/>
        </w:rPr>
        <w:t>废导热油、</w:t>
      </w:r>
      <w:r>
        <w:rPr>
          <w:rFonts w:hint="eastAsia"/>
          <w:color w:val="auto"/>
          <w:lang w:eastAsia="zh-CN"/>
        </w:rPr>
        <w:t>生活垃圾等。</w:t>
      </w:r>
    </w:p>
    <w:p>
      <w:pPr>
        <w:pStyle w:val="2"/>
        <w:spacing w:after="0"/>
        <w:ind w:firstLine="480"/>
        <w:rPr>
          <w:color w:val="auto"/>
        </w:rPr>
      </w:pPr>
      <w:r>
        <w:rPr>
          <w:rFonts w:hint="eastAsia"/>
          <w:color w:val="auto"/>
        </w:rPr>
        <w:t>（1）废包装袋</w:t>
      </w:r>
    </w:p>
    <w:p>
      <w:pPr>
        <w:ind w:firstLine="480"/>
        <w:rPr>
          <w:color w:val="auto"/>
        </w:rPr>
      </w:pPr>
      <w:r>
        <w:rPr>
          <w:rFonts w:hint="eastAsia"/>
          <w:color w:val="auto"/>
          <w:lang w:val="en-US" w:eastAsia="zh-CN"/>
        </w:rPr>
        <w:t>部分</w:t>
      </w:r>
      <w:r>
        <w:rPr>
          <w:rFonts w:hint="eastAsia"/>
          <w:color w:val="auto"/>
        </w:rPr>
        <w:t>催化剂为</w:t>
      </w:r>
      <w:r>
        <w:rPr>
          <w:color w:val="auto"/>
        </w:rPr>
        <w:t>袋式包装，每年产生约包装</w:t>
      </w:r>
      <w:r>
        <w:rPr>
          <w:snapToGrid w:val="0"/>
          <w:color w:val="auto"/>
        </w:rPr>
        <w:t>袋</w:t>
      </w:r>
      <w:r>
        <w:rPr>
          <w:rFonts w:hint="eastAsia"/>
          <w:snapToGrid w:val="0"/>
          <w:color w:val="auto"/>
        </w:rPr>
        <w:t>1000</w:t>
      </w:r>
      <w:r>
        <w:rPr>
          <w:snapToGrid w:val="0"/>
          <w:color w:val="auto"/>
        </w:rPr>
        <w:t>个，重量约为0.5t，定期外售。</w:t>
      </w:r>
    </w:p>
    <w:p>
      <w:pPr>
        <w:ind w:firstLine="480"/>
        <w:rPr>
          <w:color w:val="auto"/>
        </w:rPr>
      </w:pPr>
      <w:r>
        <w:rPr>
          <w:color w:val="auto"/>
        </w:rPr>
        <w:t>（</w:t>
      </w:r>
      <w:r>
        <w:rPr>
          <w:rFonts w:hint="eastAsia"/>
          <w:color w:val="auto"/>
        </w:rPr>
        <w:t>2</w:t>
      </w:r>
      <w:r>
        <w:rPr>
          <w:color w:val="auto"/>
        </w:rPr>
        <w:t>）废包装桶</w:t>
      </w:r>
    </w:p>
    <w:p>
      <w:pPr>
        <w:pStyle w:val="2"/>
        <w:spacing w:after="0"/>
        <w:ind w:firstLine="480"/>
        <w:rPr>
          <w:color w:val="auto"/>
        </w:rPr>
      </w:pPr>
      <w:r>
        <w:rPr>
          <w:color w:val="auto"/>
        </w:rPr>
        <w:t>项目所用</w:t>
      </w:r>
      <w:r>
        <w:rPr>
          <w:rFonts w:hint="eastAsia"/>
          <w:color w:val="auto"/>
          <w:lang w:val="en-US" w:eastAsia="zh-CN"/>
        </w:rPr>
        <w:t>部分</w:t>
      </w:r>
      <w:r>
        <w:rPr>
          <w:rFonts w:hint="eastAsia"/>
          <w:bCs/>
          <w:color w:val="auto"/>
          <w:szCs w:val="21"/>
          <w:lang w:eastAsia="zh-CN"/>
        </w:rPr>
        <w:t>催化剂</w:t>
      </w:r>
      <w:r>
        <w:rPr>
          <w:color w:val="auto"/>
        </w:rPr>
        <w:t>为桶装，每年约产生包装桶</w:t>
      </w:r>
      <w:r>
        <w:rPr>
          <w:rFonts w:hint="eastAsia"/>
          <w:color w:val="auto"/>
        </w:rPr>
        <w:t>100</w:t>
      </w:r>
      <w:r>
        <w:rPr>
          <w:color w:val="auto"/>
        </w:rPr>
        <w:t>个，</w:t>
      </w:r>
      <w:r>
        <w:rPr>
          <w:rFonts w:hint="eastAsia"/>
          <w:color w:val="auto"/>
        </w:rPr>
        <w:t>约0.</w:t>
      </w:r>
      <w:r>
        <w:rPr>
          <w:rFonts w:hint="eastAsia"/>
          <w:color w:val="auto"/>
          <w:lang w:val="en-US" w:eastAsia="zh-CN"/>
        </w:rPr>
        <w:t>8</w:t>
      </w:r>
      <w:r>
        <w:rPr>
          <w:rFonts w:hint="eastAsia"/>
          <w:color w:val="auto"/>
        </w:rPr>
        <w:t>t，</w:t>
      </w:r>
      <w:r>
        <w:rPr>
          <w:snapToGrid w:val="0"/>
          <w:color w:val="auto"/>
        </w:rPr>
        <w:t>定期</w:t>
      </w:r>
      <w:r>
        <w:rPr>
          <w:rFonts w:hint="eastAsia"/>
          <w:snapToGrid w:val="0"/>
          <w:color w:val="auto"/>
          <w:lang w:val="en-US" w:eastAsia="zh-CN"/>
        </w:rPr>
        <w:t>由厂家回收</w:t>
      </w:r>
      <w:r>
        <w:rPr>
          <w:snapToGrid w:val="0"/>
          <w:color w:val="auto"/>
        </w:rPr>
        <w:t>。</w:t>
      </w:r>
    </w:p>
    <w:p>
      <w:pPr>
        <w:ind w:firstLine="480"/>
        <w:rPr>
          <w:rFonts w:hint="eastAsia"/>
          <w:color w:val="auto"/>
          <w:lang w:eastAsia="zh-CN"/>
        </w:rPr>
      </w:pPr>
      <w:r>
        <w:rPr>
          <w:rFonts w:hint="eastAsia"/>
          <w:color w:val="auto"/>
          <w:lang w:eastAsia="zh-CN"/>
        </w:rPr>
        <w:t>（</w:t>
      </w:r>
      <w:r>
        <w:rPr>
          <w:rFonts w:hint="eastAsia"/>
          <w:color w:val="auto"/>
          <w:lang w:val="en-US" w:eastAsia="zh-CN"/>
        </w:rPr>
        <w:t>3</w:t>
      </w:r>
      <w:r>
        <w:rPr>
          <w:rFonts w:hint="eastAsia"/>
          <w:color w:val="auto"/>
          <w:lang w:eastAsia="zh-CN"/>
        </w:rPr>
        <w:t>）高沸物</w:t>
      </w:r>
    </w:p>
    <w:p>
      <w:pPr>
        <w:keepNext w:val="0"/>
        <w:keepLines w:val="0"/>
        <w:pageBreakBefore w:val="0"/>
        <w:widowControl/>
        <w:suppressLineNumbers w:val="0"/>
        <w:kinsoku/>
        <w:wordWrap/>
        <w:overflowPunct/>
        <w:topLinePunct w:val="0"/>
        <w:autoSpaceDE/>
        <w:autoSpaceDN/>
        <w:bidi w:val="0"/>
        <w:adjustRightInd/>
        <w:snapToGrid/>
        <w:jc w:val="left"/>
        <w:textAlignment w:val="auto"/>
        <w:rPr>
          <w:snapToGrid w:val="0"/>
          <w:color w:val="auto"/>
        </w:rPr>
      </w:pPr>
      <w:r>
        <w:rPr>
          <w:rFonts w:hint="eastAsia"/>
          <w:color w:val="auto"/>
          <w:lang w:val="en-US" w:eastAsia="zh-CN"/>
        </w:rPr>
        <w:t>本项目酯化工序会产生高沸物，主要成分为催化剂A，高沸物每周清理一次，根据物料平衡高沸物产生量为2.997t/a，每周清理0.07t，清理后暂存于危险废物暂存间，</w:t>
      </w:r>
      <w:r>
        <w:rPr>
          <w:snapToGrid w:val="0"/>
          <w:color w:val="auto"/>
        </w:rPr>
        <w:t>属于HW</w:t>
      </w:r>
      <w:r>
        <w:rPr>
          <w:rFonts w:hint="eastAsia"/>
          <w:snapToGrid w:val="0"/>
          <w:color w:val="auto"/>
          <w:lang w:val="en-US" w:eastAsia="zh-CN"/>
        </w:rPr>
        <w:t>50</w:t>
      </w:r>
      <w:r>
        <w:rPr>
          <w:snapToGrid w:val="0"/>
          <w:color w:val="auto"/>
        </w:rPr>
        <w:t>类危废，废</w:t>
      </w:r>
      <w:r>
        <w:rPr>
          <w:rFonts w:hint="eastAsia"/>
          <w:color w:val="auto"/>
          <w:lang w:val="en-US" w:eastAsia="zh-CN"/>
        </w:rPr>
        <w:t>物代码900-048-50，委托有</w:t>
      </w:r>
      <w:r>
        <w:rPr>
          <w:snapToGrid w:val="0"/>
          <w:color w:val="auto"/>
        </w:rPr>
        <w:t>资质单位处置。</w:t>
      </w:r>
    </w:p>
    <w:p>
      <w:pPr>
        <w:pStyle w:val="2"/>
        <w:keepNext w:val="0"/>
        <w:keepLines w:val="0"/>
        <w:pageBreakBefore w:val="0"/>
        <w:kinsoku/>
        <w:wordWrap/>
        <w:overflowPunct/>
        <w:topLinePunct w:val="0"/>
        <w:autoSpaceDE/>
        <w:autoSpaceDN/>
        <w:bidi w:val="0"/>
        <w:adjustRightInd/>
        <w:snapToGrid/>
        <w:spacing w:after="0"/>
        <w:textAlignment w:val="auto"/>
        <w:rPr>
          <w:rFonts w:hint="eastAsia"/>
          <w:snapToGrid w:val="0"/>
          <w:color w:val="auto"/>
          <w:lang w:val="en-US" w:eastAsia="zh-CN"/>
        </w:rPr>
      </w:pPr>
      <w:r>
        <w:rPr>
          <w:rFonts w:hint="eastAsia"/>
          <w:snapToGrid w:val="0"/>
          <w:color w:val="auto"/>
          <w:lang w:eastAsia="zh-CN"/>
        </w:rPr>
        <w:t>（</w:t>
      </w:r>
      <w:r>
        <w:rPr>
          <w:rFonts w:hint="eastAsia"/>
          <w:snapToGrid w:val="0"/>
          <w:color w:val="auto"/>
          <w:lang w:val="en-US" w:eastAsia="zh-CN"/>
        </w:rPr>
        <w:t>4</w:t>
      </w:r>
      <w:r>
        <w:rPr>
          <w:rFonts w:hint="eastAsia"/>
          <w:snapToGrid w:val="0"/>
          <w:color w:val="auto"/>
          <w:lang w:eastAsia="zh-CN"/>
        </w:rPr>
        <w:t>）</w:t>
      </w:r>
      <w:r>
        <w:rPr>
          <w:rFonts w:hint="eastAsia"/>
          <w:snapToGrid w:val="0"/>
          <w:color w:val="auto"/>
          <w:lang w:val="en-US" w:eastAsia="zh-CN"/>
        </w:rPr>
        <w:t>罐底残渣</w:t>
      </w:r>
    </w:p>
    <w:p>
      <w:pPr>
        <w:keepNext w:val="0"/>
        <w:keepLines w:val="0"/>
        <w:pageBreakBefore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本项目水解工序会产生罐底残渣，主要成分为水、催化剂，罐底残渣每周清理一次，根据物料平衡罐底残渣产生量为6.9828t/a，每周清理0.16t，清理后暂存于危险废物暂存间，</w:t>
      </w:r>
      <w:r>
        <w:rPr>
          <w:snapToGrid w:val="0"/>
          <w:color w:val="auto"/>
        </w:rPr>
        <w:t>属于HW</w:t>
      </w:r>
      <w:r>
        <w:rPr>
          <w:rFonts w:hint="eastAsia"/>
          <w:snapToGrid w:val="0"/>
          <w:color w:val="auto"/>
          <w:lang w:val="en-US" w:eastAsia="zh-CN"/>
        </w:rPr>
        <w:t>50</w:t>
      </w:r>
      <w:r>
        <w:rPr>
          <w:snapToGrid w:val="0"/>
          <w:color w:val="auto"/>
        </w:rPr>
        <w:t>类危废，废</w:t>
      </w:r>
      <w:r>
        <w:rPr>
          <w:rFonts w:hint="eastAsia"/>
          <w:color w:val="auto"/>
          <w:lang w:val="en-US" w:eastAsia="zh-CN"/>
        </w:rPr>
        <w:t>物代码900-048-50，委托有</w:t>
      </w:r>
      <w:r>
        <w:rPr>
          <w:snapToGrid w:val="0"/>
          <w:color w:val="auto"/>
        </w:rPr>
        <w:t>资质单位处置</w:t>
      </w:r>
    </w:p>
    <w:p>
      <w:pPr>
        <w:ind w:firstLine="480"/>
        <w:rPr>
          <w:color w:val="auto"/>
        </w:rPr>
      </w:pPr>
      <w:r>
        <w:rPr>
          <w:rFonts w:hint="eastAsia"/>
          <w:color w:val="auto"/>
        </w:rPr>
        <w:t>（</w:t>
      </w:r>
      <w:r>
        <w:rPr>
          <w:rFonts w:hint="eastAsia"/>
          <w:color w:val="auto"/>
          <w:lang w:val="en-US" w:eastAsia="zh-CN"/>
        </w:rPr>
        <w:t>5</w:t>
      </w:r>
      <w:r>
        <w:rPr>
          <w:rFonts w:hint="eastAsia"/>
          <w:color w:val="auto"/>
        </w:rPr>
        <w:t>）</w:t>
      </w:r>
      <w:r>
        <w:rPr>
          <w:color w:val="auto"/>
        </w:rPr>
        <w:t>废活性炭</w:t>
      </w:r>
    </w:p>
    <w:p>
      <w:pPr>
        <w:ind w:firstLine="480"/>
        <w:rPr>
          <w:color w:val="auto"/>
        </w:rPr>
      </w:pPr>
      <w:r>
        <w:rPr>
          <w:color w:val="auto"/>
        </w:rPr>
        <w:t>废活性炭产自废气治理装置。根据废气的饱和蒸汽压、所用活性炭的比表面积等因素计算得出的理论取值范围为0.25kg/kg～0.3kg/kg，本项目取系数0.25kg/kg，</w:t>
      </w:r>
      <w:r>
        <w:rPr>
          <w:rFonts w:hint="eastAsia"/>
          <w:color w:val="auto"/>
        </w:rPr>
        <w:t>计算</w:t>
      </w:r>
      <w:r>
        <w:rPr>
          <w:color w:val="auto"/>
        </w:rPr>
        <w:t>项目年吸附挥发性有机物的量约</w:t>
      </w:r>
      <w:r>
        <w:rPr>
          <w:rFonts w:hint="eastAsia"/>
          <w:color w:val="auto"/>
          <w:lang w:val="en-US" w:eastAsia="zh-CN"/>
        </w:rPr>
        <w:t>1.797</w:t>
      </w:r>
      <w:r>
        <w:rPr>
          <w:color w:val="auto"/>
        </w:rPr>
        <w:t>t/a，因此每年约需</w:t>
      </w:r>
      <w:r>
        <w:rPr>
          <w:rFonts w:hint="eastAsia"/>
          <w:color w:val="auto"/>
          <w:lang w:val="en-US" w:eastAsia="zh-CN"/>
        </w:rPr>
        <w:t>7.188</w:t>
      </w:r>
      <w:r>
        <w:rPr>
          <w:color w:val="auto"/>
        </w:rPr>
        <w:t>t/a的活性炭</w:t>
      </w:r>
      <w:r>
        <w:rPr>
          <w:rFonts w:hint="eastAsia"/>
          <w:color w:val="auto"/>
          <w:szCs w:val="24"/>
        </w:rPr>
        <w:t>，活性炭装填量为</w:t>
      </w:r>
      <w:r>
        <w:rPr>
          <w:rFonts w:hint="eastAsia"/>
          <w:color w:val="auto"/>
          <w:szCs w:val="24"/>
          <w:lang w:val="en-US" w:eastAsia="zh-CN"/>
        </w:rPr>
        <w:t>2.4</w:t>
      </w:r>
      <w:r>
        <w:rPr>
          <w:rFonts w:hint="eastAsia"/>
          <w:color w:val="auto"/>
          <w:szCs w:val="24"/>
        </w:rPr>
        <w:t>吨。</w:t>
      </w:r>
    </w:p>
    <w:p>
      <w:pPr>
        <w:spacing w:line="460" w:lineRule="atLeast"/>
        <w:ind w:firstLine="480"/>
        <w:rPr>
          <w:color w:val="auto"/>
          <w:szCs w:val="24"/>
        </w:rPr>
      </w:pPr>
      <w:r>
        <w:rPr>
          <w:color w:val="auto"/>
          <w:szCs w:val="24"/>
        </w:rPr>
        <w:t>根据公式:</w:t>
      </w:r>
      <m:oMath>
        <m:r>
          <m:rPr>
            <m:sty m:val="p"/>
          </m:rPr>
          <w:rPr>
            <w:rFonts w:ascii="Cambria Math" w:hAnsi="Cambria Math"/>
            <w:color w:val="auto"/>
            <w:szCs w:val="24"/>
          </w:rPr>
          <m:t>T=</m:t>
        </m:r>
        <m:f>
          <m:fPr>
            <m:ctrlPr>
              <w:rPr>
                <w:rFonts w:ascii="Cambria Math" w:hAnsi="Cambria Math"/>
                <w:color w:val="auto"/>
                <w:szCs w:val="24"/>
              </w:rPr>
            </m:ctrlPr>
          </m:fPr>
          <m:num>
            <m:r>
              <m:rPr>
                <m:sty m:val="p"/>
              </m:rPr>
              <w:rPr>
                <w:rFonts w:ascii="Cambria Math" w:hAnsi="Cambria Math"/>
                <w:color w:val="auto"/>
                <w:szCs w:val="24"/>
              </w:rPr>
              <m:t>m×s</m:t>
            </m:r>
            <m:ctrlPr>
              <w:rPr>
                <w:rFonts w:ascii="Cambria Math" w:hAnsi="Cambria Math"/>
                <w:color w:val="auto"/>
                <w:szCs w:val="24"/>
              </w:rPr>
            </m:ctrlPr>
          </m:num>
          <m:den>
            <m:r>
              <m:rPr>
                <m:sty m:val="p"/>
              </m:rPr>
              <w:rPr>
                <w:rFonts w:ascii="Cambria Math" w:hAnsi="Cambria Math"/>
                <w:color w:val="auto"/>
                <w:szCs w:val="24"/>
              </w:rPr>
              <m:t>c×</m:t>
            </m:r>
            <m:sSup>
              <m:sSupPr>
                <m:ctrlPr>
                  <w:rPr>
                    <w:rFonts w:ascii="Cambria Math" w:hAnsi="Cambria Math"/>
                    <w:color w:val="auto"/>
                    <w:szCs w:val="24"/>
                  </w:rPr>
                </m:ctrlPr>
              </m:sSupPr>
              <m:e>
                <m:r>
                  <m:rPr>
                    <m:sty m:val="p"/>
                  </m:rPr>
                  <w:rPr>
                    <w:rFonts w:ascii="Cambria Math" w:hAnsi="Cambria Math"/>
                    <w:color w:val="auto"/>
                    <w:szCs w:val="24"/>
                  </w:rPr>
                  <m:t>10</m:t>
                </m:r>
                <m:ctrlPr>
                  <w:rPr>
                    <w:rFonts w:ascii="Cambria Math" w:hAnsi="Cambria Math"/>
                    <w:color w:val="auto"/>
                    <w:szCs w:val="24"/>
                  </w:rPr>
                </m:ctrlPr>
              </m:e>
              <m:sup>
                <m:r>
                  <m:rPr>
                    <m:sty m:val="p"/>
                  </m:rPr>
                  <w:rPr>
                    <w:rFonts w:ascii="Cambria Math" w:hAnsi="Cambria Math"/>
                    <w:color w:val="auto"/>
                    <w:szCs w:val="24"/>
                  </w:rPr>
                  <m:t>−6</m:t>
                </m:r>
                <m:ctrlPr>
                  <w:rPr>
                    <w:rFonts w:ascii="Cambria Math" w:hAnsi="Cambria Math"/>
                    <w:color w:val="auto"/>
                    <w:szCs w:val="24"/>
                  </w:rPr>
                </m:ctrlPr>
              </m:sup>
            </m:sSup>
            <m:r>
              <m:rPr>
                <m:sty m:val="p"/>
              </m:rPr>
              <w:rPr>
                <w:rFonts w:ascii="Cambria Math" w:hAnsi="Cambria Math"/>
                <w:color w:val="auto"/>
                <w:szCs w:val="24"/>
              </w:rPr>
              <m:t>×Q×t</m:t>
            </m:r>
            <m:ctrlPr>
              <w:rPr>
                <w:rFonts w:ascii="Cambria Math" w:hAnsi="Cambria Math"/>
                <w:color w:val="auto"/>
                <w:szCs w:val="24"/>
              </w:rPr>
            </m:ctrlPr>
          </m:den>
        </m:f>
      </m:oMath>
    </w:p>
    <w:p>
      <w:pPr>
        <w:pStyle w:val="2"/>
        <w:spacing w:after="0" w:line="460" w:lineRule="atLeast"/>
        <w:ind w:firstLine="480"/>
        <w:rPr>
          <w:color w:val="auto"/>
        </w:rPr>
      </w:pPr>
      <w:r>
        <w:rPr>
          <w:color w:val="auto"/>
        </w:rPr>
        <w:t>式中：</w:t>
      </w:r>
    </w:p>
    <w:p>
      <w:pPr>
        <w:ind w:firstLine="480"/>
        <w:rPr>
          <w:color w:val="auto"/>
          <w:szCs w:val="24"/>
        </w:rPr>
      </w:pPr>
      <w:r>
        <w:rPr>
          <w:color w:val="auto"/>
          <w:szCs w:val="24"/>
        </w:rPr>
        <w:t>T：更换周期，d；</w:t>
      </w:r>
    </w:p>
    <w:p>
      <w:pPr>
        <w:pStyle w:val="2"/>
        <w:spacing w:after="0"/>
        <w:ind w:firstLine="480"/>
        <w:rPr>
          <w:color w:val="auto"/>
        </w:rPr>
      </w:pPr>
      <w:r>
        <w:rPr>
          <w:rFonts w:hint="eastAsia"/>
          <w:color w:val="auto"/>
        </w:rPr>
        <w:t>m</w:t>
      </w:r>
      <w:r>
        <w:rPr>
          <w:color w:val="auto"/>
        </w:rPr>
        <w:t>：活性炭用量，kg；</w:t>
      </w:r>
    </w:p>
    <w:p>
      <w:pPr>
        <w:ind w:firstLine="480"/>
        <w:rPr>
          <w:color w:val="auto"/>
          <w:szCs w:val="24"/>
        </w:rPr>
      </w:pPr>
      <w:r>
        <w:rPr>
          <w:rFonts w:hint="eastAsia"/>
          <w:color w:val="auto"/>
          <w:szCs w:val="24"/>
        </w:rPr>
        <w:t>s</w:t>
      </w:r>
      <w:r>
        <w:rPr>
          <w:color w:val="auto"/>
          <w:szCs w:val="24"/>
        </w:rPr>
        <w:t>：动态吸附量，%；（一般取值10%）</w:t>
      </w:r>
    </w:p>
    <w:p>
      <w:pPr>
        <w:pStyle w:val="2"/>
        <w:spacing w:after="0"/>
        <w:ind w:firstLine="480"/>
        <w:rPr>
          <w:color w:val="auto"/>
        </w:rPr>
      </w:pPr>
      <w:r>
        <w:rPr>
          <w:rFonts w:hint="eastAsia"/>
          <w:color w:val="auto"/>
        </w:rPr>
        <w:t>c</w:t>
      </w:r>
      <w:r>
        <w:rPr>
          <w:color w:val="auto"/>
        </w:rPr>
        <w:t>：活性炭削减的VOCs浓度，mg/m</w:t>
      </w:r>
      <w:r>
        <w:rPr>
          <w:color w:val="auto"/>
          <w:vertAlign w:val="superscript"/>
        </w:rPr>
        <w:t>3</w:t>
      </w:r>
      <w:r>
        <w:rPr>
          <w:color w:val="auto"/>
        </w:rPr>
        <w:t>；</w:t>
      </w:r>
    </w:p>
    <w:p>
      <w:pPr>
        <w:ind w:firstLine="480"/>
        <w:rPr>
          <w:color w:val="auto"/>
          <w:szCs w:val="24"/>
        </w:rPr>
      </w:pPr>
      <w:r>
        <w:rPr>
          <w:color w:val="auto"/>
          <w:szCs w:val="24"/>
        </w:rPr>
        <w:t>Q：风量，m</w:t>
      </w:r>
      <w:r>
        <w:rPr>
          <w:color w:val="auto"/>
          <w:szCs w:val="24"/>
          <w:vertAlign w:val="superscript"/>
        </w:rPr>
        <w:t>3</w:t>
      </w:r>
      <w:r>
        <w:rPr>
          <w:color w:val="auto"/>
          <w:szCs w:val="24"/>
        </w:rPr>
        <w:t>/h；</w:t>
      </w:r>
    </w:p>
    <w:p>
      <w:pPr>
        <w:pStyle w:val="2"/>
        <w:spacing w:after="0"/>
        <w:ind w:firstLine="480"/>
        <w:rPr>
          <w:color w:val="auto"/>
        </w:rPr>
      </w:pPr>
      <w:r>
        <w:rPr>
          <w:rFonts w:hint="eastAsia"/>
          <w:color w:val="auto"/>
        </w:rPr>
        <w:t>t</w:t>
      </w:r>
      <w:r>
        <w:rPr>
          <w:color w:val="auto"/>
        </w:rPr>
        <w:t>：运行时间，h/d。</w:t>
      </w:r>
    </w:p>
    <w:p>
      <w:pPr>
        <w:ind w:firstLine="480"/>
        <w:rPr>
          <w:color w:val="auto"/>
          <w:szCs w:val="24"/>
        </w:rPr>
      </w:pPr>
      <w:r>
        <w:rPr>
          <w:color w:val="auto"/>
          <w:szCs w:val="24"/>
        </w:rPr>
        <w:t>计算可得活性炭每</w:t>
      </w:r>
      <w:r>
        <w:rPr>
          <w:rFonts w:hint="eastAsia"/>
          <w:color w:val="auto"/>
          <w:szCs w:val="24"/>
          <w:lang w:val="en-US" w:eastAsia="zh-CN"/>
        </w:rPr>
        <w:t>100</w:t>
      </w:r>
      <w:r>
        <w:rPr>
          <w:rFonts w:hint="eastAsia"/>
          <w:color w:val="auto"/>
          <w:szCs w:val="24"/>
        </w:rPr>
        <w:t>天</w:t>
      </w:r>
      <w:r>
        <w:rPr>
          <w:color w:val="auto"/>
          <w:szCs w:val="24"/>
        </w:rPr>
        <w:t>更换</w:t>
      </w:r>
      <w:r>
        <w:rPr>
          <w:rFonts w:hint="eastAsia"/>
          <w:color w:val="auto"/>
          <w:szCs w:val="24"/>
        </w:rPr>
        <w:t>一</w:t>
      </w:r>
      <w:r>
        <w:rPr>
          <w:color w:val="auto"/>
          <w:szCs w:val="24"/>
        </w:rPr>
        <w:t>次，活性炭装填量为</w:t>
      </w:r>
      <w:r>
        <w:rPr>
          <w:rFonts w:hint="eastAsia"/>
          <w:color w:val="auto"/>
          <w:szCs w:val="24"/>
          <w:lang w:val="en-US" w:eastAsia="zh-CN"/>
        </w:rPr>
        <w:t>2.4</w:t>
      </w:r>
      <w:r>
        <w:rPr>
          <w:rFonts w:hint="eastAsia"/>
          <w:color w:val="auto"/>
          <w:szCs w:val="24"/>
        </w:rPr>
        <w:t>t</w:t>
      </w:r>
      <w:r>
        <w:rPr>
          <w:color w:val="auto"/>
          <w:szCs w:val="24"/>
        </w:rPr>
        <w:t>，</w:t>
      </w:r>
      <w:r>
        <w:rPr>
          <w:rFonts w:hint="eastAsia"/>
          <w:color w:val="auto"/>
          <w:szCs w:val="24"/>
        </w:rPr>
        <w:t>每次更换下废活性炭</w:t>
      </w:r>
      <w:r>
        <w:rPr>
          <w:rFonts w:hint="eastAsia"/>
          <w:color w:val="auto"/>
          <w:szCs w:val="24"/>
          <w:lang w:val="en-US" w:eastAsia="zh-CN"/>
        </w:rPr>
        <w:t>2.88</w:t>
      </w:r>
      <w:r>
        <w:rPr>
          <w:rFonts w:hint="eastAsia"/>
          <w:color w:val="auto"/>
          <w:szCs w:val="24"/>
        </w:rPr>
        <w:t>t，每年更换</w:t>
      </w:r>
      <w:r>
        <w:rPr>
          <w:rFonts w:hint="eastAsia"/>
          <w:color w:val="auto"/>
          <w:szCs w:val="24"/>
          <w:lang w:val="en-US" w:eastAsia="zh-CN"/>
        </w:rPr>
        <w:t>三</w:t>
      </w:r>
      <w:r>
        <w:rPr>
          <w:rFonts w:hint="eastAsia"/>
          <w:color w:val="auto"/>
          <w:szCs w:val="24"/>
        </w:rPr>
        <w:t>次，</w:t>
      </w:r>
      <w:r>
        <w:rPr>
          <w:color w:val="auto"/>
          <w:szCs w:val="24"/>
        </w:rPr>
        <w:t>废活性炭产生量约为</w:t>
      </w:r>
      <w:r>
        <w:rPr>
          <w:rFonts w:hint="eastAsia"/>
          <w:color w:val="auto"/>
          <w:szCs w:val="24"/>
          <w:lang w:val="en-US" w:eastAsia="zh-CN"/>
        </w:rPr>
        <w:t>8.64</w:t>
      </w:r>
      <w:r>
        <w:rPr>
          <w:color w:val="auto"/>
          <w:szCs w:val="24"/>
        </w:rPr>
        <w:t>t/a（含污染物）</w:t>
      </w:r>
      <w:r>
        <w:rPr>
          <w:rFonts w:hint="eastAsia"/>
          <w:color w:val="auto"/>
          <w:szCs w:val="24"/>
        </w:rPr>
        <w:t>，</w:t>
      </w:r>
      <w:r>
        <w:rPr>
          <w:snapToGrid w:val="0"/>
          <w:color w:val="auto"/>
        </w:rPr>
        <w:t>属于HW49类危废，废物代码900-039-49</w:t>
      </w:r>
      <w:r>
        <w:rPr>
          <w:rFonts w:hint="eastAsia"/>
          <w:snapToGrid w:val="0"/>
          <w:color w:val="auto"/>
        </w:rPr>
        <w:t>，</w:t>
      </w:r>
      <w:r>
        <w:rPr>
          <w:snapToGrid w:val="0"/>
          <w:color w:val="auto"/>
        </w:rPr>
        <w:t>委托有资质单位处置</w:t>
      </w:r>
      <w:r>
        <w:rPr>
          <w:color w:val="auto"/>
        </w:rPr>
        <w:t>。</w:t>
      </w:r>
    </w:p>
    <w:p>
      <w:pPr>
        <w:ind w:firstLine="480"/>
        <w:rPr>
          <w:color w:val="auto"/>
        </w:rPr>
      </w:pPr>
      <w:r>
        <w:rPr>
          <w:color w:val="auto"/>
        </w:rPr>
        <w:t>（</w:t>
      </w:r>
      <w:r>
        <w:rPr>
          <w:rFonts w:hint="eastAsia"/>
          <w:color w:val="auto"/>
          <w:lang w:val="en-US" w:eastAsia="zh-CN"/>
        </w:rPr>
        <w:t>6</w:t>
      </w:r>
      <w:r>
        <w:rPr>
          <w:color w:val="auto"/>
        </w:rPr>
        <w:t>）废润滑油</w:t>
      </w:r>
    </w:p>
    <w:p>
      <w:pPr>
        <w:ind w:firstLine="480"/>
        <w:rPr>
          <w:color w:val="auto"/>
        </w:rPr>
      </w:pPr>
      <w:r>
        <w:rPr>
          <w:snapToGrid w:val="0"/>
          <w:color w:val="auto"/>
        </w:rPr>
        <w:t>生产设备维护保养过程产生废润滑油，产生量为0.</w:t>
      </w:r>
      <w:r>
        <w:rPr>
          <w:rFonts w:hint="eastAsia"/>
          <w:snapToGrid w:val="0"/>
          <w:color w:val="auto"/>
          <w:lang w:val="en-US" w:eastAsia="zh-CN"/>
        </w:rPr>
        <w:t>1</w:t>
      </w:r>
      <w:r>
        <w:rPr>
          <w:snapToGrid w:val="0"/>
          <w:color w:val="auto"/>
        </w:rPr>
        <w:t>t/a，属于HW08类危废，废物代码900-217-08，委托有资质单位处置。</w:t>
      </w:r>
    </w:p>
    <w:p>
      <w:pPr>
        <w:ind w:firstLine="480"/>
        <w:rPr>
          <w:snapToGrid w:val="0"/>
          <w:color w:val="auto"/>
        </w:rPr>
      </w:pPr>
      <w:r>
        <w:rPr>
          <w:snapToGrid w:val="0"/>
          <w:color w:val="auto"/>
        </w:rPr>
        <w:t>（</w:t>
      </w:r>
      <w:r>
        <w:rPr>
          <w:rFonts w:hint="eastAsia"/>
          <w:snapToGrid w:val="0"/>
          <w:color w:val="auto"/>
          <w:lang w:val="en-US" w:eastAsia="zh-CN"/>
        </w:rPr>
        <w:t>7</w:t>
      </w:r>
      <w:r>
        <w:rPr>
          <w:snapToGrid w:val="0"/>
          <w:color w:val="auto"/>
        </w:rPr>
        <w:t>）</w:t>
      </w:r>
      <w:r>
        <w:rPr>
          <w:color w:val="auto"/>
        </w:rPr>
        <w:t>化验室废试剂瓶</w:t>
      </w:r>
    </w:p>
    <w:p>
      <w:pPr>
        <w:ind w:firstLine="480"/>
        <w:rPr>
          <w:snapToGrid w:val="0"/>
          <w:color w:val="auto"/>
        </w:rPr>
      </w:pPr>
      <w:r>
        <w:rPr>
          <w:color w:val="auto"/>
        </w:rPr>
        <w:t>化验室每年废试剂瓶量约为</w:t>
      </w:r>
      <w:r>
        <w:rPr>
          <w:snapToGrid w:val="0"/>
          <w:color w:val="auto"/>
        </w:rPr>
        <w:t>0.2t/a，属于HW49类危废，废物代码900-047-49，委托有资质单位处置。</w:t>
      </w:r>
    </w:p>
    <w:p>
      <w:pPr>
        <w:ind w:firstLine="480"/>
        <w:rPr>
          <w:snapToGrid w:val="0"/>
          <w:color w:val="auto"/>
        </w:rPr>
      </w:pPr>
      <w:r>
        <w:rPr>
          <w:snapToGrid w:val="0"/>
          <w:color w:val="auto"/>
        </w:rPr>
        <w:t>（</w:t>
      </w:r>
      <w:r>
        <w:rPr>
          <w:rFonts w:hint="eastAsia"/>
          <w:snapToGrid w:val="0"/>
          <w:color w:val="auto"/>
          <w:lang w:val="en-US" w:eastAsia="zh-CN"/>
        </w:rPr>
        <w:t>8</w:t>
      </w:r>
      <w:r>
        <w:rPr>
          <w:snapToGrid w:val="0"/>
          <w:color w:val="auto"/>
        </w:rPr>
        <w:t>）</w:t>
      </w:r>
      <w:r>
        <w:rPr>
          <w:color w:val="auto"/>
        </w:rPr>
        <w:t>化验室废液</w:t>
      </w:r>
    </w:p>
    <w:p>
      <w:pPr>
        <w:ind w:firstLine="480"/>
        <w:rPr>
          <w:snapToGrid w:val="0"/>
          <w:color w:val="auto"/>
        </w:rPr>
      </w:pPr>
      <w:r>
        <w:rPr>
          <w:snapToGrid w:val="0"/>
          <w:color w:val="auto"/>
        </w:rPr>
        <w:t>化验分析过程中，产生分析废液0.5t/a，属于HW49类危废，废物代码900-047-49，委托有资质单位处置。</w:t>
      </w:r>
    </w:p>
    <w:p>
      <w:pPr>
        <w:ind w:firstLine="480"/>
        <w:rPr>
          <w:color w:val="auto"/>
        </w:rPr>
      </w:pPr>
      <w:r>
        <w:rPr>
          <w:color w:val="auto"/>
        </w:rPr>
        <w:t>（</w:t>
      </w:r>
      <w:r>
        <w:rPr>
          <w:rFonts w:hint="eastAsia"/>
          <w:color w:val="auto"/>
          <w:lang w:val="en-US" w:eastAsia="zh-CN"/>
        </w:rPr>
        <w:t>9</w:t>
      </w:r>
      <w:r>
        <w:rPr>
          <w:color w:val="auto"/>
        </w:rPr>
        <w:t>）污水站污泥</w:t>
      </w:r>
    </w:p>
    <w:p>
      <w:pPr>
        <w:pStyle w:val="13"/>
        <w:rPr>
          <w:snapToGrid w:val="0"/>
          <w:color w:val="auto"/>
        </w:rPr>
      </w:pPr>
      <w:r>
        <w:rPr>
          <w:rFonts w:hAnsi="宋体"/>
          <w:color w:val="auto"/>
          <w:spacing w:val="-2"/>
          <w:sz w:val="24"/>
        </w:rPr>
        <w:t>污泥定额按照</w:t>
      </w:r>
      <w:r>
        <w:rPr>
          <w:color w:val="auto"/>
          <w:spacing w:val="-2"/>
          <w:kern w:val="0"/>
          <w:sz w:val="24"/>
        </w:rPr>
        <w:t>0.3kg</w:t>
      </w:r>
      <w:r>
        <w:rPr>
          <w:rFonts w:hAnsi="宋体"/>
          <w:color w:val="auto"/>
          <w:spacing w:val="-2"/>
          <w:kern w:val="0"/>
          <w:sz w:val="24"/>
        </w:rPr>
        <w:t>（污泥）</w:t>
      </w:r>
      <w:r>
        <w:rPr>
          <w:color w:val="auto"/>
          <w:spacing w:val="-2"/>
          <w:kern w:val="0"/>
          <w:sz w:val="24"/>
        </w:rPr>
        <w:t>/kg</w:t>
      </w:r>
      <w:r>
        <w:rPr>
          <w:rFonts w:hAnsi="宋体"/>
          <w:color w:val="auto"/>
          <w:spacing w:val="-2"/>
          <w:kern w:val="0"/>
          <w:sz w:val="24"/>
        </w:rPr>
        <w:t>（削减</w:t>
      </w:r>
      <w:r>
        <w:rPr>
          <w:color w:val="auto"/>
          <w:spacing w:val="-2"/>
          <w:kern w:val="0"/>
          <w:sz w:val="24"/>
        </w:rPr>
        <w:t>COD</w:t>
      </w:r>
      <w:r>
        <w:rPr>
          <w:rFonts w:hAnsi="宋体"/>
          <w:color w:val="auto"/>
          <w:spacing w:val="-2"/>
          <w:kern w:val="0"/>
          <w:sz w:val="24"/>
        </w:rPr>
        <w:t>）</w:t>
      </w:r>
      <w:r>
        <w:rPr>
          <w:rFonts w:hint="eastAsia" w:hAnsi="宋体"/>
          <w:color w:val="auto"/>
          <w:spacing w:val="-2"/>
          <w:kern w:val="0"/>
          <w:sz w:val="24"/>
          <w:lang w:val="en-US" w:eastAsia="zh-CN"/>
        </w:rPr>
        <w:t>计算，本项目消减COD约14.4t/a，则污泥产生量约为4.32t/a，</w:t>
      </w:r>
      <w:r>
        <w:rPr>
          <w:snapToGrid w:val="0"/>
          <w:color w:val="auto"/>
        </w:rPr>
        <w:t>污泥属于</w:t>
      </w:r>
      <w:r>
        <w:rPr>
          <w:rFonts w:hint="eastAsia"/>
          <w:snapToGrid w:val="0"/>
          <w:color w:val="auto"/>
        </w:rPr>
        <w:t>一般工业固废，泥饼外运至</w:t>
      </w:r>
      <w:r>
        <w:rPr>
          <w:snapToGrid w:val="0"/>
          <w:color w:val="auto"/>
        </w:rPr>
        <w:t>有资质单位处置。</w:t>
      </w:r>
    </w:p>
    <w:p>
      <w:pPr>
        <w:pStyle w:val="13"/>
        <w:rPr>
          <w:rFonts w:hint="eastAsia"/>
          <w:snapToGrid w:val="0"/>
          <w:color w:val="auto"/>
          <w:lang w:val="en-US" w:eastAsia="zh-CN"/>
        </w:rPr>
      </w:pPr>
      <w:r>
        <w:rPr>
          <w:rFonts w:hint="eastAsia"/>
          <w:snapToGrid w:val="0"/>
          <w:color w:val="auto"/>
          <w:lang w:eastAsia="zh-CN"/>
        </w:rPr>
        <w:t>（</w:t>
      </w:r>
      <w:r>
        <w:rPr>
          <w:rFonts w:hint="eastAsia"/>
          <w:snapToGrid w:val="0"/>
          <w:color w:val="auto"/>
          <w:lang w:val="en-US" w:eastAsia="zh-CN"/>
        </w:rPr>
        <w:t>10</w:t>
      </w:r>
      <w:r>
        <w:rPr>
          <w:rFonts w:hint="eastAsia"/>
          <w:snapToGrid w:val="0"/>
          <w:color w:val="auto"/>
          <w:lang w:eastAsia="zh-CN"/>
        </w:rPr>
        <w:t>）</w:t>
      </w:r>
      <w:r>
        <w:rPr>
          <w:rFonts w:hint="eastAsia"/>
          <w:snapToGrid w:val="0"/>
          <w:color w:val="auto"/>
          <w:lang w:val="en-US" w:eastAsia="zh-CN"/>
        </w:rPr>
        <w:t>废导热油</w:t>
      </w:r>
    </w:p>
    <w:p>
      <w:pPr>
        <w:pStyle w:val="13"/>
        <w:rPr>
          <w:rFonts w:hint="default"/>
          <w:snapToGrid w:val="0"/>
          <w:color w:val="auto"/>
          <w:lang w:val="en-US" w:eastAsia="zh-CN"/>
        </w:rPr>
      </w:pPr>
      <w:r>
        <w:rPr>
          <w:rFonts w:hint="eastAsia"/>
          <w:snapToGrid w:val="0"/>
          <w:color w:val="auto"/>
          <w:lang w:val="en-US" w:eastAsia="zh-CN"/>
        </w:rPr>
        <w:t>本项目导热油每4年更换一次，更换量为15吨，则废导热油产生量为15t/4a。</w:t>
      </w:r>
    </w:p>
    <w:p>
      <w:pPr>
        <w:ind w:firstLine="480"/>
        <w:rPr>
          <w:color w:val="auto"/>
        </w:rPr>
      </w:pPr>
      <w:r>
        <w:rPr>
          <w:color w:val="auto"/>
        </w:rPr>
        <w:t>（</w:t>
      </w:r>
      <w:r>
        <w:rPr>
          <w:rFonts w:hint="eastAsia"/>
          <w:color w:val="auto"/>
          <w:lang w:val="en-US" w:eastAsia="zh-CN"/>
        </w:rPr>
        <w:t>11</w:t>
      </w:r>
      <w:r>
        <w:rPr>
          <w:color w:val="auto"/>
        </w:rPr>
        <w:t>）生活垃圾</w:t>
      </w:r>
    </w:p>
    <w:p>
      <w:pPr>
        <w:ind w:firstLine="480"/>
        <w:rPr>
          <w:color w:val="auto"/>
        </w:rPr>
        <w:sectPr>
          <w:headerReference r:id="rId25" w:type="default"/>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color w:val="auto"/>
        </w:rPr>
        <w:t>拟建</w:t>
      </w:r>
      <w:r>
        <w:rPr>
          <w:color w:val="auto"/>
        </w:rPr>
        <w:t>项目</w:t>
      </w:r>
      <w:r>
        <w:rPr>
          <w:rFonts w:hint="eastAsia"/>
          <w:color w:val="auto"/>
        </w:rPr>
        <w:t>新</w:t>
      </w:r>
      <w:r>
        <w:rPr>
          <w:color w:val="auto"/>
        </w:rPr>
        <w:t>增员工</w:t>
      </w:r>
      <w:r>
        <w:rPr>
          <w:rFonts w:hint="eastAsia"/>
          <w:color w:val="auto"/>
        </w:rPr>
        <w:t>30</w:t>
      </w:r>
      <w:r>
        <w:rPr>
          <w:color w:val="auto"/>
        </w:rPr>
        <w:t>人，按每人每天产生0.5kg生活垃圾，每年工作</w:t>
      </w:r>
      <w:r>
        <w:rPr>
          <w:rFonts w:hint="eastAsia"/>
          <w:color w:val="auto"/>
        </w:rPr>
        <w:t>300</w:t>
      </w:r>
      <w:r>
        <w:rPr>
          <w:color w:val="auto"/>
        </w:rPr>
        <w:t>天进行计算，则产生生活垃圾4.5t/a。生活垃圾经收集后由环卫部门定期外运。</w:t>
      </w:r>
    </w:p>
    <w:p>
      <w:pPr>
        <w:pStyle w:val="2"/>
        <w:spacing w:after="0"/>
        <w:ind w:firstLine="480"/>
        <w:rPr>
          <w:color w:val="auto"/>
        </w:rPr>
      </w:pPr>
      <w:r>
        <w:rPr>
          <w:rFonts w:hint="eastAsia"/>
          <w:color w:val="auto"/>
        </w:rPr>
        <w:t>本项目固废产生及处置情况见表2.5-17。</w:t>
      </w:r>
    </w:p>
    <w:p>
      <w:pPr>
        <w:ind w:firstLine="174" w:firstLineChars="83"/>
        <w:jc w:val="center"/>
        <w:rPr>
          <w:rFonts w:eastAsia="黑体"/>
          <w:b w:val="0"/>
          <w:bCs/>
          <w:color w:val="auto"/>
          <w:sz w:val="21"/>
          <w:szCs w:val="21"/>
        </w:rPr>
      </w:pPr>
      <w:r>
        <w:rPr>
          <w:rFonts w:eastAsia="黑体"/>
          <w:b w:val="0"/>
          <w:bCs/>
          <w:color w:val="auto"/>
          <w:sz w:val="21"/>
          <w:szCs w:val="21"/>
        </w:rPr>
        <w:t>表</w:t>
      </w:r>
      <w:r>
        <w:rPr>
          <w:rFonts w:hint="eastAsia" w:eastAsia="黑体"/>
          <w:b w:val="0"/>
          <w:bCs/>
          <w:color w:val="auto"/>
          <w:sz w:val="21"/>
          <w:szCs w:val="21"/>
        </w:rPr>
        <w:t>2.5-17</w:t>
      </w:r>
      <w:r>
        <w:rPr>
          <w:rFonts w:eastAsia="黑体"/>
          <w:b w:val="0"/>
          <w:bCs/>
          <w:color w:val="auto"/>
          <w:sz w:val="21"/>
          <w:szCs w:val="21"/>
        </w:rPr>
        <w:t xml:space="preserve">  </w:t>
      </w:r>
      <w:r>
        <w:rPr>
          <w:rFonts w:hint="eastAsia" w:eastAsia="黑体"/>
          <w:b w:val="0"/>
          <w:bCs/>
          <w:color w:val="auto"/>
          <w:sz w:val="21"/>
          <w:szCs w:val="21"/>
        </w:rPr>
        <w:t>拟建项目</w:t>
      </w:r>
      <w:r>
        <w:rPr>
          <w:rFonts w:eastAsia="黑体"/>
          <w:b w:val="0"/>
          <w:bCs/>
          <w:color w:val="auto"/>
          <w:sz w:val="21"/>
          <w:szCs w:val="21"/>
        </w:rPr>
        <w:t>固废产生及处置情况</w:t>
      </w:r>
    </w:p>
    <w:tbl>
      <w:tblPr>
        <w:tblStyle w:val="22"/>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30"/>
        <w:gridCol w:w="1525"/>
        <w:gridCol w:w="1017"/>
        <w:gridCol w:w="1307"/>
        <w:gridCol w:w="1578"/>
        <w:gridCol w:w="1531"/>
        <w:gridCol w:w="640"/>
        <w:gridCol w:w="1321"/>
        <w:gridCol w:w="1101"/>
        <w:gridCol w:w="880"/>
        <w:gridCol w:w="880"/>
        <w:gridCol w:w="17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154" w:type="pct"/>
            <w:vAlign w:val="center"/>
          </w:tcPr>
          <w:p>
            <w:pPr>
              <w:spacing w:line="312" w:lineRule="exact"/>
              <w:ind w:firstLine="0" w:firstLineChars="0"/>
              <w:jc w:val="center"/>
              <w:rPr>
                <w:b/>
                <w:color w:val="auto"/>
                <w:sz w:val="21"/>
                <w:szCs w:val="21"/>
              </w:rPr>
            </w:pPr>
            <w:r>
              <w:rPr>
                <w:b/>
                <w:color w:val="auto"/>
                <w:sz w:val="21"/>
                <w:szCs w:val="21"/>
              </w:rPr>
              <w:t>序号</w:t>
            </w:r>
          </w:p>
        </w:tc>
        <w:tc>
          <w:tcPr>
            <w:tcW w:w="546" w:type="pct"/>
            <w:vAlign w:val="center"/>
          </w:tcPr>
          <w:p>
            <w:pPr>
              <w:spacing w:line="312" w:lineRule="exact"/>
              <w:ind w:firstLine="0" w:firstLineChars="0"/>
              <w:jc w:val="center"/>
              <w:rPr>
                <w:b/>
                <w:color w:val="auto"/>
                <w:sz w:val="21"/>
                <w:szCs w:val="21"/>
              </w:rPr>
            </w:pPr>
            <w:r>
              <w:rPr>
                <w:b/>
                <w:color w:val="auto"/>
                <w:sz w:val="21"/>
                <w:szCs w:val="21"/>
              </w:rPr>
              <w:t>固废名称</w:t>
            </w:r>
          </w:p>
        </w:tc>
        <w:tc>
          <w:tcPr>
            <w:tcW w:w="364" w:type="pct"/>
            <w:vAlign w:val="center"/>
          </w:tcPr>
          <w:p>
            <w:pPr>
              <w:spacing w:line="312" w:lineRule="exact"/>
              <w:ind w:firstLine="0" w:firstLineChars="0"/>
              <w:jc w:val="center"/>
              <w:rPr>
                <w:b/>
                <w:color w:val="auto"/>
                <w:sz w:val="21"/>
                <w:szCs w:val="21"/>
              </w:rPr>
            </w:pPr>
            <w:r>
              <w:rPr>
                <w:b/>
                <w:color w:val="auto"/>
                <w:sz w:val="21"/>
                <w:szCs w:val="21"/>
              </w:rPr>
              <w:t>废物类别</w:t>
            </w:r>
          </w:p>
        </w:tc>
        <w:tc>
          <w:tcPr>
            <w:tcW w:w="468" w:type="pct"/>
            <w:vAlign w:val="center"/>
          </w:tcPr>
          <w:p>
            <w:pPr>
              <w:spacing w:line="312" w:lineRule="exact"/>
              <w:ind w:firstLine="0" w:firstLineChars="0"/>
              <w:jc w:val="center"/>
              <w:rPr>
                <w:b/>
                <w:color w:val="auto"/>
                <w:sz w:val="21"/>
                <w:szCs w:val="21"/>
              </w:rPr>
            </w:pPr>
            <w:r>
              <w:rPr>
                <w:b/>
                <w:color w:val="auto"/>
                <w:sz w:val="21"/>
                <w:szCs w:val="21"/>
              </w:rPr>
              <w:t>废物代码</w:t>
            </w:r>
          </w:p>
        </w:tc>
        <w:tc>
          <w:tcPr>
            <w:tcW w:w="565" w:type="pct"/>
            <w:vAlign w:val="center"/>
          </w:tcPr>
          <w:p>
            <w:pPr>
              <w:spacing w:line="312" w:lineRule="exact"/>
              <w:ind w:firstLine="0" w:firstLineChars="0"/>
              <w:jc w:val="center"/>
              <w:rPr>
                <w:b/>
                <w:color w:val="auto"/>
                <w:sz w:val="21"/>
                <w:szCs w:val="21"/>
              </w:rPr>
            </w:pPr>
            <w:r>
              <w:rPr>
                <w:b/>
                <w:color w:val="auto"/>
                <w:sz w:val="21"/>
                <w:szCs w:val="21"/>
              </w:rPr>
              <w:t>产生量（t/a）</w:t>
            </w:r>
          </w:p>
        </w:tc>
        <w:tc>
          <w:tcPr>
            <w:tcW w:w="548" w:type="pct"/>
            <w:vAlign w:val="center"/>
          </w:tcPr>
          <w:p>
            <w:pPr>
              <w:spacing w:line="312" w:lineRule="exact"/>
              <w:ind w:firstLine="0" w:firstLineChars="0"/>
              <w:jc w:val="center"/>
              <w:rPr>
                <w:b/>
                <w:color w:val="auto"/>
                <w:sz w:val="21"/>
                <w:szCs w:val="21"/>
              </w:rPr>
            </w:pPr>
            <w:r>
              <w:rPr>
                <w:b/>
                <w:color w:val="auto"/>
                <w:sz w:val="21"/>
                <w:szCs w:val="21"/>
              </w:rPr>
              <w:t>产生工序及装置</w:t>
            </w:r>
          </w:p>
        </w:tc>
        <w:tc>
          <w:tcPr>
            <w:tcW w:w="229" w:type="pct"/>
            <w:vAlign w:val="center"/>
          </w:tcPr>
          <w:p>
            <w:pPr>
              <w:spacing w:line="312" w:lineRule="exact"/>
              <w:ind w:firstLine="0" w:firstLineChars="0"/>
              <w:jc w:val="center"/>
              <w:rPr>
                <w:b/>
                <w:color w:val="auto"/>
                <w:sz w:val="21"/>
                <w:szCs w:val="21"/>
              </w:rPr>
            </w:pPr>
            <w:r>
              <w:rPr>
                <w:b/>
                <w:color w:val="auto"/>
                <w:sz w:val="21"/>
                <w:szCs w:val="21"/>
              </w:rPr>
              <w:t>形态</w:t>
            </w:r>
          </w:p>
        </w:tc>
        <w:tc>
          <w:tcPr>
            <w:tcW w:w="473" w:type="pct"/>
            <w:vAlign w:val="center"/>
          </w:tcPr>
          <w:p>
            <w:pPr>
              <w:spacing w:line="312" w:lineRule="exact"/>
              <w:ind w:firstLine="0" w:firstLineChars="0"/>
              <w:jc w:val="center"/>
              <w:rPr>
                <w:b/>
                <w:color w:val="auto"/>
                <w:sz w:val="21"/>
                <w:szCs w:val="21"/>
              </w:rPr>
            </w:pPr>
            <w:r>
              <w:rPr>
                <w:b/>
                <w:color w:val="auto"/>
                <w:sz w:val="21"/>
                <w:szCs w:val="21"/>
              </w:rPr>
              <w:t>主要成分</w:t>
            </w:r>
          </w:p>
        </w:tc>
        <w:tc>
          <w:tcPr>
            <w:tcW w:w="394" w:type="pct"/>
            <w:vAlign w:val="center"/>
          </w:tcPr>
          <w:p>
            <w:pPr>
              <w:spacing w:line="312" w:lineRule="exact"/>
              <w:ind w:firstLine="0" w:firstLineChars="0"/>
              <w:jc w:val="center"/>
              <w:rPr>
                <w:b/>
                <w:color w:val="auto"/>
                <w:sz w:val="21"/>
                <w:szCs w:val="21"/>
              </w:rPr>
            </w:pPr>
            <w:r>
              <w:rPr>
                <w:b/>
                <w:color w:val="auto"/>
                <w:sz w:val="21"/>
                <w:szCs w:val="21"/>
              </w:rPr>
              <w:t>有害成分</w:t>
            </w:r>
          </w:p>
        </w:tc>
        <w:tc>
          <w:tcPr>
            <w:tcW w:w="315" w:type="pct"/>
            <w:vAlign w:val="center"/>
          </w:tcPr>
          <w:p>
            <w:pPr>
              <w:spacing w:line="312" w:lineRule="exact"/>
              <w:ind w:firstLine="0" w:firstLineChars="0"/>
              <w:jc w:val="center"/>
              <w:rPr>
                <w:b/>
                <w:color w:val="auto"/>
                <w:sz w:val="21"/>
                <w:szCs w:val="21"/>
              </w:rPr>
            </w:pPr>
            <w:r>
              <w:rPr>
                <w:b/>
                <w:color w:val="auto"/>
                <w:sz w:val="21"/>
                <w:szCs w:val="21"/>
              </w:rPr>
              <w:t>产废周期</w:t>
            </w:r>
          </w:p>
        </w:tc>
        <w:tc>
          <w:tcPr>
            <w:tcW w:w="315" w:type="pct"/>
            <w:vAlign w:val="center"/>
          </w:tcPr>
          <w:p>
            <w:pPr>
              <w:spacing w:line="312" w:lineRule="exact"/>
              <w:ind w:firstLine="0" w:firstLineChars="0"/>
              <w:jc w:val="center"/>
              <w:rPr>
                <w:b/>
                <w:color w:val="auto"/>
                <w:sz w:val="21"/>
                <w:szCs w:val="21"/>
              </w:rPr>
            </w:pPr>
            <w:r>
              <w:rPr>
                <w:b/>
                <w:color w:val="auto"/>
                <w:sz w:val="21"/>
                <w:szCs w:val="21"/>
              </w:rPr>
              <w:t>危险特性</w:t>
            </w:r>
          </w:p>
        </w:tc>
        <w:tc>
          <w:tcPr>
            <w:tcW w:w="622" w:type="pct"/>
            <w:vAlign w:val="center"/>
          </w:tcPr>
          <w:p>
            <w:pPr>
              <w:spacing w:line="312" w:lineRule="exact"/>
              <w:ind w:firstLine="0" w:firstLineChars="0"/>
              <w:jc w:val="center"/>
              <w:rPr>
                <w:b/>
                <w:color w:val="auto"/>
                <w:sz w:val="21"/>
                <w:szCs w:val="21"/>
              </w:rPr>
            </w:pPr>
            <w:r>
              <w:rPr>
                <w:b/>
                <w:color w:val="auto"/>
                <w:sz w:val="21"/>
                <w:szCs w:val="21"/>
              </w:rPr>
              <w:t>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154" w:type="pct"/>
            <w:vAlign w:val="center"/>
          </w:tcPr>
          <w:p>
            <w:pPr>
              <w:spacing w:line="312" w:lineRule="exact"/>
              <w:ind w:firstLine="0" w:firstLineChars="0"/>
              <w:jc w:val="center"/>
              <w:rPr>
                <w:color w:val="auto"/>
                <w:sz w:val="21"/>
                <w:szCs w:val="21"/>
              </w:rPr>
            </w:pPr>
            <w:r>
              <w:rPr>
                <w:color w:val="auto"/>
                <w:sz w:val="21"/>
                <w:szCs w:val="21"/>
              </w:rPr>
              <w:t>1</w:t>
            </w:r>
          </w:p>
        </w:tc>
        <w:tc>
          <w:tcPr>
            <w:tcW w:w="546" w:type="pct"/>
            <w:vAlign w:val="center"/>
          </w:tcPr>
          <w:p>
            <w:pPr>
              <w:spacing w:line="312" w:lineRule="exact"/>
              <w:ind w:firstLine="0" w:firstLineChars="0"/>
              <w:jc w:val="center"/>
              <w:rPr>
                <w:color w:val="auto"/>
                <w:sz w:val="21"/>
                <w:szCs w:val="21"/>
              </w:rPr>
            </w:pPr>
            <w:r>
              <w:rPr>
                <w:color w:val="auto"/>
                <w:sz w:val="21"/>
                <w:szCs w:val="21"/>
              </w:rPr>
              <w:t>废</w:t>
            </w:r>
            <w:r>
              <w:rPr>
                <w:rFonts w:hint="eastAsia"/>
                <w:color w:val="auto"/>
                <w:sz w:val="21"/>
                <w:szCs w:val="21"/>
              </w:rPr>
              <w:t>包装袋</w:t>
            </w:r>
          </w:p>
        </w:tc>
        <w:tc>
          <w:tcPr>
            <w:tcW w:w="364" w:type="pct"/>
            <w:vAlign w:val="center"/>
          </w:tcPr>
          <w:p>
            <w:pPr>
              <w:spacing w:line="312" w:lineRule="exact"/>
              <w:ind w:firstLine="0" w:firstLineChars="0"/>
              <w:jc w:val="center"/>
              <w:rPr>
                <w:color w:val="auto"/>
                <w:sz w:val="21"/>
                <w:szCs w:val="21"/>
              </w:rPr>
            </w:pPr>
            <w:r>
              <w:rPr>
                <w:rFonts w:hint="eastAsia"/>
                <w:color w:val="auto"/>
                <w:sz w:val="21"/>
                <w:szCs w:val="21"/>
              </w:rPr>
              <w:t>一般工业固废</w:t>
            </w:r>
          </w:p>
        </w:tc>
        <w:tc>
          <w:tcPr>
            <w:tcW w:w="468" w:type="pct"/>
            <w:vAlign w:val="center"/>
          </w:tcPr>
          <w:p>
            <w:pPr>
              <w:spacing w:line="312" w:lineRule="exact"/>
              <w:ind w:firstLine="0" w:firstLineChars="0"/>
              <w:jc w:val="center"/>
              <w:rPr>
                <w:color w:val="auto"/>
                <w:sz w:val="21"/>
                <w:szCs w:val="21"/>
              </w:rPr>
            </w:pPr>
            <w:r>
              <w:rPr>
                <w:rFonts w:hint="eastAsia"/>
                <w:color w:val="auto"/>
                <w:kern w:val="0"/>
                <w:sz w:val="21"/>
                <w:szCs w:val="21"/>
              </w:rPr>
              <w:t>266-001-49</w:t>
            </w:r>
          </w:p>
        </w:tc>
        <w:tc>
          <w:tcPr>
            <w:tcW w:w="565" w:type="pct"/>
            <w:vAlign w:val="center"/>
          </w:tcPr>
          <w:p>
            <w:pPr>
              <w:spacing w:line="312" w:lineRule="exact"/>
              <w:ind w:firstLine="0" w:firstLineChars="0"/>
              <w:jc w:val="center"/>
              <w:rPr>
                <w:color w:val="auto"/>
                <w:sz w:val="21"/>
                <w:szCs w:val="21"/>
              </w:rPr>
            </w:pPr>
            <w:r>
              <w:rPr>
                <w:color w:val="auto"/>
                <w:sz w:val="21"/>
                <w:szCs w:val="21"/>
              </w:rPr>
              <w:t>0.5</w:t>
            </w:r>
          </w:p>
        </w:tc>
        <w:tc>
          <w:tcPr>
            <w:tcW w:w="548" w:type="pct"/>
            <w:vAlign w:val="center"/>
          </w:tcPr>
          <w:p>
            <w:pPr>
              <w:spacing w:line="312" w:lineRule="exact"/>
              <w:ind w:firstLine="0" w:firstLineChars="0"/>
              <w:jc w:val="center"/>
              <w:rPr>
                <w:color w:val="auto"/>
                <w:sz w:val="21"/>
                <w:szCs w:val="21"/>
              </w:rPr>
            </w:pPr>
            <w:r>
              <w:rPr>
                <w:rFonts w:hint="eastAsia"/>
                <w:color w:val="auto"/>
                <w:sz w:val="21"/>
                <w:szCs w:val="21"/>
              </w:rPr>
              <w:t>投料</w:t>
            </w:r>
          </w:p>
        </w:tc>
        <w:tc>
          <w:tcPr>
            <w:tcW w:w="229" w:type="pct"/>
            <w:vAlign w:val="center"/>
          </w:tcPr>
          <w:p>
            <w:pPr>
              <w:spacing w:line="312" w:lineRule="exact"/>
              <w:ind w:firstLine="0" w:firstLineChars="0"/>
              <w:jc w:val="center"/>
              <w:rPr>
                <w:color w:val="auto"/>
                <w:sz w:val="21"/>
                <w:szCs w:val="21"/>
              </w:rPr>
            </w:pPr>
            <w:r>
              <w:rPr>
                <w:color w:val="auto"/>
                <w:sz w:val="21"/>
                <w:szCs w:val="21"/>
              </w:rPr>
              <w:t>液态</w:t>
            </w:r>
          </w:p>
        </w:tc>
        <w:tc>
          <w:tcPr>
            <w:tcW w:w="473" w:type="pct"/>
            <w:vAlign w:val="center"/>
          </w:tcPr>
          <w:p>
            <w:pPr>
              <w:spacing w:line="312" w:lineRule="exact"/>
              <w:ind w:firstLine="0" w:firstLineChars="0"/>
              <w:jc w:val="center"/>
              <w:rPr>
                <w:color w:val="auto"/>
                <w:sz w:val="21"/>
                <w:szCs w:val="21"/>
              </w:rPr>
            </w:pPr>
            <w:r>
              <w:rPr>
                <w:rFonts w:hint="eastAsia"/>
                <w:color w:val="auto"/>
                <w:sz w:val="21"/>
                <w:szCs w:val="21"/>
              </w:rPr>
              <w:t>化纤</w:t>
            </w:r>
          </w:p>
        </w:tc>
        <w:tc>
          <w:tcPr>
            <w:tcW w:w="394" w:type="pct"/>
            <w:vAlign w:val="center"/>
          </w:tcPr>
          <w:p>
            <w:pPr>
              <w:spacing w:line="312" w:lineRule="exact"/>
              <w:ind w:firstLine="0" w:firstLineChars="0"/>
              <w:jc w:val="center"/>
              <w:rPr>
                <w:color w:val="auto"/>
                <w:sz w:val="21"/>
                <w:szCs w:val="21"/>
              </w:rPr>
            </w:pPr>
            <w:r>
              <w:rPr>
                <w:rFonts w:hint="eastAsia"/>
                <w:color w:val="auto"/>
                <w:sz w:val="21"/>
                <w:szCs w:val="21"/>
              </w:rPr>
              <w:t>/</w:t>
            </w:r>
          </w:p>
        </w:tc>
        <w:tc>
          <w:tcPr>
            <w:tcW w:w="315" w:type="pct"/>
            <w:vAlign w:val="center"/>
          </w:tcPr>
          <w:p>
            <w:pPr>
              <w:spacing w:line="312" w:lineRule="exact"/>
              <w:ind w:firstLine="0" w:firstLineChars="0"/>
              <w:jc w:val="center"/>
              <w:rPr>
                <w:color w:val="auto"/>
                <w:sz w:val="21"/>
                <w:szCs w:val="21"/>
              </w:rPr>
            </w:pPr>
            <w:r>
              <w:rPr>
                <w:color w:val="auto"/>
                <w:kern w:val="0"/>
                <w:sz w:val="21"/>
                <w:szCs w:val="21"/>
              </w:rPr>
              <w:t>每天</w:t>
            </w:r>
          </w:p>
        </w:tc>
        <w:tc>
          <w:tcPr>
            <w:tcW w:w="315" w:type="pct"/>
            <w:vAlign w:val="center"/>
          </w:tcPr>
          <w:p>
            <w:pPr>
              <w:spacing w:line="312" w:lineRule="exact"/>
              <w:ind w:firstLine="0" w:firstLineChars="0"/>
              <w:jc w:val="center"/>
              <w:rPr>
                <w:color w:val="auto"/>
                <w:sz w:val="21"/>
                <w:szCs w:val="21"/>
              </w:rPr>
            </w:pPr>
            <w:r>
              <w:rPr>
                <w:rFonts w:hint="eastAsia"/>
                <w:color w:val="auto"/>
                <w:sz w:val="21"/>
                <w:szCs w:val="21"/>
              </w:rPr>
              <w:t>/</w:t>
            </w:r>
          </w:p>
        </w:tc>
        <w:tc>
          <w:tcPr>
            <w:tcW w:w="622" w:type="pct"/>
            <w:vMerge w:val="restart"/>
            <w:vAlign w:val="center"/>
          </w:tcPr>
          <w:p>
            <w:pPr>
              <w:spacing w:line="312" w:lineRule="exact"/>
              <w:ind w:firstLine="0" w:firstLineChars="0"/>
              <w:jc w:val="center"/>
              <w:rPr>
                <w:rFonts w:hint="default" w:eastAsia="宋体"/>
                <w:color w:val="auto"/>
                <w:sz w:val="21"/>
                <w:szCs w:val="21"/>
                <w:lang w:val="en-US" w:eastAsia="zh-CN"/>
              </w:rPr>
            </w:pPr>
            <w:r>
              <w:rPr>
                <w:rFonts w:hint="eastAsia"/>
                <w:color w:val="auto"/>
                <w:sz w:val="21"/>
                <w:szCs w:val="21"/>
              </w:rPr>
              <w:t>收集后</w:t>
            </w:r>
            <w:r>
              <w:rPr>
                <w:rFonts w:hint="eastAsia"/>
                <w:color w:val="auto"/>
                <w:sz w:val="21"/>
                <w:szCs w:val="21"/>
                <w:lang w:val="en-US" w:eastAsia="zh-CN"/>
              </w:rPr>
              <w:t>厂家统一回收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8" w:hRule="atLeast"/>
        </w:trPr>
        <w:tc>
          <w:tcPr>
            <w:tcW w:w="154" w:type="pct"/>
            <w:vAlign w:val="center"/>
          </w:tcPr>
          <w:p>
            <w:pPr>
              <w:spacing w:line="312" w:lineRule="exact"/>
              <w:ind w:firstLine="0" w:firstLineChars="0"/>
              <w:jc w:val="center"/>
              <w:rPr>
                <w:color w:val="auto"/>
                <w:sz w:val="21"/>
                <w:szCs w:val="21"/>
              </w:rPr>
            </w:pPr>
            <w:r>
              <w:rPr>
                <w:color w:val="auto"/>
                <w:sz w:val="21"/>
                <w:szCs w:val="21"/>
              </w:rPr>
              <w:t>2</w:t>
            </w:r>
          </w:p>
        </w:tc>
        <w:tc>
          <w:tcPr>
            <w:tcW w:w="546" w:type="pct"/>
            <w:vAlign w:val="center"/>
          </w:tcPr>
          <w:p>
            <w:pPr>
              <w:spacing w:line="312" w:lineRule="exact"/>
              <w:ind w:firstLine="0" w:firstLineChars="0"/>
              <w:jc w:val="center"/>
              <w:rPr>
                <w:color w:val="auto"/>
                <w:kern w:val="0"/>
                <w:sz w:val="21"/>
                <w:szCs w:val="21"/>
              </w:rPr>
            </w:pPr>
            <w:r>
              <w:rPr>
                <w:rFonts w:hint="eastAsia"/>
                <w:color w:val="auto"/>
                <w:kern w:val="0"/>
                <w:sz w:val="21"/>
                <w:szCs w:val="21"/>
              </w:rPr>
              <w:t>废包装桶</w:t>
            </w:r>
          </w:p>
        </w:tc>
        <w:tc>
          <w:tcPr>
            <w:tcW w:w="364" w:type="pct"/>
            <w:vAlign w:val="center"/>
          </w:tcPr>
          <w:p>
            <w:pPr>
              <w:spacing w:line="312" w:lineRule="exact"/>
              <w:ind w:firstLine="0" w:firstLineChars="0"/>
              <w:jc w:val="center"/>
              <w:rPr>
                <w:color w:val="auto"/>
                <w:kern w:val="0"/>
                <w:sz w:val="21"/>
                <w:szCs w:val="21"/>
              </w:rPr>
            </w:pPr>
            <w:r>
              <w:rPr>
                <w:rFonts w:hint="eastAsia"/>
                <w:color w:val="auto"/>
                <w:kern w:val="0"/>
                <w:sz w:val="21"/>
                <w:szCs w:val="21"/>
              </w:rPr>
              <w:t>一般工业固废</w:t>
            </w:r>
          </w:p>
        </w:tc>
        <w:tc>
          <w:tcPr>
            <w:tcW w:w="468" w:type="pct"/>
            <w:vAlign w:val="center"/>
          </w:tcPr>
          <w:p>
            <w:pPr>
              <w:spacing w:line="312" w:lineRule="exact"/>
              <w:ind w:firstLine="0" w:firstLineChars="0"/>
              <w:jc w:val="center"/>
              <w:rPr>
                <w:color w:val="auto"/>
                <w:kern w:val="0"/>
                <w:sz w:val="21"/>
                <w:szCs w:val="21"/>
              </w:rPr>
            </w:pPr>
            <w:r>
              <w:rPr>
                <w:rFonts w:hint="eastAsia"/>
                <w:color w:val="auto"/>
                <w:kern w:val="0"/>
                <w:sz w:val="21"/>
                <w:szCs w:val="21"/>
              </w:rPr>
              <w:t>266-001-49</w:t>
            </w:r>
          </w:p>
        </w:tc>
        <w:tc>
          <w:tcPr>
            <w:tcW w:w="565" w:type="pct"/>
            <w:vAlign w:val="center"/>
          </w:tcPr>
          <w:p>
            <w:pPr>
              <w:spacing w:line="312" w:lineRule="exact"/>
              <w:ind w:firstLine="0" w:firstLineChars="0"/>
              <w:jc w:val="center"/>
              <w:rPr>
                <w:rFonts w:hint="eastAsia" w:eastAsia="宋体"/>
                <w:color w:val="auto"/>
                <w:sz w:val="21"/>
                <w:szCs w:val="21"/>
                <w:lang w:val="en-US" w:eastAsia="zh-CN"/>
              </w:rPr>
            </w:pPr>
            <w:r>
              <w:rPr>
                <w:color w:val="auto"/>
                <w:sz w:val="21"/>
                <w:szCs w:val="21"/>
              </w:rPr>
              <w:t>0.</w:t>
            </w:r>
            <w:r>
              <w:rPr>
                <w:rFonts w:hint="eastAsia"/>
                <w:color w:val="auto"/>
                <w:sz w:val="21"/>
                <w:szCs w:val="21"/>
                <w:lang w:val="en-US" w:eastAsia="zh-CN"/>
              </w:rPr>
              <w:t>8</w:t>
            </w:r>
          </w:p>
        </w:tc>
        <w:tc>
          <w:tcPr>
            <w:tcW w:w="548" w:type="pct"/>
            <w:vAlign w:val="center"/>
          </w:tcPr>
          <w:p>
            <w:pPr>
              <w:spacing w:line="312" w:lineRule="exact"/>
              <w:ind w:firstLine="0" w:firstLineChars="0"/>
              <w:jc w:val="center"/>
              <w:rPr>
                <w:color w:val="auto"/>
                <w:kern w:val="0"/>
                <w:sz w:val="21"/>
                <w:szCs w:val="21"/>
              </w:rPr>
            </w:pPr>
            <w:r>
              <w:rPr>
                <w:rFonts w:hint="eastAsia"/>
                <w:color w:val="auto"/>
                <w:sz w:val="21"/>
                <w:szCs w:val="21"/>
              </w:rPr>
              <w:t>投料</w:t>
            </w:r>
          </w:p>
        </w:tc>
        <w:tc>
          <w:tcPr>
            <w:tcW w:w="229" w:type="pct"/>
            <w:vAlign w:val="center"/>
          </w:tcPr>
          <w:p>
            <w:pPr>
              <w:spacing w:line="312" w:lineRule="exact"/>
              <w:ind w:firstLine="0" w:firstLineChars="0"/>
              <w:jc w:val="center"/>
              <w:rPr>
                <w:color w:val="auto"/>
                <w:kern w:val="0"/>
                <w:sz w:val="21"/>
                <w:szCs w:val="21"/>
              </w:rPr>
            </w:pPr>
            <w:r>
              <w:rPr>
                <w:color w:val="auto"/>
                <w:kern w:val="0"/>
                <w:sz w:val="21"/>
                <w:szCs w:val="21"/>
              </w:rPr>
              <w:t>固态</w:t>
            </w:r>
          </w:p>
        </w:tc>
        <w:tc>
          <w:tcPr>
            <w:tcW w:w="473" w:type="pct"/>
            <w:vAlign w:val="center"/>
          </w:tcPr>
          <w:p>
            <w:pPr>
              <w:spacing w:line="312" w:lineRule="exact"/>
              <w:ind w:firstLine="0" w:firstLineChars="0"/>
              <w:jc w:val="center"/>
              <w:rPr>
                <w:color w:val="auto"/>
                <w:kern w:val="0"/>
                <w:sz w:val="21"/>
                <w:szCs w:val="21"/>
              </w:rPr>
            </w:pPr>
            <w:r>
              <w:rPr>
                <w:rFonts w:hint="eastAsia"/>
                <w:color w:val="auto"/>
                <w:kern w:val="0"/>
                <w:sz w:val="21"/>
                <w:szCs w:val="21"/>
              </w:rPr>
              <w:t>塑料</w:t>
            </w:r>
          </w:p>
        </w:tc>
        <w:tc>
          <w:tcPr>
            <w:tcW w:w="394" w:type="pct"/>
            <w:vAlign w:val="center"/>
          </w:tcPr>
          <w:p>
            <w:pPr>
              <w:spacing w:line="312" w:lineRule="exact"/>
              <w:ind w:firstLine="0" w:firstLineChars="0"/>
              <w:jc w:val="center"/>
              <w:rPr>
                <w:color w:val="auto"/>
                <w:kern w:val="0"/>
                <w:sz w:val="21"/>
                <w:szCs w:val="21"/>
              </w:rPr>
            </w:pPr>
            <w:r>
              <w:rPr>
                <w:rFonts w:hint="eastAsia"/>
                <w:color w:val="auto"/>
                <w:kern w:val="0"/>
                <w:sz w:val="21"/>
                <w:szCs w:val="21"/>
              </w:rPr>
              <w:t>/</w:t>
            </w:r>
          </w:p>
        </w:tc>
        <w:tc>
          <w:tcPr>
            <w:tcW w:w="315" w:type="pct"/>
            <w:vAlign w:val="center"/>
          </w:tcPr>
          <w:p>
            <w:pPr>
              <w:spacing w:line="312" w:lineRule="exact"/>
              <w:ind w:firstLine="0" w:firstLineChars="0"/>
              <w:jc w:val="center"/>
              <w:rPr>
                <w:color w:val="auto"/>
                <w:kern w:val="0"/>
                <w:sz w:val="21"/>
                <w:szCs w:val="21"/>
              </w:rPr>
            </w:pPr>
            <w:r>
              <w:rPr>
                <w:color w:val="auto"/>
                <w:kern w:val="0"/>
                <w:sz w:val="21"/>
                <w:szCs w:val="21"/>
              </w:rPr>
              <w:t>每天</w:t>
            </w:r>
          </w:p>
        </w:tc>
        <w:tc>
          <w:tcPr>
            <w:tcW w:w="315" w:type="pct"/>
            <w:vAlign w:val="center"/>
          </w:tcPr>
          <w:p>
            <w:pPr>
              <w:spacing w:line="312" w:lineRule="exact"/>
              <w:ind w:firstLine="0" w:firstLineChars="0"/>
              <w:jc w:val="center"/>
              <w:rPr>
                <w:color w:val="auto"/>
                <w:kern w:val="0"/>
                <w:sz w:val="21"/>
                <w:szCs w:val="21"/>
              </w:rPr>
            </w:pPr>
            <w:r>
              <w:rPr>
                <w:rFonts w:hint="eastAsia"/>
                <w:color w:val="auto"/>
                <w:kern w:val="0"/>
                <w:sz w:val="21"/>
                <w:szCs w:val="21"/>
              </w:rPr>
              <w:t>/</w:t>
            </w:r>
          </w:p>
        </w:tc>
        <w:tc>
          <w:tcPr>
            <w:tcW w:w="622" w:type="pct"/>
            <w:vMerge w:val="continue"/>
            <w:vAlign w:val="center"/>
          </w:tcPr>
          <w:p>
            <w:pPr>
              <w:spacing w:line="312" w:lineRule="exac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8" w:hRule="atLeast"/>
        </w:trPr>
        <w:tc>
          <w:tcPr>
            <w:tcW w:w="154" w:type="pct"/>
            <w:vAlign w:val="center"/>
          </w:tcPr>
          <w:p>
            <w:pPr>
              <w:spacing w:line="312" w:lineRule="exact"/>
              <w:ind w:firstLine="0" w:firstLineChars="0"/>
              <w:jc w:val="center"/>
              <w:rPr>
                <w:rFonts w:hint="eastAsia" w:eastAsia="宋体"/>
                <w:color w:val="auto"/>
                <w:sz w:val="21"/>
                <w:szCs w:val="21"/>
                <w:lang w:val="en-US" w:eastAsia="zh-CN"/>
              </w:rPr>
            </w:pPr>
            <w:r>
              <w:rPr>
                <w:rFonts w:hint="eastAsia"/>
                <w:color w:val="auto"/>
                <w:sz w:val="21"/>
                <w:szCs w:val="21"/>
                <w:lang w:val="en-US" w:eastAsia="zh-CN"/>
              </w:rPr>
              <w:t>3</w:t>
            </w:r>
          </w:p>
        </w:tc>
        <w:tc>
          <w:tcPr>
            <w:tcW w:w="546" w:type="pct"/>
            <w:vAlign w:val="center"/>
          </w:tcPr>
          <w:p>
            <w:pPr>
              <w:spacing w:line="312" w:lineRule="exact"/>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高沸物</w:t>
            </w:r>
          </w:p>
        </w:tc>
        <w:tc>
          <w:tcPr>
            <w:tcW w:w="364" w:type="pct"/>
            <w:vAlign w:val="center"/>
          </w:tcPr>
          <w:p>
            <w:pPr>
              <w:spacing w:line="312" w:lineRule="exact"/>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HW50</w:t>
            </w:r>
          </w:p>
        </w:tc>
        <w:tc>
          <w:tcPr>
            <w:tcW w:w="468" w:type="pct"/>
            <w:vAlign w:val="center"/>
          </w:tcPr>
          <w:p>
            <w:pPr>
              <w:spacing w:line="312" w:lineRule="exact"/>
              <w:ind w:firstLine="0" w:firstLineChars="0"/>
              <w:jc w:val="center"/>
              <w:rPr>
                <w:rFonts w:hint="default"/>
                <w:color w:val="auto"/>
                <w:kern w:val="0"/>
                <w:sz w:val="21"/>
                <w:szCs w:val="21"/>
                <w:lang w:val="en-US"/>
              </w:rPr>
            </w:pPr>
            <w:r>
              <w:rPr>
                <w:rFonts w:hint="eastAsia"/>
                <w:color w:val="auto"/>
                <w:kern w:val="0"/>
                <w:sz w:val="21"/>
                <w:szCs w:val="21"/>
                <w:lang w:val="en-US" w:eastAsia="zh-CN"/>
              </w:rPr>
              <w:t>900-048-50</w:t>
            </w:r>
          </w:p>
        </w:tc>
        <w:tc>
          <w:tcPr>
            <w:tcW w:w="565" w:type="pct"/>
            <w:vAlign w:val="center"/>
          </w:tcPr>
          <w:p>
            <w:pPr>
              <w:spacing w:line="312"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2.997</w:t>
            </w:r>
          </w:p>
        </w:tc>
        <w:tc>
          <w:tcPr>
            <w:tcW w:w="548" w:type="pct"/>
            <w:vAlign w:val="center"/>
          </w:tcPr>
          <w:p>
            <w:pPr>
              <w:spacing w:line="312"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酯化工序</w:t>
            </w:r>
          </w:p>
        </w:tc>
        <w:tc>
          <w:tcPr>
            <w:tcW w:w="229" w:type="pct"/>
            <w:vAlign w:val="center"/>
          </w:tcPr>
          <w:p>
            <w:pPr>
              <w:spacing w:line="312" w:lineRule="exact"/>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液态</w:t>
            </w:r>
          </w:p>
        </w:tc>
        <w:tc>
          <w:tcPr>
            <w:tcW w:w="473" w:type="pct"/>
            <w:vAlign w:val="center"/>
          </w:tcPr>
          <w:p>
            <w:pPr>
              <w:spacing w:line="312" w:lineRule="exact"/>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催化剂</w:t>
            </w:r>
          </w:p>
        </w:tc>
        <w:tc>
          <w:tcPr>
            <w:tcW w:w="394" w:type="pct"/>
            <w:vAlign w:val="center"/>
          </w:tcPr>
          <w:p>
            <w:pPr>
              <w:spacing w:line="312" w:lineRule="exact"/>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w:t>
            </w:r>
          </w:p>
        </w:tc>
        <w:tc>
          <w:tcPr>
            <w:tcW w:w="315" w:type="pct"/>
            <w:vAlign w:val="center"/>
          </w:tcPr>
          <w:p>
            <w:pPr>
              <w:spacing w:line="312" w:lineRule="exact"/>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每周</w:t>
            </w:r>
          </w:p>
        </w:tc>
        <w:tc>
          <w:tcPr>
            <w:tcW w:w="315" w:type="pct"/>
            <w:vAlign w:val="center"/>
          </w:tcPr>
          <w:p>
            <w:pPr>
              <w:spacing w:line="312" w:lineRule="exact"/>
              <w:ind w:firstLine="0" w:firstLineChars="0"/>
              <w:jc w:val="center"/>
              <w:rPr>
                <w:rFonts w:hint="eastAsia" w:eastAsia="宋体"/>
                <w:color w:val="auto"/>
                <w:kern w:val="0"/>
                <w:sz w:val="21"/>
                <w:szCs w:val="21"/>
                <w:lang w:val="en-US" w:eastAsia="zh-CN"/>
              </w:rPr>
            </w:pPr>
            <w:r>
              <w:rPr>
                <w:color w:val="auto"/>
                <w:sz w:val="21"/>
                <w:szCs w:val="21"/>
              </w:rPr>
              <w:t>T</w:t>
            </w:r>
          </w:p>
        </w:tc>
        <w:tc>
          <w:tcPr>
            <w:tcW w:w="622" w:type="pct"/>
            <w:vMerge w:val="restart"/>
            <w:vAlign w:val="center"/>
          </w:tcPr>
          <w:p>
            <w:pPr>
              <w:spacing w:line="312"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委托资质单位处置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8" w:hRule="atLeast"/>
        </w:trPr>
        <w:tc>
          <w:tcPr>
            <w:tcW w:w="154" w:type="pct"/>
            <w:vAlign w:val="center"/>
          </w:tcPr>
          <w:p>
            <w:pPr>
              <w:spacing w:line="312" w:lineRule="exact"/>
              <w:ind w:firstLine="0" w:firstLineChars="0"/>
              <w:jc w:val="center"/>
              <w:rPr>
                <w:rFonts w:hint="eastAsia"/>
                <w:color w:val="auto"/>
                <w:sz w:val="21"/>
                <w:szCs w:val="21"/>
                <w:lang w:val="en-US" w:eastAsia="zh-CN"/>
              </w:rPr>
            </w:pPr>
            <w:r>
              <w:rPr>
                <w:rFonts w:hint="eastAsia"/>
                <w:color w:val="auto"/>
                <w:kern w:val="0"/>
                <w:sz w:val="21"/>
                <w:szCs w:val="21"/>
                <w:lang w:val="en-US" w:eastAsia="zh-CN"/>
              </w:rPr>
              <w:t>4</w:t>
            </w:r>
          </w:p>
        </w:tc>
        <w:tc>
          <w:tcPr>
            <w:tcW w:w="546" w:type="pct"/>
            <w:vAlign w:val="center"/>
          </w:tcPr>
          <w:p>
            <w:pPr>
              <w:spacing w:line="312" w:lineRule="exact"/>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罐底残渣</w:t>
            </w:r>
          </w:p>
        </w:tc>
        <w:tc>
          <w:tcPr>
            <w:tcW w:w="364" w:type="pct"/>
            <w:vAlign w:val="center"/>
          </w:tcPr>
          <w:p>
            <w:pPr>
              <w:spacing w:line="312" w:lineRule="exact"/>
              <w:ind w:firstLine="0" w:firstLineChars="0"/>
              <w:jc w:val="center"/>
              <w:rPr>
                <w:rFonts w:hint="eastAsia"/>
                <w:color w:val="auto"/>
                <w:kern w:val="0"/>
                <w:sz w:val="21"/>
                <w:szCs w:val="21"/>
                <w:lang w:val="en-US" w:eastAsia="zh-CN"/>
              </w:rPr>
            </w:pPr>
            <w:r>
              <w:rPr>
                <w:rFonts w:hint="eastAsia"/>
                <w:color w:val="auto"/>
                <w:kern w:val="0"/>
                <w:sz w:val="21"/>
                <w:szCs w:val="21"/>
                <w:lang w:val="en-US" w:eastAsia="zh-CN"/>
              </w:rPr>
              <w:t>HW50</w:t>
            </w:r>
          </w:p>
        </w:tc>
        <w:tc>
          <w:tcPr>
            <w:tcW w:w="468" w:type="pct"/>
            <w:vAlign w:val="center"/>
          </w:tcPr>
          <w:p>
            <w:pPr>
              <w:spacing w:line="312" w:lineRule="exact"/>
              <w:ind w:firstLine="0" w:firstLineChars="0"/>
              <w:jc w:val="center"/>
              <w:rPr>
                <w:rFonts w:hint="eastAsia"/>
                <w:color w:val="auto"/>
                <w:kern w:val="0"/>
                <w:sz w:val="21"/>
                <w:szCs w:val="21"/>
                <w:lang w:val="en-US" w:eastAsia="zh-CN"/>
              </w:rPr>
            </w:pPr>
            <w:r>
              <w:rPr>
                <w:rFonts w:hint="eastAsia"/>
                <w:color w:val="auto"/>
                <w:kern w:val="0"/>
                <w:sz w:val="21"/>
                <w:szCs w:val="21"/>
                <w:lang w:val="en-US" w:eastAsia="zh-CN"/>
              </w:rPr>
              <w:t>900-048-50</w:t>
            </w:r>
          </w:p>
        </w:tc>
        <w:tc>
          <w:tcPr>
            <w:tcW w:w="565" w:type="pct"/>
            <w:vAlign w:val="center"/>
          </w:tcPr>
          <w:p>
            <w:pPr>
              <w:spacing w:line="312" w:lineRule="exact"/>
              <w:ind w:firstLine="0" w:firstLineChars="0"/>
              <w:jc w:val="center"/>
              <w:rPr>
                <w:rFonts w:hint="default"/>
                <w:color w:val="auto"/>
                <w:sz w:val="21"/>
                <w:szCs w:val="21"/>
                <w:lang w:val="en-US" w:eastAsia="zh-CN"/>
              </w:rPr>
            </w:pPr>
            <w:r>
              <w:rPr>
                <w:rFonts w:hint="eastAsia"/>
                <w:color w:val="auto"/>
                <w:sz w:val="21"/>
                <w:szCs w:val="21"/>
                <w:lang w:val="en-US" w:eastAsia="zh-CN"/>
              </w:rPr>
              <w:t>6.9828</w:t>
            </w:r>
          </w:p>
        </w:tc>
        <w:tc>
          <w:tcPr>
            <w:tcW w:w="548" w:type="pct"/>
            <w:vAlign w:val="center"/>
          </w:tcPr>
          <w:p>
            <w:pPr>
              <w:spacing w:line="312" w:lineRule="exact"/>
              <w:ind w:firstLine="0" w:firstLineChars="0"/>
              <w:jc w:val="center"/>
              <w:rPr>
                <w:rFonts w:hint="default"/>
                <w:color w:val="auto"/>
                <w:sz w:val="21"/>
                <w:szCs w:val="21"/>
                <w:lang w:val="en-US" w:eastAsia="zh-CN"/>
              </w:rPr>
            </w:pPr>
            <w:r>
              <w:rPr>
                <w:rFonts w:hint="eastAsia"/>
                <w:color w:val="auto"/>
                <w:sz w:val="21"/>
                <w:szCs w:val="21"/>
                <w:lang w:val="en-US" w:eastAsia="zh-CN"/>
              </w:rPr>
              <w:t>精制工序</w:t>
            </w:r>
          </w:p>
        </w:tc>
        <w:tc>
          <w:tcPr>
            <w:tcW w:w="229" w:type="pct"/>
            <w:vAlign w:val="center"/>
          </w:tcPr>
          <w:p>
            <w:pPr>
              <w:spacing w:line="312" w:lineRule="exact"/>
              <w:ind w:firstLine="0" w:firstLineChars="0"/>
              <w:jc w:val="center"/>
              <w:rPr>
                <w:rFonts w:hint="eastAsia"/>
                <w:color w:val="auto"/>
                <w:kern w:val="0"/>
                <w:sz w:val="21"/>
                <w:szCs w:val="21"/>
                <w:lang w:val="en-US" w:eastAsia="zh-CN"/>
              </w:rPr>
            </w:pPr>
            <w:r>
              <w:rPr>
                <w:rFonts w:hint="eastAsia"/>
                <w:color w:val="auto"/>
                <w:kern w:val="0"/>
                <w:sz w:val="21"/>
                <w:szCs w:val="21"/>
                <w:lang w:val="en-US" w:eastAsia="zh-CN"/>
              </w:rPr>
              <w:t>液态</w:t>
            </w:r>
          </w:p>
        </w:tc>
        <w:tc>
          <w:tcPr>
            <w:tcW w:w="473" w:type="pct"/>
            <w:vAlign w:val="center"/>
          </w:tcPr>
          <w:p>
            <w:pPr>
              <w:spacing w:line="312" w:lineRule="exact"/>
              <w:ind w:firstLine="0" w:firstLineChars="0"/>
              <w:jc w:val="center"/>
              <w:rPr>
                <w:rFonts w:hint="eastAsia"/>
                <w:color w:val="auto"/>
                <w:kern w:val="0"/>
                <w:sz w:val="21"/>
                <w:szCs w:val="21"/>
                <w:lang w:val="en-US" w:eastAsia="zh-CN"/>
              </w:rPr>
            </w:pPr>
            <w:r>
              <w:rPr>
                <w:rFonts w:hint="eastAsia"/>
                <w:color w:val="auto"/>
                <w:kern w:val="0"/>
                <w:sz w:val="21"/>
                <w:szCs w:val="21"/>
                <w:lang w:val="en-US" w:eastAsia="zh-CN"/>
              </w:rPr>
              <w:t>催化剂</w:t>
            </w:r>
          </w:p>
        </w:tc>
        <w:tc>
          <w:tcPr>
            <w:tcW w:w="394" w:type="pct"/>
            <w:vAlign w:val="center"/>
          </w:tcPr>
          <w:p>
            <w:pPr>
              <w:spacing w:line="312" w:lineRule="exact"/>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w:t>
            </w:r>
          </w:p>
        </w:tc>
        <w:tc>
          <w:tcPr>
            <w:tcW w:w="315" w:type="pct"/>
            <w:vAlign w:val="center"/>
          </w:tcPr>
          <w:p>
            <w:pPr>
              <w:spacing w:line="312" w:lineRule="exact"/>
              <w:ind w:firstLine="0" w:firstLineChars="0"/>
              <w:jc w:val="center"/>
              <w:rPr>
                <w:rFonts w:hint="eastAsia"/>
                <w:color w:val="auto"/>
                <w:kern w:val="0"/>
                <w:sz w:val="21"/>
                <w:szCs w:val="21"/>
                <w:lang w:val="en-US" w:eastAsia="zh-CN"/>
              </w:rPr>
            </w:pPr>
            <w:r>
              <w:rPr>
                <w:rFonts w:hint="eastAsia"/>
                <w:color w:val="auto"/>
                <w:kern w:val="0"/>
                <w:sz w:val="21"/>
                <w:szCs w:val="21"/>
                <w:lang w:val="en-US" w:eastAsia="zh-CN"/>
              </w:rPr>
              <w:t>每周</w:t>
            </w:r>
          </w:p>
        </w:tc>
        <w:tc>
          <w:tcPr>
            <w:tcW w:w="315" w:type="pct"/>
            <w:vAlign w:val="center"/>
          </w:tcPr>
          <w:p>
            <w:pPr>
              <w:spacing w:line="312" w:lineRule="exact"/>
              <w:ind w:firstLine="0" w:firstLineChars="0"/>
              <w:jc w:val="center"/>
              <w:rPr>
                <w:color w:val="auto"/>
                <w:sz w:val="21"/>
                <w:szCs w:val="21"/>
              </w:rPr>
            </w:pPr>
            <w:r>
              <w:rPr>
                <w:color w:val="auto"/>
                <w:sz w:val="21"/>
                <w:szCs w:val="21"/>
              </w:rPr>
              <w:t>T</w:t>
            </w:r>
          </w:p>
        </w:tc>
        <w:tc>
          <w:tcPr>
            <w:tcW w:w="622" w:type="pct"/>
            <w:vMerge w:val="continue"/>
            <w:vAlign w:val="center"/>
          </w:tcPr>
          <w:p>
            <w:pPr>
              <w:spacing w:line="312" w:lineRule="exact"/>
              <w:ind w:firstLine="0" w:firstLineChars="0"/>
              <w:jc w:val="center"/>
              <w:rPr>
                <w:rFonts w:hint="eastAsia"/>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154" w:type="pct"/>
            <w:vAlign w:val="center"/>
          </w:tcPr>
          <w:p>
            <w:pPr>
              <w:spacing w:line="312" w:lineRule="exact"/>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5</w:t>
            </w:r>
          </w:p>
        </w:tc>
        <w:tc>
          <w:tcPr>
            <w:tcW w:w="546" w:type="pct"/>
            <w:vAlign w:val="center"/>
          </w:tcPr>
          <w:p>
            <w:pPr>
              <w:spacing w:line="312" w:lineRule="exact"/>
              <w:ind w:firstLine="0" w:firstLineChars="0"/>
              <w:jc w:val="center"/>
              <w:rPr>
                <w:color w:val="auto"/>
                <w:kern w:val="0"/>
                <w:sz w:val="21"/>
                <w:szCs w:val="21"/>
              </w:rPr>
            </w:pPr>
            <w:r>
              <w:rPr>
                <w:rFonts w:hint="eastAsia"/>
                <w:color w:val="auto"/>
                <w:kern w:val="0"/>
                <w:sz w:val="21"/>
                <w:szCs w:val="21"/>
              </w:rPr>
              <w:t>废活性炭</w:t>
            </w:r>
          </w:p>
        </w:tc>
        <w:tc>
          <w:tcPr>
            <w:tcW w:w="364" w:type="pct"/>
            <w:vAlign w:val="center"/>
          </w:tcPr>
          <w:p>
            <w:pPr>
              <w:spacing w:line="312" w:lineRule="exact"/>
              <w:ind w:firstLine="0" w:firstLineChars="0"/>
              <w:jc w:val="center"/>
              <w:rPr>
                <w:color w:val="auto"/>
                <w:kern w:val="0"/>
                <w:sz w:val="21"/>
                <w:szCs w:val="21"/>
              </w:rPr>
            </w:pPr>
            <w:r>
              <w:rPr>
                <w:color w:val="auto"/>
                <w:kern w:val="0"/>
                <w:sz w:val="21"/>
                <w:szCs w:val="21"/>
              </w:rPr>
              <w:t>HW49</w:t>
            </w:r>
          </w:p>
        </w:tc>
        <w:tc>
          <w:tcPr>
            <w:tcW w:w="468" w:type="pct"/>
            <w:vAlign w:val="center"/>
          </w:tcPr>
          <w:p>
            <w:pPr>
              <w:spacing w:line="312" w:lineRule="exact"/>
              <w:ind w:firstLine="0" w:firstLineChars="0"/>
              <w:jc w:val="center"/>
              <w:rPr>
                <w:color w:val="auto"/>
                <w:kern w:val="0"/>
                <w:sz w:val="21"/>
                <w:szCs w:val="21"/>
              </w:rPr>
            </w:pPr>
            <w:r>
              <w:rPr>
                <w:color w:val="auto"/>
                <w:kern w:val="0"/>
                <w:sz w:val="21"/>
                <w:szCs w:val="21"/>
              </w:rPr>
              <w:t>900-039-49</w:t>
            </w:r>
          </w:p>
        </w:tc>
        <w:tc>
          <w:tcPr>
            <w:tcW w:w="565" w:type="pct"/>
            <w:vAlign w:val="center"/>
          </w:tcPr>
          <w:p>
            <w:pPr>
              <w:spacing w:line="312" w:lineRule="exact"/>
              <w:ind w:firstLine="0" w:firstLineChars="0"/>
              <w:jc w:val="center"/>
              <w:rPr>
                <w:rFonts w:hint="eastAsia" w:eastAsia="宋体"/>
                <w:color w:val="auto"/>
                <w:sz w:val="21"/>
                <w:szCs w:val="21"/>
                <w:lang w:eastAsia="zh-CN"/>
              </w:rPr>
            </w:pPr>
            <w:r>
              <w:rPr>
                <w:rFonts w:hint="eastAsia"/>
                <w:color w:val="auto"/>
                <w:sz w:val="21"/>
                <w:szCs w:val="21"/>
                <w:lang w:eastAsia="zh-CN"/>
              </w:rPr>
              <w:t>8.64</w:t>
            </w:r>
          </w:p>
        </w:tc>
        <w:tc>
          <w:tcPr>
            <w:tcW w:w="548" w:type="pct"/>
            <w:vAlign w:val="center"/>
          </w:tcPr>
          <w:p>
            <w:pPr>
              <w:spacing w:line="312" w:lineRule="exact"/>
              <w:ind w:firstLine="0" w:firstLineChars="0"/>
              <w:jc w:val="center"/>
              <w:rPr>
                <w:color w:val="auto"/>
                <w:kern w:val="0"/>
                <w:sz w:val="21"/>
                <w:szCs w:val="21"/>
              </w:rPr>
            </w:pPr>
            <w:r>
              <w:rPr>
                <w:color w:val="auto"/>
                <w:kern w:val="0"/>
                <w:sz w:val="21"/>
                <w:szCs w:val="21"/>
              </w:rPr>
              <w:t>有机废气治理</w:t>
            </w:r>
          </w:p>
        </w:tc>
        <w:tc>
          <w:tcPr>
            <w:tcW w:w="229" w:type="pct"/>
            <w:vAlign w:val="center"/>
          </w:tcPr>
          <w:p>
            <w:pPr>
              <w:spacing w:line="312" w:lineRule="exact"/>
              <w:ind w:firstLine="0" w:firstLineChars="0"/>
              <w:jc w:val="center"/>
              <w:rPr>
                <w:color w:val="auto"/>
                <w:kern w:val="0"/>
                <w:sz w:val="21"/>
                <w:szCs w:val="21"/>
              </w:rPr>
            </w:pPr>
            <w:r>
              <w:rPr>
                <w:color w:val="auto"/>
                <w:kern w:val="0"/>
                <w:sz w:val="21"/>
                <w:szCs w:val="21"/>
              </w:rPr>
              <w:t>液态</w:t>
            </w:r>
          </w:p>
        </w:tc>
        <w:tc>
          <w:tcPr>
            <w:tcW w:w="473" w:type="pct"/>
            <w:vAlign w:val="center"/>
          </w:tcPr>
          <w:p>
            <w:pPr>
              <w:spacing w:line="312" w:lineRule="exact"/>
              <w:ind w:firstLine="0" w:firstLineChars="0"/>
              <w:jc w:val="center"/>
              <w:rPr>
                <w:color w:val="auto"/>
                <w:kern w:val="0"/>
                <w:sz w:val="21"/>
                <w:szCs w:val="21"/>
              </w:rPr>
            </w:pPr>
            <w:r>
              <w:rPr>
                <w:rFonts w:hint="eastAsia"/>
                <w:color w:val="auto"/>
                <w:kern w:val="0"/>
                <w:sz w:val="21"/>
                <w:szCs w:val="21"/>
              </w:rPr>
              <w:t>挥发性有机物</w:t>
            </w:r>
          </w:p>
        </w:tc>
        <w:tc>
          <w:tcPr>
            <w:tcW w:w="394" w:type="pct"/>
            <w:vAlign w:val="center"/>
          </w:tcPr>
          <w:p>
            <w:pPr>
              <w:spacing w:line="312" w:lineRule="exact"/>
              <w:ind w:firstLine="0" w:firstLineChars="0"/>
              <w:jc w:val="center"/>
              <w:rPr>
                <w:color w:val="auto"/>
                <w:kern w:val="0"/>
                <w:sz w:val="21"/>
                <w:szCs w:val="21"/>
              </w:rPr>
            </w:pPr>
            <w:r>
              <w:rPr>
                <w:rFonts w:hint="eastAsia"/>
                <w:color w:val="auto"/>
                <w:kern w:val="0"/>
                <w:sz w:val="21"/>
                <w:szCs w:val="21"/>
              </w:rPr>
              <w:t>挥发性有机物</w:t>
            </w:r>
          </w:p>
        </w:tc>
        <w:tc>
          <w:tcPr>
            <w:tcW w:w="315" w:type="pct"/>
            <w:vAlign w:val="center"/>
          </w:tcPr>
          <w:p>
            <w:pPr>
              <w:spacing w:line="312" w:lineRule="exact"/>
              <w:ind w:firstLine="0" w:firstLineChars="0"/>
              <w:jc w:val="center"/>
              <w:rPr>
                <w:color w:val="auto"/>
                <w:kern w:val="0"/>
                <w:sz w:val="21"/>
                <w:szCs w:val="21"/>
              </w:rPr>
            </w:pPr>
            <w:r>
              <w:rPr>
                <w:color w:val="auto"/>
                <w:kern w:val="0"/>
                <w:sz w:val="21"/>
                <w:szCs w:val="21"/>
              </w:rPr>
              <w:t>每</w:t>
            </w:r>
            <w:r>
              <w:rPr>
                <w:rFonts w:hint="eastAsia"/>
                <w:color w:val="auto"/>
                <w:kern w:val="0"/>
                <w:sz w:val="21"/>
                <w:szCs w:val="21"/>
              </w:rPr>
              <w:t>半年</w:t>
            </w:r>
          </w:p>
        </w:tc>
        <w:tc>
          <w:tcPr>
            <w:tcW w:w="315" w:type="pct"/>
            <w:vAlign w:val="center"/>
          </w:tcPr>
          <w:p>
            <w:pPr>
              <w:spacing w:line="312" w:lineRule="exact"/>
              <w:ind w:firstLine="0" w:firstLineChars="0"/>
              <w:jc w:val="center"/>
              <w:rPr>
                <w:color w:val="auto"/>
                <w:kern w:val="0"/>
                <w:sz w:val="21"/>
                <w:szCs w:val="21"/>
              </w:rPr>
            </w:pPr>
            <w:r>
              <w:rPr>
                <w:color w:val="auto"/>
                <w:sz w:val="21"/>
                <w:szCs w:val="21"/>
              </w:rPr>
              <w:t>T</w:t>
            </w:r>
          </w:p>
        </w:tc>
        <w:tc>
          <w:tcPr>
            <w:tcW w:w="622" w:type="pct"/>
            <w:vMerge w:val="continue"/>
            <w:vAlign w:val="center"/>
          </w:tcPr>
          <w:p>
            <w:pPr>
              <w:spacing w:line="312" w:lineRule="exac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154" w:type="pct"/>
            <w:vAlign w:val="center"/>
          </w:tcPr>
          <w:p>
            <w:pPr>
              <w:spacing w:line="312" w:lineRule="exact"/>
              <w:ind w:firstLine="0" w:firstLineChars="0"/>
              <w:jc w:val="center"/>
              <w:rPr>
                <w:rFonts w:hint="eastAsia" w:eastAsia="宋体"/>
                <w:color w:val="auto"/>
                <w:kern w:val="0"/>
                <w:sz w:val="21"/>
                <w:szCs w:val="21"/>
                <w:lang w:val="en-US" w:eastAsia="zh-CN"/>
              </w:rPr>
            </w:pPr>
            <w:r>
              <w:rPr>
                <w:rFonts w:hint="eastAsia"/>
                <w:color w:val="auto"/>
                <w:sz w:val="21"/>
                <w:szCs w:val="21"/>
                <w:lang w:val="en-US" w:eastAsia="zh-CN"/>
              </w:rPr>
              <w:t>6</w:t>
            </w:r>
          </w:p>
        </w:tc>
        <w:tc>
          <w:tcPr>
            <w:tcW w:w="546" w:type="pct"/>
            <w:vAlign w:val="center"/>
          </w:tcPr>
          <w:p>
            <w:pPr>
              <w:spacing w:line="312" w:lineRule="exact"/>
              <w:ind w:firstLine="0" w:firstLineChars="0"/>
              <w:jc w:val="center"/>
              <w:rPr>
                <w:color w:val="auto"/>
                <w:kern w:val="0"/>
                <w:sz w:val="21"/>
                <w:szCs w:val="21"/>
              </w:rPr>
            </w:pPr>
            <w:r>
              <w:rPr>
                <w:color w:val="auto"/>
                <w:kern w:val="0"/>
                <w:sz w:val="21"/>
                <w:szCs w:val="21"/>
              </w:rPr>
              <w:t>废润滑油</w:t>
            </w:r>
          </w:p>
        </w:tc>
        <w:tc>
          <w:tcPr>
            <w:tcW w:w="364" w:type="pct"/>
            <w:vAlign w:val="center"/>
          </w:tcPr>
          <w:p>
            <w:pPr>
              <w:spacing w:line="312" w:lineRule="exact"/>
              <w:ind w:firstLine="0" w:firstLineChars="0"/>
              <w:jc w:val="center"/>
              <w:rPr>
                <w:color w:val="auto"/>
                <w:kern w:val="0"/>
                <w:sz w:val="21"/>
                <w:szCs w:val="21"/>
              </w:rPr>
            </w:pPr>
            <w:r>
              <w:rPr>
                <w:color w:val="auto"/>
                <w:sz w:val="21"/>
                <w:szCs w:val="21"/>
              </w:rPr>
              <w:t>HW08</w:t>
            </w:r>
          </w:p>
        </w:tc>
        <w:tc>
          <w:tcPr>
            <w:tcW w:w="468" w:type="pct"/>
            <w:vAlign w:val="center"/>
          </w:tcPr>
          <w:p>
            <w:pPr>
              <w:spacing w:line="312" w:lineRule="exact"/>
              <w:ind w:firstLine="0" w:firstLineChars="0"/>
              <w:jc w:val="center"/>
              <w:rPr>
                <w:color w:val="auto"/>
                <w:kern w:val="0"/>
                <w:sz w:val="21"/>
                <w:szCs w:val="21"/>
              </w:rPr>
            </w:pPr>
            <w:r>
              <w:rPr>
                <w:color w:val="auto"/>
                <w:sz w:val="21"/>
                <w:szCs w:val="21"/>
              </w:rPr>
              <w:t>900-217-08</w:t>
            </w:r>
          </w:p>
        </w:tc>
        <w:tc>
          <w:tcPr>
            <w:tcW w:w="565" w:type="pct"/>
            <w:vAlign w:val="center"/>
          </w:tcPr>
          <w:p>
            <w:pPr>
              <w:spacing w:line="312" w:lineRule="exact"/>
              <w:ind w:firstLine="0" w:firstLineChars="0"/>
              <w:jc w:val="center"/>
              <w:rPr>
                <w:rFonts w:hint="eastAsia" w:eastAsia="宋体"/>
                <w:color w:val="auto"/>
                <w:sz w:val="21"/>
                <w:szCs w:val="21"/>
                <w:lang w:val="en-US" w:eastAsia="zh-CN"/>
              </w:rPr>
            </w:pPr>
            <w:r>
              <w:rPr>
                <w:rFonts w:hint="eastAsia"/>
                <w:color w:val="auto"/>
                <w:sz w:val="21"/>
                <w:szCs w:val="21"/>
              </w:rPr>
              <w:t>0.</w:t>
            </w:r>
            <w:r>
              <w:rPr>
                <w:rFonts w:hint="eastAsia"/>
                <w:color w:val="auto"/>
                <w:sz w:val="21"/>
                <w:szCs w:val="21"/>
                <w:lang w:val="en-US" w:eastAsia="zh-CN"/>
              </w:rPr>
              <w:t>1</w:t>
            </w:r>
          </w:p>
        </w:tc>
        <w:tc>
          <w:tcPr>
            <w:tcW w:w="548" w:type="pct"/>
            <w:vAlign w:val="center"/>
          </w:tcPr>
          <w:p>
            <w:pPr>
              <w:spacing w:line="312" w:lineRule="exact"/>
              <w:ind w:firstLine="0" w:firstLineChars="0"/>
              <w:jc w:val="center"/>
              <w:rPr>
                <w:color w:val="auto"/>
                <w:kern w:val="0"/>
                <w:sz w:val="21"/>
                <w:szCs w:val="21"/>
              </w:rPr>
            </w:pPr>
            <w:r>
              <w:rPr>
                <w:color w:val="auto"/>
                <w:sz w:val="21"/>
                <w:szCs w:val="21"/>
              </w:rPr>
              <w:t>保养设备</w:t>
            </w:r>
          </w:p>
        </w:tc>
        <w:tc>
          <w:tcPr>
            <w:tcW w:w="229" w:type="pct"/>
            <w:vAlign w:val="center"/>
          </w:tcPr>
          <w:p>
            <w:pPr>
              <w:spacing w:line="312" w:lineRule="exact"/>
              <w:ind w:firstLine="0" w:firstLineChars="0"/>
              <w:jc w:val="center"/>
              <w:rPr>
                <w:color w:val="auto"/>
                <w:kern w:val="0"/>
                <w:sz w:val="21"/>
                <w:szCs w:val="21"/>
              </w:rPr>
            </w:pPr>
            <w:r>
              <w:rPr>
                <w:color w:val="auto"/>
                <w:kern w:val="0"/>
                <w:sz w:val="21"/>
                <w:szCs w:val="21"/>
              </w:rPr>
              <w:t>固态</w:t>
            </w:r>
          </w:p>
        </w:tc>
        <w:tc>
          <w:tcPr>
            <w:tcW w:w="473" w:type="pct"/>
            <w:vAlign w:val="center"/>
          </w:tcPr>
          <w:p>
            <w:pPr>
              <w:spacing w:line="312" w:lineRule="exact"/>
              <w:ind w:firstLine="0" w:firstLineChars="0"/>
              <w:jc w:val="center"/>
              <w:rPr>
                <w:color w:val="auto"/>
                <w:kern w:val="0"/>
                <w:sz w:val="21"/>
                <w:szCs w:val="21"/>
              </w:rPr>
            </w:pPr>
            <w:r>
              <w:rPr>
                <w:rFonts w:hint="eastAsia"/>
                <w:color w:val="auto"/>
                <w:kern w:val="0"/>
                <w:sz w:val="21"/>
                <w:szCs w:val="21"/>
              </w:rPr>
              <w:t>矿物油</w:t>
            </w:r>
          </w:p>
        </w:tc>
        <w:tc>
          <w:tcPr>
            <w:tcW w:w="394" w:type="pct"/>
            <w:vAlign w:val="center"/>
          </w:tcPr>
          <w:p>
            <w:pPr>
              <w:spacing w:line="312" w:lineRule="exact"/>
              <w:ind w:firstLine="0" w:firstLineChars="0"/>
              <w:jc w:val="center"/>
              <w:rPr>
                <w:color w:val="auto"/>
                <w:kern w:val="0"/>
                <w:sz w:val="21"/>
                <w:szCs w:val="21"/>
              </w:rPr>
            </w:pPr>
            <w:r>
              <w:rPr>
                <w:color w:val="auto"/>
                <w:sz w:val="21"/>
                <w:szCs w:val="21"/>
              </w:rPr>
              <w:t>矿物油</w:t>
            </w:r>
          </w:p>
        </w:tc>
        <w:tc>
          <w:tcPr>
            <w:tcW w:w="315" w:type="pct"/>
            <w:vAlign w:val="center"/>
          </w:tcPr>
          <w:p>
            <w:pPr>
              <w:spacing w:line="312" w:lineRule="exact"/>
              <w:ind w:firstLine="0" w:firstLineChars="0"/>
              <w:jc w:val="center"/>
              <w:rPr>
                <w:color w:val="auto"/>
                <w:kern w:val="0"/>
                <w:sz w:val="21"/>
                <w:szCs w:val="21"/>
              </w:rPr>
            </w:pPr>
            <w:r>
              <w:rPr>
                <w:color w:val="auto"/>
                <w:kern w:val="0"/>
                <w:sz w:val="21"/>
                <w:szCs w:val="21"/>
              </w:rPr>
              <w:t>每</w:t>
            </w:r>
            <w:r>
              <w:rPr>
                <w:rFonts w:hint="eastAsia"/>
                <w:color w:val="auto"/>
                <w:kern w:val="0"/>
                <w:sz w:val="21"/>
                <w:szCs w:val="21"/>
              </w:rPr>
              <w:t>3</w:t>
            </w:r>
            <w:r>
              <w:rPr>
                <w:color w:val="auto"/>
                <w:kern w:val="0"/>
                <w:sz w:val="21"/>
                <w:szCs w:val="21"/>
              </w:rPr>
              <w:t>个月</w:t>
            </w:r>
          </w:p>
        </w:tc>
        <w:tc>
          <w:tcPr>
            <w:tcW w:w="315" w:type="pct"/>
            <w:vAlign w:val="center"/>
          </w:tcPr>
          <w:p>
            <w:pPr>
              <w:spacing w:line="312" w:lineRule="exact"/>
              <w:ind w:firstLine="0" w:firstLineChars="0"/>
              <w:jc w:val="center"/>
              <w:rPr>
                <w:color w:val="auto"/>
                <w:sz w:val="21"/>
                <w:szCs w:val="21"/>
              </w:rPr>
            </w:pPr>
            <w:r>
              <w:rPr>
                <w:color w:val="auto"/>
                <w:sz w:val="21"/>
                <w:szCs w:val="21"/>
              </w:rPr>
              <w:t>T、I</w:t>
            </w:r>
          </w:p>
        </w:tc>
        <w:tc>
          <w:tcPr>
            <w:tcW w:w="622" w:type="pct"/>
            <w:vMerge w:val="continue"/>
            <w:vAlign w:val="center"/>
          </w:tcPr>
          <w:p>
            <w:pPr>
              <w:spacing w:line="312" w:lineRule="exac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54" w:type="pct"/>
            <w:vAlign w:val="center"/>
          </w:tcPr>
          <w:p>
            <w:pPr>
              <w:spacing w:line="312" w:lineRule="exact"/>
              <w:ind w:firstLine="0" w:firstLineChars="0"/>
              <w:jc w:val="center"/>
              <w:rPr>
                <w:rFonts w:hint="eastAsia" w:eastAsia="宋体"/>
                <w:color w:val="auto"/>
                <w:sz w:val="21"/>
                <w:szCs w:val="21"/>
                <w:lang w:val="en-US" w:eastAsia="zh-CN"/>
              </w:rPr>
            </w:pPr>
            <w:r>
              <w:rPr>
                <w:rFonts w:hint="eastAsia"/>
                <w:color w:val="auto"/>
                <w:kern w:val="0"/>
                <w:sz w:val="21"/>
                <w:szCs w:val="21"/>
                <w:lang w:val="en-US" w:eastAsia="zh-CN"/>
              </w:rPr>
              <w:t>7</w:t>
            </w:r>
          </w:p>
        </w:tc>
        <w:tc>
          <w:tcPr>
            <w:tcW w:w="546" w:type="pct"/>
            <w:vAlign w:val="center"/>
          </w:tcPr>
          <w:p>
            <w:pPr>
              <w:spacing w:line="312" w:lineRule="exact"/>
              <w:ind w:firstLine="0" w:firstLineChars="0"/>
              <w:jc w:val="center"/>
              <w:rPr>
                <w:color w:val="auto"/>
                <w:kern w:val="0"/>
                <w:sz w:val="21"/>
                <w:szCs w:val="21"/>
              </w:rPr>
            </w:pPr>
            <w:r>
              <w:rPr>
                <w:color w:val="auto"/>
                <w:kern w:val="0"/>
                <w:sz w:val="21"/>
                <w:szCs w:val="21"/>
              </w:rPr>
              <w:t>化验室废试剂瓶</w:t>
            </w:r>
          </w:p>
        </w:tc>
        <w:tc>
          <w:tcPr>
            <w:tcW w:w="364" w:type="pct"/>
            <w:vAlign w:val="center"/>
          </w:tcPr>
          <w:p>
            <w:pPr>
              <w:spacing w:line="312" w:lineRule="exact"/>
              <w:ind w:firstLine="0" w:firstLineChars="0"/>
              <w:jc w:val="center"/>
              <w:rPr>
                <w:color w:val="auto"/>
                <w:sz w:val="21"/>
                <w:szCs w:val="21"/>
              </w:rPr>
            </w:pPr>
            <w:r>
              <w:rPr>
                <w:color w:val="auto"/>
                <w:kern w:val="0"/>
                <w:sz w:val="21"/>
                <w:szCs w:val="21"/>
              </w:rPr>
              <w:t>HW49</w:t>
            </w:r>
          </w:p>
        </w:tc>
        <w:tc>
          <w:tcPr>
            <w:tcW w:w="468" w:type="pct"/>
            <w:vAlign w:val="center"/>
          </w:tcPr>
          <w:p>
            <w:pPr>
              <w:spacing w:line="312" w:lineRule="exact"/>
              <w:ind w:firstLine="0" w:firstLineChars="0"/>
              <w:jc w:val="center"/>
              <w:rPr>
                <w:color w:val="auto"/>
                <w:sz w:val="21"/>
                <w:szCs w:val="21"/>
              </w:rPr>
            </w:pPr>
            <w:r>
              <w:rPr>
                <w:color w:val="auto"/>
                <w:kern w:val="0"/>
                <w:sz w:val="21"/>
                <w:szCs w:val="21"/>
              </w:rPr>
              <w:t>900-047-49</w:t>
            </w:r>
          </w:p>
        </w:tc>
        <w:tc>
          <w:tcPr>
            <w:tcW w:w="565" w:type="pct"/>
            <w:vAlign w:val="center"/>
          </w:tcPr>
          <w:p>
            <w:pPr>
              <w:spacing w:line="312" w:lineRule="exact"/>
              <w:ind w:firstLine="0" w:firstLineChars="0"/>
              <w:jc w:val="center"/>
              <w:rPr>
                <w:color w:val="auto"/>
                <w:sz w:val="21"/>
                <w:szCs w:val="21"/>
              </w:rPr>
            </w:pPr>
            <w:r>
              <w:rPr>
                <w:rFonts w:hint="eastAsia"/>
                <w:color w:val="auto"/>
                <w:sz w:val="21"/>
                <w:szCs w:val="21"/>
              </w:rPr>
              <w:t>0.2</w:t>
            </w:r>
          </w:p>
        </w:tc>
        <w:tc>
          <w:tcPr>
            <w:tcW w:w="548" w:type="pct"/>
            <w:vAlign w:val="center"/>
          </w:tcPr>
          <w:p>
            <w:pPr>
              <w:spacing w:line="312" w:lineRule="exact"/>
              <w:ind w:firstLine="0" w:firstLineChars="0"/>
              <w:jc w:val="center"/>
              <w:rPr>
                <w:color w:val="auto"/>
                <w:sz w:val="21"/>
                <w:szCs w:val="21"/>
              </w:rPr>
            </w:pPr>
            <w:r>
              <w:rPr>
                <w:color w:val="auto"/>
                <w:kern w:val="0"/>
                <w:sz w:val="21"/>
                <w:szCs w:val="21"/>
              </w:rPr>
              <w:t>化验室/化验</w:t>
            </w:r>
          </w:p>
        </w:tc>
        <w:tc>
          <w:tcPr>
            <w:tcW w:w="229" w:type="pct"/>
            <w:vAlign w:val="center"/>
          </w:tcPr>
          <w:p>
            <w:pPr>
              <w:spacing w:line="312" w:lineRule="exact"/>
              <w:ind w:firstLine="0" w:firstLineChars="0"/>
              <w:jc w:val="center"/>
              <w:rPr>
                <w:color w:val="auto"/>
                <w:sz w:val="21"/>
                <w:szCs w:val="21"/>
              </w:rPr>
            </w:pPr>
            <w:r>
              <w:rPr>
                <w:color w:val="auto"/>
                <w:sz w:val="21"/>
                <w:szCs w:val="21"/>
              </w:rPr>
              <w:t>液态</w:t>
            </w:r>
          </w:p>
        </w:tc>
        <w:tc>
          <w:tcPr>
            <w:tcW w:w="473" w:type="pct"/>
            <w:vAlign w:val="center"/>
          </w:tcPr>
          <w:p>
            <w:pPr>
              <w:snapToGrid w:val="0"/>
              <w:spacing w:line="312" w:lineRule="exact"/>
              <w:ind w:firstLine="0" w:firstLineChars="0"/>
              <w:jc w:val="center"/>
              <w:rPr>
                <w:color w:val="auto"/>
                <w:sz w:val="21"/>
                <w:szCs w:val="21"/>
              </w:rPr>
            </w:pPr>
            <w:r>
              <w:rPr>
                <w:color w:val="auto"/>
                <w:kern w:val="0"/>
                <w:sz w:val="21"/>
                <w:szCs w:val="21"/>
              </w:rPr>
              <w:t>废酸、废碱</w:t>
            </w:r>
          </w:p>
        </w:tc>
        <w:tc>
          <w:tcPr>
            <w:tcW w:w="394" w:type="pct"/>
            <w:vAlign w:val="center"/>
          </w:tcPr>
          <w:p>
            <w:pPr>
              <w:spacing w:line="312" w:lineRule="exact"/>
              <w:ind w:firstLine="0" w:firstLineChars="0"/>
              <w:jc w:val="center"/>
              <w:rPr>
                <w:color w:val="auto"/>
                <w:sz w:val="21"/>
                <w:szCs w:val="21"/>
              </w:rPr>
            </w:pPr>
            <w:r>
              <w:rPr>
                <w:color w:val="auto"/>
                <w:kern w:val="0"/>
                <w:sz w:val="21"/>
                <w:szCs w:val="21"/>
              </w:rPr>
              <w:t>废酸、废碱</w:t>
            </w:r>
          </w:p>
        </w:tc>
        <w:tc>
          <w:tcPr>
            <w:tcW w:w="315" w:type="pct"/>
            <w:vAlign w:val="center"/>
          </w:tcPr>
          <w:p>
            <w:pPr>
              <w:spacing w:line="312" w:lineRule="exact"/>
              <w:ind w:firstLine="0" w:firstLineChars="0"/>
              <w:jc w:val="center"/>
              <w:rPr>
                <w:color w:val="auto"/>
                <w:sz w:val="21"/>
                <w:szCs w:val="21"/>
              </w:rPr>
            </w:pPr>
            <w:r>
              <w:rPr>
                <w:rFonts w:hint="eastAsia"/>
                <w:color w:val="auto"/>
                <w:sz w:val="21"/>
                <w:szCs w:val="21"/>
              </w:rPr>
              <w:t>每天</w:t>
            </w:r>
          </w:p>
        </w:tc>
        <w:tc>
          <w:tcPr>
            <w:tcW w:w="315" w:type="pct"/>
            <w:vAlign w:val="center"/>
          </w:tcPr>
          <w:p>
            <w:pPr>
              <w:spacing w:line="312" w:lineRule="exact"/>
              <w:ind w:firstLine="0" w:firstLineChars="0"/>
              <w:jc w:val="center"/>
              <w:rPr>
                <w:color w:val="auto"/>
                <w:sz w:val="21"/>
                <w:szCs w:val="21"/>
              </w:rPr>
            </w:pPr>
            <w:r>
              <w:rPr>
                <w:color w:val="auto"/>
                <w:sz w:val="21"/>
                <w:szCs w:val="21"/>
              </w:rPr>
              <w:t>T、</w:t>
            </w:r>
            <w:r>
              <w:rPr>
                <w:color w:val="auto"/>
                <w:kern w:val="0"/>
                <w:sz w:val="21"/>
                <w:szCs w:val="21"/>
              </w:rPr>
              <w:t>C</w:t>
            </w:r>
          </w:p>
        </w:tc>
        <w:tc>
          <w:tcPr>
            <w:tcW w:w="622" w:type="pct"/>
            <w:vMerge w:val="continue"/>
            <w:vAlign w:val="center"/>
          </w:tcPr>
          <w:p>
            <w:pPr>
              <w:spacing w:line="312" w:lineRule="exac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2" w:hRule="atLeast"/>
        </w:trPr>
        <w:tc>
          <w:tcPr>
            <w:tcW w:w="154" w:type="pct"/>
            <w:vAlign w:val="center"/>
          </w:tcPr>
          <w:p>
            <w:pPr>
              <w:spacing w:line="312" w:lineRule="exact"/>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8</w:t>
            </w:r>
          </w:p>
        </w:tc>
        <w:tc>
          <w:tcPr>
            <w:tcW w:w="546" w:type="pct"/>
            <w:vAlign w:val="center"/>
          </w:tcPr>
          <w:p>
            <w:pPr>
              <w:spacing w:line="312" w:lineRule="exact"/>
              <w:ind w:firstLine="0" w:firstLineChars="0"/>
              <w:jc w:val="center"/>
              <w:rPr>
                <w:color w:val="auto"/>
                <w:kern w:val="0"/>
                <w:sz w:val="21"/>
                <w:szCs w:val="21"/>
              </w:rPr>
            </w:pPr>
            <w:r>
              <w:rPr>
                <w:color w:val="auto"/>
                <w:kern w:val="0"/>
                <w:sz w:val="21"/>
                <w:szCs w:val="21"/>
              </w:rPr>
              <w:t>化验室废液</w:t>
            </w:r>
          </w:p>
        </w:tc>
        <w:tc>
          <w:tcPr>
            <w:tcW w:w="364" w:type="pct"/>
            <w:vAlign w:val="center"/>
          </w:tcPr>
          <w:p>
            <w:pPr>
              <w:spacing w:line="312" w:lineRule="exact"/>
              <w:ind w:firstLine="0" w:firstLineChars="0"/>
              <w:jc w:val="center"/>
              <w:rPr>
                <w:color w:val="auto"/>
                <w:kern w:val="0"/>
                <w:sz w:val="21"/>
                <w:szCs w:val="21"/>
              </w:rPr>
            </w:pPr>
            <w:r>
              <w:rPr>
                <w:color w:val="auto"/>
                <w:kern w:val="0"/>
                <w:sz w:val="21"/>
                <w:szCs w:val="21"/>
              </w:rPr>
              <w:t>HW49</w:t>
            </w:r>
          </w:p>
        </w:tc>
        <w:tc>
          <w:tcPr>
            <w:tcW w:w="468" w:type="pct"/>
            <w:vAlign w:val="center"/>
          </w:tcPr>
          <w:p>
            <w:pPr>
              <w:spacing w:line="312" w:lineRule="exact"/>
              <w:ind w:firstLine="0" w:firstLineChars="0"/>
              <w:jc w:val="center"/>
              <w:rPr>
                <w:color w:val="auto"/>
                <w:kern w:val="0"/>
                <w:sz w:val="21"/>
                <w:szCs w:val="21"/>
              </w:rPr>
            </w:pPr>
            <w:r>
              <w:rPr>
                <w:color w:val="auto"/>
                <w:kern w:val="0"/>
                <w:sz w:val="21"/>
                <w:szCs w:val="21"/>
              </w:rPr>
              <w:t>900-047-49</w:t>
            </w:r>
          </w:p>
        </w:tc>
        <w:tc>
          <w:tcPr>
            <w:tcW w:w="565" w:type="pct"/>
            <w:vAlign w:val="center"/>
          </w:tcPr>
          <w:p>
            <w:pPr>
              <w:spacing w:line="312" w:lineRule="exact"/>
              <w:ind w:firstLine="0" w:firstLineChars="0"/>
              <w:jc w:val="center"/>
              <w:rPr>
                <w:color w:val="auto"/>
                <w:sz w:val="21"/>
                <w:szCs w:val="21"/>
              </w:rPr>
            </w:pPr>
            <w:r>
              <w:rPr>
                <w:color w:val="auto"/>
                <w:sz w:val="21"/>
                <w:szCs w:val="21"/>
              </w:rPr>
              <w:t>0.5</w:t>
            </w:r>
          </w:p>
        </w:tc>
        <w:tc>
          <w:tcPr>
            <w:tcW w:w="548" w:type="pct"/>
            <w:vAlign w:val="center"/>
          </w:tcPr>
          <w:p>
            <w:pPr>
              <w:spacing w:line="312" w:lineRule="exact"/>
              <w:ind w:firstLine="0" w:firstLineChars="0"/>
              <w:jc w:val="center"/>
              <w:rPr>
                <w:color w:val="auto"/>
                <w:kern w:val="0"/>
                <w:sz w:val="21"/>
                <w:szCs w:val="21"/>
              </w:rPr>
            </w:pPr>
            <w:r>
              <w:rPr>
                <w:color w:val="auto"/>
                <w:kern w:val="0"/>
                <w:sz w:val="21"/>
                <w:szCs w:val="21"/>
              </w:rPr>
              <w:t>化验室/化验</w:t>
            </w:r>
          </w:p>
        </w:tc>
        <w:tc>
          <w:tcPr>
            <w:tcW w:w="229" w:type="pct"/>
            <w:vAlign w:val="center"/>
          </w:tcPr>
          <w:p>
            <w:pPr>
              <w:spacing w:line="312" w:lineRule="exact"/>
              <w:ind w:firstLine="0" w:firstLineChars="0"/>
              <w:jc w:val="center"/>
              <w:rPr>
                <w:color w:val="auto"/>
                <w:kern w:val="0"/>
                <w:sz w:val="21"/>
                <w:szCs w:val="21"/>
              </w:rPr>
            </w:pPr>
            <w:r>
              <w:rPr>
                <w:color w:val="auto"/>
                <w:kern w:val="0"/>
                <w:sz w:val="21"/>
                <w:szCs w:val="21"/>
              </w:rPr>
              <w:t>固态</w:t>
            </w:r>
          </w:p>
        </w:tc>
        <w:tc>
          <w:tcPr>
            <w:tcW w:w="473" w:type="pct"/>
            <w:vAlign w:val="center"/>
          </w:tcPr>
          <w:p>
            <w:pPr>
              <w:spacing w:line="312" w:lineRule="exact"/>
              <w:ind w:firstLine="0" w:firstLineChars="0"/>
              <w:jc w:val="center"/>
              <w:rPr>
                <w:color w:val="auto"/>
                <w:kern w:val="0"/>
                <w:sz w:val="21"/>
                <w:szCs w:val="21"/>
              </w:rPr>
            </w:pPr>
            <w:r>
              <w:rPr>
                <w:color w:val="auto"/>
                <w:kern w:val="0"/>
                <w:sz w:val="21"/>
                <w:szCs w:val="21"/>
              </w:rPr>
              <w:t>废酸、废碱</w:t>
            </w:r>
          </w:p>
        </w:tc>
        <w:tc>
          <w:tcPr>
            <w:tcW w:w="394" w:type="pct"/>
            <w:vAlign w:val="center"/>
          </w:tcPr>
          <w:p>
            <w:pPr>
              <w:spacing w:line="312" w:lineRule="exact"/>
              <w:ind w:firstLine="0" w:firstLineChars="0"/>
              <w:jc w:val="center"/>
              <w:rPr>
                <w:color w:val="auto"/>
                <w:kern w:val="0"/>
                <w:sz w:val="21"/>
                <w:szCs w:val="21"/>
              </w:rPr>
            </w:pPr>
            <w:r>
              <w:rPr>
                <w:color w:val="auto"/>
                <w:kern w:val="0"/>
                <w:sz w:val="21"/>
                <w:szCs w:val="21"/>
              </w:rPr>
              <w:t>废酸、废碱</w:t>
            </w:r>
          </w:p>
        </w:tc>
        <w:tc>
          <w:tcPr>
            <w:tcW w:w="315" w:type="pct"/>
            <w:vAlign w:val="center"/>
          </w:tcPr>
          <w:p>
            <w:pPr>
              <w:spacing w:line="312" w:lineRule="exact"/>
              <w:ind w:firstLine="0" w:firstLineChars="0"/>
              <w:jc w:val="center"/>
              <w:rPr>
                <w:color w:val="auto"/>
                <w:kern w:val="0"/>
                <w:sz w:val="21"/>
                <w:szCs w:val="21"/>
              </w:rPr>
            </w:pPr>
            <w:r>
              <w:rPr>
                <w:rFonts w:hint="eastAsia"/>
                <w:color w:val="auto"/>
                <w:sz w:val="21"/>
                <w:szCs w:val="21"/>
              </w:rPr>
              <w:t>每天</w:t>
            </w:r>
          </w:p>
        </w:tc>
        <w:tc>
          <w:tcPr>
            <w:tcW w:w="315" w:type="pct"/>
            <w:vAlign w:val="center"/>
          </w:tcPr>
          <w:p>
            <w:pPr>
              <w:spacing w:line="312" w:lineRule="exact"/>
              <w:ind w:firstLine="0" w:firstLineChars="0"/>
              <w:jc w:val="center"/>
              <w:rPr>
                <w:color w:val="auto"/>
                <w:kern w:val="0"/>
                <w:sz w:val="21"/>
                <w:szCs w:val="21"/>
              </w:rPr>
            </w:pPr>
            <w:r>
              <w:rPr>
                <w:color w:val="auto"/>
                <w:sz w:val="21"/>
                <w:szCs w:val="21"/>
              </w:rPr>
              <w:t>T、</w:t>
            </w:r>
            <w:r>
              <w:rPr>
                <w:color w:val="auto"/>
                <w:kern w:val="0"/>
                <w:sz w:val="21"/>
                <w:szCs w:val="21"/>
              </w:rPr>
              <w:t>C</w:t>
            </w:r>
          </w:p>
        </w:tc>
        <w:tc>
          <w:tcPr>
            <w:tcW w:w="622" w:type="pct"/>
            <w:vMerge w:val="continue"/>
            <w:vAlign w:val="center"/>
          </w:tcPr>
          <w:p>
            <w:pPr>
              <w:spacing w:line="312" w:lineRule="exac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2" w:hRule="atLeast"/>
        </w:trPr>
        <w:tc>
          <w:tcPr>
            <w:tcW w:w="154" w:type="pct"/>
            <w:vAlign w:val="center"/>
          </w:tcPr>
          <w:p>
            <w:pPr>
              <w:spacing w:line="312" w:lineRule="exact"/>
              <w:ind w:firstLine="0" w:firstLineChars="0"/>
              <w:jc w:val="center"/>
              <w:rPr>
                <w:rFonts w:hint="eastAsia"/>
                <w:color w:val="auto"/>
                <w:kern w:val="0"/>
                <w:sz w:val="21"/>
                <w:szCs w:val="21"/>
                <w:lang w:val="en-US" w:eastAsia="zh-CN"/>
              </w:rPr>
            </w:pPr>
            <w:r>
              <w:rPr>
                <w:rFonts w:hint="eastAsia"/>
                <w:color w:val="auto"/>
                <w:kern w:val="0"/>
                <w:sz w:val="21"/>
                <w:szCs w:val="21"/>
                <w:lang w:val="en-US" w:eastAsia="zh-CN"/>
              </w:rPr>
              <w:t>9</w:t>
            </w:r>
          </w:p>
        </w:tc>
        <w:tc>
          <w:tcPr>
            <w:tcW w:w="546" w:type="pct"/>
            <w:vAlign w:val="center"/>
          </w:tcPr>
          <w:p>
            <w:pPr>
              <w:spacing w:line="312" w:lineRule="exact"/>
              <w:ind w:firstLine="0" w:firstLineChars="0"/>
              <w:jc w:val="center"/>
              <w:rPr>
                <w:color w:val="auto"/>
                <w:kern w:val="0"/>
                <w:sz w:val="21"/>
                <w:szCs w:val="21"/>
              </w:rPr>
            </w:pPr>
            <w:r>
              <w:rPr>
                <w:rFonts w:hint="eastAsia"/>
                <w:color w:val="auto"/>
                <w:kern w:val="0"/>
                <w:sz w:val="21"/>
                <w:szCs w:val="21"/>
                <w:lang w:val="en-US" w:eastAsia="zh-CN"/>
              </w:rPr>
              <w:t>废导热油</w:t>
            </w:r>
          </w:p>
        </w:tc>
        <w:tc>
          <w:tcPr>
            <w:tcW w:w="364" w:type="pct"/>
            <w:vAlign w:val="center"/>
          </w:tcPr>
          <w:p>
            <w:pPr>
              <w:spacing w:line="312" w:lineRule="exact"/>
              <w:ind w:firstLine="0" w:firstLineChars="0"/>
              <w:jc w:val="center"/>
              <w:rPr>
                <w:color w:val="auto"/>
                <w:kern w:val="0"/>
                <w:sz w:val="21"/>
                <w:szCs w:val="21"/>
              </w:rPr>
            </w:pPr>
            <w:r>
              <w:rPr>
                <w:color w:val="auto"/>
                <w:sz w:val="21"/>
                <w:szCs w:val="21"/>
              </w:rPr>
              <w:t>HW08</w:t>
            </w:r>
          </w:p>
        </w:tc>
        <w:tc>
          <w:tcPr>
            <w:tcW w:w="468" w:type="pct"/>
            <w:vAlign w:val="center"/>
          </w:tcPr>
          <w:p>
            <w:pPr>
              <w:spacing w:line="312" w:lineRule="exact"/>
              <w:ind w:firstLine="0" w:firstLineChars="0"/>
              <w:jc w:val="center"/>
              <w:rPr>
                <w:color w:val="auto"/>
                <w:kern w:val="0"/>
                <w:sz w:val="21"/>
                <w:szCs w:val="21"/>
              </w:rPr>
            </w:pPr>
            <w:r>
              <w:rPr>
                <w:color w:val="auto"/>
                <w:sz w:val="21"/>
                <w:szCs w:val="21"/>
              </w:rPr>
              <w:t>900-</w:t>
            </w:r>
            <w:r>
              <w:rPr>
                <w:rFonts w:hint="eastAsia"/>
                <w:color w:val="auto"/>
                <w:sz w:val="21"/>
                <w:szCs w:val="21"/>
                <w:lang w:val="en-US" w:eastAsia="zh-CN"/>
              </w:rPr>
              <w:t>249</w:t>
            </w:r>
            <w:r>
              <w:rPr>
                <w:color w:val="auto"/>
                <w:sz w:val="21"/>
                <w:szCs w:val="21"/>
              </w:rPr>
              <w:t>-08</w:t>
            </w:r>
          </w:p>
        </w:tc>
        <w:tc>
          <w:tcPr>
            <w:tcW w:w="565" w:type="pct"/>
            <w:vAlign w:val="center"/>
          </w:tcPr>
          <w:p>
            <w:pPr>
              <w:spacing w:line="312" w:lineRule="exact"/>
              <w:ind w:firstLine="0" w:firstLineChars="0"/>
              <w:jc w:val="center"/>
              <w:rPr>
                <w:color w:val="auto"/>
                <w:sz w:val="21"/>
                <w:szCs w:val="21"/>
              </w:rPr>
            </w:pPr>
            <w:r>
              <w:rPr>
                <w:rFonts w:hint="eastAsia"/>
                <w:color w:val="auto"/>
                <w:sz w:val="21"/>
                <w:szCs w:val="21"/>
                <w:lang w:val="en-US" w:eastAsia="zh-CN"/>
              </w:rPr>
              <w:t>15t/4a</w:t>
            </w:r>
          </w:p>
        </w:tc>
        <w:tc>
          <w:tcPr>
            <w:tcW w:w="548" w:type="pct"/>
            <w:vAlign w:val="center"/>
          </w:tcPr>
          <w:p>
            <w:pPr>
              <w:spacing w:line="312" w:lineRule="exact"/>
              <w:ind w:firstLine="0" w:firstLineChars="0"/>
              <w:jc w:val="center"/>
              <w:rPr>
                <w:color w:val="auto"/>
                <w:kern w:val="0"/>
                <w:sz w:val="21"/>
                <w:szCs w:val="21"/>
              </w:rPr>
            </w:pPr>
            <w:r>
              <w:rPr>
                <w:rFonts w:hint="eastAsia"/>
                <w:color w:val="auto"/>
                <w:sz w:val="21"/>
                <w:szCs w:val="21"/>
                <w:lang w:val="en-US" w:eastAsia="zh-CN"/>
              </w:rPr>
              <w:t>导热油炉</w:t>
            </w:r>
          </w:p>
        </w:tc>
        <w:tc>
          <w:tcPr>
            <w:tcW w:w="229" w:type="pct"/>
            <w:vAlign w:val="center"/>
          </w:tcPr>
          <w:p>
            <w:pPr>
              <w:spacing w:line="312" w:lineRule="exact"/>
              <w:ind w:firstLine="0" w:firstLineChars="0"/>
              <w:jc w:val="center"/>
              <w:rPr>
                <w:color w:val="auto"/>
                <w:kern w:val="0"/>
                <w:sz w:val="21"/>
                <w:szCs w:val="21"/>
              </w:rPr>
            </w:pPr>
            <w:r>
              <w:rPr>
                <w:color w:val="auto"/>
                <w:kern w:val="0"/>
                <w:sz w:val="21"/>
                <w:szCs w:val="21"/>
              </w:rPr>
              <w:t>液态</w:t>
            </w:r>
          </w:p>
        </w:tc>
        <w:tc>
          <w:tcPr>
            <w:tcW w:w="473" w:type="pct"/>
            <w:vAlign w:val="center"/>
          </w:tcPr>
          <w:p>
            <w:pPr>
              <w:snapToGrid w:val="0"/>
              <w:spacing w:line="312" w:lineRule="exact"/>
              <w:ind w:firstLine="0" w:firstLineChars="0"/>
              <w:jc w:val="center"/>
              <w:rPr>
                <w:color w:val="auto"/>
                <w:kern w:val="0"/>
                <w:sz w:val="21"/>
                <w:szCs w:val="21"/>
              </w:rPr>
            </w:pPr>
            <w:r>
              <w:rPr>
                <w:rFonts w:hint="eastAsia"/>
                <w:color w:val="auto"/>
                <w:sz w:val="21"/>
                <w:szCs w:val="21"/>
                <w:lang w:val="en-US" w:eastAsia="zh-CN"/>
              </w:rPr>
              <w:t>石油烃</w:t>
            </w:r>
          </w:p>
        </w:tc>
        <w:tc>
          <w:tcPr>
            <w:tcW w:w="394" w:type="pct"/>
            <w:vAlign w:val="center"/>
          </w:tcPr>
          <w:p>
            <w:pPr>
              <w:spacing w:line="312" w:lineRule="exact"/>
              <w:ind w:firstLine="0" w:firstLineChars="0"/>
              <w:jc w:val="center"/>
              <w:rPr>
                <w:color w:val="auto"/>
                <w:kern w:val="0"/>
                <w:sz w:val="21"/>
                <w:szCs w:val="21"/>
              </w:rPr>
            </w:pPr>
            <w:r>
              <w:rPr>
                <w:rFonts w:hint="eastAsia"/>
                <w:color w:val="auto"/>
                <w:sz w:val="21"/>
                <w:szCs w:val="21"/>
                <w:lang w:val="en-US" w:eastAsia="zh-CN"/>
              </w:rPr>
              <w:t>石油烃</w:t>
            </w:r>
          </w:p>
        </w:tc>
        <w:tc>
          <w:tcPr>
            <w:tcW w:w="315" w:type="pct"/>
            <w:vAlign w:val="center"/>
          </w:tcPr>
          <w:p>
            <w:pPr>
              <w:spacing w:line="312" w:lineRule="exact"/>
              <w:ind w:firstLine="0" w:firstLineChars="0"/>
              <w:jc w:val="center"/>
              <w:rPr>
                <w:rFonts w:hint="eastAsia"/>
                <w:color w:val="auto"/>
                <w:sz w:val="21"/>
                <w:szCs w:val="21"/>
              </w:rPr>
            </w:pPr>
            <w:r>
              <w:rPr>
                <w:rFonts w:hint="eastAsia"/>
                <w:color w:val="auto"/>
                <w:sz w:val="21"/>
                <w:szCs w:val="21"/>
                <w:lang w:val="en-US" w:eastAsia="zh-CN"/>
              </w:rPr>
              <w:t>每4年</w:t>
            </w:r>
          </w:p>
        </w:tc>
        <w:tc>
          <w:tcPr>
            <w:tcW w:w="315" w:type="pct"/>
            <w:vAlign w:val="center"/>
          </w:tcPr>
          <w:p>
            <w:pPr>
              <w:spacing w:line="312" w:lineRule="exact"/>
              <w:ind w:firstLine="0" w:firstLineChars="0"/>
              <w:jc w:val="center"/>
              <w:rPr>
                <w:color w:val="auto"/>
                <w:sz w:val="21"/>
                <w:szCs w:val="21"/>
              </w:rPr>
            </w:pPr>
            <w:r>
              <w:rPr>
                <w:color w:val="auto"/>
                <w:sz w:val="21"/>
                <w:szCs w:val="21"/>
              </w:rPr>
              <w:t>T、I</w:t>
            </w:r>
          </w:p>
        </w:tc>
        <w:tc>
          <w:tcPr>
            <w:tcW w:w="622" w:type="pct"/>
            <w:vMerge w:val="continue"/>
            <w:vAlign w:val="center"/>
          </w:tcPr>
          <w:p>
            <w:pPr>
              <w:spacing w:line="312" w:lineRule="exac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154" w:type="pct"/>
            <w:vAlign w:val="center"/>
          </w:tcPr>
          <w:p>
            <w:pPr>
              <w:spacing w:line="312" w:lineRule="exact"/>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10</w:t>
            </w:r>
          </w:p>
        </w:tc>
        <w:tc>
          <w:tcPr>
            <w:tcW w:w="546" w:type="pct"/>
            <w:vAlign w:val="center"/>
          </w:tcPr>
          <w:p>
            <w:pPr>
              <w:spacing w:line="312" w:lineRule="exact"/>
              <w:ind w:firstLine="0" w:firstLineChars="0"/>
              <w:jc w:val="center"/>
              <w:rPr>
                <w:color w:val="auto"/>
                <w:kern w:val="0"/>
                <w:sz w:val="21"/>
                <w:szCs w:val="21"/>
              </w:rPr>
            </w:pPr>
            <w:r>
              <w:rPr>
                <w:color w:val="auto"/>
                <w:kern w:val="0"/>
                <w:sz w:val="21"/>
                <w:szCs w:val="21"/>
              </w:rPr>
              <w:t>污水站污泥</w:t>
            </w:r>
          </w:p>
        </w:tc>
        <w:tc>
          <w:tcPr>
            <w:tcW w:w="364" w:type="pct"/>
            <w:vAlign w:val="center"/>
          </w:tcPr>
          <w:p>
            <w:pPr>
              <w:spacing w:line="312" w:lineRule="exact"/>
              <w:ind w:firstLine="0" w:firstLineChars="0"/>
              <w:jc w:val="center"/>
              <w:rPr>
                <w:color w:val="auto"/>
                <w:sz w:val="21"/>
                <w:szCs w:val="21"/>
              </w:rPr>
            </w:pPr>
            <w:r>
              <w:rPr>
                <w:rFonts w:hint="eastAsia"/>
                <w:color w:val="auto"/>
                <w:sz w:val="21"/>
                <w:szCs w:val="21"/>
              </w:rPr>
              <w:t>一般工业固废</w:t>
            </w:r>
          </w:p>
        </w:tc>
        <w:tc>
          <w:tcPr>
            <w:tcW w:w="468" w:type="pct"/>
            <w:vAlign w:val="center"/>
          </w:tcPr>
          <w:p>
            <w:pPr>
              <w:spacing w:line="312" w:lineRule="exact"/>
              <w:ind w:firstLine="0" w:firstLineChars="0"/>
              <w:jc w:val="center"/>
              <w:rPr>
                <w:color w:val="auto"/>
                <w:sz w:val="21"/>
                <w:szCs w:val="21"/>
              </w:rPr>
            </w:pPr>
            <w:r>
              <w:rPr>
                <w:rFonts w:hint="eastAsia"/>
                <w:color w:val="auto"/>
                <w:kern w:val="0"/>
                <w:sz w:val="21"/>
                <w:szCs w:val="21"/>
              </w:rPr>
              <w:t>900-999-62</w:t>
            </w:r>
          </w:p>
        </w:tc>
        <w:tc>
          <w:tcPr>
            <w:tcW w:w="565" w:type="pct"/>
            <w:vAlign w:val="center"/>
          </w:tcPr>
          <w:p>
            <w:pPr>
              <w:spacing w:line="312" w:lineRule="exact"/>
              <w:ind w:firstLine="0" w:firstLineChars="0"/>
              <w:jc w:val="center"/>
              <w:rPr>
                <w:color w:val="auto"/>
                <w:sz w:val="21"/>
                <w:szCs w:val="21"/>
              </w:rPr>
            </w:pPr>
            <w:r>
              <w:rPr>
                <w:rFonts w:hint="eastAsia"/>
                <w:color w:val="auto"/>
                <w:sz w:val="21"/>
                <w:szCs w:val="21"/>
                <w:lang w:eastAsia="zh-CN"/>
              </w:rPr>
              <w:t>4.32</w:t>
            </w:r>
            <w:r>
              <w:rPr>
                <w:rFonts w:hint="eastAsia"/>
                <w:color w:val="auto"/>
                <w:sz w:val="21"/>
                <w:szCs w:val="21"/>
              </w:rPr>
              <w:t>（含水率65%）</w:t>
            </w:r>
          </w:p>
        </w:tc>
        <w:tc>
          <w:tcPr>
            <w:tcW w:w="548" w:type="pct"/>
            <w:vAlign w:val="center"/>
          </w:tcPr>
          <w:p>
            <w:pPr>
              <w:spacing w:line="312" w:lineRule="exact"/>
              <w:ind w:firstLine="0" w:firstLineChars="0"/>
              <w:jc w:val="center"/>
              <w:rPr>
                <w:color w:val="auto"/>
                <w:sz w:val="21"/>
                <w:szCs w:val="21"/>
              </w:rPr>
            </w:pPr>
            <w:r>
              <w:rPr>
                <w:color w:val="auto"/>
                <w:sz w:val="21"/>
                <w:szCs w:val="21"/>
              </w:rPr>
              <w:t>污水处理</w:t>
            </w:r>
          </w:p>
        </w:tc>
        <w:tc>
          <w:tcPr>
            <w:tcW w:w="229" w:type="pct"/>
            <w:vAlign w:val="center"/>
          </w:tcPr>
          <w:p>
            <w:pPr>
              <w:spacing w:line="312" w:lineRule="exact"/>
              <w:ind w:firstLine="0" w:firstLineChars="0"/>
              <w:jc w:val="center"/>
              <w:rPr>
                <w:color w:val="auto"/>
                <w:sz w:val="21"/>
                <w:szCs w:val="21"/>
              </w:rPr>
            </w:pPr>
            <w:r>
              <w:rPr>
                <w:color w:val="auto"/>
                <w:sz w:val="21"/>
                <w:szCs w:val="21"/>
              </w:rPr>
              <w:t>固态</w:t>
            </w:r>
          </w:p>
        </w:tc>
        <w:tc>
          <w:tcPr>
            <w:tcW w:w="473" w:type="pct"/>
            <w:vAlign w:val="center"/>
          </w:tcPr>
          <w:p>
            <w:pPr>
              <w:snapToGrid w:val="0"/>
              <w:spacing w:line="312" w:lineRule="exact"/>
              <w:ind w:firstLine="0" w:firstLineChars="0"/>
              <w:jc w:val="center"/>
              <w:rPr>
                <w:color w:val="auto"/>
                <w:sz w:val="21"/>
                <w:szCs w:val="21"/>
              </w:rPr>
            </w:pPr>
            <w:r>
              <w:rPr>
                <w:rFonts w:hint="eastAsia"/>
                <w:color w:val="auto"/>
                <w:sz w:val="21"/>
                <w:szCs w:val="21"/>
              </w:rPr>
              <w:t>污泥</w:t>
            </w:r>
          </w:p>
        </w:tc>
        <w:tc>
          <w:tcPr>
            <w:tcW w:w="394" w:type="pct"/>
            <w:vAlign w:val="center"/>
          </w:tcPr>
          <w:p>
            <w:pPr>
              <w:spacing w:line="312" w:lineRule="exact"/>
              <w:ind w:firstLine="0" w:firstLineChars="0"/>
              <w:jc w:val="center"/>
              <w:rPr>
                <w:color w:val="auto"/>
                <w:sz w:val="21"/>
                <w:szCs w:val="21"/>
              </w:rPr>
            </w:pPr>
            <w:r>
              <w:rPr>
                <w:rFonts w:hint="eastAsia"/>
                <w:color w:val="auto"/>
                <w:sz w:val="21"/>
                <w:szCs w:val="21"/>
              </w:rPr>
              <w:t>/</w:t>
            </w:r>
          </w:p>
        </w:tc>
        <w:tc>
          <w:tcPr>
            <w:tcW w:w="315" w:type="pct"/>
            <w:vAlign w:val="center"/>
          </w:tcPr>
          <w:p>
            <w:pPr>
              <w:spacing w:line="312" w:lineRule="exact"/>
              <w:ind w:firstLine="0" w:firstLineChars="0"/>
              <w:jc w:val="center"/>
              <w:rPr>
                <w:color w:val="auto"/>
                <w:sz w:val="21"/>
                <w:szCs w:val="21"/>
              </w:rPr>
            </w:pPr>
            <w:r>
              <w:rPr>
                <w:color w:val="auto"/>
                <w:sz w:val="21"/>
                <w:szCs w:val="21"/>
              </w:rPr>
              <w:t>每</w:t>
            </w:r>
            <w:r>
              <w:rPr>
                <w:rFonts w:hint="eastAsia"/>
                <w:color w:val="auto"/>
                <w:sz w:val="21"/>
                <w:szCs w:val="21"/>
              </w:rPr>
              <w:t>3个</w:t>
            </w:r>
            <w:r>
              <w:rPr>
                <w:color w:val="auto"/>
                <w:sz w:val="21"/>
                <w:szCs w:val="21"/>
              </w:rPr>
              <w:t>月</w:t>
            </w:r>
          </w:p>
        </w:tc>
        <w:tc>
          <w:tcPr>
            <w:tcW w:w="315" w:type="pct"/>
            <w:vAlign w:val="center"/>
          </w:tcPr>
          <w:p>
            <w:pPr>
              <w:spacing w:line="312" w:lineRule="exact"/>
              <w:ind w:firstLine="0" w:firstLineChars="0"/>
              <w:jc w:val="center"/>
              <w:rPr>
                <w:color w:val="auto"/>
                <w:sz w:val="21"/>
                <w:szCs w:val="21"/>
              </w:rPr>
            </w:pPr>
            <w:r>
              <w:rPr>
                <w:rFonts w:hint="eastAsia"/>
                <w:color w:val="auto"/>
                <w:sz w:val="21"/>
                <w:szCs w:val="21"/>
              </w:rPr>
              <w:t>/</w:t>
            </w:r>
          </w:p>
        </w:tc>
        <w:tc>
          <w:tcPr>
            <w:tcW w:w="622" w:type="pct"/>
            <w:vAlign w:val="center"/>
          </w:tcPr>
          <w:p>
            <w:pPr>
              <w:spacing w:line="312" w:lineRule="exact"/>
              <w:ind w:firstLine="0" w:firstLineChars="0"/>
              <w:jc w:val="center"/>
              <w:rPr>
                <w:color w:val="auto"/>
                <w:sz w:val="21"/>
                <w:szCs w:val="21"/>
              </w:rPr>
            </w:pPr>
            <w:r>
              <w:rPr>
                <w:color w:val="auto"/>
                <w:sz w:val="21"/>
                <w:szCs w:val="21"/>
              </w:rPr>
              <w:t>定期</w:t>
            </w:r>
            <w:r>
              <w:rPr>
                <w:rFonts w:hint="eastAsia"/>
                <w:color w:val="auto"/>
                <w:sz w:val="21"/>
                <w:szCs w:val="21"/>
              </w:rPr>
              <w:t>外运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154" w:type="pct"/>
            <w:vAlign w:val="center"/>
          </w:tcPr>
          <w:p>
            <w:pPr>
              <w:spacing w:line="312" w:lineRule="exact"/>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11</w:t>
            </w:r>
          </w:p>
        </w:tc>
        <w:tc>
          <w:tcPr>
            <w:tcW w:w="546" w:type="pct"/>
            <w:vAlign w:val="center"/>
          </w:tcPr>
          <w:p>
            <w:pPr>
              <w:spacing w:line="312" w:lineRule="exact"/>
              <w:ind w:firstLine="0" w:firstLineChars="0"/>
              <w:jc w:val="center"/>
              <w:rPr>
                <w:color w:val="auto"/>
                <w:kern w:val="0"/>
                <w:sz w:val="21"/>
                <w:szCs w:val="21"/>
              </w:rPr>
            </w:pPr>
            <w:r>
              <w:rPr>
                <w:color w:val="auto"/>
                <w:kern w:val="0"/>
                <w:sz w:val="21"/>
                <w:szCs w:val="21"/>
              </w:rPr>
              <w:t>生活垃圾</w:t>
            </w:r>
          </w:p>
        </w:tc>
        <w:tc>
          <w:tcPr>
            <w:tcW w:w="364" w:type="pct"/>
            <w:vAlign w:val="center"/>
          </w:tcPr>
          <w:p>
            <w:pPr>
              <w:spacing w:line="312" w:lineRule="exact"/>
              <w:ind w:firstLine="0" w:firstLineChars="0"/>
              <w:jc w:val="center"/>
              <w:rPr>
                <w:color w:val="auto"/>
                <w:sz w:val="21"/>
                <w:szCs w:val="21"/>
              </w:rPr>
            </w:pPr>
            <w:r>
              <w:rPr>
                <w:rFonts w:hint="eastAsia"/>
                <w:color w:val="auto"/>
                <w:sz w:val="21"/>
                <w:szCs w:val="21"/>
              </w:rPr>
              <w:t>一般工业固废</w:t>
            </w:r>
          </w:p>
        </w:tc>
        <w:tc>
          <w:tcPr>
            <w:tcW w:w="468" w:type="pct"/>
            <w:vAlign w:val="center"/>
          </w:tcPr>
          <w:p>
            <w:pPr>
              <w:spacing w:line="312" w:lineRule="exact"/>
              <w:ind w:firstLine="0" w:firstLineChars="0"/>
              <w:jc w:val="center"/>
              <w:rPr>
                <w:color w:val="auto"/>
                <w:sz w:val="21"/>
                <w:szCs w:val="21"/>
              </w:rPr>
            </w:pPr>
            <w:r>
              <w:rPr>
                <w:rFonts w:hint="eastAsia"/>
                <w:color w:val="auto"/>
                <w:kern w:val="0"/>
                <w:sz w:val="21"/>
                <w:szCs w:val="21"/>
              </w:rPr>
              <w:t>266-001-49</w:t>
            </w:r>
          </w:p>
        </w:tc>
        <w:tc>
          <w:tcPr>
            <w:tcW w:w="565" w:type="pct"/>
            <w:vAlign w:val="center"/>
          </w:tcPr>
          <w:p>
            <w:pPr>
              <w:spacing w:line="312" w:lineRule="exact"/>
              <w:ind w:firstLine="0" w:firstLineChars="0"/>
              <w:jc w:val="center"/>
              <w:rPr>
                <w:color w:val="auto"/>
                <w:sz w:val="21"/>
                <w:szCs w:val="21"/>
              </w:rPr>
            </w:pPr>
            <w:r>
              <w:rPr>
                <w:rFonts w:hint="eastAsia"/>
                <w:color w:val="auto"/>
                <w:sz w:val="21"/>
                <w:szCs w:val="21"/>
              </w:rPr>
              <w:t>4.5</w:t>
            </w:r>
          </w:p>
        </w:tc>
        <w:tc>
          <w:tcPr>
            <w:tcW w:w="548" w:type="pct"/>
            <w:vAlign w:val="center"/>
          </w:tcPr>
          <w:p>
            <w:pPr>
              <w:spacing w:line="312" w:lineRule="exact"/>
              <w:ind w:firstLine="0" w:firstLineChars="0"/>
              <w:jc w:val="center"/>
              <w:rPr>
                <w:color w:val="auto"/>
                <w:sz w:val="21"/>
                <w:szCs w:val="21"/>
              </w:rPr>
            </w:pPr>
            <w:r>
              <w:rPr>
                <w:rFonts w:hint="eastAsia"/>
                <w:color w:val="auto"/>
                <w:sz w:val="21"/>
                <w:szCs w:val="21"/>
              </w:rPr>
              <w:t>职工生活</w:t>
            </w:r>
          </w:p>
        </w:tc>
        <w:tc>
          <w:tcPr>
            <w:tcW w:w="229" w:type="pct"/>
            <w:vAlign w:val="center"/>
          </w:tcPr>
          <w:p>
            <w:pPr>
              <w:spacing w:line="312" w:lineRule="exact"/>
              <w:ind w:firstLine="0" w:firstLineChars="0"/>
              <w:jc w:val="center"/>
              <w:rPr>
                <w:color w:val="auto"/>
                <w:sz w:val="21"/>
                <w:szCs w:val="21"/>
              </w:rPr>
            </w:pPr>
            <w:r>
              <w:rPr>
                <w:color w:val="auto"/>
                <w:sz w:val="21"/>
                <w:szCs w:val="21"/>
              </w:rPr>
              <w:t>固态</w:t>
            </w:r>
          </w:p>
        </w:tc>
        <w:tc>
          <w:tcPr>
            <w:tcW w:w="473" w:type="pct"/>
            <w:vAlign w:val="center"/>
          </w:tcPr>
          <w:p>
            <w:pPr>
              <w:snapToGrid w:val="0"/>
              <w:spacing w:line="312" w:lineRule="exact"/>
              <w:ind w:firstLine="0" w:firstLineChars="0"/>
              <w:jc w:val="center"/>
              <w:rPr>
                <w:color w:val="auto"/>
                <w:sz w:val="21"/>
                <w:szCs w:val="21"/>
              </w:rPr>
            </w:pPr>
            <w:r>
              <w:rPr>
                <w:rFonts w:hint="eastAsia"/>
                <w:color w:val="auto"/>
                <w:sz w:val="21"/>
                <w:szCs w:val="21"/>
              </w:rPr>
              <w:t>生活垃圾</w:t>
            </w:r>
          </w:p>
        </w:tc>
        <w:tc>
          <w:tcPr>
            <w:tcW w:w="394" w:type="pct"/>
            <w:vAlign w:val="center"/>
          </w:tcPr>
          <w:p>
            <w:pPr>
              <w:spacing w:line="312" w:lineRule="exact"/>
              <w:ind w:firstLine="0" w:firstLineChars="0"/>
              <w:jc w:val="center"/>
              <w:rPr>
                <w:color w:val="auto"/>
                <w:sz w:val="21"/>
                <w:szCs w:val="21"/>
              </w:rPr>
            </w:pPr>
            <w:r>
              <w:rPr>
                <w:rFonts w:hint="eastAsia"/>
                <w:color w:val="auto"/>
                <w:sz w:val="21"/>
                <w:szCs w:val="21"/>
              </w:rPr>
              <w:t>/</w:t>
            </w:r>
          </w:p>
        </w:tc>
        <w:tc>
          <w:tcPr>
            <w:tcW w:w="315" w:type="pct"/>
            <w:vAlign w:val="center"/>
          </w:tcPr>
          <w:p>
            <w:pPr>
              <w:spacing w:line="312" w:lineRule="exact"/>
              <w:ind w:firstLine="0" w:firstLineChars="0"/>
              <w:jc w:val="center"/>
              <w:rPr>
                <w:color w:val="auto"/>
                <w:sz w:val="21"/>
                <w:szCs w:val="21"/>
              </w:rPr>
            </w:pPr>
            <w:r>
              <w:rPr>
                <w:color w:val="auto"/>
                <w:sz w:val="21"/>
                <w:szCs w:val="21"/>
              </w:rPr>
              <w:t>每</w:t>
            </w:r>
            <w:r>
              <w:rPr>
                <w:rFonts w:hint="eastAsia"/>
                <w:color w:val="auto"/>
                <w:sz w:val="21"/>
                <w:szCs w:val="21"/>
              </w:rPr>
              <w:t>天</w:t>
            </w:r>
          </w:p>
        </w:tc>
        <w:tc>
          <w:tcPr>
            <w:tcW w:w="315" w:type="pct"/>
            <w:vAlign w:val="center"/>
          </w:tcPr>
          <w:p>
            <w:pPr>
              <w:spacing w:line="312" w:lineRule="exact"/>
              <w:ind w:firstLine="0" w:firstLineChars="0"/>
              <w:jc w:val="center"/>
              <w:rPr>
                <w:color w:val="auto"/>
                <w:sz w:val="21"/>
                <w:szCs w:val="21"/>
              </w:rPr>
            </w:pPr>
            <w:r>
              <w:rPr>
                <w:color w:val="auto"/>
                <w:sz w:val="21"/>
                <w:szCs w:val="21"/>
              </w:rPr>
              <w:t>/</w:t>
            </w:r>
          </w:p>
        </w:tc>
        <w:tc>
          <w:tcPr>
            <w:tcW w:w="622" w:type="pct"/>
            <w:vAlign w:val="center"/>
          </w:tcPr>
          <w:p>
            <w:pPr>
              <w:spacing w:line="312" w:lineRule="exact"/>
              <w:ind w:firstLine="0" w:firstLineChars="0"/>
              <w:jc w:val="center"/>
              <w:rPr>
                <w:color w:val="auto"/>
                <w:sz w:val="21"/>
                <w:szCs w:val="21"/>
              </w:rPr>
            </w:pPr>
            <w:r>
              <w:rPr>
                <w:rFonts w:hint="eastAsia"/>
                <w:color w:val="auto"/>
                <w:sz w:val="21"/>
                <w:szCs w:val="21"/>
              </w:rPr>
              <w:t>环卫部门定期清运</w:t>
            </w:r>
          </w:p>
        </w:tc>
      </w:tr>
    </w:tbl>
    <w:p>
      <w:pPr>
        <w:ind w:firstLine="0" w:firstLineChars="0"/>
        <w:rPr>
          <w:color w:val="auto"/>
        </w:rPr>
      </w:pPr>
    </w:p>
    <w:p>
      <w:pPr>
        <w:ind w:firstLine="480"/>
        <w:rPr>
          <w:color w:val="auto"/>
        </w:rPr>
        <w:sectPr>
          <w:headerReference r:id="rId26" w:type="default"/>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pStyle w:val="55"/>
        <w:spacing w:line="360" w:lineRule="auto"/>
        <w:ind w:firstLine="0" w:firstLineChars="0"/>
        <w:outlineLvl w:val="2"/>
        <w:rPr>
          <w:rStyle w:val="53"/>
          <w:rFonts w:cs="Times New Roman"/>
          <w:color w:val="auto"/>
        </w:rPr>
      </w:pPr>
      <w:r>
        <w:rPr>
          <w:rStyle w:val="53"/>
          <w:rFonts w:hint="eastAsia" w:cs="Times New Roman"/>
          <w:color w:val="auto"/>
        </w:rPr>
        <w:t>2.5</w:t>
      </w:r>
      <w:r>
        <w:rPr>
          <w:rStyle w:val="53"/>
          <w:rFonts w:cs="Times New Roman"/>
          <w:color w:val="auto"/>
        </w:rPr>
        <w:t>.4噪声</w:t>
      </w:r>
    </w:p>
    <w:p>
      <w:pPr>
        <w:ind w:firstLine="480"/>
        <w:rPr>
          <w:snapToGrid w:val="0"/>
          <w:color w:val="auto"/>
        </w:rPr>
      </w:pPr>
      <w:r>
        <w:rPr>
          <w:snapToGrid w:val="0"/>
          <w:color w:val="auto"/>
        </w:rPr>
        <w:t>1、噪声源</w:t>
      </w:r>
    </w:p>
    <w:p>
      <w:pPr>
        <w:ind w:firstLine="480"/>
        <w:rPr>
          <w:color w:val="auto"/>
        </w:rPr>
      </w:pPr>
      <w:r>
        <w:rPr>
          <w:rFonts w:hint="eastAsia"/>
          <w:color w:val="auto"/>
        </w:rPr>
        <w:t>拟建</w:t>
      </w:r>
      <w:r>
        <w:rPr>
          <w:color w:val="auto"/>
        </w:rPr>
        <w:t>项目投产后，全厂主要噪声源为</w:t>
      </w:r>
      <w:r>
        <w:rPr>
          <w:rFonts w:hint="eastAsia"/>
          <w:color w:val="auto"/>
        </w:rPr>
        <w:t>造粒机、振动筛、</w:t>
      </w:r>
      <w:r>
        <w:rPr>
          <w:color w:val="auto"/>
        </w:rPr>
        <w:t>风机、泵类等设备，设备噪声源强声压级详见表</w:t>
      </w:r>
      <w:r>
        <w:rPr>
          <w:rFonts w:hint="eastAsia"/>
          <w:color w:val="auto"/>
        </w:rPr>
        <w:t>2.5</w:t>
      </w:r>
      <w:r>
        <w:rPr>
          <w:color w:val="auto"/>
        </w:rPr>
        <w:t>-1</w:t>
      </w:r>
      <w:r>
        <w:rPr>
          <w:rFonts w:hint="eastAsia"/>
          <w:color w:val="auto"/>
        </w:rPr>
        <w:t>8</w:t>
      </w:r>
      <w:r>
        <w:rPr>
          <w:color w:val="auto"/>
        </w:rPr>
        <w:t>。</w:t>
      </w:r>
    </w:p>
    <w:p>
      <w:pPr>
        <w:pStyle w:val="74"/>
        <w:rPr>
          <w:rFonts w:hint="default" w:ascii="Times New Roman" w:hAnsi="Times New Roman" w:cs="Times New Roman"/>
          <w:color w:val="auto"/>
        </w:rPr>
      </w:pPr>
      <w:r>
        <w:rPr>
          <w:rFonts w:hint="default" w:ascii="Times New Roman" w:hAnsi="Times New Roman" w:cs="Times New Roman"/>
          <w:color w:val="auto"/>
        </w:rPr>
        <w:t>表</w:t>
      </w:r>
      <w:r>
        <w:rPr>
          <w:rFonts w:hint="eastAsia" w:ascii="Times New Roman" w:hAnsi="Times New Roman" w:cs="Times New Roman"/>
          <w:color w:val="auto"/>
          <w:lang w:val="en-US" w:eastAsia="zh-CN"/>
        </w:rPr>
        <w:t>2.5-18</w:t>
      </w:r>
      <w:r>
        <w:rPr>
          <w:rFonts w:hint="default" w:ascii="Times New Roman" w:hAnsi="Times New Roman" w:cs="Times New Roman"/>
          <w:color w:val="auto"/>
        </w:rPr>
        <w:t xml:space="preserve"> 噪声污染源源强核算结果及相关参数一览表</w:t>
      </w:r>
    </w:p>
    <w:tbl>
      <w:tblPr>
        <w:tblStyle w:val="2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23"/>
        <w:gridCol w:w="1132"/>
        <w:gridCol w:w="723"/>
        <w:gridCol w:w="929"/>
        <w:gridCol w:w="929"/>
        <w:gridCol w:w="929"/>
        <w:gridCol w:w="929"/>
        <w:gridCol w:w="929"/>
        <w:gridCol w:w="929"/>
        <w:gridCol w:w="9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7" w:type="pct"/>
            <w:vMerge w:val="restart"/>
            <w:noWrap w:val="0"/>
            <w:vAlign w:val="center"/>
          </w:tcPr>
          <w:p>
            <w:pPr>
              <w:pStyle w:val="75"/>
              <w:rPr>
                <w:rFonts w:hint="default" w:ascii="Times New Roman" w:hAnsi="Times New Roman" w:cs="Times New Roman"/>
                <w:color w:val="auto"/>
                <w:szCs w:val="21"/>
              </w:rPr>
            </w:pPr>
            <w:r>
              <w:rPr>
                <w:rFonts w:hint="default" w:ascii="Times New Roman" w:hAnsi="Times New Roman" w:cs="Times New Roman"/>
                <w:color w:val="auto"/>
                <w:szCs w:val="21"/>
              </w:rPr>
              <w:t>工序</w:t>
            </w:r>
          </w:p>
        </w:tc>
        <w:tc>
          <w:tcPr>
            <w:tcW w:w="609" w:type="pct"/>
            <w:vMerge w:val="restart"/>
            <w:noWrap w:val="0"/>
            <w:vAlign w:val="center"/>
          </w:tcPr>
          <w:p>
            <w:pPr>
              <w:pStyle w:val="75"/>
              <w:rPr>
                <w:rFonts w:hint="default" w:ascii="Times New Roman" w:hAnsi="Times New Roman" w:cs="Times New Roman"/>
                <w:color w:val="auto"/>
                <w:szCs w:val="21"/>
              </w:rPr>
            </w:pPr>
            <w:r>
              <w:rPr>
                <w:rFonts w:hint="default" w:ascii="Times New Roman" w:hAnsi="Times New Roman" w:cs="Times New Roman"/>
                <w:color w:val="auto"/>
                <w:szCs w:val="21"/>
              </w:rPr>
              <w:t>噪声源</w:t>
            </w:r>
          </w:p>
        </w:tc>
        <w:tc>
          <w:tcPr>
            <w:tcW w:w="389" w:type="pct"/>
            <w:vMerge w:val="restart"/>
            <w:noWrap w:val="0"/>
            <w:vAlign w:val="center"/>
          </w:tcPr>
          <w:p>
            <w:pPr>
              <w:pStyle w:val="75"/>
              <w:rPr>
                <w:rFonts w:hint="default" w:ascii="Times New Roman" w:hAnsi="Times New Roman" w:cs="Times New Roman"/>
                <w:color w:val="auto"/>
                <w:szCs w:val="21"/>
              </w:rPr>
            </w:pPr>
            <w:r>
              <w:rPr>
                <w:rFonts w:hint="default" w:ascii="Times New Roman" w:hAnsi="Times New Roman" w:cs="Times New Roman"/>
                <w:color w:val="auto"/>
                <w:szCs w:val="21"/>
              </w:rPr>
              <w:t>声源类型</w:t>
            </w:r>
          </w:p>
        </w:tc>
        <w:tc>
          <w:tcPr>
            <w:tcW w:w="1000" w:type="pct"/>
            <w:gridSpan w:val="2"/>
            <w:noWrap w:val="0"/>
            <w:vAlign w:val="center"/>
          </w:tcPr>
          <w:p>
            <w:pPr>
              <w:pStyle w:val="75"/>
              <w:rPr>
                <w:rFonts w:hint="default" w:ascii="Times New Roman" w:hAnsi="Times New Roman" w:cs="Times New Roman"/>
                <w:color w:val="auto"/>
                <w:szCs w:val="21"/>
              </w:rPr>
            </w:pPr>
            <w:r>
              <w:rPr>
                <w:rFonts w:hint="default" w:ascii="Times New Roman" w:hAnsi="Times New Roman" w:cs="Times New Roman"/>
                <w:color w:val="auto"/>
                <w:szCs w:val="21"/>
              </w:rPr>
              <w:t>噪声源强</w:t>
            </w:r>
          </w:p>
        </w:tc>
        <w:tc>
          <w:tcPr>
            <w:tcW w:w="1000" w:type="pct"/>
            <w:gridSpan w:val="2"/>
            <w:noWrap w:val="0"/>
            <w:vAlign w:val="center"/>
          </w:tcPr>
          <w:p>
            <w:pPr>
              <w:pStyle w:val="75"/>
              <w:rPr>
                <w:rFonts w:hint="default" w:ascii="Times New Roman" w:hAnsi="Times New Roman" w:cs="Times New Roman"/>
                <w:color w:val="auto"/>
                <w:szCs w:val="21"/>
              </w:rPr>
            </w:pPr>
            <w:r>
              <w:rPr>
                <w:rFonts w:hint="default" w:ascii="Times New Roman" w:hAnsi="Times New Roman" w:cs="Times New Roman"/>
                <w:color w:val="auto"/>
                <w:szCs w:val="21"/>
              </w:rPr>
              <w:t>降噪措施</w:t>
            </w:r>
          </w:p>
        </w:tc>
        <w:tc>
          <w:tcPr>
            <w:tcW w:w="1000" w:type="pct"/>
            <w:gridSpan w:val="2"/>
            <w:noWrap w:val="0"/>
            <w:vAlign w:val="center"/>
          </w:tcPr>
          <w:p>
            <w:pPr>
              <w:pStyle w:val="75"/>
              <w:rPr>
                <w:rFonts w:hint="default" w:ascii="Times New Roman" w:hAnsi="Times New Roman" w:cs="Times New Roman"/>
                <w:color w:val="auto"/>
                <w:szCs w:val="21"/>
              </w:rPr>
            </w:pPr>
            <w:r>
              <w:rPr>
                <w:rFonts w:hint="default" w:ascii="Times New Roman" w:hAnsi="Times New Roman" w:cs="Times New Roman"/>
                <w:color w:val="auto"/>
                <w:szCs w:val="21"/>
              </w:rPr>
              <w:t>噪声排放量</w:t>
            </w:r>
          </w:p>
        </w:tc>
        <w:tc>
          <w:tcPr>
            <w:tcW w:w="500" w:type="pct"/>
            <w:vMerge w:val="restart"/>
            <w:noWrap w:val="0"/>
            <w:vAlign w:val="center"/>
          </w:tcPr>
          <w:p>
            <w:pPr>
              <w:pStyle w:val="75"/>
              <w:rPr>
                <w:rFonts w:hint="default" w:ascii="Times New Roman" w:hAnsi="Times New Roman" w:cs="Times New Roman"/>
                <w:color w:val="auto"/>
                <w:szCs w:val="21"/>
              </w:rPr>
            </w:pPr>
            <w:r>
              <w:rPr>
                <w:rFonts w:hint="default" w:ascii="Times New Roman" w:hAnsi="Times New Roman" w:cs="Times New Roman"/>
                <w:color w:val="auto"/>
                <w:szCs w:val="21"/>
              </w:rPr>
              <w:t>持续时间/h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7" w:type="pct"/>
            <w:vMerge w:val="continue"/>
            <w:noWrap w:val="0"/>
            <w:vAlign w:val="center"/>
          </w:tcPr>
          <w:p>
            <w:pPr>
              <w:pStyle w:val="75"/>
              <w:rPr>
                <w:rFonts w:hint="default" w:ascii="Times New Roman" w:hAnsi="Times New Roman" w:cs="Times New Roman"/>
                <w:color w:val="auto"/>
                <w:szCs w:val="21"/>
              </w:rPr>
            </w:pPr>
          </w:p>
        </w:tc>
        <w:tc>
          <w:tcPr>
            <w:tcW w:w="609" w:type="pct"/>
            <w:vMerge w:val="continue"/>
            <w:noWrap w:val="0"/>
            <w:vAlign w:val="center"/>
          </w:tcPr>
          <w:p>
            <w:pPr>
              <w:pStyle w:val="75"/>
              <w:rPr>
                <w:rFonts w:hint="default" w:ascii="Times New Roman" w:hAnsi="Times New Roman" w:cs="Times New Roman"/>
                <w:color w:val="auto"/>
                <w:szCs w:val="21"/>
              </w:rPr>
            </w:pPr>
          </w:p>
        </w:tc>
        <w:tc>
          <w:tcPr>
            <w:tcW w:w="389" w:type="pct"/>
            <w:vMerge w:val="continue"/>
            <w:noWrap w:val="0"/>
            <w:vAlign w:val="center"/>
          </w:tcPr>
          <w:p>
            <w:pPr>
              <w:pStyle w:val="75"/>
              <w:rPr>
                <w:rFonts w:hint="default" w:ascii="Times New Roman" w:hAnsi="Times New Roman" w:cs="Times New Roman"/>
                <w:color w:val="auto"/>
                <w:szCs w:val="21"/>
              </w:rPr>
            </w:pPr>
          </w:p>
        </w:tc>
        <w:tc>
          <w:tcPr>
            <w:tcW w:w="500" w:type="pct"/>
            <w:noWrap w:val="0"/>
            <w:vAlign w:val="center"/>
          </w:tcPr>
          <w:p>
            <w:pPr>
              <w:pStyle w:val="75"/>
              <w:rPr>
                <w:rFonts w:hint="default" w:ascii="Times New Roman" w:hAnsi="Times New Roman" w:cs="Times New Roman"/>
                <w:color w:val="auto"/>
                <w:szCs w:val="21"/>
              </w:rPr>
            </w:pPr>
            <w:r>
              <w:rPr>
                <w:rFonts w:hint="default" w:ascii="Times New Roman" w:hAnsi="Times New Roman" w:cs="Times New Roman"/>
                <w:color w:val="auto"/>
                <w:szCs w:val="21"/>
              </w:rPr>
              <w:t>核算方法</w:t>
            </w:r>
          </w:p>
        </w:tc>
        <w:tc>
          <w:tcPr>
            <w:tcW w:w="500" w:type="pct"/>
            <w:noWrap w:val="0"/>
            <w:vAlign w:val="center"/>
          </w:tcPr>
          <w:p>
            <w:pPr>
              <w:pStyle w:val="75"/>
              <w:rPr>
                <w:rFonts w:hint="default" w:ascii="Times New Roman" w:hAnsi="Times New Roman" w:cs="Times New Roman"/>
                <w:color w:val="auto"/>
                <w:szCs w:val="21"/>
              </w:rPr>
            </w:pPr>
            <w:r>
              <w:rPr>
                <w:rFonts w:hint="default" w:ascii="Times New Roman" w:hAnsi="Times New Roman" w:cs="Times New Roman"/>
                <w:color w:val="auto"/>
                <w:szCs w:val="21"/>
              </w:rPr>
              <w:t>声源表达量/dB(A)</w:t>
            </w:r>
          </w:p>
        </w:tc>
        <w:tc>
          <w:tcPr>
            <w:tcW w:w="500" w:type="pct"/>
            <w:noWrap w:val="0"/>
            <w:vAlign w:val="center"/>
          </w:tcPr>
          <w:p>
            <w:pPr>
              <w:pStyle w:val="75"/>
              <w:rPr>
                <w:rFonts w:hint="default" w:ascii="Times New Roman" w:hAnsi="Times New Roman" w:cs="Times New Roman"/>
                <w:color w:val="auto"/>
                <w:szCs w:val="21"/>
              </w:rPr>
            </w:pPr>
            <w:r>
              <w:rPr>
                <w:rFonts w:hint="default" w:ascii="Times New Roman" w:hAnsi="Times New Roman" w:cs="Times New Roman"/>
                <w:color w:val="auto"/>
                <w:szCs w:val="21"/>
              </w:rPr>
              <w:t>工艺</w:t>
            </w:r>
          </w:p>
        </w:tc>
        <w:tc>
          <w:tcPr>
            <w:tcW w:w="500" w:type="pct"/>
            <w:noWrap w:val="0"/>
            <w:vAlign w:val="center"/>
          </w:tcPr>
          <w:p>
            <w:pPr>
              <w:pStyle w:val="75"/>
              <w:rPr>
                <w:rFonts w:hint="default" w:ascii="Times New Roman" w:hAnsi="Times New Roman" w:cs="Times New Roman"/>
                <w:color w:val="auto"/>
                <w:szCs w:val="21"/>
              </w:rPr>
            </w:pPr>
            <w:r>
              <w:rPr>
                <w:rFonts w:hint="default" w:ascii="Times New Roman" w:hAnsi="Times New Roman" w:cs="Times New Roman"/>
                <w:color w:val="auto"/>
                <w:szCs w:val="21"/>
              </w:rPr>
              <w:t>降噪效果/dB(A)</w:t>
            </w:r>
          </w:p>
        </w:tc>
        <w:tc>
          <w:tcPr>
            <w:tcW w:w="500" w:type="pct"/>
            <w:noWrap w:val="0"/>
            <w:vAlign w:val="center"/>
          </w:tcPr>
          <w:p>
            <w:pPr>
              <w:pStyle w:val="75"/>
              <w:rPr>
                <w:rFonts w:hint="default" w:ascii="Times New Roman" w:hAnsi="Times New Roman" w:cs="Times New Roman"/>
                <w:color w:val="auto"/>
                <w:szCs w:val="21"/>
              </w:rPr>
            </w:pPr>
            <w:r>
              <w:rPr>
                <w:rFonts w:hint="default" w:ascii="Times New Roman" w:hAnsi="Times New Roman" w:cs="Times New Roman"/>
                <w:color w:val="auto"/>
                <w:szCs w:val="21"/>
              </w:rPr>
              <w:t>核算方法</w:t>
            </w:r>
          </w:p>
        </w:tc>
        <w:tc>
          <w:tcPr>
            <w:tcW w:w="500" w:type="pct"/>
            <w:noWrap w:val="0"/>
            <w:vAlign w:val="center"/>
          </w:tcPr>
          <w:p>
            <w:pPr>
              <w:pStyle w:val="75"/>
              <w:rPr>
                <w:rFonts w:hint="default" w:ascii="Times New Roman" w:hAnsi="Times New Roman" w:cs="Times New Roman"/>
                <w:color w:val="auto"/>
                <w:szCs w:val="21"/>
              </w:rPr>
            </w:pPr>
            <w:r>
              <w:rPr>
                <w:rFonts w:hint="default" w:ascii="Times New Roman" w:hAnsi="Times New Roman" w:cs="Times New Roman"/>
                <w:color w:val="auto"/>
                <w:szCs w:val="21"/>
              </w:rPr>
              <w:t>声源表达量/dB(A)</w:t>
            </w:r>
          </w:p>
        </w:tc>
        <w:tc>
          <w:tcPr>
            <w:tcW w:w="500" w:type="pct"/>
            <w:vMerge w:val="continue"/>
            <w:noWrap w:val="0"/>
            <w:vAlign w:val="center"/>
          </w:tcPr>
          <w:p>
            <w:pPr>
              <w:pStyle w:val="75"/>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7" w:type="pct"/>
            <w:vMerge w:val="restart"/>
            <w:noWrap w:val="0"/>
            <w:vAlign w:val="center"/>
          </w:tcPr>
          <w:p>
            <w:pPr>
              <w:pStyle w:val="75"/>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生产车间</w:t>
            </w:r>
          </w:p>
        </w:tc>
        <w:tc>
          <w:tcPr>
            <w:tcW w:w="609" w:type="pct"/>
            <w:noWrap w:val="0"/>
            <w:vAlign w:val="center"/>
          </w:tcPr>
          <w:p>
            <w:pPr>
              <w:pStyle w:val="47"/>
              <w:ind w:firstLine="0" w:firstLineChars="0"/>
              <w:rPr>
                <w:rFonts w:hint="default" w:ascii="Times New Roman" w:hAnsi="Times New Roman" w:eastAsia="宋体" w:cs="Times New Roman"/>
                <w:color w:val="auto"/>
                <w:kern w:val="2"/>
                <w:sz w:val="21"/>
                <w:szCs w:val="21"/>
                <w:lang w:val="en-US" w:eastAsia="zh-CN" w:bidi="ar-SA"/>
              </w:rPr>
            </w:pPr>
            <w:r>
              <w:rPr>
                <w:rFonts w:hint="eastAsia"/>
                <w:color w:val="auto"/>
              </w:rPr>
              <w:t>造粒机</w:t>
            </w:r>
          </w:p>
        </w:tc>
        <w:tc>
          <w:tcPr>
            <w:tcW w:w="389" w:type="pct"/>
            <w:noWrap w:val="0"/>
            <w:vAlign w:val="center"/>
          </w:tcPr>
          <w:p>
            <w:pPr>
              <w:pStyle w:val="75"/>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频发</w:t>
            </w:r>
          </w:p>
        </w:tc>
        <w:tc>
          <w:tcPr>
            <w:tcW w:w="500" w:type="pct"/>
            <w:noWrap w:val="0"/>
            <w:vAlign w:val="center"/>
          </w:tcPr>
          <w:p>
            <w:pPr>
              <w:pStyle w:val="75"/>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类比法</w:t>
            </w:r>
          </w:p>
        </w:tc>
        <w:tc>
          <w:tcPr>
            <w:tcW w:w="500" w:type="pct"/>
            <w:noWrap w:val="0"/>
            <w:vAlign w:val="center"/>
          </w:tcPr>
          <w:p>
            <w:pPr>
              <w:pStyle w:val="47"/>
              <w:ind w:firstLine="0" w:firstLineChars="0"/>
              <w:rPr>
                <w:rFonts w:hint="default" w:ascii="Times New Roman" w:hAnsi="Times New Roman" w:eastAsia="宋体" w:cs="Times New Roman"/>
                <w:color w:val="auto"/>
                <w:kern w:val="2"/>
                <w:sz w:val="21"/>
                <w:szCs w:val="21"/>
                <w:lang w:val="en-US" w:eastAsia="zh-CN" w:bidi="ar-SA"/>
              </w:rPr>
            </w:pPr>
            <w:r>
              <w:rPr>
                <w:rFonts w:hint="eastAsia"/>
                <w:color w:val="auto"/>
              </w:rPr>
              <w:t>75</w:t>
            </w:r>
          </w:p>
        </w:tc>
        <w:tc>
          <w:tcPr>
            <w:tcW w:w="500" w:type="pct"/>
            <w:noWrap w:val="0"/>
            <w:vAlign w:val="center"/>
          </w:tcPr>
          <w:p>
            <w:pPr>
              <w:pStyle w:val="47"/>
              <w:ind w:firstLine="0" w:firstLineChars="0"/>
              <w:rPr>
                <w:rFonts w:hint="default" w:ascii="Times New Roman" w:hAnsi="Times New Roman" w:eastAsia="宋体" w:cs="Times New Roman"/>
                <w:color w:val="auto"/>
                <w:kern w:val="2"/>
                <w:sz w:val="21"/>
                <w:szCs w:val="21"/>
                <w:lang w:val="en-US" w:eastAsia="zh-CN" w:bidi="ar-SA"/>
              </w:rPr>
            </w:pPr>
            <w:r>
              <w:rPr>
                <w:color w:val="auto"/>
              </w:rPr>
              <w:t>密闭车间、隔声、减振</w:t>
            </w:r>
          </w:p>
        </w:tc>
        <w:tc>
          <w:tcPr>
            <w:tcW w:w="500" w:type="pct"/>
            <w:noWrap w:val="0"/>
            <w:vAlign w:val="center"/>
          </w:tcPr>
          <w:p>
            <w:pPr>
              <w:pStyle w:val="75"/>
              <w:ind w:firstLine="0" w:firstLineChars="0"/>
              <w:rPr>
                <w:rFonts w:hint="eastAsia" w:ascii="Times New Roman" w:hAnsi="Times New Roman" w:eastAsia="宋体" w:cs="Times New Roman"/>
                <w:color w:val="auto"/>
                <w:kern w:val="2"/>
                <w:sz w:val="21"/>
                <w:szCs w:val="21"/>
                <w:lang w:val="en-US" w:eastAsia="zh-CN" w:bidi="ar-SA"/>
              </w:rPr>
            </w:pPr>
            <w:r>
              <w:rPr>
                <w:rFonts w:hint="eastAsia" w:eastAsia="宋体" w:cs="Times New Roman"/>
                <w:color w:val="auto"/>
                <w:szCs w:val="21"/>
                <w:lang w:val="en-US" w:eastAsia="zh-CN"/>
              </w:rPr>
              <w:t>20</w:t>
            </w:r>
          </w:p>
        </w:tc>
        <w:tc>
          <w:tcPr>
            <w:tcW w:w="500" w:type="pct"/>
            <w:noWrap w:val="0"/>
            <w:vAlign w:val="center"/>
          </w:tcPr>
          <w:p>
            <w:pPr>
              <w:pStyle w:val="75"/>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类比法</w:t>
            </w:r>
          </w:p>
        </w:tc>
        <w:tc>
          <w:tcPr>
            <w:tcW w:w="929" w:type="dxa"/>
            <w:noWrap w:val="0"/>
            <w:vAlign w:val="center"/>
          </w:tcPr>
          <w:p>
            <w:pPr>
              <w:pStyle w:val="47"/>
              <w:ind w:firstLine="0" w:firstLineChars="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55</w:t>
            </w:r>
          </w:p>
        </w:tc>
        <w:tc>
          <w:tcPr>
            <w:tcW w:w="500" w:type="pct"/>
            <w:noWrap w:val="0"/>
            <w:vAlign w:val="center"/>
          </w:tcPr>
          <w:p>
            <w:pPr>
              <w:pStyle w:val="75"/>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7200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7" w:type="pct"/>
            <w:vMerge w:val="continue"/>
            <w:noWrap w:val="0"/>
            <w:vAlign w:val="center"/>
          </w:tcPr>
          <w:p>
            <w:pPr>
              <w:pStyle w:val="75"/>
              <w:rPr>
                <w:rFonts w:hint="default" w:ascii="Times New Roman" w:hAnsi="Times New Roman" w:cs="Times New Roman"/>
                <w:color w:val="auto"/>
                <w:szCs w:val="21"/>
              </w:rPr>
            </w:pPr>
          </w:p>
        </w:tc>
        <w:tc>
          <w:tcPr>
            <w:tcW w:w="609" w:type="pct"/>
            <w:noWrap w:val="0"/>
            <w:vAlign w:val="center"/>
          </w:tcPr>
          <w:p>
            <w:pPr>
              <w:pStyle w:val="47"/>
              <w:ind w:firstLine="0" w:firstLineChars="0"/>
              <w:rPr>
                <w:rFonts w:hint="default" w:ascii="Times New Roman" w:hAnsi="Times New Roman" w:eastAsia="宋体" w:cs="Times New Roman"/>
                <w:color w:val="auto"/>
                <w:kern w:val="2"/>
                <w:sz w:val="21"/>
                <w:szCs w:val="21"/>
                <w:lang w:val="en-US" w:eastAsia="zh-CN" w:bidi="ar-SA"/>
              </w:rPr>
            </w:pPr>
            <w:r>
              <w:rPr>
                <w:rFonts w:hint="eastAsia"/>
                <w:color w:val="auto"/>
                <w:lang w:val="en-US" w:eastAsia="zh-CN"/>
              </w:rPr>
              <w:t>干燥机</w:t>
            </w:r>
          </w:p>
        </w:tc>
        <w:tc>
          <w:tcPr>
            <w:tcW w:w="389" w:type="pct"/>
            <w:noWrap w:val="0"/>
            <w:vAlign w:val="center"/>
          </w:tcPr>
          <w:p>
            <w:pPr>
              <w:pStyle w:val="75"/>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频发</w:t>
            </w:r>
          </w:p>
        </w:tc>
        <w:tc>
          <w:tcPr>
            <w:tcW w:w="500" w:type="pct"/>
            <w:noWrap w:val="0"/>
            <w:vAlign w:val="center"/>
          </w:tcPr>
          <w:p>
            <w:pPr>
              <w:pStyle w:val="75"/>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类比法</w:t>
            </w:r>
          </w:p>
        </w:tc>
        <w:tc>
          <w:tcPr>
            <w:tcW w:w="500" w:type="pct"/>
            <w:noWrap w:val="0"/>
            <w:vAlign w:val="center"/>
          </w:tcPr>
          <w:p>
            <w:pPr>
              <w:pStyle w:val="47"/>
              <w:ind w:firstLine="0" w:firstLineChars="0"/>
              <w:rPr>
                <w:rFonts w:hint="default" w:ascii="Times New Roman" w:hAnsi="Times New Roman" w:eastAsia="宋体" w:cs="Times New Roman"/>
                <w:color w:val="auto"/>
                <w:kern w:val="2"/>
                <w:sz w:val="21"/>
                <w:szCs w:val="21"/>
                <w:lang w:val="en-US" w:eastAsia="zh-CN" w:bidi="ar-SA"/>
              </w:rPr>
            </w:pPr>
            <w:r>
              <w:rPr>
                <w:rFonts w:hint="eastAsia"/>
                <w:color w:val="auto"/>
              </w:rPr>
              <w:t>75</w:t>
            </w:r>
          </w:p>
        </w:tc>
        <w:tc>
          <w:tcPr>
            <w:tcW w:w="500" w:type="pct"/>
            <w:noWrap w:val="0"/>
            <w:vAlign w:val="center"/>
          </w:tcPr>
          <w:p>
            <w:pPr>
              <w:pStyle w:val="47"/>
              <w:ind w:firstLine="0" w:firstLineChars="0"/>
              <w:rPr>
                <w:rFonts w:hint="default" w:ascii="Times New Roman" w:hAnsi="Times New Roman" w:eastAsia="宋体" w:cs="Times New Roman"/>
                <w:color w:val="auto"/>
                <w:kern w:val="2"/>
                <w:sz w:val="21"/>
                <w:szCs w:val="21"/>
                <w:lang w:val="en-US" w:eastAsia="zh-CN" w:bidi="ar-SA"/>
              </w:rPr>
            </w:pPr>
            <w:r>
              <w:rPr>
                <w:color w:val="auto"/>
              </w:rPr>
              <w:t>密闭车间、隔声、减振</w:t>
            </w:r>
          </w:p>
        </w:tc>
        <w:tc>
          <w:tcPr>
            <w:tcW w:w="500" w:type="pct"/>
            <w:noWrap w:val="0"/>
            <w:vAlign w:val="center"/>
          </w:tcPr>
          <w:p>
            <w:pPr>
              <w:pStyle w:val="75"/>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20</w:t>
            </w:r>
          </w:p>
        </w:tc>
        <w:tc>
          <w:tcPr>
            <w:tcW w:w="500" w:type="pct"/>
            <w:noWrap w:val="0"/>
            <w:vAlign w:val="center"/>
          </w:tcPr>
          <w:p>
            <w:pPr>
              <w:pStyle w:val="75"/>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类比法</w:t>
            </w:r>
          </w:p>
        </w:tc>
        <w:tc>
          <w:tcPr>
            <w:tcW w:w="929" w:type="dxa"/>
            <w:noWrap w:val="0"/>
            <w:vAlign w:val="center"/>
          </w:tcPr>
          <w:p>
            <w:pPr>
              <w:pStyle w:val="47"/>
              <w:ind w:firstLine="0" w:firstLineChars="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55</w:t>
            </w:r>
          </w:p>
        </w:tc>
        <w:tc>
          <w:tcPr>
            <w:tcW w:w="500" w:type="pct"/>
            <w:noWrap w:val="0"/>
            <w:vAlign w:val="center"/>
          </w:tcPr>
          <w:p>
            <w:pPr>
              <w:pStyle w:val="75"/>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7200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7" w:type="pct"/>
            <w:vMerge w:val="continue"/>
            <w:noWrap w:val="0"/>
            <w:vAlign w:val="center"/>
          </w:tcPr>
          <w:p>
            <w:pPr>
              <w:pStyle w:val="75"/>
              <w:rPr>
                <w:rFonts w:hint="default" w:ascii="Times New Roman" w:hAnsi="Times New Roman" w:cs="Times New Roman"/>
                <w:color w:val="auto"/>
                <w:szCs w:val="21"/>
              </w:rPr>
            </w:pPr>
          </w:p>
        </w:tc>
        <w:tc>
          <w:tcPr>
            <w:tcW w:w="609" w:type="pct"/>
            <w:noWrap w:val="0"/>
            <w:vAlign w:val="center"/>
          </w:tcPr>
          <w:p>
            <w:pPr>
              <w:pStyle w:val="47"/>
              <w:ind w:firstLine="0" w:firstLineChars="0"/>
              <w:rPr>
                <w:rFonts w:hint="default" w:ascii="Times New Roman" w:hAnsi="Times New Roman" w:eastAsia="宋体" w:cs="Times New Roman"/>
                <w:color w:val="auto"/>
                <w:kern w:val="2"/>
                <w:sz w:val="21"/>
                <w:szCs w:val="21"/>
                <w:lang w:val="en-US" w:eastAsia="zh-CN" w:bidi="ar-SA"/>
              </w:rPr>
            </w:pPr>
            <w:r>
              <w:rPr>
                <w:rFonts w:hint="eastAsia"/>
                <w:color w:val="auto"/>
                <w:lang w:val="en-US" w:eastAsia="zh-CN"/>
              </w:rPr>
              <w:t>包装机</w:t>
            </w:r>
          </w:p>
        </w:tc>
        <w:tc>
          <w:tcPr>
            <w:tcW w:w="389" w:type="pct"/>
            <w:noWrap w:val="0"/>
            <w:vAlign w:val="center"/>
          </w:tcPr>
          <w:p>
            <w:pPr>
              <w:pStyle w:val="75"/>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频发</w:t>
            </w:r>
          </w:p>
        </w:tc>
        <w:tc>
          <w:tcPr>
            <w:tcW w:w="500" w:type="pct"/>
            <w:noWrap w:val="0"/>
            <w:vAlign w:val="center"/>
          </w:tcPr>
          <w:p>
            <w:pPr>
              <w:pStyle w:val="75"/>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类比法</w:t>
            </w:r>
          </w:p>
        </w:tc>
        <w:tc>
          <w:tcPr>
            <w:tcW w:w="500" w:type="pct"/>
            <w:noWrap w:val="0"/>
            <w:vAlign w:val="center"/>
          </w:tcPr>
          <w:p>
            <w:pPr>
              <w:pStyle w:val="47"/>
              <w:ind w:firstLine="0" w:firstLineChars="0"/>
              <w:rPr>
                <w:rFonts w:hint="default" w:ascii="Times New Roman" w:hAnsi="Times New Roman" w:eastAsia="宋体" w:cs="Times New Roman"/>
                <w:color w:val="auto"/>
                <w:kern w:val="2"/>
                <w:sz w:val="21"/>
                <w:szCs w:val="21"/>
                <w:lang w:val="en-US" w:eastAsia="zh-CN" w:bidi="ar-SA"/>
              </w:rPr>
            </w:pPr>
            <w:r>
              <w:rPr>
                <w:rFonts w:hint="eastAsia"/>
                <w:color w:val="auto"/>
              </w:rPr>
              <w:t>80</w:t>
            </w:r>
          </w:p>
        </w:tc>
        <w:tc>
          <w:tcPr>
            <w:tcW w:w="500" w:type="pct"/>
            <w:noWrap w:val="0"/>
            <w:vAlign w:val="center"/>
          </w:tcPr>
          <w:p>
            <w:pPr>
              <w:pStyle w:val="47"/>
              <w:ind w:firstLine="0" w:firstLineChars="0"/>
              <w:rPr>
                <w:rFonts w:hint="default" w:ascii="Times New Roman" w:hAnsi="Times New Roman" w:eastAsia="宋体" w:cs="Times New Roman"/>
                <w:color w:val="auto"/>
                <w:kern w:val="2"/>
                <w:sz w:val="21"/>
                <w:szCs w:val="21"/>
                <w:lang w:val="en-US" w:eastAsia="zh-CN" w:bidi="ar-SA"/>
              </w:rPr>
            </w:pPr>
            <w:r>
              <w:rPr>
                <w:color w:val="auto"/>
              </w:rPr>
              <w:t>密闭车间、隔声、减振</w:t>
            </w:r>
          </w:p>
        </w:tc>
        <w:tc>
          <w:tcPr>
            <w:tcW w:w="500" w:type="pct"/>
            <w:noWrap w:val="0"/>
            <w:vAlign w:val="center"/>
          </w:tcPr>
          <w:p>
            <w:pPr>
              <w:pStyle w:val="75"/>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20</w:t>
            </w:r>
          </w:p>
        </w:tc>
        <w:tc>
          <w:tcPr>
            <w:tcW w:w="500" w:type="pct"/>
            <w:noWrap w:val="0"/>
            <w:vAlign w:val="center"/>
          </w:tcPr>
          <w:p>
            <w:pPr>
              <w:pStyle w:val="75"/>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类比法</w:t>
            </w:r>
          </w:p>
        </w:tc>
        <w:tc>
          <w:tcPr>
            <w:tcW w:w="929" w:type="dxa"/>
            <w:noWrap w:val="0"/>
            <w:vAlign w:val="center"/>
          </w:tcPr>
          <w:p>
            <w:pPr>
              <w:pStyle w:val="47"/>
              <w:ind w:firstLine="0" w:firstLineChars="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60</w:t>
            </w:r>
          </w:p>
        </w:tc>
        <w:tc>
          <w:tcPr>
            <w:tcW w:w="500" w:type="pct"/>
            <w:noWrap w:val="0"/>
            <w:vAlign w:val="center"/>
          </w:tcPr>
          <w:p>
            <w:pPr>
              <w:pStyle w:val="75"/>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7200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7" w:type="pct"/>
            <w:vMerge w:val="continue"/>
            <w:noWrap w:val="0"/>
            <w:vAlign w:val="center"/>
          </w:tcPr>
          <w:p>
            <w:pPr>
              <w:pStyle w:val="75"/>
              <w:rPr>
                <w:rFonts w:hint="default" w:ascii="Times New Roman" w:hAnsi="Times New Roman" w:cs="Times New Roman"/>
                <w:color w:val="auto"/>
                <w:szCs w:val="21"/>
              </w:rPr>
            </w:pPr>
          </w:p>
        </w:tc>
        <w:tc>
          <w:tcPr>
            <w:tcW w:w="609" w:type="pct"/>
            <w:noWrap w:val="0"/>
            <w:vAlign w:val="center"/>
          </w:tcPr>
          <w:p>
            <w:pPr>
              <w:pStyle w:val="47"/>
              <w:ind w:firstLine="0" w:firstLineChars="0"/>
              <w:rPr>
                <w:rFonts w:hint="default" w:ascii="Times New Roman" w:hAnsi="Times New Roman" w:cs="Times New Roman"/>
                <w:color w:val="auto"/>
                <w:szCs w:val="21"/>
                <w:lang w:val="en-US" w:eastAsia="zh-CN"/>
              </w:rPr>
            </w:pPr>
            <w:r>
              <w:rPr>
                <w:color w:val="auto"/>
              </w:rPr>
              <w:t>泵类</w:t>
            </w:r>
          </w:p>
        </w:tc>
        <w:tc>
          <w:tcPr>
            <w:tcW w:w="389" w:type="pct"/>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频发</w:t>
            </w:r>
          </w:p>
        </w:tc>
        <w:tc>
          <w:tcPr>
            <w:tcW w:w="500" w:type="pct"/>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类比法</w:t>
            </w:r>
          </w:p>
        </w:tc>
        <w:tc>
          <w:tcPr>
            <w:tcW w:w="500" w:type="pct"/>
            <w:noWrap w:val="0"/>
            <w:vAlign w:val="center"/>
          </w:tcPr>
          <w:p>
            <w:pPr>
              <w:pStyle w:val="47"/>
              <w:ind w:firstLine="0" w:firstLineChars="0"/>
              <w:rPr>
                <w:rFonts w:hint="default" w:ascii="Times New Roman" w:hAnsi="Times New Roman" w:cs="Times New Roman"/>
                <w:color w:val="auto"/>
                <w:szCs w:val="21"/>
              </w:rPr>
            </w:pPr>
            <w:r>
              <w:rPr>
                <w:rFonts w:hint="eastAsia"/>
                <w:color w:val="auto"/>
                <w:lang w:val="en-US" w:eastAsia="zh-CN"/>
              </w:rPr>
              <w:t>90</w:t>
            </w:r>
          </w:p>
        </w:tc>
        <w:tc>
          <w:tcPr>
            <w:tcW w:w="500" w:type="pct"/>
            <w:noWrap w:val="0"/>
            <w:vAlign w:val="center"/>
          </w:tcPr>
          <w:p>
            <w:pPr>
              <w:pStyle w:val="47"/>
              <w:ind w:firstLine="0" w:firstLineChars="0"/>
              <w:rPr>
                <w:rFonts w:hint="default" w:ascii="Times New Roman" w:hAnsi="Times New Roman" w:cs="Times New Roman"/>
                <w:color w:val="auto"/>
                <w:szCs w:val="21"/>
              </w:rPr>
            </w:pPr>
            <w:r>
              <w:rPr>
                <w:color w:val="auto"/>
              </w:rPr>
              <w:t>密闭车间、隔声、减振</w:t>
            </w:r>
          </w:p>
        </w:tc>
        <w:tc>
          <w:tcPr>
            <w:tcW w:w="500" w:type="pct"/>
            <w:noWrap w:val="0"/>
            <w:vAlign w:val="center"/>
          </w:tcPr>
          <w:p>
            <w:pPr>
              <w:pStyle w:val="75"/>
              <w:ind w:firstLine="0" w:firstLineChars="0"/>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20</w:t>
            </w:r>
          </w:p>
        </w:tc>
        <w:tc>
          <w:tcPr>
            <w:tcW w:w="929" w:type="dxa"/>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类比法</w:t>
            </w:r>
          </w:p>
        </w:tc>
        <w:tc>
          <w:tcPr>
            <w:tcW w:w="929" w:type="dxa"/>
            <w:noWrap w:val="0"/>
            <w:vAlign w:val="center"/>
          </w:tcPr>
          <w:p>
            <w:pPr>
              <w:pStyle w:val="47"/>
              <w:ind w:firstLine="0" w:firstLineChars="0"/>
              <w:rPr>
                <w:rFonts w:hint="default" w:ascii="Times New Roman" w:hAnsi="Times New Roman" w:eastAsia="宋体" w:cs="Times New Roman"/>
                <w:color w:val="auto"/>
              </w:rPr>
            </w:pPr>
            <w:r>
              <w:rPr>
                <w:rFonts w:hint="eastAsia" w:ascii="Times New Roman" w:hAnsi="Times New Roman" w:eastAsia="宋体" w:cs="Times New Roman"/>
                <w:color w:val="auto"/>
                <w:lang w:val="en-US" w:eastAsia="zh-CN"/>
              </w:rPr>
              <w:t>70</w:t>
            </w:r>
          </w:p>
        </w:tc>
        <w:tc>
          <w:tcPr>
            <w:tcW w:w="929" w:type="dxa"/>
            <w:noWrap w:val="0"/>
            <w:vAlign w:val="center"/>
          </w:tcPr>
          <w:p>
            <w:pPr>
              <w:pStyle w:val="75"/>
              <w:ind w:firstLine="0" w:firstLineChars="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rPr>
              <w:t>7200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7" w:type="pct"/>
            <w:vMerge w:val="continue"/>
            <w:noWrap w:val="0"/>
            <w:vAlign w:val="center"/>
          </w:tcPr>
          <w:p>
            <w:pPr>
              <w:pStyle w:val="75"/>
              <w:rPr>
                <w:rFonts w:hint="default" w:ascii="Times New Roman" w:hAnsi="Times New Roman" w:cs="Times New Roman"/>
                <w:color w:val="auto"/>
                <w:szCs w:val="21"/>
              </w:rPr>
            </w:pPr>
          </w:p>
        </w:tc>
        <w:tc>
          <w:tcPr>
            <w:tcW w:w="609" w:type="pct"/>
            <w:noWrap w:val="0"/>
            <w:vAlign w:val="center"/>
          </w:tcPr>
          <w:p>
            <w:pPr>
              <w:pStyle w:val="47"/>
              <w:ind w:firstLine="0" w:firstLineChars="0"/>
              <w:rPr>
                <w:rFonts w:hint="default" w:ascii="Times New Roman" w:hAnsi="Times New Roman" w:cs="Times New Roman"/>
                <w:color w:val="auto"/>
                <w:szCs w:val="21"/>
                <w:lang w:val="en-US" w:eastAsia="zh-CN"/>
              </w:rPr>
            </w:pPr>
            <w:r>
              <w:rPr>
                <w:rFonts w:hint="eastAsia"/>
                <w:color w:val="auto"/>
                <w:lang w:val="en-US" w:eastAsia="zh-CN"/>
              </w:rPr>
              <w:t>真空机组</w:t>
            </w:r>
          </w:p>
        </w:tc>
        <w:tc>
          <w:tcPr>
            <w:tcW w:w="389" w:type="pct"/>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频发</w:t>
            </w:r>
          </w:p>
        </w:tc>
        <w:tc>
          <w:tcPr>
            <w:tcW w:w="500" w:type="pct"/>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类比法</w:t>
            </w:r>
          </w:p>
        </w:tc>
        <w:tc>
          <w:tcPr>
            <w:tcW w:w="500" w:type="pct"/>
            <w:noWrap w:val="0"/>
            <w:vAlign w:val="center"/>
          </w:tcPr>
          <w:p>
            <w:pPr>
              <w:pStyle w:val="47"/>
              <w:ind w:firstLine="0" w:firstLineChars="0"/>
              <w:rPr>
                <w:rFonts w:hint="default" w:ascii="Times New Roman" w:hAnsi="Times New Roman" w:cs="Times New Roman"/>
                <w:color w:val="auto"/>
                <w:szCs w:val="21"/>
              </w:rPr>
            </w:pPr>
            <w:r>
              <w:rPr>
                <w:rFonts w:hint="eastAsia"/>
                <w:color w:val="auto"/>
                <w:lang w:val="en-US" w:eastAsia="zh-CN"/>
              </w:rPr>
              <w:t>90</w:t>
            </w:r>
          </w:p>
        </w:tc>
        <w:tc>
          <w:tcPr>
            <w:tcW w:w="500" w:type="pct"/>
            <w:noWrap w:val="0"/>
            <w:vAlign w:val="center"/>
          </w:tcPr>
          <w:p>
            <w:pPr>
              <w:pStyle w:val="47"/>
              <w:ind w:firstLine="0" w:firstLineChars="0"/>
              <w:rPr>
                <w:rFonts w:hint="default" w:ascii="Times New Roman" w:hAnsi="Times New Roman" w:cs="Times New Roman"/>
                <w:color w:val="auto"/>
                <w:szCs w:val="21"/>
              </w:rPr>
            </w:pPr>
            <w:r>
              <w:rPr>
                <w:color w:val="auto"/>
              </w:rPr>
              <w:t>密闭车间、隔声、减振</w:t>
            </w:r>
          </w:p>
        </w:tc>
        <w:tc>
          <w:tcPr>
            <w:tcW w:w="500" w:type="pct"/>
            <w:noWrap w:val="0"/>
            <w:vAlign w:val="center"/>
          </w:tcPr>
          <w:p>
            <w:pPr>
              <w:pStyle w:val="75"/>
              <w:ind w:firstLine="0" w:firstLineChars="0"/>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20</w:t>
            </w:r>
          </w:p>
        </w:tc>
        <w:tc>
          <w:tcPr>
            <w:tcW w:w="929" w:type="dxa"/>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类比法</w:t>
            </w:r>
          </w:p>
        </w:tc>
        <w:tc>
          <w:tcPr>
            <w:tcW w:w="929" w:type="dxa"/>
            <w:noWrap w:val="0"/>
            <w:vAlign w:val="center"/>
          </w:tcPr>
          <w:p>
            <w:pPr>
              <w:pStyle w:val="47"/>
              <w:ind w:firstLine="0" w:firstLineChars="0"/>
              <w:rPr>
                <w:rFonts w:hint="default" w:ascii="Times New Roman" w:hAnsi="Times New Roman" w:eastAsia="宋体" w:cs="Times New Roman"/>
                <w:color w:val="auto"/>
              </w:rPr>
            </w:pPr>
            <w:r>
              <w:rPr>
                <w:rFonts w:hint="eastAsia" w:ascii="Times New Roman" w:hAnsi="Times New Roman" w:eastAsia="宋体" w:cs="Times New Roman"/>
                <w:color w:val="auto"/>
                <w:lang w:val="en-US" w:eastAsia="zh-CN"/>
              </w:rPr>
              <w:t>70</w:t>
            </w:r>
          </w:p>
        </w:tc>
        <w:tc>
          <w:tcPr>
            <w:tcW w:w="929" w:type="dxa"/>
            <w:noWrap w:val="0"/>
            <w:vAlign w:val="center"/>
          </w:tcPr>
          <w:p>
            <w:pPr>
              <w:pStyle w:val="75"/>
              <w:ind w:firstLine="0" w:firstLineChars="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7200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7" w:type="pct"/>
            <w:noWrap w:val="0"/>
            <w:vAlign w:val="center"/>
          </w:tcPr>
          <w:p>
            <w:pPr>
              <w:pStyle w:val="75"/>
              <w:rPr>
                <w:rFonts w:hint="default" w:ascii="Times New Roman" w:hAnsi="Times New Roman" w:cs="Times New Roman"/>
                <w:color w:val="auto"/>
                <w:szCs w:val="21"/>
              </w:rPr>
            </w:pPr>
            <w:r>
              <w:rPr>
                <w:color w:val="auto"/>
              </w:rPr>
              <w:t>锅炉房</w:t>
            </w:r>
          </w:p>
        </w:tc>
        <w:tc>
          <w:tcPr>
            <w:tcW w:w="609" w:type="pct"/>
            <w:noWrap w:val="0"/>
            <w:vAlign w:val="center"/>
          </w:tcPr>
          <w:p>
            <w:pPr>
              <w:pStyle w:val="47"/>
              <w:ind w:firstLine="0" w:firstLineChars="0"/>
              <w:rPr>
                <w:rFonts w:hint="default" w:ascii="Times New Roman" w:hAnsi="Times New Roman" w:cs="Times New Roman"/>
                <w:color w:val="auto"/>
                <w:szCs w:val="21"/>
                <w:lang w:val="en-US" w:eastAsia="zh-CN"/>
              </w:rPr>
            </w:pPr>
            <w:r>
              <w:rPr>
                <w:color w:val="auto"/>
              </w:rPr>
              <w:t>泵类</w:t>
            </w:r>
          </w:p>
        </w:tc>
        <w:tc>
          <w:tcPr>
            <w:tcW w:w="389" w:type="pct"/>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频发</w:t>
            </w:r>
          </w:p>
        </w:tc>
        <w:tc>
          <w:tcPr>
            <w:tcW w:w="500" w:type="pct"/>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类比法</w:t>
            </w:r>
          </w:p>
        </w:tc>
        <w:tc>
          <w:tcPr>
            <w:tcW w:w="500" w:type="pct"/>
            <w:noWrap w:val="0"/>
            <w:vAlign w:val="center"/>
          </w:tcPr>
          <w:p>
            <w:pPr>
              <w:pStyle w:val="47"/>
              <w:ind w:firstLine="0" w:firstLineChars="0"/>
              <w:rPr>
                <w:rFonts w:hint="default" w:ascii="Times New Roman" w:hAnsi="Times New Roman" w:cs="Times New Roman"/>
                <w:color w:val="auto"/>
                <w:szCs w:val="21"/>
              </w:rPr>
            </w:pPr>
            <w:r>
              <w:rPr>
                <w:rFonts w:hint="eastAsia"/>
                <w:color w:val="auto"/>
              </w:rPr>
              <w:t>65</w:t>
            </w:r>
          </w:p>
        </w:tc>
        <w:tc>
          <w:tcPr>
            <w:tcW w:w="500" w:type="pct"/>
            <w:noWrap w:val="0"/>
            <w:vAlign w:val="center"/>
          </w:tcPr>
          <w:p>
            <w:pPr>
              <w:pStyle w:val="47"/>
              <w:ind w:firstLine="0" w:firstLineChars="0"/>
              <w:rPr>
                <w:rFonts w:hint="default" w:ascii="Times New Roman" w:hAnsi="Times New Roman" w:cs="Times New Roman"/>
                <w:color w:val="auto"/>
                <w:szCs w:val="21"/>
              </w:rPr>
            </w:pPr>
            <w:r>
              <w:rPr>
                <w:color w:val="auto"/>
              </w:rPr>
              <w:t>密闭车间、隔声、减振</w:t>
            </w:r>
          </w:p>
        </w:tc>
        <w:tc>
          <w:tcPr>
            <w:tcW w:w="500" w:type="pct"/>
            <w:noWrap w:val="0"/>
            <w:vAlign w:val="center"/>
          </w:tcPr>
          <w:p>
            <w:pPr>
              <w:pStyle w:val="75"/>
              <w:ind w:firstLine="0" w:firstLineChars="0"/>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20</w:t>
            </w:r>
          </w:p>
        </w:tc>
        <w:tc>
          <w:tcPr>
            <w:tcW w:w="929" w:type="dxa"/>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类比法</w:t>
            </w:r>
          </w:p>
        </w:tc>
        <w:tc>
          <w:tcPr>
            <w:tcW w:w="929" w:type="dxa"/>
            <w:noWrap w:val="0"/>
            <w:vAlign w:val="center"/>
          </w:tcPr>
          <w:p>
            <w:pPr>
              <w:pStyle w:val="47"/>
              <w:ind w:firstLine="0" w:firstLineChars="0"/>
              <w:rPr>
                <w:rFonts w:hint="default" w:ascii="Times New Roman" w:hAnsi="Times New Roman" w:eastAsia="宋体" w:cs="Times New Roman"/>
                <w:color w:val="auto"/>
              </w:rPr>
            </w:pPr>
            <w:r>
              <w:rPr>
                <w:rFonts w:hint="eastAsia" w:ascii="Times New Roman" w:hAnsi="Times New Roman" w:eastAsia="宋体" w:cs="Times New Roman"/>
                <w:color w:val="auto"/>
                <w:lang w:val="en-US" w:eastAsia="zh-CN"/>
              </w:rPr>
              <w:t>45</w:t>
            </w:r>
          </w:p>
        </w:tc>
        <w:tc>
          <w:tcPr>
            <w:tcW w:w="929" w:type="dxa"/>
            <w:noWrap w:val="0"/>
            <w:vAlign w:val="center"/>
          </w:tcPr>
          <w:p>
            <w:pPr>
              <w:pStyle w:val="75"/>
              <w:ind w:firstLine="0" w:firstLineChars="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rPr>
              <w:t>7200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7" w:type="pct"/>
            <w:vMerge w:val="restart"/>
            <w:noWrap w:val="0"/>
            <w:vAlign w:val="center"/>
          </w:tcPr>
          <w:p>
            <w:pPr>
              <w:pStyle w:val="75"/>
              <w:rPr>
                <w:rFonts w:hint="default" w:ascii="Times New Roman" w:hAnsi="Times New Roman" w:cs="Times New Roman"/>
                <w:color w:val="auto"/>
                <w:szCs w:val="21"/>
              </w:rPr>
            </w:pPr>
            <w:r>
              <w:rPr>
                <w:color w:val="auto"/>
              </w:rPr>
              <w:t>循环冷却系统</w:t>
            </w:r>
          </w:p>
        </w:tc>
        <w:tc>
          <w:tcPr>
            <w:tcW w:w="609" w:type="pct"/>
            <w:noWrap w:val="0"/>
            <w:vAlign w:val="center"/>
          </w:tcPr>
          <w:p>
            <w:pPr>
              <w:pStyle w:val="47"/>
              <w:ind w:firstLine="0" w:firstLineChars="0"/>
              <w:rPr>
                <w:rFonts w:hint="default" w:ascii="Times New Roman" w:hAnsi="Times New Roman" w:cs="Times New Roman"/>
                <w:color w:val="auto"/>
                <w:szCs w:val="21"/>
                <w:lang w:val="en-US" w:eastAsia="zh-CN"/>
              </w:rPr>
            </w:pPr>
            <w:r>
              <w:rPr>
                <w:color w:val="auto"/>
              </w:rPr>
              <w:t>冷却塔</w:t>
            </w:r>
          </w:p>
        </w:tc>
        <w:tc>
          <w:tcPr>
            <w:tcW w:w="389" w:type="pct"/>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频发</w:t>
            </w:r>
          </w:p>
        </w:tc>
        <w:tc>
          <w:tcPr>
            <w:tcW w:w="500" w:type="pct"/>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类比法</w:t>
            </w:r>
          </w:p>
        </w:tc>
        <w:tc>
          <w:tcPr>
            <w:tcW w:w="500" w:type="pct"/>
            <w:noWrap w:val="0"/>
            <w:vAlign w:val="center"/>
          </w:tcPr>
          <w:p>
            <w:pPr>
              <w:pStyle w:val="47"/>
              <w:ind w:firstLine="0" w:firstLineChars="0"/>
              <w:rPr>
                <w:rFonts w:hint="default" w:ascii="Times New Roman" w:hAnsi="Times New Roman" w:cs="Times New Roman"/>
                <w:color w:val="auto"/>
                <w:szCs w:val="21"/>
              </w:rPr>
            </w:pPr>
            <w:r>
              <w:rPr>
                <w:rFonts w:hint="eastAsia"/>
                <w:color w:val="auto"/>
              </w:rPr>
              <w:t>80</w:t>
            </w:r>
          </w:p>
        </w:tc>
        <w:tc>
          <w:tcPr>
            <w:tcW w:w="500" w:type="pct"/>
            <w:noWrap w:val="0"/>
            <w:vAlign w:val="center"/>
          </w:tcPr>
          <w:p>
            <w:pPr>
              <w:pStyle w:val="47"/>
              <w:ind w:firstLine="0" w:firstLineChars="0"/>
              <w:rPr>
                <w:rFonts w:hint="default" w:ascii="Times New Roman" w:hAnsi="Times New Roman" w:cs="Times New Roman"/>
                <w:color w:val="auto"/>
                <w:szCs w:val="21"/>
              </w:rPr>
            </w:pPr>
            <w:r>
              <w:rPr>
                <w:color w:val="auto"/>
              </w:rPr>
              <w:t>隔声、减振</w:t>
            </w:r>
          </w:p>
        </w:tc>
        <w:tc>
          <w:tcPr>
            <w:tcW w:w="500" w:type="pct"/>
            <w:noWrap w:val="0"/>
            <w:vAlign w:val="center"/>
          </w:tcPr>
          <w:p>
            <w:pPr>
              <w:pStyle w:val="75"/>
              <w:ind w:firstLine="0" w:firstLineChars="0"/>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20</w:t>
            </w:r>
          </w:p>
        </w:tc>
        <w:tc>
          <w:tcPr>
            <w:tcW w:w="929" w:type="dxa"/>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类比法</w:t>
            </w:r>
          </w:p>
        </w:tc>
        <w:tc>
          <w:tcPr>
            <w:tcW w:w="929" w:type="dxa"/>
            <w:noWrap w:val="0"/>
            <w:vAlign w:val="center"/>
          </w:tcPr>
          <w:p>
            <w:pPr>
              <w:pStyle w:val="47"/>
              <w:ind w:firstLine="0" w:firstLineChars="0"/>
              <w:rPr>
                <w:rFonts w:hint="default" w:ascii="Times New Roman" w:hAnsi="Times New Roman" w:eastAsia="宋体" w:cs="Times New Roman"/>
                <w:color w:val="auto"/>
              </w:rPr>
            </w:pPr>
            <w:r>
              <w:rPr>
                <w:rFonts w:hint="eastAsia" w:ascii="Times New Roman" w:hAnsi="Times New Roman" w:eastAsia="宋体" w:cs="Times New Roman"/>
                <w:color w:val="auto"/>
                <w:lang w:val="en-US" w:eastAsia="zh-CN"/>
              </w:rPr>
              <w:t>60</w:t>
            </w:r>
          </w:p>
        </w:tc>
        <w:tc>
          <w:tcPr>
            <w:tcW w:w="929" w:type="dxa"/>
            <w:noWrap w:val="0"/>
            <w:vAlign w:val="center"/>
          </w:tcPr>
          <w:p>
            <w:pPr>
              <w:pStyle w:val="75"/>
              <w:ind w:firstLine="0" w:firstLineChars="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7200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7" w:type="pct"/>
            <w:vMerge w:val="continue"/>
            <w:noWrap w:val="0"/>
            <w:vAlign w:val="center"/>
          </w:tcPr>
          <w:p>
            <w:pPr>
              <w:pStyle w:val="75"/>
              <w:rPr>
                <w:rFonts w:hint="default" w:ascii="Times New Roman" w:hAnsi="Times New Roman" w:cs="Times New Roman"/>
                <w:color w:val="auto"/>
                <w:szCs w:val="21"/>
              </w:rPr>
            </w:pPr>
          </w:p>
        </w:tc>
        <w:tc>
          <w:tcPr>
            <w:tcW w:w="609" w:type="pct"/>
            <w:noWrap w:val="0"/>
            <w:vAlign w:val="center"/>
          </w:tcPr>
          <w:p>
            <w:pPr>
              <w:pStyle w:val="47"/>
              <w:ind w:firstLine="0" w:firstLineChars="0"/>
              <w:rPr>
                <w:rFonts w:hint="default" w:ascii="Times New Roman" w:hAnsi="Times New Roman" w:cs="Times New Roman"/>
                <w:color w:val="auto"/>
                <w:szCs w:val="21"/>
                <w:lang w:val="en-US" w:eastAsia="zh-CN"/>
              </w:rPr>
            </w:pPr>
            <w:r>
              <w:rPr>
                <w:color w:val="auto"/>
              </w:rPr>
              <w:t>泵类</w:t>
            </w:r>
          </w:p>
        </w:tc>
        <w:tc>
          <w:tcPr>
            <w:tcW w:w="389" w:type="pct"/>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频发</w:t>
            </w:r>
          </w:p>
        </w:tc>
        <w:tc>
          <w:tcPr>
            <w:tcW w:w="500" w:type="pct"/>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类比法</w:t>
            </w:r>
          </w:p>
        </w:tc>
        <w:tc>
          <w:tcPr>
            <w:tcW w:w="500" w:type="pct"/>
            <w:noWrap w:val="0"/>
            <w:vAlign w:val="center"/>
          </w:tcPr>
          <w:p>
            <w:pPr>
              <w:pStyle w:val="47"/>
              <w:ind w:firstLine="0" w:firstLineChars="0"/>
              <w:rPr>
                <w:rFonts w:hint="default" w:ascii="Times New Roman" w:hAnsi="Times New Roman" w:cs="Times New Roman"/>
                <w:color w:val="auto"/>
                <w:szCs w:val="21"/>
              </w:rPr>
            </w:pPr>
            <w:r>
              <w:rPr>
                <w:color w:val="auto"/>
              </w:rPr>
              <w:t>70</w:t>
            </w:r>
          </w:p>
        </w:tc>
        <w:tc>
          <w:tcPr>
            <w:tcW w:w="500" w:type="pct"/>
            <w:noWrap w:val="0"/>
            <w:vAlign w:val="center"/>
          </w:tcPr>
          <w:p>
            <w:pPr>
              <w:pStyle w:val="47"/>
              <w:ind w:firstLine="0" w:firstLineChars="0"/>
              <w:rPr>
                <w:rFonts w:hint="default" w:ascii="Times New Roman" w:hAnsi="Times New Roman" w:cs="Times New Roman"/>
                <w:color w:val="auto"/>
                <w:szCs w:val="21"/>
              </w:rPr>
            </w:pPr>
            <w:r>
              <w:rPr>
                <w:color w:val="auto"/>
              </w:rPr>
              <w:t>隔声、减振</w:t>
            </w:r>
          </w:p>
        </w:tc>
        <w:tc>
          <w:tcPr>
            <w:tcW w:w="500" w:type="pct"/>
            <w:noWrap w:val="0"/>
            <w:vAlign w:val="center"/>
          </w:tcPr>
          <w:p>
            <w:pPr>
              <w:pStyle w:val="75"/>
              <w:ind w:firstLine="0" w:firstLineChars="0"/>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20</w:t>
            </w:r>
          </w:p>
        </w:tc>
        <w:tc>
          <w:tcPr>
            <w:tcW w:w="929" w:type="dxa"/>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类比法</w:t>
            </w:r>
          </w:p>
        </w:tc>
        <w:tc>
          <w:tcPr>
            <w:tcW w:w="929" w:type="dxa"/>
            <w:noWrap w:val="0"/>
            <w:vAlign w:val="center"/>
          </w:tcPr>
          <w:p>
            <w:pPr>
              <w:pStyle w:val="47"/>
              <w:ind w:firstLine="0" w:firstLineChars="0"/>
              <w:rPr>
                <w:rFonts w:hint="default" w:ascii="Times New Roman" w:hAnsi="Times New Roman" w:eastAsia="宋体" w:cs="Times New Roman"/>
                <w:color w:val="auto"/>
              </w:rPr>
            </w:pPr>
            <w:r>
              <w:rPr>
                <w:rFonts w:hint="eastAsia" w:ascii="Times New Roman" w:hAnsi="Times New Roman" w:eastAsia="宋体" w:cs="Times New Roman"/>
                <w:color w:val="auto"/>
                <w:lang w:val="en-US" w:eastAsia="zh-CN"/>
              </w:rPr>
              <w:t>50</w:t>
            </w:r>
          </w:p>
        </w:tc>
        <w:tc>
          <w:tcPr>
            <w:tcW w:w="929" w:type="dxa"/>
            <w:noWrap w:val="0"/>
            <w:vAlign w:val="center"/>
          </w:tcPr>
          <w:p>
            <w:pPr>
              <w:pStyle w:val="75"/>
              <w:ind w:firstLine="0" w:firstLineChars="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rPr>
              <w:t>7200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7" w:type="pct"/>
            <w:noWrap w:val="0"/>
            <w:vAlign w:val="center"/>
          </w:tcPr>
          <w:p>
            <w:pPr>
              <w:pStyle w:val="75"/>
              <w:rPr>
                <w:rFonts w:hint="default" w:ascii="Times New Roman" w:hAnsi="Times New Roman" w:cs="Times New Roman"/>
                <w:color w:val="auto"/>
                <w:szCs w:val="21"/>
              </w:rPr>
            </w:pPr>
            <w:r>
              <w:rPr>
                <w:color w:val="auto"/>
              </w:rPr>
              <w:t>废气治理装置</w:t>
            </w:r>
          </w:p>
        </w:tc>
        <w:tc>
          <w:tcPr>
            <w:tcW w:w="609" w:type="pct"/>
            <w:noWrap w:val="0"/>
            <w:vAlign w:val="center"/>
          </w:tcPr>
          <w:p>
            <w:pPr>
              <w:pStyle w:val="47"/>
              <w:ind w:firstLine="0" w:firstLineChars="0"/>
              <w:rPr>
                <w:rFonts w:hint="default" w:ascii="Times New Roman" w:hAnsi="Times New Roman" w:cs="Times New Roman"/>
                <w:color w:val="auto"/>
                <w:szCs w:val="21"/>
                <w:lang w:val="en-US" w:eastAsia="zh-CN"/>
              </w:rPr>
            </w:pPr>
            <w:r>
              <w:rPr>
                <w:color w:val="auto"/>
              </w:rPr>
              <w:t>风机</w:t>
            </w:r>
          </w:p>
        </w:tc>
        <w:tc>
          <w:tcPr>
            <w:tcW w:w="389" w:type="pct"/>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频发</w:t>
            </w:r>
          </w:p>
        </w:tc>
        <w:tc>
          <w:tcPr>
            <w:tcW w:w="500" w:type="pct"/>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类比法</w:t>
            </w:r>
          </w:p>
        </w:tc>
        <w:tc>
          <w:tcPr>
            <w:tcW w:w="500" w:type="pct"/>
            <w:noWrap w:val="0"/>
            <w:vAlign w:val="center"/>
          </w:tcPr>
          <w:p>
            <w:pPr>
              <w:pStyle w:val="47"/>
              <w:ind w:firstLine="0" w:firstLineChars="0"/>
              <w:rPr>
                <w:rFonts w:hint="default" w:ascii="Times New Roman" w:hAnsi="Times New Roman" w:cs="Times New Roman"/>
                <w:color w:val="auto"/>
                <w:szCs w:val="21"/>
              </w:rPr>
            </w:pPr>
            <w:r>
              <w:rPr>
                <w:rFonts w:hint="eastAsia"/>
                <w:color w:val="auto"/>
              </w:rPr>
              <w:t>85</w:t>
            </w:r>
          </w:p>
        </w:tc>
        <w:tc>
          <w:tcPr>
            <w:tcW w:w="500" w:type="pct"/>
            <w:noWrap w:val="0"/>
            <w:vAlign w:val="center"/>
          </w:tcPr>
          <w:p>
            <w:pPr>
              <w:pStyle w:val="47"/>
              <w:ind w:firstLine="0" w:firstLineChars="0"/>
              <w:rPr>
                <w:rFonts w:hint="default" w:ascii="Times New Roman" w:hAnsi="Times New Roman" w:cs="Times New Roman"/>
                <w:color w:val="auto"/>
                <w:szCs w:val="21"/>
              </w:rPr>
            </w:pPr>
            <w:r>
              <w:rPr>
                <w:color w:val="auto"/>
              </w:rPr>
              <w:t>消音、减振</w:t>
            </w:r>
          </w:p>
        </w:tc>
        <w:tc>
          <w:tcPr>
            <w:tcW w:w="500" w:type="pct"/>
            <w:noWrap w:val="0"/>
            <w:vAlign w:val="center"/>
          </w:tcPr>
          <w:p>
            <w:pPr>
              <w:pStyle w:val="75"/>
              <w:ind w:firstLine="0" w:firstLineChars="0"/>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25</w:t>
            </w:r>
          </w:p>
        </w:tc>
        <w:tc>
          <w:tcPr>
            <w:tcW w:w="929" w:type="dxa"/>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类比法</w:t>
            </w:r>
          </w:p>
        </w:tc>
        <w:tc>
          <w:tcPr>
            <w:tcW w:w="929" w:type="dxa"/>
            <w:noWrap w:val="0"/>
            <w:vAlign w:val="center"/>
          </w:tcPr>
          <w:p>
            <w:pPr>
              <w:pStyle w:val="47"/>
              <w:ind w:firstLine="0" w:firstLineChars="0"/>
              <w:rPr>
                <w:rFonts w:hint="default" w:ascii="Times New Roman" w:hAnsi="Times New Roman" w:eastAsia="宋体" w:cs="Times New Roman"/>
                <w:color w:val="auto"/>
              </w:rPr>
            </w:pPr>
            <w:r>
              <w:rPr>
                <w:rFonts w:hint="eastAsia" w:ascii="Times New Roman" w:hAnsi="Times New Roman" w:eastAsia="宋体" w:cs="Times New Roman"/>
                <w:color w:val="auto"/>
                <w:lang w:val="en-US" w:eastAsia="zh-CN"/>
              </w:rPr>
              <w:t>60</w:t>
            </w:r>
          </w:p>
        </w:tc>
        <w:tc>
          <w:tcPr>
            <w:tcW w:w="929" w:type="dxa"/>
            <w:noWrap w:val="0"/>
            <w:vAlign w:val="center"/>
          </w:tcPr>
          <w:p>
            <w:pPr>
              <w:pStyle w:val="75"/>
              <w:ind w:firstLine="0" w:firstLineChars="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7200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7" w:type="pct"/>
            <w:vMerge w:val="restart"/>
            <w:noWrap w:val="0"/>
            <w:vAlign w:val="center"/>
          </w:tcPr>
          <w:p>
            <w:pPr>
              <w:pStyle w:val="75"/>
              <w:rPr>
                <w:rFonts w:hint="default" w:ascii="Times New Roman" w:hAnsi="Times New Roman" w:cs="Times New Roman"/>
                <w:color w:val="auto"/>
                <w:szCs w:val="21"/>
              </w:rPr>
            </w:pPr>
            <w:r>
              <w:rPr>
                <w:rFonts w:hint="eastAsia"/>
                <w:color w:val="auto"/>
                <w:lang w:val="en-US" w:eastAsia="zh-CN"/>
              </w:rPr>
              <w:t>污水处理站</w:t>
            </w:r>
          </w:p>
        </w:tc>
        <w:tc>
          <w:tcPr>
            <w:tcW w:w="609" w:type="pct"/>
            <w:noWrap w:val="0"/>
            <w:vAlign w:val="center"/>
          </w:tcPr>
          <w:p>
            <w:pPr>
              <w:pStyle w:val="47"/>
              <w:ind w:firstLine="0" w:firstLineChars="0"/>
              <w:rPr>
                <w:rFonts w:hint="default" w:ascii="Times New Roman" w:hAnsi="Times New Roman" w:cs="Times New Roman"/>
                <w:color w:val="auto"/>
                <w:szCs w:val="21"/>
                <w:lang w:val="en-US" w:eastAsia="zh-CN"/>
              </w:rPr>
            </w:pPr>
            <w:r>
              <w:rPr>
                <w:rFonts w:hint="eastAsia"/>
                <w:color w:val="auto"/>
                <w:lang w:val="en-US" w:eastAsia="zh-CN"/>
              </w:rPr>
              <w:t>泵类</w:t>
            </w:r>
          </w:p>
        </w:tc>
        <w:tc>
          <w:tcPr>
            <w:tcW w:w="389" w:type="pct"/>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频发</w:t>
            </w:r>
          </w:p>
        </w:tc>
        <w:tc>
          <w:tcPr>
            <w:tcW w:w="500" w:type="pct"/>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类比法</w:t>
            </w:r>
          </w:p>
        </w:tc>
        <w:tc>
          <w:tcPr>
            <w:tcW w:w="500" w:type="pct"/>
            <w:noWrap w:val="0"/>
            <w:vAlign w:val="center"/>
          </w:tcPr>
          <w:p>
            <w:pPr>
              <w:pStyle w:val="47"/>
              <w:ind w:firstLine="0" w:firstLineChars="0"/>
              <w:rPr>
                <w:rFonts w:hint="default" w:ascii="Times New Roman" w:hAnsi="Times New Roman" w:cs="Times New Roman"/>
                <w:color w:val="auto"/>
                <w:szCs w:val="21"/>
              </w:rPr>
            </w:pPr>
            <w:r>
              <w:rPr>
                <w:rFonts w:hint="eastAsia"/>
                <w:color w:val="auto"/>
                <w:lang w:val="en-US" w:eastAsia="zh-CN"/>
              </w:rPr>
              <w:t>85</w:t>
            </w:r>
          </w:p>
        </w:tc>
        <w:tc>
          <w:tcPr>
            <w:tcW w:w="500" w:type="pct"/>
            <w:noWrap w:val="0"/>
            <w:vAlign w:val="center"/>
          </w:tcPr>
          <w:p>
            <w:pPr>
              <w:pStyle w:val="47"/>
              <w:ind w:firstLine="0" w:firstLineChars="0"/>
              <w:rPr>
                <w:rFonts w:hint="default" w:ascii="Times New Roman" w:hAnsi="Times New Roman" w:cs="Times New Roman"/>
                <w:color w:val="auto"/>
                <w:szCs w:val="21"/>
              </w:rPr>
            </w:pPr>
            <w:r>
              <w:rPr>
                <w:color w:val="auto"/>
              </w:rPr>
              <w:t>隔声、减振</w:t>
            </w:r>
          </w:p>
        </w:tc>
        <w:tc>
          <w:tcPr>
            <w:tcW w:w="500" w:type="pct"/>
            <w:noWrap w:val="0"/>
            <w:vAlign w:val="center"/>
          </w:tcPr>
          <w:p>
            <w:pPr>
              <w:pStyle w:val="75"/>
              <w:ind w:firstLine="0" w:firstLineChars="0"/>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20</w:t>
            </w:r>
          </w:p>
        </w:tc>
        <w:tc>
          <w:tcPr>
            <w:tcW w:w="929" w:type="dxa"/>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类比法</w:t>
            </w:r>
          </w:p>
        </w:tc>
        <w:tc>
          <w:tcPr>
            <w:tcW w:w="929" w:type="dxa"/>
            <w:noWrap w:val="0"/>
            <w:vAlign w:val="center"/>
          </w:tcPr>
          <w:p>
            <w:pPr>
              <w:pStyle w:val="47"/>
              <w:ind w:firstLine="0" w:firstLineChars="0"/>
              <w:rPr>
                <w:rFonts w:hint="default" w:ascii="Times New Roman" w:hAnsi="Times New Roman" w:eastAsia="宋体" w:cs="Times New Roman"/>
                <w:color w:val="auto"/>
              </w:rPr>
            </w:pPr>
            <w:r>
              <w:rPr>
                <w:rFonts w:hint="eastAsia" w:ascii="Times New Roman" w:hAnsi="Times New Roman" w:eastAsia="宋体" w:cs="Times New Roman"/>
                <w:color w:val="auto"/>
                <w:lang w:val="en-US" w:eastAsia="zh-CN"/>
              </w:rPr>
              <w:t>65</w:t>
            </w:r>
          </w:p>
        </w:tc>
        <w:tc>
          <w:tcPr>
            <w:tcW w:w="929" w:type="dxa"/>
            <w:noWrap w:val="0"/>
            <w:vAlign w:val="center"/>
          </w:tcPr>
          <w:p>
            <w:pPr>
              <w:pStyle w:val="75"/>
              <w:ind w:firstLine="0" w:firstLineChars="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rPr>
              <w:t>7200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7" w:type="pct"/>
            <w:vMerge w:val="continue"/>
            <w:noWrap w:val="0"/>
            <w:vAlign w:val="center"/>
          </w:tcPr>
          <w:p>
            <w:pPr>
              <w:pStyle w:val="75"/>
              <w:rPr>
                <w:rFonts w:hint="default" w:ascii="Times New Roman" w:hAnsi="Times New Roman" w:cs="Times New Roman"/>
                <w:color w:val="auto"/>
                <w:szCs w:val="21"/>
              </w:rPr>
            </w:pPr>
          </w:p>
        </w:tc>
        <w:tc>
          <w:tcPr>
            <w:tcW w:w="609" w:type="pct"/>
            <w:noWrap w:val="0"/>
            <w:vAlign w:val="center"/>
          </w:tcPr>
          <w:p>
            <w:pPr>
              <w:pStyle w:val="47"/>
              <w:ind w:firstLine="0" w:firstLineChars="0"/>
              <w:rPr>
                <w:rFonts w:hint="default" w:ascii="Times New Roman" w:hAnsi="Times New Roman" w:cs="Times New Roman"/>
                <w:color w:val="auto"/>
                <w:szCs w:val="21"/>
                <w:lang w:val="en-US" w:eastAsia="zh-CN"/>
              </w:rPr>
            </w:pPr>
            <w:r>
              <w:rPr>
                <w:rFonts w:hint="eastAsia"/>
                <w:color w:val="auto"/>
                <w:lang w:val="en-US" w:eastAsia="zh-CN"/>
              </w:rPr>
              <w:t>搅拌机</w:t>
            </w:r>
          </w:p>
        </w:tc>
        <w:tc>
          <w:tcPr>
            <w:tcW w:w="389" w:type="pct"/>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频发</w:t>
            </w:r>
          </w:p>
        </w:tc>
        <w:tc>
          <w:tcPr>
            <w:tcW w:w="500" w:type="pct"/>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类比法</w:t>
            </w:r>
          </w:p>
        </w:tc>
        <w:tc>
          <w:tcPr>
            <w:tcW w:w="500" w:type="pct"/>
            <w:noWrap w:val="0"/>
            <w:vAlign w:val="center"/>
          </w:tcPr>
          <w:p>
            <w:pPr>
              <w:pStyle w:val="47"/>
              <w:ind w:firstLine="0" w:firstLineChars="0"/>
              <w:rPr>
                <w:rFonts w:hint="default" w:ascii="Times New Roman" w:hAnsi="Times New Roman" w:cs="Times New Roman"/>
                <w:color w:val="auto"/>
                <w:szCs w:val="21"/>
              </w:rPr>
            </w:pPr>
            <w:r>
              <w:rPr>
                <w:rFonts w:hint="eastAsia"/>
                <w:color w:val="auto"/>
                <w:lang w:val="en-US" w:eastAsia="zh-CN"/>
              </w:rPr>
              <w:t>75</w:t>
            </w:r>
          </w:p>
        </w:tc>
        <w:tc>
          <w:tcPr>
            <w:tcW w:w="500" w:type="pct"/>
            <w:noWrap w:val="0"/>
            <w:vAlign w:val="center"/>
          </w:tcPr>
          <w:p>
            <w:pPr>
              <w:pStyle w:val="47"/>
              <w:ind w:firstLine="0" w:firstLineChars="0"/>
              <w:rPr>
                <w:rFonts w:hint="default" w:ascii="Times New Roman" w:hAnsi="Times New Roman" w:cs="Times New Roman"/>
                <w:color w:val="auto"/>
                <w:szCs w:val="21"/>
              </w:rPr>
            </w:pPr>
            <w:r>
              <w:rPr>
                <w:color w:val="auto"/>
              </w:rPr>
              <w:t>隔声、减振</w:t>
            </w:r>
          </w:p>
        </w:tc>
        <w:tc>
          <w:tcPr>
            <w:tcW w:w="500" w:type="pct"/>
            <w:noWrap w:val="0"/>
            <w:vAlign w:val="center"/>
          </w:tcPr>
          <w:p>
            <w:pPr>
              <w:pStyle w:val="75"/>
              <w:ind w:firstLine="0" w:firstLineChars="0"/>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20</w:t>
            </w:r>
          </w:p>
        </w:tc>
        <w:tc>
          <w:tcPr>
            <w:tcW w:w="929" w:type="dxa"/>
            <w:noWrap w:val="0"/>
            <w:vAlign w:val="center"/>
          </w:tcPr>
          <w:p>
            <w:pPr>
              <w:pStyle w:val="75"/>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类比法</w:t>
            </w:r>
          </w:p>
        </w:tc>
        <w:tc>
          <w:tcPr>
            <w:tcW w:w="929" w:type="dxa"/>
            <w:noWrap w:val="0"/>
            <w:vAlign w:val="center"/>
          </w:tcPr>
          <w:p>
            <w:pPr>
              <w:pStyle w:val="47"/>
              <w:ind w:firstLine="0" w:firstLineChars="0"/>
              <w:rPr>
                <w:rFonts w:hint="default" w:ascii="Times New Roman" w:hAnsi="Times New Roman" w:eastAsia="宋体" w:cs="Times New Roman"/>
                <w:color w:val="auto"/>
              </w:rPr>
            </w:pPr>
            <w:r>
              <w:rPr>
                <w:rFonts w:hint="eastAsia" w:ascii="Times New Roman" w:hAnsi="Times New Roman" w:eastAsia="宋体" w:cs="Times New Roman"/>
                <w:color w:val="auto"/>
                <w:lang w:val="en-US" w:eastAsia="zh-CN"/>
              </w:rPr>
              <w:t>55</w:t>
            </w:r>
          </w:p>
        </w:tc>
        <w:tc>
          <w:tcPr>
            <w:tcW w:w="929" w:type="dxa"/>
            <w:noWrap w:val="0"/>
            <w:vAlign w:val="center"/>
          </w:tcPr>
          <w:p>
            <w:pPr>
              <w:pStyle w:val="75"/>
              <w:ind w:firstLine="0" w:firstLineChars="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7200</w:t>
            </w:r>
          </w:p>
        </w:tc>
      </w:tr>
    </w:tbl>
    <w:p>
      <w:pPr>
        <w:ind w:firstLine="480"/>
        <w:rPr>
          <w:color w:val="auto"/>
        </w:rPr>
      </w:pPr>
      <w:r>
        <w:rPr>
          <w:rFonts w:hint="eastAsia"/>
          <w:color w:val="auto"/>
        </w:rPr>
        <w:t>拟建项目</w:t>
      </w:r>
      <w:r>
        <w:rPr>
          <w:color w:val="auto"/>
        </w:rPr>
        <w:t>设备取降噪措施后，预计厂界噪声能够满足《工业企业厂界环境噪声排放标准》（GB12348-2008）</w:t>
      </w:r>
      <w:r>
        <w:rPr>
          <w:rFonts w:hint="eastAsia"/>
          <w:color w:val="auto"/>
          <w:lang w:eastAsia="zh-CN"/>
        </w:rPr>
        <w:t>2类标准</w:t>
      </w:r>
      <w:r>
        <w:rPr>
          <w:color w:val="auto"/>
        </w:rPr>
        <w:t>要求。</w:t>
      </w:r>
    </w:p>
    <w:p>
      <w:pPr>
        <w:snapToGrid w:val="0"/>
        <w:ind w:firstLine="480"/>
        <w:jc w:val="left"/>
        <w:rPr>
          <w:color w:val="auto"/>
        </w:rPr>
      </w:pPr>
      <w:r>
        <w:rPr>
          <w:color w:val="auto"/>
        </w:rPr>
        <w:t>2、噪声污染防治措施</w:t>
      </w:r>
    </w:p>
    <w:p>
      <w:pPr>
        <w:snapToGrid w:val="0"/>
        <w:ind w:firstLine="480"/>
        <w:jc w:val="left"/>
        <w:rPr>
          <w:color w:val="auto"/>
        </w:rPr>
      </w:pPr>
      <w:r>
        <w:rPr>
          <w:color w:val="auto"/>
        </w:rPr>
        <w:t>利用隔声、吸声、共振等声学原理，利用外隔、内吸以及安装消声器等方法进行综合治理，使受其影响的厂界噪声得到有效控制。</w:t>
      </w:r>
    </w:p>
    <w:p>
      <w:pPr>
        <w:snapToGrid w:val="0"/>
        <w:ind w:firstLine="480"/>
        <w:jc w:val="left"/>
        <w:rPr>
          <w:color w:val="auto"/>
        </w:rPr>
      </w:pPr>
      <w:r>
        <w:rPr>
          <w:color w:val="auto"/>
        </w:rPr>
        <w:t>首先，在采购设备时要求厂家制造的设备噪声值必须小于设计标准值。在设备安装时完全按照安装要求进行，避免设备的重心偏移和安装间隙，减少不必要的噪声。</w:t>
      </w:r>
    </w:p>
    <w:p>
      <w:pPr>
        <w:snapToGrid w:val="0"/>
        <w:ind w:firstLine="480"/>
        <w:jc w:val="left"/>
        <w:rPr>
          <w:color w:val="auto"/>
        </w:rPr>
      </w:pPr>
      <w:r>
        <w:rPr>
          <w:color w:val="auto"/>
        </w:rPr>
        <w:t>其次，对于设备因运行产生的噪声，根据噪声的性质，进行如下处理：</w:t>
      </w:r>
    </w:p>
    <w:p>
      <w:pPr>
        <w:snapToGrid w:val="0"/>
        <w:ind w:firstLine="480"/>
        <w:jc w:val="left"/>
        <w:rPr>
          <w:color w:val="auto"/>
        </w:rPr>
      </w:pPr>
      <w:r>
        <w:rPr>
          <w:color w:val="auto"/>
        </w:rPr>
        <w:t>⑴空气动力性噪声：空气动力性噪声可以通过安装消声器来消除。</w:t>
      </w:r>
    </w:p>
    <w:p>
      <w:pPr>
        <w:snapToGrid w:val="0"/>
        <w:ind w:firstLine="480"/>
        <w:jc w:val="left"/>
        <w:rPr>
          <w:color w:val="auto"/>
        </w:rPr>
      </w:pPr>
      <w:r>
        <w:rPr>
          <w:color w:val="auto"/>
        </w:rPr>
        <w:t>⑵机械噪声：对设备产生的机械噪声，可以采用建隔声室或隔声罩进行控制。</w:t>
      </w:r>
    </w:p>
    <w:p>
      <w:pPr>
        <w:snapToGrid w:val="0"/>
        <w:ind w:firstLine="480"/>
        <w:jc w:val="left"/>
        <w:rPr>
          <w:color w:val="auto"/>
        </w:rPr>
      </w:pPr>
      <w:r>
        <w:rPr>
          <w:color w:val="auto"/>
        </w:rPr>
        <w:t>⑶振动辐射噪声：对设备采用柔性连接代替机器与基座之间的钢性连接，可以减少基础振动辐射的固体声和电动机噪声。</w:t>
      </w:r>
    </w:p>
    <w:p>
      <w:pPr>
        <w:pStyle w:val="55"/>
        <w:spacing w:line="360" w:lineRule="auto"/>
        <w:ind w:firstLine="0" w:firstLineChars="0"/>
        <w:outlineLvl w:val="2"/>
        <w:rPr>
          <w:rStyle w:val="53"/>
          <w:rFonts w:cs="Times New Roman"/>
          <w:color w:val="auto"/>
        </w:rPr>
      </w:pPr>
      <w:r>
        <w:rPr>
          <w:rStyle w:val="53"/>
          <w:rFonts w:hint="eastAsia" w:cs="Times New Roman"/>
          <w:color w:val="auto"/>
        </w:rPr>
        <w:t>2.5</w:t>
      </w:r>
      <w:r>
        <w:rPr>
          <w:rStyle w:val="53"/>
          <w:rFonts w:cs="Times New Roman"/>
          <w:color w:val="auto"/>
        </w:rPr>
        <w:t>.5非正常工况污染物排放</w:t>
      </w:r>
    </w:p>
    <w:p>
      <w:pPr>
        <w:pStyle w:val="2"/>
        <w:spacing w:after="0" w:line="360" w:lineRule="auto"/>
        <w:ind w:firstLine="480"/>
        <w:rPr>
          <w:rFonts w:eastAsia="黑体"/>
          <w:b/>
          <w:color w:val="auto"/>
          <w:sz w:val="21"/>
          <w:szCs w:val="21"/>
        </w:rPr>
      </w:pPr>
      <w:r>
        <w:rPr>
          <w:rFonts w:hint="eastAsia"/>
          <w:color w:val="auto"/>
        </w:rPr>
        <w:t>拟建</w:t>
      </w:r>
      <w:r>
        <w:rPr>
          <w:color w:val="auto"/>
        </w:rPr>
        <w:t>项目本次非正常工况考虑生产装置开车，有机废气</w:t>
      </w:r>
      <w:r>
        <w:rPr>
          <w:rFonts w:hint="eastAsia"/>
          <w:color w:val="auto"/>
        </w:rPr>
        <w:t>及颗粒物</w:t>
      </w:r>
      <w:r>
        <w:rPr>
          <w:color w:val="auto"/>
        </w:rPr>
        <w:t>处理设施运行不稳定，处理效率按零计算，非正常工况下污染物排放情况见表</w:t>
      </w:r>
      <w:r>
        <w:rPr>
          <w:rFonts w:hint="eastAsia"/>
          <w:color w:val="auto"/>
        </w:rPr>
        <w:t>2.5</w:t>
      </w:r>
      <w:r>
        <w:rPr>
          <w:color w:val="auto"/>
        </w:rPr>
        <w:t>-</w:t>
      </w:r>
      <w:r>
        <w:rPr>
          <w:rFonts w:hint="eastAsia"/>
          <w:color w:val="auto"/>
        </w:rPr>
        <w:t>19</w:t>
      </w:r>
      <w:r>
        <w:rPr>
          <w:color w:val="auto"/>
        </w:rPr>
        <w:t>。</w:t>
      </w:r>
    </w:p>
    <w:p>
      <w:pPr>
        <w:ind w:firstLine="0" w:firstLineChars="0"/>
        <w:jc w:val="center"/>
        <w:rPr>
          <w:rFonts w:eastAsia="黑体"/>
          <w:b w:val="0"/>
          <w:bCs/>
          <w:color w:val="auto"/>
          <w:sz w:val="21"/>
          <w:szCs w:val="21"/>
        </w:rPr>
      </w:pPr>
      <w:r>
        <w:rPr>
          <w:rFonts w:eastAsia="黑体"/>
          <w:b w:val="0"/>
          <w:bCs/>
          <w:color w:val="auto"/>
          <w:sz w:val="21"/>
          <w:szCs w:val="21"/>
        </w:rPr>
        <w:t>表</w:t>
      </w:r>
      <w:r>
        <w:rPr>
          <w:rFonts w:hint="eastAsia" w:eastAsia="黑体"/>
          <w:b w:val="0"/>
          <w:bCs/>
          <w:color w:val="auto"/>
          <w:sz w:val="21"/>
          <w:szCs w:val="21"/>
        </w:rPr>
        <w:t>2.5-19</w:t>
      </w:r>
      <w:r>
        <w:rPr>
          <w:rFonts w:eastAsia="黑体"/>
          <w:b w:val="0"/>
          <w:bCs/>
          <w:color w:val="auto"/>
          <w:sz w:val="21"/>
          <w:szCs w:val="21"/>
        </w:rPr>
        <w:t xml:space="preserve">  非正常工况下污染物排放情况</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21"/>
        <w:gridCol w:w="1322"/>
        <w:gridCol w:w="1359"/>
        <w:gridCol w:w="1323"/>
        <w:gridCol w:w="1323"/>
        <w:gridCol w:w="1320"/>
        <w:gridCol w:w="132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1" w:type="pct"/>
            <w:vAlign w:val="center"/>
          </w:tcPr>
          <w:p>
            <w:pPr>
              <w:pStyle w:val="2"/>
              <w:spacing w:after="0" w:line="240" w:lineRule="auto"/>
              <w:ind w:firstLine="0" w:firstLineChars="0"/>
              <w:jc w:val="center"/>
              <w:rPr>
                <w:b/>
                <w:color w:val="auto"/>
                <w:sz w:val="21"/>
                <w:szCs w:val="21"/>
              </w:rPr>
            </w:pPr>
            <w:r>
              <w:rPr>
                <w:b/>
                <w:color w:val="auto"/>
                <w:sz w:val="21"/>
                <w:szCs w:val="21"/>
              </w:rPr>
              <w:t>污染物名称</w:t>
            </w:r>
          </w:p>
        </w:tc>
        <w:tc>
          <w:tcPr>
            <w:tcW w:w="711" w:type="pct"/>
            <w:vAlign w:val="center"/>
          </w:tcPr>
          <w:p>
            <w:pPr>
              <w:pStyle w:val="2"/>
              <w:spacing w:after="0" w:line="240" w:lineRule="auto"/>
              <w:ind w:firstLine="0" w:firstLineChars="0"/>
              <w:jc w:val="center"/>
              <w:rPr>
                <w:b/>
                <w:color w:val="auto"/>
                <w:sz w:val="21"/>
                <w:szCs w:val="21"/>
              </w:rPr>
            </w:pPr>
            <w:r>
              <w:rPr>
                <w:b/>
                <w:color w:val="auto"/>
                <w:sz w:val="21"/>
                <w:szCs w:val="21"/>
              </w:rPr>
              <w:t>排放速率</w:t>
            </w:r>
          </w:p>
        </w:tc>
        <w:tc>
          <w:tcPr>
            <w:tcW w:w="731" w:type="pct"/>
            <w:vAlign w:val="center"/>
          </w:tcPr>
          <w:p>
            <w:pPr>
              <w:pStyle w:val="2"/>
              <w:spacing w:after="0" w:line="240" w:lineRule="auto"/>
              <w:ind w:firstLine="0" w:firstLineChars="0"/>
              <w:jc w:val="center"/>
              <w:rPr>
                <w:b/>
                <w:color w:val="auto"/>
                <w:sz w:val="21"/>
                <w:szCs w:val="21"/>
              </w:rPr>
            </w:pPr>
            <w:r>
              <w:rPr>
                <w:b/>
                <w:color w:val="auto"/>
                <w:sz w:val="21"/>
                <w:szCs w:val="21"/>
              </w:rPr>
              <w:t>排放浓度</w:t>
            </w:r>
          </w:p>
        </w:tc>
        <w:tc>
          <w:tcPr>
            <w:tcW w:w="712" w:type="pct"/>
            <w:vAlign w:val="center"/>
          </w:tcPr>
          <w:p>
            <w:pPr>
              <w:pStyle w:val="2"/>
              <w:spacing w:after="0" w:line="240" w:lineRule="auto"/>
              <w:ind w:firstLine="0" w:firstLineChars="0"/>
              <w:jc w:val="center"/>
              <w:rPr>
                <w:b/>
                <w:color w:val="auto"/>
                <w:sz w:val="21"/>
                <w:szCs w:val="21"/>
              </w:rPr>
            </w:pPr>
            <w:r>
              <w:rPr>
                <w:b/>
                <w:color w:val="auto"/>
                <w:sz w:val="21"/>
                <w:szCs w:val="21"/>
              </w:rPr>
              <w:t>发生频次</w:t>
            </w:r>
          </w:p>
        </w:tc>
        <w:tc>
          <w:tcPr>
            <w:tcW w:w="712" w:type="pct"/>
            <w:vAlign w:val="center"/>
          </w:tcPr>
          <w:p>
            <w:pPr>
              <w:pStyle w:val="2"/>
              <w:spacing w:after="0" w:line="240" w:lineRule="auto"/>
              <w:ind w:firstLine="0" w:firstLineChars="0"/>
              <w:jc w:val="center"/>
              <w:rPr>
                <w:b/>
                <w:color w:val="auto"/>
                <w:sz w:val="21"/>
                <w:szCs w:val="21"/>
              </w:rPr>
            </w:pPr>
            <w:r>
              <w:rPr>
                <w:b/>
                <w:color w:val="auto"/>
                <w:sz w:val="21"/>
                <w:szCs w:val="21"/>
              </w:rPr>
              <w:t>持续时间</w:t>
            </w:r>
          </w:p>
        </w:tc>
        <w:tc>
          <w:tcPr>
            <w:tcW w:w="710" w:type="pct"/>
            <w:vAlign w:val="center"/>
          </w:tcPr>
          <w:p>
            <w:pPr>
              <w:pStyle w:val="2"/>
              <w:spacing w:after="0" w:line="240" w:lineRule="auto"/>
              <w:ind w:firstLine="0" w:firstLineChars="0"/>
              <w:jc w:val="center"/>
              <w:rPr>
                <w:b/>
                <w:color w:val="auto"/>
                <w:sz w:val="21"/>
                <w:szCs w:val="21"/>
              </w:rPr>
            </w:pPr>
            <w:r>
              <w:rPr>
                <w:b/>
                <w:color w:val="auto"/>
                <w:sz w:val="21"/>
                <w:szCs w:val="21"/>
              </w:rPr>
              <w:t>浓度标准</w:t>
            </w:r>
          </w:p>
        </w:tc>
        <w:tc>
          <w:tcPr>
            <w:tcW w:w="710" w:type="pct"/>
            <w:vAlign w:val="center"/>
          </w:tcPr>
          <w:p>
            <w:pPr>
              <w:pStyle w:val="2"/>
              <w:spacing w:after="0" w:line="240" w:lineRule="auto"/>
              <w:ind w:firstLine="0" w:firstLineChars="0"/>
              <w:jc w:val="center"/>
              <w:rPr>
                <w:b/>
                <w:color w:val="auto"/>
                <w:sz w:val="21"/>
                <w:szCs w:val="21"/>
              </w:rPr>
            </w:pPr>
            <w:r>
              <w:rPr>
                <w:b/>
                <w:color w:val="auto"/>
                <w:sz w:val="21"/>
                <w:szCs w:val="21"/>
              </w:rP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1" w:type="pct"/>
            <w:vAlign w:val="center"/>
          </w:tcPr>
          <w:p>
            <w:pPr>
              <w:pStyle w:val="2"/>
              <w:spacing w:after="0" w:line="240" w:lineRule="auto"/>
              <w:ind w:firstLine="0" w:firstLineChars="0"/>
              <w:jc w:val="center"/>
              <w:rPr>
                <w:color w:val="auto"/>
                <w:sz w:val="21"/>
                <w:szCs w:val="21"/>
              </w:rPr>
            </w:pPr>
            <w:r>
              <w:rPr>
                <w:color w:val="auto"/>
                <w:sz w:val="21"/>
                <w:szCs w:val="21"/>
              </w:rPr>
              <w:t>VOCs</w:t>
            </w:r>
          </w:p>
        </w:tc>
        <w:tc>
          <w:tcPr>
            <w:tcW w:w="1322" w:type="dxa"/>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0.624</w:t>
            </w:r>
            <w:r>
              <w:rPr>
                <w:color w:val="auto"/>
                <w:sz w:val="21"/>
                <w:szCs w:val="21"/>
              </w:rPr>
              <w:t>kg/h</w:t>
            </w:r>
          </w:p>
        </w:tc>
        <w:tc>
          <w:tcPr>
            <w:tcW w:w="1359" w:type="dxa"/>
            <w:vAlign w:val="center"/>
          </w:tcPr>
          <w:p>
            <w:pPr>
              <w:snapToGrid w:val="0"/>
              <w:spacing w:line="34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124.8</w:t>
            </w:r>
            <w:r>
              <w:rPr>
                <w:color w:val="auto"/>
                <w:sz w:val="21"/>
                <w:szCs w:val="21"/>
              </w:rPr>
              <w:t>mg/m</w:t>
            </w:r>
            <w:r>
              <w:rPr>
                <w:color w:val="auto"/>
                <w:sz w:val="21"/>
                <w:szCs w:val="21"/>
                <w:vertAlign w:val="superscript"/>
              </w:rPr>
              <w:t>3</w:t>
            </w:r>
          </w:p>
        </w:tc>
        <w:tc>
          <w:tcPr>
            <w:tcW w:w="712" w:type="pct"/>
            <w:vAlign w:val="center"/>
          </w:tcPr>
          <w:p>
            <w:pPr>
              <w:pStyle w:val="2"/>
              <w:spacing w:after="0" w:line="240" w:lineRule="auto"/>
              <w:ind w:firstLine="0" w:firstLineChars="0"/>
              <w:jc w:val="center"/>
              <w:rPr>
                <w:color w:val="auto"/>
                <w:sz w:val="21"/>
                <w:szCs w:val="21"/>
              </w:rPr>
            </w:pPr>
            <w:r>
              <w:rPr>
                <w:color w:val="auto"/>
                <w:sz w:val="21"/>
                <w:szCs w:val="21"/>
              </w:rPr>
              <w:t>1次/年</w:t>
            </w:r>
          </w:p>
        </w:tc>
        <w:tc>
          <w:tcPr>
            <w:tcW w:w="712" w:type="pct"/>
            <w:vAlign w:val="center"/>
          </w:tcPr>
          <w:p>
            <w:pPr>
              <w:pStyle w:val="2"/>
              <w:spacing w:after="0" w:line="240" w:lineRule="auto"/>
              <w:ind w:firstLine="0" w:firstLineChars="0"/>
              <w:jc w:val="center"/>
              <w:rPr>
                <w:color w:val="auto"/>
                <w:sz w:val="21"/>
                <w:szCs w:val="21"/>
              </w:rPr>
            </w:pPr>
            <w:r>
              <w:rPr>
                <w:color w:val="auto"/>
                <w:sz w:val="21"/>
                <w:szCs w:val="21"/>
              </w:rPr>
              <w:t>2h</w:t>
            </w:r>
          </w:p>
        </w:tc>
        <w:tc>
          <w:tcPr>
            <w:tcW w:w="710" w:type="pct"/>
            <w:vAlign w:val="center"/>
          </w:tcPr>
          <w:p>
            <w:pPr>
              <w:pStyle w:val="2"/>
              <w:spacing w:after="0" w:line="240" w:lineRule="auto"/>
              <w:ind w:firstLine="0" w:firstLineChars="0"/>
              <w:jc w:val="center"/>
              <w:rPr>
                <w:color w:val="auto"/>
                <w:sz w:val="21"/>
                <w:szCs w:val="21"/>
              </w:rPr>
            </w:pPr>
            <w:r>
              <w:rPr>
                <w:color w:val="auto"/>
                <w:sz w:val="21"/>
                <w:szCs w:val="21"/>
              </w:rPr>
              <w:t>60mg/m</w:t>
            </w:r>
            <w:r>
              <w:rPr>
                <w:color w:val="auto"/>
                <w:sz w:val="21"/>
                <w:szCs w:val="21"/>
                <w:vertAlign w:val="superscript"/>
              </w:rPr>
              <w:t>3</w:t>
            </w:r>
          </w:p>
        </w:tc>
        <w:tc>
          <w:tcPr>
            <w:tcW w:w="710" w:type="pct"/>
            <w:vAlign w:val="center"/>
          </w:tcPr>
          <w:p>
            <w:pPr>
              <w:pStyle w:val="2"/>
              <w:spacing w:after="0" w:line="240" w:lineRule="auto"/>
              <w:ind w:firstLine="0" w:firstLineChars="0"/>
              <w:jc w:val="center"/>
              <w:rPr>
                <w:color w:val="auto"/>
                <w:sz w:val="21"/>
                <w:szCs w:val="21"/>
              </w:rPr>
            </w:pPr>
            <w:r>
              <w:rPr>
                <w:color w:val="auto"/>
                <w:sz w:val="21"/>
                <w:szCs w:val="21"/>
              </w:rPr>
              <w:t>超标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1" w:type="pct"/>
            <w:vAlign w:val="center"/>
          </w:tcPr>
          <w:p>
            <w:pPr>
              <w:pStyle w:val="2"/>
              <w:spacing w:after="0" w:line="240" w:lineRule="auto"/>
              <w:ind w:firstLine="0" w:firstLineChars="0"/>
              <w:jc w:val="center"/>
              <w:rPr>
                <w:color w:val="auto"/>
                <w:sz w:val="21"/>
                <w:szCs w:val="21"/>
              </w:rPr>
            </w:pPr>
            <w:r>
              <w:rPr>
                <w:rFonts w:hint="eastAsia"/>
                <w:color w:val="auto"/>
                <w:sz w:val="21"/>
                <w:szCs w:val="21"/>
              </w:rPr>
              <w:t>颗粒物</w:t>
            </w:r>
          </w:p>
        </w:tc>
        <w:tc>
          <w:tcPr>
            <w:tcW w:w="711" w:type="pct"/>
            <w:vAlign w:val="center"/>
          </w:tcPr>
          <w:p>
            <w:pPr>
              <w:pStyle w:val="2"/>
              <w:spacing w:after="0" w:line="240" w:lineRule="auto"/>
              <w:ind w:firstLine="0" w:firstLineChars="0"/>
              <w:jc w:val="center"/>
              <w:rPr>
                <w:color w:val="auto"/>
                <w:sz w:val="21"/>
                <w:szCs w:val="21"/>
              </w:rPr>
            </w:pPr>
            <w:r>
              <w:rPr>
                <w:rFonts w:hint="eastAsia"/>
                <w:color w:val="auto"/>
                <w:sz w:val="21"/>
                <w:szCs w:val="21"/>
              </w:rPr>
              <w:t>0.069</w:t>
            </w:r>
            <w:r>
              <w:rPr>
                <w:color w:val="auto"/>
                <w:sz w:val="21"/>
                <w:szCs w:val="21"/>
              </w:rPr>
              <w:t>kg/h</w:t>
            </w:r>
          </w:p>
        </w:tc>
        <w:tc>
          <w:tcPr>
            <w:tcW w:w="731" w:type="pct"/>
            <w:vAlign w:val="center"/>
          </w:tcPr>
          <w:p>
            <w:pPr>
              <w:pStyle w:val="2"/>
              <w:spacing w:after="0" w:line="240" w:lineRule="auto"/>
              <w:ind w:firstLine="0" w:firstLineChars="0"/>
              <w:jc w:val="center"/>
              <w:rPr>
                <w:color w:val="auto"/>
                <w:sz w:val="21"/>
                <w:szCs w:val="21"/>
              </w:rPr>
            </w:pPr>
            <w:r>
              <w:rPr>
                <w:rFonts w:hint="eastAsia"/>
                <w:color w:val="auto"/>
                <w:sz w:val="21"/>
                <w:szCs w:val="21"/>
              </w:rPr>
              <w:t>34.72</w:t>
            </w:r>
            <w:r>
              <w:rPr>
                <w:color w:val="auto"/>
                <w:sz w:val="21"/>
                <w:szCs w:val="21"/>
              </w:rPr>
              <w:t>mg/m</w:t>
            </w:r>
            <w:r>
              <w:rPr>
                <w:color w:val="auto"/>
                <w:sz w:val="21"/>
                <w:szCs w:val="21"/>
                <w:vertAlign w:val="superscript"/>
              </w:rPr>
              <w:t>3</w:t>
            </w:r>
          </w:p>
        </w:tc>
        <w:tc>
          <w:tcPr>
            <w:tcW w:w="712" w:type="pct"/>
            <w:vAlign w:val="center"/>
          </w:tcPr>
          <w:p>
            <w:pPr>
              <w:pStyle w:val="2"/>
              <w:spacing w:after="0" w:line="240" w:lineRule="auto"/>
              <w:ind w:firstLine="0" w:firstLineChars="0"/>
              <w:jc w:val="center"/>
              <w:rPr>
                <w:color w:val="auto"/>
                <w:sz w:val="21"/>
                <w:szCs w:val="21"/>
              </w:rPr>
            </w:pPr>
            <w:r>
              <w:rPr>
                <w:color w:val="auto"/>
                <w:sz w:val="21"/>
                <w:szCs w:val="21"/>
              </w:rPr>
              <w:t>1次/年</w:t>
            </w:r>
          </w:p>
        </w:tc>
        <w:tc>
          <w:tcPr>
            <w:tcW w:w="712" w:type="pct"/>
            <w:vAlign w:val="center"/>
          </w:tcPr>
          <w:p>
            <w:pPr>
              <w:pStyle w:val="2"/>
              <w:spacing w:after="0" w:line="240" w:lineRule="auto"/>
              <w:ind w:firstLine="0" w:firstLineChars="0"/>
              <w:jc w:val="center"/>
              <w:rPr>
                <w:color w:val="auto"/>
                <w:sz w:val="21"/>
                <w:szCs w:val="21"/>
              </w:rPr>
            </w:pPr>
            <w:r>
              <w:rPr>
                <w:color w:val="auto"/>
                <w:sz w:val="21"/>
                <w:szCs w:val="21"/>
              </w:rPr>
              <w:t>2h</w:t>
            </w:r>
          </w:p>
        </w:tc>
        <w:tc>
          <w:tcPr>
            <w:tcW w:w="710" w:type="pct"/>
            <w:vAlign w:val="center"/>
          </w:tcPr>
          <w:p>
            <w:pPr>
              <w:pStyle w:val="2"/>
              <w:spacing w:after="0" w:line="240" w:lineRule="auto"/>
              <w:ind w:firstLine="0" w:firstLineChars="0"/>
              <w:jc w:val="center"/>
              <w:rPr>
                <w:color w:val="auto"/>
                <w:sz w:val="21"/>
                <w:szCs w:val="21"/>
              </w:rPr>
            </w:pPr>
            <w:r>
              <w:rPr>
                <w:rFonts w:hint="eastAsia"/>
                <w:color w:val="auto"/>
                <w:sz w:val="21"/>
                <w:szCs w:val="21"/>
              </w:rPr>
              <w:t>10</w:t>
            </w:r>
            <w:r>
              <w:rPr>
                <w:color w:val="auto"/>
                <w:sz w:val="21"/>
                <w:szCs w:val="21"/>
              </w:rPr>
              <w:t>mg/m</w:t>
            </w:r>
            <w:r>
              <w:rPr>
                <w:color w:val="auto"/>
                <w:sz w:val="21"/>
                <w:szCs w:val="21"/>
                <w:vertAlign w:val="superscript"/>
              </w:rPr>
              <w:t>3</w:t>
            </w:r>
          </w:p>
        </w:tc>
        <w:tc>
          <w:tcPr>
            <w:tcW w:w="710" w:type="pct"/>
            <w:vAlign w:val="center"/>
          </w:tcPr>
          <w:p>
            <w:pPr>
              <w:pStyle w:val="2"/>
              <w:spacing w:after="0" w:line="240" w:lineRule="auto"/>
              <w:ind w:firstLine="0" w:firstLineChars="0"/>
              <w:jc w:val="center"/>
              <w:rPr>
                <w:color w:val="auto"/>
                <w:sz w:val="21"/>
                <w:szCs w:val="21"/>
              </w:rPr>
            </w:pPr>
            <w:r>
              <w:rPr>
                <w:rFonts w:hint="eastAsia"/>
                <w:color w:val="auto"/>
                <w:sz w:val="21"/>
                <w:szCs w:val="21"/>
              </w:rPr>
              <w:t>超</w:t>
            </w:r>
            <w:r>
              <w:rPr>
                <w:color w:val="auto"/>
                <w:sz w:val="21"/>
                <w:szCs w:val="21"/>
              </w:rPr>
              <w:t>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1" w:type="pct"/>
            <w:vAlign w:val="center"/>
          </w:tcPr>
          <w:p>
            <w:pPr>
              <w:pStyle w:val="2"/>
              <w:spacing w:after="0" w:line="240" w:lineRule="auto"/>
              <w:ind w:firstLine="0" w:firstLineChars="0"/>
              <w:jc w:val="center"/>
              <w:rPr>
                <w:color w:val="auto"/>
                <w:sz w:val="21"/>
                <w:szCs w:val="21"/>
              </w:rPr>
            </w:pPr>
            <w:r>
              <w:rPr>
                <w:rFonts w:hint="eastAsia"/>
                <w:color w:val="auto"/>
                <w:sz w:val="21"/>
                <w:szCs w:val="21"/>
              </w:rPr>
              <w:t>氨</w:t>
            </w:r>
          </w:p>
        </w:tc>
        <w:tc>
          <w:tcPr>
            <w:tcW w:w="711" w:type="pct"/>
            <w:vAlign w:val="center"/>
          </w:tcPr>
          <w:p>
            <w:pPr>
              <w:pStyle w:val="2"/>
              <w:spacing w:after="0" w:line="240" w:lineRule="auto"/>
              <w:ind w:firstLine="0" w:firstLineChars="0"/>
              <w:jc w:val="center"/>
              <w:rPr>
                <w:color w:val="auto"/>
                <w:sz w:val="21"/>
                <w:szCs w:val="21"/>
              </w:rPr>
            </w:pPr>
            <w:r>
              <w:rPr>
                <w:rFonts w:hint="eastAsia"/>
                <w:color w:val="auto"/>
                <w:sz w:val="21"/>
                <w:szCs w:val="21"/>
              </w:rPr>
              <w:t>0.0045</w:t>
            </w:r>
            <w:r>
              <w:rPr>
                <w:color w:val="auto"/>
                <w:sz w:val="21"/>
                <w:szCs w:val="21"/>
              </w:rPr>
              <w:t>kg/h</w:t>
            </w:r>
          </w:p>
        </w:tc>
        <w:tc>
          <w:tcPr>
            <w:tcW w:w="731" w:type="pct"/>
            <w:vAlign w:val="center"/>
          </w:tcPr>
          <w:p>
            <w:pPr>
              <w:pStyle w:val="2"/>
              <w:spacing w:after="0" w:line="240" w:lineRule="auto"/>
              <w:ind w:firstLine="0" w:firstLineChars="0"/>
              <w:jc w:val="center"/>
              <w:rPr>
                <w:color w:val="auto"/>
                <w:sz w:val="21"/>
                <w:szCs w:val="21"/>
              </w:rPr>
            </w:pPr>
            <w:r>
              <w:rPr>
                <w:rFonts w:hint="eastAsia"/>
                <w:color w:val="auto"/>
                <w:sz w:val="21"/>
                <w:szCs w:val="21"/>
              </w:rPr>
              <w:t>0.89</w:t>
            </w:r>
            <w:r>
              <w:rPr>
                <w:color w:val="auto"/>
                <w:sz w:val="21"/>
                <w:szCs w:val="21"/>
              </w:rPr>
              <w:t>mg/m</w:t>
            </w:r>
            <w:r>
              <w:rPr>
                <w:color w:val="auto"/>
                <w:sz w:val="21"/>
                <w:szCs w:val="21"/>
                <w:vertAlign w:val="superscript"/>
              </w:rPr>
              <w:t>3</w:t>
            </w:r>
          </w:p>
        </w:tc>
        <w:tc>
          <w:tcPr>
            <w:tcW w:w="712" w:type="pct"/>
            <w:vAlign w:val="center"/>
          </w:tcPr>
          <w:p>
            <w:pPr>
              <w:pStyle w:val="2"/>
              <w:spacing w:after="0" w:line="240" w:lineRule="auto"/>
              <w:ind w:firstLine="0" w:firstLineChars="0"/>
              <w:jc w:val="center"/>
              <w:rPr>
                <w:color w:val="auto"/>
                <w:sz w:val="21"/>
                <w:szCs w:val="21"/>
              </w:rPr>
            </w:pPr>
            <w:r>
              <w:rPr>
                <w:color w:val="auto"/>
                <w:sz w:val="21"/>
                <w:szCs w:val="21"/>
              </w:rPr>
              <w:t>1次/年</w:t>
            </w:r>
          </w:p>
        </w:tc>
        <w:tc>
          <w:tcPr>
            <w:tcW w:w="712" w:type="pct"/>
            <w:vAlign w:val="center"/>
          </w:tcPr>
          <w:p>
            <w:pPr>
              <w:pStyle w:val="2"/>
              <w:spacing w:after="0" w:line="240" w:lineRule="auto"/>
              <w:ind w:firstLine="0" w:firstLineChars="0"/>
              <w:jc w:val="center"/>
              <w:rPr>
                <w:color w:val="auto"/>
                <w:sz w:val="21"/>
                <w:szCs w:val="21"/>
              </w:rPr>
            </w:pPr>
            <w:r>
              <w:rPr>
                <w:color w:val="auto"/>
                <w:sz w:val="21"/>
                <w:szCs w:val="21"/>
              </w:rPr>
              <w:t>2h</w:t>
            </w:r>
          </w:p>
        </w:tc>
        <w:tc>
          <w:tcPr>
            <w:tcW w:w="710" w:type="pct"/>
            <w:vAlign w:val="center"/>
          </w:tcPr>
          <w:p>
            <w:pPr>
              <w:pStyle w:val="2"/>
              <w:spacing w:after="0" w:line="240" w:lineRule="auto"/>
              <w:ind w:firstLine="0" w:firstLineChars="0"/>
              <w:jc w:val="center"/>
              <w:rPr>
                <w:color w:val="auto"/>
                <w:sz w:val="21"/>
                <w:szCs w:val="21"/>
              </w:rPr>
            </w:pPr>
            <w:r>
              <w:rPr>
                <w:rFonts w:hint="eastAsia"/>
                <w:color w:val="auto"/>
                <w:sz w:val="21"/>
                <w:szCs w:val="21"/>
              </w:rPr>
              <w:t>20</w:t>
            </w:r>
            <w:r>
              <w:rPr>
                <w:color w:val="auto"/>
                <w:sz w:val="21"/>
                <w:szCs w:val="21"/>
              </w:rPr>
              <w:t>mg/m</w:t>
            </w:r>
            <w:r>
              <w:rPr>
                <w:color w:val="auto"/>
                <w:sz w:val="21"/>
                <w:szCs w:val="21"/>
                <w:vertAlign w:val="superscript"/>
              </w:rPr>
              <w:t>3</w:t>
            </w:r>
          </w:p>
        </w:tc>
        <w:tc>
          <w:tcPr>
            <w:tcW w:w="710" w:type="pct"/>
            <w:vAlign w:val="center"/>
          </w:tcPr>
          <w:p>
            <w:pPr>
              <w:pStyle w:val="2"/>
              <w:spacing w:after="0" w:line="240" w:lineRule="auto"/>
              <w:ind w:firstLine="0" w:firstLineChars="0"/>
              <w:jc w:val="center"/>
              <w:rPr>
                <w:color w:val="auto"/>
                <w:sz w:val="21"/>
                <w:szCs w:val="21"/>
              </w:rPr>
            </w:pPr>
            <w:r>
              <w:rPr>
                <w:rFonts w:hint="eastAsia"/>
                <w:color w:val="auto"/>
                <w:sz w:val="21"/>
                <w:szCs w:val="21"/>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1" w:type="pct"/>
            <w:vAlign w:val="center"/>
          </w:tcPr>
          <w:p>
            <w:pPr>
              <w:pStyle w:val="2"/>
              <w:spacing w:after="0" w:line="240" w:lineRule="auto"/>
              <w:ind w:firstLine="0" w:firstLineChars="0"/>
              <w:jc w:val="center"/>
              <w:rPr>
                <w:color w:val="auto"/>
                <w:sz w:val="21"/>
                <w:szCs w:val="21"/>
              </w:rPr>
            </w:pPr>
            <w:r>
              <w:rPr>
                <w:rFonts w:hint="eastAsia"/>
                <w:color w:val="auto"/>
                <w:sz w:val="21"/>
                <w:szCs w:val="21"/>
              </w:rPr>
              <w:t>硫化氢</w:t>
            </w:r>
          </w:p>
        </w:tc>
        <w:tc>
          <w:tcPr>
            <w:tcW w:w="711" w:type="pct"/>
            <w:vAlign w:val="center"/>
          </w:tcPr>
          <w:p>
            <w:pPr>
              <w:pStyle w:val="2"/>
              <w:spacing w:after="0" w:line="240" w:lineRule="auto"/>
              <w:ind w:firstLine="0" w:firstLineChars="0"/>
              <w:jc w:val="center"/>
              <w:rPr>
                <w:color w:val="auto"/>
                <w:sz w:val="21"/>
                <w:szCs w:val="21"/>
              </w:rPr>
            </w:pPr>
            <w:r>
              <w:rPr>
                <w:rFonts w:hint="eastAsia"/>
                <w:color w:val="auto"/>
                <w:sz w:val="21"/>
                <w:szCs w:val="21"/>
              </w:rPr>
              <w:t>0.0001</w:t>
            </w:r>
            <w:r>
              <w:rPr>
                <w:color w:val="auto"/>
                <w:sz w:val="21"/>
                <w:szCs w:val="21"/>
              </w:rPr>
              <w:t>kg/h</w:t>
            </w:r>
          </w:p>
        </w:tc>
        <w:tc>
          <w:tcPr>
            <w:tcW w:w="731" w:type="pct"/>
            <w:vAlign w:val="center"/>
          </w:tcPr>
          <w:p>
            <w:pPr>
              <w:pStyle w:val="2"/>
              <w:spacing w:after="0" w:line="240" w:lineRule="auto"/>
              <w:ind w:firstLine="0" w:firstLineChars="0"/>
              <w:jc w:val="center"/>
              <w:rPr>
                <w:color w:val="auto"/>
                <w:sz w:val="21"/>
                <w:szCs w:val="21"/>
              </w:rPr>
            </w:pPr>
            <w:r>
              <w:rPr>
                <w:rFonts w:hint="eastAsia"/>
                <w:color w:val="auto"/>
                <w:sz w:val="21"/>
                <w:szCs w:val="21"/>
              </w:rPr>
              <w:t>0.02</w:t>
            </w:r>
            <w:r>
              <w:rPr>
                <w:color w:val="auto"/>
                <w:sz w:val="21"/>
                <w:szCs w:val="21"/>
              </w:rPr>
              <w:t>mg/m</w:t>
            </w:r>
            <w:r>
              <w:rPr>
                <w:color w:val="auto"/>
                <w:sz w:val="21"/>
                <w:szCs w:val="21"/>
                <w:vertAlign w:val="superscript"/>
              </w:rPr>
              <w:t>3</w:t>
            </w:r>
          </w:p>
        </w:tc>
        <w:tc>
          <w:tcPr>
            <w:tcW w:w="1214" w:type="dxa"/>
            <w:vAlign w:val="center"/>
          </w:tcPr>
          <w:p>
            <w:pPr>
              <w:pStyle w:val="2"/>
              <w:spacing w:after="0" w:line="240" w:lineRule="auto"/>
              <w:ind w:firstLine="0" w:firstLineChars="0"/>
              <w:jc w:val="center"/>
              <w:rPr>
                <w:color w:val="auto"/>
                <w:sz w:val="21"/>
                <w:szCs w:val="21"/>
              </w:rPr>
            </w:pPr>
            <w:r>
              <w:rPr>
                <w:color w:val="auto"/>
                <w:sz w:val="21"/>
                <w:szCs w:val="21"/>
              </w:rPr>
              <w:t>1次/年</w:t>
            </w:r>
          </w:p>
        </w:tc>
        <w:tc>
          <w:tcPr>
            <w:tcW w:w="1214" w:type="dxa"/>
            <w:vAlign w:val="center"/>
          </w:tcPr>
          <w:p>
            <w:pPr>
              <w:pStyle w:val="2"/>
              <w:spacing w:after="0" w:line="240" w:lineRule="auto"/>
              <w:ind w:firstLine="0" w:firstLineChars="0"/>
              <w:jc w:val="center"/>
              <w:rPr>
                <w:color w:val="auto"/>
                <w:sz w:val="21"/>
                <w:szCs w:val="21"/>
              </w:rPr>
            </w:pPr>
            <w:r>
              <w:rPr>
                <w:color w:val="auto"/>
                <w:sz w:val="21"/>
                <w:szCs w:val="21"/>
              </w:rPr>
              <w:t>2h</w:t>
            </w:r>
          </w:p>
        </w:tc>
        <w:tc>
          <w:tcPr>
            <w:tcW w:w="710" w:type="pct"/>
            <w:vAlign w:val="center"/>
          </w:tcPr>
          <w:p>
            <w:pPr>
              <w:pStyle w:val="2"/>
              <w:spacing w:after="0" w:line="240" w:lineRule="auto"/>
              <w:ind w:firstLine="0" w:firstLineChars="0"/>
              <w:jc w:val="center"/>
              <w:rPr>
                <w:color w:val="auto"/>
                <w:sz w:val="21"/>
                <w:szCs w:val="21"/>
              </w:rPr>
            </w:pPr>
            <w:r>
              <w:rPr>
                <w:rFonts w:hint="eastAsia"/>
                <w:color w:val="auto"/>
                <w:sz w:val="21"/>
                <w:szCs w:val="21"/>
              </w:rPr>
              <w:t>3</w:t>
            </w:r>
            <w:r>
              <w:rPr>
                <w:color w:val="auto"/>
                <w:sz w:val="21"/>
                <w:szCs w:val="21"/>
              </w:rPr>
              <w:t>mg/m</w:t>
            </w:r>
            <w:r>
              <w:rPr>
                <w:color w:val="auto"/>
                <w:sz w:val="21"/>
                <w:szCs w:val="21"/>
                <w:vertAlign w:val="superscript"/>
              </w:rPr>
              <w:t>3</w:t>
            </w:r>
          </w:p>
        </w:tc>
        <w:tc>
          <w:tcPr>
            <w:tcW w:w="710" w:type="pct"/>
            <w:vAlign w:val="center"/>
          </w:tcPr>
          <w:p>
            <w:pPr>
              <w:pStyle w:val="2"/>
              <w:spacing w:after="0" w:line="240" w:lineRule="auto"/>
              <w:ind w:firstLine="0" w:firstLineChars="0"/>
              <w:jc w:val="center"/>
              <w:rPr>
                <w:color w:val="auto"/>
                <w:sz w:val="21"/>
                <w:szCs w:val="21"/>
              </w:rPr>
            </w:pPr>
            <w:r>
              <w:rPr>
                <w:rFonts w:hint="eastAsia"/>
                <w:color w:val="auto"/>
                <w:sz w:val="21"/>
                <w:szCs w:val="21"/>
              </w:rPr>
              <w:t>达标</w:t>
            </w:r>
          </w:p>
        </w:tc>
      </w:tr>
    </w:tbl>
    <w:p>
      <w:pPr>
        <w:numPr>
          <w:ilvl w:val="0"/>
          <w:numId w:val="9"/>
        </w:numPr>
        <w:ind w:firstLine="480"/>
        <w:rPr>
          <w:color w:val="auto"/>
        </w:rPr>
      </w:pPr>
      <w:r>
        <w:rPr>
          <w:rFonts w:hint="eastAsia"/>
          <w:color w:val="auto"/>
        </w:rPr>
        <w:t>拟建</w:t>
      </w:r>
      <w:r>
        <w:rPr>
          <w:color w:val="auto"/>
        </w:rPr>
        <w:t>项目</w:t>
      </w:r>
      <w:r>
        <w:rPr>
          <w:rFonts w:hint="eastAsia"/>
          <w:color w:val="auto"/>
        </w:rPr>
        <w:t>废气处理设施</w:t>
      </w:r>
      <w:r>
        <w:rPr>
          <w:color w:val="auto"/>
        </w:rPr>
        <w:t>非正常工况下，VOCs排放浓度不能满足《挥发性有机物排放标准 第6 部分：有机化工行业》（DB37/2801.6-2018）表1有机化工企业或生产设施VOCs排放限值（3.0kg/h，60 mg/m</w:t>
      </w:r>
      <w:r>
        <w:rPr>
          <w:color w:val="auto"/>
          <w:vertAlign w:val="superscript"/>
        </w:rPr>
        <w:t>3</w:t>
      </w:r>
      <w:r>
        <w:rPr>
          <w:color w:val="auto"/>
        </w:rPr>
        <w:t>）</w:t>
      </w:r>
      <w:r>
        <w:rPr>
          <w:rFonts w:hint="eastAsia"/>
          <w:color w:val="auto"/>
        </w:rPr>
        <w:t>；颗粒物</w:t>
      </w:r>
      <w:r>
        <w:rPr>
          <w:color w:val="auto"/>
        </w:rPr>
        <w:t>排放浓度不能满足</w:t>
      </w:r>
      <w:r>
        <w:rPr>
          <w:rFonts w:hint="eastAsia"/>
          <w:color w:val="auto"/>
        </w:rPr>
        <w:t>《区域性大气污染物综合排放标准》（DB37/2376-2019）表1重点控制区大气污染物排放浓度限值（10</w:t>
      </w:r>
      <w:r>
        <w:rPr>
          <w:color w:val="auto"/>
        </w:rPr>
        <w:t>mg/m</w:t>
      </w:r>
      <w:r>
        <w:rPr>
          <w:color w:val="auto"/>
          <w:vertAlign w:val="superscript"/>
        </w:rPr>
        <w:t>3</w:t>
      </w:r>
      <w:r>
        <w:rPr>
          <w:rFonts w:hint="eastAsia"/>
          <w:color w:val="auto"/>
        </w:rPr>
        <w:t>）；氨、硫化氢可以满足《有机化工企业污水处理厂（站）挥发性有机物及恶臭污染物排放标准》（DB37/3161-2018）中表1挥发性有机物和恶臭污染物排放限值。</w:t>
      </w:r>
    </w:p>
    <w:p>
      <w:pPr>
        <w:ind w:firstLine="480"/>
        <w:rPr>
          <w:color w:val="auto"/>
        </w:rPr>
      </w:pPr>
      <w:r>
        <w:rPr>
          <w:color w:val="auto"/>
        </w:rPr>
        <w:t>建设单位应强化生产设施运行管理、定期对废气治理设施进行检修，降低非正常工况的发生频次，减少非正常工况的持续时间。</w:t>
      </w:r>
    </w:p>
    <w:p>
      <w:pPr>
        <w:pStyle w:val="55"/>
        <w:spacing w:line="440" w:lineRule="exact"/>
        <w:ind w:firstLine="0" w:firstLineChars="0"/>
        <w:outlineLvl w:val="2"/>
        <w:rPr>
          <w:rStyle w:val="53"/>
          <w:rFonts w:cs="Times New Roman"/>
          <w:color w:val="auto"/>
        </w:rPr>
      </w:pPr>
      <w:r>
        <w:rPr>
          <w:rStyle w:val="53"/>
          <w:rFonts w:hint="eastAsia" w:cs="Times New Roman"/>
          <w:color w:val="auto"/>
        </w:rPr>
        <w:t>2.5</w:t>
      </w:r>
      <w:r>
        <w:rPr>
          <w:rStyle w:val="53"/>
          <w:rFonts w:cs="Times New Roman"/>
          <w:color w:val="auto"/>
        </w:rPr>
        <w:t>.6</w:t>
      </w:r>
      <w:r>
        <w:rPr>
          <w:rStyle w:val="53"/>
          <w:rFonts w:hint="eastAsia" w:cs="Times New Roman"/>
          <w:color w:val="auto"/>
        </w:rPr>
        <w:t>拟建</w:t>
      </w:r>
      <w:r>
        <w:rPr>
          <w:rStyle w:val="53"/>
          <w:rFonts w:cs="Times New Roman"/>
          <w:color w:val="auto"/>
        </w:rPr>
        <w:t>项目污染物汇总</w:t>
      </w:r>
    </w:p>
    <w:p>
      <w:pPr>
        <w:ind w:firstLine="480"/>
        <w:rPr>
          <w:color w:val="auto"/>
        </w:rPr>
      </w:pPr>
      <w:r>
        <w:rPr>
          <w:rFonts w:hint="eastAsia"/>
          <w:color w:val="auto"/>
        </w:rPr>
        <w:t>山东朗净新材料科技</w:t>
      </w:r>
      <w:r>
        <w:rPr>
          <w:color w:val="auto"/>
        </w:rPr>
        <w:t>有限公司</w:t>
      </w:r>
      <w:r>
        <w:rPr>
          <w:rFonts w:hint="eastAsia"/>
          <w:color w:val="auto"/>
        </w:rPr>
        <w:t>拟建</w:t>
      </w:r>
      <w:r>
        <w:rPr>
          <w:color w:val="auto"/>
        </w:rPr>
        <w:t>项目主要污染物排放总量情况见表</w:t>
      </w:r>
      <w:r>
        <w:rPr>
          <w:rFonts w:hint="eastAsia"/>
          <w:color w:val="auto"/>
        </w:rPr>
        <w:t>2.5</w:t>
      </w:r>
      <w:r>
        <w:rPr>
          <w:color w:val="auto"/>
        </w:rPr>
        <w:t>-</w:t>
      </w:r>
      <w:r>
        <w:rPr>
          <w:rFonts w:hint="eastAsia"/>
          <w:color w:val="auto"/>
        </w:rPr>
        <w:t>20</w:t>
      </w:r>
      <w:r>
        <w:rPr>
          <w:color w:val="auto"/>
        </w:rPr>
        <w:t>。</w:t>
      </w:r>
    </w:p>
    <w:p>
      <w:pPr>
        <w:ind w:firstLine="0" w:firstLineChars="0"/>
        <w:jc w:val="center"/>
        <w:rPr>
          <w:rFonts w:eastAsia="黑体"/>
          <w:b w:val="0"/>
          <w:bCs/>
          <w:color w:val="auto"/>
          <w:sz w:val="21"/>
          <w:szCs w:val="21"/>
        </w:rPr>
      </w:pPr>
      <w:r>
        <w:rPr>
          <w:rFonts w:eastAsia="黑体"/>
          <w:b w:val="0"/>
          <w:bCs/>
          <w:color w:val="auto"/>
          <w:sz w:val="21"/>
          <w:szCs w:val="21"/>
        </w:rPr>
        <w:t>表</w:t>
      </w:r>
      <w:r>
        <w:rPr>
          <w:rFonts w:hint="eastAsia" w:eastAsia="黑体"/>
          <w:b w:val="0"/>
          <w:bCs/>
          <w:color w:val="auto"/>
          <w:sz w:val="21"/>
          <w:szCs w:val="21"/>
        </w:rPr>
        <w:t>2.5</w:t>
      </w:r>
      <w:r>
        <w:rPr>
          <w:rFonts w:eastAsia="黑体"/>
          <w:b w:val="0"/>
          <w:bCs/>
          <w:color w:val="auto"/>
          <w:sz w:val="21"/>
          <w:szCs w:val="21"/>
        </w:rPr>
        <w:t>-</w:t>
      </w:r>
      <w:r>
        <w:rPr>
          <w:rFonts w:hint="eastAsia" w:eastAsia="黑体"/>
          <w:b w:val="0"/>
          <w:bCs/>
          <w:color w:val="auto"/>
          <w:sz w:val="21"/>
          <w:szCs w:val="21"/>
        </w:rPr>
        <w:t>20</w:t>
      </w:r>
      <w:r>
        <w:rPr>
          <w:rFonts w:eastAsia="黑体"/>
          <w:b w:val="0"/>
          <w:bCs/>
          <w:color w:val="auto"/>
          <w:sz w:val="21"/>
          <w:szCs w:val="21"/>
        </w:rPr>
        <w:t xml:space="preserve"> </w:t>
      </w:r>
      <w:r>
        <w:rPr>
          <w:rFonts w:hint="eastAsia" w:eastAsia="黑体"/>
          <w:b w:val="0"/>
          <w:bCs/>
          <w:color w:val="auto"/>
          <w:sz w:val="21"/>
          <w:szCs w:val="21"/>
        </w:rPr>
        <w:t>拟建</w:t>
      </w:r>
      <w:r>
        <w:rPr>
          <w:rFonts w:eastAsia="黑体"/>
          <w:b w:val="0"/>
          <w:bCs/>
          <w:color w:val="auto"/>
          <w:sz w:val="21"/>
          <w:szCs w:val="21"/>
        </w:rPr>
        <w:t>项目 “三废”汇总一览表</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3"/>
        <w:gridCol w:w="697"/>
        <w:gridCol w:w="1399"/>
        <w:gridCol w:w="1572"/>
        <w:gridCol w:w="1572"/>
        <w:gridCol w:w="1572"/>
        <w:gridCol w:w="17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748" w:type="pct"/>
            <w:gridSpan w:val="2"/>
            <w:vAlign w:val="center"/>
          </w:tcPr>
          <w:p>
            <w:pPr>
              <w:spacing w:line="240" w:lineRule="auto"/>
              <w:ind w:firstLine="0" w:firstLineChars="0"/>
              <w:jc w:val="center"/>
              <w:rPr>
                <w:b/>
                <w:color w:val="auto"/>
                <w:kern w:val="0"/>
                <w:sz w:val="21"/>
                <w:szCs w:val="21"/>
              </w:rPr>
            </w:pPr>
            <w:r>
              <w:rPr>
                <w:b/>
                <w:color w:val="auto"/>
                <w:kern w:val="0"/>
                <w:sz w:val="21"/>
                <w:szCs w:val="21"/>
              </w:rPr>
              <w:t>种类</w:t>
            </w:r>
          </w:p>
        </w:tc>
        <w:tc>
          <w:tcPr>
            <w:tcW w:w="753" w:type="pct"/>
            <w:vAlign w:val="center"/>
          </w:tcPr>
          <w:p>
            <w:pPr>
              <w:spacing w:line="240" w:lineRule="auto"/>
              <w:ind w:firstLine="0" w:firstLineChars="0"/>
              <w:jc w:val="center"/>
              <w:rPr>
                <w:b/>
                <w:color w:val="auto"/>
                <w:kern w:val="0"/>
                <w:sz w:val="21"/>
                <w:szCs w:val="21"/>
              </w:rPr>
            </w:pPr>
            <w:r>
              <w:rPr>
                <w:b/>
                <w:color w:val="auto"/>
                <w:kern w:val="0"/>
                <w:sz w:val="21"/>
                <w:szCs w:val="21"/>
              </w:rPr>
              <w:t>污染物名称</w:t>
            </w:r>
          </w:p>
        </w:tc>
        <w:tc>
          <w:tcPr>
            <w:tcW w:w="846" w:type="pct"/>
            <w:vAlign w:val="center"/>
          </w:tcPr>
          <w:p>
            <w:pPr>
              <w:pStyle w:val="2"/>
              <w:spacing w:after="0" w:line="240" w:lineRule="auto"/>
              <w:ind w:firstLine="0" w:firstLineChars="0"/>
              <w:jc w:val="center"/>
              <w:rPr>
                <w:b/>
                <w:color w:val="auto"/>
                <w:sz w:val="21"/>
                <w:szCs w:val="21"/>
              </w:rPr>
            </w:pPr>
            <w:r>
              <w:rPr>
                <w:b/>
                <w:color w:val="auto"/>
                <w:sz w:val="21"/>
                <w:szCs w:val="21"/>
              </w:rPr>
              <w:t>产生量（t/a）</w:t>
            </w:r>
          </w:p>
        </w:tc>
        <w:tc>
          <w:tcPr>
            <w:tcW w:w="846" w:type="pct"/>
            <w:vAlign w:val="center"/>
          </w:tcPr>
          <w:p>
            <w:pPr>
              <w:pStyle w:val="2"/>
              <w:spacing w:after="0" w:line="240" w:lineRule="auto"/>
              <w:ind w:firstLine="0" w:firstLineChars="0"/>
              <w:jc w:val="center"/>
              <w:rPr>
                <w:b/>
                <w:color w:val="auto"/>
                <w:sz w:val="21"/>
                <w:szCs w:val="21"/>
              </w:rPr>
            </w:pPr>
            <w:r>
              <w:rPr>
                <w:b/>
                <w:color w:val="auto"/>
                <w:sz w:val="21"/>
                <w:szCs w:val="21"/>
              </w:rPr>
              <w:t>消减量（t/a）</w:t>
            </w:r>
          </w:p>
        </w:tc>
        <w:tc>
          <w:tcPr>
            <w:tcW w:w="846" w:type="pct"/>
            <w:vAlign w:val="center"/>
          </w:tcPr>
          <w:p>
            <w:pPr>
              <w:spacing w:line="240" w:lineRule="auto"/>
              <w:ind w:firstLine="0" w:firstLineChars="0"/>
              <w:jc w:val="center"/>
              <w:rPr>
                <w:b/>
                <w:color w:val="auto"/>
                <w:kern w:val="0"/>
                <w:sz w:val="21"/>
                <w:szCs w:val="21"/>
              </w:rPr>
            </w:pPr>
            <w:r>
              <w:rPr>
                <w:b/>
                <w:color w:val="auto"/>
                <w:kern w:val="0"/>
                <w:sz w:val="21"/>
                <w:szCs w:val="21"/>
              </w:rPr>
              <w:t>排放量（t/a）</w:t>
            </w:r>
          </w:p>
        </w:tc>
        <w:tc>
          <w:tcPr>
            <w:tcW w:w="959" w:type="pct"/>
            <w:vAlign w:val="center"/>
          </w:tcPr>
          <w:p>
            <w:pPr>
              <w:spacing w:line="240" w:lineRule="auto"/>
              <w:ind w:firstLine="0" w:firstLineChars="0"/>
              <w:jc w:val="center"/>
              <w:rPr>
                <w:b/>
                <w:color w:val="auto"/>
                <w:kern w:val="0"/>
                <w:sz w:val="21"/>
                <w:szCs w:val="21"/>
              </w:rPr>
            </w:pPr>
            <w:r>
              <w:rPr>
                <w:b/>
                <w:color w:val="auto"/>
                <w:kern w:val="0"/>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8" w:type="pct"/>
            <w:gridSpan w:val="2"/>
            <w:vMerge w:val="restart"/>
            <w:vAlign w:val="center"/>
          </w:tcPr>
          <w:p>
            <w:pPr>
              <w:spacing w:line="240" w:lineRule="auto"/>
              <w:ind w:firstLine="0" w:firstLineChars="0"/>
              <w:jc w:val="center"/>
              <w:rPr>
                <w:color w:val="auto"/>
                <w:kern w:val="0"/>
                <w:sz w:val="21"/>
                <w:szCs w:val="21"/>
              </w:rPr>
            </w:pPr>
            <w:r>
              <w:rPr>
                <w:color w:val="auto"/>
                <w:kern w:val="0"/>
                <w:sz w:val="21"/>
                <w:szCs w:val="21"/>
              </w:rPr>
              <w:t>有组织废气</w:t>
            </w:r>
          </w:p>
        </w:tc>
        <w:tc>
          <w:tcPr>
            <w:tcW w:w="753" w:type="pct"/>
            <w:vAlign w:val="center"/>
          </w:tcPr>
          <w:p>
            <w:pPr>
              <w:widowControl/>
              <w:adjustRightInd w:val="0"/>
              <w:snapToGrid w:val="0"/>
              <w:spacing w:line="240" w:lineRule="auto"/>
              <w:ind w:firstLine="0" w:firstLineChars="0"/>
              <w:jc w:val="center"/>
              <w:rPr>
                <w:color w:val="auto"/>
                <w:sz w:val="21"/>
                <w:szCs w:val="21"/>
              </w:rPr>
            </w:pPr>
            <w:r>
              <w:rPr>
                <w:color w:val="auto"/>
                <w:sz w:val="21"/>
                <w:szCs w:val="21"/>
              </w:rPr>
              <w:t>VOCs</w:t>
            </w:r>
          </w:p>
        </w:tc>
        <w:tc>
          <w:tcPr>
            <w:tcW w:w="846"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4.4928</w:t>
            </w:r>
          </w:p>
        </w:tc>
        <w:tc>
          <w:tcPr>
            <w:tcW w:w="846" w:type="pct"/>
            <w:vAlign w:val="center"/>
          </w:tcPr>
          <w:p>
            <w:pPr>
              <w:pStyle w:val="2"/>
              <w:spacing w:after="0" w:line="240" w:lineRule="auto"/>
              <w:ind w:left="0" w:leftChars="0" w:firstLine="0" w:firstLineChars="0"/>
              <w:jc w:val="center"/>
              <w:rPr>
                <w:color w:val="auto"/>
                <w:sz w:val="21"/>
                <w:szCs w:val="21"/>
              </w:rPr>
            </w:pPr>
            <w:r>
              <w:rPr>
                <w:rFonts w:hint="eastAsia"/>
                <w:color w:val="auto"/>
                <w:sz w:val="21"/>
                <w:szCs w:val="21"/>
                <w:lang w:val="en-US" w:eastAsia="zh-CN"/>
              </w:rPr>
              <w:t>3.5942</w:t>
            </w:r>
          </w:p>
        </w:tc>
        <w:tc>
          <w:tcPr>
            <w:tcW w:w="846"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0.899</w:t>
            </w:r>
          </w:p>
        </w:tc>
        <w:tc>
          <w:tcPr>
            <w:tcW w:w="959" w:type="pct"/>
            <w:vMerge w:val="restart"/>
            <w:vAlign w:val="center"/>
          </w:tcPr>
          <w:p>
            <w:pPr>
              <w:spacing w:line="240" w:lineRule="auto"/>
              <w:ind w:firstLine="0" w:firstLineChars="0"/>
              <w:jc w:val="center"/>
              <w:rPr>
                <w:color w:val="auto"/>
                <w:kern w:val="0"/>
                <w:sz w:val="21"/>
                <w:szCs w:val="21"/>
              </w:rPr>
            </w:pPr>
            <w:r>
              <w:rPr>
                <w:color w:val="auto"/>
                <w:kern w:val="0"/>
                <w:sz w:val="21"/>
                <w:szCs w:val="21"/>
              </w:rPr>
              <w:t>排入环境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8" w:type="pct"/>
            <w:gridSpan w:val="2"/>
            <w:vMerge w:val="continue"/>
            <w:vAlign w:val="center"/>
          </w:tcPr>
          <w:p>
            <w:pPr>
              <w:spacing w:line="240" w:lineRule="auto"/>
              <w:ind w:firstLine="0" w:firstLineChars="0"/>
              <w:jc w:val="center"/>
              <w:rPr>
                <w:color w:val="auto"/>
                <w:kern w:val="0"/>
                <w:sz w:val="21"/>
                <w:szCs w:val="21"/>
              </w:rPr>
            </w:pPr>
          </w:p>
        </w:tc>
        <w:tc>
          <w:tcPr>
            <w:tcW w:w="753" w:type="pct"/>
            <w:vAlign w:val="center"/>
          </w:tcPr>
          <w:p>
            <w:pPr>
              <w:pStyle w:val="45"/>
              <w:ind w:firstLine="0" w:firstLineChars="0"/>
              <w:rPr>
                <w:color w:val="auto"/>
                <w:szCs w:val="21"/>
              </w:rPr>
            </w:pPr>
            <w:r>
              <w:rPr>
                <w:rFonts w:hint="eastAsia"/>
                <w:color w:val="auto"/>
              </w:rPr>
              <w:t>SO</w:t>
            </w:r>
            <w:r>
              <w:rPr>
                <w:rFonts w:hint="eastAsia"/>
                <w:color w:val="auto"/>
                <w:vertAlign w:val="subscript"/>
              </w:rPr>
              <w:t>2</w:t>
            </w:r>
          </w:p>
        </w:tc>
        <w:tc>
          <w:tcPr>
            <w:tcW w:w="846"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0.45</w:t>
            </w:r>
          </w:p>
        </w:tc>
        <w:tc>
          <w:tcPr>
            <w:tcW w:w="846" w:type="pct"/>
            <w:vAlign w:val="center"/>
          </w:tcPr>
          <w:p>
            <w:pPr>
              <w:pStyle w:val="2"/>
              <w:spacing w:after="0" w:line="240" w:lineRule="auto"/>
              <w:ind w:left="0" w:leftChars="0" w:firstLine="0" w:firstLineChars="0"/>
              <w:jc w:val="center"/>
              <w:rPr>
                <w:color w:val="auto"/>
                <w:sz w:val="21"/>
                <w:szCs w:val="21"/>
              </w:rPr>
            </w:pPr>
            <w:r>
              <w:rPr>
                <w:rFonts w:hint="eastAsia"/>
                <w:color w:val="auto"/>
                <w:sz w:val="21"/>
                <w:szCs w:val="21"/>
              </w:rPr>
              <w:t>0</w:t>
            </w:r>
          </w:p>
        </w:tc>
        <w:tc>
          <w:tcPr>
            <w:tcW w:w="846"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0.45</w:t>
            </w:r>
          </w:p>
        </w:tc>
        <w:tc>
          <w:tcPr>
            <w:tcW w:w="959" w:type="pct"/>
            <w:vMerge w:val="continue"/>
            <w:vAlign w:val="center"/>
          </w:tcPr>
          <w:p>
            <w:pPr>
              <w:spacing w:line="240" w:lineRule="auto"/>
              <w:ind w:firstLine="0" w:firstLineChars="0"/>
              <w:jc w:val="center"/>
              <w:rPr>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8" w:type="pct"/>
            <w:gridSpan w:val="2"/>
            <w:vMerge w:val="continue"/>
            <w:vAlign w:val="center"/>
          </w:tcPr>
          <w:p>
            <w:pPr>
              <w:spacing w:line="240" w:lineRule="auto"/>
              <w:ind w:firstLine="0" w:firstLineChars="0"/>
              <w:jc w:val="center"/>
              <w:rPr>
                <w:color w:val="auto"/>
                <w:kern w:val="0"/>
                <w:sz w:val="21"/>
                <w:szCs w:val="21"/>
              </w:rPr>
            </w:pPr>
          </w:p>
        </w:tc>
        <w:tc>
          <w:tcPr>
            <w:tcW w:w="753" w:type="pct"/>
            <w:vAlign w:val="center"/>
          </w:tcPr>
          <w:p>
            <w:pPr>
              <w:pStyle w:val="45"/>
              <w:ind w:firstLine="0" w:firstLineChars="0"/>
              <w:rPr>
                <w:rFonts w:hint="eastAsia"/>
                <w:color w:val="auto"/>
              </w:rPr>
            </w:pPr>
            <w:r>
              <w:rPr>
                <w:rFonts w:hint="eastAsia"/>
                <w:color w:val="auto"/>
              </w:rPr>
              <w:t>NOx</w:t>
            </w:r>
          </w:p>
        </w:tc>
        <w:tc>
          <w:tcPr>
            <w:tcW w:w="846" w:type="pct"/>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lang w:val="en-US" w:eastAsia="zh-CN"/>
              </w:rPr>
              <w:t>2.8</w:t>
            </w:r>
          </w:p>
        </w:tc>
        <w:tc>
          <w:tcPr>
            <w:tcW w:w="846" w:type="pct"/>
            <w:vAlign w:val="center"/>
          </w:tcPr>
          <w:p>
            <w:pPr>
              <w:pStyle w:val="2"/>
              <w:spacing w:after="0" w:line="240" w:lineRule="auto"/>
              <w:ind w:left="0" w:leftChars="0" w:firstLine="0" w:firstLineChars="0"/>
              <w:jc w:val="center"/>
              <w:rPr>
                <w:rFonts w:hint="eastAsia"/>
                <w:color w:val="auto"/>
                <w:sz w:val="21"/>
                <w:szCs w:val="21"/>
              </w:rPr>
            </w:pPr>
            <w:r>
              <w:rPr>
                <w:rFonts w:hint="eastAsia"/>
                <w:color w:val="auto"/>
                <w:sz w:val="21"/>
                <w:szCs w:val="21"/>
                <w:lang w:val="en-US" w:eastAsia="zh-CN"/>
              </w:rPr>
              <w:t>1.4</w:t>
            </w:r>
          </w:p>
        </w:tc>
        <w:tc>
          <w:tcPr>
            <w:tcW w:w="846" w:type="pct"/>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lang w:val="en-US" w:eastAsia="zh-CN"/>
              </w:rPr>
              <w:t>1.4</w:t>
            </w:r>
          </w:p>
        </w:tc>
        <w:tc>
          <w:tcPr>
            <w:tcW w:w="959" w:type="pct"/>
            <w:vMerge w:val="continue"/>
            <w:vAlign w:val="center"/>
          </w:tcPr>
          <w:p>
            <w:pPr>
              <w:spacing w:line="240" w:lineRule="auto"/>
              <w:ind w:firstLine="0" w:firstLineChars="0"/>
              <w:jc w:val="center"/>
              <w:rPr>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8" w:type="pct"/>
            <w:gridSpan w:val="2"/>
            <w:vMerge w:val="continue"/>
            <w:vAlign w:val="center"/>
          </w:tcPr>
          <w:p>
            <w:pPr>
              <w:spacing w:line="240" w:lineRule="auto"/>
              <w:ind w:firstLine="0" w:firstLineChars="0"/>
              <w:jc w:val="center"/>
              <w:rPr>
                <w:color w:val="auto"/>
                <w:kern w:val="0"/>
                <w:sz w:val="21"/>
                <w:szCs w:val="21"/>
              </w:rPr>
            </w:pPr>
          </w:p>
        </w:tc>
        <w:tc>
          <w:tcPr>
            <w:tcW w:w="753" w:type="pct"/>
            <w:vAlign w:val="center"/>
          </w:tcPr>
          <w:p>
            <w:pPr>
              <w:pStyle w:val="45"/>
              <w:ind w:firstLine="0" w:firstLineChars="0"/>
              <w:rPr>
                <w:color w:val="auto"/>
                <w:szCs w:val="21"/>
              </w:rPr>
            </w:pPr>
            <w:r>
              <w:rPr>
                <w:rFonts w:hint="eastAsia"/>
                <w:color w:val="auto"/>
                <w:lang w:val="en-US" w:eastAsia="zh-CN"/>
              </w:rPr>
              <w:t>颗粒物</w:t>
            </w:r>
          </w:p>
        </w:tc>
        <w:tc>
          <w:tcPr>
            <w:tcW w:w="846"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0.16</w:t>
            </w:r>
          </w:p>
        </w:tc>
        <w:tc>
          <w:tcPr>
            <w:tcW w:w="846" w:type="pct"/>
            <w:vAlign w:val="center"/>
          </w:tcPr>
          <w:p>
            <w:pPr>
              <w:pStyle w:val="2"/>
              <w:spacing w:after="0" w:line="240" w:lineRule="auto"/>
              <w:ind w:left="0" w:leftChars="0" w:firstLine="0" w:firstLineChars="0"/>
              <w:jc w:val="center"/>
              <w:rPr>
                <w:color w:val="auto"/>
                <w:sz w:val="21"/>
                <w:szCs w:val="21"/>
              </w:rPr>
            </w:pPr>
            <w:r>
              <w:rPr>
                <w:rFonts w:hint="eastAsia"/>
                <w:color w:val="auto"/>
                <w:sz w:val="21"/>
                <w:szCs w:val="21"/>
                <w:lang w:val="en-US" w:eastAsia="zh-CN"/>
              </w:rPr>
              <w:t>0</w:t>
            </w:r>
          </w:p>
        </w:tc>
        <w:tc>
          <w:tcPr>
            <w:tcW w:w="846"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0.16</w:t>
            </w:r>
          </w:p>
        </w:tc>
        <w:tc>
          <w:tcPr>
            <w:tcW w:w="959" w:type="pct"/>
            <w:vMerge w:val="continue"/>
            <w:vAlign w:val="center"/>
          </w:tcPr>
          <w:p>
            <w:pPr>
              <w:spacing w:line="240" w:lineRule="auto"/>
              <w:ind w:firstLine="0" w:firstLineChars="0"/>
              <w:jc w:val="center"/>
              <w:rPr>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8" w:type="pct"/>
            <w:gridSpan w:val="2"/>
            <w:vMerge w:val="continue"/>
            <w:vAlign w:val="center"/>
          </w:tcPr>
          <w:p>
            <w:pPr>
              <w:spacing w:line="240" w:lineRule="auto"/>
              <w:ind w:firstLine="0" w:firstLineChars="0"/>
              <w:jc w:val="center"/>
              <w:rPr>
                <w:color w:val="auto"/>
                <w:kern w:val="0"/>
                <w:sz w:val="21"/>
                <w:szCs w:val="21"/>
              </w:rPr>
            </w:pPr>
          </w:p>
        </w:tc>
        <w:tc>
          <w:tcPr>
            <w:tcW w:w="753" w:type="pct"/>
            <w:vAlign w:val="center"/>
          </w:tcPr>
          <w:p>
            <w:pPr>
              <w:pStyle w:val="45"/>
              <w:ind w:firstLine="0" w:firstLineChars="0"/>
              <w:rPr>
                <w:color w:val="auto"/>
              </w:rPr>
            </w:pPr>
            <w:r>
              <w:rPr>
                <w:rFonts w:hint="eastAsia"/>
                <w:color w:val="auto"/>
              </w:rPr>
              <w:t>氨</w:t>
            </w:r>
          </w:p>
        </w:tc>
        <w:tc>
          <w:tcPr>
            <w:tcW w:w="846"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0.016</w:t>
            </w:r>
          </w:p>
        </w:tc>
        <w:tc>
          <w:tcPr>
            <w:tcW w:w="846" w:type="pct"/>
            <w:vAlign w:val="center"/>
          </w:tcPr>
          <w:p>
            <w:pPr>
              <w:pStyle w:val="2"/>
              <w:spacing w:after="0" w:line="240" w:lineRule="auto"/>
              <w:ind w:left="0" w:leftChars="0" w:firstLine="0" w:firstLineChars="0"/>
              <w:jc w:val="center"/>
              <w:rPr>
                <w:color w:val="auto"/>
                <w:sz w:val="21"/>
                <w:szCs w:val="21"/>
              </w:rPr>
            </w:pPr>
            <w:r>
              <w:rPr>
                <w:rFonts w:hint="eastAsia"/>
                <w:color w:val="auto"/>
                <w:sz w:val="21"/>
                <w:szCs w:val="21"/>
              </w:rPr>
              <w:t>0.0128</w:t>
            </w:r>
          </w:p>
        </w:tc>
        <w:tc>
          <w:tcPr>
            <w:tcW w:w="846"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0.0032</w:t>
            </w:r>
          </w:p>
        </w:tc>
        <w:tc>
          <w:tcPr>
            <w:tcW w:w="959" w:type="pct"/>
            <w:vMerge w:val="continue"/>
            <w:vAlign w:val="center"/>
          </w:tcPr>
          <w:p>
            <w:pPr>
              <w:spacing w:line="240" w:lineRule="auto"/>
              <w:ind w:firstLine="0" w:firstLineChars="0"/>
              <w:jc w:val="center"/>
              <w:rPr>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8" w:type="pct"/>
            <w:gridSpan w:val="2"/>
            <w:vMerge w:val="continue"/>
            <w:vAlign w:val="center"/>
          </w:tcPr>
          <w:p>
            <w:pPr>
              <w:spacing w:line="240" w:lineRule="auto"/>
              <w:ind w:firstLine="0" w:firstLineChars="0"/>
              <w:jc w:val="center"/>
              <w:rPr>
                <w:color w:val="auto"/>
                <w:kern w:val="0"/>
                <w:sz w:val="21"/>
                <w:szCs w:val="21"/>
              </w:rPr>
            </w:pPr>
          </w:p>
        </w:tc>
        <w:tc>
          <w:tcPr>
            <w:tcW w:w="753" w:type="pct"/>
            <w:vAlign w:val="center"/>
          </w:tcPr>
          <w:p>
            <w:pPr>
              <w:pStyle w:val="45"/>
              <w:ind w:firstLine="0" w:firstLineChars="0"/>
              <w:rPr>
                <w:color w:val="auto"/>
              </w:rPr>
            </w:pPr>
            <w:r>
              <w:rPr>
                <w:rFonts w:hint="eastAsia"/>
                <w:color w:val="auto"/>
              </w:rPr>
              <w:t>硫化氢</w:t>
            </w:r>
          </w:p>
        </w:tc>
        <w:tc>
          <w:tcPr>
            <w:tcW w:w="846"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0.0004</w:t>
            </w:r>
          </w:p>
        </w:tc>
        <w:tc>
          <w:tcPr>
            <w:tcW w:w="846" w:type="pct"/>
            <w:vAlign w:val="center"/>
          </w:tcPr>
          <w:p>
            <w:pPr>
              <w:pStyle w:val="2"/>
              <w:spacing w:after="0" w:line="240" w:lineRule="auto"/>
              <w:ind w:left="0" w:leftChars="0" w:firstLine="0" w:firstLineChars="0"/>
              <w:jc w:val="center"/>
              <w:rPr>
                <w:color w:val="auto"/>
                <w:sz w:val="21"/>
                <w:szCs w:val="21"/>
              </w:rPr>
            </w:pPr>
            <w:r>
              <w:rPr>
                <w:rFonts w:hint="eastAsia"/>
                <w:color w:val="auto"/>
                <w:sz w:val="21"/>
                <w:szCs w:val="21"/>
              </w:rPr>
              <w:t>0.00032</w:t>
            </w:r>
          </w:p>
        </w:tc>
        <w:tc>
          <w:tcPr>
            <w:tcW w:w="846" w:type="pc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0.00008</w:t>
            </w:r>
          </w:p>
        </w:tc>
        <w:tc>
          <w:tcPr>
            <w:tcW w:w="959" w:type="pct"/>
            <w:vMerge w:val="continue"/>
            <w:vAlign w:val="center"/>
          </w:tcPr>
          <w:p>
            <w:pPr>
              <w:spacing w:line="240" w:lineRule="auto"/>
              <w:ind w:firstLine="0" w:firstLineChars="0"/>
              <w:jc w:val="center"/>
              <w:rPr>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8" w:type="pct"/>
            <w:gridSpan w:val="2"/>
            <w:vMerge w:val="restart"/>
            <w:vAlign w:val="center"/>
          </w:tcPr>
          <w:p>
            <w:pPr>
              <w:spacing w:line="240" w:lineRule="auto"/>
              <w:ind w:firstLine="0" w:firstLineChars="0"/>
              <w:jc w:val="center"/>
              <w:rPr>
                <w:color w:val="auto"/>
                <w:kern w:val="0"/>
                <w:sz w:val="21"/>
                <w:szCs w:val="21"/>
              </w:rPr>
            </w:pPr>
            <w:r>
              <w:rPr>
                <w:color w:val="auto"/>
                <w:kern w:val="0"/>
                <w:sz w:val="21"/>
                <w:szCs w:val="21"/>
              </w:rPr>
              <w:t>无组织废气</w:t>
            </w:r>
          </w:p>
        </w:tc>
        <w:tc>
          <w:tcPr>
            <w:tcW w:w="753" w:type="pct"/>
            <w:vAlign w:val="center"/>
          </w:tcPr>
          <w:p>
            <w:pPr>
              <w:spacing w:line="240" w:lineRule="auto"/>
              <w:ind w:firstLine="0" w:firstLineChars="0"/>
              <w:jc w:val="center"/>
              <w:rPr>
                <w:color w:val="auto"/>
                <w:sz w:val="21"/>
                <w:szCs w:val="21"/>
              </w:rPr>
            </w:pPr>
            <w:r>
              <w:rPr>
                <w:rFonts w:hint="eastAsia"/>
                <w:color w:val="auto"/>
                <w:sz w:val="21"/>
                <w:szCs w:val="21"/>
              </w:rPr>
              <w:t>颗粒物</w:t>
            </w:r>
          </w:p>
        </w:tc>
        <w:tc>
          <w:tcPr>
            <w:tcW w:w="846" w:type="pct"/>
            <w:vAlign w:val="center"/>
          </w:tcPr>
          <w:p>
            <w:pPr>
              <w:pStyle w:val="2"/>
              <w:spacing w:after="0" w:line="240" w:lineRule="auto"/>
              <w:ind w:left="0" w:leftChars="0" w:firstLine="0" w:firstLineChars="0"/>
              <w:jc w:val="center"/>
              <w:rPr>
                <w:color w:val="auto"/>
                <w:sz w:val="21"/>
                <w:szCs w:val="21"/>
              </w:rPr>
            </w:pPr>
            <w:r>
              <w:rPr>
                <w:rFonts w:hint="eastAsia"/>
                <w:bCs/>
                <w:color w:val="auto"/>
                <w:sz w:val="21"/>
                <w:szCs w:val="21"/>
              </w:rPr>
              <w:t>0.</w:t>
            </w:r>
            <w:r>
              <w:rPr>
                <w:rFonts w:hint="eastAsia"/>
                <w:bCs/>
                <w:color w:val="auto"/>
                <w:sz w:val="21"/>
                <w:szCs w:val="21"/>
                <w:lang w:val="en-US" w:eastAsia="zh-CN"/>
              </w:rPr>
              <w:t>5</w:t>
            </w:r>
            <w:r>
              <w:rPr>
                <w:rFonts w:hint="eastAsia"/>
                <w:bCs/>
                <w:color w:val="auto"/>
                <w:sz w:val="21"/>
                <w:szCs w:val="21"/>
              </w:rPr>
              <w:t>03</w:t>
            </w:r>
          </w:p>
        </w:tc>
        <w:tc>
          <w:tcPr>
            <w:tcW w:w="846" w:type="pct"/>
            <w:vAlign w:val="center"/>
          </w:tcPr>
          <w:p>
            <w:pPr>
              <w:pStyle w:val="2"/>
              <w:spacing w:after="0" w:line="240" w:lineRule="auto"/>
              <w:ind w:left="0" w:leftChars="0" w:firstLine="0" w:firstLineChars="0"/>
              <w:jc w:val="center"/>
              <w:rPr>
                <w:color w:val="auto"/>
                <w:sz w:val="21"/>
                <w:szCs w:val="21"/>
              </w:rPr>
            </w:pPr>
            <w:r>
              <w:rPr>
                <w:rFonts w:hint="eastAsia"/>
                <w:color w:val="auto"/>
                <w:sz w:val="21"/>
                <w:szCs w:val="21"/>
                <w:lang w:val="en-US" w:eastAsia="zh-CN"/>
              </w:rPr>
              <w:t>0.495</w:t>
            </w:r>
          </w:p>
        </w:tc>
        <w:tc>
          <w:tcPr>
            <w:tcW w:w="846" w:type="pct"/>
            <w:vAlign w:val="center"/>
          </w:tcPr>
          <w:p>
            <w:pPr>
              <w:pStyle w:val="2"/>
              <w:spacing w:after="0" w:line="240" w:lineRule="auto"/>
              <w:ind w:left="0" w:leftChars="0" w:firstLine="0" w:firstLineChars="0"/>
              <w:jc w:val="center"/>
              <w:rPr>
                <w:color w:val="auto"/>
                <w:sz w:val="21"/>
                <w:szCs w:val="21"/>
              </w:rPr>
            </w:pPr>
            <w:r>
              <w:rPr>
                <w:rFonts w:hint="eastAsia"/>
                <w:bCs/>
                <w:color w:val="auto"/>
                <w:sz w:val="21"/>
                <w:szCs w:val="21"/>
              </w:rPr>
              <w:t>0.00</w:t>
            </w:r>
            <w:r>
              <w:rPr>
                <w:rFonts w:hint="eastAsia"/>
                <w:bCs/>
                <w:color w:val="auto"/>
                <w:sz w:val="21"/>
                <w:szCs w:val="21"/>
                <w:lang w:val="en-US" w:eastAsia="zh-CN"/>
              </w:rPr>
              <w:t>8</w:t>
            </w:r>
          </w:p>
        </w:tc>
        <w:tc>
          <w:tcPr>
            <w:tcW w:w="959" w:type="pct"/>
            <w:vMerge w:val="restart"/>
            <w:vAlign w:val="center"/>
          </w:tcPr>
          <w:p>
            <w:pPr>
              <w:spacing w:line="240" w:lineRule="auto"/>
              <w:ind w:firstLine="0" w:firstLineChars="0"/>
              <w:jc w:val="center"/>
              <w:rPr>
                <w:color w:val="auto"/>
                <w:kern w:val="0"/>
                <w:sz w:val="21"/>
                <w:szCs w:val="21"/>
              </w:rPr>
            </w:pPr>
            <w:r>
              <w:rPr>
                <w:color w:val="auto"/>
                <w:kern w:val="0"/>
                <w:sz w:val="21"/>
                <w:szCs w:val="21"/>
              </w:rPr>
              <w:t>排入环境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8" w:type="pct"/>
            <w:gridSpan w:val="2"/>
            <w:vMerge w:val="continue"/>
            <w:vAlign w:val="center"/>
          </w:tcPr>
          <w:p>
            <w:pPr>
              <w:spacing w:line="240" w:lineRule="auto"/>
              <w:ind w:firstLine="0" w:firstLineChars="0"/>
              <w:jc w:val="center"/>
              <w:rPr>
                <w:color w:val="auto"/>
                <w:kern w:val="0"/>
                <w:sz w:val="21"/>
                <w:szCs w:val="21"/>
              </w:rPr>
            </w:pPr>
          </w:p>
        </w:tc>
        <w:tc>
          <w:tcPr>
            <w:tcW w:w="753" w:type="pct"/>
            <w:vAlign w:val="center"/>
          </w:tcPr>
          <w:p>
            <w:pPr>
              <w:pStyle w:val="2"/>
              <w:spacing w:after="0" w:line="240" w:lineRule="auto"/>
              <w:ind w:left="0" w:leftChars="0" w:firstLine="0" w:firstLineChars="0"/>
              <w:jc w:val="center"/>
              <w:rPr>
                <w:color w:val="auto"/>
                <w:sz w:val="21"/>
                <w:szCs w:val="21"/>
              </w:rPr>
            </w:pPr>
            <w:r>
              <w:rPr>
                <w:color w:val="auto"/>
                <w:sz w:val="21"/>
                <w:szCs w:val="21"/>
              </w:rPr>
              <w:t>VOCs</w:t>
            </w:r>
          </w:p>
        </w:tc>
        <w:tc>
          <w:tcPr>
            <w:tcW w:w="846" w:type="pct"/>
            <w:vAlign w:val="center"/>
          </w:tcPr>
          <w:p>
            <w:pPr>
              <w:pStyle w:val="2"/>
              <w:spacing w:after="0" w:line="240" w:lineRule="auto"/>
              <w:ind w:left="0" w:leftChars="0" w:firstLine="0" w:firstLineChars="0"/>
              <w:jc w:val="center"/>
              <w:rPr>
                <w:color w:val="auto"/>
                <w:sz w:val="21"/>
                <w:szCs w:val="21"/>
              </w:rPr>
            </w:pPr>
            <w:r>
              <w:rPr>
                <w:rFonts w:hint="eastAsia"/>
                <w:bCs/>
                <w:color w:val="auto"/>
                <w:sz w:val="21"/>
                <w:szCs w:val="21"/>
              </w:rPr>
              <w:t>0.152</w:t>
            </w:r>
          </w:p>
        </w:tc>
        <w:tc>
          <w:tcPr>
            <w:tcW w:w="846" w:type="pct"/>
            <w:vAlign w:val="center"/>
          </w:tcPr>
          <w:p>
            <w:pPr>
              <w:pStyle w:val="2"/>
              <w:spacing w:after="0" w:line="240" w:lineRule="auto"/>
              <w:ind w:left="0" w:leftChars="0" w:firstLine="0" w:firstLineChars="0"/>
              <w:jc w:val="center"/>
              <w:rPr>
                <w:color w:val="auto"/>
                <w:sz w:val="21"/>
                <w:szCs w:val="21"/>
              </w:rPr>
            </w:pPr>
            <w:r>
              <w:rPr>
                <w:rFonts w:hint="eastAsia"/>
                <w:color w:val="auto"/>
                <w:sz w:val="21"/>
                <w:szCs w:val="21"/>
              </w:rPr>
              <w:t>0</w:t>
            </w:r>
          </w:p>
        </w:tc>
        <w:tc>
          <w:tcPr>
            <w:tcW w:w="846" w:type="pct"/>
            <w:vAlign w:val="center"/>
          </w:tcPr>
          <w:p>
            <w:pPr>
              <w:pStyle w:val="2"/>
              <w:spacing w:after="0" w:line="240" w:lineRule="auto"/>
              <w:ind w:left="0" w:leftChars="0" w:firstLine="0" w:firstLineChars="0"/>
              <w:jc w:val="center"/>
              <w:rPr>
                <w:color w:val="auto"/>
                <w:sz w:val="21"/>
                <w:szCs w:val="21"/>
              </w:rPr>
            </w:pPr>
            <w:r>
              <w:rPr>
                <w:rFonts w:hint="eastAsia"/>
                <w:bCs/>
                <w:color w:val="auto"/>
                <w:sz w:val="21"/>
                <w:szCs w:val="21"/>
              </w:rPr>
              <w:t>0.152</w:t>
            </w:r>
          </w:p>
        </w:tc>
        <w:tc>
          <w:tcPr>
            <w:tcW w:w="959" w:type="pct"/>
            <w:vMerge w:val="continue"/>
            <w:vAlign w:val="center"/>
          </w:tcPr>
          <w:p>
            <w:pPr>
              <w:spacing w:line="240" w:lineRule="auto"/>
              <w:ind w:firstLine="0" w:firstLineChars="0"/>
              <w:jc w:val="center"/>
              <w:rPr>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8" w:type="pct"/>
            <w:gridSpan w:val="2"/>
            <w:vMerge w:val="continue"/>
            <w:vAlign w:val="center"/>
          </w:tcPr>
          <w:p>
            <w:pPr>
              <w:spacing w:line="240" w:lineRule="auto"/>
              <w:ind w:firstLine="0" w:firstLineChars="0"/>
              <w:jc w:val="center"/>
              <w:rPr>
                <w:color w:val="auto"/>
                <w:kern w:val="0"/>
                <w:sz w:val="21"/>
                <w:szCs w:val="21"/>
              </w:rPr>
            </w:pPr>
          </w:p>
        </w:tc>
        <w:tc>
          <w:tcPr>
            <w:tcW w:w="753" w:type="pct"/>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氨</w:t>
            </w:r>
          </w:p>
        </w:tc>
        <w:tc>
          <w:tcPr>
            <w:tcW w:w="846" w:type="pct"/>
            <w:vAlign w:val="center"/>
          </w:tcPr>
          <w:p>
            <w:pPr>
              <w:pStyle w:val="2"/>
              <w:spacing w:after="0" w:line="240" w:lineRule="auto"/>
              <w:ind w:left="0" w:leftChars="0" w:firstLine="0" w:firstLineChars="0"/>
              <w:jc w:val="center"/>
              <w:rPr>
                <w:bCs/>
                <w:color w:val="auto"/>
                <w:sz w:val="21"/>
                <w:szCs w:val="21"/>
              </w:rPr>
            </w:pPr>
            <w:r>
              <w:rPr>
                <w:rFonts w:hint="eastAsia"/>
                <w:bCs/>
                <w:color w:val="auto"/>
                <w:sz w:val="21"/>
                <w:szCs w:val="21"/>
              </w:rPr>
              <w:t>0.021</w:t>
            </w:r>
          </w:p>
        </w:tc>
        <w:tc>
          <w:tcPr>
            <w:tcW w:w="846" w:type="pct"/>
            <w:vAlign w:val="center"/>
          </w:tcPr>
          <w:p>
            <w:pPr>
              <w:pStyle w:val="2"/>
              <w:spacing w:after="0" w:line="240" w:lineRule="auto"/>
              <w:ind w:left="0" w:leftChars="0" w:firstLine="0" w:firstLineChars="0"/>
              <w:jc w:val="center"/>
              <w:rPr>
                <w:color w:val="auto"/>
                <w:sz w:val="21"/>
                <w:szCs w:val="21"/>
              </w:rPr>
            </w:pPr>
            <w:r>
              <w:rPr>
                <w:rFonts w:hint="eastAsia"/>
                <w:color w:val="auto"/>
                <w:sz w:val="21"/>
                <w:szCs w:val="21"/>
              </w:rPr>
              <w:t>0</w:t>
            </w:r>
          </w:p>
        </w:tc>
        <w:tc>
          <w:tcPr>
            <w:tcW w:w="846" w:type="pct"/>
            <w:vAlign w:val="center"/>
          </w:tcPr>
          <w:p>
            <w:pPr>
              <w:pStyle w:val="2"/>
              <w:spacing w:after="0" w:line="240" w:lineRule="auto"/>
              <w:ind w:left="0" w:leftChars="0" w:firstLine="0" w:firstLineChars="0"/>
              <w:jc w:val="center"/>
              <w:rPr>
                <w:bCs/>
                <w:color w:val="auto"/>
                <w:sz w:val="21"/>
                <w:szCs w:val="21"/>
              </w:rPr>
            </w:pPr>
            <w:r>
              <w:rPr>
                <w:rFonts w:hint="eastAsia"/>
                <w:bCs/>
                <w:color w:val="auto"/>
                <w:sz w:val="21"/>
                <w:szCs w:val="21"/>
              </w:rPr>
              <w:t>0.021</w:t>
            </w:r>
          </w:p>
        </w:tc>
        <w:tc>
          <w:tcPr>
            <w:tcW w:w="959" w:type="pct"/>
            <w:vMerge w:val="continue"/>
            <w:vAlign w:val="center"/>
          </w:tcPr>
          <w:p>
            <w:pPr>
              <w:spacing w:line="240" w:lineRule="auto"/>
              <w:ind w:firstLine="0" w:firstLineChars="0"/>
              <w:jc w:val="center"/>
              <w:rPr>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8" w:type="pct"/>
            <w:gridSpan w:val="2"/>
            <w:vMerge w:val="continue"/>
            <w:vAlign w:val="center"/>
          </w:tcPr>
          <w:p>
            <w:pPr>
              <w:spacing w:line="240" w:lineRule="auto"/>
              <w:ind w:firstLine="0" w:firstLineChars="0"/>
              <w:jc w:val="center"/>
              <w:rPr>
                <w:color w:val="auto"/>
                <w:kern w:val="0"/>
                <w:sz w:val="21"/>
                <w:szCs w:val="21"/>
              </w:rPr>
            </w:pPr>
          </w:p>
        </w:tc>
        <w:tc>
          <w:tcPr>
            <w:tcW w:w="753" w:type="pct"/>
            <w:vAlign w:val="center"/>
          </w:tcPr>
          <w:p>
            <w:pPr>
              <w:widowControl/>
              <w:adjustRightInd w:val="0"/>
              <w:snapToGrid w:val="0"/>
              <w:spacing w:line="240" w:lineRule="auto"/>
              <w:ind w:firstLine="0" w:firstLineChars="0"/>
              <w:jc w:val="center"/>
              <w:rPr>
                <w:color w:val="auto"/>
                <w:sz w:val="21"/>
                <w:szCs w:val="21"/>
              </w:rPr>
            </w:pPr>
            <w:r>
              <w:rPr>
                <w:rFonts w:hint="eastAsia"/>
                <w:color w:val="auto"/>
                <w:sz w:val="21"/>
                <w:szCs w:val="21"/>
              </w:rPr>
              <w:t>硫化氢</w:t>
            </w:r>
          </w:p>
        </w:tc>
        <w:tc>
          <w:tcPr>
            <w:tcW w:w="846" w:type="pct"/>
            <w:vAlign w:val="center"/>
          </w:tcPr>
          <w:p>
            <w:pPr>
              <w:pStyle w:val="2"/>
              <w:spacing w:after="0" w:line="240" w:lineRule="auto"/>
              <w:ind w:left="0" w:leftChars="0" w:firstLine="0" w:firstLineChars="0"/>
              <w:jc w:val="center"/>
              <w:rPr>
                <w:bCs/>
                <w:color w:val="auto"/>
                <w:sz w:val="21"/>
                <w:szCs w:val="21"/>
              </w:rPr>
            </w:pPr>
            <w:r>
              <w:rPr>
                <w:rFonts w:hint="eastAsia"/>
                <w:bCs/>
                <w:color w:val="auto"/>
                <w:sz w:val="21"/>
                <w:szCs w:val="21"/>
              </w:rPr>
              <w:t>0.0005</w:t>
            </w:r>
          </w:p>
        </w:tc>
        <w:tc>
          <w:tcPr>
            <w:tcW w:w="846" w:type="pct"/>
            <w:vAlign w:val="center"/>
          </w:tcPr>
          <w:p>
            <w:pPr>
              <w:pStyle w:val="2"/>
              <w:spacing w:after="0" w:line="240" w:lineRule="auto"/>
              <w:ind w:left="0" w:leftChars="0" w:firstLine="0" w:firstLineChars="0"/>
              <w:jc w:val="center"/>
              <w:rPr>
                <w:color w:val="auto"/>
                <w:sz w:val="21"/>
                <w:szCs w:val="21"/>
              </w:rPr>
            </w:pPr>
            <w:r>
              <w:rPr>
                <w:rFonts w:hint="eastAsia"/>
                <w:color w:val="auto"/>
                <w:sz w:val="21"/>
                <w:szCs w:val="21"/>
              </w:rPr>
              <w:t>0</w:t>
            </w:r>
          </w:p>
        </w:tc>
        <w:tc>
          <w:tcPr>
            <w:tcW w:w="846" w:type="pct"/>
            <w:vAlign w:val="center"/>
          </w:tcPr>
          <w:p>
            <w:pPr>
              <w:pStyle w:val="2"/>
              <w:spacing w:after="0" w:line="240" w:lineRule="auto"/>
              <w:ind w:left="0" w:leftChars="0" w:firstLine="0" w:firstLineChars="0"/>
              <w:jc w:val="center"/>
              <w:rPr>
                <w:bCs/>
                <w:color w:val="auto"/>
                <w:sz w:val="21"/>
                <w:szCs w:val="21"/>
              </w:rPr>
            </w:pPr>
            <w:r>
              <w:rPr>
                <w:rFonts w:hint="eastAsia"/>
                <w:bCs/>
                <w:color w:val="auto"/>
                <w:sz w:val="21"/>
                <w:szCs w:val="21"/>
              </w:rPr>
              <w:t>0.0005</w:t>
            </w:r>
          </w:p>
        </w:tc>
        <w:tc>
          <w:tcPr>
            <w:tcW w:w="959" w:type="pct"/>
            <w:vMerge w:val="continue"/>
            <w:vAlign w:val="center"/>
          </w:tcPr>
          <w:p>
            <w:pPr>
              <w:spacing w:line="240" w:lineRule="auto"/>
              <w:ind w:firstLine="0" w:firstLineChars="0"/>
              <w:jc w:val="center"/>
              <w:rPr>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pct"/>
            <w:vMerge w:val="restart"/>
            <w:vAlign w:val="center"/>
          </w:tcPr>
          <w:p>
            <w:pPr>
              <w:spacing w:line="240" w:lineRule="auto"/>
              <w:ind w:firstLine="0" w:firstLineChars="0"/>
              <w:jc w:val="center"/>
              <w:rPr>
                <w:color w:val="auto"/>
                <w:kern w:val="0"/>
                <w:sz w:val="21"/>
                <w:szCs w:val="21"/>
              </w:rPr>
            </w:pPr>
            <w:r>
              <w:rPr>
                <w:color w:val="auto"/>
                <w:kern w:val="0"/>
                <w:sz w:val="21"/>
                <w:szCs w:val="21"/>
              </w:rPr>
              <w:t>固废</w:t>
            </w:r>
          </w:p>
        </w:tc>
        <w:tc>
          <w:tcPr>
            <w:tcW w:w="375" w:type="pct"/>
            <w:vMerge w:val="restart"/>
            <w:vAlign w:val="center"/>
          </w:tcPr>
          <w:p>
            <w:pPr>
              <w:spacing w:line="240" w:lineRule="auto"/>
              <w:ind w:firstLine="0" w:firstLineChars="0"/>
              <w:jc w:val="center"/>
              <w:rPr>
                <w:color w:val="auto"/>
                <w:kern w:val="0"/>
                <w:sz w:val="21"/>
                <w:szCs w:val="21"/>
              </w:rPr>
            </w:pPr>
            <w:r>
              <w:rPr>
                <w:color w:val="auto"/>
                <w:kern w:val="0"/>
                <w:sz w:val="21"/>
                <w:szCs w:val="21"/>
              </w:rPr>
              <w:t>危险废物</w:t>
            </w:r>
          </w:p>
        </w:tc>
        <w:tc>
          <w:tcPr>
            <w:tcW w:w="753" w:type="pct"/>
            <w:vAlign w:val="center"/>
          </w:tcPr>
          <w:p>
            <w:pPr>
              <w:spacing w:line="240" w:lineRule="auto"/>
              <w:ind w:firstLine="0" w:firstLineChars="0"/>
              <w:jc w:val="center"/>
              <w:rPr>
                <w:color w:val="auto"/>
                <w:sz w:val="21"/>
                <w:szCs w:val="21"/>
              </w:rPr>
            </w:pPr>
            <w:r>
              <w:rPr>
                <w:color w:val="auto"/>
                <w:sz w:val="21"/>
                <w:szCs w:val="21"/>
              </w:rPr>
              <w:t>废润滑油</w:t>
            </w:r>
          </w:p>
        </w:tc>
        <w:tc>
          <w:tcPr>
            <w:tcW w:w="846" w:type="pct"/>
            <w:vAlign w:val="center"/>
          </w:tcPr>
          <w:p>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rPr>
              <w:t>0.</w:t>
            </w:r>
            <w:r>
              <w:rPr>
                <w:rFonts w:hint="eastAsia"/>
                <w:color w:val="auto"/>
                <w:sz w:val="21"/>
                <w:szCs w:val="21"/>
                <w:lang w:val="en-US" w:eastAsia="zh-CN"/>
              </w:rPr>
              <w:t>1</w:t>
            </w:r>
          </w:p>
        </w:tc>
        <w:tc>
          <w:tcPr>
            <w:tcW w:w="846" w:type="pct"/>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rPr>
              <w:t>0.</w:t>
            </w:r>
            <w:r>
              <w:rPr>
                <w:rFonts w:hint="eastAsia"/>
                <w:color w:val="auto"/>
                <w:sz w:val="21"/>
                <w:szCs w:val="21"/>
                <w:lang w:val="en-US" w:eastAsia="zh-CN"/>
              </w:rPr>
              <w:t>1</w:t>
            </w:r>
          </w:p>
        </w:tc>
        <w:tc>
          <w:tcPr>
            <w:tcW w:w="846" w:type="pct"/>
            <w:vAlign w:val="center"/>
          </w:tcPr>
          <w:p>
            <w:pPr>
              <w:spacing w:line="240" w:lineRule="auto"/>
              <w:ind w:firstLine="0" w:firstLineChars="0"/>
              <w:jc w:val="center"/>
              <w:rPr>
                <w:color w:val="auto"/>
                <w:sz w:val="21"/>
                <w:szCs w:val="21"/>
              </w:rPr>
            </w:pPr>
            <w:r>
              <w:rPr>
                <w:color w:val="auto"/>
                <w:sz w:val="21"/>
                <w:szCs w:val="21"/>
              </w:rPr>
              <w:t>0</w:t>
            </w:r>
          </w:p>
        </w:tc>
        <w:tc>
          <w:tcPr>
            <w:tcW w:w="959" w:type="pct"/>
            <w:vMerge w:val="restart"/>
            <w:vAlign w:val="center"/>
          </w:tcPr>
          <w:p>
            <w:pPr>
              <w:spacing w:line="240" w:lineRule="auto"/>
              <w:ind w:firstLine="0" w:firstLineChars="0"/>
              <w:jc w:val="center"/>
              <w:rPr>
                <w:color w:val="auto"/>
                <w:sz w:val="21"/>
                <w:szCs w:val="21"/>
              </w:rPr>
            </w:pPr>
            <w:r>
              <w:rPr>
                <w:color w:val="auto"/>
                <w:sz w:val="21"/>
                <w:szCs w:val="21"/>
              </w:rPr>
              <w:t>委托有资质单位处置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pct"/>
            <w:vMerge w:val="continue"/>
            <w:vAlign w:val="center"/>
          </w:tcPr>
          <w:p>
            <w:pPr>
              <w:spacing w:line="240" w:lineRule="auto"/>
              <w:ind w:firstLine="0" w:firstLineChars="0"/>
              <w:jc w:val="center"/>
              <w:rPr>
                <w:color w:val="auto"/>
                <w:kern w:val="0"/>
                <w:sz w:val="21"/>
                <w:szCs w:val="21"/>
              </w:rPr>
            </w:pPr>
          </w:p>
        </w:tc>
        <w:tc>
          <w:tcPr>
            <w:tcW w:w="375" w:type="pct"/>
            <w:vMerge w:val="continue"/>
            <w:vAlign w:val="center"/>
          </w:tcPr>
          <w:p>
            <w:pPr>
              <w:spacing w:line="240" w:lineRule="auto"/>
              <w:ind w:firstLine="0" w:firstLineChars="0"/>
              <w:jc w:val="center"/>
              <w:rPr>
                <w:color w:val="auto"/>
                <w:kern w:val="0"/>
                <w:sz w:val="21"/>
                <w:szCs w:val="21"/>
              </w:rPr>
            </w:pPr>
          </w:p>
        </w:tc>
        <w:tc>
          <w:tcPr>
            <w:tcW w:w="753" w:type="pct"/>
            <w:vAlign w:val="center"/>
          </w:tcPr>
          <w:p>
            <w:pPr>
              <w:spacing w:line="320" w:lineRule="exact"/>
              <w:ind w:firstLine="0" w:firstLineChars="0"/>
              <w:jc w:val="center"/>
              <w:rPr>
                <w:color w:val="auto"/>
                <w:kern w:val="0"/>
                <w:sz w:val="21"/>
                <w:szCs w:val="21"/>
              </w:rPr>
            </w:pPr>
            <w:r>
              <w:rPr>
                <w:color w:val="auto"/>
                <w:kern w:val="0"/>
                <w:sz w:val="21"/>
                <w:szCs w:val="21"/>
              </w:rPr>
              <w:t>化验室废试剂瓶</w:t>
            </w:r>
          </w:p>
        </w:tc>
        <w:tc>
          <w:tcPr>
            <w:tcW w:w="846" w:type="pct"/>
            <w:vAlign w:val="center"/>
          </w:tcPr>
          <w:p>
            <w:pPr>
              <w:spacing w:line="240" w:lineRule="auto"/>
              <w:ind w:firstLine="0" w:firstLineChars="0"/>
              <w:jc w:val="center"/>
              <w:rPr>
                <w:color w:val="auto"/>
                <w:sz w:val="21"/>
                <w:szCs w:val="21"/>
              </w:rPr>
            </w:pPr>
            <w:r>
              <w:rPr>
                <w:color w:val="auto"/>
                <w:sz w:val="21"/>
                <w:szCs w:val="21"/>
              </w:rPr>
              <w:t>0.2</w:t>
            </w:r>
          </w:p>
        </w:tc>
        <w:tc>
          <w:tcPr>
            <w:tcW w:w="846" w:type="pct"/>
            <w:vAlign w:val="center"/>
          </w:tcPr>
          <w:p>
            <w:pPr>
              <w:spacing w:line="240" w:lineRule="auto"/>
              <w:ind w:firstLine="0" w:firstLineChars="0"/>
              <w:jc w:val="center"/>
              <w:rPr>
                <w:color w:val="auto"/>
                <w:sz w:val="21"/>
                <w:szCs w:val="21"/>
              </w:rPr>
            </w:pPr>
            <w:r>
              <w:rPr>
                <w:color w:val="auto"/>
                <w:sz w:val="21"/>
                <w:szCs w:val="21"/>
              </w:rPr>
              <w:t>0.02</w:t>
            </w:r>
          </w:p>
        </w:tc>
        <w:tc>
          <w:tcPr>
            <w:tcW w:w="846" w:type="pct"/>
            <w:vAlign w:val="center"/>
          </w:tcPr>
          <w:p>
            <w:pPr>
              <w:spacing w:line="240" w:lineRule="auto"/>
              <w:ind w:firstLine="0" w:firstLineChars="0"/>
              <w:jc w:val="center"/>
              <w:rPr>
                <w:color w:val="auto"/>
                <w:sz w:val="21"/>
                <w:szCs w:val="21"/>
              </w:rPr>
            </w:pPr>
            <w:r>
              <w:rPr>
                <w:color w:val="auto"/>
                <w:sz w:val="21"/>
                <w:szCs w:val="21"/>
              </w:rPr>
              <w:t>0</w:t>
            </w:r>
          </w:p>
        </w:tc>
        <w:tc>
          <w:tcPr>
            <w:tcW w:w="959" w:type="pct"/>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pct"/>
            <w:vMerge w:val="continue"/>
            <w:vAlign w:val="center"/>
          </w:tcPr>
          <w:p>
            <w:pPr>
              <w:spacing w:line="240" w:lineRule="auto"/>
              <w:ind w:firstLine="0" w:firstLineChars="0"/>
              <w:jc w:val="center"/>
              <w:rPr>
                <w:color w:val="auto"/>
                <w:kern w:val="0"/>
                <w:sz w:val="21"/>
                <w:szCs w:val="21"/>
              </w:rPr>
            </w:pPr>
          </w:p>
        </w:tc>
        <w:tc>
          <w:tcPr>
            <w:tcW w:w="375" w:type="pct"/>
            <w:vMerge w:val="continue"/>
            <w:vAlign w:val="center"/>
          </w:tcPr>
          <w:p>
            <w:pPr>
              <w:spacing w:line="240" w:lineRule="auto"/>
              <w:ind w:firstLine="0" w:firstLineChars="0"/>
              <w:jc w:val="center"/>
              <w:rPr>
                <w:color w:val="auto"/>
                <w:kern w:val="0"/>
                <w:sz w:val="21"/>
                <w:szCs w:val="21"/>
              </w:rPr>
            </w:pPr>
          </w:p>
        </w:tc>
        <w:tc>
          <w:tcPr>
            <w:tcW w:w="753" w:type="pct"/>
            <w:vAlign w:val="center"/>
          </w:tcPr>
          <w:p>
            <w:pPr>
              <w:spacing w:line="320" w:lineRule="exact"/>
              <w:ind w:firstLine="0" w:firstLineChars="0"/>
              <w:jc w:val="center"/>
              <w:rPr>
                <w:color w:val="auto"/>
                <w:kern w:val="0"/>
                <w:sz w:val="21"/>
                <w:szCs w:val="21"/>
              </w:rPr>
            </w:pPr>
            <w:r>
              <w:rPr>
                <w:color w:val="auto"/>
                <w:kern w:val="0"/>
                <w:sz w:val="21"/>
                <w:szCs w:val="21"/>
              </w:rPr>
              <w:t>化验室废液</w:t>
            </w:r>
          </w:p>
        </w:tc>
        <w:tc>
          <w:tcPr>
            <w:tcW w:w="846" w:type="pct"/>
            <w:vAlign w:val="center"/>
          </w:tcPr>
          <w:p>
            <w:pPr>
              <w:spacing w:line="240" w:lineRule="auto"/>
              <w:ind w:firstLine="0" w:firstLineChars="0"/>
              <w:jc w:val="center"/>
              <w:rPr>
                <w:color w:val="auto"/>
                <w:sz w:val="21"/>
                <w:szCs w:val="21"/>
              </w:rPr>
            </w:pPr>
            <w:r>
              <w:rPr>
                <w:color w:val="auto"/>
                <w:sz w:val="21"/>
                <w:szCs w:val="21"/>
              </w:rPr>
              <w:t>0.5</w:t>
            </w:r>
          </w:p>
        </w:tc>
        <w:tc>
          <w:tcPr>
            <w:tcW w:w="846" w:type="pct"/>
            <w:vAlign w:val="center"/>
          </w:tcPr>
          <w:p>
            <w:pPr>
              <w:spacing w:line="240" w:lineRule="auto"/>
              <w:ind w:firstLine="0" w:firstLineChars="0"/>
              <w:jc w:val="center"/>
              <w:rPr>
                <w:color w:val="auto"/>
                <w:sz w:val="21"/>
                <w:szCs w:val="21"/>
              </w:rPr>
            </w:pPr>
            <w:r>
              <w:rPr>
                <w:color w:val="auto"/>
                <w:sz w:val="21"/>
                <w:szCs w:val="21"/>
              </w:rPr>
              <w:t>0.5</w:t>
            </w:r>
          </w:p>
        </w:tc>
        <w:tc>
          <w:tcPr>
            <w:tcW w:w="846" w:type="pct"/>
            <w:vAlign w:val="center"/>
          </w:tcPr>
          <w:p>
            <w:pPr>
              <w:spacing w:line="240" w:lineRule="auto"/>
              <w:ind w:firstLine="0" w:firstLineChars="0"/>
              <w:jc w:val="center"/>
              <w:rPr>
                <w:color w:val="auto"/>
                <w:sz w:val="21"/>
                <w:szCs w:val="21"/>
              </w:rPr>
            </w:pPr>
            <w:r>
              <w:rPr>
                <w:color w:val="auto"/>
                <w:sz w:val="21"/>
                <w:szCs w:val="21"/>
              </w:rPr>
              <w:t>0</w:t>
            </w:r>
          </w:p>
        </w:tc>
        <w:tc>
          <w:tcPr>
            <w:tcW w:w="959" w:type="pct"/>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pct"/>
            <w:vMerge w:val="continue"/>
            <w:vAlign w:val="center"/>
          </w:tcPr>
          <w:p>
            <w:pPr>
              <w:spacing w:line="240" w:lineRule="auto"/>
              <w:ind w:firstLine="0" w:firstLineChars="0"/>
              <w:jc w:val="center"/>
              <w:rPr>
                <w:color w:val="auto"/>
                <w:kern w:val="0"/>
                <w:sz w:val="21"/>
                <w:szCs w:val="21"/>
              </w:rPr>
            </w:pPr>
          </w:p>
        </w:tc>
        <w:tc>
          <w:tcPr>
            <w:tcW w:w="375" w:type="pct"/>
            <w:vMerge w:val="continue"/>
            <w:vAlign w:val="center"/>
          </w:tcPr>
          <w:p>
            <w:pPr>
              <w:spacing w:line="240" w:lineRule="auto"/>
              <w:ind w:firstLine="0" w:firstLineChars="0"/>
              <w:jc w:val="center"/>
              <w:rPr>
                <w:color w:val="auto"/>
                <w:kern w:val="0"/>
                <w:sz w:val="21"/>
                <w:szCs w:val="21"/>
              </w:rPr>
            </w:pPr>
          </w:p>
        </w:tc>
        <w:tc>
          <w:tcPr>
            <w:tcW w:w="753" w:type="pct"/>
            <w:vAlign w:val="center"/>
          </w:tcPr>
          <w:p>
            <w:pPr>
              <w:spacing w:line="320" w:lineRule="exact"/>
              <w:ind w:firstLine="0" w:firstLineChars="0"/>
              <w:jc w:val="center"/>
              <w:rPr>
                <w:color w:val="auto"/>
                <w:kern w:val="0"/>
                <w:sz w:val="21"/>
                <w:szCs w:val="21"/>
              </w:rPr>
            </w:pPr>
            <w:r>
              <w:rPr>
                <w:color w:val="auto"/>
                <w:kern w:val="0"/>
                <w:sz w:val="21"/>
                <w:szCs w:val="21"/>
              </w:rPr>
              <w:t>废活性炭</w:t>
            </w:r>
          </w:p>
        </w:tc>
        <w:tc>
          <w:tcPr>
            <w:tcW w:w="846" w:type="pct"/>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8.64</w:t>
            </w:r>
          </w:p>
        </w:tc>
        <w:tc>
          <w:tcPr>
            <w:tcW w:w="846" w:type="pct"/>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8.64</w:t>
            </w:r>
          </w:p>
        </w:tc>
        <w:tc>
          <w:tcPr>
            <w:tcW w:w="846" w:type="pct"/>
            <w:vAlign w:val="center"/>
          </w:tcPr>
          <w:p>
            <w:pPr>
              <w:spacing w:line="240" w:lineRule="auto"/>
              <w:ind w:firstLine="0" w:firstLineChars="0"/>
              <w:jc w:val="center"/>
              <w:rPr>
                <w:color w:val="auto"/>
                <w:sz w:val="21"/>
                <w:szCs w:val="21"/>
              </w:rPr>
            </w:pPr>
            <w:r>
              <w:rPr>
                <w:color w:val="auto"/>
                <w:sz w:val="21"/>
                <w:szCs w:val="21"/>
              </w:rPr>
              <w:t>0</w:t>
            </w:r>
          </w:p>
        </w:tc>
        <w:tc>
          <w:tcPr>
            <w:tcW w:w="959" w:type="pct"/>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pct"/>
            <w:vMerge w:val="continue"/>
            <w:vAlign w:val="center"/>
          </w:tcPr>
          <w:p>
            <w:pPr>
              <w:spacing w:line="240" w:lineRule="auto"/>
              <w:ind w:firstLine="0" w:firstLineChars="0"/>
              <w:jc w:val="center"/>
              <w:rPr>
                <w:color w:val="auto"/>
                <w:kern w:val="0"/>
                <w:sz w:val="21"/>
                <w:szCs w:val="21"/>
              </w:rPr>
            </w:pPr>
          </w:p>
        </w:tc>
        <w:tc>
          <w:tcPr>
            <w:tcW w:w="375" w:type="pct"/>
            <w:vMerge w:val="continue"/>
            <w:vAlign w:val="center"/>
          </w:tcPr>
          <w:p>
            <w:pPr>
              <w:spacing w:line="240" w:lineRule="auto"/>
              <w:ind w:firstLine="0" w:firstLineChars="0"/>
              <w:jc w:val="center"/>
              <w:rPr>
                <w:color w:val="auto"/>
                <w:kern w:val="0"/>
                <w:sz w:val="21"/>
                <w:szCs w:val="21"/>
              </w:rPr>
            </w:pPr>
          </w:p>
        </w:tc>
        <w:tc>
          <w:tcPr>
            <w:tcW w:w="753" w:type="pct"/>
            <w:vAlign w:val="center"/>
          </w:tcPr>
          <w:p>
            <w:pPr>
              <w:spacing w:line="320" w:lineRule="exact"/>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高沸物</w:t>
            </w:r>
          </w:p>
        </w:tc>
        <w:tc>
          <w:tcPr>
            <w:tcW w:w="846" w:type="pct"/>
            <w:vAlign w:val="center"/>
          </w:tcPr>
          <w:p>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2.997</w:t>
            </w:r>
          </w:p>
        </w:tc>
        <w:tc>
          <w:tcPr>
            <w:tcW w:w="846" w:type="pct"/>
            <w:vAlign w:val="center"/>
          </w:tcPr>
          <w:p>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2.997</w:t>
            </w:r>
          </w:p>
        </w:tc>
        <w:tc>
          <w:tcPr>
            <w:tcW w:w="846" w:type="pct"/>
            <w:vAlign w:val="center"/>
          </w:tcPr>
          <w:p>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0</w:t>
            </w:r>
          </w:p>
        </w:tc>
        <w:tc>
          <w:tcPr>
            <w:tcW w:w="959" w:type="pct"/>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pct"/>
            <w:vMerge w:val="continue"/>
            <w:vAlign w:val="center"/>
          </w:tcPr>
          <w:p>
            <w:pPr>
              <w:spacing w:line="240" w:lineRule="auto"/>
              <w:ind w:firstLine="0" w:firstLineChars="0"/>
              <w:jc w:val="center"/>
              <w:rPr>
                <w:color w:val="auto"/>
                <w:kern w:val="0"/>
                <w:sz w:val="21"/>
                <w:szCs w:val="21"/>
              </w:rPr>
            </w:pPr>
          </w:p>
        </w:tc>
        <w:tc>
          <w:tcPr>
            <w:tcW w:w="375" w:type="pct"/>
            <w:vMerge w:val="continue"/>
            <w:vAlign w:val="center"/>
          </w:tcPr>
          <w:p>
            <w:pPr>
              <w:spacing w:line="240" w:lineRule="auto"/>
              <w:ind w:firstLine="0" w:firstLineChars="0"/>
              <w:jc w:val="center"/>
              <w:rPr>
                <w:color w:val="auto"/>
                <w:kern w:val="0"/>
                <w:sz w:val="21"/>
                <w:szCs w:val="21"/>
              </w:rPr>
            </w:pPr>
          </w:p>
        </w:tc>
        <w:tc>
          <w:tcPr>
            <w:tcW w:w="753" w:type="pct"/>
            <w:vAlign w:val="center"/>
          </w:tcPr>
          <w:p>
            <w:pPr>
              <w:spacing w:line="320" w:lineRule="exact"/>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罐底残渣</w:t>
            </w:r>
          </w:p>
        </w:tc>
        <w:tc>
          <w:tcPr>
            <w:tcW w:w="846" w:type="pct"/>
            <w:vAlign w:val="center"/>
          </w:tcPr>
          <w:p>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6.9828</w:t>
            </w:r>
          </w:p>
        </w:tc>
        <w:tc>
          <w:tcPr>
            <w:tcW w:w="846" w:type="pct"/>
            <w:vAlign w:val="center"/>
          </w:tcPr>
          <w:p>
            <w:pPr>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6.9828</w:t>
            </w:r>
          </w:p>
        </w:tc>
        <w:tc>
          <w:tcPr>
            <w:tcW w:w="846" w:type="pct"/>
            <w:vAlign w:val="center"/>
          </w:tcPr>
          <w:p>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w:t>
            </w:r>
          </w:p>
        </w:tc>
        <w:tc>
          <w:tcPr>
            <w:tcW w:w="959" w:type="pct"/>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pct"/>
            <w:vMerge w:val="continue"/>
            <w:vAlign w:val="center"/>
          </w:tcPr>
          <w:p>
            <w:pPr>
              <w:spacing w:line="240" w:lineRule="auto"/>
              <w:ind w:firstLine="0" w:firstLineChars="0"/>
              <w:jc w:val="center"/>
              <w:rPr>
                <w:color w:val="auto"/>
                <w:kern w:val="0"/>
                <w:sz w:val="21"/>
                <w:szCs w:val="21"/>
              </w:rPr>
            </w:pPr>
          </w:p>
        </w:tc>
        <w:tc>
          <w:tcPr>
            <w:tcW w:w="375" w:type="pct"/>
            <w:vMerge w:val="continue"/>
            <w:vAlign w:val="center"/>
          </w:tcPr>
          <w:p>
            <w:pPr>
              <w:spacing w:line="240" w:lineRule="auto"/>
              <w:ind w:firstLine="0" w:firstLineChars="0"/>
              <w:jc w:val="center"/>
              <w:rPr>
                <w:color w:val="auto"/>
                <w:kern w:val="0"/>
                <w:sz w:val="21"/>
                <w:szCs w:val="21"/>
              </w:rPr>
            </w:pPr>
          </w:p>
        </w:tc>
        <w:tc>
          <w:tcPr>
            <w:tcW w:w="753" w:type="pct"/>
            <w:vAlign w:val="center"/>
          </w:tcPr>
          <w:p>
            <w:pPr>
              <w:spacing w:line="320" w:lineRule="exact"/>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废导热油</w:t>
            </w:r>
          </w:p>
        </w:tc>
        <w:tc>
          <w:tcPr>
            <w:tcW w:w="846" w:type="pct"/>
            <w:vAlign w:val="center"/>
          </w:tcPr>
          <w:p>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15t/4a</w:t>
            </w:r>
          </w:p>
        </w:tc>
        <w:tc>
          <w:tcPr>
            <w:tcW w:w="846" w:type="pct"/>
            <w:vAlign w:val="center"/>
          </w:tcPr>
          <w:p>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15t/4a</w:t>
            </w:r>
          </w:p>
        </w:tc>
        <w:tc>
          <w:tcPr>
            <w:tcW w:w="846" w:type="pct"/>
            <w:vAlign w:val="center"/>
          </w:tcPr>
          <w:p>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w:t>
            </w:r>
          </w:p>
        </w:tc>
        <w:tc>
          <w:tcPr>
            <w:tcW w:w="959" w:type="pct"/>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pct"/>
            <w:vMerge w:val="continue"/>
            <w:vAlign w:val="center"/>
          </w:tcPr>
          <w:p>
            <w:pPr>
              <w:spacing w:line="240" w:lineRule="auto"/>
              <w:ind w:firstLine="0" w:firstLineChars="0"/>
              <w:jc w:val="center"/>
              <w:rPr>
                <w:color w:val="auto"/>
                <w:kern w:val="0"/>
                <w:sz w:val="21"/>
                <w:szCs w:val="21"/>
              </w:rPr>
            </w:pPr>
          </w:p>
        </w:tc>
        <w:tc>
          <w:tcPr>
            <w:tcW w:w="375" w:type="pct"/>
            <w:vMerge w:val="restart"/>
            <w:vAlign w:val="center"/>
          </w:tcPr>
          <w:p>
            <w:pPr>
              <w:spacing w:line="240" w:lineRule="auto"/>
              <w:ind w:firstLine="0" w:firstLineChars="0"/>
              <w:jc w:val="center"/>
              <w:rPr>
                <w:color w:val="auto"/>
                <w:kern w:val="0"/>
                <w:sz w:val="21"/>
                <w:szCs w:val="21"/>
              </w:rPr>
            </w:pPr>
            <w:r>
              <w:rPr>
                <w:rFonts w:hint="eastAsia"/>
                <w:color w:val="auto"/>
                <w:kern w:val="0"/>
                <w:sz w:val="21"/>
                <w:szCs w:val="21"/>
              </w:rPr>
              <w:t>一般工业固废</w:t>
            </w:r>
          </w:p>
        </w:tc>
        <w:tc>
          <w:tcPr>
            <w:tcW w:w="753" w:type="pct"/>
            <w:vAlign w:val="center"/>
          </w:tcPr>
          <w:p>
            <w:pPr>
              <w:spacing w:line="240" w:lineRule="auto"/>
              <w:ind w:firstLine="0" w:firstLineChars="0"/>
              <w:jc w:val="center"/>
              <w:rPr>
                <w:color w:val="auto"/>
                <w:kern w:val="0"/>
                <w:sz w:val="21"/>
                <w:szCs w:val="21"/>
              </w:rPr>
            </w:pPr>
            <w:r>
              <w:rPr>
                <w:rFonts w:hint="eastAsia"/>
                <w:color w:val="auto"/>
                <w:sz w:val="21"/>
                <w:szCs w:val="21"/>
              </w:rPr>
              <w:t>废</w:t>
            </w:r>
            <w:r>
              <w:rPr>
                <w:color w:val="auto"/>
                <w:sz w:val="21"/>
                <w:szCs w:val="21"/>
              </w:rPr>
              <w:t>包装袋</w:t>
            </w:r>
          </w:p>
        </w:tc>
        <w:tc>
          <w:tcPr>
            <w:tcW w:w="846" w:type="pct"/>
            <w:vAlign w:val="center"/>
          </w:tcPr>
          <w:p>
            <w:pPr>
              <w:spacing w:line="240" w:lineRule="auto"/>
              <w:ind w:firstLine="0" w:firstLineChars="0"/>
              <w:jc w:val="center"/>
              <w:rPr>
                <w:color w:val="auto"/>
                <w:sz w:val="21"/>
                <w:szCs w:val="21"/>
              </w:rPr>
            </w:pPr>
            <w:r>
              <w:rPr>
                <w:rFonts w:hint="eastAsia"/>
                <w:color w:val="auto"/>
                <w:sz w:val="21"/>
                <w:szCs w:val="21"/>
              </w:rPr>
              <w:t>0.5</w:t>
            </w:r>
          </w:p>
        </w:tc>
        <w:tc>
          <w:tcPr>
            <w:tcW w:w="846" w:type="pct"/>
            <w:vAlign w:val="center"/>
          </w:tcPr>
          <w:p>
            <w:pPr>
              <w:spacing w:line="240" w:lineRule="auto"/>
              <w:ind w:firstLine="0" w:firstLineChars="0"/>
              <w:jc w:val="center"/>
              <w:rPr>
                <w:color w:val="auto"/>
                <w:sz w:val="21"/>
                <w:szCs w:val="21"/>
              </w:rPr>
            </w:pPr>
            <w:r>
              <w:rPr>
                <w:rFonts w:hint="eastAsia"/>
                <w:color w:val="auto"/>
                <w:sz w:val="21"/>
                <w:szCs w:val="21"/>
              </w:rPr>
              <w:t>0.5</w:t>
            </w:r>
          </w:p>
        </w:tc>
        <w:tc>
          <w:tcPr>
            <w:tcW w:w="846" w:type="pct"/>
            <w:vAlign w:val="center"/>
          </w:tcPr>
          <w:p>
            <w:pPr>
              <w:spacing w:line="240" w:lineRule="auto"/>
              <w:ind w:firstLine="0" w:firstLineChars="0"/>
              <w:jc w:val="center"/>
              <w:rPr>
                <w:color w:val="auto"/>
                <w:sz w:val="21"/>
                <w:szCs w:val="21"/>
              </w:rPr>
            </w:pPr>
            <w:r>
              <w:rPr>
                <w:color w:val="auto"/>
                <w:sz w:val="21"/>
                <w:szCs w:val="21"/>
              </w:rPr>
              <w:t>0</w:t>
            </w:r>
          </w:p>
        </w:tc>
        <w:tc>
          <w:tcPr>
            <w:tcW w:w="959" w:type="pct"/>
            <w:vMerge w:val="restart"/>
            <w:vAlign w:val="center"/>
          </w:tcPr>
          <w:p>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定期由厂家回收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373" w:type="pct"/>
            <w:vMerge w:val="continue"/>
            <w:vAlign w:val="center"/>
          </w:tcPr>
          <w:p>
            <w:pPr>
              <w:spacing w:line="240" w:lineRule="auto"/>
              <w:ind w:firstLine="0" w:firstLineChars="0"/>
              <w:jc w:val="center"/>
              <w:rPr>
                <w:color w:val="auto"/>
                <w:kern w:val="0"/>
                <w:sz w:val="21"/>
                <w:szCs w:val="21"/>
              </w:rPr>
            </w:pPr>
          </w:p>
        </w:tc>
        <w:tc>
          <w:tcPr>
            <w:tcW w:w="375" w:type="pct"/>
            <w:vMerge w:val="continue"/>
            <w:vAlign w:val="center"/>
          </w:tcPr>
          <w:p>
            <w:pPr>
              <w:spacing w:line="240" w:lineRule="auto"/>
              <w:ind w:firstLine="0" w:firstLineChars="0"/>
              <w:jc w:val="center"/>
              <w:rPr>
                <w:color w:val="auto"/>
                <w:kern w:val="0"/>
                <w:sz w:val="21"/>
                <w:szCs w:val="21"/>
              </w:rPr>
            </w:pPr>
          </w:p>
        </w:tc>
        <w:tc>
          <w:tcPr>
            <w:tcW w:w="753" w:type="pct"/>
            <w:vAlign w:val="center"/>
          </w:tcPr>
          <w:p>
            <w:pPr>
              <w:spacing w:line="240" w:lineRule="auto"/>
              <w:ind w:firstLine="0" w:firstLineChars="0"/>
              <w:jc w:val="center"/>
              <w:rPr>
                <w:color w:val="auto"/>
                <w:kern w:val="0"/>
                <w:sz w:val="21"/>
                <w:szCs w:val="21"/>
              </w:rPr>
            </w:pPr>
            <w:r>
              <w:rPr>
                <w:rFonts w:hint="eastAsia"/>
                <w:color w:val="auto"/>
                <w:sz w:val="21"/>
                <w:szCs w:val="21"/>
              </w:rPr>
              <w:t>废</w:t>
            </w:r>
            <w:r>
              <w:rPr>
                <w:color w:val="auto"/>
                <w:sz w:val="21"/>
                <w:szCs w:val="21"/>
              </w:rPr>
              <w:t>包装桶</w:t>
            </w:r>
          </w:p>
        </w:tc>
        <w:tc>
          <w:tcPr>
            <w:tcW w:w="846" w:type="pct"/>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rPr>
              <w:t>0.</w:t>
            </w:r>
            <w:r>
              <w:rPr>
                <w:rFonts w:hint="eastAsia"/>
                <w:color w:val="auto"/>
                <w:sz w:val="21"/>
                <w:szCs w:val="21"/>
                <w:lang w:val="en-US" w:eastAsia="zh-CN"/>
              </w:rPr>
              <w:t>8</w:t>
            </w:r>
          </w:p>
        </w:tc>
        <w:tc>
          <w:tcPr>
            <w:tcW w:w="846" w:type="pct"/>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rPr>
              <w:t>0.</w:t>
            </w:r>
            <w:r>
              <w:rPr>
                <w:rFonts w:hint="eastAsia"/>
                <w:color w:val="auto"/>
                <w:sz w:val="21"/>
                <w:szCs w:val="21"/>
                <w:lang w:val="en-US" w:eastAsia="zh-CN"/>
              </w:rPr>
              <w:t>8</w:t>
            </w:r>
          </w:p>
        </w:tc>
        <w:tc>
          <w:tcPr>
            <w:tcW w:w="846" w:type="pct"/>
            <w:vAlign w:val="center"/>
          </w:tcPr>
          <w:p>
            <w:pPr>
              <w:spacing w:line="240" w:lineRule="auto"/>
              <w:ind w:firstLine="0" w:firstLineChars="0"/>
              <w:jc w:val="center"/>
              <w:rPr>
                <w:color w:val="auto"/>
                <w:sz w:val="21"/>
                <w:szCs w:val="21"/>
              </w:rPr>
            </w:pPr>
            <w:r>
              <w:rPr>
                <w:color w:val="auto"/>
                <w:sz w:val="21"/>
                <w:szCs w:val="21"/>
              </w:rPr>
              <w:t>0</w:t>
            </w:r>
          </w:p>
        </w:tc>
        <w:tc>
          <w:tcPr>
            <w:tcW w:w="959" w:type="pct"/>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pct"/>
            <w:vMerge w:val="continue"/>
            <w:vAlign w:val="center"/>
          </w:tcPr>
          <w:p>
            <w:pPr>
              <w:spacing w:line="240" w:lineRule="auto"/>
              <w:ind w:firstLine="0" w:firstLineChars="0"/>
              <w:jc w:val="center"/>
              <w:rPr>
                <w:color w:val="auto"/>
                <w:kern w:val="0"/>
                <w:sz w:val="21"/>
                <w:szCs w:val="21"/>
              </w:rPr>
            </w:pPr>
          </w:p>
        </w:tc>
        <w:tc>
          <w:tcPr>
            <w:tcW w:w="375" w:type="pct"/>
            <w:vMerge w:val="continue"/>
            <w:vAlign w:val="center"/>
          </w:tcPr>
          <w:p>
            <w:pPr>
              <w:spacing w:line="240" w:lineRule="auto"/>
              <w:ind w:firstLine="0" w:firstLineChars="0"/>
              <w:jc w:val="center"/>
              <w:rPr>
                <w:color w:val="auto"/>
                <w:kern w:val="0"/>
                <w:sz w:val="21"/>
                <w:szCs w:val="21"/>
              </w:rPr>
            </w:pPr>
          </w:p>
        </w:tc>
        <w:tc>
          <w:tcPr>
            <w:tcW w:w="753" w:type="pct"/>
            <w:vAlign w:val="center"/>
          </w:tcPr>
          <w:p>
            <w:pPr>
              <w:spacing w:line="312" w:lineRule="exact"/>
              <w:ind w:firstLine="0" w:firstLineChars="0"/>
              <w:jc w:val="center"/>
              <w:rPr>
                <w:color w:val="auto"/>
                <w:sz w:val="21"/>
                <w:szCs w:val="21"/>
              </w:rPr>
            </w:pPr>
            <w:r>
              <w:rPr>
                <w:color w:val="auto"/>
                <w:kern w:val="0"/>
                <w:sz w:val="21"/>
                <w:szCs w:val="21"/>
              </w:rPr>
              <w:t>污水站污泥</w:t>
            </w:r>
          </w:p>
        </w:tc>
        <w:tc>
          <w:tcPr>
            <w:tcW w:w="846" w:type="pct"/>
            <w:vAlign w:val="center"/>
          </w:tcPr>
          <w:p>
            <w:pPr>
              <w:spacing w:line="240" w:lineRule="auto"/>
              <w:ind w:firstLine="0" w:firstLineChars="0"/>
              <w:jc w:val="center"/>
              <w:rPr>
                <w:color w:val="auto"/>
                <w:sz w:val="21"/>
                <w:szCs w:val="21"/>
              </w:rPr>
            </w:pPr>
            <w:r>
              <w:rPr>
                <w:rFonts w:hint="eastAsia"/>
                <w:color w:val="auto"/>
                <w:sz w:val="21"/>
                <w:szCs w:val="21"/>
                <w:lang w:eastAsia="zh-CN"/>
              </w:rPr>
              <w:t>4.32</w:t>
            </w:r>
            <w:r>
              <w:rPr>
                <w:rFonts w:hint="eastAsia"/>
                <w:color w:val="auto"/>
                <w:sz w:val="21"/>
                <w:szCs w:val="21"/>
              </w:rPr>
              <w:t>（含水率65%）</w:t>
            </w:r>
          </w:p>
        </w:tc>
        <w:tc>
          <w:tcPr>
            <w:tcW w:w="846" w:type="pct"/>
            <w:vAlign w:val="center"/>
          </w:tcPr>
          <w:p>
            <w:pPr>
              <w:spacing w:line="240" w:lineRule="auto"/>
              <w:ind w:firstLine="0" w:firstLineChars="0"/>
              <w:jc w:val="center"/>
              <w:rPr>
                <w:color w:val="auto"/>
                <w:sz w:val="21"/>
                <w:szCs w:val="21"/>
              </w:rPr>
            </w:pPr>
            <w:r>
              <w:rPr>
                <w:rFonts w:hint="eastAsia"/>
                <w:color w:val="auto"/>
                <w:sz w:val="21"/>
                <w:szCs w:val="21"/>
                <w:lang w:eastAsia="zh-CN"/>
              </w:rPr>
              <w:t>4.32</w:t>
            </w:r>
            <w:r>
              <w:rPr>
                <w:rFonts w:hint="eastAsia"/>
                <w:color w:val="auto"/>
                <w:sz w:val="21"/>
                <w:szCs w:val="21"/>
              </w:rPr>
              <w:t>（含水率65%）</w:t>
            </w:r>
          </w:p>
        </w:tc>
        <w:tc>
          <w:tcPr>
            <w:tcW w:w="846" w:type="pct"/>
            <w:vAlign w:val="center"/>
          </w:tcPr>
          <w:p>
            <w:pPr>
              <w:spacing w:line="240" w:lineRule="auto"/>
              <w:ind w:firstLine="0" w:firstLineChars="0"/>
              <w:jc w:val="center"/>
              <w:rPr>
                <w:color w:val="auto"/>
                <w:sz w:val="21"/>
                <w:szCs w:val="21"/>
              </w:rPr>
            </w:pPr>
            <w:r>
              <w:rPr>
                <w:color w:val="auto"/>
                <w:sz w:val="21"/>
                <w:szCs w:val="21"/>
              </w:rPr>
              <w:t>0</w:t>
            </w:r>
          </w:p>
        </w:tc>
        <w:tc>
          <w:tcPr>
            <w:tcW w:w="959" w:type="pct"/>
            <w:vAlign w:val="center"/>
          </w:tcPr>
          <w:p>
            <w:pPr>
              <w:spacing w:line="240" w:lineRule="auto"/>
              <w:ind w:firstLine="0" w:firstLineChars="0"/>
              <w:jc w:val="center"/>
              <w:rPr>
                <w:color w:val="auto"/>
                <w:sz w:val="21"/>
                <w:szCs w:val="21"/>
              </w:rPr>
            </w:pPr>
            <w:r>
              <w:rPr>
                <w:rFonts w:hint="eastAsia"/>
                <w:color w:val="auto"/>
                <w:sz w:val="21"/>
                <w:szCs w:val="21"/>
              </w:rPr>
              <w:t>泥饼</w:t>
            </w:r>
            <w:r>
              <w:rPr>
                <w:color w:val="auto"/>
                <w:sz w:val="21"/>
                <w:szCs w:val="21"/>
              </w:rPr>
              <w:t>定期外</w:t>
            </w:r>
            <w:r>
              <w:rPr>
                <w:rFonts w:hint="eastAsia"/>
                <w:color w:val="auto"/>
                <w:sz w:val="21"/>
                <w:szCs w:val="21"/>
              </w:rPr>
              <w:t>运至有资质单位处置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pct"/>
            <w:vMerge w:val="continue"/>
            <w:vAlign w:val="center"/>
          </w:tcPr>
          <w:p>
            <w:pPr>
              <w:spacing w:line="240" w:lineRule="auto"/>
              <w:ind w:firstLine="0" w:firstLineChars="0"/>
              <w:jc w:val="center"/>
              <w:rPr>
                <w:color w:val="auto"/>
                <w:kern w:val="0"/>
                <w:sz w:val="21"/>
                <w:szCs w:val="21"/>
              </w:rPr>
            </w:pPr>
          </w:p>
        </w:tc>
        <w:tc>
          <w:tcPr>
            <w:tcW w:w="375" w:type="pct"/>
            <w:vMerge w:val="continue"/>
            <w:vAlign w:val="center"/>
          </w:tcPr>
          <w:p>
            <w:pPr>
              <w:spacing w:line="240" w:lineRule="auto"/>
              <w:ind w:firstLine="0" w:firstLineChars="0"/>
              <w:jc w:val="center"/>
              <w:rPr>
                <w:color w:val="auto"/>
                <w:kern w:val="0"/>
                <w:sz w:val="21"/>
                <w:szCs w:val="21"/>
              </w:rPr>
            </w:pPr>
          </w:p>
        </w:tc>
        <w:tc>
          <w:tcPr>
            <w:tcW w:w="753" w:type="pct"/>
            <w:vAlign w:val="center"/>
          </w:tcPr>
          <w:p>
            <w:pPr>
              <w:spacing w:line="312" w:lineRule="exact"/>
              <w:ind w:firstLine="0" w:firstLineChars="0"/>
              <w:jc w:val="center"/>
              <w:rPr>
                <w:color w:val="auto"/>
                <w:sz w:val="21"/>
                <w:szCs w:val="21"/>
              </w:rPr>
            </w:pPr>
            <w:r>
              <w:rPr>
                <w:color w:val="auto"/>
                <w:kern w:val="0"/>
                <w:sz w:val="21"/>
                <w:szCs w:val="21"/>
              </w:rPr>
              <w:t>生活垃圾</w:t>
            </w:r>
          </w:p>
        </w:tc>
        <w:tc>
          <w:tcPr>
            <w:tcW w:w="846" w:type="pct"/>
            <w:vAlign w:val="center"/>
          </w:tcPr>
          <w:p>
            <w:pPr>
              <w:spacing w:line="240" w:lineRule="auto"/>
              <w:ind w:firstLine="0" w:firstLineChars="0"/>
              <w:jc w:val="center"/>
              <w:rPr>
                <w:color w:val="auto"/>
                <w:sz w:val="21"/>
                <w:szCs w:val="21"/>
              </w:rPr>
            </w:pPr>
            <w:r>
              <w:rPr>
                <w:rFonts w:hint="eastAsia"/>
                <w:color w:val="auto"/>
                <w:sz w:val="21"/>
                <w:szCs w:val="21"/>
              </w:rPr>
              <w:t>4.5</w:t>
            </w:r>
          </w:p>
        </w:tc>
        <w:tc>
          <w:tcPr>
            <w:tcW w:w="846" w:type="pct"/>
            <w:vAlign w:val="center"/>
          </w:tcPr>
          <w:p>
            <w:pPr>
              <w:spacing w:line="240" w:lineRule="auto"/>
              <w:ind w:firstLine="0" w:firstLineChars="0"/>
              <w:jc w:val="center"/>
              <w:rPr>
                <w:color w:val="auto"/>
                <w:sz w:val="21"/>
                <w:szCs w:val="21"/>
              </w:rPr>
            </w:pPr>
            <w:r>
              <w:rPr>
                <w:rFonts w:hint="eastAsia"/>
                <w:color w:val="auto"/>
                <w:sz w:val="21"/>
                <w:szCs w:val="21"/>
              </w:rPr>
              <w:t>4.5</w:t>
            </w:r>
          </w:p>
        </w:tc>
        <w:tc>
          <w:tcPr>
            <w:tcW w:w="846" w:type="pct"/>
            <w:vAlign w:val="center"/>
          </w:tcPr>
          <w:p>
            <w:pPr>
              <w:spacing w:line="240" w:lineRule="auto"/>
              <w:ind w:firstLine="0" w:firstLineChars="0"/>
              <w:jc w:val="center"/>
              <w:rPr>
                <w:color w:val="auto"/>
                <w:sz w:val="21"/>
                <w:szCs w:val="21"/>
              </w:rPr>
            </w:pPr>
            <w:r>
              <w:rPr>
                <w:color w:val="auto"/>
                <w:sz w:val="21"/>
                <w:szCs w:val="21"/>
              </w:rPr>
              <w:t>0</w:t>
            </w:r>
          </w:p>
        </w:tc>
        <w:tc>
          <w:tcPr>
            <w:tcW w:w="959" w:type="pct"/>
            <w:vAlign w:val="center"/>
          </w:tcPr>
          <w:p>
            <w:pPr>
              <w:spacing w:line="240" w:lineRule="auto"/>
              <w:ind w:firstLine="0" w:firstLineChars="0"/>
              <w:jc w:val="center"/>
              <w:rPr>
                <w:color w:val="auto"/>
                <w:sz w:val="21"/>
                <w:szCs w:val="21"/>
              </w:rPr>
            </w:pPr>
            <w:r>
              <w:rPr>
                <w:rFonts w:hint="eastAsia"/>
                <w:color w:val="auto"/>
                <w:sz w:val="21"/>
                <w:szCs w:val="21"/>
              </w:rPr>
              <w:t>环卫部门定期清运</w:t>
            </w:r>
          </w:p>
        </w:tc>
      </w:tr>
    </w:tbl>
    <w:p>
      <w:pPr>
        <w:ind w:firstLine="480"/>
        <w:rPr>
          <w:color w:val="auto"/>
        </w:rPr>
      </w:pPr>
      <w:r>
        <w:rPr>
          <w:color w:val="auto"/>
        </w:rPr>
        <w:br w:type="page"/>
      </w:r>
    </w:p>
    <w:p>
      <w:pPr>
        <w:pStyle w:val="8"/>
        <w:spacing w:before="0" w:beforeLines="0" w:after="0" w:afterLines="0" w:line="360" w:lineRule="auto"/>
        <w:rPr>
          <w:rStyle w:val="54"/>
          <w:b/>
          <w:bCs/>
          <w:color w:val="auto"/>
        </w:rPr>
      </w:pPr>
      <w:bookmarkStart w:id="210" w:name="_Toc30648"/>
      <w:bookmarkStart w:id="211" w:name="_Toc24139"/>
      <w:r>
        <w:rPr>
          <w:rStyle w:val="54"/>
          <w:rFonts w:hint="eastAsia"/>
          <w:b/>
          <w:bCs/>
          <w:color w:val="auto"/>
        </w:rPr>
        <w:t>2.6清洁生产分析</w:t>
      </w:r>
      <w:bookmarkEnd w:id="210"/>
    </w:p>
    <w:p>
      <w:pPr>
        <w:ind w:firstLine="480"/>
        <w:rPr>
          <w:color w:val="auto"/>
        </w:rPr>
      </w:pPr>
      <w:r>
        <w:rPr>
          <w:color w:val="auto"/>
        </w:rPr>
        <w:t>清洁生产是指在生产全过程和产品生命周期中持续地运用整体预防污染的战略，以达到减少对人类和生态环境的危害。以清洁的原料、清洁的生产过程为基础，生产清洁的产品，采取有效的污染物治理措施，并从优化工艺、改进设备、加强管理等方面入手，通过降低生产过程中的能耗、物耗，达到提高产品质量、降低成本、降低排污的目的。清洁生产是实现可持续发展的重要措施之一。</w:t>
      </w:r>
    </w:p>
    <w:p>
      <w:pPr>
        <w:ind w:firstLine="480"/>
        <w:rPr>
          <w:color w:val="auto"/>
        </w:rPr>
      </w:pPr>
      <w:r>
        <w:rPr>
          <w:color w:val="auto"/>
        </w:rPr>
        <w:t>本次评价从原料及产品清洁性、生产工艺及设备先进性、资源能源利用、污染排放控制等方面进行全面分析，说明项目清洁生产水平，并提出进一步实施清洁生产的建议</w:t>
      </w:r>
      <w:r>
        <w:rPr>
          <w:rFonts w:hint="eastAsia"/>
          <w:color w:val="auto"/>
        </w:rPr>
        <w:t>。</w:t>
      </w:r>
    </w:p>
    <w:p>
      <w:pPr>
        <w:pStyle w:val="2"/>
        <w:spacing w:after="0"/>
        <w:ind w:firstLine="480"/>
        <w:rPr>
          <w:color w:val="auto"/>
        </w:rPr>
      </w:pPr>
      <w:r>
        <w:rPr>
          <w:rFonts w:hint="eastAsia"/>
          <w:color w:val="auto"/>
        </w:rPr>
        <w:t>1、</w:t>
      </w:r>
      <w:r>
        <w:rPr>
          <w:color w:val="auto"/>
        </w:rPr>
        <w:t>原料及产品清洁性</w:t>
      </w:r>
    </w:p>
    <w:p>
      <w:pPr>
        <w:keepNext w:val="0"/>
        <w:keepLines w:val="0"/>
        <w:widowControl/>
        <w:suppressLineNumbers w:val="0"/>
        <w:jc w:val="left"/>
        <w:rPr>
          <w:rFonts w:hint="eastAsia"/>
          <w:color w:val="auto"/>
        </w:rPr>
      </w:pPr>
      <w:r>
        <w:rPr>
          <w:rFonts w:hint="eastAsia"/>
          <w:color w:val="auto"/>
        </w:rPr>
        <w:t>拟建项目原辅材料采用乳酸，催化剂采用</w:t>
      </w:r>
      <w:r>
        <w:rPr>
          <w:rFonts w:hint="eastAsia"/>
          <w:color w:val="auto"/>
          <w:lang w:eastAsia="zh-CN"/>
        </w:rPr>
        <w:t>催化剂</w:t>
      </w:r>
      <w:r>
        <w:rPr>
          <w:rFonts w:hint="eastAsia"/>
          <w:color w:val="auto"/>
        </w:rPr>
        <w:t>、</w:t>
      </w:r>
      <w:r>
        <w:rPr>
          <w:rFonts w:hint="eastAsia"/>
          <w:color w:val="auto"/>
          <w:lang w:eastAsia="zh-CN"/>
        </w:rPr>
        <w:t>催化剂</w:t>
      </w:r>
      <w:r>
        <w:rPr>
          <w:rFonts w:hint="eastAsia"/>
          <w:color w:val="auto"/>
        </w:rPr>
        <w:t>、</w:t>
      </w:r>
      <w:r>
        <w:rPr>
          <w:rFonts w:hint="eastAsia"/>
          <w:color w:val="auto"/>
          <w:lang w:eastAsia="zh-CN"/>
        </w:rPr>
        <w:t>催化剂</w:t>
      </w:r>
      <w:r>
        <w:rPr>
          <w:rFonts w:hint="eastAsia"/>
          <w:color w:val="auto"/>
        </w:rPr>
        <w:t>、</w:t>
      </w:r>
      <w:r>
        <w:rPr>
          <w:rFonts w:hint="eastAsia"/>
          <w:color w:val="auto"/>
          <w:lang w:eastAsia="zh-CN"/>
        </w:rPr>
        <w:t>催化剂</w:t>
      </w:r>
      <w:r>
        <w:rPr>
          <w:rFonts w:hint="eastAsia"/>
          <w:color w:val="auto"/>
        </w:rPr>
        <w:t>、</w:t>
      </w:r>
      <w:r>
        <w:rPr>
          <w:rFonts w:hint="eastAsia"/>
          <w:color w:val="auto"/>
          <w:lang w:eastAsia="zh-CN"/>
        </w:rPr>
        <w:t>催化剂</w:t>
      </w:r>
      <w:r>
        <w:rPr>
          <w:rFonts w:hint="eastAsia"/>
          <w:color w:val="auto"/>
        </w:rPr>
        <w:t>，生产过程较清洁，销售及使用过程中对环境影响较小，回收和综合利用较容易且有价值，产品无毒无害可降解。</w:t>
      </w:r>
    </w:p>
    <w:p>
      <w:pPr>
        <w:keepNext w:val="0"/>
        <w:keepLines w:val="0"/>
        <w:widowControl/>
        <w:suppressLineNumbers w:val="0"/>
        <w:jc w:val="left"/>
        <w:rPr>
          <w:color w:val="auto"/>
        </w:rPr>
      </w:pPr>
      <w:r>
        <w:rPr>
          <w:rFonts w:ascii="CIDFont" w:hAnsi="CIDFont" w:eastAsia="CIDFont" w:cs="CIDFont"/>
          <w:color w:val="auto"/>
          <w:kern w:val="0"/>
          <w:sz w:val="24"/>
          <w:szCs w:val="24"/>
          <w:lang w:val="en-US" w:eastAsia="zh-CN" w:bidi="ar"/>
        </w:rPr>
        <w:t>聚乳酸是以乳酸为主要原料聚合得到的聚合物，原料来源充分而且可以再生。聚乳</w:t>
      </w:r>
      <w:r>
        <w:rPr>
          <w:rFonts w:hint="default" w:ascii="CIDFont" w:hAnsi="CIDFont" w:eastAsia="CIDFont" w:cs="CIDFont"/>
          <w:color w:val="auto"/>
          <w:kern w:val="0"/>
          <w:sz w:val="24"/>
          <w:szCs w:val="24"/>
          <w:lang w:val="en-US" w:eastAsia="zh-CN" w:bidi="ar"/>
        </w:rPr>
        <w:t>酸的生产过程无污染，而且产品可以生物降解，实现在自然界中的循环，因此是理想的绿色高分子材料。利用聚乳酸成型的生物基塑料有广泛的应用，包括家电及电子产品外壳，可生物降解的医疗植入物，罐、杯、瓶和包装材料等</w:t>
      </w:r>
      <w:r>
        <w:rPr>
          <w:rFonts w:hint="eastAsia" w:ascii="CIDFont" w:hAnsi="CIDFont" w:eastAsia="CIDFont" w:cs="CIDFont"/>
          <w:color w:val="auto"/>
          <w:kern w:val="0"/>
          <w:sz w:val="24"/>
          <w:szCs w:val="24"/>
          <w:lang w:val="en-US" w:eastAsia="zh-CN" w:bidi="ar"/>
        </w:rPr>
        <w:t>。</w:t>
      </w:r>
    </w:p>
    <w:p>
      <w:pPr>
        <w:pStyle w:val="2"/>
        <w:spacing w:after="0"/>
        <w:ind w:firstLine="480"/>
        <w:rPr>
          <w:color w:val="auto"/>
        </w:rPr>
      </w:pPr>
      <w:r>
        <w:rPr>
          <w:rFonts w:hint="eastAsia"/>
          <w:color w:val="auto"/>
        </w:rPr>
        <w:t>2、生产工艺和装备先进性</w:t>
      </w:r>
    </w:p>
    <w:p>
      <w:pPr>
        <w:keepNext w:val="0"/>
        <w:keepLines w:val="0"/>
        <w:widowControl/>
        <w:suppressLineNumbers w:val="0"/>
        <w:jc w:val="left"/>
        <w:rPr>
          <w:color w:val="auto"/>
        </w:rPr>
      </w:pPr>
      <w:r>
        <w:rPr>
          <w:rFonts w:ascii="CIDFont" w:hAnsi="CIDFont" w:eastAsia="CIDFont" w:cs="CIDFont"/>
          <w:color w:val="auto"/>
          <w:kern w:val="0"/>
          <w:sz w:val="24"/>
          <w:szCs w:val="24"/>
          <w:lang w:val="en-US" w:eastAsia="zh-CN" w:bidi="ar"/>
        </w:rPr>
        <w:t>拟建项目共</w:t>
      </w:r>
      <w:r>
        <w:rPr>
          <w:rFonts w:hint="eastAsia" w:ascii="CIDFont" w:hAnsi="CIDFont" w:eastAsia="CIDFont" w:cs="CIDFont"/>
          <w:color w:val="auto"/>
          <w:kern w:val="0"/>
          <w:sz w:val="24"/>
          <w:szCs w:val="24"/>
          <w:lang w:val="en-US" w:eastAsia="zh-CN" w:bidi="ar"/>
        </w:rPr>
        <w:t>两种</w:t>
      </w:r>
      <w:r>
        <w:rPr>
          <w:rFonts w:ascii="CIDFont" w:hAnsi="CIDFont" w:eastAsia="CIDFont" w:cs="CIDFont"/>
          <w:color w:val="auto"/>
          <w:kern w:val="0"/>
          <w:sz w:val="24"/>
          <w:szCs w:val="24"/>
          <w:lang w:val="en-US" w:eastAsia="zh-CN" w:bidi="ar"/>
        </w:rPr>
        <w:t>种产品</w:t>
      </w:r>
      <w:r>
        <w:rPr>
          <w:rFonts w:hint="eastAsia" w:ascii="CIDFont" w:hAnsi="CIDFont" w:eastAsia="CIDFont" w:cs="CIDFont"/>
          <w:color w:val="auto"/>
          <w:kern w:val="0"/>
          <w:sz w:val="24"/>
          <w:szCs w:val="24"/>
          <w:lang w:val="en-US" w:eastAsia="zh-CN" w:bidi="ar"/>
        </w:rPr>
        <w:t>丙交酯、</w:t>
      </w:r>
      <w:r>
        <w:rPr>
          <w:rFonts w:ascii="CIDFont" w:hAnsi="CIDFont" w:eastAsia="CIDFont" w:cs="CIDFont"/>
          <w:color w:val="auto"/>
          <w:kern w:val="0"/>
          <w:sz w:val="24"/>
          <w:szCs w:val="24"/>
          <w:lang w:val="en-US" w:eastAsia="zh-CN" w:bidi="ar"/>
        </w:rPr>
        <w:t>聚乳酸。以玉米</w:t>
      </w:r>
      <w:r>
        <w:rPr>
          <w:rFonts w:hint="eastAsia" w:ascii="CIDFont" w:hAnsi="CIDFont" w:eastAsia="CIDFont" w:cs="CIDFont"/>
          <w:color w:val="auto"/>
          <w:kern w:val="0"/>
          <w:sz w:val="24"/>
          <w:szCs w:val="24"/>
          <w:lang w:val="en-US" w:eastAsia="zh-CN" w:bidi="ar"/>
        </w:rPr>
        <w:t>发酵的乳酸</w:t>
      </w:r>
      <w:r>
        <w:rPr>
          <w:rFonts w:ascii="CIDFont" w:hAnsi="CIDFont" w:eastAsia="CIDFont" w:cs="CIDFont"/>
          <w:color w:val="auto"/>
          <w:kern w:val="0"/>
          <w:sz w:val="24"/>
          <w:szCs w:val="24"/>
          <w:lang w:val="en-US" w:eastAsia="zh-CN" w:bidi="ar"/>
        </w:rPr>
        <w:t>为原料，</w:t>
      </w:r>
      <w:r>
        <w:rPr>
          <w:rFonts w:hint="default" w:ascii="CIDFont" w:hAnsi="CIDFont" w:eastAsia="CIDFont" w:cs="CIDFont"/>
          <w:color w:val="auto"/>
          <w:kern w:val="0"/>
          <w:sz w:val="24"/>
          <w:szCs w:val="24"/>
          <w:lang w:val="en-US" w:eastAsia="zh-CN" w:bidi="ar"/>
        </w:rPr>
        <w:t>在经过</w:t>
      </w:r>
      <w:r>
        <w:rPr>
          <w:rFonts w:hint="eastAsia" w:ascii="CIDFont" w:hAnsi="CIDFont" w:eastAsia="CIDFont" w:cs="CIDFont"/>
          <w:color w:val="auto"/>
          <w:kern w:val="0"/>
          <w:sz w:val="24"/>
          <w:szCs w:val="24"/>
          <w:lang w:val="en-US" w:eastAsia="zh-CN" w:bidi="ar"/>
        </w:rPr>
        <w:t>脱水</w:t>
      </w:r>
      <w:r>
        <w:rPr>
          <w:rFonts w:hint="default" w:ascii="CIDFont" w:hAnsi="CIDFont" w:eastAsia="CIDFont" w:cs="CIDFont"/>
          <w:color w:val="auto"/>
          <w:kern w:val="0"/>
          <w:sz w:val="24"/>
          <w:szCs w:val="24"/>
          <w:lang w:val="en-US" w:eastAsia="zh-CN" w:bidi="ar"/>
        </w:rPr>
        <w:t>、</w:t>
      </w:r>
      <w:r>
        <w:rPr>
          <w:rFonts w:hint="eastAsia" w:ascii="CIDFont" w:hAnsi="CIDFont" w:eastAsia="CIDFont" w:cs="CIDFont"/>
          <w:color w:val="auto"/>
          <w:kern w:val="0"/>
          <w:sz w:val="24"/>
          <w:szCs w:val="24"/>
          <w:lang w:val="en-US" w:eastAsia="zh-CN" w:bidi="ar"/>
        </w:rPr>
        <w:t>酯化、提纯</w:t>
      </w:r>
      <w:r>
        <w:rPr>
          <w:rFonts w:hint="default" w:ascii="CIDFont" w:hAnsi="CIDFont" w:eastAsia="CIDFont" w:cs="CIDFont"/>
          <w:color w:val="auto"/>
          <w:kern w:val="0"/>
          <w:sz w:val="24"/>
          <w:szCs w:val="24"/>
          <w:lang w:val="en-US" w:eastAsia="zh-CN" w:bidi="ar"/>
        </w:rPr>
        <w:t>等</w:t>
      </w:r>
      <w:r>
        <w:rPr>
          <w:rFonts w:hint="default" w:ascii="Times New Roman" w:hAnsi="Times New Roman" w:eastAsia="宋体" w:cs="Times New Roman"/>
          <w:color w:val="auto"/>
          <w:lang w:val="en-US" w:eastAsia="zh-CN"/>
        </w:rPr>
        <w:t>生产工艺制</w:t>
      </w:r>
      <w:r>
        <w:rPr>
          <w:rFonts w:hint="eastAsia" w:ascii="Times New Roman" w:hAnsi="Times New Roman" w:eastAsia="宋体" w:cs="Times New Roman"/>
          <w:color w:val="auto"/>
          <w:lang w:val="en-US" w:eastAsia="zh-CN"/>
        </w:rPr>
        <w:t>成丙交酯</w:t>
      </w:r>
      <w:r>
        <w:rPr>
          <w:rFonts w:hint="default" w:ascii="Times New Roman" w:hAnsi="Times New Roman" w:eastAsia="宋体" w:cs="Times New Roman"/>
          <w:color w:val="auto"/>
          <w:lang w:val="en-US" w:eastAsia="zh-CN"/>
        </w:rPr>
        <w:t>，再以</w:t>
      </w:r>
      <w:r>
        <w:rPr>
          <w:rFonts w:hint="eastAsia" w:ascii="Times New Roman" w:hAnsi="Times New Roman" w:eastAsia="宋体" w:cs="Times New Roman"/>
          <w:color w:val="auto"/>
          <w:lang w:val="en-US" w:eastAsia="zh-CN"/>
        </w:rPr>
        <w:t>丙交酯</w:t>
      </w:r>
      <w:r>
        <w:rPr>
          <w:rFonts w:hint="default" w:ascii="Times New Roman" w:hAnsi="Times New Roman" w:eastAsia="宋体" w:cs="Times New Roman"/>
          <w:color w:val="auto"/>
          <w:lang w:val="en-US" w:eastAsia="zh-CN"/>
        </w:rPr>
        <w:t>为原料生产聚乳酸。这一套生产工艺生产成本低，比以石油产品为原料生产类似聚合物</w:t>
      </w:r>
      <w:r>
        <w:rPr>
          <w:rFonts w:hint="eastAsia" w:ascii="Times New Roman" w:hAnsi="Times New Roman" w:eastAsia="宋体" w:cs="Times New Roman"/>
          <w:color w:val="auto"/>
          <w:lang w:val="en-US" w:eastAsia="zh-CN"/>
        </w:rPr>
        <w:t>能耗低30%~50%</w:t>
      </w:r>
      <w:r>
        <w:rPr>
          <w:rFonts w:hint="default" w:ascii="Times New Roman" w:hAnsi="Times New Roman" w:eastAsia="宋体" w:cs="Times New Roman"/>
          <w:color w:val="auto"/>
          <w:lang w:val="en-US" w:eastAsia="zh-CN"/>
        </w:rPr>
        <w:t>。生产过程中产生的 VOCs 由</w:t>
      </w:r>
      <w:r>
        <w:rPr>
          <w:rFonts w:hint="eastAsia" w:cs="Times New Roman"/>
          <w:color w:val="auto"/>
          <w:lang w:val="en-US" w:eastAsia="zh-CN"/>
        </w:rPr>
        <w:t>碱喷淋</w:t>
      </w:r>
      <w:r>
        <w:rPr>
          <w:rFonts w:hint="eastAsia" w:ascii="Times New Roman" w:hAnsi="Times New Roman" w:eastAsia="宋体" w:cs="Times New Roman"/>
          <w:color w:val="auto"/>
          <w:lang w:val="en-US" w:eastAsia="zh-CN"/>
        </w:rPr>
        <w:t>+活性炭吸附</w:t>
      </w:r>
      <w:r>
        <w:rPr>
          <w:rFonts w:hint="default" w:ascii="Times New Roman" w:hAnsi="Times New Roman" w:eastAsia="宋体" w:cs="Times New Roman"/>
          <w:color w:val="auto"/>
          <w:lang w:val="en-US" w:eastAsia="zh-CN"/>
        </w:rPr>
        <w:t>处理，通过排气筒排放；产生的冷凝水可回用；副产物</w:t>
      </w:r>
      <w:r>
        <w:rPr>
          <w:rFonts w:hint="eastAsia" w:ascii="Times New Roman" w:hAnsi="Times New Roman" w:eastAsia="宋体" w:cs="Times New Roman"/>
          <w:color w:val="auto"/>
          <w:lang w:val="en-US" w:eastAsia="zh-CN"/>
        </w:rPr>
        <w:t>次级乳酸</w:t>
      </w:r>
      <w:r>
        <w:rPr>
          <w:rFonts w:hint="default" w:ascii="Times New Roman" w:hAnsi="Times New Roman" w:eastAsia="宋体" w:cs="Times New Roman"/>
          <w:color w:val="auto"/>
          <w:lang w:val="en-US" w:eastAsia="zh-CN"/>
        </w:rPr>
        <w:t>可外售作饲料</w:t>
      </w:r>
      <w:r>
        <w:rPr>
          <w:rFonts w:hint="eastAsia" w:ascii="Times New Roman" w:hAnsi="Times New Roman" w:eastAsia="宋体" w:cs="Times New Roman"/>
          <w:color w:val="auto"/>
          <w:lang w:val="en-US" w:eastAsia="zh-CN"/>
        </w:rPr>
        <w:t>。</w:t>
      </w:r>
    </w:p>
    <w:p>
      <w:pPr>
        <w:ind w:firstLine="480"/>
        <w:rPr>
          <w:color w:val="auto"/>
        </w:rPr>
      </w:pPr>
      <w:r>
        <w:rPr>
          <w:rFonts w:hint="eastAsia"/>
          <w:color w:val="auto"/>
        </w:rPr>
        <w:t>拟建</w:t>
      </w:r>
      <w:r>
        <w:rPr>
          <w:color w:val="auto"/>
        </w:rPr>
        <w:t>项目生产工艺、技术均属于</w:t>
      </w:r>
      <w:r>
        <w:rPr>
          <w:rFonts w:hint="eastAsia"/>
          <w:color w:val="auto"/>
        </w:rPr>
        <w:t>先进</w:t>
      </w:r>
      <w:r>
        <w:rPr>
          <w:color w:val="auto"/>
        </w:rPr>
        <w:t>、可靠的工艺技术。具有运行安全可靠，操作简单，维修方便，减少排污等优势。本工程实施后将实现装置控制、管理一体化，生产装置、公用工程及辅助系统的自动控制具有国内较先进水平</w:t>
      </w:r>
      <w:r>
        <w:rPr>
          <w:rFonts w:hint="eastAsia"/>
          <w:color w:val="auto"/>
        </w:rPr>
        <w:t>。</w:t>
      </w:r>
    </w:p>
    <w:p>
      <w:pPr>
        <w:pStyle w:val="2"/>
        <w:spacing w:after="0"/>
        <w:ind w:firstLine="480"/>
        <w:rPr>
          <w:color w:val="auto"/>
        </w:rPr>
      </w:pPr>
      <w:r>
        <w:rPr>
          <w:rFonts w:hint="eastAsia"/>
          <w:color w:val="auto"/>
        </w:rPr>
        <w:t>3、资源能源利用</w:t>
      </w:r>
    </w:p>
    <w:p>
      <w:pPr>
        <w:pStyle w:val="2"/>
        <w:spacing w:after="0"/>
        <w:ind w:firstLine="480"/>
        <w:rPr>
          <w:color w:val="auto"/>
        </w:rPr>
      </w:pPr>
      <w:r>
        <w:rPr>
          <w:color w:val="auto"/>
        </w:rPr>
        <w:t>本项目主要水消耗为</w:t>
      </w:r>
      <w:r>
        <w:rPr>
          <w:color w:val="auto"/>
          <w:szCs w:val="22"/>
        </w:rPr>
        <w:t>循环冷却水补充水、地面冲洗用水、喷淋塔用水</w:t>
      </w:r>
      <w:r>
        <w:rPr>
          <w:color w:val="auto"/>
        </w:rPr>
        <w:t>。</w:t>
      </w:r>
      <w:r>
        <w:rPr>
          <w:rFonts w:hint="eastAsia"/>
          <w:color w:val="auto"/>
        </w:rPr>
        <w:t>生产工艺不消耗新鲜水，水资源利用较小。</w:t>
      </w:r>
      <w:r>
        <w:rPr>
          <w:color w:val="auto"/>
        </w:rPr>
        <w:t>本项目采用低能耗的先进生产工艺，选用节能新设备，工艺设计通过合理的换热，充分利用流程内部冷量。项目采用计算机优化控制、优化装置的操作条件，达到提高液体产品收率、降低能耗的目的。</w:t>
      </w:r>
    </w:p>
    <w:p>
      <w:pPr>
        <w:ind w:firstLine="480"/>
        <w:rPr>
          <w:color w:val="auto"/>
        </w:rPr>
      </w:pPr>
      <w:r>
        <w:rPr>
          <w:rFonts w:hint="eastAsia"/>
          <w:color w:val="auto"/>
        </w:rPr>
        <w:t>4、污染物排放控制</w:t>
      </w:r>
    </w:p>
    <w:p>
      <w:pPr>
        <w:ind w:firstLine="480"/>
        <w:rPr>
          <w:color w:val="auto"/>
        </w:rPr>
      </w:pPr>
      <w:r>
        <w:rPr>
          <w:rFonts w:hint="eastAsia"/>
          <w:color w:val="auto"/>
        </w:rPr>
        <w:t>（1）废气</w:t>
      </w:r>
    </w:p>
    <w:p>
      <w:pPr>
        <w:pStyle w:val="2"/>
        <w:spacing w:after="0"/>
        <w:ind w:firstLine="480"/>
        <w:rPr>
          <w:color w:val="auto"/>
        </w:rPr>
      </w:pPr>
      <w:r>
        <w:rPr>
          <w:rFonts w:hint="eastAsia"/>
          <w:color w:val="auto"/>
        </w:rPr>
        <w:t>拟建</w:t>
      </w:r>
      <w:r>
        <w:rPr>
          <w:color w:val="auto"/>
        </w:rPr>
        <w:t>项目</w:t>
      </w:r>
      <w:r>
        <w:rPr>
          <w:rFonts w:hint="eastAsia"/>
          <w:color w:val="auto"/>
        </w:rPr>
        <w:t>有组织</w:t>
      </w:r>
      <w:r>
        <w:rPr>
          <w:color w:val="auto"/>
        </w:rPr>
        <w:t>有机废气采用</w:t>
      </w:r>
      <w:r>
        <w:rPr>
          <w:rFonts w:hint="eastAsia"/>
          <w:color w:val="auto"/>
          <w:lang w:eastAsia="zh-CN"/>
        </w:rPr>
        <w:t>碱喷淋</w:t>
      </w:r>
      <w:r>
        <w:rPr>
          <w:rFonts w:hint="eastAsia"/>
          <w:color w:val="auto"/>
        </w:rPr>
        <w:t>+</w:t>
      </w:r>
      <w:r>
        <w:rPr>
          <w:color w:val="auto"/>
        </w:rPr>
        <w:t>活性炭吸附处理后，VOCs排放满足《挥发性有机物排放标准 第6 部分：有机化工行业》（DB 37/ 2801.6-2018）表1 有机化工企业或生产设施VOCs 排放限值要求（3.0kg/h，60mg/m</w:t>
      </w:r>
      <w:r>
        <w:rPr>
          <w:color w:val="auto"/>
          <w:vertAlign w:val="superscript"/>
        </w:rPr>
        <w:t>3</w:t>
      </w:r>
      <w:r>
        <w:rPr>
          <w:color w:val="auto"/>
        </w:rPr>
        <w:t>）；</w:t>
      </w:r>
      <w:r>
        <w:rPr>
          <w:rFonts w:hint="eastAsia"/>
          <w:color w:val="auto"/>
        </w:rPr>
        <w:t>颗粒物采用旋风除尘器过滤后，颗粒物</w:t>
      </w:r>
      <w:r>
        <w:rPr>
          <w:color w:val="auto"/>
        </w:rPr>
        <w:t>排放满足</w:t>
      </w:r>
      <w:r>
        <w:rPr>
          <w:rFonts w:hint="eastAsia"/>
          <w:color w:val="auto"/>
        </w:rPr>
        <w:t>《区域性大气污染物综合排放标准》（DB37/2376-2019）表1重点控制区大气污染物排放浓度限值（10</w:t>
      </w:r>
      <w:r>
        <w:rPr>
          <w:color w:val="auto"/>
        </w:rPr>
        <w:t>mg/m</w:t>
      </w:r>
      <w:r>
        <w:rPr>
          <w:color w:val="auto"/>
          <w:vertAlign w:val="superscript"/>
        </w:rPr>
        <w:t>3</w:t>
      </w:r>
      <w:r>
        <w:rPr>
          <w:rFonts w:hint="eastAsia"/>
          <w:color w:val="auto"/>
        </w:rPr>
        <w:t>）</w:t>
      </w:r>
      <w:r>
        <w:rPr>
          <w:color w:val="auto"/>
        </w:rPr>
        <w:t>。</w:t>
      </w:r>
    </w:p>
    <w:p>
      <w:pPr>
        <w:pStyle w:val="2"/>
        <w:spacing w:after="0"/>
        <w:ind w:firstLine="480"/>
        <w:rPr>
          <w:color w:val="auto"/>
        </w:rPr>
      </w:pPr>
      <w:r>
        <w:rPr>
          <w:color w:val="auto"/>
        </w:rPr>
        <w:t>厂界无组织VOCs满足《挥发性有机物排放标准 第6 部分：有机化工行业》（DB 37/ 2801.6-2018）表3厂界监控点浓度限值（2.0mg/m</w:t>
      </w:r>
      <w:r>
        <w:rPr>
          <w:color w:val="auto"/>
          <w:vertAlign w:val="superscript"/>
        </w:rPr>
        <w:t>3</w:t>
      </w:r>
      <w:r>
        <w:rPr>
          <w:color w:val="auto"/>
        </w:rPr>
        <w:t>）；无组织颗粒物厂界浓度满足《大气污染物综合排放标准》（GB16297-1996）表2中无组织排放监控浓度限值要求（颗粒物1.0mg/m</w:t>
      </w:r>
      <w:r>
        <w:rPr>
          <w:color w:val="auto"/>
          <w:vertAlign w:val="superscript"/>
        </w:rPr>
        <w:t>3</w:t>
      </w:r>
      <w:r>
        <w:rPr>
          <w:color w:val="auto"/>
        </w:rPr>
        <w:t>）。</w:t>
      </w:r>
      <w:r>
        <w:rPr>
          <w:rFonts w:hint="eastAsia"/>
          <w:color w:val="auto"/>
          <w:lang w:val="en-US" w:eastAsia="zh-CN"/>
        </w:rPr>
        <w:t>污水处理站</w:t>
      </w:r>
      <w:r>
        <w:rPr>
          <w:rFonts w:hint="eastAsia"/>
          <w:color w:val="auto"/>
        </w:rPr>
        <w:t>无组织硫化氢、氨</w:t>
      </w:r>
      <w:r>
        <w:rPr>
          <w:rFonts w:hint="eastAsia"/>
          <w:color w:val="auto"/>
          <w:lang w:eastAsia="zh-CN"/>
        </w:rPr>
        <w:t>、</w:t>
      </w:r>
      <w:r>
        <w:rPr>
          <w:rFonts w:hint="eastAsia"/>
          <w:color w:val="auto"/>
          <w:lang w:val="en-US" w:eastAsia="zh-CN"/>
        </w:rPr>
        <w:t>臭气浓度</w:t>
      </w:r>
      <w:r>
        <w:rPr>
          <w:rFonts w:hint="eastAsia"/>
          <w:color w:val="auto"/>
        </w:rPr>
        <w:t>执行《有机化工企业污水处理厂（站）挥发性有机物及恶臭污染物排放标准》（DB37/3161-2018）表2厂界监控点浓度限值</w:t>
      </w:r>
      <w:r>
        <w:rPr>
          <w:rFonts w:hint="eastAsia"/>
          <w:color w:val="auto"/>
          <w:lang w:eastAsia="zh-CN"/>
        </w:rPr>
        <w:t>（</w:t>
      </w:r>
      <w:r>
        <w:rPr>
          <w:rFonts w:hint="eastAsia"/>
          <w:color w:val="auto"/>
          <w:lang w:val="en-US" w:eastAsia="zh-CN"/>
        </w:rPr>
        <w:t>硫化氢0.03</w:t>
      </w:r>
      <w:r>
        <w:rPr>
          <w:color w:val="auto"/>
        </w:rPr>
        <w:t>mg/m</w:t>
      </w:r>
      <w:r>
        <w:rPr>
          <w:color w:val="auto"/>
          <w:vertAlign w:val="superscript"/>
        </w:rPr>
        <w:t>3</w:t>
      </w:r>
      <w:r>
        <w:rPr>
          <w:rFonts w:hint="eastAsia"/>
          <w:color w:val="auto"/>
          <w:vertAlign w:val="baseline"/>
          <w:lang w:eastAsia="zh-CN"/>
        </w:rPr>
        <w:t>、</w:t>
      </w:r>
      <w:r>
        <w:rPr>
          <w:rFonts w:hint="eastAsia"/>
          <w:color w:val="auto"/>
          <w:vertAlign w:val="baseline"/>
          <w:lang w:val="en-US" w:eastAsia="zh-CN"/>
        </w:rPr>
        <w:t>氨1.0</w:t>
      </w:r>
      <w:r>
        <w:rPr>
          <w:color w:val="auto"/>
        </w:rPr>
        <w:t>mg/m</w:t>
      </w:r>
      <w:r>
        <w:rPr>
          <w:color w:val="auto"/>
          <w:vertAlign w:val="superscript"/>
        </w:rPr>
        <w:t>3</w:t>
      </w:r>
      <w:r>
        <w:rPr>
          <w:rFonts w:hint="eastAsia"/>
          <w:color w:val="auto"/>
          <w:vertAlign w:val="baseline"/>
          <w:lang w:eastAsia="zh-CN"/>
        </w:rPr>
        <w:t>、</w:t>
      </w:r>
      <w:r>
        <w:rPr>
          <w:rFonts w:hint="eastAsia"/>
          <w:color w:val="auto"/>
          <w:vertAlign w:val="baseline"/>
          <w:lang w:val="en-US" w:eastAsia="zh-CN"/>
        </w:rPr>
        <w:t>臭气浓度20（无量纲）</w:t>
      </w:r>
      <w:r>
        <w:rPr>
          <w:rFonts w:hint="eastAsia"/>
          <w:color w:val="auto"/>
          <w:lang w:eastAsia="zh-CN"/>
        </w:rPr>
        <w:t>）。</w:t>
      </w:r>
    </w:p>
    <w:p>
      <w:pPr>
        <w:ind w:firstLine="480"/>
        <w:rPr>
          <w:color w:val="auto"/>
        </w:rPr>
      </w:pPr>
      <w:r>
        <w:rPr>
          <w:rFonts w:hint="eastAsia"/>
          <w:color w:val="auto"/>
        </w:rPr>
        <w:t>（2）废水</w:t>
      </w:r>
    </w:p>
    <w:p>
      <w:pPr>
        <w:pStyle w:val="2"/>
        <w:spacing w:after="0"/>
        <w:ind w:firstLine="480"/>
        <w:rPr>
          <w:color w:val="auto"/>
        </w:rPr>
      </w:pPr>
      <w:r>
        <w:rPr>
          <w:rFonts w:hint="eastAsia"/>
          <w:color w:val="auto"/>
          <w:lang w:val="en-US" w:eastAsia="zh-CN"/>
        </w:rPr>
        <w:t>生产</w:t>
      </w:r>
      <w:r>
        <w:rPr>
          <w:color w:val="auto"/>
        </w:rPr>
        <w:t>废水</w:t>
      </w:r>
      <w:r>
        <w:rPr>
          <w:rFonts w:hint="eastAsia"/>
          <w:color w:val="auto"/>
        </w:rPr>
        <w:t>经过污水处理站处理后</w:t>
      </w:r>
      <w:r>
        <w:rPr>
          <w:rFonts w:hint="eastAsia"/>
          <w:color w:val="auto"/>
          <w:lang w:val="en-US" w:eastAsia="zh-CN"/>
        </w:rPr>
        <w:t>与生活污水汇合后执行《污水综合排放标准》（GB8978-1996）三级标准及光大水务（淄博）有限公司水质净化三分厂纳管水质要求，</w:t>
      </w:r>
      <w:r>
        <w:rPr>
          <w:rFonts w:hint="eastAsia"/>
          <w:color w:val="auto"/>
        </w:rPr>
        <w:t>排入光大水务（淄博）有限公司水质净化</w:t>
      </w:r>
      <w:r>
        <w:rPr>
          <w:rFonts w:hint="eastAsia"/>
          <w:color w:val="auto"/>
          <w:lang w:eastAsia="zh-CN"/>
        </w:rPr>
        <w:t>三分厂</w:t>
      </w:r>
      <w:r>
        <w:rPr>
          <w:rFonts w:hint="eastAsia"/>
          <w:color w:val="auto"/>
        </w:rPr>
        <w:t>处理</w:t>
      </w:r>
      <w:r>
        <w:rPr>
          <w:color w:val="auto"/>
        </w:rPr>
        <w:t>。</w:t>
      </w:r>
    </w:p>
    <w:p>
      <w:pPr>
        <w:ind w:firstLine="480"/>
        <w:rPr>
          <w:color w:val="auto"/>
        </w:rPr>
      </w:pPr>
      <w:r>
        <w:rPr>
          <w:rFonts w:hint="eastAsia"/>
          <w:color w:val="auto"/>
        </w:rPr>
        <w:t>（3）噪声</w:t>
      </w:r>
    </w:p>
    <w:p>
      <w:pPr>
        <w:pStyle w:val="2"/>
        <w:spacing w:after="0"/>
        <w:ind w:firstLine="480"/>
        <w:rPr>
          <w:color w:val="auto"/>
        </w:rPr>
      </w:pPr>
      <w:r>
        <w:rPr>
          <w:color w:val="auto"/>
        </w:rPr>
        <w:t>本项目主要噪声源为</w:t>
      </w:r>
      <w:r>
        <w:rPr>
          <w:rFonts w:hint="eastAsia"/>
          <w:color w:val="auto"/>
        </w:rPr>
        <w:t>造粒机、振动筛</w:t>
      </w:r>
      <w:r>
        <w:rPr>
          <w:color w:val="auto"/>
        </w:rPr>
        <w:t>、风机、泵类等设备，对以上噪声源将分别采取加隔声罩、基础减振等多种措施进行降噪处理，本项目的厂界噪声均能满足《工业企业厂界环境噪声排放标准》（GB12348-2008）中的</w:t>
      </w:r>
      <w:r>
        <w:rPr>
          <w:rFonts w:hint="eastAsia"/>
          <w:color w:val="auto"/>
          <w:lang w:eastAsia="zh-CN"/>
        </w:rPr>
        <w:t>2类标准</w:t>
      </w:r>
      <w:r>
        <w:rPr>
          <w:color w:val="auto"/>
        </w:rPr>
        <w:t>要求。</w:t>
      </w:r>
    </w:p>
    <w:p>
      <w:pPr>
        <w:ind w:firstLine="480"/>
        <w:rPr>
          <w:color w:val="auto"/>
        </w:rPr>
      </w:pPr>
      <w:r>
        <w:rPr>
          <w:rFonts w:hint="eastAsia"/>
          <w:color w:val="auto"/>
        </w:rPr>
        <w:t>（4）固体废物</w:t>
      </w:r>
    </w:p>
    <w:p>
      <w:pPr>
        <w:pStyle w:val="2"/>
        <w:spacing w:after="0"/>
        <w:ind w:firstLine="480"/>
        <w:rPr>
          <w:color w:val="auto"/>
        </w:rPr>
      </w:pPr>
      <w:r>
        <w:rPr>
          <w:rFonts w:hint="eastAsia"/>
          <w:color w:val="auto"/>
        </w:rPr>
        <w:t>项目固体废物包括</w:t>
      </w:r>
      <w:r>
        <w:rPr>
          <w:color w:val="auto"/>
        </w:rPr>
        <w:t>废包装袋、废包装桶、</w:t>
      </w:r>
      <w:r>
        <w:rPr>
          <w:rFonts w:hint="eastAsia"/>
          <w:color w:val="auto"/>
          <w:lang w:val="en-US" w:eastAsia="zh-CN"/>
        </w:rPr>
        <w:t>高沸物、罐底残渣、</w:t>
      </w:r>
      <w:r>
        <w:rPr>
          <w:color w:val="auto"/>
        </w:rPr>
        <w:t>废活性炭、废润滑油、化验室废试剂瓶、化验室废液、</w:t>
      </w:r>
      <w:r>
        <w:rPr>
          <w:rFonts w:hint="eastAsia"/>
          <w:color w:val="auto"/>
        </w:rPr>
        <w:t>不合格品、</w:t>
      </w:r>
      <w:r>
        <w:rPr>
          <w:color w:val="auto"/>
        </w:rPr>
        <w:t>污水站污泥、</w:t>
      </w:r>
      <w:r>
        <w:rPr>
          <w:rFonts w:hint="eastAsia"/>
          <w:color w:val="auto"/>
          <w:lang w:val="en-US" w:eastAsia="zh-CN"/>
        </w:rPr>
        <w:t>废导热油、</w:t>
      </w:r>
      <w:r>
        <w:rPr>
          <w:color w:val="auto"/>
        </w:rPr>
        <w:t>生活垃圾</w:t>
      </w:r>
      <w:r>
        <w:rPr>
          <w:rFonts w:hint="eastAsia"/>
          <w:color w:val="auto"/>
        </w:rPr>
        <w:t>等。</w:t>
      </w:r>
      <w:r>
        <w:rPr>
          <w:color w:val="auto"/>
        </w:rPr>
        <w:t>废包装袋、废包装桶</w:t>
      </w:r>
      <w:r>
        <w:rPr>
          <w:rFonts w:hint="eastAsia"/>
          <w:color w:val="auto"/>
        </w:rPr>
        <w:t>以及不合格品暂存于一般工业固废暂存间内，收集后统一定期外售至废品回收站；</w:t>
      </w:r>
      <w:r>
        <w:rPr>
          <w:rFonts w:hint="eastAsia"/>
          <w:color w:val="auto"/>
          <w:lang w:val="en-US" w:eastAsia="zh-CN"/>
        </w:rPr>
        <w:t>高沸物、罐底残渣、</w:t>
      </w:r>
      <w:r>
        <w:rPr>
          <w:color w:val="auto"/>
        </w:rPr>
        <w:t>废活性炭、废润滑油、化验室废试剂瓶、化验室废液</w:t>
      </w:r>
      <w:r>
        <w:rPr>
          <w:rFonts w:hint="eastAsia"/>
          <w:color w:val="auto"/>
          <w:lang w:eastAsia="zh-CN"/>
        </w:rPr>
        <w:t>、</w:t>
      </w:r>
      <w:r>
        <w:rPr>
          <w:rFonts w:hint="eastAsia"/>
          <w:color w:val="auto"/>
          <w:lang w:val="en-US" w:eastAsia="zh-CN"/>
        </w:rPr>
        <w:t>废导热油</w:t>
      </w:r>
      <w:r>
        <w:rPr>
          <w:rFonts w:hint="eastAsia"/>
          <w:color w:val="auto"/>
        </w:rPr>
        <w:t>暂存于危险废物暂存间，委托有资质单位处置；污水处理站污泥经厂区污泥脱水机脱水后暂存于一般工业固废暂存间，泥饼定期外运至有资质单位处置；生活垃圾由环卫部门定期清理。</w:t>
      </w:r>
      <w:r>
        <w:rPr>
          <w:color w:val="auto"/>
        </w:rPr>
        <w:t>固体废物全部得到妥善处理</w:t>
      </w:r>
      <w:r>
        <w:rPr>
          <w:rFonts w:hint="eastAsia"/>
          <w:color w:val="auto"/>
        </w:rPr>
        <w:t>。</w:t>
      </w:r>
    </w:p>
    <w:p>
      <w:pPr>
        <w:pStyle w:val="2"/>
        <w:spacing w:after="0"/>
        <w:ind w:firstLine="480"/>
        <w:rPr>
          <w:color w:val="auto"/>
        </w:rPr>
      </w:pPr>
      <w:r>
        <w:rPr>
          <w:rFonts w:hint="eastAsia"/>
          <w:color w:val="auto"/>
        </w:rPr>
        <w:t>拟建项目投产后，</w:t>
      </w:r>
      <w:r>
        <w:rPr>
          <w:color w:val="auto"/>
          <w:kern w:val="0"/>
        </w:rPr>
        <w:t>有组织VOCs排放量为</w:t>
      </w:r>
      <w:r>
        <w:rPr>
          <w:rFonts w:hint="eastAsia"/>
          <w:color w:val="auto"/>
          <w:kern w:val="0"/>
        </w:rPr>
        <w:t>1.676</w:t>
      </w:r>
      <w:r>
        <w:rPr>
          <w:color w:val="auto"/>
          <w:kern w:val="0"/>
        </w:rPr>
        <w:t>t/a</w:t>
      </w:r>
      <w:r>
        <w:rPr>
          <w:rFonts w:hint="eastAsia"/>
          <w:color w:val="auto"/>
          <w:kern w:val="0"/>
        </w:rPr>
        <w:t>，颗粒物排放量为0.133</w:t>
      </w:r>
      <w:r>
        <w:rPr>
          <w:color w:val="auto"/>
          <w:kern w:val="0"/>
        </w:rPr>
        <w:t>t/a</w:t>
      </w:r>
      <w:r>
        <w:rPr>
          <w:rFonts w:hint="eastAsia"/>
          <w:color w:val="auto"/>
          <w:kern w:val="0"/>
        </w:rPr>
        <w:t>、二氧化硫排放量为0.064</w:t>
      </w:r>
      <w:r>
        <w:rPr>
          <w:color w:val="auto"/>
          <w:kern w:val="0"/>
        </w:rPr>
        <w:t>t/a</w:t>
      </w:r>
      <w:r>
        <w:rPr>
          <w:rFonts w:hint="eastAsia"/>
          <w:color w:val="auto"/>
          <w:kern w:val="0"/>
        </w:rPr>
        <w:t>，氮氧化物排放量为0.3</w:t>
      </w:r>
      <w:r>
        <w:rPr>
          <w:color w:val="auto"/>
          <w:kern w:val="0"/>
        </w:rPr>
        <w:t>t/a</w:t>
      </w:r>
      <w:r>
        <w:rPr>
          <w:rFonts w:hint="eastAsia"/>
          <w:color w:val="auto"/>
          <w:kern w:val="0"/>
        </w:rPr>
        <w:t>，氨排放量为0.0032</w:t>
      </w:r>
      <w:r>
        <w:rPr>
          <w:color w:val="auto"/>
          <w:kern w:val="0"/>
        </w:rPr>
        <w:t>t/a</w:t>
      </w:r>
      <w:r>
        <w:rPr>
          <w:rFonts w:hint="eastAsia"/>
          <w:color w:val="auto"/>
          <w:kern w:val="0"/>
        </w:rPr>
        <w:t>，硫化氢排放量为0.00008</w:t>
      </w:r>
      <w:r>
        <w:rPr>
          <w:color w:val="auto"/>
          <w:kern w:val="0"/>
        </w:rPr>
        <w:t>t/a；无组织VOCs、颗粒物</w:t>
      </w:r>
      <w:r>
        <w:rPr>
          <w:rFonts w:hint="eastAsia"/>
          <w:color w:val="auto"/>
          <w:kern w:val="0"/>
        </w:rPr>
        <w:t>、氨、硫化氢</w:t>
      </w:r>
      <w:r>
        <w:rPr>
          <w:color w:val="auto"/>
          <w:kern w:val="0"/>
        </w:rPr>
        <w:t>排放量分别为0.</w:t>
      </w:r>
      <w:r>
        <w:rPr>
          <w:rFonts w:hint="eastAsia"/>
          <w:color w:val="auto"/>
          <w:kern w:val="0"/>
        </w:rPr>
        <w:t>14</w:t>
      </w:r>
      <w:r>
        <w:rPr>
          <w:color w:val="auto"/>
          <w:kern w:val="0"/>
        </w:rPr>
        <w:t>t/a、0.00</w:t>
      </w:r>
      <w:r>
        <w:rPr>
          <w:rFonts w:hint="eastAsia"/>
          <w:color w:val="auto"/>
          <w:kern w:val="0"/>
        </w:rPr>
        <w:t>3</w:t>
      </w:r>
      <w:r>
        <w:rPr>
          <w:color w:val="auto"/>
          <w:kern w:val="0"/>
        </w:rPr>
        <w:t>t/a</w:t>
      </w:r>
      <w:r>
        <w:rPr>
          <w:rFonts w:hint="eastAsia"/>
          <w:color w:val="auto"/>
          <w:kern w:val="0"/>
        </w:rPr>
        <w:t>、0.021</w:t>
      </w:r>
      <w:r>
        <w:rPr>
          <w:color w:val="auto"/>
          <w:kern w:val="0"/>
        </w:rPr>
        <w:t>t/a</w:t>
      </w:r>
      <w:r>
        <w:rPr>
          <w:rFonts w:hint="eastAsia"/>
          <w:color w:val="auto"/>
          <w:kern w:val="0"/>
        </w:rPr>
        <w:t>、0.0005</w:t>
      </w:r>
      <w:r>
        <w:rPr>
          <w:color w:val="auto"/>
          <w:kern w:val="0"/>
        </w:rPr>
        <w:t>t/a</w:t>
      </w:r>
      <w:r>
        <w:rPr>
          <w:rFonts w:hint="eastAsia"/>
          <w:color w:val="auto"/>
          <w:kern w:val="0"/>
        </w:rPr>
        <w:t>。污染物排放实行倍量替代，不影响区域环境整体改善的趋势。</w:t>
      </w:r>
    </w:p>
    <w:p>
      <w:pPr>
        <w:ind w:firstLine="480"/>
        <w:rPr>
          <w:color w:val="auto"/>
        </w:rPr>
      </w:pPr>
      <w:r>
        <w:rPr>
          <w:color w:val="auto"/>
        </w:rPr>
        <w:t>综上，</w:t>
      </w:r>
      <w:r>
        <w:rPr>
          <w:rFonts w:hint="eastAsia"/>
          <w:color w:val="auto"/>
        </w:rPr>
        <w:t>拟建</w:t>
      </w:r>
      <w:r>
        <w:rPr>
          <w:color w:val="auto"/>
        </w:rPr>
        <w:t>项目涉及的原料</w:t>
      </w:r>
      <w:r>
        <w:rPr>
          <w:rFonts w:hint="eastAsia"/>
          <w:color w:val="auto"/>
        </w:rPr>
        <w:t>不具有</w:t>
      </w:r>
      <w:r>
        <w:rPr>
          <w:color w:val="auto"/>
        </w:rPr>
        <w:t>危险性，可保证生产安全和环境安全；采用清洁能源，符合能源政策要求；选用先进的工艺装备；单位产品综合物耗、能耗水平较低；各类污染物达标排放，生产固废全部安全处置；因此</w:t>
      </w:r>
      <w:r>
        <w:rPr>
          <w:rFonts w:hint="eastAsia"/>
          <w:color w:val="auto"/>
        </w:rPr>
        <w:t>拟建项目</w:t>
      </w:r>
      <w:r>
        <w:rPr>
          <w:color w:val="auto"/>
        </w:rPr>
        <w:t>清洁生产能达到国内先进水平。</w:t>
      </w:r>
    </w:p>
    <w:p>
      <w:pPr>
        <w:pStyle w:val="8"/>
        <w:spacing w:before="0" w:beforeLines="0" w:after="0" w:afterLines="0" w:line="360" w:lineRule="auto"/>
        <w:rPr>
          <w:rStyle w:val="54"/>
          <w:b/>
          <w:bCs/>
          <w:color w:val="auto"/>
        </w:rPr>
      </w:pPr>
      <w:bookmarkStart w:id="212" w:name="_Toc18613"/>
      <w:r>
        <w:rPr>
          <w:rStyle w:val="54"/>
          <w:rFonts w:hint="eastAsia"/>
          <w:b/>
          <w:bCs/>
          <w:color w:val="auto"/>
        </w:rPr>
        <w:t>2.7</w:t>
      </w:r>
      <w:r>
        <w:rPr>
          <w:rStyle w:val="54"/>
          <w:b/>
          <w:bCs/>
          <w:color w:val="auto"/>
        </w:rPr>
        <w:t>工程分析小结</w:t>
      </w:r>
      <w:bookmarkEnd w:id="211"/>
      <w:bookmarkEnd w:id="212"/>
    </w:p>
    <w:p>
      <w:pPr>
        <w:numPr>
          <w:ilvl w:val="0"/>
          <w:numId w:val="10"/>
        </w:numPr>
        <w:ind w:firstLine="480"/>
        <w:rPr>
          <w:color w:val="auto"/>
        </w:rPr>
      </w:pPr>
      <w:r>
        <w:rPr>
          <w:rFonts w:hint="eastAsia"/>
          <w:color w:val="auto"/>
          <w:kern w:val="0"/>
        </w:rPr>
        <w:t>拟建</w:t>
      </w:r>
      <w:r>
        <w:rPr>
          <w:color w:val="auto"/>
          <w:kern w:val="0"/>
        </w:rPr>
        <w:t>项目总投资</w:t>
      </w:r>
      <w:r>
        <w:rPr>
          <w:rFonts w:hint="eastAsia"/>
          <w:color w:val="auto"/>
          <w:szCs w:val="24"/>
        </w:rPr>
        <w:t>10000</w:t>
      </w:r>
      <w:r>
        <w:rPr>
          <w:color w:val="auto"/>
          <w:kern w:val="0"/>
        </w:rPr>
        <w:t>万元，建设</w:t>
      </w:r>
      <w:r>
        <w:rPr>
          <w:rFonts w:hint="eastAsia"/>
          <w:color w:val="auto"/>
          <w:szCs w:val="24"/>
        </w:rPr>
        <w:t>年产1200吨丙交酯和1000吨聚乳酸新材料示范线项目</w:t>
      </w:r>
      <w:r>
        <w:rPr>
          <w:color w:val="auto"/>
          <w:kern w:val="0"/>
        </w:rPr>
        <w:t>，建设地点位于</w:t>
      </w:r>
      <w:r>
        <w:rPr>
          <w:color w:val="auto"/>
          <w:szCs w:val="24"/>
        </w:rPr>
        <w:t>淄博市</w:t>
      </w:r>
      <w:r>
        <w:rPr>
          <w:rFonts w:hint="eastAsia"/>
          <w:color w:val="auto"/>
          <w:szCs w:val="24"/>
        </w:rPr>
        <w:t>张店区房镇镇淄博科技工业园兴园路19号</w:t>
      </w:r>
      <w:r>
        <w:rPr>
          <w:color w:val="auto"/>
          <w:kern w:val="0"/>
        </w:rPr>
        <w:t>，</w:t>
      </w:r>
      <w:r>
        <w:rPr>
          <w:rFonts w:hint="eastAsia"/>
          <w:color w:val="auto"/>
        </w:rPr>
        <w:t>租赁淄博自然空间建材有限公司现有厂房及院落，不新增土地。</w:t>
      </w:r>
      <w:r>
        <w:rPr>
          <w:rFonts w:hint="eastAsia"/>
          <w:color w:val="auto"/>
          <w:szCs w:val="24"/>
        </w:rPr>
        <w:t>以玉米、木薯等经天然微生物发酵纯化制备的乳酸为原料，L-乳酸经过常压、真空脱水，脱水后的低聚物进行解聚作用，产生丙交酯。产生的丙交酯经提纯后进行常压脱水、结晶，形成聚乳酸。</w:t>
      </w:r>
    </w:p>
    <w:p>
      <w:pPr>
        <w:numPr>
          <w:ilvl w:val="0"/>
          <w:numId w:val="10"/>
        </w:numPr>
        <w:autoSpaceDE w:val="0"/>
        <w:autoSpaceDN w:val="0"/>
        <w:adjustRightInd w:val="0"/>
        <w:ind w:firstLine="480"/>
        <w:rPr>
          <w:color w:val="auto"/>
          <w:kern w:val="0"/>
        </w:rPr>
      </w:pPr>
      <w:r>
        <w:rPr>
          <w:rFonts w:hint="eastAsia"/>
          <w:color w:val="auto"/>
          <w:kern w:val="0"/>
        </w:rPr>
        <w:t>拟建</w:t>
      </w:r>
      <w:r>
        <w:rPr>
          <w:color w:val="auto"/>
          <w:kern w:val="0"/>
        </w:rPr>
        <w:t>项目符合国家产业政策，项目用地为工业工地，符合</w:t>
      </w:r>
      <w:r>
        <w:rPr>
          <w:rFonts w:hint="eastAsia"/>
          <w:color w:val="auto"/>
          <w:kern w:val="0"/>
        </w:rPr>
        <w:t>淄博科技工业园</w:t>
      </w:r>
      <w:r>
        <w:rPr>
          <w:color w:val="auto"/>
          <w:kern w:val="0"/>
        </w:rPr>
        <w:t>土地利用现状。</w:t>
      </w:r>
    </w:p>
    <w:p>
      <w:pPr>
        <w:ind w:firstLine="480"/>
        <w:rPr>
          <w:color w:val="auto"/>
        </w:rPr>
      </w:pPr>
      <w:r>
        <w:rPr>
          <w:rFonts w:hint="eastAsia"/>
          <w:color w:val="auto"/>
        </w:rPr>
        <w:t>3、拟建</w:t>
      </w:r>
      <w:r>
        <w:rPr>
          <w:color w:val="auto"/>
        </w:rPr>
        <w:t>项目有机废气采用</w:t>
      </w:r>
      <w:r>
        <w:rPr>
          <w:rFonts w:hint="eastAsia"/>
          <w:color w:val="auto"/>
          <w:lang w:eastAsia="zh-CN"/>
        </w:rPr>
        <w:t>碱喷淋</w:t>
      </w:r>
      <w:r>
        <w:rPr>
          <w:rFonts w:hint="eastAsia"/>
          <w:color w:val="auto"/>
        </w:rPr>
        <w:t>+</w:t>
      </w:r>
      <w:r>
        <w:rPr>
          <w:color w:val="auto"/>
        </w:rPr>
        <w:t>活性炭吸附处理后，VOCs排放满足《挥发性有机物排放标准 第6 部分：有机化工行业》（DB 37/ 2801.6-2018）表1 有机化工企业或生产设施VOCs 排放限值要求（3.0kg/h，60mg/m</w:t>
      </w:r>
      <w:r>
        <w:rPr>
          <w:color w:val="auto"/>
          <w:vertAlign w:val="superscript"/>
        </w:rPr>
        <w:t>3</w:t>
      </w:r>
      <w:r>
        <w:rPr>
          <w:color w:val="auto"/>
        </w:rPr>
        <w:t>）。厂界无组织VOCs满足《挥发性有机物排放标准 第6 部分：有机化工行业》（DB 37/ 2801.6-2018）表3厂界监控点浓度限值（2.0mg/m</w:t>
      </w:r>
      <w:r>
        <w:rPr>
          <w:color w:val="auto"/>
          <w:vertAlign w:val="superscript"/>
        </w:rPr>
        <w:t>3</w:t>
      </w:r>
      <w:r>
        <w:rPr>
          <w:color w:val="auto"/>
        </w:rPr>
        <w:t>）；无组织颗粒物厂界浓度满足《大气污染物综合排放标准》（GB16297-1996）表2中无组织排放监控浓度限值要求（颗粒物1.0mg/m</w:t>
      </w:r>
      <w:r>
        <w:rPr>
          <w:color w:val="auto"/>
          <w:vertAlign w:val="superscript"/>
        </w:rPr>
        <w:t>3</w:t>
      </w:r>
      <w:r>
        <w:rPr>
          <w:color w:val="auto"/>
        </w:rPr>
        <w:t>）</w:t>
      </w:r>
      <w:r>
        <w:rPr>
          <w:rFonts w:hint="eastAsia"/>
          <w:color w:val="auto"/>
          <w:lang w:eastAsia="zh-CN"/>
        </w:rPr>
        <w:t>；</w:t>
      </w:r>
      <w:r>
        <w:rPr>
          <w:rFonts w:hint="eastAsia"/>
          <w:color w:val="auto"/>
          <w:lang w:val="en-US" w:eastAsia="zh-CN"/>
        </w:rPr>
        <w:t>污水处理站</w:t>
      </w:r>
      <w:r>
        <w:rPr>
          <w:rFonts w:hint="eastAsia"/>
          <w:color w:val="auto"/>
        </w:rPr>
        <w:t>无组织硫化氢、氨</w:t>
      </w:r>
      <w:r>
        <w:rPr>
          <w:rFonts w:hint="eastAsia"/>
          <w:color w:val="auto"/>
          <w:lang w:eastAsia="zh-CN"/>
        </w:rPr>
        <w:t>、</w:t>
      </w:r>
      <w:r>
        <w:rPr>
          <w:rFonts w:hint="eastAsia"/>
          <w:color w:val="auto"/>
          <w:lang w:val="en-US" w:eastAsia="zh-CN"/>
        </w:rPr>
        <w:t>臭气浓度</w:t>
      </w:r>
      <w:r>
        <w:rPr>
          <w:rFonts w:hint="eastAsia"/>
          <w:color w:val="auto"/>
        </w:rPr>
        <w:t>执行《有机化工企业污水处理厂（站）挥发性有机物及恶臭污染物排放标准》（DB37/3161-2018）表2厂界监控点浓度限值</w:t>
      </w:r>
      <w:r>
        <w:rPr>
          <w:rFonts w:hint="eastAsia"/>
          <w:color w:val="auto"/>
          <w:lang w:eastAsia="zh-CN"/>
        </w:rPr>
        <w:t>（</w:t>
      </w:r>
      <w:r>
        <w:rPr>
          <w:rFonts w:hint="eastAsia"/>
          <w:color w:val="auto"/>
          <w:lang w:val="en-US" w:eastAsia="zh-CN"/>
        </w:rPr>
        <w:t>硫化氢0.03</w:t>
      </w:r>
      <w:r>
        <w:rPr>
          <w:color w:val="auto"/>
        </w:rPr>
        <w:t>mg/m</w:t>
      </w:r>
      <w:r>
        <w:rPr>
          <w:color w:val="auto"/>
          <w:vertAlign w:val="superscript"/>
        </w:rPr>
        <w:t>3</w:t>
      </w:r>
      <w:r>
        <w:rPr>
          <w:rFonts w:hint="eastAsia"/>
          <w:color w:val="auto"/>
          <w:vertAlign w:val="baseline"/>
          <w:lang w:eastAsia="zh-CN"/>
        </w:rPr>
        <w:t>、</w:t>
      </w:r>
      <w:r>
        <w:rPr>
          <w:rFonts w:hint="eastAsia"/>
          <w:color w:val="auto"/>
          <w:vertAlign w:val="baseline"/>
          <w:lang w:val="en-US" w:eastAsia="zh-CN"/>
        </w:rPr>
        <w:t>氨1.0</w:t>
      </w:r>
      <w:r>
        <w:rPr>
          <w:color w:val="auto"/>
        </w:rPr>
        <w:t>mg/m</w:t>
      </w:r>
      <w:r>
        <w:rPr>
          <w:color w:val="auto"/>
          <w:vertAlign w:val="superscript"/>
        </w:rPr>
        <w:t>3</w:t>
      </w:r>
      <w:r>
        <w:rPr>
          <w:rFonts w:hint="eastAsia"/>
          <w:color w:val="auto"/>
          <w:vertAlign w:val="baseline"/>
          <w:lang w:eastAsia="zh-CN"/>
        </w:rPr>
        <w:t>、</w:t>
      </w:r>
      <w:r>
        <w:rPr>
          <w:rFonts w:hint="eastAsia"/>
          <w:color w:val="auto"/>
          <w:vertAlign w:val="baseline"/>
          <w:lang w:val="en-US" w:eastAsia="zh-CN"/>
        </w:rPr>
        <w:t>臭气浓度20（无量纲）</w:t>
      </w:r>
      <w:r>
        <w:rPr>
          <w:rFonts w:hint="eastAsia"/>
          <w:color w:val="auto"/>
          <w:lang w:eastAsia="zh-CN"/>
        </w:rPr>
        <w:t>）</w:t>
      </w:r>
      <w:r>
        <w:rPr>
          <w:color w:val="auto"/>
        </w:rPr>
        <w:t>。厂区</w:t>
      </w:r>
      <w:r>
        <w:rPr>
          <w:rFonts w:hint="eastAsia"/>
          <w:color w:val="auto"/>
          <w:lang w:val="en-US" w:eastAsia="zh-CN"/>
        </w:rPr>
        <w:t>生产</w:t>
      </w:r>
      <w:r>
        <w:rPr>
          <w:color w:val="auto"/>
        </w:rPr>
        <w:t>废水</w:t>
      </w:r>
      <w:r>
        <w:rPr>
          <w:rFonts w:hint="eastAsia"/>
          <w:color w:val="auto"/>
        </w:rPr>
        <w:t>经过污水处理站处理后</w:t>
      </w:r>
      <w:r>
        <w:rPr>
          <w:rFonts w:hint="eastAsia"/>
          <w:color w:val="auto"/>
          <w:lang w:val="en-US" w:eastAsia="zh-CN"/>
        </w:rPr>
        <w:t>与生活污水汇合后执行《污水综合排放标准》（GB8978-1996）三级标准及光大水务（淄博）有限公司水质净化三分厂纳管水质要求</w:t>
      </w:r>
      <w:r>
        <w:rPr>
          <w:color w:val="auto"/>
        </w:rPr>
        <w:t>。固体废物全部得到妥善处理。噪声设备经采取降噪措施后对厂界噪声影响较小。</w:t>
      </w:r>
    </w:p>
    <w:p>
      <w:pPr>
        <w:pStyle w:val="2"/>
        <w:spacing w:after="0"/>
        <w:ind w:firstLine="480"/>
        <w:rPr>
          <w:color w:val="auto"/>
        </w:rPr>
      </w:pPr>
      <w:r>
        <w:rPr>
          <w:rFonts w:hint="eastAsia"/>
          <w:color w:val="auto"/>
        </w:rPr>
        <w:t>4、拟建项目投产后，</w:t>
      </w:r>
      <w:r>
        <w:rPr>
          <w:color w:val="auto"/>
          <w:kern w:val="0"/>
        </w:rPr>
        <w:t>有组织VOCs排放量为</w:t>
      </w:r>
      <w:r>
        <w:rPr>
          <w:rFonts w:hint="eastAsia"/>
          <w:color w:val="auto"/>
          <w:kern w:val="0"/>
          <w:lang w:val="en-US" w:eastAsia="zh-CN"/>
        </w:rPr>
        <w:t>0.899</w:t>
      </w:r>
      <w:r>
        <w:rPr>
          <w:color w:val="auto"/>
          <w:kern w:val="0"/>
        </w:rPr>
        <w:t>t/a</w:t>
      </w:r>
      <w:r>
        <w:rPr>
          <w:rFonts w:hint="eastAsia"/>
          <w:color w:val="auto"/>
          <w:kern w:val="0"/>
        </w:rPr>
        <w:t>，颗粒物排放量为0.</w:t>
      </w:r>
      <w:r>
        <w:rPr>
          <w:rFonts w:hint="eastAsia"/>
          <w:color w:val="auto"/>
          <w:kern w:val="0"/>
          <w:lang w:val="en-US" w:eastAsia="zh-CN"/>
        </w:rPr>
        <w:t>16</w:t>
      </w:r>
      <w:r>
        <w:rPr>
          <w:color w:val="auto"/>
          <w:kern w:val="0"/>
        </w:rPr>
        <w:t>t/a</w:t>
      </w:r>
      <w:r>
        <w:rPr>
          <w:rFonts w:hint="eastAsia"/>
          <w:color w:val="auto"/>
          <w:kern w:val="0"/>
        </w:rPr>
        <w:t>、二氧化硫排放量为</w:t>
      </w:r>
      <w:r>
        <w:rPr>
          <w:rFonts w:hint="eastAsia"/>
          <w:color w:val="auto"/>
          <w:kern w:val="0"/>
          <w:lang w:val="en-US" w:eastAsia="zh-CN"/>
        </w:rPr>
        <w:t>0.45</w:t>
      </w:r>
      <w:r>
        <w:rPr>
          <w:color w:val="auto"/>
          <w:kern w:val="0"/>
        </w:rPr>
        <w:t>t/a</w:t>
      </w:r>
      <w:r>
        <w:rPr>
          <w:rFonts w:hint="eastAsia"/>
          <w:color w:val="auto"/>
          <w:kern w:val="0"/>
        </w:rPr>
        <w:t>，氮氧化物排放量为</w:t>
      </w:r>
      <w:r>
        <w:rPr>
          <w:rFonts w:hint="eastAsia"/>
          <w:color w:val="auto"/>
          <w:kern w:val="0"/>
          <w:lang w:val="en-US" w:eastAsia="zh-CN"/>
        </w:rPr>
        <w:t>1.4</w:t>
      </w:r>
      <w:r>
        <w:rPr>
          <w:color w:val="auto"/>
          <w:kern w:val="0"/>
        </w:rPr>
        <w:t>t/a</w:t>
      </w:r>
      <w:r>
        <w:rPr>
          <w:rFonts w:hint="eastAsia"/>
          <w:color w:val="auto"/>
          <w:kern w:val="0"/>
        </w:rPr>
        <w:t>，氨排放量为0.0032</w:t>
      </w:r>
      <w:r>
        <w:rPr>
          <w:color w:val="auto"/>
          <w:kern w:val="0"/>
        </w:rPr>
        <w:t>t/a</w:t>
      </w:r>
      <w:r>
        <w:rPr>
          <w:rFonts w:hint="eastAsia"/>
          <w:color w:val="auto"/>
          <w:kern w:val="0"/>
        </w:rPr>
        <w:t>，硫化氢排放量为0.00008</w:t>
      </w:r>
      <w:r>
        <w:rPr>
          <w:color w:val="auto"/>
          <w:kern w:val="0"/>
        </w:rPr>
        <w:t>t/a；无组织VOCs、颗粒物</w:t>
      </w:r>
      <w:r>
        <w:rPr>
          <w:rFonts w:hint="eastAsia"/>
          <w:color w:val="auto"/>
          <w:kern w:val="0"/>
        </w:rPr>
        <w:t>、氨、硫化氢</w:t>
      </w:r>
      <w:r>
        <w:rPr>
          <w:color w:val="auto"/>
          <w:kern w:val="0"/>
        </w:rPr>
        <w:t>排放量分别为0.</w:t>
      </w:r>
      <w:r>
        <w:rPr>
          <w:rFonts w:hint="eastAsia"/>
          <w:color w:val="auto"/>
          <w:kern w:val="0"/>
        </w:rPr>
        <w:t>1</w:t>
      </w:r>
      <w:r>
        <w:rPr>
          <w:rFonts w:hint="eastAsia"/>
          <w:color w:val="auto"/>
          <w:kern w:val="0"/>
          <w:lang w:val="en-US" w:eastAsia="zh-CN"/>
        </w:rPr>
        <w:t>52</w:t>
      </w:r>
      <w:r>
        <w:rPr>
          <w:color w:val="auto"/>
          <w:kern w:val="0"/>
        </w:rPr>
        <w:t>t/a、0.00</w:t>
      </w:r>
      <w:r>
        <w:rPr>
          <w:rFonts w:hint="eastAsia"/>
          <w:color w:val="auto"/>
          <w:kern w:val="0"/>
          <w:lang w:val="en-US" w:eastAsia="zh-CN"/>
        </w:rPr>
        <w:t>8</w:t>
      </w:r>
      <w:r>
        <w:rPr>
          <w:color w:val="auto"/>
          <w:kern w:val="0"/>
        </w:rPr>
        <w:t>t/a</w:t>
      </w:r>
      <w:r>
        <w:rPr>
          <w:rFonts w:hint="eastAsia"/>
          <w:color w:val="auto"/>
          <w:kern w:val="0"/>
        </w:rPr>
        <w:t>、0.021</w:t>
      </w:r>
      <w:r>
        <w:rPr>
          <w:color w:val="auto"/>
          <w:kern w:val="0"/>
        </w:rPr>
        <w:t>t/a</w:t>
      </w:r>
      <w:r>
        <w:rPr>
          <w:rFonts w:hint="eastAsia"/>
          <w:color w:val="auto"/>
          <w:kern w:val="0"/>
        </w:rPr>
        <w:t>、0.0005</w:t>
      </w:r>
      <w:r>
        <w:rPr>
          <w:color w:val="auto"/>
          <w:kern w:val="0"/>
        </w:rPr>
        <w:t>t/a</w:t>
      </w:r>
      <w:r>
        <w:rPr>
          <w:rFonts w:hint="eastAsia"/>
          <w:color w:val="auto"/>
          <w:kern w:val="0"/>
        </w:rPr>
        <w:t>。</w:t>
      </w:r>
    </w:p>
    <w:p>
      <w:pPr>
        <w:numPr>
          <w:ilvl w:val="0"/>
          <w:numId w:val="10"/>
        </w:numPr>
        <w:ind w:firstLine="480"/>
        <w:rPr>
          <w:color w:val="auto"/>
        </w:rPr>
      </w:pPr>
      <w:r>
        <w:rPr>
          <w:color w:val="auto"/>
        </w:rPr>
        <w:br w:type="page"/>
      </w:r>
    </w:p>
    <w:p>
      <w:pPr>
        <w:pStyle w:val="2"/>
        <w:spacing w:after="0"/>
        <w:ind w:firstLine="0" w:firstLineChars="0"/>
        <w:rPr>
          <w:color w:val="auto"/>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pPr>
        <w:pStyle w:val="7"/>
        <w:spacing w:before="0" w:beforeLines="0" w:after="0" w:afterLines="0"/>
        <w:rPr>
          <w:rFonts w:hint="default" w:eastAsia="黑体" w:cs="Times New Roman"/>
          <w:color w:val="auto"/>
          <w:lang w:val="en-US" w:eastAsia="zh-CN"/>
        </w:rPr>
      </w:pPr>
      <w:bookmarkStart w:id="213" w:name="_Toc25468_WPSOffice_Level1"/>
      <w:bookmarkStart w:id="214" w:name="_Toc25972"/>
      <w:bookmarkStart w:id="215" w:name="_Toc30756_WPSOffice_Level1"/>
      <w:bookmarkStart w:id="216" w:name="_Toc15810"/>
      <w:bookmarkStart w:id="217" w:name="_Toc3484"/>
      <w:r>
        <w:rPr>
          <w:rFonts w:hint="eastAsia" w:cs="Times New Roman"/>
          <w:color w:val="auto"/>
          <w:lang w:val="en-US"/>
        </w:rPr>
        <w:t>3</w:t>
      </w:r>
      <w:r>
        <w:rPr>
          <w:rFonts w:cs="Times New Roman"/>
          <w:color w:val="auto"/>
          <w:lang w:val="en-US"/>
        </w:rPr>
        <w:t xml:space="preserve">  </w:t>
      </w:r>
      <w:bookmarkEnd w:id="213"/>
      <w:bookmarkEnd w:id="214"/>
      <w:bookmarkEnd w:id="215"/>
      <w:bookmarkEnd w:id="216"/>
      <w:r>
        <w:rPr>
          <w:rFonts w:hint="eastAsia" w:cs="Times New Roman"/>
          <w:color w:val="auto"/>
          <w:lang w:val="en-US" w:eastAsia="zh-CN"/>
        </w:rPr>
        <w:t>区域环境现状调查</w:t>
      </w:r>
      <w:bookmarkEnd w:id="217"/>
    </w:p>
    <w:p>
      <w:pPr>
        <w:pStyle w:val="8"/>
        <w:spacing w:before="0" w:beforeLines="0" w:after="0" w:afterLines="0"/>
        <w:rPr>
          <w:rFonts w:hint="default" w:eastAsia="黑体"/>
          <w:color w:val="auto"/>
          <w:lang w:val="en-US" w:eastAsia="zh-CN"/>
        </w:rPr>
      </w:pPr>
      <w:bookmarkStart w:id="218" w:name="_Toc25415_WPSOffice_Level2"/>
      <w:bookmarkStart w:id="219" w:name="_Toc6782"/>
      <w:bookmarkStart w:id="220" w:name="_Toc27322_WPSOffice_Level2"/>
      <w:bookmarkStart w:id="221" w:name="_Toc1129"/>
      <w:bookmarkStart w:id="222" w:name="_Toc24640"/>
      <w:r>
        <w:rPr>
          <w:rFonts w:hint="eastAsia"/>
          <w:color w:val="auto"/>
        </w:rPr>
        <w:t>3</w:t>
      </w:r>
      <w:r>
        <w:rPr>
          <w:color w:val="auto"/>
        </w:rPr>
        <w:t>.1自然环境</w:t>
      </w:r>
      <w:bookmarkEnd w:id="218"/>
      <w:bookmarkEnd w:id="219"/>
      <w:bookmarkEnd w:id="220"/>
      <w:bookmarkEnd w:id="221"/>
      <w:r>
        <w:rPr>
          <w:rFonts w:hint="eastAsia"/>
          <w:color w:val="auto"/>
          <w:lang w:val="en-US" w:eastAsia="zh-CN"/>
        </w:rPr>
        <w:t>现状调查与评价</w:t>
      </w:r>
      <w:bookmarkEnd w:id="222"/>
    </w:p>
    <w:p>
      <w:pPr>
        <w:pStyle w:val="9"/>
        <w:spacing w:before="0" w:beforeLines="0" w:after="0" w:afterLines="0"/>
        <w:rPr>
          <w:color w:val="auto"/>
        </w:rPr>
      </w:pPr>
      <w:bookmarkStart w:id="223" w:name="_Toc255401300"/>
      <w:bookmarkStart w:id="224" w:name="_Toc17579"/>
      <w:r>
        <w:rPr>
          <w:rFonts w:hint="eastAsia"/>
          <w:color w:val="auto"/>
        </w:rPr>
        <w:t>3</w:t>
      </w:r>
      <w:r>
        <w:rPr>
          <w:color w:val="auto"/>
        </w:rPr>
        <w:t>.1.1地理位置</w:t>
      </w:r>
      <w:bookmarkEnd w:id="223"/>
      <w:bookmarkEnd w:id="224"/>
    </w:p>
    <w:p>
      <w:pPr>
        <w:adjustRightInd w:val="0"/>
        <w:snapToGrid w:val="0"/>
        <w:ind w:firstLine="480"/>
        <w:rPr>
          <w:color w:val="auto"/>
          <w:szCs w:val="24"/>
        </w:rPr>
      </w:pPr>
      <w:r>
        <w:rPr>
          <w:color w:val="auto"/>
          <w:szCs w:val="24"/>
        </w:rPr>
        <w:t>淄博市位于山东省中部鲁中山地与鲁北平原的交接地带，东临潍坊市，东北与东营相连，北接滨州市，南靠临沂市，西与济南、莱芜两市接壤。东北部距渤海湾约50km。市域范围介于北纬35°55′22″～37°17′14″、东经117°32′15″～118°31′00″南北狭长的地域之间，东西最大横距87km，南北最大纵距151km，总面积5964.4km</w:t>
      </w:r>
      <w:r>
        <w:rPr>
          <w:color w:val="auto"/>
          <w:szCs w:val="24"/>
          <w:vertAlign w:val="superscript"/>
        </w:rPr>
        <w:t>2</w:t>
      </w:r>
      <w:r>
        <w:rPr>
          <w:color w:val="auto"/>
          <w:szCs w:val="24"/>
        </w:rPr>
        <w:t>，是中国重要的工业基地和历史文化名城，著名的“陶瓷之都”、“石化之城”。</w:t>
      </w:r>
    </w:p>
    <w:p>
      <w:pPr>
        <w:ind w:firstLine="480"/>
        <w:rPr>
          <w:color w:val="auto"/>
        </w:rPr>
      </w:pPr>
      <w:r>
        <w:rPr>
          <w:color w:val="auto"/>
        </w:rPr>
        <w:t>张店区是淄博市的中心城区，地处鲁中，东与</w:t>
      </w:r>
      <w:r>
        <w:rPr>
          <w:rFonts w:hint="eastAsia"/>
          <w:color w:val="auto"/>
          <w:lang w:eastAsia="zh-CN"/>
        </w:rPr>
        <w:t>张店</w:t>
      </w:r>
      <w:r>
        <w:rPr>
          <w:color w:val="auto"/>
        </w:rPr>
        <w:t>相接，西与周村毗连，南与淄川接壤，北与桓台为邻。地理坐标：北纬36°4′30〞~36°54′00〞，东经117°55′40〞~118°12′20〞。张店区东西最大横跨24.5公里，南北最大纵距21.1公里，总面积244平方公里，建成区面积65.8平方公里。</w:t>
      </w:r>
    </w:p>
    <w:p>
      <w:pPr>
        <w:pStyle w:val="2"/>
        <w:spacing w:after="0"/>
        <w:ind w:firstLine="480"/>
        <w:rPr>
          <w:color w:val="auto"/>
        </w:rPr>
      </w:pPr>
      <w:r>
        <w:rPr>
          <w:rFonts w:hint="eastAsia"/>
          <w:color w:val="auto"/>
        </w:rPr>
        <w:t>山东朗净新材料有限公司年产1200吨丙交酯和1000吨聚乳酸新材料示范线项目位于淄博市张店区淄博科技工业园兴园路19号</w:t>
      </w:r>
      <w:r>
        <w:rPr>
          <w:color w:val="auto"/>
        </w:rPr>
        <w:t>（中心地理坐标：E118.</w:t>
      </w:r>
      <w:r>
        <w:rPr>
          <w:rFonts w:hint="eastAsia"/>
          <w:color w:val="auto"/>
        </w:rPr>
        <w:t>002306°</w:t>
      </w:r>
      <w:r>
        <w:rPr>
          <w:color w:val="auto"/>
        </w:rPr>
        <w:t>，N36.</w:t>
      </w:r>
      <w:r>
        <w:rPr>
          <w:rFonts w:hint="eastAsia"/>
          <w:color w:val="auto"/>
        </w:rPr>
        <w:t>859949°</w:t>
      </w:r>
      <w:r>
        <w:rPr>
          <w:color w:val="auto"/>
        </w:rPr>
        <w:t>）</w:t>
      </w:r>
      <w:r>
        <w:rPr>
          <w:rFonts w:hint="eastAsia"/>
          <w:color w:val="auto"/>
        </w:rPr>
        <w:t>，项目地理位置优越，交通运输便利。具体地理位置见图 。</w:t>
      </w:r>
    </w:p>
    <w:p>
      <w:pPr>
        <w:pStyle w:val="9"/>
        <w:spacing w:before="0" w:beforeLines="0" w:after="0" w:afterLines="0"/>
        <w:rPr>
          <w:color w:val="auto"/>
        </w:rPr>
      </w:pPr>
      <w:r>
        <w:rPr>
          <w:rFonts w:hint="eastAsia"/>
          <w:color w:val="auto"/>
        </w:rPr>
        <w:t>3.1.2地形、地貌</w:t>
      </w:r>
    </w:p>
    <w:p>
      <w:pPr>
        <w:ind w:firstLine="480"/>
        <w:rPr>
          <w:color w:val="auto"/>
        </w:rPr>
      </w:pPr>
      <w:r>
        <w:rPr>
          <w:color w:val="auto"/>
        </w:rPr>
        <w:t>张店区位于淄博向斜盆地东麓的北缘，地处鲁北平原与鲁中山地的交接地带，处于低山丘陵区向黄泛平原过渡地带，张店区的地势东南高、西北低，依次分布着低山丘陵、微斜平原和浅平洼地。东南部的低丘山陵，主要分布在南定、沣水、湖田和中埠等镇。境内中部和北部地势平缓，土层肥厚。由于地形、成土母质、岩石性质和地下水的深浅存在差异，加之悠久的垦殖历史，形成不同的土壤类型，自东南向西北，从低丘到平原，有规律地分布着褐土、砂姜黑土两大土类：南部、东部的低山丘陵区，包括南定、沣水、中埠等镇，大面积地分布着褐土的两个亚类；胶济铁路以北的微斜平原，分布着褐土和潮褐土；北部的浅平洼地，砂姜黑土和潮褐土以复域分布。</w:t>
      </w:r>
    </w:p>
    <w:p>
      <w:pPr>
        <w:ind w:firstLine="480"/>
        <w:rPr>
          <w:color w:val="auto"/>
        </w:rPr>
      </w:pPr>
      <w:r>
        <w:rPr>
          <w:color w:val="auto"/>
        </w:rPr>
        <w:t>张店区的地貌分三种类型：一、构造剥蚀残余丘陵地貌，分布于张店的东南部；二、剥蚀堆积倾斜平原地貌，分布于张店的东北部；三、堆积倾斜平原地貌，分布于张店的年印染3000吨针织布项目中西部。</w:t>
      </w:r>
    </w:p>
    <w:p>
      <w:pPr>
        <w:ind w:firstLine="480"/>
        <w:rPr>
          <w:color w:val="auto"/>
        </w:rPr>
      </w:pPr>
      <w:r>
        <w:rPr>
          <w:color w:val="auto"/>
        </w:rPr>
        <w:t>本项目所在的</w:t>
      </w:r>
      <w:r>
        <w:rPr>
          <w:rFonts w:hint="eastAsia"/>
          <w:color w:val="auto"/>
        </w:rPr>
        <w:t>淄博科技工业园位于张店区西北部，属于开阔平原，规划范围内南高北低，地势比较平坦</w:t>
      </w:r>
      <w:r>
        <w:rPr>
          <w:color w:val="auto"/>
        </w:rPr>
        <w:t>。</w:t>
      </w:r>
    </w:p>
    <w:p>
      <w:pPr>
        <w:pStyle w:val="9"/>
        <w:spacing w:before="0" w:beforeLines="0" w:after="0" w:afterLines="0"/>
        <w:rPr>
          <w:color w:val="auto"/>
        </w:rPr>
      </w:pPr>
      <w:r>
        <w:rPr>
          <w:rFonts w:hint="eastAsia"/>
          <w:color w:val="auto"/>
        </w:rPr>
        <w:t>3.1.3地质构造</w:t>
      </w:r>
    </w:p>
    <w:p>
      <w:pPr>
        <w:pStyle w:val="2"/>
        <w:spacing w:after="0"/>
        <w:ind w:firstLine="480"/>
        <w:rPr>
          <w:color w:val="auto"/>
        </w:rPr>
      </w:pPr>
      <w:r>
        <w:rPr>
          <w:color w:val="auto"/>
        </w:rPr>
        <w:t>张店区在大地构造体系上，处于新华夏系第二隆起带鲁西隆起区的北段，为东西向构造，与鲁西帚状结构的济阳凹陷相依，是多期构造活动的薄弱地带。区内地质特征是：古生界及中生界地层发育较齐全；断裂构造发育，以新华夏系和东西向构造为主。出露地层主要有早古生界奥陶系，晚古生界石炭系、二迭系，中生界侏罗系，白垩系及新生界第四系等，为一套浅海相生物化学沉积——海陆交替相含煤建造——陆相碎屑沉积地层。南部、东部、东北部地势相对较高，岩层出露好；北部、西部地势相对低洼而平坦，且大部被第四系黄土所覆盖。</w:t>
      </w:r>
    </w:p>
    <w:p>
      <w:pPr>
        <w:ind w:firstLine="480"/>
        <w:rPr>
          <w:color w:val="auto"/>
        </w:rPr>
      </w:pPr>
      <w:r>
        <w:rPr>
          <w:color w:val="auto"/>
        </w:rPr>
        <w:t>因受地质构造、岩性、气候等内外营造作用的控制和人类活动的影响，地势由南向北逐渐变缓。全区的地貌特点是：东南和东北的低山丘陵连绵起伏，西北和北部的平原洼地广阔坦荡。整个地势从东南到西北，依次分布着低山丘陵向黄泛平原的过渡地带。境内山丘属鲁山山脉，计有大山头40余座，小山峰10</w:t>
      </w:r>
      <w:r>
        <w:rPr>
          <w:rFonts w:hint="eastAsia"/>
          <w:color w:val="auto"/>
        </w:rPr>
        <w:t>0</w:t>
      </w:r>
      <w:r>
        <w:rPr>
          <w:color w:val="auto"/>
        </w:rPr>
        <w:t>余座。位于中埠镇的黑铁山（俗称“铁山”），海拔254.6米，是境内最高点。其次有位于湖田镇的平山（海拔190米）和沣水镇的蚂蚁山（海拔168米）山脉。境内中部和北部地势平缓，土地肥沃，最低处海拔24.9米，高低相差229.7米，坡降为10‰。</w:t>
      </w:r>
    </w:p>
    <w:p>
      <w:pPr>
        <w:pStyle w:val="9"/>
        <w:spacing w:before="0" w:beforeLines="0" w:after="0" w:afterLines="0"/>
        <w:rPr>
          <w:color w:val="auto"/>
        </w:rPr>
      </w:pPr>
      <w:r>
        <w:rPr>
          <w:rFonts w:hint="eastAsia"/>
          <w:color w:val="auto"/>
        </w:rPr>
        <w:t>3.1.4气候气象</w:t>
      </w:r>
    </w:p>
    <w:p>
      <w:pPr>
        <w:ind w:firstLine="480"/>
        <w:rPr>
          <w:color w:val="auto"/>
        </w:rPr>
      </w:pPr>
      <w:r>
        <w:rPr>
          <w:color w:val="auto"/>
        </w:rPr>
        <w:t>本项目所在区域的气候属于暖温带半湿润大陆性季风气候，四季分明，夏季炎热多雨，冬季寒冷干燥。年平均气温14.3℃，极端最高气温41.6℃，极端最低气温-17.5℃，年平均相对湿度61%，冻结深度为0.5m，年平均降水量607.2mm。</w:t>
      </w:r>
    </w:p>
    <w:p>
      <w:pPr>
        <w:pStyle w:val="2"/>
        <w:spacing w:after="0"/>
        <w:ind w:firstLine="480"/>
        <w:rPr>
          <w:color w:val="auto"/>
        </w:rPr>
      </w:pPr>
      <w:r>
        <w:rPr>
          <w:color w:val="auto"/>
        </w:rPr>
        <w:t>日照与太阳辐射：境内年日照时数平均为2354.5小时。</w:t>
      </w:r>
    </w:p>
    <w:p>
      <w:pPr>
        <w:pStyle w:val="2"/>
        <w:spacing w:after="0"/>
        <w:ind w:firstLine="480"/>
        <w:rPr>
          <w:color w:val="auto"/>
        </w:rPr>
      </w:pPr>
      <w:r>
        <w:rPr>
          <w:color w:val="auto"/>
        </w:rPr>
        <w:t>气温：境内常年平均气温为14.3℃，最高年平均气温为14.1℃（1961年），最低年平均气温11.8℃（1969年），相差2.3℃。境内累年最高气温为42.1℃，出现在1955年7月24日；最低气温为-23℃，出现在1972年1月26日。</w:t>
      </w:r>
    </w:p>
    <w:p>
      <w:pPr>
        <w:ind w:firstLine="480"/>
        <w:rPr>
          <w:color w:val="auto"/>
        </w:rPr>
      </w:pPr>
      <w:r>
        <w:rPr>
          <w:color w:val="auto"/>
        </w:rPr>
        <w:t>地温：张店区年内平均地面温度为15.1℃，较年平均气温高2.2℃。7月份地温最高，达30.2℃；1月份地温最低，为-2.9℃。1953～1985年，地面极端最高温度为67.9℃，出现在1961年8月5日；地面极端最低温度为-29.6℃，出现在1959年12月21日。</w:t>
      </w:r>
    </w:p>
    <w:p>
      <w:pPr>
        <w:pStyle w:val="2"/>
        <w:spacing w:after="0"/>
        <w:ind w:firstLine="480"/>
        <w:rPr>
          <w:color w:val="auto"/>
        </w:rPr>
      </w:pPr>
      <w:r>
        <w:rPr>
          <w:color w:val="auto"/>
        </w:rPr>
        <w:t>降水：境内年均降水621.8毫米，年均总降水量为22232.6万立方米，由于受季风和地貌的影响，降水的时空分布差异很大，地区分布不均。区内南部丘陵地区多年平均降水量为660毫米左右，而西北部平原为610毫米，相差50毫米。</w:t>
      </w:r>
    </w:p>
    <w:p>
      <w:pPr>
        <w:pStyle w:val="9"/>
        <w:spacing w:before="0" w:beforeLines="0" w:after="0" w:afterLines="0"/>
        <w:rPr>
          <w:color w:val="auto"/>
        </w:rPr>
      </w:pPr>
      <w:r>
        <w:rPr>
          <w:rFonts w:hint="eastAsia"/>
          <w:color w:val="auto"/>
        </w:rPr>
        <w:t>3.1.5地表水系</w:t>
      </w:r>
    </w:p>
    <w:p>
      <w:pPr>
        <w:pStyle w:val="2"/>
        <w:spacing w:after="0"/>
        <w:ind w:firstLine="480"/>
        <w:rPr>
          <w:color w:val="auto"/>
        </w:rPr>
      </w:pPr>
      <w:r>
        <w:rPr>
          <w:rFonts w:hint="eastAsia"/>
          <w:color w:val="auto"/>
        </w:rPr>
        <w:t>张店区</w:t>
      </w:r>
      <w:r>
        <w:rPr>
          <w:color w:val="auto"/>
        </w:rPr>
        <w:t>附近主要地表河流有猪龙河、涝淄河</w:t>
      </w:r>
      <w:r>
        <w:rPr>
          <w:rFonts w:hint="eastAsia"/>
          <w:color w:val="auto"/>
        </w:rPr>
        <w:t>、</w:t>
      </w:r>
      <w:r>
        <w:rPr>
          <w:color w:val="auto"/>
        </w:rPr>
        <w:t>乌河</w:t>
      </w:r>
      <w:r>
        <w:rPr>
          <w:rFonts w:hint="eastAsia"/>
          <w:color w:val="auto"/>
        </w:rPr>
        <w:t>及孝妇河</w:t>
      </w:r>
      <w:r>
        <w:rPr>
          <w:color w:val="auto"/>
        </w:rPr>
        <w:t>，属于小清河水系，各河随季节变化水位流量变化大，目前均受到不同程度的污染。</w:t>
      </w:r>
    </w:p>
    <w:p>
      <w:pPr>
        <w:pStyle w:val="2"/>
        <w:spacing w:after="0"/>
        <w:ind w:firstLine="480"/>
        <w:rPr>
          <w:color w:val="auto"/>
        </w:rPr>
      </w:pPr>
      <w:r>
        <w:rPr>
          <w:color w:val="auto"/>
        </w:rPr>
        <w:t>（1）猪龙河</w:t>
      </w:r>
    </w:p>
    <w:p>
      <w:pPr>
        <w:pStyle w:val="2"/>
        <w:spacing w:after="0"/>
        <w:ind w:firstLine="480"/>
        <w:rPr>
          <w:color w:val="auto"/>
        </w:rPr>
      </w:pPr>
      <w:r>
        <w:rPr>
          <w:color w:val="auto"/>
        </w:rPr>
        <w:t>猪龙河发源于淄博市张店区沣水，流经张店、桓台后汇入小清河。流域面积878.3km2，是淄博市的主要排污河道之一。</w:t>
      </w:r>
    </w:p>
    <w:p>
      <w:pPr>
        <w:pStyle w:val="2"/>
        <w:spacing w:after="0"/>
        <w:ind w:firstLine="480"/>
        <w:rPr>
          <w:color w:val="auto"/>
        </w:rPr>
      </w:pPr>
      <w:r>
        <w:rPr>
          <w:color w:val="auto"/>
        </w:rPr>
        <w:t>（2）乌河</w:t>
      </w:r>
    </w:p>
    <w:p>
      <w:pPr>
        <w:pStyle w:val="2"/>
        <w:spacing w:after="0"/>
        <w:ind w:firstLine="480"/>
        <w:rPr>
          <w:color w:val="auto"/>
        </w:rPr>
      </w:pPr>
      <w:r>
        <w:rPr>
          <w:color w:val="auto"/>
        </w:rPr>
        <w:t>乌河发源于</w:t>
      </w:r>
      <w:r>
        <w:rPr>
          <w:rFonts w:hint="eastAsia"/>
          <w:color w:val="auto"/>
          <w:lang w:eastAsia="zh-CN"/>
        </w:rPr>
        <w:t>张店</w:t>
      </w:r>
      <w:r>
        <w:rPr>
          <w:color w:val="auto"/>
        </w:rPr>
        <w:t>区大武镇南部山丘地带，流经该区路山镇，在六天务村西入桓台县，再经桓台县侯庄、索镇、耿桥、起凤等镇，在夏庄村北入预备河入博兴县。河长52.5km，河宽20～50m，河槽深2～3m，行洪能力上游为50m</w:t>
      </w:r>
      <w:r>
        <w:rPr>
          <w:color w:val="auto"/>
          <w:vertAlign w:val="superscript"/>
        </w:rPr>
        <w:t>3</w:t>
      </w:r>
      <w:r>
        <w:rPr>
          <w:color w:val="auto"/>
        </w:rPr>
        <w:t>/s，下游在100m</w:t>
      </w:r>
      <w:r>
        <w:rPr>
          <w:color w:val="auto"/>
          <w:vertAlign w:val="superscript"/>
        </w:rPr>
        <w:t>3</w:t>
      </w:r>
      <w:r>
        <w:rPr>
          <w:color w:val="auto"/>
        </w:rPr>
        <w:t>/s 左右，流域面积为462.5km</w:t>
      </w:r>
      <w:r>
        <w:rPr>
          <w:color w:val="auto"/>
          <w:vertAlign w:val="superscript"/>
        </w:rPr>
        <w:t>2</w:t>
      </w:r>
      <w:r>
        <w:rPr>
          <w:color w:val="auto"/>
        </w:rPr>
        <w:t>。</w:t>
      </w:r>
    </w:p>
    <w:p>
      <w:pPr>
        <w:pStyle w:val="2"/>
        <w:spacing w:after="0"/>
        <w:ind w:firstLine="480"/>
        <w:rPr>
          <w:color w:val="auto"/>
        </w:rPr>
      </w:pPr>
      <w:r>
        <w:rPr>
          <w:color w:val="auto"/>
        </w:rPr>
        <w:t>（3）涝淄河</w:t>
      </w:r>
    </w:p>
    <w:p>
      <w:pPr>
        <w:pStyle w:val="2"/>
        <w:spacing w:after="0"/>
        <w:ind w:firstLine="480"/>
        <w:rPr>
          <w:color w:val="auto"/>
        </w:rPr>
      </w:pPr>
      <w:r>
        <w:rPr>
          <w:color w:val="auto"/>
        </w:rPr>
        <w:t>涝淄河发源于淄川区大北山北麓，流经</w:t>
      </w:r>
      <w:r>
        <w:rPr>
          <w:rFonts w:hint="eastAsia"/>
          <w:color w:val="auto"/>
          <w:lang w:eastAsia="zh-CN"/>
        </w:rPr>
        <w:t>张店</w:t>
      </w:r>
      <w:r>
        <w:rPr>
          <w:color w:val="auto"/>
        </w:rPr>
        <w:t>区边河乡、张店区沣水镇、桓台县果里镇，至索镇城南入乌河，根据《山东省地表水环境功能区划》，涝淄河水质规划，沣水一果里控制单元水质目标为II类功能区，长度30.2km。</w:t>
      </w:r>
    </w:p>
    <w:p>
      <w:pPr>
        <w:pStyle w:val="2"/>
        <w:spacing w:after="0"/>
        <w:ind w:firstLine="480"/>
        <w:rPr>
          <w:color w:val="auto"/>
        </w:rPr>
      </w:pPr>
      <w:r>
        <w:rPr>
          <w:color w:val="auto"/>
        </w:rPr>
        <w:t>（4）小清河</w:t>
      </w:r>
    </w:p>
    <w:p>
      <w:pPr>
        <w:pStyle w:val="2"/>
        <w:spacing w:after="0"/>
        <w:ind w:firstLine="480"/>
        <w:rPr>
          <w:color w:val="auto"/>
        </w:rPr>
      </w:pPr>
      <w:r>
        <w:rPr>
          <w:color w:val="auto"/>
        </w:rPr>
        <w:t>小清河发源于济南诸泉，西起济南西效睦里庄玉符河，水源来源于济南诸泉，因生态水逐年减少和水利工程的大量建设，泰山水源早已断流，现济南诸泉和黄河渗水是小清河的主要补给源。小清河干流系1891年人工开挖而成，属济南单斜构造北部山前平原的一条泄洪和排泄地下水的河流，具有平原河道特征。干流全长237km，北以黄河、支脉沟为界，南以泰沂山为分水岭，自西向东流经山东省5市的18个县（市、区），于潍坊市寿光羊口镇注入渤海莱州湾，流域面积 15119km</w:t>
      </w:r>
      <w:r>
        <w:rPr>
          <w:color w:val="auto"/>
          <w:vertAlign w:val="superscript"/>
        </w:rPr>
        <w:t>2</w:t>
      </w:r>
      <w:r>
        <w:rPr>
          <w:color w:val="auto"/>
        </w:rPr>
        <w:t>。河床为沙壤土，河槽狭窄，平整顺直，水文变化稳定，河床比降约为 1/8000～1/17000，坡降平缓，水流缓慢，泥沙沉积较快。</w:t>
      </w:r>
    </w:p>
    <w:p>
      <w:pPr>
        <w:pStyle w:val="2"/>
        <w:spacing w:after="0"/>
        <w:ind w:firstLine="480"/>
        <w:rPr>
          <w:color w:val="auto"/>
        </w:rPr>
      </w:pPr>
      <w:r>
        <w:rPr>
          <w:color w:val="auto"/>
        </w:rPr>
        <w:t>小清河干流上段与黄河平行，下段与支脉沟并列。平水期上游睦里庄至黄台板桥，河床宽30～40m，深1.0～1.5m。黄台板桥至北柴家庄东，河床宽35～45m，深1.5m左右。章丘县境内河床宽35～50m，深约1.5m。章丘以下至淄河口，河床宽42～54m，深约2.0m。淄河口宽55～70m，深约2.5m。下游潍坊段为潮流河段，河底为负高程，小清河河口至潮区界长72.1km，潮位可达广饶石村以上，大潮影响桓台金家桥闸。海区基本属于正规半日潮范畴，一个潮期为12h左右，一般一个太阳日出现两次高潮和两次低潮，涨潮时流向西南、海水倒灌，退潮时流向东北入海，最大流速1000mm/h，全年高潮平均水位0.84m（黄海高程），低潮平均水位－0.59m，潮差一般在0.5～1m 之间，平均潮差</w:t>
      </w:r>
      <w:r>
        <w:rPr>
          <w:rFonts w:hint="eastAsia"/>
          <w:color w:val="auto"/>
          <w:lang w:eastAsia="zh-CN"/>
        </w:rPr>
        <w:t>4.32</w:t>
      </w:r>
      <w:r>
        <w:rPr>
          <w:color w:val="auto"/>
        </w:rPr>
        <w:t>m。小清河干流多年平均流量为7.7亿m</w:t>
      </w:r>
      <w:r>
        <w:rPr>
          <w:color w:val="auto"/>
          <w:vertAlign w:val="superscript"/>
        </w:rPr>
        <w:t>3</w:t>
      </w:r>
      <w:r>
        <w:rPr>
          <w:color w:val="auto"/>
        </w:rPr>
        <w:t>，常年有枯水流量1～3m</w:t>
      </w:r>
      <w:r>
        <w:rPr>
          <w:color w:val="auto"/>
          <w:vertAlign w:val="superscript"/>
        </w:rPr>
        <w:t>3</w:t>
      </w:r>
      <w:r>
        <w:rPr>
          <w:color w:val="auto"/>
        </w:rPr>
        <w:t>/s，近十年平均流量为8.5m</w:t>
      </w:r>
      <w:r>
        <w:rPr>
          <w:color w:val="auto"/>
          <w:vertAlign w:val="superscript"/>
        </w:rPr>
        <w:t>3</w:t>
      </w:r>
      <w:r>
        <w:rPr>
          <w:color w:val="auto"/>
        </w:rPr>
        <w:t>/s。</w:t>
      </w:r>
    </w:p>
    <w:p>
      <w:pPr>
        <w:ind w:firstLine="480"/>
        <w:rPr>
          <w:color w:val="auto"/>
        </w:rPr>
      </w:pPr>
      <w:r>
        <w:rPr>
          <w:rFonts w:hint="eastAsia"/>
          <w:color w:val="auto"/>
        </w:rPr>
        <w:t>（5）孝妇河</w:t>
      </w:r>
    </w:p>
    <w:p>
      <w:pPr>
        <w:pStyle w:val="2"/>
        <w:spacing w:after="0"/>
        <w:ind w:firstLine="480"/>
        <w:rPr>
          <w:color w:val="auto"/>
        </w:rPr>
      </w:pPr>
      <w:r>
        <w:rPr>
          <w:color w:val="auto"/>
        </w:rPr>
        <w:t>发源于博山岳阳山南麓，从傅家乡黄家庄南入境，流向西北，流经马尚镇的大、小套、张兑，自周家村西200米处出境入周村区、然后向西北经邹平县注入小清河，在张店境内长约17公里，河床平均宽百米左右，旱季流量小，汛期流量大。枯流量3m</w:t>
      </w:r>
      <w:r>
        <w:rPr>
          <w:color w:val="auto"/>
          <w:vertAlign w:val="superscript"/>
        </w:rPr>
        <w:t>3</w:t>
      </w:r>
      <w:r>
        <w:rPr>
          <w:color w:val="auto"/>
        </w:rPr>
        <w:t>/s，洪流量1200m</w:t>
      </w:r>
      <w:r>
        <w:rPr>
          <w:color w:val="auto"/>
          <w:vertAlign w:val="superscript"/>
        </w:rPr>
        <w:t>3</w:t>
      </w:r>
      <w:r>
        <w:rPr>
          <w:color w:val="auto"/>
        </w:rPr>
        <w:t>/s。</w:t>
      </w:r>
    </w:p>
    <w:p>
      <w:pPr>
        <w:pStyle w:val="2"/>
        <w:spacing w:after="0"/>
        <w:ind w:firstLine="480"/>
        <w:rPr>
          <w:color w:val="auto"/>
        </w:rPr>
      </w:pPr>
      <w:r>
        <w:rPr>
          <w:color w:val="auto"/>
        </w:rPr>
        <w:t>本项目排水经污水管网收集</w:t>
      </w:r>
      <w:r>
        <w:rPr>
          <w:rFonts w:hint="eastAsia"/>
          <w:color w:val="auto"/>
        </w:rPr>
        <w:t>后，</w:t>
      </w:r>
      <w:r>
        <w:rPr>
          <w:color w:val="auto"/>
        </w:rPr>
        <w:t>经</w:t>
      </w:r>
      <w:r>
        <w:rPr>
          <w:rFonts w:hint="eastAsia"/>
          <w:color w:val="auto"/>
        </w:rPr>
        <w:t>入光大水务淄博有限公司水质净化</w:t>
      </w:r>
      <w:r>
        <w:rPr>
          <w:rFonts w:hint="eastAsia"/>
          <w:color w:val="auto"/>
          <w:lang w:eastAsia="zh-CN"/>
        </w:rPr>
        <w:t>三分厂</w:t>
      </w:r>
      <w:r>
        <w:rPr>
          <w:color w:val="auto"/>
        </w:rPr>
        <w:t>处理后入</w:t>
      </w:r>
      <w:r>
        <w:rPr>
          <w:rFonts w:hint="eastAsia"/>
          <w:color w:val="auto"/>
        </w:rPr>
        <w:t>猪龙河</w:t>
      </w:r>
      <w:r>
        <w:rPr>
          <w:color w:val="auto"/>
        </w:rPr>
        <w:t>。本项目所在区域地表水系分布见图</w:t>
      </w:r>
      <w:r>
        <w:rPr>
          <w:rFonts w:hint="eastAsia"/>
          <w:color w:val="auto"/>
        </w:rPr>
        <w:t>3</w:t>
      </w:r>
      <w:r>
        <w:rPr>
          <w:color w:val="auto"/>
        </w:rPr>
        <w:t>.1-1。</w:t>
      </w:r>
    </w:p>
    <w:p>
      <w:pPr>
        <w:pStyle w:val="9"/>
        <w:spacing w:before="0" w:beforeLines="0" w:after="0" w:afterLines="0"/>
        <w:rPr>
          <w:color w:val="auto"/>
        </w:rPr>
      </w:pPr>
      <w:r>
        <w:rPr>
          <w:rFonts w:hint="eastAsia"/>
          <w:color w:val="auto"/>
        </w:rPr>
        <w:t>3.1.6 水文地质</w:t>
      </w:r>
    </w:p>
    <w:p>
      <w:pPr>
        <w:pStyle w:val="2"/>
        <w:spacing w:after="0"/>
        <w:ind w:firstLine="480"/>
        <w:rPr>
          <w:color w:val="auto"/>
        </w:rPr>
      </w:pPr>
      <w:r>
        <w:rPr>
          <w:color w:val="auto"/>
        </w:rPr>
        <w:t>区域主要分布两大含水岩组，上部为第四系松散岩类孔隙含水岩组，下部为奥陶系碳酸盐类岩溶—裂隙含水岩组。</w:t>
      </w:r>
    </w:p>
    <w:p>
      <w:pPr>
        <w:pStyle w:val="2"/>
        <w:spacing w:after="0"/>
        <w:ind w:firstLine="480"/>
        <w:rPr>
          <w:color w:val="auto"/>
        </w:rPr>
      </w:pPr>
      <w:r>
        <w:rPr>
          <w:color w:val="auto"/>
        </w:rPr>
        <w:t>（一）第四系松散岩类孔隙含水岩组</w:t>
      </w:r>
    </w:p>
    <w:p>
      <w:pPr>
        <w:pStyle w:val="2"/>
        <w:spacing w:after="0"/>
        <w:ind w:firstLine="480"/>
        <w:rPr>
          <w:color w:val="auto"/>
        </w:rPr>
      </w:pPr>
      <w:r>
        <w:rPr>
          <w:color w:val="auto"/>
        </w:rPr>
        <w:t>该含水岩层为潜水含水层，因区域第四系地层多被人类活动破坏，区内碳酸盐岩多裸露或半裸露，区内第四系松散岩类孔隙含水岩组分布不多，主要分布于孝妇河流域南部边河冲洪积扇首部和北部平原区，地处于淄博盆地南部，含水层岩性主要为砂卵砾石组成（局部有胶结砾岩存在），其厚度由南向北逐渐加大，一般为50~100m。北部平原遍布第四系沉积物，其径流系数较小，地下水主要含水层为砂砾层，属孔隙水。目前顶部含水层大多疏干，上部含水层局部地段形成季节性疏干状态。该含水层的地下水主要作为农业用水，同时作为潜水含水层碳酸盐类岩溶裂隙含水岩组的补给来源之一。</w:t>
      </w:r>
    </w:p>
    <w:p>
      <w:pPr>
        <w:ind w:firstLine="480"/>
        <w:rPr>
          <w:color w:val="auto"/>
        </w:rPr>
      </w:pPr>
      <w:r>
        <w:rPr>
          <w:color w:val="auto"/>
        </w:rPr>
        <w:t>（二）奥陶系碳酸盐类岩溶—裂隙含水岩组</w:t>
      </w:r>
    </w:p>
    <w:p>
      <w:pPr>
        <w:ind w:firstLine="480"/>
        <w:rPr>
          <w:color w:val="auto"/>
        </w:rPr>
      </w:pPr>
      <w:r>
        <w:rPr>
          <w:color w:val="auto"/>
        </w:rPr>
        <w:t>该含水岩组分布较广，出露地层由南向北，由老到新由震旦系、寒武系、奥陶系、石炭系、白垩系等地层，主要赋水地层是奥陶系地层，既有潜水岩溶含水层，也有承压岩溶-裂隙含水层。孝妇河流域的东南和西部地表岩溶和地下岩溶都很发育，降雨入渗系数大，径流系数小，是裂隙含水岩组的主要补给源之一。埋深20~80m 以上含水层多有自由水面，为潜水含水层，埋深较大的含水层多上伏灰岩等阻水性较好的岩层而具有水压，为承压含水层。该岩组在区内分布广泛，除低山丘陵地带岩性裸露外，均被第四系松散沉积物所覆盖，地下水有南部、西南部降水补给，向北、东北径流。该含水层在金岭镇一带，有透水性微弱的石炭、二叠系地层所阻隔，是南部地下水向北运移的良好汇集场所，富水性很强。该含水层岩性主要为中奥陶系第三段至第六段的含泥质、白云质泥灰岩、角砾状泥灰岩及厚层状青灰色豹皮状灰岩组成。灰岩裂隙岩溶极为发育，其发育深度在60~300m之间。单井涌水量大于6000m</w:t>
      </w:r>
      <w:r>
        <w:rPr>
          <w:color w:val="auto"/>
          <w:vertAlign w:val="superscript"/>
        </w:rPr>
        <w:t>3</w:t>
      </w:r>
      <w:r>
        <w:rPr>
          <w:color w:val="auto"/>
        </w:rPr>
        <w:t>/d；丘陵区，地势高，水位埋深大，富水性最差，单井涌水量小于1000m</w:t>
      </w:r>
      <w:r>
        <w:rPr>
          <w:color w:val="auto"/>
          <w:vertAlign w:val="superscript"/>
        </w:rPr>
        <w:t>3</w:t>
      </w:r>
      <w:r>
        <w:rPr>
          <w:color w:val="auto"/>
        </w:rPr>
        <w:t>/d，其它地区单井涌水量在1000~5000m</w:t>
      </w:r>
      <w:r>
        <w:rPr>
          <w:color w:val="auto"/>
          <w:vertAlign w:val="superscript"/>
        </w:rPr>
        <w:t xml:space="preserve">3 </w:t>
      </w:r>
      <w:r>
        <w:rPr>
          <w:color w:val="auto"/>
        </w:rPr>
        <w:t>/d 之间。</w:t>
      </w:r>
    </w:p>
    <w:p>
      <w:pPr>
        <w:ind w:firstLine="480"/>
        <w:rPr>
          <w:color w:val="auto"/>
        </w:rPr>
      </w:pPr>
      <w:r>
        <w:rPr>
          <w:color w:val="auto"/>
        </w:rPr>
        <w:t>（三）石灰岩含水岩组与第四系孔隙含水岩组的水力联系</w:t>
      </w:r>
    </w:p>
    <w:p>
      <w:pPr>
        <w:ind w:firstLine="480"/>
        <w:rPr>
          <w:color w:val="auto"/>
        </w:rPr>
      </w:pPr>
      <w:r>
        <w:rPr>
          <w:color w:val="auto"/>
        </w:rPr>
        <w:t>石炭、二叠系碎屑岩类孔隙裂隙水含水层主要分布于评价区中部的湖田向斜两翼。该含水层地下水位埋藏浅，一般小于5.0m。大气降水为主要补给来源，次为中奥陶系灰岩水的顶托补给，其排泄为沿地下水流向东南—西北向以地径流形式顺层流动，泄出区外，或在沟谷切割处，溢出地表，补给地表水或第四系含水层。</w:t>
      </w:r>
    </w:p>
    <w:p>
      <w:pPr>
        <w:pStyle w:val="2"/>
        <w:spacing w:after="0"/>
        <w:ind w:firstLine="480"/>
        <w:rPr>
          <w:color w:val="auto"/>
        </w:rPr>
      </w:pPr>
      <w:r>
        <w:rPr>
          <w:color w:val="auto"/>
        </w:rPr>
        <w:t>层间灰岩岩溶裂隙水含水层分布于湖田~沣水一带，岩性由质地不纯灰岩组成，上部有3~5层灰岩，下部有草埠沟灰岩和馒头组灰岩。上部3~5层灰岩厚度4.05~7.40m，水位埋深0~1.0m。馒头组灰岩与中奥陶系灰岩仅有30~50m页岩相隔，其下为具有高压水头的奥陶系灰岩裂隙岩溶水，在断裂构造切割下，使其隔水层受到破坏而导致上下含水层发生水力联系。</w:t>
      </w:r>
    </w:p>
    <w:p>
      <w:pPr>
        <w:pStyle w:val="2"/>
        <w:spacing w:after="0"/>
        <w:ind w:firstLine="480"/>
        <w:rPr>
          <w:color w:val="auto"/>
        </w:rPr>
      </w:pPr>
      <w:r>
        <w:rPr>
          <w:color w:val="auto"/>
        </w:rPr>
        <w:t>本项目厂址区域水文地质图见图4.1-2。</w:t>
      </w:r>
    </w:p>
    <w:p>
      <w:pPr>
        <w:pStyle w:val="9"/>
        <w:spacing w:before="0" w:beforeLines="0" w:after="0" w:afterLines="0"/>
        <w:rPr>
          <w:color w:val="auto"/>
        </w:rPr>
      </w:pPr>
      <w:r>
        <w:rPr>
          <w:rFonts w:hint="eastAsia"/>
          <w:color w:val="auto"/>
        </w:rPr>
        <w:t>3.1.7土壤植被</w:t>
      </w:r>
    </w:p>
    <w:p>
      <w:pPr>
        <w:ind w:firstLine="480"/>
        <w:rPr>
          <w:color w:val="auto"/>
        </w:rPr>
      </w:pPr>
      <w:r>
        <w:rPr>
          <w:color w:val="auto"/>
        </w:rPr>
        <w:t>由于长期的农业生产活动，该区域的自然生态已为人工生态代替。人工植被以作物栽培为主。主要作物有玉米、小麦、棉花、蔬菜和瓜果。道路和河道两边旁农民屋前宅后，绿化种植主要有宽叶乔木、灌木和花卉。农民主要从事农业、养猪、养禽等多种经营的生态格局。境内无国家保护动植物。</w:t>
      </w:r>
    </w:p>
    <w:p>
      <w:pPr>
        <w:ind w:firstLine="480"/>
        <w:rPr>
          <w:color w:val="auto"/>
        </w:rPr>
      </w:pPr>
      <w:r>
        <w:rPr>
          <w:rFonts w:hint="eastAsia"/>
          <w:color w:val="auto"/>
        </w:rPr>
        <w:t>3</w:t>
      </w:r>
      <w:r>
        <w:rPr>
          <w:color w:val="auto"/>
        </w:rPr>
        <w:t>.1.7.1 土壤</w:t>
      </w:r>
    </w:p>
    <w:p>
      <w:pPr>
        <w:ind w:firstLine="480"/>
        <w:rPr>
          <w:color w:val="auto"/>
        </w:rPr>
      </w:pPr>
      <w:r>
        <w:rPr>
          <w:color w:val="auto"/>
        </w:rPr>
        <w:t>根据山东省土壤肥料工作站《山东省土壤图》（1990年3月）中的具体划分，评价区域土壤类型分布有一个土类褐土，并分为褐土和潮褐土两个亚类土壤类型。</w:t>
      </w:r>
    </w:p>
    <w:p>
      <w:pPr>
        <w:ind w:firstLine="480"/>
        <w:rPr>
          <w:color w:val="auto"/>
        </w:rPr>
      </w:pPr>
      <w:r>
        <w:rPr>
          <w:color w:val="auto"/>
        </w:rPr>
        <w:t>（1）褐土：集中分布于南部的南王镇，胶济铁路两侧及淄河两岸。土地深厚，熟化程度高，保肥保水，通透性能好。</w:t>
      </w:r>
    </w:p>
    <w:p>
      <w:pPr>
        <w:ind w:firstLine="480"/>
        <w:rPr>
          <w:color w:val="auto"/>
        </w:rPr>
      </w:pPr>
      <w:r>
        <w:rPr>
          <w:color w:val="auto"/>
        </w:rPr>
        <w:t>（2）潮褐土：主要分布在胶济铁路以北的微斜平地上，西起稷下街办和齐都镇，东至淄河，呈带状分布，保肥保水性能良好。</w:t>
      </w:r>
    </w:p>
    <w:p>
      <w:pPr>
        <w:ind w:firstLine="480"/>
        <w:rPr>
          <w:color w:val="auto"/>
        </w:rPr>
      </w:pPr>
      <w:r>
        <w:rPr>
          <w:rFonts w:hint="eastAsia"/>
          <w:color w:val="auto"/>
        </w:rPr>
        <w:t>3</w:t>
      </w:r>
      <w:r>
        <w:rPr>
          <w:color w:val="auto"/>
        </w:rPr>
        <w:t>.1.7.2 植被</w:t>
      </w:r>
    </w:p>
    <w:p>
      <w:pPr>
        <w:ind w:firstLine="480"/>
        <w:rPr>
          <w:color w:val="auto"/>
        </w:rPr>
      </w:pPr>
      <w:r>
        <w:rPr>
          <w:color w:val="auto"/>
        </w:rPr>
        <w:t>张店区属华北落叶林区，植被覆盖率近70%，其中林木覆盖率为16.4%，多系人工植被，很少自然植被。自然植被多分布在境内南部的低山丘陵和崖边，沟坡及平原的河滩，主要有白草、菅草、铁杆蒿、荆条和酸枣等落叶灌木及其它杂草；人工植被主要分布在低山岭坡、近山阶地和沟、渠、河道两旁及庭院四周，主要有侧柏、刺槐、杨柳、泡桐、白榆、国槐及苹果、桃、杏、枣和葡萄等，农作物主要有小麦、玉米、大豆、高粱、地瓜和黄烟、棉花、蔬菜、瓜果等。</w:t>
      </w:r>
    </w:p>
    <w:p>
      <w:pPr>
        <w:pStyle w:val="9"/>
        <w:spacing w:before="0" w:beforeLines="0" w:after="0" w:afterLines="0"/>
        <w:rPr>
          <w:color w:val="auto"/>
        </w:rPr>
      </w:pPr>
      <w:r>
        <w:rPr>
          <w:rFonts w:hint="eastAsia"/>
          <w:color w:val="auto"/>
        </w:rPr>
        <w:t>3</w:t>
      </w:r>
      <w:r>
        <w:rPr>
          <w:color w:val="auto"/>
        </w:rPr>
        <w:t>.1.8 地震</w:t>
      </w:r>
    </w:p>
    <w:p>
      <w:pPr>
        <w:ind w:firstLine="480"/>
        <w:rPr>
          <w:color w:val="auto"/>
        </w:rPr>
      </w:pPr>
      <w:r>
        <w:rPr>
          <w:color w:val="auto"/>
        </w:rPr>
        <w:t>根据国家地震局《中国地震烈度区划图》，本区域基本地震烈度为Ⅶ度，地震动峰值加速度为0.15g。</w:t>
      </w:r>
    </w:p>
    <w:p>
      <w:pPr>
        <w:pStyle w:val="8"/>
        <w:spacing w:before="0" w:beforeLines="0" w:after="0" w:afterLines="0"/>
        <w:rPr>
          <w:color w:val="auto"/>
        </w:rPr>
      </w:pPr>
      <w:bookmarkStart w:id="225" w:name="_Toc27005"/>
      <w:r>
        <w:rPr>
          <w:rFonts w:hint="eastAsia"/>
          <w:color w:val="auto"/>
          <w:lang w:val="en-US" w:eastAsia="zh-CN"/>
        </w:rPr>
        <w:t>3.2区域环境质量概况</w:t>
      </w:r>
      <w:bookmarkEnd w:id="225"/>
    </w:p>
    <w:p>
      <w:pPr>
        <w:pStyle w:val="9"/>
        <w:spacing w:before="0" w:beforeLines="0" w:after="0" w:afterLines="0"/>
        <w:rPr>
          <w:color w:val="auto"/>
        </w:rPr>
      </w:pPr>
      <w:r>
        <w:rPr>
          <w:rFonts w:hint="eastAsia"/>
          <w:color w:val="auto"/>
        </w:rPr>
        <w:t>3.</w:t>
      </w:r>
      <w:r>
        <w:rPr>
          <w:rFonts w:hint="eastAsia"/>
          <w:color w:val="auto"/>
          <w:lang w:val="en-US" w:eastAsia="zh-CN"/>
        </w:rPr>
        <w:t>2</w:t>
      </w:r>
      <w:r>
        <w:rPr>
          <w:rFonts w:hint="eastAsia"/>
          <w:color w:val="auto"/>
        </w:rPr>
        <w:t>.1 环境空气质量现状</w:t>
      </w:r>
    </w:p>
    <w:p>
      <w:pPr>
        <w:ind w:firstLine="480"/>
        <w:rPr>
          <w:color w:val="auto"/>
        </w:rPr>
      </w:pPr>
      <w:r>
        <w:rPr>
          <w:color w:val="auto"/>
          <w:szCs w:val="24"/>
        </w:rPr>
        <w:t>根据淄博市生态环境局20</w:t>
      </w:r>
      <w:r>
        <w:rPr>
          <w:rFonts w:hint="eastAsia"/>
          <w:color w:val="auto"/>
          <w:szCs w:val="24"/>
        </w:rPr>
        <w:t>22</w:t>
      </w:r>
      <w:r>
        <w:rPr>
          <w:color w:val="auto"/>
          <w:szCs w:val="24"/>
        </w:rPr>
        <w:t>年1月2</w:t>
      </w:r>
      <w:r>
        <w:rPr>
          <w:rFonts w:hint="eastAsia"/>
          <w:color w:val="auto"/>
          <w:szCs w:val="24"/>
        </w:rPr>
        <w:t>4</w:t>
      </w:r>
      <w:r>
        <w:rPr>
          <w:color w:val="auto"/>
          <w:szCs w:val="24"/>
        </w:rPr>
        <w:t>日公布的《生态淄博建设工作简报》（20</w:t>
      </w:r>
      <w:r>
        <w:rPr>
          <w:rFonts w:hint="eastAsia"/>
          <w:color w:val="auto"/>
          <w:szCs w:val="24"/>
        </w:rPr>
        <w:t>22</w:t>
      </w:r>
      <w:r>
        <w:rPr>
          <w:color w:val="auto"/>
          <w:szCs w:val="24"/>
        </w:rPr>
        <w:t>年第1期），202</w:t>
      </w:r>
      <w:r>
        <w:rPr>
          <w:rFonts w:hint="eastAsia"/>
          <w:color w:val="auto"/>
          <w:szCs w:val="24"/>
        </w:rPr>
        <w:t>1</w:t>
      </w:r>
      <w:r>
        <w:rPr>
          <w:color w:val="auto"/>
          <w:szCs w:val="24"/>
        </w:rPr>
        <w:t>年度，</w:t>
      </w:r>
      <w:r>
        <w:rPr>
          <w:rFonts w:hint="eastAsia"/>
          <w:color w:val="auto"/>
          <w:szCs w:val="24"/>
        </w:rPr>
        <w:t>张店区</w:t>
      </w:r>
      <w:r>
        <w:rPr>
          <w:color w:val="auto"/>
          <w:szCs w:val="24"/>
        </w:rPr>
        <w:t>范围内环境空气中污染物SO</w:t>
      </w:r>
      <w:r>
        <w:rPr>
          <w:color w:val="auto"/>
          <w:szCs w:val="24"/>
          <w:vertAlign w:val="subscript"/>
        </w:rPr>
        <w:t>2</w:t>
      </w:r>
      <w:r>
        <w:rPr>
          <w:color w:val="auto"/>
          <w:szCs w:val="24"/>
        </w:rPr>
        <w:t>（</w:t>
      </w:r>
      <w:r>
        <w:rPr>
          <w:rFonts w:hint="eastAsia"/>
          <w:color w:val="auto"/>
          <w:szCs w:val="24"/>
        </w:rPr>
        <w:t>15</w:t>
      </w:r>
      <w:r>
        <w:rPr>
          <w:color w:val="auto"/>
          <w:szCs w:val="24"/>
        </w:rPr>
        <w:t>μg/m</w:t>
      </w:r>
      <w:r>
        <w:rPr>
          <w:color w:val="auto"/>
          <w:szCs w:val="24"/>
          <w:vertAlign w:val="superscript"/>
        </w:rPr>
        <w:t>3</w:t>
      </w:r>
      <w:r>
        <w:rPr>
          <w:color w:val="auto"/>
          <w:szCs w:val="24"/>
        </w:rPr>
        <w:t>）、NO</w:t>
      </w:r>
      <w:r>
        <w:rPr>
          <w:color w:val="auto"/>
          <w:szCs w:val="24"/>
          <w:vertAlign w:val="subscript"/>
        </w:rPr>
        <w:t>2</w:t>
      </w:r>
      <w:r>
        <w:rPr>
          <w:color w:val="auto"/>
          <w:szCs w:val="24"/>
        </w:rPr>
        <w:t>（</w:t>
      </w:r>
      <w:r>
        <w:rPr>
          <w:rFonts w:hint="eastAsia"/>
          <w:color w:val="auto"/>
          <w:szCs w:val="24"/>
        </w:rPr>
        <w:t>39</w:t>
      </w:r>
      <w:r>
        <w:rPr>
          <w:color w:val="auto"/>
          <w:szCs w:val="24"/>
        </w:rPr>
        <w:t>μg/m</w:t>
      </w:r>
      <w:r>
        <w:rPr>
          <w:color w:val="auto"/>
          <w:szCs w:val="24"/>
          <w:vertAlign w:val="superscript"/>
        </w:rPr>
        <w:t>3</w:t>
      </w:r>
      <w:r>
        <w:rPr>
          <w:color w:val="auto"/>
          <w:szCs w:val="24"/>
        </w:rPr>
        <w:t>）等年均浓度符合《环境空气质量标准》（GB3095-2012）二级标准及修改单的要求（SO</w:t>
      </w:r>
      <w:r>
        <w:rPr>
          <w:color w:val="auto"/>
          <w:szCs w:val="24"/>
          <w:vertAlign w:val="subscript"/>
        </w:rPr>
        <w:t>2</w:t>
      </w:r>
      <w:r>
        <w:rPr>
          <w:color w:val="auto"/>
          <w:szCs w:val="24"/>
        </w:rPr>
        <w:t>（60μg/m</w:t>
      </w:r>
      <w:r>
        <w:rPr>
          <w:color w:val="auto"/>
          <w:szCs w:val="24"/>
          <w:vertAlign w:val="superscript"/>
        </w:rPr>
        <w:t>3</w:t>
      </w:r>
      <w:r>
        <w:rPr>
          <w:color w:val="auto"/>
          <w:szCs w:val="24"/>
        </w:rPr>
        <w:t>）、NO</w:t>
      </w:r>
      <w:r>
        <w:rPr>
          <w:color w:val="auto"/>
          <w:szCs w:val="24"/>
          <w:vertAlign w:val="subscript"/>
        </w:rPr>
        <w:t>2</w:t>
      </w:r>
      <w:r>
        <w:rPr>
          <w:color w:val="auto"/>
          <w:szCs w:val="24"/>
        </w:rPr>
        <w:t>（40μg/m</w:t>
      </w:r>
      <w:r>
        <w:rPr>
          <w:color w:val="auto"/>
          <w:szCs w:val="24"/>
          <w:vertAlign w:val="superscript"/>
        </w:rPr>
        <w:t>3</w:t>
      </w:r>
      <w:r>
        <w:rPr>
          <w:color w:val="auto"/>
          <w:szCs w:val="24"/>
        </w:rPr>
        <w:t>）），CO（</w:t>
      </w:r>
      <w:r>
        <w:rPr>
          <w:rFonts w:hint="eastAsia"/>
          <w:color w:val="auto"/>
          <w:szCs w:val="24"/>
        </w:rPr>
        <w:t>1600</w:t>
      </w:r>
      <w:r>
        <w:rPr>
          <w:color w:val="auto"/>
          <w:szCs w:val="24"/>
        </w:rPr>
        <w:t>μg/m</w:t>
      </w:r>
      <w:r>
        <w:rPr>
          <w:color w:val="auto"/>
          <w:szCs w:val="24"/>
          <w:vertAlign w:val="superscript"/>
        </w:rPr>
        <w:t>3</w:t>
      </w:r>
      <w:r>
        <w:rPr>
          <w:color w:val="auto"/>
          <w:szCs w:val="24"/>
        </w:rPr>
        <w:t>）日均浓度符合《环境空气质量标准》（GB3095-2012）二级标准及修改单的要求（CO（4000μg/m</w:t>
      </w:r>
      <w:r>
        <w:rPr>
          <w:color w:val="auto"/>
          <w:szCs w:val="24"/>
          <w:vertAlign w:val="superscript"/>
        </w:rPr>
        <w:t>3</w:t>
      </w:r>
      <w:r>
        <w:rPr>
          <w:color w:val="auto"/>
          <w:szCs w:val="24"/>
        </w:rPr>
        <w:t>）），PM10（</w:t>
      </w:r>
      <w:r>
        <w:rPr>
          <w:rFonts w:hint="eastAsia"/>
          <w:color w:val="auto"/>
          <w:szCs w:val="24"/>
        </w:rPr>
        <w:t>85</w:t>
      </w:r>
      <w:r>
        <w:rPr>
          <w:color w:val="auto"/>
          <w:szCs w:val="24"/>
        </w:rPr>
        <w:t>μg/m</w:t>
      </w:r>
      <w:r>
        <w:rPr>
          <w:color w:val="auto"/>
          <w:szCs w:val="24"/>
          <w:vertAlign w:val="superscript"/>
        </w:rPr>
        <w:t>3</w:t>
      </w:r>
      <w:r>
        <w:rPr>
          <w:color w:val="auto"/>
          <w:szCs w:val="24"/>
        </w:rPr>
        <w:t>）、PM2.5（</w:t>
      </w:r>
      <w:r>
        <w:rPr>
          <w:rFonts w:hint="eastAsia"/>
          <w:color w:val="auto"/>
          <w:szCs w:val="24"/>
        </w:rPr>
        <w:t>46</w:t>
      </w:r>
      <w:r>
        <w:rPr>
          <w:color w:val="auto"/>
          <w:szCs w:val="24"/>
        </w:rPr>
        <w:t>μg/m</w:t>
      </w:r>
      <w:r>
        <w:rPr>
          <w:color w:val="auto"/>
          <w:szCs w:val="24"/>
          <w:vertAlign w:val="superscript"/>
        </w:rPr>
        <w:t>3</w:t>
      </w:r>
      <w:r>
        <w:rPr>
          <w:color w:val="auto"/>
          <w:szCs w:val="24"/>
        </w:rPr>
        <w:t>）等年均浓度不符合《环境空气质量标准》（GB3095-2012）二级标准及修改单的要求（PM10（70μg/m</w:t>
      </w:r>
      <w:r>
        <w:rPr>
          <w:color w:val="auto"/>
          <w:szCs w:val="24"/>
          <w:vertAlign w:val="superscript"/>
        </w:rPr>
        <w:t>3</w:t>
      </w:r>
      <w:r>
        <w:rPr>
          <w:color w:val="auto"/>
          <w:szCs w:val="24"/>
        </w:rPr>
        <w:t>）、PM2.5（</w:t>
      </w:r>
      <w:r>
        <w:rPr>
          <w:rFonts w:hint="eastAsia"/>
          <w:color w:val="auto"/>
          <w:szCs w:val="24"/>
        </w:rPr>
        <w:t>35</w:t>
      </w:r>
      <w:r>
        <w:rPr>
          <w:color w:val="auto"/>
          <w:szCs w:val="24"/>
        </w:rPr>
        <w:t>μg/m</w:t>
      </w:r>
      <w:r>
        <w:rPr>
          <w:color w:val="auto"/>
          <w:szCs w:val="24"/>
          <w:vertAlign w:val="superscript"/>
        </w:rPr>
        <w:t>3</w:t>
      </w:r>
      <w:r>
        <w:rPr>
          <w:color w:val="auto"/>
          <w:szCs w:val="24"/>
        </w:rPr>
        <w:t>）），O</w:t>
      </w:r>
      <w:r>
        <w:rPr>
          <w:color w:val="auto"/>
          <w:szCs w:val="24"/>
          <w:vertAlign w:val="subscript"/>
        </w:rPr>
        <w:t>3</w:t>
      </w:r>
      <w:r>
        <w:rPr>
          <w:color w:val="auto"/>
          <w:szCs w:val="24"/>
        </w:rPr>
        <w:t>（</w:t>
      </w:r>
      <w:r>
        <w:rPr>
          <w:rFonts w:hint="eastAsia"/>
          <w:color w:val="auto"/>
          <w:szCs w:val="24"/>
        </w:rPr>
        <w:t>183</w:t>
      </w:r>
      <w:r>
        <w:rPr>
          <w:color w:val="auto"/>
          <w:szCs w:val="24"/>
        </w:rPr>
        <w:t>μg/m</w:t>
      </w:r>
      <w:r>
        <w:rPr>
          <w:color w:val="auto"/>
          <w:szCs w:val="24"/>
          <w:vertAlign w:val="superscript"/>
        </w:rPr>
        <w:t>3</w:t>
      </w:r>
      <w:r>
        <w:rPr>
          <w:color w:val="auto"/>
          <w:szCs w:val="24"/>
        </w:rPr>
        <w:t>）日最大8小时平均值不符合《环境空气质量标准》（GB3095-2012）二级标准及修改单的要求（O</w:t>
      </w:r>
      <w:r>
        <w:rPr>
          <w:color w:val="auto"/>
          <w:szCs w:val="24"/>
          <w:vertAlign w:val="subscript"/>
        </w:rPr>
        <w:t>3</w:t>
      </w:r>
      <w:r>
        <w:rPr>
          <w:color w:val="auto"/>
          <w:szCs w:val="24"/>
        </w:rPr>
        <w:t>（160μg/m</w:t>
      </w:r>
      <w:r>
        <w:rPr>
          <w:color w:val="auto"/>
          <w:szCs w:val="24"/>
          <w:vertAlign w:val="superscript"/>
        </w:rPr>
        <w:t>3</w:t>
      </w:r>
      <w:r>
        <w:rPr>
          <w:color w:val="auto"/>
          <w:szCs w:val="24"/>
        </w:rPr>
        <w:t>））</w:t>
      </w:r>
      <w:r>
        <w:rPr>
          <w:rFonts w:hint="eastAsia"/>
          <w:color w:val="auto"/>
          <w:szCs w:val="24"/>
        </w:rPr>
        <w:t>。</w:t>
      </w:r>
    </w:p>
    <w:p>
      <w:pPr>
        <w:ind w:firstLine="480"/>
        <w:rPr>
          <w:color w:val="auto"/>
        </w:rPr>
      </w:pPr>
      <w:r>
        <w:rPr>
          <w:color w:val="auto"/>
        </w:rPr>
        <w:t>《环境空气质量评价技术规范（试行）》（HJ663-2013）规定：“污染物年评价达标是指该污染物年平均浓度（CO和O</w:t>
      </w:r>
      <w:r>
        <w:rPr>
          <w:color w:val="auto"/>
          <w:vertAlign w:val="subscript"/>
        </w:rPr>
        <w:t>3</w:t>
      </w:r>
      <w:r>
        <w:rPr>
          <w:color w:val="auto"/>
        </w:rPr>
        <w:t>除外）和特定的百分位数浓度同时达标”。</w:t>
      </w:r>
      <w:r>
        <w:rPr>
          <w:rFonts w:hint="eastAsia"/>
          <w:color w:val="auto"/>
        </w:rPr>
        <w:t>张店区</w:t>
      </w:r>
      <w:r>
        <w:rPr>
          <w:color w:val="auto"/>
        </w:rPr>
        <w:t>20</w:t>
      </w:r>
      <w:r>
        <w:rPr>
          <w:rFonts w:hint="eastAsia"/>
          <w:color w:val="auto"/>
        </w:rPr>
        <w:t>21</w:t>
      </w:r>
      <w:r>
        <w:rPr>
          <w:color w:val="auto"/>
        </w:rPr>
        <w:t>年PM</w:t>
      </w:r>
      <w:r>
        <w:rPr>
          <w:color w:val="auto"/>
          <w:vertAlign w:val="subscript"/>
        </w:rPr>
        <w:t>2.5</w:t>
      </w:r>
      <w:r>
        <w:rPr>
          <w:color w:val="auto"/>
        </w:rPr>
        <w:t>、PM</w:t>
      </w:r>
      <w:r>
        <w:rPr>
          <w:color w:val="auto"/>
          <w:vertAlign w:val="subscript"/>
        </w:rPr>
        <w:t>10</w:t>
      </w:r>
      <w:r>
        <w:rPr>
          <w:color w:val="auto"/>
        </w:rPr>
        <w:t>的年均浓度不能满足《环境空气质量标准》（GB3095-2012）二级标准要求，年评价不达标，项目所在处于不达标区。</w:t>
      </w:r>
    </w:p>
    <w:p>
      <w:pPr>
        <w:pStyle w:val="9"/>
        <w:spacing w:before="0" w:beforeLines="0" w:after="0" w:afterLines="0"/>
        <w:rPr>
          <w:color w:val="auto"/>
        </w:rPr>
      </w:pPr>
      <w:r>
        <w:rPr>
          <w:rFonts w:hint="eastAsia"/>
          <w:color w:val="auto"/>
        </w:rPr>
        <w:t>3.</w:t>
      </w:r>
      <w:r>
        <w:rPr>
          <w:rFonts w:hint="eastAsia"/>
          <w:color w:val="auto"/>
          <w:lang w:val="en-US" w:eastAsia="zh-CN"/>
        </w:rPr>
        <w:t>2</w:t>
      </w:r>
      <w:r>
        <w:rPr>
          <w:rFonts w:hint="eastAsia"/>
          <w:color w:val="auto"/>
        </w:rPr>
        <w:t>.2</w:t>
      </w:r>
      <w:r>
        <w:rPr>
          <w:color w:val="auto"/>
        </w:rPr>
        <w:t>地表水环境质量现状</w:t>
      </w:r>
    </w:p>
    <w:p>
      <w:pPr>
        <w:pStyle w:val="2"/>
        <w:spacing w:after="0"/>
        <w:ind w:firstLine="480"/>
        <w:rPr>
          <w:color w:val="auto"/>
        </w:rPr>
      </w:pPr>
      <w:r>
        <w:rPr>
          <w:color w:val="auto"/>
        </w:rPr>
        <w:t>本项目</w:t>
      </w:r>
      <w:r>
        <w:rPr>
          <w:rFonts w:hint="eastAsia"/>
          <w:color w:val="auto"/>
        </w:rPr>
        <w:t>污水最终进入光大水务淄博有限公司水质净化</w:t>
      </w:r>
      <w:r>
        <w:rPr>
          <w:rFonts w:hint="eastAsia"/>
          <w:color w:val="auto"/>
          <w:lang w:eastAsia="zh-CN"/>
        </w:rPr>
        <w:t>三分厂</w:t>
      </w:r>
      <w:r>
        <w:rPr>
          <w:rFonts w:hint="eastAsia"/>
          <w:color w:val="auto"/>
        </w:rPr>
        <w:t>进行处理后，尾水进入最终汇入猪龙河。</w:t>
      </w:r>
      <w:r>
        <w:rPr>
          <w:color w:val="auto"/>
        </w:rPr>
        <w:t>根据淄博市生态环境局202</w:t>
      </w:r>
      <w:r>
        <w:rPr>
          <w:rFonts w:hint="eastAsia"/>
          <w:color w:val="auto"/>
        </w:rPr>
        <w:t>2</w:t>
      </w:r>
      <w:r>
        <w:rPr>
          <w:color w:val="auto"/>
        </w:rPr>
        <w:t>年1月2</w:t>
      </w:r>
      <w:r>
        <w:rPr>
          <w:rFonts w:hint="eastAsia"/>
          <w:color w:val="auto"/>
        </w:rPr>
        <w:t>4</w:t>
      </w:r>
      <w:r>
        <w:rPr>
          <w:color w:val="auto"/>
        </w:rPr>
        <w:t>日公布的《生态淄博建设工作简报》（202</w:t>
      </w:r>
      <w:r>
        <w:rPr>
          <w:rFonts w:hint="eastAsia"/>
          <w:color w:val="auto"/>
        </w:rPr>
        <w:t>2</w:t>
      </w:r>
      <w:r>
        <w:rPr>
          <w:color w:val="auto"/>
        </w:rPr>
        <w:t>年第1期），202</w:t>
      </w:r>
      <w:r>
        <w:rPr>
          <w:rFonts w:hint="eastAsia"/>
          <w:color w:val="auto"/>
        </w:rPr>
        <w:t>1</w:t>
      </w:r>
      <w:r>
        <w:rPr>
          <w:color w:val="auto"/>
        </w:rPr>
        <w:t>年度，</w:t>
      </w:r>
      <w:r>
        <w:rPr>
          <w:rFonts w:hint="eastAsia"/>
          <w:color w:val="auto"/>
        </w:rPr>
        <w:t>猪龙河</w:t>
      </w:r>
      <w:r>
        <w:rPr>
          <w:color w:val="auto"/>
        </w:rPr>
        <w:t>水质能够满足《地表水环境质量标准》（GB3838-2002）Ⅳ类标准。</w:t>
      </w:r>
    </w:p>
    <w:p>
      <w:pPr>
        <w:pStyle w:val="9"/>
        <w:spacing w:before="0" w:beforeLines="0" w:after="0" w:afterLines="0" w:line="360" w:lineRule="auto"/>
        <w:rPr>
          <w:color w:val="auto"/>
        </w:rPr>
      </w:pPr>
      <w:r>
        <w:rPr>
          <w:rFonts w:hint="eastAsia"/>
          <w:color w:val="auto"/>
        </w:rPr>
        <w:t>3</w:t>
      </w:r>
      <w:r>
        <w:rPr>
          <w:color w:val="auto"/>
        </w:rPr>
        <w:t>.</w:t>
      </w:r>
      <w:r>
        <w:rPr>
          <w:rFonts w:hint="eastAsia"/>
          <w:color w:val="auto"/>
          <w:lang w:val="en-US" w:eastAsia="zh-CN"/>
        </w:rPr>
        <w:t>2</w:t>
      </w:r>
      <w:r>
        <w:rPr>
          <w:color w:val="auto"/>
        </w:rPr>
        <w:t>.3 地下水环境质量现状</w:t>
      </w:r>
    </w:p>
    <w:p>
      <w:pPr>
        <w:ind w:firstLine="480"/>
        <w:rPr>
          <w:color w:val="auto"/>
        </w:rPr>
      </w:pPr>
      <w:r>
        <w:rPr>
          <w:color w:val="auto"/>
        </w:rPr>
        <w:t>根据本次评价，监测数据分析，评价区</w:t>
      </w:r>
      <w:r>
        <w:rPr>
          <w:color w:val="auto"/>
          <w:kern w:val="0"/>
        </w:rPr>
        <w:t>域地下水</w:t>
      </w:r>
      <w:r>
        <w:rPr>
          <w:rFonts w:hint="eastAsia"/>
          <w:color w:val="auto"/>
          <w:kern w:val="0"/>
        </w:rPr>
        <w:t>3</w:t>
      </w:r>
      <w:r>
        <w:rPr>
          <w:color w:val="auto"/>
          <w:kern w:val="0"/>
        </w:rPr>
        <w:t>个监测点的监测因子中，部分监测因子不能满足</w:t>
      </w:r>
      <w:r>
        <w:rPr>
          <w:rFonts w:hint="eastAsia"/>
          <w:color w:val="auto"/>
          <w:kern w:val="0"/>
        </w:rPr>
        <w:t>《</w:t>
      </w:r>
      <w:r>
        <w:rPr>
          <w:color w:val="auto"/>
          <w:kern w:val="0"/>
        </w:rPr>
        <w:t>地下水质量标准》(GB/T14848-2017)Ⅲ类标准要求</w:t>
      </w:r>
      <w:r>
        <w:rPr>
          <w:color w:val="auto"/>
        </w:rPr>
        <w:t>。本区总硬度、溶解性总固体超标主要与区域水文地质条件有关，地下水中氟化物</w:t>
      </w:r>
      <w:r>
        <w:rPr>
          <w:rFonts w:hint="eastAsia"/>
          <w:color w:val="auto"/>
        </w:rPr>
        <w:t>、</w:t>
      </w:r>
      <w:r>
        <w:rPr>
          <w:color w:val="auto"/>
        </w:rPr>
        <w:t>硫酸盐、</w:t>
      </w:r>
      <w:r>
        <w:rPr>
          <w:rFonts w:hint="eastAsia"/>
          <w:color w:val="auto"/>
        </w:rPr>
        <w:t>硝酸盐氮、总大肠菌群、菌落总数</w:t>
      </w:r>
      <w:r>
        <w:rPr>
          <w:color w:val="auto"/>
        </w:rPr>
        <w:t>超标与区域整体环境质量有关系，可能受到生产、生活污染。</w:t>
      </w:r>
    </w:p>
    <w:p>
      <w:pPr>
        <w:pStyle w:val="9"/>
        <w:spacing w:before="0" w:beforeLines="0" w:after="0" w:afterLines="0" w:line="360" w:lineRule="auto"/>
        <w:rPr>
          <w:color w:val="auto"/>
        </w:rPr>
      </w:pPr>
      <w:r>
        <w:rPr>
          <w:rFonts w:hint="eastAsia"/>
          <w:color w:val="auto"/>
        </w:rPr>
        <w:t>3.</w:t>
      </w:r>
      <w:r>
        <w:rPr>
          <w:rFonts w:hint="eastAsia"/>
          <w:color w:val="auto"/>
          <w:lang w:val="en-US" w:eastAsia="zh-CN"/>
        </w:rPr>
        <w:t>2</w:t>
      </w:r>
      <w:r>
        <w:rPr>
          <w:rFonts w:hint="eastAsia"/>
          <w:color w:val="auto"/>
        </w:rPr>
        <w:t>.</w:t>
      </w:r>
      <w:r>
        <w:rPr>
          <w:color w:val="auto"/>
        </w:rPr>
        <w:t>4 声环境质量现状</w:t>
      </w:r>
    </w:p>
    <w:p>
      <w:pPr>
        <w:pStyle w:val="2"/>
        <w:spacing w:after="0"/>
        <w:ind w:firstLine="480"/>
        <w:rPr>
          <w:color w:val="auto"/>
          <w:szCs w:val="20"/>
        </w:rPr>
      </w:pPr>
      <w:r>
        <w:rPr>
          <w:color w:val="auto"/>
          <w:szCs w:val="20"/>
        </w:rPr>
        <w:t>根据本次监测报告，</w:t>
      </w:r>
      <w:r>
        <w:rPr>
          <w:rFonts w:hint="eastAsia"/>
          <w:color w:val="auto"/>
          <w:szCs w:val="20"/>
        </w:rPr>
        <w:t>东、西、南、北</w:t>
      </w:r>
      <w:r>
        <w:rPr>
          <w:color w:val="auto"/>
          <w:szCs w:val="20"/>
        </w:rPr>
        <w:t>厂界昼、夜间噪声均能满足《声环境质量标准》（GB3096-2008）中</w:t>
      </w:r>
      <w:r>
        <w:rPr>
          <w:rFonts w:hint="eastAsia"/>
          <w:color w:val="auto"/>
          <w:szCs w:val="20"/>
          <w:lang w:eastAsia="zh-CN"/>
        </w:rPr>
        <w:t>2类标准；</w:t>
      </w:r>
      <w:r>
        <w:rPr>
          <w:rFonts w:hint="eastAsia"/>
          <w:color w:val="auto"/>
          <w:szCs w:val="20"/>
          <w:lang w:val="en-US" w:eastAsia="zh-CN"/>
        </w:rPr>
        <w:t>西北方向180m处的谢营村能满足</w:t>
      </w:r>
      <w:r>
        <w:rPr>
          <w:color w:val="auto"/>
          <w:szCs w:val="20"/>
        </w:rPr>
        <w:t>《声环境质量标准》（GB3096-2008）中</w:t>
      </w:r>
      <w:r>
        <w:rPr>
          <w:rFonts w:hint="eastAsia"/>
          <w:color w:val="auto"/>
          <w:szCs w:val="20"/>
          <w:lang w:val="en-US" w:eastAsia="zh-CN"/>
        </w:rPr>
        <w:t>2</w:t>
      </w:r>
      <w:r>
        <w:rPr>
          <w:color w:val="auto"/>
          <w:szCs w:val="20"/>
        </w:rPr>
        <w:t>类标准。</w:t>
      </w:r>
    </w:p>
    <w:p>
      <w:pPr>
        <w:pStyle w:val="8"/>
        <w:spacing w:before="0" w:beforeLines="0" w:after="0" w:afterLines="0"/>
        <w:rPr>
          <w:rFonts w:hint="default" w:eastAsia="黑体"/>
          <w:color w:val="auto"/>
          <w:lang w:val="en-US" w:eastAsia="zh-CN"/>
        </w:rPr>
      </w:pPr>
      <w:bookmarkStart w:id="226" w:name="_Toc23226"/>
      <w:r>
        <w:rPr>
          <w:rFonts w:hint="eastAsia"/>
          <w:color w:val="auto"/>
        </w:rPr>
        <w:t xml:space="preserve">3.3 </w:t>
      </w:r>
      <w:r>
        <w:rPr>
          <w:rFonts w:hint="eastAsia"/>
          <w:color w:val="auto"/>
          <w:lang w:val="en-US" w:eastAsia="zh-CN"/>
        </w:rPr>
        <w:t>环境保护目标调查</w:t>
      </w:r>
      <w:bookmarkEnd w:id="226"/>
    </w:p>
    <w:p>
      <w:pPr>
        <w:ind w:firstLine="480"/>
        <w:rPr>
          <w:color w:val="auto"/>
        </w:rPr>
      </w:pPr>
      <w:r>
        <w:rPr>
          <w:color w:val="auto"/>
        </w:rPr>
        <w:t>项目厂址周围环境空气、地下水、环境风险等环境要素环境保护目标见表</w:t>
      </w:r>
      <w:r>
        <w:rPr>
          <w:rFonts w:hint="eastAsia"/>
          <w:color w:val="auto"/>
          <w:lang w:val="en-US" w:eastAsia="zh-CN"/>
        </w:rPr>
        <w:t>3.3-1</w:t>
      </w:r>
      <w:r>
        <w:rPr>
          <w:color w:val="auto"/>
        </w:rPr>
        <w:t>和图1.</w:t>
      </w:r>
      <w:r>
        <w:rPr>
          <w:rFonts w:hint="eastAsia"/>
          <w:color w:val="auto"/>
        </w:rPr>
        <w:t>5</w:t>
      </w:r>
      <w:r>
        <w:rPr>
          <w:color w:val="auto"/>
        </w:rPr>
        <w:t>-1。</w:t>
      </w:r>
    </w:p>
    <w:p>
      <w:pPr>
        <w:pStyle w:val="2"/>
        <w:ind w:firstLine="0" w:firstLineChars="0"/>
        <w:jc w:val="center"/>
        <w:rPr>
          <w:rFonts w:eastAsia="黑体"/>
          <w:color w:val="auto"/>
          <w:sz w:val="21"/>
          <w:szCs w:val="21"/>
        </w:rPr>
      </w:pPr>
      <w:r>
        <w:rPr>
          <w:rFonts w:eastAsia="黑体"/>
          <w:color w:val="auto"/>
          <w:sz w:val="21"/>
          <w:szCs w:val="21"/>
        </w:rPr>
        <w:t>表</w:t>
      </w:r>
      <w:r>
        <w:rPr>
          <w:rFonts w:hint="eastAsia" w:eastAsia="黑体"/>
          <w:color w:val="auto"/>
          <w:sz w:val="21"/>
          <w:szCs w:val="21"/>
          <w:lang w:val="en-US" w:eastAsia="zh-CN"/>
        </w:rPr>
        <w:t>3.3-1</w:t>
      </w:r>
      <w:r>
        <w:rPr>
          <w:rFonts w:eastAsia="黑体"/>
          <w:color w:val="auto"/>
          <w:sz w:val="21"/>
          <w:szCs w:val="21"/>
        </w:rPr>
        <w:t xml:space="preserve"> 厂址周围环境保护目标一览表</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4"/>
        <w:gridCol w:w="755"/>
        <w:gridCol w:w="2126"/>
        <w:gridCol w:w="862"/>
        <w:gridCol w:w="1027"/>
        <w:gridCol w:w="1950"/>
        <w:gridCol w:w="775"/>
        <w:gridCol w:w="9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Align w:val="center"/>
          </w:tcPr>
          <w:p>
            <w:pPr>
              <w:pStyle w:val="47"/>
              <w:rPr>
                <w:b/>
                <w:color w:val="auto"/>
              </w:rPr>
            </w:pPr>
            <w:r>
              <w:rPr>
                <w:b/>
                <w:color w:val="auto"/>
              </w:rPr>
              <w:t>类别</w:t>
            </w:r>
          </w:p>
        </w:tc>
        <w:tc>
          <w:tcPr>
            <w:tcW w:w="406" w:type="pct"/>
            <w:vAlign w:val="center"/>
          </w:tcPr>
          <w:p>
            <w:pPr>
              <w:pStyle w:val="47"/>
              <w:rPr>
                <w:b/>
                <w:color w:val="auto"/>
              </w:rPr>
            </w:pPr>
            <w:r>
              <w:rPr>
                <w:b/>
                <w:color w:val="auto"/>
              </w:rPr>
              <w:t>序号</w:t>
            </w:r>
          </w:p>
        </w:tc>
        <w:tc>
          <w:tcPr>
            <w:tcW w:w="1143" w:type="pct"/>
            <w:vAlign w:val="center"/>
          </w:tcPr>
          <w:p>
            <w:pPr>
              <w:pStyle w:val="47"/>
              <w:rPr>
                <w:b/>
                <w:color w:val="auto"/>
              </w:rPr>
            </w:pPr>
            <w:r>
              <w:rPr>
                <w:b/>
                <w:color w:val="auto"/>
              </w:rPr>
              <w:t>名称</w:t>
            </w:r>
          </w:p>
        </w:tc>
        <w:tc>
          <w:tcPr>
            <w:tcW w:w="464" w:type="pct"/>
            <w:vAlign w:val="center"/>
          </w:tcPr>
          <w:p>
            <w:pPr>
              <w:pStyle w:val="47"/>
              <w:rPr>
                <w:b/>
                <w:color w:val="auto"/>
              </w:rPr>
            </w:pPr>
            <w:r>
              <w:rPr>
                <w:b/>
                <w:color w:val="auto"/>
              </w:rPr>
              <w:t>保护对象</w:t>
            </w:r>
          </w:p>
        </w:tc>
        <w:tc>
          <w:tcPr>
            <w:tcW w:w="551" w:type="pct"/>
            <w:vAlign w:val="center"/>
          </w:tcPr>
          <w:p>
            <w:pPr>
              <w:pStyle w:val="47"/>
              <w:rPr>
                <w:b/>
                <w:color w:val="auto"/>
              </w:rPr>
            </w:pPr>
            <w:r>
              <w:rPr>
                <w:b/>
                <w:color w:val="auto"/>
              </w:rPr>
              <w:t>保护内容（人数）</w:t>
            </w:r>
          </w:p>
        </w:tc>
        <w:tc>
          <w:tcPr>
            <w:tcW w:w="1049" w:type="pct"/>
            <w:vAlign w:val="center"/>
          </w:tcPr>
          <w:p>
            <w:pPr>
              <w:pStyle w:val="47"/>
              <w:rPr>
                <w:b/>
                <w:color w:val="auto"/>
              </w:rPr>
            </w:pPr>
            <w:r>
              <w:rPr>
                <w:b/>
                <w:color w:val="auto"/>
              </w:rPr>
              <w:t>环境功能区</w:t>
            </w:r>
          </w:p>
        </w:tc>
        <w:tc>
          <w:tcPr>
            <w:tcW w:w="417" w:type="pct"/>
            <w:vAlign w:val="center"/>
          </w:tcPr>
          <w:p>
            <w:pPr>
              <w:pStyle w:val="47"/>
              <w:rPr>
                <w:b/>
                <w:color w:val="auto"/>
              </w:rPr>
            </w:pPr>
            <w:r>
              <w:rPr>
                <w:b/>
                <w:color w:val="auto"/>
              </w:rPr>
              <w:t>相对厂址方位</w:t>
            </w:r>
          </w:p>
        </w:tc>
        <w:tc>
          <w:tcPr>
            <w:tcW w:w="538" w:type="pct"/>
            <w:vAlign w:val="center"/>
          </w:tcPr>
          <w:p>
            <w:pPr>
              <w:pStyle w:val="47"/>
              <w:rPr>
                <w:b/>
                <w:color w:val="auto"/>
              </w:rPr>
            </w:pPr>
            <w:r>
              <w:rPr>
                <w:b/>
                <w:color w:val="auto"/>
              </w:rPr>
              <w:t>相对厂界距离/m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restart"/>
            <w:vAlign w:val="center"/>
          </w:tcPr>
          <w:p>
            <w:pPr>
              <w:pStyle w:val="47"/>
              <w:rPr>
                <w:color w:val="auto"/>
              </w:rPr>
            </w:pPr>
            <w:r>
              <w:rPr>
                <w:color w:val="auto"/>
              </w:rPr>
              <w:t>大气环境</w:t>
            </w:r>
          </w:p>
        </w:tc>
        <w:tc>
          <w:tcPr>
            <w:tcW w:w="406" w:type="pct"/>
            <w:vAlign w:val="center"/>
          </w:tcPr>
          <w:p>
            <w:pPr>
              <w:pStyle w:val="47"/>
              <w:rPr>
                <w:color w:val="auto"/>
              </w:rPr>
            </w:pPr>
            <w:r>
              <w:rPr>
                <w:color w:val="auto"/>
              </w:rPr>
              <w:t>1</w:t>
            </w:r>
          </w:p>
        </w:tc>
        <w:tc>
          <w:tcPr>
            <w:tcW w:w="1143" w:type="pct"/>
            <w:vAlign w:val="center"/>
          </w:tcPr>
          <w:p>
            <w:pPr>
              <w:pStyle w:val="47"/>
              <w:rPr>
                <w:color w:val="auto"/>
              </w:rPr>
            </w:pPr>
            <w:r>
              <w:rPr>
                <w:color w:val="auto"/>
                <w:szCs w:val="24"/>
              </w:rPr>
              <w:t>解营村</w:t>
            </w:r>
          </w:p>
        </w:tc>
        <w:tc>
          <w:tcPr>
            <w:tcW w:w="464" w:type="pct"/>
            <w:vAlign w:val="center"/>
          </w:tcPr>
          <w:p>
            <w:pPr>
              <w:pStyle w:val="47"/>
              <w:rPr>
                <w:color w:val="auto"/>
              </w:rPr>
            </w:pPr>
            <w:r>
              <w:rPr>
                <w:color w:val="auto"/>
              </w:rPr>
              <w:t>村庄</w:t>
            </w:r>
          </w:p>
        </w:tc>
        <w:tc>
          <w:tcPr>
            <w:tcW w:w="551" w:type="pct"/>
            <w:vAlign w:val="center"/>
          </w:tcPr>
          <w:p>
            <w:pPr>
              <w:pStyle w:val="47"/>
              <w:rPr>
                <w:color w:val="auto"/>
              </w:rPr>
            </w:pPr>
            <w:r>
              <w:rPr>
                <w:rFonts w:hint="eastAsia"/>
                <w:color w:val="auto"/>
              </w:rPr>
              <w:t>360</w:t>
            </w:r>
          </w:p>
        </w:tc>
        <w:tc>
          <w:tcPr>
            <w:tcW w:w="1049" w:type="pct"/>
            <w:vMerge w:val="restart"/>
            <w:vAlign w:val="center"/>
          </w:tcPr>
          <w:p>
            <w:pPr>
              <w:pStyle w:val="47"/>
              <w:rPr>
                <w:color w:val="auto"/>
              </w:rPr>
            </w:pPr>
            <w:r>
              <w:rPr>
                <w:color w:val="auto"/>
              </w:rPr>
              <w:t>《环境空气质量标准》（GB3095-2012）二类</w:t>
            </w:r>
          </w:p>
        </w:tc>
        <w:tc>
          <w:tcPr>
            <w:tcW w:w="417" w:type="pct"/>
            <w:vAlign w:val="center"/>
          </w:tcPr>
          <w:p>
            <w:pPr>
              <w:pStyle w:val="47"/>
              <w:rPr>
                <w:color w:val="auto"/>
              </w:rPr>
            </w:pPr>
            <w:r>
              <w:rPr>
                <w:color w:val="auto"/>
              </w:rPr>
              <w:t>N</w:t>
            </w:r>
            <w:r>
              <w:rPr>
                <w:rFonts w:hint="eastAsia"/>
                <w:color w:val="auto"/>
              </w:rPr>
              <w:t>W</w:t>
            </w:r>
          </w:p>
        </w:tc>
        <w:tc>
          <w:tcPr>
            <w:tcW w:w="538" w:type="pct"/>
            <w:vAlign w:val="center"/>
          </w:tcPr>
          <w:p>
            <w:pPr>
              <w:pStyle w:val="47"/>
              <w:rPr>
                <w:color w:val="auto"/>
              </w:rPr>
            </w:pPr>
            <w:r>
              <w:rPr>
                <w:rFonts w:hint="eastAsia"/>
                <w:color w:val="auto"/>
              </w:rPr>
              <w:t>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2</w:t>
            </w:r>
          </w:p>
        </w:tc>
        <w:tc>
          <w:tcPr>
            <w:tcW w:w="1143" w:type="pct"/>
            <w:vAlign w:val="center"/>
          </w:tcPr>
          <w:p>
            <w:pPr>
              <w:pStyle w:val="47"/>
              <w:rPr>
                <w:color w:val="auto"/>
              </w:rPr>
            </w:pPr>
            <w:r>
              <w:rPr>
                <w:color w:val="auto"/>
                <w:szCs w:val="24"/>
              </w:rPr>
              <w:t xml:space="preserve">曹营村 </w:t>
            </w:r>
          </w:p>
        </w:tc>
        <w:tc>
          <w:tcPr>
            <w:tcW w:w="464" w:type="pct"/>
            <w:vAlign w:val="center"/>
          </w:tcPr>
          <w:p>
            <w:pPr>
              <w:pStyle w:val="47"/>
              <w:rPr>
                <w:color w:val="auto"/>
              </w:rPr>
            </w:pPr>
            <w:r>
              <w:rPr>
                <w:color w:val="auto"/>
              </w:rPr>
              <w:t>村庄</w:t>
            </w:r>
          </w:p>
        </w:tc>
        <w:tc>
          <w:tcPr>
            <w:tcW w:w="551" w:type="pct"/>
            <w:vAlign w:val="center"/>
          </w:tcPr>
          <w:p>
            <w:pPr>
              <w:pStyle w:val="47"/>
              <w:rPr>
                <w:color w:val="auto"/>
              </w:rPr>
            </w:pPr>
            <w:r>
              <w:rPr>
                <w:rFonts w:hint="eastAsia"/>
                <w:color w:val="auto"/>
              </w:rPr>
              <w:t>1563</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w:t>
            </w:r>
          </w:p>
        </w:tc>
        <w:tc>
          <w:tcPr>
            <w:tcW w:w="538" w:type="pct"/>
            <w:vAlign w:val="center"/>
          </w:tcPr>
          <w:p>
            <w:pPr>
              <w:pStyle w:val="47"/>
              <w:rPr>
                <w:color w:val="auto"/>
              </w:rPr>
            </w:pPr>
            <w:r>
              <w:rPr>
                <w:rFonts w:hint="eastAsia"/>
                <w:color w:val="auto"/>
              </w:rPr>
              <w:t>880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3</w:t>
            </w:r>
          </w:p>
        </w:tc>
        <w:tc>
          <w:tcPr>
            <w:tcW w:w="1143" w:type="pct"/>
            <w:vAlign w:val="center"/>
          </w:tcPr>
          <w:p>
            <w:pPr>
              <w:pStyle w:val="47"/>
              <w:rPr>
                <w:color w:val="auto"/>
              </w:rPr>
            </w:pPr>
            <w:r>
              <w:rPr>
                <w:color w:val="auto"/>
                <w:szCs w:val="24"/>
              </w:rPr>
              <w:t>庆隆幼儿园</w:t>
            </w:r>
          </w:p>
        </w:tc>
        <w:tc>
          <w:tcPr>
            <w:tcW w:w="464" w:type="pct"/>
            <w:vAlign w:val="center"/>
          </w:tcPr>
          <w:p>
            <w:pPr>
              <w:pStyle w:val="47"/>
              <w:rPr>
                <w:color w:val="auto"/>
              </w:rPr>
            </w:pPr>
            <w:r>
              <w:rPr>
                <w:rFonts w:hint="eastAsia"/>
                <w:color w:val="auto"/>
              </w:rPr>
              <w:t>学校</w:t>
            </w:r>
          </w:p>
        </w:tc>
        <w:tc>
          <w:tcPr>
            <w:tcW w:w="551" w:type="pct"/>
            <w:vAlign w:val="center"/>
          </w:tcPr>
          <w:p>
            <w:pPr>
              <w:pStyle w:val="47"/>
              <w:rPr>
                <w:color w:val="auto"/>
              </w:rPr>
            </w:pPr>
            <w:r>
              <w:rPr>
                <w:rFonts w:hint="eastAsia"/>
                <w:color w:val="auto"/>
              </w:rPr>
              <w:t>52</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NE</w:t>
            </w:r>
          </w:p>
        </w:tc>
        <w:tc>
          <w:tcPr>
            <w:tcW w:w="538" w:type="pct"/>
            <w:vAlign w:val="center"/>
          </w:tcPr>
          <w:p>
            <w:pPr>
              <w:pStyle w:val="47"/>
              <w:rPr>
                <w:color w:val="auto"/>
              </w:rPr>
            </w:pPr>
            <w:r>
              <w:rPr>
                <w:rFonts w:hint="eastAsia"/>
                <w:color w:val="auto"/>
              </w:rPr>
              <w:t>730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4</w:t>
            </w:r>
          </w:p>
        </w:tc>
        <w:tc>
          <w:tcPr>
            <w:tcW w:w="1143" w:type="pct"/>
            <w:vAlign w:val="center"/>
          </w:tcPr>
          <w:p>
            <w:pPr>
              <w:pStyle w:val="47"/>
              <w:rPr>
                <w:color w:val="auto"/>
              </w:rPr>
            </w:pPr>
            <w:r>
              <w:rPr>
                <w:color w:val="auto"/>
                <w:szCs w:val="24"/>
              </w:rPr>
              <w:t>西吕村</w:t>
            </w:r>
          </w:p>
        </w:tc>
        <w:tc>
          <w:tcPr>
            <w:tcW w:w="464" w:type="pct"/>
            <w:vAlign w:val="center"/>
          </w:tcPr>
          <w:p>
            <w:pPr>
              <w:pStyle w:val="47"/>
              <w:rPr>
                <w:color w:val="auto"/>
              </w:rPr>
            </w:pPr>
            <w:r>
              <w:rPr>
                <w:color w:val="auto"/>
              </w:rPr>
              <w:t>村庄</w:t>
            </w:r>
          </w:p>
        </w:tc>
        <w:tc>
          <w:tcPr>
            <w:tcW w:w="551" w:type="pct"/>
            <w:vAlign w:val="center"/>
          </w:tcPr>
          <w:p>
            <w:pPr>
              <w:pStyle w:val="47"/>
              <w:rPr>
                <w:color w:val="auto"/>
              </w:rPr>
            </w:pPr>
            <w:r>
              <w:rPr>
                <w:rFonts w:hint="eastAsia"/>
                <w:color w:val="auto"/>
              </w:rPr>
              <w:t>750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w:t>
            </w:r>
            <w:r>
              <w:rPr>
                <w:rFonts w:hint="eastAsia"/>
                <w:color w:val="auto"/>
              </w:rPr>
              <w:t>W</w:t>
            </w:r>
          </w:p>
        </w:tc>
        <w:tc>
          <w:tcPr>
            <w:tcW w:w="538" w:type="pct"/>
            <w:vAlign w:val="center"/>
          </w:tcPr>
          <w:p>
            <w:pPr>
              <w:pStyle w:val="47"/>
              <w:rPr>
                <w:color w:val="auto"/>
              </w:rPr>
            </w:pPr>
            <w:r>
              <w:rPr>
                <w:rFonts w:hint="eastAsia"/>
                <w:color w:val="auto"/>
              </w:rPr>
              <w:t>1640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5</w:t>
            </w:r>
          </w:p>
        </w:tc>
        <w:tc>
          <w:tcPr>
            <w:tcW w:w="1143" w:type="pct"/>
            <w:vAlign w:val="center"/>
          </w:tcPr>
          <w:p>
            <w:pPr>
              <w:pStyle w:val="47"/>
              <w:rPr>
                <w:color w:val="auto"/>
              </w:rPr>
            </w:pPr>
            <w:r>
              <w:rPr>
                <w:rFonts w:hint="eastAsia"/>
                <w:color w:val="auto"/>
                <w:szCs w:val="24"/>
              </w:rPr>
              <w:t>碧桂园中房天玺</w:t>
            </w:r>
          </w:p>
        </w:tc>
        <w:tc>
          <w:tcPr>
            <w:tcW w:w="464" w:type="pct"/>
            <w:vAlign w:val="center"/>
          </w:tcPr>
          <w:p>
            <w:pPr>
              <w:pStyle w:val="47"/>
              <w:rPr>
                <w:color w:val="auto"/>
              </w:rPr>
            </w:pPr>
            <w:r>
              <w:rPr>
                <w:color w:val="auto"/>
              </w:rPr>
              <w:t>村庄</w:t>
            </w:r>
          </w:p>
        </w:tc>
        <w:tc>
          <w:tcPr>
            <w:tcW w:w="551" w:type="pct"/>
            <w:vAlign w:val="center"/>
          </w:tcPr>
          <w:p>
            <w:pPr>
              <w:pStyle w:val="47"/>
              <w:rPr>
                <w:color w:val="auto"/>
              </w:rPr>
            </w:pPr>
            <w:r>
              <w:rPr>
                <w:rFonts w:hint="eastAsia"/>
                <w:color w:val="auto"/>
              </w:rPr>
              <w:t>830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w:t>
            </w:r>
            <w:r>
              <w:rPr>
                <w:rFonts w:hint="eastAsia"/>
                <w:color w:val="auto"/>
              </w:rPr>
              <w:t>W</w:t>
            </w:r>
          </w:p>
        </w:tc>
        <w:tc>
          <w:tcPr>
            <w:tcW w:w="538" w:type="pct"/>
            <w:vAlign w:val="center"/>
          </w:tcPr>
          <w:p>
            <w:pPr>
              <w:pStyle w:val="47"/>
              <w:rPr>
                <w:color w:val="auto"/>
              </w:rPr>
            </w:pPr>
            <w:r>
              <w:rPr>
                <w:color w:val="auto"/>
              </w:rPr>
              <w:t>370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6</w:t>
            </w:r>
          </w:p>
        </w:tc>
        <w:tc>
          <w:tcPr>
            <w:tcW w:w="1143" w:type="pct"/>
            <w:vAlign w:val="center"/>
          </w:tcPr>
          <w:p>
            <w:pPr>
              <w:pStyle w:val="47"/>
              <w:rPr>
                <w:color w:val="auto"/>
              </w:rPr>
            </w:pPr>
            <w:r>
              <w:rPr>
                <w:color w:val="auto"/>
                <w:szCs w:val="24"/>
              </w:rPr>
              <w:t>于营村</w:t>
            </w:r>
          </w:p>
        </w:tc>
        <w:tc>
          <w:tcPr>
            <w:tcW w:w="464" w:type="pct"/>
            <w:vAlign w:val="center"/>
          </w:tcPr>
          <w:p>
            <w:pPr>
              <w:pStyle w:val="47"/>
              <w:rPr>
                <w:color w:val="auto"/>
              </w:rPr>
            </w:pPr>
            <w:r>
              <w:rPr>
                <w:color w:val="auto"/>
              </w:rPr>
              <w:t>村庄</w:t>
            </w:r>
          </w:p>
        </w:tc>
        <w:tc>
          <w:tcPr>
            <w:tcW w:w="551" w:type="pct"/>
            <w:vAlign w:val="center"/>
          </w:tcPr>
          <w:p>
            <w:pPr>
              <w:pStyle w:val="47"/>
              <w:rPr>
                <w:color w:val="auto"/>
              </w:rPr>
            </w:pPr>
            <w:r>
              <w:rPr>
                <w:color w:val="auto"/>
              </w:rPr>
              <w:t>113</w:t>
            </w:r>
            <w:r>
              <w:rPr>
                <w:rFonts w:hint="eastAsia"/>
                <w:color w:val="auto"/>
              </w:rPr>
              <w:t>9</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w:t>
            </w:r>
            <w:r>
              <w:rPr>
                <w:rFonts w:hint="eastAsia"/>
                <w:color w:val="auto"/>
              </w:rPr>
              <w:t>W</w:t>
            </w:r>
          </w:p>
        </w:tc>
        <w:tc>
          <w:tcPr>
            <w:tcW w:w="538" w:type="pct"/>
            <w:vAlign w:val="center"/>
          </w:tcPr>
          <w:p>
            <w:pPr>
              <w:pStyle w:val="47"/>
              <w:rPr>
                <w:color w:val="auto"/>
              </w:rPr>
            </w:pPr>
            <w:r>
              <w:rPr>
                <w:rFonts w:hint="eastAsia"/>
                <w:color w:val="auto"/>
              </w:rPr>
              <w:t>1660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7</w:t>
            </w:r>
          </w:p>
        </w:tc>
        <w:tc>
          <w:tcPr>
            <w:tcW w:w="1143" w:type="pct"/>
            <w:vAlign w:val="center"/>
          </w:tcPr>
          <w:p>
            <w:pPr>
              <w:pStyle w:val="47"/>
              <w:rPr>
                <w:color w:val="auto"/>
              </w:rPr>
            </w:pPr>
            <w:r>
              <w:rPr>
                <w:rFonts w:hint="eastAsia"/>
                <w:color w:val="auto"/>
                <w:szCs w:val="24"/>
              </w:rPr>
              <w:t>幸福家园</w:t>
            </w:r>
            <w:r>
              <w:rPr>
                <w:color w:val="auto"/>
                <w:szCs w:val="24"/>
              </w:rPr>
              <w:t xml:space="preserve"> </w:t>
            </w:r>
          </w:p>
        </w:tc>
        <w:tc>
          <w:tcPr>
            <w:tcW w:w="464" w:type="pct"/>
            <w:vAlign w:val="center"/>
          </w:tcPr>
          <w:p>
            <w:pPr>
              <w:pStyle w:val="47"/>
              <w:rPr>
                <w:color w:val="auto"/>
              </w:rPr>
            </w:pPr>
            <w:r>
              <w:rPr>
                <w:color w:val="auto"/>
              </w:rPr>
              <w:t>村庄</w:t>
            </w:r>
          </w:p>
        </w:tc>
        <w:tc>
          <w:tcPr>
            <w:tcW w:w="551" w:type="pct"/>
            <w:vAlign w:val="center"/>
          </w:tcPr>
          <w:p>
            <w:pPr>
              <w:pStyle w:val="47"/>
              <w:rPr>
                <w:color w:val="auto"/>
              </w:rPr>
            </w:pPr>
            <w:r>
              <w:rPr>
                <w:rFonts w:hint="eastAsia"/>
                <w:color w:val="auto"/>
              </w:rPr>
              <w:t>300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w:t>
            </w:r>
            <w:r>
              <w:rPr>
                <w:rFonts w:hint="eastAsia"/>
                <w:color w:val="auto"/>
              </w:rPr>
              <w:t>W</w:t>
            </w:r>
          </w:p>
        </w:tc>
        <w:tc>
          <w:tcPr>
            <w:tcW w:w="538" w:type="pct"/>
            <w:vAlign w:val="center"/>
          </w:tcPr>
          <w:p>
            <w:pPr>
              <w:pStyle w:val="47"/>
              <w:rPr>
                <w:color w:val="auto"/>
              </w:rPr>
            </w:pPr>
            <w:r>
              <w:rPr>
                <w:rFonts w:hint="eastAsia"/>
                <w:color w:val="auto"/>
              </w:rPr>
              <w:t>2330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8</w:t>
            </w:r>
          </w:p>
        </w:tc>
        <w:tc>
          <w:tcPr>
            <w:tcW w:w="1143" w:type="pct"/>
            <w:vAlign w:val="center"/>
          </w:tcPr>
          <w:p>
            <w:pPr>
              <w:pStyle w:val="47"/>
              <w:rPr>
                <w:color w:val="auto"/>
              </w:rPr>
            </w:pPr>
            <w:r>
              <w:rPr>
                <w:rFonts w:hint="eastAsia"/>
                <w:color w:val="auto"/>
                <w:szCs w:val="24"/>
              </w:rPr>
              <w:t>太平锦绣花园</w:t>
            </w:r>
          </w:p>
        </w:tc>
        <w:tc>
          <w:tcPr>
            <w:tcW w:w="464" w:type="pct"/>
            <w:vAlign w:val="center"/>
          </w:tcPr>
          <w:p>
            <w:pPr>
              <w:pStyle w:val="47"/>
              <w:rPr>
                <w:color w:val="auto"/>
              </w:rPr>
            </w:pPr>
            <w:r>
              <w:rPr>
                <w:color w:val="auto"/>
              </w:rPr>
              <w:t>村庄</w:t>
            </w:r>
          </w:p>
        </w:tc>
        <w:tc>
          <w:tcPr>
            <w:tcW w:w="551" w:type="pct"/>
            <w:vAlign w:val="center"/>
          </w:tcPr>
          <w:p>
            <w:pPr>
              <w:pStyle w:val="47"/>
              <w:rPr>
                <w:color w:val="auto"/>
              </w:rPr>
            </w:pPr>
            <w:r>
              <w:rPr>
                <w:rFonts w:hint="eastAsia"/>
                <w:color w:val="auto"/>
              </w:rPr>
              <w:t>610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w:t>
            </w:r>
            <w:r>
              <w:rPr>
                <w:rFonts w:hint="eastAsia"/>
                <w:color w:val="auto"/>
              </w:rPr>
              <w:t>W</w:t>
            </w:r>
          </w:p>
        </w:tc>
        <w:tc>
          <w:tcPr>
            <w:tcW w:w="538" w:type="pct"/>
            <w:vAlign w:val="center"/>
          </w:tcPr>
          <w:p>
            <w:pPr>
              <w:pStyle w:val="47"/>
              <w:rPr>
                <w:color w:val="auto"/>
              </w:rPr>
            </w:pPr>
            <w:r>
              <w:rPr>
                <w:rFonts w:hint="eastAsia"/>
                <w:color w:val="auto"/>
              </w:rPr>
              <w:t>2730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9</w:t>
            </w:r>
          </w:p>
        </w:tc>
        <w:tc>
          <w:tcPr>
            <w:tcW w:w="1143" w:type="pct"/>
            <w:vAlign w:val="center"/>
          </w:tcPr>
          <w:p>
            <w:pPr>
              <w:pStyle w:val="47"/>
              <w:rPr>
                <w:color w:val="auto"/>
              </w:rPr>
            </w:pPr>
            <w:r>
              <w:rPr>
                <w:rFonts w:hint="eastAsia"/>
                <w:color w:val="auto"/>
                <w:szCs w:val="24"/>
              </w:rPr>
              <w:t>荷塘月色</w:t>
            </w:r>
            <w:r>
              <w:rPr>
                <w:color w:val="auto"/>
                <w:szCs w:val="24"/>
              </w:rPr>
              <w:t xml:space="preserve"> </w:t>
            </w:r>
          </w:p>
        </w:tc>
        <w:tc>
          <w:tcPr>
            <w:tcW w:w="464" w:type="pct"/>
            <w:vAlign w:val="center"/>
          </w:tcPr>
          <w:p>
            <w:pPr>
              <w:pStyle w:val="47"/>
              <w:rPr>
                <w:color w:val="auto"/>
              </w:rPr>
            </w:pPr>
            <w:r>
              <w:rPr>
                <w:color w:val="auto"/>
              </w:rPr>
              <w:t>村庄</w:t>
            </w:r>
          </w:p>
        </w:tc>
        <w:tc>
          <w:tcPr>
            <w:tcW w:w="551" w:type="pct"/>
            <w:vAlign w:val="center"/>
          </w:tcPr>
          <w:p>
            <w:pPr>
              <w:pStyle w:val="47"/>
              <w:rPr>
                <w:color w:val="auto"/>
              </w:rPr>
            </w:pPr>
            <w:r>
              <w:rPr>
                <w:rFonts w:hint="eastAsia"/>
                <w:color w:val="auto"/>
              </w:rPr>
              <w:t>700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w:t>
            </w:r>
            <w:r>
              <w:rPr>
                <w:rFonts w:hint="eastAsia"/>
                <w:color w:val="auto"/>
              </w:rPr>
              <w:t>W</w:t>
            </w:r>
          </w:p>
        </w:tc>
        <w:tc>
          <w:tcPr>
            <w:tcW w:w="538" w:type="pct"/>
            <w:vAlign w:val="center"/>
          </w:tcPr>
          <w:p>
            <w:pPr>
              <w:pStyle w:val="47"/>
              <w:rPr>
                <w:color w:val="auto"/>
              </w:rPr>
            </w:pPr>
            <w:r>
              <w:rPr>
                <w:rFonts w:hint="eastAsia"/>
                <w:color w:val="auto"/>
              </w:rPr>
              <w:t>2980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10</w:t>
            </w:r>
          </w:p>
        </w:tc>
        <w:tc>
          <w:tcPr>
            <w:tcW w:w="1143" w:type="pct"/>
            <w:vAlign w:val="center"/>
          </w:tcPr>
          <w:p>
            <w:pPr>
              <w:pStyle w:val="47"/>
              <w:rPr>
                <w:color w:val="auto"/>
              </w:rPr>
            </w:pPr>
            <w:r>
              <w:rPr>
                <w:rFonts w:hint="eastAsia"/>
                <w:color w:val="auto"/>
                <w:szCs w:val="24"/>
              </w:rPr>
              <w:t>荷塘月色幼儿院</w:t>
            </w:r>
          </w:p>
        </w:tc>
        <w:tc>
          <w:tcPr>
            <w:tcW w:w="464" w:type="pct"/>
            <w:vAlign w:val="center"/>
          </w:tcPr>
          <w:p>
            <w:pPr>
              <w:pStyle w:val="47"/>
              <w:rPr>
                <w:color w:val="auto"/>
              </w:rPr>
            </w:pPr>
            <w:r>
              <w:rPr>
                <w:rFonts w:hint="eastAsia"/>
                <w:color w:val="auto"/>
                <w:szCs w:val="24"/>
              </w:rPr>
              <w:t>学校</w:t>
            </w:r>
          </w:p>
        </w:tc>
        <w:tc>
          <w:tcPr>
            <w:tcW w:w="551" w:type="pct"/>
            <w:vAlign w:val="center"/>
          </w:tcPr>
          <w:p>
            <w:pPr>
              <w:pStyle w:val="47"/>
              <w:rPr>
                <w:color w:val="auto"/>
              </w:rPr>
            </w:pPr>
            <w:r>
              <w:rPr>
                <w:rFonts w:hint="eastAsia"/>
                <w:color w:val="auto"/>
              </w:rPr>
              <w:t>48</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w:t>
            </w:r>
            <w:r>
              <w:rPr>
                <w:rFonts w:hint="eastAsia"/>
                <w:color w:val="auto"/>
              </w:rPr>
              <w:t>W</w:t>
            </w:r>
          </w:p>
        </w:tc>
        <w:tc>
          <w:tcPr>
            <w:tcW w:w="538" w:type="pct"/>
            <w:vAlign w:val="center"/>
          </w:tcPr>
          <w:p>
            <w:pPr>
              <w:pStyle w:val="47"/>
              <w:rPr>
                <w:color w:val="auto"/>
              </w:rPr>
            </w:pPr>
            <w:r>
              <w:rPr>
                <w:rFonts w:hint="eastAsia"/>
                <w:color w:val="auto"/>
              </w:rPr>
              <w:t>2990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11</w:t>
            </w:r>
          </w:p>
        </w:tc>
        <w:tc>
          <w:tcPr>
            <w:tcW w:w="1143" w:type="pct"/>
            <w:vAlign w:val="center"/>
          </w:tcPr>
          <w:p>
            <w:pPr>
              <w:pStyle w:val="47"/>
              <w:rPr>
                <w:color w:val="auto"/>
              </w:rPr>
            </w:pPr>
            <w:r>
              <w:rPr>
                <w:color w:val="auto"/>
                <w:szCs w:val="24"/>
              </w:rPr>
              <w:t>惠泽苑</w:t>
            </w:r>
          </w:p>
        </w:tc>
        <w:tc>
          <w:tcPr>
            <w:tcW w:w="464" w:type="pct"/>
            <w:vAlign w:val="center"/>
          </w:tcPr>
          <w:p>
            <w:pPr>
              <w:pStyle w:val="47"/>
              <w:rPr>
                <w:color w:val="auto"/>
              </w:rPr>
            </w:pPr>
            <w:r>
              <w:rPr>
                <w:color w:val="auto"/>
              </w:rPr>
              <w:t>村庄</w:t>
            </w:r>
          </w:p>
        </w:tc>
        <w:tc>
          <w:tcPr>
            <w:tcW w:w="551" w:type="pct"/>
            <w:vAlign w:val="center"/>
          </w:tcPr>
          <w:p>
            <w:pPr>
              <w:pStyle w:val="47"/>
              <w:rPr>
                <w:color w:val="auto"/>
              </w:rPr>
            </w:pPr>
            <w:r>
              <w:rPr>
                <w:rFonts w:hint="eastAsia"/>
                <w:color w:val="auto"/>
              </w:rPr>
              <w:t>200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NNE</w:t>
            </w:r>
          </w:p>
        </w:tc>
        <w:tc>
          <w:tcPr>
            <w:tcW w:w="538" w:type="pct"/>
            <w:vAlign w:val="center"/>
          </w:tcPr>
          <w:p>
            <w:pPr>
              <w:pStyle w:val="47"/>
              <w:rPr>
                <w:color w:val="auto"/>
              </w:rPr>
            </w:pPr>
            <w:r>
              <w:rPr>
                <w:rFonts w:hint="eastAsia"/>
                <w:color w:val="auto"/>
              </w:rPr>
              <w:t>3000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12</w:t>
            </w:r>
          </w:p>
        </w:tc>
        <w:tc>
          <w:tcPr>
            <w:tcW w:w="1143" w:type="pct"/>
            <w:vAlign w:val="center"/>
          </w:tcPr>
          <w:p>
            <w:pPr>
              <w:pStyle w:val="47"/>
              <w:rPr>
                <w:color w:val="auto"/>
              </w:rPr>
            </w:pPr>
            <w:r>
              <w:rPr>
                <w:rFonts w:hint="eastAsia"/>
                <w:color w:val="auto"/>
                <w:szCs w:val="24"/>
              </w:rPr>
              <w:t>香溪新城</w:t>
            </w:r>
          </w:p>
        </w:tc>
        <w:tc>
          <w:tcPr>
            <w:tcW w:w="464" w:type="pct"/>
            <w:vAlign w:val="center"/>
          </w:tcPr>
          <w:p>
            <w:pPr>
              <w:pStyle w:val="47"/>
              <w:rPr>
                <w:color w:val="auto"/>
              </w:rPr>
            </w:pPr>
            <w:r>
              <w:rPr>
                <w:color w:val="auto"/>
              </w:rPr>
              <w:t>村庄</w:t>
            </w:r>
          </w:p>
        </w:tc>
        <w:tc>
          <w:tcPr>
            <w:tcW w:w="551" w:type="pct"/>
            <w:vAlign w:val="center"/>
          </w:tcPr>
          <w:p>
            <w:pPr>
              <w:pStyle w:val="47"/>
              <w:rPr>
                <w:color w:val="auto"/>
              </w:rPr>
            </w:pPr>
            <w:r>
              <w:rPr>
                <w:rFonts w:hint="eastAsia"/>
                <w:color w:val="auto"/>
              </w:rPr>
              <w:t>1000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NE</w:t>
            </w:r>
          </w:p>
        </w:tc>
        <w:tc>
          <w:tcPr>
            <w:tcW w:w="538" w:type="pct"/>
            <w:vAlign w:val="center"/>
          </w:tcPr>
          <w:p>
            <w:pPr>
              <w:pStyle w:val="47"/>
              <w:rPr>
                <w:color w:val="auto"/>
              </w:rPr>
            </w:pPr>
            <w:r>
              <w:rPr>
                <w:rFonts w:hint="eastAsia"/>
                <w:color w:val="auto"/>
              </w:rPr>
              <w:t>810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13</w:t>
            </w:r>
          </w:p>
        </w:tc>
        <w:tc>
          <w:tcPr>
            <w:tcW w:w="1143" w:type="pct"/>
            <w:vAlign w:val="center"/>
          </w:tcPr>
          <w:p>
            <w:pPr>
              <w:pStyle w:val="47"/>
              <w:rPr>
                <w:color w:val="auto"/>
              </w:rPr>
            </w:pPr>
            <w:r>
              <w:rPr>
                <w:rFonts w:hint="eastAsia"/>
                <w:color w:val="auto"/>
                <w:szCs w:val="24"/>
              </w:rPr>
              <w:t>恒大林溪郡</w:t>
            </w:r>
          </w:p>
        </w:tc>
        <w:tc>
          <w:tcPr>
            <w:tcW w:w="464" w:type="pct"/>
            <w:vAlign w:val="center"/>
          </w:tcPr>
          <w:p>
            <w:pPr>
              <w:pStyle w:val="47"/>
              <w:rPr>
                <w:color w:val="auto"/>
              </w:rPr>
            </w:pPr>
            <w:r>
              <w:rPr>
                <w:color w:val="auto"/>
              </w:rPr>
              <w:t>村庄</w:t>
            </w:r>
          </w:p>
        </w:tc>
        <w:tc>
          <w:tcPr>
            <w:tcW w:w="551" w:type="pct"/>
            <w:vAlign w:val="center"/>
          </w:tcPr>
          <w:p>
            <w:pPr>
              <w:pStyle w:val="47"/>
              <w:rPr>
                <w:color w:val="auto"/>
              </w:rPr>
            </w:pPr>
            <w:r>
              <w:rPr>
                <w:rFonts w:hint="eastAsia"/>
                <w:color w:val="auto"/>
              </w:rPr>
              <w:t>1540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NE</w:t>
            </w:r>
          </w:p>
        </w:tc>
        <w:tc>
          <w:tcPr>
            <w:tcW w:w="538" w:type="pct"/>
            <w:vAlign w:val="center"/>
          </w:tcPr>
          <w:p>
            <w:pPr>
              <w:pStyle w:val="47"/>
              <w:rPr>
                <w:color w:val="auto"/>
              </w:rPr>
            </w:pPr>
            <w:r>
              <w:rPr>
                <w:rFonts w:hint="eastAsia"/>
                <w:color w:val="auto"/>
              </w:rPr>
              <w:t>1180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14</w:t>
            </w:r>
          </w:p>
        </w:tc>
        <w:tc>
          <w:tcPr>
            <w:tcW w:w="1143" w:type="pct"/>
            <w:vAlign w:val="center"/>
          </w:tcPr>
          <w:p>
            <w:pPr>
              <w:pStyle w:val="47"/>
              <w:rPr>
                <w:color w:val="auto"/>
              </w:rPr>
            </w:pPr>
            <w:r>
              <w:rPr>
                <w:rFonts w:hint="eastAsia"/>
                <w:color w:val="auto"/>
                <w:szCs w:val="24"/>
              </w:rPr>
              <w:t>恒大正承世家</w:t>
            </w:r>
          </w:p>
        </w:tc>
        <w:tc>
          <w:tcPr>
            <w:tcW w:w="464" w:type="pct"/>
            <w:vAlign w:val="center"/>
          </w:tcPr>
          <w:p>
            <w:pPr>
              <w:pStyle w:val="47"/>
              <w:rPr>
                <w:color w:val="auto"/>
              </w:rPr>
            </w:pPr>
            <w:r>
              <w:rPr>
                <w:color w:val="auto"/>
              </w:rPr>
              <w:t>村庄</w:t>
            </w:r>
          </w:p>
        </w:tc>
        <w:tc>
          <w:tcPr>
            <w:tcW w:w="551" w:type="pct"/>
            <w:vAlign w:val="center"/>
          </w:tcPr>
          <w:p>
            <w:pPr>
              <w:pStyle w:val="47"/>
              <w:rPr>
                <w:color w:val="auto"/>
              </w:rPr>
            </w:pPr>
            <w:r>
              <w:rPr>
                <w:rFonts w:hint="eastAsia"/>
                <w:color w:val="auto"/>
              </w:rPr>
              <w:t>1350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NE</w:t>
            </w:r>
          </w:p>
        </w:tc>
        <w:tc>
          <w:tcPr>
            <w:tcW w:w="538" w:type="pct"/>
            <w:vAlign w:val="center"/>
          </w:tcPr>
          <w:p>
            <w:pPr>
              <w:pStyle w:val="47"/>
              <w:rPr>
                <w:color w:val="auto"/>
              </w:rPr>
            </w:pPr>
            <w:r>
              <w:rPr>
                <w:rFonts w:hint="eastAsia"/>
                <w:color w:val="auto"/>
              </w:rPr>
              <w:t>1580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15</w:t>
            </w:r>
          </w:p>
        </w:tc>
        <w:tc>
          <w:tcPr>
            <w:tcW w:w="1143" w:type="pct"/>
            <w:vAlign w:val="center"/>
          </w:tcPr>
          <w:p>
            <w:pPr>
              <w:pStyle w:val="47"/>
              <w:rPr>
                <w:color w:val="auto"/>
              </w:rPr>
            </w:pPr>
            <w:r>
              <w:rPr>
                <w:rFonts w:hint="eastAsia"/>
                <w:color w:val="auto"/>
                <w:szCs w:val="24"/>
              </w:rPr>
              <w:t>国信国际公馆</w:t>
            </w:r>
          </w:p>
        </w:tc>
        <w:tc>
          <w:tcPr>
            <w:tcW w:w="464" w:type="pct"/>
            <w:vAlign w:val="center"/>
          </w:tcPr>
          <w:p>
            <w:pPr>
              <w:pStyle w:val="47"/>
              <w:rPr>
                <w:color w:val="auto"/>
              </w:rPr>
            </w:pPr>
            <w:r>
              <w:rPr>
                <w:color w:val="auto"/>
              </w:rPr>
              <w:t>村庄</w:t>
            </w:r>
          </w:p>
        </w:tc>
        <w:tc>
          <w:tcPr>
            <w:tcW w:w="551" w:type="pct"/>
            <w:vAlign w:val="center"/>
          </w:tcPr>
          <w:p>
            <w:pPr>
              <w:pStyle w:val="47"/>
              <w:rPr>
                <w:color w:val="auto"/>
              </w:rPr>
            </w:pPr>
            <w:r>
              <w:rPr>
                <w:rFonts w:hint="eastAsia"/>
                <w:color w:val="auto"/>
              </w:rPr>
              <w:t>650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NE</w:t>
            </w:r>
          </w:p>
        </w:tc>
        <w:tc>
          <w:tcPr>
            <w:tcW w:w="538" w:type="pct"/>
            <w:vAlign w:val="center"/>
          </w:tcPr>
          <w:p>
            <w:pPr>
              <w:pStyle w:val="47"/>
              <w:rPr>
                <w:color w:val="auto"/>
              </w:rPr>
            </w:pPr>
            <w:r>
              <w:rPr>
                <w:rFonts w:hint="eastAsia"/>
                <w:color w:val="auto"/>
              </w:rPr>
              <w:t>1310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16</w:t>
            </w:r>
          </w:p>
        </w:tc>
        <w:tc>
          <w:tcPr>
            <w:tcW w:w="1143" w:type="pct"/>
            <w:vAlign w:val="center"/>
          </w:tcPr>
          <w:p>
            <w:pPr>
              <w:pStyle w:val="47"/>
              <w:rPr>
                <w:color w:val="auto"/>
              </w:rPr>
            </w:pPr>
            <w:r>
              <w:rPr>
                <w:rFonts w:hint="eastAsia"/>
                <w:color w:val="auto"/>
                <w:szCs w:val="24"/>
              </w:rPr>
              <w:t>王埠村</w:t>
            </w:r>
          </w:p>
        </w:tc>
        <w:tc>
          <w:tcPr>
            <w:tcW w:w="464" w:type="pct"/>
            <w:vAlign w:val="center"/>
          </w:tcPr>
          <w:p>
            <w:pPr>
              <w:pStyle w:val="47"/>
              <w:rPr>
                <w:color w:val="auto"/>
              </w:rPr>
            </w:pPr>
            <w:r>
              <w:rPr>
                <w:color w:val="auto"/>
              </w:rPr>
              <w:t>村庄</w:t>
            </w:r>
          </w:p>
        </w:tc>
        <w:tc>
          <w:tcPr>
            <w:tcW w:w="551" w:type="pct"/>
            <w:vAlign w:val="center"/>
          </w:tcPr>
          <w:p>
            <w:pPr>
              <w:pStyle w:val="47"/>
              <w:rPr>
                <w:color w:val="auto"/>
              </w:rPr>
            </w:pPr>
            <w:r>
              <w:rPr>
                <w:rFonts w:hint="eastAsia"/>
                <w:color w:val="auto"/>
              </w:rPr>
              <w:t>105</w:t>
            </w:r>
          </w:p>
        </w:tc>
        <w:tc>
          <w:tcPr>
            <w:tcW w:w="1049" w:type="pct"/>
            <w:vMerge w:val="continue"/>
            <w:vAlign w:val="center"/>
          </w:tcPr>
          <w:p>
            <w:pPr>
              <w:pStyle w:val="47"/>
              <w:rPr>
                <w:color w:val="auto"/>
              </w:rPr>
            </w:pPr>
          </w:p>
        </w:tc>
        <w:tc>
          <w:tcPr>
            <w:tcW w:w="417" w:type="pct"/>
            <w:vAlign w:val="center"/>
          </w:tcPr>
          <w:p>
            <w:pPr>
              <w:pStyle w:val="47"/>
              <w:rPr>
                <w:color w:val="auto"/>
              </w:rPr>
            </w:pPr>
            <w:r>
              <w:rPr>
                <w:rFonts w:hint="eastAsia"/>
                <w:color w:val="auto"/>
              </w:rPr>
              <w:t>N</w:t>
            </w:r>
            <w:r>
              <w:rPr>
                <w:color w:val="auto"/>
              </w:rPr>
              <w:t>E</w:t>
            </w:r>
          </w:p>
        </w:tc>
        <w:tc>
          <w:tcPr>
            <w:tcW w:w="538" w:type="pct"/>
            <w:vAlign w:val="center"/>
          </w:tcPr>
          <w:p>
            <w:pPr>
              <w:pStyle w:val="47"/>
              <w:rPr>
                <w:color w:val="auto"/>
              </w:rPr>
            </w:pPr>
            <w:r>
              <w:rPr>
                <w:rFonts w:hint="eastAsia"/>
                <w:color w:val="auto"/>
              </w:rPr>
              <w:t>2100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17</w:t>
            </w:r>
          </w:p>
        </w:tc>
        <w:tc>
          <w:tcPr>
            <w:tcW w:w="1143" w:type="pct"/>
            <w:vAlign w:val="center"/>
          </w:tcPr>
          <w:p>
            <w:pPr>
              <w:pStyle w:val="47"/>
              <w:rPr>
                <w:color w:val="auto"/>
              </w:rPr>
            </w:pPr>
            <w:r>
              <w:rPr>
                <w:rFonts w:hint="eastAsia"/>
                <w:color w:val="auto"/>
                <w:szCs w:val="24"/>
              </w:rPr>
              <w:t>安居花园</w:t>
            </w:r>
          </w:p>
        </w:tc>
        <w:tc>
          <w:tcPr>
            <w:tcW w:w="464" w:type="pct"/>
            <w:vAlign w:val="center"/>
          </w:tcPr>
          <w:p>
            <w:pPr>
              <w:pStyle w:val="47"/>
              <w:rPr>
                <w:color w:val="auto"/>
              </w:rPr>
            </w:pPr>
            <w:r>
              <w:rPr>
                <w:color w:val="auto"/>
              </w:rPr>
              <w:t>村庄</w:t>
            </w:r>
          </w:p>
        </w:tc>
        <w:tc>
          <w:tcPr>
            <w:tcW w:w="551" w:type="pct"/>
            <w:vAlign w:val="center"/>
          </w:tcPr>
          <w:p>
            <w:pPr>
              <w:pStyle w:val="47"/>
              <w:rPr>
                <w:color w:val="auto"/>
              </w:rPr>
            </w:pPr>
            <w:r>
              <w:rPr>
                <w:rFonts w:hint="eastAsia"/>
                <w:color w:val="auto"/>
              </w:rPr>
              <w:t>350</w:t>
            </w:r>
          </w:p>
        </w:tc>
        <w:tc>
          <w:tcPr>
            <w:tcW w:w="1049" w:type="pct"/>
            <w:vMerge w:val="continue"/>
            <w:vAlign w:val="center"/>
          </w:tcPr>
          <w:p>
            <w:pPr>
              <w:pStyle w:val="47"/>
              <w:rPr>
                <w:color w:val="auto"/>
              </w:rPr>
            </w:pPr>
          </w:p>
        </w:tc>
        <w:tc>
          <w:tcPr>
            <w:tcW w:w="417" w:type="pct"/>
            <w:vAlign w:val="center"/>
          </w:tcPr>
          <w:p>
            <w:pPr>
              <w:pStyle w:val="47"/>
              <w:rPr>
                <w:color w:val="auto"/>
              </w:rPr>
            </w:pPr>
            <w:r>
              <w:rPr>
                <w:rFonts w:hint="eastAsia"/>
                <w:color w:val="auto"/>
              </w:rPr>
              <w:t>N</w:t>
            </w:r>
            <w:r>
              <w:rPr>
                <w:color w:val="auto"/>
              </w:rPr>
              <w:t>E</w:t>
            </w:r>
          </w:p>
        </w:tc>
        <w:tc>
          <w:tcPr>
            <w:tcW w:w="538" w:type="pct"/>
            <w:vAlign w:val="center"/>
          </w:tcPr>
          <w:p>
            <w:pPr>
              <w:pStyle w:val="47"/>
              <w:rPr>
                <w:color w:val="auto"/>
              </w:rPr>
            </w:pPr>
            <w:r>
              <w:rPr>
                <w:rFonts w:hint="eastAsia"/>
                <w:color w:val="auto"/>
              </w:rPr>
              <w:t>2080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18</w:t>
            </w:r>
          </w:p>
        </w:tc>
        <w:tc>
          <w:tcPr>
            <w:tcW w:w="1143" w:type="pct"/>
            <w:vAlign w:val="center"/>
          </w:tcPr>
          <w:p>
            <w:pPr>
              <w:pStyle w:val="47"/>
              <w:rPr>
                <w:color w:val="auto"/>
              </w:rPr>
            </w:pPr>
            <w:r>
              <w:rPr>
                <w:rFonts w:hint="eastAsia"/>
                <w:color w:val="auto"/>
              </w:rPr>
              <w:t>石榴苑</w:t>
            </w:r>
          </w:p>
        </w:tc>
        <w:tc>
          <w:tcPr>
            <w:tcW w:w="464" w:type="pct"/>
            <w:vAlign w:val="center"/>
          </w:tcPr>
          <w:p>
            <w:pPr>
              <w:pStyle w:val="47"/>
              <w:rPr>
                <w:color w:val="auto"/>
              </w:rPr>
            </w:pPr>
            <w:r>
              <w:rPr>
                <w:rFonts w:hint="eastAsia"/>
                <w:color w:val="auto"/>
              </w:rPr>
              <w:t>村庄</w:t>
            </w:r>
          </w:p>
        </w:tc>
        <w:tc>
          <w:tcPr>
            <w:tcW w:w="551" w:type="pct"/>
            <w:vAlign w:val="center"/>
          </w:tcPr>
          <w:p>
            <w:pPr>
              <w:pStyle w:val="47"/>
              <w:rPr>
                <w:color w:val="auto"/>
              </w:rPr>
            </w:pPr>
            <w:r>
              <w:rPr>
                <w:rFonts w:hint="eastAsia"/>
                <w:color w:val="auto"/>
              </w:rPr>
              <w:t>260</w:t>
            </w:r>
          </w:p>
        </w:tc>
        <w:tc>
          <w:tcPr>
            <w:tcW w:w="1049" w:type="pct"/>
            <w:vMerge w:val="continue"/>
            <w:vAlign w:val="center"/>
          </w:tcPr>
          <w:p>
            <w:pPr>
              <w:pStyle w:val="47"/>
              <w:rPr>
                <w:color w:val="auto"/>
              </w:rPr>
            </w:pPr>
          </w:p>
        </w:tc>
        <w:tc>
          <w:tcPr>
            <w:tcW w:w="417" w:type="pct"/>
            <w:vAlign w:val="center"/>
          </w:tcPr>
          <w:p>
            <w:pPr>
              <w:pStyle w:val="47"/>
              <w:rPr>
                <w:color w:val="auto"/>
              </w:rPr>
            </w:pPr>
            <w:r>
              <w:rPr>
                <w:rFonts w:hint="eastAsia"/>
                <w:color w:val="auto"/>
              </w:rPr>
              <w:t>N</w:t>
            </w:r>
            <w:r>
              <w:rPr>
                <w:color w:val="auto"/>
              </w:rPr>
              <w:t>E</w:t>
            </w:r>
          </w:p>
        </w:tc>
        <w:tc>
          <w:tcPr>
            <w:tcW w:w="538" w:type="pct"/>
            <w:vAlign w:val="center"/>
          </w:tcPr>
          <w:p>
            <w:pPr>
              <w:pStyle w:val="47"/>
              <w:rPr>
                <w:color w:val="auto"/>
              </w:rPr>
            </w:pPr>
            <w:r>
              <w:rPr>
                <w:rFonts w:hint="eastAsia"/>
                <w:color w:val="auto"/>
              </w:rPr>
              <w:t>2200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19</w:t>
            </w:r>
          </w:p>
        </w:tc>
        <w:tc>
          <w:tcPr>
            <w:tcW w:w="1143" w:type="pct"/>
            <w:vAlign w:val="center"/>
          </w:tcPr>
          <w:p>
            <w:pPr>
              <w:pStyle w:val="47"/>
              <w:rPr>
                <w:color w:val="auto"/>
              </w:rPr>
            </w:pPr>
            <w:r>
              <w:rPr>
                <w:rFonts w:hint="eastAsia"/>
                <w:color w:val="auto"/>
                <w:szCs w:val="24"/>
              </w:rPr>
              <w:t>淄博高新区第三小学</w:t>
            </w:r>
          </w:p>
        </w:tc>
        <w:tc>
          <w:tcPr>
            <w:tcW w:w="464" w:type="pct"/>
            <w:vAlign w:val="center"/>
          </w:tcPr>
          <w:p>
            <w:pPr>
              <w:pStyle w:val="47"/>
              <w:rPr>
                <w:color w:val="auto"/>
              </w:rPr>
            </w:pPr>
            <w:r>
              <w:rPr>
                <w:rFonts w:hint="eastAsia"/>
                <w:color w:val="auto"/>
              </w:rPr>
              <w:t>学校</w:t>
            </w:r>
          </w:p>
        </w:tc>
        <w:tc>
          <w:tcPr>
            <w:tcW w:w="551" w:type="pct"/>
            <w:vAlign w:val="center"/>
          </w:tcPr>
          <w:p>
            <w:pPr>
              <w:pStyle w:val="47"/>
              <w:rPr>
                <w:color w:val="auto"/>
              </w:rPr>
            </w:pPr>
            <w:r>
              <w:rPr>
                <w:rFonts w:hint="eastAsia"/>
                <w:color w:val="auto"/>
              </w:rPr>
              <w:t>420</w:t>
            </w:r>
          </w:p>
        </w:tc>
        <w:tc>
          <w:tcPr>
            <w:tcW w:w="1049" w:type="pct"/>
            <w:vMerge w:val="continue"/>
            <w:vAlign w:val="center"/>
          </w:tcPr>
          <w:p>
            <w:pPr>
              <w:pStyle w:val="47"/>
              <w:rPr>
                <w:color w:val="auto"/>
              </w:rPr>
            </w:pPr>
          </w:p>
        </w:tc>
        <w:tc>
          <w:tcPr>
            <w:tcW w:w="417" w:type="pct"/>
            <w:vAlign w:val="center"/>
          </w:tcPr>
          <w:p>
            <w:pPr>
              <w:pStyle w:val="47"/>
              <w:rPr>
                <w:color w:val="auto"/>
              </w:rPr>
            </w:pPr>
            <w:r>
              <w:rPr>
                <w:rFonts w:hint="eastAsia"/>
                <w:color w:val="auto"/>
              </w:rPr>
              <w:t>N</w:t>
            </w:r>
            <w:r>
              <w:rPr>
                <w:color w:val="auto"/>
              </w:rPr>
              <w:t>E</w:t>
            </w:r>
          </w:p>
        </w:tc>
        <w:tc>
          <w:tcPr>
            <w:tcW w:w="538" w:type="pct"/>
            <w:vAlign w:val="center"/>
          </w:tcPr>
          <w:p>
            <w:pPr>
              <w:pStyle w:val="47"/>
              <w:rPr>
                <w:color w:val="auto"/>
              </w:rPr>
            </w:pPr>
            <w:r>
              <w:rPr>
                <w:rFonts w:hint="eastAsia"/>
                <w:color w:val="auto"/>
              </w:rPr>
              <w:t>2160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20</w:t>
            </w:r>
          </w:p>
        </w:tc>
        <w:tc>
          <w:tcPr>
            <w:tcW w:w="1143" w:type="pct"/>
            <w:vAlign w:val="center"/>
          </w:tcPr>
          <w:p>
            <w:pPr>
              <w:pStyle w:val="47"/>
              <w:rPr>
                <w:color w:val="auto"/>
              </w:rPr>
            </w:pPr>
            <w:r>
              <w:rPr>
                <w:rFonts w:hint="eastAsia"/>
                <w:color w:val="auto"/>
                <w:szCs w:val="24"/>
              </w:rPr>
              <w:t>祥和苑</w:t>
            </w:r>
          </w:p>
        </w:tc>
        <w:tc>
          <w:tcPr>
            <w:tcW w:w="464" w:type="pct"/>
            <w:vAlign w:val="center"/>
          </w:tcPr>
          <w:p>
            <w:pPr>
              <w:pStyle w:val="47"/>
              <w:rPr>
                <w:color w:val="auto"/>
              </w:rPr>
            </w:pPr>
            <w:r>
              <w:rPr>
                <w:color w:val="auto"/>
              </w:rPr>
              <w:t>村庄</w:t>
            </w:r>
          </w:p>
        </w:tc>
        <w:tc>
          <w:tcPr>
            <w:tcW w:w="551" w:type="pct"/>
            <w:vAlign w:val="center"/>
          </w:tcPr>
          <w:p>
            <w:pPr>
              <w:pStyle w:val="47"/>
              <w:rPr>
                <w:color w:val="auto"/>
              </w:rPr>
            </w:pPr>
            <w:r>
              <w:rPr>
                <w:rFonts w:hint="eastAsia"/>
                <w:color w:val="auto"/>
              </w:rPr>
              <w:t>950</w:t>
            </w:r>
          </w:p>
        </w:tc>
        <w:tc>
          <w:tcPr>
            <w:tcW w:w="1049" w:type="pct"/>
            <w:vMerge w:val="continue"/>
            <w:vAlign w:val="center"/>
          </w:tcPr>
          <w:p>
            <w:pPr>
              <w:pStyle w:val="47"/>
              <w:rPr>
                <w:color w:val="auto"/>
              </w:rPr>
            </w:pPr>
          </w:p>
        </w:tc>
        <w:tc>
          <w:tcPr>
            <w:tcW w:w="417" w:type="pct"/>
            <w:vAlign w:val="center"/>
          </w:tcPr>
          <w:p>
            <w:pPr>
              <w:pStyle w:val="47"/>
              <w:rPr>
                <w:color w:val="auto"/>
              </w:rPr>
            </w:pPr>
            <w:r>
              <w:rPr>
                <w:rFonts w:hint="eastAsia"/>
                <w:color w:val="auto"/>
              </w:rPr>
              <w:t>N</w:t>
            </w:r>
            <w:r>
              <w:rPr>
                <w:color w:val="auto"/>
              </w:rPr>
              <w:t>E</w:t>
            </w:r>
          </w:p>
        </w:tc>
        <w:tc>
          <w:tcPr>
            <w:tcW w:w="538" w:type="pct"/>
            <w:vAlign w:val="center"/>
          </w:tcPr>
          <w:p>
            <w:pPr>
              <w:pStyle w:val="47"/>
              <w:rPr>
                <w:color w:val="auto"/>
              </w:rPr>
            </w:pPr>
            <w:r>
              <w:rPr>
                <w:rFonts w:hint="eastAsia"/>
                <w:color w:val="auto"/>
              </w:rPr>
              <w:t>2255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21</w:t>
            </w:r>
          </w:p>
        </w:tc>
        <w:tc>
          <w:tcPr>
            <w:tcW w:w="1143" w:type="pct"/>
            <w:vAlign w:val="center"/>
          </w:tcPr>
          <w:p>
            <w:pPr>
              <w:pStyle w:val="47"/>
              <w:rPr>
                <w:color w:val="auto"/>
              </w:rPr>
            </w:pPr>
            <w:r>
              <w:rPr>
                <w:rFonts w:hint="eastAsia"/>
                <w:color w:val="auto"/>
                <w:szCs w:val="24"/>
              </w:rPr>
              <w:t>马店村</w:t>
            </w:r>
          </w:p>
        </w:tc>
        <w:tc>
          <w:tcPr>
            <w:tcW w:w="464" w:type="pct"/>
            <w:vAlign w:val="center"/>
          </w:tcPr>
          <w:p>
            <w:pPr>
              <w:pStyle w:val="47"/>
              <w:rPr>
                <w:color w:val="auto"/>
              </w:rPr>
            </w:pPr>
            <w:r>
              <w:rPr>
                <w:color w:val="auto"/>
              </w:rPr>
              <w:t>村庄</w:t>
            </w:r>
          </w:p>
        </w:tc>
        <w:tc>
          <w:tcPr>
            <w:tcW w:w="551" w:type="pct"/>
            <w:vAlign w:val="center"/>
          </w:tcPr>
          <w:p>
            <w:pPr>
              <w:pStyle w:val="47"/>
              <w:rPr>
                <w:color w:val="auto"/>
              </w:rPr>
            </w:pPr>
            <w:r>
              <w:rPr>
                <w:color w:val="auto"/>
              </w:rPr>
              <w:t>1622</w:t>
            </w:r>
          </w:p>
        </w:tc>
        <w:tc>
          <w:tcPr>
            <w:tcW w:w="1049" w:type="pct"/>
            <w:vMerge w:val="continue"/>
            <w:vAlign w:val="center"/>
          </w:tcPr>
          <w:p>
            <w:pPr>
              <w:pStyle w:val="47"/>
              <w:rPr>
                <w:color w:val="auto"/>
              </w:rPr>
            </w:pPr>
          </w:p>
        </w:tc>
        <w:tc>
          <w:tcPr>
            <w:tcW w:w="417" w:type="pct"/>
            <w:vAlign w:val="center"/>
          </w:tcPr>
          <w:p>
            <w:pPr>
              <w:pStyle w:val="47"/>
              <w:rPr>
                <w:color w:val="auto"/>
              </w:rPr>
            </w:pPr>
            <w:r>
              <w:rPr>
                <w:rFonts w:hint="eastAsia"/>
                <w:color w:val="auto"/>
              </w:rPr>
              <w:t>N</w:t>
            </w:r>
            <w:r>
              <w:rPr>
                <w:color w:val="auto"/>
              </w:rPr>
              <w:t>E</w:t>
            </w:r>
          </w:p>
        </w:tc>
        <w:tc>
          <w:tcPr>
            <w:tcW w:w="538" w:type="pct"/>
            <w:vAlign w:val="center"/>
          </w:tcPr>
          <w:p>
            <w:pPr>
              <w:pStyle w:val="47"/>
              <w:rPr>
                <w:color w:val="auto"/>
              </w:rPr>
            </w:pPr>
            <w:r>
              <w:rPr>
                <w:rFonts w:hint="eastAsia"/>
                <w:color w:val="auto"/>
              </w:rPr>
              <w:t>2880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22</w:t>
            </w:r>
          </w:p>
        </w:tc>
        <w:tc>
          <w:tcPr>
            <w:tcW w:w="1143" w:type="pct"/>
            <w:vAlign w:val="center"/>
          </w:tcPr>
          <w:p>
            <w:pPr>
              <w:pStyle w:val="47"/>
              <w:rPr>
                <w:color w:val="auto"/>
              </w:rPr>
            </w:pPr>
            <w:r>
              <w:rPr>
                <w:rFonts w:hint="eastAsia"/>
                <w:color w:val="auto"/>
                <w:szCs w:val="24"/>
              </w:rPr>
              <w:t>北石桥</w:t>
            </w:r>
          </w:p>
        </w:tc>
        <w:tc>
          <w:tcPr>
            <w:tcW w:w="464" w:type="pct"/>
            <w:vAlign w:val="center"/>
          </w:tcPr>
          <w:p>
            <w:pPr>
              <w:pStyle w:val="47"/>
              <w:rPr>
                <w:color w:val="auto"/>
              </w:rPr>
            </w:pPr>
            <w:r>
              <w:rPr>
                <w:color w:val="auto"/>
              </w:rPr>
              <w:t>村庄</w:t>
            </w:r>
          </w:p>
        </w:tc>
        <w:tc>
          <w:tcPr>
            <w:tcW w:w="551" w:type="pct"/>
            <w:vAlign w:val="center"/>
          </w:tcPr>
          <w:p>
            <w:pPr>
              <w:pStyle w:val="47"/>
              <w:rPr>
                <w:color w:val="auto"/>
              </w:rPr>
            </w:pPr>
            <w:r>
              <w:rPr>
                <w:color w:val="auto"/>
              </w:rPr>
              <w:t>180</w:t>
            </w:r>
          </w:p>
        </w:tc>
        <w:tc>
          <w:tcPr>
            <w:tcW w:w="1049" w:type="pct"/>
            <w:vMerge w:val="continue"/>
            <w:vAlign w:val="center"/>
          </w:tcPr>
          <w:p>
            <w:pPr>
              <w:pStyle w:val="47"/>
              <w:rPr>
                <w:color w:val="auto"/>
              </w:rPr>
            </w:pPr>
          </w:p>
        </w:tc>
        <w:tc>
          <w:tcPr>
            <w:tcW w:w="417" w:type="pct"/>
            <w:vAlign w:val="center"/>
          </w:tcPr>
          <w:p>
            <w:pPr>
              <w:pStyle w:val="47"/>
              <w:rPr>
                <w:color w:val="auto"/>
              </w:rPr>
            </w:pPr>
            <w:r>
              <w:rPr>
                <w:rFonts w:hint="eastAsia"/>
                <w:color w:val="auto"/>
              </w:rPr>
              <w:t>N</w:t>
            </w:r>
            <w:r>
              <w:rPr>
                <w:color w:val="auto"/>
              </w:rPr>
              <w:t>E</w:t>
            </w:r>
          </w:p>
        </w:tc>
        <w:tc>
          <w:tcPr>
            <w:tcW w:w="538" w:type="pct"/>
            <w:vAlign w:val="center"/>
          </w:tcPr>
          <w:p>
            <w:pPr>
              <w:pStyle w:val="47"/>
              <w:rPr>
                <w:color w:val="auto"/>
              </w:rPr>
            </w:pPr>
            <w:r>
              <w:rPr>
                <w:rFonts w:hint="eastAsia"/>
                <w:color w:val="auto"/>
              </w:rPr>
              <w:t>2900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23</w:t>
            </w:r>
          </w:p>
        </w:tc>
        <w:tc>
          <w:tcPr>
            <w:tcW w:w="1143" w:type="pct"/>
            <w:vAlign w:val="center"/>
          </w:tcPr>
          <w:p>
            <w:pPr>
              <w:pStyle w:val="47"/>
              <w:rPr>
                <w:color w:val="auto"/>
              </w:rPr>
            </w:pPr>
            <w:r>
              <w:rPr>
                <w:rFonts w:hint="eastAsia"/>
                <w:color w:val="auto"/>
                <w:szCs w:val="24"/>
              </w:rPr>
              <w:t>淄博高新区第四小学</w:t>
            </w:r>
          </w:p>
        </w:tc>
        <w:tc>
          <w:tcPr>
            <w:tcW w:w="464" w:type="pct"/>
            <w:vAlign w:val="center"/>
          </w:tcPr>
          <w:p>
            <w:pPr>
              <w:pStyle w:val="47"/>
              <w:rPr>
                <w:color w:val="auto"/>
              </w:rPr>
            </w:pPr>
            <w:r>
              <w:rPr>
                <w:color w:val="auto"/>
              </w:rPr>
              <w:t>学校</w:t>
            </w:r>
          </w:p>
        </w:tc>
        <w:tc>
          <w:tcPr>
            <w:tcW w:w="551" w:type="pct"/>
            <w:vAlign w:val="center"/>
          </w:tcPr>
          <w:p>
            <w:pPr>
              <w:pStyle w:val="47"/>
              <w:rPr>
                <w:color w:val="auto"/>
              </w:rPr>
            </w:pPr>
            <w:r>
              <w:rPr>
                <w:rFonts w:hint="eastAsia"/>
                <w:color w:val="auto"/>
              </w:rPr>
              <w:t>240</w:t>
            </w:r>
          </w:p>
        </w:tc>
        <w:tc>
          <w:tcPr>
            <w:tcW w:w="1049" w:type="pct"/>
            <w:vMerge w:val="continue"/>
            <w:vAlign w:val="center"/>
          </w:tcPr>
          <w:p>
            <w:pPr>
              <w:pStyle w:val="47"/>
              <w:rPr>
                <w:color w:val="auto"/>
              </w:rPr>
            </w:pPr>
          </w:p>
        </w:tc>
        <w:tc>
          <w:tcPr>
            <w:tcW w:w="417" w:type="pct"/>
            <w:vAlign w:val="center"/>
          </w:tcPr>
          <w:p>
            <w:pPr>
              <w:pStyle w:val="47"/>
              <w:rPr>
                <w:color w:val="auto"/>
              </w:rPr>
            </w:pPr>
            <w:r>
              <w:rPr>
                <w:rFonts w:hint="eastAsia"/>
                <w:color w:val="auto"/>
              </w:rPr>
              <w:t>N</w:t>
            </w:r>
            <w:r>
              <w:rPr>
                <w:color w:val="auto"/>
              </w:rPr>
              <w:t>E</w:t>
            </w:r>
          </w:p>
        </w:tc>
        <w:tc>
          <w:tcPr>
            <w:tcW w:w="538" w:type="pct"/>
            <w:vAlign w:val="center"/>
          </w:tcPr>
          <w:p>
            <w:pPr>
              <w:pStyle w:val="47"/>
              <w:rPr>
                <w:color w:val="auto"/>
              </w:rPr>
            </w:pPr>
            <w:r>
              <w:rPr>
                <w:rFonts w:hint="eastAsia"/>
                <w:color w:val="auto"/>
              </w:rPr>
              <w:t>3000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24</w:t>
            </w:r>
          </w:p>
        </w:tc>
        <w:tc>
          <w:tcPr>
            <w:tcW w:w="1143" w:type="pct"/>
            <w:vAlign w:val="center"/>
          </w:tcPr>
          <w:p>
            <w:pPr>
              <w:pStyle w:val="47"/>
              <w:rPr>
                <w:color w:val="auto"/>
              </w:rPr>
            </w:pPr>
            <w:r>
              <w:rPr>
                <w:rFonts w:hint="eastAsia"/>
                <w:color w:val="auto"/>
                <w:szCs w:val="24"/>
              </w:rPr>
              <w:t>南石社区</w:t>
            </w:r>
          </w:p>
        </w:tc>
        <w:tc>
          <w:tcPr>
            <w:tcW w:w="464" w:type="pct"/>
            <w:vAlign w:val="center"/>
          </w:tcPr>
          <w:p>
            <w:pPr>
              <w:pStyle w:val="47"/>
              <w:rPr>
                <w:color w:val="auto"/>
              </w:rPr>
            </w:pPr>
            <w:r>
              <w:rPr>
                <w:color w:val="auto"/>
              </w:rPr>
              <w:t>村庄</w:t>
            </w:r>
          </w:p>
        </w:tc>
        <w:tc>
          <w:tcPr>
            <w:tcW w:w="551" w:type="pct"/>
            <w:vAlign w:val="center"/>
          </w:tcPr>
          <w:p>
            <w:pPr>
              <w:pStyle w:val="47"/>
              <w:rPr>
                <w:color w:val="auto"/>
              </w:rPr>
            </w:pPr>
            <w:r>
              <w:rPr>
                <w:rFonts w:hint="eastAsia"/>
                <w:color w:val="auto"/>
              </w:rPr>
              <w:t>1850</w:t>
            </w:r>
          </w:p>
        </w:tc>
        <w:tc>
          <w:tcPr>
            <w:tcW w:w="1049" w:type="pct"/>
            <w:vMerge w:val="continue"/>
            <w:vAlign w:val="center"/>
          </w:tcPr>
          <w:p>
            <w:pPr>
              <w:pStyle w:val="47"/>
              <w:rPr>
                <w:color w:val="auto"/>
              </w:rPr>
            </w:pPr>
          </w:p>
        </w:tc>
        <w:tc>
          <w:tcPr>
            <w:tcW w:w="417" w:type="pct"/>
            <w:vAlign w:val="center"/>
          </w:tcPr>
          <w:p>
            <w:pPr>
              <w:pStyle w:val="47"/>
              <w:rPr>
                <w:color w:val="auto"/>
              </w:rPr>
            </w:pPr>
            <w:r>
              <w:rPr>
                <w:rFonts w:hint="eastAsia"/>
                <w:color w:val="auto"/>
              </w:rPr>
              <w:t>N</w:t>
            </w:r>
            <w:r>
              <w:rPr>
                <w:color w:val="auto"/>
              </w:rPr>
              <w:t>E</w:t>
            </w:r>
          </w:p>
        </w:tc>
        <w:tc>
          <w:tcPr>
            <w:tcW w:w="538" w:type="pct"/>
            <w:vAlign w:val="center"/>
          </w:tcPr>
          <w:p>
            <w:pPr>
              <w:pStyle w:val="47"/>
              <w:rPr>
                <w:color w:val="auto"/>
              </w:rPr>
            </w:pPr>
            <w:r>
              <w:rPr>
                <w:rFonts w:hint="eastAsia"/>
                <w:color w:val="auto"/>
              </w:rPr>
              <w:t>1950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25</w:t>
            </w:r>
          </w:p>
        </w:tc>
        <w:tc>
          <w:tcPr>
            <w:tcW w:w="1143" w:type="pct"/>
            <w:vAlign w:val="center"/>
          </w:tcPr>
          <w:p>
            <w:pPr>
              <w:pStyle w:val="47"/>
              <w:rPr>
                <w:color w:val="auto"/>
              </w:rPr>
            </w:pPr>
            <w:r>
              <w:rPr>
                <w:rFonts w:hint="eastAsia"/>
                <w:color w:val="auto"/>
                <w:szCs w:val="24"/>
              </w:rPr>
              <w:t>金贝儿幼儿园</w:t>
            </w:r>
          </w:p>
        </w:tc>
        <w:tc>
          <w:tcPr>
            <w:tcW w:w="464" w:type="pct"/>
            <w:vAlign w:val="center"/>
          </w:tcPr>
          <w:p>
            <w:pPr>
              <w:pStyle w:val="47"/>
              <w:rPr>
                <w:color w:val="auto"/>
              </w:rPr>
            </w:pPr>
            <w:r>
              <w:rPr>
                <w:rFonts w:hint="eastAsia"/>
                <w:color w:val="auto"/>
              </w:rPr>
              <w:t>学校</w:t>
            </w:r>
          </w:p>
        </w:tc>
        <w:tc>
          <w:tcPr>
            <w:tcW w:w="551" w:type="pct"/>
            <w:vAlign w:val="center"/>
          </w:tcPr>
          <w:p>
            <w:pPr>
              <w:pStyle w:val="47"/>
              <w:rPr>
                <w:color w:val="auto"/>
              </w:rPr>
            </w:pPr>
            <w:r>
              <w:rPr>
                <w:rFonts w:hint="eastAsia"/>
                <w:color w:val="auto"/>
              </w:rPr>
              <w:t>58</w:t>
            </w:r>
          </w:p>
        </w:tc>
        <w:tc>
          <w:tcPr>
            <w:tcW w:w="1049" w:type="pct"/>
            <w:vMerge w:val="continue"/>
            <w:vAlign w:val="center"/>
          </w:tcPr>
          <w:p>
            <w:pPr>
              <w:pStyle w:val="47"/>
              <w:rPr>
                <w:color w:val="auto"/>
              </w:rPr>
            </w:pPr>
          </w:p>
        </w:tc>
        <w:tc>
          <w:tcPr>
            <w:tcW w:w="417" w:type="pct"/>
            <w:vAlign w:val="center"/>
          </w:tcPr>
          <w:p>
            <w:pPr>
              <w:pStyle w:val="47"/>
              <w:rPr>
                <w:color w:val="auto"/>
              </w:rPr>
            </w:pPr>
            <w:r>
              <w:rPr>
                <w:rFonts w:hint="eastAsia"/>
                <w:color w:val="auto"/>
              </w:rPr>
              <w:t>N</w:t>
            </w:r>
            <w:r>
              <w:rPr>
                <w:color w:val="auto"/>
              </w:rPr>
              <w:t>E</w:t>
            </w:r>
          </w:p>
        </w:tc>
        <w:tc>
          <w:tcPr>
            <w:tcW w:w="538" w:type="pct"/>
            <w:vAlign w:val="center"/>
          </w:tcPr>
          <w:p>
            <w:pPr>
              <w:pStyle w:val="47"/>
              <w:rPr>
                <w:color w:val="auto"/>
              </w:rPr>
            </w:pPr>
            <w:r>
              <w:rPr>
                <w:rFonts w:hint="eastAsia"/>
                <w:color w:val="auto"/>
              </w:rPr>
              <w:t>2100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26</w:t>
            </w:r>
          </w:p>
        </w:tc>
        <w:tc>
          <w:tcPr>
            <w:tcW w:w="1143" w:type="pct"/>
            <w:vAlign w:val="center"/>
          </w:tcPr>
          <w:p>
            <w:pPr>
              <w:pStyle w:val="47"/>
              <w:rPr>
                <w:color w:val="auto"/>
              </w:rPr>
            </w:pPr>
            <w:r>
              <w:rPr>
                <w:rFonts w:hint="eastAsia"/>
                <w:color w:val="auto"/>
                <w:szCs w:val="24"/>
              </w:rPr>
              <w:t>汇景苑</w:t>
            </w:r>
          </w:p>
        </w:tc>
        <w:tc>
          <w:tcPr>
            <w:tcW w:w="464" w:type="pct"/>
            <w:vAlign w:val="center"/>
          </w:tcPr>
          <w:p>
            <w:pPr>
              <w:pStyle w:val="47"/>
              <w:rPr>
                <w:color w:val="auto"/>
              </w:rPr>
            </w:pPr>
            <w:r>
              <w:rPr>
                <w:rFonts w:hint="eastAsia"/>
                <w:color w:val="auto"/>
              </w:rPr>
              <w:t>村庄</w:t>
            </w:r>
          </w:p>
        </w:tc>
        <w:tc>
          <w:tcPr>
            <w:tcW w:w="551" w:type="pct"/>
            <w:vAlign w:val="center"/>
          </w:tcPr>
          <w:p>
            <w:pPr>
              <w:pStyle w:val="47"/>
              <w:rPr>
                <w:color w:val="auto"/>
              </w:rPr>
            </w:pPr>
            <w:r>
              <w:rPr>
                <w:rFonts w:hint="eastAsia"/>
                <w:color w:val="auto"/>
              </w:rPr>
              <w:t>1560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E</w:t>
            </w:r>
          </w:p>
        </w:tc>
        <w:tc>
          <w:tcPr>
            <w:tcW w:w="538" w:type="pct"/>
            <w:vAlign w:val="center"/>
          </w:tcPr>
          <w:p>
            <w:pPr>
              <w:pStyle w:val="47"/>
              <w:rPr>
                <w:color w:val="auto"/>
              </w:rPr>
            </w:pPr>
            <w:r>
              <w:rPr>
                <w:rFonts w:hint="eastAsia"/>
                <w:color w:val="auto"/>
              </w:rPr>
              <w:t>2260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27</w:t>
            </w:r>
          </w:p>
        </w:tc>
        <w:tc>
          <w:tcPr>
            <w:tcW w:w="1143" w:type="pct"/>
            <w:vAlign w:val="center"/>
          </w:tcPr>
          <w:p>
            <w:pPr>
              <w:pStyle w:val="47"/>
              <w:rPr>
                <w:color w:val="auto"/>
              </w:rPr>
            </w:pPr>
            <w:r>
              <w:rPr>
                <w:rFonts w:hint="eastAsia"/>
                <w:color w:val="auto"/>
                <w:szCs w:val="24"/>
              </w:rPr>
              <w:t>董家村</w:t>
            </w:r>
          </w:p>
        </w:tc>
        <w:tc>
          <w:tcPr>
            <w:tcW w:w="464" w:type="pct"/>
            <w:vAlign w:val="center"/>
          </w:tcPr>
          <w:p>
            <w:pPr>
              <w:pStyle w:val="47"/>
              <w:rPr>
                <w:color w:val="auto"/>
              </w:rPr>
            </w:pPr>
            <w:r>
              <w:rPr>
                <w:rFonts w:hint="eastAsia"/>
                <w:color w:val="auto"/>
              </w:rPr>
              <w:t>村庄</w:t>
            </w:r>
          </w:p>
        </w:tc>
        <w:tc>
          <w:tcPr>
            <w:tcW w:w="551" w:type="pct"/>
            <w:vAlign w:val="center"/>
          </w:tcPr>
          <w:p>
            <w:pPr>
              <w:pStyle w:val="47"/>
              <w:rPr>
                <w:color w:val="auto"/>
              </w:rPr>
            </w:pPr>
            <w:r>
              <w:rPr>
                <w:rFonts w:hint="eastAsia"/>
                <w:color w:val="auto"/>
              </w:rPr>
              <w:t>600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w:t>
            </w:r>
            <w:r>
              <w:rPr>
                <w:rFonts w:hint="eastAsia"/>
                <w:color w:val="auto"/>
              </w:rPr>
              <w:t>W</w:t>
            </w:r>
          </w:p>
        </w:tc>
        <w:tc>
          <w:tcPr>
            <w:tcW w:w="538" w:type="pct"/>
            <w:vAlign w:val="center"/>
          </w:tcPr>
          <w:p>
            <w:pPr>
              <w:pStyle w:val="47"/>
              <w:rPr>
                <w:color w:val="auto"/>
              </w:rPr>
            </w:pPr>
            <w:r>
              <w:rPr>
                <w:rFonts w:hint="eastAsia"/>
                <w:color w:val="auto"/>
              </w:rPr>
              <w:t>1170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28</w:t>
            </w:r>
          </w:p>
        </w:tc>
        <w:tc>
          <w:tcPr>
            <w:tcW w:w="1143" w:type="pct"/>
            <w:vAlign w:val="center"/>
          </w:tcPr>
          <w:p>
            <w:pPr>
              <w:pStyle w:val="47"/>
              <w:rPr>
                <w:color w:val="auto"/>
              </w:rPr>
            </w:pPr>
            <w:r>
              <w:rPr>
                <w:rFonts w:hint="eastAsia"/>
                <w:color w:val="auto"/>
                <w:szCs w:val="24"/>
              </w:rPr>
              <w:t>大张社区</w:t>
            </w:r>
          </w:p>
        </w:tc>
        <w:tc>
          <w:tcPr>
            <w:tcW w:w="464" w:type="pct"/>
            <w:vAlign w:val="center"/>
          </w:tcPr>
          <w:p>
            <w:pPr>
              <w:pStyle w:val="47"/>
              <w:rPr>
                <w:color w:val="auto"/>
              </w:rPr>
            </w:pPr>
            <w:r>
              <w:rPr>
                <w:color w:val="auto"/>
              </w:rPr>
              <w:t>村庄</w:t>
            </w:r>
          </w:p>
        </w:tc>
        <w:tc>
          <w:tcPr>
            <w:tcW w:w="551" w:type="pct"/>
            <w:vAlign w:val="center"/>
          </w:tcPr>
          <w:p>
            <w:pPr>
              <w:pStyle w:val="47"/>
              <w:rPr>
                <w:color w:val="auto"/>
              </w:rPr>
            </w:pPr>
            <w:r>
              <w:rPr>
                <w:rFonts w:hint="eastAsia"/>
                <w:color w:val="auto"/>
              </w:rPr>
              <w:t>530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8" w:type="pct"/>
            <w:vAlign w:val="center"/>
          </w:tcPr>
          <w:p>
            <w:pPr>
              <w:pStyle w:val="47"/>
              <w:rPr>
                <w:color w:val="auto"/>
              </w:rPr>
            </w:pPr>
            <w:r>
              <w:rPr>
                <w:rFonts w:hint="eastAsia"/>
                <w:color w:val="auto"/>
              </w:rPr>
              <w:t>1120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29</w:t>
            </w:r>
          </w:p>
        </w:tc>
        <w:tc>
          <w:tcPr>
            <w:tcW w:w="1143" w:type="pct"/>
            <w:vAlign w:val="center"/>
          </w:tcPr>
          <w:p>
            <w:pPr>
              <w:pStyle w:val="47"/>
              <w:rPr>
                <w:color w:val="auto"/>
              </w:rPr>
            </w:pPr>
            <w:r>
              <w:rPr>
                <w:rFonts w:hint="eastAsia"/>
                <w:color w:val="auto"/>
                <w:szCs w:val="24"/>
              </w:rPr>
              <w:t>高新区第一中学</w:t>
            </w:r>
          </w:p>
        </w:tc>
        <w:tc>
          <w:tcPr>
            <w:tcW w:w="464" w:type="pct"/>
            <w:vAlign w:val="center"/>
          </w:tcPr>
          <w:p>
            <w:pPr>
              <w:pStyle w:val="47"/>
              <w:rPr>
                <w:color w:val="auto"/>
              </w:rPr>
            </w:pPr>
            <w:r>
              <w:rPr>
                <w:rFonts w:hint="eastAsia"/>
                <w:color w:val="auto"/>
              </w:rPr>
              <w:t>学校</w:t>
            </w:r>
          </w:p>
        </w:tc>
        <w:tc>
          <w:tcPr>
            <w:tcW w:w="551" w:type="pct"/>
            <w:vAlign w:val="center"/>
          </w:tcPr>
          <w:p>
            <w:pPr>
              <w:pStyle w:val="47"/>
              <w:rPr>
                <w:color w:val="auto"/>
              </w:rPr>
            </w:pPr>
            <w:r>
              <w:rPr>
                <w:rFonts w:hint="eastAsia"/>
                <w:color w:val="auto"/>
              </w:rPr>
              <w:t>2140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8" w:type="pct"/>
            <w:vAlign w:val="center"/>
          </w:tcPr>
          <w:p>
            <w:pPr>
              <w:pStyle w:val="47"/>
              <w:rPr>
                <w:color w:val="auto"/>
              </w:rPr>
            </w:pPr>
            <w:r>
              <w:rPr>
                <w:rFonts w:hint="eastAsia"/>
                <w:color w:val="auto"/>
              </w:rPr>
              <w:t>2409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30</w:t>
            </w:r>
          </w:p>
        </w:tc>
        <w:tc>
          <w:tcPr>
            <w:tcW w:w="1143" w:type="pct"/>
            <w:vAlign w:val="center"/>
          </w:tcPr>
          <w:p>
            <w:pPr>
              <w:pStyle w:val="47"/>
              <w:rPr>
                <w:color w:val="auto"/>
              </w:rPr>
            </w:pPr>
            <w:r>
              <w:rPr>
                <w:rFonts w:hint="eastAsia"/>
                <w:color w:val="auto"/>
                <w:szCs w:val="24"/>
              </w:rPr>
              <w:t>金润香榭居</w:t>
            </w:r>
          </w:p>
        </w:tc>
        <w:tc>
          <w:tcPr>
            <w:tcW w:w="464" w:type="pct"/>
            <w:vAlign w:val="center"/>
          </w:tcPr>
          <w:p>
            <w:pPr>
              <w:pStyle w:val="47"/>
              <w:rPr>
                <w:color w:val="auto"/>
              </w:rPr>
            </w:pPr>
            <w:r>
              <w:rPr>
                <w:color w:val="auto"/>
              </w:rPr>
              <w:t>村庄</w:t>
            </w:r>
          </w:p>
        </w:tc>
        <w:tc>
          <w:tcPr>
            <w:tcW w:w="551" w:type="pct"/>
            <w:vAlign w:val="center"/>
          </w:tcPr>
          <w:p>
            <w:pPr>
              <w:pStyle w:val="47"/>
              <w:rPr>
                <w:color w:val="auto"/>
              </w:rPr>
            </w:pPr>
            <w:r>
              <w:rPr>
                <w:rFonts w:hint="eastAsia"/>
                <w:color w:val="auto"/>
              </w:rPr>
              <w:t>340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8" w:type="pct"/>
            <w:vAlign w:val="center"/>
          </w:tcPr>
          <w:p>
            <w:pPr>
              <w:pStyle w:val="47"/>
              <w:rPr>
                <w:color w:val="auto"/>
              </w:rPr>
            </w:pPr>
            <w:r>
              <w:rPr>
                <w:rFonts w:hint="eastAsia"/>
                <w:color w:val="auto"/>
              </w:rPr>
              <w:t>2161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31</w:t>
            </w:r>
          </w:p>
        </w:tc>
        <w:tc>
          <w:tcPr>
            <w:tcW w:w="1143" w:type="pct"/>
            <w:vAlign w:val="center"/>
          </w:tcPr>
          <w:p>
            <w:pPr>
              <w:pStyle w:val="47"/>
              <w:rPr>
                <w:color w:val="auto"/>
              </w:rPr>
            </w:pPr>
            <w:r>
              <w:rPr>
                <w:color w:val="auto"/>
                <w:szCs w:val="24"/>
              </w:rPr>
              <w:t xml:space="preserve"> </w:t>
            </w:r>
            <w:r>
              <w:rPr>
                <w:rFonts w:hint="eastAsia"/>
                <w:color w:val="auto"/>
                <w:szCs w:val="24"/>
              </w:rPr>
              <w:t>名尚国际</w:t>
            </w:r>
          </w:p>
        </w:tc>
        <w:tc>
          <w:tcPr>
            <w:tcW w:w="464" w:type="pct"/>
            <w:vAlign w:val="center"/>
          </w:tcPr>
          <w:p>
            <w:pPr>
              <w:pStyle w:val="47"/>
              <w:rPr>
                <w:color w:val="auto"/>
              </w:rPr>
            </w:pPr>
            <w:r>
              <w:rPr>
                <w:color w:val="auto"/>
              </w:rPr>
              <w:t>村庄</w:t>
            </w:r>
          </w:p>
        </w:tc>
        <w:tc>
          <w:tcPr>
            <w:tcW w:w="551" w:type="pct"/>
            <w:vAlign w:val="center"/>
          </w:tcPr>
          <w:p>
            <w:pPr>
              <w:pStyle w:val="47"/>
              <w:rPr>
                <w:color w:val="auto"/>
              </w:rPr>
            </w:pPr>
            <w:r>
              <w:rPr>
                <w:rFonts w:hint="eastAsia"/>
                <w:color w:val="auto"/>
              </w:rPr>
              <w:t>625</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8" w:type="pct"/>
            <w:vAlign w:val="center"/>
          </w:tcPr>
          <w:p>
            <w:pPr>
              <w:pStyle w:val="47"/>
              <w:rPr>
                <w:color w:val="auto"/>
              </w:rPr>
            </w:pPr>
            <w:r>
              <w:rPr>
                <w:rFonts w:hint="eastAsia"/>
                <w:color w:val="auto"/>
              </w:rPr>
              <w:t>2315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32</w:t>
            </w:r>
          </w:p>
        </w:tc>
        <w:tc>
          <w:tcPr>
            <w:tcW w:w="1143" w:type="pct"/>
            <w:vAlign w:val="center"/>
          </w:tcPr>
          <w:p>
            <w:pPr>
              <w:pStyle w:val="47"/>
              <w:rPr>
                <w:color w:val="auto"/>
              </w:rPr>
            </w:pPr>
            <w:r>
              <w:rPr>
                <w:rFonts w:hint="eastAsia"/>
                <w:color w:val="auto"/>
                <w:szCs w:val="24"/>
              </w:rPr>
              <w:t>阳光幼儿园</w:t>
            </w:r>
          </w:p>
        </w:tc>
        <w:tc>
          <w:tcPr>
            <w:tcW w:w="464" w:type="pct"/>
            <w:vAlign w:val="center"/>
          </w:tcPr>
          <w:p>
            <w:pPr>
              <w:pStyle w:val="47"/>
              <w:rPr>
                <w:color w:val="auto"/>
              </w:rPr>
            </w:pPr>
            <w:r>
              <w:rPr>
                <w:rFonts w:hint="eastAsia"/>
                <w:color w:val="auto"/>
              </w:rPr>
              <w:t>学校</w:t>
            </w:r>
          </w:p>
        </w:tc>
        <w:tc>
          <w:tcPr>
            <w:tcW w:w="551" w:type="pct"/>
            <w:vAlign w:val="center"/>
          </w:tcPr>
          <w:p>
            <w:pPr>
              <w:pStyle w:val="47"/>
              <w:rPr>
                <w:color w:val="auto"/>
              </w:rPr>
            </w:pPr>
            <w:r>
              <w:rPr>
                <w:rFonts w:hint="eastAsia"/>
                <w:color w:val="auto"/>
                <w:szCs w:val="24"/>
              </w:rPr>
              <w:t>60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8" w:type="pct"/>
            <w:vAlign w:val="center"/>
          </w:tcPr>
          <w:p>
            <w:pPr>
              <w:pStyle w:val="47"/>
              <w:rPr>
                <w:color w:val="auto"/>
              </w:rPr>
            </w:pPr>
            <w:r>
              <w:rPr>
                <w:rFonts w:hint="eastAsia"/>
                <w:color w:val="auto"/>
              </w:rPr>
              <w:t>2915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33</w:t>
            </w:r>
          </w:p>
        </w:tc>
        <w:tc>
          <w:tcPr>
            <w:tcW w:w="1143" w:type="pct"/>
            <w:vAlign w:val="center"/>
          </w:tcPr>
          <w:p>
            <w:pPr>
              <w:pStyle w:val="47"/>
              <w:rPr>
                <w:color w:val="auto"/>
              </w:rPr>
            </w:pPr>
            <w:r>
              <w:rPr>
                <w:rFonts w:hint="eastAsia"/>
                <w:color w:val="auto"/>
                <w:szCs w:val="24"/>
              </w:rPr>
              <w:t>小庄村</w:t>
            </w:r>
          </w:p>
        </w:tc>
        <w:tc>
          <w:tcPr>
            <w:tcW w:w="464" w:type="pct"/>
            <w:vAlign w:val="center"/>
          </w:tcPr>
          <w:p>
            <w:pPr>
              <w:pStyle w:val="47"/>
              <w:rPr>
                <w:color w:val="auto"/>
              </w:rPr>
            </w:pPr>
            <w:r>
              <w:rPr>
                <w:color w:val="auto"/>
              </w:rPr>
              <w:t>村庄</w:t>
            </w:r>
          </w:p>
        </w:tc>
        <w:tc>
          <w:tcPr>
            <w:tcW w:w="551" w:type="pct"/>
            <w:vAlign w:val="center"/>
          </w:tcPr>
          <w:p>
            <w:pPr>
              <w:pStyle w:val="47"/>
              <w:rPr>
                <w:color w:val="auto"/>
              </w:rPr>
            </w:pPr>
            <w:r>
              <w:rPr>
                <w:rFonts w:hint="eastAsia"/>
                <w:color w:val="auto"/>
              </w:rPr>
              <w:t>640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8" w:type="pct"/>
            <w:vAlign w:val="center"/>
          </w:tcPr>
          <w:p>
            <w:pPr>
              <w:pStyle w:val="47"/>
              <w:rPr>
                <w:color w:val="auto"/>
              </w:rPr>
            </w:pPr>
            <w:r>
              <w:rPr>
                <w:rFonts w:hint="eastAsia"/>
                <w:color w:val="auto"/>
              </w:rPr>
              <w:t>2895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34</w:t>
            </w:r>
          </w:p>
        </w:tc>
        <w:tc>
          <w:tcPr>
            <w:tcW w:w="1143" w:type="pct"/>
            <w:vAlign w:val="center"/>
          </w:tcPr>
          <w:p>
            <w:pPr>
              <w:pStyle w:val="47"/>
              <w:rPr>
                <w:color w:val="auto"/>
              </w:rPr>
            </w:pPr>
            <w:r>
              <w:rPr>
                <w:rFonts w:hint="eastAsia"/>
                <w:color w:val="auto"/>
                <w:szCs w:val="24"/>
              </w:rPr>
              <w:t>高新区七彩虹幼儿园</w:t>
            </w:r>
          </w:p>
        </w:tc>
        <w:tc>
          <w:tcPr>
            <w:tcW w:w="464" w:type="pct"/>
            <w:vAlign w:val="center"/>
          </w:tcPr>
          <w:p>
            <w:pPr>
              <w:pStyle w:val="47"/>
              <w:rPr>
                <w:color w:val="auto"/>
              </w:rPr>
            </w:pPr>
            <w:r>
              <w:rPr>
                <w:rFonts w:hint="eastAsia"/>
                <w:color w:val="auto"/>
              </w:rPr>
              <w:t>学校</w:t>
            </w:r>
          </w:p>
        </w:tc>
        <w:tc>
          <w:tcPr>
            <w:tcW w:w="551" w:type="pct"/>
            <w:vAlign w:val="center"/>
          </w:tcPr>
          <w:p>
            <w:pPr>
              <w:pStyle w:val="47"/>
              <w:rPr>
                <w:color w:val="auto"/>
              </w:rPr>
            </w:pPr>
            <w:r>
              <w:rPr>
                <w:rFonts w:hint="eastAsia"/>
                <w:color w:val="auto"/>
              </w:rPr>
              <w:t>48</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8" w:type="pct"/>
            <w:vAlign w:val="center"/>
          </w:tcPr>
          <w:p>
            <w:pPr>
              <w:pStyle w:val="47"/>
              <w:rPr>
                <w:color w:val="auto"/>
              </w:rPr>
            </w:pPr>
            <w:r>
              <w:rPr>
                <w:rFonts w:hint="eastAsia"/>
                <w:color w:val="auto"/>
              </w:rPr>
              <w:t>3345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35</w:t>
            </w:r>
          </w:p>
        </w:tc>
        <w:tc>
          <w:tcPr>
            <w:tcW w:w="1143" w:type="pct"/>
            <w:vAlign w:val="center"/>
          </w:tcPr>
          <w:p>
            <w:pPr>
              <w:pStyle w:val="47"/>
              <w:rPr>
                <w:color w:val="auto"/>
              </w:rPr>
            </w:pPr>
            <w:r>
              <w:rPr>
                <w:rFonts w:hint="eastAsia"/>
                <w:color w:val="auto"/>
                <w:szCs w:val="24"/>
              </w:rPr>
              <w:t>淄博高新区华侨城小学</w:t>
            </w:r>
          </w:p>
        </w:tc>
        <w:tc>
          <w:tcPr>
            <w:tcW w:w="464" w:type="pct"/>
            <w:vAlign w:val="center"/>
          </w:tcPr>
          <w:p>
            <w:pPr>
              <w:pStyle w:val="47"/>
              <w:rPr>
                <w:color w:val="auto"/>
              </w:rPr>
            </w:pPr>
            <w:r>
              <w:rPr>
                <w:rFonts w:hint="eastAsia"/>
                <w:color w:val="auto"/>
              </w:rPr>
              <w:t>学校</w:t>
            </w:r>
          </w:p>
        </w:tc>
        <w:tc>
          <w:tcPr>
            <w:tcW w:w="551" w:type="pct"/>
            <w:vAlign w:val="center"/>
          </w:tcPr>
          <w:p>
            <w:pPr>
              <w:pStyle w:val="47"/>
              <w:rPr>
                <w:color w:val="auto"/>
              </w:rPr>
            </w:pPr>
            <w:r>
              <w:rPr>
                <w:rFonts w:hint="eastAsia"/>
                <w:color w:val="auto"/>
              </w:rPr>
              <w:t>848</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8" w:type="pct"/>
            <w:vAlign w:val="center"/>
          </w:tcPr>
          <w:p>
            <w:pPr>
              <w:pStyle w:val="47"/>
              <w:rPr>
                <w:color w:val="auto"/>
              </w:rPr>
            </w:pPr>
            <w:r>
              <w:rPr>
                <w:rFonts w:hint="eastAsia"/>
                <w:color w:val="auto"/>
              </w:rPr>
              <w:t>3100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36</w:t>
            </w:r>
          </w:p>
        </w:tc>
        <w:tc>
          <w:tcPr>
            <w:tcW w:w="1143" w:type="pct"/>
            <w:vAlign w:val="center"/>
          </w:tcPr>
          <w:p>
            <w:pPr>
              <w:pStyle w:val="47"/>
              <w:rPr>
                <w:color w:val="auto"/>
              </w:rPr>
            </w:pPr>
            <w:r>
              <w:rPr>
                <w:rFonts w:hint="eastAsia"/>
                <w:color w:val="auto"/>
                <w:szCs w:val="24"/>
              </w:rPr>
              <w:t>八音河国际幼稚园</w:t>
            </w:r>
          </w:p>
        </w:tc>
        <w:tc>
          <w:tcPr>
            <w:tcW w:w="464" w:type="pct"/>
            <w:vAlign w:val="center"/>
          </w:tcPr>
          <w:p>
            <w:pPr>
              <w:pStyle w:val="47"/>
              <w:rPr>
                <w:color w:val="auto"/>
              </w:rPr>
            </w:pPr>
            <w:r>
              <w:rPr>
                <w:color w:val="auto"/>
              </w:rPr>
              <w:t>学校</w:t>
            </w:r>
          </w:p>
        </w:tc>
        <w:tc>
          <w:tcPr>
            <w:tcW w:w="551" w:type="pct"/>
            <w:vAlign w:val="center"/>
          </w:tcPr>
          <w:p>
            <w:pPr>
              <w:pStyle w:val="47"/>
              <w:rPr>
                <w:color w:val="auto"/>
              </w:rPr>
            </w:pPr>
            <w:r>
              <w:rPr>
                <w:rFonts w:hint="eastAsia"/>
                <w:color w:val="auto"/>
              </w:rPr>
              <w:t>56</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8" w:type="pct"/>
            <w:vAlign w:val="center"/>
          </w:tcPr>
          <w:p>
            <w:pPr>
              <w:pStyle w:val="47"/>
              <w:rPr>
                <w:color w:val="auto"/>
              </w:rPr>
            </w:pPr>
            <w:r>
              <w:rPr>
                <w:rFonts w:hint="eastAsia"/>
                <w:color w:val="auto"/>
              </w:rPr>
              <w:t>3572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37</w:t>
            </w:r>
          </w:p>
        </w:tc>
        <w:tc>
          <w:tcPr>
            <w:tcW w:w="1143" w:type="pct"/>
            <w:vAlign w:val="center"/>
          </w:tcPr>
          <w:p>
            <w:pPr>
              <w:pStyle w:val="47"/>
              <w:rPr>
                <w:color w:val="auto"/>
              </w:rPr>
            </w:pPr>
            <w:r>
              <w:rPr>
                <w:rFonts w:hint="eastAsia"/>
                <w:color w:val="auto"/>
                <w:szCs w:val="24"/>
              </w:rPr>
              <w:t>淄博莲池妇婴医院</w:t>
            </w:r>
          </w:p>
        </w:tc>
        <w:tc>
          <w:tcPr>
            <w:tcW w:w="464" w:type="pct"/>
            <w:vAlign w:val="center"/>
          </w:tcPr>
          <w:p>
            <w:pPr>
              <w:pStyle w:val="47"/>
              <w:rPr>
                <w:color w:val="auto"/>
              </w:rPr>
            </w:pPr>
            <w:r>
              <w:rPr>
                <w:rFonts w:hint="eastAsia"/>
                <w:color w:val="auto"/>
                <w:szCs w:val="24"/>
              </w:rPr>
              <w:t>医院</w:t>
            </w:r>
          </w:p>
        </w:tc>
        <w:tc>
          <w:tcPr>
            <w:tcW w:w="551" w:type="pct"/>
            <w:vAlign w:val="center"/>
          </w:tcPr>
          <w:p>
            <w:pPr>
              <w:pStyle w:val="47"/>
              <w:rPr>
                <w:color w:val="auto"/>
              </w:rPr>
            </w:pPr>
            <w:r>
              <w:rPr>
                <w:rFonts w:hint="eastAsia"/>
                <w:color w:val="auto"/>
              </w:rPr>
              <w:t>360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8" w:type="pct"/>
            <w:vAlign w:val="center"/>
          </w:tcPr>
          <w:p>
            <w:pPr>
              <w:pStyle w:val="47"/>
              <w:rPr>
                <w:color w:val="auto"/>
              </w:rPr>
            </w:pPr>
            <w:r>
              <w:rPr>
                <w:rFonts w:hint="eastAsia"/>
                <w:color w:val="auto"/>
              </w:rPr>
              <w:t>3651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38</w:t>
            </w:r>
          </w:p>
        </w:tc>
        <w:tc>
          <w:tcPr>
            <w:tcW w:w="1143" w:type="pct"/>
            <w:vAlign w:val="center"/>
          </w:tcPr>
          <w:p>
            <w:pPr>
              <w:pStyle w:val="47"/>
              <w:rPr>
                <w:color w:val="auto"/>
              </w:rPr>
            </w:pPr>
            <w:r>
              <w:rPr>
                <w:rFonts w:hint="eastAsia"/>
                <w:color w:val="auto"/>
                <w:szCs w:val="24"/>
              </w:rPr>
              <w:t>中育海嘉华侨城幼儿园</w:t>
            </w:r>
          </w:p>
        </w:tc>
        <w:tc>
          <w:tcPr>
            <w:tcW w:w="464" w:type="pct"/>
            <w:vAlign w:val="center"/>
          </w:tcPr>
          <w:p>
            <w:pPr>
              <w:pStyle w:val="47"/>
              <w:rPr>
                <w:color w:val="auto"/>
              </w:rPr>
            </w:pPr>
            <w:r>
              <w:rPr>
                <w:rFonts w:hint="eastAsia"/>
                <w:color w:val="auto"/>
              </w:rPr>
              <w:t>学校</w:t>
            </w:r>
          </w:p>
        </w:tc>
        <w:tc>
          <w:tcPr>
            <w:tcW w:w="551" w:type="pct"/>
            <w:vAlign w:val="center"/>
          </w:tcPr>
          <w:p>
            <w:pPr>
              <w:pStyle w:val="47"/>
              <w:rPr>
                <w:color w:val="auto"/>
              </w:rPr>
            </w:pPr>
            <w:r>
              <w:rPr>
                <w:rFonts w:hint="eastAsia"/>
                <w:color w:val="auto"/>
              </w:rPr>
              <w:t>36</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8" w:type="pct"/>
            <w:vAlign w:val="center"/>
          </w:tcPr>
          <w:p>
            <w:pPr>
              <w:pStyle w:val="47"/>
              <w:rPr>
                <w:color w:val="auto"/>
              </w:rPr>
            </w:pPr>
            <w:r>
              <w:rPr>
                <w:rFonts w:hint="eastAsia"/>
                <w:color w:val="auto"/>
              </w:rPr>
              <w:t>2562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39</w:t>
            </w:r>
          </w:p>
        </w:tc>
        <w:tc>
          <w:tcPr>
            <w:tcW w:w="1143" w:type="pct"/>
            <w:vAlign w:val="center"/>
          </w:tcPr>
          <w:p>
            <w:pPr>
              <w:pStyle w:val="47"/>
              <w:rPr>
                <w:color w:val="auto"/>
              </w:rPr>
            </w:pPr>
            <w:r>
              <w:rPr>
                <w:rFonts w:hint="eastAsia"/>
                <w:color w:val="auto"/>
                <w:szCs w:val="24"/>
              </w:rPr>
              <w:t>世纪花园幼儿园北园</w:t>
            </w:r>
          </w:p>
        </w:tc>
        <w:tc>
          <w:tcPr>
            <w:tcW w:w="464" w:type="pct"/>
            <w:vAlign w:val="center"/>
          </w:tcPr>
          <w:p>
            <w:pPr>
              <w:pStyle w:val="47"/>
              <w:rPr>
                <w:color w:val="auto"/>
              </w:rPr>
            </w:pPr>
            <w:r>
              <w:rPr>
                <w:rFonts w:hint="eastAsia"/>
                <w:color w:val="auto"/>
              </w:rPr>
              <w:t>学校</w:t>
            </w:r>
          </w:p>
        </w:tc>
        <w:tc>
          <w:tcPr>
            <w:tcW w:w="551" w:type="pct"/>
            <w:vAlign w:val="center"/>
          </w:tcPr>
          <w:p>
            <w:pPr>
              <w:pStyle w:val="47"/>
              <w:rPr>
                <w:color w:val="auto"/>
              </w:rPr>
            </w:pPr>
            <w:r>
              <w:rPr>
                <w:rFonts w:hint="eastAsia"/>
                <w:color w:val="auto"/>
              </w:rPr>
              <w:t>42</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8" w:type="pct"/>
            <w:vAlign w:val="center"/>
          </w:tcPr>
          <w:p>
            <w:pPr>
              <w:pStyle w:val="47"/>
              <w:rPr>
                <w:color w:val="auto"/>
              </w:rPr>
            </w:pPr>
            <w:r>
              <w:rPr>
                <w:rFonts w:hint="eastAsia"/>
                <w:color w:val="auto"/>
              </w:rPr>
              <w:t>2667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40</w:t>
            </w:r>
          </w:p>
        </w:tc>
        <w:tc>
          <w:tcPr>
            <w:tcW w:w="1143" w:type="pct"/>
            <w:vAlign w:val="center"/>
          </w:tcPr>
          <w:p>
            <w:pPr>
              <w:pStyle w:val="47"/>
              <w:rPr>
                <w:color w:val="auto"/>
              </w:rPr>
            </w:pPr>
            <w:r>
              <w:rPr>
                <w:rFonts w:hint="eastAsia"/>
                <w:color w:val="auto"/>
                <w:szCs w:val="24"/>
              </w:rPr>
              <w:t>世纪花园幼儿园南园</w:t>
            </w:r>
          </w:p>
        </w:tc>
        <w:tc>
          <w:tcPr>
            <w:tcW w:w="464" w:type="pct"/>
            <w:vAlign w:val="center"/>
          </w:tcPr>
          <w:p>
            <w:pPr>
              <w:pStyle w:val="47"/>
              <w:rPr>
                <w:color w:val="auto"/>
              </w:rPr>
            </w:pPr>
            <w:r>
              <w:rPr>
                <w:rFonts w:hint="eastAsia"/>
                <w:color w:val="auto"/>
              </w:rPr>
              <w:t>学校</w:t>
            </w:r>
          </w:p>
        </w:tc>
        <w:tc>
          <w:tcPr>
            <w:tcW w:w="551" w:type="pct"/>
            <w:vAlign w:val="center"/>
          </w:tcPr>
          <w:p>
            <w:pPr>
              <w:pStyle w:val="47"/>
              <w:rPr>
                <w:color w:val="auto"/>
              </w:rPr>
            </w:pPr>
            <w:r>
              <w:rPr>
                <w:rFonts w:hint="eastAsia"/>
                <w:color w:val="auto"/>
              </w:rPr>
              <w:t>48</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SE</w:t>
            </w:r>
          </w:p>
        </w:tc>
        <w:tc>
          <w:tcPr>
            <w:tcW w:w="538" w:type="pct"/>
            <w:vAlign w:val="center"/>
          </w:tcPr>
          <w:p>
            <w:pPr>
              <w:pStyle w:val="47"/>
              <w:rPr>
                <w:color w:val="auto"/>
              </w:rPr>
            </w:pPr>
            <w:r>
              <w:rPr>
                <w:rFonts w:hint="eastAsia"/>
                <w:color w:val="auto"/>
              </w:rPr>
              <w:t>3100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41</w:t>
            </w:r>
          </w:p>
        </w:tc>
        <w:tc>
          <w:tcPr>
            <w:tcW w:w="1143" w:type="pct"/>
            <w:vAlign w:val="center"/>
          </w:tcPr>
          <w:p>
            <w:pPr>
              <w:pStyle w:val="47"/>
              <w:rPr>
                <w:color w:val="auto"/>
              </w:rPr>
            </w:pPr>
            <w:r>
              <w:rPr>
                <w:rFonts w:hint="eastAsia"/>
                <w:color w:val="auto"/>
                <w:szCs w:val="24"/>
              </w:rPr>
              <w:t>张店区重庆路小学</w:t>
            </w:r>
          </w:p>
        </w:tc>
        <w:tc>
          <w:tcPr>
            <w:tcW w:w="464" w:type="pct"/>
            <w:vAlign w:val="center"/>
          </w:tcPr>
          <w:p>
            <w:pPr>
              <w:pStyle w:val="47"/>
              <w:rPr>
                <w:color w:val="auto"/>
              </w:rPr>
            </w:pPr>
            <w:r>
              <w:rPr>
                <w:rFonts w:hint="eastAsia"/>
                <w:color w:val="auto"/>
              </w:rPr>
              <w:t>学校</w:t>
            </w:r>
          </w:p>
        </w:tc>
        <w:tc>
          <w:tcPr>
            <w:tcW w:w="551" w:type="pct"/>
            <w:vAlign w:val="center"/>
          </w:tcPr>
          <w:p>
            <w:pPr>
              <w:pStyle w:val="47"/>
              <w:rPr>
                <w:color w:val="auto"/>
              </w:rPr>
            </w:pPr>
            <w:r>
              <w:rPr>
                <w:color w:val="auto"/>
              </w:rPr>
              <w:t>756</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w:t>
            </w:r>
          </w:p>
        </w:tc>
        <w:tc>
          <w:tcPr>
            <w:tcW w:w="538" w:type="pct"/>
            <w:vAlign w:val="center"/>
          </w:tcPr>
          <w:p>
            <w:pPr>
              <w:pStyle w:val="47"/>
              <w:rPr>
                <w:color w:val="auto"/>
              </w:rPr>
            </w:pPr>
            <w:r>
              <w:rPr>
                <w:rFonts w:hint="eastAsia"/>
                <w:color w:val="auto"/>
              </w:rPr>
              <w:t>1847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42</w:t>
            </w:r>
          </w:p>
        </w:tc>
        <w:tc>
          <w:tcPr>
            <w:tcW w:w="1143" w:type="pct"/>
            <w:vAlign w:val="center"/>
          </w:tcPr>
          <w:p>
            <w:pPr>
              <w:pStyle w:val="47"/>
              <w:rPr>
                <w:color w:val="auto"/>
              </w:rPr>
            </w:pPr>
            <w:r>
              <w:rPr>
                <w:rFonts w:hint="eastAsia"/>
                <w:color w:val="auto"/>
                <w:szCs w:val="24"/>
              </w:rPr>
              <w:t>淄博市第六人民医院</w:t>
            </w:r>
          </w:p>
        </w:tc>
        <w:tc>
          <w:tcPr>
            <w:tcW w:w="464" w:type="pct"/>
            <w:vAlign w:val="center"/>
          </w:tcPr>
          <w:p>
            <w:pPr>
              <w:pStyle w:val="47"/>
              <w:rPr>
                <w:color w:val="auto"/>
              </w:rPr>
            </w:pPr>
            <w:r>
              <w:rPr>
                <w:rFonts w:hint="eastAsia"/>
                <w:color w:val="auto"/>
              </w:rPr>
              <w:t>医院</w:t>
            </w:r>
          </w:p>
        </w:tc>
        <w:tc>
          <w:tcPr>
            <w:tcW w:w="551" w:type="pct"/>
            <w:vAlign w:val="center"/>
          </w:tcPr>
          <w:p>
            <w:pPr>
              <w:pStyle w:val="47"/>
              <w:rPr>
                <w:color w:val="auto"/>
              </w:rPr>
            </w:pPr>
            <w:r>
              <w:rPr>
                <w:color w:val="auto"/>
              </w:rPr>
              <w:t>521</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w:t>
            </w:r>
          </w:p>
        </w:tc>
        <w:tc>
          <w:tcPr>
            <w:tcW w:w="538" w:type="pct"/>
            <w:vAlign w:val="center"/>
          </w:tcPr>
          <w:p>
            <w:pPr>
              <w:pStyle w:val="47"/>
              <w:rPr>
                <w:color w:val="auto"/>
              </w:rPr>
            </w:pPr>
            <w:r>
              <w:rPr>
                <w:rFonts w:hint="eastAsia"/>
                <w:color w:val="auto"/>
              </w:rPr>
              <w:t>2642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43</w:t>
            </w:r>
          </w:p>
        </w:tc>
        <w:tc>
          <w:tcPr>
            <w:tcW w:w="1143" w:type="pct"/>
            <w:vAlign w:val="center"/>
          </w:tcPr>
          <w:p>
            <w:pPr>
              <w:pStyle w:val="47"/>
              <w:rPr>
                <w:color w:val="auto"/>
              </w:rPr>
            </w:pPr>
            <w:r>
              <w:rPr>
                <w:rFonts w:hint="eastAsia"/>
                <w:color w:val="auto"/>
                <w:szCs w:val="24"/>
              </w:rPr>
              <w:t>龙泰医院</w:t>
            </w:r>
          </w:p>
        </w:tc>
        <w:tc>
          <w:tcPr>
            <w:tcW w:w="464" w:type="pct"/>
            <w:vAlign w:val="center"/>
          </w:tcPr>
          <w:p>
            <w:pPr>
              <w:pStyle w:val="47"/>
              <w:rPr>
                <w:color w:val="auto"/>
              </w:rPr>
            </w:pPr>
            <w:r>
              <w:rPr>
                <w:rFonts w:hint="eastAsia"/>
                <w:color w:val="auto"/>
              </w:rPr>
              <w:t>医院</w:t>
            </w:r>
          </w:p>
        </w:tc>
        <w:tc>
          <w:tcPr>
            <w:tcW w:w="551" w:type="pct"/>
            <w:vAlign w:val="center"/>
          </w:tcPr>
          <w:p>
            <w:pPr>
              <w:pStyle w:val="47"/>
              <w:rPr>
                <w:color w:val="auto"/>
              </w:rPr>
            </w:pPr>
            <w:r>
              <w:rPr>
                <w:color w:val="auto"/>
              </w:rPr>
              <w:t>59</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w:t>
            </w:r>
          </w:p>
        </w:tc>
        <w:tc>
          <w:tcPr>
            <w:tcW w:w="538" w:type="pct"/>
            <w:vAlign w:val="center"/>
          </w:tcPr>
          <w:p>
            <w:pPr>
              <w:pStyle w:val="47"/>
              <w:rPr>
                <w:color w:val="auto"/>
              </w:rPr>
            </w:pPr>
            <w:r>
              <w:rPr>
                <w:rFonts w:hint="eastAsia"/>
                <w:color w:val="auto"/>
              </w:rPr>
              <w:t>2968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44</w:t>
            </w:r>
          </w:p>
        </w:tc>
        <w:tc>
          <w:tcPr>
            <w:tcW w:w="1143" w:type="pct"/>
            <w:vAlign w:val="center"/>
          </w:tcPr>
          <w:p>
            <w:pPr>
              <w:pStyle w:val="47"/>
              <w:rPr>
                <w:color w:val="auto"/>
              </w:rPr>
            </w:pPr>
            <w:r>
              <w:rPr>
                <w:rFonts w:hint="eastAsia"/>
                <w:color w:val="auto"/>
                <w:szCs w:val="24"/>
              </w:rPr>
              <w:t>淄博市市直机关第二幼儿园</w:t>
            </w:r>
          </w:p>
        </w:tc>
        <w:tc>
          <w:tcPr>
            <w:tcW w:w="464" w:type="pct"/>
            <w:vAlign w:val="center"/>
          </w:tcPr>
          <w:p>
            <w:pPr>
              <w:pStyle w:val="47"/>
              <w:rPr>
                <w:color w:val="auto"/>
              </w:rPr>
            </w:pPr>
            <w:r>
              <w:rPr>
                <w:rFonts w:hint="eastAsia"/>
                <w:color w:val="auto"/>
              </w:rPr>
              <w:t>学校</w:t>
            </w:r>
          </w:p>
        </w:tc>
        <w:tc>
          <w:tcPr>
            <w:tcW w:w="551" w:type="pct"/>
            <w:vAlign w:val="center"/>
          </w:tcPr>
          <w:p>
            <w:pPr>
              <w:pStyle w:val="47"/>
              <w:rPr>
                <w:color w:val="auto"/>
              </w:rPr>
            </w:pPr>
            <w:r>
              <w:rPr>
                <w:color w:val="auto"/>
              </w:rPr>
              <w:t>91</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w:t>
            </w:r>
          </w:p>
        </w:tc>
        <w:tc>
          <w:tcPr>
            <w:tcW w:w="538" w:type="pct"/>
            <w:vAlign w:val="center"/>
          </w:tcPr>
          <w:p>
            <w:pPr>
              <w:pStyle w:val="47"/>
              <w:rPr>
                <w:color w:val="auto"/>
              </w:rPr>
            </w:pPr>
            <w:r>
              <w:rPr>
                <w:rFonts w:hint="eastAsia"/>
                <w:color w:val="auto"/>
              </w:rPr>
              <w:t>2900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45</w:t>
            </w:r>
          </w:p>
        </w:tc>
        <w:tc>
          <w:tcPr>
            <w:tcW w:w="1143" w:type="pct"/>
            <w:vAlign w:val="center"/>
          </w:tcPr>
          <w:p>
            <w:pPr>
              <w:pStyle w:val="47"/>
              <w:rPr>
                <w:color w:val="auto"/>
              </w:rPr>
            </w:pPr>
            <w:r>
              <w:rPr>
                <w:rFonts w:hint="eastAsia"/>
                <w:color w:val="auto"/>
                <w:szCs w:val="24"/>
              </w:rPr>
              <w:t>淄博市妇幼保健院</w:t>
            </w:r>
          </w:p>
        </w:tc>
        <w:tc>
          <w:tcPr>
            <w:tcW w:w="464" w:type="pct"/>
            <w:vAlign w:val="center"/>
          </w:tcPr>
          <w:p>
            <w:pPr>
              <w:pStyle w:val="47"/>
              <w:rPr>
                <w:color w:val="auto"/>
              </w:rPr>
            </w:pPr>
            <w:r>
              <w:rPr>
                <w:rFonts w:hint="eastAsia"/>
                <w:color w:val="auto"/>
              </w:rPr>
              <w:t>医院</w:t>
            </w:r>
          </w:p>
        </w:tc>
        <w:tc>
          <w:tcPr>
            <w:tcW w:w="551" w:type="pct"/>
            <w:vAlign w:val="center"/>
          </w:tcPr>
          <w:p>
            <w:pPr>
              <w:pStyle w:val="47"/>
              <w:rPr>
                <w:color w:val="auto"/>
              </w:rPr>
            </w:pPr>
            <w:r>
              <w:rPr>
                <w:color w:val="auto"/>
              </w:rPr>
              <w:t>612</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SW</w:t>
            </w:r>
          </w:p>
        </w:tc>
        <w:tc>
          <w:tcPr>
            <w:tcW w:w="538" w:type="pct"/>
            <w:vAlign w:val="center"/>
          </w:tcPr>
          <w:p>
            <w:pPr>
              <w:pStyle w:val="47"/>
              <w:rPr>
                <w:color w:val="auto"/>
              </w:rPr>
            </w:pPr>
            <w:r>
              <w:rPr>
                <w:rFonts w:hint="eastAsia"/>
                <w:color w:val="auto"/>
              </w:rPr>
              <w:t>3291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Merge w:val="continue"/>
            <w:vAlign w:val="center"/>
          </w:tcPr>
          <w:p>
            <w:pPr>
              <w:pStyle w:val="47"/>
              <w:rPr>
                <w:color w:val="auto"/>
              </w:rPr>
            </w:pPr>
          </w:p>
        </w:tc>
        <w:tc>
          <w:tcPr>
            <w:tcW w:w="406" w:type="pct"/>
            <w:vAlign w:val="center"/>
          </w:tcPr>
          <w:p>
            <w:pPr>
              <w:pStyle w:val="47"/>
              <w:rPr>
                <w:color w:val="auto"/>
              </w:rPr>
            </w:pPr>
            <w:r>
              <w:rPr>
                <w:color w:val="auto"/>
              </w:rPr>
              <w:t>46</w:t>
            </w:r>
          </w:p>
        </w:tc>
        <w:tc>
          <w:tcPr>
            <w:tcW w:w="1143" w:type="pct"/>
            <w:vAlign w:val="center"/>
          </w:tcPr>
          <w:p>
            <w:pPr>
              <w:pStyle w:val="47"/>
              <w:rPr>
                <w:color w:val="auto"/>
              </w:rPr>
            </w:pPr>
            <w:r>
              <w:rPr>
                <w:rFonts w:hint="eastAsia"/>
                <w:color w:val="auto"/>
                <w:szCs w:val="24"/>
              </w:rPr>
              <w:t>张店城区</w:t>
            </w:r>
          </w:p>
        </w:tc>
        <w:tc>
          <w:tcPr>
            <w:tcW w:w="464" w:type="pct"/>
            <w:vAlign w:val="center"/>
          </w:tcPr>
          <w:p>
            <w:pPr>
              <w:pStyle w:val="47"/>
              <w:rPr>
                <w:color w:val="auto"/>
              </w:rPr>
            </w:pPr>
            <w:r>
              <w:rPr>
                <w:rFonts w:hint="eastAsia"/>
                <w:color w:val="auto"/>
              </w:rPr>
              <w:t>城区</w:t>
            </w:r>
          </w:p>
        </w:tc>
        <w:tc>
          <w:tcPr>
            <w:tcW w:w="551" w:type="pct"/>
            <w:vAlign w:val="center"/>
          </w:tcPr>
          <w:p>
            <w:pPr>
              <w:pStyle w:val="47"/>
              <w:rPr>
                <w:color w:val="auto"/>
              </w:rPr>
            </w:pPr>
            <w:r>
              <w:rPr>
                <w:rFonts w:hint="eastAsia"/>
                <w:color w:val="auto"/>
              </w:rPr>
              <w:t>18000</w:t>
            </w:r>
          </w:p>
        </w:tc>
        <w:tc>
          <w:tcPr>
            <w:tcW w:w="1049" w:type="pct"/>
            <w:vMerge w:val="continue"/>
            <w:vAlign w:val="center"/>
          </w:tcPr>
          <w:p>
            <w:pPr>
              <w:pStyle w:val="47"/>
              <w:rPr>
                <w:color w:val="auto"/>
              </w:rPr>
            </w:pPr>
          </w:p>
        </w:tc>
        <w:tc>
          <w:tcPr>
            <w:tcW w:w="417" w:type="pct"/>
            <w:vAlign w:val="center"/>
          </w:tcPr>
          <w:p>
            <w:pPr>
              <w:pStyle w:val="47"/>
              <w:rPr>
                <w:color w:val="auto"/>
              </w:rPr>
            </w:pPr>
            <w:r>
              <w:rPr>
                <w:color w:val="auto"/>
              </w:rPr>
              <w:t>S</w:t>
            </w:r>
          </w:p>
        </w:tc>
        <w:tc>
          <w:tcPr>
            <w:tcW w:w="538" w:type="pct"/>
            <w:vAlign w:val="center"/>
          </w:tcPr>
          <w:p>
            <w:pPr>
              <w:pStyle w:val="47"/>
              <w:rPr>
                <w:color w:val="auto"/>
              </w:rPr>
            </w:pPr>
            <w:r>
              <w:rPr>
                <w:rFonts w:hint="eastAsia"/>
                <w:color w:val="auto"/>
              </w:rPr>
              <w:t>1186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27" w:type="pct"/>
            <w:vAlign w:val="center"/>
          </w:tcPr>
          <w:p>
            <w:pPr>
              <w:pStyle w:val="47"/>
              <w:rPr>
                <w:color w:val="auto"/>
              </w:rPr>
            </w:pPr>
            <w:r>
              <w:rPr>
                <w:color w:val="auto"/>
              </w:rPr>
              <w:t>声环境</w:t>
            </w:r>
          </w:p>
        </w:tc>
        <w:tc>
          <w:tcPr>
            <w:tcW w:w="406" w:type="pct"/>
            <w:vAlign w:val="center"/>
          </w:tcPr>
          <w:p>
            <w:pPr>
              <w:pStyle w:val="47"/>
              <w:rPr>
                <w:color w:val="auto"/>
              </w:rPr>
            </w:pPr>
            <w:r>
              <w:rPr>
                <w:rFonts w:hint="eastAsia"/>
                <w:color w:val="auto"/>
              </w:rPr>
              <w:t>1</w:t>
            </w:r>
          </w:p>
        </w:tc>
        <w:tc>
          <w:tcPr>
            <w:tcW w:w="2125" w:type="dxa"/>
            <w:vAlign w:val="center"/>
          </w:tcPr>
          <w:p>
            <w:pPr>
              <w:pStyle w:val="47"/>
              <w:rPr>
                <w:color w:val="auto"/>
              </w:rPr>
            </w:pPr>
            <w:r>
              <w:rPr>
                <w:rFonts w:hint="eastAsia"/>
                <w:color w:val="auto"/>
              </w:rPr>
              <w:t>解营村</w:t>
            </w:r>
          </w:p>
        </w:tc>
        <w:tc>
          <w:tcPr>
            <w:tcW w:w="863" w:type="dxa"/>
            <w:vAlign w:val="center"/>
          </w:tcPr>
          <w:p>
            <w:pPr>
              <w:pStyle w:val="47"/>
              <w:rPr>
                <w:color w:val="auto"/>
              </w:rPr>
            </w:pPr>
            <w:r>
              <w:rPr>
                <w:rFonts w:hint="eastAsia"/>
                <w:color w:val="auto"/>
              </w:rPr>
              <w:t>村庄</w:t>
            </w:r>
          </w:p>
        </w:tc>
        <w:tc>
          <w:tcPr>
            <w:tcW w:w="1025" w:type="dxa"/>
            <w:vAlign w:val="center"/>
          </w:tcPr>
          <w:p>
            <w:pPr>
              <w:pStyle w:val="47"/>
              <w:rPr>
                <w:color w:val="auto"/>
              </w:rPr>
            </w:pPr>
            <w:r>
              <w:rPr>
                <w:rFonts w:hint="eastAsia"/>
                <w:color w:val="auto"/>
              </w:rPr>
              <w:t>360</w:t>
            </w:r>
          </w:p>
        </w:tc>
        <w:tc>
          <w:tcPr>
            <w:tcW w:w="1049" w:type="pct"/>
            <w:vAlign w:val="center"/>
          </w:tcPr>
          <w:p>
            <w:pPr>
              <w:pStyle w:val="47"/>
              <w:rPr>
                <w:color w:val="auto"/>
              </w:rPr>
            </w:pPr>
            <w:r>
              <w:rPr>
                <w:color w:val="auto"/>
              </w:rPr>
              <w:t>声环境质量标准（GB3096-2008）</w:t>
            </w:r>
            <w:r>
              <w:rPr>
                <w:rFonts w:hint="eastAsia"/>
                <w:color w:val="auto"/>
              </w:rPr>
              <w:t>2</w:t>
            </w:r>
            <w:r>
              <w:rPr>
                <w:color w:val="auto"/>
              </w:rPr>
              <w:t>类</w:t>
            </w:r>
          </w:p>
        </w:tc>
        <w:tc>
          <w:tcPr>
            <w:tcW w:w="775" w:type="dxa"/>
            <w:vAlign w:val="center"/>
          </w:tcPr>
          <w:p>
            <w:pPr>
              <w:pStyle w:val="47"/>
              <w:rPr>
                <w:color w:val="auto"/>
              </w:rPr>
            </w:pPr>
            <w:r>
              <w:rPr>
                <w:color w:val="auto"/>
              </w:rPr>
              <w:t>N</w:t>
            </w:r>
            <w:r>
              <w:rPr>
                <w:rFonts w:hint="eastAsia"/>
                <w:color w:val="auto"/>
              </w:rPr>
              <w:t>W</w:t>
            </w:r>
          </w:p>
        </w:tc>
        <w:tc>
          <w:tcPr>
            <w:tcW w:w="1000" w:type="dxa"/>
            <w:vAlign w:val="center"/>
          </w:tcPr>
          <w:p>
            <w:pPr>
              <w:pStyle w:val="47"/>
              <w:rPr>
                <w:color w:val="auto"/>
              </w:rPr>
            </w:pPr>
            <w:r>
              <w:rPr>
                <w:rFonts w:hint="eastAsia"/>
                <w:color w:val="auto"/>
              </w:rPr>
              <w:t>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Align w:val="center"/>
          </w:tcPr>
          <w:p>
            <w:pPr>
              <w:pStyle w:val="47"/>
              <w:rPr>
                <w:color w:val="auto"/>
              </w:rPr>
            </w:pPr>
            <w:r>
              <w:rPr>
                <w:color w:val="auto"/>
              </w:rPr>
              <w:t>地表水</w:t>
            </w:r>
          </w:p>
        </w:tc>
        <w:tc>
          <w:tcPr>
            <w:tcW w:w="2566" w:type="pct"/>
            <w:gridSpan w:val="4"/>
            <w:vAlign w:val="center"/>
          </w:tcPr>
          <w:p>
            <w:pPr>
              <w:pStyle w:val="47"/>
              <w:rPr>
                <w:color w:val="auto"/>
              </w:rPr>
            </w:pPr>
            <w:r>
              <w:rPr>
                <w:rFonts w:hint="eastAsia"/>
                <w:color w:val="auto"/>
              </w:rPr>
              <w:t>猪龙河</w:t>
            </w:r>
          </w:p>
        </w:tc>
        <w:tc>
          <w:tcPr>
            <w:tcW w:w="1049" w:type="pct"/>
            <w:vAlign w:val="center"/>
          </w:tcPr>
          <w:p>
            <w:pPr>
              <w:pStyle w:val="47"/>
              <w:rPr>
                <w:color w:val="auto"/>
              </w:rPr>
            </w:pPr>
            <w:r>
              <w:rPr>
                <w:color w:val="auto"/>
              </w:rPr>
              <w:t>《地表水环境质量标准》（GB3838-2002）IV类</w:t>
            </w:r>
          </w:p>
        </w:tc>
        <w:tc>
          <w:tcPr>
            <w:tcW w:w="417" w:type="pct"/>
            <w:vAlign w:val="center"/>
          </w:tcPr>
          <w:p>
            <w:pPr>
              <w:pStyle w:val="47"/>
              <w:rPr>
                <w:color w:val="auto"/>
              </w:rPr>
            </w:pPr>
            <w:r>
              <w:rPr>
                <w:color w:val="auto"/>
              </w:rPr>
              <w:t>---</w:t>
            </w:r>
          </w:p>
        </w:tc>
        <w:tc>
          <w:tcPr>
            <w:tcW w:w="538" w:type="pct"/>
            <w:vAlign w:val="center"/>
          </w:tcPr>
          <w:p>
            <w:pPr>
              <w:pStyle w:val="47"/>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Align w:val="center"/>
          </w:tcPr>
          <w:p>
            <w:pPr>
              <w:pStyle w:val="47"/>
              <w:rPr>
                <w:color w:val="auto"/>
              </w:rPr>
            </w:pPr>
            <w:r>
              <w:rPr>
                <w:color w:val="auto"/>
              </w:rPr>
              <w:t>地下水</w:t>
            </w:r>
          </w:p>
        </w:tc>
        <w:tc>
          <w:tcPr>
            <w:tcW w:w="2566" w:type="pct"/>
            <w:gridSpan w:val="4"/>
            <w:vAlign w:val="center"/>
          </w:tcPr>
          <w:p>
            <w:pPr>
              <w:pStyle w:val="47"/>
              <w:rPr>
                <w:color w:val="auto"/>
              </w:rPr>
            </w:pPr>
            <w:r>
              <w:rPr>
                <w:color w:val="auto"/>
              </w:rPr>
              <w:t>厂址周围</w:t>
            </w:r>
            <w:r>
              <w:rPr>
                <w:rFonts w:hint="eastAsia"/>
                <w:color w:val="auto"/>
              </w:rPr>
              <w:t>6</w:t>
            </w:r>
            <w:r>
              <w:rPr>
                <w:color w:val="auto"/>
              </w:rPr>
              <w:t>km</w:t>
            </w:r>
            <w:r>
              <w:rPr>
                <w:color w:val="auto"/>
                <w:vertAlign w:val="superscript"/>
              </w:rPr>
              <w:t>2</w:t>
            </w:r>
            <w:r>
              <w:rPr>
                <w:color w:val="auto"/>
              </w:rPr>
              <w:t>范围内浅层地下水</w:t>
            </w:r>
          </w:p>
        </w:tc>
        <w:tc>
          <w:tcPr>
            <w:tcW w:w="1049" w:type="pct"/>
            <w:vAlign w:val="center"/>
          </w:tcPr>
          <w:p>
            <w:pPr>
              <w:pStyle w:val="47"/>
              <w:rPr>
                <w:color w:val="auto"/>
              </w:rPr>
            </w:pPr>
            <w:r>
              <w:rPr>
                <w:color w:val="auto"/>
              </w:rPr>
              <w:t>《地下水质量标准》（GB/T 14848-2017）III类标准</w:t>
            </w:r>
          </w:p>
        </w:tc>
        <w:tc>
          <w:tcPr>
            <w:tcW w:w="417" w:type="pct"/>
            <w:vAlign w:val="center"/>
          </w:tcPr>
          <w:p>
            <w:pPr>
              <w:pStyle w:val="47"/>
              <w:rPr>
                <w:color w:val="auto"/>
              </w:rPr>
            </w:pPr>
            <w:r>
              <w:rPr>
                <w:color w:val="auto"/>
              </w:rPr>
              <w:t>---</w:t>
            </w:r>
          </w:p>
        </w:tc>
        <w:tc>
          <w:tcPr>
            <w:tcW w:w="538" w:type="pct"/>
            <w:vAlign w:val="center"/>
          </w:tcPr>
          <w:p>
            <w:pPr>
              <w:pStyle w:val="47"/>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7" w:type="pct"/>
            <w:vAlign w:val="center"/>
          </w:tcPr>
          <w:p>
            <w:pPr>
              <w:pStyle w:val="47"/>
              <w:rPr>
                <w:color w:val="auto"/>
              </w:rPr>
            </w:pPr>
            <w:r>
              <w:rPr>
                <w:color w:val="auto"/>
              </w:rPr>
              <w:t>土壤</w:t>
            </w:r>
          </w:p>
        </w:tc>
        <w:tc>
          <w:tcPr>
            <w:tcW w:w="2566" w:type="pct"/>
            <w:gridSpan w:val="4"/>
            <w:vAlign w:val="center"/>
          </w:tcPr>
          <w:p>
            <w:pPr>
              <w:pStyle w:val="47"/>
              <w:rPr>
                <w:color w:val="auto"/>
              </w:rPr>
            </w:pPr>
            <w:r>
              <w:rPr>
                <w:color w:val="auto"/>
              </w:rPr>
              <w:t>厂区及周围200m范围内土壤</w:t>
            </w:r>
          </w:p>
        </w:tc>
        <w:tc>
          <w:tcPr>
            <w:tcW w:w="1049" w:type="pct"/>
            <w:vAlign w:val="center"/>
          </w:tcPr>
          <w:p>
            <w:pPr>
              <w:pStyle w:val="47"/>
              <w:rPr>
                <w:color w:val="auto"/>
              </w:rPr>
            </w:pPr>
            <w:r>
              <w:rPr>
                <w:color w:val="auto"/>
              </w:rPr>
              <w:t>《土壤环境质量建设用地土壤污染风险管控标准》（GB36600-2018）、《土壤环境质量农用地土壤污染风险管控标准》（试行）（GB15618-2018）</w:t>
            </w:r>
          </w:p>
        </w:tc>
        <w:tc>
          <w:tcPr>
            <w:tcW w:w="417" w:type="pct"/>
            <w:vAlign w:val="center"/>
          </w:tcPr>
          <w:p>
            <w:pPr>
              <w:pStyle w:val="47"/>
              <w:rPr>
                <w:color w:val="auto"/>
              </w:rPr>
            </w:pPr>
            <w:r>
              <w:rPr>
                <w:color w:val="auto"/>
              </w:rPr>
              <w:t>---</w:t>
            </w:r>
          </w:p>
        </w:tc>
        <w:tc>
          <w:tcPr>
            <w:tcW w:w="538" w:type="pct"/>
            <w:vAlign w:val="center"/>
          </w:tcPr>
          <w:p>
            <w:pPr>
              <w:pStyle w:val="47"/>
              <w:rPr>
                <w:color w:val="auto"/>
              </w:rPr>
            </w:pPr>
            <w:r>
              <w:rPr>
                <w:color w:val="auto"/>
              </w:rPr>
              <w:t>---</w:t>
            </w:r>
          </w:p>
        </w:tc>
      </w:tr>
    </w:tbl>
    <w:p>
      <w:pPr>
        <w:ind w:left="0" w:leftChars="0" w:firstLine="0" w:firstLineChars="0"/>
        <w:rPr>
          <w:color w:val="auto"/>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pPr>
        <w:pStyle w:val="7"/>
        <w:spacing w:before="0" w:beforeLines="0" w:after="0" w:afterLines="0"/>
        <w:rPr>
          <w:rFonts w:cs="Times New Roman"/>
          <w:color w:val="auto"/>
        </w:rPr>
      </w:pPr>
      <w:bookmarkStart w:id="227" w:name="_Toc17453"/>
      <w:bookmarkStart w:id="228" w:name="_Toc28375"/>
      <w:r>
        <w:rPr>
          <w:rFonts w:hint="eastAsia" w:cs="Times New Roman"/>
          <w:color w:val="auto"/>
          <w:lang w:val="en-US"/>
        </w:rPr>
        <w:t>4</w:t>
      </w:r>
      <w:r>
        <w:rPr>
          <w:rFonts w:cs="Times New Roman"/>
          <w:color w:val="auto"/>
        </w:rPr>
        <w:t xml:space="preserve"> 环境现状调查与评价</w:t>
      </w:r>
      <w:bookmarkEnd w:id="227"/>
      <w:bookmarkEnd w:id="228"/>
    </w:p>
    <w:p>
      <w:pPr>
        <w:pStyle w:val="8"/>
        <w:spacing w:before="0" w:beforeLines="0" w:after="0" w:afterLines="0" w:line="360" w:lineRule="auto"/>
        <w:rPr>
          <w:color w:val="auto"/>
        </w:rPr>
      </w:pPr>
      <w:bookmarkStart w:id="229" w:name="_Toc3827"/>
      <w:bookmarkStart w:id="230" w:name="_Toc3616"/>
      <w:r>
        <w:rPr>
          <w:rFonts w:hint="eastAsia"/>
          <w:color w:val="auto"/>
        </w:rPr>
        <w:t>4</w:t>
      </w:r>
      <w:r>
        <w:rPr>
          <w:color w:val="auto"/>
        </w:rPr>
        <w:t>.1 环境空气现状调查与评价</w:t>
      </w:r>
      <w:bookmarkEnd w:id="229"/>
      <w:bookmarkEnd w:id="230"/>
    </w:p>
    <w:p>
      <w:pPr>
        <w:pStyle w:val="9"/>
        <w:spacing w:before="0" w:beforeLines="0" w:after="0" w:afterLines="0" w:line="360" w:lineRule="auto"/>
        <w:rPr>
          <w:color w:val="auto"/>
        </w:rPr>
      </w:pPr>
      <w:r>
        <w:rPr>
          <w:rFonts w:hint="eastAsia"/>
          <w:color w:val="auto"/>
        </w:rPr>
        <w:t>4</w:t>
      </w:r>
      <w:r>
        <w:rPr>
          <w:color w:val="auto"/>
        </w:rPr>
        <w:t>.1.1 空气质量达标区判定</w:t>
      </w:r>
    </w:p>
    <w:p>
      <w:pPr>
        <w:ind w:firstLine="480"/>
        <w:rPr>
          <w:color w:val="auto"/>
        </w:rPr>
      </w:pPr>
      <w:r>
        <w:rPr>
          <w:color w:val="auto"/>
          <w:szCs w:val="24"/>
        </w:rPr>
        <w:t>根据淄博市生态环境局20</w:t>
      </w:r>
      <w:r>
        <w:rPr>
          <w:rFonts w:hint="eastAsia"/>
          <w:color w:val="auto"/>
          <w:szCs w:val="24"/>
        </w:rPr>
        <w:t>22</w:t>
      </w:r>
      <w:r>
        <w:rPr>
          <w:color w:val="auto"/>
          <w:szCs w:val="24"/>
        </w:rPr>
        <w:t>年1月2</w:t>
      </w:r>
      <w:r>
        <w:rPr>
          <w:rFonts w:hint="eastAsia"/>
          <w:color w:val="auto"/>
          <w:szCs w:val="24"/>
        </w:rPr>
        <w:t>4</w:t>
      </w:r>
      <w:r>
        <w:rPr>
          <w:color w:val="auto"/>
          <w:szCs w:val="24"/>
        </w:rPr>
        <w:t>日公布的《生态淄博建设工作简报》（20</w:t>
      </w:r>
      <w:r>
        <w:rPr>
          <w:rFonts w:hint="eastAsia"/>
          <w:color w:val="auto"/>
          <w:szCs w:val="24"/>
        </w:rPr>
        <w:t>22</w:t>
      </w:r>
      <w:r>
        <w:rPr>
          <w:color w:val="auto"/>
          <w:szCs w:val="24"/>
        </w:rPr>
        <w:t>年第1期），202</w:t>
      </w:r>
      <w:r>
        <w:rPr>
          <w:rFonts w:hint="eastAsia"/>
          <w:color w:val="auto"/>
          <w:szCs w:val="24"/>
        </w:rPr>
        <w:t>1</w:t>
      </w:r>
      <w:r>
        <w:rPr>
          <w:color w:val="auto"/>
          <w:szCs w:val="24"/>
        </w:rPr>
        <w:t>年度，</w:t>
      </w:r>
      <w:r>
        <w:rPr>
          <w:rFonts w:hint="eastAsia"/>
          <w:color w:val="auto"/>
          <w:szCs w:val="24"/>
        </w:rPr>
        <w:t>张店区</w:t>
      </w:r>
      <w:r>
        <w:rPr>
          <w:color w:val="auto"/>
          <w:szCs w:val="24"/>
        </w:rPr>
        <w:t>范围内环境空气中污染物SO</w:t>
      </w:r>
      <w:r>
        <w:rPr>
          <w:color w:val="auto"/>
          <w:szCs w:val="24"/>
          <w:vertAlign w:val="subscript"/>
        </w:rPr>
        <w:t>2</w:t>
      </w:r>
      <w:r>
        <w:rPr>
          <w:color w:val="auto"/>
          <w:szCs w:val="24"/>
        </w:rPr>
        <w:t>（</w:t>
      </w:r>
      <w:r>
        <w:rPr>
          <w:rFonts w:hint="eastAsia"/>
          <w:color w:val="auto"/>
          <w:szCs w:val="24"/>
        </w:rPr>
        <w:t>15</w:t>
      </w:r>
      <w:r>
        <w:rPr>
          <w:color w:val="auto"/>
          <w:szCs w:val="24"/>
        </w:rPr>
        <w:t>μg/m</w:t>
      </w:r>
      <w:r>
        <w:rPr>
          <w:color w:val="auto"/>
          <w:szCs w:val="24"/>
          <w:vertAlign w:val="superscript"/>
        </w:rPr>
        <w:t>3</w:t>
      </w:r>
      <w:r>
        <w:rPr>
          <w:color w:val="auto"/>
          <w:szCs w:val="24"/>
        </w:rPr>
        <w:t>）、NO</w:t>
      </w:r>
      <w:r>
        <w:rPr>
          <w:color w:val="auto"/>
          <w:szCs w:val="24"/>
          <w:vertAlign w:val="subscript"/>
        </w:rPr>
        <w:t>2</w:t>
      </w:r>
      <w:r>
        <w:rPr>
          <w:color w:val="auto"/>
          <w:szCs w:val="24"/>
        </w:rPr>
        <w:t>（</w:t>
      </w:r>
      <w:r>
        <w:rPr>
          <w:rFonts w:hint="eastAsia"/>
          <w:color w:val="auto"/>
          <w:szCs w:val="24"/>
        </w:rPr>
        <w:t>39</w:t>
      </w:r>
      <w:r>
        <w:rPr>
          <w:color w:val="auto"/>
          <w:szCs w:val="24"/>
        </w:rPr>
        <w:t>μg/m</w:t>
      </w:r>
      <w:r>
        <w:rPr>
          <w:color w:val="auto"/>
          <w:szCs w:val="24"/>
          <w:vertAlign w:val="superscript"/>
        </w:rPr>
        <w:t>3</w:t>
      </w:r>
      <w:r>
        <w:rPr>
          <w:color w:val="auto"/>
          <w:szCs w:val="24"/>
        </w:rPr>
        <w:t>）等年均浓度符合《环境空气质量标准》（GB3095-2012）二级标准及修改单的要求（SO</w:t>
      </w:r>
      <w:r>
        <w:rPr>
          <w:color w:val="auto"/>
          <w:szCs w:val="24"/>
          <w:vertAlign w:val="subscript"/>
        </w:rPr>
        <w:t>2</w:t>
      </w:r>
      <w:r>
        <w:rPr>
          <w:color w:val="auto"/>
          <w:szCs w:val="24"/>
        </w:rPr>
        <w:t>（60μg/m</w:t>
      </w:r>
      <w:r>
        <w:rPr>
          <w:color w:val="auto"/>
          <w:szCs w:val="24"/>
          <w:vertAlign w:val="superscript"/>
        </w:rPr>
        <w:t>3</w:t>
      </w:r>
      <w:r>
        <w:rPr>
          <w:color w:val="auto"/>
          <w:szCs w:val="24"/>
        </w:rPr>
        <w:t>）、NO</w:t>
      </w:r>
      <w:r>
        <w:rPr>
          <w:color w:val="auto"/>
          <w:szCs w:val="24"/>
          <w:vertAlign w:val="subscript"/>
        </w:rPr>
        <w:t>2</w:t>
      </w:r>
      <w:r>
        <w:rPr>
          <w:color w:val="auto"/>
          <w:szCs w:val="24"/>
        </w:rPr>
        <w:t>（40μg/m</w:t>
      </w:r>
      <w:r>
        <w:rPr>
          <w:color w:val="auto"/>
          <w:szCs w:val="24"/>
          <w:vertAlign w:val="superscript"/>
        </w:rPr>
        <w:t>3</w:t>
      </w:r>
      <w:r>
        <w:rPr>
          <w:color w:val="auto"/>
          <w:szCs w:val="24"/>
        </w:rPr>
        <w:t>）），CO（</w:t>
      </w:r>
      <w:r>
        <w:rPr>
          <w:rFonts w:hint="eastAsia"/>
          <w:color w:val="auto"/>
          <w:szCs w:val="24"/>
        </w:rPr>
        <w:t>1600</w:t>
      </w:r>
      <w:r>
        <w:rPr>
          <w:color w:val="auto"/>
          <w:szCs w:val="24"/>
        </w:rPr>
        <w:t>μg/m</w:t>
      </w:r>
      <w:r>
        <w:rPr>
          <w:color w:val="auto"/>
          <w:szCs w:val="24"/>
          <w:vertAlign w:val="superscript"/>
        </w:rPr>
        <w:t>3</w:t>
      </w:r>
      <w:r>
        <w:rPr>
          <w:color w:val="auto"/>
          <w:szCs w:val="24"/>
        </w:rPr>
        <w:t>）日均浓度符合《环境空气质量标准》（GB3095-2012）二级标准及修改单的要求（CO（4000μg/m</w:t>
      </w:r>
      <w:r>
        <w:rPr>
          <w:color w:val="auto"/>
          <w:szCs w:val="24"/>
          <w:vertAlign w:val="superscript"/>
        </w:rPr>
        <w:t>3</w:t>
      </w:r>
      <w:r>
        <w:rPr>
          <w:color w:val="auto"/>
          <w:szCs w:val="24"/>
        </w:rPr>
        <w:t>）），PM10（</w:t>
      </w:r>
      <w:r>
        <w:rPr>
          <w:rFonts w:hint="eastAsia"/>
          <w:color w:val="auto"/>
          <w:szCs w:val="24"/>
        </w:rPr>
        <w:t>85</w:t>
      </w:r>
      <w:r>
        <w:rPr>
          <w:color w:val="auto"/>
          <w:szCs w:val="24"/>
        </w:rPr>
        <w:t>μg/m</w:t>
      </w:r>
      <w:r>
        <w:rPr>
          <w:color w:val="auto"/>
          <w:szCs w:val="24"/>
          <w:vertAlign w:val="superscript"/>
        </w:rPr>
        <w:t>3</w:t>
      </w:r>
      <w:r>
        <w:rPr>
          <w:color w:val="auto"/>
          <w:szCs w:val="24"/>
        </w:rPr>
        <w:t>）、PM2.5（</w:t>
      </w:r>
      <w:r>
        <w:rPr>
          <w:rFonts w:hint="eastAsia"/>
          <w:color w:val="auto"/>
          <w:szCs w:val="24"/>
        </w:rPr>
        <w:t>46</w:t>
      </w:r>
      <w:r>
        <w:rPr>
          <w:color w:val="auto"/>
          <w:szCs w:val="24"/>
        </w:rPr>
        <w:t>μg/m</w:t>
      </w:r>
      <w:r>
        <w:rPr>
          <w:color w:val="auto"/>
          <w:szCs w:val="24"/>
          <w:vertAlign w:val="superscript"/>
        </w:rPr>
        <w:t>3</w:t>
      </w:r>
      <w:r>
        <w:rPr>
          <w:color w:val="auto"/>
          <w:szCs w:val="24"/>
        </w:rPr>
        <w:t>）等年均浓度不符合《环境空气质量标准》（GB3095-2012）二级标准及修改单的要求（PM10（70μg/m</w:t>
      </w:r>
      <w:r>
        <w:rPr>
          <w:color w:val="auto"/>
          <w:szCs w:val="24"/>
          <w:vertAlign w:val="superscript"/>
        </w:rPr>
        <w:t>3</w:t>
      </w:r>
      <w:r>
        <w:rPr>
          <w:color w:val="auto"/>
          <w:szCs w:val="24"/>
        </w:rPr>
        <w:t>）、PM2.5（</w:t>
      </w:r>
      <w:r>
        <w:rPr>
          <w:rFonts w:hint="eastAsia"/>
          <w:color w:val="auto"/>
          <w:szCs w:val="24"/>
        </w:rPr>
        <w:t>35</w:t>
      </w:r>
      <w:r>
        <w:rPr>
          <w:color w:val="auto"/>
          <w:szCs w:val="24"/>
        </w:rPr>
        <w:t>μg/m</w:t>
      </w:r>
      <w:r>
        <w:rPr>
          <w:color w:val="auto"/>
          <w:szCs w:val="24"/>
          <w:vertAlign w:val="superscript"/>
        </w:rPr>
        <w:t>3</w:t>
      </w:r>
      <w:r>
        <w:rPr>
          <w:color w:val="auto"/>
          <w:szCs w:val="24"/>
        </w:rPr>
        <w:t>）），O</w:t>
      </w:r>
      <w:r>
        <w:rPr>
          <w:color w:val="auto"/>
          <w:szCs w:val="24"/>
          <w:vertAlign w:val="subscript"/>
        </w:rPr>
        <w:t>3</w:t>
      </w:r>
      <w:r>
        <w:rPr>
          <w:color w:val="auto"/>
          <w:szCs w:val="24"/>
        </w:rPr>
        <w:t>（</w:t>
      </w:r>
      <w:r>
        <w:rPr>
          <w:rFonts w:hint="eastAsia"/>
          <w:color w:val="auto"/>
          <w:szCs w:val="24"/>
        </w:rPr>
        <w:t>183</w:t>
      </w:r>
      <w:r>
        <w:rPr>
          <w:color w:val="auto"/>
          <w:szCs w:val="24"/>
        </w:rPr>
        <w:t>μg/m</w:t>
      </w:r>
      <w:r>
        <w:rPr>
          <w:color w:val="auto"/>
          <w:szCs w:val="24"/>
          <w:vertAlign w:val="superscript"/>
        </w:rPr>
        <w:t>3</w:t>
      </w:r>
      <w:r>
        <w:rPr>
          <w:color w:val="auto"/>
          <w:szCs w:val="24"/>
        </w:rPr>
        <w:t>）日最大8小时平均值不符合《环境空气质量标准》（GB3095-2012）二级标准及修改单的要求（O</w:t>
      </w:r>
      <w:r>
        <w:rPr>
          <w:color w:val="auto"/>
          <w:szCs w:val="24"/>
          <w:vertAlign w:val="subscript"/>
        </w:rPr>
        <w:t>3</w:t>
      </w:r>
      <w:r>
        <w:rPr>
          <w:color w:val="auto"/>
          <w:szCs w:val="24"/>
        </w:rPr>
        <w:t>（160μg/m</w:t>
      </w:r>
      <w:r>
        <w:rPr>
          <w:color w:val="auto"/>
          <w:szCs w:val="24"/>
          <w:vertAlign w:val="superscript"/>
        </w:rPr>
        <w:t>3</w:t>
      </w:r>
      <w:r>
        <w:rPr>
          <w:color w:val="auto"/>
          <w:szCs w:val="24"/>
        </w:rPr>
        <w:t>））</w:t>
      </w:r>
      <w:r>
        <w:rPr>
          <w:rFonts w:hint="eastAsia"/>
          <w:color w:val="auto"/>
          <w:szCs w:val="24"/>
        </w:rPr>
        <w:t>。</w:t>
      </w:r>
    </w:p>
    <w:p>
      <w:pPr>
        <w:pStyle w:val="2"/>
        <w:spacing w:after="0"/>
        <w:ind w:firstLine="480"/>
        <w:rPr>
          <w:color w:val="auto"/>
        </w:rPr>
      </w:pPr>
      <w:r>
        <w:rPr>
          <w:color w:val="auto"/>
        </w:rPr>
        <w:t>《环境空气质量评价技术规范（试行）》（HJ663-2013）规定：“污染物年评价达标是指该污染物年平均浓度（CO和O</w:t>
      </w:r>
      <w:r>
        <w:rPr>
          <w:color w:val="auto"/>
          <w:vertAlign w:val="subscript"/>
        </w:rPr>
        <w:t>3</w:t>
      </w:r>
      <w:r>
        <w:rPr>
          <w:color w:val="auto"/>
        </w:rPr>
        <w:t>除外）和特定的百分位数浓度同时达标”。</w:t>
      </w:r>
      <w:r>
        <w:rPr>
          <w:rFonts w:hint="eastAsia"/>
          <w:color w:val="auto"/>
        </w:rPr>
        <w:t>张店区</w:t>
      </w:r>
      <w:r>
        <w:rPr>
          <w:color w:val="auto"/>
        </w:rPr>
        <w:t>20</w:t>
      </w:r>
      <w:r>
        <w:rPr>
          <w:rFonts w:hint="eastAsia"/>
          <w:color w:val="auto"/>
        </w:rPr>
        <w:t>21</w:t>
      </w:r>
      <w:r>
        <w:rPr>
          <w:color w:val="auto"/>
        </w:rPr>
        <w:t>年PM</w:t>
      </w:r>
      <w:r>
        <w:rPr>
          <w:color w:val="auto"/>
          <w:vertAlign w:val="subscript"/>
        </w:rPr>
        <w:t>2.5</w:t>
      </w:r>
      <w:r>
        <w:rPr>
          <w:color w:val="auto"/>
        </w:rPr>
        <w:t>、PM</w:t>
      </w:r>
      <w:r>
        <w:rPr>
          <w:color w:val="auto"/>
          <w:vertAlign w:val="subscript"/>
        </w:rPr>
        <w:t>10</w:t>
      </w:r>
      <w:r>
        <w:rPr>
          <w:color w:val="auto"/>
        </w:rPr>
        <w:t>的年均浓度不能满足《环境空气质量标准》（GB3095-2012）二级标准要求，年评价不达标，项目所在处于不达标区。</w:t>
      </w:r>
    </w:p>
    <w:p>
      <w:pPr>
        <w:pStyle w:val="9"/>
        <w:spacing w:before="0" w:beforeLines="0" w:after="0" w:afterLines="0" w:line="360" w:lineRule="auto"/>
        <w:rPr>
          <w:color w:val="auto"/>
        </w:rPr>
      </w:pPr>
      <w:r>
        <w:rPr>
          <w:rFonts w:hint="eastAsia"/>
          <w:color w:val="auto"/>
        </w:rPr>
        <w:t>4</w:t>
      </w:r>
      <w:r>
        <w:rPr>
          <w:color w:val="auto"/>
        </w:rPr>
        <w:t>.1.2 基本污染物环境质量现状调查与评价</w:t>
      </w:r>
    </w:p>
    <w:p>
      <w:pPr>
        <w:ind w:firstLine="480"/>
        <w:rPr>
          <w:color w:val="auto"/>
        </w:rPr>
      </w:pPr>
      <w:r>
        <w:rPr>
          <w:color w:val="auto"/>
        </w:rPr>
        <w:t>根据《环境影响评价技术导则大气环境》（HJ2.2-2018）对项目所在区域环境空气质量进行达标判断，数据统计及评价情况见表</w:t>
      </w:r>
      <w:r>
        <w:rPr>
          <w:rFonts w:hint="eastAsia"/>
          <w:color w:val="auto"/>
        </w:rPr>
        <w:t>4</w:t>
      </w:r>
      <w:r>
        <w:rPr>
          <w:color w:val="auto"/>
        </w:rPr>
        <w:t>.1-1。</w:t>
      </w:r>
    </w:p>
    <w:p>
      <w:pPr>
        <w:pStyle w:val="48"/>
        <w:rPr>
          <w:b w:val="0"/>
          <w:bCs/>
          <w:color w:val="auto"/>
        </w:rPr>
      </w:pPr>
      <w:r>
        <w:rPr>
          <w:b w:val="0"/>
          <w:bCs/>
          <w:color w:val="auto"/>
        </w:rPr>
        <w:t xml:space="preserve">表 </w:t>
      </w:r>
      <w:r>
        <w:rPr>
          <w:rFonts w:hint="eastAsia"/>
          <w:b w:val="0"/>
          <w:bCs/>
          <w:color w:val="auto"/>
        </w:rPr>
        <w:t>4</w:t>
      </w:r>
      <w:r>
        <w:rPr>
          <w:b w:val="0"/>
          <w:bCs/>
          <w:color w:val="auto"/>
        </w:rPr>
        <w:t>.1-1区域空气质量现状评价结果一览表</w:t>
      </w:r>
    </w:p>
    <w:tbl>
      <w:tblPr>
        <w:tblStyle w:val="2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1"/>
        <w:gridCol w:w="843"/>
        <w:gridCol w:w="3723"/>
        <w:gridCol w:w="986"/>
        <w:gridCol w:w="1044"/>
        <w:gridCol w:w="1075"/>
        <w:gridCol w:w="7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80" w:type="pct"/>
            <w:vAlign w:val="center"/>
          </w:tcPr>
          <w:p>
            <w:pPr>
              <w:spacing w:line="312" w:lineRule="exact"/>
              <w:ind w:firstLine="0" w:firstLineChars="0"/>
              <w:jc w:val="center"/>
              <w:rPr>
                <w:b/>
                <w:bCs/>
                <w:color w:val="auto"/>
                <w:sz w:val="21"/>
              </w:rPr>
            </w:pPr>
            <w:r>
              <w:rPr>
                <w:b/>
                <w:bCs/>
                <w:color w:val="auto"/>
                <w:sz w:val="21"/>
              </w:rPr>
              <w:t>污染物</w:t>
            </w:r>
          </w:p>
        </w:tc>
        <w:tc>
          <w:tcPr>
            <w:tcW w:w="454" w:type="pct"/>
            <w:vAlign w:val="center"/>
          </w:tcPr>
          <w:p>
            <w:pPr>
              <w:spacing w:line="312" w:lineRule="exact"/>
              <w:ind w:firstLine="0" w:firstLineChars="0"/>
              <w:jc w:val="center"/>
              <w:rPr>
                <w:b/>
                <w:bCs/>
                <w:color w:val="auto"/>
                <w:sz w:val="21"/>
              </w:rPr>
            </w:pPr>
            <w:r>
              <w:rPr>
                <w:b/>
                <w:bCs/>
                <w:color w:val="auto"/>
                <w:sz w:val="21"/>
              </w:rPr>
              <w:t>单位</w:t>
            </w:r>
          </w:p>
        </w:tc>
        <w:tc>
          <w:tcPr>
            <w:tcW w:w="2005" w:type="pct"/>
            <w:vAlign w:val="center"/>
          </w:tcPr>
          <w:p>
            <w:pPr>
              <w:spacing w:line="312" w:lineRule="exact"/>
              <w:ind w:firstLine="0" w:firstLineChars="0"/>
              <w:jc w:val="center"/>
              <w:rPr>
                <w:b/>
                <w:bCs/>
                <w:color w:val="auto"/>
                <w:sz w:val="21"/>
              </w:rPr>
            </w:pPr>
            <w:r>
              <w:rPr>
                <w:b/>
                <w:bCs/>
                <w:color w:val="auto"/>
                <w:sz w:val="21"/>
              </w:rPr>
              <w:t>年评价指标</w:t>
            </w:r>
          </w:p>
        </w:tc>
        <w:tc>
          <w:tcPr>
            <w:tcW w:w="531" w:type="pct"/>
            <w:vAlign w:val="center"/>
          </w:tcPr>
          <w:p>
            <w:pPr>
              <w:spacing w:line="312" w:lineRule="exact"/>
              <w:ind w:firstLine="0" w:firstLineChars="0"/>
              <w:jc w:val="center"/>
              <w:rPr>
                <w:b/>
                <w:bCs/>
                <w:color w:val="auto"/>
                <w:sz w:val="21"/>
              </w:rPr>
            </w:pPr>
            <w:r>
              <w:rPr>
                <w:b/>
                <w:bCs/>
                <w:color w:val="auto"/>
                <w:sz w:val="21"/>
              </w:rPr>
              <w:t>现状浓度</w:t>
            </w:r>
          </w:p>
        </w:tc>
        <w:tc>
          <w:tcPr>
            <w:tcW w:w="562" w:type="pct"/>
            <w:vAlign w:val="center"/>
          </w:tcPr>
          <w:p>
            <w:pPr>
              <w:spacing w:line="312" w:lineRule="exact"/>
              <w:ind w:firstLine="0" w:firstLineChars="0"/>
              <w:jc w:val="center"/>
              <w:rPr>
                <w:b/>
                <w:bCs/>
                <w:color w:val="auto"/>
                <w:sz w:val="21"/>
              </w:rPr>
            </w:pPr>
            <w:r>
              <w:rPr>
                <w:b/>
                <w:bCs/>
                <w:color w:val="auto"/>
                <w:sz w:val="21"/>
              </w:rPr>
              <w:t>评价标准</w:t>
            </w:r>
          </w:p>
        </w:tc>
        <w:tc>
          <w:tcPr>
            <w:tcW w:w="579" w:type="pct"/>
            <w:vAlign w:val="center"/>
          </w:tcPr>
          <w:p>
            <w:pPr>
              <w:spacing w:line="312" w:lineRule="exact"/>
              <w:ind w:firstLine="0" w:firstLineChars="0"/>
              <w:jc w:val="center"/>
              <w:rPr>
                <w:b/>
                <w:bCs/>
                <w:color w:val="auto"/>
                <w:sz w:val="21"/>
              </w:rPr>
            </w:pPr>
            <w:r>
              <w:rPr>
                <w:b/>
                <w:bCs/>
                <w:color w:val="auto"/>
                <w:sz w:val="21"/>
              </w:rPr>
              <w:t>占标率</w:t>
            </w:r>
          </w:p>
        </w:tc>
        <w:tc>
          <w:tcPr>
            <w:tcW w:w="387" w:type="pct"/>
            <w:vAlign w:val="center"/>
          </w:tcPr>
          <w:p>
            <w:pPr>
              <w:spacing w:line="312" w:lineRule="exact"/>
              <w:ind w:firstLine="0" w:firstLineChars="0"/>
              <w:jc w:val="center"/>
              <w:rPr>
                <w:b/>
                <w:bCs/>
                <w:color w:val="auto"/>
                <w:sz w:val="21"/>
              </w:rPr>
            </w:pPr>
            <w:r>
              <w:rPr>
                <w:b/>
                <w:bCs/>
                <w:color w:val="auto"/>
                <w:sz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80" w:type="pct"/>
            <w:vAlign w:val="center"/>
          </w:tcPr>
          <w:p>
            <w:pPr>
              <w:spacing w:line="312" w:lineRule="exact"/>
              <w:ind w:firstLine="0" w:firstLineChars="0"/>
              <w:jc w:val="center"/>
              <w:rPr>
                <w:color w:val="auto"/>
                <w:sz w:val="21"/>
              </w:rPr>
            </w:pPr>
            <w:r>
              <w:rPr>
                <w:color w:val="auto"/>
                <w:sz w:val="21"/>
              </w:rPr>
              <w:t>SO</w:t>
            </w:r>
            <w:r>
              <w:rPr>
                <w:color w:val="auto"/>
                <w:sz w:val="21"/>
                <w:vertAlign w:val="subscript"/>
              </w:rPr>
              <w:t>2</w:t>
            </w:r>
          </w:p>
        </w:tc>
        <w:tc>
          <w:tcPr>
            <w:tcW w:w="454" w:type="pct"/>
            <w:vAlign w:val="center"/>
          </w:tcPr>
          <w:p>
            <w:pPr>
              <w:spacing w:line="312" w:lineRule="exact"/>
              <w:ind w:firstLine="0" w:firstLineChars="0"/>
              <w:jc w:val="center"/>
              <w:rPr>
                <w:color w:val="auto"/>
                <w:sz w:val="21"/>
              </w:rPr>
            </w:pPr>
            <w:r>
              <w:rPr>
                <w:color w:val="auto"/>
                <w:sz w:val="21"/>
              </w:rPr>
              <w:t>μg/m</w:t>
            </w:r>
            <w:r>
              <w:rPr>
                <w:color w:val="auto"/>
                <w:sz w:val="21"/>
                <w:vertAlign w:val="superscript"/>
              </w:rPr>
              <w:t>3</w:t>
            </w:r>
          </w:p>
        </w:tc>
        <w:tc>
          <w:tcPr>
            <w:tcW w:w="2005" w:type="pct"/>
            <w:vAlign w:val="center"/>
          </w:tcPr>
          <w:p>
            <w:pPr>
              <w:spacing w:line="312" w:lineRule="exact"/>
              <w:ind w:firstLine="0" w:firstLineChars="0"/>
              <w:jc w:val="center"/>
              <w:rPr>
                <w:color w:val="auto"/>
                <w:sz w:val="21"/>
              </w:rPr>
            </w:pPr>
            <w:r>
              <w:rPr>
                <w:color w:val="auto"/>
                <w:sz w:val="21"/>
              </w:rPr>
              <w:t>年平均质量浓度</w:t>
            </w:r>
          </w:p>
        </w:tc>
        <w:tc>
          <w:tcPr>
            <w:tcW w:w="531" w:type="pct"/>
            <w:vAlign w:val="center"/>
          </w:tcPr>
          <w:p>
            <w:pPr>
              <w:spacing w:line="312" w:lineRule="exact"/>
              <w:ind w:firstLine="0" w:firstLineChars="0"/>
              <w:jc w:val="center"/>
              <w:rPr>
                <w:color w:val="auto"/>
                <w:sz w:val="21"/>
              </w:rPr>
            </w:pPr>
            <w:r>
              <w:rPr>
                <w:rFonts w:hint="eastAsia"/>
                <w:color w:val="auto"/>
                <w:sz w:val="21"/>
              </w:rPr>
              <w:t>15</w:t>
            </w:r>
          </w:p>
        </w:tc>
        <w:tc>
          <w:tcPr>
            <w:tcW w:w="562" w:type="pct"/>
            <w:vAlign w:val="center"/>
          </w:tcPr>
          <w:p>
            <w:pPr>
              <w:spacing w:line="312" w:lineRule="exact"/>
              <w:ind w:firstLine="0" w:firstLineChars="0"/>
              <w:jc w:val="center"/>
              <w:rPr>
                <w:color w:val="auto"/>
                <w:sz w:val="21"/>
              </w:rPr>
            </w:pPr>
            <w:r>
              <w:rPr>
                <w:color w:val="auto"/>
                <w:sz w:val="21"/>
              </w:rPr>
              <w:t>60</w:t>
            </w:r>
          </w:p>
        </w:tc>
        <w:tc>
          <w:tcPr>
            <w:tcW w:w="579" w:type="pct"/>
            <w:vAlign w:val="center"/>
          </w:tcPr>
          <w:p>
            <w:pPr>
              <w:spacing w:line="312" w:lineRule="exact"/>
              <w:ind w:firstLine="0" w:firstLineChars="0"/>
              <w:jc w:val="center"/>
              <w:rPr>
                <w:color w:val="auto"/>
                <w:sz w:val="21"/>
              </w:rPr>
            </w:pPr>
            <w:r>
              <w:rPr>
                <w:rFonts w:hint="eastAsia"/>
                <w:color w:val="auto"/>
                <w:sz w:val="21"/>
              </w:rPr>
              <w:t>25</w:t>
            </w:r>
            <w:r>
              <w:rPr>
                <w:color w:val="auto"/>
                <w:sz w:val="21"/>
              </w:rPr>
              <w:t>%</w:t>
            </w:r>
          </w:p>
        </w:tc>
        <w:tc>
          <w:tcPr>
            <w:tcW w:w="387" w:type="pct"/>
            <w:vAlign w:val="center"/>
          </w:tcPr>
          <w:p>
            <w:pPr>
              <w:spacing w:line="312" w:lineRule="exact"/>
              <w:ind w:firstLine="0" w:firstLineChars="0"/>
              <w:jc w:val="center"/>
              <w:rPr>
                <w:color w:val="auto"/>
                <w:sz w:val="21"/>
              </w:rPr>
            </w:pPr>
            <w:r>
              <w:rPr>
                <w:color w:val="auto"/>
                <w:sz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80" w:type="pct"/>
            <w:vAlign w:val="center"/>
          </w:tcPr>
          <w:p>
            <w:pPr>
              <w:spacing w:line="312" w:lineRule="exact"/>
              <w:ind w:firstLine="0" w:firstLineChars="0"/>
              <w:jc w:val="center"/>
              <w:rPr>
                <w:color w:val="auto"/>
                <w:sz w:val="21"/>
              </w:rPr>
            </w:pPr>
            <w:r>
              <w:rPr>
                <w:color w:val="auto"/>
                <w:sz w:val="21"/>
              </w:rPr>
              <w:t>NO</w:t>
            </w:r>
            <w:r>
              <w:rPr>
                <w:color w:val="auto"/>
                <w:sz w:val="21"/>
                <w:vertAlign w:val="subscript"/>
              </w:rPr>
              <w:t>2</w:t>
            </w:r>
          </w:p>
        </w:tc>
        <w:tc>
          <w:tcPr>
            <w:tcW w:w="454" w:type="pct"/>
            <w:vAlign w:val="center"/>
          </w:tcPr>
          <w:p>
            <w:pPr>
              <w:spacing w:line="312" w:lineRule="exact"/>
              <w:ind w:firstLine="0" w:firstLineChars="0"/>
              <w:jc w:val="center"/>
              <w:rPr>
                <w:color w:val="auto"/>
                <w:sz w:val="21"/>
              </w:rPr>
            </w:pPr>
            <w:r>
              <w:rPr>
                <w:color w:val="auto"/>
                <w:sz w:val="21"/>
              </w:rPr>
              <w:t>μg/m</w:t>
            </w:r>
            <w:r>
              <w:rPr>
                <w:color w:val="auto"/>
                <w:sz w:val="21"/>
                <w:vertAlign w:val="superscript"/>
              </w:rPr>
              <w:t>3</w:t>
            </w:r>
          </w:p>
        </w:tc>
        <w:tc>
          <w:tcPr>
            <w:tcW w:w="2005" w:type="pct"/>
            <w:vAlign w:val="center"/>
          </w:tcPr>
          <w:p>
            <w:pPr>
              <w:spacing w:line="312" w:lineRule="exact"/>
              <w:ind w:firstLine="0" w:firstLineChars="0"/>
              <w:jc w:val="center"/>
              <w:rPr>
                <w:color w:val="auto"/>
                <w:sz w:val="21"/>
              </w:rPr>
            </w:pPr>
            <w:r>
              <w:rPr>
                <w:color w:val="auto"/>
                <w:sz w:val="21"/>
              </w:rPr>
              <w:t>年平均质量浓度</w:t>
            </w:r>
          </w:p>
        </w:tc>
        <w:tc>
          <w:tcPr>
            <w:tcW w:w="531" w:type="pct"/>
            <w:vAlign w:val="center"/>
          </w:tcPr>
          <w:p>
            <w:pPr>
              <w:spacing w:line="312" w:lineRule="exact"/>
              <w:ind w:firstLine="0" w:firstLineChars="0"/>
              <w:jc w:val="center"/>
              <w:rPr>
                <w:color w:val="auto"/>
                <w:sz w:val="21"/>
              </w:rPr>
            </w:pPr>
            <w:r>
              <w:rPr>
                <w:rFonts w:hint="eastAsia"/>
                <w:color w:val="auto"/>
                <w:sz w:val="21"/>
              </w:rPr>
              <w:t>39</w:t>
            </w:r>
          </w:p>
        </w:tc>
        <w:tc>
          <w:tcPr>
            <w:tcW w:w="562" w:type="pct"/>
            <w:vAlign w:val="center"/>
          </w:tcPr>
          <w:p>
            <w:pPr>
              <w:spacing w:line="312" w:lineRule="exact"/>
              <w:ind w:firstLine="0" w:firstLineChars="0"/>
              <w:jc w:val="center"/>
              <w:rPr>
                <w:color w:val="auto"/>
                <w:sz w:val="21"/>
              </w:rPr>
            </w:pPr>
            <w:r>
              <w:rPr>
                <w:color w:val="auto"/>
                <w:sz w:val="21"/>
              </w:rPr>
              <w:t>40</w:t>
            </w:r>
          </w:p>
        </w:tc>
        <w:tc>
          <w:tcPr>
            <w:tcW w:w="579" w:type="pct"/>
            <w:vAlign w:val="center"/>
          </w:tcPr>
          <w:p>
            <w:pPr>
              <w:spacing w:line="312" w:lineRule="exact"/>
              <w:ind w:firstLine="0" w:firstLineChars="0"/>
              <w:jc w:val="center"/>
              <w:rPr>
                <w:color w:val="auto"/>
                <w:sz w:val="21"/>
              </w:rPr>
            </w:pPr>
            <w:r>
              <w:rPr>
                <w:rFonts w:hint="eastAsia"/>
                <w:color w:val="auto"/>
                <w:sz w:val="21"/>
              </w:rPr>
              <w:t>97.5</w:t>
            </w:r>
            <w:r>
              <w:rPr>
                <w:color w:val="auto"/>
                <w:sz w:val="21"/>
              </w:rPr>
              <w:t>%</w:t>
            </w:r>
          </w:p>
        </w:tc>
        <w:tc>
          <w:tcPr>
            <w:tcW w:w="387" w:type="pct"/>
            <w:vAlign w:val="center"/>
          </w:tcPr>
          <w:p>
            <w:pPr>
              <w:spacing w:line="312" w:lineRule="exact"/>
              <w:ind w:firstLine="0" w:firstLineChars="0"/>
              <w:jc w:val="center"/>
              <w:rPr>
                <w:color w:val="auto"/>
                <w:sz w:val="21"/>
              </w:rPr>
            </w:pPr>
            <w:r>
              <w:rPr>
                <w:rFonts w:hint="eastAsia"/>
                <w:color w:val="auto"/>
                <w:sz w:val="21"/>
              </w:rPr>
              <w:t>达</w:t>
            </w:r>
            <w:r>
              <w:rPr>
                <w:color w:val="auto"/>
                <w:sz w:val="21"/>
              </w:rPr>
              <w:t>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80" w:type="pct"/>
            <w:vAlign w:val="center"/>
          </w:tcPr>
          <w:p>
            <w:pPr>
              <w:spacing w:line="312" w:lineRule="exact"/>
              <w:ind w:firstLine="0" w:firstLineChars="0"/>
              <w:jc w:val="center"/>
              <w:rPr>
                <w:color w:val="auto"/>
                <w:sz w:val="21"/>
              </w:rPr>
            </w:pPr>
            <w:r>
              <w:rPr>
                <w:color w:val="auto"/>
                <w:sz w:val="21"/>
              </w:rPr>
              <w:t>PM</w:t>
            </w:r>
            <w:r>
              <w:rPr>
                <w:color w:val="auto"/>
                <w:sz w:val="21"/>
                <w:vertAlign w:val="subscript"/>
              </w:rPr>
              <w:t>10</w:t>
            </w:r>
          </w:p>
        </w:tc>
        <w:tc>
          <w:tcPr>
            <w:tcW w:w="454" w:type="pct"/>
            <w:vAlign w:val="center"/>
          </w:tcPr>
          <w:p>
            <w:pPr>
              <w:spacing w:line="312" w:lineRule="exact"/>
              <w:ind w:firstLine="0" w:firstLineChars="0"/>
              <w:jc w:val="center"/>
              <w:rPr>
                <w:color w:val="auto"/>
                <w:sz w:val="21"/>
              </w:rPr>
            </w:pPr>
            <w:r>
              <w:rPr>
                <w:color w:val="auto"/>
                <w:sz w:val="21"/>
              </w:rPr>
              <w:t>μg/m</w:t>
            </w:r>
            <w:r>
              <w:rPr>
                <w:color w:val="auto"/>
                <w:sz w:val="21"/>
                <w:vertAlign w:val="superscript"/>
              </w:rPr>
              <w:t>3</w:t>
            </w:r>
          </w:p>
        </w:tc>
        <w:tc>
          <w:tcPr>
            <w:tcW w:w="2005" w:type="pct"/>
            <w:vAlign w:val="center"/>
          </w:tcPr>
          <w:p>
            <w:pPr>
              <w:spacing w:line="312" w:lineRule="exact"/>
              <w:ind w:firstLine="0" w:firstLineChars="0"/>
              <w:jc w:val="center"/>
              <w:rPr>
                <w:color w:val="auto"/>
                <w:sz w:val="21"/>
              </w:rPr>
            </w:pPr>
            <w:r>
              <w:rPr>
                <w:color w:val="auto"/>
                <w:sz w:val="21"/>
              </w:rPr>
              <w:t>年平均质量浓度</w:t>
            </w:r>
          </w:p>
        </w:tc>
        <w:tc>
          <w:tcPr>
            <w:tcW w:w="531" w:type="pct"/>
            <w:vAlign w:val="center"/>
          </w:tcPr>
          <w:p>
            <w:pPr>
              <w:spacing w:line="312" w:lineRule="exact"/>
              <w:ind w:firstLine="0" w:firstLineChars="0"/>
              <w:jc w:val="center"/>
              <w:rPr>
                <w:color w:val="auto"/>
                <w:sz w:val="21"/>
              </w:rPr>
            </w:pPr>
            <w:r>
              <w:rPr>
                <w:rFonts w:hint="eastAsia"/>
                <w:color w:val="auto"/>
                <w:sz w:val="21"/>
              </w:rPr>
              <w:t>85</w:t>
            </w:r>
          </w:p>
        </w:tc>
        <w:tc>
          <w:tcPr>
            <w:tcW w:w="562" w:type="pct"/>
            <w:vAlign w:val="center"/>
          </w:tcPr>
          <w:p>
            <w:pPr>
              <w:spacing w:line="312" w:lineRule="exact"/>
              <w:ind w:firstLine="0" w:firstLineChars="0"/>
              <w:jc w:val="center"/>
              <w:rPr>
                <w:color w:val="auto"/>
                <w:sz w:val="21"/>
              </w:rPr>
            </w:pPr>
            <w:r>
              <w:rPr>
                <w:color w:val="auto"/>
                <w:sz w:val="21"/>
              </w:rPr>
              <w:t>70</w:t>
            </w:r>
          </w:p>
        </w:tc>
        <w:tc>
          <w:tcPr>
            <w:tcW w:w="579" w:type="pct"/>
            <w:vAlign w:val="center"/>
          </w:tcPr>
          <w:p>
            <w:pPr>
              <w:spacing w:line="312" w:lineRule="exact"/>
              <w:ind w:firstLine="0" w:firstLineChars="0"/>
              <w:jc w:val="center"/>
              <w:rPr>
                <w:color w:val="auto"/>
                <w:sz w:val="21"/>
              </w:rPr>
            </w:pPr>
            <w:r>
              <w:rPr>
                <w:rFonts w:hint="eastAsia"/>
                <w:color w:val="auto"/>
                <w:sz w:val="21"/>
              </w:rPr>
              <w:t>121.4</w:t>
            </w:r>
            <w:r>
              <w:rPr>
                <w:color w:val="auto"/>
                <w:sz w:val="21"/>
              </w:rPr>
              <w:t>%</w:t>
            </w:r>
          </w:p>
        </w:tc>
        <w:tc>
          <w:tcPr>
            <w:tcW w:w="387" w:type="pct"/>
            <w:vAlign w:val="center"/>
          </w:tcPr>
          <w:p>
            <w:pPr>
              <w:spacing w:line="312" w:lineRule="exact"/>
              <w:ind w:firstLine="0" w:firstLineChars="0"/>
              <w:jc w:val="center"/>
              <w:rPr>
                <w:color w:val="auto"/>
                <w:sz w:val="21"/>
              </w:rPr>
            </w:pPr>
            <w:r>
              <w:rPr>
                <w:color w:val="auto"/>
                <w:sz w:val="21"/>
              </w:rPr>
              <w:t>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80" w:type="pct"/>
            <w:vAlign w:val="center"/>
          </w:tcPr>
          <w:p>
            <w:pPr>
              <w:spacing w:line="312" w:lineRule="exact"/>
              <w:ind w:firstLine="0" w:firstLineChars="0"/>
              <w:jc w:val="center"/>
              <w:rPr>
                <w:color w:val="auto"/>
                <w:sz w:val="21"/>
              </w:rPr>
            </w:pPr>
            <w:r>
              <w:rPr>
                <w:color w:val="auto"/>
                <w:sz w:val="21"/>
              </w:rPr>
              <w:t>PM</w:t>
            </w:r>
            <w:r>
              <w:rPr>
                <w:color w:val="auto"/>
                <w:sz w:val="21"/>
                <w:vertAlign w:val="subscript"/>
              </w:rPr>
              <w:t>2.5</w:t>
            </w:r>
          </w:p>
        </w:tc>
        <w:tc>
          <w:tcPr>
            <w:tcW w:w="454" w:type="pct"/>
            <w:vAlign w:val="center"/>
          </w:tcPr>
          <w:p>
            <w:pPr>
              <w:spacing w:line="312" w:lineRule="exact"/>
              <w:ind w:firstLine="0" w:firstLineChars="0"/>
              <w:jc w:val="center"/>
              <w:rPr>
                <w:color w:val="auto"/>
                <w:sz w:val="21"/>
              </w:rPr>
            </w:pPr>
            <w:r>
              <w:rPr>
                <w:color w:val="auto"/>
                <w:sz w:val="21"/>
              </w:rPr>
              <w:t>μg/m</w:t>
            </w:r>
            <w:r>
              <w:rPr>
                <w:color w:val="auto"/>
                <w:sz w:val="21"/>
                <w:vertAlign w:val="superscript"/>
              </w:rPr>
              <w:t>3</w:t>
            </w:r>
          </w:p>
        </w:tc>
        <w:tc>
          <w:tcPr>
            <w:tcW w:w="2005" w:type="pct"/>
            <w:vAlign w:val="center"/>
          </w:tcPr>
          <w:p>
            <w:pPr>
              <w:spacing w:line="312" w:lineRule="exact"/>
              <w:ind w:firstLine="0" w:firstLineChars="0"/>
              <w:jc w:val="center"/>
              <w:rPr>
                <w:color w:val="auto"/>
                <w:sz w:val="21"/>
              </w:rPr>
            </w:pPr>
            <w:r>
              <w:rPr>
                <w:color w:val="auto"/>
                <w:sz w:val="21"/>
              </w:rPr>
              <w:t>年平均质量浓度</w:t>
            </w:r>
          </w:p>
        </w:tc>
        <w:tc>
          <w:tcPr>
            <w:tcW w:w="531" w:type="pct"/>
            <w:vAlign w:val="center"/>
          </w:tcPr>
          <w:p>
            <w:pPr>
              <w:spacing w:line="312" w:lineRule="exact"/>
              <w:ind w:firstLine="0" w:firstLineChars="0"/>
              <w:jc w:val="center"/>
              <w:rPr>
                <w:color w:val="auto"/>
                <w:sz w:val="21"/>
              </w:rPr>
            </w:pPr>
            <w:r>
              <w:rPr>
                <w:rFonts w:hint="eastAsia"/>
                <w:color w:val="auto"/>
                <w:sz w:val="21"/>
              </w:rPr>
              <w:t>46</w:t>
            </w:r>
          </w:p>
        </w:tc>
        <w:tc>
          <w:tcPr>
            <w:tcW w:w="562" w:type="pct"/>
            <w:vAlign w:val="center"/>
          </w:tcPr>
          <w:p>
            <w:pPr>
              <w:spacing w:line="312" w:lineRule="exact"/>
              <w:ind w:firstLine="0" w:firstLineChars="0"/>
              <w:jc w:val="center"/>
              <w:rPr>
                <w:color w:val="auto"/>
                <w:sz w:val="21"/>
              </w:rPr>
            </w:pPr>
            <w:r>
              <w:rPr>
                <w:color w:val="auto"/>
                <w:sz w:val="21"/>
              </w:rPr>
              <w:t>35</w:t>
            </w:r>
          </w:p>
        </w:tc>
        <w:tc>
          <w:tcPr>
            <w:tcW w:w="579" w:type="pct"/>
            <w:vAlign w:val="center"/>
          </w:tcPr>
          <w:p>
            <w:pPr>
              <w:spacing w:line="312" w:lineRule="exact"/>
              <w:ind w:firstLine="0" w:firstLineChars="0"/>
              <w:jc w:val="center"/>
              <w:rPr>
                <w:color w:val="auto"/>
                <w:sz w:val="21"/>
              </w:rPr>
            </w:pPr>
            <w:r>
              <w:rPr>
                <w:rFonts w:hint="eastAsia"/>
                <w:color w:val="auto"/>
                <w:sz w:val="21"/>
              </w:rPr>
              <w:t>131.4</w:t>
            </w:r>
            <w:r>
              <w:rPr>
                <w:color w:val="auto"/>
                <w:sz w:val="21"/>
              </w:rPr>
              <w:t>%</w:t>
            </w:r>
          </w:p>
        </w:tc>
        <w:tc>
          <w:tcPr>
            <w:tcW w:w="387" w:type="pct"/>
            <w:vAlign w:val="center"/>
          </w:tcPr>
          <w:p>
            <w:pPr>
              <w:spacing w:line="312" w:lineRule="exact"/>
              <w:ind w:firstLine="0" w:firstLineChars="0"/>
              <w:jc w:val="center"/>
              <w:rPr>
                <w:color w:val="auto"/>
                <w:sz w:val="21"/>
              </w:rPr>
            </w:pPr>
            <w:r>
              <w:rPr>
                <w:color w:val="auto"/>
                <w:sz w:val="21"/>
              </w:rPr>
              <w:t>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80" w:type="pct"/>
            <w:vAlign w:val="center"/>
          </w:tcPr>
          <w:p>
            <w:pPr>
              <w:spacing w:line="312" w:lineRule="exact"/>
              <w:ind w:firstLine="0" w:firstLineChars="0"/>
              <w:jc w:val="center"/>
              <w:rPr>
                <w:color w:val="auto"/>
                <w:sz w:val="21"/>
              </w:rPr>
            </w:pPr>
            <w:r>
              <w:rPr>
                <w:color w:val="auto"/>
                <w:sz w:val="21"/>
              </w:rPr>
              <w:t>CO</w:t>
            </w:r>
          </w:p>
        </w:tc>
        <w:tc>
          <w:tcPr>
            <w:tcW w:w="454" w:type="pct"/>
            <w:vAlign w:val="center"/>
          </w:tcPr>
          <w:p>
            <w:pPr>
              <w:spacing w:line="312" w:lineRule="exact"/>
              <w:ind w:firstLine="0" w:firstLineChars="0"/>
              <w:jc w:val="center"/>
              <w:rPr>
                <w:color w:val="auto"/>
                <w:sz w:val="21"/>
              </w:rPr>
            </w:pPr>
            <w:r>
              <w:rPr>
                <w:color w:val="auto"/>
                <w:sz w:val="21"/>
              </w:rPr>
              <w:t>mg/m</w:t>
            </w:r>
            <w:r>
              <w:rPr>
                <w:color w:val="auto"/>
                <w:sz w:val="21"/>
                <w:vertAlign w:val="superscript"/>
              </w:rPr>
              <w:t>3</w:t>
            </w:r>
          </w:p>
        </w:tc>
        <w:tc>
          <w:tcPr>
            <w:tcW w:w="2005" w:type="pct"/>
            <w:vAlign w:val="center"/>
          </w:tcPr>
          <w:p>
            <w:pPr>
              <w:spacing w:line="312" w:lineRule="exact"/>
              <w:ind w:firstLine="0" w:firstLineChars="0"/>
              <w:jc w:val="center"/>
              <w:rPr>
                <w:color w:val="auto"/>
                <w:sz w:val="21"/>
              </w:rPr>
            </w:pPr>
            <w:r>
              <w:rPr>
                <w:color w:val="auto"/>
                <w:sz w:val="21"/>
              </w:rPr>
              <w:t>95%保证率日平均浓度</w:t>
            </w:r>
          </w:p>
          <w:p>
            <w:pPr>
              <w:spacing w:line="312" w:lineRule="exact"/>
              <w:ind w:firstLine="0" w:firstLineChars="0"/>
              <w:jc w:val="center"/>
              <w:rPr>
                <w:color w:val="auto"/>
                <w:sz w:val="21"/>
              </w:rPr>
            </w:pPr>
            <w:r>
              <w:rPr>
                <w:color w:val="auto"/>
                <w:sz w:val="21"/>
              </w:rPr>
              <w:t>（共365个有效数据，第347大值）</w:t>
            </w:r>
          </w:p>
        </w:tc>
        <w:tc>
          <w:tcPr>
            <w:tcW w:w="531" w:type="pct"/>
            <w:vAlign w:val="center"/>
          </w:tcPr>
          <w:p>
            <w:pPr>
              <w:spacing w:line="312" w:lineRule="exact"/>
              <w:ind w:firstLine="0" w:firstLineChars="0"/>
              <w:jc w:val="center"/>
              <w:rPr>
                <w:color w:val="auto"/>
                <w:sz w:val="21"/>
              </w:rPr>
            </w:pPr>
            <w:r>
              <w:rPr>
                <w:rFonts w:hint="eastAsia"/>
                <w:color w:val="auto"/>
                <w:sz w:val="21"/>
              </w:rPr>
              <w:t>1.6</w:t>
            </w:r>
          </w:p>
        </w:tc>
        <w:tc>
          <w:tcPr>
            <w:tcW w:w="562" w:type="pct"/>
            <w:vAlign w:val="center"/>
          </w:tcPr>
          <w:p>
            <w:pPr>
              <w:spacing w:line="312" w:lineRule="exact"/>
              <w:ind w:firstLine="0" w:firstLineChars="0"/>
              <w:jc w:val="center"/>
              <w:rPr>
                <w:color w:val="auto"/>
                <w:sz w:val="21"/>
              </w:rPr>
            </w:pPr>
            <w:r>
              <w:rPr>
                <w:color w:val="auto"/>
                <w:sz w:val="21"/>
              </w:rPr>
              <w:t>4</w:t>
            </w:r>
          </w:p>
        </w:tc>
        <w:tc>
          <w:tcPr>
            <w:tcW w:w="579" w:type="pct"/>
            <w:vAlign w:val="center"/>
          </w:tcPr>
          <w:p>
            <w:pPr>
              <w:spacing w:line="312" w:lineRule="exact"/>
              <w:ind w:firstLine="0" w:firstLineChars="0"/>
              <w:jc w:val="center"/>
              <w:rPr>
                <w:color w:val="auto"/>
                <w:sz w:val="21"/>
              </w:rPr>
            </w:pPr>
            <w:r>
              <w:rPr>
                <w:rFonts w:hint="eastAsia"/>
                <w:color w:val="auto"/>
                <w:sz w:val="21"/>
              </w:rPr>
              <w:t>40</w:t>
            </w:r>
            <w:r>
              <w:rPr>
                <w:color w:val="auto"/>
                <w:sz w:val="21"/>
              </w:rPr>
              <w:t>%</w:t>
            </w:r>
          </w:p>
        </w:tc>
        <w:tc>
          <w:tcPr>
            <w:tcW w:w="387" w:type="pct"/>
            <w:vAlign w:val="center"/>
          </w:tcPr>
          <w:p>
            <w:pPr>
              <w:spacing w:line="312" w:lineRule="exact"/>
              <w:ind w:firstLine="0" w:firstLineChars="0"/>
              <w:jc w:val="center"/>
              <w:rPr>
                <w:color w:val="auto"/>
                <w:sz w:val="21"/>
              </w:rPr>
            </w:pPr>
            <w:r>
              <w:rPr>
                <w:color w:val="auto"/>
                <w:sz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80" w:type="pct"/>
            <w:vAlign w:val="center"/>
          </w:tcPr>
          <w:p>
            <w:pPr>
              <w:spacing w:line="312" w:lineRule="exact"/>
              <w:ind w:firstLine="0" w:firstLineChars="0"/>
              <w:jc w:val="center"/>
              <w:rPr>
                <w:color w:val="auto"/>
                <w:sz w:val="21"/>
              </w:rPr>
            </w:pPr>
            <w:r>
              <w:rPr>
                <w:color w:val="auto"/>
                <w:sz w:val="21"/>
              </w:rPr>
              <w:t>O</w:t>
            </w:r>
            <w:r>
              <w:rPr>
                <w:color w:val="auto"/>
                <w:sz w:val="21"/>
                <w:vertAlign w:val="subscript"/>
              </w:rPr>
              <w:t>3</w:t>
            </w:r>
          </w:p>
        </w:tc>
        <w:tc>
          <w:tcPr>
            <w:tcW w:w="454" w:type="pct"/>
            <w:vAlign w:val="center"/>
          </w:tcPr>
          <w:p>
            <w:pPr>
              <w:spacing w:line="312" w:lineRule="exact"/>
              <w:ind w:firstLine="0" w:firstLineChars="0"/>
              <w:jc w:val="center"/>
              <w:rPr>
                <w:color w:val="auto"/>
                <w:sz w:val="21"/>
              </w:rPr>
            </w:pPr>
            <w:r>
              <w:rPr>
                <w:color w:val="auto"/>
                <w:sz w:val="21"/>
              </w:rPr>
              <w:t>μg/m</w:t>
            </w:r>
            <w:r>
              <w:rPr>
                <w:color w:val="auto"/>
                <w:sz w:val="21"/>
                <w:vertAlign w:val="superscript"/>
              </w:rPr>
              <w:t>3</w:t>
            </w:r>
          </w:p>
        </w:tc>
        <w:tc>
          <w:tcPr>
            <w:tcW w:w="2005" w:type="pct"/>
            <w:vAlign w:val="center"/>
          </w:tcPr>
          <w:p>
            <w:pPr>
              <w:spacing w:line="312" w:lineRule="exact"/>
              <w:ind w:firstLine="0" w:firstLineChars="0"/>
              <w:jc w:val="center"/>
              <w:rPr>
                <w:color w:val="auto"/>
                <w:sz w:val="21"/>
              </w:rPr>
            </w:pPr>
            <w:r>
              <w:rPr>
                <w:color w:val="auto"/>
                <w:sz w:val="21"/>
              </w:rPr>
              <w:t>90%保证率日最大8h滑动平均浓度</w:t>
            </w:r>
          </w:p>
          <w:p>
            <w:pPr>
              <w:spacing w:line="312" w:lineRule="exact"/>
              <w:ind w:firstLine="0" w:firstLineChars="0"/>
              <w:jc w:val="center"/>
              <w:rPr>
                <w:color w:val="auto"/>
                <w:sz w:val="21"/>
              </w:rPr>
            </w:pPr>
            <w:r>
              <w:rPr>
                <w:color w:val="auto"/>
                <w:sz w:val="21"/>
              </w:rPr>
              <w:t>（共365个有效数据，第329大值）</w:t>
            </w:r>
          </w:p>
        </w:tc>
        <w:tc>
          <w:tcPr>
            <w:tcW w:w="531" w:type="pct"/>
            <w:vAlign w:val="center"/>
          </w:tcPr>
          <w:p>
            <w:pPr>
              <w:spacing w:line="312" w:lineRule="exact"/>
              <w:ind w:firstLine="0" w:firstLineChars="0"/>
              <w:jc w:val="center"/>
              <w:rPr>
                <w:color w:val="auto"/>
                <w:sz w:val="21"/>
              </w:rPr>
            </w:pPr>
            <w:r>
              <w:rPr>
                <w:rFonts w:hint="eastAsia"/>
                <w:color w:val="auto"/>
                <w:sz w:val="21"/>
              </w:rPr>
              <w:t>183</w:t>
            </w:r>
          </w:p>
        </w:tc>
        <w:tc>
          <w:tcPr>
            <w:tcW w:w="562" w:type="pct"/>
            <w:vAlign w:val="center"/>
          </w:tcPr>
          <w:p>
            <w:pPr>
              <w:spacing w:line="312" w:lineRule="exact"/>
              <w:ind w:firstLine="0" w:firstLineChars="0"/>
              <w:jc w:val="center"/>
              <w:rPr>
                <w:color w:val="auto"/>
                <w:sz w:val="21"/>
              </w:rPr>
            </w:pPr>
            <w:r>
              <w:rPr>
                <w:rFonts w:hint="eastAsia"/>
                <w:color w:val="auto"/>
                <w:sz w:val="21"/>
              </w:rPr>
              <w:t>160</w:t>
            </w:r>
          </w:p>
        </w:tc>
        <w:tc>
          <w:tcPr>
            <w:tcW w:w="579" w:type="pct"/>
            <w:vAlign w:val="center"/>
          </w:tcPr>
          <w:p>
            <w:pPr>
              <w:spacing w:line="312" w:lineRule="exact"/>
              <w:ind w:firstLine="0" w:firstLineChars="0"/>
              <w:jc w:val="center"/>
              <w:rPr>
                <w:color w:val="auto"/>
                <w:sz w:val="21"/>
              </w:rPr>
            </w:pPr>
            <w:r>
              <w:rPr>
                <w:rFonts w:hint="eastAsia"/>
                <w:color w:val="auto"/>
                <w:sz w:val="21"/>
              </w:rPr>
              <w:t>114.4</w:t>
            </w:r>
            <w:r>
              <w:rPr>
                <w:color w:val="auto"/>
                <w:sz w:val="21"/>
              </w:rPr>
              <w:t>%</w:t>
            </w:r>
          </w:p>
        </w:tc>
        <w:tc>
          <w:tcPr>
            <w:tcW w:w="387" w:type="pct"/>
            <w:vAlign w:val="center"/>
          </w:tcPr>
          <w:p>
            <w:pPr>
              <w:spacing w:line="312" w:lineRule="exact"/>
              <w:ind w:firstLine="0" w:firstLineChars="0"/>
              <w:jc w:val="center"/>
              <w:rPr>
                <w:color w:val="auto"/>
                <w:sz w:val="21"/>
              </w:rPr>
            </w:pPr>
            <w:r>
              <w:rPr>
                <w:rFonts w:hint="eastAsia"/>
                <w:color w:val="auto"/>
                <w:sz w:val="21"/>
              </w:rPr>
              <w:t>超标</w:t>
            </w:r>
          </w:p>
        </w:tc>
      </w:tr>
    </w:tbl>
    <w:p>
      <w:pPr>
        <w:ind w:firstLine="480"/>
        <w:rPr>
          <w:color w:val="auto"/>
        </w:rPr>
      </w:pPr>
      <w:r>
        <w:rPr>
          <w:color w:val="auto"/>
        </w:rPr>
        <w:t>由上表可见，</w:t>
      </w:r>
      <w:r>
        <w:rPr>
          <w:rFonts w:hint="eastAsia"/>
          <w:color w:val="auto"/>
        </w:rPr>
        <w:t>2021</w:t>
      </w:r>
      <w:r>
        <w:rPr>
          <w:color w:val="auto"/>
        </w:rPr>
        <w:t>年</w:t>
      </w:r>
      <w:r>
        <w:rPr>
          <w:rFonts w:hint="eastAsia"/>
          <w:color w:val="auto"/>
        </w:rPr>
        <w:t>张店区</w:t>
      </w:r>
      <w:r>
        <w:rPr>
          <w:color w:val="auto"/>
        </w:rPr>
        <w:t>环境空气中SO</w:t>
      </w:r>
      <w:r>
        <w:rPr>
          <w:color w:val="auto"/>
          <w:vertAlign w:val="subscript"/>
        </w:rPr>
        <w:t>2</w:t>
      </w:r>
      <w:r>
        <w:rPr>
          <w:color w:val="auto"/>
        </w:rPr>
        <w:t>、NO</w:t>
      </w:r>
      <w:r>
        <w:rPr>
          <w:color w:val="auto"/>
          <w:vertAlign w:val="subscript"/>
        </w:rPr>
        <w:t>2</w:t>
      </w:r>
      <w:r>
        <w:rPr>
          <w:color w:val="auto"/>
        </w:rPr>
        <w:t>年均浓度及CO相应百分位数24h平均质量浓度</w:t>
      </w:r>
      <w:r>
        <w:rPr>
          <w:rFonts w:hint="eastAsia"/>
          <w:color w:val="auto"/>
        </w:rPr>
        <w:t>，</w:t>
      </w:r>
      <w:r>
        <w:rPr>
          <w:color w:val="auto"/>
        </w:rPr>
        <w:t>O</w:t>
      </w:r>
      <w:r>
        <w:rPr>
          <w:color w:val="auto"/>
          <w:vertAlign w:val="subscript"/>
        </w:rPr>
        <w:t>3</w:t>
      </w:r>
      <w:r>
        <w:rPr>
          <w:color w:val="auto"/>
        </w:rPr>
        <w:t>相应百分位数日最大8h滑动平均浓度</w:t>
      </w:r>
      <w:r>
        <w:rPr>
          <w:rFonts w:hint="eastAsia"/>
          <w:color w:val="auto"/>
        </w:rPr>
        <w:t>不能</w:t>
      </w:r>
      <w:r>
        <w:rPr>
          <w:color w:val="auto"/>
        </w:rPr>
        <w:t>满足《环境空气质量标准》（GB3095-2012）二级标准，PM</w:t>
      </w:r>
      <w:r>
        <w:rPr>
          <w:color w:val="auto"/>
          <w:vertAlign w:val="subscript"/>
        </w:rPr>
        <w:t>10</w:t>
      </w:r>
      <w:r>
        <w:rPr>
          <w:color w:val="auto"/>
        </w:rPr>
        <w:t>、PM</w:t>
      </w:r>
      <w:r>
        <w:rPr>
          <w:color w:val="auto"/>
          <w:vertAlign w:val="subscript"/>
        </w:rPr>
        <w:t>2.5</w:t>
      </w:r>
      <w:r>
        <w:rPr>
          <w:color w:val="auto"/>
        </w:rPr>
        <w:t>年均浓度不达标。</w:t>
      </w:r>
    </w:p>
    <w:p>
      <w:pPr>
        <w:pStyle w:val="9"/>
        <w:spacing w:before="0" w:beforeLines="0" w:after="0" w:afterLines="0" w:line="360" w:lineRule="auto"/>
        <w:rPr>
          <w:color w:val="auto"/>
        </w:rPr>
      </w:pPr>
      <w:r>
        <w:rPr>
          <w:rFonts w:hint="eastAsia"/>
          <w:color w:val="auto"/>
        </w:rPr>
        <w:t>4.</w:t>
      </w:r>
      <w:r>
        <w:rPr>
          <w:color w:val="auto"/>
        </w:rPr>
        <w:t>1.3 其他污染物环境质量现状监测</w:t>
      </w:r>
    </w:p>
    <w:p>
      <w:pPr>
        <w:adjustRightInd w:val="0"/>
        <w:snapToGrid w:val="0"/>
        <w:ind w:firstLine="480"/>
        <w:rPr>
          <w:color w:val="auto"/>
          <w:szCs w:val="22"/>
        </w:rPr>
      </w:pPr>
      <w:r>
        <w:rPr>
          <w:color w:val="auto"/>
          <w:szCs w:val="22"/>
        </w:rPr>
        <w:t>项目环境空气质量监测数据由</w:t>
      </w:r>
      <w:r>
        <w:rPr>
          <w:rFonts w:hint="eastAsia"/>
          <w:color w:val="auto"/>
          <w:szCs w:val="22"/>
        </w:rPr>
        <w:t>山东典图生态环境工程有限公司</w:t>
      </w:r>
      <w:r>
        <w:rPr>
          <w:color w:val="auto"/>
          <w:szCs w:val="22"/>
        </w:rPr>
        <w:t>于20</w:t>
      </w:r>
      <w:r>
        <w:rPr>
          <w:rFonts w:hint="eastAsia"/>
          <w:color w:val="auto"/>
          <w:szCs w:val="22"/>
        </w:rPr>
        <w:t>22</w:t>
      </w:r>
      <w:r>
        <w:rPr>
          <w:color w:val="auto"/>
          <w:szCs w:val="22"/>
        </w:rPr>
        <w:t>年</w:t>
      </w:r>
      <w:r>
        <w:rPr>
          <w:rFonts w:hint="eastAsia"/>
          <w:color w:val="auto"/>
          <w:szCs w:val="22"/>
        </w:rPr>
        <w:t>5</w:t>
      </w:r>
      <w:r>
        <w:rPr>
          <w:color w:val="auto"/>
          <w:szCs w:val="22"/>
        </w:rPr>
        <w:t>月1</w:t>
      </w:r>
      <w:r>
        <w:rPr>
          <w:rFonts w:hint="eastAsia"/>
          <w:color w:val="auto"/>
          <w:szCs w:val="22"/>
        </w:rPr>
        <w:t>8</w:t>
      </w:r>
      <w:r>
        <w:rPr>
          <w:color w:val="auto"/>
          <w:szCs w:val="22"/>
        </w:rPr>
        <w:t>日至</w:t>
      </w:r>
      <w:r>
        <w:rPr>
          <w:rFonts w:hint="eastAsia"/>
          <w:color w:val="auto"/>
          <w:szCs w:val="22"/>
        </w:rPr>
        <w:t>5</w:t>
      </w:r>
      <w:r>
        <w:rPr>
          <w:color w:val="auto"/>
          <w:szCs w:val="22"/>
        </w:rPr>
        <w:t>月2</w:t>
      </w:r>
      <w:r>
        <w:rPr>
          <w:rFonts w:hint="eastAsia"/>
          <w:color w:val="auto"/>
          <w:szCs w:val="22"/>
        </w:rPr>
        <w:t>4</w:t>
      </w:r>
      <w:r>
        <w:rPr>
          <w:color w:val="auto"/>
          <w:szCs w:val="22"/>
        </w:rPr>
        <w:t>日监测而得。</w:t>
      </w:r>
    </w:p>
    <w:p>
      <w:pPr>
        <w:pStyle w:val="10"/>
        <w:spacing w:line="360" w:lineRule="auto"/>
        <w:rPr>
          <w:color w:val="auto"/>
        </w:rPr>
      </w:pPr>
      <w:bookmarkStart w:id="231" w:name="_Toc8110"/>
      <w:bookmarkStart w:id="232" w:name="_Toc19627"/>
      <w:bookmarkStart w:id="233" w:name="_Toc255401329"/>
      <w:r>
        <w:rPr>
          <w:rFonts w:hint="eastAsia"/>
          <w:color w:val="auto"/>
        </w:rPr>
        <w:t>4</w:t>
      </w:r>
      <w:r>
        <w:rPr>
          <w:color w:val="auto"/>
        </w:rPr>
        <w:t>.1.3.1 监测布点</w:t>
      </w:r>
      <w:bookmarkEnd w:id="231"/>
      <w:bookmarkEnd w:id="232"/>
      <w:bookmarkEnd w:id="233"/>
    </w:p>
    <w:p>
      <w:pPr>
        <w:adjustRightInd w:val="0"/>
        <w:snapToGrid w:val="0"/>
        <w:ind w:firstLine="480"/>
        <w:rPr>
          <w:color w:val="auto"/>
          <w:szCs w:val="22"/>
        </w:rPr>
      </w:pPr>
      <w:r>
        <w:rPr>
          <w:color w:val="auto"/>
          <w:szCs w:val="22"/>
        </w:rPr>
        <w:t>环境空气现状监测点具体名称位置及监测项目见表</w:t>
      </w:r>
      <w:r>
        <w:rPr>
          <w:rFonts w:hint="eastAsia"/>
          <w:color w:val="auto"/>
          <w:szCs w:val="22"/>
        </w:rPr>
        <w:t>4</w:t>
      </w:r>
      <w:r>
        <w:rPr>
          <w:color w:val="auto"/>
          <w:szCs w:val="22"/>
        </w:rPr>
        <w:t>.1-2，图</w:t>
      </w:r>
      <w:r>
        <w:rPr>
          <w:rFonts w:hint="eastAsia"/>
          <w:color w:val="auto"/>
          <w:szCs w:val="22"/>
        </w:rPr>
        <w:t>4</w:t>
      </w:r>
      <w:r>
        <w:rPr>
          <w:color w:val="auto"/>
          <w:szCs w:val="22"/>
        </w:rPr>
        <w:t>.1-1。</w:t>
      </w:r>
    </w:p>
    <w:p>
      <w:pPr>
        <w:pStyle w:val="48"/>
        <w:spacing w:line="360" w:lineRule="auto"/>
        <w:rPr>
          <w:b w:val="0"/>
          <w:bCs/>
          <w:color w:val="auto"/>
        </w:rPr>
      </w:pPr>
      <w:r>
        <w:rPr>
          <w:b w:val="0"/>
          <w:bCs/>
          <w:color w:val="auto"/>
        </w:rPr>
        <w:t>表</w:t>
      </w:r>
      <w:r>
        <w:rPr>
          <w:rFonts w:hint="eastAsia"/>
          <w:b w:val="0"/>
          <w:bCs/>
          <w:color w:val="auto"/>
        </w:rPr>
        <w:t>4</w:t>
      </w:r>
      <w:r>
        <w:rPr>
          <w:b w:val="0"/>
          <w:bCs/>
          <w:color w:val="auto"/>
        </w:rPr>
        <w:t>.1-2 环境空气质量现状监测点及监测项目一览表</w:t>
      </w:r>
    </w:p>
    <w:tbl>
      <w:tblPr>
        <w:tblStyle w:val="2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987"/>
        <w:gridCol w:w="2268"/>
        <w:gridCol w:w="1130"/>
        <w:gridCol w:w="1066"/>
        <w:gridCol w:w="36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69" w:hRule="exact"/>
        </w:trPr>
        <w:tc>
          <w:tcPr>
            <w:tcW w:w="544" w:type="pct"/>
            <w:tcBorders>
              <w:tl2br w:val="nil"/>
              <w:tr2bl w:val="nil"/>
            </w:tcBorders>
            <w:vAlign w:val="center"/>
          </w:tcPr>
          <w:p>
            <w:pPr>
              <w:spacing w:line="240" w:lineRule="auto"/>
              <w:ind w:firstLine="0" w:firstLineChars="0"/>
              <w:jc w:val="center"/>
              <w:rPr>
                <w:b/>
                <w:bCs/>
                <w:color w:val="auto"/>
                <w:sz w:val="21"/>
                <w:szCs w:val="21"/>
              </w:rPr>
            </w:pPr>
            <w:r>
              <w:rPr>
                <w:b/>
                <w:bCs/>
                <w:color w:val="auto"/>
                <w:sz w:val="21"/>
                <w:szCs w:val="21"/>
              </w:rPr>
              <w:t>测点编号</w:t>
            </w:r>
          </w:p>
        </w:tc>
        <w:tc>
          <w:tcPr>
            <w:tcW w:w="1250" w:type="pct"/>
            <w:tcBorders>
              <w:tl2br w:val="nil"/>
              <w:tr2bl w:val="nil"/>
            </w:tcBorders>
            <w:vAlign w:val="center"/>
          </w:tcPr>
          <w:p>
            <w:pPr>
              <w:spacing w:line="240" w:lineRule="auto"/>
              <w:ind w:firstLine="0" w:firstLineChars="0"/>
              <w:jc w:val="center"/>
              <w:rPr>
                <w:b/>
                <w:bCs/>
                <w:color w:val="auto"/>
                <w:sz w:val="21"/>
                <w:szCs w:val="21"/>
              </w:rPr>
            </w:pPr>
            <w:r>
              <w:rPr>
                <w:b/>
                <w:bCs/>
                <w:color w:val="auto"/>
                <w:sz w:val="21"/>
                <w:szCs w:val="21"/>
              </w:rPr>
              <w:t>点位名称</w:t>
            </w:r>
          </w:p>
        </w:tc>
        <w:tc>
          <w:tcPr>
            <w:tcW w:w="623" w:type="pct"/>
            <w:tcBorders>
              <w:tl2br w:val="nil"/>
              <w:tr2bl w:val="nil"/>
            </w:tcBorders>
            <w:vAlign w:val="center"/>
          </w:tcPr>
          <w:p>
            <w:pPr>
              <w:adjustRightInd w:val="0"/>
              <w:snapToGrid w:val="0"/>
              <w:spacing w:line="240" w:lineRule="auto"/>
              <w:ind w:firstLine="0" w:firstLineChars="0"/>
              <w:jc w:val="center"/>
              <w:rPr>
                <w:b/>
                <w:bCs/>
                <w:color w:val="auto"/>
                <w:kern w:val="32"/>
                <w:sz w:val="21"/>
                <w:szCs w:val="21"/>
              </w:rPr>
            </w:pPr>
            <w:r>
              <w:rPr>
                <w:b/>
                <w:bCs/>
                <w:color w:val="auto"/>
                <w:kern w:val="32"/>
                <w:sz w:val="21"/>
                <w:szCs w:val="21"/>
              </w:rPr>
              <w:t>距厂方位</w:t>
            </w:r>
          </w:p>
        </w:tc>
        <w:tc>
          <w:tcPr>
            <w:tcW w:w="587" w:type="pct"/>
            <w:tcBorders>
              <w:tl2br w:val="nil"/>
              <w:tr2bl w:val="nil"/>
            </w:tcBorders>
            <w:vAlign w:val="center"/>
          </w:tcPr>
          <w:p>
            <w:pPr>
              <w:adjustRightInd w:val="0"/>
              <w:snapToGrid w:val="0"/>
              <w:spacing w:line="240" w:lineRule="auto"/>
              <w:ind w:firstLine="0" w:firstLineChars="0"/>
              <w:jc w:val="center"/>
              <w:rPr>
                <w:b/>
                <w:bCs/>
                <w:color w:val="auto"/>
                <w:kern w:val="32"/>
                <w:sz w:val="21"/>
                <w:szCs w:val="21"/>
              </w:rPr>
            </w:pPr>
            <w:r>
              <w:rPr>
                <w:b/>
                <w:bCs/>
                <w:color w:val="auto"/>
                <w:kern w:val="32"/>
                <w:sz w:val="21"/>
                <w:szCs w:val="21"/>
              </w:rPr>
              <w:t>距厂距离</w:t>
            </w:r>
          </w:p>
        </w:tc>
        <w:tc>
          <w:tcPr>
            <w:tcW w:w="1993" w:type="pct"/>
            <w:tcBorders>
              <w:tl2br w:val="nil"/>
              <w:tr2bl w:val="nil"/>
            </w:tcBorders>
            <w:vAlign w:val="center"/>
          </w:tcPr>
          <w:p>
            <w:pPr>
              <w:spacing w:line="240" w:lineRule="auto"/>
              <w:ind w:firstLine="0" w:firstLineChars="0"/>
              <w:jc w:val="center"/>
              <w:rPr>
                <w:b/>
                <w:bCs/>
                <w:color w:val="auto"/>
                <w:sz w:val="21"/>
                <w:szCs w:val="21"/>
              </w:rPr>
            </w:pPr>
            <w:r>
              <w:rPr>
                <w:b/>
                <w:bCs/>
                <w:color w:val="auto"/>
                <w:sz w:val="21"/>
                <w:szCs w:val="21"/>
              </w:rPr>
              <w:t>功能意义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4" w:hRule="exact"/>
        </w:trPr>
        <w:tc>
          <w:tcPr>
            <w:tcW w:w="54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w:t>
            </w:r>
          </w:p>
        </w:tc>
        <w:tc>
          <w:tcPr>
            <w:tcW w:w="1250" w:type="pct"/>
            <w:tcBorders>
              <w:tl2br w:val="nil"/>
              <w:tr2bl w:val="nil"/>
            </w:tcBorders>
            <w:vAlign w:val="center"/>
          </w:tcPr>
          <w:p>
            <w:pPr>
              <w:adjustRightInd w:val="0"/>
              <w:snapToGrid w:val="0"/>
              <w:spacing w:line="240" w:lineRule="auto"/>
              <w:ind w:firstLine="0" w:firstLineChars="0"/>
              <w:jc w:val="center"/>
              <w:rPr>
                <w:bCs/>
                <w:color w:val="auto"/>
                <w:sz w:val="21"/>
                <w:szCs w:val="21"/>
              </w:rPr>
            </w:pPr>
            <w:r>
              <w:rPr>
                <w:bCs/>
                <w:color w:val="auto"/>
                <w:sz w:val="21"/>
                <w:szCs w:val="21"/>
              </w:rPr>
              <w:t>项目厂址</w:t>
            </w:r>
          </w:p>
        </w:tc>
        <w:tc>
          <w:tcPr>
            <w:tcW w:w="623" w:type="pct"/>
            <w:tcBorders>
              <w:tl2br w:val="nil"/>
              <w:tr2bl w:val="nil"/>
            </w:tcBorders>
            <w:vAlign w:val="center"/>
          </w:tcPr>
          <w:p>
            <w:pPr>
              <w:adjustRightInd w:val="0"/>
              <w:snapToGrid w:val="0"/>
              <w:spacing w:line="240" w:lineRule="auto"/>
              <w:ind w:firstLine="0" w:firstLineChars="0"/>
              <w:jc w:val="center"/>
              <w:rPr>
                <w:color w:val="auto"/>
                <w:sz w:val="21"/>
                <w:szCs w:val="21"/>
              </w:rPr>
            </w:pPr>
            <w:r>
              <w:rPr>
                <w:color w:val="auto"/>
                <w:sz w:val="21"/>
                <w:szCs w:val="21"/>
              </w:rPr>
              <w:t>/</w:t>
            </w:r>
          </w:p>
        </w:tc>
        <w:tc>
          <w:tcPr>
            <w:tcW w:w="587" w:type="pct"/>
            <w:tcBorders>
              <w:tl2br w:val="nil"/>
              <w:tr2bl w:val="nil"/>
            </w:tcBorders>
            <w:vAlign w:val="center"/>
          </w:tcPr>
          <w:p>
            <w:pPr>
              <w:adjustRightInd w:val="0"/>
              <w:snapToGrid w:val="0"/>
              <w:spacing w:line="240" w:lineRule="auto"/>
              <w:ind w:firstLine="0" w:firstLineChars="0"/>
              <w:jc w:val="center"/>
              <w:rPr>
                <w:bCs/>
                <w:color w:val="auto"/>
                <w:sz w:val="21"/>
                <w:szCs w:val="21"/>
              </w:rPr>
            </w:pPr>
            <w:r>
              <w:rPr>
                <w:bCs/>
                <w:color w:val="auto"/>
                <w:sz w:val="21"/>
                <w:szCs w:val="21"/>
              </w:rPr>
              <w:t>/</w:t>
            </w:r>
          </w:p>
        </w:tc>
        <w:tc>
          <w:tcPr>
            <w:tcW w:w="1993" w:type="pct"/>
            <w:tcBorders>
              <w:tl2br w:val="nil"/>
              <w:tr2bl w:val="nil"/>
            </w:tcBorders>
            <w:vAlign w:val="center"/>
          </w:tcPr>
          <w:p>
            <w:pPr>
              <w:adjustRightInd w:val="0"/>
              <w:snapToGrid w:val="0"/>
              <w:spacing w:line="240" w:lineRule="auto"/>
              <w:ind w:firstLine="0" w:firstLineChars="0"/>
              <w:jc w:val="center"/>
              <w:rPr>
                <w:bCs/>
                <w:color w:val="auto"/>
                <w:sz w:val="21"/>
                <w:szCs w:val="21"/>
              </w:rPr>
            </w:pPr>
            <w:r>
              <w:rPr>
                <w:bCs/>
                <w:color w:val="auto"/>
                <w:sz w:val="21"/>
                <w:szCs w:val="21"/>
              </w:rPr>
              <w:t>了解项目厂址附近空气质量现状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4" w:hRule="exact"/>
        </w:trPr>
        <w:tc>
          <w:tcPr>
            <w:tcW w:w="54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2#</w:t>
            </w:r>
          </w:p>
        </w:tc>
        <w:tc>
          <w:tcPr>
            <w:tcW w:w="1250" w:type="pct"/>
            <w:tcBorders>
              <w:tl2br w:val="nil"/>
              <w:tr2bl w:val="nil"/>
            </w:tcBorders>
            <w:vAlign w:val="center"/>
          </w:tcPr>
          <w:p>
            <w:pPr>
              <w:adjustRightInd w:val="0"/>
              <w:snapToGrid w:val="0"/>
              <w:spacing w:line="240" w:lineRule="auto"/>
              <w:ind w:firstLine="0" w:firstLineChars="0"/>
              <w:jc w:val="center"/>
              <w:rPr>
                <w:bCs/>
                <w:color w:val="auto"/>
                <w:sz w:val="21"/>
                <w:szCs w:val="21"/>
              </w:rPr>
            </w:pPr>
            <w:r>
              <w:rPr>
                <w:rFonts w:hint="eastAsia"/>
                <w:bCs/>
                <w:color w:val="auto"/>
                <w:sz w:val="21"/>
                <w:szCs w:val="21"/>
              </w:rPr>
              <w:t>曹营村</w:t>
            </w:r>
          </w:p>
        </w:tc>
        <w:tc>
          <w:tcPr>
            <w:tcW w:w="623" w:type="pct"/>
            <w:tcBorders>
              <w:tl2br w:val="nil"/>
              <w:tr2bl w:val="nil"/>
            </w:tcBorders>
            <w:vAlign w:val="center"/>
          </w:tcPr>
          <w:p>
            <w:pPr>
              <w:adjustRightInd w:val="0"/>
              <w:snapToGrid w:val="0"/>
              <w:spacing w:line="240" w:lineRule="auto"/>
              <w:ind w:firstLine="0" w:firstLineChars="0"/>
              <w:jc w:val="center"/>
              <w:rPr>
                <w:bCs/>
                <w:color w:val="auto"/>
                <w:sz w:val="21"/>
                <w:szCs w:val="21"/>
              </w:rPr>
            </w:pPr>
            <w:r>
              <w:rPr>
                <w:rFonts w:hint="eastAsia"/>
                <w:bCs/>
                <w:color w:val="auto"/>
                <w:sz w:val="21"/>
                <w:szCs w:val="21"/>
              </w:rPr>
              <w:t>N</w:t>
            </w:r>
          </w:p>
        </w:tc>
        <w:tc>
          <w:tcPr>
            <w:tcW w:w="587" w:type="pct"/>
            <w:tcBorders>
              <w:tl2br w:val="nil"/>
              <w:tr2bl w:val="nil"/>
            </w:tcBorders>
            <w:vAlign w:val="center"/>
          </w:tcPr>
          <w:p>
            <w:pPr>
              <w:adjustRightInd w:val="0"/>
              <w:snapToGrid w:val="0"/>
              <w:spacing w:line="240" w:lineRule="auto"/>
              <w:ind w:firstLine="0" w:firstLineChars="0"/>
              <w:jc w:val="center"/>
              <w:rPr>
                <w:bCs/>
                <w:color w:val="auto"/>
                <w:sz w:val="21"/>
                <w:szCs w:val="21"/>
              </w:rPr>
            </w:pPr>
            <w:r>
              <w:rPr>
                <w:rFonts w:hint="eastAsia"/>
                <w:bCs/>
                <w:color w:val="auto"/>
                <w:sz w:val="21"/>
                <w:szCs w:val="21"/>
              </w:rPr>
              <w:t>870</w:t>
            </w:r>
          </w:p>
        </w:tc>
        <w:tc>
          <w:tcPr>
            <w:tcW w:w="1993" w:type="pct"/>
            <w:tcBorders>
              <w:tl2br w:val="nil"/>
              <w:tr2bl w:val="nil"/>
            </w:tcBorders>
            <w:vAlign w:val="center"/>
          </w:tcPr>
          <w:p>
            <w:pPr>
              <w:adjustRightInd w:val="0"/>
              <w:snapToGrid w:val="0"/>
              <w:spacing w:line="240" w:lineRule="auto"/>
              <w:ind w:firstLine="0" w:firstLineChars="0"/>
              <w:jc w:val="center"/>
              <w:rPr>
                <w:bCs/>
                <w:color w:val="auto"/>
                <w:sz w:val="21"/>
                <w:szCs w:val="21"/>
              </w:rPr>
            </w:pPr>
            <w:r>
              <w:rPr>
                <w:bCs/>
                <w:color w:val="auto"/>
                <w:sz w:val="21"/>
                <w:szCs w:val="21"/>
              </w:rPr>
              <w:t>了解项目厂址</w:t>
            </w:r>
            <w:r>
              <w:rPr>
                <w:rFonts w:hint="eastAsia"/>
                <w:bCs/>
                <w:color w:val="auto"/>
                <w:sz w:val="21"/>
                <w:szCs w:val="21"/>
              </w:rPr>
              <w:t>下风向</w:t>
            </w:r>
            <w:r>
              <w:rPr>
                <w:bCs/>
                <w:color w:val="auto"/>
                <w:sz w:val="21"/>
                <w:szCs w:val="21"/>
              </w:rPr>
              <w:t>空气质量</w:t>
            </w:r>
            <w:r>
              <w:rPr>
                <w:rFonts w:hint="eastAsia"/>
                <w:bCs/>
                <w:color w:val="auto"/>
                <w:sz w:val="21"/>
                <w:szCs w:val="21"/>
              </w:rPr>
              <w:t>现</w:t>
            </w:r>
            <w:r>
              <w:rPr>
                <w:bCs/>
                <w:color w:val="auto"/>
                <w:sz w:val="21"/>
                <w:szCs w:val="21"/>
              </w:rPr>
              <w:t>状</w:t>
            </w:r>
          </w:p>
        </w:tc>
      </w:tr>
    </w:tbl>
    <w:p>
      <w:pPr>
        <w:pStyle w:val="10"/>
        <w:spacing w:line="360" w:lineRule="auto"/>
        <w:rPr>
          <w:color w:val="auto"/>
        </w:rPr>
      </w:pPr>
      <w:bookmarkStart w:id="234" w:name="_Toc25510"/>
      <w:r>
        <w:rPr>
          <w:rFonts w:hint="eastAsia"/>
          <w:color w:val="auto"/>
        </w:rPr>
        <w:t>4</w:t>
      </w:r>
      <w:r>
        <w:rPr>
          <w:color w:val="auto"/>
        </w:rPr>
        <w:t>.1.3.2 监测项目</w:t>
      </w:r>
      <w:bookmarkEnd w:id="234"/>
    </w:p>
    <w:p>
      <w:pPr>
        <w:adjustRightInd w:val="0"/>
        <w:snapToGrid w:val="0"/>
        <w:ind w:firstLine="480"/>
        <w:rPr>
          <w:color w:val="auto"/>
        </w:rPr>
      </w:pPr>
      <w:r>
        <w:rPr>
          <w:color w:val="auto"/>
        </w:rPr>
        <w:t>根据项目污染物种类及排放情况，本次环境空气质量现状监测的监测项目确定为</w:t>
      </w:r>
      <w:r>
        <w:rPr>
          <w:rFonts w:hint="eastAsia"/>
          <w:color w:val="auto"/>
        </w:rPr>
        <w:t>VOCs（以非</w:t>
      </w:r>
      <w:r>
        <w:rPr>
          <w:rFonts w:hint="eastAsia"/>
          <w:color w:val="auto"/>
          <w:lang w:val="en-US" w:eastAsia="zh-CN"/>
        </w:rPr>
        <w:t>甲烷</w:t>
      </w:r>
      <w:r>
        <w:rPr>
          <w:rFonts w:hint="eastAsia"/>
          <w:color w:val="auto"/>
        </w:rPr>
        <w:t>总烃计）、TSP、</w:t>
      </w:r>
      <w:r>
        <w:rPr>
          <w:color w:val="auto"/>
          <w:sz w:val="21"/>
          <w:szCs w:val="24"/>
        </w:rPr>
        <w:t>NOx</w:t>
      </w:r>
      <w:r>
        <w:rPr>
          <w:rFonts w:hint="eastAsia"/>
          <w:color w:val="auto"/>
          <w:sz w:val="21"/>
          <w:szCs w:val="24"/>
        </w:rPr>
        <w:t>、</w:t>
      </w:r>
      <w:r>
        <w:rPr>
          <w:rFonts w:hint="eastAsia"/>
          <w:color w:val="auto"/>
        </w:rPr>
        <w:t>臭气浓度、氨、硫化氢</w:t>
      </w:r>
      <w:r>
        <w:rPr>
          <w:color w:val="auto"/>
        </w:rPr>
        <w:t>等6项，VOCs（以</w:t>
      </w:r>
      <w:r>
        <w:rPr>
          <w:rFonts w:hint="eastAsia"/>
          <w:color w:val="auto"/>
          <w:lang w:val="en-US" w:eastAsia="zh-CN"/>
        </w:rPr>
        <w:t>非甲烷</w:t>
      </w:r>
      <w:r>
        <w:rPr>
          <w:color w:val="auto"/>
        </w:rPr>
        <w:t>总烃计）、NH</w:t>
      </w:r>
      <w:r>
        <w:rPr>
          <w:color w:val="auto"/>
          <w:vertAlign w:val="subscript"/>
        </w:rPr>
        <w:t>3</w:t>
      </w:r>
      <w:r>
        <w:rPr>
          <w:color w:val="auto"/>
        </w:rPr>
        <w:t>、H</w:t>
      </w:r>
      <w:r>
        <w:rPr>
          <w:color w:val="auto"/>
          <w:vertAlign w:val="subscript"/>
        </w:rPr>
        <w:t>2</w:t>
      </w:r>
      <w:r>
        <w:rPr>
          <w:color w:val="auto"/>
        </w:rPr>
        <w:t>S</w:t>
      </w:r>
      <w:r>
        <w:rPr>
          <w:rFonts w:hint="eastAsia"/>
          <w:color w:val="auto"/>
        </w:rPr>
        <w:t>、臭气浓度</w:t>
      </w:r>
      <w:r>
        <w:rPr>
          <w:color w:val="auto"/>
        </w:rPr>
        <w:t>监测小时值，TSP</w:t>
      </w:r>
      <w:r>
        <w:rPr>
          <w:rFonts w:hint="eastAsia"/>
          <w:color w:val="auto"/>
        </w:rPr>
        <w:t>、</w:t>
      </w:r>
      <w:r>
        <w:rPr>
          <w:color w:val="auto"/>
          <w:sz w:val="21"/>
          <w:szCs w:val="24"/>
        </w:rPr>
        <w:t>NOx</w:t>
      </w:r>
      <w:r>
        <w:rPr>
          <w:color w:val="auto"/>
        </w:rPr>
        <w:t>监测日均值。</w:t>
      </w:r>
    </w:p>
    <w:p>
      <w:pPr>
        <w:pStyle w:val="10"/>
        <w:spacing w:line="360" w:lineRule="auto"/>
        <w:rPr>
          <w:color w:val="auto"/>
        </w:rPr>
      </w:pPr>
      <w:bookmarkStart w:id="235" w:name="_Toc31586"/>
      <w:r>
        <w:rPr>
          <w:rFonts w:hint="eastAsia"/>
          <w:color w:val="auto"/>
        </w:rPr>
        <w:t>4</w:t>
      </w:r>
      <w:r>
        <w:rPr>
          <w:color w:val="auto"/>
        </w:rPr>
        <w:t>.1.3.3 监测时间</w:t>
      </w:r>
      <w:bookmarkEnd w:id="235"/>
    </w:p>
    <w:p>
      <w:pPr>
        <w:adjustRightInd w:val="0"/>
        <w:snapToGrid w:val="0"/>
        <w:ind w:firstLine="480"/>
        <w:rPr>
          <w:color w:val="auto"/>
        </w:rPr>
      </w:pPr>
      <w:r>
        <w:rPr>
          <w:color w:val="auto"/>
        </w:rPr>
        <w:t>环境空气监测因子监测7天（保证取得7天有效数据）。监测数据监测时间为</w:t>
      </w:r>
      <w:r>
        <w:rPr>
          <w:color w:val="auto"/>
          <w:szCs w:val="22"/>
        </w:rPr>
        <w:t>20</w:t>
      </w:r>
      <w:r>
        <w:rPr>
          <w:rFonts w:hint="eastAsia"/>
          <w:color w:val="auto"/>
          <w:szCs w:val="22"/>
        </w:rPr>
        <w:t>22</w:t>
      </w:r>
      <w:r>
        <w:rPr>
          <w:color w:val="auto"/>
          <w:szCs w:val="22"/>
        </w:rPr>
        <w:t>年</w:t>
      </w:r>
      <w:r>
        <w:rPr>
          <w:rFonts w:hint="eastAsia"/>
          <w:color w:val="auto"/>
          <w:szCs w:val="22"/>
        </w:rPr>
        <w:t>5</w:t>
      </w:r>
      <w:r>
        <w:rPr>
          <w:color w:val="auto"/>
          <w:szCs w:val="22"/>
        </w:rPr>
        <w:t>月1</w:t>
      </w:r>
      <w:r>
        <w:rPr>
          <w:rFonts w:hint="eastAsia"/>
          <w:color w:val="auto"/>
          <w:szCs w:val="22"/>
        </w:rPr>
        <w:t>8</w:t>
      </w:r>
      <w:r>
        <w:rPr>
          <w:color w:val="auto"/>
          <w:szCs w:val="22"/>
        </w:rPr>
        <w:t>日至</w:t>
      </w:r>
      <w:r>
        <w:rPr>
          <w:rFonts w:hint="eastAsia"/>
          <w:color w:val="auto"/>
          <w:szCs w:val="22"/>
        </w:rPr>
        <w:t>5</w:t>
      </w:r>
      <w:r>
        <w:rPr>
          <w:color w:val="auto"/>
          <w:szCs w:val="22"/>
        </w:rPr>
        <w:t>月2</w:t>
      </w:r>
      <w:r>
        <w:rPr>
          <w:rFonts w:hint="eastAsia"/>
          <w:color w:val="auto"/>
          <w:szCs w:val="22"/>
        </w:rPr>
        <w:t>4</w:t>
      </w:r>
      <w:r>
        <w:rPr>
          <w:color w:val="auto"/>
          <w:szCs w:val="22"/>
        </w:rPr>
        <w:t>日</w:t>
      </w:r>
      <w:r>
        <w:rPr>
          <w:color w:val="auto"/>
        </w:rPr>
        <w:t>。</w:t>
      </w:r>
    </w:p>
    <w:p>
      <w:pPr>
        <w:pStyle w:val="10"/>
        <w:spacing w:line="360" w:lineRule="auto"/>
        <w:rPr>
          <w:color w:val="auto"/>
        </w:rPr>
      </w:pPr>
      <w:bookmarkStart w:id="236" w:name="_Toc13812"/>
      <w:r>
        <w:rPr>
          <w:rFonts w:hint="eastAsia"/>
          <w:color w:val="auto"/>
        </w:rPr>
        <w:t>4</w:t>
      </w:r>
      <w:r>
        <w:rPr>
          <w:color w:val="auto"/>
        </w:rPr>
        <w:t>.1.3.4 监测频率</w:t>
      </w:r>
      <w:bookmarkEnd w:id="236"/>
    </w:p>
    <w:p>
      <w:pPr>
        <w:adjustRightInd w:val="0"/>
        <w:snapToGrid w:val="0"/>
        <w:ind w:firstLine="480"/>
        <w:rPr>
          <w:color w:val="auto"/>
        </w:rPr>
      </w:pPr>
      <w:r>
        <w:rPr>
          <w:color w:val="auto"/>
        </w:rPr>
        <w:t>小时平均浓度各点每天采样4次，采样时间分别为2:00~3:00、8:00~9:00、14:00~15:00、20:00~21:00，采样时间不少于45分钟，连续采样7天，保证7天有效数据；日均浓度的监测，各监测采样时间每</w:t>
      </w:r>
      <w:r>
        <w:rPr>
          <w:rFonts w:hint="eastAsia"/>
          <w:color w:val="auto"/>
        </w:rPr>
        <w:t>日应有24</w:t>
      </w:r>
      <w:r>
        <w:rPr>
          <w:color w:val="auto"/>
        </w:rPr>
        <w:t>小时，连续采样7天，保证取得7天有效数据；监测时同步进行风向、风速、气温、气压、总云量、低云量等气象要素的观测。</w:t>
      </w:r>
    </w:p>
    <w:p>
      <w:pPr>
        <w:pStyle w:val="10"/>
        <w:spacing w:line="360" w:lineRule="auto"/>
        <w:rPr>
          <w:color w:val="auto"/>
        </w:rPr>
      </w:pPr>
      <w:bookmarkStart w:id="237" w:name="_Toc31715"/>
      <w:bookmarkStart w:id="238" w:name="_Toc15069"/>
      <w:r>
        <w:rPr>
          <w:rFonts w:hint="eastAsia"/>
          <w:color w:val="auto"/>
        </w:rPr>
        <w:t>4</w:t>
      </w:r>
      <w:r>
        <w:rPr>
          <w:color w:val="auto"/>
        </w:rPr>
        <w:t>.1.3.5 分析方法</w:t>
      </w:r>
      <w:bookmarkEnd w:id="237"/>
      <w:bookmarkEnd w:id="238"/>
    </w:p>
    <w:p>
      <w:pPr>
        <w:ind w:firstLine="480"/>
        <w:rPr>
          <w:color w:val="auto"/>
        </w:rPr>
      </w:pPr>
      <w:r>
        <w:rPr>
          <w:color w:val="auto"/>
        </w:rPr>
        <w:t>监测分析方法执行《环境空气质量标准》（GB3095-2012）及其修改单中有关环境监测方法标准、《空气与废气监测分析方法》中的有关规定以及《环境监测技术规范》中的有关规定，具体见表</w:t>
      </w:r>
      <w:r>
        <w:rPr>
          <w:rFonts w:hint="eastAsia"/>
          <w:color w:val="auto"/>
        </w:rPr>
        <w:t>4</w:t>
      </w:r>
      <w:r>
        <w:rPr>
          <w:color w:val="auto"/>
        </w:rPr>
        <w:t>.1-</w:t>
      </w:r>
      <w:r>
        <w:rPr>
          <w:rFonts w:hint="eastAsia"/>
          <w:color w:val="auto"/>
        </w:rPr>
        <w:t>3</w:t>
      </w:r>
      <w:r>
        <w:rPr>
          <w:color w:val="auto"/>
        </w:rPr>
        <w:t>。</w:t>
      </w:r>
    </w:p>
    <w:p>
      <w:pPr>
        <w:pStyle w:val="48"/>
        <w:spacing w:line="360" w:lineRule="auto"/>
        <w:rPr>
          <w:b w:val="0"/>
          <w:bCs/>
          <w:color w:val="auto"/>
        </w:rPr>
      </w:pPr>
      <w:r>
        <w:rPr>
          <w:b w:val="0"/>
          <w:bCs/>
          <w:color w:val="auto"/>
        </w:rPr>
        <w:t>表</w:t>
      </w:r>
      <w:r>
        <w:rPr>
          <w:rFonts w:hint="eastAsia"/>
          <w:b w:val="0"/>
          <w:bCs/>
          <w:color w:val="auto"/>
        </w:rPr>
        <w:t>4</w:t>
      </w:r>
      <w:r>
        <w:rPr>
          <w:b w:val="0"/>
          <w:bCs/>
          <w:color w:val="auto"/>
        </w:rPr>
        <w:t>.1-</w:t>
      </w:r>
      <w:r>
        <w:rPr>
          <w:rFonts w:hint="eastAsia"/>
          <w:b w:val="0"/>
          <w:bCs/>
          <w:color w:val="auto"/>
        </w:rPr>
        <w:t>3</w:t>
      </w:r>
      <w:r>
        <w:rPr>
          <w:b w:val="0"/>
          <w:bCs/>
          <w:color w:val="auto"/>
        </w:rPr>
        <w:t xml:space="preserve">  环境空气现状监测项目监测分析方法</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7"/>
        <w:gridCol w:w="1193"/>
        <w:gridCol w:w="2648"/>
        <w:gridCol w:w="1920"/>
        <w:gridCol w:w="1565"/>
        <w:gridCol w:w="14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294" w:type="pct"/>
            <w:tcBorders>
              <w:tl2br w:val="nil"/>
              <w:tr2bl w:val="nil"/>
            </w:tcBorders>
            <w:vAlign w:val="center"/>
          </w:tcPr>
          <w:p>
            <w:pPr>
              <w:spacing w:line="240" w:lineRule="auto"/>
              <w:ind w:firstLine="0" w:firstLineChars="0"/>
              <w:jc w:val="center"/>
              <w:rPr>
                <w:b/>
                <w:bCs/>
                <w:color w:val="auto"/>
                <w:sz w:val="21"/>
                <w:szCs w:val="21"/>
              </w:rPr>
            </w:pPr>
            <w:r>
              <w:rPr>
                <w:b/>
                <w:bCs/>
                <w:color w:val="auto"/>
                <w:sz w:val="21"/>
                <w:szCs w:val="21"/>
              </w:rPr>
              <w:t>序号</w:t>
            </w:r>
          </w:p>
        </w:tc>
        <w:tc>
          <w:tcPr>
            <w:tcW w:w="642" w:type="pct"/>
            <w:tcBorders>
              <w:tl2br w:val="nil"/>
              <w:tr2bl w:val="nil"/>
            </w:tcBorders>
            <w:vAlign w:val="center"/>
          </w:tcPr>
          <w:p>
            <w:pPr>
              <w:spacing w:line="240" w:lineRule="auto"/>
              <w:ind w:firstLine="0" w:firstLineChars="0"/>
              <w:jc w:val="center"/>
              <w:rPr>
                <w:b/>
                <w:bCs/>
                <w:color w:val="auto"/>
                <w:sz w:val="21"/>
                <w:szCs w:val="21"/>
              </w:rPr>
            </w:pPr>
            <w:r>
              <w:rPr>
                <w:b/>
                <w:bCs/>
                <w:color w:val="auto"/>
                <w:sz w:val="21"/>
                <w:szCs w:val="21"/>
              </w:rPr>
              <w:t>监测项目</w:t>
            </w:r>
          </w:p>
        </w:tc>
        <w:tc>
          <w:tcPr>
            <w:tcW w:w="1426" w:type="pct"/>
            <w:tcBorders>
              <w:tl2br w:val="nil"/>
              <w:tr2bl w:val="nil"/>
            </w:tcBorders>
            <w:vAlign w:val="center"/>
          </w:tcPr>
          <w:p>
            <w:pPr>
              <w:spacing w:line="240" w:lineRule="auto"/>
              <w:ind w:firstLine="0" w:firstLineChars="0"/>
              <w:jc w:val="center"/>
              <w:rPr>
                <w:b/>
                <w:bCs/>
                <w:color w:val="auto"/>
                <w:sz w:val="21"/>
                <w:szCs w:val="21"/>
              </w:rPr>
            </w:pPr>
            <w:r>
              <w:rPr>
                <w:rFonts w:hint="eastAsia"/>
                <w:b/>
                <w:bCs/>
                <w:color w:val="auto"/>
                <w:sz w:val="21"/>
                <w:szCs w:val="21"/>
              </w:rPr>
              <w:t>检测依据</w:t>
            </w:r>
          </w:p>
        </w:tc>
        <w:tc>
          <w:tcPr>
            <w:tcW w:w="1034" w:type="pct"/>
            <w:tcBorders>
              <w:tl2br w:val="nil"/>
              <w:tr2bl w:val="nil"/>
            </w:tcBorders>
            <w:vAlign w:val="center"/>
          </w:tcPr>
          <w:p>
            <w:pPr>
              <w:spacing w:line="240" w:lineRule="auto"/>
              <w:ind w:firstLine="0" w:firstLineChars="0"/>
              <w:jc w:val="center"/>
              <w:rPr>
                <w:b/>
                <w:bCs/>
                <w:color w:val="auto"/>
                <w:sz w:val="21"/>
                <w:szCs w:val="21"/>
              </w:rPr>
            </w:pPr>
            <w:r>
              <w:rPr>
                <w:rFonts w:hint="eastAsia"/>
                <w:b/>
                <w:bCs/>
                <w:color w:val="auto"/>
                <w:sz w:val="21"/>
                <w:szCs w:val="21"/>
              </w:rPr>
              <w:t>检测设备</w:t>
            </w:r>
          </w:p>
        </w:tc>
        <w:tc>
          <w:tcPr>
            <w:tcW w:w="843" w:type="pct"/>
            <w:tcBorders>
              <w:tl2br w:val="nil"/>
              <w:tr2bl w:val="nil"/>
            </w:tcBorders>
            <w:vAlign w:val="center"/>
          </w:tcPr>
          <w:p>
            <w:pPr>
              <w:spacing w:line="240" w:lineRule="auto"/>
              <w:ind w:firstLine="0" w:firstLineChars="0"/>
              <w:jc w:val="center"/>
              <w:rPr>
                <w:b/>
                <w:bCs/>
                <w:color w:val="auto"/>
                <w:sz w:val="21"/>
                <w:szCs w:val="21"/>
              </w:rPr>
            </w:pPr>
            <w:r>
              <w:rPr>
                <w:rFonts w:hint="eastAsia"/>
                <w:b/>
                <w:bCs/>
                <w:color w:val="auto"/>
                <w:sz w:val="21"/>
                <w:szCs w:val="21"/>
              </w:rPr>
              <w:t>设备编号</w:t>
            </w:r>
          </w:p>
        </w:tc>
        <w:tc>
          <w:tcPr>
            <w:tcW w:w="760" w:type="pct"/>
            <w:tcBorders>
              <w:tl2br w:val="nil"/>
              <w:tr2bl w:val="nil"/>
            </w:tcBorders>
            <w:vAlign w:val="center"/>
          </w:tcPr>
          <w:p>
            <w:pPr>
              <w:spacing w:line="240" w:lineRule="auto"/>
              <w:ind w:firstLine="0" w:firstLineChars="0"/>
              <w:jc w:val="center"/>
              <w:rPr>
                <w:b/>
                <w:bCs/>
                <w:color w:val="auto"/>
                <w:sz w:val="21"/>
                <w:szCs w:val="21"/>
              </w:rPr>
            </w:pPr>
            <w:r>
              <w:rPr>
                <w:b/>
                <w:bCs/>
                <w:color w:val="auto"/>
                <w:sz w:val="21"/>
                <w:szCs w:val="21"/>
              </w:rPr>
              <w:t>检出限</w:t>
            </w:r>
          </w:p>
          <w:p>
            <w:pPr>
              <w:spacing w:line="240" w:lineRule="auto"/>
              <w:ind w:firstLine="0" w:firstLineChars="0"/>
              <w:jc w:val="center"/>
              <w:rPr>
                <w:b/>
                <w:bCs/>
                <w:color w:val="auto"/>
                <w:sz w:val="21"/>
                <w:szCs w:val="21"/>
              </w:rPr>
            </w:pPr>
            <w:r>
              <w:rPr>
                <w:b/>
                <w:bCs/>
                <w:color w:val="auto"/>
                <w:sz w:val="21"/>
                <w:szCs w:val="21"/>
              </w:rPr>
              <w:t>（mg/m</w:t>
            </w:r>
            <w:r>
              <w:rPr>
                <w:b/>
                <w:bCs/>
                <w:color w:val="auto"/>
                <w:sz w:val="21"/>
                <w:szCs w:val="21"/>
                <w:vertAlign w:val="superscript"/>
              </w:rPr>
              <w:t>3</w:t>
            </w:r>
            <w:r>
              <w:rPr>
                <w:b/>
                <w:bCs/>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29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w:t>
            </w:r>
          </w:p>
        </w:tc>
        <w:tc>
          <w:tcPr>
            <w:tcW w:w="64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VOCs（以</w:t>
            </w:r>
            <w:r>
              <w:rPr>
                <w:rFonts w:hint="eastAsia"/>
                <w:color w:val="auto"/>
                <w:sz w:val="21"/>
                <w:szCs w:val="21"/>
                <w:lang w:eastAsia="zh-CN"/>
              </w:rPr>
              <w:t>非甲烷</w:t>
            </w:r>
            <w:r>
              <w:rPr>
                <w:color w:val="auto"/>
                <w:sz w:val="21"/>
                <w:szCs w:val="21"/>
              </w:rPr>
              <w:t>总烃计）</w:t>
            </w:r>
          </w:p>
        </w:tc>
        <w:tc>
          <w:tcPr>
            <w:tcW w:w="1426"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HJ 604-2017 环境空气 总烃、</w:t>
            </w:r>
            <w:r>
              <w:rPr>
                <w:rFonts w:hint="eastAsia"/>
                <w:color w:val="auto"/>
                <w:sz w:val="21"/>
                <w:szCs w:val="21"/>
                <w:lang w:val="en-US" w:eastAsia="zh-CN"/>
              </w:rPr>
              <w:t>甲烷</w:t>
            </w:r>
            <w:r>
              <w:rPr>
                <w:color w:val="auto"/>
                <w:sz w:val="21"/>
                <w:szCs w:val="21"/>
              </w:rPr>
              <w:t>和</w:t>
            </w:r>
            <w:r>
              <w:rPr>
                <w:rFonts w:hint="eastAsia"/>
                <w:color w:val="auto"/>
                <w:sz w:val="21"/>
                <w:szCs w:val="21"/>
                <w:lang w:eastAsia="zh-CN"/>
              </w:rPr>
              <w:t>非甲烷</w:t>
            </w:r>
            <w:r>
              <w:rPr>
                <w:color w:val="auto"/>
                <w:sz w:val="21"/>
                <w:szCs w:val="21"/>
              </w:rPr>
              <w:t>总烃的测定 直接进样-气相色谱法</w:t>
            </w:r>
          </w:p>
        </w:tc>
        <w:tc>
          <w:tcPr>
            <w:tcW w:w="103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302A 气相色谱仪</w:t>
            </w:r>
          </w:p>
        </w:tc>
        <w:tc>
          <w:tcPr>
            <w:tcW w:w="84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DT/J-047-01</w:t>
            </w:r>
          </w:p>
        </w:tc>
        <w:tc>
          <w:tcPr>
            <w:tcW w:w="76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29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2</w:t>
            </w:r>
          </w:p>
        </w:tc>
        <w:tc>
          <w:tcPr>
            <w:tcW w:w="64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TSP</w:t>
            </w:r>
          </w:p>
        </w:tc>
        <w:tc>
          <w:tcPr>
            <w:tcW w:w="1426"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GB/T 15432-1995 环境空气 总悬浮颗粒物的测定 重量法（含修改单)</w:t>
            </w:r>
          </w:p>
        </w:tc>
        <w:tc>
          <w:tcPr>
            <w:tcW w:w="103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HW-5500 恒温恒湿系统</w:t>
            </w:r>
          </w:p>
        </w:tc>
        <w:tc>
          <w:tcPr>
            <w:tcW w:w="84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DT/J-071</w:t>
            </w:r>
          </w:p>
        </w:tc>
        <w:tc>
          <w:tcPr>
            <w:tcW w:w="76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7" w:hRule="atLeast"/>
          <w:jc w:val="center"/>
        </w:trPr>
        <w:tc>
          <w:tcPr>
            <w:tcW w:w="29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3</w:t>
            </w:r>
          </w:p>
        </w:tc>
        <w:tc>
          <w:tcPr>
            <w:tcW w:w="64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NOx</w:t>
            </w:r>
          </w:p>
        </w:tc>
        <w:tc>
          <w:tcPr>
            <w:tcW w:w="1426"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HJ 479-2009 环境空气  氮氧化物（一氧化氮和二氧化氮）的测定  盐酸萘乙二胺分光光度法（含修改单）</w:t>
            </w:r>
          </w:p>
        </w:tc>
        <w:tc>
          <w:tcPr>
            <w:tcW w:w="103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TU-1810 紫外可见分光光度计</w:t>
            </w:r>
          </w:p>
        </w:tc>
        <w:tc>
          <w:tcPr>
            <w:tcW w:w="84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DT/J-032</w:t>
            </w:r>
          </w:p>
        </w:tc>
        <w:tc>
          <w:tcPr>
            <w:tcW w:w="76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29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w:t>
            </w:r>
          </w:p>
        </w:tc>
        <w:tc>
          <w:tcPr>
            <w:tcW w:w="64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氨</w:t>
            </w:r>
          </w:p>
        </w:tc>
        <w:tc>
          <w:tcPr>
            <w:tcW w:w="1426"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HJ 533-2009 环境空气和废气 氨的测定 纳氏试剂分光光度法</w:t>
            </w:r>
          </w:p>
        </w:tc>
        <w:tc>
          <w:tcPr>
            <w:tcW w:w="103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TU-1810 紫外可见分光光度计</w:t>
            </w:r>
          </w:p>
        </w:tc>
        <w:tc>
          <w:tcPr>
            <w:tcW w:w="84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DT/J-032</w:t>
            </w:r>
          </w:p>
        </w:tc>
        <w:tc>
          <w:tcPr>
            <w:tcW w:w="76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57" w:hRule="atLeast"/>
          <w:jc w:val="center"/>
        </w:trPr>
        <w:tc>
          <w:tcPr>
            <w:tcW w:w="29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w:t>
            </w:r>
          </w:p>
        </w:tc>
        <w:tc>
          <w:tcPr>
            <w:tcW w:w="64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硫化氢</w:t>
            </w:r>
          </w:p>
        </w:tc>
        <w:tc>
          <w:tcPr>
            <w:tcW w:w="1426"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国家环境保护总局(2003)(第四版增补版) 《空气和废气监测分析方法》第三篇 第一章 十一 （二）亚甲基蓝分光光度法</w:t>
            </w:r>
          </w:p>
        </w:tc>
        <w:tc>
          <w:tcPr>
            <w:tcW w:w="103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TU-1810 紫外可见分光光度计</w:t>
            </w:r>
          </w:p>
        </w:tc>
        <w:tc>
          <w:tcPr>
            <w:tcW w:w="84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DT/J-032</w:t>
            </w:r>
          </w:p>
        </w:tc>
        <w:tc>
          <w:tcPr>
            <w:tcW w:w="76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30" w:hRule="atLeast"/>
          <w:jc w:val="center"/>
        </w:trPr>
        <w:tc>
          <w:tcPr>
            <w:tcW w:w="29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6</w:t>
            </w:r>
          </w:p>
        </w:tc>
        <w:tc>
          <w:tcPr>
            <w:tcW w:w="64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臭气浓度</w:t>
            </w:r>
          </w:p>
        </w:tc>
        <w:tc>
          <w:tcPr>
            <w:tcW w:w="1426"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GB/T 14675-1993 空气质量-恶臭的测定-三点比较式臭袋法</w:t>
            </w:r>
          </w:p>
        </w:tc>
        <w:tc>
          <w:tcPr>
            <w:tcW w:w="103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WWK-3清洁空气制备器</w:t>
            </w:r>
          </w:p>
        </w:tc>
        <w:tc>
          <w:tcPr>
            <w:tcW w:w="84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DT/J-121</w:t>
            </w:r>
          </w:p>
        </w:tc>
        <w:tc>
          <w:tcPr>
            <w:tcW w:w="76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r>
    </w:tbl>
    <w:p>
      <w:pPr>
        <w:pStyle w:val="2"/>
        <w:spacing w:after="0"/>
        <w:ind w:firstLine="480"/>
        <w:rPr>
          <w:color w:val="auto"/>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pPr>
        <w:ind w:firstLine="0" w:firstLineChars="0"/>
        <w:rPr>
          <w:color w:val="auto"/>
        </w:rPr>
      </w:pPr>
      <w:r>
        <w:rPr>
          <w:rFonts w:hint="eastAsia" w:eastAsia="黑体"/>
          <w:b/>
          <w:bCs/>
          <w:color w:val="auto"/>
          <w:szCs w:val="24"/>
        </w:rPr>
        <w:drawing>
          <wp:anchor distT="0" distB="0" distL="114300" distR="114300" simplePos="0" relativeHeight="251664384" behindDoc="0" locked="0" layoutInCell="1" allowOverlap="1">
            <wp:simplePos x="0" y="0"/>
            <wp:positionH relativeFrom="column">
              <wp:posOffset>6893560</wp:posOffset>
            </wp:positionH>
            <wp:positionV relativeFrom="paragraph">
              <wp:posOffset>29210</wp:posOffset>
            </wp:positionV>
            <wp:extent cx="775970" cy="807720"/>
            <wp:effectExtent l="0" t="0" r="5080" b="11430"/>
            <wp:wrapNone/>
            <wp:docPr id="15" name="图片 15" descr="9231966187c51f82577e5b8e845b6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9231966187c51f82577e5b8e845b6da"/>
                    <pic:cNvPicPr>
                      <a:picLocks noChangeAspect="1"/>
                    </pic:cNvPicPr>
                  </pic:nvPicPr>
                  <pic:blipFill>
                    <a:blip r:embed="rId54"/>
                    <a:stretch>
                      <a:fillRect/>
                    </a:stretch>
                  </pic:blipFill>
                  <pic:spPr>
                    <a:xfrm>
                      <a:off x="0" y="0"/>
                      <a:ext cx="775970" cy="807720"/>
                    </a:xfrm>
                    <a:prstGeom prst="rect">
                      <a:avLst/>
                    </a:prstGeom>
                  </pic:spPr>
                </pic:pic>
              </a:graphicData>
            </a:graphic>
          </wp:anchor>
        </w:drawing>
      </w:r>
      <w:r>
        <w:rPr>
          <w:rFonts w:hint="eastAsia" w:eastAsia="黑体"/>
          <w:b/>
          <w:bCs/>
          <w:color w:val="auto"/>
          <w:szCs w:val="24"/>
        </w:rPr>
        <w:drawing>
          <wp:anchor distT="0" distB="0" distL="114300" distR="114300" simplePos="0" relativeHeight="251663360" behindDoc="0" locked="0" layoutInCell="1" allowOverlap="1">
            <wp:simplePos x="0" y="0"/>
            <wp:positionH relativeFrom="column">
              <wp:posOffset>1140460</wp:posOffset>
            </wp:positionH>
            <wp:positionV relativeFrom="paragraph">
              <wp:posOffset>31750</wp:posOffset>
            </wp:positionV>
            <wp:extent cx="6538595" cy="4654550"/>
            <wp:effectExtent l="9525" t="9525" r="24130" b="22225"/>
            <wp:wrapSquare wrapText="bothSides"/>
            <wp:docPr id="11" name="图片 11" descr="16493157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649315729(1)"/>
                    <pic:cNvPicPr>
                      <a:picLocks noChangeAspect="1"/>
                    </pic:cNvPicPr>
                  </pic:nvPicPr>
                  <pic:blipFill>
                    <a:blip r:embed="rId68"/>
                    <a:stretch>
                      <a:fillRect/>
                    </a:stretch>
                  </pic:blipFill>
                  <pic:spPr>
                    <a:xfrm>
                      <a:off x="0" y="0"/>
                      <a:ext cx="6538595" cy="4654550"/>
                    </a:xfrm>
                    <a:prstGeom prst="rect">
                      <a:avLst/>
                    </a:prstGeom>
                    <a:ln>
                      <a:solidFill>
                        <a:schemeClr val="tx1"/>
                      </a:solidFill>
                    </a:ln>
                  </pic:spPr>
                </pic:pic>
              </a:graphicData>
            </a:graphic>
          </wp:anchor>
        </w:drawing>
      </w:r>
    </w:p>
    <w:p>
      <w:pPr>
        <w:ind w:firstLine="0" w:firstLineChars="0"/>
        <w:rPr>
          <w:color w:val="auto"/>
        </w:rPr>
      </w:pPr>
    </w:p>
    <w:p>
      <w:pPr>
        <w:ind w:firstLine="0" w:firstLineChars="0"/>
        <w:rPr>
          <w:color w:val="auto"/>
        </w:rPr>
      </w:pPr>
    </w:p>
    <w:p>
      <w:pPr>
        <w:ind w:firstLine="0" w:firstLineChars="0"/>
        <w:rPr>
          <w:color w:val="auto"/>
        </w:rPr>
      </w:pPr>
    </w:p>
    <w:p>
      <w:pPr>
        <w:ind w:firstLine="0" w:firstLineChars="0"/>
        <w:rPr>
          <w:color w:val="auto"/>
        </w:rPr>
      </w:pPr>
    </w:p>
    <w:p>
      <w:pPr>
        <w:ind w:firstLine="0" w:firstLineChars="0"/>
        <w:rPr>
          <w:color w:val="auto"/>
        </w:rPr>
      </w:pPr>
    </w:p>
    <w:p>
      <w:pPr>
        <w:ind w:firstLine="0" w:firstLineChars="0"/>
        <w:rPr>
          <w:color w:val="auto"/>
        </w:rPr>
      </w:pPr>
    </w:p>
    <w:p>
      <w:pPr>
        <w:ind w:firstLine="0" w:firstLineChars="0"/>
        <w:rPr>
          <w:color w:val="auto"/>
        </w:rPr>
      </w:pPr>
    </w:p>
    <w:p>
      <w:pPr>
        <w:pStyle w:val="2"/>
        <w:spacing w:after="0"/>
        <w:ind w:firstLine="480"/>
        <w:rPr>
          <w:color w:val="auto"/>
        </w:rPr>
      </w:pPr>
    </w:p>
    <w:p>
      <w:pPr>
        <w:ind w:firstLine="480"/>
        <w:rPr>
          <w:color w:val="auto"/>
        </w:rPr>
      </w:pPr>
    </w:p>
    <w:p>
      <w:pPr>
        <w:pStyle w:val="2"/>
        <w:spacing w:after="0"/>
        <w:ind w:firstLine="480"/>
        <w:rPr>
          <w:color w:val="auto"/>
        </w:rPr>
      </w:pPr>
    </w:p>
    <w:p>
      <w:pPr>
        <w:ind w:firstLine="480"/>
        <w:rPr>
          <w:color w:val="auto"/>
        </w:rPr>
      </w:pPr>
    </w:p>
    <w:p>
      <w:pPr>
        <w:pStyle w:val="2"/>
        <w:spacing w:after="0"/>
        <w:ind w:firstLine="480"/>
        <w:rPr>
          <w:color w:val="auto"/>
        </w:rPr>
      </w:pPr>
    </w:p>
    <w:p>
      <w:pPr>
        <w:ind w:firstLine="480"/>
        <w:rPr>
          <w:color w:val="auto"/>
        </w:rPr>
      </w:pPr>
    </w:p>
    <w:p>
      <w:pPr>
        <w:pStyle w:val="2"/>
        <w:spacing w:after="0"/>
        <w:ind w:firstLine="480"/>
        <w:rPr>
          <w:color w:val="auto"/>
        </w:rPr>
      </w:pPr>
    </w:p>
    <w:p>
      <w:pPr>
        <w:ind w:firstLine="480"/>
        <w:rPr>
          <w:color w:val="auto"/>
        </w:rPr>
      </w:pPr>
    </w:p>
    <w:p>
      <w:pPr>
        <w:ind w:firstLine="0" w:firstLineChars="0"/>
        <w:jc w:val="center"/>
        <w:rPr>
          <w:rFonts w:eastAsia="黑体"/>
          <w:color w:val="auto"/>
          <w:sz w:val="21"/>
          <w:szCs w:val="21"/>
        </w:rPr>
      </w:pPr>
    </w:p>
    <w:p>
      <w:pPr>
        <w:ind w:firstLine="0" w:firstLineChars="0"/>
        <w:jc w:val="center"/>
        <w:rPr>
          <w:rFonts w:eastAsia="黑体"/>
          <w:color w:val="auto"/>
          <w:sz w:val="21"/>
          <w:szCs w:val="21"/>
        </w:rPr>
        <w:sectPr>
          <w:headerReference r:id="rId27" w:type="default"/>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eastAsia="黑体"/>
          <w:color w:val="auto"/>
          <w:sz w:val="21"/>
          <w:szCs w:val="21"/>
        </w:rPr>
        <w:t>图4.1-1 环境空气监测布点</w:t>
      </w:r>
      <w:r>
        <w:rPr>
          <w:rFonts w:hint="eastAsia" w:eastAsia="黑体"/>
          <w:color w:val="auto"/>
          <w:sz w:val="21"/>
          <w:szCs w:val="21"/>
        </w:rPr>
        <w:t>图</w:t>
      </w:r>
    </w:p>
    <w:p>
      <w:pPr>
        <w:pStyle w:val="10"/>
        <w:spacing w:line="360" w:lineRule="auto"/>
        <w:rPr>
          <w:color w:val="auto"/>
        </w:rPr>
      </w:pPr>
      <w:r>
        <w:rPr>
          <w:rFonts w:hint="eastAsia"/>
          <w:color w:val="auto"/>
        </w:rPr>
        <w:t>4</w:t>
      </w:r>
      <w:r>
        <w:rPr>
          <w:color w:val="auto"/>
        </w:rPr>
        <w:t>.1.</w:t>
      </w:r>
      <w:r>
        <w:rPr>
          <w:rFonts w:hint="eastAsia"/>
          <w:color w:val="auto"/>
        </w:rPr>
        <w:t>2.5</w:t>
      </w:r>
      <w:r>
        <w:rPr>
          <w:color w:val="auto"/>
        </w:rPr>
        <w:t xml:space="preserve"> 监测结果</w:t>
      </w:r>
    </w:p>
    <w:p>
      <w:pPr>
        <w:adjustRightInd w:val="0"/>
        <w:snapToGrid w:val="0"/>
        <w:ind w:firstLine="480"/>
        <w:rPr>
          <w:color w:val="auto"/>
        </w:rPr>
      </w:pPr>
      <w:r>
        <w:rPr>
          <w:color w:val="auto"/>
        </w:rPr>
        <w:t>监测期间</w:t>
      </w:r>
      <w:r>
        <w:rPr>
          <w:bCs/>
          <w:color w:val="auto"/>
        </w:rPr>
        <w:t>气象参数数据、</w:t>
      </w:r>
      <w:r>
        <w:rPr>
          <w:color w:val="auto"/>
        </w:rPr>
        <w:t>环境空气现状监测结果详见表、环境空气现状监测结果一览表、各测点污染物监测结果统计表见下表。</w:t>
      </w:r>
    </w:p>
    <w:p>
      <w:pPr>
        <w:pStyle w:val="48"/>
        <w:spacing w:line="360" w:lineRule="auto"/>
        <w:rPr>
          <w:b w:val="0"/>
          <w:bCs/>
          <w:color w:val="auto"/>
        </w:rPr>
      </w:pPr>
      <w:r>
        <w:rPr>
          <w:b w:val="0"/>
          <w:bCs/>
          <w:color w:val="auto"/>
        </w:rPr>
        <w:t>表</w:t>
      </w:r>
      <w:r>
        <w:rPr>
          <w:rFonts w:hint="eastAsia"/>
          <w:b w:val="0"/>
          <w:bCs/>
          <w:color w:val="auto"/>
        </w:rPr>
        <w:t>4</w:t>
      </w:r>
      <w:r>
        <w:rPr>
          <w:b w:val="0"/>
          <w:bCs/>
          <w:color w:val="auto"/>
        </w:rPr>
        <w:t>.1-</w:t>
      </w:r>
      <w:r>
        <w:rPr>
          <w:rFonts w:hint="eastAsia"/>
          <w:b w:val="0"/>
          <w:bCs/>
          <w:color w:val="auto"/>
        </w:rPr>
        <w:t>4</w:t>
      </w:r>
      <w:r>
        <w:rPr>
          <w:b w:val="0"/>
          <w:bCs/>
          <w:color w:val="auto"/>
        </w:rPr>
        <w:t xml:space="preserve">  补充监测期间气象参数表</w:t>
      </w:r>
    </w:p>
    <w:tbl>
      <w:tblPr>
        <w:tblStyle w:val="2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65"/>
        <w:gridCol w:w="1023"/>
        <w:gridCol w:w="1005"/>
        <w:gridCol w:w="1053"/>
        <w:gridCol w:w="1038"/>
        <w:gridCol w:w="962"/>
        <w:gridCol w:w="1023"/>
        <w:gridCol w:w="959"/>
        <w:gridCol w:w="9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tcBorders>
              <w:tl2br w:val="nil"/>
              <w:tr2bl w:val="nil"/>
            </w:tcBorders>
            <w:vAlign w:val="center"/>
          </w:tcPr>
          <w:p>
            <w:pPr>
              <w:spacing w:line="312" w:lineRule="exact"/>
              <w:ind w:firstLine="0" w:firstLineChars="0"/>
              <w:jc w:val="center"/>
              <w:rPr>
                <w:b/>
                <w:bCs/>
                <w:color w:val="auto"/>
                <w:kern w:val="0"/>
                <w:sz w:val="21"/>
                <w:szCs w:val="21"/>
              </w:rPr>
            </w:pPr>
            <w:r>
              <w:rPr>
                <w:b/>
                <w:bCs/>
                <w:color w:val="auto"/>
                <w:sz w:val="21"/>
                <w:szCs w:val="21"/>
              </w:rPr>
              <w:t>采样日期</w:t>
            </w:r>
          </w:p>
        </w:tc>
        <w:tc>
          <w:tcPr>
            <w:tcW w:w="551" w:type="pct"/>
            <w:tcBorders>
              <w:tl2br w:val="nil"/>
              <w:tr2bl w:val="nil"/>
            </w:tcBorders>
            <w:vAlign w:val="center"/>
          </w:tcPr>
          <w:p>
            <w:pPr>
              <w:spacing w:line="312" w:lineRule="exact"/>
              <w:ind w:firstLine="0" w:firstLineChars="0"/>
              <w:jc w:val="center"/>
              <w:rPr>
                <w:b/>
                <w:bCs/>
                <w:color w:val="auto"/>
                <w:kern w:val="0"/>
                <w:sz w:val="21"/>
                <w:szCs w:val="21"/>
              </w:rPr>
            </w:pPr>
            <w:r>
              <w:rPr>
                <w:b/>
                <w:bCs/>
                <w:color w:val="auto"/>
                <w:sz w:val="21"/>
                <w:szCs w:val="21"/>
              </w:rPr>
              <w:t>采样时间</w:t>
            </w:r>
          </w:p>
        </w:tc>
        <w:tc>
          <w:tcPr>
            <w:tcW w:w="541" w:type="pct"/>
            <w:tcBorders>
              <w:tl2br w:val="nil"/>
              <w:tr2bl w:val="nil"/>
            </w:tcBorders>
            <w:vAlign w:val="center"/>
          </w:tcPr>
          <w:p>
            <w:pPr>
              <w:spacing w:line="312" w:lineRule="exact"/>
              <w:ind w:firstLine="0" w:firstLineChars="0"/>
              <w:jc w:val="center"/>
              <w:rPr>
                <w:b/>
                <w:bCs/>
                <w:color w:val="auto"/>
                <w:kern w:val="0"/>
                <w:sz w:val="21"/>
                <w:szCs w:val="21"/>
              </w:rPr>
            </w:pPr>
            <w:r>
              <w:rPr>
                <w:b/>
                <w:bCs/>
                <w:color w:val="auto"/>
                <w:sz w:val="21"/>
                <w:szCs w:val="21"/>
              </w:rPr>
              <w:t>温度（℃）</w:t>
            </w:r>
          </w:p>
        </w:tc>
        <w:tc>
          <w:tcPr>
            <w:tcW w:w="567" w:type="pct"/>
            <w:tcBorders>
              <w:tl2br w:val="nil"/>
              <w:tr2bl w:val="nil"/>
            </w:tcBorders>
            <w:vAlign w:val="center"/>
          </w:tcPr>
          <w:p>
            <w:pPr>
              <w:spacing w:line="312" w:lineRule="exact"/>
              <w:ind w:firstLine="0" w:firstLineChars="0"/>
              <w:jc w:val="center"/>
              <w:rPr>
                <w:b/>
                <w:bCs/>
                <w:color w:val="auto"/>
                <w:kern w:val="0"/>
                <w:sz w:val="21"/>
                <w:szCs w:val="21"/>
              </w:rPr>
            </w:pPr>
            <w:r>
              <w:rPr>
                <w:b/>
                <w:bCs/>
                <w:color w:val="auto"/>
                <w:sz w:val="21"/>
                <w:szCs w:val="21"/>
              </w:rPr>
              <w:t>湿度（%）</w:t>
            </w:r>
          </w:p>
        </w:tc>
        <w:tc>
          <w:tcPr>
            <w:tcW w:w="559" w:type="pct"/>
            <w:tcBorders>
              <w:tl2br w:val="nil"/>
              <w:tr2bl w:val="nil"/>
            </w:tcBorders>
            <w:vAlign w:val="center"/>
          </w:tcPr>
          <w:p>
            <w:pPr>
              <w:spacing w:line="312" w:lineRule="exact"/>
              <w:ind w:firstLine="0" w:firstLineChars="0"/>
              <w:jc w:val="center"/>
              <w:rPr>
                <w:b/>
                <w:bCs/>
                <w:color w:val="auto"/>
                <w:kern w:val="0"/>
                <w:sz w:val="21"/>
                <w:szCs w:val="21"/>
              </w:rPr>
            </w:pPr>
            <w:r>
              <w:rPr>
                <w:b/>
                <w:bCs/>
                <w:color w:val="auto"/>
                <w:sz w:val="21"/>
                <w:szCs w:val="21"/>
              </w:rPr>
              <w:t>气压（kPa）</w:t>
            </w:r>
          </w:p>
        </w:tc>
        <w:tc>
          <w:tcPr>
            <w:tcW w:w="518" w:type="pct"/>
            <w:tcBorders>
              <w:tl2br w:val="nil"/>
              <w:tr2bl w:val="nil"/>
            </w:tcBorders>
            <w:vAlign w:val="center"/>
          </w:tcPr>
          <w:p>
            <w:pPr>
              <w:spacing w:line="312" w:lineRule="exact"/>
              <w:ind w:firstLine="0" w:firstLineChars="0"/>
              <w:jc w:val="center"/>
              <w:rPr>
                <w:b/>
                <w:bCs/>
                <w:color w:val="auto"/>
                <w:kern w:val="0"/>
                <w:sz w:val="21"/>
                <w:szCs w:val="21"/>
              </w:rPr>
            </w:pPr>
            <w:r>
              <w:rPr>
                <w:b/>
                <w:bCs/>
                <w:color w:val="auto"/>
                <w:sz w:val="21"/>
                <w:szCs w:val="21"/>
              </w:rPr>
              <w:t>风向</w:t>
            </w:r>
          </w:p>
        </w:tc>
        <w:tc>
          <w:tcPr>
            <w:tcW w:w="551" w:type="pct"/>
            <w:tcBorders>
              <w:tl2br w:val="nil"/>
              <w:tr2bl w:val="nil"/>
            </w:tcBorders>
            <w:vAlign w:val="center"/>
          </w:tcPr>
          <w:p>
            <w:pPr>
              <w:spacing w:line="312" w:lineRule="exact"/>
              <w:ind w:firstLine="0" w:firstLineChars="0"/>
              <w:jc w:val="center"/>
              <w:rPr>
                <w:b/>
                <w:bCs/>
                <w:color w:val="auto"/>
                <w:kern w:val="0"/>
                <w:sz w:val="21"/>
                <w:szCs w:val="21"/>
              </w:rPr>
            </w:pPr>
            <w:r>
              <w:rPr>
                <w:b/>
                <w:bCs/>
                <w:color w:val="auto"/>
                <w:sz w:val="21"/>
                <w:szCs w:val="21"/>
              </w:rPr>
              <w:t>风速（m/s）</w:t>
            </w:r>
          </w:p>
        </w:tc>
        <w:tc>
          <w:tcPr>
            <w:tcW w:w="516" w:type="pct"/>
            <w:tcBorders>
              <w:tl2br w:val="nil"/>
              <w:tr2bl w:val="nil"/>
            </w:tcBorders>
            <w:vAlign w:val="center"/>
          </w:tcPr>
          <w:p>
            <w:pPr>
              <w:spacing w:line="312" w:lineRule="exact"/>
              <w:ind w:firstLine="0" w:firstLineChars="0"/>
              <w:jc w:val="center"/>
              <w:rPr>
                <w:b/>
                <w:bCs/>
                <w:color w:val="auto"/>
                <w:kern w:val="0"/>
                <w:sz w:val="21"/>
                <w:szCs w:val="21"/>
              </w:rPr>
            </w:pPr>
            <w:r>
              <w:rPr>
                <w:b/>
                <w:bCs/>
                <w:color w:val="auto"/>
                <w:sz w:val="21"/>
                <w:szCs w:val="21"/>
              </w:rPr>
              <w:t>云量</w:t>
            </w:r>
          </w:p>
        </w:tc>
        <w:tc>
          <w:tcPr>
            <w:tcW w:w="512" w:type="pct"/>
            <w:tcBorders>
              <w:tl2br w:val="nil"/>
              <w:tr2bl w:val="nil"/>
            </w:tcBorders>
            <w:vAlign w:val="center"/>
          </w:tcPr>
          <w:p>
            <w:pPr>
              <w:spacing w:line="312" w:lineRule="exact"/>
              <w:ind w:firstLine="0" w:firstLineChars="0"/>
              <w:jc w:val="center"/>
              <w:rPr>
                <w:b/>
                <w:bCs/>
                <w:color w:val="auto"/>
                <w:kern w:val="0"/>
                <w:sz w:val="21"/>
                <w:szCs w:val="21"/>
              </w:rPr>
            </w:pPr>
            <w:r>
              <w:rPr>
                <w:b/>
                <w:bCs/>
                <w:color w:val="auto"/>
                <w:sz w:val="21"/>
                <w:szCs w:val="21"/>
              </w:rPr>
              <w:t>天气情况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restar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2022.05.18</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26.5</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35</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100.5</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2.6</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vAlign w:val="center"/>
          </w:tcPr>
          <w:p>
            <w:pPr>
              <w:spacing w:line="312" w:lineRule="exact"/>
              <w:ind w:firstLine="0" w:firstLineChars="0"/>
              <w:jc w:val="center"/>
              <w:rPr>
                <w:color w:val="auto"/>
                <w:sz w:val="21"/>
                <w:szCs w:val="21"/>
              </w:rPr>
            </w:pP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8:00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27.1</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33</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100.8</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W</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2.4</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vAlign w:val="center"/>
          </w:tcPr>
          <w:p>
            <w:pPr>
              <w:spacing w:line="312" w:lineRule="exact"/>
              <w:ind w:firstLine="0" w:firstLineChars="0"/>
              <w:jc w:val="center"/>
              <w:rPr>
                <w:color w:val="auto"/>
                <w:sz w:val="21"/>
                <w:szCs w:val="21"/>
              </w:rPr>
            </w:pP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14:00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31.6</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29</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100.9</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2.7</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vAlign w:val="center"/>
          </w:tcPr>
          <w:p>
            <w:pPr>
              <w:spacing w:line="312" w:lineRule="exact"/>
              <w:ind w:firstLine="0" w:firstLineChars="0"/>
              <w:jc w:val="center"/>
              <w:rPr>
                <w:color w:val="auto"/>
                <w:sz w:val="21"/>
                <w:szCs w:val="21"/>
              </w:rPr>
            </w:pP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27.5</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54</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101.1</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SE</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3.2</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restar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2022.05.19</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22.8</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39</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101.1</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2.8</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vAlign w:val="center"/>
          </w:tcPr>
          <w:p>
            <w:pPr>
              <w:spacing w:line="312" w:lineRule="exact"/>
              <w:ind w:firstLine="0" w:firstLineChars="0"/>
              <w:jc w:val="center"/>
              <w:rPr>
                <w:color w:val="auto"/>
                <w:sz w:val="21"/>
                <w:szCs w:val="21"/>
              </w:rPr>
            </w:pP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8:00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27.7</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34</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101.1</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2.4</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vAlign w:val="center"/>
          </w:tcPr>
          <w:p>
            <w:pPr>
              <w:spacing w:line="312" w:lineRule="exact"/>
              <w:ind w:firstLine="0" w:firstLineChars="0"/>
              <w:jc w:val="center"/>
              <w:rPr>
                <w:color w:val="auto"/>
                <w:sz w:val="21"/>
                <w:szCs w:val="21"/>
              </w:rPr>
            </w:pP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14:00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31.6</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29</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100.8</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W</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1.7</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3/0</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vAlign w:val="center"/>
          </w:tcPr>
          <w:p>
            <w:pPr>
              <w:spacing w:line="312" w:lineRule="exact"/>
              <w:ind w:firstLine="0" w:firstLineChars="0"/>
              <w:jc w:val="center"/>
              <w:rPr>
                <w:color w:val="auto"/>
                <w:sz w:val="21"/>
                <w:szCs w:val="21"/>
              </w:rPr>
            </w:pP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25.9</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42</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100.8</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2.4</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681" w:type="pct"/>
            <w:vMerge w:val="restar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2022.05.20</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21.9</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56</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100.9</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2.5</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vAlign w:val="center"/>
          </w:tcPr>
          <w:p>
            <w:pPr>
              <w:spacing w:line="312" w:lineRule="exact"/>
              <w:ind w:firstLine="0" w:firstLineChars="0"/>
              <w:jc w:val="center"/>
              <w:rPr>
                <w:color w:val="auto"/>
                <w:sz w:val="21"/>
                <w:szCs w:val="21"/>
              </w:rPr>
            </w:pP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8:00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26.6</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42</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100.9</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2.8</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vAlign w:val="center"/>
          </w:tcPr>
          <w:p>
            <w:pPr>
              <w:spacing w:line="312" w:lineRule="exact"/>
              <w:ind w:firstLine="0" w:firstLineChars="0"/>
              <w:jc w:val="center"/>
              <w:rPr>
                <w:color w:val="auto"/>
                <w:sz w:val="21"/>
                <w:szCs w:val="21"/>
              </w:rPr>
            </w:pP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14:00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33.4</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34</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100.6</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2.7</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3/0</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vAlign w:val="center"/>
          </w:tcPr>
          <w:p>
            <w:pPr>
              <w:spacing w:line="312" w:lineRule="exact"/>
              <w:ind w:firstLine="0" w:firstLineChars="0"/>
              <w:jc w:val="center"/>
              <w:rPr>
                <w:color w:val="auto"/>
                <w:sz w:val="21"/>
                <w:szCs w:val="21"/>
              </w:rPr>
            </w:pP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27.8</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45</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100.6</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3.1</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restar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2022.05.21</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23.3</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54</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100.6</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3.3</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vAlign w:val="center"/>
          </w:tcPr>
          <w:p>
            <w:pPr>
              <w:spacing w:line="312" w:lineRule="exact"/>
              <w:ind w:firstLine="0" w:firstLineChars="0"/>
              <w:jc w:val="center"/>
              <w:rPr>
                <w:color w:val="auto"/>
                <w:sz w:val="21"/>
                <w:szCs w:val="21"/>
              </w:rPr>
            </w:pP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8:00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29.1</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42</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100.6</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2.5</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681" w:type="pct"/>
            <w:vMerge w:val="continue"/>
            <w:tcBorders>
              <w:tl2br w:val="nil"/>
              <w:tr2bl w:val="nil"/>
            </w:tcBorders>
            <w:vAlign w:val="center"/>
          </w:tcPr>
          <w:p>
            <w:pPr>
              <w:spacing w:line="312" w:lineRule="exact"/>
              <w:ind w:firstLine="0" w:firstLineChars="0"/>
              <w:jc w:val="center"/>
              <w:rPr>
                <w:color w:val="auto"/>
                <w:sz w:val="21"/>
                <w:szCs w:val="21"/>
              </w:rPr>
            </w:pP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14:00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36.8</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31</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100.3</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2.7</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vAlign w:val="center"/>
          </w:tcPr>
          <w:p>
            <w:pPr>
              <w:spacing w:line="312" w:lineRule="exact"/>
              <w:ind w:firstLine="0" w:firstLineChars="0"/>
              <w:jc w:val="center"/>
              <w:rPr>
                <w:color w:val="auto"/>
                <w:sz w:val="21"/>
                <w:szCs w:val="21"/>
              </w:rPr>
            </w:pP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30.9</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38</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100.4</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2.5</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restar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2022.05.22</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25.0</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59</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100.3</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2.4</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vAlign w:val="center"/>
          </w:tcPr>
          <w:p>
            <w:pPr>
              <w:spacing w:line="312" w:lineRule="exact"/>
              <w:ind w:firstLine="0" w:firstLineChars="0"/>
              <w:jc w:val="center"/>
              <w:rPr>
                <w:color w:val="auto"/>
                <w:sz w:val="21"/>
                <w:szCs w:val="21"/>
              </w:rPr>
            </w:pP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8:00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30.9</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46</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100.4</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3.1</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3/0</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vAlign w:val="center"/>
          </w:tcPr>
          <w:p>
            <w:pPr>
              <w:spacing w:line="312" w:lineRule="exact"/>
              <w:ind w:firstLine="0" w:firstLineChars="0"/>
              <w:jc w:val="center"/>
              <w:rPr>
                <w:color w:val="auto"/>
                <w:sz w:val="21"/>
                <w:szCs w:val="21"/>
              </w:rPr>
            </w:pP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14:00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38.7</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23</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100.2</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2.7</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3/0</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vAlign w:val="center"/>
          </w:tcPr>
          <w:p>
            <w:pPr>
              <w:spacing w:line="312" w:lineRule="exact"/>
              <w:ind w:firstLine="0" w:firstLineChars="0"/>
              <w:jc w:val="center"/>
              <w:rPr>
                <w:color w:val="auto"/>
                <w:sz w:val="21"/>
                <w:szCs w:val="21"/>
              </w:rPr>
            </w:pP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30.1</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45</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100.3</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2.4</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681" w:type="pct"/>
            <w:vMerge w:val="restar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2022.05.23</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25.0</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57</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100.4</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2.8</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vAlign w:val="center"/>
          </w:tcPr>
          <w:p>
            <w:pPr>
              <w:spacing w:line="312" w:lineRule="exact"/>
              <w:ind w:firstLine="0" w:firstLineChars="0"/>
              <w:jc w:val="center"/>
              <w:rPr>
                <w:color w:val="auto"/>
                <w:sz w:val="21"/>
                <w:szCs w:val="21"/>
              </w:rPr>
            </w:pP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8:00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30.9</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45</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100.6</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3.2</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vAlign w:val="center"/>
          </w:tcPr>
          <w:p>
            <w:pPr>
              <w:spacing w:line="312" w:lineRule="exact"/>
              <w:ind w:firstLine="0" w:firstLineChars="0"/>
              <w:jc w:val="center"/>
              <w:rPr>
                <w:color w:val="auto"/>
                <w:sz w:val="21"/>
                <w:szCs w:val="21"/>
              </w:rPr>
            </w:pP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14:00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36.9</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24</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100.3</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2.6</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3/0</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vAlign w:val="center"/>
          </w:tcPr>
          <w:p>
            <w:pPr>
              <w:spacing w:line="312" w:lineRule="exact"/>
              <w:ind w:firstLine="0" w:firstLineChars="0"/>
              <w:jc w:val="center"/>
              <w:rPr>
                <w:color w:val="auto"/>
                <w:sz w:val="21"/>
                <w:szCs w:val="21"/>
              </w:rPr>
            </w:pP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31.7</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41</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100.5</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2.4</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restar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2022.05.24</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27.9</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54</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100.6</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2.1</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vAlign w:val="center"/>
          </w:tcPr>
          <w:p>
            <w:pPr>
              <w:spacing w:line="312" w:lineRule="exact"/>
              <w:ind w:firstLine="0" w:firstLineChars="0"/>
              <w:jc w:val="center"/>
              <w:rPr>
                <w:color w:val="auto"/>
                <w:sz w:val="21"/>
                <w:szCs w:val="21"/>
              </w:rPr>
            </w:pP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8:00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31.2</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45</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100.7</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2.4</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3/1</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vAlign w:val="center"/>
          </w:tcPr>
          <w:p>
            <w:pPr>
              <w:spacing w:line="312" w:lineRule="exact"/>
              <w:ind w:firstLine="0" w:firstLineChars="0"/>
              <w:jc w:val="center"/>
              <w:rPr>
                <w:color w:val="auto"/>
                <w:sz w:val="21"/>
                <w:szCs w:val="21"/>
              </w:rPr>
            </w:pP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14:00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36.2</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37</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100.5</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2.8</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3/1</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vAlign w:val="center"/>
          </w:tcPr>
          <w:p>
            <w:pPr>
              <w:spacing w:line="312" w:lineRule="exact"/>
              <w:ind w:firstLine="0" w:firstLineChars="0"/>
              <w:jc w:val="center"/>
              <w:rPr>
                <w:color w:val="auto"/>
                <w:sz w:val="21"/>
                <w:szCs w:val="21"/>
              </w:rPr>
            </w:pP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20:00</w:t>
            </w:r>
          </w:p>
        </w:tc>
        <w:tc>
          <w:tcPr>
            <w:tcW w:w="54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31.9</w:t>
            </w:r>
          </w:p>
        </w:tc>
        <w:tc>
          <w:tcPr>
            <w:tcW w:w="56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54</w:t>
            </w:r>
          </w:p>
        </w:tc>
        <w:tc>
          <w:tcPr>
            <w:tcW w:w="559"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100.5</w:t>
            </w:r>
          </w:p>
        </w:tc>
        <w:tc>
          <w:tcPr>
            <w:tcW w:w="51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S</w:t>
            </w:r>
          </w:p>
        </w:tc>
        <w:tc>
          <w:tcPr>
            <w:tcW w:w="551"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3.0</w:t>
            </w:r>
          </w:p>
        </w:tc>
        <w:tc>
          <w:tcPr>
            <w:tcW w:w="516"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w:t>
            </w:r>
          </w:p>
        </w:tc>
        <w:tc>
          <w:tcPr>
            <w:tcW w:w="512"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晴</w:t>
            </w:r>
          </w:p>
        </w:tc>
      </w:tr>
    </w:tbl>
    <w:p>
      <w:pPr>
        <w:tabs>
          <w:tab w:val="left" w:pos="8280"/>
        </w:tabs>
        <w:adjustRightInd w:val="0"/>
        <w:snapToGrid w:val="0"/>
        <w:ind w:firstLine="422"/>
        <w:jc w:val="center"/>
        <w:rPr>
          <w:rFonts w:eastAsia="黑体"/>
          <w:b w:val="0"/>
          <w:bCs w:val="0"/>
          <w:color w:val="auto"/>
          <w:sz w:val="21"/>
          <w:szCs w:val="21"/>
        </w:rPr>
      </w:pPr>
      <w:r>
        <w:rPr>
          <w:rFonts w:eastAsia="黑体"/>
          <w:b w:val="0"/>
          <w:bCs w:val="0"/>
          <w:color w:val="auto"/>
          <w:sz w:val="21"/>
          <w:szCs w:val="21"/>
        </w:rPr>
        <w:t>表</w:t>
      </w:r>
      <w:r>
        <w:rPr>
          <w:rFonts w:hint="eastAsia" w:eastAsia="黑体"/>
          <w:b w:val="0"/>
          <w:bCs w:val="0"/>
          <w:color w:val="auto"/>
          <w:sz w:val="21"/>
          <w:szCs w:val="21"/>
        </w:rPr>
        <w:t>4</w:t>
      </w:r>
      <w:r>
        <w:rPr>
          <w:rFonts w:eastAsia="黑体"/>
          <w:b w:val="0"/>
          <w:bCs w:val="0"/>
          <w:color w:val="auto"/>
          <w:sz w:val="21"/>
          <w:szCs w:val="21"/>
        </w:rPr>
        <w:t>.1-</w:t>
      </w:r>
      <w:r>
        <w:rPr>
          <w:rFonts w:hint="eastAsia" w:eastAsia="黑体"/>
          <w:b w:val="0"/>
          <w:bCs w:val="0"/>
          <w:color w:val="auto"/>
          <w:sz w:val="21"/>
          <w:szCs w:val="21"/>
        </w:rPr>
        <w:t>5</w:t>
      </w:r>
      <w:r>
        <w:rPr>
          <w:rFonts w:eastAsia="黑体"/>
          <w:b w:val="0"/>
          <w:bCs w:val="0"/>
          <w:color w:val="auto"/>
          <w:sz w:val="21"/>
          <w:szCs w:val="21"/>
        </w:rPr>
        <w:t xml:space="preserve"> 现状监测结果一览表</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88" w:type="dxa"/>
          <w:bottom w:w="0" w:type="dxa"/>
          <w:right w:w="108" w:type="dxa"/>
        </w:tblCellMar>
      </w:tblPr>
      <w:tblGrid>
        <w:gridCol w:w="1882"/>
        <w:gridCol w:w="1224"/>
        <w:gridCol w:w="1232"/>
        <w:gridCol w:w="1224"/>
        <w:gridCol w:w="1232"/>
        <w:gridCol w:w="1161"/>
        <w:gridCol w:w="13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spacing w:line="240" w:lineRule="auto"/>
              <w:ind w:firstLine="0" w:firstLineChars="0"/>
              <w:jc w:val="center"/>
              <w:rPr>
                <w:b/>
                <w:bCs/>
                <w:color w:val="auto"/>
                <w:sz w:val="21"/>
                <w:szCs w:val="21"/>
              </w:rPr>
            </w:pPr>
            <w:r>
              <w:rPr>
                <w:b/>
                <w:bCs/>
                <w:color w:val="auto"/>
                <w:sz w:val="21"/>
                <w:szCs w:val="21"/>
              </w:rPr>
              <w:t>采样日期</w:t>
            </w:r>
          </w:p>
        </w:tc>
        <w:tc>
          <w:tcPr>
            <w:tcW w:w="1326" w:type="pct"/>
            <w:gridSpan w:val="2"/>
            <w:tcBorders>
              <w:tl2br w:val="nil"/>
              <w:tr2bl w:val="nil"/>
            </w:tcBorders>
            <w:noWrap/>
            <w:vAlign w:val="center"/>
          </w:tcPr>
          <w:p>
            <w:pPr>
              <w:spacing w:line="240" w:lineRule="auto"/>
              <w:ind w:firstLine="0" w:firstLineChars="0"/>
              <w:jc w:val="center"/>
              <w:rPr>
                <w:rFonts w:eastAsia="等线"/>
                <w:b/>
                <w:bCs/>
                <w:color w:val="auto"/>
                <w:sz w:val="21"/>
                <w:szCs w:val="21"/>
              </w:rPr>
            </w:pPr>
            <w:r>
              <w:rPr>
                <w:rFonts w:hint="eastAsia" w:eastAsia="等线"/>
                <w:b/>
                <w:bCs/>
                <w:color w:val="auto"/>
                <w:sz w:val="21"/>
                <w:szCs w:val="21"/>
              </w:rPr>
              <w:t>2022.05.18-2022.05.24</w:t>
            </w:r>
          </w:p>
        </w:tc>
        <w:tc>
          <w:tcPr>
            <w:tcW w:w="1326" w:type="pct"/>
            <w:gridSpan w:val="2"/>
            <w:tcBorders>
              <w:tl2br w:val="nil"/>
              <w:tr2bl w:val="nil"/>
            </w:tcBorders>
            <w:vAlign w:val="center"/>
          </w:tcPr>
          <w:p>
            <w:pPr>
              <w:spacing w:line="240" w:lineRule="auto"/>
              <w:ind w:firstLine="0" w:firstLineChars="0"/>
              <w:jc w:val="center"/>
              <w:rPr>
                <w:b/>
                <w:bCs/>
                <w:color w:val="auto"/>
                <w:sz w:val="21"/>
                <w:szCs w:val="21"/>
              </w:rPr>
            </w:pPr>
            <w:r>
              <w:rPr>
                <w:b/>
                <w:bCs/>
                <w:color w:val="auto"/>
                <w:sz w:val="21"/>
                <w:szCs w:val="21"/>
              </w:rPr>
              <w:t>测试日期</w:t>
            </w:r>
          </w:p>
        </w:tc>
        <w:tc>
          <w:tcPr>
            <w:tcW w:w="1331" w:type="pct"/>
            <w:gridSpan w:val="2"/>
            <w:tcBorders>
              <w:tl2br w:val="nil"/>
              <w:tr2bl w:val="nil"/>
            </w:tcBorders>
            <w:vAlign w:val="center"/>
          </w:tcPr>
          <w:p>
            <w:pPr>
              <w:spacing w:line="240" w:lineRule="auto"/>
              <w:ind w:firstLine="0" w:firstLineChars="0"/>
              <w:jc w:val="center"/>
              <w:rPr>
                <w:rFonts w:eastAsia="等线"/>
                <w:b/>
                <w:bCs/>
                <w:color w:val="auto"/>
                <w:sz w:val="21"/>
                <w:szCs w:val="21"/>
              </w:rPr>
            </w:pPr>
            <w:r>
              <w:rPr>
                <w:rFonts w:hint="eastAsia" w:eastAsia="等线"/>
                <w:b/>
                <w:bCs/>
                <w:color w:val="auto"/>
                <w:sz w:val="21"/>
                <w:szCs w:val="21"/>
              </w:rPr>
              <w:t>2022.05.18-2022.05.26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spacing w:line="240" w:lineRule="auto"/>
              <w:ind w:firstLine="0" w:firstLineChars="0"/>
              <w:jc w:val="center"/>
              <w:rPr>
                <w:color w:val="auto"/>
                <w:sz w:val="21"/>
                <w:szCs w:val="21"/>
              </w:rPr>
            </w:pPr>
            <w:r>
              <w:rPr>
                <w:color w:val="auto"/>
                <w:sz w:val="21"/>
                <w:szCs w:val="21"/>
              </w:rPr>
              <w:t>采样点位</w:t>
            </w:r>
          </w:p>
        </w:tc>
        <w:tc>
          <w:tcPr>
            <w:tcW w:w="3983" w:type="pct"/>
            <w:gridSpan w:val="6"/>
            <w:tcBorders>
              <w:tl2br w:val="nil"/>
              <w:tr2bl w:val="nil"/>
            </w:tcBorders>
            <w:vAlign w:val="center"/>
          </w:tcPr>
          <w:p>
            <w:pPr>
              <w:spacing w:line="240" w:lineRule="auto"/>
              <w:ind w:firstLine="0" w:firstLineChars="0"/>
              <w:jc w:val="center"/>
              <w:rPr>
                <w:rFonts w:eastAsia="等线"/>
                <w:color w:val="auto"/>
                <w:sz w:val="21"/>
                <w:szCs w:val="21"/>
              </w:rPr>
            </w:pPr>
            <w:r>
              <w:rPr>
                <w:rFonts w:eastAsia="等线"/>
                <w:color w:val="auto"/>
                <w:sz w:val="21"/>
                <w:szCs w:val="21"/>
              </w:rPr>
              <w:t>1#</w:t>
            </w:r>
            <w:r>
              <w:rPr>
                <w:color w:val="auto"/>
                <w:sz w:val="21"/>
                <w:szCs w:val="21"/>
              </w:rPr>
              <w:t>项目厂址（厂区南门处）（</w:t>
            </w:r>
            <w:r>
              <w:rPr>
                <w:rFonts w:eastAsia="等线"/>
                <w:color w:val="auto"/>
                <w:sz w:val="21"/>
                <w:szCs w:val="21"/>
              </w:rPr>
              <w:t>N3</w:t>
            </w:r>
            <w:r>
              <w:rPr>
                <w:rFonts w:hint="eastAsia" w:eastAsia="等线"/>
                <w:color w:val="auto"/>
                <w:sz w:val="21"/>
                <w:szCs w:val="21"/>
              </w:rPr>
              <w:t>6</w:t>
            </w:r>
            <w:r>
              <w:rPr>
                <w:rFonts w:eastAsia="等线"/>
                <w:color w:val="auto"/>
                <w:sz w:val="21"/>
                <w:szCs w:val="21"/>
              </w:rPr>
              <w:t>°</w:t>
            </w:r>
            <w:r>
              <w:rPr>
                <w:rFonts w:hint="eastAsia" w:eastAsia="等线"/>
                <w:color w:val="auto"/>
                <w:sz w:val="21"/>
                <w:szCs w:val="21"/>
              </w:rPr>
              <w:t>51.6374</w:t>
            </w:r>
            <w:r>
              <w:rPr>
                <w:rFonts w:eastAsia="等线"/>
                <w:color w:val="auto"/>
                <w:sz w:val="21"/>
                <w:szCs w:val="21"/>
              </w:rPr>
              <w:t>'  E118°</w:t>
            </w:r>
            <w:r>
              <w:rPr>
                <w:rFonts w:hint="eastAsia" w:eastAsia="等线"/>
                <w:color w:val="auto"/>
                <w:sz w:val="21"/>
                <w:szCs w:val="21"/>
              </w:rPr>
              <w:t>0.1411</w:t>
            </w:r>
            <w:r>
              <w:rPr>
                <w:rFonts w:eastAsia="等线"/>
                <w:color w:val="auto"/>
                <w:sz w:val="21"/>
                <w:szCs w:val="21"/>
              </w:rPr>
              <w:t>'</w:t>
            </w: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spacing w:line="240" w:lineRule="auto"/>
              <w:ind w:firstLine="0" w:firstLineChars="0"/>
              <w:jc w:val="center"/>
              <w:rPr>
                <w:color w:val="auto"/>
                <w:kern w:val="0"/>
                <w:sz w:val="21"/>
                <w:szCs w:val="21"/>
              </w:rPr>
            </w:pPr>
            <w:r>
              <w:rPr>
                <w:color w:val="auto"/>
                <w:kern w:val="0"/>
                <w:sz w:val="21"/>
                <w:szCs w:val="21"/>
              </w:rPr>
              <w:t>监测时间</w:t>
            </w:r>
          </w:p>
        </w:tc>
        <w:tc>
          <w:tcPr>
            <w:tcW w:w="661" w:type="pct"/>
            <w:vMerge w:val="restart"/>
            <w:tcBorders>
              <w:tl2br w:val="nil"/>
              <w:tr2bl w:val="nil"/>
            </w:tcBorders>
            <w:noWrap/>
            <w:vAlign w:val="center"/>
          </w:tcPr>
          <w:p>
            <w:pPr>
              <w:spacing w:line="240" w:lineRule="auto"/>
              <w:ind w:firstLine="0" w:firstLineChars="0"/>
              <w:jc w:val="center"/>
              <w:rPr>
                <w:color w:val="auto"/>
                <w:sz w:val="21"/>
                <w:szCs w:val="21"/>
              </w:rPr>
            </w:pPr>
            <w:r>
              <w:rPr>
                <w:color w:val="auto"/>
                <w:sz w:val="21"/>
                <w:szCs w:val="21"/>
              </w:rPr>
              <w:t>氨</w:t>
            </w:r>
          </w:p>
          <w:p>
            <w:pPr>
              <w:spacing w:line="240" w:lineRule="auto"/>
              <w:ind w:firstLine="0" w:firstLineChars="0"/>
              <w:jc w:val="center"/>
              <w:rPr>
                <w:color w:val="auto"/>
                <w:sz w:val="21"/>
                <w:szCs w:val="21"/>
              </w:rPr>
            </w:pPr>
            <w:r>
              <w:rPr>
                <w:color w:val="auto"/>
                <w:sz w:val="21"/>
                <w:szCs w:val="21"/>
              </w:rPr>
              <w:t>小时值</w:t>
            </w:r>
          </w:p>
          <w:p>
            <w:pPr>
              <w:spacing w:line="240" w:lineRule="auto"/>
              <w:ind w:firstLine="0" w:firstLineChars="0"/>
              <w:jc w:val="center"/>
              <w:rPr>
                <w:color w:val="auto"/>
                <w:sz w:val="21"/>
                <w:szCs w:val="21"/>
              </w:rPr>
            </w:pPr>
            <w:r>
              <w:rPr>
                <w:color w:val="auto"/>
                <w:sz w:val="21"/>
                <w:szCs w:val="21"/>
              </w:rPr>
              <w:t>mg/m</w:t>
            </w:r>
            <w:r>
              <w:rPr>
                <w:color w:val="auto"/>
                <w:sz w:val="21"/>
                <w:szCs w:val="21"/>
                <w:vertAlign w:val="superscript"/>
              </w:rPr>
              <w:t>3</w:t>
            </w:r>
          </w:p>
        </w:tc>
        <w:tc>
          <w:tcPr>
            <w:tcW w:w="66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硫化氢</w:t>
            </w:r>
          </w:p>
          <w:p>
            <w:pPr>
              <w:spacing w:line="240" w:lineRule="auto"/>
              <w:ind w:firstLine="0" w:firstLineChars="0"/>
              <w:jc w:val="center"/>
              <w:rPr>
                <w:color w:val="auto"/>
                <w:sz w:val="21"/>
                <w:szCs w:val="21"/>
              </w:rPr>
            </w:pPr>
            <w:r>
              <w:rPr>
                <w:color w:val="auto"/>
                <w:sz w:val="21"/>
                <w:szCs w:val="21"/>
              </w:rPr>
              <w:t>小时值</w:t>
            </w:r>
          </w:p>
          <w:p>
            <w:pPr>
              <w:spacing w:line="240" w:lineRule="auto"/>
              <w:ind w:firstLine="0" w:firstLineChars="0"/>
              <w:jc w:val="center"/>
              <w:rPr>
                <w:color w:val="auto"/>
                <w:sz w:val="21"/>
                <w:szCs w:val="21"/>
              </w:rPr>
            </w:pPr>
            <w:r>
              <w:rPr>
                <w:color w:val="auto"/>
                <w:sz w:val="21"/>
                <w:szCs w:val="21"/>
              </w:rPr>
              <w:t>mg/m</w:t>
            </w:r>
            <w:r>
              <w:rPr>
                <w:color w:val="auto"/>
                <w:sz w:val="21"/>
                <w:szCs w:val="21"/>
                <w:vertAlign w:val="superscript"/>
              </w:rPr>
              <w:t>3</w:t>
            </w:r>
          </w:p>
        </w:tc>
        <w:tc>
          <w:tcPr>
            <w:tcW w:w="661"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NMHC</w:t>
            </w:r>
          </w:p>
          <w:p>
            <w:pPr>
              <w:spacing w:line="240" w:lineRule="auto"/>
              <w:ind w:firstLine="0" w:firstLineChars="0"/>
              <w:jc w:val="center"/>
              <w:rPr>
                <w:color w:val="auto"/>
                <w:sz w:val="21"/>
                <w:szCs w:val="21"/>
              </w:rPr>
            </w:pPr>
            <w:r>
              <w:rPr>
                <w:color w:val="auto"/>
                <w:sz w:val="21"/>
                <w:szCs w:val="21"/>
              </w:rPr>
              <w:t>小时值</w:t>
            </w:r>
          </w:p>
          <w:p>
            <w:pPr>
              <w:spacing w:line="240" w:lineRule="auto"/>
              <w:ind w:firstLine="0" w:firstLineChars="0"/>
              <w:jc w:val="center"/>
              <w:rPr>
                <w:color w:val="auto"/>
                <w:sz w:val="21"/>
                <w:szCs w:val="21"/>
              </w:rPr>
            </w:pPr>
            <w:r>
              <w:rPr>
                <w:color w:val="auto"/>
                <w:sz w:val="21"/>
                <w:szCs w:val="21"/>
              </w:rPr>
              <w:t>mg/m</w:t>
            </w:r>
            <w:r>
              <w:rPr>
                <w:color w:val="auto"/>
                <w:sz w:val="21"/>
                <w:szCs w:val="21"/>
                <w:vertAlign w:val="superscript"/>
              </w:rPr>
              <w:t>3</w:t>
            </w:r>
          </w:p>
        </w:tc>
        <w:tc>
          <w:tcPr>
            <w:tcW w:w="664"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臭气浓度</w:t>
            </w:r>
          </w:p>
          <w:p>
            <w:pPr>
              <w:spacing w:line="240" w:lineRule="auto"/>
              <w:ind w:firstLine="0" w:firstLineChars="0"/>
              <w:jc w:val="center"/>
              <w:rPr>
                <w:color w:val="auto"/>
                <w:sz w:val="21"/>
                <w:szCs w:val="21"/>
              </w:rPr>
            </w:pPr>
            <w:r>
              <w:rPr>
                <w:color w:val="auto"/>
                <w:sz w:val="21"/>
                <w:szCs w:val="21"/>
              </w:rPr>
              <w:t>小时值</w:t>
            </w:r>
          </w:p>
          <w:p>
            <w:pPr>
              <w:spacing w:line="240" w:lineRule="auto"/>
              <w:ind w:firstLine="0" w:firstLineChars="0"/>
              <w:jc w:val="center"/>
              <w:rPr>
                <w:color w:val="auto"/>
                <w:sz w:val="21"/>
                <w:szCs w:val="21"/>
              </w:rPr>
            </w:pPr>
            <w:r>
              <w:rPr>
                <w:color w:val="auto"/>
                <w:sz w:val="21"/>
                <w:szCs w:val="21"/>
              </w:rPr>
              <w:t>μg/m</w:t>
            </w:r>
            <w:r>
              <w:rPr>
                <w:color w:val="auto"/>
                <w:sz w:val="21"/>
                <w:szCs w:val="21"/>
                <w:vertAlign w:val="superscript"/>
              </w:rPr>
              <w:t>3</w:t>
            </w:r>
          </w:p>
        </w:tc>
        <w:tc>
          <w:tcPr>
            <w:tcW w:w="627" w:type="pct"/>
            <w:vMerge w:val="restart"/>
            <w:tcBorders>
              <w:tl2br w:val="nil"/>
              <w:tr2bl w:val="nil"/>
            </w:tcBorders>
            <w:vAlign w:val="center"/>
          </w:tcPr>
          <w:p>
            <w:pPr>
              <w:spacing w:line="240" w:lineRule="auto"/>
              <w:ind w:firstLine="0" w:firstLineChars="0"/>
              <w:jc w:val="center"/>
              <w:rPr>
                <w:color w:val="auto"/>
                <w:sz w:val="21"/>
                <w:szCs w:val="21"/>
                <w:vertAlign w:val="subscript"/>
              </w:rPr>
            </w:pPr>
            <w:r>
              <w:rPr>
                <w:rFonts w:hint="eastAsia"/>
                <w:color w:val="auto"/>
                <w:sz w:val="21"/>
                <w:szCs w:val="21"/>
              </w:rPr>
              <w:t>NO</w:t>
            </w:r>
            <w:r>
              <w:rPr>
                <w:rFonts w:hint="eastAsia"/>
                <w:color w:val="auto"/>
                <w:sz w:val="21"/>
                <w:szCs w:val="21"/>
                <w:vertAlign w:val="subscript"/>
              </w:rPr>
              <w:t>X</w:t>
            </w:r>
          </w:p>
          <w:p>
            <w:pPr>
              <w:spacing w:line="240" w:lineRule="auto"/>
              <w:ind w:firstLine="0" w:firstLineChars="0"/>
              <w:jc w:val="center"/>
              <w:rPr>
                <w:color w:val="auto"/>
                <w:sz w:val="21"/>
                <w:szCs w:val="21"/>
              </w:rPr>
            </w:pPr>
            <w:r>
              <w:rPr>
                <w:rFonts w:hint="eastAsia"/>
                <w:color w:val="auto"/>
                <w:sz w:val="21"/>
                <w:szCs w:val="21"/>
              </w:rPr>
              <w:t>日均值</w:t>
            </w:r>
            <w:r>
              <w:rPr>
                <w:color w:val="auto"/>
                <w:sz w:val="21"/>
                <w:szCs w:val="21"/>
              </w:rPr>
              <w:t>μg/m</w:t>
            </w:r>
            <w:r>
              <w:rPr>
                <w:color w:val="auto"/>
                <w:sz w:val="21"/>
                <w:szCs w:val="21"/>
                <w:vertAlign w:val="superscript"/>
              </w:rPr>
              <w:t>3</w:t>
            </w:r>
          </w:p>
        </w:tc>
        <w:tc>
          <w:tcPr>
            <w:tcW w:w="70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TSP</w:t>
            </w:r>
          </w:p>
          <w:p>
            <w:pPr>
              <w:spacing w:line="240" w:lineRule="auto"/>
              <w:ind w:firstLine="0" w:firstLineChars="0"/>
              <w:jc w:val="center"/>
              <w:rPr>
                <w:color w:val="auto"/>
                <w:sz w:val="21"/>
                <w:szCs w:val="21"/>
              </w:rPr>
            </w:pPr>
            <w:r>
              <w:rPr>
                <w:color w:val="auto"/>
                <w:sz w:val="21"/>
                <w:szCs w:val="21"/>
              </w:rPr>
              <w:t>日均值</w:t>
            </w:r>
          </w:p>
          <w:p>
            <w:pPr>
              <w:spacing w:line="240" w:lineRule="auto"/>
              <w:ind w:firstLine="0" w:firstLineChars="0"/>
              <w:jc w:val="center"/>
              <w:rPr>
                <w:color w:val="auto"/>
                <w:sz w:val="21"/>
                <w:szCs w:val="21"/>
              </w:rPr>
            </w:pPr>
            <w:r>
              <w:rPr>
                <w:color w:val="auto"/>
                <w:sz w:val="21"/>
                <w:szCs w:val="21"/>
              </w:rPr>
              <w:t>μg /m</w:t>
            </w:r>
            <w:r>
              <w:rPr>
                <w:color w:val="auto"/>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spacing w:line="240" w:lineRule="auto"/>
              <w:ind w:firstLine="0" w:firstLineChars="0"/>
              <w:jc w:val="center"/>
              <w:rPr>
                <w:color w:val="auto"/>
                <w:kern w:val="0"/>
                <w:sz w:val="21"/>
                <w:szCs w:val="21"/>
              </w:rPr>
            </w:pPr>
            <w:r>
              <w:rPr>
                <w:color w:val="auto"/>
                <w:kern w:val="0"/>
                <w:sz w:val="21"/>
                <w:szCs w:val="21"/>
                <w:lang w:bidi="ar"/>
              </w:rPr>
              <w:t>2022.05.18</w:t>
            </w:r>
          </w:p>
        </w:tc>
        <w:tc>
          <w:tcPr>
            <w:tcW w:w="661" w:type="pct"/>
            <w:vMerge w:val="continue"/>
            <w:tcBorders>
              <w:tl2br w:val="nil"/>
              <w:tr2bl w:val="nil"/>
            </w:tcBorders>
            <w:noWrap/>
            <w:vAlign w:val="center"/>
          </w:tcPr>
          <w:p>
            <w:pPr>
              <w:spacing w:line="240" w:lineRule="auto"/>
              <w:ind w:firstLine="0" w:firstLineChars="0"/>
              <w:jc w:val="center"/>
              <w:rPr>
                <w:color w:val="auto"/>
                <w:sz w:val="21"/>
                <w:szCs w:val="21"/>
              </w:rPr>
            </w:pPr>
          </w:p>
        </w:tc>
        <w:tc>
          <w:tcPr>
            <w:tcW w:w="664" w:type="pct"/>
            <w:vMerge w:val="continue"/>
            <w:tcBorders>
              <w:tl2br w:val="nil"/>
              <w:tr2bl w:val="nil"/>
            </w:tcBorders>
            <w:vAlign w:val="center"/>
          </w:tcPr>
          <w:p>
            <w:pPr>
              <w:spacing w:line="240" w:lineRule="auto"/>
              <w:ind w:firstLine="0" w:firstLineChars="0"/>
              <w:jc w:val="center"/>
              <w:rPr>
                <w:color w:val="auto"/>
                <w:sz w:val="21"/>
                <w:szCs w:val="21"/>
              </w:rPr>
            </w:pPr>
          </w:p>
        </w:tc>
        <w:tc>
          <w:tcPr>
            <w:tcW w:w="661" w:type="pct"/>
            <w:vMerge w:val="continue"/>
            <w:tcBorders>
              <w:tl2br w:val="nil"/>
              <w:tr2bl w:val="nil"/>
            </w:tcBorders>
            <w:vAlign w:val="center"/>
          </w:tcPr>
          <w:p>
            <w:pPr>
              <w:spacing w:line="240" w:lineRule="auto"/>
              <w:ind w:firstLine="0" w:firstLineChars="0"/>
              <w:jc w:val="center"/>
              <w:rPr>
                <w:color w:val="auto"/>
                <w:sz w:val="21"/>
                <w:szCs w:val="21"/>
              </w:rPr>
            </w:pPr>
          </w:p>
        </w:tc>
        <w:tc>
          <w:tcPr>
            <w:tcW w:w="664" w:type="pct"/>
            <w:vMerge w:val="continue"/>
            <w:tcBorders>
              <w:tl2br w:val="nil"/>
              <w:tr2bl w:val="nil"/>
            </w:tcBorders>
            <w:vAlign w:val="center"/>
          </w:tcPr>
          <w:p>
            <w:pPr>
              <w:spacing w:line="240" w:lineRule="auto"/>
              <w:ind w:firstLine="0" w:firstLineChars="0"/>
              <w:jc w:val="center"/>
              <w:rPr>
                <w:color w:val="auto"/>
                <w:sz w:val="21"/>
                <w:szCs w:val="21"/>
              </w:rPr>
            </w:pPr>
          </w:p>
        </w:tc>
        <w:tc>
          <w:tcPr>
            <w:tcW w:w="627" w:type="pct"/>
            <w:vMerge w:val="continue"/>
            <w:tcBorders>
              <w:tl2br w:val="nil"/>
              <w:tr2bl w:val="nil"/>
            </w:tcBorders>
            <w:vAlign w:val="center"/>
          </w:tcPr>
          <w:p>
            <w:pPr>
              <w:spacing w:line="240" w:lineRule="auto"/>
              <w:ind w:firstLine="0" w:firstLineChars="0"/>
              <w:jc w:val="center"/>
              <w:rPr>
                <w:color w:val="auto"/>
                <w:sz w:val="21"/>
                <w:szCs w:val="21"/>
              </w:rPr>
            </w:pPr>
          </w:p>
        </w:tc>
        <w:tc>
          <w:tcPr>
            <w:tcW w:w="70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02:00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0.07</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0.009</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1.70</w:t>
            </w:r>
          </w:p>
        </w:tc>
        <w:tc>
          <w:tcPr>
            <w:tcW w:w="664" w:type="pct"/>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27" w:type="pct"/>
            <w:vMerge w:val="restar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0.005</w:t>
            </w:r>
          </w:p>
        </w:tc>
        <w:tc>
          <w:tcPr>
            <w:tcW w:w="704"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0.278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08:00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0.06</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0.007</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1.80</w:t>
            </w:r>
          </w:p>
        </w:tc>
        <w:tc>
          <w:tcPr>
            <w:tcW w:w="664" w:type="pct"/>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27"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70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14:00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0.03</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0.002</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1.88</w:t>
            </w:r>
          </w:p>
        </w:tc>
        <w:tc>
          <w:tcPr>
            <w:tcW w:w="664" w:type="pct"/>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27"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70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20:00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0.03</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0.003</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1.80</w:t>
            </w:r>
          </w:p>
        </w:tc>
        <w:tc>
          <w:tcPr>
            <w:tcW w:w="664" w:type="pct"/>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27"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70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spacing w:line="240" w:lineRule="auto"/>
              <w:ind w:firstLine="0" w:firstLineChars="0"/>
              <w:jc w:val="center"/>
              <w:rPr>
                <w:color w:val="auto"/>
                <w:kern w:val="0"/>
                <w:sz w:val="21"/>
                <w:szCs w:val="21"/>
              </w:rPr>
            </w:pPr>
            <w:r>
              <w:rPr>
                <w:color w:val="auto"/>
                <w:kern w:val="0"/>
                <w:sz w:val="21"/>
                <w:szCs w:val="21"/>
                <w:lang w:bidi="ar"/>
              </w:rPr>
              <w:t>2022.05.1</w:t>
            </w:r>
            <w:r>
              <w:rPr>
                <w:rFonts w:hint="eastAsia"/>
                <w:color w:val="auto"/>
                <w:kern w:val="0"/>
                <w:sz w:val="21"/>
                <w:szCs w:val="21"/>
                <w:lang w:bidi="ar"/>
              </w:rPr>
              <w:t>9</w:t>
            </w:r>
          </w:p>
        </w:tc>
        <w:tc>
          <w:tcPr>
            <w:tcW w:w="3983" w:type="pct"/>
            <w:gridSpan w:val="6"/>
            <w:tcBorders>
              <w:tl2br w:val="nil"/>
              <w:tr2bl w:val="nil"/>
            </w:tcBorders>
            <w:noWrap/>
            <w:vAlign w:val="center"/>
          </w:tcPr>
          <w:p>
            <w:pPr>
              <w:spacing w:line="240" w:lineRule="auto"/>
              <w:ind w:firstLine="0" w:firstLineChars="0"/>
              <w:jc w:val="center"/>
              <w:rPr>
                <w:color w:val="auto"/>
                <w:kern w:val="0"/>
                <w:sz w:val="21"/>
                <w:szCs w:val="21"/>
              </w:rPr>
            </w:pPr>
            <w:r>
              <w:rPr>
                <w:color w:val="auto"/>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02:00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0.03</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0.004</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1.66</w:t>
            </w:r>
          </w:p>
        </w:tc>
        <w:tc>
          <w:tcPr>
            <w:tcW w:w="664" w:type="pct"/>
            <w:tcBorders>
              <w:tl2br w:val="nil"/>
              <w:tr2bl w:val="nil"/>
            </w:tcBorders>
            <w:vAlign w:val="center"/>
          </w:tcPr>
          <w:p>
            <w:pPr>
              <w:spacing w:line="240" w:lineRule="auto"/>
              <w:ind w:firstLine="0" w:firstLineChars="0"/>
              <w:jc w:val="center"/>
              <w:rPr>
                <w:rFonts w:eastAsia="华文仿宋"/>
                <w:color w:val="auto"/>
                <w:sz w:val="21"/>
                <w:szCs w:val="21"/>
              </w:rPr>
            </w:pPr>
            <w:r>
              <w:rPr>
                <w:rFonts w:eastAsia="华文仿宋"/>
                <w:color w:val="auto"/>
                <w:sz w:val="21"/>
                <w:szCs w:val="21"/>
              </w:rPr>
              <w:t>&lt;10</w:t>
            </w:r>
          </w:p>
        </w:tc>
        <w:tc>
          <w:tcPr>
            <w:tcW w:w="627" w:type="pct"/>
            <w:vMerge w:val="restart"/>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0.014</w:t>
            </w:r>
          </w:p>
        </w:tc>
        <w:tc>
          <w:tcPr>
            <w:tcW w:w="704" w:type="pct"/>
            <w:vMerge w:val="restart"/>
            <w:tcBorders>
              <w:tl2br w:val="nil"/>
              <w:tr2bl w:val="nil"/>
            </w:tcBorders>
            <w:vAlign w:val="center"/>
          </w:tcPr>
          <w:p>
            <w:pPr>
              <w:spacing w:line="240" w:lineRule="auto"/>
              <w:ind w:firstLine="0" w:firstLineChars="0"/>
              <w:jc w:val="center"/>
              <w:rPr>
                <w:color w:val="auto"/>
                <w:sz w:val="21"/>
                <w:szCs w:val="21"/>
              </w:rPr>
            </w:pPr>
            <w:r>
              <w:rPr>
                <w:rFonts w:eastAsia="华文仿宋"/>
                <w:color w:val="auto"/>
                <w:sz w:val="21"/>
                <w:szCs w:val="21"/>
              </w:rPr>
              <w:t>0.302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08:00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0.05</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0.004</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1.24</w:t>
            </w:r>
          </w:p>
        </w:tc>
        <w:tc>
          <w:tcPr>
            <w:tcW w:w="664" w:type="pct"/>
            <w:tcBorders>
              <w:tl2br w:val="nil"/>
              <w:tr2bl w:val="nil"/>
            </w:tcBorders>
            <w:vAlign w:val="center"/>
          </w:tcPr>
          <w:p>
            <w:pPr>
              <w:spacing w:line="240" w:lineRule="auto"/>
              <w:ind w:firstLine="0" w:firstLineChars="0"/>
              <w:jc w:val="center"/>
              <w:rPr>
                <w:rFonts w:eastAsia="华文仿宋"/>
                <w:color w:val="auto"/>
                <w:sz w:val="21"/>
                <w:szCs w:val="21"/>
              </w:rPr>
            </w:pPr>
            <w:r>
              <w:rPr>
                <w:rFonts w:eastAsia="华文仿宋"/>
                <w:color w:val="auto"/>
                <w:sz w:val="21"/>
                <w:szCs w:val="21"/>
              </w:rPr>
              <w:t>&lt;10</w:t>
            </w:r>
          </w:p>
        </w:tc>
        <w:tc>
          <w:tcPr>
            <w:tcW w:w="627"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70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14:00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0.07</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0.004</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1.71</w:t>
            </w:r>
          </w:p>
        </w:tc>
        <w:tc>
          <w:tcPr>
            <w:tcW w:w="664" w:type="pct"/>
            <w:tcBorders>
              <w:tl2br w:val="nil"/>
              <w:tr2bl w:val="nil"/>
            </w:tcBorders>
            <w:vAlign w:val="center"/>
          </w:tcPr>
          <w:p>
            <w:pPr>
              <w:spacing w:line="240" w:lineRule="auto"/>
              <w:ind w:firstLine="0" w:firstLineChars="0"/>
              <w:jc w:val="center"/>
              <w:rPr>
                <w:rFonts w:eastAsia="华文仿宋"/>
                <w:color w:val="auto"/>
                <w:sz w:val="21"/>
                <w:szCs w:val="21"/>
              </w:rPr>
            </w:pPr>
            <w:r>
              <w:rPr>
                <w:rFonts w:eastAsia="华文仿宋"/>
                <w:color w:val="auto"/>
                <w:sz w:val="21"/>
                <w:szCs w:val="21"/>
              </w:rPr>
              <w:t>&lt;10</w:t>
            </w:r>
          </w:p>
        </w:tc>
        <w:tc>
          <w:tcPr>
            <w:tcW w:w="627"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70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20:00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0.13</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0.005</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1.94</w:t>
            </w:r>
          </w:p>
        </w:tc>
        <w:tc>
          <w:tcPr>
            <w:tcW w:w="664" w:type="pct"/>
            <w:tcBorders>
              <w:tl2br w:val="nil"/>
              <w:tr2bl w:val="nil"/>
            </w:tcBorders>
            <w:vAlign w:val="center"/>
          </w:tcPr>
          <w:p>
            <w:pPr>
              <w:spacing w:line="240" w:lineRule="auto"/>
              <w:ind w:firstLine="0" w:firstLineChars="0"/>
              <w:jc w:val="center"/>
              <w:rPr>
                <w:rFonts w:eastAsia="华文仿宋"/>
                <w:color w:val="auto"/>
                <w:sz w:val="21"/>
                <w:szCs w:val="21"/>
              </w:rPr>
            </w:pPr>
            <w:r>
              <w:rPr>
                <w:rFonts w:eastAsia="华文仿宋"/>
                <w:color w:val="auto"/>
                <w:sz w:val="21"/>
                <w:szCs w:val="21"/>
              </w:rPr>
              <w:t>&lt;10</w:t>
            </w:r>
          </w:p>
        </w:tc>
        <w:tc>
          <w:tcPr>
            <w:tcW w:w="627"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70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spacing w:line="240" w:lineRule="auto"/>
              <w:ind w:firstLine="0" w:firstLineChars="0"/>
              <w:jc w:val="center"/>
              <w:rPr>
                <w:color w:val="auto"/>
                <w:kern w:val="0"/>
                <w:sz w:val="21"/>
                <w:szCs w:val="21"/>
              </w:rPr>
            </w:pPr>
            <w:r>
              <w:rPr>
                <w:color w:val="auto"/>
                <w:kern w:val="0"/>
                <w:sz w:val="21"/>
                <w:szCs w:val="21"/>
                <w:lang w:bidi="ar"/>
              </w:rPr>
              <w:t>2022.05.</w:t>
            </w:r>
            <w:r>
              <w:rPr>
                <w:rFonts w:hint="eastAsia"/>
                <w:color w:val="auto"/>
                <w:kern w:val="0"/>
                <w:sz w:val="21"/>
                <w:szCs w:val="21"/>
                <w:lang w:bidi="ar"/>
              </w:rPr>
              <w:t>20</w:t>
            </w:r>
          </w:p>
        </w:tc>
        <w:tc>
          <w:tcPr>
            <w:tcW w:w="3983" w:type="pct"/>
            <w:gridSpan w:val="6"/>
            <w:tcBorders>
              <w:tl2br w:val="nil"/>
              <w:tr2bl w:val="nil"/>
            </w:tcBorders>
            <w:noWrap/>
            <w:vAlign w:val="center"/>
          </w:tcPr>
          <w:p>
            <w:pPr>
              <w:spacing w:line="240" w:lineRule="auto"/>
              <w:ind w:firstLine="0" w:firstLineChars="0"/>
              <w:jc w:val="center"/>
              <w:rPr>
                <w:color w:val="auto"/>
                <w:kern w:val="0"/>
                <w:sz w:val="21"/>
                <w:szCs w:val="21"/>
              </w:rPr>
            </w:pPr>
            <w:r>
              <w:rPr>
                <w:color w:val="auto"/>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02:00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0.13</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0.007</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1.78</w:t>
            </w:r>
          </w:p>
        </w:tc>
        <w:tc>
          <w:tcPr>
            <w:tcW w:w="664" w:type="pct"/>
            <w:tcBorders>
              <w:tl2br w:val="nil"/>
              <w:tr2bl w:val="nil"/>
            </w:tcBorders>
            <w:vAlign w:val="center"/>
          </w:tcPr>
          <w:p>
            <w:pPr>
              <w:spacing w:line="240" w:lineRule="auto"/>
              <w:ind w:firstLine="0" w:firstLineChars="0"/>
              <w:jc w:val="center"/>
              <w:rPr>
                <w:rFonts w:eastAsia="华文仿宋"/>
                <w:color w:val="auto"/>
                <w:sz w:val="21"/>
                <w:szCs w:val="21"/>
              </w:rPr>
            </w:pPr>
            <w:r>
              <w:rPr>
                <w:rFonts w:eastAsia="华文仿宋"/>
                <w:color w:val="auto"/>
                <w:sz w:val="21"/>
                <w:szCs w:val="21"/>
              </w:rPr>
              <w:t>&lt;10</w:t>
            </w:r>
          </w:p>
        </w:tc>
        <w:tc>
          <w:tcPr>
            <w:tcW w:w="627" w:type="pct"/>
            <w:vMerge w:val="restart"/>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0.017</w:t>
            </w:r>
          </w:p>
        </w:tc>
        <w:tc>
          <w:tcPr>
            <w:tcW w:w="704" w:type="pct"/>
            <w:vMerge w:val="restart"/>
            <w:tcBorders>
              <w:tl2br w:val="nil"/>
              <w:tr2bl w:val="nil"/>
            </w:tcBorders>
            <w:vAlign w:val="center"/>
          </w:tcPr>
          <w:p>
            <w:pPr>
              <w:spacing w:line="240" w:lineRule="auto"/>
              <w:ind w:firstLine="0" w:firstLineChars="0"/>
              <w:jc w:val="center"/>
              <w:rPr>
                <w:color w:val="auto"/>
                <w:sz w:val="21"/>
                <w:szCs w:val="21"/>
              </w:rPr>
            </w:pPr>
            <w:r>
              <w:rPr>
                <w:rFonts w:eastAsia="华文仿宋"/>
                <w:color w:val="auto"/>
                <w:sz w:val="21"/>
                <w:szCs w:val="21"/>
              </w:rPr>
              <w:t>0.281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08:00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0.16</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0.008</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1.70</w:t>
            </w:r>
          </w:p>
        </w:tc>
        <w:tc>
          <w:tcPr>
            <w:tcW w:w="664" w:type="pct"/>
            <w:tcBorders>
              <w:tl2br w:val="nil"/>
              <w:tr2bl w:val="nil"/>
            </w:tcBorders>
            <w:vAlign w:val="center"/>
          </w:tcPr>
          <w:p>
            <w:pPr>
              <w:spacing w:line="240" w:lineRule="auto"/>
              <w:ind w:firstLine="0" w:firstLineChars="0"/>
              <w:jc w:val="center"/>
              <w:rPr>
                <w:rFonts w:eastAsia="华文仿宋"/>
                <w:color w:val="auto"/>
                <w:sz w:val="21"/>
                <w:szCs w:val="21"/>
              </w:rPr>
            </w:pPr>
            <w:r>
              <w:rPr>
                <w:rFonts w:eastAsia="华文仿宋"/>
                <w:color w:val="auto"/>
                <w:sz w:val="21"/>
                <w:szCs w:val="21"/>
              </w:rPr>
              <w:t>&lt;10</w:t>
            </w:r>
          </w:p>
        </w:tc>
        <w:tc>
          <w:tcPr>
            <w:tcW w:w="627"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70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14:00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0.13</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0.003</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0.51</w:t>
            </w:r>
          </w:p>
        </w:tc>
        <w:tc>
          <w:tcPr>
            <w:tcW w:w="664" w:type="pct"/>
            <w:tcBorders>
              <w:tl2br w:val="nil"/>
              <w:tr2bl w:val="nil"/>
            </w:tcBorders>
            <w:vAlign w:val="center"/>
          </w:tcPr>
          <w:p>
            <w:pPr>
              <w:spacing w:line="240" w:lineRule="auto"/>
              <w:ind w:firstLine="0" w:firstLineChars="0"/>
              <w:jc w:val="center"/>
              <w:rPr>
                <w:rFonts w:eastAsia="华文仿宋"/>
                <w:color w:val="auto"/>
                <w:sz w:val="21"/>
                <w:szCs w:val="21"/>
              </w:rPr>
            </w:pPr>
            <w:r>
              <w:rPr>
                <w:rFonts w:eastAsia="华文仿宋"/>
                <w:color w:val="auto"/>
                <w:sz w:val="21"/>
                <w:szCs w:val="21"/>
              </w:rPr>
              <w:t>&lt;10</w:t>
            </w:r>
          </w:p>
        </w:tc>
        <w:tc>
          <w:tcPr>
            <w:tcW w:w="627"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70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20:00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0.10</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0.003</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1.96</w:t>
            </w:r>
          </w:p>
        </w:tc>
        <w:tc>
          <w:tcPr>
            <w:tcW w:w="664" w:type="pct"/>
            <w:tcBorders>
              <w:tl2br w:val="nil"/>
              <w:tr2bl w:val="nil"/>
            </w:tcBorders>
            <w:vAlign w:val="center"/>
          </w:tcPr>
          <w:p>
            <w:pPr>
              <w:spacing w:line="240" w:lineRule="auto"/>
              <w:ind w:firstLine="0" w:firstLineChars="0"/>
              <w:jc w:val="center"/>
              <w:rPr>
                <w:rFonts w:eastAsia="华文仿宋"/>
                <w:color w:val="auto"/>
                <w:sz w:val="21"/>
                <w:szCs w:val="21"/>
              </w:rPr>
            </w:pPr>
            <w:r>
              <w:rPr>
                <w:rFonts w:eastAsia="华文仿宋"/>
                <w:color w:val="auto"/>
                <w:sz w:val="21"/>
                <w:szCs w:val="21"/>
              </w:rPr>
              <w:t>&lt;10</w:t>
            </w:r>
          </w:p>
        </w:tc>
        <w:tc>
          <w:tcPr>
            <w:tcW w:w="627"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70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lang w:bidi="ar"/>
              </w:rPr>
              <w:t>2022.05.</w:t>
            </w:r>
            <w:r>
              <w:rPr>
                <w:rFonts w:hint="eastAsia"/>
                <w:color w:val="auto"/>
                <w:kern w:val="0"/>
                <w:sz w:val="21"/>
                <w:szCs w:val="21"/>
                <w:lang w:bidi="ar"/>
              </w:rPr>
              <w:t>21</w:t>
            </w:r>
          </w:p>
        </w:tc>
        <w:tc>
          <w:tcPr>
            <w:tcW w:w="3983" w:type="pct"/>
            <w:gridSpan w:val="6"/>
            <w:tcBorders>
              <w:tl2br w:val="nil"/>
              <w:tr2bl w:val="nil"/>
            </w:tcBorders>
            <w:noWrap/>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02:00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0.14</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0.005</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0.19</w:t>
            </w:r>
          </w:p>
        </w:tc>
        <w:tc>
          <w:tcPr>
            <w:tcW w:w="1130"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27" w:type="pct"/>
            <w:vMerge w:val="restart"/>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0.011</w:t>
            </w:r>
          </w:p>
        </w:tc>
        <w:tc>
          <w:tcPr>
            <w:tcW w:w="704" w:type="pct"/>
            <w:vMerge w:val="restart"/>
            <w:tcBorders>
              <w:tl2br w:val="nil"/>
              <w:tr2bl w:val="nil"/>
            </w:tcBorders>
            <w:vAlign w:val="center"/>
          </w:tcPr>
          <w:p>
            <w:pPr>
              <w:spacing w:line="240" w:lineRule="auto"/>
              <w:ind w:firstLine="0" w:firstLineChars="0"/>
              <w:jc w:val="center"/>
              <w:rPr>
                <w:color w:val="auto"/>
                <w:sz w:val="21"/>
                <w:szCs w:val="21"/>
              </w:rPr>
            </w:pPr>
            <w:r>
              <w:rPr>
                <w:rFonts w:eastAsia="华文仿宋"/>
                <w:color w:val="auto"/>
                <w:sz w:val="21"/>
                <w:szCs w:val="21"/>
              </w:rPr>
              <w:t>0.363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08:00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0.15</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0.004</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0.10</w:t>
            </w:r>
          </w:p>
        </w:tc>
        <w:tc>
          <w:tcPr>
            <w:tcW w:w="1130"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27"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70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14:00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0.16</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0.003</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0.85</w:t>
            </w:r>
          </w:p>
        </w:tc>
        <w:tc>
          <w:tcPr>
            <w:tcW w:w="1130"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27"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70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20:00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0.10</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0.002</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1.96</w:t>
            </w:r>
          </w:p>
        </w:tc>
        <w:tc>
          <w:tcPr>
            <w:tcW w:w="1130"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27"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70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lang w:bidi="ar"/>
              </w:rPr>
              <w:t>2022.05.</w:t>
            </w:r>
            <w:r>
              <w:rPr>
                <w:rFonts w:hint="eastAsia"/>
                <w:color w:val="auto"/>
                <w:kern w:val="0"/>
                <w:sz w:val="21"/>
                <w:szCs w:val="21"/>
                <w:lang w:bidi="ar"/>
              </w:rPr>
              <w:t>22</w:t>
            </w:r>
          </w:p>
        </w:tc>
        <w:tc>
          <w:tcPr>
            <w:tcW w:w="3983" w:type="pct"/>
            <w:gridSpan w:val="6"/>
            <w:tcBorders>
              <w:tl2br w:val="nil"/>
              <w:tr2bl w:val="nil"/>
            </w:tcBorders>
            <w:noWrap/>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02:00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0.15</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0.002</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1.86</w:t>
            </w:r>
          </w:p>
        </w:tc>
        <w:tc>
          <w:tcPr>
            <w:tcW w:w="1130"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27" w:type="pct"/>
            <w:vMerge w:val="restart"/>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0.015</w:t>
            </w:r>
          </w:p>
        </w:tc>
        <w:tc>
          <w:tcPr>
            <w:tcW w:w="704" w:type="pct"/>
            <w:vMerge w:val="restart"/>
            <w:tcBorders>
              <w:tl2br w:val="nil"/>
              <w:tr2bl w:val="nil"/>
            </w:tcBorders>
            <w:vAlign w:val="center"/>
          </w:tcPr>
          <w:p>
            <w:pPr>
              <w:spacing w:line="240" w:lineRule="auto"/>
              <w:ind w:firstLine="0" w:firstLineChars="0"/>
              <w:jc w:val="center"/>
              <w:rPr>
                <w:color w:val="auto"/>
                <w:sz w:val="21"/>
                <w:szCs w:val="21"/>
              </w:rPr>
            </w:pPr>
            <w:r>
              <w:rPr>
                <w:rFonts w:eastAsia="华文仿宋"/>
                <w:color w:val="auto"/>
                <w:sz w:val="21"/>
                <w:szCs w:val="21"/>
              </w:rPr>
              <w:t>0.276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vAlign w:val="center"/>
          </w:tcPr>
          <w:p>
            <w:pPr>
              <w:widowControl/>
              <w:spacing w:line="240" w:lineRule="auto"/>
              <w:ind w:firstLine="0" w:firstLineChars="0"/>
              <w:jc w:val="center"/>
              <w:rPr>
                <w:color w:val="auto"/>
                <w:kern w:val="0"/>
                <w:sz w:val="21"/>
                <w:szCs w:val="21"/>
              </w:rPr>
            </w:pPr>
            <w:r>
              <w:rPr>
                <w:color w:val="auto"/>
                <w:kern w:val="0"/>
                <w:sz w:val="21"/>
                <w:szCs w:val="21"/>
              </w:rPr>
              <w:t>08:00</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0.08</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0.005</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0.26</w:t>
            </w:r>
          </w:p>
        </w:tc>
        <w:tc>
          <w:tcPr>
            <w:tcW w:w="1130"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27"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70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vAlign w:val="center"/>
          </w:tcPr>
          <w:p>
            <w:pPr>
              <w:widowControl/>
              <w:spacing w:line="240" w:lineRule="auto"/>
              <w:ind w:firstLine="0" w:firstLineChars="0"/>
              <w:jc w:val="center"/>
              <w:rPr>
                <w:color w:val="auto"/>
                <w:kern w:val="0"/>
                <w:sz w:val="21"/>
                <w:szCs w:val="21"/>
              </w:rPr>
            </w:pPr>
            <w:r>
              <w:rPr>
                <w:color w:val="auto"/>
                <w:kern w:val="0"/>
                <w:sz w:val="21"/>
                <w:szCs w:val="21"/>
              </w:rPr>
              <w:t>14:00</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0.11</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0.005</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1.80</w:t>
            </w:r>
          </w:p>
        </w:tc>
        <w:tc>
          <w:tcPr>
            <w:tcW w:w="1130"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27"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70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vAlign w:val="center"/>
          </w:tcPr>
          <w:p>
            <w:pPr>
              <w:widowControl/>
              <w:spacing w:line="240" w:lineRule="auto"/>
              <w:ind w:firstLine="0" w:firstLineChars="0"/>
              <w:jc w:val="center"/>
              <w:rPr>
                <w:color w:val="auto"/>
                <w:kern w:val="0"/>
                <w:sz w:val="21"/>
                <w:szCs w:val="21"/>
              </w:rPr>
            </w:pPr>
            <w:r>
              <w:rPr>
                <w:color w:val="auto"/>
                <w:kern w:val="0"/>
                <w:sz w:val="21"/>
                <w:szCs w:val="21"/>
              </w:rPr>
              <w:t>20:00</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0.15</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0.003</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0.10</w:t>
            </w:r>
          </w:p>
        </w:tc>
        <w:tc>
          <w:tcPr>
            <w:tcW w:w="1130"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27"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70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lang w:bidi="ar"/>
              </w:rPr>
              <w:t>2022.05.</w:t>
            </w:r>
            <w:r>
              <w:rPr>
                <w:rFonts w:hint="eastAsia"/>
                <w:color w:val="auto"/>
                <w:kern w:val="0"/>
                <w:sz w:val="21"/>
                <w:szCs w:val="21"/>
                <w:lang w:bidi="ar"/>
              </w:rPr>
              <w:t>23</w:t>
            </w:r>
          </w:p>
        </w:tc>
        <w:tc>
          <w:tcPr>
            <w:tcW w:w="3983" w:type="pct"/>
            <w:gridSpan w:val="6"/>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vAlign w:val="center"/>
          </w:tcPr>
          <w:p>
            <w:pPr>
              <w:widowControl/>
              <w:spacing w:line="240" w:lineRule="auto"/>
              <w:ind w:firstLine="0" w:firstLineChars="0"/>
              <w:jc w:val="center"/>
              <w:rPr>
                <w:color w:val="auto"/>
                <w:kern w:val="0"/>
                <w:sz w:val="21"/>
                <w:szCs w:val="21"/>
              </w:rPr>
            </w:pPr>
            <w:r>
              <w:rPr>
                <w:color w:val="auto"/>
                <w:kern w:val="0"/>
                <w:sz w:val="21"/>
                <w:szCs w:val="21"/>
              </w:rPr>
              <w:t>02:00</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0.03</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0.003</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1.66</w:t>
            </w:r>
          </w:p>
        </w:tc>
        <w:tc>
          <w:tcPr>
            <w:tcW w:w="1130"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27" w:type="pct"/>
            <w:vMerge w:val="restart"/>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0.011</w:t>
            </w:r>
          </w:p>
        </w:tc>
        <w:tc>
          <w:tcPr>
            <w:tcW w:w="704" w:type="pct"/>
            <w:vMerge w:val="restart"/>
            <w:tcBorders>
              <w:tl2br w:val="nil"/>
              <w:tr2bl w:val="nil"/>
            </w:tcBorders>
            <w:vAlign w:val="center"/>
          </w:tcPr>
          <w:p>
            <w:pPr>
              <w:spacing w:line="240" w:lineRule="auto"/>
              <w:ind w:firstLine="0" w:firstLineChars="0"/>
              <w:jc w:val="center"/>
              <w:rPr>
                <w:color w:val="auto"/>
                <w:sz w:val="21"/>
                <w:szCs w:val="21"/>
              </w:rPr>
            </w:pPr>
            <w:r>
              <w:rPr>
                <w:rFonts w:eastAsia="华文仿宋"/>
                <w:color w:val="auto"/>
                <w:sz w:val="21"/>
                <w:szCs w:val="21"/>
              </w:rPr>
              <w:t>0.324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vAlign w:val="center"/>
          </w:tcPr>
          <w:p>
            <w:pPr>
              <w:widowControl/>
              <w:spacing w:line="240" w:lineRule="auto"/>
              <w:ind w:firstLine="0" w:firstLineChars="0"/>
              <w:jc w:val="center"/>
              <w:rPr>
                <w:color w:val="auto"/>
                <w:kern w:val="0"/>
                <w:sz w:val="21"/>
                <w:szCs w:val="21"/>
              </w:rPr>
            </w:pPr>
            <w:r>
              <w:rPr>
                <w:color w:val="auto"/>
                <w:kern w:val="0"/>
                <w:sz w:val="21"/>
                <w:szCs w:val="21"/>
              </w:rPr>
              <w:t>08:00</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0.07</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0.004</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1.34</w:t>
            </w:r>
          </w:p>
        </w:tc>
        <w:tc>
          <w:tcPr>
            <w:tcW w:w="1130"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27"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70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vAlign w:val="center"/>
          </w:tcPr>
          <w:p>
            <w:pPr>
              <w:widowControl/>
              <w:spacing w:line="240" w:lineRule="auto"/>
              <w:ind w:firstLine="0" w:firstLineChars="0"/>
              <w:jc w:val="center"/>
              <w:rPr>
                <w:color w:val="auto"/>
                <w:kern w:val="0"/>
                <w:sz w:val="21"/>
                <w:szCs w:val="21"/>
              </w:rPr>
            </w:pPr>
            <w:r>
              <w:rPr>
                <w:color w:val="auto"/>
                <w:kern w:val="0"/>
                <w:sz w:val="21"/>
                <w:szCs w:val="21"/>
              </w:rPr>
              <w:t>14:00</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0.13</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0.004</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1.16</w:t>
            </w:r>
          </w:p>
        </w:tc>
        <w:tc>
          <w:tcPr>
            <w:tcW w:w="1130"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27"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70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vAlign w:val="center"/>
          </w:tcPr>
          <w:p>
            <w:pPr>
              <w:widowControl/>
              <w:spacing w:line="240" w:lineRule="auto"/>
              <w:ind w:firstLine="0" w:firstLineChars="0"/>
              <w:jc w:val="center"/>
              <w:rPr>
                <w:color w:val="auto"/>
                <w:kern w:val="0"/>
                <w:sz w:val="21"/>
                <w:szCs w:val="21"/>
              </w:rPr>
            </w:pPr>
            <w:r>
              <w:rPr>
                <w:color w:val="auto"/>
                <w:kern w:val="0"/>
                <w:sz w:val="21"/>
                <w:szCs w:val="21"/>
              </w:rPr>
              <w:t>20:00</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0.15</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eastAsia="华文仿宋"/>
                <w:color w:val="auto"/>
                <w:sz w:val="21"/>
                <w:szCs w:val="21"/>
              </w:rPr>
              <w:t>ND</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0.70</w:t>
            </w:r>
          </w:p>
        </w:tc>
        <w:tc>
          <w:tcPr>
            <w:tcW w:w="1130"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27"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70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vAlign w:val="center"/>
          </w:tcPr>
          <w:p>
            <w:pPr>
              <w:widowControl/>
              <w:spacing w:line="240" w:lineRule="auto"/>
              <w:ind w:firstLine="0" w:firstLineChars="0"/>
              <w:jc w:val="center"/>
              <w:rPr>
                <w:color w:val="auto"/>
                <w:kern w:val="0"/>
                <w:sz w:val="21"/>
                <w:szCs w:val="21"/>
              </w:rPr>
            </w:pPr>
            <w:r>
              <w:rPr>
                <w:color w:val="auto"/>
                <w:kern w:val="0"/>
                <w:sz w:val="21"/>
                <w:szCs w:val="21"/>
                <w:lang w:bidi="ar"/>
              </w:rPr>
              <w:t>2022.05.</w:t>
            </w:r>
            <w:r>
              <w:rPr>
                <w:rFonts w:hint="eastAsia"/>
                <w:color w:val="auto"/>
                <w:kern w:val="0"/>
                <w:sz w:val="21"/>
                <w:szCs w:val="21"/>
                <w:lang w:bidi="ar"/>
              </w:rPr>
              <w:t>24</w:t>
            </w:r>
          </w:p>
        </w:tc>
        <w:tc>
          <w:tcPr>
            <w:tcW w:w="3983" w:type="pct"/>
            <w:gridSpan w:val="6"/>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vAlign w:val="center"/>
          </w:tcPr>
          <w:p>
            <w:pPr>
              <w:widowControl/>
              <w:spacing w:line="240" w:lineRule="auto"/>
              <w:ind w:firstLine="0" w:firstLineChars="0"/>
              <w:jc w:val="center"/>
              <w:rPr>
                <w:color w:val="auto"/>
                <w:kern w:val="0"/>
                <w:sz w:val="21"/>
                <w:szCs w:val="21"/>
              </w:rPr>
            </w:pPr>
            <w:r>
              <w:rPr>
                <w:color w:val="auto"/>
                <w:kern w:val="0"/>
                <w:sz w:val="21"/>
                <w:szCs w:val="21"/>
              </w:rPr>
              <w:t>02:00</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0.10</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0.002</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1.68</w:t>
            </w:r>
          </w:p>
        </w:tc>
        <w:tc>
          <w:tcPr>
            <w:tcW w:w="1130"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27" w:type="pct"/>
            <w:vMerge w:val="restart"/>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0.010</w:t>
            </w:r>
          </w:p>
        </w:tc>
        <w:tc>
          <w:tcPr>
            <w:tcW w:w="704" w:type="pct"/>
            <w:vMerge w:val="restart"/>
            <w:tcBorders>
              <w:tl2br w:val="nil"/>
              <w:tr2bl w:val="nil"/>
            </w:tcBorders>
            <w:vAlign w:val="center"/>
          </w:tcPr>
          <w:p>
            <w:pPr>
              <w:spacing w:line="240" w:lineRule="auto"/>
              <w:ind w:firstLine="0" w:firstLineChars="0"/>
              <w:jc w:val="center"/>
              <w:rPr>
                <w:color w:val="auto"/>
                <w:sz w:val="21"/>
                <w:szCs w:val="21"/>
              </w:rPr>
            </w:pPr>
            <w:r>
              <w:rPr>
                <w:rFonts w:eastAsia="华文仿宋"/>
                <w:color w:val="auto"/>
                <w:sz w:val="21"/>
                <w:szCs w:val="21"/>
              </w:rPr>
              <w:t>0.269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vAlign w:val="center"/>
          </w:tcPr>
          <w:p>
            <w:pPr>
              <w:widowControl/>
              <w:spacing w:line="240" w:lineRule="auto"/>
              <w:ind w:firstLine="0" w:firstLineChars="0"/>
              <w:jc w:val="center"/>
              <w:rPr>
                <w:color w:val="auto"/>
                <w:kern w:val="0"/>
                <w:sz w:val="21"/>
                <w:szCs w:val="21"/>
              </w:rPr>
            </w:pPr>
            <w:r>
              <w:rPr>
                <w:color w:val="auto"/>
                <w:kern w:val="0"/>
                <w:sz w:val="21"/>
                <w:szCs w:val="21"/>
              </w:rPr>
              <w:t>08:00</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0.11</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eastAsia="华文仿宋"/>
                <w:color w:val="auto"/>
                <w:sz w:val="21"/>
                <w:szCs w:val="21"/>
              </w:rPr>
              <w:t>ND</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0.15</w:t>
            </w:r>
          </w:p>
        </w:tc>
        <w:tc>
          <w:tcPr>
            <w:tcW w:w="1130"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27"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70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vAlign w:val="center"/>
          </w:tcPr>
          <w:p>
            <w:pPr>
              <w:widowControl/>
              <w:spacing w:line="240" w:lineRule="auto"/>
              <w:ind w:firstLine="0" w:firstLineChars="0"/>
              <w:jc w:val="center"/>
              <w:rPr>
                <w:color w:val="auto"/>
                <w:kern w:val="0"/>
                <w:sz w:val="21"/>
                <w:szCs w:val="21"/>
              </w:rPr>
            </w:pPr>
            <w:r>
              <w:rPr>
                <w:color w:val="auto"/>
                <w:kern w:val="0"/>
                <w:sz w:val="21"/>
                <w:szCs w:val="21"/>
              </w:rPr>
              <w:t>14:00</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0.14</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0.002</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0.12</w:t>
            </w:r>
          </w:p>
        </w:tc>
        <w:tc>
          <w:tcPr>
            <w:tcW w:w="1130"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27"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70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vAlign w:val="center"/>
          </w:tcPr>
          <w:p>
            <w:pPr>
              <w:widowControl/>
              <w:spacing w:line="240" w:lineRule="auto"/>
              <w:ind w:firstLine="0" w:firstLineChars="0"/>
              <w:jc w:val="center"/>
              <w:rPr>
                <w:color w:val="auto"/>
                <w:kern w:val="0"/>
                <w:sz w:val="21"/>
                <w:szCs w:val="21"/>
              </w:rPr>
            </w:pPr>
            <w:r>
              <w:rPr>
                <w:color w:val="auto"/>
                <w:kern w:val="0"/>
                <w:sz w:val="21"/>
                <w:szCs w:val="21"/>
              </w:rPr>
              <w:t>20:00</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0.17</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华文仿宋"/>
                <w:color w:val="auto"/>
                <w:sz w:val="21"/>
                <w:szCs w:val="21"/>
              </w:rPr>
              <w:t>0.002</w:t>
            </w:r>
          </w:p>
        </w:tc>
        <w:tc>
          <w:tcPr>
            <w:tcW w:w="661"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1.91</w:t>
            </w:r>
          </w:p>
        </w:tc>
        <w:tc>
          <w:tcPr>
            <w:tcW w:w="1130"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27"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70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6" w:type="pct"/>
            <w:tcBorders>
              <w:tl2br w:val="nil"/>
              <w:tr2bl w:val="nil"/>
            </w:tcBorders>
            <w:vAlign w:val="center"/>
          </w:tcPr>
          <w:p>
            <w:pPr>
              <w:widowControl/>
              <w:spacing w:line="240" w:lineRule="auto"/>
              <w:ind w:firstLine="0" w:firstLineChars="0"/>
              <w:jc w:val="center"/>
              <w:rPr>
                <w:color w:val="auto"/>
                <w:kern w:val="0"/>
                <w:sz w:val="21"/>
                <w:szCs w:val="21"/>
              </w:rPr>
            </w:pPr>
            <w:r>
              <w:rPr>
                <w:color w:val="auto"/>
                <w:kern w:val="0"/>
                <w:sz w:val="21"/>
                <w:szCs w:val="21"/>
              </w:rPr>
              <w:t>备注</w:t>
            </w:r>
          </w:p>
        </w:tc>
        <w:tc>
          <w:tcPr>
            <w:tcW w:w="3983" w:type="pct"/>
            <w:gridSpan w:val="6"/>
            <w:tcBorders>
              <w:tl2br w:val="nil"/>
              <w:tr2bl w:val="nil"/>
            </w:tcBorders>
            <w:vAlign w:val="center"/>
          </w:tcPr>
          <w:p>
            <w:pPr>
              <w:spacing w:line="240" w:lineRule="auto"/>
              <w:ind w:firstLine="0" w:firstLineChars="0"/>
              <w:jc w:val="center"/>
              <w:rPr>
                <w:color w:val="auto"/>
                <w:sz w:val="21"/>
                <w:szCs w:val="21"/>
              </w:rPr>
            </w:pPr>
            <w:r>
              <w:rPr>
                <w:color w:val="auto"/>
                <w:kern w:val="0"/>
                <w:sz w:val="21"/>
                <w:szCs w:val="21"/>
              </w:rPr>
              <w:t>ND表示未检出。</w:t>
            </w:r>
          </w:p>
        </w:tc>
      </w:tr>
    </w:tbl>
    <w:p>
      <w:pPr>
        <w:tabs>
          <w:tab w:val="left" w:pos="8280"/>
        </w:tabs>
        <w:adjustRightInd w:val="0"/>
        <w:snapToGrid w:val="0"/>
        <w:ind w:firstLine="422"/>
        <w:jc w:val="center"/>
        <w:rPr>
          <w:rFonts w:eastAsia="黑体"/>
          <w:b w:val="0"/>
          <w:bCs w:val="0"/>
          <w:color w:val="auto"/>
          <w:sz w:val="21"/>
          <w:szCs w:val="21"/>
        </w:rPr>
      </w:pPr>
      <w:r>
        <w:rPr>
          <w:rFonts w:eastAsia="黑体"/>
          <w:b w:val="0"/>
          <w:bCs w:val="0"/>
          <w:color w:val="auto"/>
          <w:sz w:val="21"/>
          <w:szCs w:val="21"/>
        </w:rPr>
        <w:t>续表</w:t>
      </w:r>
      <w:r>
        <w:rPr>
          <w:rFonts w:hint="eastAsia" w:eastAsia="黑体"/>
          <w:b w:val="0"/>
          <w:bCs w:val="0"/>
          <w:color w:val="auto"/>
          <w:sz w:val="21"/>
          <w:szCs w:val="21"/>
        </w:rPr>
        <w:t>4</w:t>
      </w:r>
      <w:r>
        <w:rPr>
          <w:rFonts w:eastAsia="黑体"/>
          <w:b w:val="0"/>
          <w:bCs w:val="0"/>
          <w:color w:val="auto"/>
          <w:sz w:val="21"/>
          <w:szCs w:val="21"/>
        </w:rPr>
        <w:t>.1-</w:t>
      </w:r>
      <w:r>
        <w:rPr>
          <w:rFonts w:hint="eastAsia" w:eastAsia="黑体"/>
          <w:b w:val="0"/>
          <w:bCs w:val="0"/>
          <w:color w:val="auto"/>
          <w:sz w:val="21"/>
          <w:szCs w:val="21"/>
        </w:rPr>
        <w:t>5</w:t>
      </w:r>
      <w:r>
        <w:rPr>
          <w:rFonts w:eastAsia="黑体"/>
          <w:b w:val="0"/>
          <w:bCs w:val="0"/>
          <w:color w:val="auto"/>
          <w:sz w:val="21"/>
          <w:szCs w:val="21"/>
        </w:rPr>
        <w:t xml:space="preserve"> 现状监测结果一览表</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88" w:type="dxa"/>
          <w:bottom w:w="0" w:type="dxa"/>
          <w:right w:w="108" w:type="dxa"/>
        </w:tblCellMar>
      </w:tblPr>
      <w:tblGrid>
        <w:gridCol w:w="1871"/>
        <w:gridCol w:w="1225"/>
        <w:gridCol w:w="1232"/>
        <w:gridCol w:w="1223"/>
        <w:gridCol w:w="1230"/>
        <w:gridCol w:w="1225"/>
        <w:gridCol w:w="12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0" w:type="pct"/>
            <w:tcBorders>
              <w:tl2br w:val="nil"/>
              <w:tr2bl w:val="nil"/>
            </w:tcBorders>
            <w:noWrap/>
            <w:vAlign w:val="center"/>
          </w:tcPr>
          <w:p>
            <w:pPr>
              <w:spacing w:line="240" w:lineRule="auto"/>
              <w:ind w:firstLine="0" w:firstLineChars="0"/>
              <w:jc w:val="center"/>
              <w:rPr>
                <w:b/>
                <w:bCs/>
                <w:color w:val="auto"/>
                <w:sz w:val="21"/>
                <w:szCs w:val="21"/>
              </w:rPr>
            </w:pPr>
            <w:r>
              <w:rPr>
                <w:b/>
                <w:bCs/>
                <w:color w:val="auto"/>
                <w:sz w:val="21"/>
                <w:szCs w:val="21"/>
              </w:rPr>
              <w:t>采样日期</w:t>
            </w:r>
          </w:p>
        </w:tc>
        <w:tc>
          <w:tcPr>
            <w:tcW w:w="1326" w:type="pct"/>
            <w:gridSpan w:val="2"/>
            <w:tcBorders>
              <w:tl2br w:val="nil"/>
              <w:tr2bl w:val="nil"/>
            </w:tcBorders>
            <w:noWrap/>
            <w:vAlign w:val="center"/>
          </w:tcPr>
          <w:p>
            <w:pPr>
              <w:spacing w:line="240" w:lineRule="auto"/>
              <w:ind w:firstLine="0" w:firstLineChars="0"/>
              <w:jc w:val="center"/>
              <w:rPr>
                <w:rFonts w:eastAsia="等线"/>
                <w:b/>
                <w:bCs/>
                <w:color w:val="auto"/>
                <w:sz w:val="21"/>
                <w:szCs w:val="21"/>
              </w:rPr>
            </w:pPr>
            <w:r>
              <w:rPr>
                <w:rFonts w:hint="eastAsia" w:eastAsia="等线"/>
                <w:b/>
                <w:bCs/>
                <w:color w:val="auto"/>
                <w:sz w:val="21"/>
                <w:szCs w:val="21"/>
              </w:rPr>
              <w:t>2022.05.18-2022.05.24</w:t>
            </w:r>
          </w:p>
        </w:tc>
        <w:tc>
          <w:tcPr>
            <w:tcW w:w="1324" w:type="pct"/>
            <w:gridSpan w:val="2"/>
            <w:tcBorders>
              <w:tl2br w:val="nil"/>
              <w:tr2bl w:val="nil"/>
            </w:tcBorders>
            <w:vAlign w:val="center"/>
          </w:tcPr>
          <w:p>
            <w:pPr>
              <w:spacing w:line="240" w:lineRule="auto"/>
              <w:ind w:firstLine="0" w:firstLineChars="0"/>
              <w:jc w:val="center"/>
              <w:rPr>
                <w:b/>
                <w:bCs/>
                <w:color w:val="auto"/>
                <w:sz w:val="21"/>
                <w:szCs w:val="21"/>
              </w:rPr>
            </w:pPr>
            <w:r>
              <w:rPr>
                <w:b/>
                <w:bCs/>
                <w:color w:val="auto"/>
                <w:sz w:val="21"/>
                <w:szCs w:val="21"/>
              </w:rPr>
              <w:t>测试日期</w:t>
            </w:r>
          </w:p>
        </w:tc>
        <w:tc>
          <w:tcPr>
            <w:tcW w:w="1338" w:type="pct"/>
            <w:gridSpan w:val="2"/>
            <w:tcBorders>
              <w:tl2br w:val="nil"/>
              <w:tr2bl w:val="nil"/>
            </w:tcBorders>
            <w:vAlign w:val="center"/>
          </w:tcPr>
          <w:p>
            <w:pPr>
              <w:spacing w:line="240" w:lineRule="auto"/>
              <w:ind w:firstLine="0" w:firstLineChars="0"/>
              <w:jc w:val="center"/>
              <w:rPr>
                <w:rFonts w:eastAsia="等线"/>
                <w:b/>
                <w:bCs/>
                <w:color w:val="auto"/>
                <w:sz w:val="21"/>
                <w:szCs w:val="21"/>
              </w:rPr>
            </w:pPr>
            <w:r>
              <w:rPr>
                <w:rFonts w:hint="eastAsia" w:eastAsia="等线"/>
                <w:b/>
                <w:bCs/>
                <w:color w:val="auto"/>
                <w:sz w:val="21"/>
                <w:szCs w:val="21"/>
              </w:rPr>
              <w:t>2022.05.18-2022.05.26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0" w:type="pct"/>
            <w:tcBorders>
              <w:tl2br w:val="nil"/>
              <w:tr2bl w:val="nil"/>
            </w:tcBorders>
            <w:noWrap/>
            <w:vAlign w:val="center"/>
          </w:tcPr>
          <w:p>
            <w:pPr>
              <w:spacing w:line="240" w:lineRule="auto"/>
              <w:ind w:firstLine="0" w:firstLineChars="0"/>
              <w:jc w:val="center"/>
              <w:rPr>
                <w:color w:val="auto"/>
                <w:sz w:val="21"/>
                <w:szCs w:val="21"/>
              </w:rPr>
            </w:pPr>
            <w:r>
              <w:rPr>
                <w:color w:val="auto"/>
                <w:sz w:val="21"/>
                <w:szCs w:val="21"/>
              </w:rPr>
              <w:t>采样点位</w:t>
            </w:r>
          </w:p>
        </w:tc>
        <w:tc>
          <w:tcPr>
            <w:tcW w:w="3989" w:type="pct"/>
            <w:gridSpan w:val="6"/>
            <w:tcBorders>
              <w:tl2br w:val="nil"/>
              <w:tr2bl w:val="nil"/>
            </w:tcBorders>
            <w:vAlign w:val="center"/>
          </w:tcPr>
          <w:p>
            <w:pPr>
              <w:spacing w:line="240" w:lineRule="auto"/>
              <w:ind w:firstLine="0" w:firstLineChars="0"/>
              <w:jc w:val="center"/>
              <w:rPr>
                <w:rFonts w:eastAsia="等线"/>
                <w:color w:val="auto"/>
                <w:sz w:val="21"/>
                <w:szCs w:val="21"/>
              </w:rPr>
            </w:pPr>
            <w:r>
              <w:rPr>
                <w:color w:val="auto"/>
                <w:sz w:val="21"/>
                <w:szCs w:val="21"/>
              </w:rPr>
              <w:t>2#</w:t>
            </w:r>
            <w:r>
              <w:rPr>
                <w:rFonts w:hint="eastAsia"/>
                <w:color w:val="auto"/>
                <w:sz w:val="21"/>
                <w:szCs w:val="21"/>
              </w:rPr>
              <w:t>曹营村</w:t>
            </w:r>
            <w:r>
              <w:rPr>
                <w:color w:val="auto"/>
                <w:sz w:val="21"/>
                <w:szCs w:val="21"/>
              </w:rPr>
              <w:t>（N37°</w:t>
            </w:r>
            <w:r>
              <w:rPr>
                <w:rFonts w:hint="eastAsia"/>
                <w:color w:val="auto"/>
                <w:sz w:val="21"/>
                <w:szCs w:val="21"/>
              </w:rPr>
              <w:t>52.0760</w:t>
            </w:r>
            <w:r>
              <w:rPr>
                <w:color w:val="auto"/>
                <w:sz w:val="21"/>
                <w:szCs w:val="21"/>
              </w:rPr>
              <w:t>'  E118°</w:t>
            </w:r>
            <w:r>
              <w:rPr>
                <w:rFonts w:hint="eastAsia"/>
                <w:color w:val="auto"/>
                <w:sz w:val="21"/>
                <w:szCs w:val="21"/>
              </w:rPr>
              <w:t>0.4014</w:t>
            </w: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0" w:type="pct"/>
            <w:tcBorders>
              <w:tl2br w:val="nil"/>
              <w:tr2bl w:val="nil"/>
            </w:tcBorders>
            <w:noWrap/>
            <w:vAlign w:val="center"/>
          </w:tcPr>
          <w:p>
            <w:pPr>
              <w:spacing w:line="240" w:lineRule="auto"/>
              <w:ind w:firstLine="0" w:firstLineChars="0"/>
              <w:jc w:val="center"/>
              <w:rPr>
                <w:color w:val="auto"/>
                <w:kern w:val="0"/>
                <w:sz w:val="21"/>
                <w:szCs w:val="21"/>
              </w:rPr>
            </w:pPr>
            <w:r>
              <w:rPr>
                <w:color w:val="auto"/>
                <w:kern w:val="0"/>
                <w:sz w:val="21"/>
                <w:szCs w:val="21"/>
              </w:rPr>
              <w:t>监测时间</w:t>
            </w:r>
          </w:p>
        </w:tc>
        <w:tc>
          <w:tcPr>
            <w:tcW w:w="661" w:type="pct"/>
            <w:vMerge w:val="restart"/>
            <w:tcBorders>
              <w:tl2br w:val="nil"/>
              <w:tr2bl w:val="nil"/>
            </w:tcBorders>
            <w:noWrap/>
            <w:vAlign w:val="center"/>
          </w:tcPr>
          <w:p>
            <w:pPr>
              <w:spacing w:line="240" w:lineRule="auto"/>
              <w:ind w:firstLine="0" w:firstLineChars="0"/>
              <w:jc w:val="center"/>
              <w:rPr>
                <w:color w:val="auto"/>
                <w:sz w:val="21"/>
                <w:szCs w:val="21"/>
              </w:rPr>
            </w:pPr>
            <w:r>
              <w:rPr>
                <w:color w:val="auto"/>
                <w:sz w:val="21"/>
                <w:szCs w:val="21"/>
              </w:rPr>
              <w:t>氨</w:t>
            </w:r>
          </w:p>
          <w:p>
            <w:pPr>
              <w:spacing w:line="240" w:lineRule="auto"/>
              <w:ind w:firstLine="0" w:firstLineChars="0"/>
              <w:jc w:val="center"/>
              <w:rPr>
                <w:color w:val="auto"/>
                <w:sz w:val="21"/>
                <w:szCs w:val="21"/>
              </w:rPr>
            </w:pPr>
            <w:r>
              <w:rPr>
                <w:color w:val="auto"/>
                <w:sz w:val="21"/>
                <w:szCs w:val="21"/>
              </w:rPr>
              <w:t>小时值</w:t>
            </w:r>
          </w:p>
          <w:p>
            <w:pPr>
              <w:spacing w:line="240" w:lineRule="auto"/>
              <w:ind w:firstLine="0" w:firstLineChars="0"/>
              <w:jc w:val="center"/>
              <w:rPr>
                <w:color w:val="auto"/>
                <w:sz w:val="21"/>
                <w:szCs w:val="21"/>
              </w:rPr>
            </w:pPr>
            <w:r>
              <w:rPr>
                <w:color w:val="auto"/>
                <w:sz w:val="21"/>
                <w:szCs w:val="21"/>
              </w:rPr>
              <w:t>mg/m</w:t>
            </w:r>
            <w:r>
              <w:rPr>
                <w:color w:val="auto"/>
                <w:sz w:val="21"/>
                <w:szCs w:val="21"/>
                <w:vertAlign w:val="superscript"/>
              </w:rPr>
              <w:t>3</w:t>
            </w:r>
          </w:p>
        </w:tc>
        <w:tc>
          <w:tcPr>
            <w:tcW w:w="66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硫化氢</w:t>
            </w:r>
          </w:p>
          <w:p>
            <w:pPr>
              <w:spacing w:line="240" w:lineRule="auto"/>
              <w:ind w:firstLine="0" w:firstLineChars="0"/>
              <w:jc w:val="center"/>
              <w:rPr>
                <w:color w:val="auto"/>
                <w:sz w:val="21"/>
                <w:szCs w:val="21"/>
              </w:rPr>
            </w:pPr>
            <w:r>
              <w:rPr>
                <w:color w:val="auto"/>
                <w:sz w:val="21"/>
                <w:szCs w:val="21"/>
              </w:rPr>
              <w:t>小时值</w:t>
            </w:r>
          </w:p>
          <w:p>
            <w:pPr>
              <w:spacing w:line="240" w:lineRule="auto"/>
              <w:ind w:firstLine="0" w:firstLineChars="0"/>
              <w:jc w:val="center"/>
              <w:rPr>
                <w:color w:val="auto"/>
                <w:sz w:val="21"/>
                <w:szCs w:val="21"/>
              </w:rPr>
            </w:pPr>
            <w:r>
              <w:rPr>
                <w:color w:val="auto"/>
                <w:sz w:val="21"/>
                <w:szCs w:val="21"/>
              </w:rPr>
              <w:t>mg/m</w:t>
            </w:r>
            <w:r>
              <w:rPr>
                <w:color w:val="auto"/>
                <w:sz w:val="21"/>
                <w:szCs w:val="21"/>
                <w:vertAlign w:val="superscript"/>
              </w:rPr>
              <w:t>3</w:t>
            </w:r>
          </w:p>
        </w:tc>
        <w:tc>
          <w:tcPr>
            <w:tcW w:w="660"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NMHC</w:t>
            </w:r>
          </w:p>
          <w:p>
            <w:pPr>
              <w:spacing w:line="240" w:lineRule="auto"/>
              <w:ind w:firstLine="0" w:firstLineChars="0"/>
              <w:jc w:val="center"/>
              <w:rPr>
                <w:color w:val="auto"/>
                <w:sz w:val="21"/>
                <w:szCs w:val="21"/>
              </w:rPr>
            </w:pPr>
            <w:r>
              <w:rPr>
                <w:color w:val="auto"/>
                <w:sz w:val="21"/>
                <w:szCs w:val="21"/>
              </w:rPr>
              <w:t>小时值</w:t>
            </w:r>
          </w:p>
          <w:p>
            <w:pPr>
              <w:spacing w:line="240" w:lineRule="auto"/>
              <w:ind w:firstLine="0" w:firstLineChars="0"/>
              <w:jc w:val="center"/>
              <w:rPr>
                <w:color w:val="auto"/>
                <w:sz w:val="21"/>
                <w:szCs w:val="21"/>
              </w:rPr>
            </w:pPr>
            <w:r>
              <w:rPr>
                <w:color w:val="auto"/>
                <w:sz w:val="21"/>
                <w:szCs w:val="21"/>
              </w:rPr>
              <w:t>mg/m</w:t>
            </w:r>
            <w:r>
              <w:rPr>
                <w:color w:val="auto"/>
                <w:sz w:val="21"/>
                <w:szCs w:val="21"/>
                <w:vertAlign w:val="superscript"/>
              </w:rPr>
              <w:t>3</w:t>
            </w:r>
          </w:p>
        </w:tc>
        <w:tc>
          <w:tcPr>
            <w:tcW w:w="664"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臭气浓度</w:t>
            </w:r>
          </w:p>
          <w:p>
            <w:pPr>
              <w:spacing w:line="240" w:lineRule="auto"/>
              <w:ind w:firstLine="0" w:firstLineChars="0"/>
              <w:jc w:val="center"/>
              <w:rPr>
                <w:color w:val="auto"/>
                <w:sz w:val="21"/>
                <w:szCs w:val="21"/>
              </w:rPr>
            </w:pPr>
            <w:r>
              <w:rPr>
                <w:color w:val="auto"/>
                <w:sz w:val="21"/>
                <w:szCs w:val="21"/>
              </w:rPr>
              <w:t>小时值</w:t>
            </w:r>
          </w:p>
          <w:p>
            <w:pPr>
              <w:spacing w:line="240" w:lineRule="auto"/>
              <w:ind w:firstLine="0" w:firstLineChars="0"/>
              <w:jc w:val="center"/>
              <w:rPr>
                <w:color w:val="auto"/>
                <w:sz w:val="21"/>
                <w:szCs w:val="21"/>
              </w:rPr>
            </w:pPr>
            <w:r>
              <w:rPr>
                <w:color w:val="auto"/>
                <w:sz w:val="21"/>
                <w:szCs w:val="21"/>
              </w:rPr>
              <w:t>μg/m</w:t>
            </w:r>
            <w:r>
              <w:rPr>
                <w:color w:val="auto"/>
                <w:sz w:val="21"/>
                <w:szCs w:val="21"/>
                <w:vertAlign w:val="superscript"/>
              </w:rPr>
              <w:t>3</w:t>
            </w:r>
          </w:p>
        </w:tc>
        <w:tc>
          <w:tcPr>
            <w:tcW w:w="661" w:type="pct"/>
            <w:vMerge w:val="restart"/>
            <w:tcBorders>
              <w:tl2br w:val="nil"/>
              <w:tr2bl w:val="nil"/>
            </w:tcBorders>
            <w:vAlign w:val="center"/>
          </w:tcPr>
          <w:p>
            <w:pPr>
              <w:spacing w:line="240" w:lineRule="auto"/>
              <w:ind w:firstLine="0" w:firstLineChars="0"/>
              <w:jc w:val="center"/>
              <w:rPr>
                <w:color w:val="auto"/>
                <w:sz w:val="21"/>
                <w:szCs w:val="21"/>
                <w:vertAlign w:val="subscript"/>
              </w:rPr>
            </w:pPr>
            <w:r>
              <w:rPr>
                <w:rFonts w:hint="eastAsia"/>
                <w:color w:val="auto"/>
                <w:sz w:val="21"/>
                <w:szCs w:val="21"/>
              </w:rPr>
              <w:t>NO</w:t>
            </w:r>
            <w:r>
              <w:rPr>
                <w:rFonts w:hint="eastAsia"/>
                <w:color w:val="auto"/>
                <w:sz w:val="21"/>
                <w:szCs w:val="21"/>
                <w:vertAlign w:val="subscript"/>
              </w:rPr>
              <w:t>X</w:t>
            </w:r>
          </w:p>
          <w:p>
            <w:pPr>
              <w:spacing w:line="240" w:lineRule="auto"/>
              <w:ind w:firstLine="0" w:firstLineChars="0"/>
              <w:jc w:val="center"/>
              <w:rPr>
                <w:color w:val="auto"/>
                <w:sz w:val="21"/>
                <w:szCs w:val="21"/>
              </w:rPr>
            </w:pPr>
            <w:r>
              <w:rPr>
                <w:rFonts w:hint="eastAsia"/>
                <w:color w:val="auto"/>
                <w:sz w:val="21"/>
                <w:szCs w:val="21"/>
              </w:rPr>
              <w:t>日均值</w:t>
            </w:r>
            <w:r>
              <w:rPr>
                <w:color w:val="auto"/>
                <w:sz w:val="21"/>
                <w:szCs w:val="21"/>
              </w:rPr>
              <w:t>μg/m</w:t>
            </w:r>
            <w:r>
              <w:rPr>
                <w:color w:val="auto"/>
                <w:sz w:val="21"/>
                <w:szCs w:val="21"/>
                <w:vertAlign w:val="superscript"/>
              </w:rPr>
              <w:t>3</w:t>
            </w:r>
          </w:p>
        </w:tc>
        <w:tc>
          <w:tcPr>
            <w:tcW w:w="677"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TSP</w:t>
            </w:r>
          </w:p>
          <w:p>
            <w:pPr>
              <w:spacing w:line="240" w:lineRule="auto"/>
              <w:ind w:firstLine="0" w:firstLineChars="0"/>
              <w:jc w:val="center"/>
              <w:rPr>
                <w:color w:val="auto"/>
                <w:sz w:val="21"/>
                <w:szCs w:val="21"/>
              </w:rPr>
            </w:pPr>
            <w:r>
              <w:rPr>
                <w:color w:val="auto"/>
                <w:sz w:val="21"/>
                <w:szCs w:val="21"/>
              </w:rPr>
              <w:t>日均值</w:t>
            </w:r>
          </w:p>
          <w:p>
            <w:pPr>
              <w:spacing w:line="240" w:lineRule="auto"/>
              <w:ind w:firstLine="0" w:firstLineChars="0"/>
              <w:jc w:val="center"/>
              <w:rPr>
                <w:color w:val="auto"/>
                <w:sz w:val="21"/>
                <w:szCs w:val="21"/>
              </w:rPr>
            </w:pPr>
            <w:r>
              <w:rPr>
                <w:color w:val="auto"/>
                <w:sz w:val="21"/>
                <w:szCs w:val="21"/>
              </w:rPr>
              <w:t>μg /m</w:t>
            </w:r>
            <w:r>
              <w:rPr>
                <w:color w:val="auto"/>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0" w:type="pct"/>
            <w:tcBorders>
              <w:tl2br w:val="nil"/>
              <w:tr2bl w:val="nil"/>
            </w:tcBorders>
            <w:noWrap/>
            <w:vAlign w:val="center"/>
          </w:tcPr>
          <w:p>
            <w:pPr>
              <w:spacing w:line="240" w:lineRule="auto"/>
              <w:ind w:firstLine="0" w:firstLineChars="0"/>
              <w:jc w:val="center"/>
              <w:rPr>
                <w:color w:val="auto"/>
                <w:kern w:val="0"/>
                <w:sz w:val="21"/>
                <w:szCs w:val="21"/>
              </w:rPr>
            </w:pPr>
            <w:r>
              <w:rPr>
                <w:rFonts w:hint="eastAsia" w:eastAsia="华文仿宋"/>
                <w:color w:val="auto"/>
                <w:sz w:val="21"/>
                <w:szCs w:val="21"/>
              </w:rPr>
              <w:t>2022.05.18</w:t>
            </w:r>
          </w:p>
        </w:tc>
        <w:tc>
          <w:tcPr>
            <w:tcW w:w="661" w:type="pct"/>
            <w:vMerge w:val="continue"/>
            <w:tcBorders>
              <w:tl2br w:val="nil"/>
              <w:tr2bl w:val="nil"/>
            </w:tcBorders>
            <w:noWrap/>
            <w:vAlign w:val="center"/>
          </w:tcPr>
          <w:p>
            <w:pPr>
              <w:spacing w:line="240" w:lineRule="auto"/>
              <w:ind w:firstLine="0" w:firstLineChars="0"/>
              <w:jc w:val="center"/>
              <w:rPr>
                <w:color w:val="auto"/>
                <w:sz w:val="21"/>
                <w:szCs w:val="21"/>
              </w:rPr>
            </w:pPr>
          </w:p>
        </w:tc>
        <w:tc>
          <w:tcPr>
            <w:tcW w:w="664" w:type="pct"/>
            <w:vMerge w:val="continue"/>
            <w:tcBorders>
              <w:tl2br w:val="nil"/>
              <w:tr2bl w:val="nil"/>
            </w:tcBorders>
            <w:vAlign w:val="center"/>
          </w:tcPr>
          <w:p>
            <w:pPr>
              <w:spacing w:line="240" w:lineRule="auto"/>
              <w:ind w:firstLine="0" w:firstLineChars="0"/>
              <w:jc w:val="center"/>
              <w:rPr>
                <w:color w:val="auto"/>
                <w:sz w:val="21"/>
                <w:szCs w:val="21"/>
              </w:rPr>
            </w:pPr>
          </w:p>
        </w:tc>
        <w:tc>
          <w:tcPr>
            <w:tcW w:w="660" w:type="pct"/>
            <w:vMerge w:val="continue"/>
            <w:tcBorders>
              <w:tl2br w:val="nil"/>
              <w:tr2bl w:val="nil"/>
            </w:tcBorders>
            <w:vAlign w:val="center"/>
          </w:tcPr>
          <w:p>
            <w:pPr>
              <w:spacing w:line="240" w:lineRule="auto"/>
              <w:ind w:firstLine="0" w:firstLineChars="0"/>
              <w:jc w:val="center"/>
              <w:rPr>
                <w:color w:val="auto"/>
                <w:sz w:val="21"/>
                <w:szCs w:val="21"/>
              </w:rPr>
            </w:pPr>
          </w:p>
        </w:tc>
        <w:tc>
          <w:tcPr>
            <w:tcW w:w="664" w:type="pct"/>
            <w:vMerge w:val="continue"/>
            <w:tcBorders>
              <w:tl2br w:val="nil"/>
              <w:tr2bl w:val="nil"/>
            </w:tcBorders>
            <w:vAlign w:val="center"/>
          </w:tcPr>
          <w:p>
            <w:pPr>
              <w:spacing w:line="240" w:lineRule="auto"/>
              <w:ind w:firstLine="0" w:firstLineChars="0"/>
              <w:jc w:val="center"/>
              <w:rPr>
                <w:color w:val="auto"/>
                <w:sz w:val="21"/>
                <w:szCs w:val="21"/>
              </w:rPr>
            </w:pPr>
          </w:p>
        </w:tc>
        <w:tc>
          <w:tcPr>
            <w:tcW w:w="661" w:type="pct"/>
            <w:vMerge w:val="continue"/>
            <w:tcBorders>
              <w:tl2br w:val="nil"/>
              <w:tr2bl w:val="nil"/>
            </w:tcBorders>
            <w:vAlign w:val="center"/>
          </w:tcPr>
          <w:p>
            <w:pPr>
              <w:spacing w:line="240" w:lineRule="auto"/>
              <w:ind w:firstLine="0" w:firstLineChars="0"/>
              <w:jc w:val="center"/>
              <w:rPr>
                <w:color w:val="auto"/>
                <w:sz w:val="21"/>
                <w:szCs w:val="21"/>
              </w:rPr>
            </w:pPr>
          </w:p>
        </w:tc>
        <w:tc>
          <w:tcPr>
            <w:tcW w:w="677"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02:00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0.08</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0.005</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1.56</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restart"/>
            <w:tcBorders>
              <w:tl2br w:val="nil"/>
              <w:tr2bl w:val="nil"/>
            </w:tcBorders>
            <w:vAlign w:val="center"/>
          </w:tcPr>
          <w:p>
            <w:pPr>
              <w:spacing w:line="240" w:lineRule="auto"/>
              <w:ind w:firstLine="0" w:firstLineChars="0"/>
              <w:jc w:val="center"/>
              <w:rPr>
                <w:rFonts w:eastAsia="等线"/>
                <w:color w:val="auto"/>
                <w:sz w:val="21"/>
                <w:szCs w:val="21"/>
              </w:rPr>
            </w:pPr>
            <w:r>
              <w:rPr>
                <w:color w:val="auto"/>
                <w:kern w:val="0"/>
                <w:sz w:val="21"/>
                <w:szCs w:val="21"/>
                <w:lang w:bidi="ar"/>
              </w:rPr>
              <w:t>0.007</w:t>
            </w:r>
          </w:p>
        </w:tc>
        <w:tc>
          <w:tcPr>
            <w:tcW w:w="677" w:type="pct"/>
            <w:vMerge w:val="restart"/>
            <w:tcBorders>
              <w:tl2br w:val="nil"/>
              <w:tr2bl w:val="nil"/>
            </w:tcBorders>
            <w:vAlign w:val="center"/>
          </w:tcPr>
          <w:p>
            <w:pPr>
              <w:spacing w:line="240" w:lineRule="auto"/>
              <w:ind w:firstLine="0" w:firstLineChars="0"/>
              <w:jc w:val="center"/>
              <w:rPr>
                <w:color w:val="auto"/>
                <w:sz w:val="21"/>
                <w:szCs w:val="21"/>
              </w:rPr>
            </w:pPr>
            <w:r>
              <w:rPr>
                <w:rFonts w:eastAsia="华文仿宋"/>
                <w:color w:val="auto"/>
                <w:sz w:val="21"/>
                <w:szCs w:val="21"/>
              </w:rPr>
              <w:t>0.234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08:00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0.10</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0.004</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1.24</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677"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14:00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0.08</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0.005</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1.84</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677"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25"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20:00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0.17</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0.002</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1.89</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677"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8" w:hRule="atLeast"/>
          <w:jc w:val="center"/>
        </w:trPr>
        <w:tc>
          <w:tcPr>
            <w:tcW w:w="1010" w:type="pct"/>
            <w:tcBorders>
              <w:tl2br w:val="nil"/>
              <w:tr2bl w:val="nil"/>
            </w:tcBorders>
            <w:noWrap/>
            <w:vAlign w:val="center"/>
          </w:tcPr>
          <w:p>
            <w:pPr>
              <w:spacing w:line="240" w:lineRule="auto"/>
              <w:ind w:firstLine="0" w:firstLineChars="0"/>
              <w:jc w:val="center"/>
              <w:rPr>
                <w:color w:val="auto"/>
                <w:kern w:val="0"/>
                <w:sz w:val="21"/>
                <w:szCs w:val="21"/>
              </w:rPr>
            </w:pPr>
            <w:r>
              <w:rPr>
                <w:rFonts w:hint="eastAsia" w:eastAsia="华文仿宋"/>
                <w:color w:val="auto"/>
                <w:sz w:val="21"/>
                <w:szCs w:val="21"/>
              </w:rPr>
              <w:t>2022.05.19</w:t>
            </w:r>
          </w:p>
        </w:tc>
        <w:tc>
          <w:tcPr>
            <w:tcW w:w="3989" w:type="pct"/>
            <w:gridSpan w:val="6"/>
            <w:tcBorders>
              <w:tl2br w:val="nil"/>
              <w:tr2bl w:val="nil"/>
            </w:tcBorders>
            <w:noWrap/>
            <w:vAlign w:val="center"/>
          </w:tcPr>
          <w:p>
            <w:pPr>
              <w:spacing w:line="240" w:lineRule="auto"/>
              <w:ind w:firstLine="0" w:firstLineChars="0"/>
              <w:jc w:val="center"/>
              <w:rPr>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02:00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0.16</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0.007</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1.87</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restart"/>
            <w:tcBorders>
              <w:tl2br w:val="nil"/>
              <w:tr2bl w:val="nil"/>
            </w:tcBorders>
            <w:vAlign w:val="center"/>
          </w:tcPr>
          <w:p>
            <w:pPr>
              <w:spacing w:line="240" w:lineRule="auto"/>
              <w:ind w:firstLine="0" w:firstLineChars="0"/>
              <w:jc w:val="center"/>
              <w:rPr>
                <w:rFonts w:eastAsia="等线"/>
                <w:color w:val="auto"/>
                <w:sz w:val="21"/>
                <w:szCs w:val="21"/>
              </w:rPr>
            </w:pPr>
            <w:r>
              <w:rPr>
                <w:color w:val="auto"/>
                <w:kern w:val="0"/>
                <w:sz w:val="21"/>
                <w:szCs w:val="21"/>
                <w:lang w:bidi="ar"/>
              </w:rPr>
              <w:t>0.007</w:t>
            </w:r>
          </w:p>
        </w:tc>
        <w:tc>
          <w:tcPr>
            <w:tcW w:w="677" w:type="pct"/>
            <w:vMerge w:val="restart"/>
            <w:tcBorders>
              <w:tl2br w:val="nil"/>
              <w:tr2bl w:val="nil"/>
            </w:tcBorders>
            <w:vAlign w:val="center"/>
          </w:tcPr>
          <w:p>
            <w:pPr>
              <w:spacing w:line="240" w:lineRule="auto"/>
              <w:ind w:firstLine="0" w:firstLineChars="0"/>
              <w:jc w:val="center"/>
              <w:rPr>
                <w:color w:val="auto"/>
                <w:sz w:val="21"/>
                <w:szCs w:val="21"/>
              </w:rPr>
            </w:pPr>
            <w:r>
              <w:rPr>
                <w:color w:val="auto"/>
                <w:kern w:val="0"/>
                <w:sz w:val="21"/>
                <w:szCs w:val="21"/>
                <w:lang w:bidi="ar"/>
              </w:rPr>
              <w:t>0.223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08:00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0.15</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0.005</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1.99</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677"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14:00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0.10</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0.003</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1.52</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677"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20:00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0.16</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0.009</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1.74</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677"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0" w:type="pct"/>
            <w:tcBorders>
              <w:tl2br w:val="nil"/>
              <w:tr2bl w:val="nil"/>
            </w:tcBorders>
            <w:noWrap/>
            <w:vAlign w:val="center"/>
          </w:tcPr>
          <w:p>
            <w:pPr>
              <w:spacing w:line="240" w:lineRule="auto"/>
              <w:ind w:firstLine="0" w:firstLineChars="0"/>
              <w:jc w:val="center"/>
              <w:rPr>
                <w:color w:val="auto"/>
                <w:kern w:val="0"/>
                <w:sz w:val="21"/>
                <w:szCs w:val="21"/>
              </w:rPr>
            </w:pPr>
            <w:r>
              <w:rPr>
                <w:rFonts w:hint="eastAsia" w:eastAsia="华文仿宋"/>
                <w:color w:val="auto"/>
                <w:sz w:val="21"/>
                <w:szCs w:val="21"/>
              </w:rPr>
              <w:t>2022.05.20</w:t>
            </w:r>
          </w:p>
        </w:tc>
        <w:tc>
          <w:tcPr>
            <w:tcW w:w="3989" w:type="pct"/>
            <w:gridSpan w:val="6"/>
            <w:tcBorders>
              <w:tl2br w:val="nil"/>
              <w:tr2bl w:val="nil"/>
            </w:tcBorders>
            <w:noWrap/>
            <w:vAlign w:val="center"/>
          </w:tcPr>
          <w:p>
            <w:pPr>
              <w:spacing w:line="240" w:lineRule="auto"/>
              <w:ind w:firstLine="0" w:firstLineChars="0"/>
              <w:jc w:val="center"/>
              <w:rPr>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02:00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0.16</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0.008</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1.48</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restart"/>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0.014</w:t>
            </w:r>
          </w:p>
        </w:tc>
        <w:tc>
          <w:tcPr>
            <w:tcW w:w="677" w:type="pct"/>
            <w:vMerge w:val="restart"/>
            <w:tcBorders>
              <w:tl2br w:val="nil"/>
              <w:tr2bl w:val="nil"/>
            </w:tcBorders>
            <w:vAlign w:val="center"/>
          </w:tcPr>
          <w:p>
            <w:pPr>
              <w:spacing w:line="240" w:lineRule="auto"/>
              <w:ind w:firstLine="0" w:firstLineChars="0"/>
              <w:jc w:val="center"/>
              <w:rPr>
                <w:color w:val="auto"/>
                <w:sz w:val="21"/>
                <w:szCs w:val="21"/>
              </w:rPr>
            </w:pPr>
            <w:r>
              <w:rPr>
                <w:rFonts w:eastAsia="华文仿宋"/>
                <w:color w:val="auto"/>
                <w:sz w:val="21"/>
                <w:szCs w:val="21"/>
              </w:rPr>
              <w:t>0.235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08:00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0.16</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0.006</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0.68</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677"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14:00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0.12</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0.003</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1.75</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677"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20:00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0.15</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0.006</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0.92</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677"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rFonts w:hint="eastAsia" w:eastAsia="华文仿宋"/>
                <w:color w:val="auto"/>
                <w:sz w:val="21"/>
                <w:szCs w:val="21"/>
              </w:rPr>
              <w:t>2022.05.21</w:t>
            </w:r>
          </w:p>
        </w:tc>
        <w:tc>
          <w:tcPr>
            <w:tcW w:w="3989" w:type="pct"/>
            <w:gridSpan w:val="6"/>
            <w:tcBorders>
              <w:tl2br w:val="nil"/>
              <w:tr2bl w:val="nil"/>
            </w:tcBorders>
            <w:noWrap/>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02:00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0.16</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0.008</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1.96</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restart"/>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0.010</w:t>
            </w:r>
          </w:p>
        </w:tc>
        <w:tc>
          <w:tcPr>
            <w:tcW w:w="677" w:type="pct"/>
            <w:vMerge w:val="restart"/>
            <w:tcBorders>
              <w:tl2br w:val="nil"/>
              <w:tr2bl w:val="nil"/>
            </w:tcBorders>
            <w:vAlign w:val="center"/>
          </w:tcPr>
          <w:p>
            <w:pPr>
              <w:spacing w:line="240" w:lineRule="auto"/>
              <w:ind w:firstLine="0" w:firstLineChars="0"/>
              <w:jc w:val="center"/>
              <w:rPr>
                <w:color w:val="auto"/>
                <w:sz w:val="21"/>
                <w:szCs w:val="21"/>
              </w:rPr>
            </w:pPr>
            <w:r>
              <w:rPr>
                <w:rFonts w:eastAsia="华文仿宋"/>
                <w:color w:val="auto"/>
                <w:sz w:val="21"/>
                <w:szCs w:val="21"/>
              </w:rPr>
              <w:t>0.269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08:00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0.15</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0.005</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0.92</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677"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14:00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0.15</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0.007</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0.12</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677"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20:00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0.15</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0.008</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1.94</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677"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425"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rFonts w:hint="eastAsia" w:eastAsia="华文仿宋"/>
                <w:color w:val="auto"/>
                <w:sz w:val="21"/>
                <w:szCs w:val="21"/>
              </w:rPr>
              <w:t>2022.05.22</w:t>
            </w:r>
          </w:p>
        </w:tc>
        <w:tc>
          <w:tcPr>
            <w:tcW w:w="3989" w:type="pct"/>
            <w:gridSpan w:val="6"/>
            <w:tcBorders>
              <w:tl2br w:val="nil"/>
              <w:tr2bl w:val="nil"/>
            </w:tcBorders>
            <w:noWrap/>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510"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02:00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eastAsia="华文仿宋"/>
                <w:color w:val="auto"/>
                <w:sz w:val="21"/>
                <w:szCs w:val="21"/>
              </w:rPr>
              <w:t>0.15</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0.001</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1.96</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restart"/>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0.008</w:t>
            </w:r>
          </w:p>
        </w:tc>
        <w:tc>
          <w:tcPr>
            <w:tcW w:w="677" w:type="pct"/>
            <w:vMerge w:val="restart"/>
            <w:tcBorders>
              <w:tl2br w:val="nil"/>
              <w:tr2bl w:val="nil"/>
            </w:tcBorders>
            <w:vAlign w:val="center"/>
          </w:tcPr>
          <w:p>
            <w:pPr>
              <w:spacing w:line="240" w:lineRule="auto"/>
              <w:ind w:firstLine="0" w:firstLineChars="0"/>
              <w:jc w:val="center"/>
              <w:rPr>
                <w:color w:val="auto"/>
                <w:sz w:val="21"/>
                <w:szCs w:val="21"/>
              </w:rPr>
            </w:pPr>
            <w:r>
              <w:rPr>
                <w:rFonts w:eastAsia="华文仿宋"/>
                <w:color w:val="auto"/>
                <w:sz w:val="21"/>
                <w:szCs w:val="21"/>
              </w:rPr>
              <w:t>0.226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510"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08:00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0.13</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0.002</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0.27</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677"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510"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14:00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0.15</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0.008</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2.00</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677"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510"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20:00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0.12</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0.009</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1.58</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677"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510" w:hRule="atLeast"/>
          <w:jc w:val="center"/>
        </w:trPr>
        <w:tc>
          <w:tcPr>
            <w:tcW w:w="1010" w:type="pct"/>
            <w:tcBorders>
              <w:tl2br w:val="nil"/>
              <w:tr2bl w:val="nil"/>
            </w:tcBorders>
            <w:noWrap/>
            <w:vAlign w:val="center"/>
          </w:tcPr>
          <w:p>
            <w:pPr>
              <w:spacing w:line="240" w:lineRule="auto"/>
              <w:ind w:firstLine="0" w:firstLineChars="0"/>
              <w:jc w:val="center"/>
              <w:rPr>
                <w:color w:val="auto"/>
                <w:kern w:val="0"/>
                <w:sz w:val="21"/>
                <w:szCs w:val="21"/>
              </w:rPr>
            </w:pPr>
            <w:r>
              <w:rPr>
                <w:rFonts w:hint="eastAsia" w:eastAsia="华文仿宋"/>
                <w:color w:val="auto"/>
                <w:sz w:val="21"/>
                <w:szCs w:val="21"/>
              </w:rPr>
              <w:t>2022.05.23</w:t>
            </w:r>
          </w:p>
        </w:tc>
        <w:tc>
          <w:tcPr>
            <w:tcW w:w="3989" w:type="pct"/>
            <w:gridSpan w:val="6"/>
            <w:tcBorders>
              <w:tl2br w:val="nil"/>
              <w:tr2bl w:val="nil"/>
            </w:tcBorders>
            <w:noWrap/>
            <w:vAlign w:val="center"/>
          </w:tcPr>
          <w:p>
            <w:pPr>
              <w:spacing w:line="240" w:lineRule="auto"/>
              <w:ind w:firstLine="0" w:firstLineChars="0"/>
              <w:jc w:val="center"/>
              <w:rPr>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510"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02:00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0.13</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0.008</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1.52</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restart"/>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0.006</w:t>
            </w:r>
          </w:p>
        </w:tc>
        <w:tc>
          <w:tcPr>
            <w:tcW w:w="677" w:type="pct"/>
            <w:vMerge w:val="restart"/>
            <w:tcBorders>
              <w:tl2br w:val="nil"/>
              <w:tr2bl w:val="nil"/>
            </w:tcBorders>
            <w:vAlign w:val="center"/>
          </w:tcPr>
          <w:p>
            <w:pPr>
              <w:spacing w:line="240" w:lineRule="auto"/>
              <w:ind w:firstLine="0" w:firstLineChars="0"/>
              <w:jc w:val="center"/>
              <w:rPr>
                <w:color w:val="auto"/>
                <w:sz w:val="21"/>
                <w:szCs w:val="21"/>
              </w:rPr>
            </w:pPr>
            <w:r>
              <w:rPr>
                <w:rFonts w:eastAsia="华文仿宋"/>
                <w:color w:val="auto"/>
                <w:sz w:val="21"/>
                <w:szCs w:val="21"/>
              </w:rPr>
              <w:t>0.222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10"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08:00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0.12</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0.006</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0.60</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677"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510"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14:00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0.15</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eastAsia="华文仿宋"/>
                <w:color w:val="auto"/>
                <w:sz w:val="21"/>
                <w:szCs w:val="21"/>
              </w:rPr>
              <w:t>ND</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0.54</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677"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510"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20:00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0.12</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0.002</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0.90</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677"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510"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rFonts w:hint="eastAsia" w:eastAsia="华文仿宋"/>
                <w:color w:val="auto"/>
                <w:sz w:val="21"/>
                <w:szCs w:val="21"/>
              </w:rPr>
              <w:t>2022.05.24</w:t>
            </w:r>
          </w:p>
        </w:tc>
        <w:tc>
          <w:tcPr>
            <w:tcW w:w="3989" w:type="pct"/>
            <w:gridSpan w:val="6"/>
            <w:tcBorders>
              <w:tl2br w:val="nil"/>
              <w:tr2bl w:val="nil"/>
            </w:tcBorders>
            <w:noWrap/>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510"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02:00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0.11</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0.001</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0.35</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restart"/>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0.006</w:t>
            </w:r>
          </w:p>
        </w:tc>
        <w:tc>
          <w:tcPr>
            <w:tcW w:w="677" w:type="pct"/>
            <w:vMerge w:val="restart"/>
            <w:tcBorders>
              <w:tl2br w:val="nil"/>
              <w:tr2bl w:val="nil"/>
            </w:tcBorders>
            <w:vAlign w:val="center"/>
          </w:tcPr>
          <w:p>
            <w:pPr>
              <w:spacing w:line="240" w:lineRule="auto"/>
              <w:ind w:firstLine="0" w:firstLineChars="0"/>
              <w:jc w:val="center"/>
              <w:rPr>
                <w:color w:val="auto"/>
                <w:sz w:val="21"/>
                <w:szCs w:val="21"/>
              </w:rPr>
            </w:pPr>
            <w:r>
              <w:rPr>
                <w:rFonts w:eastAsia="华文仿宋"/>
                <w:color w:val="auto"/>
                <w:sz w:val="21"/>
                <w:szCs w:val="21"/>
              </w:rPr>
              <w:t>0.213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510"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08:00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0.14</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0.009</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1.91</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677"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510"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14:00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0.15</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eastAsia="华文仿宋"/>
                <w:color w:val="auto"/>
                <w:sz w:val="21"/>
                <w:szCs w:val="21"/>
              </w:rPr>
              <w:t>ND</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1.49</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677"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510"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20:00</w:t>
            </w:r>
          </w:p>
        </w:tc>
        <w:tc>
          <w:tcPr>
            <w:tcW w:w="661" w:type="pct"/>
            <w:tcBorders>
              <w:tl2br w:val="nil"/>
              <w:tr2bl w:val="nil"/>
            </w:tcBorders>
            <w:noWrap/>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0.14</w:t>
            </w:r>
          </w:p>
        </w:tc>
        <w:tc>
          <w:tcPr>
            <w:tcW w:w="664" w:type="pct"/>
            <w:tcBorders>
              <w:tl2br w:val="nil"/>
              <w:tr2bl w:val="nil"/>
            </w:tcBorders>
            <w:vAlign w:val="center"/>
          </w:tcPr>
          <w:p>
            <w:pPr>
              <w:widowControl/>
              <w:spacing w:line="240" w:lineRule="auto"/>
              <w:ind w:firstLine="0" w:firstLineChars="0"/>
              <w:jc w:val="center"/>
              <w:textAlignment w:val="center"/>
              <w:rPr>
                <w:rFonts w:eastAsia="等线"/>
                <w:color w:val="auto"/>
                <w:sz w:val="21"/>
                <w:szCs w:val="21"/>
              </w:rPr>
            </w:pPr>
            <w:r>
              <w:rPr>
                <w:rFonts w:hint="eastAsia" w:eastAsia="等线"/>
                <w:color w:val="auto"/>
                <w:sz w:val="21"/>
                <w:szCs w:val="21"/>
              </w:rPr>
              <w:t>0.007</w:t>
            </w:r>
          </w:p>
        </w:tc>
        <w:tc>
          <w:tcPr>
            <w:tcW w:w="660" w:type="pct"/>
            <w:tcBorders>
              <w:tl2br w:val="nil"/>
              <w:tr2bl w:val="nil"/>
            </w:tcBorders>
            <w:vAlign w:val="center"/>
          </w:tcPr>
          <w:p>
            <w:pPr>
              <w:spacing w:line="240" w:lineRule="auto"/>
              <w:ind w:firstLine="0" w:firstLineChars="0"/>
              <w:jc w:val="center"/>
              <w:rPr>
                <w:rFonts w:eastAsia="等线"/>
                <w:color w:val="auto"/>
                <w:sz w:val="21"/>
                <w:szCs w:val="21"/>
              </w:rPr>
            </w:pPr>
            <w:r>
              <w:rPr>
                <w:rFonts w:hint="eastAsia" w:eastAsia="等线"/>
                <w:color w:val="auto"/>
                <w:sz w:val="21"/>
                <w:szCs w:val="21"/>
              </w:rPr>
              <w:t>1.90</w:t>
            </w:r>
          </w:p>
        </w:tc>
        <w:tc>
          <w:tcPr>
            <w:tcW w:w="1129" w:type="dxa"/>
            <w:tcBorders>
              <w:tl2br w:val="nil"/>
              <w:tr2bl w:val="nil"/>
            </w:tcBorders>
            <w:vAlign w:val="center"/>
          </w:tcPr>
          <w:p>
            <w:pPr>
              <w:spacing w:line="240" w:lineRule="auto"/>
              <w:ind w:firstLine="0" w:firstLineChars="0"/>
              <w:jc w:val="center"/>
              <w:rPr>
                <w:rFonts w:eastAsia="等线"/>
                <w:color w:val="auto"/>
                <w:sz w:val="21"/>
                <w:szCs w:val="21"/>
              </w:rPr>
            </w:pPr>
            <w:r>
              <w:rPr>
                <w:rFonts w:eastAsia="华文仿宋"/>
                <w:color w:val="auto"/>
                <w:sz w:val="21"/>
                <w:szCs w:val="21"/>
              </w:rPr>
              <w:t>&lt;10</w:t>
            </w:r>
          </w:p>
        </w:tc>
        <w:tc>
          <w:tcPr>
            <w:tcW w:w="661" w:type="pct"/>
            <w:vMerge w:val="continue"/>
            <w:tcBorders>
              <w:tl2br w:val="nil"/>
              <w:tr2bl w:val="nil"/>
            </w:tcBorders>
            <w:vAlign w:val="center"/>
          </w:tcPr>
          <w:p>
            <w:pPr>
              <w:spacing w:line="240" w:lineRule="auto"/>
              <w:ind w:firstLine="0" w:firstLineChars="0"/>
              <w:jc w:val="center"/>
              <w:rPr>
                <w:rFonts w:eastAsia="等线"/>
                <w:color w:val="auto"/>
                <w:sz w:val="21"/>
                <w:szCs w:val="21"/>
              </w:rPr>
            </w:pPr>
          </w:p>
        </w:tc>
        <w:tc>
          <w:tcPr>
            <w:tcW w:w="677"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8" w:type="dxa"/>
            <w:bottom w:w="0" w:type="dxa"/>
            <w:right w:w="108" w:type="dxa"/>
          </w:tblCellMar>
        </w:tblPrEx>
        <w:trPr>
          <w:trHeight w:val="510" w:hRule="atLeast"/>
          <w:jc w:val="center"/>
        </w:trPr>
        <w:tc>
          <w:tcPr>
            <w:tcW w:w="1010" w:type="pct"/>
            <w:tcBorders>
              <w:tl2br w:val="nil"/>
              <w:tr2bl w:val="nil"/>
            </w:tcBorders>
            <w:noWrap/>
            <w:vAlign w:val="center"/>
          </w:tcPr>
          <w:p>
            <w:pPr>
              <w:widowControl/>
              <w:spacing w:line="240" w:lineRule="auto"/>
              <w:ind w:firstLine="0" w:firstLineChars="0"/>
              <w:jc w:val="center"/>
              <w:rPr>
                <w:color w:val="auto"/>
                <w:kern w:val="0"/>
                <w:sz w:val="21"/>
                <w:szCs w:val="21"/>
              </w:rPr>
            </w:pPr>
            <w:r>
              <w:rPr>
                <w:color w:val="auto"/>
                <w:kern w:val="0"/>
                <w:sz w:val="21"/>
                <w:szCs w:val="21"/>
              </w:rPr>
              <w:t>备注</w:t>
            </w:r>
          </w:p>
        </w:tc>
        <w:tc>
          <w:tcPr>
            <w:tcW w:w="3989" w:type="pct"/>
            <w:gridSpan w:val="6"/>
            <w:tcBorders>
              <w:tl2br w:val="nil"/>
              <w:tr2bl w:val="nil"/>
            </w:tcBorders>
            <w:noWrap/>
            <w:vAlign w:val="center"/>
          </w:tcPr>
          <w:p>
            <w:pPr>
              <w:spacing w:line="240" w:lineRule="auto"/>
              <w:ind w:firstLine="0" w:firstLineChars="0"/>
              <w:jc w:val="center"/>
              <w:rPr>
                <w:color w:val="auto"/>
                <w:sz w:val="21"/>
                <w:szCs w:val="21"/>
              </w:rPr>
            </w:pPr>
            <w:r>
              <w:rPr>
                <w:color w:val="auto"/>
                <w:kern w:val="0"/>
                <w:sz w:val="21"/>
                <w:szCs w:val="21"/>
              </w:rPr>
              <w:t>ND表示未检出。</w:t>
            </w:r>
          </w:p>
        </w:tc>
      </w:tr>
    </w:tbl>
    <w:p>
      <w:pPr>
        <w:pStyle w:val="48"/>
        <w:rPr>
          <w:b w:val="0"/>
          <w:bCs/>
          <w:color w:val="auto"/>
        </w:rPr>
      </w:pPr>
      <w:r>
        <w:rPr>
          <w:b w:val="0"/>
          <w:bCs/>
          <w:color w:val="auto"/>
        </w:rPr>
        <w:t>表</w:t>
      </w:r>
      <w:r>
        <w:rPr>
          <w:rFonts w:hint="eastAsia"/>
          <w:b w:val="0"/>
          <w:bCs/>
          <w:color w:val="auto"/>
        </w:rPr>
        <w:t>4</w:t>
      </w:r>
      <w:r>
        <w:rPr>
          <w:b w:val="0"/>
          <w:bCs/>
          <w:color w:val="auto"/>
        </w:rPr>
        <w:t>.1-</w:t>
      </w:r>
      <w:r>
        <w:rPr>
          <w:rFonts w:hint="eastAsia"/>
          <w:b w:val="0"/>
          <w:bCs/>
          <w:color w:val="auto"/>
        </w:rPr>
        <w:t xml:space="preserve">6 </w:t>
      </w:r>
      <w:r>
        <w:rPr>
          <w:b w:val="0"/>
          <w:bCs/>
          <w:color w:val="auto"/>
        </w:rPr>
        <w:t>各测点污染物监测结果统计表</w:t>
      </w:r>
    </w:p>
    <w:tbl>
      <w:tblPr>
        <w:tblStyle w:val="2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397"/>
        <w:gridCol w:w="2074"/>
        <w:gridCol w:w="2876"/>
        <w:gridCol w:w="293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752" w:type="pct"/>
            <w:vAlign w:val="center"/>
          </w:tcPr>
          <w:p>
            <w:pPr>
              <w:pStyle w:val="47"/>
              <w:spacing w:line="240" w:lineRule="auto"/>
              <w:rPr>
                <w:b/>
                <w:color w:val="auto"/>
              </w:rPr>
            </w:pPr>
            <w:r>
              <w:rPr>
                <w:b/>
                <w:color w:val="auto"/>
              </w:rPr>
              <w:t>监测点位</w:t>
            </w:r>
          </w:p>
        </w:tc>
        <w:tc>
          <w:tcPr>
            <w:tcW w:w="1116" w:type="pct"/>
            <w:vAlign w:val="center"/>
          </w:tcPr>
          <w:p>
            <w:pPr>
              <w:pStyle w:val="47"/>
              <w:spacing w:line="240" w:lineRule="auto"/>
              <w:rPr>
                <w:b/>
                <w:color w:val="auto"/>
              </w:rPr>
            </w:pPr>
            <w:r>
              <w:rPr>
                <w:b/>
                <w:color w:val="auto"/>
              </w:rPr>
              <w:t>项目</w:t>
            </w:r>
          </w:p>
        </w:tc>
        <w:tc>
          <w:tcPr>
            <w:tcW w:w="1548" w:type="pct"/>
            <w:vAlign w:val="center"/>
          </w:tcPr>
          <w:p>
            <w:pPr>
              <w:pStyle w:val="47"/>
              <w:spacing w:line="240" w:lineRule="auto"/>
              <w:rPr>
                <w:b/>
                <w:color w:val="auto"/>
              </w:rPr>
            </w:pPr>
            <w:r>
              <w:rPr>
                <w:b/>
                <w:color w:val="auto"/>
              </w:rPr>
              <w:t>小时浓度范围</w:t>
            </w:r>
          </w:p>
        </w:tc>
        <w:tc>
          <w:tcPr>
            <w:tcW w:w="1582" w:type="pct"/>
            <w:vAlign w:val="center"/>
          </w:tcPr>
          <w:p>
            <w:pPr>
              <w:pStyle w:val="47"/>
              <w:spacing w:line="240" w:lineRule="auto"/>
              <w:rPr>
                <w:b/>
                <w:color w:val="auto"/>
              </w:rPr>
            </w:pPr>
            <w:r>
              <w:rPr>
                <w:b/>
                <w:color w:val="auto"/>
              </w:rPr>
              <w:t>日均浓度范围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752" w:type="pct"/>
            <w:vMerge w:val="restart"/>
            <w:vAlign w:val="center"/>
          </w:tcPr>
          <w:p>
            <w:pPr>
              <w:pStyle w:val="47"/>
              <w:spacing w:line="240" w:lineRule="auto"/>
              <w:rPr>
                <w:color w:val="auto"/>
              </w:rPr>
            </w:pPr>
            <w:r>
              <w:rPr>
                <w:rFonts w:eastAsia="等线"/>
                <w:color w:val="auto"/>
                <w:szCs w:val="21"/>
              </w:rPr>
              <w:t>1#</w:t>
            </w:r>
            <w:r>
              <w:rPr>
                <w:color w:val="auto"/>
                <w:szCs w:val="21"/>
              </w:rPr>
              <w:t>项目厂址</w:t>
            </w:r>
          </w:p>
        </w:tc>
        <w:tc>
          <w:tcPr>
            <w:tcW w:w="1116" w:type="pct"/>
            <w:vAlign w:val="center"/>
          </w:tcPr>
          <w:p>
            <w:pPr>
              <w:pStyle w:val="47"/>
              <w:spacing w:line="240" w:lineRule="auto"/>
              <w:rPr>
                <w:color w:val="auto"/>
                <w:szCs w:val="24"/>
              </w:rPr>
            </w:pPr>
            <w:r>
              <w:rPr>
                <w:color w:val="auto"/>
                <w:szCs w:val="24"/>
              </w:rPr>
              <w:t>氨</w:t>
            </w:r>
            <w:r>
              <w:rPr>
                <w:bCs/>
                <w:color w:val="auto"/>
              </w:rPr>
              <w:t>mg/m</w:t>
            </w:r>
            <w:r>
              <w:rPr>
                <w:bCs/>
                <w:color w:val="auto"/>
                <w:vertAlign w:val="superscript"/>
              </w:rPr>
              <w:t>3</w:t>
            </w:r>
          </w:p>
        </w:tc>
        <w:tc>
          <w:tcPr>
            <w:tcW w:w="1548" w:type="pct"/>
            <w:vAlign w:val="center"/>
          </w:tcPr>
          <w:p>
            <w:pPr>
              <w:pStyle w:val="47"/>
              <w:spacing w:line="240" w:lineRule="auto"/>
              <w:rPr>
                <w:color w:val="auto"/>
                <w:szCs w:val="24"/>
              </w:rPr>
            </w:pPr>
            <w:r>
              <w:rPr>
                <w:rFonts w:hint="eastAsia"/>
                <w:color w:val="auto"/>
                <w:szCs w:val="24"/>
              </w:rPr>
              <w:t>0.03-0.17</w:t>
            </w:r>
          </w:p>
        </w:tc>
        <w:tc>
          <w:tcPr>
            <w:tcW w:w="1582" w:type="pct"/>
            <w:vAlign w:val="center"/>
          </w:tcPr>
          <w:p>
            <w:pPr>
              <w:pStyle w:val="47"/>
              <w:spacing w:line="240" w:lineRule="auto"/>
              <w:rPr>
                <w:color w:val="auto"/>
                <w:szCs w:val="24"/>
              </w:rPr>
            </w:pPr>
            <w:r>
              <w:rPr>
                <w:color w:val="auto"/>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752" w:type="pct"/>
            <w:vMerge w:val="continue"/>
            <w:vAlign w:val="center"/>
          </w:tcPr>
          <w:p>
            <w:pPr>
              <w:pStyle w:val="47"/>
              <w:spacing w:line="240" w:lineRule="auto"/>
              <w:rPr>
                <w:color w:val="auto"/>
              </w:rPr>
            </w:pPr>
          </w:p>
        </w:tc>
        <w:tc>
          <w:tcPr>
            <w:tcW w:w="1116" w:type="pct"/>
            <w:vAlign w:val="center"/>
          </w:tcPr>
          <w:p>
            <w:pPr>
              <w:pStyle w:val="47"/>
              <w:spacing w:line="240" w:lineRule="auto"/>
              <w:rPr>
                <w:color w:val="auto"/>
                <w:szCs w:val="24"/>
              </w:rPr>
            </w:pPr>
            <w:r>
              <w:rPr>
                <w:color w:val="auto"/>
                <w:szCs w:val="24"/>
              </w:rPr>
              <w:t>硫化氢</w:t>
            </w:r>
            <w:r>
              <w:rPr>
                <w:bCs/>
                <w:color w:val="auto"/>
              </w:rPr>
              <w:t>mg/m</w:t>
            </w:r>
            <w:r>
              <w:rPr>
                <w:bCs/>
                <w:color w:val="auto"/>
                <w:vertAlign w:val="superscript"/>
              </w:rPr>
              <w:t>3</w:t>
            </w:r>
          </w:p>
        </w:tc>
        <w:tc>
          <w:tcPr>
            <w:tcW w:w="1548" w:type="pct"/>
            <w:vAlign w:val="center"/>
          </w:tcPr>
          <w:p>
            <w:pPr>
              <w:pStyle w:val="47"/>
              <w:spacing w:line="240" w:lineRule="auto"/>
              <w:rPr>
                <w:color w:val="auto"/>
                <w:szCs w:val="24"/>
              </w:rPr>
            </w:pPr>
            <w:r>
              <w:rPr>
                <w:rFonts w:hint="eastAsia"/>
                <w:color w:val="auto"/>
                <w:szCs w:val="24"/>
              </w:rPr>
              <w:t>0.002-0.009</w:t>
            </w:r>
          </w:p>
        </w:tc>
        <w:tc>
          <w:tcPr>
            <w:tcW w:w="1582" w:type="pct"/>
            <w:vAlign w:val="center"/>
          </w:tcPr>
          <w:p>
            <w:pPr>
              <w:pStyle w:val="47"/>
              <w:spacing w:line="240" w:lineRule="auto"/>
              <w:rPr>
                <w:color w:val="auto"/>
                <w:szCs w:val="24"/>
              </w:rPr>
            </w:pPr>
            <w:r>
              <w:rPr>
                <w:color w:val="auto"/>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59" w:hRule="atLeast"/>
          <w:jc w:val="center"/>
        </w:trPr>
        <w:tc>
          <w:tcPr>
            <w:tcW w:w="752" w:type="pct"/>
            <w:vMerge w:val="continue"/>
            <w:vAlign w:val="center"/>
          </w:tcPr>
          <w:p>
            <w:pPr>
              <w:pStyle w:val="47"/>
              <w:spacing w:line="240" w:lineRule="auto"/>
              <w:rPr>
                <w:color w:val="auto"/>
              </w:rPr>
            </w:pPr>
          </w:p>
        </w:tc>
        <w:tc>
          <w:tcPr>
            <w:tcW w:w="1116" w:type="pct"/>
            <w:vAlign w:val="center"/>
          </w:tcPr>
          <w:p>
            <w:pPr>
              <w:pStyle w:val="47"/>
              <w:spacing w:line="240" w:lineRule="auto"/>
              <w:rPr>
                <w:color w:val="auto"/>
                <w:szCs w:val="24"/>
              </w:rPr>
            </w:pPr>
            <w:r>
              <w:rPr>
                <w:color w:val="auto"/>
              </w:rPr>
              <w:t>VOCs（以</w:t>
            </w:r>
            <w:r>
              <w:rPr>
                <w:rFonts w:hint="eastAsia"/>
                <w:color w:val="auto"/>
                <w:lang w:eastAsia="zh-CN"/>
              </w:rPr>
              <w:t>非甲烷</w:t>
            </w:r>
            <w:r>
              <w:rPr>
                <w:color w:val="auto"/>
              </w:rPr>
              <w:t>总烃计）</w:t>
            </w:r>
            <w:r>
              <w:rPr>
                <w:bCs/>
                <w:color w:val="auto"/>
              </w:rPr>
              <w:t>mg/m</w:t>
            </w:r>
            <w:r>
              <w:rPr>
                <w:bCs/>
                <w:color w:val="auto"/>
                <w:vertAlign w:val="superscript"/>
              </w:rPr>
              <w:t>3</w:t>
            </w:r>
          </w:p>
        </w:tc>
        <w:tc>
          <w:tcPr>
            <w:tcW w:w="1548" w:type="pct"/>
            <w:vAlign w:val="center"/>
          </w:tcPr>
          <w:p>
            <w:pPr>
              <w:pStyle w:val="47"/>
              <w:spacing w:line="240" w:lineRule="auto"/>
              <w:rPr>
                <w:color w:val="auto"/>
                <w:szCs w:val="24"/>
              </w:rPr>
            </w:pPr>
            <w:r>
              <w:rPr>
                <w:rFonts w:hint="eastAsia"/>
                <w:color w:val="auto"/>
                <w:szCs w:val="24"/>
              </w:rPr>
              <w:t>0.10-1.96</w:t>
            </w:r>
          </w:p>
        </w:tc>
        <w:tc>
          <w:tcPr>
            <w:tcW w:w="1582" w:type="pct"/>
            <w:vAlign w:val="center"/>
          </w:tcPr>
          <w:p>
            <w:pPr>
              <w:pStyle w:val="47"/>
              <w:spacing w:line="240" w:lineRule="auto"/>
              <w:rPr>
                <w:color w:val="auto"/>
                <w:szCs w:val="24"/>
              </w:rPr>
            </w:pPr>
            <w:r>
              <w:rPr>
                <w:color w:val="auto"/>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752" w:type="pct"/>
            <w:vMerge w:val="continue"/>
            <w:vAlign w:val="center"/>
          </w:tcPr>
          <w:p>
            <w:pPr>
              <w:pStyle w:val="47"/>
              <w:spacing w:line="240" w:lineRule="auto"/>
              <w:rPr>
                <w:color w:val="auto"/>
              </w:rPr>
            </w:pPr>
          </w:p>
        </w:tc>
        <w:tc>
          <w:tcPr>
            <w:tcW w:w="1116" w:type="pct"/>
            <w:vAlign w:val="center"/>
          </w:tcPr>
          <w:p>
            <w:pPr>
              <w:pStyle w:val="47"/>
              <w:spacing w:line="240" w:lineRule="auto"/>
              <w:rPr>
                <w:color w:val="auto"/>
              </w:rPr>
            </w:pPr>
            <w:r>
              <w:rPr>
                <w:rFonts w:hint="eastAsia"/>
                <w:color w:val="auto"/>
                <w:szCs w:val="21"/>
              </w:rPr>
              <w:t>臭气浓度（无量纲）</w:t>
            </w:r>
          </w:p>
        </w:tc>
        <w:tc>
          <w:tcPr>
            <w:tcW w:w="1548" w:type="pct"/>
            <w:vAlign w:val="center"/>
          </w:tcPr>
          <w:p>
            <w:pPr>
              <w:pStyle w:val="47"/>
              <w:spacing w:line="240" w:lineRule="auto"/>
              <w:rPr>
                <w:color w:val="auto"/>
              </w:rPr>
            </w:pPr>
            <w:r>
              <w:rPr>
                <w:rFonts w:eastAsia="华文仿宋"/>
                <w:color w:val="auto"/>
                <w:szCs w:val="21"/>
              </w:rPr>
              <w:t>&lt;10</w:t>
            </w:r>
          </w:p>
        </w:tc>
        <w:tc>
          <w:tcPr>
            <w:tcW w:w="1582" w:type="pct"/>
            <w:vAlign w:val="center"/>
          </w:tcPr>
          <w:p>
            <w:pPr>
              <w:pStyle w:val="47"/>
              <w:spacing w:line="240" w:lineRule="auto"/>
              <w:rPr>
                <w:color w:val="auto"/>
              </w:rPr>
            </w:pPr>
            <w:r>
              <w:rPr>
                <w:color w:val="auto"/>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752" w:type="pct"/>
            <w:vMerge w:val="continue"/>
            <w:vAlign w:val="center"/>
          </w:tcPr>
          <w:p>
            <w:pPr>
              <w:pStyle w:val="47"/>
              <w:spacing w:line="240" w:lineRule="auto"/>
              <w:rPr>
                <w:color w:val="auto"/>
              </w:rPr>
            </w:pPr>
          </w:p>
        </w:tc>
        <w:tc>
          <w:tcPr>
            <w:tcW w:w="1116" w:type="pct"/>
            <w:vAlign w:val="center"/>
          </w:tcPr>
          <w:p>
            <w:pPr>
              <w:pStyle w:val="47"/>
              <w:spacing w:line="240" w:lineRule="auto"/>
              <w:rPr>
                <w:color w:val="auto"/>
              </w:rPr>
            </w:pPr>
            <w:r>
              <w:rPr>
                <w:rFonts w:hint="eastAsia"/>
                <w:color w:val="auto"/>
              </w:rPr>
              <w:t>NO</w:t>
            </w:r>
            <w:r>
              <w:rPr>
                <w:rFonts w:hint="eastAsia"/>
                <w:color w:val="auto"/>
                <w:vertAlign w:val="subscript"/>
              </w:rPr>
              <w:t>X</w:t>
            </w:r>
            <w:r>
              <w:rPr>
                <w:color w:val="auto"/>
                <w:szCs w:val="21"/>
              </w:rPr>
              <w:t>μg/m</w:t>
            </w:r>
            <w:r>
              <w:rPr>
                <w:color w:val="auto"/>
                <w:szCs w:val="21"/>
                <w:vertAlign w:val="superscript"/>
              </w:rPr>
              <w:t>3</w:t>
            </w:r>
          </w:p>
        </w:tc>
        <w:tc>
          <w:tcPr>
            <w:tcW w:w="1548" w:type="pct"/>
            <w:vAlign w:val="center"/>
          </w:tcPr>
          <w:p>
            <w:pPr>
              <w:pStyle w:val="47"/>
              <w:spacing w:line="240" w:lineRule="auto"/>
              <w:rPr>
                <w:color w:val="auto"/>
              </w:rPr>
            </w:pPr>
            <w:r>
              <w:rPr>
                <w:color w:val="auto"/>
              </w:rPr>
              <w:t>---</w:t>
            </w:r>
          </w:p>
        </w:tc>
        <w:tc>
          <w:tcPr>
            <w:tcW w:w="1582" w:type="pct"/>
            <w:vAlign w:val="center"/>
          </w:tcPr>
          <w:p>
            <w:pPr>
              <w:pStyle w:val="47"/>
              <w:spacing w:line="240" w:lineRule="auto"/>
              <w:rPr>
                <w:color w:val="auto"/>
              </w:rPr>
            </w:pPr>
            <w:r>
              <w:rPr>
                <w:rFonts w:hint="eastAsia"/>
                <w:color w:val="auto"/>
              </w:rPr>
              <w:t>0.005-0.017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7" w:hRule="atLeast"/>
          <w:jc w:val="center"/>
        </w:trPr>
        <w:tc>
          <w:tcPr>
            <w:tcW w:w="752" w:type="pct"/>
            <w:vMerge w:val="continue"/>
            <w:vAlign w:val="center"/>
          </w:tcPr>
          <w:p>
            <w:pPr>
              <w:pStyle w:val="47"/>
              <w:spacing w:line="240" w:lineRule="auto"/>
              <w:rPr>
                <w:color w:val="auto"/>
              </w:rPr>
            </w:pPr>
          </w:p>
        </w:tc>
        <w:tc>
          <w:tcPr>
            <w:tcW w:w="1116" w:type="pct"/>
            <w:vAlign w:val="center"/>
          </w:tcPr>
          <w:p>
            <w:pPr>
              <w:pStyle w:val="47"/>
              <w:spacing w:line="240" w:lineRule="auto"/>
              <w:rPr>
                <w:color w:val="auto"/>
                <w:szCs w:val="24"/>
              </w:rPr>
            </w:pPr>
            <w:r>
              <w:rPr>
                <w:color w:val="auto"/>
              </w:rPr>
              <w:t>TSP</w:t>
            </w:r>
            <w:r>
              <w:rPr>
                <w:color w:val="auto"/>
                <w:szCs w:val="21"/>
              </w:rPr>
              <w:t>μg/m</w:t>
            </w:r>
            <w:r>
              <w:rPr>
                <w:color w:val="auto"/>
                <w:szCs w:val="21"/>
                <w:vertAlign w:val="superscript"/>
              </w:rPr>
              <w:t>3</w:t>
            </w:r>
          </w:p>
        </w:tc>
        <w:tc>
          <w:tcPr>
            <w:tcW w:w="1548" w:type="pct"/>
            <w:vAlign w:val="center"/>
          </w:tcPr>
          <w:p>
            <w:pPr>
              <w:pStyle w:val="47"/>
              <w:spacing w:line="240" w:lineRule="auto"/>
              <w:rPr>
                <w:color w:val="auto"/>
                <w:szCs w:val="24"/>
              </w:rPr>
            </w:pPr>
            <w:r>
              <w:rPr>
                <w:color w:val="auto"/>
              </w:rPr>
              <w:t>---</w:t>
            </w:r>
          </w:p>
        </w:tc>
        <w:tc>
          <w:tcPr>
            <w:tcW w:w="1582" w:type="pct"/>
            <w:vAlign w:val="center"/>
          </w:tcPr>
          <w:p>
            <w:pPr>
              <w:pStyle w:val="47"/>
              <w:spacing w:line="240" w:lineRule="auto"/>
              <w:rPr>
                <w:color w:val="auto"/>
                <w:szCs w:val="24"/>
              </w:rPr>
            </w:pPr>
            <w:r>
              <w:rPr>
                <w:rFonts w:hint="eastAsia"/>
                <w:color w:val="auto"/>
              </w:rPr>
              <w:t>0.269-0.363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752" w:type="pct"/>
            <w:vMerge w:val="restart"/>
            <w:vAlign w:val="center"/>
          </w:tcPr>
          <w:p>
            <w:pPr>
              <w:pStyle w:val="47"/>
              <w:spacing w:line="240" w:lineRule="auto"/>
              <w:rPr>
                <w:rFonts w:eastAsia="等线"/>
                <w:color w:val="auto"/>
              </w:rPr>
            </w:pPr>
            <w:r>
              <w:rPr>
                <w:rFonts w:eastAsia="等线"/>
                <w:color w:val="auto"/>
                <w:szCs w:val="21"/>
              </w:rPr>
              <w:t>2#</w:t>
            </w:r>
            <w:r>
              <w:rPr>
                <w:rFonts w:hint="eastAsia" w:eastAsia="等线"/>
                <w:color w:val="auto"/>
                <w:szCs w:val="21"/>
              </w:rPr>
              <w:t>曹营村</w:t>
            </w:r>
          </w:p>
        </w:tc>
        <w:tc>
          <w:tcPr>
            <w:tcW w:w="1903" w:type="dxa"/>
            <w:vAlign w:val="center"/>
          </w:tcPr>
          <w:p>
            <w:pPr>
              <w:pStyle w:val="47"/>
              <w:spacing w:line="240" w:lineRule="auto"/>
              <w:rPr>
                <w:color w:val="auto"/>
                <w:szCs w:val="24"/>
              </w:rPr>
            </w:pPr>
            <w:r>
              <w:rPr>
                <w:color w:val="auto"/>
                <w:szCs w:val="24"/>
              </w:rPr>
              <w:t>氨</w:t>
            </w:r>
            <w:r>
              <w:rPr>
                <w:bCs/>
                <w:color w:val="auto"/>
              </w:rPr>
              <w:t>mg/m</w:t>
            </w:r>
            <w:r>
              <w:rPr>
                <w:bCs/>
                <w:color w:val="auto"/>
                <w:vertAlign w:val="superscript"/>
              </w:rPr>
              <w:t>3</w:t>
            </w:r>
          </w:p>
        </w:tc>
        <w:tc>
          <w:tcPr>
            <w:tcW w:w="1548" w:type="pct"/>
            <w:vAlign w:val="center"/>
          </w:tcPr>
          <w:p>
            <w:pPr>
              <w:pStyle w:val="47"/>
              <w:spacing w:line="240" w:lineRule="auto"/>
              <w:rPr>
                <w:color w:val="auto"/>
                <w:szCs w:val="24"/>
              </w:rPr>
            </w:pPr>
            <w:r>
              <w:rPr>
                <w:rFonts w:hint="eastAsia"/>
                <w:color w:val="auto"/>
                <w:szCs w:val="24"/>
              </w:rPr>
              <w:t>0.08-0.17</w:t>
            </w:r>
          </w:p>
        </w:tc>
        <w:tc>
          <w:tcPr>
            <w:tcW w:w="1582" w:type="pct"/>
            <w:vAlign w:val="center"/>
          </w:tcPr>
          <w:p>
            <w:pPr>
              <w:pStyle w:val="47"/>
              <w:spacing w:line="240" w:lineRule="auto"/>
              <w:rPr>
                <w:color w:val="auto"/>
                <w:szCs w:val="24"/>
              </w:rPr>
            </w:pPr>
            <w:r>
              <w:rPr>
                <w:color w:val="auto"/>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752" w:type="pct"/>
            <w:vMerge w:val="continue"/>
            <w:vAlign w:val="center"/>
          </w:tcPr>
          <w:p>
            <w:pPr>
              <w:pStyle w:val="47"/>
              <w:spacing w:line="240" w:lineRule="auto"/>
              <w:rPr>
                <w:color w:val="auto"/>
              </w:rPr>
            </w:pPr>
          </w:p>
        </w:tc>
        <w:tc>
          <w:tcPr>
            <w:tcW w:w="1903" w:type="dxa"/>
            <w:vAlign w:val="center"/>
          </w:tcPr>
          <w:p>
            <w:pPr>
              <w:pStyle w:val="47"/>
              <w:spacing w:line="240" w:lineRule="auto"/>
              <w:rPr>
                <w:color w:val="auto"/>
                <w:szCs w:val="24"/>
              </w:rPr>
            </w:pPr>
            <w:r>
              <w:rPr>
                <w:color w:val="auto"/>
                <w:szCs w:val="24"/>
              </w:rPr>
              <w:t>硫化氢</w:t>
            </w:r>
            <w:r>
              <w:rPr>
                <w:bCs/>
                <w:color w:val="auto"/>
              </w:rPr>
              <w:t>mg/m</w:t>
            </w:r>
            <w:r>
              <w:rPr>
                <w:bCs/>
                <w:color w:val="auto"/>
                <w:vertAlign w:val="superscript"/>
              </w:rPr>
              <w:t>3</w:t>
            </w:r>
          </w:p>
        </w:tc>
        <w:tc>
          <w:tcPr>
            <w:tcW w:w="1548" w:type="pct"/>
            <w:vAlign w:val="center"/>
          </w:tcPr>
          <w:p>
            <w:pPr>
              <w:pStyle w:val="47"/>
              <w:spacing w:line="240" w:lineRule="auto"/>
              <w:rPr>
                <w:color w:val="auto"/>
                <w:szCs w:val="24"/>
              </w:rPr>
            </w:pPr>
            <w:r>
              <w:rPr>
                <w:rFonts w:hint="eastAsia"/>
                <w:color w:val="auto"/>
                <w:szCs w:val="24"/>
              </w:rPr>
              <w:t>ND-0.009</w:t>
            </w:r>
          </w:p>
        </w:tc>
        <w:tc>
          <w:tcPr>
            <w:tcW w:w="1582" w:type="pct"/>
            <w:vAlign w:val="center"/>
          </w:tcPr>
          <w:p>
            <w:pPr>
              <w:pStyle w:val="47"/>
              <w:spacing w:line="240" w:lineRule="auto"/>
              <w:rPr>
                <w:color w:val="auto"/>
                <w:szCs w:val="24"/>
              </w:rPr>
            </w:pPr>
            <w:r>
              <w:rPr>
                <w:color w:val="auto"/>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752" w:type="pct"/>
            <w:vMerge w:val="continue"/>
            <w:vAlign w:val="center"/>
          </w:tcPr>
          <w:p>
            <w:pPr>
              <w:pStyle w:val="47"/>
              <w:spacing w:line="240" w:lineRule="auto"/>
              <w:rPr>
                <w:color w:val="auto"/>
              </w:rPr>
            </w:pPr>
          </w:p>
        </w:tc>
        <w:tc>
          <w:tcPr>
            <w:tcW w:w="1903" w:type="dxa"/>
            <w:vAlign w:val="center"/>
          </w:tcPr>
          <w:p>
            <w:pPr>
              <w:pStyle w:val="47"/>
              <w:spacing w:line="240" w:lineRule="auto"/>
              <w:rPr>
                <w:color w:val="auto"/>
                <w:szCs w:val="24"/>
              </w:rPr>
            </w:pPr>
            <w:r>
              <w:rPr>
                <w:color w:val="auto"/>
              </w:rPr>
              <w:t>VOCs（以</w:t>
            </w:r>
            <w:r>
              <w:rPr>
                <w:rFonts w:hint="eastAsia"/>
                <w:color w:val="auto"/>
                <w:lang w:eastAsia="zh-CN"/>
              </w:rPr>
              <w:t>非甲烷</w:t>
            </w:r>
            <w:r>
              <w:rPr>
                <w:color w:val="auto"/>
              </w:rPr>
              <w:t>总烃计）</w:t>
            </w:r>
            <w:r>
              <w:rPr>
                <w:bCs/>
                <w:color w:val="auto"/>
              </w:rPr>
              <w:t>mg/m</w:t>
            </w:r>
            <w:r>
              <w:rPr>
                <w:bCs/>
                <w:color w:val="auto"/>
                <w:vertAlign w:val="superscript"/>
              </w:rPr>
              <w:t>3</w:t>
            </w:r>
          </w:p>
        </w:tc>
        <w:tc>
          <w:tcPr>
            <w:tcW w:w="1548" w:type="pct"/>
            <w:vAlign w:val="center"/>
          </w:tcPr>
          <w:p>
            <w:pPr>
              <w:pStyle w:val="47"/>
              <w:spacing w:line="240" w:lineRule="auto"/>
              <w:rPr>
                <w:color w:val="auto"/>
                <w:szCs w:val="24"/>
              </w:rPr>
            </w:pPr>
            <w:r>
              <w:rPr>
                <w:rFonts w:hint="eastAsia"/>
                <w:color w:val="auto"/>
                <w:szCs w:val="24"/>
              </w:rPr>
              <w:t>0.12-2.00</w:t>
            </w:r>
          </w:p>
        </w:tc>
        <w:tc>
          <w:tcPr>
            <w:tcW w:w="1582" w:type="pct"/>
            <w:vAlign w:val="center"/>
          </w:tcPr>
          <w:p>
            <w:pPr>
              <w:pStyle w:val="47"/>
              <w:spacing w:line="240" w:lineRule="auto"/>
              <w:rPr>
                <w:color w:val="auto"/>
                <w:szCs w:val="24"/>
              </w:rPr>
            </w:pPr>
            <w:r>
              <w:rPr>
                <w:color w:val="auto"/>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752" w:type="pct"/>
            <w:vMerge w:val="continue"/>
            <w:vAlign w:val="center"/>
          </w:tcPr>
          <w:p>
            <w:pPr>
              <w:pStyle w:val="47"/>
              <w:spacing w:line="240" w:lineRule="auto"/>
              <w:rPr>
                <w:color w:val="auto"/>
              </w:rPr>
            </w:pPr>
          </w:p>
        </w:tc>
        <w:tc>
          <w:tcPr>
            <w:tcW w:w="1903" w:type="dxa"/>
            <w:vAlign w:val="center"/>
          </w:tcPr>
          <w:p>
            <w:pPr>
              <w:pStyle w:val="47"/>
              <w:spacing w:line="240" w:lineRule="auto"/>
              <w:rPr>
                <w:color w:val="auto"/>
                <w:szCs w:val="24"/>
              </w:rPr>
            </w:pPr>
            <w:r>
              <w:rPr>
                <w:rFonts w:hint="eastAsia"/>
                <w:color w:val="auto"/>
                <w:szCs w:val="21"/>
              </w:rPr>
              <w:t>臭气浓度（无量纲）</w:t>
            </w:r>
          </w:p>
        </w:tc>
        <w:tc>
          <w:tcPr>
            <w:tcW w:w="1548" w:type="pct"/>
            <w:vAlign w:val="center"/>
          </w:tcPr>
          <w:p>
            <w:pPr>
              <w:pStyle w:val="47"/>
              <w:spacing w:line="240" w:lineRule="auto"/>
              <w:rPr>
                <w:color w:val="auto"/>
                <w:szCs w:val="24"/>
              </w:rPr>
            </w:pPr>
            <w:r>
              <w:rPr>
                <w:rFonts w:eastAsia="华文仿宋"/>
                <w:color w:val="auto"/>
                <w:szCs w:val="21"/>
              </w:rPr>
              <w:t>&lt;10</w:t>
            </w:r>
          </w:p>
        </w:tc>
        <w:tc>
          <w:tcPr>
            <w:tcW w:w="1582" w:type="pct"/>
            <w:vAlign w:val="center"/>
          </w:tcPr>
          <w:p>
            <w:pPr>
              <w:pStyle w:val="47"/>
              <w:spacing w:line="240" w:lineRule="auto"/>
              <w:rPr>
                <w:color w:val="auto"/>
                <w:szCs w:val="24"/>
              </w:rPr>
            </w:pPr>
            <w:r>
              <w:rPr>
                <w:color w:val="auto"/>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752" w:type="pct"/>
            <w:vMerge w:val="continue"/>
            <w:vAlign w:val="center"/>
          </w:tcPr>
          <w:p>
            <w:pPr>
              <w:pStyle w:val="47"/>
              <w:spacing w:line="240" w:lineRule="auto"/>
              <w:rPr>
                <w:color w:val="auto"/>
              </w:rPr>
            </w:pPr>
          </w:p>
        </w:tc>
        <w:tc>
          <w:tcPr>
            <w:tcW w:w="1903" w:type="dxa"/>
            <w:vAlign w:val="center"/>
          </w:tcPr>
          <w:p>
            <w:pPr>
              <w:pStyle w:val="47"/>
              <w:spacing w:line="240" w:lineRule="auto"/>
              <w:rPr>
                <w:color w:val="auto"/>
                <w:szCs w:val="24"/>
              </w:rPr>
            </w:pPr>
            <w:r>
              <w:rPr>
                <w:rFonts w:hint="eastAsia"/>
                <w:color w:val="auto"/>
              </w:rPr>
              <w:t>NO</w:t>
            </w:r>
            <w:r>
              <w:rPr>
                <w:rFonts w:hint="eastAsia"/>
                <w:color w:val="auto"/>
                <w:vertAlign w:val="subscript"/>
              </w:rPr>
              <w:t>X</w:t>
            </w:r>
            <w:r>
              <w:rPr>
                <w:color w:val="auto"/>
                <w:szCs w:val="21"/>
              </w:rPr>
              <w:t>μg/m</w:t>
            </w:r>
            <w:r>
              <w:rPr>
                <w:color w:val="auto"/>
                <w:szCs w:val="21"/>
                <w:vertAlign w:val="superscript"/>
              </w:rPr>
              <w:t>3</w:t>
            </w:r>
          </w:p>
        </w:tc>
        <w:tc>
          <w:tcPr>
            <w:tcW w:w="1548" w:type="pct"/>
            <w:vAlign w:val="center"/>
          </w:tcPr>
          <w:p>
            <w:pPr>
              <w:pStyle w:val="47"/>
              <w:spacing w:line="240" w:lineRule="auto"/>
              <w:rPr>
                <w:color w:val="auto"/>
                <w:szCs w:val="24"/>
              </w:rPr>
            </w:pPr>
            <w:r>
              <w:rPr>
                <w:color w:val="auto"/>
              </w:rPr>
              <w:t>---</w:t>
            </w:r>
          </w:p>
        </w:tc>
        <w:tc>
          <w:tcPr>
            <w:tcW w:w="1582" w:type="pct"/>
            <w:vAlign w:val="center"/>
          </w:tcPr>
          <w:p>
            <w:pPr>
              <w:pStyle w:val="47"/>
              <w:spacing w:line="240" w:lineRule="auto"/>
              <w:rPr>
                <w:color w:val="auto"/>
                <w:szCs w:val="24"/>
              </w:rPr>
            </w:pPr>
            <w:r>
              <w:rPr>
                <w:rFonts w:hint="eastAsia"/>
                <w:color w:val="auto"/>
                <w:szCs w:val="24"/>
              </w:rPr>
              <w:t>0.006-0.014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752" w:type="pct"/>
            <w:vMerge w:val="continue"/>
            <w:vAlign w:val="center"/>
          </w:tcPr>
          <w:p>
            <w:pPr>
              <w:pStyle w:val="47"/>
              <w:spacing w:line="240" w:lineRule="auto"/>
              <w:rPr>
                <w:color w:val="auto"/>
              </w:rPr>
            </w:pPr>
          </w:p>
        </w:tc>
        <w:tc>
          <w:tcPr>
            <w:tcW w:w="1903" w:type="dxa"/>
            <w:vAlign w:val="center"/>
          </w:tcPr>
          <w:p>
            <w:pPr>
              <w:pStyle w:val="47"/>
              <w:spacing w:line="240" w:lineRule="auto"/>
              <w:rPr>
                <w:color w:val="auto"/>
                <w:szCs w:val="24"/>
              </w:rPr>
            </w:pPr>
            <w:r>
              <w:rPr>
                <w:color w:val="auto"/>
              </w:rPr>
              <w:t>TSP</w:t>
            </w:r>
            <w:r>
              <w:rPr>
                <w:color w:val="auto"/>
                <w:szCs w:val="21"/>
              </w:rPr>
              <w:t>μg/m</w:t>
            </w:r>
            <w:r>
              <w:rPr>
                <w:color w:val="auto"/>
                <w:szCs w:val="21"/>
                <w:vertAlign w:val="superscript"/>
              </w:rPr>
              <w:t>3</w:t>
            </w:r>
          </w:p>
        </w:tc>
        <w:tc>
          <w:tcPr>
            <w:tcW w:w="1548" w:type="pct"/>
            <w:vAlign w:val="center"/>
          </w:tcPr>
          <w:p>
            <w:pPr>
              <w:pStyle w:val="47"/>
              <w:spacing w:line="240" w:lineRule="auto"/>
              <w:rPr>
                <w:color w:val="auto"/>
                <w:szCs w:val="24"/>
              </w:rPr>
            </w:pPr>
            <w:r>
              <w:rPr>
                <w:color w:val="auto"/>
              </w:rPr>
              <w:t>---</w:t>
            </w:r>
          </w:p>
        </w:tc>
        <w:tc>
          <w:tcPr>
            <w:tcW w:w="1582" w:type="pct"/>
            <w:vAlign w:val="center"/>
          </w:tcPr>
          <w:p>
            <w:pPr>
              <w:pStyle w:val="47"/>
              <w:spacing w:line="240" w:lineRule="auto"/>
              <w:rPr>
                <w:color w:val="auto"/>
                <w:szCs w:val="24"/>
              </w:rPr>
            </w:pPr>
            <w:r>
              <w:rPr>
                <w:rFonts w:hint="eastAsia"/>
                <w:color w:val="auto"/>
                <w:szCs w:val="24"/>
              </w:rPr>
              <w:t>0.213-0.235</w:t>
            </w:r>
          </w:p>
        </w:tc>
      </w:tr>
    </w:tbl>
    <w:p>
      <w:pPr>
        <w:pStyle w:val="9"/>
        <w:spacing w:before="0" w:beforeLines="0" w:after="0" w:afterLines="0" w:line="360" w:lineRule="auto"/>
        <w:rPr>
          <w:color w:val="auto"/>
          <w:szCs w:val="36"/>
        </w:rPr>
      </w:pPr>
      <w:bookmarkStart w:id="239" w:name="_Toc357086628"/>
      <w:bookmarkStart w:id="240" w:name="_Toc4511"/>
      <w:bookmarkStart w:id="241" w:name="_Toc255401334"/>
      <w:bookmarkStart w:id="242" w:name="_Toc7197"/>
      <w:r>
        <w:rPr>
          <w:rFonts w:hint="eastAsia"/>
          <w:color w:val="auto"/>
        </w:rPr>
        <w:t>4</w:t>
      </w:r>
      <w:r>
        <w:rPr>
          <w:color w:val="auto"/>
        </w:rPr>
        <w:t>.1.4评价因子、评价标准</w:t>
      </w:r>
      <w:bookmarkEnd w:id="239"/>
      <w:bookmarkEnd w:id="240"/>
      <w:bookmarkEnd w:id="241"/>
      <w:r>
        <w:rPr>
          <w:color w:val="auto"/>
        </w:rPr>
        <w:t>及评价方法</w:t>
      </w:r>
      <w:bookmarkEnd w:id="242"/>
    </w:p>
    <w:p>
      <w:pPr>
        <w:pStyle w:val="10"/>
        <w:spacing w:line="360" w:lineRule="auto"/>
        <w:rPr>
          <w:color w:val="auto"/>
        </w:rPr>
      </w:pPr>
      <w:r>
        <w:rPr>
          <w:rFonts w:hint="eastAsia"/>
          <w:color w:val="auto"/>
        </w:rPr>
        <w:t>4</w:t>
      </w:r>
      <w:r>
        <w:rPr>
          <w:color w:val="auto"/>
        </w:rPr>
        <w:t>.1.4.1评价因子及评价标准</w:t>
      </w:r>
    </w:p>
    <w:p>
      <w:pPr>
        <w:adjustRightInd w:val="0"/>
        <w:snapToGrid w:val="0"/>
        <w:ind w:firstLine="480"/>
        <w:rPr>
          <w:bCs/>
          <w:color w:val="auto"/>
          <w:szCs w:val="22"/>
        </w:rPr>
      </w:pPr>
      <w:r>
        <w:rPr>
          <w:bCs/>
          <w:color w:val="auto"/>
          <w:szCs w:val="22"/>
        </w:rPr>
        <w:t>项目空气质量现状评价见表</w:t>
      </w:r>
      <w:r>
        <w:rPr>
          <w:rFonts w:hint="eastAsia"/>
          <w:bCs/>
          <w:color w:val="auto"/>
          <w:szCs w:val="22"/>
        </w:rPr>
        <w:t>4.1-7。</w:t>
      </w:r>
    </w:p>
    <w:p>
      <w:pPr>
        <w:pStyle w:val="48"/>
        <w:spacing w:line="360" w:lineRule="auto"/>
        <w:rPr>
          <w:b w:val="0"/>
          <w:bCs/>
          <w:color w:val="auto"/>
        </w:rPr>
      </w:pPr>
      <w:r>
        <w:rPr>
          <w:b w:val="0"/>
          <w:bCs/>
          <w:color w:val="auto"/>
        </w:rPr>
        <w:t>表</w:t>
      </w:r>
      <w:r>
        <w:rPr>
          <w:rFonts w:hint="eastAsia"/>
          <w:b w:val="0"/>
          <w:bCs/>
          <w:color w:val="auto"/>
        </w:rPr>
        <w:t>4.1-7</w:t>
      </w:r>
      <w:r>
        <w:rPr>
          <w:b w:val="0"/>
          <w:bCs/>
          <w:color w:val="auto"/>
        </w:rPr>
        <w:t xml:space="preserve">  环境空气质量现状评价标准</w:t>
      </w:r>
    </w:p>
    <w:tbl>
      <w:tblPr>
        <w:tblStyle w:val="2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027"/>
        <w:gridCol w:w="2157"/>
        <w:gridCol w:w="1813"/>
        <w:gridCol w:w="328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091" w:type="pct"/>
            <w:vAlign w:val="center"/>
          </w:tcPr>
          <w:p>
            <w:pPr>
              <w:pStyle w:val="47"/>
              <w:spacing w:line="240" w:lineRule="auto"/>
              <w:rPr>
                <w:b/>
                <w:color w:val="auto"/>
              </w:rPr>
            </w:pPr>
            <w:r>
              <w:rPr>
                <w:b/>
                <w:color w:val="auto"/>
              </w:rPr>
              <w:t>评价因子</w:t>
            </w:r>
          </w:p>
        </w:tc>
        <w:tc>
          <w:tcPr>
            <w:tcW w:w="1161" w:type="pct"/>
            <w:vAlign w:val="center"/>
          </w:tcPr>
          <w:p>
            <w:pPr>
              <w:pStyle w:val="47"/>
              <w:spacing w:line="240" w:lineRule="auto"/>
              <w:rPr>
                <w:b/>
                <w:color w:val="auto"/>
              </w:rPr>
            </w:pPr>
            <w:r>
              <w:rPr>
                <w:b/>
                <w:color w:val="auto"/>
              </w:rPr>
              <w:t>平均时段</w:t>
            </w:r>
          </w:p>
        </w:tc>
        <w:tc>
          <w:tcPr>
            <w:tcW w:w="976" w:type="pct"/>
            <w:vAlign w:val="center"/>
          </w:tcPr>
          <w:p>
            <w:pPr>
              <w:pStyle w:val="47"/>
              <w:spacing w:line="240" w:lineRule="auto"/>
              <w:rPr>
                <w:b/>
                <w:color w:val="auto"/>
              </w:rPr>
            </w:pPr>
            <w:r>
              <w:rPr>
                <w:b/>
                <w:color w:val="auto"/>
              </w:rPr>
              <w:t>标准值mg/m</w:t>
            </w:r>
            <w:r>
              <w:rPr>
                <w:b/>
                <w:color w:val="auto"/>
                <w:vertAlign w:val="superscript"/>
              </w:rPr>
              <w:t>3</w:t>
            </w:r>
          </w:p>
        </w:tc>
        <w:tc>
          <w:tcPr>
            <w:tcW w:w="1770" w:type="pct"/>
            <w:vAlign w:val="center"/>
          </w:tcPr>
          <w:p>
            <w:pPr>
              <w:pStyle w:val="47"/>
              <w:spacing w:line="240" w:lineRule="auto"/>
              <w:rPr>
                <w:b/>
                <w:color w:val="auto"/>
              </w:rPr>
            </w:pPr>
            <w:r>
              <w:rPr>
                <w:b/>
                <w:color w:val="auto"/>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091" w:type="pct"/>
            <w:vAlign w:val="center"/>
          </w:tcPr>
          <w:p>
            <w:pPr>
              <w:pStyle w:val="47"/>
              <w:rPr>
                <w:color w:val="auto"/>
              </w:rPr>
            </w:pPr>
            <w:r>
              <w:rPr>
                <w:rFonts w:hint="eastAsia"/>
                <w:color w:val="auto"/>
              </w:rPr>
              <w:t>VOCs（以</w:t>
            </w:r>
            <w:r>
              <w:rPr>
                <w:rFonts w:hint="eastAsia"/>
                <w:color w:val="auto"/>
                <w:lang w:eastAsia="zh-CN"/>
              </w:rPr>
              <w:t>非甲烷</w:t>
            </w:r>
            <w:r>
              <w:rPr>
                <w:rFonts w:hint="eastAsia"/>
                <w:color w:val="auto"/>
              </w:rPr>
              <w:t>总烃计）</w:t>
            </w:r>
          </w:p>
        </w:tc>
        <w:tc>
          <w:tcPr>
            <w:tcW w:w="1161" w:type="pct"/>
            <w:vAlign w:val="center"/>
          </w:tcPr>
          <w:p>
            <w:pPr>
              <w:pStyle w:val="47"/>
              <w:rPr>
                <w:color w:val="auto"/>
              </w:rPr>
            </w:pPr>
            <w:r>
              <w:rPr>
                <w:color w:val="auto"/>
              </w:rPr>
              <w:t>小时值</w:t>
            </w:r>
          </w:p>
        </w:tc>
        <w:tc>
          <w:tcPr>
            <w:tcW w:w="976" w:type="pct"/>
            <w:vAlign w:val="center"/>
          </w:tcPr>
          <w:p>
            <w:pPr>
              <w:pStyle w:val="47"/>
              <w:spacing w:line="240" w:lineRule="auto"/>
              <w:rPr>
                <w:color w:val="auto"/>
                <w:szCs w:val="24"/>
              </w:rPr>
            </w:pPr>
            <w:r>
              <w:rPr>
                <w:rFonts w:hint="eastAsia"/>
                <w:color w:val="auto"/>
                <w:szCs w:val="24"/>
              </w:rPr>
              <w:t>2.0</w:t>
            </w:r>
          </w:p>
        </w:tc>
        <w:tc>
          <w:tcPr>
            <w:tcW w:w="3018" w:type="dxa"/>
            <w:vAlign w:val="center"/>
          </w:tcPr>
          <w:p>
            <w:pPr>
              <w:pStyle w:val="47"/>
              <w:rPr>
                <w:color w:val="auto"/>
              </w:rPr>
            </w:pPr>
            <w:r>
              <w:rPr>
                <w:rFonts w:hint="eastAsia"/>
                <w:color w:val="auto"/>
              </w:rPr>
              <w:t>参照《大气污染物综合排放标准详解》中</w:t>
            </w:r>
            <w:r>
              <w:rPr>
                <w:rFonts w:hint="eastAsia"/>
                <w:color w:val="auto"/>
                <w:lang w:eastAsia="zh-CN"/>
              </w:rPr>
              <w:t>非甲烷</w:t>
            </w:r>
            <w:r>
              <w:rPr>
                <w:rFonts w:hint="eastAsia"/>
                <w:color w:val="auto"/>
              </w:rPr>
              <w:t>总烃环境质量标准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091" w:type="pct"/>
            <w:vAlign w:val="center"/>
          </w:tcPr>
          <w:p>
            <w:pPr>
              <w:pStyle w:val="47"/>
              <w:rPr>
                <w:color w:val="auto"/>
              </w:rPr>
            </w:pPr>
            <w:r>
              <w:rPr>
                <w:rFonts w:hint="eastAsia"/>
                <w:color w:val="auto"/>
              </w:rPr>
              <w:t>TSP</w:t>
            </w:r>
          </w:p>
        </w:tc>
        <w:tc>
          <w:tcPr>
            <w:tcW w:w="1161" w:type="pct"/>
            <w:vAlign w:val="center"/>
          </w:tcPr>
          <w:p>
            <w:pPr>
              <w:pStyle w:val="47"/>
              <w:rPr>
                <w:color w:val="auto"/>
              </w:rPr>
            </w:pPr>
            <w:r>
              <w:rPr>
                <w:rFonts w:hint="eastAsia"/>
                <w:color w:val="auto"/>
              </w:rPr>
              <w:t>日均值</w:t>
            </w:r>
          </w:p>
        </w:tc>
        <w:tc>
          <w:tcPr>
            <w:tcW w:w="976" w:type="pct"/>
            <w:vAlign w:val="center"/>
          </w:tcPr>
          <w:p>
            <w:pPr>
              <w:pStyle w:val="47"/>
              <w:spacing w:line="240" w:lineRule="auto"/>
              <w:rPr>
                <w:color w:val="auto"/>
              </w:rPr>
            </w:pPr>
            <w:r>
              <w:rPr>
                <w:rFonts w:hint="eastAsia"/>
                <w:color w:val="auto"/>
              </w:rPr>
              <w:t>0.3</w:t>
            </w:r>
          </w:p>
        </w:tc>
        <w:tc>
          <w:tcPr>
            <w:tcW w:w="3018" w:type="dxa"/>
            <w:vMerge w:val="restart"/>
            <w:vAlign w:val="center"/>
          </w:tcPr>
          <w:p>
            <w:pPr>
              <w:pStyle w:val="47"/>
              <w:rPr>
                <w:color w:val="auto"/>
              </w:rPr>
            </w:pPr>
            <w:r>
              <w:rPr>
                <w:color w:val="auto"/>
              </w:rPr>
              <w:t>《环境空气质量标准》（GB 3095</w:t>
            </w:r>
            <w:r>
              <w:rPr>
                <w:rFonts w:hint="eastAsia"/>
                <w:color w:val="auto"/>
              </w:rPr>
              <w:t>-</w:t>
            </w:r>
            <w:r>
              <w:rPr>
                <w:color w:val="auto"/>
              </w:rPr>
              <w:t>2012）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091" w:type="pct"/>
            <w:vAlign w:val="center"/>
          </w:tcPr>
          <w:p>
            <w:pPr>
              <w:pStyle w:val="47"/>
              <w:rPr>
                <w:color w:val="auto"/>
              </w:rPr>
            </w:pPr>
            <w:r>
              <w:rPr>
                <w:color w:val="auto"/>
              </w:rPr>
              <w:t>NOx</w:t>
            </w:r>
          </w:p>
        </w:tc>
        <w:tc>
          <w:tcPr>
            <w:tcW w:w="1161" w:type="pct"/>
            <w:vAlign w:val="center"/>
          </w:tcPr>
          <w:p>
            <w:pPr>
              <w:pStyle w:val="47"/>
              <w:rPr>
                <w:color w:val="auto"/>
              </w:rPr>
            </w:pPr>
            <w:r>
              <w:rPr>
                <w:rFonts w:hint="eastAsia"/>
                <w:color w:val="auto"/>
              </w:rPr>
              <w:t>日均值</w:t>
            </w:r>
          </w:p>
        </w:tc>
        <w:tc>
          <w:tcPr>
            <w:tcW w:w="976" w:type="pct"/>
            <w:vAlign w:val="center"/>
          </w:tcPr>
          <w:p>
            <w:pPr>
              <w:pStyle w:val="47"/>
              <w:rPr>
                <w:color w:val="auto"/>
                <w:szCs w:val="24"/>
              </w:rPr>
            </w:pPr>
            <w:r>
              <w:rPr>
                <w:rFonts w:hint="eastAsia"/>
                <w:color w:val="auto"/>
                <w:szCs w:val="24"/>
              </w:rPr>
              <w:t>0.1</w:t>
            </w:r>
          </w:p>
        </w:tc>
        <w:tc>
          <w:tcPr>
            <w:tcW w:w="1770" w:type="pct"/>
            <w:vMerge w:val="continue"/>
            <w:vAlign w:val="center"/>
          </w:tcPr>
          <w:p>
            <w:pPr>
              <w:pStyle w:val="47"/>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091" w:type="pct"/>
            <w:vAlign w:val="center"/>
          </w:tcPr>
          <w:p>
            <w:pPr>
              <w:pStyle w:val="47"/>
              <w:rPr>
                <w:color w:val="auto"/>
              </w:rPr>
            </w:pPr>
            <w:r>
              <w:rPr>
                <w:rFonts w:hint="eastAsia"/>
                <w:color w:val="auto"/>
              </w:rPr>
              <w:t>氨</w:t>
            </w:r>
          </w:p>
        </w:tc>
        <w:tc>
          <w:tcPr>
            <w:tcW w:w="1161" w:type="pct"/>
            <w:vAlign w:val="center"/>
          </w:tcPr>
          <w:p>
            <w:pPr>
              <w:pStyle w:val="47"/>
              <w:rPr>
                <w:color w:val="auto"/>
              </w:rPr>
            </w:pPr>
            <w:r>
              <w:rPr>
                <w:color w:val="auto"/>
              </w:rPr>
              <w:t>小时值</w:t>
            </w:r>
          </w:p>
        </w:tc>
        <w:tc>
          <w:tcPr>
            <w:tcW w:w="976" w:type="pct"/>
            <w:vAlign w:val="center"/>
          </w:tcPr>
          <w:p>
            <w:pPr>
              <w:pStyle w:val="47"/>
              <w:rPr>
                <w:color w:val="auto"/>
                <w:szCs w:val="24"/>
              </w:rPr>
            </w:pPr>
            <w:r>
              <w:rPr>
                <w:rFonts w:hint="eastAsia"/>
                <w:color w:val="auto"/>
                <w:szCs w:val="24"/>
              </w:rPr>
              <w:t>0.2</w:t>
            </w:r>
          </w:p>
        </w:tc>
        <w:tc>
          <w:tcPr>
            <w:tcW w:w="3018" w:type="dxa"/>
            <w:vMerge w:val="restart"/>
            <w:vAlign w:val="center"/>
          </w:tcPr>
          <w:p>
            <w:pPr>
              <w:pStyle w:val="47"/>
              <w:rPr>
                <w:color w:val="auto"/>
              </w:rPr>
            </w:pPr>
            <w:r>
              <w:rPr>
                <w:rFonts w:hint="eastAsia"/>
                <w:color w:val="auto"/>
              </w:rPr>
              <w:t>大气导则附录D</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091" w:type="pct"/>
            <w:vAlign w:val="center"/>
          </w:tcPr>
          <w:p>
            <w:pPr>
              <w:pStyle w:val="47"/>
              <w:rPr>
                <w:color w:val="auto"/>
              </w:rPr>
            </w:pPr>
            <w:r>
              <w:rPr>
                <w:rFonts w:hint="eastAsia"/>
                <w:color w:val="auto"/>
              </w:rPr>
              <w:t>硫化氢</w:t>
            </w:r>
          </w:p>
        </w:tc>
        <w:tc>
          <w:tcPr>
            <w:tcW w:w="1161" w:type="pct"/>
            <w:vAlign w:val="center"/>
          </w:tcPr>
          <w:p>
            <w:pPr>
              <w:pStyle w:val="47"/>
              <w:rPr>
                <w:color w:val="auto"/>
              </w:rPr>
            </w:pPr>
            <w:r>
              <w:rPr>
                <w:color w:val="auto"/>
              </w:rPr>
              <w:t>小时值</w:t>
            </w:r>
          </w:p>
        </w:tc>
        <w:tc>
          <w:tcPr>
            <w:tcW w:w="976" w:type="pct"/>
            <w:vAlign w:val="center"/>
          </w:tcPr>
          <w:p>
            <w:pPr>
              <w:pStyle w:val="47"/>
              <w:rPr>
                <w:color w:val="auto"/>
                <w:szCs w:val="24"/>
              </w:rPr>
            </w:pPr>
            <w:r>
              <w:rPr>
                <w:rFonts w:hint="eastAsia"/>
                <w:color w:val="auto"/>
                <w:szCs w:val="24"/>
              </w:rPr>
              <w:t>0.01</w:t>
            </w:r>
          </w:p>
        </w:tc>
        <w:tc>
          <w:tcPr>
            <w:tcW w:w="1770" w:type="pct"/>
            <w:vMerge w:val="continue"/>
            <w:vAlign w:val="center"/>
          </w:tcPr>
          <w:p>
            <w:pPr>
              <w:pStyle w:val="47"/>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091" w:type="pct"/>
            <w:vAlign w:val="center"/>
          </w:tcPr>
          <w:p>
            <w:pPr>
              <w:pStyle w:val="47"/>
              <w:rPr>
                <w:color w:val="auto"/>
              </w:rPr>
            </w:pPr>
            <w:r>
              <w:rPr>
                <w:rFonts w:hint="eastAsia"/>
                <w:color w:val="auto"/>
              </w:rPr>
              <w:t>臭气浓度</w:t>
            </w:r>
          </w:p>
        </w:tc>
        <w:tc>
          <w:tcPr>
            <w:tcW w:w="1161" w:type="pct"/>
            <w:vAlign w:val="center"/>
          </w:tcPr>
          <w:p>
            <w:pPr>
              <w:pStyle w:val="47"/>
              <w:rPr>
                <w:color w:val="auto"/>
              </w:rPr>
            </w:pPr>
            <w:r>
              <w:rPr>
                <w:color w:val="auto"/>
              </w:rPr>
              <w:t>小时值</w:t>
            </w:r>
          </w:p>
        </w:tc>
        <w:tc>
          <w:tcPr>
            <w:tcW w:w="976" w:type="pct"/>
            <w:vAlign w:val="center"/>
          </w:tcPr>
          <w:p>
            <w:pPr>
              <w:pStyle w:val="47"/>
              <w:rPr>
                <w:color w:val="auto"/>
                <w:szCs w:val="24"/>
              </w:rPr>
            </w:pPr>
            <w:r>
              <w:rPr>
                <w:rFonts w:hint="eastAsia"/>
                <w:color w:val="auto"/>
                <w:szCs w:val="24"/>
              </w:rPr>
              <w:t>20（无量纲）</w:t>
            </w:r>
          </w:p>
        </w:tc>
        <w:tc>
          <w:tcPr>
            <w:tcW w:w="3018" w:type="dxa"/>
            <w:vAlign w:val="center"/>
          </w:tcPr>
          <w:p>
            <w:pPr>
              <w:pStyle w:val="47"/>
              <w:rPr>
                <w:color w:val="auto"/>
              </w:rPr>
            </w:pPr>
            <w:r>
              <w:rPr>
                <w:rFonts w:hint="eastAsia"/>
                <w:color w:val="auto"/>
              </w:rPr>
              <w:t>《恶臭污染物排放标准》（GB14554-93）</w:t>
            </w:r>
          </w:p>
        </w:tc>
      </w:tr>
    </w:tbl>
    <w:p>
      <w:pPr>
        <w:pStyle w:val="10"/>
        <w:spacing w:line="360" w:lineRule="auto"/>
        <w:rPr>
          <w:color w:val="auto"/>
        </w:rPr>
      </w:pPr>
      <w:bookmarkStart w:id="243" w:name="_Toc255401335"/>
      <w:bookmarkStart w:id="244" w:name="_Toc357086629"/>
      <w:bookmarkStart w:id="245" w:name="_Toc21980"/>
      <w:r>
        <w:rPr>
          <w:rFonts w:hint="eastAsia"/>
          <w:color w:val="auto"/>
        </w:rPr>
        <w:t>4</w:t>
      </w:r>
      <w:r>
        <w:rPr>
          <w:color w:val="auto"/>
        </w:rPr>
        <w:t>.1.4.2 评价方法</w:t>
      </w:r>
      <w:bookmarkEnd w:id="243"/>
      <w:bookmarkEnd w:id="244"/>
      <w:bookmarkEnd w:id="245"/>
    </w:p>
    <w:p>
      <w:pPr>
        <w:spacing w:line="420" w:lineRule="atLeast"/>
        <w:ind w:firstLine="482"/>
        <w:rPr>
          <w:color w:val="auto"/>
        </w:rPr>
      </w:pPr>
      <w:r>
        <w:rPr>
          <w:b/>
          <w:bCs/>
          <w:color w:val="auto"/>
          <w:szCs w:val="22"/>
        </w:rPr>
        <w:drawing>
          <wp:anchor distT="0" distB="0" distL="114300" distR="114300" simplePos="0" relativeHeight="251678720" behindDoc="1" locked="0" layoutInCell="1" allowOverlap="1">
            <wp:simplePos x="0" y="0"/>
            <wp:positionH relativeFrom="column">
              <wp:posOffset>1558925</wp:posOffset>
            </wp:positionH>
            <wp:positionV relativeFrom="paragraph">
              <wp:posOffset>187325</wp:posOffset>
            </wp:positionV>
            <wp:extent cx="847725" cy="447040"/>
            <wp:effectExtent l="0" t="0" r="0" b="11430"/>
            <wp:wrapNone/>
            <wp:docPr id="5" name="Picture 3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281"/>
                    <pic:cNvPicPr>
                      <a:picLocks noChangeAspect="1"/>
                    </pic:cNvPicPr>
                  </pic:nvPicPr>
                  <pic:blipFill>
                    <a:blip r:embed="rId69"/>
                    <a:stretch>
                      <a:fillRect/>
                    </a:stretch>
                  </pic:blipFill>
                  <pic:spPr>
                    <a:xfrm>
                      <a:off x="0" y="0"/>
                      <a:ext cx="847725" cy="447040"/>
                    </a:xfrm>
                    <a:prstGeom prst="rect">
                      <a:avLst/>
                    </a:prstGeom>
                    <a:noFill/>
                    <a:ln>
                      <a:noFill/>
                    </a:ln>
                  </pic:spPr>
                </pic:pic>
              </a:graphicData>
            </a:graphic>
          </wp:anchor>
        </w:drawing>
      </w:r>
      <w:r>
        <w:rPr>
          <w:color w:val="auto"/>
        </w:rPr>
        <w:t>采用单因子指数法进行评价，计算公式为：</w:t>
      </w:r>
    </w:p>
    <w:p>
      <w:pPr>
        <w:spacing w:line="420" w:lineRule="atLeast"/>
        <w:ind w:firstLine="480"/>
        <w:rPr>
          <w:bCs/>
          <w:color w:val="auto"/>
        </w:rPr>
      </w:pPr>
    </w:p>
    <w:p>
      <w:pPr>
        <w:spacing w:line="420" w:lineRule="atLeast"/>
        <w:ind w:firstLine="480"/>
        <w:rPr>
          <w:bCs/>
          <w:color w:val="auto"/>
        </w:rPr>
      </w:pPr>
      <w:r>
        <w:rPr>
          <w:bCs/>
          <w:color w:val="auto"/>
        </w:rPr>
        <w:t xml:space="preserve">式中： </w:t>
      </w:r>
    </w:p>
    <w:p>
      <w:pPr>
        <w:adjustRightInd w:val="0"/>
        <w:snapToGrid w:val="0"/>
        <w:ind w:firstLine="1440" w:firstLineChars="600"/>
        <w:rPr>
          <w:bCs/>
          <w:color w:val="auto"/>
        </w:rPr>
      </w:pPr>
      <w:r>
        <w:rPr>
          <w:bCs/>
          <w:color w:val="auto"/>
        </w:rPr>
        <w:t>Pi---某污染物i的单因子评价指数；</w:t>
      </w:r>
    </w:p>
    <w:p>
      <w:pPr>
        <w:adjustRightInd w:val="0"/>
        <w:snapToGrid w:val="0"/>
        <w:ind w:firstLine="1320" w:firstLineChars="550"/>
        <w:rPr>
          <w:bCs/>
          <w:color w:val="auto"/>
        </w:rPr>
      </w:pPr>
      <w:r>
        <w:rPr>
          <w:bCs/>
          <w:color w:val="auto"/>
        </w:rPr>
        <w:t>Ci---某污染物i的监测浓度值，mg/m³；</w:t>
      </w:r>
    </w:p>
    <w:p>
      <w:pPr>
        <w:adjustRightInd w:val="0"/>
        <w:snapToGrid w:val="0"/>
        <w:ind w:firstLine="1320" w:firstLineChars="550"/>
        <w:rPr>
          <w:bCs/>
          <w:color w:val="auto"/>
        </w:rPr>
      </w:pPr>
      <w:r>
        <w:rPr>
          <w:bCs/>
          <w:color w:val="auto"/>
        </w:rPr>
        <w:t>Si---某污染物i的环境质量标准，mg/m³；</w:t>
      </w:r>
    </w:p>
    <w:p>
      <w:pPr>
        <w:adjustRightInd w:val="0"/>
        <w:snapToGrid w:val="0"/>
        <w:ind w:firstLine="480"/>
        <w:rPr>
          <w:color w:val="auto"/>
        </w:rPr>
      </w:pPr>
      <w:r>
        <w:rPr>
          <w:color w:val="auto"/>
        </w:rPr>
        <w:t>当Pi≤1时，表示环境空气中该污染物不超标；Pi&gt;1时，表示该污染物超过评价标准。</w:t>
      </w:r>
    </w:p>
    <w:p>
      <w:pPr>
        <w:pStyle w:val="9"/>
        <w:spacing w:before="0" w:beforeLines="0" w:after="0" w:afterLines="0" w:line="360" w:lineRule="auto"/>
        <w:rPr>
          <w:color w:val="auto"/>
        </w:rPr>
      </w:pPr>
      <w:bookmarkStart w:id="246" w:name="_Toc255401336"/>
      <w:bookmarkStart w:id="247" w:name="_Toc16223"/>
      <w:bookmarkStart w:id="248" w:name="_Toc357086630"/>
      <w:bookmarkStart w:id="249" w:name="_Toc25817"/>
      <w:r>
        <w:rPr>
          <w:rFonts w:hint="eastAsia"/>
          <w:color w:val="auto"/>
        </w:rPr>
        <w:t>4</w:t>
      </w:r>
      <w:r>
        <w:rPr>
          <w:color w:val="auto"/>
        </w:rPr>
        <w:t>.1.5 监测结果统计及评价</w:t>
      </w:r>
      <w:bookmarkEnd w:id="246"/>
      <w:bookmarkEnd w:id="247"/>
      <w:bookmarkEnd w:id="248"/>
      <w:bookmarkEnd w:id="249"/>
    </w:p>
    <w:p>
      <w:pPr>
        <w:adjustRightInd w:val="0"/>
        <w:snapToGrid w:val="0"/>
        <w:spacing w:line="360" w:lineRule="auto"/>
        <w:ind w:firstLine="480"/>
        <w:rPr>
          <w:color w:val="auto"/>
        </w:rPr>
      </w:pPr>
      <w:r>
        <w:rPr>
          <w:color w:val="auto"/>
        </w:rPr>
        <w:t>环境空气质量现状监测统计结果见表</w:t>
      </w:r>
      <w:r>
        <w:rPr>
          <w:rFonts w:hint="eastAsia"/>
          <w:color w:val="auto"/>
        </w:rPr>
        <w:t>4</w:t>
      </w:r>
      <w:r>
        <w:rPr>
          <w:color w:val="auto"/>
        </w:rPr>
        <w:t>.1-</w:t>
      </w:r>
      <w:r>
        <w:rPr>
          <w:rFonts w:hint="eastAsia"/>
          <w:color w:val="auto"/>
        </w:rPr>
        <w:t>8</w:t>
      </w:r>
      <w:r>
        <w:rPr>
          <w:color w:val="auto"/>
        </w:rPr>
        <w:t>。</w:t>
      </w:r>
    </w:p>
    <w:p>
      <w:pPr>
        <w:pStyle w:val="48"/>
        <w:spacing w:line="360" w:lineRule="auto"/>
        <w:rPr>
          <w:rFonts w:ascii="Times New Roman" w:hAnsi="Times New Roman" w:cs="Times New Roman"/>
          <w:b w:val="0"/>
          <w:bCs/>
          <w:color w:val="auto"/>
        </w:rPr>
      </w:pPr>
      <w:r>
        <w:rPr>
          <w:rFonts w:ascii="Times New Roman" w:hAnsi="Times New Roman" w:cs="Times New Roman"/>
          <w:b w:val="0"/>
          <w:bCs/>
          <w:color w:val="auto"/>
        </w:rPr>
        <w:t>表</w:t>
      </w:r>
      <w:r>
        <w:rPr>
          <w:rFonts w:hint="eastAsia" w:ascii="Times New Roman" w:hAnsi="Times New Roman" w:cs="Times New Roman"/>
          <w:b w:val="0"/>
          <w:bCs/>
          <w:color w:val="auto"/>
        </w:rPr>
        <w:t>4</w:t>
      </w:r>
      <w:r>
        <w:rPr>
          <w:rFonts w:ascii="Times New Roman" w:hAnsi="Times New Roman" w:cs="Times New Roman"/>
          <w:b w:val="0"/>
          <w:bCs/>
          <w:color w:val="auto"/>
        </w:rPr>
        <w:t>.1-</w:t>
      </w:r>
      <w:r>
        <w:rPr>
          <w:rFonts w:hint="eastAsia" w:ascii="Times New Roman" w:hAnsi="Times New Roman" w:cs="Times New Roman"/>
          <w:b w:val="0"/>
          <w:bCs/>
          <w:color w:val="auto"/>
        </w:rPr>
        <w:t>8</w:t>
      </w:r>
      <w:r>
        <w:rPr>
          <w:rFonts w:ascii="Times New Roman" w:hAnsi="Times New Roman" w:cs="Times New Roman"/>
          <w:b w:val="0"/>
          <w:bCs/>
          <w:color w:val="auto"/>
        </w:rPr>
        <w:t xml:space="preserve">  污染物环境质量现状评价表</w:t>
      </w:r>
    </w:p>
    <w:tbl>
      <w:tblPr>
        <w:tblStyle w:val="2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738"/>
        <w:gridCol w:w="1321"/>
        <w:gridCol w:w="1377"/>
        <w:gridCol w:w="1388"/>
        <w:gridCol w:w="1639"/>
        <w:gridCol w:w="1002"/>
        <w:gridCol w:w="781"/>
        <w:gridCol w:w="104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4" w:hRule="atLeast"/>
          <w:jc w:val="center"/>
        </w:trPr>
        <w:tc>
          <w:tcPr>
            <w:tcW w:w="397" w:type="pct"/>
            <w:vAlign w:val="center"/>
          </w:tcPr>
          <w:p>
            <w:pPr>
              <w:pStyle w:val="47"/>
              <w:spacing w:line="240" w:lineRule="auto"/>
              <w:rPr>
                <w:b/>
                <w:color w:val="auto"/>
              </w:rPr>
            </w:pPr>
            <w:r>
              <w:rPr>
                <w:b/>
                <w:color w:val="auto"/>
              </w:rPr>
              <w:t>监测点位</w:t>
            </w:r>
          </w:p>
        </w:tc>
        <w:tc>
          <w:tcPr>
            <w:tcW w:w="711" w:type="pct"/>
            <w:vAlign w:val="center"/>
          </w:tcPr>
          <w:p>
            <w:pPr>
              <w:pStyle w:val="47"/>
              <w:spacing w:line="240" w:lineRule="auto"/>
              <w:rPr>
                <w:b/>
                <w:color w:val="auto"/>
              </w:rPr>
            </w:pPr>
            <w:r>
              <w:rPr>
                <w:b/>
                <w:color w:val="auto"/>
              </w:rPr>
              <w:t>污染物</w:t>
            </w:r>
          </w:p>
        </w:tc>
        <w:tc>
          <w:tcPr>
            <w:tcW w:w="741" w:type="pct"/>
            <w:vAlign w:val="center"/>
          </w:tcPr>
          <w:p>
            <w:pPr>
              <w:pStyle w:val="47"/>
              <w:spacing w:line="240" w:lineRule="auto"/>
              <w:rPr>
                <w:b/>
                <w:color w:val="auto"/>
              </w:rPr>
            </w:pPr>
            <w:r>
              <w:rPr>
                <w:b/>
                <w:color w:val="auto"/>
              </w:rPr>
              <w:t>平均时间</w:t>
            </w:r>
          </w:p>
        </w:tc>
        <w:tc>
          <w:tcPr>
            <w:tcW w:w="747" w:type="pct"/>
            <w:vAlign w:val="center"/>
          </w:tcPr>
          <w:p>
            <w:pPr>
              <w:pStyle w:val="47"/>
              <w:spacing w:line="240" w:lineRule="auto"/>
              <w:rPr>
                <w:b/>
                <w:color w:val="auto"/>
              </w:rPr>
            </w:pPr>
            <w:r>
              <w:rPr>
                <w:b/>
                <w:color w:val="auto"/>
              </w:rPr>
              <w:t>评价标准/（mg/m</w:t>
            </w:r>
            <w:r>
              <w:rPr>
                <w:b/>
                <w:color w:val="auto"/>
                <w:vertAlign w:val="superscript"/>
              </w:rPr>
              <w:t>3</w:t>
            </w:r>
            <w:r>
              <w:rPr>
                <w:b/>
                <w:color w:val="auto"/>
              </w:rPr>
              <w:t>）</w:t>
            </w:r>
          </w:p>
        </w:tc>
        <w:tc>
          <w:tcPr>
            <w:tcW w:w="882" w:type="pct"/>
            <w:vAlign w:val="center"/>
          </w:tcPr>
          <w:p>
            <w:pPr>
              <w:pStyle w:val="47"/>
              <w:spacing w:line="240" w:lineRule="auto"/>
              <w:rPr>
                <w:b/>
                <w:color w:val="auto"/>
              </w:rPr>
            </w:pPr>
            <w:r>
              <w:rPr>
                <w:b/>
                <w:color w:val="auto"/>
              </w:rPr>
              <w:t>监测浓度范围（mg/m</w:t>
            </w:r>
            <w:r>
              <w:rPr>
                <w:b/>
                <w:color w:val="auto"/>
                <w:vertAlign w:val="superscript"/>
              </w:rPr>
              <w:t>3</w:t>
            </w:r>
            <w:r>
              <w:rPr>
                <w:b/>
                <w:color w:val="auto"/>
              </w:rPr>
              <w:t>）</w:t>
            </w:r>
          </w:p>
        </w:tc>
        <w:tc>
          <w:tcPr>
            <w:tcW w:w="539" w:type="pct"/>
            <w:vAlign w:val="center"/>
          </w:tcPr>
          <w:p>
            <w:pPr>
              <w:pStyle w:val="47"/>
              <w:spacing w:line="240" w:lineRule="auto"/>
              <w:rPr>
                <w:b/>
                <w:color w:val="auto"/>
              </w:rPr>
            </w:pPr>
            <w:r>
              <w:rPr>
                <w:b/>
                <w:color w:val="auto"/>
              </w:rPr>
              <w:t>最大浓度单因子指数</w:t>
            </w:r>
          </w:p>
        </w:tc>
        <w:tc>
          <w:tcPr>
            <w:tcW w:w="420" w:type="pct"/>
            <w:vAlign w:val="center"/>
          </w:tcPr>
          <w:p>
            <w:pPr>
              <w:pStyle w:val="47"/>
              <w:spacing w:line="240" w:lineRule="auto"/>
              <w:rPr>
                <w:b/>
                <w:color w:val="auto"/>
              </w:rPr>
            </w:pPr>
            <w:r>
              <w:rPr>
                <w:b/>
                <w:color w:val="auto"/>
              </w:rPr>
              <w:t>超标率/%</w:t>
            </w:r>
          </w:p>
        </w:tc>
        <w:tc>
          <w:tcPr>
            <w:tcW w:w="559" w:type="pct"/>
            <w:vAlign w:val="center"/>
          </w:tcPr>
          <w:p>
            <w:pPr>
              <w:pStyle w:val="47"/>
              <w:spacing w:line="240" w:lineRule="auto"/>
              <w:rPr>
                <w:b/>
                <w:color w:val="auto"/>
              </w:rPr>
            </w:pPr>
            <w:r>
              <w:rPr>
                <w:b/>
                <w:color w:val="auto"/>
              </w:rPr>
              <w:t>达标情况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397" w:type="pct"/>
            <w:vMerge w:val="restart"/>
            <w:vAlign w:val="center"/>
          </w:tcPr>
          <w:p>
            <w:pPr>
              <w:pStyle w:val="47"/>
              <w:spacing w:line="240" w:lineRule="auto"/>
              <w:rPr>
                <w:color w:val="auto"/>
              </w:rPr>
            </w:pPr>
            <w:r>
              <w:rPr>
                <w:rFonts w:eastAsia="等线"/>
                <w:color w:val="auto"/>
                <w:szCs w:val="21"/>
              </w:rPr>
              <w:t>1#</w:t>
            </w:r>
            <w:r>
              <w:rPr>
                <w:color w:val="auto"/>
                <w:szCs w:val="21"/>
              </w:rPr>
              <w:t>项目厂址</w:t>
            </w:r>
          </w:p>
        </w:tc>
        <w:tc>
          <w:tcPr>
            <w:tcW w:w="711" w:type="pct"/>
            <w:vAlign w:val="center"/>
          </w:tcPr>
          <w:p>
            <w:pPr>
              <w:pStyle w:val="47"/>
              <w:spacing w:line="240" w:lineRule="auto"/>
              <w:rPr>
                <w:color w:val="auto"/>
                <w:szCs w:val="24"/>
              </w:rPr>
            </w:pPr>
            <w:r>
              <w:rPr>
                <w:color w:val="auto"/>
              </w:rPr>
              <w:t>TSP</w:t>
            </w:r>
          </w:p>
        </w:tc>
        <w:tc>
          <w:tcPr>
            <w:tcW w:w="741" w:type="pct"/>
            <w:vAlign w:val="center"/>
          </w:tcPr>
          <w:p>
            <w:pPr>
              <w:pStyle w:val="47"/>
              <w:spacing w:line="240" w:lineRule="auto"/>
              <w:rPr>
                <w:color w:val="auto"/>
                <w:szCs w:val="24"/>
              </w:rPr>
            </w:pPr>
            <w:r>
              <w:rPr>
                <w:color w:val="auto"/>
              </w:rPr>
              <w:t>日平均</w:t>
            </w:r>
          </w:p>
        </w:tc>
        <w:tc>
          <w:tcPr>
            <w:tcW w:w="747" w:type="pct"/>
            <w:vAlign w:val="center"/>
          </w:tcPr>
          <w:p>
            <w:pPr>
              <w:pStyle w:val="47"/>
              <w:spacing w:line="240" w:lineRule="auto"/>
              <w:rPr>
                <w:color w:val="auto"/>
                <w:szCs w:val="24"/>
              </w:rPr>
            </w:pPr>
            <w:r>
              <w:rPr>
                <w:color w:val="auto"/>
              </w:rPr>
              <w:t>0.3</w:t>
            </w:r>
          </w:p>
        </w:tc>
        <w:tc>
          <w:tcPr>
            <w:tcW w:w="882" w:type="pct"/>
            <w:vAlign w:val="center"/>
          </w:tcPr>
          <w:p>
            <w:pPr>
              <w:pStyle w:val="47"/>
              <w:spacing w:line="240" w:lineRule="auto"/>
              <w:rPr>
                <w:color w:val="auto"/>
                <w:szCs w:val="24"/>
              </w:rPr>
            </w:pPr>
            <w:r>
              <w:rPr>
                <w:rFonts w:hint="eastAsia"/>
                <w:color w:val="auto"/>
              </w:rPr>
              <w:t>0.269-0.363</w:t>
            </w:r>
          </w:p>
        </w:tc>
        <w:tc>
          <w:tcPr>
            <w:tcW w:w="539" w:type="pct"/>
            <w:vAlign w:val="center"/>
          </w:tcPr>
          <w:p>
            <w:pPr>
              <w:pStyle w:val="47"/>
              <w:spacing w:line="240" w:lineRule="auto"/>
              <w:rPr>
                <w:color w:val="auto"/>
                <w:szCs w:val="24"/>
              </w:rPr>
            </w:pPr>
            <w:r>
              <w:rPr>
                <w:rFonts w:hint="eastAsia"/>
                <w:color w:val="auto"/>
                <w:szCs w:val="24"/>
              </w:rPr>
              <w:t>1.21</w:t>
            </w:r>
          </w:p>
        </w:tc>
        <w:tc>
          <w:tcPr>
            <w:tcW w:w="420" w:type="pct"/>
            <w:vAlign w:val="center"/>
          </w:tcPr>
          <w:p>
            <w:pPr>
              <w:pStyle w:val="47"/>
              <w:spacing w:line="240" w:lineRule="auto"/>
              <w:rPr>
                <w:color w:val="auto"/>
              </w:rPr>
            </w:pPr>
            <w:r>
              <w:rPr>
                <w:rFonts w:hint="eastAsia"/>
                <w:color w:val="auto"/>
              </w:rPr>
              <w:t>43</w:t>
            </w:r>
          </w:p>
        </w:tc>
        <w:tc>
          <w:tcPr>
            <w:tcW w:w="559" w:type="pct"/>
            <w:vAlign w:val="center"/>
          </w:tcPr>
          <w:p>
            <w:pPr>
              <w:pStyle w:val="47"/>
              <w:spacing w:line="240" w:lineRule="auto"/>
              <w:rPr>
                <w:color w:val="auto"/>
              </w:rPr>
            </w:pPr>
            <w:r>
              <w:rPr>
                <w:rFonts w:hint="eastAsia"/>
                <w:color w:val="auto"/>
              </w:rPr>
              <w:t>不</w:t>
            </w:r>
            <w:r>
              <w:rPr>
                <w:color w:val="auto"/>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397" w:type="pct"/>
            <w:vMerge w:val="continue"/>
            <w:vAlign w:val="center"/>
          </w:tcPr>
          <w:p>
            <w:pPr>
              <w:pStyle w:val="47"/>
              <w:spacing w:line="240" w:lineRule="auto"/>
              <w:rPr>
                <w:color w:val="auto"/>
              </w:rPr>
            </w:pPr>
          </w:p>
        </w:tc>
        <w:tc>
          <w:tcPr>
            <w:tcW w:w="711" w:type="pct"/>
            <w:vAlign w:val="center"/>
          </w:tcPr>
          <w:p>
            <w:pPr>
              <w:pStyle w:val="47"/>
              <w:spacing w:line="240" w:lineRule="auto"/>
              <w:rPr>
                <w:color w:val="auto"/>
                <w:szCs w:val="24"/>
              </w:rPr>
            </w:pPr>
            <w:r>
              <w:rPr>
                <w:color w:val="auto"/>
              </w:rPr>
              <w:t>VOCs（以</w:t>
            </w:r>
            <w:r>
              <w:rPr>
                <w:rFonts w:hint="eastAsia"/>
                <w:color w:val="auto"/>
                <w:lang w:eastAsia="zh-CN"/>
              </w:rPr>
              <w:t>非甲烷</w:t>
            </w:r>
            <w:r>
              <w:rPr>
                <w:color w:val="auto"/>
              </w:rPr>
              <w:t>总烃计）</w:t>
            </w:r>
          </w:p>
        </w:tc>
        <w:tc>
          <w:tcPr>
            <w:tcW w:w="741" w:type="pct"/>
            <w:vAlign w:val="center"/>
          </w:tcPr>
          <w:p>
            <w:pPr>
              <w:pStyle w:val="47"/>
              <w:spacing w:line="240" w:lineRule="auto"/>
              <w:rPr>
                <w:color w:val="auto"/>
                <w:szCs w:val="24"/>
              </w:rPr>
            </w:pPr>
            <w:r>
              <w:rPr>
                <w:color w:val="auto"/>
              </w:rPr>
              <w:t>小时平均</w:t>
            </w:r>
          </w:p>
        </w:tc>
        <w:tc>
          <w:tcPr>
            <w:tcW w:w="747" w:type="pct"/>
            <w:vAlign w:val="center"/>
          </w:tcPr>
          <w:p>
            <w:pPr>
              <w:pStyle w:val="47"/>
              <w:spacing w:line="240" w:lineRule="auto"/>
              <w:rPr>
                <w:color w:val="auto"/>
                <w:szCs w:val="24"/>
              </w:rPr>
            </w:pPr>
            <w:r>
              <w:rPr>
                <w:color w:val="auto"/>
              </w:rPr>
              <w:t>2.0</w:t>
            </w:r>
          </w:p>
        </w:tc>
        <w:tc>
          <w:tcPr>
            <w:tcW w:w="882" w:type="pct"/>
            <w:vAlign w:val="center"/>
          </w:tcPr>
          <w:p>
            <w:pPr>
              <w:pStyle w:val="47"/>
              <w:spacing w:line="240" w:lineRule="auto"/>
              <w:rPr>
                <w:color w:val="auto"/>
                <w:szCs w:val="24"/>
              </w:rPr>
            </w:pPr>
            <w:r>
              <w:rPr>
                <w:rFonts w:hint="eastAsia"/>
                <w:color w:val="auto"/>
                <w:szCs w:val="24"/>
              </w:rPr>
              <w:t>0.10-1.96</w:t>
            </w:r>
          </w:p>
        </w:tc>
        <w:tc>
          <w:tcPr>
            <w:tcW w:w="539" w:type="pct"/>
            <w:vAlign w:val="center"/>
          </w:tcPr>
          <w:p>
            <w:pPr>
              <w:pStyle w:val="47"/>
              <w:spacing w:line="240" w:lineRule="auto"/>
              <w:rPr>
                <w:color w:val="auto"/>
                <w:szCs w:val="24"/>
              </w:rPr>
            </w:pPr>
            <w:r>
              <w:rPr>
                <w:rFonts w:hint="eastAsia"/>
                <w:color w:val="auto"/>
                <w:szCs w:val="24"/>
              </w:rPr>
              <w:t>0.98</w:t>
            </w:r>
          </w:p>
        </w:tc>
        <w:tc>
          <w:tcPr>
            <w:tcW w:w="420" w:type="pct"/>
            <w:vAlign w:val="center"/>
          </w:tcPr>
          <w:p>
            <w:pPr>
              <w:pStyle w:val="47"/>
              <w:spacing w:line="240" w:lineRule="auto"/>
              <w:rPr>
                <w:color w:val="auto"/>
              </w:rPr>
            </w:pPr>
            <w:r>
              <w:rPr>
                <w:color w:val="auto"/>
              </w:rPr>
              <w:t>0</w:t>
            </w:r>
          </w:p>
        </w:tc>
        <w:tc>
          <w:tcPr>
            <w:tcW w:w="559" w:type="pct"/>
            <w:vAlign w:val="center"/>
          </w:tcPr>
          <w:p>
            <w:pPr>
              <w:pStyle w:val="47"/>
              <w:spacing w:line="240" w:lineRule="auto"/>
              <w:rPr>
                <w:color w:val="auto"/>
              </w:rPr>
            </w:pPr>
            <w:r>
              <w:rPr>
                <w:color w:val="auto"/>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397" w:type="pct"/>
            <w:vMerge w:val="continue"/>
            <w:vAlign w:val="center"/>
          </w:tcPr>
          <w:p>
            <w:pPr>
              <w:pStyle w:val="47"/>
              <w:spacing w:line="240" w:lineRule="auto"/>
              <w:rPr>
                <w:color w:val="auto"/>
              </w:rPr>
            </w:pPr>
          </w:p>
        </w:tc>
        <w:tc>
          <w:tcPr>
            <w:tcW w:w="711" w:type="pct"/>
            <w:vAlign w:val="center"/>
          </w:tcPr>
          <w:p>
            <w:pPr>
              <w:pStyle w:val="47"/>
              <w:rPr>
                <w:color w:val="auto"/>
                <w:szCs w:val="24"/>
              </w:rPr>
            </w:pPr>
            <w:r>
              <w:rPr>
                <w:color w:val="auto"/>
              </w:rPr>
              <w:t>氨</w:t>
            </w:r>
          </w:p>
        </w:tc>
        <w:tc>
          <w:tcPr>
            <w:tcW w:w="741" w:type="pct"/>
            <w:vAlign w:val="center"/>
          </w:tcPr>
          <w:p>
            <w:pPr>
              <w:pStyle w:val="47"/>
              <w:spacing w:line="240" w:lineRule="auto"/>
              <w:rPr>
                <w:color w:val="auto"/>
              </w:rPr>
            </w:pPr>
            <w:r>
              <w:rPr>
                <w:color w:val="auto"/>
              </w:rPr>
              <w:t>小时平均</w:t>
            </w:r>
          </w:p>
        </w:tc>
        <w:tc>
          <w:tcPr>
            <w:tcW w:w="747" w:type="pct"/>
            <w:vAlign w:val="center"/>
          </w:tcPr>
          <w:p>
            <w:pPr>
              <w:pStyle w:val="47"/>
              <w:rPr>
                <w:color w:val="auto"/>
              </w:rPr>
            </w:pPr>
            <w:r>
              <w:rPr>
                <w:color w:val="auto"/>
              </w:rPr>
              <w:t>0.2</w:t>
            </w:r>
          </w:p>
        </w:tc>
        <w:tc>
          <w:tcPr>
            <w:tcW w:w="882" w:type="pct"/>
            <w:vAlign w:val="center"/>
          </w:tcPr>
          <w:p>
            <w:pPr>
              <w:pStyle w:val="47"/>
              <w:spacing w:line="240" w:lineRule="auto"/>
              <w:rPr>
                <w:color w:val="auto"/>
              </w:rPr>
            </w:pPr>
            <w:r>
              <w:rPr>
                <w:rFonts w:hint="eastAsia"/>
                <w:color w:val="auto"/>
                <w:szCs w:val="24"/>
              </w:rPr>
              <w:t>0.03-0.17</w:t>
            </w:r>
          </w:p>
        </w:tc>
        <w:tc>
          <w:tcPr>
            <w:tcW w:w="539" w:type="pct"/>
            <w:vAlign w:val="center"/>
          </w:tcPr>
          <w:p>
            <w:pPr>
              <w:pStyle w:val="47"/>
              <w:spacing w:line="240" w:lineRule="auto"/>
              <w:rPr>
                <w:color w:val="auto"/>
              </w:rPr>
            </w:pPr>
            <w:r>
              <w:rPr>
                <w:rFonts w:hint="eastAsia"/>
                <w:color w:val="auto"/>
              </w:rPr>
              <w:t>0.85</w:t>
            </w:r>
          </w:p>
        </w:tc>
        <w:tc>
          <w:tcPr>
            <w:tcW w:w="420" w:type="pct"/>
            <w:vAlign w:val="center"/>
          </w:tcPr>
          <w:p>
            <w:pPr>
              <w:pStyle w:val="47"/>
              <w:spacing w:line="240" w:lineRule="auto"/>
              <w:rPr>
                <w:color w:val="auto"/>
              </w:rPr>
            </w:pPr>
            <w:r>
              <w:rPr>
                <w:color w:val="auto"/>
              </w:rPr>
              <w:t>0</w:t>
            </w:r>
          </w:p>
        </w:tc>
        <w:tc>
          <w:tcPr>
            <w:tcW w:w="559" w:type="pct"/>
            <w:vAlign w:val="center"/>
          </w:tcPr>
          <w:p>
            <w:pPr>
              <w:pStyle w:val="47"/>
              <w:spacing w:line="240" w:lineRule="auto"/>
              <w:rPr>
                <w:color w:val="auto"/>
              </w:rPr>
            </w:pPr>
            <w:r>
              <w:rPr>
                <w:color w:val="auto"/>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397" w:type="pct"/>
            <w:vMerge w:val="continue"/>
            <w:vAlign w:val="center"/>
          </w:tcPr>
          <w:p>
            <w:pPr>
              <w:pStyle w:val="47"/>
              <w:spacing w:line="240" w:lineRule="auto"/>
              <w:rPr>
                <w:color w:val="auto"/>
              </w:rPr>
            </w:pPr>
          </w:p>
        </w:tc>
        <w:tc>
          <w:tcPr>
            <w:tcW w:w="711" w:type="pct"/>
            <w:vAlign w:val="center"/>
          </w:tcPr>
          <w:p>
            <w:pPr>
              <w:pStyle w:val="47"/>
              <w:rPr>
                <w:color w:val="auto"/>
                <w:szCs w:val="24"/>
              </w:rPr>
            </w:pPr>
            <w:r>
              <w:rPr>
                <w:color w:val="auto"/>
              </w:rPr>
              <w:t>硫化氢</w:t>
            </w:r>
          </w:p>
        </w:tc>
        <w:tc>
          <w:tcPr>
            <w:tcW w:w="741" w:type="pct"/>
            <w:vAlign w:val="center"/>
          </w:tcPr>
          <w:p>
            <w:pPr>
              <w:pStyle w:val="47"/>
              <w:spacing w:line="240" w:lineRule="auto"/>
              <w:rPr>
                <w:color w:val="auto"/>
              </w:rPr>
            </w:pPr>
            <w:r>
              <w:rPr>
                <w:color w:val="auto"/>
              </w:rPr>
              <w:t>小时平均</w:t>
            </w:r>
          </w:p>
        </w:tc>
        <w:tc>
          <w:tcPr>
            <w:tcW w:w="747" w:type="pct"/>
            <w:vAlign w:val="center"/>
          </w:tcPr>
          <w:p>
            <w:pPr>
              <w:pStyle w:val="47"/>
              <w:rPr>
                <w:color w:val="auto"/>
              </w:rPr>
            </w:pPr>
            <w:r>
              <w:rPr>
                <w:color w:val="auto"/>
              </w:rPr>
              <w:t>0.01</w:t>
            </w:r>
          </w:p>
        </w:tc>
        <w:tc>
          <w:tcPr>
            <w:tcW w:w="882" w:type="pct"/>
            <w:vAlign w:val="center"/>
          </w:tcPr>
          <w:p>
            <w:pPr>
              <w:pStyle w:val="47"/>
              <w:spacing w:line="240" w:lineRule="auto"/>
              <w:rPr>
                <w:color w:val="auto"/>
              </w:rPr>
            </w:pPr>
            <w:r>
              <w:rPr>
                <w:rFonts w:hint="eastAsia"/>
                <w:color w:val="auto"/>
                <w:szCs w:val="24"/>
              </w:rPr>
              <w:t>0.002-0.009</w:t>
            </w:r>
          </w:p>
        </w:tc>
        <w:tc>
          <w:tcPr>
            <w:tcW w:w="539" w:type="pct"/>
            <w:vAlign w:val="center"/>
          </w:tcPr>
          <w:p>
            <w:pPr>
              <w:pStyle w:val="47"/>
              <w:spacing w:line="240" w:lineRule="auto"/>
              <w:rPr>
                <w:color w:val="auto"/>
              </w:rPr>
            </w:pPr>
            <w:r>
              <w:rPr>
                <w:rFonts w:hint="eastAsia"/>
                <w:color w:val="auto"/>
              </w:rPr>
              <w:t>0.9</w:t>
            </w:r>
          </w:p>
        </w:tc>
        <w:tc>
          <w:tcPr>
            <w:tcW w:w="420" w:type="pct"/>
            <w:vAlign w:val="center"/>
          </w:tcPr>
          <w:p>
            <w:pPr>
              <w:pStyle w:val="47"/>
              <w:spacing w:line="240" w:lineRule="auto"/>
              <w:rPr>
                <w:color w:val="auto"/>
              </w:rPr>
            </w:pPr>
            <w:r>
              <w:rPr>
                <w:color w:val="auto"/>
              </w:rPr>
              <w:t>0</w:t>
            </w:r>
          </w:p>
        </w:tc>
        <w:tc>
          <w:tcPr>
            <w:tcW w:w="559" w:type="pct"/>
            <w:vAlign w:val="center"/>
          </w:tcPr>
          <w:p>
            <w:pPr>
              <w:pStyle w:val="47"/>
              <w:spacing w:line="240" w:lineRule="auto"/>
              <w:rPr>
                <w:color w:val="auto"/>
              </w:rPr>
            </w:pPr>
            <w:r>
              <w:rPr>
                <w:color w:val="auto"/>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397" w:type="pct"/>
            <w:vMerge w:val="continue"/>
            <w:vAlign w:val="center"/>
          </w:tcPr>
          <w:p>
            <w:pPr>
              <w:pStyle w:val="47"/>
              <w:spacing w:line="240" w:lineRule="auto"/>
              <w:rPr>
                <w:color w:val="auto"/>
              </w:rPr>
            </w:pPr>
          </w:p>
        </w:tc>
        <w:tc>
          <w:tcPr>
            <w:tcW w:w="1321" w:type="dxa"/>
            <w:vAlign w:val="center"/>
          </w:tcPr>
          <w:p>
            <w:pPr>
              <w:pStyle w:val="47"/>
              <w:spacing w:line="240" w:lineRule="auto"/>
              <w:rPr>
                <w:color w:val="auto"/>
                <w:szCs w:val="24"/>
              </w:rPr>
            </w:pPr>
            <w:r>
              <w:rPr>
                <w:rFonts w:hint="eastAsia"/>
                <w:color w:val="auto"/>
                <w:szCs w:val="21"/>
              </w:rPr>
              <w:t>臭气浓度（无量纲）</w:t>
            </w:r>
          </w:p>
        </w:tc>
        <w:tc>
          <w:tcPr>
            <w:tcW w:w="741" w:type="pct"/>
            <w:vAlign w:val="center"/>
          </w:tcPr>
          <w:p>
            <w:pPr>
              <w:pStyle w:val="47"/>
              <w:spacing w:line="240" w:lineRule="auto"/>
              <w:rPr>
                <w:color w:val="auto"/>
              </w:rPr>
            </w:pPr>
            <w:r>
              <w:rPr>
                <w:color w:val="auto"/>
              </w:rPr>
              <w:t>小时平均</w:t>
            </w:r>
          </w:p>
        </w:tc>
        <w:tc>
          <w:tcPr>
            <w:tcW w:w="747" w:type="pct"/>
            <w:vAlign w:val="center"/>
          </w:tcPr>
          <w:p>
            <w:pPr>
              <w:pStyle w:val="47"/>
              <w:rPr>
                <w:color w:val="auto"/>
              </w:rPr>
            </w:pPr>
            <w:r>
              <w:rPr>
                <w:rFonts w:hint="eastAsia"/>
                <w:color w:val="auto"/>
              </w:rPr>
              <w:t>20</w:t>
            </w:r>
          </w:p>
        </w:tc>
        <w:tc>
          <w:tcPr>
            <w:tcW w:w="882" w:type="pct"/>
            <w:vAlign w:val="center"/>
          </w:tcPr>
          <w:p>
            <w:pPr>
              <w:pStyle w:val="47"/>
              <w:spacing w:line="240" w:lineRule="auto"/>
              <w:rPr>
                <w:color w:val="auto"/>
              </w:rPr>
            </w:pPr>
            <w:r>
              <w:rPr>
                <w:rFonts w:eastAsia="华文仿宋"/>
                <w:color w:val="auto"/>
                <w:szCs w:val="21"/>
              </w:rPr>
              <w:t>&lt;10</w:t>
            </w:r>
          </w:p>
        </w:tc>
        <w:tc>
          <w:tcPr>
            <w:tcW w:w="539" w:type="pct"/>
            <w:vAlign w:val="center"/>
          </w:tcPr>
          <w:p>
            <w:pPr>
              <w:pStyle w:val="47"/>
              <w:spacing w:line="240" w:lineRule="auto"/>
              <w:rPr>
                <w:color w:val="auto"/>
              </w:rPr>
            </w:pPr>
            <w:r>
              <w:rPr>
                <w:rFonts w:hint="eastAsia"/>
                <w:color w:val="auto"/>
              </w:rPr>
              <w:t>0.25</w:t>
            </w:r>
          </w:p>
        </w:tc>
        <w:tc>
          <w:tcPr>
            <w:tcW w:w="420" w:type="pct"/>
            <w:vAlign w:val="center"/>
          </w:tcPr>
          <w:p>
            <w:pPr>
              <w:pStyle w:val="47"/>
              <w:spacing w:line="240" w:lineRule="auto"/>
              <w:rPr>
                <w:color w:val="auto"/>
              </w:rPr>
            </w:pPr>
            <w:r>
              <w:rPr>
                <w:color w:val="auto"/>
              </w:rPr>
              <w:t>0</w:t>
            </w:r>
          </w:p>
        </w:tc>
        <w:tc>
          <w:tcPr>
            <w:tcW w:w="559" w:type="pct"/>
            <w:vAlign w:val="center"/>
          </w:tcPr>
          <w:p>
            <w:pPr>
              <w:pStyle w:val="47"/>
              <w:spacing w:line="240" w:lineRule="auto"/>
              <w:rPr>
                <w:color w:val="auto"/>
              </w:rPr>
            </w:pPr>
            <w:r>
              <w:rPr>
                <w:color w:val="auto"/>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397" w:type="pct"/>
            <w:vMerge w:val="continue"/>
            <w:vAlign w:val="center"/>
          </w:tcPr>
          <w:p>
            <w:pPr>
              <w:pStyle w:val="47"/>
              <w:spacing w:line="240" w:lineRule="auto"/>
              <w:rPr>
                <w:color w:val="auto"/>
              </w:rPr>
            </w:pPr>
          </w:p>
        </w:tc>
        <w:tc>
          <w:tcPr>
            <w:tcW w:w="1321" w:type="dxa"/>
            <w:vAlign w:val="center"/>
          </w:tcPr>
          <w:p>
            <w:pPr>
              <w:pStyle w:val="47"/>
              <w:spacing w:line="240" w:lineRule="auto"/>
              <w:rPr>
                <w:color w:val="auto"/>
                <w:szCs w:val="24"/>
              </w:rPr>
            </w:pPr>
            <w:r>
              <w:rPr>
                <w:rFonts w:hint="eastAsia"/>
                <w:color w:val="auto"/>
              </w:rPr>
              <w:t>NO</w:t>
            </w:r>
            <w:r>
              <w:rPr>
                <w:rFonts w:hint="eastAsia"/>
                <w:color w:val="auto"/>
                <w:vertAlign w:val="subscript"/>
              </w:rPr>
              <w:t>X</w:t>
            </w:r>
          </w:p>
        </w:tc>
        <w:tc>
          <w:tcPr>
            <w:tcW w:w="741" w:type="pct"/>
            <w:vAlign w:val="center"/>
          </w:tcPr>
          <w:p>
            <w:pPr>
              <w:pStyle w:val="47"/>
              <w:spacing w:line="240" w:lineRule="auto"/>
              <w:rPr>
                <w:color w:val="auto"/>
              </w:rPr>
            </w:pPr>
            <w:r>
              <w:rPr>
                <w:color w:val="auto"/>
              </w:rPr>
              <w:t>小时平均</w:t>
            </w:r>
          </w:p>
        </w:tc>
        <w:tc>
          <w:tcPr>
            <w:tcW w:w="747" w:type="pct"/>
            <w:vAlign w:val="center"/>
          </w:tcPr>
          <w:p>
            <w:pPr>
              <w:pStyle w:val="47"/>
              <w:rPr>
                <w:color w:val="auto"/>
              </w:rPr>
            </w:pPr>
            <w:r>
              <w:rPr>
                <w:rFonts w:hint="eastAsia"/>
                <w:color w:val="auto"/>
              </w:rPr>
              <w:t>0.1</w:t>
            </w:r>
          </w:p>
        </w:tc>
        <w:tc>
          <w:tcPr>
            <w:tcW w:w="882" w:type="pct"/>
            <w:vAlign w:val="center"/>
          </w:tcPr>
          <w:p>
            <w:pPr>
              <w:pStyle w:val="47"/>
              <w:spacing w:line="240" w:lineRule="auto"/>
              <w:rPr>
                <w:color w:val="auto"/>
              </w:rPr>
            </w:pPr>
            <w:r>
              <w:rPr>
                <w:rFonts w:hint="eastAsia"/>
                <w:color w:val="auto"/>
              </w:rPr>
              <w:t>0.005-0.017</w:t>
            </w:r>
          </w:p>
        </w:tc>
        <w:tc>
          <w:tcPr>
            <w:tcW w:w="539" w:type="pct"/>
            <w:vAlign w:val="center"/>
          </w:tcPr>
          <w:p>
            <w:pPr>
              <w:pStyle w:val="47"/>
              <w:spacing w:line="240" w:lineRule="auto"/>
              <w:rPr>
                <w:color w:val="auto"/>
              </w:rPr>
            </w:pPr>
            <w:r>
              <w:rPr>
                <w:rFonts w:hint="eastAsia"/>
                <w:color w:val="auto"/>
              </w:rPr>
              <w:t>0.17</w:t>
            </w:r>
          </w:p>
        </w:tc>
        <w:tc>
          <w:tcPr>
            <w:tcW w:w="420" w:type="pct"/>
            <w:vAlign w:val="center"/>
          </w:tcPr>
          <w:p>
            <w:pPr>
              <w:pStyle w:val="47"/>
              <w:spacing w:line="240" w:lineRule="auto"/>
              <w:rPr>
                <w:color w:val="auto"/>
              </w:rPr>
            </w:pPr>
            <w:r>
              <w:rPr>
                <w:color w:val="auto"/>
              </w:rPr>
              <w:t>0</w:t>
            </w:r>
          </w:p>
        </w:tc>
        <w:tc>
          <w:tcPr>
            <w:tcW w:w="559" w:type="pct"/>
            <w:vAlign w:val="center"/>
          </w:tcPr>
          <w:p>
            <w:pPr>
              <w:pStyle w:val="47"/>
              <w:spacing w:line="240" w:lineRule="auto"/>
              <w:rPr>
                <w:color w:val="auto"/>
              </w:rPr>
            </w:pPr>
            <w:r>
              <w:rPr>
                <w:color w:val="auto"/>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97" w:type="pct"/>
            <w:vMerge w:val="restart"/>
            <w:vAlign w:val="center"/>
          </w:tcPr>
          <w:p>
            <w:pPr>
              <w:pStyle w:val="47"/>
              <w:spacing w:line="240" w:lineRule="auto"/>
              <w:rPr>
                <w:color w:val="auto"/>
              </w:rPr>
            </w:pPr>
            <w:r>
              <w:rPr>
                <w:color w:val="auto"/>
              </w:rPr>
              <w:t>2#</w:t>
            </w:r>
            <w:r>
              <w:rPr>
                <w:rFonts w:hint="eastAsia"/>
                <w:color w:val="auto"/>
              </w:rPr>
              <w:t>曹营村</w:t>
            </w:r>
          </w:p>
        </w:tc>
        <w:tc>
          <w:tcPr>
            <w:tcW w:w="711" w:type="pct"/>
            <w:vAlign w:val="center"/>
          </w:tcPr>
          <w:p>
            <w:pPr>
              <w:pStyle w:val="47"/>
              <w:spacing w:line="240" w:lineRule="auto"/>
              <w:rPr>
                <w:color w:val="auto"/>
                <w:szCs w:val="24"/>
              </w:rPr>
            </w:pPr>
            <w:r>
              <w:rPr>
                <w:color w:val="auto"/>
              </w:rPr>
              <w:t>TSP</w:t>
            </w:r>
          </w:p>
        </w:tc>
        <w:tc>
          <w:tcPr>
            <w:tcW w:w="741" w:type="pct"/>
            <w:vAlign w:val="center"/>
          </w:tcPr>
          <w:p>
            <w:pPr>
              <w:pStyle w:val="47"/>
              <w:spacing w:line="240" w:lineRule="auto"/>
              <w:rPr>
                <w:color w:val="auto"/>
                <w:szCs w:val="24"/>
              </w:rPr>
            </w:pPr>
            <w:r>
              <w:rPr>
                <w:color w:val="auto"/>
              </w:rPr>
              <w:t>日平均</w:t>
            </w:r>
          </w:p>
        </w:tc>
        <w:tc>
          <w:tcPr>
            <w:tcW w:w="747" w:type="pct"/>
            <w:vAlign w:val="center"/>
          </w:tcPr>
          <w:p>
            <w:pPr>
              <w:pStyle w:val="47"/>
              <w:spacing w:line="240" w:lineRule="auto"/>
              <w:rPr>
                <w:color w:val="auto"/>
                <w:szCs w:val="24"/>
              </w:rPr>
            </w:pPr>
            <w:r>
              <w:rPr>
                <w:color w:val="auto"/>
              </w:rPr>
              <w:t>0.3</w:t>
            </w:r>
          </w:p>
        </w:tc>
        <w:tc>
          <w:tcPr>
            <w:tcW w:w="882" w:type="pct"/>
            <w:vAlign w:val="center"/>
          </w:tcPr>
          <w:p>
            <w:pPr>
              <w:pStyle w:val="47"/>
              <w:spacing w:line="240" w:lineRule="auto"/>
              <w:rPr>
                <w:color w:val="auto"/>
              </w:rPr>
            </w:pPr>
            <w:r>
              <w:rPr>
                <w:rFonts w:hint="eastAsia"/>
                <w:color w:val="auto"/>
                <w:szCs w:val="24"/>
              </w:rPr>
              <w:t>0.213-0.235</w:t>
            </w:r>
          </w:p>
        </w:tc>
        <w:tc>
          <w:tcPr>
            <w:tcW w:w="539" w:type="pct"/>
            <w:vAlign w:val="center"/>
          </w:tcPr>
          <w:p>
            <w:pPr>
              <w:pStyle w:val="47"/>
              <w:spacing w:line="240" w:lineRule="auto"/>
              <w:rPr>
                <w:color w:val="auto"/>
              </w:rPr>
            </w:pPr>
            <w:r>
              <w:rPr>
                <w:rFonts w:hint="eastAsia"/>
                <w:color w:val="auto"/>
              </w:rPr>
              <w:t>0.78</w:t>
            </w:r>
          </w:p>
        </w:tc>
        <w:tc>
          <w:tcPr>
            <w:tcW w:w="420" w:type="pct"/>
            <w:vAlign w:val="center"/>
          </w:tcPr>
          <w:p>
            <w:pPr>
              <w:pStyle w:val="47"/>
              <w:spacing w:line="240" w:lineRule="auto"/>
              <w:rPr>
                <w:color w:val="auto"/>
                <w:szCs w:val="24"/>
              </w:rPr>
            </w:pPr>
            <w:r>
              <w:rPr>
                <w:color w:val="auto"/>
              </w:rPr>
              <w:t>0</w:t>
            </w:r>
          </w:p>
        </w:tc>
        <w:tc>
          <w:tcPr>
            <w:tcW w:w="559" w:type="pct"/>
            <w:vAlign w:val="center"/>
          </w:tcPr>
          <w:p>
            <w:pPr>
              <w:pStyle w:val="47"/>
              <w:spacing w:line="240" w:lineRule="auto"/>
              <w:rPr>
                <w:color w:val="auto"/>
                <w:szCs w:val="24"/>
              </w:rPr>
            </w:pPr>
            <w:r>
              <w:rPr>
                <w:color w:val="auto"/>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97" w:type="pct"/>
            <w:vMerge w:val="continue"/>
            <w:vAlign w:val="center"/>
          </w:tcPr>
          <w:p>
            <w:pPr>
              <w:pStyle w:val="47"/>
              <w:spacing w:line="240" w:lineRule="auto"/>
              <w:rPr>
                <w:color w:val="auto"/>
              </w:rPr>
            </w:pPr>
          </w:p>
        </w:tc>
        <w:tc>
          <w:tcPr>
            <w:tcW w:w="711" w:type="pct"/>
            <w:vAlign w:val="center"/>
          </w:tcPr>
          <w:p>
            <w:pPr>
              <w:pStyle w:val="47"/>
              <w:spacing w:line="240" w:lineRule="auto"/>
              <w:rPr>
                <w:color w:val="auto"/>
                <w:szCs w:val="24"/>
              </w:rPr>
            </w:pPr>
            <w:r>
              <w:rPr>
                <w:color w:val="auto"/>
              </w:rPr>
              <w:t>VOCs（以</w:t>
            </w:r>
            <w:r>
              <w:rPr>
                <w:rFonts w:hint="eastAsia"/>
                <w:color w:val="auto"/>
                <w:lang w:eastAsia="zh-CN"/>
              </w:rPr>
              <w:t>非甲烷</w:t>
            </w:r>
            <w:r>
              <w:rPr>
                <w:color w:val="auto"/>
              </w:rPr>
              <w:t>总烃计）</w:t>
            </w:r>
          </w:p>
        </w:tc>
        <w:tc>
          <w:tcPr>
            <w:tcW w:w="741" w:type="pct"/>
            <w:vAlign w:val="center"/>
          </w:tcPr>
          <w:p>
            <w:pPr>
              <w:pStyle w:val="47"/>
              <w:spacing w:line="240" w:lineRule="auto"/>
              <w:rPr>
                <w:color w:val="auto"/>
                <w:szCs w:val="24"/>
              </w:rPr>
            </w:pPr>
            <w:r>
              <w:rPr>
                <w:color w:val="auto"/>
              </w:rPr>
              <w:t>小时平均</w:t>
            </w:r>
          </w:p>
        </w:tc>
        <w:tc>
          <w:tcPr>
            <w:tcW w:w="747" w:type="pct"/>
            <w:vAlign w:val="center"/>
          </w:tcPr>
          <w:p>
            <w:pPr>
              <w:pStyle w:val="47"/>
              <w:spacing w:line="240" w:lineRule="auto"/>
              <w:rPr>
                <w:color w:val="auto"/>
                <w:szCs w:val="24"/>
              </w:rPr>
            </w:pPr>
            <w:r>
              <w:rPr>
                <w:color w:val="auto"/>
              </w:rPr>
              <w:t>2.0</w:t>
            </w:r>
          </w:p>
        </w:tc>
        <w:tc>
          <w:tcPr>
            <w:tcW w:w="882" w:type="pct"/>
            <w:vAlign w:val="center"/>
          </w:tcPr>
          <w:p>
            <w:pPr>
              <w:pStyle w:val="47"/>
              <w:spacing w:line="240" w:lineRule="auto"/>
              <w:rPr>
                <w:color w:val="auto"/>
              </w:rPr>
            </w:pPr>
            <w:r>
              <w:rPr>
                <w:rFonts w:hint="eastAsia"/>
                <w:color w:val="auto"/>
                <w:szCs w:val="24"/>
              </w:rPr>
              <w:t>0.12-2.00</w:t>
            </w:r>
          </w:p>
        </w:tc>
        <w:tc>
          <w:tcPr>
            <w:tcW w:w="539" w:type="pct"/>
            <w:vAlign w:val="center"/>
          </w:tcPr>
          <w:p>
            <w:pPr>
              <w:pStyle w:val="47"/>
              <w:spacing w:line="240" w:lineRule="auto"/>
              <w:rPr>
                <w:color w:val="auto"/>
              </w:rPr>
            </w:pPr>
            <w:r>
              <w:rPr>
                <w:rFonts w:hint="eastAsia"/>
                <w:color w:val="auto"/>
              </w:rPr>
              <w:t>1.00</w:t>
            </w:r>
          </w:p>
        </w:tc>
        <w:tc>
          <w:tcPr>
            <w:tcW w:w="420" w:type="pct"/>
            <w:vAlign w:val="center"/>
          </w:tcPr>
          <w:p>
            <w:pPr>
              <w:pStyle w:val="47"/>
              <w:spacing w:line="240" w:lineRule="auto"/>
              <w:rPr>
                <w:color w:val="auto"/>
                <w:szCs w:val="24"/>
              </w:rPr>
            </w:pPr>
            <w:r>
              <w:rPr>
                <w:color w:val="auto"/>
              </w:rPr>
              <w:t>0</w:t>
            </w:r>
          </w:p>
        </w:tc>
        <w:tc>
          <w:tcPr>
            <w:tcW w:w="559" w:type="pct"/>
            <w:vAlign w:val="center"/>
          </w:tcPr>
          <w:p>
            <w:pPr>
              <w:pStyle w:val="47"/>
              <w:spacing w:line="240" w:lineRule="auto"/>
              <w:rPr>
                <w:color w:val="auto"/>
                <w:szCs w:val="24"/>
              </w:rPr>
            </w:pPr>
            <w:r>
              <w:rPr>
                <w:color w:val="auto"/>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397" w:type="pct"/>
            <w:vMerge w:val="continue"/>
            <w:vAlign w:val="center"/>
          </w:tcPr>
          <w:p>
            <w:pPr>
              <w:pStyle w:val="47"/>
              <w:spacing w:line="240" w:lineRule="auto"/>
              <w:rPr>
                <w:color w:val="auto"/>
              </w:rPr>
            </w:pPr>
          </w:p>
        </w:tc>
        <w:tc>
          <w:tcPr>
            <w:tcW w:w="711" w:type="pct"/>
            <w:vAlign w:val="center"/>
          </w:tcPr>
          <w:p>
            <w:pPr>
              <w:pStyle w:val="47"/>
              <w:rPr>
                <w:color w:val="auto"/>
                <w:szCs w:val="24"/>
              </w:rPr>
            </w:pPr>
            <w:r>
              <w:rPr>
                <w:color w:val="auto"/>
              </w:rPr>
              <w:t>氨</w:t>
            </w:r>
          </w:p>
        </w:tc>
        <w:tc>
          <w:tcPr>
            <w:tcW w:w="741" w:type="pct"/>
            <w:vAlign w:val="center"/>
          </w:tcPr>
          <w:p>
            <w:pPr>
              <w:pStyle w:val="47"/>
              <w:spacing w:line="240" w:lineRule="auto"/>
              <w:rPr>
                <w:color w:val="auto"/>
                <w:szCs w:val="24"/>
              </w:rPr>
            </w:pPr>
            <w:r>
              <w:rPr>
                <w:color w:val="auto"/>
              </w:rPr>
              <w:t>小时平均</w:t>
            </w:r>
          </w:p>
        </w:tc>
        <w:tc>
          <w:tcPr>
            <w:tcW w:w="747" w:type="pct"/>
            <w:vAlign w:val="center"/>
          </w:tcPr>
          <w:p>
            <w:pPr>
              <w:pStyle w:val="47"/>
              <w:rPr>
                <w:color w:val="auto"/>
                <w:szCs w:val="24"/>
              </w:rPr>
            </w:pPr>
            <w:r>
              <w:rPr>
                <w:color w:val="auto"/>
              </w:rPr>
              <w:t>0.2</w:t>
            </w:r>
          </w:p>
        </w:tc>
        <w:tc>
          <w:tcPr>
            <w:tcW w:w="882" w:type="pct"/>
            <w:vAlign w:val="center"/>
          </w:tcPr>
          <w:p>
            <w:pPr>
              <w:pStyle w:val="47"/>
              <w:spacing w:line="240" w:lineRule="auto"/>
              <w:rPr>
                <w:color w:val="auto"/>
                <w:szCs w:val="24"/>
              </w:rPr>
            </w:pPr>
            <w:r>
              <w:rPr>
                <w:rFonts w:hint="eastAsia"/>
                <w:color w:val="auto"/>
                <w:szCs w:val="24"/>
              </w:rPr>
              <w:t>0.08-0.17</w:t>
            </w:r>
          </w:p>
        </w:tc>
        <w:tc>
          <w:tcPr>
            <w:tcW w:w="539" w:type="pct"/>
            <w:vAlign w:val="center"/>
          </w:tcPr>
          <w:p>
            <w:pPr>
              <w:pStyle w:val="47"/>
              <w:spacing w:line="240" w:lineRule="auto"/>
              <w:rPr>
                <w:color w:val="auto"/>
              </w:rPr>
            </w:pPr>
            <w:r>
              <w:rPr>
                <w:rFonts w:hint="eastAsia"/>
                <w:color w:val="auto"/>
              </w:rPr>
              <w:t>0.85</w:t>
            </w:r>
          </w:p>
        </w:tc>
        <w:tc>
          <w:tcPr>
            <w:tcW w:w="420" w:type="pct"/>
            <w:vAlign w:val="center"/>
          </w:tcPr>
          <w:p>
            <w:pPr>
              <w:pStyle w:val="47"/>
              <w:spacing w:line="240" w:lineRule="auto"/>
              <w:rPr>
                <w:color w:val="auto"/>
                <w:szCs w:val="24"/>
              </w:rPr>
            </w:pPr>
            <w:r>
              <w:rPr>
                <w:color w:val="auto"/>
              </w:rPr>
              <w:t>0</w:t>
            </w:r>
          </w:p>
        </w:tc>
        <w:tc>
          <w:tcPr>
            <w:tcW w:w="559" w:type="pct"/>
            <w:vAlign w:val="center"/>
          </w:tcPr>
          <w:p>
            <w:pPr>
              <w:pStyle w:val="47"/>
              <w:spacing w:line="240" w:lineRule="auto"/>
              <w:rPr>
                <w:color w:val="auto"/>
                <w:szCs w:val="24"/>
              </w:rPr>
            </w:pPr>
            <w:r>
              <w:rPr>
                <w:color w:val="auto"/>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397" w:type="pct"/>
            <w:vMerge w:val="continue"/>
            <w:vAlign w:val="center"/>
          </w:tcPr>
          <w:p>
            <w:pPr>
              <w:pStyle w:val="47"/>
              <w:spacing w:line="240" w:lineRule="auto"/>
              <w:rPr>
                <w:color w:val="auto"/>
              </w:rPr>
            </w:pPr>
          </w:p>
        </w:tc>
        <w:tc>
          <w:tcPr>
            <w:tcW w:w="711" w:type="pct"/>
            <w:vAlign w:val="center"/>
          </w:tcPr>
          <w:p>
            <w:pPr>
              <w:pStyle w:val="47"/>
              <w:rPr>
                <w:color w:val="auto"/>
                <w:szCs w:val="24"/>
              </w:rPr>
            </w:pPr>
            <w:r>
              <w:rPr>
                <w:color w:val="auto"/>
              </w:rPr>
              <w:t>硫化氢</w:t>
            </w:r>
          </w:p>
        </w:tc>
        <w:tc>
          <w:tcPr>
            <w:tcW w:w="741" w:type="pct"/>
            <w:vAlign w:val="center"/>
          </w:tcPr>
          <w:p>
            <w:pPr>
              <w:pStyle w:val="47"/>
              <w:spacing w:line="240" w:lineRule="auto"/>
              <w:rPr>
                <w:color w:val="auto"/>
                <w:szCs w:val="24"/>
              </w:rPr>
            </w:pPr>
            <w:r>
              <w:rPr>
                <w:color w:val="auto"/>
              </w:rPr>
              <w:t>小时平均</w:t>
            </w:r>
          </w:p>
        </w:tc>
        <w:tc>
          <w:tcPr>
            <w:tcW w:w="747" w:type="pct"/>
            <w:vAlign w:val="center"/>
          </w:tcPr>
          <w:p>
            <w:pPr>
              <w:pStyle w:val="47"/>
              <w:rPr>
                <w:color w:val="auto"/>
                <w:szCs w:val="24"/>
              </w:rPr>
            </w:pPr>
            <w:r>
              <w:rPr>
                <w:color w:val="auto"/>
              </w:rPr>
              <w:t>0.01</w:t>
            </w:r>
          </w:p>
        </w:tc>
        <w:tc>
          <w:tcPr>
            <w:tcW w:w="882" w:type="pct"/>
            <w:vAlign w:val="center"/>
          </w:tcPr>
          <w:p>
            <w:pPr>
              <w:pStyle w:val="47"/>
              <w:spacing w:line="240" w:lineRule="auto"/>
              <w:rPr>
                <w:color w:val="auto"/>
                <w:szCs w:val="24"/>
              </w:rPr>
            </w:pPr>
            <w:r>
              <w:rPr>
                <w:rFonts w:hint="eastAsia"/>
                <w:color w:val="auto"/>
                <w:szCs w:val="24"/>
              </w:rPr>
              <w:t>ND-0.009</w:t>
            </w:r>
          </w:p>
        </w:tc>
        <w:tc>
          <w:tcPr>
            <w:tcW w:w="539" w:type="pct"/>
            <w:vAlign w:val="center"/>
          </w:tcPr>
          <w:p>
            <w:pPr>
              <w:pStyle w:val="47"/>
              <w:spacing w:line="240" w:lineRule="auto"/>
              <w:rPr>
                <w:color w:val="auto"/>
              </w:rPr>
            </w:pPr>
            <w:r>
              <w:rPr>
                <w:rFonts w:hint="eastAsia"/>
                <w:color w:val="auto"/>
              </w:rPr>
              <w:t>0.9</w:t>
            </w:r>
          </w:p>
        </w:tc>
        <w:tc>
          <w:tcPr>
            <w:tcW w:w="420" w:type="pct"/>
            <w:vAlign w:val="center"/>
          </w:tcPr>
          <w:p>
            <w:pPr>
              <w:pStyle w:val="47"/>
              <w:spacing w:line="240" w:lineRule="auto"/>
              <w:rPr>
                <w:color w:val="auto"/>
                <w:szCs w:val="24"/>
              </w:rPr>
            </w:pPr>
            <w:r>
              <w:rPr>
                <w:color w:val="auto"/>
              </w:rPr>
              <w:t>0</w:t>
            </w:r>
          </w:p>
        </w:tc>
        <w:tc>
          <w:tcPr>
            <w:tcW w:w="559" w:type="pct"/>
            <w:vAlign w:val="center"/>
          </w:tcPr>
          <w:p>
            <w:pPr>
              <w:pStyle w:val="47"/>
              <w:spacing w:line="240" w:lineRule="auto"/>
              <w:rPr>
                <w:color w:val="auto"/>
                <w:szCs w:val="24"/>
              </w:rPr>
            </w:pPr>
            <w:r>
              <w:rPr>
                <w:color w:val="auto"/>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jc w:val="center"/>
        </w:trPr>
        <w:tc>
          <w:tcPr>
            <w:tcW w:w="397" w:type="pct"/>
            <w:vMerge w:val="continue"/>
            <w:vAlign w:val="center"/>
          </w:tcPr>
          <w:p>
            <w:pPr>
              <w:pStyle w:val="47"/>
              <w:spacing w:line="240" w:lineRule="auto"/>
              <w:rPr>
                <w:color w:val="auto"/>
              </w:rPr>
            </w:pPr>
          </w:p>
        </w:tc>
        <w:tc>
          <w:tcPr>
            <w:tcW w:w="1213" w:type="dxa"/>
            <w:vAlign w:val="center"/>
          </w:tcPr>
          <w:p>
            <w:pPr>
              <w:pStyle w:val="47"/>
              <w:spacing w:line="240" w:lineRule="auto"/>
              <w:rPr>
                <w:color w:val="auto"/>
                <w:szCs w:val="24"/>
              </w:rPr>
            </w:pPr>
            <w:r>
              <w:rPr>
                <w:rFonts w:hint="eastAsia"/>
                <w:color w:val="auto"/>
                <w:szCs w:val="21"/>
              </w:rPr>
              <w:t>臭气浓度（无量纲）</w:t>
            </w:r>
          </w:p>
        </w:tc>
        <w:tc>
          <w:tcPr>
            <w:tcW w:w="741" w:type="pct"/>
            <w:vAlign w:val="center"/>
          </w:tcPr>
          <w:p>
            <w:pPr>
              <w:pStyle w:val="47"/>
              <w:spacing w:line="240" w:lineRule="auto"/>
              <w:rPr>
                <w:color w:val="auto"/>
                <w:szCs w:val="24"/>
              </w:rPr>
            </w:pPr>
            <w:r>
              <w:rPr>
                <w:color w:val="auto"/>
              </w:rPr>
              <w:t>小时平均</w:t>
            </w:r>
          </w:p>
        </w:tc>
        <w:tc>
          <w:tcPr>
            <w:tcW w:w="1274" w:type="dxa"/>
            <w:vAlign w:val="center"/>
          </w:tcPr>
          <w:p>
            <w:pPr>
              <w:pStyle w:val="47"/>
              <w:rPr>
                <w:color w:val="auto"/>
                <w:szCs w:val="24"/>
              </w:rPr>
            </w:pPr>
            <w:r>
              <w:rPr>
                <w:rFonts w:hint="eastAsia"/>
                <w:color w:val="auto"/>
              </w:rPr>
              <w:t>20</w:t>
            </w:r>
          </w:p>
        </w:tc>
        <w:tc>
          <w:tcPr>
            <w:tcW w:w="1505" w:type="dxa"/>
            <w:vAlign w:val="center"/>
          </w:tcPr>
          <w:p>
            <w:pPr>
              <w:pStyle w:val="47"/>
              <w:spacing w:line="240" w:lineRule="auto"/>
              <w:rPr>
                <w:color w:val="auto"/>
              </w:rPr>
            </w:pPr>
            <w:r>
              <w:rPr>
                <w:rFonts w:eastAsia="华文仿宋"/>
                <w:color w:val="auto"/>
                <w:szCs w:val="21"/>
              </w:rPr>
              <w:t>&lt;10</w:t>
            </w:r>
          </w:p>
        </w:tc>
        <w:tc>
          <w:tcPr>
            <w:tcW w:w="919" w:type="dxa"/>
            <w:vAlign w:val="center"/>
          </w:tcPr>
          <w:p>
            <w:pPr>
              <w:pStyle w:val="47"/>
              <w:spacing w:line="240" w:lineRule="auto"/>
              <w:rPr>
                <w:color w:val="auto"/>
              </w:rPr>
            </w:pPr>
            <w:r>
              <w:rPr>
                <w:rFonts w:hint="eastAsia"/>
                <w:color w:val="auto"/>
              </w:rPr>
              <w:t>0.25</w:t>
            </w:r>
          </w:p>
        </w:tc>
        <w:tc>
          <w:tcPr>
            <w:tcW w:w="420" w:type="pct"/>
            <w:vAlign w:val="center"/>
          </w:tcPr>
          <w:p>
            <w:pPr>
              <w:pStyle w:val="47"/>
              <w:spacing w:line="240" w:lineRule="auto"/>
              <w:rPr>
                <w:color w:val="auto"/>
                <w:szCs w:val="24"/>
              </w:rPr>
            </w:pPr>
            <w:r>
              <w:rPr>
                <w:color w:val="auto"/>
              </w:rPr>
              <w:t>0</w:t>
            </w:r>
          </w:p>
        </w:tc>
        <w:tc>
          <w:tcPr>
            <w:tcW w:w="559" w:type="pct"/>
            <w:vAlign w:val="center"/>
          </w:tcPr>
          <w:p>
            <w:pPr>
              <w:pStyle w:val="47"/>
              <w:spacing w:line="240" w:lineRule="auto"/>
              <w:rPr>
                <w:color w:val="auto"/>
                <w:szCs w:val="24"/>
              </w:rPr>
            </w:pPr>
            <w:r>
              <w:rPr>
                <w:color w:val="auto"/>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397" w:type="pct"/>
            <w:vMerge w:val="continue"/>
            <w:vAlign w:val="center"/>
          </w:tcPr>
          <w:p>
            <w:pPr>
              <w:pStyle w:val="47"/>
              <w:spacing w:line="240" w:lineRule="auto"/>
              <w:rPr>
                <w:color w:val="auto"/>
              </w:rPr>
            </w:pPr>
          </w:p>
        </w:tc>
        <w:tc>
          <w:tcPr>
            <w:tcW w:w="1213" w:type="dxa"/>
            <w:vAlign w:val="center"/>
          </w:tcPr>
          <w:p>
            <w:pPr>
              <w:pStyle w:val="47"/>
              <w:spacing w:line="240" w:lineRule="auto"/>
              <w:rPr>
                <w:color w:val="auto"/>
                <w:szCs w:val="24"/>
              </w:rPr>
            </w:pPr>
            <w:r>
              <w:rPr>
                <w:rFonts w:hint="eastAsia"/>
                <w:color w:val="auto"/>
              </w:rPr>
              <w:t>NO</w:t>
            </w:r>
            <w:r>
              <w:rPr>
                <w:rFonts w:hint="eastAsia"/>
                <w:color w:val="auto"/>
                <w:vertAlign w:val="subscript"/>
              </w:rPr>
              <w:t>X</w:t>
            </w:r>
          </w:p>
        </w:tc>
        <w:tc>
          <w:tcPr>
            <w:tcW w:w="741" w:type="pct"/>
            <w:vAlign w:val="center"/>
          </w:tcPr>
          <w:p>
            <w:pPr>
              <w:pStyle w:val="47"/>
              <w:spacing w:line="240" w:lineRule="auto"/>
              <w:rPr>
                <w:color w:val="auto"/>
                <w:szCs w:val="24"/>
              </w:rPr>
            </w:pPr>
            <w:r>
              <w:rPr>
                <w:color w:val="auto"/>
              </w:rPr>
              <w:t>小时平均</w:t>
            </w:r>
          </w:p>
        </w:tc>
        <w:tc>
          <w:tcPr>
            <w:tcW w:w="1274" w:type="dxa"/>
            <w:vAlign w:val="center"/>
          </w:tcPr>
          <w:p>
            <w:pPr>
              <w:pStyle w:val="47"/>
              <w:rPr>
                <w:color w:val="auto"/>
                <w:szCs w:val="24"/>
              </w:rPr>
            </w:pPr>
            <w:r>
              <w:rPr>
                <w:rFonts w:hint="eastAsia"/>
                <w:color w:val="auto"/>
              </w:rPr>
              <w:t>0.1</w:t>
            </w:r>
          </w:p>
        </w:tc>
        <w:tc>
          <w:tcPr>
            <w:tcW w:w="882" w:type="pct"/>
            <w:vAlign w:val="center"/>
          </w:tcPr>
          <w:p>
            <w:pPr>
              <w:pStyle w:val="47"/>
              <w:spacing w:line="240" w:lineRule="auto"/>
              <w:rPr>
                <w:color w:val="auto"/>
              </w:rPr>
            </w:pPr>
            <w:r>
              <w:rPr>
                <w:rFonts w:hint="eastAsia"/>
                <w:color w:val="auto"/>
                <w:szCs w:val="24"/>
              </w:rPr>
              <w:t>0.006-0.014</w:t>
            </w:r>
          </w:p>
        </w:tc>
        <w:tc>
          <w:tcPr>
            <w:tcW w:w="539" w:type="pct"/>
            <w:vAlign w:val="center"/>
          </w:tcPr>
          <w:p>
            <w:pPr>
              <w:pStyle w:val="47"/>
              <w:spacing w:line="240" w:lineRule="auto"/>
              <w:rPr>
                <w:color w:val="auto"/>
              </w:rPr>
            </w:pPr>
            <w:r>
              <w:rPr>
                <w:rFonts w:hint="eastAsia"/>
                <w:color w:val="auto"/>
              </w:rPr>
              <w:t>0.14</w:t>
            </w:r>
          </w:p>
        </w:tc>
        <w:tc>
          <w:tcPr>
            <w:tcW w:w="420" w:type="pct"/>
            <w:vAlign w:val="center"/>
          </w:tcPr>
          <w:p>
            <w:pPr>
              <w:pStyle w:val="47"/>
              <w:spacing w:line="240" w:lineRule="auto"/>
              <w:rPr>
                <w:color w:val="auto"/>
                <w:szCs w:val="24"/>
              </w:rPr>
            </w:pPr>
            <w:r>
              <w:rPr>
                <w:color w:val="auto"/>
              </w:rPr>
              <w:t>0</w:t>
            </w:r>
          </w:p>
        </w:tc>
        <w:tc>
          <w:tcPr>
            <w:tcW w:w="559" w:type="pct"/>
            <w:vAlign w:val="center"/>
          </w:tcPr>
          <w:p>
            <w:pPr>
              <w:pStyle w:val="47"/>
              <w:spacing w:line="240" w:lineRule="auto"/>
              <w:rPr>
                <w:color w:val="auto"/>
                <w:szCs w:val="24"/>
              </w:rPr>
            </w:pPr>
            <w:r>
              <w:rPr>
                <w:color w:val="auto"/>
              </w:rPr>
              <w:t>达标</w:t>
            </w:r>
          </w:p>
        </w:tc>
      </w:tr>
    </w:tbl>
    <w:p>
      <w:pPr>
        <w:adjustRightInd w:val="0"/>
        <w:snapToGrid w:val="0"/>
        <w:ind w:firstLine="210" w:firstLineChars="100"/>
        <w:rPr>
          <w:color w:val="auto"/>
        </w:rPr>
      </w:pPr>
      <w:r>
        <w:rPr>
          <w:color w:val="auto"/>
          <w:sz w:val="21"/>
          <w:szCs w:val="21"/>
        </w:rPr>
        <w:t>注：未检出按检出限的一半进行评价。</w:t>
      </w:r>
    </w:p>
    <w:p>
      <w:pPr>
        <w:ind w:firstLine="480"/>
        <w:rPr>
          <w:color w:val="auto"/>
        </w:rPr>
      </w:pPr>
      <w:r>
        <w:rPr>
          <w:color w:val="auto"/>
        </w:rPr>
        <w:t>结果表明，监测期间，1#监测点位TSP日均浓度</w:t>
      </w:r>
      <w:r>
        <w:rPr>
          <w:rFonts w:hint="eastAsia"/>
          <w:color w:val="auto"/>
        </w:rPr>
        <w:t>不</w:t>
      </w:r>
      <w:r>
        <w:rPr>
          <w:color w:val="auto"/>
        </w:rPr>
        <w:t>满足《环境空气质量标准》(GB3095-2012)及其修改单二级标准</w:t>
      </w:r>
      <w:r>
        <w:rPr>
          <w:rFonts w:hint="eastAsia"/>
          <w:color w:val="auto"/>
        </w:rPr>
        <w:t>，</w:t>
      </w:r>
      <w:r>
        <w:rPr>
          <w:color w:val="auto"/>
        </w:rPr>
        <w:t>1#监测点位NOx日均浓度满足《环境空气质量标准》(GB3095-2012)及其修改单二级标准</w:t>
      </w:r>
      <w:r>
        <w:rPr>
          <w:rFonts w:hint="eastAsia"/>
          <w:color w:val="auto"/>
        </w:rPr>
        <w:t>，</w:t>
      </w:r>
      <w:r>
        <w:rPr>
          <w:color w:val="auto"/>
        </w:rPr>
        <w:t>2#监测点位TSP</w:t>
      </w:r>
      <w:r>
        <w:rPr>
          <w:rFonts w:hint="eastAsia"/>
          <w:color w:val="auto"/>
        </w:rPr>
        <w:t>、</w:t>
      </w:r>
      <w:r>
        <w:rPr>
          <w:color w:val="auto"/>
        </w:rPr>
        <w:t>NOx日均浓度满足《环境空气质量标准》(GB3095-2012)及其修改单二级标准，1#</w:t>
      </w:r>
      <w:r>
        <w:rPr>
          <w:rFonts w:hint="eastAsia"/>
          <w:color w:val="auto"/>
        </w:rPr>
        <w:t>、</w:t>
      </w:r>
      <w:r>
        <w:rPr>
          <w:color w:val="auto"/>
        </w:rPr>
        <w:t>2#监测点位VOCs（以</w:t>
      </w:r>
      <w:r>
        <w:rPr>
          <w:rFonts w:hint="eastAsia"/>
          <w:color w:val="auto"/>
          <w:lang w:eastAsia="zh-CN"/>
        </w:rPr>
        <w:t>非甲烷</w:t>
      </w:r>
      <w:r>
        <w:rPr>
          <w:color w:val="auto"/>
        </w:rPr>
        <w:t>总烃计）小时浓度满足《大气污染物综合排放标准详解》中</w:t>
      </w:r>
      <w:r>
        <w:rPr>
          <w:rFonts w:hint="eastAsia"/>
          <w:color w:val="auto"/>
          <w:lang w:eastAsia="zh-CN"/>
        </w:rPr>
        <w:t>非甲烷</w:t>
      </w:r>
      <w:r>
        <w:rPr>
          <w:color w:val="auto"/>
        </w:rPr>
        <w:t>总烃环境质量标准，氨、硫化氢小时浓度满足《环境影响评价技术导则 大气环境》（HJ2.2-2018）附录D</w:t>
      </w:r>
      <w:r>
        <w:rPr>
          <w:rFonts w:hint="eastAsia"/>
          <w:color w:val="auto"/>
        </w:rPr>
        <w:t>，臭气浓度小时值满足《恶臭污染物排放标准》（GB14554-93）</w:t>
      </w:r>
      <w:r>
        <w:rPr>
          <w:color w:val="auto"/>
        </w:rPr>
        <w:t>。</w:t>
      </w:r>
    </w:p>
    <w:p>
      <w:pPr>
        <w:adjustRightInd w:val="0"/>
        <w:snapToGrid w:val="0"/>
        <w:ind w:firstLine="436" w:firstLineChars="182"/>
        <w:rPr>
          <w:color w:val="auto"/>
        </w:rPr>
      </w:pPr>
      <w:r>
        <w:rPr>
          <w:color w:val="auto"/>
        </w:rPr>
        <w:t>对采取补充监测进行现状评价的，取各污染物不同评价时段监测浓度的最大值，作为评价范围内环境空气保护目标及网格点环境质量现状浓度。对于有多个监测点位数据的，先计算相同时刻各监测点位平均值，再取各监测时段平均值中的最大值。计算方法如下：</w:t>
      </w:r>
    </w:p>
    <w:p>
      <w:pPr>
        <w:spacing w:line="360" w:lineRule="auto"/>
        <w:ind w:firstLine="0" w:firstLineChars="0"/>
        <w:jc w:val="center"/>
        <w:rPr>
          <w:color w:val="auto"/>
          <w:sz w:val="21"/>
        </w:rPr>
      </w:pPr>
      <w:r>
        <w:rPr>
          <w:color w:val="auto"/>
          <w:sz w:val="21"/>
        </w:rPr>
        <w:drawing>
          <wp:inline distT="0" distB="0" distL="114300" distR="114300">
            <wp:extent cx="2001520" cy="333375"/>
            <wp:effectExtent l="0" t="0" r="17780" b="9525"/>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70"/>
                    <a:stretch>
                      <a:fillRect/>
                    </a:stretch>
                  </pic:blipFill>
                  <pic:spPr>
                    <a:xfrm>
                      <a:off x="0" y="0"/>
                      <a:ext cx="2001520" cy="333375"/>
                    </a:xfrm>
                    <a:prstGeom prst="rect">
                      <a:avLst/>
                    </a:prstGeom>
                    <a:noFill/>
                    <a:ln>
                      <a:noFill/>
                    </a:ln>
                  </pic:spPr>
                </pic:pic>
              </a:graphicData>
            </a:graphic>
          </wp:inline>
        </w:drawing>
      </w:r>
    </w:p>
    <w:p>
      <w:pPr>
        <w:spacing w:line="360" w:lineRule="auto"/>
        <w:ind w:firstLine="482" w:firstLineChars="0"/>
        <w:rPr>
          <w:color w:val="auto"/>
        </w:rPr>
      </w:pPr>
      <w:r>
        <w:rPr>
          <w:color w:val="auto"/>
        </w:rPr>
        <w:t>式中：</w:t>
      </w:r>
      <w:r>
        <w:rPr>
          <w:rFonts w:ascii="Cambria Math" w:hAnsi="Cambria Math" w:cs="Cambria Math"/>
          <w:color w:val="auto"/>
        </w:rPr>
        <w:t>𝐶</w:t>
      </w:r>
      <w:r>
        <w:rPr>
          <w:color w:val="auto"/>
          <w:vertAlign w:val="subscript"/>
        </w:rPr>
        <w:t>现状(</w:t>
      </w:r>
      <w:r>
        <w:rPr>
          <w:rFonts w:ascii="Cambria Math" w:hAnsi="Cambria Math" w:cs="Cambria Math"/>
          <w:color w:val="auto"/>
          <w:vertAlign w:val="subscript"/>
        </w:rPr>
        <w:t>𝑥</w:t>
      </w:r>
      <w:r>
        <w:rPr>
          <w:color w:val="auto"/>
          <w:vertAlign w:val="subscript"/>
        </w:rPr>
        <w:t>,</w:t>
      </w:r>
      <w:r>
        <w:rPr>
          <w:rFonts w:ascii="Cambria Math" w:hAnsi="Cambria Math" w:cs="Cambria Math"/>
          <w:color w:val="auto"/>
          <w:vertAlign w:val="subscript"/>
        </w:rPr>
        <w:t>𝑦</w:t>
      </w:r>
      <w:r>
        <w:rPr>
          <w:color w:val="auto"/>
          <w:vertAlign w:val="subscript"/>
        </w:rPr>
        <w:t>)</w:t>
      </w:r>
      <w:r>
        <w:rPr>
          <w:color w:val="auto"/>
        </w:rPr>
        <w:t>——环境空气保护目标及网格点(x,y)环境质量现状浓度，μg/m</w:t>
      </w:r>
      <w:r>
        <w:rPr>
          <w:color w:val="auto"/>
          <w:vertAlign w:val="superscript"/>
        </w:rPr>
        <w:t>3</w:t>
      </w:r>
      <w:r>
        <w:rPr>
          <w:color w:val="auto"/>
        </w:rPr>
        <w:t>；</w:t>
      </w:r>
    </w:p>
    <w:p>
      <w:pPr>
        <w:spacing w:line="360" w:lineRule="auto"/>
        <w:ind w:firstLine="1200" w:firstLineChars="500"/>
        <w:rPr>
          <w:color w:val="auto"/>
        </w:rPr>
      </w:pPr>
      <w:r>
        <w:rPr>
          <w:rFonts w:ascii="Cambria Math" w:hAnsi="Cambria Math" w:cs="Cambria Math"/>
          <w:color w:val="auto"/>
        </w:rPr>
        <w:t>𝐶</w:t>
      </w:r>
      <w:r>
        <w:rPr>
          <w:color w:val="auto"/>
          <w:vertAlign w:val="subscript"/>
        </w:rPr>
        <w:t>监测(</w:t>
      </w:r>
      <w:r>
        <w:rPr>
          <w:rFonts w:ascii="Cambria Math" w:hAnsi="Cambria Math" w:cs="Cambria Math"/>
          <w:color w:val="auto"/>
          <w:vertAlign w:val="subscript"/>
        </w:rPr>
        <w:t>𝑗</w:t>
      </w:r>
      <w:r>
        <w:rPr>
          <w:color w:val="auto"/>
          <w:vertAlign w:val="subscript"/>
        </w:rPr>
        <w:t>,</w:t>
      </w:r>
      <w:r>
        <w:rPr>
          <w:rFonts w:ascii="Cambria Math" w:hAnsi="Cambria Math" w:cs="Cambria Math"/>
          <w:color w:val="auto"/>
          <w:vertAlign w:val="subscript"/>
        </w:rPr>
        <w:t>𝑡</w:t>
      </w:r>
      <w:r>
        <w:rPr>
          <w:color w:val="auto"/>
          <w:vertAlign w:val="subscript"/>
        </w:rPr>
        <w:t>)</w:t>
      </w:r>
      <w:r>
        <w:rPr>
          <w:color w:val="auto"/>
        </w:rPr>
        <w:t>——第j个监测点位在t时刻环境质量现状浓度（包括1h平均、8h平均或日平均质量浓度），μg/m</w:t>
      </w:r>
      <w:r>
        <w:rPr>
          <w:color w:val="auto"/>
          <w:vertAlign w:val="superscript"/>
        </w:rPr>
        <w:t>3</w:t>
      </w:r>
      <w:r>
        <w:rPr>
          <w:color w:val="auto"/>
        </w:rPr>
        <w:t>；</w:t>
      </w:r>
    </w:p>
    <w:p>
      <w:pPr>
        <w:spacing w:line="360" w:lineRule="auto"/>
        <w:ind w:firstLine="1200" w:firstLineChars="500"/>
        <w:rPr>
          <w:color w:val="auto"/>
        </w:rPr>
      </w:pPr>
      <w:r>
        <w:rPr>
          <w:color w:val="auto"/>
        </w:rPr>
        <w:t>n——现状补充监测点位数。</w:t>
      </w:r>
    </w:p>
    <w:p>
      <w:pPr>
        <w:spacing w:line="360" w:lineRule="auto"/>
        <w:ind w:firstLine="482" w:firstLineChars="0"/>
        <w:rPr>
          <w:color w:val="auto"/>
        </w:rPr>
      </w:pPr>
      <w:r>
        <w:rPr>
          <w:color w:val="auto"/>
        </w:rPr>
        <w:t>环境空气保护目标及网格点环境质量现状浓度统计结果见表</w:t>
      </w:r>
      <w:r>
        <w:rPr>
          <w:rFonts w:hint="eastAsia"/>
          <w:color w:val="auto"/>
        </w:rPr>
        <w:t>4.1-9</w:t>
      </w:r>
      <w:r>
        <w:rPr>
          <w:color w:val="auto"/>
        </w:rPr>
        <w:t>。</w:t>
      </w:r>
    </w:p>
    <w:p>
      <w:pPr>
        <w:pStyle w:val="48"/>
        <w:spacing w:line="360" w:lineRule="auto"/>
        <w:rPr>
          <w:rFonts w:ascii="Times New Roman" w:hAnsi="Times New Roman" w:cs="Times New Roman"/>
          <w:b w:val="0"/>
          <w:bCs/>
          <w:color w:val="auto"/>
        </w:rPr>
      </w:pPr>
      <w:r>
        <w:rPr>
          <w:rFonts w:hint="eastAsia" w:ascii="Times New Roman" w:hAnsi="Times New Roman" w:cs="Times New Roman"/>
          <w:b w:val="0"/>
          <w:bCs/>
          <w:color w:val="auto"/>
        </w:rPr>
        <w:t>表4.1-9 环境空气保护目标及网格点环境质量现状浓度统计结果</w:t>
      </w:r>
    </w:p>
    <w:tbl>
      <w:tblPr>
        <w:tblStyle w:val="2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05"/>
        <w:gridCol w:w="2445"/>
        <w:gridCol w:w="2066"/>
        <w:gridCol w:w="33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7" w:type="pct"/>
            <w:tcBorders>
              <w:tl2br w:val="nil"/>
              <w:tr2bl w:val="nil"/>
            </w:tcBorders>
            <w:noWrap/>
            <w:vAlign w:val="bottom"/>
          </w:tcPr>
          <w:p>
            <w:pPr>
              <w:spacing w:line="240" w:lineRule="auto"/>
              <w:ind w:firstLine="0" w:firstLineChars="0"/>
              <w:jc w:val="center"/>
              <w:rPr>
                <w:b/>
                <w:bCs/>
                <w:color w:val="auto"/>
                <w:sz w:val="21"/>
              </w:rPr>
            </w:pPr>
            <w:r>
              <w:rPr>
                <w:b/>
                <w:bCs/>
                <w:color w:val="auto"/>
                <w:sz w:val="21"/>
              </w:rPr>
              <w:t>序号</w:t>
            </w:r>
          </w:p>
        </w:tc>
        <w:tc>
          <w:tcPr>
            <w:tcW w:w="1316" w:type="pct"/>
            <w:tcBorders>
              <w:tl2br w:val="nil"/>
              <w:tr2bl w:val="nil"/>
            </w:tcBorders>
            <w:vAlign w:val="center"/>
          </w:tcPr>
          <w:p>
            <w:pPr>
              <w:spacing w:line="240" w:lineRule="auto"/>
              <w:ind w:firstLine="0" w:firstLineChars="0"/>
              <w:jc w:val="center"/>
              <w:rPr>
                <w:b/>
                <w:bCs/>
                <w:color w:val="auto"/>
                <w:sz w:val="21"/>
              </w:rPr>
            </w:pPr>
            <w:r>
              <w:rPr>
                <w:b/>
                <w:bCs/>
                <w:color w:val="auto"/>
                <w:sz w:val="21"/>
              </w:rPr>
              <w:t>污染物</w:t>
            </w:r>
          </w:p>
        </w:tc>
        <w:tc>
          <w:tcPr>
            <w:tcW w:w="1112" w:type="pct"/>
            <w:tcBorders>
              <w:tl2br w:val="nil"/>
              <w:tr2bl w:val="nil"/>
            </w:tcBorders>
            <w:vAlign w:val="center"/>
          </w:tcPr>
          <w:p>
            <w:pPr>
              <w:spacing w:line="240" w:lineRule="auto"/>
              <w:ind w:firstLine="0" w:firstLineChars="0"/>
              <w:jc w:val="center"/>
              <w:rPr>
                <w:b/>
                <w:bCs/>
                <w:color w:val="auto"/>
                <w:sz w:val="21"/>
              </w:rPr>
            </w:pPr>
            <w:r>
              <w:rPr>
                <w:b/>
                <w:bCs/>
                <w:color w:val="auto"/>
                <w:sz w:val="21"/>
              </w:rPr>
              <w:t>平均时间</w:t>
            </w:r>
          </w:p>
        </w:tc>
        <w:tc>
          <w:tcPr>
            <w:tcW w:w="1812" w:type="pct"/>
            <w:tcBorders>
              <w:tl2br w:val="nil"/>
              <w:tr2bl w:val="nil"/>
            </w:tcBorders>
            <w:noWrap/>
            <w:vAlign w:val="bottom"/>
          </w:tcPr>
          <w:p>
            <w:pPr>
              <w:spacing w:line="240" w:lineRule="auto"/>
              <w:ind w:firstLine="0" w:firstLineChars="0"/>
              <w:jc w:val="center"/>
              <w:rPr>
                <w:b/>
                <w:bCs/>
                <w:color w:val="auto"/>
                <w:sz w:val="21"/>
              </w:rPr>
            </w:pPr>
            <w:r>
              <w:rPr>
                <w:b/>
                <w:bCs/>
                <w:color w:val="auto"/>
                <w:sz w:val="21"/>
              </w:rPr>
              <w:t>环境质量现状浓度（mg/m</w:t>
            </w:r>
            <w:r>
              <w:rPr>
                <w:b/>
                <w:bCs/>
                <w:color w:val="auto"/>
                <w:sz w:val="21"/>
                <w:vertAlign w:val="superscript"/>
              </w:rPr>
              <w:t>3</w:t>
            </w:r>
            <w:r>
              <w:rPr>
                <w:b/>
                <w:bCs/>
                <w:color w:val="auto"/>
                <w:sz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7" w:type="pct"/>
            <w:tcBorders>
              <w:tl2br w:val="nil"/>
              <w:tr2bl w:val="nil"/>
            </w:tcBorders>
            <w:noWrap/>
            <w:vAlign w:val="bottom"/>
          </w:tcPr>
          <w:p>
            <w:pPr>
              <w:spacing w:line="240" w:lineRule="auto"/>
              <w:ind w:firstLine="0" w:firstLineChars="0"/>
              <w:jc w:val="center"/>
              <w:rPr>
                <w:color w:val="auto"/>
                <w:sz w:val="21"/>
              </w:rPr>
            </w:pPr>
            <w:r>
              <w:rPr>
                <w:color w:val="auto"/>
                <w:sz w:val="21"/>
              </w:rPr>
              <w:t>1</w:t>
            </w:r>
          </w:p>
        </w:tc>
        <w:tc>
          <w:tcPr>
            <w:tcW w:w="1316" w:type="pct"/>
            <w:tcBorders>
              <w:tl2br w:val="nil"/>
              <w:tr2bl w:val="nil"/>
            </w:tcBorders>
            <w:vAlign w:val="center"/>
          </w:tcPr>
          <w:p>
            <w:pPr>
              <w:pStyle w:val="47"/>
              <w:rPr>
                <w:color w:val="auto"/>
              </w:rPr>
            </w:pPr>
            <w:r>
              <w:rPr>
                <w:color w:val="auto"/>
              </w:rPr>
              <w:t>TSP</w:t>
            </w:r>
          </w:p>
        </w:tc>
        <w:tc>
          <w:tcPr>
            <w:tcW w:w="1112" w:type="pct"/>
            <w:tcBorders>
              <w:tl2br w:val="nil"/>
              <w:tr2bl w:val="nil"/>
            </w:tcBorders>
            <w:noWrap/>
            <w:vAlign w:val="center"/>
          </w:tcPr>
          <w:p>
            <w:pPr>
              <w:spacing w:line="240" w:lineRule="auto"/>
              <w:ind w:firstLine="0" w:firstLineChars="0"/>
              <w:jc w:val="center"/>
              <w:rPr>
                <w:color w:val="auto"/>
                <w:sz w:val="21"/>
              </w:rPr>
            </w:pPr>
            <w:r>
              <w:rPr>
                <w:rFonts w:hint="eastAsia"/>
                <w:color w:val="auto"/>
                <w:sz w:val="21"/>
              </w:rPr>
              <w:t>日</w:t>
            </w:r>
            <w:r>
              <w:rPr>
                <w:color w:val="auto"/>
                <w:sz w:val="21"/>
              </w:rPr>
              <w:t>平均</w:t>
            </w:r>
          </w:p>
        </w:tc>
        <w:tc>
          <w:tcPr>
            <w:tcW w:w="1812" w:type="pct"/>
            <w:tcBorders>
              <w:tl2br w:val="nil"/>
              <w:tr2bl w:val="nil"/>
            </w:tcBorders>
            <w:noWrap/>
            <w:vAlign w:val="center"/>
          </w:tcPr>
          <w:p>
            <w:pPr>
              <w:spacing w:line="240" w:lineRule="auto"/>
              <w:ind w:firstLine="0" w:firstLineChars="0"/>
              <w:jc w:val="center"/>
              <w:rPr>
                <w:color w:val="auto"/>
                <w:sz w:val="21"/>
              </w:rPr>
            </w:pPr>
            <w:r>
              <w:rPr>
                <w:rFonts w:hint="eastAsia"/>
                <w:color w:val="auto"/>
                <w:sz w:val="21"/>
              </w:rPr>
              <w:t>0.363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9" w:hRule="atLeast"/>
        </w:trPr>
        <w:tc>
          <w:tcPr>
            <w:tcW w:w="757" w:type="pct"/>
            <w:tcBorders>
              <w:tl2br w:val="nil"/>
              <w:tr2bl w:val="nil"/>
            </w:tcBorders>
            <w:noWrap/>
            <w:vAlign w:val="bottom"/>
          </w:tcPr>
          <w:p>
            <w:pPr>
              <w:spacing w:line="240" w:lineRule="auto"/>
              <w:ind w:firstLine="0" w:firstLineChars="0"/>
              <w:jc w:val="center"/>
              <w:rPr>
                <w:color w:val="auto"/>
                <w:sz w:val="21"/>
              </w:rPr>
            </w:pPr>
            <w:r>
              <w:rPr>
                <w:color w:val="auto"/>
                <w:sz w:val="21"/>
              </w:rPr>
              <w:t>2</w:t>
            </w:r>
          </w:p>
        </w:tc>
        <w:tc>
          <w:tcPr>
            <w:tcW w:w="1316" w:type="pct"/>
            <w:tcBorders>
              <w:tl2br w:val="nil"/>
              <w:tr2bl w:val="nil"/>
            </w:tcBorders>
            <w:vAlign w:val="center"/>
          </w:tcPr>
          <w:p>
            <w:pPr>
              <w:pStyle w:val="47"/>
              <w:rPr>
                <w:color w:val="auto"/>
              </w:rPr>
            </w:pPr>
            <w:r>
              <w:rPr>
                <w:color w:val="auto"/>
              </w:rPr>
              <w:t>VOCs（以</w:t>
            </w:r>
            <w:r>
              <w:rPr>
                <w:rFonts w:hint="eastAsia"/>
                <w:color w:val="auto"/>
                <w:lang w:eastAsia="zh-CN"/>
              </w:rPr>
              <w:t>非甲烷</w:t>
            </w:r>
            <w:r>
              <w:rPr>
                <w:color w:val="auto"/>
              </w:rPr>
              <w:t>总烃计）</w:t>
            </w:r>
          </w:p>
        </w:tc>
        <w:tc>
          <w:tcPr>
            <w:tcW w:w="1112" w:type="pct"/>
            <w:tcBorders>
              <w:tl2br w:val="nil"/>
              <w:tr2bl w:val="nil"/>
            </w:tcBorders>
            <w:noWrap/>
            <w:vAlign w:val="center"/>
          </w:tcPr>
          <w:p>
            <w:pPr>
              <w:spacing w:line="240" w:lineRule="auto"/>
              <w:ind w:firstLine="0" w:firstLineChars="0"/>
              <w:jc w:val="center"/>
              <w:rPr>
                <w:color w:val="auto"/>
                <w:sz w:val="21"/>
              </w:rPr>
            </w:pPr>
            <w:r>
              <w:rPr>
                <w:color w:val="auto"/>
                <w:sz w:val="21"/>
              </w:rPr>
              <w:t>1h平均</w:t>
            </w:r>
          </w:p>
        </w:tc>
        <w:tc>
          <w:tcPr>
            <w:tcW w:w="1812" w:type="pct"/>
            <w:tcBorders>
              <w:tl2br w:val="nil"/>
              <w:tr2bl w:val="nil"/>
            </w:tcBorders>
            <w:noWrap/>
            <w:vAlign w:val="center"/>
          </w:tcPr>
          <w:p>
            <w:pPr>
              <w:spacing w:line="240" w:lineRule="auto"/>
              <w:ind w:firstLine="0" w:firstLineChars="0"/>
              <w:jc w:val="center"/>
              <w:rPr>
                <w:color w:val="auto"/>
                <w:sz w:val="21"/>
              </w:rPr>
            </w:pPr>
            <w:r>
              <w:rPr>
                <w:rFonts w:hint="eastAsia"/>
                <w:color w:val="auto"/>
                <w:sz w:val="21"/>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7" w:type="pct"/>
            <w:tcBorders>
              <w:tl2br w:val="nil"/>
              <w:tr2bl w:val="nil"/>
            </w:tcBorders>
            <w:noWrap/>
            <w:vAlign w:val="bottom"/>
          </w:tcPr>
          <w:p>
            <w:pPr>
              <w:spacing w:line="240" w:lineRule="auto"/>
              <w:ind w:firstLine="0" w:firstLineChars="0"/>
              <w:jc w:val="center"/>
              <w:rPr>
                <w:color w:val="auto"/>
                <w:sz w:val="21"/>
              </w:rPr>
            </w:pPr>
            <w:r>
              <w:rPr>
                <w:color w:val="auto"/>
                <w:sz w:val="21"/>
              </w:rPr>
              <w:t>3</w:t>
            </w:r>
          </w:p>
        </w:tc>
        <w:tc>
          <w:tcPr>
            <w:tcW w:w="1316" w:type="pct"/>
            <w:tcBorders>
              <w:tl2br w:val="nil"/>
              <w:tr2bl w:val="nil"/>
            </w:tcBorders>
            <w:vAlign w:val="center"/>
          </w:tcPr>
          <w:p>
            <w:pPr>
              <w:pStyle w:val="47"/>
              <w:rPr>
                <w:color w:val="auto"/>
                <w:szCs w:val="24"/>
              </w:rPr>
            </w:pPr>
            <w:r>
              <w:rPr>
                <w:color w:val="auto"/>
              </w:rPr>
              <w:t>氨</w:t>
            </w:r>
          </w:p>
        </w:tc>
        <w:tc>
          <w:tcPr>
            <w:tcW w:w="1112" w:type="pct"/>
            <w:tcBorders>
              <w:tl2br w:val="nil"/>
              <w:tr2bl w:val="nil"/>
            </w:tcBorders>
            <w:noWrap/>
            <w:vAlign w:val="center"/>
          </w:tcPr>
          <w:p>
            <w:pPr>
              <w:spacing w:line="240" w:lineRule="auto"/>
              <w:ind w:firstLine="0" w:firstLineChars="0"/>
              <w:jc w:val="center"/>
              <w:rPr>
                <w:color w:val="auto"/>
                <w:sz w:val="21"/>
              </w:rPr>
            </w:pPr>
            <w:r>
              <w:rPr>
                <w:color w:val="auto"/>
                <w:sz w:val="21"/>
              </w:rPr>
              <w:t>1h平均</w:t>
            </w:r>
          </w:p>
        </w:tc>
        <w:tc>
          <w:tcPr>
            <w:tcW w:w="1812" w:type="pct"/>
            <w:tcBorders>
              <w:tl2br w:val="nil"/>
              <w:tr2bl w:val="nil"/>
            </w:tcBorders>
            <w:noWrap/>
            <w:vAlign w:val="center"/>
          </w:tcPr>
          <w:p>
            <w:pPr>
              <w:spacing w:line="240" w:lineRule="auto"/>
              <w:ind w:firstLine="0" w:firstLineChars="0"/>
              <w:jc w:val="center"/>
              <w:rPr>
                <w:color w:val="auto"/>
                <w:sz w:val="21"/>
              </w:rPr>
            </w:pPr>
            <w:r>
              <w:rPr>
                <w:rFonts w:hint="eastAsia"/>
                <w:color w:val="auto"/>
                <w:sz w:val="21"/>
              </w:rPr>
              <w:t>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7" w:type="pct"/>
            <w:tcBorders>
              <w:tl2br w:val="nil"/>
              <w:tr2bl w:val="nil"/>
            </w:tcBorders>
            <w:noWrap/>
            <w:vAlign w:val="bottom"/>
          </w:tcPr>
          <w:p>
            <w:pPr>
              <w:spacing w:line="240" w:lineRule="auto"/>
              <w:ind w:firstLine="0" w:firstLineChars="0"/>
              <w:jc w:val="center"/>
              <w:rPr>
                <w:color w:val="auto"/>
                <w:sz w:val="21"/>
              </w:rPr>
            </w:pPr>
            <w:r>
              <w:rPr>
                <w:color w:val="auto"/>
                <w:sz w:val="21"/>
              </w:rPr>
              <w:t>4</w:t>
            </w:r>
          </w:p>
        </w:tc>
        <w:tc>
          <w:tcPr>
            <w:tcW w:w="1316" w:type="pct"/>
            <w:tcBorders>
              <w:tl2br w:val="nil"/>
              <w:tr2bl w:val="nil"/>
            </w:tcBorders>
            <w:vAlign w:val="center"/>
          </w:tcPr>
          <w:p>
            <w:pPr>
              <w:pStyle w:val="47"/>
              <w:rPr>
                <w:color w:val="auto"/>
                <w:szCs w:val="24"/>
              </w:rPr>
            </w:pPr>
            <w:r>
              <w:rPr>
                <w:color w:val="auto"/>
              </w:rPr>
              <w:t>硫化氢</w:t>
            </w:r>
          </w:p>
        </w:tc>
        <w:tc>
          <w:tcPr>
            <w:tcW w:w="1112" w:type="pct"/>
            <w:tcBorders>
              <w:tl2br w:val="nil"/>
              <w:tr2bl w:val="nil"/>
            </w:tcBorders>
            <w:noWrap/>
            <w:vAlign w:val="center"/>
          </w:tcPr>
          <w:p>
            <w:pPr>
              <w:spacing w:line="240" w:lineRule="auto"/>
              <w:ind w:firstLine="0" w:firstLineChars="0"/>
              <w:jc w:val="center"/>
              <w:rPr>
                <w:color w:val="auto"/>
                <w:sz w:val="21"/>
              </w:rPr>
            </w:pPr>
            <w:r>
              <w:rPr>
                <w:color w:val="auto"/>
                <w:sz w:val="21"/>
              </w:rPr>
              <w:t>1h平均</w:t>
            </w:r>
          </w:p>
        </w:tc>
        <w:tc>
          <w:tcPr>
            <w:tcW w:w="1812" w:type="pct"/>
            <w:tcBorders>
              <w:tl2br w:val="nil"/>
              <w:tr2bl w:val="nil"/>
            </w:tcBorders>
            <w:noWrap/>
            <w:vAlign w:val="center"/>
          </w:tcPr>
          <w:p>
            <w:pPr>
              <w:spacing w:line="240" w:lineRule="auto"/>
              <w:ind w:firstLine="0" w:firstLineChars="0"/>
              <w:jc w:val="center"/>
              <w:rPr>
                <w:color w:val="auto"/>
                <w:sz w:val="21"/>
              </w:rPr>
            </w:pPr>
            <w:r>
              <w:rPr>
                <w:rFonts w:hint="eastAsia"/>
                <w:color w:val="auto"/>
                <w:sz w:val="21"/>
              </w:rPr>
              <w:t>0.009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757" w:type="pct"/>
            <w:tcBorders>
              <w:tl2br w:val="nil"/>
              <w:tr2bl w:val="nil"/>
            </w:tcBorders>
            <w:noWrap/>
            <w:vAlign w:val="bottom"/>
          </w:tcPr>
          <w:p>
            <w:pPr>
              <w:spacing w:line="240" w:lineRule="auto"/>
              <w:ind w:firstLine="0" w:firstLineChars="0"/>
              <w:jc w:val="center"/>
              <w:rPr>
                <w:color w:val="auto"/>
                <w:sz w:val="21"/>
              </w:rPr>
            </w:pPr>
            <w:r>
              <w:rPr>
                <w:color w:val="auto"/>
                <w:sz w:val="21"/>
              </w:rPr>
              <w:t>5</w:t>
            </w:r>
          </w:p>
        </w:tc>
        <w:tc>
          <w:tcPr>
            <w:tcW w:w="2445" w:type="dxa"/>
            <w:tcBorders>
              <w:tl2br w:val="nil"/>
              <w:tr2bl w:val="nil"/>
            </w:tcBorders>
            <w:vAlign w:val="center"/>
          </w:tcPr>
          <w:p>
            <w:pPr>
              <w:pStyle w:val="47"/>
              <w:spacing w:line="240" w:lineRule="auto"/>
              <w:rPr>
                <w:color w:val="auto"/>
                <w:szCs w:val="24"/>
              </w:rPr>
            </w:pPr>
            <w:r>
              <w:rPr>
                <w:rFonts w:hint="eastAsia"/>
                <w:color w:val="auto"/>
                <w:szCs w:val="21"/>
              </w:rPr>
              <w:t>臭气浓度（无量纲）</w:t>
            </w:r>
          </w:p>
        </w:tc>
        <w:tc>
          <w:tcPr>
            <w:tcW w:w="1112" w:type="pct"/>
            <w:tcBorders>
              <w:tl2br w:val="nil"/>
              <w:tr2bl w:val="nil"/>
            </w:tcBorders>
            <w:noWrap/>
            <w:vAlign w:val="center"/>
          </w:tcPr>
          <w:p>
            <w:pPr>
              <w:spacing w:line="240" w:lineRule="auto"/>
              <w:ind w:firstLine="0" w:firstLineChars="0"/>
              <w:jc w:val="center"/>
              <w:rPr>
                <w:color w:val="auto"/>
                <w:sz w:val="21"/>
              </w:rPr>
            </w:pPr>
            <w:r>
              <w:rPr>
                <w:color w:val="auto"/>
                <w:sz w:val="21"/>
              </w:rPr>
              <w:t>1h平均</w:t>
            </w:r>
          </w:p>
        </w:tc>
        <w:tc>
          <w:tcPr>
            <w:tcW w:w="1812" w:type="pct"/>
            <w:tcBorders>
              <w:tl2br w:val="nil"/>
              <w:tr2bl w:val="nil"/>
            </w:tcBorders>
            <w:noWrap/>
            <w:vAlign w:val="center"/>
          </w:tcPr>
          <w:p>
            <w:pPr>
              <w:spacing w:line="240" w:lineRule="auto"/>
              <w:ind w:firstLine="0" w:firstLineChars="0"/>
              <w:jc w:val="center"/>
              <w:rPr>
                <w:color w:val="auto"/>
                <w:sz w:val="21"/>
              </w:rPr>
            </w:pPr>
            <w:r>
              <w:rPr>
                <w:rFonts w:hint="eastAsia" w:eastAsia="华文仿宋"/>
                <w:color w:val="auto"/>
                <w:sz w:val="21"/>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7" w:type="pct"/>
            <w:tcBorders>
              <w:tl2br w:val="nil"/>
              <w:tr2bl w:val="nil"/>
            </w:tcBorders>
            <w:noWrap/>
            <w:vAlign w:val="bottom"/>
          </w:tcPr>
          <w:p>
            <w:pPr>
              <w:spacing w:line="240" w:lineRule="auto"/>
              <w:ind w:firstLine="0" w:firstLineChars="0"/>
              <w:jc w:val="center"/>
              <w:rPr>
                <w:color w:val="auto"/>
                <w:sz w:val="21"/>
              </w:rPr>
            </w:pPr>
            <w:r>
              <w:rPr>
                <w:color w:val="auto"/>
                <w:sz w:val="21"/>
              </w:rPr>
              <w:t>6</w:t>
            </w:r>
          </w:p>
        </w:tc>
        <w:tc>
          <w:tcPr>
            <w:tcW w:w="2445" w:type="dxa"/>
            <w:tcBorders>
              <w:tl2br w:val="nil"/>
              <w:tr2bl w:val="nil"/>
            </w:tcBorders>
            <w:vAlign w:val="center"/>
          </w:tcPr>
          <w:p>
            <w:pPr>
              <w:pStyle w:val="47"/>
              <w:spacing w:line="240" w:lineRule="auto"/>
              <w:rPr>
                <w:color w:val="auto"/>
                <w:szCs w:val="24"/>
              </w:rPr>
            </w:pPr>
            <w:r>
              <w:rPr>
                <w:rFonts w:hint="eastAsia"/>
                <w:color w:val="auto"/>
              </w:rPr>
              <w:t>NO</w:t>
            </w:r>
            <w:r>
              <w:rPr>
                <w:rFonts w:hint="eastAsia"/>
                <w:color w:val="auto"/>
                <w:vertAlign w:val="subscript"/>
              </w:rPr>
              <w:t>X</w:t>
            </w:r>
          </w:p>
        </w:tc>
        <w:tc>
          <w:tcPr>
            <w:tcW w:w="1112" w:type="pct"/>
            <w:tcBorders>
              <w:tl2br w:val="nil"/>
              <w:tr2bl w:val="nil"/>
            </w:tcBorders>
            <w:noWrap/>
            <w:vAlign w:val="center"/>
          </w:tcPr>
          <w:p>
            <w:pPr>
              <w:spacing w:line="240" w:lineRule="auto"/>
              <w:ind w:firstLine="0" w:firstLineChars="0"/>
              <w:jc w:val="center"/>
              <w:rPr>
                <w:color w:val="auto"/>
                <w:sz w:val="21"/>
              </w:rPr>
            </w:pPr>
            <w:r>
              <w:rPr>
                <w:color w:val="auto"/>
                <w:sz w:val="21"/>
              </w:rPr>
              <w:t>1h平均</w:t>
            </w:r>
          </w:p>
        </w:tc>
        <w:tc>
          <w:tcPr>
            <w:tcW w:w="1812" w:type="pct"/>
            <w:tcBorders>
              <w:tl2br w:val="nil"/>
              <w:tr2bl w:val="nil"/>
            </w:tcBorders>
            <w:noWrap/>
            <w:vAlign w:val="center"/>
          </w:tcPr>
          <w:p>
            <w:pPr>
              <w:spacing w:line="240" w:lineRule="auto"/>
              <w:ind w:firstLine="0" w:firstLineChars="0"/>
              <w:jc w:val="center"/>
              <w:rPr>
                <w:color w:val="auto"/>
                <w:sz w:val="21"/>
              </w:rPr>
            </w:pPr>
            <w:r>
              <w:rPr>
                <w:rFonts w:hint="eastAsia"/>
                <w:color w:val="auto"/>
                <w:sz w:val="21"/>
              </w:rPr>
              <w:t>0.017</w:t>
            </w:r>
          </w:p>
        </w:tc>
      </w:tr>
    </w:tbl>
    <w:p>
      <w:pPr>
        <w:adjustRightInd w:val="0"/>
        <w:snapToGrid w:val="0"/>
        <w:ind w:firstLine="210" w:firstLineChars="100"/>
        <w:rPr>
          <w:rFonts w:hint="eastAsia"/>
          <w:color w:val="auto"/>
        </w:rPr>
      </w:pPr>
      <w:r>
        <w:rPr>
          <w:color w:val="auto"/>
          <w:sz w:val="21"/>
          <w:szCs w:val="21"/>
        </w:rPr>
        <w:t>注：未检出按检出限的一半进行评价。</w:t>
      </w:r>
    </w:p>
    <w:p>
      <w:pPr>
        <w:pStyle w:val="9"/>
        <w:spacing w:before="0" w:beforeLines="0" w:after="0" w:afterLines="0"/>
        <w:rPr>
          <w:color w:val="auto"/>
        </w:rPr>
      </w:pPr>
      <w:r>
        <w:rPr>
          <w:rFonts w:hint="eastAsia"/>
          <w:color w:val="auto"/>
        </w:rPr>
        <w:t>4</w:t>
      </w:r>
      <w:r>
        <w:rPr>
          <w:color w:val="auto"/>
        </w:rPr>
        <w:t>.1.3区域环境空气整治方案</w:t>
      </w:r>
    </w:p>
    <w:p>
      <w:pPr>
        <w:ind w:firstLine="480"/>
        <w:rPr>
          <w:color w:val="auto"/>
        </w:rPr>
      </w:pPr>
      <w:r>
        <w:rPr>
          <w:color w:val="auto"/>
        </w:rPr>
        <w:t>淄博市</w:t>
      </w:r>
      <w:r>
        <w:rPr>
          <w:rFonts w:hint="eastAsia"/>
          <w:color w:val="auto"/>
        </w:rPr>
        <w:t>张店区</w:t>
      </w:r>
      <w:r>
        <w:rPr>
          <w:color w:val="auto"/>
        </w:rPr>
        <w:t>目前采取了一系列的措施，用于改善区域环境空气质量。</w:t>
      </w:r>
    </w:p>
    <w:p>
      <w:pPr>
        <w:ind w:firstLine="480"/>
        <w:rPr>
          <w:color w:val="auto"/>
        </w:rPr>
      </w:pPr>
      <w:r>
        <w:rPr>
          <w:color w:val="auto"/>
        </w:rPr>
        <w:t>一、《20</w:t>
      </w:r>
      <w:r>
        <w:rPr>
          <w:rFonts w:hint="eastAsia"/>
          <w:color w:val="auto"/>
        </w:rPr>
        <w:t>22</w:t>
      </w:r>
      <w:r>
        <w:rPr>
          <w:color w:val="auto"/>
        </w:rPr>
        <w:t>年</w:t>
      </w:r>
      <w:r>
        <w:rPr>
          <w:rFonts w:hint="eastAsia"/>
          <w:color w:val="auto"/>
        </w:rPr>
        <w:t>全区</w:t>
      </w:r>
      <w:r>
        <w:rPr>
          <w:color w:val="auto"/>
        </w:rPr>
        <w:t>生态环境综合治理</w:t>
      </w:r>
      <w:r>
        <w:rPr>
          <w:rFonts w:hint="eastAsia"/>
          <w:color w:val="auto"/>
        </w:rPr>
        <w:t>重点工作</w:t>
      </w:r>
      <w:r>
        <w:rPr>
          <w:color w:val="auto"/>
        </w:rPr>
        <w:t>任务清单》</w:t>
      </w:r>
    </w:p>
    <w:p>
      <w:pPr>
        <w:ind w:firstLine="480"/>
        <w:rPr>
          <w:color w:val="auto"/>
        </w:rPr>
      </w:pPr>
      <w:r>
        <w:rPr>
          <w:color w:val="auto"/>
        </w:rPr>
        <w:t>坚决打好蓝天保卫战</w:t>
      </w:r>
      <w:r>
        <w:rPr>
          <w:rFonts w:hint="eastAsia"/>
          <w:color w:val="auto"/>
        </w:rPr>
        <w:t>：</w:t>
      </w:r>
    </w:p>
    <w:p>
      <w:pPr>
        <w:ind w:firstLine="480"/>
        <w:rPr>
          <w:color w:val="auto"/>
        </w:rPr>
      </w:pPr>
      <w:r>
        <w:rPr>
          <w:color w:val="auto"/>
        </w:rPr>
        <w:t>1.扎实开展新一轮“四减四增”。抓好“两高”项目分类处置，做好建设项目总量核定，严把建设项目准入条件；关停淘汰35蒸吨/小时以下高效煤粉炉；按照市里统一部署，推动重点行业逐步进入全国碳排放交易市场，推进碳减排。</w:t>
      </w:r>
    </w:p>
    <w:p>
      <w:pPr>
        <w:ind w:firstLine="480"/>
        <w:rPr>
          <w:color w:val="auto"/>
        </w:rPr>
      </w:pPr>
      <w:r>
        <w:rPr>
          <w:color w:val="auto"/>
        </w:rPr>
        <w:t>2.实施工业企业大气污染治理品质提升，认真开展五大专项整治行动。继续深入开展工业企业“本色行动”，进一步强化对工业企业无组织扬尘管控。完善企业环保设施建设，对重点企业污染治理设施进行工艺提升，提高治理效率。对39个涉气重点行业、有机化工等企业实施“一企一策、一厂一案”精细化治理。对7家重点企业脱硫、脱硝、除尘、VOC治理设施进行自动化改造。安装氨逃逸在线监控设施，对脱硝设施脱硝剂添加情况进行监控，控制氨排放。对天然气锅炉氮氧化物超低排放改造情况进行评估，规范管理。</w:t>
      </w:r>
    </w:p>
    <w:p>
      <w:pPr>
        <w:ind w:firstLine="480"/>
        <w:rPr>
          <w:color w:val="auto"/>
        </w:rPr>
      </w:pPr>
      <w:r>
        <w:rPr>
          <w:color w:val="auto"/>
        </w:rPr>
        <w:t>3.多措并举，打好污染防治攻坚。严格建筑施工现场管理，认真落实6个100%和8个100%标准要求；城区主次干道严格落实春夏秋三季“五扫五冲”，冬季“三扫三冲”作业方式，加强臭氧管控时段道路冲洗、雾炮作业频次，围绕重点区域根据天气条件合理调整作业时间。对重点餐饮服务业户新增安装新型监管控一体化系统300套，实现对餐饮油烟的动态监管；深入开展秋冬季重污染天气攻坚行动，科学治污、精准治污。继续开展电代煤、气代煤改造，切实改善空气质量。严查货车超限超载、超标排放，做好老旧柴油车辆淘汰治理工作，加强非道路移动机械监管。</w:t>
      </w:r>
    </w:p>
    <w:p>
      <w:pPr>
        <w:ind w:firstLine="480"/>
        <w:rPr>
          <w:b/>
          <w:color w:val="auto"/>
        </w:rPr>
      </w:pPr>
      <w:r>
        <w:rPr>
          <w:color w:val="auto"/>
        </w:rPr>
        <w:t>根据《20</w:t>
      </w:r>
      <w:r>
        <w:rPr>
          <w:rFonts w:hint="eastAsia"/>
          <w:color w:val="auto"/>
        </w:rPr>
        <w:t>22</w:t>
      </w:r>
      <w:r>
        <w:rPr>
          <w:color w:val="auto"/>
        </w:rPr>
        <w:t>年</w:t>
      </w:r>
      <w:r>
        <w:rPr>
          <w:rFonts w:hint="eastAsia"/>
          <w:color w:val="auto"/>
        </w:rPr>
        <w:t>全区</w:t>
      </w:r>
      <w:r>
        <w:rPr>
          <w:color w:val="auto"/>
        </w:rPr>
        <w:t>生态环境综合治理</w:t>
      </w:r>
      <w:r>
        <w:rPr>
          <w:rFonts w:hint="eastAsia"/>
          <w:color w:val="auto"/>
        </w:rPr>
        <w:t>重点工作</w:t>
      </w:r>
      <w:r>
        <w:rPr>
          <w:color w:val="auto"/>
        </w:rPr>
        <w:t>任务清单》，</w:t>
      </w:r>
      <w:r>
        <w:rPr>
          <w:rFonts w:hint="eastAsia"/>
          <w:color w:val="auto"/>
        </w:rPr>
        <w:t>张店区</w:t>
      </w:r>
      <w:r>
        <w:rPr>
          <w:color w:val="auto"/>
        </w:rPr>
        <w:t>将采取的措施如下：</w:t>
      </w:r>
    </w:p>
    <w:p>
      <w:pPr>
        <w:pStyle w:val="48"/>
        <w:spacing w:line="360" w:lineRule="auto"/>
        <w:rPr>
          <w:rFonts w:hint="eastAsia" w:ascii="Times New Roman" w:hAnsi="Times New Roman" w:cs="Times New Roman"/>
          <w:b w:val="0"/>
          <w:bCs/>
          <w:color w:val="auto"/>
        </w:rPr>
      </w:pPr>
      <w:r>
        <w:rPr>
          <w:rFonts w:hint="eastAsia" w:ascii="Times New Roman" w:hAnsi="Times New Roman" w:cs="Times New Roman"/>
          <w:b w:val="0"/>
          <w:bCs/>
          <w:color w:val="auto"/>
        </w:rPr>
        <w:t>表4.1-10  2022年全区生态环境综合治理重点工作任务清单文件要求</w:t>
      </w:r>
    </w:p>
    <w:tbl>
      <w:tblPr>
        <w:tblStyle w:val="22"/>
        <w:tblW w:w="5000" w:type="pct"/>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
      <w:tblGrid>
        <w:gridCol w:w="482"/>
        <w:gridCol w:w="1098"/>
        <w:gridCol w:w="1634"/>
        <w:gridCol w:w="5000"/>
        <w:gridCol w:w="1072"/>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533" w:hRule="atLeast"/>
          <w:tblHeader/>
          <w:jc w:val="center"/>
        </w:trPr>
        <w:tc>
          <w:tcPr>
            <w:tcW w:w="259" w:type="pct"/>
            <w:tcBorders>
              <w:tl2br w:val="nil"/>
              <w:tr2bl w:val="nil"/>
            </w:tcBorders>
            <w:shd w:val="clear" w:color="auto" w:fill="auto"/>
            <w:noWrap/>
            <w:vAlign w:val="center"/>
          </w:tcPr>
          <w:p>
            <w:pPr>
              <w:spacing w:line="312" w:lineRule="exact"/>
              <w:ind w:firstLine="0" w:firstLineChars="0"/>
              <w:jc w:val="center"/>
              <w:rPr>
                <w:b/>
                <w:bCs/>
                <w:color w:val="auto"/>
                <w:sz w:val="21"/>
                <w:szCs w:val="21"/>
              </w:rPr>
            </w:pPr>
            <w:r>
              <w:rPr>
                <w:b/>
                <w:bCs/>
                <w:color w:val="auto"/>
                <w:sz w:val="21"/>
                <w:szCs w:val="21"/>
              </w:rPr>
              <w:t>序号</w:t>
            </w:r>
          </w:p>
        </w:tc>
        <w:tc>
          <w:tcPr>
            <w:tcW w:w="591" w:type="pct"/>
            <w:tcBorders>
              <w:tl2br w:val="nil"/>
              <w:tr2bl w:val="nil"/>
            </w:tcBorders>
            <w:shd w:val="clear" w:color="auto" w:fill="auto"/>
            <w:noWrap/>
            <w:vAlign w:val="center"/>
          </w:tcPr>
          <w:p>
            <w:pPr>
              <w:spacing w:line="312" w:lineRule="exact"/>
              <w:ind w:firstLine="0" w:firstLineChars="0"/>
              <w:jc w:val="center"/>
              <w:rPr>
                <w:b/>
                <w:bCs/>
                <w:color w:val="auto"/>
                <w:sz w:val="21"/>
                <w:szCs w:val="21"/>
              </w:rPr>
            </w:pPr>
            <w:r>
              <w:rPr>
                <w:b/>
                <w:bCs/>
                <w:color w:val="auto"/>
                <w:sz w:val="21"/>
                <w:szCs w:val="21"/>
              </w:rPr>
              <w:t>项目类别</w:t>
            </w:r>
          </w:p>
        </w:tc>
        <w:tc>
          <w:tcPr>
            <w:tcW w:w="880" w:type="pct"/>
            <w:tcBorders>
              <w:tl2br w:val="nil"/>
              <w:tr2bl w:val="nil"/>
            </w:tcBorders>
            <w:shd w:val="clear" w:color="auto" w:fill="auto"/>
            <w:noWrap/>
            <w:vAlign w:val="center"/>
          </w:tcPr>
          <w:p>
            <w:pPr>
              <w:spacing w:line="312" w:lineRule="exact"/>
              <w:ind w:firstLine="0" w:firstLineChars="0"/>
              <w:jc w:val="center"/>
              <w:rPr>
                <w:b/>
                <w:bCs/>
                <w:color w:val="auto"/>
                <w:sz w:val="21"/>
                <w:szCs w:val="21"/>
              </w:rPr>
            </w:pPr>
            <w:r>
              <w:rPr>
                <w:b/>
                <w:bCs/>
                <w:color w:val="auto"/>
                <w:sz w:val="21"/>
                <w:szCs w:val="21"/>
              </w:rPr>
              <w:t>项目名称</w:t>
            </w:r>
          </w:p>
        </w:tc>
        <w:tc>
          <w:tcPr>
            <w:tcW w:w="2691" w:type="pct"/>
            <w:tcBorders>
              <w:tl2br w:val="nil"/>
              <w:tr2bl w:val="nil"/>
            </w:tcBorders>
            <w:shd w:val="clear" w:color="auto" w:fill="auto"/>
            <w:noWrap/>
            <w:vAlign w:val="center"/>
          </w:tcPr>
          <w:p>
            <w:pPr>
              <w:spacing w:line="312" w:lineRule="exact"/>
              <w:ind w:firstLine="0" w:firstLineChars="0"/>
              <w:jc w:val="center"/>
              <w:rPr>
                <w:b/>
                <w:bCs/>
                <w:color w:val="auto"/>
                <w:sz w:val="21"/>
                <w:szCs w:val="21"/>
              </w:rPr>
            </w:pPr>
            <w:r>
              <w:rPr>
                <w:b/>
                <w:bCs/>
                <w:color w:val="auto"/>
                <w:sz w:val="21"/>
                <w:szCs w:val="21"/>
              </w:rPr>
              <w:t>具体工作内容</w:t>
            </w:r>
          </w:p>
        </w:tc>
        <w:tc>
          <w:tcPr>
            <w:tcW w:w="577" w:type="pct"/>
            <w:tcBorders>
              <w:tl2br w:val="nil"/>
              <w:tr2bl w:val="nil"/>
            </w:tcBorders>
            <w:shd w:val="clear" w:color="auto" w:fill="auto"/>
            <w:noWrap/>
            <w:vAlign w:val="center"/>
          </w:tcPr>
          <w:p>
            <w:pPr>
              <w:spacing w:line="312" w:lineRule="exact"/>
              <w:ind w:firstLine="0" w:firstLineChars="0"/>
              <w:jc w:val="center"/>
              <w:rPr>
                <w:b/>
                <w:bCs/>
                <w:color w:val="auto"/>
                <w:sz w:val="21"/>
                <w:szCs w:val="21"/>
              </w:rPr>
            </w:pPr>
            <w:r>
              <w:rPr>
                <w:b/>
                <w:bCs/>
                <w:color w:val="auto"/>
                <w:sz w:val="21"/>
                <w:szCs w:val="21"/>
              </w:rPr>
              <w:t>完成</w:t>
            </w:r>
          </w:p>
          <w:p>
            <w:pPr>
              <w:spacing w:line="312" w:lineRule="exact"/>
              <w:ind w:firstLine="0" w:firstLineChars="0"/>
              <w:jc w:val="center"/>
              <w:rPr>
                <w:b/>
                <w:bCs/>
                <w:color w:val="auto"/>
                <w:sz w:val="21"/>
                <w:szCs w:val="21"/>
              </w:rPr>
            </w:pPr>
            <w:r>
              <w:rPr>
                <w:b/>
                <w:bCs/>
                <w:color w:val="auto"/>
                <w:sz w:val="21"/>
                <w:szCs w:val="21"/>
              </w:rPr>
              <w:t>时限</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783" w:hRule="atLeast"/>
          <w:jc w:val="center"/>
        </w:trPr>
        <w:tc>
          <w:tcPr>
            <w:tcW w:w="259" w:type="pct"/>
            <w:vMerge w:val="restar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1</w:t>
            </w:r>
          </w:p>
        </w:tc>
        <w:tc>
          <w:tcPr>
            <w:tcW w:w="591" w:type="pct"/>
            <w:vMerge w:val="restar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大气污染防治</w:t>
            </w:r>
          </w:p>
        </w:tc>
        <w:tc>
          <w:tcPr>
            <w:tcW w:w="880" w:type="pct"/>
            <w:vMerge w:val="restar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kern w:val="0"/>
                <w:sz w:val="21"/>
                <w:szCs w:val="21"/>
              </w:rPr>
              <w:t>开展新一轮“四减四增”</w:t>
            </w:r>
          </w:p>
          <w:p>
            <w:pPr>
              <w:widowControl/>
              <w:spacing w:line="312" w:lineRule="exact"/>
              <w:ind w:firstLine="0" w:firstLineChars="0"/>
              <w:jc w:val="center"/>
              <w:rPr>
                <w:color w:val="auto"/>
                <w:sz w:val="21"/>
                <w:szCs w:val="21"/>
              </w:rPr>
            </w:pP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抓好“两高”项目分类处置，做好建设项目总量核定，严把建设项目准入条件；</w:t>
            </w:r>
          </w:p>
        </w:tc>
        <w:tc>
          <w:tcPr>
            <w:tcW w:w="577" w:type="pct"/>
            <w:vMerge w:val="restar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2022年12月</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733" w:hRule="atLeast"/>
          <w:jc w:val="center"/>
        </w:trPr>
        <w:tc>
          <w:tcPr>
            <w:tcW w:w="259" w:type="pct"/>
            <w:vMerge w:val="continue"/>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p>
        </w:tc>
        <w:tc>
          <w:tcPr>
            <w:tcW w:w="591" w:type="pct"/>
            <w:vMerge w:val="continue"/>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p>
        </w:tc>
        <w:tc>
          <w:tcPr>
            <w:tcW w:w="880" w:type="pct"/>
            <w:vMerge w:val="continue"/>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关停淘汰恒昌医疗（4月底前）、鸿烨上勤（6月底前）35蒸吨/小时以下高效煤粉炉；</w:t>
            </w:r>
          </w:p>
        </w:tc>
        <w:tc>
          <w:tcPr>
            <w:tcW w:w="577" w:type="pct"/>
            <w:vMerge w:val="continue"/>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735" w:hRule="atLeast"/>
          <w:jc w:val="center"/>
        </w:trPr>
        <w:tc>
          <w:tcPr>
            <w:tcW w:w="259" w:type="pct"/>
            <w:vMerge w:val="continue"/>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p>
        </w:tc>
        <w:tc>
          <w:tcPr>
            <w:tcW w:w="591" w:type="pct"/>
            <w:vMerge w:val="continue"/>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p>
        </w:tc>
        <w:tc>
          <w:tcPr>
            <w:tcW w:w="880" w:type="pct"/>
            <w:vMerge w:val="continue"/>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按照市里统一部署，推动重点行业逐步进入全国碳排放交易市场，推进碳减排；</w:t>
            </w:r>
          </w:p>
        </w:tc>
        <w:tc>
          <w:tcPr>
            <w:tcW w:w="577" w:type="pct"/>
            <w:vMerge w:val="continue"/>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438" w:hRule="atLeast"/>
          <w:jc w:val="center"/>
        </w:trPr>
        <w:tc>
          <w:tcPr>
            <w:tcW w:w="259" w:type="pct"/>
            <w:vMerge w:val="continue"/>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p>
        </w:tc>
        <w:tc>
          <w:tcPr>
            <w:tcW w:w="591" w:type="pct"/>
            <w:vMerge w:val="continue"/>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p>
        </w:tc>
        <w:tc>
          <w:tcPr>
            <w:tcW w:w="880" w:type="pct"/>
            <w:vMerge w:val="continue"/>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4月底前关停鲁南化工、东大弘方；</w:t>
            </w:r>
          </w:p>
        </w:tc>
        <w:tc>
          <w:tcPr>
            <w:tcW w:w="577" w:type="pct"/>
            <w:vMerge w:val="continue"/>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1093" w:hRule="atLeast"/>
          <w:jc w:val="center"/>
        </w:trPr>
        <w:tc>
          <w:tcPr>
            <w:tcW w:w="259" w:type="pct"/>
            <w:vMerge w:val="continue"/>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p>
        </w:tc>
        <w:tc>
          <w:tcPr>
            <w:tcW w:w="591" w:type="pct"/>
            <w:vMerge w:val="continue"/>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p>
        </w:tc>
        <w:tc>
          <w:tcPr>
            <w:tcW w:w="880" w:type="pct"/>
            <w:vMerge w:val="continue"/>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组建“四减四增”专班，按照“四减四增”方案要求确定目标任务，制定计划措施有序推进，完成年度目标并收集工作档案。</w:t>
            </w:r>
          </w:p>
        </w:tc>
        <w:tc>
          <w:tcPr>
            <w:tcW w:w="577" w:type="pct"/>
            <w:vMerge w:val="continue"/>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931" w:hRule="atLeast"/>
          <w:jc w:val="center"/>
        </w:trPr>
        <w:tc>
          <w:tcPr>
            <w:tcW w:w="259" w:type="pc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2</w:t>
            </w:r>
          </w:p>
        </w:tc>
        <w:tc>
          <w:tcPr>
            <w:tcW w:w="591" w:type="pct"/>
            <w:vMerge w:val="restar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大气污染防治</w:t>
            </w:r>
          </w:p>
        </w:tc>
        <w:tc>
          <w:tcPr>
            <w:tcW w:w="880"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sz w:val="21"/>
                <w:szCs w:val="21"/>
              </w:rPr>
              <w:t>工业企业扬尘防控</w:t>
            </w: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按照城乡环境大整治要求，继续深入开展工业企业“本色行动”，进一步强化对工业企业无组织扬尘管控。</w:t>
            </w:r>
          </w:p>
        </w:tc>
        <w:tc>
          <w:tcPr>
            <w:tcW w:w="577"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长期</w:t>
            </w:r>
          </w:p>
          <w:p>
            <w:pPr>
              <w:widowControl/>
              <w:spacing w:line="312" w:lineRule="exact"/>
              <w:ind w:firstLine="0" w:firstLineChars="0"/>
              <w:jc w:val="center"/>
              <w:rPr>
                <w:color w:val="auto"/>
                <w:kern w:val="0"/>
                <w:sz w:val="21"/>
                <w:szCs w:val="21"/>
              </w:rPr>
            </w:pPr>
            <w:r>
              <w:rPr>
                <w:color w:val="auto"/>
                <w:kern w:val="0"/>
                <w:sz w:val="21"/>
                <w:szCs w:val="21"/>
              </w:rPr>
              <w:t>坚持</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813" w:hRule="atLeast"/>
          <w:jc w:val="center"/>
        </w:trPr>
        <w:tc>
          <w:tcPr>
            <w:tcW w:w="259" w:type="pc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3</w:t>
            </w:r>
          </w:p>
        </w:tc>
        <w:tc>
          <w:tcPr>
            <w:tcW w:w="591" w:type="pct"/>
            <w:vMerge w:val="continue"/>
            <w:tcBorders>
              <w:tl2br w:val="nil"/>
              <w:tr2bl w:val="nil"/>
            </w:tcBorders>
            <w:shd w:val="clear" w:color="auto" w:fill="auto"/>
            <w:noWrap/>
            <w:vAlign w:val="center"/>
          </w:tcPr>
          <w:p>
            <w:pPr>
              <w:spacing w:line="312" w:lineRule="exact"/>
              <w:ind w:firstLine="0" w:firstLineChars="0"/>
              <w:jc w:val="center"/>
              <w:rPr>
                <w:color w:val="auto"/>
                <w:sz w:val="21"/>
                <w:szCs w:val="21"/>
              </w:rPr>
            </w:pPr>
          </w:p>
        </w:tc>
        <w:tc>
          <w:tcPr>
            <w:tcW w:w="880" w:type="pct"/>
            <w:tcBorders>
              <w:tl2br w:val="nil"/>
              <w:tr2bl w:val="nil"/>
            </w:tcBorders>
            <w:shd w:val="clear" w:color="auto" w:fill="auto"/>
            <w:noWrap/>
            <w:vAlign w:val="center"/>
          </w:tcPr>
          <w:p>
            <w:pPr>
              <w:widowControl/>
              <w:spacing w:line="312" w:lineRule="exact"/>
              <w:ind w:firstLine="0" w:firstLineChars="0"/>
              <w:jc w:val="center"/>
              <w:textAlignment w:val="center"/>
              <w:rPr>
                <w:color w:val="auto"/>
                <w:sz w:val="21"/>
                <w:szCs w:val="21"/>
              </w:rPr>
            </w:pPr>
            <w:r>
              <w:rPr>
                <w:color w:val="auto"/>
                <w:kern w:val="0"/>
                <w:sz w:val="21"/>
                <w:szCs w:val="21"/>
              </w:rPr>
              <w:t>治理设施提质增效工程</w:t>
            </w:r>
          </w:p>
        </w:tc>
        <w:tc>
          <w:tcPr>
            <w:tcW w:w="2691" w:type="pct"/>
            <w:tcBorders>
              <w:tl2br w:val="nil"/>
              <w:tr2bl w:val="nil"/>
            </w:tcBorders>
            <w:shd w:val="clear" w:color="auto" w:fill="auto"/>
            <w:noWrap/>
            <w:vAlign w:val="center"/>
          </w:tcPr>
          <w:p>
            <w:pPr>
              <w:widowControl/>
              <w:spacing w:line="312" w:lineRule="exact"/>
              <w:ind w:firstLine="0" w:firstLineChars="0"/>
              <w:jc w:val="center"/>
              <w:textAlignment w:val="center"/>
              <w:rPr>
                <w:color w:val="auto"/>
                <w:kern w:val="0"/>
                <w:sz w:val="21"/>
                <w:szCs w:val="21"/>
              </w:rPr>
            </w:pPr>
            <w:r>
              <w:rPr>
                <w:color w:val="auto"/>
                <w:kern w:val="0"/>
                <w:sz w:val="21"/>
                <w:szCs w:val="21"/>
              </w:rPr>
              <w:t>完善企业环保设施建设，对恒昌医疗、环保供热治理设施进行工艺提升，提高治理效率。</w:t>
            </w:r>
          </w:p>
        </w:tc>
        <w:tc>
          <w:tcPr>
            <w:tcW w:w="577" w:type="pct"/>
            <w:tcBorders>
              <w:tl2br w:val="nil"/>
              <w:tr2bl w:val="nil"/>
            </w:tcBorders>
            <w:shd w:val="clear" w:color="auto" w:fill="auto"/>
            <w:noWrap/>
            <w:vAlign w:val="center"/>
          </w:tcPr>
          <w:p>
            <w:pPr>
              <w:widowControl/>
              <w:spacing w:line="312" w:lineRule="exact"/>
              <w:ind w:firstLine="0" w:firstLineChars="0"/>
              <w:jc w:val="center"/>
              <w:textAlignment w:val="center"/>
              <w:rPr>
                <w:color w:val="auto"/>
                <w:kern w:val="0"/>
                <w:sz w:val="21"/>
                <w:szCs w:val="21"/>
              </w:rPr>
            </w:pPr>
            <w:r>
              <w:rPr>
                <w:color w:val="auto"/>
                <w:kern w:val="0"/>
                <w:sz w:val="21"/>
                <w:szCs w:val="21"/>
              </w:rPr>
              <w:t>2022年9月</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1105" w:hRule="atLeast"/>
          <w:jc w:val="center"/>
        </w:trPr>
        <w:tc>
          <w:tcPr>
            <w:tcW w:w="259" w:type="pc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4</w:t>
            </w:r>
          </w:p>
        </w:tc>
        <w:tc>
          <w:tcPr>
            <w:tcW w:w="591" w:type="pct"/>
            <w:vMerge w:val="continue"/>
            <w:tcBorders>
              <w:tl2br w:val="nil"/>
              <w:tr2bl w:val="nil"/>
            </w:tcBorders>
            <w:shd w:val="clear" w:color="auto" w:fill="auto"/>
            <w:noWrap/>
            <w:vAlign w:val="center"/>
          </w:tcPr>
          <w:p>
            <w:pPr>
              <w:spacing w:line="312" w:lineRule="exact"/>
              <w:ind w:firstLine="0" w:firstLineChars="0"/>
              <w:jc w:val="center"/>
              <w:rPr>
                <w:color w:val="auto"/>
                <w:sz w:val="21"/>
                <w:szCs w:val="21"/>
              </w:rPr>
            </w:pPr>
          </w:p>
        </w:tc>
        <w:tc>
          <w:tcPr>
            <w:tcW w:w="880" w:type="pct"/>
            <w:tcBorders>
              <w:tl2br w:val="nil"/>
              <w:tr2bl w:val="nil"/>
            </w:tcBorders>
            <w:shd w:val="clear" w:color="auto" w:fill="auto"/>
            <w:noWrap/>
            <w:vAlign w:val="center"/>
          </w:tcPr>
          <w:p>
            <w:pPr>
              <w:widowControl/>
              <w:spacing w:line="312" w:lineRule="exact"/>
              <w:ind w:firstLine="0" w:firstLineChars="0"/>
              <w:jc w:val="center"/>
              <w:textAlignment w:val="center"/>
              <w:rPr>
                <w:color w:val="auto"/>
                <w:sz w:val="21"/>
                <w:szCs w:val="21"/>
              </w:rPr>
            </w:pPr>
            <w:r>
              <w:rPr>
                <w:color w:val="auto"/>
                <w:kern w:val="0"/>
                <w:sz w:val="21"/>
                <w:szCs w:val="21"/>
              </w:rPr>
              <w:t>氨逃逸在线监控设施安装</w:t>
            </w: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督导恒昌医疗、环保供热安装氨逃逸在线监控设施，对脱硝设施脱硝剂添加情况进行监控，控制氨排放。</w:t>
            </w:r>
          </w:p>
        </w:tc>
        <w:tc>
          <w:tcPr>
            <w:tcW w:w="577" w:type="pct"/>
            <w:tcBorders>
              <w:tl2br w:val="nil"/>
              <w:tr2bl w:val="nil"/>
            </w:tcBorders>
            <w:shd w:val="clear" w:color="auto" w:fill="auto"/>
            <w:noWrap/>
            <w:vAlign w:val="center"/>
          </w:tcPr>
          <w:p>
            <w:pPr>
              <w:widowControl/>
              <w:spacing w:line="312" w:lineRule="exact"/>
              <w:ind w:firstLine="0" w:firstLineChars="0"/>
              <w:jc w:val="center"/>
              <w:textAlignment w:val="center"/>
              <w:rPr>
                <w:color w:val="auto"/>
                <w:kern w:val="0"/>
                <w:sz w:val="21"/>
                <w:szCs w:val="21"/>
              </w:rPr>
            </w:pPr>
            <w:r>
              <w:rPr>
                <w:color w:val="auto"/>
                <w:kern w:val="0"/>
                <w:sz w:val="21"/>
                <w:szCs w:val="21"/>
              </w:rPr>
              <w:t>2022年4月</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259" w:type="pc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5</w:t>
            </w:r>
          </w:p>
        </w:tc>
        <w:tc>
          <w:tcPr>
            <w:tcW w:w="591" w:type="pct"/>
            <w:vMerge w:val="continue"/>
            <w:tcBorders>
              <w:tl2br w:val="nil"/>
              <w:tr2bl w:val="nil"/>
            </w:tcBorders>
            <w:shd w:val="clear" w:color="auto" w:fill="auto"/>
            <w:noWrap/>
            <w:vAlign w:val="center"/>
          </w:tcPr>
          <w:p>
            <w:pPr>
              <w:spacing w:line="312" w:lineRule="exact"/>
              <w:ind w:firstLine="0" w:firstLineChars="0"/>
              <w:jc w:val="center"/>
              <w:rPr>
                <w:color w:val="auto"/>
                <w:sz w:val="21"/>
                <w:szCs w:val="21"/>
              </w:rPr>
            </w:pPr>
          </w:p>
        </w:tc>
        <w:tc>
          <w:tcPr>
            <w:tcW w:w="880" w:type="pct"/>
            <w:tcBorders>
              <w:tl2br w:val="nil"/>
              <w:tr2bl w:val="nil"/>
            </w:tcBorders>
            <w:shd w:val="clear" w:color="auto" w:fill="auto"/>
            <w:noWrap/>
            <w:vAlign w:val="center"/>
          </w:tcPr>
          <w:p>
            <w:pPr>
              <w:widowControl/>
              <w:spacing w:line="312" w:lineRule="exact"/>
              <w:ind w:firstLine="0" w:firstLineChars="0"/>
              <w:jc w:val="center"/>
              <w:textAlignment w:val="center"/>
              <w:rPr>
                <w:color w:val="auto"/>
                <w:sz w:val="21"/>
                <w:szCs w:val="21"/>
              </w:rPr>
            </w:pPr>
            <w:r>
              <w:rPr>
                <w:color w:val="auto"/>
                <w:kern w:val="0"/>
                <w:sz w:val="21"/>
                <w:szCs w:val="21"/>
              </w:rPr>
              <w:t>氮氧化物超低改造评估</w:t>
            </w: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对45台天然气锅炉氮氧化物超低排放改造情况进行评估，按照评估结果规范管理。</w:t>
            </w:r>
          </w:p>
        </w:tc>
        <w:tc>
          <w:tcPr>
            <w:tcW w:w="577" w:type="pct"/>
            <w:tcBorders>
              <w:tl2br w:val="nil"/>
              <w:tr2bl w:val="nil"/>
            </w:tcBorders>
            <w:shd w:val="clear" w:color="auto" w:fill="auto"/>
            <w:noWrap/>
            <w:vAlign w:val="center"/>
          </w:tcPr>
          <w:p>
            <w:pPr>
              <w:widowControl/>
              <w:spacing w:line="312" w:lineRule="exact"/>
              <w:ind w:firstLine="0" w:firstLineChars="0"/>
              <w:jc w:val="center"/>
              <w:textAlignment w:val="center"/>
              <w:rPr>
                <w:color w:val="auto"/>
                <w:kern w:val="0"/>
                <w:sz w:val="21"/>
                <w:szCs w:val="21"/>
              </w:rPr>
            </w:pPr>
            <w:r>
              <w:rPr>
                <w:color w:val="auto"/>
                <w:kern w:val="0"/>
                <w:sz w:val="21"/>
                <w:szCs w:val="21"/>
              </w:rPr>
              <w:t>2022年12月</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941" w:hRule="atLeast"/>
          <w:jc w:val="center"/>
        </w:trPr>
        <w:tc>
          <w:tcPr>
            <w:tcW w:w="259" w:type="pct"/>
            <w:vMerge w:val="restar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6</w:t>
            </w:r>
          </w:p>
        </w:tc>
        <w:tc>
          <w:tcPr>
            <w:tcW w:w="591" w:type="pct"/>
            <w:vMerge w:val="continue"/>
            <w:tcBorders>
              <w:tl2br w:val="nil"/>
              <w:tr2bl w:val="nil"/>
            </w:tcBorders>
            <w:shd w:val="clear" w:color="auto" w:fill="auto"/>
            <w:noWrap/>
            <w:vAlign w:val="center"/>
          </w:tcPr>
          <w:p>
            <w:pPr>
              <w:spacing w:line="312" w:lineRule="exact"/>
              <w:ind w:firstLine="0" w:firstLineChars="0"/>
              <w:jc w:val="center"/>
              <w:rPr>
                <w:color w:val="auto"/>
                <w:sz w:val="21"/>
                <w:szCs w:val="21"/>
              </w:rPr>
            </w:pPr>
          </w:p>
        </w:tc>
        <w:tc>
          <w:tcPr>
            <w:tcW w:w="880" w:type="pct"/>
            <w:vMerge w:val="restar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挥发性有机物管控</w:t>
            </w: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在4—9月臭氧高发时段，对126家重点企业、特殊工艺开展错峰生产，减少挥发性有机物排放量；</w:t>
            </w:r>
          </w:p>
        </w:tc>
        <w:tc>
          <w:tcPr>
            <w:tcW w:w="577"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2022年9月</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259" w:type="pct"/>
            <w:vMerge w:val="continue"/>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p>
        </w:tc>
        <w:tc>
          <w:tcPr>
            <w:tcW w:w="591" w:type="pct"/>
            <w:vMerge w:val="continue"/>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p>
        </w:tc>
        <w:tc>
          <w:tcPr>
            <w:tcW w:w="880" w:type="pct"/>
            <w:vMerge w:val="continue"/>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对46家涂料、油墨、胶粘剂、清洗剂、农药等行业和31家加油站开展VOCs面源整治，全面提升VOCs治理水平和治理能力；</w:t>
            </w:r>
          </w:p>
        </w:tc>
        <w:tc>
          <w:tcPr>
            <w:tcW w:w="577"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kern w:val="0"/>
                <w:sz w:val="21"/>
                <w:szCs w:val="21"/>
              </w:rPr>
              <w:t>2022年9月</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805" w:hRule="atLeast"/>
          <w:jc w:val="center"/>
        </w:trPr>
        <w:tc>
          <w:tcPr>
            <w:tcW w:w="259" w:type="pct"/>
            <w:vMerge w:val="continue"/>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p>
        </w:tc>
        <w:tc>
          <w:tcPr>
            <w:tcW w:w="591" w:type="pct"/>
            <w:vMerge w:val="continue"/>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p>
        </w:tc>
        <w:tc>
          <w:tcPr>
            <w:tcW w:w="880" w:type="pct"/>
            <w:vMerge w:val="continue"/>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全面淘汰低效光氧处理设施，在保障二级活性炭吸附的基础上，鼓励采用先进和高效处理技术。</w:t>
            </w:r>
          </w:p>
        </w:tc>
        <w:tc>
          <w:tcPr>
            <w:tcW w:w="577"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kern w:val="0"/>
                <w:sz w:val="21"/>
                <w:szCs w:val="21"/>
              </w:rPr>
              <w:t>2022年9月</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1720" w:hRule="atLeast"/>
          <w:jc w:val="center"/>
        </w:trPr>
        <w:tc>
          <w:tcPr>
            <w:tcW w:w="259" w:type="pc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7</w:t>
            </w:r>
          </w:p>
        </w:tc>
        <w:tc>
          <w:tcPr>
            <w:tcW w:w="591" w:type="pct"/>
            <w:vMerge w:val="restar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大气污染防治</w:t>
            </w:r>
          </w:p>
        </w:tc>
        <w:tc>
          <w:tcPr>
            <w:tcW w:w="880" w:type="pct"/>
            <w:tcBorders>
              <w:tl2br w:val="nil"/>
              <w:tr2bl w:val="nil"/>
            </w:tcBorders>
            <w:shd w:val="clear" w:color="auto" w:fill="auto"/>
            <w:noWrap/>
            <w:vAlign w:val="center"/>
          </w:tcPr>
          <w:p>
            <w:pPr>
              <w:widowControl/>
              <w:spacing w:line="312" w:lineRule="exact"/>
              <w:ind w:firstLine="0" w:firstLineChars="0"/>
              <w:jc w:val="center"/>
              <w:textAlignment w:val="center"/>
              <w:rPr>
                <w:color w:val="auto"/>
                <w:sz w:val="21"/>
                <w:szCs w:val="21"/>
              </w:rPr>
            </w:pPr>
            <w:r>
              <w:rPr>
                <w:color w:val="auto"/>
                <w:sz w:val="21"/>
                <w:szCs w:val="21"/>
              </w:rPr>
              <w:t>工业企业大气污染防治精细化管理</w:t>
            </w:r>
          </w:p>
        </w:tc>
        <w:tc>
          <w:tcPr>
            <w:tcW w:w="2691" w:type="pct"/>
            <w:tcBorders>
              <w:tl2br w:val="nil"/>
              <w:tr2bl w:val="nil"/>
            </w:tcBorders>
            <w:shd w:val="clear" w:color="auto" w:fill="auto"/>
            <w:noWrap/>
            <w:vAlign w:val="center"/>
          </w:tcPr>
          <w:p>
            <w:pPr>
              <w:widowControl/>
              <w:spacing w:line="312" w:lineRule="exact"/>
              <w:ind w:firstLine="0" w:firstLineChars="0"/>
              <w:jc w:val="center"/>
              <w:textAlignment w:val="center"/>
              <w:rPr>
                <w:color w:val="auto"/>
                <w:kern w:val="0"/>
                <w:sz w:val="21"/>
                <w:szCs w:val="21"/>
              </w:rPr>
            </w:pPr>
            <w:r>
              <w:rPr>
                <w:color w:val="auto"/>
                <w:kern w:val="0"/>
                <w:sz w:val="21"/>
                <w:szCs w:val="21"/>
              </w:rPr>
              <w:t>对39个涉气重点行业、有机化 工等企业实 施“一企一策 、 一厂一案 ”精细化治理。2022年5月底前完成制度建设、改造方案设计等基础工作，10月底前完成整改和初步运行工作。12月底前初步形成大气污染防治精细管理体系。</w:t>
            </w:r>
          </w:p>
        </w:tc>
        <w:tc>
          <w:tcPr>
            <w:tcW w:w="577" w:type="pct"/>
            <w:tcBorders>
              <w:tl2br w:val="nil"/>
              <w:tr2bl w:val="nil"/>
            </w:tcBorders>
            <w:shd w:val="clear" w:color="auto" w:fill="auto"/>
            <w:noWrap/>
            <w:vAlign w:val="center"/>
          </w:tcPr>
          <w:p>
            <w:pPr>
              <w:widowControl/>
              <w:spacing w:line="312" w:lineRule="exact"/>
              <w:ind w:firstLine="0" w:firstLineChars="0"/>
              <w:jc w:val="center"/>
              <w:textAlignment w:val="center"/>
              <w:rPr>
                <w:color w:val="auto"/>
                <w:kern w:val="0"/>
                <w:sz w:val="21"/>
                <w:szCs w:val="21"/>
              </w:rPr>
            </w:pPr>
            <w:r>
              <w:rPr>
                <w:color w:val="auto"/>
                <w:kern w:val="0"/>
                <w:sz w:val="21"/>
                <w:szCs w:val="21"/>
              </w:rPr>
              <w:t>2022年12月</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1203" w:hRule="atLeast"/>
          <w:jc w:val="center"/>
        </w:trPr>
        <w:tc>
          <w:tcPr>
            <w:tcW w:w="259" w:type="pc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8</w:t>
            </w:r>
          </w:p>
        </w:tc>
        <w:tc>
          <w:tcPr>
            <w:tcW w:w="591" w:type="pct"/>
            <w:vMerge w:val="continue"/>
            <w:tcBorders>
              <w:tl2br w:val="nil"/>
              <w:tr2bl w:val="nil"/>
            </w:tcBorders>
            <w:shd w:val="clear" w:color="auto" w:fill="auto"/>
            <w:noWrap/>
            <w:vAlign w:val="center"/>
          </w:tcPr>
          <w:p>
            <w:pPr>
              <w:spacing w:line="312" w:lineRule="exact"/>
              <w:ind w:firstLine="0" w:firstLineChars="0"/>
              <w:jc w:val="center"/>
              <w:rPr>
                <w:color w:val="auto"/>
                <w:sz w:val="21"/>
                <w:szCs w:val="21"/>
              </w:rPr>
            </w:pPr>
          </w:p>
        </w:tc>
        <w:tc>
          <w:tcPr>
            <w:tcW w:w="880" w:type="pct"/>
            <w:tcBorders>
              <w:tl2br w:val="nil"/>
              <w:tr2bl w:val="nil"/>
            </w:tcBorders>
            <w:shd w:val="clear" w:color="auto" w:fill="auto"/>
            <w:noWrap/>
            <w:vAlign w:val="center"/>
          </w:tcPr>
          <w:p>
            <w:pPr>
              <w:widowControl/>
              <w:spacing w:line="312" w:lineRule="exact"/>
              <w:ind w:firstLine="0" w:firstLineChars="0"/>
              <w:jc w:val="center"/>
              <w:textAlignment w:val="center"/>
              <w:rPr>
                <w:color w:val="auto"/>
                <w:sz w:val="21"/>
                <w:szCs w:val="21"/>
              </w:rPr>
            </w:pPr>
            <w:r>
              <w:rPr>
                <w:color w:val="auto"/>
                <w:sz w:val="21"/>
                <w:szCs w:val="21"/>
              </w:rPr>
              <w:t>工业企业大气污染治理品质提升</w:t>
            </w:r>
          </w:p>
        </w:tc>
        <w:tc>
          <w:tcPr>
            <w:tcW w:w="2691" w:type="pct"/>
            <w:tcBorders>
              <w:tl2br w:val="nil"/>
              <w:tr2bl w:val="nil"/>
            </w:tcBorders>
            <w:shd w:val="clear" w:color="auto" w:fill="auto"/>
            <w:noWrap/>
            <w:vAlign w:val="center"/>
          </w:tcPr>
          <w:p>
            <w:pPr>
              <w:widowControl/>
              <w:spacing w:line="312" w:lineRule="exact"/>
              <w:ind w:firstLine="0" w:firstLineChars="0"/>
              <w:jc w:val="center"/>
              <w:textAlignment w:val="center"/>
              <w:rPr>
                <w:color w:val="auto"/>
                <w:kern w:val="0"/>
                <w:sz w:val="21"/>
                <w:szCs w:val="21"/>
              </w:rPr>
            </w:pPr>
            <w:r>
              <w:rPr>
                <w:color w:val="auto"/>
                <w:kern w:val="0"/>
                <w:sz w:val="21"/>
                <w:szCs w:val="21"/>
              </w:rPr>
              <w:t>按照提升方案要求，提升氮氧化物、二氧化硫、挥发性有机物、颗粒物和治理水平和管理水平，淘汰落后处理工艺。</w:t>
            </w:r>
          </w:p>
        </w:tc>
        <w:tc>
          <w:tcPr>
            <w:tcW w:w="577" w:type="pct"/>
            <w:tcBorders>
              <w:tl2br w:val="nil"/>
              <w:tr2bl w:val="nil"/>
            </w:tcBorders>
            <w:shd w:val="clear" w:color="auto" w:fill="auto"/>
            <w:noWrap/>
            <w:vAlign w:val="center"/>
          </w:tcPr>
          <w:p>
            <w:pPr>
              <w:widowControl/>
              <w:spacing w:line="312" w:lineRule="exact"/>
              <w:ind w:firstLine="0" w:firstLineChars="0"/>
              <w:jc w:val="center"/>
              <w:textAlignment w:val="center"/>
              <w:rPr>
                <w:color w:val="auto"/>
                <w:kern w:val="0"/>
                <w:sz w:val="21"/>
                <w:szCs w:val="21"/>
              </w:rPr>
            </w:pPr>
            <w:r>
              <w:rPr>
                <w:color w:val="auto"/>
                <w:kern w:val="0"/>
                <w:sz w:val="21"/>
                <w:szCs w:val="21"/>
              </w:rPr>
              <w:t>按照提升方案时限要求</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1153" w:hRule="atLeast"/>
          <w:jc w:val="center"/>
        </w:trPr>
        <w:tc>
          <w:tcPr>
            <w:tcW w:w="259" w:type="pc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9</w:t>
            </w:r>
          </w:p>
        </w:tc>
        <w:tc>
          <w:tcPr>
            <w:tcW w:w="591" w:type="pct"/>
            <w:vMerge w:val="continue"/>
            <w:tcBorders>
              <w:tl2br w:val="nil"/>
              <w:tr2bl w:val="nil"/>
            </w:tcBorders>
            <w:shd w:val="clear" w:color="auto" w:fill="auto"/>
            <w:noWrap/>
            <w:vAlign w:val="center"/>
          </w:tcPr>
          <w:p>
            <w:pPr>
              <w:spacing w:line="312" w:lineRule="exact"/>
              <w:ind w:firstLine="0" w:firstLineChars="0"/>
              <w:jc w:val="center"/>
              <w:rPr>
                <w:color w:val="auto"/>
                <w:sz w:val="21"/>
                <w:szCs w:val="21"/>
              </w:rPr>
            </w:pPr>
          </w:p>
        </w:tc>
        <w:tc>
          <w:tcPr>
            <w:tcW w:w="880" w:type="pct"/>
            <w:tcBorders>
              <w:tl2br w:val="nil"/>
              <w:tr2bl w:val="nil"/>
            </w:tcBorders>
            <w:shd w:val="clear" w:color="auto" w:fill="auto"/>
            <w:noWrap/>
            <w:vAlign w:val="center"/>
          </w:tcPr>
          <w:p>
            <w:pPr>
              <w:widowControl/>
              <w:spacing w:line="312" w:lineRule="exact"/>
              <w:ind w:firstLine="0" w:firstLineChars="0"/>
              <w:jc w:val="center"/>
              <w:textAlignment w:val="center"/>
              <w:rPr>
                <w:color w:val="auto"/>
                <w:sz w:val="21"/>
                <w:szCs w:val="21"/>
              </w:rPr>
            </w:pPr>
            <w:r>
              <w:rPr>
                <w:color w:val="auto"/>
                <w:sz w:val="21"/>
                <w:szCs w:val="21"/>
              </w:rPr>
              <w:t>工业企业大气污染防治设施自动化改造</w:t>
            </w:r>
          </w:p>
        </w:tc>
        <w:tc>
          <w:tcPr>
            <w:tcW w:w="2691" w:type="pct"/>
            <w:tcBorders>
              <w:tl2br w:val="nil"/>
              <w:tr2bl w:val="nil"/>
            </w:tcBorders>
            <w:shd w:val="clear" w:color="auto" w:fill="auto"/>
            <w:noWrap/>
            <w:vAlign w:val="center"/>
          </w:tcPr>
          <w:p>
            <w:pPr>
              <w:widowControl/>
              <w:spacing w:line="312" w:lineRule="exact"/>
              <w:ind w:firstLine="0" w:firstLineChars="0"/>
              <w:jc w:val="center"/>
              <w:textAlignment w:val="center"/>
              <w:rPr>
                <w:color w:val="auto"/>
                <w:kern w:val="0"/>
                <w:sz w:val="21"/>
                <w:szCs w:val="21"/>
              </w:rPr>
            </w:pPr>
            <w:r>
              <w:rPr>
                <w:color w:val="auto"/>
                <w:kern w:val="0"/>
                <w:sz w:val="21"/>
                <w:szCs w:val="21"/>
              </w:rPr>
              <w:t>组织恒昌医疗、环保供热、海易胶固、津达电缆、美田农药、华澳化工、东方化学等7家重点企业脱硫、脱硝、除尘、VOC治理设施自动化改造。</w:t>
            </w:r>
          </w:p>
        </w:tc>
        <w:tc>
          <w:tcPr>
            <w:tcW w:w="577" w:type="pct"/>
            <w:tcBorders>
              <w:tl2br w:val="nil"/>
              <w:tr2bl w:val="nil"/>
            </w:tcBorders>
            <w:shd w:val="clear" w:color="auto" w:fill="auto"/>
            <w:noWrap/>
            <w:vAlign w:val="center"/>
          </w:tcPr>
          <w:p>
            <w:pPr>
              <w:widowControl/>
              <w:spacing w:line="312" w:lineRule="exact"/>
              <w:ind w:firstLine="0" w:firstLineChars="0"/>
              <w:jc w:val="center"/>
              <w:textAlignment w:val="center"/>
              <w:rPr>
                <w:color w:val="auto"/>
                <w:kern w:val="0"/>
                <w:sz w:val="21"/>
                <w:szCs w:val="21"/>
              </w:rPr>
            </w:pPr>
            <w:r>
              <w:rPr>
                <w:color w:val="auto"/>
                <w:kern w:val="0"/>
                <w:sz w:val="21"/>
                <w:szCs w:val="21"/>
              </w:rPr>
              <w:t>2022年12月</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259" w:type="pc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10</w:t>
            </w:r>
          </w:p>
        </w:tc>
        <w:tc>
          <w:tcPr>
            <w:tcW w:w="591" w:type="pct"/>
            <w:vMerge w:val="continue"/>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p>
        </w:tc>
        <w:tc>
          <w:tcPr>
            <w:tcW w:w="880"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sz w:val="21"/>
                <w:szCs w:val="21"/>
              </w:rPr>
              <w:t>国际履约</w:t>
            </w:r>
            <w:r>
              <w:rPr>
                <w:color w:val="auto"/>
                <w:kern w:val="0"/>
                <w:sz w:val="21"/>
                <w:szCs w:val="21"/>
              </w:rPr>
              <w:t>物质管理</w:t>
            </w: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全面排查全区涉ODS物质企业，建立涉ODS企业环境信息动态管理档案；</w:t>
            </w:r>
          </w:p>
          <w:p>
            <w:pPr>
              <w:widowControl/>
              <w:spacing w:line="312" w:lineRule="exact"/>
              <w:ind w:firstLine="0" w:firstLineChars="0"/>
              <w:jc w:val="center"/>
              <w:rPr>
                <w:color w:val="auto"/>
                <w:kern w:val="0"/>
                <w:sz w:val="21"/>
                <w:szCs w:val="21"/>
              </w:rPr>
            </w:pPr>
            <w:r>
              <w:rPr>
                <w:color w:val="auto"/>
                <w:kern w:val="0"/>
                <w:sz w:val="21"/>
                <w:szCs w:val="21"/>
              </w:rPr>
              <w:t>加强日常环境监管，严肃查处违法生产、使用、销售ODS的行为。</w:t>
            </w:r>
          </w:p>
        </w:tc>
        <w:tc>
          <w:tcPr>
            <w:tcW w:w="577"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按市级部门要求</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411" w:hRule="atLeast"/>
          <w:jc w:val="center"/>
        </w:trPr>
        <w:tc>
          <w:tcPr>
            <w:tcW w:w="259" w:type="pc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11</w:t>
            </w:r>
          </w:p>
        </w:tc>
        <w:tc>
          <w:tcPr>
            <w:tcW w:w="591" w:type="pct"/>
            <w:vMerge w:val="continue"/>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p>
        </w:tc>
        <w:tc>
          <w:tcPr>
            <w:tcW w:w="880"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sz w:val="21"/>
                <w:szCs w:val="21"/>
              </w:rPr>
              <w:t>碳排放</w:t>
            </w:r>
          </w:p>
          <w:p>
            <w:pPr>
              <w:widowControl/>
              <w:spacing w:line="312" w:lineRule="exact"/>
              <w:ind w:firstLine="0" w:firstLineChars="0"/>
              <w:jc w:val="center"/>
              <w:rPr>
                <w:color w:val="auto"/>
                <w:kern w:val="0"/>
                <w:sz w:val="21"/>
                <w:szCs w:val="21"/>
              </w:rPr>
            </w:pP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抓好全国碳市场交易履约工作，督促重点排放单位提早做好碳市场履约准备工作，推进其他重点行业逐步进入全国碳市场，以市场化的手段推进碳减排；</w:t>
            </w:r>
          </w:p>
          <w:p>
            <w:pPr>
              <w:widowControl/>
              <w:spacing w:line="312" w:lineRule="exact"/>
              <w:ind w:firstLine="0" w:firstLineChars="0"/>
              <w:jc w:val="center"/>
              <w:rPr>
                <w:color w:val="auto"/>
                <w:kern w:val="0"/>
                <w:sz w:val="21"/>
                <w:szCs w:val="21"/>
              </w:rPr>
            </w:pPr>
            <w:r>
              <w:rPr>
                <w:color w:val="auto"/>
                <w:kern w:val="0"/>
                <w:sz w:val="21"/>
                <w:szCs w:val="21"/>
              </w:rPr>
              <w:t>按照市温室气体排放清单及“十四五”应对气候专项规划要求，提出全区“十四五”期间应对气候变化工作的主要目标和重点任务。</w:t>
            </w:r>
          </w:p>
        </w:tc>
        <w:tc>
          <w:tcPr>
            <w:tcW w:w="577"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2022年12月</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790" w:hRule="atLeast"/>
          <w:jc w:val="center"/>
        </w:trPr>
        <w:tc>
          <w:tcPr>
            <w:tcW w:w="259"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12</w:t>
            </w:r>
          </w:p>
        </w:tc>
        <w:tc>
          <w:tcPr>
            <w:tcW w:w="591" w:type="pct"/>
            <w:vMerge w:val="restar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大气污染防治</w:t>
            </w:r>
          </w:p>
        </w:tc>
        <w:tc>
          <w:tcPr>
            <w:tcW w:w="880"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清洁取暖改造</w:t>
            </w:r>
          </w:p>
        </w:tc>
        <w:tc>
          <w:tcPr>
            <w:tcW w:w="2691" w:type="pc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开展电代煤、气代煤改造，减少供暖期燃煤污染</w:t>
            </w:r>
          </w:p>
        </w:tc>
        <w:tc>
          <w:tcPr>
            <w:tcW w:w="577"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2022年9月</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904" w:hRule="atLeast"/>
          <w:jc w:val="center"/>
        </w:trPr>
        <w:tc>
          <w:tcPr>
            <w:tcW w:w="259"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13</w:t>
            </w:r>
          </w:p>
        </w:tc>
        <w:tc>
          <w:tcPr>
            <w:tcW w:w="591" w:type="pct"/>
            <w:vMerge w:val="continue"/>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p>
        </w:tc>
        <w:tc>
          <w:tcPr>
            <w:tcW w:w="880"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清洁煤炭推广</w:t>
            </w:r>
          </w:p>
        </w:tc>
        <w:tc>
          <w:tcPr>
            <w:tcW w:w="2691" w:type="pct"/>
            <w:tcBorders>
              <w:tl2br w:val="nil"/>
              <w:tr2bl w:val="nil"/>
            </w:tcBorders>
            <w:shd w:val="clear" w:color="auto" w:fill="auto"/>
            <w:noWrap/>
            <w:vAlign w:val="center"/>
          </w:tcPr>
          <w:p>
            <w:pPr>
              <w:spacing w:line="312" w:lineRule="exact"/>
              <w:ind w:firstLine="0" w:firstLineChars="0"/>
              <w:jc w:val="center"/>
              <w:rPr>
                <w:color w:val="auto"/>
                <w:kern w:val="0"/>
                <w:sz w:val="21"/>
                <w:szCs w:val="21"/>
              </w:rPr>
            </w:pPr>
            <w:r>
              <w:rPr>
                <w:color w:val="auto"/>
                <w:kern w:val="0"/>
                <w:sz w:val="21"/>
                <w:szCs w:val="21"/>
              </w:rPr>
              <w:t>对我区气代煤、电代煤和集中供暖覆盖不到的禁燃区外村居推广清洁煤炭。</w:t>
            </w:r>
          </w:p>
        </w:tc>
        <w:tc>
          <w:tcPr>
            <w:tcW w:w="577"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2022年12月</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1032" w:hRule="atLeast"/>
          <w:jc w:val="center"/>
        </w:trPr>
        <w:tc>
          <w:tcPr>
            <w:tcW w:w="259"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14</w:t>
            </w:r>
          </w:p>
        </w:tc>
        <w:tc>
          <w:tcPr>
            <w:tcW w:w="591" w:type="pct"/>
            <w:vMerge w:val="continue"/>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p>
        </w:tc>
        <w:tc>
          <w:tcPr>
            <w:tcW w:w="880"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建筑工地扬尘治理</w:t>
            </w:r>
          </w:p>
        </w:tc>
        <w:tc>
          <w:tcPr>
            <w:tcW w:w="2691" w:type="pct"/>
            <w:tcBorders>
              <w:tl2br w:val="nil"/>
              <w:tr2bl w:val="nil"/>
            </w:tcBorders>
            <w:shd w:val="clear" w:color="auto" w:fill="auto"/>
            <w:noWrap/>
            <w:vAlign w:val="center"/>
          </w:tcPr>
          <w:p>
            <w:pPr>
              <w:spacing w:line="312" w:lineRule="exact"/>
              <w:ind w:firstLine="0" w:firstLineChars="0"/>
              <w:jc w:val="center"/>
              <w:rPr>
                <w:color w:val="auto"/>
                <w:kern w:val="0"/>
                <w:sz w:val="21"/>
                <w:szCs w:val="21"/>
              </w:rPr>
            </w:pPr>
            <w:r>
              <w:rPr>
                <w:color w:val="auto"/>
                <w:sz w:val="21"/>
                <w:szCs w:val="21"/>
              </w:rPr>
              <w:t>严格建筑施工现场管理，施工现场禁止搅拌混凝土砂浆，认真落实6个100%和8个100%标准要求。</w:t>
            </w:r>
          </w:p>
        </w:tc>
        <w:tc>
          <w:tcPr>
            <w:tcW w:w="577"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长期</w:t>
            </w:r>
          </w:p>
          <w:p>
            <w:pPr>
              <w:widowControl/>
              <w:spacing w:line="312" w:lineRule="exact"/>
              <w:ind w:firstLine="0" w:firstLineChars="0"/>
              <w:jc w:val="center"/>
              <w:rPr>
                <w:color w:val="auto"/>
                <w:kern w:val="0"/>
                <w:sz w:val="21"/>
                <w:szCs w:val="21"/>
              </w:rPr>
            </w:pPr>
            <w:r>
              <w:rPr>
                <w:color w:val="auto"/>
                <w:sz w:val="21"/>
                <w:szCs w:val="21"/>
              </w:rPr>
              <w:t>坚持</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1926" w:hRule="atLeast"/>
          <w:jc w:val="center"/>
        </w:trPr>
        <w:tc>
          <w:tcPr>
            <w:tcW w:w="259"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15</w:t>
            </w:r>
          </w:p>
        </w:tc>
        <w:tc>
          <w:tcPr>
            <w:tcW w:w="591" w:type="pct"/>
            <w:vMerge w:val="continue"/>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p>
        </w:tc>
        <w:tc>
          <w:tcPr>
            <w:tcW w:w="880"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城市道路深度保洁</w:t>
            </w: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kern w:val="0"/>
                <w:sz w:val="21"/>
                <w:szCs w:val="21"/>
              </w:rPr>
              <w:t>做好智慧环卫平台联网建设，与市局智慧城管平台联网；</w:t>
            </w:r>
          </w:p>
          <w:p>
            <w:pPr>
              <w:widowControl/>
              <w:spacing w:line="312" w:lineRule="exact"/>
              <w:ind w:firstLine="0" w:firstLineChars="0"/>
              <w:jc w:val="center"/>
              <w:rPr>
                <w:color w:val="auto"/>
                <w:kern w:val="0"/>
                <w:sz w:val="21"/>
                <w:szCs w:val="21"/>
              </w:rPr>
            </w:pPr>
            <w:r>
              <w:rPr>
                <w:color w:val="auto"/>
                <w:kern w:val="0"/>
                <w:sz w:val="21"/>
                <w:szCs w:val="21"/>
              </w:rPr>
              <w:t>城区主次干道严格落实春夏秋三季“五扫五冲”，冬季“三扫三冲”作业方式；</w:t>
            </w:r>
          </w:p>
          <w:p>
            <w:pPr>
              <w:widowControl/>
              <w:spacing w:line="312" w:lineRule="exact"/>
              <w:ind w:firstLine="0" w:firstLineChars="0"/>
              <w:jc w:val="center"/>
              <w:rPr>
                <w:color w:val="auto"/>
                <w:sz w:val="21"/>
                <w:szCs w:val="21"/>
              </w:rPr>
            </w:pPr>
            <w:r>
              <w:rPr>
                <w:color w:val="auto"/>
                <w:kern w:val="0"/>
                <w:sz w:val="21"/>
                <w:szCs w:val="21"/>
              </w:rPr>
              <w:t>严格抽测制度，每日按照抽测比例进行道路抽查，确保道路保洁效果。</w:t>
            </w:r>
          </w:p>
        </w:tc>
        <w:tc>
          <w:tcPr>
            <w:tcW w:w="577"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长期</w:t>
            </w:r>
          </w:p>
          <w:p>
            <w:pPr>
              <w:widowControl/>
              <w:spacing w:line="312" w:lineRule="exact"/>
              <w:ind w:firstLine="0" w:firstLineChars="0"/>
              <w:jc w:val="center"/>
              <w:rPr>
                <w:color w:val="auto"/>
                <w:sz w:val="21"/>
                <w:szCs w:val="21"/>
              </w:rPr>
            </w:pPr>
            <w:r>
              <w:rPr>
                <w:color w:val="auto"/>
                <w:kern w:val="0"/>
                <w:sz w:val="21"/>
                <w:szCs w:val="21"/>
              </w:rPr>
              <w:t>坚持</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1363" w:hRule="atLeast"/>
          <w:jc w:val="center"/>
        </w:trPr>
        <w:tc>
          <w:tcPr>
            <w:tcW w:w="259"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16</w:t>
            </w:r>
          </w:p>
        </w:tc>
        <w:tc>
          <w:tcPr>
            <w:tcW w:w="591" w:type="pct"/>
            <w:vMerge w:val="continue"/>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p>
        </w:tc>
        <w:tc>
          <w:tcPr>
            <w:tcW w:w="880"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kern w:val="0"/>
                <w:sz w:val="21"/>
                <w:szCs w:val="21"/>
              </w:rPr>
              <w:t>餐饮油烟防控</w:t>
            </w:r>
          </w:p>
        </w:tc>
        <w:tc>
          <w:tcPr>
            <w:tcW w:w="2691" w:type="pc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采用新型监管控一体化系统，实现对餐饮油烟的动态监管，为城市餐饮油烟污染治理提供数据支撑；</w:t>
            </w:r>
          </w:p>
          <w:p>
            <w:pPr>
              <w:spacing w:line="312" w:lineRule="exact"/>
              <w:ind w:firstLine="0" w:firstLineChars="0"/>
              <w:jc w:val="center"/>
              <w:rPr>
                <w:color w:val="auto"/>
                <w:sz w:val="21"/>
                <w:szCs w:val="21"/>
              </w:rPr>
            </w:pPr>
            <w:r>
              <w:rPr>
                <w:color w:val="auto"/>
                <w:sz w:val="21"/>
                <w:szCs w:val="21"/>
              </w:rPr>
              <w:t>新增安装新型监管控一体化系统300套。</w:t>
            </w:r>
          </w:p>
        </w:tc>
        <w:tc>
          <w:tcPr>
            <w:tcW w:w="577"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kern w:val="0"/>
                <w:sz w:val="21"/>
                <w:szCs w:val="21"/>
              </w:rPr>
              <w:t>2022年12月</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259"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17</w:t>
            </w:r>
          </w:p>
        </w:tc>
        <w:tc>
          <w:tcPr>
            <w:tcW w:w="591" w:type="pct"/>
            <w:vMerge w:val="restar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大气污染防治</w:t>
            </w:r>
          </w:p>
        </w:tc>
        <w:tc>
          <w:tcPr>
            <w:tcW w:w="880" w:type="pc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秋冬季大气污染综合治理</w:t>
            </w:r>
          </w:p>
          <w:p>
            <w:pPr>
              <w:widowControl/>
              <w:spacing w:line="312" w:lineRule="exact"/>
              <w:ind w:firstLine="0" w:firstLineChars="0"/>
              <w:jc w:val="center"/>
              <w:rPr>
                <w:color w:val="auto"/>
                <w:sz w:val="21"/>
                <w:szCs w:val="21"/>
              </w:rPr>
            </w:pPr>
          </w:p>
        </w:tc>
        <w:tc>
          <w:tcPr>
            <w:tcW w:w="2691" w:type="pct"/>
            <w:tcBorders>
              <w:tl2br w:val="nil"/>
              <w:tr2bl w:val="nil"/>
            </w:tcBorders>
            <w:shd w:val="clear" w:color="auto" w:fill="auto"/>
            <w:noWrap/>
            <w:vAlign w:val="center"/>
          </w:tcPr>
          <w:p>
            <w:pPr>
              <w:spacing w:line="312" w:lineRule="exact"/>
              <w:ind w:firstLine="0" w:firstLineChars="0"/>
              <w:jc w:val="center"/>
              <w:rPr>
                <w:color w:val="auto"/>
                <w:kern w:val="0"/>
                <w:sz w:val="21"/>
                <w:szCs w:val="21"/>
              </w:rPr>
            </w:pPr>
            <w:r>
              <w:rPr>
                <w:color w:val="auto"/>
                <w:sz w:val="21"/>
                <w:szCs w:val="21"/>
              </w:rPr>
              <w:t>深入开展秋冬季重污染天气攻坚行动，科学治污、精准治污，切实改善空气质量；</w:t>
            </w:r>
            <w:r>
              <w:rPr>
                <w:color w:val="auto"/>
                <w:kern w:val="0"/>
                <w:sz w:val="21"/>
                <w:szCs w:val="21"/>
              </w:rPr>
              <w:t>严格重污染天气应急减排清单修订，动态调整应急减排清单，确保新增涉气污染源全部纳入，剔除“僵尸”污染源。</w:t>
            </w:r>
          </w:p>
        </w:tc>
        <w:tc>
          <w:tcPr>
            <w:tcW w:w="577"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长期</w:t>
            </w:r>
          </w:p>
          <w:p>
            <w:pPr>
              <w:widowControl/>
              <w:spacing w:line="312" w:lineRule="exact"/>
              <w:ind w:firstLine="0" w:firstLineChars="0"/>
              <w:jc w:val="center"/>
              <w:rPr>
                <w:color w:val="auto"/>
                <w:kern w:val="0"/>
                <w:sz w:val="21"/>
                <w:szCs w:val="21"/>
              </w:rPr>
            </w:pPr>
            <w:r>
              <w:rPr>
                <w:color w:val="auto"/>
                <w:kern w:val="0"/>
                <w:sz w:val="21"/>
                <w:szCs w:val="21"/>
              </w:rPr>
              <w:t>坚持</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1546" w:hRule="atLeast"/>
          <w:jc w:val="center"/>
        </w:trPr>
        <w:tc>
          <w:tcPr>
            <w:tcW w:w="259"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18</w:t>
            </w:r>
          </w:p>
        </w:tc>
        <w:tc>
          <w:tcPr>
            <w:tcW w:w="591" w:type="pct"/>
            <w:vMerge w:val="continue"/>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p>
        </w:tc>
        <w:tc>
          <w:tcPr>
            <w:tcW w:w="880"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移动污染源整治</w:t>
            </w:r>
          </w:p>
        </w:tc>
        <w:tc>
          <w:tcPr>
            <w:tcW w:w="2691" w:type="pc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张店交警大队做好货车超限超载查处工作；</w:t>
            </w:r>
          </w:p>
          <w:p>
            <w:pPr>
              <w:spacing w:line="312" w:lineRule="exact"/>
              <w:ind w:firstLine="0" w:firstLineChars="0"/>
              <w:jc w:val="center"/>
              <w:rPr>
                <w:color w:val="auto"/>
                <w:sz w:val="21"/>
                <w:szCs w:val="21"/>
              </w:rPr>
            </w:pPr>
            <w:r>
              <w:rPr>
                <w:color w:val="auto"/>
                <w:sz w:val="21"/>
                <w:szCs w:val="21"/>
              </w:rPr>
              <w:t>区交通运输局固定执法站和超限检测站点做好“一超四罚”及老旧柴油车辆淘汰治理工作；</w:t>
            </w:r>
          </w:p>
          <w:p>
            <w:pPr>
              <w:spacing w:line="312" w:lineRule="exact"/>
              <w:ind w:firstLine="0" w:firstLineChars="0"/>
              <w:jc w:val="center"/>
              <w:rPr>
                <w:color w:val="auto"/>
                <w:sz w:val="21"/>
                <w:szCs w:val="21"/>
              </w:rPr>
            </w:pPr>
            <w:r>
              <w:rPr>
                <w:color w:val="auto"/>
                <w:sz w:val="21"/>
                <w:szCs w:val="21"/>
              </w:rPr>
              <w:t>生态环境部门做好路面车辆尾气排放和非移动机械尾气检测工作；</w:t>
            </w:r>
          </w:p>
          <w:p>
            <w:pPr>
              <w:spacing w:line="312" w:lineRule="exact"/>
              <w:ind w:firstLine="0" w:firstLineChars="0"/>
              <w:jc w:val="center"/>
              <w:rPr>
                <w:color w:val="auto"/>
                <w:sz w:val="21"/>
                <w:szCs w:val="21"/>
              </w:rPr>
            </w:pPr>
            <w:r>
              <w:rPr>
                <w:color w:val="auto"/>
                <w:sz w:val="21"/>
                <w:szCs w:val="21"/>
              </w:rPr>
              <w:t>生态环境、住建部门做好非道路移动机械监管工作；</w:t>
            </w:r>
          </w:p>
          <w:p>
            <w:pPr>
              <w:spacing w:line="312" w:lineRule="exact"/>
              <w:ind w:firstLine="0" w:firstLineChars="0"/>
              <w:jc w:val="center"/>
              <w:rPr>
                <w:color w:val="auto"/>
                <w:kern w:val="0"/>
                <w:sz w:val="21"/>
                <w:szCs w:val="21"/>
              </w:rPr>
            </w:pPr>
            <w:r>
              <w:rPr>
                <w:color w:val="auto"/>
                <w:sz w:val="21"/>
                <w:szCs w:val="21"/>
              </w:rPr>
              <w:t>交警、综合行政执法、住建、生态环境等部门做好渣土车治理工作。</w:t>
            </w:r>
          </w:p>
        </w:tc>
        <w:tc>
          <w:tcPr>
            <w:tcW w:w="577"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长期</w:t>
            </w:r>
          </w:p>
          <w:p>
            <w:pPr>
              <w:widowControl/>
              <w:spacing w:line="312" w:lineRule="exact"/>
              <w:ind w:firstLine="0" w:firstLineChars="0"/>
              <w:jc w:val="center"/>
              <w:rPr>
                <w:color w:val="auto"/>
                <w:kern w:val="0"/>
                <w:sz w:val="21"/>
                <w:szCs w:val="21"/>
              </w:rPr>
            </w:pPr>
            <w:r>
              <w:rPr>
                <w:color w:val="auto"/>
                <w:kern w:val="0"/>
                <w:sz w:val="21"/>
                <w:szCs w:val="21"/>
              </w:rPr>
              <w:t>坚持</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1208" w:hRule="atLeast"/>
          <w:jc w:val="center"/>
        </w:trPr>
        <w:tc>
          <w:tcPr>
            <w:tcW w:w="259"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19</w:t>
            </w:r>
          </w:p>
        </w:tc>
        <w:tc>
          <w:tcPr>
            <w:tcW w:w="591" w:type="pct"/>
            <w:vMerge w:val="continue"/>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p>
        </w:tc>
        <w:tc>
          <w:tcPr>
            <w:tcW w:w="880"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sz w:val="21"/>
                <w:szCs w:val="21"/>
              </w:rPr>
              <w:t>重点排污单位在线监控安装</w:t>
            </w: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根据市生态环境局下发重点排污单位名录，对新增15家重点排污单位安装自动在线监测设施。</w:t>
            </w:r>
          </w:p>
        </w:tc>
        <w:tc>
          <w:tcPr>
            <w:tcW w:w="577"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根据市里文件要求</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922" w:hRule="atLeast"/>
          <w:jc w:val="center"/>
        </w:trPr>
        <w:tc>
          <w:tcPr>
            <w:tcW w:w="259"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20</w:t>
            </w:r>
          </w:p>
        </w:tc>
        <w:tc>
          <w:tcPr>
            <w:tcW w:w="591" w:type="pct"/>
            <w:vMerge w:val="restar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大气污染防治</w:t>
            </w:r>
          </w:p>
        </w:tc>
        <w:tc>
          <w:tcPr>
            <w:tcW w:w="880"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sz w:val="21"/>
                <w:szCs w:val="21"/>
              </w:rPr>
              <w:t>空气质量综合研判与重点源管控</w:t>
            </w: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开展科技项目建设，推进空气质量分析及预测平台建设。</w:t>
            </w:r>
          </w:p>
        </w:tc>
        <w:tc>
          <w:tcPr>
            <w:tcW w:w="577"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2022年12月</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765" w:hRule="atLeast"/>
          <w:jc w:val="center"/>
        </w:trPr>
        <w:tc>
          <w:tcPr>
            <w:tcW w:w="259" w:type="pc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21</w:t>
            </w:r>
          </w:p>
        </w:tc>
        <w:tc>
          <w:tcPr>
            <w:tcW w:w="591" w:type="pct"/>
            <w:vMerge w:val="continue"/>
            <w:tcBorders>
              <w:tl2br w:val="nil"/>
              <w:tr2bl w:val="nil"/>
            </w:tcBorders>
            <w:shd w:val="clear" w:color="auto" w:fill="auto"/>
            <w:noWrap/>
            <w:vAlign w:val="center"/>
          </w:tcPr>
          <w:p>
            <w:pPr>
              <w:spacing w:line="312" w:lineRule="exact"/>
              <w:ind w:firstLine="0" w:firstLineChars="0"/>
              <w:jc w:val="center"/>
              <w:rPr>
                <w:color w:val="auto"/>
                <w:sz w:val="21"/>
                <w:szCs w:val="21"/>
              </w:rPr>
            </w:pPr>
          </w:p>
        </w:tc>
        <w:tc>
          <w:tcPr>
            <w:tcW w:w="880"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落实臭氧管控措施</w:t>
            </w: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加强臭氧管控时段道路冲洗、雾炮作业频次，围绕重点区域根据天气条件调整作业计划。</w:t>
            </w:r>
          </w:p>
          <w:p>
            <w:pPr>
              <w:widowControl/>
              <w:spacing w:line="312" w:lineRule="exact"/>
              <w:ind w:firstLine="0" w:firstLineChars="0"/>
              <w:jc w:val="center"/>
              <w:rPr>
                <w:color w:val="auto"/>
                <w:kern w:val="0"/>
                <w:sz w:val="21"/>
                <w:szCs w:val="21"/>
              </w:rPr>
            </w:pPr>
            <w:r>
              <w:rPr>
                <w:color w:val="auto"/>
                <w:kern w:val="0"/>
                <w:sz w:val="21"/>
                <w:szCs w:val="21"/>
              </w:rPr>
              <w:t>按照臭氧管控预警要求，在白天晴朗、高温时段停止建筑施工喷涂、市政道路划线、汽修喷涂等涉VOC作业，开启公园绿化设施，实施区域降温。在温度较高、太阳辐射较强时停止对城市行道树、公园景观绿化、绿地草坪进行修剪（修整）、施肥及喷洒农药作业。</w:t>
            </w:r>
          </w:p>
        </w:tc>
        <w:tc>
          <w:tcPr>
            <w:tcW w:w="577"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2022年9月</w:t>
            </w:r>
          </w:p>
        </w:tc>
      </w:tr>
    </w:tbl>
    <w:p>
      <w:pPr>
        <w:pStyle w:val="8"/>
        <w:spacing w:before="0" w:beforeLines="0" w:after="0" w:afterLines="0" w:line="360" w:lineRule="auto"/>
        <w:rPr>
          <w:color w:val="auto"/>
        </w:rPr>
      </w:pPr>
      <w:bookmarkStart w:id="250" w:name="_Toc27155"/>
      <w:bookmarkStart w:id="251" w:name="_Toc7541"/>
      <w:r>
        <w:rPr>
          <w:rFonts w:hint="eastAsia"/>
          <w:color w:val="auto"/>
        </w:rPr>
        <w:t>4</w:t>
      </w:r>
      <w:r>
        <w:rPr>
          <w:color w:val="auto"/>
        </w:rPr>
        <w:t>.2 地表水环境现状调查与评价</w:t>
      </w:r>
      <w:bookmarkEnd w:id="250"/>
      <w:bookmarkEnd w:id="251"/>
    </w:p>
    <w:p>
      <w:pPr>
        <w:pStyle w:val="9"/>
        <w:spacing w:before="0" w:beforeLines="0" w:after="0" w:afterLines="0" w:line="360" w:lineRule="auto"/>
        <w:rPr>
          <w:color w:val="auto"/>
        </w:rPr>
      </w:pPr>
      <w:r>
        <w:rPr>
          <w:rFonts w:hint="eastAsia"/>
          <w:color w:val="auto"/>
        </w:rPr>
        <w:t>4</w:t>
      </w:r>
      <w:r>
        <w:rPr>
          <w:color w:val="auto"/>
        </w:rPr>
        <w:t xml:space="preserve">.2.1 </w:t>
      </w:r>
      <w:r>
        <w:rPr>
          <w:rFonts w:hint="eastAsia"/>
          <w:color w:val="auto"/>
        </w:rPr>
        <w:t>地表水现状监测</w:t>
      </w:r>
    </w:p>
    <w:p>
      <w:pPr>
        <w:ind w:firstLine="480"/>
        <w:rPr>
          <w:color w:val="auto"/>
        </w:rPr>
      </w:pPr>
      <w:r>
        <w:rPr>
          <w:color w:val="auto"/>
        </w:rPr>
        <w:t>本</w:t>
      </w:r>
      <w:r>
        <w:rPr>
          <w:rFonts w:hint="eastAsia"/>
          <w:color w:val="auto"/>
        </w:rPr>
        <w:t>次地表水现状常规因子监测数据引自《山东汇能电气有限公司年产1000台KYN28A12高压开关柜改</w:t>
      </w:r>
      <w:r>
        <w:rPr>
          <w:rFonts w:hint="eastAsia"/>
          <w:color w:val="auto"/>
          <w:lang w:eastAsia="zh-CN"/>
        </w:rPr>
        <w:t>拟建项目</w:t>
      </w:r>
      <w:r>
        <w:rPr>
          <w:rFonts w:hint="eastAsia"/>
          <w:color w:val="auto"/>
        </w:rPr>
        <w:t>环境影响报告书》中淄博环益环保检测有限公司于2020年1月5日的监测数据；本项目特征因子现状监测数据委托山东典图生态环境工程有限公司于2022.04.17~2022.04.19的监测数据。</w:t>
      </w:r>
    </w:p>
    <w:p>
      <w:pPr>
        <w:pStyle w:val="9"/>
        <w:spacing w:before="0" w:beforeLines="0" w:after="0" w:afterLines="0" w:line="360" w:lineRule="auto"/>
        <w:rPr>
          <w:color w:val="auto"/>
        </w:rPr>
      </w:pPr>
      <w:r>
        <w:rPr>
          <w:rFonts w:hint="eastAsia"/>
          <w:color w:val="auto"/>
        </w:rPr>
        <w:t>4</w:t>
      </w:r>
      <w:r>
        <w:rPr>
          <w:color w:val="auto"/>
        </w:rPr>
        <w:t>.2.</w:t>
      </w:r>
      <w:r>
        <w:rPr>
          <w:rFonts w:hint="eastAsia"/>
          <w:color w:val="auto"/>
        </w:rPr>
        <w:t>1.1</w:t>
      </w:r>
      <w:r>
        <w:rPr>
          <w:color w:val="auto"/>
        </w:rPr>
        <w:t xml:space="preserve"> </w:t>
      </w:r>
      <w:r>
        <w:rPr>
          <w:rFonts w:hint="eastAsia"/>
          <w:color w:val="auto"/>
        </w:rPr>
        <w:t>监测断面设置</w:t>
      </w:r>
    </w:p>
    <w:p>
      <w:pPr>
        <w:pStyle w:val="2"/>
        <w:spacing w:after="0"/>
        <w:ind w:firstLine="480"/>
        <w:rPr>
          <w:color w:val="auto"/>
        </w:rPr>
      </w:pPr>
      <w:r>
        <w:rPr>
          <w:color w:val="auto"/>
        </w:rPr>
        <w:t>项目废水经厂区内污水处理站处理后外排</w:t>
      </w:r>
      <w:r>
        <w:rPr>
          <w:rFonts w:hint="eastAsia"/>
          <w:color w:val="auto"/>
        </w:rPr>
        <w:t>经光大水务（淄博）有限公司水质净化</w:t>
      </w:r>
      <w:r>
        <w:rPr>
          <w:rFonts w:hint="eastAsia"/>
          <w:color w:val="auto"/>
          <w:lang w:eastAsia="zh-CN"/>
        </w:rPr>
        <w:t>三分厂</w:t>
      </w:r>
      <w:r>
        <w:rPr>
          <w:rFonts w:hint="eastAsia"/>
          <w:color w:val="auto"/>
        </w:rPr>
        <w:t>进行处理最终排入猪龙河</w:t>
      </w:r>
      <w:r>
        <w:rPr>
          <w:color w:val="auto"/>
        </w:rPr>
        <w:t>。</w:t>
      </w:r>
      <w:r>
        <w:rPr>
          <w:rFonts w:hint="eastAsia"/>
          <w:color w:val="auto"/>
        </w:rPr>
        <w:t>监测布点情况详见图4.2-1和表4.2-1。</w:t>
      </w:r>
    </w:p>
    <w:p>
      <w:pPr>
        <w:ind w:firstLine="0" w:firstLineChars="0"/>
        <w:jc w:val="center"/>
        <w:rPr>
          <w:rFonts w:eastAsia="黑体"/>
          <w:color w:val="auto"/>
          <w:sz w:val="21"/>
          <w:szCs w:val="21"/>
        </w:rPr>
      </w:pPr>
    </w:p>
    <w:p>
      <w:pPr>
        <w:ind w:firstLine="0" w:firstLineChars="0"/>
        <w:jc w:val="center"/>
        <w:rPr>
          <w:rFonts w:eastAsia="黑体"/>
          <w:color w:val="auto"/>
          <w:sz w:val="21"/>
          <w:szCs w:val="21"/>
        </w:rPr>
      </w:pPr>
    </w:p>
    <w:p>
      <w:pPr>
        <w:ind w:firstLine="0" w:firstLineChars="0"/>
        <w:jc w:val="center"/>
        <w:rPr>
          <w:rFonts w:eastAsia="黑体"/>
          <w:color w:val="auto"/>
          <w:sz w:val="21"/>
          <w:szCs w:val="21"/>
        </w:rPr>
      </w:pPr>
    </w:p>
    <w:p>
      <w:pPr>
        <w:ind w:firstLine="0" w:firstLineChars="0"/>
        <w:jc w:val="center"/>
        <w:rPr>
          <w:rFonts w:eastAsia="黑体"/>
          <w:color w:val="auto"/>
          <w:sz w:val="21"/>
          <w:szCs w:val="21"/>
        </w:rPr>
      </w:pPr>
      <w:r>
        <w:rPr>
          <w:rFonts w:eastAsia="黑体"/>
          <w:color w:val="auto"/>
          <w:sz w:val="21"/>
          <w:szCs w:val="21"/>
        </w:rPr>
        <w:t>表4.2-1 地表水监测断面一览表</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2"/>
        <w:gridCol w:w="3001"/>
        <w:gridCol w:w="3913"/>
        <w:gridCol w:w="16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3" w:type="pct"/>
            <w:tcBorders>
              <w:tl2br w:val="nil"/>
              <w:tr2bl w:val="nil"/>
            </w:tcBorders>
            <w:vAlign w:val="center"/>
          </w:tcPr>
          <w:p>
            <w:pPr>
              <w:spacing w:line="312" w:lineRule="exact"/>
              <w:ind w:firstLine="0" w:firstLineChars="0"/>
              <w:jc w:val="center"/>
              <w:rPr>
                <w:b/>
                <w:bCs/>
                <w:color w:val="auto"/>
                <w:sz w:val="21"/>
                <w:szCs w:val="21"/>
              </w:rPr>
            </w:pPr>
            <w:r>
              <w:rPr>
                <w:b/>
                <w:bCs/>
                <w:color w:val="auto"/>
                <w:sz w:val="21"/>
                <w:szCs w:val="21"/>
              </w:rPr>
              <w:t>编号</w:t>
            </w:r>
          </w:p>
        </w:tc>
        <w:tc>
          <w:tcPr>
            <w:tcW w:w="1615" w:type="pct"/>
            <w:tcBorders>
              <w:tl2br w:val="nil"/>
              <w:tr2bl w:val="nil"/>
            </w:tcBorders>
            <w:vAlign w:val="center"/>
          </w:tcPr>
          <w:p>
            <w:pPr>
              <w:spacing w:line="312" w:lineRule="exact"/>
              <w:ind w:firstLine="0" w:firstLineChars="0"/>
              <w:jc w:val="center"/>
              <w:rPr>
                <w:b/>
                <w:bCs/>
                <w:color w:val="auto"/>
                <w:sz w:val="21"/>
                <w:szCs w:val="21"/>
              </w:rPr>
            </w:pPr>
            <w:r>
              <w:rPr>
                <w:b/>
                <w:bCs/>
                <w:color w:val="auto"/>
                <w:sz w:val="21"/>
                <w:szCs w:val="21"/>
              </w:rPr>
              <w:t>断面位置</w:t>
            </w:r>
          </w:p>
        </w:tc>
        <w:tc>
          <w:tcPr>
            <w:tcW w:w="2106" w:type="pct"/>
            <w:tcBorders>
              <w:tl2br w:val="nil"/>
              <w:tr2bl w:val="nil"/>
            </w:tcBorders>
            <w:vAlign w:val="center"/>
          </w:tcPr>
          <w:p>
            <w:pPr>
              <w:spacing w:line="312" w:lineRule="exact"/>
              <w:ind w:firstLine="0" w:firstLineChars="0"/>
              <w:jc w:val="center"/>
              <w:rPr>
                <w:b/>
                <w:bCs/>
                <w:color w:val="auto"/>
                <w:sz w:val="21"/>
                <w:szCs w:val="21"/>
              </w:rPr>
            </w:pPr>
            <w:r>
              <w:rPr>
                <w:b/>
                <w:bCs/>
                <w:color w:val="auto"/>
                <w:sz w:val="21"/>
                <w:szCs w:val="21"/>
              </w:rPr>
              <w:t>设置意义</w:t>
            </w:r>
          </w:p>
        </w:tc>
        <w:tc>
          <w:tcPr>
            <w:tcW w:w="904" w:type="pct"/>
            <w:tcBorders>
              <w:tl2br w:val="nil"/>
              <w:tr2bl w:val="nil"/>
            </w:tcBorders>
            <w:vAlign w:val="center"/>
          </w:tcPr>
          <w:p>
            <w:pPr>
              <w:spacing w:line="312" w:lineRule="exact"/>
              <w:ind w:firstLine="0" w:firstLineChars="0"/>
              <w:jc w:val="center"/>
              <w:rPr>
                <w:b/>
                <w:bCs/>
                <w:color w:val="auto"/>
                <w:sz w:val="21"/>
                <w:szCs w:val="21"/>
              </w:rPr>
            </w:pPr>
            <w:r>
              <w:rPr>
                <w:b/>
                <w:bCs/>
                <w:color w:val="auto"/>
                <w:sz w:val="21"/>
                <w:szCs w:val="21"/>
              </w:rPr>
              <w:t>水环境功能区划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 xml:space="preserve">1# </w:t>
            </w:r>
          </w:p>
        </w:tc>
        <w:tc>
          <w:tcPr>
            <w:tcW w:w="1615"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光大水务淄博有限公司水质净化</w:t>
            </w:r>
            <w:r>
              <w:rPr>
                <w:rFonts w:hint="eastAsia"/>
                <w:color w:val="auto"/>
                <w:sz w:val="21"/>
                <w:szCs w:val="21"/>
                <w:lang w:eastAsia="zh-CN"/>
              </w:rPr>
              <w:t>三分厂</w:t>
            </w:r>
            <w:r>
              <w:rPr>
                <w:color w:val="auto"/>
                <w:sz w:val="21"/>
                <w:szCs w:val="21"/>
              </w:rPr>
              <w:t>排污口上游 500m 处</w:t>
            </w:r>
          </w:p>
        </w:tc>
        <w:tc>
          <w:tcPr>
            <w:tcW w:w="2106"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 xml:space="preserve">了解猪龙河接纳项目排水前的水质情况，对照断面 </w:t>
            </w:r>
          </w:p>
        </w:tc>
        <w:tc>
          <w:tcPr>
            <w:tcW w:w="904"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Ⅳ类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 xml:space="preserve">2# </w:t>
            </w:r>
          </w:p>
        </w:tc>
        <w:tc>
          <w:tcPr>
            <w:tcW w:w="1615"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光大水务淄博有限公司水质净化</w:t>
            </w:r>
            <w:r>
              <w:rPr>
                <w:rFonts w:hint="eastAsia"/>
                <w:color w:val="auto"/>
                <w:sz w:val="21"/>
                <w:szCs w:val="21"/>
                <w:lang w:eastAsia="zh-CN"/>
              </w:rPr>
              <w:t>三分厂</w:t>
            </w:r>
            <w:r>
              <w:rPr>
                <w:color w:val="auto"/>
                <w:sz w:val="21"/>
                <w:szCs w:val="21"/>
              </w:rPr>
              <w:t>排污口下游 500m 处</w:t>
            </w:r>
          </w:p>
        </w:tc>
        <w:tc>
          <w:tcPr>
            <w:tcW w:w="2106"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了解猪龙河接纳项目排水后的水质情况，混合断面</w:t>
            </w:r>
          </w:p>
        </w:tc>
        <w:tc>
          <w:tcPr>
            <w:tcW w:w="904" w:type="pct"/>
            <w:vMerge w:val="continue"/>
            <w:tcBorders>
              <w:tl2br w:val="nil"/>
              <w:tr2bl w:val="nil"/>
            </w:tcBorders>
            <w:vAlign w:val="center"/>
          </w:tcPr>
          <w:p>
            <w:pPr>
              <w:spacing w:line="312" w:lineRule="exact"/>
              <w:ind w:firstLine="0" w:firstLineChars="0"/>
              <w:jc w:val="center"/>
              <w:rPr>
                <w:color w:val="auto"/>
                <w:sz w:val="21"/>
                <w:szCs w:val="21"/>
              </w:rPr>
            </w:pPr>
          </w:p>
        </w:tc>
      </w:tr>
    </w:tbl>
    <w:p>
      <w:pPr>
        <w:pStyle w:val="9"/>
        <w:spacing w:before="0" w:beforeLines="0" w:after="0" w:afterLines="0" w:line="360" w:lineRule="auto"/>
        <w:rPr>
          <w:color w:val="auto"/>
        </w:rPr>
      </w:pPr>
      <w:r>
        <w:rPr>
          <w:rFonts w:hint="eastAsia"/>
          <w:color w:val="auto"/>
        </w:rPr>
        <w:t>4</w:t>
      </w:r>
      <w:r>
        <w:rPr>
          <w:color w:val="auto"/>
        </w:rPr>
        <w:t>.2.</w:t>
      </w:r>
      <w:r>
        <w:rPr>
          <w:rFonts w:hint="eastAsia"/>
          <w:color w:val="auto"/>
        </w:rPr>
        <w:t>1.2</w:t>
      </w:r>
      <w:r>
        <w:rPr>
          <w:color w:val="auto"/>
        </w:rPr>
        <w:t xml:space="preserve"> </w:t>
      </w:r>
      <w:r>
        <w:rPr>
          <w:rFonts w:hint="eastAsia"/>
          <w:color w:val="auto"/>
        </w:rPr>
        <w:t>监测项目</w:t>
      </w:r>
    </w:p>
    <w:p>
      <w:pPr>
        <w:widowControl/>
        <w:kinsoku w:val="0"/>
        <w:autoSpaceDE w:val="0"/>
        <w:autoSpaceDN w:val="0"/>
        <w:adjustRightInd w:val="0"/>
        <w:snapToGrid w:val="0"/>
        <w:ind w:firstLine="480"/>
        <w:textAlignment w:val="baseline"/>
        <w:rPr>
          <w:color w:val="auto"/>
        </w:rPr>
      </w:pPr>
      <w:r>
        <w:rPr>
          <w:rFonts w:hint="eastAsia"/>
          <w:color w:val="auto"/>
        </w:rPr>
        <w:t>本次</w:t>
      </w:r>
      <w:r>
        <w:rPr>
          <w:color w:val="auto"/>
        </w:rPr>
        <w:t>监测项目确定为：pH 值、溶解氧、高锰酸盐指数、化学需氧量（CODCr）、五日生化需氧量（BOD5）、氨氮、总磷、总氮、铜、锌、铬、镍、氟化物、全盐量、六价铬、氰化物、挥发酚、石油类、阴离子表面活性剂、硫化物、全盐量等基本项目</w:t>
      </w:r>
      <w:r>
        <w:rPr>
          <w:rFonts w:hint="eastAsia"/>
          <w:color w:val="auto"/>
        </w:rPr>
        <w:t>以及锌、铁、钛、锡等特征因子</w:t>
      </w:r>
      <w:r>
        <w:rPr>
          <w:color w:val="auto"/>
        </w:rPr>
        <w:t>。同时监测河宽、河深、流速、流量、水温等水文参数。</w:t>
      </w:r>
    </w:p>
    <w:p>
      <w:pPr>
        <w:widowControl/>
        <w:kinsoku w:val="0"/>
        <w:autoSpaceDE w:val="0"/>
        <w:autoSpaceDN w:val="0"/>
        <w:adjustRightInd w:val="0"/>
        <w:snapToGrid w:val="0"/>
        <w:ind w:firstLine="480"/>
        <w:textAlignment w:val="baseline"/>
        <w:rPr>
          <w:color w:val="auto"/>
        </w:rPr>
      </w:pPr>
    </w:p>
    <w:p>
      <w:pPr>
        <w:widowControl/>
        <w:kinsoku w:val="0"/>
        <w:autoSpaceDE w:val="0"/>
        <w:autoSpaceDN w:val="0"/>
        <w:adjustRightInd w:val="0"/>
        <w:snapToGrid w:val="0"/>
        <w:ind w:firstLine="0" w:firstLineChars="0"/>
        <w:jc w:val="center"/>
        <w:textAlignment w:val="baseline"/>
        <w:rPr>
          <w:rFonts w:eastAsia="黑体"/>
          <w:color w:val="auto"/>
          <w:sz w:val="21"/>
          <w:szCs w:val="21"/>
        </w:rPr>
      </w:pPr>
      <w:r>
        <w:rPr>
          <w:rFonts w:eastAsia="黑体"/>
          <w:b/>
          <w:bCs/>
          <w:color w:val="auto"/>
          <w:sz w:val="21"/>
          <w:szCs w:val="21"/>
        </w:rPr>
        <w:drawing>
          <wp:anchor distT="0" distB="0" distL="114935" distR="114935" simplePos="0" relativeHeight="251680768" behindDoc="0" locked="0" layoutInCell="1" allowOverlap="1">
            <wp:simplePos x="0" y="0"/>
            <wp:positionH relativeFrom="column">
              <wp:posOffset>4917440</wp:posOffset>
            </wp:positionH>
            <wp:positionV relativeFrom="paragraph">
              <wp:posOffset>182245</wp:posOffset>
            </wp:positionV>
            <wp:extent cx="800100" cy="854075"/>
            <wp:effectExtent l="0" t="0" r="0" b="3175"/>
            <wp:wrapNone/>
            <wp:docPr id="69" name="图片 26"/>
            <wp:cNvGraphicFramePr/>
            <a:graphic xmlns:a="http://schemas.openxmlformats.org/drawingml/2006/main">
              <a:graphicData uri="http://schemas.openxmlformats.org/drawingml/2006/picture">
                <pic:pic xmlns:pic="http://schemas.openxmlformats.org/drawingml/2006/picture">
                  <pic:nvPicPr>
                    <pic:cNvPr id="69" name="图片 26"/>
                    <pic:cNvPicPr/>
                  </pic:nvPicPr>
                  <pic:blipFill>
                    <a:blip r:embed="rId71" cstate="print"/>
                    <a:srcRect r="-95"/>
                    <a:stretch>
                      <a:fillRect/>
                    </a:stretch>
                  </pic:blipFill>
                  <pic:spPr>
                    <a:xfrm>
                      <a:off x="0" y="0"/>
                      <a:ext cx="800100" cy="854075"/>
                    </a:xfrm>
                    <a:prstGeom prst="rect">
                      <a:avLst/>
                    </a:prstGeom>
                    <a:noFill/>
                    <a:ln w="9525">
                      <a:noFill/>
                    </a:ln>
                  </pic:spPr>
                </pic:pic>
              </a:graphicData>
            </a:graphic>
          </wp:anchor>
        </w:drawing>
      </w:r>
      <w:r>
        <w:rPr>
          <w:rFonts w:eastAsia="黑体"/>
          <w:color w:val="auto"/>
          <w:sz w:val="21"/>
          <w:szCs w:val="21"/>
        </w:rPr>
        <mc:AlternateContent>
          <mc:Choice Requires="wps">
            <w:drawing>
              <wp:anchor distT="0" distB="0" distL="114300" distR="114300" simplePos="0" relativeHeight="251684864" behindDoc="0" locked="0" layoutInCell="1" allowOverlap="1">
                <wp:simplePos x="0" y="0"/>
                <wp:positionH relativeFrom="column">
                  <wp:posOffset>3971925</wp:posOffset>
                </wp:positionH>
                <wp:positionV relativeFrom="paragraph">
                  <wp:posOffset>5744845</wp:posOffset>
                </wp:positionV>
                <wp:extent cx="262255" cy="0"/>
                <wp:effectExtent l="0" t="0" r="0" b="0"/>
                <wp:wrapNone/>
                <wp:docPr id="79" name="直接连接符 79"/>
                <wp:cNvGraphicFramePr/>
                <a:graphic xmlns:a="http://schemas.openxmlformats.org/drawingml/2006/main">
                  <a:graphicData uri="http://schemas.microsoft.com/office/word/2010/wordprocessingShape">
                    <wps:wsp>
                      <wps:cNvCnPr/>
                      <wps:spPr>
                        <a:xfrm>
                          <a:off x="4464050" y="6698615"/>
                          <a:ext cx="262255"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12.75pt;margin-top:452.35pt;height:0pt;width:20.65pt;z-index:251684864;mso-width-relative:page;mso-height-relative:page;" filled="f" stroked="t" coordsize="21600,21600" o:gfxdata="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IwTb9XZAAAACwEAAA8AAAAAAAAAAQAgAAAAIgAAAGRycy9kb3ducmV2Lnht&#10;bFBLAQIUABQAAAAIAIdO4kBWOGkv+AEAAL8DAAAOAAAAAAAAAAEAIAAAACgBAABkcnMvZTJvRG9j&#10;LnhtbFBLBQYAAAAABgAGAFkBAACSBQAAAAA=&#10;">
                <v:fill on="f" focussize="0,0"/>
                <v:stroke weight="1pt" color="#FF0000 [3204]" miterlimit="8" joinstyle="miter"/>
                <v:imagedata o:title=""/>
                <o:lock v:ext="edit" aspectratio="f"/>
              </v:line>
            </w:pict>
          </mc:Fallback>
        </mc:AlternateContent>
      </w:r>
      <w:r>
        <w:rPr>
          <w:rFonts w:eastAsia="黑体"/>
          <w:color w:val="auto"/>
          <w:sz w:val="21"/>
          <w:szCs w:val="21"/>
        </w:rPr>
        <mc:AlternateContent>
          <mc:Choice Requires="wps">
            <w:drawing>
              <wp:anchor distT="0" distB="0" distL="114300" distR="114300" simplePos="0" relativeHeight="251683840" behindDoc="0" locked="0" layoutInCell="1" allowOverlap="1">
                <wp:simplePos x="0" y="0"/>
                <wp:positionH relativeFrom="column">
                  <wp:posOffset>4018915</wp:posOffset>
                </wp:positionH>
                <wp:positionV relativeFrom="paragraph">
                  <wp:posOffset>5219065</wp:posOffset>
                </wp:positionV>
                <wp:extent cx="247015" cy="174625"/>
                <wp:effectExtent l="6350" t="6350" r="13335" b="9525"/>
                <wp:wrapNone/>
                <wp:docPr id="78" name="矩形 78"/>
                <wp:cNvGraphicFramePr/>
                <a:graphic xmlns:a="http://schemas.openxmlformats.org/drawingml/2006/main">
                  <a:graphicData uri="http://schemas.microsoft.com/office/word/2010/wordprocessingShape">
                    <wps:wsp>
                      <wps:cNvSpPr/>
                      <wps:spPr>
                        <a:xfrm>
                          <a:off x="4464050" y="6403340"/>
                          <a:ext cx="247015" cy="1746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6.45pt;margin-top:410.95pt;height:13.75pt;width:19.45pt;z-index:251683840;v-text-anchor:middle;mso-width-relative:page;mso-height-relative:page;" filled="f" stroked="t" coordsize="21600,21600" o:gfxdata="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Ncl/2AAAAAsBAAAPAAAAAAAAAAEAIAAAACIAAABk&#10;cnMvZG93bnJldi54bWxQSwECFAAUAAAACACHTuJAQF24B3gCAADYBAAADgAAAAAAAAABACAAAAAn&#10;AQAAZHJzL2Uyb0RvYy54bWxQSwUGAAAAAAYABgBZAQAAEQYAAAAA&#10;">
                <v:fill on="f" focussize="0,0"/>
                <v:stroke weight="1pt" color="#FF0000 [3204]" miterlimit="8" joinstyle="miter"/>
                <v:imagedata o:title=""/>
                <o:lock v:ext="edit" aspectratio="f"/>
              </v:rect>
            </w:pict>
          </mc:Fallback>
        </mc:AlternateContent>
      </w:r>
      <w:r>
        <w:rPr>
          <w:rFonts w:eastAsia="黑体"/>
          <w:color w:val="auto"/>
          <w:sz w:val="21"/>
          <w:szCs w:val="21"/>
        </w:rPr>
        <mc:AlternateContent>
          <mc:Choice Requires="wps">
            <w:drawing>
              <wp:anchor distT="0" distB="0" distL="114300" distR="114300" simplePos="0" relativeHeight="251682816" behindDoc="0" locked="0" layoutInCell="1" allowOverlap="1">
                <wp:simplePos x="0" y="0"/>
                <wp:positionH relativeFrom="column">
                  <wp:posOffset>4004945</wp:posOffset>
                </wp:positionH>
                <wp:positionV relativeFrom="paragraph">
                  <wp:posOffset>4964430</wp:posOffset>
                </wp:positionV>
                <wp:extent cx="271145" cy="167640"/>
                <wp:effectExtent l="6350" t="6350" r="8255" b="16510"/>
                <wp:wrapNone/>
                <wp:docPr id="77" name="矩形 77"/>
                <wp:cNvGraphicFramePr/>
                <a:graphic xmlns:a="http://schemas.openxmlformats.org/drawingml/2006/main">
                  <a:graphicData uri="http://schemas.microsoft.com/office/word/2010/wordprocessingShape">
                    <wps:wsp>
                      <wps:cNvSpPr/>
                      <wps:spPr>
                        <a:xfrm>
                          <a:off x="4456430" y="6188710"/>
                          <a:ext cx="271145" cy="167640"/>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5.35pt;margin-top:390.9pt;height:13.2pt;width:21.35pt;z-index:251682816;v-text-anchor:middle;mso-width-relative:page;mso-height-relative:page;" filled="f" stroked="t" coordsize="21600,21600" o:gfxdata="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G8nJ/NkAAAALAQAADwAAAAAAAAABACAAAAAiAAAA&#10;ZHJzL2Rvd25yZXYueG1sUEsBAhQAFAAAAAgAh07iQGPECZt4AgAA2AQAAA4AAAAAAAAAAQAgAAAA&#10;KAEAAGRycy9lMm9Eb2MueG1sUEsFBgAAAAAGAAYAWQEAABIGAAAAAA==&#10;">
                <v:fill on="f" focussize="0,0"/>
                <v:stroke weight="1pt" color="#00B050 [3204]" miterlimit="8" joinstyle="miter"/>
                <v:imagedata o:title=""/>
                <o:lock v:ext="edit" aspectratio="f"/>
              </v:rect>
            </w:pict>
          </mc:Fallback>
        </mc:AlternateContent>
      </w:r>
      <w:r>
        <w:rPr>
          <w:rFonts w:eastAsia="黑体"/>
          <w:b/>
          <w:bCs/>
          <w:color w:val="auto"/>
          <w:sz w:val="21"/>
          <w:szCs w:val="21"/>
        </w:rPr>
        <mc:AlternateContent>
          <mc:Choice Requires="wps">
            <w:drawing>
              <wp:anchor distT="0" distB="0" distL="114300" distR="114300" simplePos="0" relativeHeight="251681792" behindDoc="0" locked="0" layoutInCell="1" allowOverlap="1">
                <wp:simplePos x="0" y="0"/>
                <wp:positionH relativeFrom="column">
                  <wp:posOffset>3890645</wp:posOffset>
                </wp:positionH>
                <wp:positionV relativeFrom="paragraph">
                  <wp:posOffset>4664075</wp:posOffset>
                </wp:positionV>
                <wp:extent cx="1841500" cy="1334770"/>
                <wp:effectExtent l="9525" t="9525" r="15875" b="27305"/>
                <wp:wrapNone/>
                <wp:docPr id="74" name="矩形 74"/>
                <wp:cNvGraphicFramePr/>
                <a:graphic xmlns:a="http://schemas.openxmlformats.org/drawingml/2006/main">
                  <a:graphicData uri="http://schemas.microsoft.com/office/word/2010/wordprocessingShape">
                    <wps:wsp>
                      <wps:cNvSpPr/>
                      <wps:spPr>
                        <a:xfrm>
                          <a:off x="0" y="0"/>
                          <a:ext cx="1841500" cy="1334770"/>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ind w:firstLine="0" w:firstLineChars="0"/>
                              <w:rPr>
                                <w:color w:val="000000" w:themeColor="text1"/>
                                <w:sz w:val="21"/>
                                <w:szCs w:val="2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sz w:val="21"/>
                                <w:szCs w:val="2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图例：</w:t>
                            </w:r>
                          </w:p>
                          <w:p>
                            <w:pPr>
                              <w:pStyle w:val="2"/>
                              <w:spacing w:line="240" w:lineRule="auto"/>
                              <w:ind w:firstLine="0" w:firstLineChars="0"/>
                              <w:rPr>
                                <w:color w:val="000000" w:themeColor="text1"/>
                                <w:sz w:val="21"/>
                                <w:szCs w:val="2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sz w:val="21"/>
                                <w:szCs w:val="2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 xml:space="preserve">      本项目位置</w:t>
                            </w:r>
                          </w:p>
                          <w:p>
                            <w:pPr>
                              <w:spacing w:line="240" w:lineRule="auto"/>
                              <w:ind w:firstLine="480"/>
                              <w:rPr>
                                <w:rFonts w:hint="eastAsia" w:eastAsia="宋体"/>
                                <w:color w:val="000000" w:themeColor="text1"/>
                                <w:sz w:val="21"/>
                                <w:szCs w:val="21"/>
                                <w:lang w:eastAsia="zh-CN"/>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rPr>
                              <w:t xml:space="preserve"> </w:t>
                            </w:r>
                            <w:r>
                              <w:rPr>
                                <w:rFonts w:hint="eastAsia"/>
                                <w:color w:val="000000" w:themeColor="text1"/>
                                <w:sz w:val="21"/>
                                <w:szCs w:val="2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光大水务（淄博）有限公司水质净化</w:t>
                            </w:r>
                            <w:r>
                              <w:rPr>
                                <w:rFonts w:hint="eastAsia"/>
                                <w:color w:val="000000" w:themeColor="text1"/>
                                <w:sz w:val="21"/>
                                <w:szCs w:val="21"/>
                                <w:lang w:eastAsia="zh-CN"/>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三分厂</w:t>
                            </w:r>
                          </w:p>
                          <w:p>
                            <w:pPr>
                              <w:pStyle w:val="2"/>
                            </w:pPr>
                            <w:r>
                              <w:rPr>
                                <w:rFonts w:hint="eastAsia"/>
                                <w:color w:val="000000" w:themeColor="text1"/>
                                <w:sz w:val="21"/>
                                <w:szCs w:val="2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地表水监测断面</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6.35pt;margin-top:367.25pt;height:105.1pt;width:145pt;z-index:251681792;v-text-anchor:middle;mso-width-relative:page;mso-height-relative:page;" fillcolor="#FFFFFF [3212]" filled="t" stroked="t" coordsize="21600,21600" o:gfxdata="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VsPmjtkAAAALAQAADwAAAAAAAAABACAAAAAiAAAA&#10;ZHJzL2Rvd25yZXYueG1sUEsBAhQAFAAAAAgAh07iQMDt1YR4AgAAAgUAAA4AAAAAAAAAAQAgAAAA&#10;KAEAAGRycy9lMm9Eb2MueG1sUEsFBgAAAAAGAAYAWQEAABIGAAAAAA==&#10;">
                <v:fill on="t" focussize="0,0"/>
                <v:stroke weight="1.5pt" color="#000000 [3213]" miterlimit="8" joinstyle="miter"/>
                <v:imagedata o:title=""/>
                <o:lock v:ext="edit" aspectratio="f"/>
                <v:textbox>
                  <w:txbxContent>
                    <w:p>
                      <w:pPr>
                        <w:spacing w:line="240" w:lineRule="auto"/>
                        <w:ind w:firstLine="0" w:firstLineChars="0"/>
                        <w:rPr>
                          <w:color w:val="000000" w:themeColor="text1"/>
                          <w:sz w:val="21"/>
                          <w:szCs w:val="2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sz w:val="21"/>
                          <w:szCs w:val="2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图例：</w:t>
                      </w:r>
                    </w:p>
                    <w:p>
                      <w:pPr>
                        <w:pStyle w:val="2"/>
                        <w:spacing w:line="240" w:lineRule="auto"/>
                        <w:ind w:firstLine="0" w:firstLineChars="0"/>
                        <w:rPr>
                          <w:color w:val="000000" w:themeColor="text1"/>
                          <w:sz w:val="21"/>
                          <w:szCs w:val="2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sz w:val="21"/>
                          <w:szCs w:val="2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 xml:space="preserve">      本项目位置</w:t>
                      </w:r>
                    </w:p>
                    <w:p>
                      <w:pPr>
                        <w:spacing w:line="240" w:lineRule="auto"/>
                        <w:ind w:firstLine="480"/>
                        <w:rPr>
                          <w:rFonts w:hint="eastAsia" w:eastAsia="宋体"/>
                          <w:color w:val="000000" w:themeColor="text1"/>
                          <w:sz w:val="21"/>
                          <w:szCs w:val="21"/>
                          <w:lang w:eastAsia="zh-CN"/>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rPr>
                        <w:t xml:space="preserve"> </w:t>
                      </w:r>
                      <w:r>
                        <w:rPr>
                          <w:rFonts w:hint="eastAsia"/>
                          <w:color w:val="000000" w:themeColor="text1"/>
                          <w:sz w:val="21"/>
                          <w:szCs w:val="2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光大水务（淄博）有限公司水质净化</w:t>
                      </w:r>
                      <w:r>
                        <w:rPr>
                          <w:rFonts w:hint="eastAsia"/>
                          <w:color w:val="000000" w:themeColor="text1"/>
                          <w:sz w:val="21"/>
                          <w:szCs w:val="21"/>
                          <w:lang w:eastAsia="zh-CN"/>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三分厂</w:t>
                      </w:r>
                    </w:p>
                    <w:p>
                      <w:pPr>
                        <w:pStyle w:val="2"/>
                      </w:pPr>
                      <w:r>
                        <w:rPr>
                          <w:rFonts w:hint="eastAsia"/>
                          <w:color w:val="000000" w:themeColor="text1"/>
                          <w:sz w:val="21"/>
                          <w:szCs w:val="2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地表水监测断面</w:t>
                      </w:r>
                    </w:p>
                  </w:txbxContent>
                </v:textbox>
              </v:rect>
            </w:pict>
          </mc:Fallback>
        </mc:AlternateContent>
      </w:r>
      <w:r>
        <w:rPr>
          <w:rFonts w:eastAsia="黑体"/>
          <w:color w:val="auto"/>
          <w:sz w:val="21"/>
          <w:szCs w:val="21"/>
        </w:rPr>
        <w:drawing>
          <wp:anchor distT="0" distB="0" distL="114300" distR="114300" simplePos="0" relativeHeight="251679744" behindDoc="0" locked="0" layoutInCell="1" allowOverlap="1">
            <wp:simplePos x="0" y="0"/>
            <wp:positionH relativeFrom="column">
              <wp:posOffset>-27940</wp:posOffset>
            </wp:positionH>
            <wp:positionV relativeFrom="paragraph">
              <wp:posOffset>165735</wp:posOffset>
            </wp:positionV>
            <wp:extent cx="5768340" cy="5858510"/>
            <wp:effectExtent l="0" t="0" r="3810" b="8890"/>
            <wp:wrapTopAndBottom/>
            <wp:docPr id="73" name="图片 73" descr="1657015637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1657015637715"/>
                    <pic:cNvPicPr>
                      <a:picLocks noChangeAspect="1"/>
                    </pic:cNvPicPr>
                  </pic:nvPicPr>
                  <pic:blipFill>
                    <a:blip r:embed="rId72"/>
                    <a:stretch>
                      <a:fillRect/>
                    </a:stretch>
                  </pic:blipFill>
                  <pic:spPr>
                    <a:xfrm>
                      <a:off x="0" y="0"/>
                      <a:ext cx="5768340" cy="5858510"/>
                    </a:xfrm>
                    <a:prstGeom prst="rect">
                      <a:avLst/>
                    </a:prstGeom>
                  </pic:spPr>
                </pic:pic>
              </a:graphicData>
            </a:graphic>
          </wp:anchor>
        </w:drawing>
      </w:r>
      <w:r>
        <w:rPr>
          <w:rFonts w:eastAsia="黑体"/>
          <w:color w:val="auto"/>
          <w:sz w:val="21"/>
          <w:szCs w:val="21"/>
        </w:rPr>
        <w:t>图4.2-1 地表水监测布点图</w:t>
      </w:r>
    </w:p>
    <w:p>
      <w:pPr>
        <w:pStyle w:val="9"/>
        <w:spacing w:before="0" w:beforeLines="0" w:after="0" w:afterLines="0" w:line="360" w:lineRule="auto"/>
        <w:rPr>
          <w:color w:val="auto"/>
        </w:rPr>
      </w:pPr>
      <w:r>
        <w:rPr>
          <w:rFonts w:hint="eastAsia"/>
          <w:color w:val="auto"/>
        </w:rPr>
        <w:t>4</w:t>
      </w:r>
      <w:r>
        <w:rPr>
          <w:color w:val="auto"/>
        </w:rPr>
        <w:t>.2.</w:t>
      </w:r>
      <w:r>
        <w:rPr>
          <w:rFonts w:hint="eastAsia"/>
          <w:color w:val="auto"/>
        </w:rPr>
        <w:t>1.3</w:t>
      </w:r>
      <w:r>
        <w:rPr>
          <w:color w:val="auto"/>
        </w:rPr>
        <w:t xml:space="preserve"> </w:t>
      </w:r>
      <w:r>
        <w:rPr>
          <w:rFonts w:hint="eastAsia"/>
          <w:color w:val="auto"/>
        </w:rPr>
        <w:t>分析方法</w:t>
      </w:r>
    </w:p>
    <w:p>
      <w:pPr>
        <w:ind w:firstLine="480"/>
        <w:rPr>
          <w:color w:val="auto"/>
        </w:rPr>
      </w:pPr>
      <w:r>
        <w:rPr>
          <w:rFonts w:hint="eastAsia"/>
          <w:color w:val="auto"/>
        </w:rPr>
        <w:t>按《地表水环境质量标准》(GB3838-2002)、《环境监测技术规范》、《水和废水监测分析方法》（第四版）中有关规定执行。监测分析方法见下表。</w:t>
      </w:r>
    </w:p>
    <w:p>
      <w:pPr>
        <w:pStyle w:val="58"/>
        <w:rPr>
          <w:b w:val="0"/>
          <w:bCs/>
          <w:color w:val="auto"/>
        </w:rPr>
      </w:pPr>
      <w:r>
        <w:rPr>
          <w:rFonts w:hint="eastAsia"/>
          <w:b w:val="0"/>
          <w:bCs/>
          <w:color w:val="auto"/>
        </w:rPr>
        <w:t>表4.2-2 监测项目分析方法</w:t>
      </w:r>
    </w:p>
    <w:tbl>
      <w:tblPr>
        <w:tblStyle w:val="22"/>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90"/>
        <w:gridCol w:w="1214"/>
        <w:gridCol w:w="2951"/>
        <w:gridCol w:w="1856"/>
        <w:gridCol w:w="1533"/>
        <w:gridCol w:w="11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318" w:type="pct"/>
            <w:vAlign w:val="center"/>
          </w:tcPr>
          <w:p>
            <w:pPr>
              <w:snapToGrid w:val="0"/>
              <w:spacing w:line="312" w:lineRule="exact"/>
              <w:ind w:firstLine="0" w:firstLineChars="0"/>
              <w:jc w:val="center"/>
              <w:rPr>
                <w:b/>
                <w:bCs/>
                <w:color w:val="auto"/>
                <w:sz w:val="21"/>
                <w:szCs w:val="21"/>
              </w:rPr>
            </w:pPr>
            <w:r>
              <w:rPr>
                <w:b/>
                <w:bCs/>
                <w:color w:val="auto"/>
                <w:sz w:val="21"/>
                <w:szCs w:val="21"/>
              </w:rPr>
              <w:t>序号</w:t>
            </w:r>
          </w:p>
        </w:tc>
        <w:tc>
          <w:tcPr>
            <w:tcW w:w="654" w:type="pct"/>
            <w:vAlign w:val="center"/>
          </w:tcPr>
          <w:p>
            <w:pPr>
              <w:snapToGrid w:val="0"/>
              <w:spacing w:line="312" w:lineRule="exact"/>
              <w:ind w:firstLine="0" w:firstLineChars="0"/>
              <w:jc w:val="center"/>
              <w:rPr>
                <w:b/>
                <w:bCs/>
                <w:color w:val="auto"/>
                <w:sz w:val="21"/>
                <w:szCs w:val="21"/>
              </w:rPr>
            </w:pPr>
            <w:r>
              <w:rPr>
                <w:b/>
                <w:bCs/>
                <w:color w:val="auto"/>
                <w:sz w:val="21"/>
                <w:szCs w:val="21"/>
              </w:rPr>
              <w:t>检测项目</w:t>
            </w:r>
          </w:p>
        </w:tc>
        <w:tc>
          <w:tcPr>
            <w:tcW w:w="1590" w:type="pct"/>
            <w:vAlign w:val="center"/>
          </w:tcPr>
          <w:p>
            <w:pPr>
              <w:snapToGrid w:val="0"/>
              <w:spacing w:line="312" w:lineRule="exact"/>
              <w:ind w:firstLine="0" w:firstLineChars="0"/>
              <w:jc w:val="center"/>
              <w:rPr>
                <w:b/>
                <w:bCs/>
                <w:color w:val="auto"/>
                <w:sz w:val="21"/>
                <w:szCs w:val="21"/>
              </w:rPr>
            </w:pPr>
            <w:r>
              <w:rPr>
                <w:b/>
                <w:bCs/>
                <w:color w:val="auto"/>
                <w:sz w:val="21"/>
                <w:szCs w:val="21"/>
              </w:rPr>
              <w:t>检测依据</w:t>
            </w:r>
          </w:p>
        </w:tc>
        <w:tc>
          <w:tcPr>
            <w:tcW w:w="1000" w:type="pct"/>
            <w:vAlign w:val="center"/>
          </w:tcPr>
          <w:p>
            <w:pPr>
              <w:snapToGrid w:val="0"/>
              <w:spacing w:line="312" w:lineRule="exact"/>
              <w:ind w:firstLine="0" w:firstLineChars="0"/>
              <w:jc w:val="center"/>
              <w:rPr>
                <w:b/>
                <w:bCs/>
                <w:color w:val="auto"/>
                <w:sz w:val="21"/>
                <w:szCs w:val="21"/>
              </w:rPr>
            </w:pPr>
            <w:r>
              <w:rPr>
                <w:b/>
                <w:bCs/>
                <w:color w:val="auto"/>
                <w:sz w:val="21"/>
                <w:szCs w:val="21"/>
              </w:rPr>
              <w:t>检测设备</w:t>
            </w:r>
          </w:p>
        </w:tc>
        <w:tc>
          <w:tcPr>
            <w:tcW w:w="826" w:type="pct"/>
            <w:vAlign w:val="center"/>
          </w:tcPr>
          <w:p>
            <w:pPr>
              <w:snapToGrid w:val="0"/>
              <w:spacing w:line="312" w:lineRule="exact"/>
              <w:ind w:firstLine="0" w:firstLineChars="0"/>
              <w:jc w:val="center"/>
              <w:rPr>
                <w:b/>
                <w:bCs/>
                <w:color w:val="auto"/>
                <w:sz w:val="21"/>
                <w:szCs w:val="21"/>
              </w:rPr>
            </w:pPr>
            <w:r>
              <w:rPr>
                <w:b/>
                <w:bCs/>
                <w:color w:val="auto"/>
                <w:sz w:val="21"/>
                <w:szCs w:val="21"/>
              </w:rPr>
              <w:t>设备编号</w:t>
            </w:r>
          </w:p>
        </w:tc>
        <w:tc>
          <w:tcPr>
            <w:tcW w:w="609" w:type="pct"/>
            <w:vAlign w:val="center"/>
          </w:tcPr>
          <w:p>
            <w:pPr>
              <w:snapToGrid w:val="0"/>
              <w:spacing w:line="312" w:lineRule="exact"/>
              <w:ind w:firstLine="0" w:firstLineChars="0"/>
              <w:jc w:val="center"/>
              <w:rPr>
                <w:b/>
                <w:bCs/>
                <w:color w:val="auto"/>
                <w:sz w:val="21"/>
                <w:szCs w:val="21"/>
              </w:rPr>
            </w:pPr>
            <w:r>
              <w:rPr>
                <w:rFonts w:hint="eastAsia"/>
                <w:b/>
                <w:bCs/>
                <w:color w:val="auto"/>
                <w:sz w:val="21"/>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654" w:type="pct"/>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 xml:space="preserve">pH（无量纲） </w:t>
            </w:r>
          </w:p>
        </w:tc>
        <w:tc>
          <w:tcPr>
            <w:tcW w:w="1590" w:type="pct"/>
            <w:vAlign w:val="center"/>
          </w:tcPr>
          <w:p>
            <w:pPr>
              <w:widowControl/>
              <w:snapToGrid w:val="0"/>
              <w:spacing w:line="312" w:lineRule="exact"/>
              <w:ind w:firstLine="0" w:firstLineChars="0"/>
              <w:jc w:val="left"/>
              <w:rPr>
                <w:color w:val="auto"/>
                <w:sz w:val="21"/>
                <w:szCs w:val="21"/>
              </w:rPr>
            </w:pPr>
            <w:r>
              <w:rPr>
                <w:color w:val="auto"/>
                <w:sz w:val="21"/>
                <w:szCs w:val="21"/>
              </w:rPr>
              <w:t xml:space="preserve">GB/T 6920-1986  水质 pH值的测定 </w:t>
            </w:r>
            <w:r>
              <w:rPr>
                <w:rFonts w:hint="eastAsia"/>
                <w:color w:val="auto"/>
                <w:sz w:val="21"/>
                <w:szCs w:val="21"/>
              </w:rPr>
              <w:t>玻璃</w:t>
            </w:r>
            <w:r>
              <w:rPr>
                <w:color w:val="auto"/>
                <w:sz w:val="21"/>
                <w:szCs w:val="21"/>
              </w:rPr>
              <w:t>电极法</w:t>
            </w:r>
          </w:p>
        </w:tc>
        <w:tc>
          <w:tcPr>
            <w:tcW w:w="1000" w:type="pct"/>
            <w:vAlign w:val="center"/>
          </w:tcPr>
          <w:p>
            <w:pPr>
              <w:snapToGrid w:val="0"/>
              <w:spacing w:line="312" w:lineRule="exact"/>
              <w:ind w:firstLine="0" w:firstLineChars="0"/>
              <w:jc w:val="center"/>
              <w:rPr>
                <w:color w:val="auto"/>
                <w:sz w:val="21"/>
                <w:szCs w:val="21"/>
              </w:rPr>
            </w:pPr>
            <w:r>
              <w:rPr>
                <w:color w:val="auto"/>
                <w:sz w:val="21"/>
                <w:szCs w:val="21"/>
              </w:rPr>
              <w:t>PHS-3E pH 计</w:t>
            </w:r>
          </w:p>
        </w:tc>
        <w:tc>
          <w:tcPr>
            <w:tcW w:w="826" w:type="pct"/>
            <w:vAlign w:val="center"/>
          </w:tcPr>
          <w:p>
            <w:pPr>
              <w:snapToGrid w:val="0"/>
              <w:spacing w:line="312" w:lineRule="exact"/>
              <w:ind w:firstLine="0" w:firstLineChars="0"/>
              <w:jc w:val="center"/>
              <w:rPr>
                <w:color w:val="auto"/>
                <w:sz w:val="21"/>
                <w:szCs w:val="21"/>
              </w:rPr>
            </w:pPr>
            <w:r>
              <w:rPr>
                <w:color w:val="auto"/>
                <w:sz w:val="21"/>
                <w:szCs w:val="21"/>
              </w:rPr>
              <w:t>HY/FX023</w:t>
            </w:r>
          </w:p>
        </w:tc>
        <w:tc>
          <w:tcPr>
            <w:tcW w:w="609" w:type="pct"/>
            <w:vAlign w:val="center"/>
          </w:tcPr>
          <w:p>
            <w:pPr>
              <w:snapToGrid w:val="0"/>
              <w:spacing w:line="312" w:lineRule="exact"/>
              <w:ind w:firstLine="0" w:firstLineChars="0"/>
              <w:jc w:val="center"/>
              <w:rPr>
                <w:color w:val="auto"/>
                <w:sz w:val="21"/>
                <w:szCs w:val="21"/>
              </w:rPr>
            </w:pPr>
            <w:r>
              <w:rPr>
                <w:rFonts w:eastAsia="华文仿宋"/>
                <w:color w:val="auto"/>
                <w:sz w:val="21"/>
                <w:szCs w:val="21"/>
                <w:lang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654" w:type="pct"/>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溶解氧</w:t>
            </w:r>
          </w:p>
        </w:tc>
        <w:tc>
          <w:tcPr>
            <w:tcW w:w="1590" w:type="pct"/>
            <w:vAlign w:val="center"/>
          </w:tcPr>
          <w:p>
            <w:pPr>
              <w:widowControl/>
              <w:snapToGrid w:val="0"/>
              <w:spacing w:line="312" w:lineRule="exact"/>
              <w:ind w:firstLine="0" w:firstLineChars="0"/>
              <w:jc w:val="left"/>
              <w:rPr>
                <w:color w:val="auto"/>
                <w:sz w:val="21"/>
                <w:szCs w:val="21"/>
              </w:rPr>
            </w:pPr>
            <w:r>
              <w:rPr>
                <w:color w:val="auto"/>
                <w:sz w:val="21"/>
                <w:szCs w:val="21"/>
              </w:rPr>
              <w:t xml:space="preserve">GB/T 7489-1987 水质 溶解氧的测定 </w:t>
            </w:r>
            <w:r>
              <w:rPr>
                <w:rFonts w:hint="eastAsia"/>
                <w:color w:val="auto"/>
                <w:sz w:val="21"/>
                <w:szCs w:val="21"/>
              </w:rPr>
              <w:t>碘量法</w:t>
            </w:r>
          </w:p>
        </w:tc>
        <w:tc>
          <w:tcPr>
            <w:tcW w:w="1000" w:type="pct"/>
            <w:vAlign w:val="center"/>
          </w:tcPr>
          <w:p>
            <w:pPr>
              <w:snapToGrid w:val="0"/>
              <w:spacing w:line="312" w:lineRule="exact"/>
              <w:ind w:firstLine="0" w:firstLineChars="0"/>
              <w:jc w:val="center"/>
              <w:rPr>
                <w:color w:val="auto"/>
                <w:sz w:val="21"/>
                <w:szCs w:val="21"/>
              </w:rPr>
            </w:pPr>
            <w:r>
              <w:rPr>
                <w:color w:val="auto"/>
                <w:sz w:val="21"/>
                <w:szCs w:val="21"/>
              </w:rPr>
              <w:t xml:space="preserve">50ml 酸式滴定管 </w:t>
            </w:r>
          </w:p>
        </w:tc>
        <w:tc>
          <w:tcPr>
            <w:tcW w:w="826" w:type="pct"/>
            <w:vAlign w:val="center"/>
          </w:tcPr>
          <w:p>
            <w:pPr>
              <w:snapToGrid w:val="0"/>
              <w:spacing w:line="312" w:lineRule="exact"/>
              <w:ind w:firstLine="0" w:firstLineChars="0"/>
              <w:jc w:val="center"/>
              <w:rPr>
                <w:color w:val="auto"/>
                <w:sz w:val="21"/>
                <w:szCs w:val="21"/>
              </w:rPr>
            </w:pPr>
            <w:r>
              <w:rPr>
                <w:color w:val="auto"/>
                <w:sz w:val="21"/>
                <w:szCs w:val="21"/>
              </w:rPr>
              <w:t>HY/FF008-7</w:t>
            </w:r>
          </w:p>
        </w:tc>
        <w:tc>
          <w:tcPr>
            <w:tcW w:w="609" w:type="pct"/>
            <w:vAlign w:val="center"/>
          </w:tcPr>
          <w:p>
            <w:pPr>
              <w:snapToGrid w:val="0"/>
              <w:spacing w:line="312" w:lineRule="exact"/>
              <w:ind w:firstLine="0" w:firstLineChars="0"/>
              <w:jc w:val="center"/>
              <w:rPr>
                <w:color w:val="auto"/>
                <w:sz w:val="21"/>
                <w:szCs w:val="21"/>
              </w:rPr>
            </w:pPr>
            <w:r>
              <w:rPr>
                <w:rFonts w:hint="eastAsia" w:eastAsia="华文仿宋"/>
                <w:color w:val="auto"/>
                <w:sz w:val="21"/>
                <w:szCs w:val="21"/>
                <w:lang w:bidi="ar"/>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654" w:type="pct"/>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高锰酸盐指数</w:t>
            </w:r>
          </w:p>
        </w:tc>
        <w:tc>
          <w:tcPr>
            <w:tcW w:w="1590" w:type="pct"/>
            <w:vAlign w:val="center"/>
          </w:tcPr>
          <w:p>
            <w:pPr>
              <w:widowControl/>
              <w:snapToGrid w:val="0"/>
              <w:spacing w:line="312" w:lineRule="exact"/>
              <w:ind w:firstLine="0" w:firstLineChars="0"/>
              <w:jc w:val="left"/>
              <w:rPr>
                <w:color w:val="auto"/>
                <w:sz w:val="21"/>
                <w:szCs w:val="21"/>
              </w:rPr>
            </w:pPr>
            <w:r>
              <w:rPr>
                <w:color w:val="auto"/>
                <w:sz w:val="21"/>
                <w:szCs w:val="21"/>
              </w:rPr>
              <w:t>GB/T 11892-1989 水质 高锰酸盐指数的测定</w:t>
            </w:r>
          </w:p>
        </w:tc>
        <w:tc>
          <w:tcPr>
            <w:tcW w:w="1000" w:type="pct"/>
            <w:vAlign w:val="center"/>
          </w:tcPr>
          <w:p>
            <w:pPr>
              <w:snapToGrid w:val="0"/>
              <w:spacing w:line="312" w:lineRule="exact"/>
              <w:ind w:firstLine="0" w:firstLineChars="0"/>
              <w:jc w:val="center"/>
              <w:rPr>
                <w:color w:val="auto"/>
                <w:sz w:val="21"/>
                <w:szCs w:val="21"/>
              </w:rPr>
            </w:pPr>
            <w:r>
              <w:rPr>
                <w:color w:val="auto"/>
                <w:sz w:val="21"/>
                <w:szCs w:val="21"/>
              </w:rPr>
              <w:t>25ml酸式滴定管</w:t>
            </w:r>
          </w:p>
        </w:tc>
        <w:tc>
          <w:tcPr>
            <w:tcW w:w="826" w:type="pct"/>
            <w:vAlign w:val="center"/>
          </w:tcPr>
          <w:p>
            <w:pPr>
              <w:snapToGrid w:val="0"/>
              <w:spacing w:line="312" w:lineRule="exact"/>
              <w:ind w:firstLine="0" w:firstLineChars="0"/>
              <w:jc w:val="center"/>
              <w:rPr>
                <w:color w:val="auto"/>
                <w:sz w:val="21"/>
                <w:szCs w:val="21"/>
              </w:rPr>
            </w:pPr>
            <w:r>
              <w:rPr>
                <w:color w:val="auto"/>
                <w:sz w:val="21"/>
                <w:szCs w:val="21"/>
              </w:rPr>
              <w:t>HY/FF008-5</w:t>
            </w:r>
          </w:p>
        </w:tc>
        <w:tc>
          <w:tcPr>
            <w:tcW w:w="609" w:type="pct"/>
            <w:vAlign w:val="center"/>
          </w:tcPr>
          <w:p>
            <w:pPr>
              <w:snapToGrid w:val="0"/>
              <w:spacing w:line="312" w:lineRule="exact"/>
              <w:ind w:firstLine="0" w:firstLineChars="0"/>
              <w:jc w:val="center"/>
              <w:rPr>
                <w:color w:val="auto"/>
                <w:sz w:val="21"/>
                <w:szCs w:val="21"/>
              </w:rPr>
            </w:pPr>
            <w:r>
              <w:rPr>
                <w:rFonts w:eastAsia="华文仿宋"/>
                <w:color w:val="auto"/>
                <w:sz w:val="21"/>
                <w:szCs w:val="21"/>
                <w:lang w:bidi="ar"/>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654" w:type="pct"/>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COD</w:t>
            </w:r>
          </w:p>
        </w:tc>
        <w:tc>
          <w:tcPr>
            <w:tcW w:w="1590" w:type="pct"/>
            <w:vAlign w:val="center"/>
          </w:tcPr>
          <w:p>
            <w:pPr>
              <w:widowControl/>
              <w:snapToGrid w:val="0"/>
              <w:spacing w:line="312" w:lineRule="exact"/>
              <w:ind w:firstLine="0" w:firstLineChars="0"/>
              <w:jc w:val="left"/>
              <w:rPr>
                <w:color w:val="auto"/>
                <w:sz w:val="21"/>
                <w:szCs w:val="21"/>
              </w:rPr>
            </w:pPr>
            <w:r>
              <w:rPr>
                <w:color w:val="auto"/>
                <w:sz w:val="21"/>
                <w:szCs w:val="21"/>
              </w:rPr>
              <w:t>HJ 828-2017 水质 化学需氧量的测定 重铬酸盐法</w:t>
            </w:r>
          </w:p>
        </w:tc>
        <w:tc>
          <w:tcPr>
            <w:tcW w:w="1000" w:type="pct"/>
            <w:vAlign w:val="center"/>
          </w:tcPr>
          <w:p>
            <w:pPr>
              <w:snapToGrid w:val="0"/>
              <w:spacing w:line="312" w:lineRule="exact"/>
              <w:ind w:firstLine="0" w:firstLineChars="0"/>
              <w:jc w:val="center"/>
              <w:rPr>
                <w:color w:val="auto"/>
                <w:sz w:val="21"/>
                <w:szCs w:val="21"/>
              </w:rPr>
            </w:pPr>
            <w:r>
              <w:rPr>
                <w:color w:val="auto"/>
                <w:sz w:val="21"/>
                <w:szCs w:val="21"/>
              </w:rPr>
              <w:t>50ml酸式滴定管</w:t>
            </w:r>
          </w:p>
        </w:tc>
        <w:tc>
          <w:tcPr>
            <w:tcW w:w="826" w:type="pct"/>
            <w:vAlign w:val="center"/>
          </w:tcPr>
          <w:p>
            <w:pPr>
              <w:snapToGrid w:val="0"/>
              <w:spacing w:line="312" w:lineRule="exact"/>
              <w:ind w:firstLine="0" w:firstLineChars="0"/>
              <w:jc w:val="center"/>
              <w:rPr>
                <w:color w:val="auto"/>
                <w:sz w:val="21"/>
                <w:szCs w:val="21"/>
              </w:rPr>
            </w:pPr>
            <w:r>
              <w:rPr>
                <w:color w:val="auto"/>
                <w:sz w:val="21"/>
                <w:szCs w:val="21"/>
              </w:rPr>
              <w:t xml:space="preserve">HY/FF008-10 </w:t>
            </w:r>
          </w:p>
        </w:tc>
        <w:tc>
          <w:tcPr>
            <w:tcW w:w="609" w:type="pct"/>
            <w:vAlign w:val="center"/>
          </w:tcPr>
          <w:p>
            <w:pPr>
              <w:snapToGrid w:val="0"/>
              <w:spacing w:line="312" w:lineRule="exact"/>
              <w:ind w:firstLine="0" w:firstLineChars="0"/>
              <w:jc w:val="center"/>
              <w:rPr>
                <w:color w:val="auto"/>
                <w:sz w:val="21"/>
                <w:szCs w:val="21"/>
              </w:rPr>
            </w:pPr>
            <w:r>
              <w:rPr>
                <w:rFonts w:eastAsia="华文仿宋"/>
                <w:color w:val="auto"/>
                <w:sz w:val="21"/>
                <w:szCs w:val="21"/>
                <w:lang w:bidi="ar"/>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654" w:type="pct"/>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BOD</w:t>
            </w:r>
            <w:r>
              <w:rPr>
                <w:color w:val="auto"/>
                <w:kern w:val="0"/>
                <w:sz w:val="21"/>
                <w:szCs w:val="21"/>
                <w:vertAlign w:val="subscript"/>
              </w:rPr>
              <w:t>5</w:t>
            </w:r>
          </w:p>
        </w:tc>
        <w:tc>
          <w:tcPr>
            <w:tcW w:w="1590" w:type="pct"/>
            <w:vAlign w:val="center"/>
          </w:tcPr>
          <w:p>
            <w:pPr>
              <w:widowControl/>
              <w:snapToGrid w:val="0"/>
              <w:spacing w:line="312" w:lineRule="exact"/>
              <w:ind w:firstLine="0" w:firstLineChars="0"/>
              <w:jc w:val="left"/>
              <w:rPr>
                <w:color w:val="auto"/>
                <w:sz w:val="21"/>
                <w:szCs w:val="21"/>
              </w:rPr>
            </w:pPr>
            <w:r>
              <w:rPr>
                <w:color w:val="auto"/>
                <w:sz w:val="21"/>
                <w:szCs w:val="21"/>
              </w:rPr>
              <w:t>HJ 505-2009 水质 五日生化需氧量（BOD</w:t>
            </w:r>
            <w:r>
              <w:rPr>
                <w:color w:val="auto"/>
                <w:sz w:val="21"/>
                <w:szCs w:val="21"/>
                <w:vertAlign w:val="subscript"/>
              </w:rPr>
              <w:t>5</w:t>
            </w:r>
            <w:r>
              <w:rPr>
                <w:color w:val="auto"/>
                <w:sz w:val="21"/>
                <w:szCs w:val="21"/>
              </w:rPr>
              <w:t>）的测定 稀释与接种法</w:t>
            </w:r>
          </w:p>
        </w:tc>
        <w:tc>
          <w:tcPr>
            <w:tcW w:w="1000" w:type="pct"/>
            <w:vAlign w:val="center"/>
          </w:tcPr>
          <w:p>
            <w:pPr>
              <w:snapToGrid w:val="0"/>
              <w:spacing w:line="312" w:lineRule="exact"/>
              <w:ind w:firstLine="0" w:firstLineChars="0"/>
              <w:jc w:val="center"/>
              <w:rPr>
                <w:color w:val="auto"/>
                <w:sz w:val="21"/>
                <w:szCs w:val="21"/>
              </w:rPr>
            </w:pPr>
            <w:r>
              <w:rPr>
                <w:color w:val="auto"/>
                <w:sz w:val="21"/>
                <w:szCs w:val="21"/>
              </w:rPr>
              <w:t>SPX-150B-Z 生化培养箱</w:t>
            </w:r>
          </w:p>
        </w:tc>
        <w:tc>
          <w:tcPr>
            <w:tcW w:w="826" w:type="pct"/>
            <w:vAlign w:val="center"/>
          </w:tcPr>
          <w:p>
            <w:pPr>
              <w:snapToGrid w:val="0"/>
              <w:spacing w:line="312" w:lineRule="exact"/>
              <w:ind w:firstLine="0" w:firstLineChars="0"/>
              <w:jc w:val="center"/>
              <w:rPr>
                <w:color w:val="auto"/>
                <w:sz w:val="21"/>
                <w:szCs w:val="21"/>
              </w:rPr>
            </w:pPr>
            <w:r>
              <w:rPr>
                <w:color w:val="auto"/>
                <w:sz w:val="21"/>
                <w:szCs w:val="21"/>
              </w:rPr>
              <w:t xml:space="preserve">HY/FX019 </w:t>
            </w:r>
          </w:p>
        </w:tc>
        <w:tc>
          <w:tcPr>
            <w:tcW w:w="609" w:type="pct"/>
            <w:vAlign w:val="center"/>
          </w:tcPr>
          <w:p>
            <w:pPr>
              <w:snapToGrid w:val="0"/>
              <w:spacing w:line="312" w:lineRule="exact"/>
              <w:ind w:firstLine="0" w:firstLineChars="0"/>
              <w:jc w:val="center"/>
              <w:rPr>
                <w:color w:val="auto"/>
                <w:sz w:val="21"/>
                <w:szCs w:val="21"/>
              </w:rPr>
            </w:pPr>
            <w:r>
              <w:rPr>
                <w:rFonts w:hint="eastAsia" w:eastAsia="华文仿宋"/>
                <w:color w:val="auto"/>
                <w:sz w:val="21"/>
                <w:szCs w:val="21"/>
                <w:lang w:bidi="ar"/>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654" w:type="pct"/>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氨氮</w:t>
            </w:r>
          </w:p>
        </w:tc>
        <w:tc>
          <w:tcPr>
            <w:tcW w:w="1590" w:type="pct"/>
            <w:vAlign w:val="center"/>
          </w:tcPr>
          <w:p>
            <w:pPr>
              <w:widowControl/>
              <w:snapToGrid w:val="0"/>
              <w:spacing w:line="312" w:lineRule="exact"/>
              <w:ind w:firstLine="0" w:firstLineChars="0"/>
              <w:jc w:val="left"/>
              <w:rPr>
                <w:color w:val="auto"/>
                <w:sz w:val="21"/>
                <w:szCs w:val="21"/>
              </w:rPr>
            </w:pPr>
            <w:r>
              <w:rPr>
                <w:color w:val="auto"/>
                <w:sz w:val="21"/>
                <w:szCs w:val="21"/>
              </w:rPr>
              <w:t>HJ 535-2009 水质 氨氮的测定 纳氏试剂分光光度法</w:t>
            </w:r>
          </w:p>
        </w:tc>
        <w:tc>
          <w:tcPr>
            <w:tcW w:w="1000" w:type="pct"/>
            <w:vAlign w:val="center"/>
          </w:tcPr>
          <w:p>
            <w:pPr>
              <w:snapToGrid w:val="0"/>
              <w:spacing w:line="312" w:lineRule="exact"/>
              <w:ind w:firstLine="0" w:firstLineChars="0"/>
              <w:jc w:val="center"/>
              <w:rPr>
                <w:color w:val="auto"/>
                <w:sz w:val="21"/>
                <w:szCs w:val="21"/>
              </w:rPr>
            </w:pPr>
            <w:r>
              <w:rPr>
                <w:color w:val="auto"/>
                <w:sz w:val="21"/>
                <w:szCs w:val="21"/>
              </w:rPr>
              <w:t>722N 可见分光光度计</w:t>
            </w:r>
          </w:p>
        </w:tc>
        <w:tc>
          <w:tcPr>
            <w:tcW w:w="826" w:type="pct"/>
            <w:vAlign w:val="center"/>
          </w:tcPr>
          <w:p>
            <w:pPr>
              <w:snapToGrid w:val="0"/>
              <w:spacing w:line="312" w:lineRule="exact"/>
              <w:ind w:firstLine="0" w:firstLineChars="0"/>
              <w:jc w:val="center"/>
              <w:rPr>
                <w:color w:val="auto"/>
                <w:sz w:val="21"/>
                <w:szCs w:val="21"/>
              </w:rPr>
            </w:pPr>
            <w:r>
              <w:rPr>
                <w:color w:val="auto"/>
                <w:sz w:val="21"/>
                <w:szCs w:val="21"/>
              </w:rPr>
              <w:t>HY/FX029</w:t>
            </w:r>
          </w:p>
        </w:tc>
        <w:tc>
          <w:tcPr>
            <w:tcW w:w="609" w:type="pct"/>
            <w:vAlign w:val="center"/>
          </w:tcPr>
          <w:p>
            <w:pPr>
              <w:snapToGrid w:val="0"/>
              <w:spacing w:line="312" w:lineRule="exact"/>
              <w:ind w:firstLine="0" w:firstLineChars="0"/>
              <w:jc w:val="center"/>
              <w:rPr>
                <w:color w:val="auto"/>
                <w:sz w:val="21"/>
                <w:szCs w:val="21"/>
              </w:rPr>
            </w:pPr>
            <w:r>
              <w:rPr>
                <w:rFonts w:eastAsia="华文仿宋"/>
                <w:color w:val="auto"/>
                <w:sz w:val="21"/>
                <w:szCs w:val="21"/>
                <w:lang w:bidi="ar"/>
              </w:rPr>
              <w:t>0.0</w:t>
            </w:r>
            <w:r>
              <w:rPr>
                <w:rFonts w:hint="eastAsia" w:eastAsia="华文仿宋"/>
                <w:color w:val="auto"/>
                <w:sz w:val="21"/>
                <w:szCs w:val="21"/>
                <w:lang w:bidi="ar"/>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654" w:type="pct"/>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总磷</w:t>
            </w:r>
          </w:p>
        </w:tc>
        <w:tc>
          <w:tcPr>
            <w:tcW w:w="1590" w:type="pct"/>
            <w:vAlign w:val="center"/>
          </w:tcPr>
          <w:p>
            <w:pPr>
              <w:widowControl/>
              <w:snapToGrid w:val="0"/>
              <w:spacing w:line="312" w:lineRule="exact"/>
              <w:ind w:firstLine="0" w:firstLineChars="0"/>
              <w:jc w:val="left"/>
              <w:rPr>
                <w:color w:val="auto"/>
                <w:sz w:val="21"/>
                <w:szCs w:val="21"/>
              </w:rPr>
            </w:pPr>
            <w:r>
              <w:rPr>
                <w:color w:val="auto"/>
                <w:sz w:val="21"/>
                <w:szCs w:val="21"/>
              </w:rPr>
              <w:t>GB/T 11893-1989 水质 总磷的测定 钼酸铵分光光度法</w:t>
            </w:r>
          </w:p>
        </w:tc>
        <w:tc>
          <w:tcPr>
            <w:tcW w:w="1000" w:type="pct"/>
            <w:vAlign w:val="center"/>
          </w:tcPr>
          <w:p>
            <w:pPr>
              <w:snapToGrid w:val="0"/>
              <w:spacing w:line="312" w:lineRule="exact"/>
              <w:ind w:firstLine="0" w:firstLineChars="0"/>
              <w:jc w:val="center"/>
              <w:rPr>
                <w:color w:val="auto"/>
                <w:sz w:val="21"/>
                <w:szCs w:val="21"/>
              </w:rPr>
            </w:pPr>
            <w:r>
              <w:rPr>
                <w:color w:val="auto"/>
                <w:sz w:val="21"/>
                <w:szCs w:val="21"/>
              </w:rPr>
              <w:t>722N 可见分光光度计</w:t>
            </w:r>
          </w:p>
        </w:tc>
        <w:tc>
          <w:tcPr>
            <w:tcW w:w="826" w:type="pct"/>
            <w:vAlign w:val="center"/>
          </w:tcPr>
          <w:p>
            <w:pPr>
              <w:snapToGrid w:val="0"/>
              <w:spacing w:line="312" w:lineRule="exact"/>
              <w:ind w:firstLine="0" w:firstLineChars="0"/>
              <w:jc w:val="center"/>
              <w:rPr>
                <w:color w:val="auto"/>
                <w:sz w:val="21"/>
                <w:szCs w:val="21"/>
              </w:rPr>
            </w:pPr>
            <w:r>
              <w:rPr>
                <w:color w:val="auto"/>
                <w:sz w:val="21"/>
                <w:szCs w:val="21"/>
              </w:rPr>
              <w:t xml:space="preserve">HY/FX029 </w:t>
            </w:r>
          </w:p>
        </w:tc>
        <w:tc>
          <w:tcPr>
            <w:tcW w:w="609" w:type="pct"/>
            <w:vAlign w:val="center"/>
          </w:tcPr>
          <w:p>
            <w:pPr>
              <w:snapToGrid w:val="0"/>
              <w:spacing w:line="312" w:lineRule="exact"/>
              <w:ind w:firstLine="0" w:firstLineChars="0"/>
              <w:jc w:val="center"/>
              <w:rPr>
                <w:color w:val="auto"/>
                <w:sz w:val="21"/>
                <w:szCs w:val="21"/>
              </w:rPr>
            </w:pPr>
            <w:r>
              <w:rPr>
                <w:rFonts w:eastAsia="华文仿宋"/>
                <w:color w:val="auto"/>
                <w:sz w:val="21"/>
                <w:szCs w:val="21"/>
                <w:lang w:bidi="ar"/>
              </w:rPr>
              <w:t>0.0</w:t>
            </w:r>
            <w:r>
              <w:rPr>
                <w:rFonts w:hint="eastAsia" w:eastAsia="华文仿宋"/>
                <w:color w:val="auto"/>
                <w:sz w:val="21"/>
                <w:szCs w:val="21"/>
                <w:lang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654" w:type="pct"/>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总氮</w:t>
            </w:r>
          </w:p>
        </w:tc>
        <w:tc>
          <w:tcPr>
            <w:tcW w:w="1590" w:type="pct"/>
            <w:vAlign w:val="center"/>
          </w:tcPr>
          <w:p>
            <w:pPr>
              <w:widowControl/>
              <w:snapToGrid w:val="0"/>
              <w:spacing w:line="312" w:lineRule="exact"/>
              <w:ind w:firstLine="0" w:firstLineChars="0"/>
              <w:jc w:val="left"/>
              <w:rPr>
                <w:color w:val="auto"/>
                <w:sz w:val="21"/>
                <w:szCs w:val="21"/>
              </w:rPr>
            </w:pPr>
            <w:r>
              <w:rPr>
                <w:color w:val="auto"/>
                <w:sz w:val="21"/>
                <w:szCs w:val="21"/>
              </w:rPr>
              <w:t>HJ 636-2012 水质 总氮的测定 碱性过硫酸钾消解紫外分光光度法</w:t>
            </w:r>
          </w:p>
        </w:tc>
        <w:tc>
          <w:tcPr>
            <w:tcW w:w="1000" w:type="pct"/>
            <w:vAlign w:val="center"/>
          </w:tcPr>
          <w:p>
            <w:pPr>
              <w:snapToGrid w:val="0"/>
              <w:spacing w:line="312" w:lineRule="exact"/>
              <w:ind w:firstLine="0" w:firstLineChars="0"/>
              <w:jc w:val="center"/>
              <w:rPr>
                <w:color w:val="auto"/>
                <w:sz w:val="21"/>
                <w:szCs w:val="21"/>
              </w:rPr>
            </w:pPr>
            <w:r>
              <w:rPr>
                <w:color w:val="auto"/>
                <w:sz w:val="21"/>
                <w:szCs w:val="21"/>
              </w:rPr>
              <w:t xml:space="preserve">TU-1901 紫外可见分光光度计 </w:t>
            </w:r>
          </w:p>
        </w:tc>
        <w:tc>
          <w:tcPr>
            <w:tcW w:w="826" w:type="pct"/>
            <w:vAlign w:val="center"/>
          </w:tcPr>
          <w:p>
            <w:pPr>
              <w:snapToGrid w:val="0"/>
              <w:spacing w:line="312" w:lineRule="exact"/>
              <w:ind w:firstLine="0" w:firstLineChars="0"/>
              <w:jc w:val="center"/>
              <w:rPr>
                <w:color w:val="auto"/>
                <w:sz w:val="21"/>
                <w:szCs w:val="21"/>
              </w:rPr>
            </w:pPr>
            <w:r>
              <w:rPr>
                <w:color w:val="auto"/>
                <w:sz w:val="21"/>
                <w:szCs w:val="21"/>
              </w:rPr>
              <w:t xml:space="preserve">HY/FX007 </w:t>
            </w:r>
          </w:p>
        </w:tc>
        <w:tc>
          <w:tcPr>
            <w:tcW w:w="609" w:type="pct"/>
            <w:vAlign w:val="center"/>
          </w:tcPr>
          <w:p>
            <w:pPr>
              <w:snapToGrid w:val="0"/>
              <w:spacing w:line="312" w:lineRule="exact"/>
              <w:ind w:firstLine="0" w:firstLineChars="0"/>
              <w:jc w:val="center"/>
              <w:rPr>
                <w:color w:val="auto"/>
                <w:sz w:val="21"/>
                <w:szCs w:val="21"/>
              </w:rPr>
            </w:pPr>
            <w:r>
              <w:rPr>
                <w:rFonts w:eastAsia="华文仿宋"/>
                <w:color w:val="auto"/>
                <w:sz w:val="21"/>
                <w:szCs w:val="21"/>
                <w:lang w:bidi="ar"/>
              </w:rPr>
              <w:t>0.0</w:t>
            </w:r>
            <w:r>
              <w:rPr>
                <w:rFonts w:hint="eastAsia" w:eastAsia="华文仿宋"/>
                <w:color w:val="auto"/>
                <w:sz w:val="21"/>
                <w:szCs w:val="21"/>
                <w:lang w:bidi="ar"/>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654" w:type="pct"/>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铜</w:t>
            </w:r>
          </w:p>
        </w:tc>
        <w:tc>
          <w:tcPr>
            <w:tcW w:w="1590" w:type="pct"/>
            <w:vAlign w:val="center"/>
          </w:tcPr>
          <w:p>
            <w:pPr>
              <w:widowControl/>
              <w:snapToGrid w:val="0"/>
              <w:spacing w:line="312" w:lineRule="exact"/>
              <w:ind w:firstLine="0" w:firstLineChars="0"/>
              <w:jc w:val="left"/>
              <w:rPr>
                <w:color w:val="auto"/>
                <w:sz w:val="21"/>
                <w:szCs w:val="21"/>
              </w:rPr>
            </w:pPr>
            <w:r>
              <w:rPr>
                <w:color w:val="auto"/>
                <w:sz w:val="21"/>
                <w:szCs w:val="21"/>
              </w:rPr>
              <w:t xml:space="preserve">GB/T 7475-1987  水质 </w:t>
            </w:r>
            <w:r>
              <w:rPr>
                <w:rFonts w:hint="eastAsia"/>
                <w:color w:val="auto"/>
                <w:sz w:val="21"/>
                <w:szCs w:val="21"/>
              </w:rPr>
              <w:t>铜、锌、铅、镉的测定 院子吸收分光光度法</w:t>
            </w:r>
          </w:p>
        </w:tc>
        <w:tc>
          <w:tcPr>
            <w:tcW w:w="1000" w:type="pct"/>
            <w:vAlign w:val="center"/>
          </w:tcPr>
          <w:p>
            <w:pPr>
              <w:snapToGrid w:val="0"/>
              <w:spacing w:line="312" w:lineRule="exact"/>
              <w:ind w:firstLine="0" w:firstLineChars="0"/>
              <w:jc w:val="center"/>
              <w:rPr>
                <w:color w:val="auto"/>
                <w:sz w:val="21"/>
                <w:szCs w:val="21"/>
              </w:rPr>
            </w:pPr>
            <w:r>
              <w:rPr>
                <w:color w:val="auto"/>
                <w:sz w:val="21"/>
                <w:szCs w:val="21"/>
              </w:rPr>
              <w:t>A3 AFG-12 原子吸收分光光度计</w:t>
            </w:r>
          </w:p>
        </w:tc>
        <w:tc>
          <w:tcPr>
            <w:tcW w:w="826" w:type="pct"/>
            <w:vAlign w:val="center"/>
          </w:tcPr>
          <w:p>
            <w:pPr>
              <w:snapToGrid w:val="0"/>
              <w:spacing w:line="312" w:lineRule="exact"/>
              <w:ind w:firstLine="0" w:firstLineChars="0"/>
              <w:jc w:val="center"/>
              <w:rPr>
                <w:color w:val="auto"/>
                <w:sz w:val="21"/>
                <w:szCs w:val="21"/>
              </w:rPr>
            </w:pPr>
            <w:r>
              <w:rPr>
                <w:color w:val="auto"/>
                <w:sz w:val="21"/>
                <w:szCs w:val="21"/>
              </w:rPr>
              <w:t>HY/FX006</w:t>
            </w:r>
          </w:p>
        </w:tc>
        <w:tc>
          <w:tcPr>
            <w:tcW w:w="609" w:type="pct"/>
            <w:vAlign w:val="center"/>
          </w:tcPr>
          <w:p>
            <w:pPr>
              <w:snapToGrid w:val="0"/>
              <w:spacing w:line="312" w:lineRule="exact"/>
              <w:ind w:firstLine="0" w:firstLineChars="0"/>
              <w:jc w:val="center"/>
              <w:rPr>
                <w:color w:val="auto"/>
                <w:sz w:val="21"/>
                <w:szCs w:val="21"/>
              </w:rPr>
            </w:pPr>
            <w:r>
              <w:rPr>
                <w:rFonts w:hint="eastAsia" w:eastAsia="华文仿宋"/>
                <w:color w:val="auto"/>
                <w:sz w:val="21"/>
                <w:szCs w:val="21"/>
                <w:lang w:bidi="ar"/>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654" w:type="pct"/>
            <w:vAlign w:val="center"/>
          </w:tcPr>
          <w:p>
            <w:pPr>
              <w:widowControl/>
              <w:snapToGrid w:val="0"/>
              <w:spacing w:line="312" w:lineRule="exact"/>
              <w:ind w:firstLine="0" w:firstLineChars="0"/>
              <w:jc w:val="center"/>
              <w:rPr>
                <w:color w:val="auto"/>
                <w:kern w:val="0"/>
                <w:sz w:val="21"/>
                <w:szCs w:val="21"/>
              </w:rPr>
            </w:pPr>
            <w:r>
              <w:rPr>
                <w:rFonts w:hint="eastAsia"/>
                <w:color w:val="auto"/>
                <w:kern w:val="0"/>
                <w:sz w:val="21"/>
                <w:szCs w:val="21"/>
              </w:rPr>
              <w:t>镍</w:t>
            </w:r>
          </w:p>
        </w:tc>
        <w:tc>
          <w:tcPr>
            <w:tcW w:w="1590" w:type="pct"/>
            <w:vAlign w:val="center"/>
          </w:tcPr>
          <w:p>
            <w:pPr>
              <w:snapToGrid w:val="0"/>
              <w:spacing w:line="312" w:lineRule="exact"/>
              <w:ind w:firstLine="0" w:firstLineChars="0"/>
              <w:jc w:val="left"/>
              <w:rPr>
                <w:color w:val="auto"/>
                <w:sz w:val="21"/>
                <w:szCs w:val="21"/>
              </w:rPr>
            </w:pPr>
            <w:r>
              <w:rPr>
                <w:color w:val="auto"/>
                <w:sz w:val="21"/>
                <w:szCs w:val="21"/>
              </w:rPr>
              <w:t>GB/T11912-1989</w:t>
            </w:r>
            <w:r>
              <w:rPr>
                <w:rFonts w:hint="eastAsia"/>
                <w:color w:val="auto"/>
                <w:sz w:val="21"/>
                <w:szCs w:val="21"/>
              </w:rPr>
              <w:t xml:space="preserve"> 水质 镍的测定 火焰原子吸收分光光度法</w:t>
            </w:r>
          </w:p>
        </w:tc>
        <w:tc>
          <w:tcPr>
            <w:tcW w:w="1000" w:type="pct"/>
            <w:vAlign w:val="center"/>
          </w:tcPr>
          <w:p>
            <w:pPr>
              <w:snapToGrid w:val="0"/>
              <w:spacing w:line="312" w:lineRule="exact"/>
              <w:ind w:firstLine="0" w:firstLineChars="0"/>
              <w:jc w:val="center"/>
              <w:rPr>
                <w:color w:val="auto"/>
                <w:sz w:val="21"/>
                <w:szCs w:val="21"/>
              </w:rPr>
            </w:pPr>
            <w:r>
              <w:rPr>
                <w:color w:val="auto"/>
                <w:sz w:val="21"/>
                <w:szCs w:val="21"/>
              </w:rPr>
              <w:t>A3 AFG-12 原子吸收分光光度计</w:t>
            </w:r>
          </w:p>
        </w:tc>
        <w:tc>
          <w:tcPr>
            <w:tcW w:w="826" w:type="pct"/>
            <w:vAlign w:val="center"/>
          </w:tcPr>
          <w:p>
            <w:pPr>
              <w:snapToGrid w:val="0"/>
              <w:spacing w:line="312" w:lineRule="exact"/>
              <w:ind w:firstLine="0" w:firstLineChars="0"/>
              <w:jc w:val="center"/>
              <w:rPr>
                <w:color w:val="auto"/>
                <w:sz w:val="21"/>
                <w:szCs w:val="21"/>
              </w:rPr>
            </w:pPr>
            <w:r>
              <w:rPr>
                <w:color w:val="auto"/>
                <w:sz w:val="21"/>
                <w:szCs w:val="21"/>
              </w:rPr>
              <w:t>HY/FX006</w:t>
            </w:r>
          </w:p>
        </w:tc>
        <w:tc>
          <w:tcPr>
            <w:tcW w:w="609" w:type="pct"/>
            <w:vAlign w:val="center"/>
          </w:tcPr>
          <w:p>
            <w:pPr>
              <w:snapToGrid w:val="0"/>
              <w:spacing w:line="312" w:lineRule="exact"/>
              <w:ind w:firstLine="0" w:firstLineChars="0"/>
              <w:jc w:val="center"/>
              <w:rPr>
                <w:color w:val="auto"/>
                <w:sz w:val="21"/>
                <w:szCs w:val="21"/>
              </w:rPr>
            </w:pPr>
            <w:r>
              <w:rPr>
                <w:rFonts w:hint="eastAsia"/>
                <w:color w:val="auto"/>
                <w:sz w:val="21"/>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654" w:type="pct"/>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氟化物</w:t>
            </w:r>
          </w:p>
        </w:tc>
        <w:tc>
          <w:tcPr>
            <w:tcW w:w="1590" w:type="pct"/>
            <w:vAlign w:val="center"/>
          </w:tcPr>
          <w:p>
            <w:pPr>
              <w:widowControl/>
              <w:snapToGrid w:val="0"/>
              <w:spacing w:line="312" w:lineRule="exact"/>
              <w:ind w:firstLine="0" w:firstLineChars="0"/>
              <w:jc w:val="left"/>
              <w:rPr>
                <w:color w:val="auto"/>
                <w:sz w:val="21"/>
                <w:szCs w:val="21"/>
              </w:rPr>
            </w:pPr>
            <w:r>
              <w:rPr>
                <w:color w:val="auto"/>
                <w:sz w:val="21"/>
                <w:szCs w:val="21"/>
              </w:rPr>
              <w:t>GB/T 7484-1987 水质 氟化物的测定 离子选择电极法</w:t>
            </w:r>
          </w:p>
        </w:tc>
        <w:tc>
          <w:tcPr>
            <w:tcW w:w="1000" w:type="pct"/>
            <w:vAlign w:val="center"/>
          </w:tcPr>
          <w:p>
            <w:pPr>
              <w:snapToGrid w:val="0"/>
              <w:spacing w:line="312" w:lineRule="exact"/>
              <w:ind w:firstLine="0" w:firstLineChars="0"/>
              <w:jc w:val="center"/>
              <w:rPr>
                <w:color w:val="auto"/>
                <w:sz w:val="21"/>
                <w:szCs w:val="21"/>
              </w:rPr>
            </w:pPr>
            <w:r>
              <w:rPr>
                <w:color w:val="auto"/>
                <w:sz w:val="21"/>
                <w:szCs w:val="21"/>
              </w:rPr>
              <w:t>PXSJ-216 离子计</w:t>
            </w:r>
          </w:p>
        </w:tc>
        <w:tc>
          <w:tcPr>
            <w:tcW w:w="826" w:type="pct"/>
            <w:vAlign w:val="center"/>
          </w:tcPr>
          <w:p>
            <w:pPr>
              <w:snapToGrid w:val="0"/>
              <w:spacing w:line="312" w:lineRule="exact"/>
              <w:ind w:firstLine="0" w:firstLineChars="0"/>
              <w:jc w:val="center"/>
              <w:rPr>
                <w:color w:val="auto"/>
                <w:sz w:val="21"/>
                <w:szCs w:val="21"/>
              </w:rPr>
            </w:pPr>
            <w:r>
              <w:rPr>
                <w:color w:val="auto"/>
                <w:sz w:val="21"/>
                <w:szCs w:val="21"/>
              </w:rPr>
              <w:t>HY/FX068</w:t>
            </w:r>
          </w:p>
        </w:tc>
        <w:tc>
          <w:tcPr>
            <w:tcW w:w="609" w:type="pct"/>
            <w:vAlign w:val="center"/>
          </w:tcPr>
          <w:p>
            <w:pPr>
              <w:snapToGrid w:val="0"/>
              <w:spacing w:line="312" w:lineRule="exact"/>
              <w:ind w:firstLine="0" w:firstLineChars="0"/>
              <w:jc w:val="center"/>
              <w:rPr>
                <w:color w:val="auto"/>
                <w:sz w:val="21"/>
                <w:szCs w:val="21"/>
              </w:rPr>
            </w:pPr>
            <w:r>
              <w:rPr>
                <w:rFonts w:eastAsia="华文仿宋"/>
                <w:color w:val="auto"/>
                <w:sz w:val="21"/>
                <w:szCs w:val="21"/>
                <w:lang w:bidi="ar"/>
              </w:rPr>
              <w:t>0.0</w:t>
            </w:r>
            <w:r>
              <w:rPr>
                <w:rFonts w:hint="eastAsia" w:eastAsia="华文仿宋"/>
                <w:color w:val="auto"/>
                <w:sz w:val="21"/>
                <w:szCs w:val="21"/>
                <w:lang w:bidi="ar"/>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654" w:type="pct"/>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铬（六价）</w:t>
            </w:r>
          </w:p>
        </w:tc>
        <w:tc>
          <w:tcPr>
            <w:tcW w:w="1590" w:type="pct"/>
            <w:vAlign w:val="center"/>
          </w:tcPr>
          <w:p>
            <w:pPr>
              <w:widowControl/>
              <w:snapToGrid w:val="0"/>
              <w:spacing w:line="312" w:lineRule="exact"/>
              <w:ind w:firstLine="0" w:firstLineChars="0"/>
              <w:jc w:val="left"/>
              <w:rPr>
                <w:color w:val="auto"/>
                <w:sz w:val="21"/>
                <w:szCs w:val="21"/>
              </w:rPr>
            </w:pPr>
            <w:r>
              <w:rPr>
                <w:color w:val="auto"/>
                <w:sz w:val="21"/>
                <w:szCs w:val="21"/>
              </w:rPr>
              <w:t>GB/T 7467-1987 水质 六价铬的测定 二苯碳酰二肼分光光度法</w:t>
            </w:r>
          </w:p>
        </w:tc>
        <w:tc>
          <w:tcPr>
            <w:tcW w:w="1000" w:type="pct"/>
            <w:vAlign w:val="center"/>
          </w:tcPr>
          <w:p>
            <w:pPr>
              <w:snapToGrid w:val="0"/>
              <w:spacing w:line="312" w:lineRule="exact"/>
              <w:ind w:firstLine="0" w:firstLineChars="0"/>
              <w:jc w:val="center"/>
              <w:rPr>
                <w:color w:val="auto"/>
                <w:sz w:val="21"/>
                <w:szCs w:val="21"/>
              </w:rPr>
            </w:pPr>
            <w:r>
              <w:rPr>
                <w:color w:val="auto"/>
                <w:sz w:val="21"/>
                <w:szCs w:val="21"/>
              </w:rPr>
              <w:t>722N 可见分光光度计</w:t>
            </w:r>
          </w:p>
        </w:tc>
        <w:tc>
          <w:tcPr>
            <w:tcW w:w="826" w:type="pct"/>
            <w:vAlign w:val="center"/>
          </w:tcPr>
          <w:p>
            <w:pPr>
              <w:snapToGrid w:val="0"/>
              <w:spacing w:line="312" w:lineRule="exact"/>
              <w:ind w:firstLine="0" w:firstLineChars="0"/>
              <w:jc w:val="center"/>
              <w:rPr>
                <w:color w:val="auto"/>
                <w:sz w:val="21"/>
                <w:szCs w:val="21"/>
              </w:rPr>
            </w:pPr>
            <w:r>
              <w:rPr>
                <w:color w:val="auto"/>
                <w:sz w:val="21"/>
                <w:szCs w:val="21"/>
              </w:rPr>
              <w:t>HY/FX029</w:t>
            </w:r>
          </w:p>
        </w:tc>
        <w:tc>
          <w:tcPr>
            <w:tcW w:w="609" w:type="pct"/>
            <w:vAlign w:val="center"/>
          </w:tcPr>
          <w:p>
            <w:pPr>
              <w:snapToGrid w:val="0"/>
              <w:spacing w:line="312" w:lineRule="exact"/>
              <w:ind w:firstLine="0" w:firstLineChars="0"/>
              <w:jc w:val="center"/>
              <w:rPr>
                <w:color w:val="auto"/>
                <w:sz w:val="21"/>
                <w:szCs w:val="21"/>
              </w:rPr>
            </w:pPr>
            <w:r>
              <w:rPr>
                <w:rFonts w:eastAsia="华文仿宋"/>
                <w:color w:val="auto"/>
                <w:sz w:val="21"/>
                <w:szCs w:val="21"/>
                <w:lang w:bidi="ar"/>
              </w:rPr>
              <w:t>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654" w:type="pct"/>
            <w:vAlign w:val="center"/>
          </w:tcPr>
          <w:p>
            <w:pPr>
              <w:widowControl/>
              <w:snapToGrid w:val="0"/>
              <w:spacing w:line="312" w:lineRule="exact"/>
              <w:ind w:firstLine="0" w:firstLineChars="0"/>
              <w:jc w:val="center"/>
              <w:rPr>
                <w:color w:val="auto"/>
                <w:kern w:val="0"/>
                <w:sz w:val="21"/>
                <w:szCs w:val="21"/>
              </w:rPr>
            </w:pPr>
            <w:r>
              <w:rPr>
                <w:rFonts w:hint="eastAsia"/>
                <w:color w:val="auto"/>
                <w:kern w:val="0"/>
                <w:sz w:val="21"/>
                <w:szCs w:val="21"/>
              </w:rPr>
              <w:t>总铬</w:t>
            </w:r>
          </w:p>
        </w:tc>
        <w:tc>
          <w:tcPr>
            <w:tcW w:w="1590" w:type="pct"/>
            <w:vAlign w:val="center"/>
          </w:tcPr>
          <w:p>
            <w:pPr>
              <w:widowControl/>
              <w:snapToGrid w:val="0"/>
              <w:spacing w:line="312" w:lineRule="exact"/>
              <w:ind w:firstLine="0" w:firstLineChars="0"/>
              <w:jc w:val="left"/>
              <w:rPr>
                <w:color w:val="auto"/>
                <w:sz w:val="21"/>
                <w:szCs w:val="21"/>
              </w:rPr>
            </w:pPr>
            <w:r>
              <w:rPr>
                <w:color w:val="auto"/>
                <w:sz w:val="21"/>
                <w:szCs w:val="21"/>
              </w:rPr>
              <w:t>GB/T 7466-1987</w:t>
            </w:r>
            <w:r>
              <w:rPr>
                <w:rFonts w:hint="eastAsia"/>
                <w:color w:val="auto"/>
                <w:sz w:val="21"/>
                <w:szCs w:val="21"/>
              </w:rPr>
              <w:t xml:space="preserve"> 水质 总铬的测定</w:t>
            </w:r>
          </w:p>
        </w:tc>
        <w:tc>
          <w:tcPr>
            <w:tcW w:w="1000" w:type="pct"/>
            <w:vAlign w:val="center"/>
          </w:tcPr>
          <w:p>
            <w:pPr>
              <w:snapToGrid w:val="0"/>
              <w:spacing w:line="312" w:lineRule="exact"/>
              <w:ind w:firstLine="0" w:firstLineChars="0"/>
              <w:jc w:val="center"/>
              <w:rPr>
                <w:color w:val="auto"/>
                <w:sz w:val="21"/>
                <w:szCs w:val="21"/>
              </w:rPr>
            </w:pPr>
            <w:r>
              <w:rPr>
                <w:color w:val="auto"/>
                <w:sz w:val="21"/>
                <w:szCs w:val="21"/>
              </w:rPr>
              <w:t xml:space="preserve">722N 可见分光光度计 </w:t>
            </w:r>
          </w:p>
        </w:tc>
        <w:tc>
          <w:tcPr>
            <w:tcW w:w="826" w:type="pct"/>
            <w:vAlign w:val="center"/>
          </w:tcPr>
          <w:p>
            <w:pPr>
              <w:snapToGrid w:val="0"/>
              <w:spacing w:line="312" w:lineRule="exact"/>
              <w:ind w:firstLine="0" w:firstLineChars="0"/>
              <w:jc w:val="center"/>
              <w:rPr>
                <w:color w:val="auto"/>
                <w:sz w:val="21"/>
                <w:szCs w:val="21"/>
              </w:rPr>
            </w:pPr>
            <w:r>
              <w:rPr>
                <w:color w:val="auto"/>
                <w:sz w:val="21"/>
                <w:szCs w:val="21"/>
              </w:rPr>
              <w:t xml:space="preserve">HY/FX029 </w:t>
            </w:r>
          </w:p>
        </w:tc>
        <w:tc>
          <w:tcPr>
            <w:tcW w:w="609" w:type="pct"/>
            <w:vAlign w:val="center"/>
          </w:tcPr>
          <w:p>
            <w:pPr>
              <w:snapToGrid w:val="0"/>
              <w:spacing w:line="312" w:lineRule="exact"/>
              <w:ind w:firstLine="0" w:firstLineChars="0"/>
              <w:jc w:val="center"/>
              <w:rPr>
                <w:rFonts w:eastAsia="华文仿宋"/>
                <w:color w:val="auto"/>
                <w:sz w:val="21"/>
                <w:szCs w:val="21"/>
                <w:lang w:bidi="ar"/>
              </w:rPr>
            </w:pPr>
            <w:r>
              <w:rPr>
                <w:rFonts w:hint="eastAsia" w:eastAsia="华文仿宋"/>
                <w:color w:val="auto"/>
                <w:sz w:val="21"/>
                <w:szCs w:val="21"/>
                <w:lang w:bidi="ar"/>
              </w:rPr>
              <w:t>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654" w:type="pct"/>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氰化物</w:t>
            </w:r>
          </w:p>
        </w:tc>
        <w:tc>
          <w:tcPr>
            <w:tcW w:w="1590" w:type="pct"/>
            <w:vAlign w:val="center"/>
          </w:tcPr>
          <w:p>
            <w:pPr>
              <w:widowControl/>
              <w:snapToGrid w:val="0"/>
              <w:spacing w:line="312" w:lineRule="exact"/>
              <w:ind w:firstLine="0" w:firstLineChars="0"/>
              <w:jc w:val="left"/>
              <w:rPr>
                <w:color w:val="auto"/>
                <w:sz w:val="21"/>
                <w:szCs w:val="21"/>
              </w:rPr>
            </w:pPr>
            <w:r>
              <w:rPr>
                <w:color w:val="auto"/>
                <w:sz w:val="21"/>
                <w:szCs w:val="21"/>
              </w:rPr>
              <w:t>HJ 484-2009 水质 氰化物的测定 容量法和分光光度法(异烟酸-吡唑啉酮分光光度法)</w:t>
            </w:r>
          </w:p>
        </w:tc>
        <w:tc>
          <w:tcPr>
            <w:tcW w:w="1000" w:type="pct"/>
            <w:vAlign w:val="center"/>
          </w:tcPr>
          <w:p>
            <w:pPr>
              <w:snapToGrid w:val="0"/>
              <w:spacing w:line="312" w:lineRule="exact"/>
              <w:ind w:firstLine="0" w:firstLineChars="0"/>
              <w:jc w:val="center"/>
              <w:rPr>
                <w:color w:val="auto"/>
                <w:sz w:val="21"/>
                <w:szCs w:val="21"/>
              </w:rPr>
            </w:pPr>
            <w:r>
              <w:rPr>
                <w:color w:val="auto"/>
                <w:sz w:val="21"/>
                <w:szCs w:val="21"/>
              </w:rPr>
              <w:t>722N 可见分光光度计</w:t>
            </w:r>
          </w:p>
        </w:tc>
        <w:tc>
          <w:tcPr>
            <w:tcW w:w="826" w:type="pct"/>
            <w:vAlign w:val="center"/>
          </w:tcPr>
          <w:p>
            <w:pPr>
              <w:snapToGrid w:val="0"/>
              <w:spacing w:line="312" w:lineRule="exact"/>
              <w:ind w:firstLine="0" w:firstLineChars="0"/>
              <w:jc w:val="center"/>
              <w:rPr>
                <w:color w:val="auto"/>
                <w:sz w:val="21"/>
                <w:szCs w:val="21"/>
              </w:rPr>
            </w:pPr>
            <w:r>
              <w:rPr>
                <w:color w:val="auto"/>
                <w:sz w:val="21"/>
                <w:szCs w:val="21"/>
              </w:rPr>
              <w:t>HY/FX029</w:t>
            </w:r>
          </w:p>
        </w:tc>
        <w:tc>
          <w:tcPr>
            <w:tcW w:w="609" w:type="pct"/>
            <w:vAlign w:val="center"/>
          </w:tcPr>
          <w:p>
            <w:pPr>
              <w:snapToGrid w:val="0"/>
              <w:spacing w:line="312" w:lineRule="exact"/>
              <w:ind w:firstLine="0" w:firstLineChars="0"/>
              <w:jc w:val="center"/>
              <w:rPr>
                <w:color w:val="auto"/>
                <w:sz w:val="21"/>
                <w:szCs w:val="21"/>
              </w:rPr>
            </w:pPr>
            <w:r>
              <w:rPr>
                <w:rFonts w:eastAsia="华文仿宋"/>
                <w:color w:val="auto"/>
                <w:sz w:val="21"/>
                <w:szCs w:val="21"/>
                <w:lang w:bidi="ar"/>
              </w:rPr>
              <w:t>0.0</w:t>
            </w:r>
            <w:r>
              <w:rPr>
                <w:rFonts w:hint="eastAsia" w:eastAsia="华文仿宋"/>
                <w:color w:val="auto"/>
                <w:sz w:val="21"/>
                <w:szCs w:val="21"/>
                <w:lang w:bidi="ar"/>
              </w:rPr>
              <w:t>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654" w:type="pct"/>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挥发酚</w:t>
            </w:r>
          </w:p>
        </w:tc>
        <w:tc>
          <w:tcPr>
            <w:tcW w:w="1590" w:type="pct"/>
            <w:vAlign w:val="center"/>
          </w:tcPr>
          <w:p>
            <w:pPr>
              <w:widowControl/>
              <w:snapToGrid w:val="0"/>
              <w:spacing w:line="312" w:lineRule="exact"/>
              <w:ind w:firstLine="0" w:firstLineChars="0"/>
              <w:jc w:val="left"/>
              <w:rPr>
                <w:color w:val="auto"/>
                <w:sz w:val="21"/>
                <w:szCs w:val="21"/>
              </w:rPr>
            </w:pPr>
            <w:r>
              <w:rPr>
                <w:color w:val="auto"/>
                <w:sz w:val="21"/>
                <w:szCs w:val="21"/>
              </w:rPr>
              <w:t>HJ 503-2009 水质 挥发酚的测定 4-氨基安替比林分光光度法（方法2 直接分光光度法）</w:t>
            </w:r>
          </w:p>
        </w:tc>
        <w:tc>
          <w:tcPr>
            <w:tcW w:w="1000" w:type="pct"/>
            <w:vAlign w:val="center"/>
          </w:tcPr>
          <w:p>
            <w:pPr>
              <w:snapToGrid w:val="0"/>
              <w:spacing w:line="312" w:lineRule="exact"/>
              <w:ind w:firstLine="0" w:firstLineChars="0"/>
              <w:jc w:val="center"/>
              <w:rPr>
                <w:color w:val="auto"/>
                <w:sz w:val="21"/>
                <w:szCs w:val="21"/>
              </w:rPr>
            </w:pPr>
            <w:r>
              <w:rPr>
                <w:color w:val="auto"/>
                <w:sz w:val="21"/>
                <w:szCs w:val="21"/>
              </w:rPr>
              <w:t xml:space="preserve">722N 可见分光光度计 </w:t>
            </w:r>
          </w:p>
        </w:tc>
        <w:tc>
          <w:tcPr>
            <w:tcW w:w="826" w:type="pct"/>
            <w:vAlign w:val="center"/>
          </w:tcPr>
          <w:p>
            <w:pPr>
              <w:snapToGrid w:val="0"/>
              <w:spacing w:line="312" w:lineRule="exact"/>
              <w:ind w:firstLine="0" w:firstLineChars="0"/>
              <w:jc w:val="center"/>
              <w:rPr>
                <w:color w:val="auto"/>
                <w:sz w:val="21"/>
                <w:szCs w:val="21"/>
              </w:rPr>
            </w:pPr>
            <w:r>
              <w:rPr>
                <w:color w:val="auto"/>
                <w:sz w:val="21"/>
                <w:szCs w:val="21"/>
              </w:rPr>
              <w:t>HY/FX029</w:t>
            </w:r>
          </w:p>
        </w:tc>
        <w:tc>
          <w:tcPr>
            <w:tcW w:w="609" w:type="pct"/>
            <w:vAlign w:val="center"/>
          </w:tcPr>
          <w:p>
            <w:pPr>
              <w:snapToGrid w:val="0"/>
              <w:spacing w:line="312" w:lineRule="exact"/>
              <w:ind w:firstLine="0" w:firstLineChars="0"/>
              <w:jc w:val="center"/>
              <w:rPr>
                <w:color w:val="auto"/>
                <w:sz w:val="21"/>
                <w:szCs w:val="21"/>
              </w:rPr>
            </w:pPr>
            <w:r>
              <w:rPr>
                <w:rFonts w:hint="eastAsia" w:eastAsia="华文仿宋"/>
                <w:color w:val="auto"/>
                <w:sz w:val="21"/>
                <w:szCs w:val="21"/>
                <w:lang w:bidi="ar"/>
              </w:rPr>
              <w:t>0.0003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654" w:type="pct"/>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石油类</w:t>
            </w:r>
          </w:p>
        </w:tc>
        <w:tc>
          <w:tcPr>
            <w:tcW w:w="1590" w:type="pct"/>
            <w:vAlign w:val="center"/>
          </w:tcPr>
          <w:p>
            <w:pPr>
              <w:widowControl/>
              <w:snapToGrid w:val="0"/>
              <w:spacing w:line="312" w:lineRule="exact"/>
              <w:ind w:firstLine="0" w:firstLineChars="0"/>
              <w:jc w:val="left"/>
              <w:rPr>
                <w:color w:val="auto"/>
                <w:sz w:val="21"/>
                <w:szCs w:val="21"/>
              </w:rPr>
            </w:pPr>
            <w:r>
              <w:rPr>
                <w:color w:val="auto"/>
                <w:sz w:val="21"/>
                <w:szCs w:val="21"/>
              </w:rPr>
              <w:t>HJ 970-2018 水质 石油类的测定 紫外分光光度法（试行）</w:t>
            </w:r>
          </w:p>
        </w:tc>
        <w:tc>
          <w:tcPr>
            <w:tcW w:w="1000" w:type="pct"/>
            <w:vAlign w:val="center"/>
          </w:tcPr>
          <w:p>
            <w:pPr>
              <w:snapToGrid w:val="0"/>
              <w:spacing w:line="312" w:lineRule="exact"/>
              <w:ind w:firstLine="0" w:firstLineChars="0"/>
              <w:jc w:val="center"/>
              <w:rPr>
                <w:color w:val="auto"/>
                <w:sz w:val="21"/>
                <w:szCs w:val="21"/>
              </w:rPr>
            </w:pPr>
            <w:r>
              <w:rPr>
                <w:color w:val="auto"/>
                <w:sz w:val="21"/>
                <w:szCs w:val="21"/>
              </w:rPr>
              <w:t>TU-1901 紫外可见分光光度计</w:t>
            </w:r>
          </w:p>
        </w:tc>
        <w:tc>
          <w:tcPr>
            <w:tcW w:w="826" w:type="pct"/>
            <w:vAlign w:val="center"/>
          </w:tcPr>
          <w:p>
            <w:pPr>
              <w:snapToGrid w:val="0"/>
              <w:spacing w:line="312" w:lineRule="exact"/>
              <w:ind w:firstLine="0" w:firstLineChars="0"/>
              <w:jc w:val="center"/>
              <w:rPr>
                <w:color w:val="auto"/>
                <w:sz w:val="21"/>
                <w:szCs w:val="21"/>
              </w:rPr>
            </w:pPr>
            <w:r>
              <w:rPr>
                <w:color w:val="auto"/>
                <w:sz w:val="21"/>
                <w:szCs w:val="21"/>
              </w:rPr>
              <w:t>HY/FX007</w:t>
            </w:r>
          </w:p>
        </w:tc>
        <w:tc>
          <w:tcPr>
            <w:tcW w:w="609" w:type="pct"/>
            <w:vAlign w:val="center"/>
          </w:tcPr>
          <w:p>
            <w:pPr>
              <w:snapToGrid w:val="0"/>
              <w:spacing w:line="312" w:lineRule="exact"/>
              <w:ind w:firstLine="0" w:firstLineChars="0"/>
              <w:jc w:val="center"/>
              <w:rPr>
                <w:color w:val="auto"/>
                <w:sz w:val="21"/>
                <w:szCs w:val="21"/>
              </w:rPr>
            </w:pPr>
            <w:r>
              <w:rPr>
                <w:rFonts w:eastAsia="华文仿宋"/>
                <w:color w:val="auto"/>
                <w:sz w:val="21"/>
                <w:szCs w:val="21"/>
                <w:lang w:bidi="ar"/>
              </w:rPr>
              <w:t>0.0</w:t>
            </w:r>
            <w:r>
              <w:rPr>
                <w:rFonts w:hint="eastAsia" w:eastAsia="华文仿宋"/>
                <w:color w:val="auto"/>
                <w:sz w:val="21"/>
                <w:szCs w:val="21"/>
                <w:lang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654" w:type="pct"/>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阴离子表面活性剂</w:t>
            </w:r>
          </w:p>
        </w:tc>
        <w:tc>
          <w:tcPr>
            <w:tcW w:w="1590" w:type="pct"/>
            <w:vAlign w:val="center"/>
          </w:tcPr>
          <w:p>
            <w:pPr>
              <w:widowControl/>
              <w:snapToGrid w:val="0"/>
              <w:spacing w:line="312" w:lineRule="exact"/>
              <w:ind w:firstLine="0" w:firstLineChars="0"/>
              <w:jc w:val="left"/>
              <w:rPr>
                <w:color w:val="auto"/>
                <w:sz w:val="21"/>
                <w:szCs w:val="21"/>
              </w:rPr>
            </w:pPr>
            <w:r>
              <w:rPr>
                <w:color w:val="auto"/>
                <w:sz w:val="21"/>
                <w:szCs w:val="21"/>
              </w:rPr>
              <w:t>GB/T 7494-1987 水质 阴离子表面活性剂的测定 亚甲蓝分光光度法</w:t>
            </w:r>
          </w:p>
        </w:tc>
        <w:tc>
          <w:tcPr>
            <w:tcW w:w="1000" w:type="pct"/>
            <w:vAlign w:val="center"/>
          </w:tcPr>
          <w:p>
            <w:pPr>
              <w:snapToGrid w:val="0"/>
              <w:spacing w:line="312" w:lineRule="exact"/>
              <w:ind w:firstLine="0" w:firstLineChars="0"/>
              <w:jc w:val="center"/>
              <w:rPr>
                <w:color w:val="auto"/>
                <w:sz w:val="21"/>
                <w:szCs w:val="21"/>
              </w:rPr>
            </w:pPr>
            <w:r>
              <w:rPr>
                <w:color w:val="auto"/>
                <w:sz w:val="21"/>
                <w:szCs w:val="21"/>
              </w:rPr>
              <w:t xml:space="preserve">722N 可见分光光度计 </w:t>
            </w:r>
          </w:p>
        </w:tc>
        <w:tc>
          <w:tcPr>
            <w:tcW w:w="826" w:type="pct"/>
            <w:vAlign w:val="center"/>
          </w:tcPr>
          <w:p>
            <w:pPr>
              <w:snapToGrid w:val="0"/>
              <w:spacing w:line="312" w:lineRule="exact"/>
              <w:ind w:firstLine="0" w:firstLineChars="0"/>
              <w:jc w:val="center"/>
              <w:rPr>
                <w:color w:val="auto"/>
                <w:sz w:val="21"/>
                <w:szCs w:val="21"/>
              </w:rPr>
            </w:pPr>
            <w:r>
              <w:rPr>
                <w:color w:val="auto"/>
                <w:sz w:val="21"/>
                <w:szCs w:val="21"/>
              </w:rPr>
              <w:t>HY/FX029</w:t>
            </w:r>
          </w:p>
        </w:tc>
        <w:tc>
          <w:tcPr>
            <w:tcW w:w="609" w:type="pct"/>
            <w:vAlign w:val="center"/>
          </w:tcPr>
          <w:p>
            <w:pPr>
              <w:snapToGrid w:val="0"/>
              <w:spacing w:line="312" w:lineRule="exact"/>
              <w:ind w:firstLine="0" w:firstLineChars="0"/>
              <w:jc w:val="center"/>
              <w:rPr>
                <w:color w:val="auto"/>
                <w:sz w:val="21"/>
                <w:szCs w:val="21"/>
              </w:rPr>
            </w:pPr>
            <w:r>
              <w:rPr>
                <w:rFonts w:hint="eastAsia" w:eastAsia="华文仿宋"/>
                <w:color w:val="auto"/>
                <w:sz w:val="21"/>
                <w:szCs w:val="21"/>
                <w:lang w:bidi="ar"/>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654" w:type="pct"/>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硫化物</w:t>
            </w:r>
          </w:p>
        </w:tc>
        <w:tc>
          <w:tcPr>
            <w:tcW w:w="1590" w:type="pct"/>
            <w:vAlign w:val="center"/>
          </w:tcPr>
          <w:p>
            <w:pPr>
              <w:widowControl/>
              <w:snapToGrid w:val="0"/>
              <w:spacing w:line="312" w:lineRule="exact"/>
              <w:ind w:firstLine="0" w:firstLineChars="0"/>
              <w:jc w:val="left"/>
              <w:rPr>
                <w:color w:val="auto"/>
                <w:sz w:val="21"/>
                <w:szCs w:val="21"/>
              </w:rPr>
            </w:pPr>
            <w:r>
              <w:rPr>
                <w:color w:val="auto"/>
                <w:sz w:val="21"/>
                <w:szCs w:val="21"/>
              </w:rPr>
              <w:t>GB/T 16489-1996 水质 硫化物的测定 亚甲基蓝分光光度法</w:t>
            </w:r>
          </w:p>
        </w:tc>
        <w:tc>
          <w:tcPr>
            <w:tcW w:w="1000" w:type="pct"/>
            <w:vAlign w:val="center"/>
          </w:tcPr>
          <w:p>
            <w:pPr>
              <w:snapToGrid w:val="0"/>
              <w:spacing w:line="312" w:lineRule="exact"/>
              <w:ind w:firstLine="0" w:firstLineChars="0"/>
              <w:jc w:val="center"/>
              <w:rPr>
                <w:color w:val="auto"/>
                <w:sz w:val="21"/>
                <w:szCs w:val="21"/>
              </w:rPr>
            </w:pPr>
            <w:r>
              <w:rPr>
                <w:color w:val="auto"/>
                <w:sz w:val="21"/>
                <w:szCs w:val="21"/>
              </w:rPr>
              <w:t>722N 可见分光光度计</w:t>
            </w:r>
          </w:p>
        </w:tc>
        <w:tc>
          <w:tcPr>
            <w:tcW w:w="826" w:type="pct"/>
            <w:vAlign w:val="center"/>
          </w:tcPr>
          <w:p>
            <w:pPr>
              <w:snapToGrid w:val="0"/>
              <w:spacing w:line="312" w:lineRule="exact"/>
              <w:ind w:firstLine="0" w:firstLineChars="0"/>
              <w:jc w:val="center"/>
              <w:rPr>
                <w:color w:val="auto"/>
                <w:sz w:val="21"/>
                <w:szCs w:val="21"/>
              </w:rPr>
            </w:pPr>
            <w:r>
              <w:rPr>
                <w:color w:val="auto"/>
                <w:sz w:val="21"/>
                <w:szCs w:val="21"/>
              </w:rPr>
              <w:t>HY/FX029</w:t>
            </w:r>
          </w:p>
        </w:tc>
        <w:tc>
          <w:tcPr>
            <w:tcW w:w="609" w:type="pct"/>
            <w:vAlign w:val="center"/>
          </w:tcPr>
          <w:p>
            <w:pPr>
              <w:snapToGrid w:val="0"/>
              <w:spacing w:line="312" w:lineRule="exact"/>
              <w:ind w:firstLine="0" w:firstLineChars="0"/>
              <w:jc w:val="center"/>
              <w:rPr>
                <w:color w:val="auto"/>
                <w:sz w:val="21"/>
                <w:szCs w:val="21"/>
              </w:rPr>
            </w:pPr>
            <w:r>
              <w:rPr>
                <w:rFonts w:hint="eastAsia" w:eastAsia="华文仿宋"/>
                <w:color w:val="auto"/>
                <w:sz w:val="21"/>
                <w:szCs w:val="21"/>
                <w:lang w:bidi="ar"/>
              </w:rPr>
              <w:t>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654" w:type="pct"/>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全盐量</w:t>
            </w:r>
          </w:p>
        </w:tc>
        <w:tc>
          <w:tcPr>
            <w:tcW w:w="1590" w:type="pct"/>
            <w:vAlign w:val="center"/>
          </w:tcPr>
          <w:p>
            <w:pPr>
              <w:widowControl/>
              <w:snapToGrid w:val="0"/>
              <w:spacing w:line="312" w:lineRule="exact"/>
              <w:ind w:firstLine="0" w:firstLineChars="0"/>
              <w:jc w:val="left"/>
              <w:rPr>
                <w:color w:val="auto"/>
                <w:sz w:val="21"/>
                <w:szCs w:val="21"/>
              </w:rPr>
            </w:pPr>
            <w:r>
              <w:rPr>
                <w:color w:val="auto"/>
                <w:sz w:val="21"/>
                <w:szCs w:val="21"/>
              </w:rPr>
              <w:t>HJ/T 51-1999</w:t>
            </w:r>
            <w:r>
              <w:rPr>
                <w:rFonts w:hint="eastAsia"/>
                <w:color w:val="auto"/>
                <w:sz w:val="21"/>
                <w:szCs w:val="21"/>
              </w:rPr>
              <w:t xml:space="preserve"> 水质 全盐量的测定 重量法</w:t>
            </w:r>
          </w:p>
        </w:tc>
        <w:tc>
          <w:tcPr>
            <w:tcW w:w="1000" w:type="pct"/>
            <w:vAlign w:val="center"/>
          </w:tcPr>
          <w:p>
            <w:pPr>
              <w:snapToGrid w:val="0"/>
              <w:spacing w:line="312" w:lineRule="exact"/>
              <w:ind w:firstLine="0" w:firstLineChars="0"/>
              <w:jc w:val="center"/>
              <w:rPr>
                <w:color w:val="auto"/>
                <w:sz w:val="21"/>
                <w:szCs w:val="21"/>
              </w:rPr>
            </w:pPr>
            <w:r>
              <w:rPr>
                <w:color w:val="auto"/>
                <w:sz w:val="21"/>
                <w:szCs w:val="21"/>
              </w:rPr>
              <w:t>FA2004B 电子天平</w:t>
            </w:r>
          </w:p>
        </w:tc>
        <w:tc>
          <w:tcPr>
            <w:tcW w:w="826" w:type="pct"/>
            <w:vAlign w:val="center"/>
          </w:tcPr>
          <w:p>
            <w:pPr>
              <w:snapToGrid w:val="0"/>
              <w:spacing w:line="312" w:lineRule="exact"/>
              <w:ind w:firstLine="0" w:firstLineChars="0"/>
              <w:jc w:val="center"/>
              <w:rPr>
                <w:color w:val="auto"/>
                <w:sz w:val="21"/>
                <w:szCs w:val="21"/>
              </w:rPr>
            </w:pPr>
            <w:r>
              <w:rPr>
                <w:color w:val="auto"/>
                <w:sz w:val="21"/>
                <w:szCs w:val="21"/>
              </w:rPr>
              <w:t>HY/FX016</w:t>
            </w:r>
          </w:p>
        </w:tc>
        <w:tc>
          <w:tcPr>
            <w:tcW w:w="609" w:type="pct"/>
            <w:vAlign w:val="center"/>
          </w:tcPr>
          <w:p>
            <w:pPr>
              <w:snapToGrid w:val="0"/>
              <w:spacing w:line="312" w:lineRule="exact"/>
              <w:ind w:firstLine="0" w:firstLineChars="0"/>
              <w:jc w:val="center"/>
              <w:rPr>
                <w:rFonts w:eastAsia="华文仿宋"/>
                <w:color w:val="auto"/>
                <w:sz w:val="21"/>
                <w:szCs w:val="21"/>
                <w:lang w:bidi="ar"/>
              </w:rPr>
            </w:pPr>
            <w:r>
              <w:rPr>
                <w:rFonts w:hint="eastAsia" w:eastAsia="华文仿宋"/>
                <w:color w:val="auto"/>
                <w:sz w:val="21"/>
                <w:szCs w:val="21"/>
                <w:lang w:bidi="ar"/>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654" w:type="pct"/>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粪大肠菌群</w:t>
            </w:r>
          </w:p>
        </w:tc>
        <w:tc>
          <w:tcPr>
            <w:tcW w:w="1590" w:type="pct"/>
            <w:vAlign w:val="center"/>
          </w:tcPr>
          <w:p>
            <w:pPr>
              <w:widowControl/>
              <w:snapToGrid w:val="0"/>
              <w:spacing w:line="312" w:lineRule="exact"/>
              <w:ind w:firstLine="0" w:firstLineChars="0"/>
              <w:jc w:val="left"/>
              <w:rPr>
                <w:color w:val="auto"/>
                <w:sz w:val="21"/>
                <w:szCs w:val="21"/>
              </w:rPr>
            </w:pPr>
            <w:r>
              <w:rPr>
                <w:color w:val="auto"/>
                <w:sz w:val="21"/>
                <w:szCs w:val="21"/>
              </w:rPr>
              <w:t>HJ 347.2-2018</w:t>
            </w:r>
            <w:r>
              <w:rPr>
                <w:rFonts w:hint="eastAsia"/>
                <w:color w:val="auto"/>
                <w:sz w:val="21"/>
                <w:szCs w:val="21"/>
              </w:rPr>
              <w:t xml:space="preserve"> 水质 粪大肠菌群的测定 多管发酵法</w:t>
            </w:r>
          </w:p>
        </w:tc>
        <w:tc>
          <w:tcPr>
            <w:tcW w:w="1000" w:type="pct"/>
            <w:vAlign w:val="center"/>
          </w:tcPr>
          <w:p>
            <w:pPr>
              <w:snapToGrid w:val="0"/>
              <w:spacing w:line="312" w:lineRule="exact"/>
              <w:ind w:firstLine="0" w:firstLineChars="0"/>
              <w:jc w:val="center"/>
              <w:rPr>
                <w:color w:val="auto"/>
                <w:sz w:val="21"/>
                <w:szCs w:val="21"/>
              </w:rPr>
            </w:pPr>
            <w:r>
              <w:rPr>
                <w:color w:val="auto"/>
                <w:sz w:val="21"/>
                <w:szCs w:val="21"/>
              </w:rPr>
              <w:t>LRH-70 生化培养箱</w:t>
            </w:r>
          </w:p>
        </w:tc>
        <w:tc>
          <w:tcPr>
            <w:tcW w:w="826" w:type="pct"/>
            <w:vAlign w:val="center"/>
          </w:tcPr>
          <w:p>
            <w:pPr>
              <w:snapToGrid w:val="0"/>
              <w:spacing w:line="312" w:lineRule="exact"/>
              <w:ind w:firstLine="0" w:firstLineChars="0"/>
              <w:jc w:val="center"/>
              <w:rPr>
                <w:color w:val="auto"/>
                <w:sz w:val="21"/>
                <w:szCs w:val="21"/>
              </w:rPr>
            </w:pPr>
            <w:r>
              <w:rPr>
                <w:color w:val="auto"/>
                <w:sz w:val="21"/>
                <w:szCs w:val="21"/>
              </w:rPr>
              <w:t>HY/FX031</w:t>
            </w:r>
          </w:p>
        </w:tc>
        <w:tc>
          <w:tcPr>
            <w:tcW w:w="609" w:type="pct"/>
            <w:vAlign w:val="center"/>
          </w:tcPr>
          <w:p>
            <w:pPr>
              <w:snapToGrid w:val="0"/>
              <w:spacing w:line="312" w:lineRule="exact"/>
              <w:ind w:firstLine="0" w:firstLineChars="0"/>
              <w:jc w:val="center"/>
              <w:rPr>
                <w:rFonts w:eastAsia="华文仿宋"/>
                <w:color w:val="auto"/>
                <w:sz w:val="21"/>
                <w:szCs w:val="21"/>
                <w:lang w:bidi="ar"/>
              </w:rPr>
            </w:pPr>
            <w:r>
              <w:rPr>
                <w:rFonts w:hint="eastAsia" w:eastAsia="华文仿宋"/>
                <w:color w:val="auto"/>
                <w:sz w:val="21"/>
                <w:szCs w:val="21"/>
                <w:lang w:bidi="ar"/>
              </w:rPr>
              <w:t>3 MPN/L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1114" w:type="dxa"/>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锌</w:t>
            </w:r>
          </w:p>
        </w:tc>
        <w:tc>
          <w:tcPr>
            <w:tcW w:w="2708" w:type="dxa"/>
            <w:vMerge w:val="restart"/>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HJ 700-2014 水质 65种元素的测定 电感耦合等离子体质谱法</w:t>
            </w:r>
          </w:p>
        </w:tc>
        <w:tc>
          <w:tcPr>
            <w:tcW w:w="1703" w:type="dxa"/>
            <w:vMerge w:val="restart"/>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Agilent 7850 ICP-MS电感耦合等离子体质谱仪</w:t>
            </w:r>
          </w:p>
        </w:tc>
        <w:tc>
          <w:tcPr>
            <w:tcW w:w="1407" w:type="dxa"/>
            <w:vMerge w:val="restart"/>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DT/J-045-01</w:t>
            </w:r>
          </w:p>
        </w:tc>
        <w:tc>
          <w:tcPr>
            <w:tcW w:w="609" w:type="pct"/>
            <w:vAlign w:val="center"/>
          </w:tcPr>
          <w:p>
            <w:pPr>
              <w:snapToGrid w:val="0"/>
              <w:spacing w:line="312" w:lineRule="exact"/>
              <w:ind w:firstLine="0" w:firstLineChars="0"/>
              <w:jc w:val="center"/>
              <w:rPr>
                <w:rFonts w:eastAsia="华文仿宋"/>
                <w:color w:val="auto"/>
                <w:sz w:val="21"/>
                <w:szCs w:val="21"/>
                <w:lang w:bidi="ar"/>
              </w:rPr>
            </w:pPr>
            <w:r>
              <w:rPr>
                <w:rFonts w:hint="eastAsia" w:eastAsia="华文仿宋"/>
                <w:color w:val="auto"/>
                <w:sz w:val="21"/>
                <w:szCs w:val="21"/>
                <w:lang w:bidi="ar"/>
              </w:rPr>
              <w:t>0.67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1114" w:type="dxa"/>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铁</w:t>
            </w:r>
          </w:p>
        </w:tc>
        <w:tc>
          <w:tcPr>
            <w:tcW w:w="1590" w:type="pct"/>
            <w:vMerge w:val="continue"/>
            <w:vAlign w:val="center"/>
          </w:tcPr>
          <w:p>
            <w:pPr>
              <w:widowControl/>
              <w:snapToGrid w:val="0"/>
              <w:spacing w:line="312" w:lineRule="exact"/>
              <w:ind w:firstLine="0" w:firstLineChars="0"/>
              <w:jc w:val="left"/>
              <w:rPr>
                <w:color w:val="auto"/>
                <w:sz w:val="21"/>
                <w:szCs w:val="21"/>
              </w:rPr>
            </w:pPr>
          </w:p>
        </w:tc>
        <w:tc>
          <w:tcPr>
            <w:tcW w:w="1000" w:type="pct"/>
            <w:vMerge w:val="continue"/>
            <w:vAlign w:val="center"/>
          </w:tcPr>
          <w:p>
            <w:pPr>
              <w:snapToGrid w:val="0"/>
              <w:spacing w:line="312" w:lineRule="exact"/>
              <w:ind w:firstLine="0" w:firstLineChars="0"/>
              <w:jc w:val="center"/>
              <w:rPr>
                <w:color w:val="auto"/>
                <w:sz w:val="21"/>
                <w:szCs w:val="21"/>
              </w:rPr>
            </w:pPr>
          </w:p>
        </w:tc>
        <w:tc>
          <w:tcPr>
            <w:tcW w:w="826" w:type="pct"/>
            <w:vMerge w:val="continue"/>
            <w:vAlign w:val="center"/>
          </w:tcPr>
          <w:p>
            <w:pPr>
              <w:snapToGrid w:val="0"/>
              <w:spacing w:line="312" w:lineRule="exact"/>
              <w:ind w:firstLine="0" w:firstLineChars="0"/>
              <w:jc w:val="center"/>
              <w:rPr>
                <w:color w:val="auto"/>
                <w:sz w:val="21"/>
                <w:szCs w:val="21"/>
              </w:rPr>
            </w:pPr>
          </w:p>
        </w:tc>
        <w:tc>
          <w:tcPr>
            <w:tcW w:w="609" w:type="pct"/>
            <w:vAlign w:val="center"/>
          </w:tcPr>
          <w:p>
            <w:pPr>
              <w:snapToGrid w:val="0"/>
              <w:spacing w:line="312" w:lineRule="exact"/>
              <w:ind w:firstLine="0" w:firstLineChars="0"/>
              <w:jc w:val="center"/>
              <w:rPr>
                <w:rFonts w:eastAsia="华文仿宋"/>
                <w:color w:val="auto"/>
                <w:sz w:val="21"/>
                <w:szCs w:val="21"/>
                <w:lang w:bidi="ar"/>
              </w:rPr>
            </w:pPr>
            <w:r>
              <w:rPr>
                <w:rFonts w:hint="eastAsia" w:eastAsia="华文仿宋"/>
                <w:color w:val="auto"/>
                <w:sz w:val="21"/>
                <w:szCs w:val="21"/>
                <w:lang w:bidi="ar"/>
              </w:rPr>
              <w:t>0.82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1114" w:type="dxa"/>
            <w:vAlign w:val="center"/>
          </w:tcPr>
          <w:p>
            <w:pPr>
              <w:widowControl/>
              <w:snapToGrid w:val="0"/>
              <w:spacing w:line="312" w:lineRule="exact"/>
              <w:ind w:firstLine="0" w:firstLineChars="0"/>
              <w:jc w:val="center"/>
              <w:rPr>
                <w:color w:val="auto"/>
                <w:kern w:val="0"/>
                <w:sz w:val="21"/>
                <w:szCs w:val="21"/>
              </w:rPr>
            </w:pPr>
            <w:r>
              <w:rPr>
                <w:rFonts w:hint="eastAsia"/>
                <w:color w:val="auto"/>
                <w:kern w:val="0"/>
                <w:sz w:val="21"/>
                <w:szCs w:val="21"/>
              </w:rPr>
              <w:t>钛</w:t>
            </w:r>
          </w:p>
        </w:tc>
        <w:tc>
          <w:tcPr>
            <w:tcW w:w="1590" w:type="pct"/>
            <w:vMerge w:val="continue"/>
            <w:vAlign w:val="center"/>
          </w:tcPr>
          <w:p>
            <w:pPr>
              <w:widowControl/>
              <w:snapToGrid w:val="0"/>
              <w:spacing w:line="312" w:lineRule="exact"/>
              <w:ind w:firstLine="0" w:firstLineChars="0"/>
              <w:jc w:val="left"/>
              <w:rPr>
                <w:color w:val="auto"/>
                <w:sz w:val="21"/>
                <w:szCs w:val="21"/>
              </w:rPr>
            </w:pPr>
          </w:p>
        </w:tc>
        <w:tc>
          <w:tcPr>
            <w:tcW w:w="1000" w:type="pct"/>
            <w:vMerge w:val="continue"/>
            <w:vAlign w:val="center"/>
          </w:tcPr>
          <w:p>
            <w:pPr>
              <w:snapToGrid w:val="0"/>
              <w:spacing w:line="312" w:lineRule="exact"/>
              <w:ind w:firstLine="0" w:firstLineChars="0"/>
              <w:jc w:val="center"/>
              <w:rPr>
                <w:color w:val="auto"/>
                <w:sz w:val="21"/>
                <w:szCs w:val="21"/>
              </w:rPr>
            </w:pPr>
          </w:p>
        </w:tc>
        <w:tc>
          <w:tcPr>
            <w:tcW w:w="826" w:type="pct"/>
            <w:vMerge w:val="continue"/>
            <w:vAlign w:val="center"/>
          </w:tcPr>
          <w:p>
            <w:pPr>
              <w:snapToGrid w:val="0"/>
              <w:spacing w:line="312" w:lineRule="exact"/>
              <w:ind w:firstLine="0" w:firstLineChars="0"/>
              <w:jc w:val="center"/>
              <w:rPr>
                <w:color w:val="auto"/>
                <w:sz w:val="21"/>
                <w:szCs w:val="21"/>
              </w:rPr>
            </w:pPr>
          </w:p>
        </w:tc>
        <w:tc>
          <w:tcPr>
            <w:tcW w:w="609" w:type="pct"/>
            <w:vAlign w:val="center"/>
          </w:tcPr>
          <w:p>
            <w:pPr>
              <w:snapToGrid w:val="0"/>
              <w:spacing w:line="312" w:lineRule="exact"/>
              <w:ind w:firstLine="0" w:firstLineChars="0"/>
              <w:jc w:val="center"/>
              <w:rPr>
                <w:rFonts w:eastAsia="华文仿宋"/>
                <w:color w:val="auto"/>
                <w:sz w:val="21"/>
                <w:szCs w:val="21"/>
                <w:lang w:bidi="ar"/>
              </w:rPr>
            </w:pPr>
            <w:r>
              <w:rPr>
                <w:rFonts w:hint="eastAsia" w:eastAsia="华文仿宋"/>
                <w:color w:val="auto"/>
                <w:sz w:val="21"/>
                <w:szCs w:val="21"/>
                <w:lang w:bidi="ar"/>
              </w:rPr>
              <w:t>0.46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318" w:type="pct"/>
            <w:vAlign w:val="center"/>
          </w:tcPr>
          <w:p>
            <w:pPr>
              <w:numPr>
                <w:ilvl w:val="0"/>
                <w:numId w:val="11"/>
              </w:numPr>
              <w:snapToGrid w:val="0"/>
              <w:spacing w:line="312" w:lineRule="exact"/>
              <w:ind w:firstLineChars="0"/>
              <w:jc w:val="right"/>
              <w:rPr>
                <w:color w:val="auto"/>
                <w:sz w:val="21"/>
                <w:szCs w:val="21"/>
              </w:rPr>
            </w:pPr>
          </w:p>
        </w:tc>
        <w:tc>
          <w:tcPr>
            <w:tcW w:w="1114" w:type="dxa"/>
            <w:vAlign w:val="center"/>
          </w:tcPr>
          <w:p>
            <w:pPr>
              <w:widowControl/>
              <w:snapToGrid w:val="0"/>
              <w:spacing w:line="312" w:lineRule="exact"/>
              <w:ind w:firstLine="0" w:firstLineChars="0"/>
              <w:jc w:val="center"/>
              <w:rPr>
                <w:color w:val="auto"/>
                <w:kern w:val="0"/>
                <w:sz w:val="21"/>
                <w:szCs w:val="21"/>
              </w:rPr>
            </w:pPr>
            <w:r>
              <w:rPr>
                <w:color w:val="auto"/>
                <w:kern w:val="0"/>
                <w:sz w:val="21"/>
                <w:szCs w:val="21"/>
              </w:rPr>
              <w:t>锡</w:t>
            </w:r>
          </w:p>
        </w:tc>
        <w:tc>
          <w:tcPr>
            <w:tcW w:w="1590" w:type="pct"/>
            <w:vMerge w:val="continue"/>
            <w:vAlign w:val="center"/>
          </w:tcPr>
          <w:p>
            <w:pPr>
              <w:widowControl/>
              <w:snapToGrid w:val="0"/>
              <w:spacing w:line="312" w:lineRule="exact"/>
              <w:ind w:firstLine="0" w:firstLineChars="0"/>
              <w:jc w:val="left"/>
              <w:rPr>
                <w:color w:val="auto"/>
                <w:sz w:val="21"/>
                <w:szCs w:val="21"/>
              </w:rPr>
            </w:pPr>
          </w:p>
        </w:tc>
        <w:tc>
          <w:tcPr>
            <w:tcW w:w="1000" w:type="pct"/>
            <w:vMerge w:val="continue"/>
            <w:vAlign w:val="center"/>
          </w:tcPr>
          <w:p>
            <w:pPr>
              <w:snapToGrid w:val="0"/>
              <w:spacing w:line="312" w:lineRule="exact"/>
              <w:ind w:firstLine="0" w:firstLineChars="0"/>
              <w:jc w:val="center"/>
              <w:rPr>
                <w:color w:val="auto"/>
                <w:sz w:val="21"/>
                <w:szCs w:val="21"/>
              </w:rPr>
            </w:pPr>
          </w:p>
        </w:tc>
        <w:tc>
          <w:tcPr>
            <w:tcW w:w="826" w:type="pct"/>
            <w:vMerge w:val="continue"/>
            <w:vAlign w:val="center"/>
          </w:tcPr>
          <w:p>
            <w:pPr>
              <w:snapToGrid w:val="0"/>
              <w:spacing w:line="312" w:lineRule="exact"/>
              <w:ind w:firstLine="0" w:firstLineChars="0"/>
              <w:jc w:val="center"/>
              <w:rPr>
                <w:color w:val="auto"/>
                <w:sz w:val="21"/>
                <w:szCs w:val="21"/>
              </w:rPr>
            </w:pPr>
          </w:p>
        </w:tc>
        <w:tc>
          <w:tcPr>
            <w:tcW w:w="609" w:type="pct"/>
            <w:vAlign w:val="center"/>
          </w:tcPr>
          <w:p>
            <w:pPr>
              <w:snapToGrid w:val="0"/>
              <w:spacing w:line="312" w:lineRule="exact"/>
              <w:ind w:firstLine="0" w:firstLineChars="0"/>
              <w:jc w:val="center"/>
              <w:rPr>
                <w:rFonts w:eastAsia="华文仿宋"/>
                <w:color w:val="auto"/>
                <w:sz w:val="21"/>
                <w:szCs w:val="21"/>
                <w:lang w:bidi="ar"/>
              </w:rPr>
            </w:pPr>
            <w:r>
              <w:rPr>
                <w:rFonts w:hint="eastAsia" w:eastAsia="华文仿宋"/>
                <w:color w:val="auto"/>
                <w:sz w:val="21"/>
                <w:szCs w:val="21"/>
                <w:lang w:bidi="ar"/>
              </w:rPr>
              <w:t>0.08</w:t>
            </w:r>
          </w:p>
        </w:tc>
      </w:tr>
    </w:tbl>
    <w:p>
      <w:pPr>
        <w:pStyle w:val="9"/>
        <w:spacing w:before="0" w:beforeLines="0" w:after="0" w:afterLines="0" w:line="360" w:lineRule="auto"/>
        <w:rPr>
          <w:color w:val="auto"/>
        </w:rPr>
      </w:pPr>
      <w:r>
        <w:rPr>
          <w:rFonts w:hint="eastAsia"/>
          <w:color w:val="auto"/>
        </w:rPr>
        <w:t>4</w:t>
      </w:r>
      <w:r>
        <w:rPr>
          <w:color w:val="auto"/>
        </w:rPr>
        <w:t>.2.</w:t>
      </w:r>
      <w:r>
        <w:rPr>
          <w:rFonts w:hint="eastAsia"/>
          <w:color w:val="auto"/>
        </w:rPr>
        <w:t>1.4</w:t>
      </w:r>
      <w:r>
        <w:rPr>
          <w:color w:val="auto"/>
        </w:rPr>
        <w:t xml:space="preserve"> </w:t>
      </w:r>
      <w:r>
        <w:rPr>
          <w:rFonts w:hint="eastAsia"/>
          <w:color w:val="auto"/>
        </w:rPr>
        <w:t>监测频次</w:t>
      </w:r>
    </w:p>
    <w:p>
      <w:pPr>
        <w:ind w:firstLine="480"/>
        <w:rPr>
          <w:color w:val="auto"/>
        </w:rPr>
      </w:pPr>
      <w:r>
        <w:rPr>
          <w:rFonts w:hint="eastAsia"/>
          <w:color w:val="auto"/>
        </w:rPr>
        <w:t>淄博环益环保检测有限公司于2020年1月5日，监测一天，上、下午各采样一次。山东典图生态环境工程有限公司于</w:t>
      </w:r>
      <w:r>
        <w:rPr>
          <w:color w:val="auto"/>
        </w:rPr>
        <w:t>2022年</w:t>
      </w:r>
      <w:r>
        <w:rPr>
          <w:rFonts w:hint="eastAsia"/>
          <w:color w:val="auto"/>
        </w:rPr>
        <w:t>2月17~19</w:t>
      </w:r>
      <w:r>
        <w:rPr>
          <w:color w:val="auto"/>
        </w:rPr>
        <w:t>日监测3天，</w:t>
      </w:r>
      <w:r>
        <w:rPr>
          <w:rFonts w:hint="eastAsia"/>
          <w:color w:val="auto"/>
        </w:rPr>
        <w:t>每</w:t>
      </w:r>
      <w:r>
        <w:rPr>
          <w:color w:val="auto"/>
        </w:rPr>
        <w:t>天2次，上午下午各一次。</w:t>
      </w:r>
    </w:p>
    <w:p>
      <w:pPr>
        <w:pStyle w:val="9"/>
        <w:spacing w:before="0" w:beforeLines="0" w:after="0" w:afterLines="0" w:line="360" w:lineRule="auto"/>
        <w:rPr>
          <w:color w:val="auto"/>
        </w:rPr>
      </w:pPr>
      <w:r>
        <w:rPr>
          <w:rFonts w:hint="eastAsia"/>
          <w:color w:val="auto"/>
        </w:rPr>
        <w:t>4</w:t>
      </w:r>
      <w:r>
        <w:rPr>
          <w:color w:val="auto"/>
        </w:rPr>
        <w:t>.2.</w:t>
      </w:r>
      <w:r>
        <w:rPr>
          <w:rFonts w:hint="eastAsia"/>
          <w:color w:val="auto"/>
        </w:rPr>
        <w:t>1.5</w:t>
      </w:r>
      <w:r>
        <w:rPr>
          <w:color w:val="auto"/>
        </w:rPr>
        <w:t xml:space="preserve"> </w:t>
      </w:r>
      <w:r>
        <w:rPr>
          <w:rFonts w:hint="eastAsia"/>
          <w:color w:val="auto"/>
        </w:rPr>
        <w:t>监测结果</w:t>
      </w:r>
    </w:p>
    <w:p>
      <w:pPr>
        <w:ind w:firstLine="480"/>
        <w:rPr>
          <w:color w:val="auto"/>
        </w:rPr>
      </w:pPr>
      <w:r>
        <w:rPr>
          <w:rFonts w:hint="eastAsia"/>
          <w:color w:val="auto"/>
        </w:rPr>
        <w:t>地表水环境质量现状监测期间水文参数见表4.2-3，监测结果统计情况见表4.2-4</w:t>
      </w:r>
    </w:p>
    <w:p>
      <w:pPr>
        <w:pStyle w:val="2"/>
        <w:spacing w:after="0"/>
        <w:ind w:firstLine="0" w:firstLineChars="0"/>
        <w:jc w:val="center"/>
        <w:rPr>
          <w:rFonts w:eastAsia="黑体"/>
          <w:color w:val="auto"/>
          <w:sz w:val="21"/>
          <w:szCs w:val="21"/>
        </w:rPr>
      </w:pPr>
      <w:r>
        <w:rPr>
          <w:rFonts w:eastAsia="黑体"/>
          <w:color w:val="auto"/>
          <w:sz w:val="21"/>
          <w:szCs w:val="21"/>
        </w:rPr>
        <w:t>表4.2-3 地表水环境质量现状监测期间水文参数</w:t>
      </w:r>
    </w:p>
    <w:tbl>
      <w:tblPr>
        <w:tblStyle w:val="23"/>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5"/>
        <w:gridCol w:w="1545"/>
        <w:gridCol w:w="1547"/>
        <w:gridCol w:w="1547"/>
        <w:gridCol w:w="1547"/>
        <w:gridCol w:w="15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2" w:type="pct"/>
            <w:tcBorders>
              <w:tl2br w:val="nil"/>
              <w:tr2bl w:val="nil"/>
            </w:tcBorders>
            <w:vAlign w:val="center"/>
          </w:tcPr>
          <w:p>
            <w:pPr>
              <w:adjustRightInd w:val="0"/>
              <w:snapToGrid w:val="0"/>
              <w:spacing w:line="312" w:lineRule="atLeast"/>
              <w:ind w:firstLine="0" w:firstLineChars="0"/>
              <w:jc w:val="center"/>
              <w:rPr>
                <w:b/>
                <w:bCs/>
                <w:color w:val="auto"/>
                <w:sz w:val="21"/>
                <w:szCs w:val="21"/>
              </w:rPr>
            </w:pPr>
            <w:r>
              <w:rPr>
                <w:b/>
                <w:bCs/>
                <w:color w:val="auto"/>
                <w:sz w:val="21"/>
                <w:szCs w:val="21"/>
              </w:rPr>
              <w:t>采样日期</w:t>
            </w:r>
          </w:p>
        </w:tc>
        <w:tc>
          <w:tcPr>
            <w:tcW w:w="832" w:type="pct"/>
            <w:tcBorders>
              <w:tl2br w:val="nil"/>
              <w:tr2bl w:val="nil"/>
            </w:tcBorders>
            <w:vAlign w:val="center"/>
          </w:tcPr>
          <w:p>
            <w:pPr>
              <w:adjustRightInd w:val="0"/>
              <w:snapToGrid w:val="0"/>
              <w:spacing w:line="312" w:lineRule="atLeast"/>
              <w:ind w:firstLine="0" w:firstLineChars="0"/>
              <w:jc w:val="center"/>
              <w:rPr>
                <w:b/>
                <w:bCs/>
                <w:color w:val="auto"/>
                <w:sz w:val="21"/>
                <w:szCs w:val="21"/>
              </w:rPr>
            </w:pPr>
            <w:r>
              <w:rPr>
                <w:b/>
                <w:bCs/>
                <w:color w:val="auto"/>
                <w:sz w:val="21"/>
                <w:szCs w:val="21"/>
              </w:rPr>
              <w:t>检测点位</w:t>
            </w:r>
          </w:p>
        </w:tc>
        <w:tc>
          <w:tcPr>
            <w:tcW w:w="833" w:type="pct"/>
            <w:tcBorders>
              <w:tl2br w:val="nil"/>
              <w:tr2bl w:val="nil"/>
            </w:tcBorders>
            <w:vAlign w:val="center"/>
          </w:tcPr>
          <w:p>
            <w:pPr>
              <w:adjustRightInd w:val="0"/>
              <w:snapToGrid w:val="0"/>
              <w:spacing w:line="312" w:lineRule="atLeast"/>
              <w:ind w:firstLine="0" w:firstLineChars="0"/>
              <w:jc w:val="center"/>
              <w:rPr>
                <w:b/>
                <w:bCs/>
                <w:color w:val="auto"/>
                <w:sz w:val="21"/>
                <w:szCs w:val="21"/>
              </w:rPr>
            </w:pPr>
            <w:r>
              <w:rPr>
                <w:b/>
                <w:bCs/>
                <w:color w:val="auto"/>
                <w:sz w:val="21"/>
                <w:szCs w:val="21"/>
              </w:rPr>
              <w:t>水温</w:t>
            </w:r>
          </w:p>
          <w:p>
            <w:pPr>
              <w:adjustRightInd w:val="0"/>
              <w:snapToGrid w:val="0"/>
              <w:spacing w:line="312" w:lineRule="atLeast"/>
              <w:ind w:firstLine="0" w:firstLineChars="0"/>
              <w:jc w:val="center"/>
              <w:rPr>
                <w:b/>
                <w:bCs/>
                <w:color w:val="auto"/>
                <w:sz w:val="21"/>
                <w:szCs w:val="21"/>
              </w:rPr>
            </w:pPr>
            <w:r>
              <w:rPr>
                <w:b/>
                <w:bCs/>
                <w:color w:val="auto"/>
                <w:sz w:val="21"/>
                <w:szCs w:val="21"/>
              </w:rPr>
              <w:t>（℃）</w:t>
            </w:r>
          </w:p>
        </w:tc>
        <w:tc>
          <w:tcPr>
            <w:tcW w:w="833" w:type="pct"/>
            <w:tcBorders>
              <w:tl2br w:val="nil"/>
              <w:tr2bl w:val="nil"/>
            </w:tcBorders>
            <w:vAlign w:val="center"/>
          </w:tcPr>
          <w:p>
            <w:pPr>
              <w:adjustRightInd w:val="0"/>
              <w:snapToGrid w:val="0"/>
              <w:spacing w:line="312" w:lineRule="atLeast"/>
              <w:ind w:firstLine="0" w:firstLineChars="0"/>
              <w:jc w:val="center"/>
              <w:rPr>
                <w:b/>
                <w:bCs/>
                <w:color w:val="auto"/>
                <w:sz w:val="21"/>
                <w:szCs w:val="21"/>
              </w:rPr>
            </w:pPr>
            <w:r>
              <w:rPr>
                <w:b/>
                <w:bCs/>
                <w:color w:val="auto"/>
                <w:sz w:val="21"/>
                <w:szCs w:val="21"/>
              </w:rPr>
              <w:t>河宽</w:t>
            </w:r>
          </w:p>
          <w:p>
            <w:pPr>
              <w:adjustRightInd w:val="0"/>
              <w:snapToGrid w:val="0"/>
              <w:spacing w:line="312" w:lineRule="atLeast"/>
              <w:ind w:firstLine="0" w:firstLineChars="0"/>
              <w:jc w:val="center"/>
              <w:rPr>
                <w:b/>
                <w:bCs/>
                <w:color w:val="auto"/>
                <w:sz w:val="21"/>
                <w:szCs w:val="21"/>
              </w:rPr>
            </w:pPr>
            <w:r>
              <w:rPr>
                <w:b/>
                <w:bCs/>
                <w:color w:val="auto"/>
                <w:sz w:val="21"/>
                <w:szCs w:val="21"/>
              </w:rPr>
              <w:t>（m）</w:t>
            </w:r>
          </w:p>
        </w:tc>
        <w:tc>
          <w:tcPr>
            <w:tcW w:w="833" w:type="pct"/>
            <w:tcBorders>
              <w:tl2br w:val="nil"/>
              <w:tr2bl w:val="nil"/>
            </w:tcBorders>
            <w:vAlign w:val="center"/>
          </w:tcPr>
          <w:p>
            <w:pPr>
              <w:adjustRightInd w:val="0"/>
              <w:snapToGrid w:val="0"/>
              <w:spacing w:line="312" w:lineRule="atLeast"/>
              <w:ind w:firstLine="0" w:firstLineChars="0"/>
              <w:jc w:val="center"/>
              <w:rPr>
                <w:b/>
                <w:bCs/>
                <w:color w:val="auto"/>
                <w:sz w:val="21"/>
                <w:szCs w:val="21"/>
              </w:rPr>
            </w:pPr>
            <w:r>
              <w:rPr>
                <w:b/>
                <w:bCs/>
                <w:color w:val="auto"/>
                <w:sz w:val="21"/>
                <w:szCs w:val="21"/>
              </w:rPr>
              <w:t>水深</w:t>
            </w:r>
          </w:p>
          <w:p>
            <w:pPr>
              <w:adjustRightInd w:val="0"/>
              <w:snapToGrid w:val="0"/>
              <w:spacing w:line="312" w:lineRule="atLeast"/>
              <w:ind w:firstLine="0" w:firstLineChars="0"/>
              <w:jc w:val="center"/>
              <w:rPr>
                <w:b/>
                <w:bCs/>
                <w:color w:val="auto"/>
                <w:sz w:val="21"/>
                <w:szCs w:val="21"/>
              </w:rPr>
            </w:pPr>
            <w:r>
              <w:rPr>
                <w:b/>
                <w:bCs/>
                <w:color w:val="auto"/>
                <w:sz w:val="21"/>
                <w:szCs w:val="21"/>
              </w:rPr>
              <w:t>（m）</w:t>
            </w:r>
          </w:p>
        </w:tc>
        <w:tc>
          <w:tcPr>
            <w:tcW w:w="834" w:type="pct"/>
            <w:tcBorders>
              <w:tl2br w:val="nil"/>
              <w:tr2bl w:val="nil"/>
            </w:tcBorders>
            <w:vAlign w:val="center"/>
          </w:tcPr>
          <w:p>
            <w:pPr>
              <w:adjustRightInd w:val="0"/>
              <w:snapToGrid w:val="0"/>
              <w:spacing w:line="312" w:lineRule="atLeast"/>
              <w:ind w:firstLine="0" w:firstLineChars="0"/>
              <w:jc w:val="center"/>
              <w:rPr>
                <w:b/>
                <w:bCs/>
                <w:color w:val="auto"/>
                <w:sz w:val="21"/>
                <w:szCs w:val="21"/>
              </w:rPr>
            </w:pPr>
            <w:r>
              <w:rPr>
                <w:b/>
                <w:bCs/>
                <w:color w:val="auto"/>
                <w:sz w:val="21"/>
                <w:szCs w:val="21"/>
              </w:rPr>
              <w:t>流速</w:t>
            </w:r>
          </w:p>
          <w:p>
            <w:pPr>
              <w:adjustRightInd w:val="0"/>
              <w:snapToGrid w:val="0"/>
              <w:spacing w:line="312" w:lineRule="atLeast"/>
              <w:ind w:firstLine="0" w:firstLineChars="0"/>
              <w:jc w:val="center"/>
              <w:rPr>
                <w:b/>
                <w:bCs/>
                <w:color w:val="auto"/>
                <w:sz w:val="21"/>
                <w:szCs w:val="21"/>
              </w:rPr>
            </w:pPr>
            <w:r>
              <w:rPr>
                <w:b/>
                <w:bCs/>
                <w:color w:val="auto"/>
                <w:sz w:val="21"/>
                <w:szCs w:val="21"/>
              </w:rPr>
              <w:t>（m/s）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2"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2020.1.5</w:t>
            </w:r>
          </w:p>
        </w:tc>
        <w:tc>
          <w:tcPr>
            <w:tcW w:w="832"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2.7</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0.7</w:t>
            </w:r>
          </w:p>
        </w:tc>
        <w:tc>
          <w:tcPr>
            <w:tcW w:w="834"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2" w:type="pct"/>
            <w:vMerge w:val="continue"/>
            <w:tcBorders>
              <w:tl2br w:val="nil"/>
              <w:tr2bl w:val="nil"/>
            </w:tcBorders>
            <w:vAlign w:val="center"/>
          </w:tcPr>
          <w:p>
            <w:pPr>
              <w:spacing w:line="312" w:lineRule="exact"/>
              <w:ind w:firstLine="0" w:firstLineChars="0"/>
              <w:jc w:val="center"/>
              <w:rPr>
                <w:color w:val="auto"/>
                <w:sz w:val="21"/>
                <w:szCs w:val="21"/>
              </w:rPr>
            </w:pPr>
          </w:p>
        </w:tc>
        <w:tc>
          <w:tcPr>
            <w:tcW w:w="832" w:type="pct"/>
            <w:vMerge w:val="continue"/>
            <w:tcBorders>
              <w:tl2br w:val="nil"/>
              <w:tr2bl w:val="nil"/>
            </w:tcBorders>
            <w:vAlign w:val="center"/>
          </w:tcPr>
          <w:p>
            <w:pPr>
              <w:spacing w:line="312" w:lineRule="exact"/>
              <w:ind w:firstLine="0" w:firstLineChars="0"/>
              <w:jc w:val="center"/>
              <w:rPr>
                <w:color w:val="auto"/>
                <w:sz w:val="21"/>
                <w:szCs w:val="21"/>
              </w:rPr>
            </w:pP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2.4</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0.7</w:t>
            </w:r>
          </w:p>
        </w:tc>
        <w:tc>
          <w:tcPr>
            <w:tcW w:w="834"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2" w:type="pct"/>
            <w:vMerge w:val="continue"/>
            <w:tcBorders>
              <w:tl2br w:val="nil"/>
              <w:tr2bl w:val="nil"/>
            </w:tcBorders>
            <w:vAlign w:val="center"/>
          </w:tcPr>
          <w:p>
            <w:pPr>
              <w:spacing w:line="312" w:lineRule="exact"/>
              <w:ind w:firstLine="0" w:firstLineChars="0"/>
              <w:jc w:val="center"/>
              <w:rPr>
                <w:color w:val="auto"/>
                <w:sz w:val="21"/>
                <w:szCs w:val="21"/>
              </w:rPr>
            </w:pPr>
          </w:p>
        </w:tc>
        <w:tc>
          <w:tcPr>
            <w:tcW w:w="832"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2#</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2.6</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0.6</w:t>
            </w:r>
          </w:p>
        </w:tc>
        <w:tc>
          <w:tcPr>
            <w:tcW w:w="834"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2" w:type="pct"/>
            <w:vMerge w:val="continue"/>
            <w:tcBorders>
              <w:tl2br w:val="nil"/>
              <w:tr2bl w:val="nil"/>
            </w:tcBorders>
            <w:vAlign w:val="center"/>
          </w:tcPr>
          <w:p>
            <w:pPr>
              <w:spacing w:line="312" w:lineRule="exact"/>
              <w:ind w:firstLine="0" w:firstLineChars="0"/>
              <w:jc w:val="center"/>
              <w:rPr>
                <w:color w:val="auto"/>
                <w:sz w:val="21"/>
                <w:szCs w:val="21"/>
              </w:rPr>
            </w:pPr>
          </w:p>
        </w:tc>
        <w:tc>
          <w:tcPr>
            <w:tcW w:w="832" w:type="pct"/>
            <w:vMerge w:val="continue"/>
            <w:tcBorders>
              <w:tl2br w:val="nil"/>
              <w:tr2bl w:val="nil"/>
            </w:tcBorders>
            <w:vAlign w:val="center"/>
          </w:tcPr>
          <w:p>
            <w:pPr>
              <w:spacing w:line="312" w:lineRule="exact"/>
              <w:ind w:firstLine="0" w:firstLineChars="0"/>
              <w:jc w:val="center"/>
              <w:rPr>
                <w:color w:val="auto"/>
                <w:sz w:val="21"/>
                <w:szCs w:val="21"/>
              </w:rPr>
            </w:pP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2.4</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0.6</w:t>
            </w:r>
          </w:p>
        </w:tc>
        <w:tc>
          <w:tcPr>
            <w:tcW w:w="834"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2"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2022.4.17</w:t>
            </w:r>
          </w:p>
        </w:tc>
        <w:tc>
          <w:tcPr>
            <w:tcW w:w="832"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15.8</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11.3</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3.8</w:t>
            </w:r>
          </w:p>
        </w:tc>
        <w:tc>
          <w:tcPr>
            <w:tcW w:w="834"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2" w:type="pct"/>
            <w:vMerge w:val="continue"/>
            <w:tcBorders>
              <w:tl2br w:val="nil"/>
              <w:tr2bl w:val="nil"/>
            </w:tcBorders>
            <w:vAlign w:val="center"/>
          </w:tcPr>
          <w:p>
            <w:pPr>
              <w:spacing w:line="312" w:lineRule="exact"/>
              <w:ind w:firstLine="0" w:firstLineChars="0"/>
              <w:jc w:val="center"/>
              <w:rPr>
                <w:color w:val="auto"/>
                <w:sz w:val="21"/>
                <w:szCs w:val="21"/>
              </w:rPr>
            </w:pPr>
          </w:p>
        </w:tc>
        <w:tc>
          <w:tcPr>
            <w:tcW w:w="832"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2#</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16.1</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15.4</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3.5</w:t>
            </w:r>
          </w:p>
        </w:tc>
        <w:tc>
          <w:tcPr>
            <w:tcW w:w="834"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2"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2022.4.18</w:t>
            </w:r>
          </w:p>
        </w:tc>
        <w:tc>
          <w:tcPr>
            <w:tcW w:w="832"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16.3</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11.3</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3.6</w:t>
            </w:r>
          </w:p>
        </w:tc>
        <w:tc>
          <w:tcPr>
            <w:tcW w:w="834"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2" w:type="pct"/>
            <w:vMerge w:val="continue"/>
            <w:tcBorders>
              <w:tl2br w:val="nil"/>
              <w:tr2bl w:val="nil"/>
            </w:tcBorders>
            <w:vAlign w:val="center"/>
          </w:tcPr>
          <w:p>
            <w:pPr>
              <w:spacing w:line="312" w:lineRule="exact"/>
              <w:ind w:firstLine="0" w:firstLineChars="0"/>
              <w:jc w:val="center"/>
              <w:rPr>
                <w:color w:val="auto"/>
                <w:sz w:val="21"/>
                <w:szCs w:val="21"/>
              </w:rPr>
            </w:pPr>
          </w:p>
        </w:tc>
        <w:tc>
          <w:tcPr>
            <w:tcW w:w="832"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2#</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16.1</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15.4</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3.4</w:t>
            </w:r>
          </w:p>
        </w:tc>
        <w:tc>
          <w:tcPr>
            <w:tcW w:w="834"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2"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2022.4.19</w:t>
            </w:r>
          </w:p>
        </w:tc>
        <w:tc>
          <w:tcPr>
            <w:tcW w:w="832"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18.2</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11.3</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3.8</w:t>
            </w:r>
          </w:p>
        </w:tc>
        <w:tc>
          <w:tcPr>
            <w:tcW w:w="834"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2" w:type="pct"/>
            <w:vMerge w:val="continue"/>
            <w:tcBorders>
              <w:tl2br w:val="nil"/>
              <w:tr2bl w:val="nil"/>
            </w:tcBorders>
            <w:vAlign w:val="center"/>
          </w:tcPr>
          <w:p>
            <w:pPr>
              <w:spacing w:line="312" w:lineRule="exact"/>
              <w:ind w:firstLine="0" w:firstLineChars="0"/>
              <w:jc w:val="center"/>
              <w:rPr>
                <w:color w:val="auto"/>
                <w:sz w:val="21"/>
                <w:szCs w:val="21"/>
              </w:rPr>
            </w:pPr>
          </w:p>
        </w:tc>
        <w:tc>
          <w:tcPr>
            <w:tcW w:w="832"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2#</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17.3</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15.4</w:t>
            </w:r>
          </w:p>
        </w:tc>
        <w:tc>
          <w:tcPr>
            <w:tcW w:w="83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3.9</w:t>
            </w:r>
          </w:p>
        </w:tc>
        <w:tc>
          <w:tcPr>
            <w:tcW w:w="834"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1.3</w:t>
            </w:r>
          </w:p>
        </w:tc>
      </w:tr>
    </w:tbl>
    <w:p>
      <w:pPr>
        <w:pStyle w:val="2"/>
        <w:spacing w:after="0"/>
        <w:ind w:firstLine="0" w:firstLineChars="0"/>
        <w:jc w:val="center"/>
        <w:rPr>
          <w:rFonts w:eastAsia="黑体"/>
          <w:color w:val="auto"/>
          <w:sz w:val="21"/>
          <w:szCs w:val="21"/>
        </w:rPr>
      </w:pPr>
      <w:r>
        <w:rPr>
          <w:rFonts w:hint="eastAsia" w:eastAsia="黑体"/>
          <w:color w:val="auto"/>
          <w:sz w:val="21"/>
          <w:szCs w:val="21"/>
        </w:rPr>
        <w:t>表4.2-4 地表水监测数据一览表</w:t>
      </w:r>
    </w:p>
    <w:tbl>
      <w:tblPr>
        <w:tblStyle w:val="23"/>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02"/>
        <w:gridCol w:w="1580"/>
        <w:gridCol w:w="1585"/>
        <w:gridCol w:w="1600"/>
        <w:gridCol w:w="16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3"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采样日期</w:t>
            </w:r>
          </w:p>
        </w:tc>
        <w:tc>
          <w:tcPr>
            <w:tcW w:w="3436" w:type="pct"/>
            <w:gridSpan w:val="4"/>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2020.1.5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3"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检测点位</w:t>
            </w:r>
          </w:p>
        </w:tc>
        <w:tc>
          <w:tcPr>
            <w:tcW w:w="1705" w:type="pct"/>
            <w:gridSpan w:val="2"/>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1#</w:t>
            </w:r>
          </w:p>
        </w:tc>
        <w:tc>
          <w:tcPr>
            <w:tcW w:w="1730" w:type="pct"/>
            <w:gridSpan w:val="2"/>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3"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检测时间/频次</w:t>
            </w:r>
          </w:p>
        </w:tc>
        <w:tc>
          <w:tcPr>
            <w:tcW w:w="851"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第一次</w:t>
            </w:r>
          </w:p>
        </w:tc>
        <w:tc>
          <w:tcPr>
            <w:tcW w:w="854"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第二次</w:t>
            </w:r>
          </w:p>
        </w:tc>
        <w:tc>
          <w:tcPr>
            <w:tcW w:w="8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第一次</w:t>
            </w:r>
          </w:p>
        </w:tc>
        <w:tc>
          <w:tcPr>
            <w:tcW w:w="867"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第二次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3"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 xml:space="preserve">pH（无量纲） </w:t>
            </w:r>
          </w:p>
        </w:tc>
        <w:tc>
          <w:tcPr>
            <w:tcW w:w="851"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7.21</w:t>
            </w:r>
          </w:p>
        </w:tc>
        <w:tc>
          <w:tcPr>
            <w:tcW w:w="854"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7.23</w:t>
            </w:r>
          </w:p>
        </w:tc>
        <w:tc>
          <w:tcPr>
            <w:tcW w:w="8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7.32</w:t>
            </w:r>
          </w:p>
        </w:tc>
        <w:tc>
          <w:tcPr>
            <w:tcW w:w="867"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7.34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3"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化学需氧量</w:t>
            </w:r>
          </w:p>
        </w:tc>
        <w:tc>
          <w:tcPr>
            <w:tcW w:w="851"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30</w:t>
            </w:r>
          </w:p>
        </w:tc>
        <w:tc>
          <w:tcPr>
            <w:tcW w:w="854"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31</w:t>
            </w:r>
          </w:p>
        </w:tc>
        <w:tc>
          <w:tcPr>
            <w:tcW w:w="8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29</w:t>
            </w:r>
          </w:p>
        </w:tc>
        <w:tc>
          <w:tcPr>
            <w:tcW w:w="867"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3"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五日生化需氧量</w:t>
            </w:r>
          </w:p>
        </w:tc>
        <w:tc>
          <w:tcPr>
            <w:tcW w:w="851"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5.8</w:t>
            </w:r>
          </w:p>
        </w:tc>
        <w:tc>
          <w:tcPr>
            <w:tcW w:w="854"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5.9</w:t>
            </w:r>
          </w:p>
        </w:tc>
        <w:tc>
          <w:tcPr>
            <w:tcW w:w="8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5.7</w:t>
            </w:r>
          </w:p>
        </w:tc>
        <w:tc>
          <w:tcPr>
            <w:tcW w:w="867"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563"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氨氮</w:t>
            </w:r>
          </w:p>
        </w:tc>
        <w:tc>
          <w:tcPr>
            <w:tcW w:w="851"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0.293</w:t>
            </w:r>
          </w:p>
        </w:tc>
        <w:tc>
          <w:tcPr>
            <w:tcW w:w="854"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0.298</w:t>
            </w:r>
          </w:p>
        </w:tc>
        <w:tc>
          <w:tcPr>
            <w:tcW w:w="8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0.359</w:t>
            </w:r>
          </w:p>
        </w:tc>
        <w:tc>
          <w:tcPr>
            <w:tcW w:w="867"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0.367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3"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挥发酚</w:t>
            </w:r>
          </w:p>
        </w:tc>
        <w:tc>
          <w:tcPr>
            <w:tcW w:w="851"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ND</w:t>
            </w:r>
          </w:p>
        </w:tc>
        <w:tc>
          <w:tcPr>
            <w:tcW w:w="854"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ND</w:t>
            </w:r>
          </w:p>
        </w:tc>
        <w:tc>
          <w:tcPr>
            <w:tcW w:w="8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ND</w:t>
            </w:r>
          </w:p>
        </w:tc>
        <w:tc>
          <w:tcPr>
            <w:tcW w:w="867"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3"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石油类</w:t>
            </w:r>
          </w:p>
        </w:tc>
        <w:tc>
          <w:tcPr>
            <w:tcW w:w="851"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0.52</w:t>
            </w:r>
          </w:p>
        </w:tc>
        <w:tc>
          <w:tcPr>
            <w:tcW w:w="854"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0.55</w:t>
            </w:r>
          </w:p>
        </w:tc>
        <w:tc>
          <w:tcPr>
            <w:tcW w:w="8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0.43</w:t>
            </w:r>
          </w:p>
        </w:tc>
        <w:tc>
          <w:tcPr>
            <w:tcW w:w="867"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3"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硫化物</w:t>
            </w:r>
          </w:p>
        </w:tc>
        <w:tc>
          <w:tcPr>
            <w:tcW w:w="851"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0.03.5</w:t>
            </w:r>
          </w:p>
        </w:tc>
        <w:tc>
          <w:tcPr>
            <w:tcW w:w="854"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0.039</w:t>
            </w:r>
          </w:p>
        </w:tc>
        <w:tc>
          <w:tcPr>
            <w:tcW w:w="8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0.061</w:t>
            </w:r>
          </w:p>
        </w:tc>
        <w:tc>
          <w:tcPr>
            <w:tcW w:w="867"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0.057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3"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总磷</w:t>
            </w:r>
          </w:p>
        </w:tc>
        <w:tc>
          <w:tcPr>
            <w:tcW w:w="851"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0.104</w:t>
            </w:r>
          </w:p>
        </w:tc>
        <w:tc>
          <w:tcPr>
            <w:tcW w:w="854" w:type="pct"/>
            <w:tcBorders>
              <w:tl2br w:val="nil"/>
              <w:tr2bl w:val="nil"/>
            </w:tcBorders>
            <w:vAlign w:val="center"/>
          </w:tcPr>
          <w:p>
            <w:pPr>
              <w:pStyle w:val="2"/>
              <w:spacing w:after="0" w:line="312" w:lineRule="exact"/>
              <w:ind w:firstLine="0" w:firstLineChars="0"/>
              <w:jc w:val="center"/>
              <w:rPr>
                <w:rFonts w:hint="eastAsia" w:eastAsia="宋体"/>
                <w:color w:val="auto"/>
                <w:sz w:val="21"/>
                <w:szCs w:val="21"/>
                <w:lang w:eastAsia="zh-CN"/>
              </w:rPr>
            </w:pPr>
            <w:r>
              <w:rPr>
                <w:color w:val="auto"/>
                <w:sz w:val="21"/>
                <w:szCs w:val="21"/>
              </w:rPr>
              <w:t>0.</w:t>
            </w:r>
            <w:r>
              <w:rPr>
                <w:rFonts w:hint="eastAsia"/>
                <w:color w:val="auto"/>
                <w:sz w:val="21"/>
                <w:szCs w:val="21"/>
                <w:lang w:eastAsia="zh-CN"/>
              </w:rPr>
              <w:t>15</w:t>
            </w:r>
          </w:p>
        </w:tc>
        <w:tc>
          <w:tcPr>
            <w:tcW w:w="8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0.115</w:t>
            </w:r>
          </w:p>
        </w:tc>
        <w:tc>
          <w:tcPr>
            <w:tcW w:w="867"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3"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总氮</w:t>
            </w:r>
          </w:p>
        </w:tc>
        <w:tc>
          <w:tcPr>
            <w:tcW w:w="851"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12.1</w:t>
            </w:r>
          </w:p>
        </w:tc>
        <w:tc>
          <w:tcPr>
            <w:tcW w:w="854"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12.0</w:t>
            </w:r>
          </w:p>
        </w:tc>
        <w:tc>
          <w:tcPr>
            <w:tcW w:w="8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13.0</w:t>
            </w:r>
          </w:p>
        </w:tc>
        <w:tc>
          <w:tcPr>
            <w:tcW w:w="867"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13.1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3"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溶解氧</w:t>
            </w:r>
          </w:p>
        </w:tc>
        <w:tc>
          <w:tcPr>
            <w:tcW w:w="851"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4.7</w:t>
            </w:r>
          </w:p>
        </w:tc>
        <w:tc>
          <w:tcPr>
            <w:tcW w:w="854"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4.9</w:t>
            </w:r>
          </w:p>
        </w:tc>
        <w:tc>
          <w:tcPr>
            <w:tcW w:w="8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4.2</w:t>
            </w:r>
          </w:p>
        </w:tc>
        <w:tc>
          <w:tcPr>
            <w:tcW w:w="867"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3"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高锰酸盐指数</w:t>
            </w:r>
          </w:p>
        </w:tc>
        <w:tc>
          <w:tcPr>
            <w:tcW w:w="851"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4.8</w:t>
            </w:r>
          </w:p>
        </w:tc>
        <w:tc>
          <w:tcPr>
            <w:tcW w:w="854"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4.8</w:t>
            </w:r>
          </w:p>
        </w:tc>
        <w:tc>
          <w:tcPr>
            <w:tcW w:w="8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4.8</w:t>
            </w:r>
          </w:p>
        </w:tc>
        <w:tc>
          <w:tcPr>
            <w:tcW w:w="867"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563"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 xml:space="preserve">阴离子表面活性剂 </w:t>
            </w:r>
          </w:p>
        </w:tc>
        <w:tc>
          <w:tcPr>
            <w:tcW w:w="851"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0.164</w:t>
            </w:r>
          </w:p>
        </w:tc>
        <w:tc>
          <w:tcPr>
            <w:tcW w:w="854"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0.161</w:t>
            </w:r>
          </w:p>
        </w:tc>
        <w:tc>
          <w:tcPr>
            <w:tcW w:w="8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0.170</w:t>
            </w:r>
          </w:p>
        </w:tc>
        <w:tc>
          <w:tcPr>
            <w:tcW w:w="867"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0.172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3"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镍</w:t>
            </w:r>
          </w:p>
        </w:tc>
        <w:tc>
          <w:tcPr>
            <w:tcW w:w="851"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ND</w:t>
            </w:r>
          </w:p>
        </w:tc>
        <w:tc>
          <w:tcPr>
            <w:tcW w:w="854"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ND</w:t>
            </w:r>
          </w:p>
        </w:tc>
        <w:tc>
          <w:tcPr>
            <w:tcW w:w="8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ND</w:t>
            </w:r>
          </w:p>
        </w:tc>
        <w:tc>
          <w:tcPr>
            <w:tcW w:w="867"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3"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铜</w:t>
            </w:r>
          </w:p>
        </w:tc>
        <w:tc>
          <w:tcPr>
            <w:tcW w:w="851"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ND</w:t>
            </w:r>
          </w:p>
        </w:tc>
        <w:tc>
          <w:tcPr>
            <w:tcW w:w="854"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ND</w:t>
            </w:r>
          </w:p>
        </w:tc>
        <w:tc>
          <w:tcPr>
            <w:tcW w:w="8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ND</w:t>
            </w:r>
          </w:p>
        </w:tc>
        <w:tc>
          <w:tcPr>
            <w:tcW w:w="867"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3"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总铬</w:t>
            </w:r>
          </w:p>
        </w:tc>
        <w:tc>
          <w:tcPr>
            <w:tcW w:w="851"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0.007</w:t>
            </w:r>
          </w:p>
        </w:tc>
        <w:tc>
          <w:tcPr>
            <w:tcW w:w="854"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0.005</w:t>
            </w:r>
          </w:p>
        </w:tc>
        <w:tc>
          <w:tcPr>
            <w:tcW w:w="8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0.006</w:t>
            </w:r>
          </w:p>
        </w:tc>
        <w:tc>
          <w:tcPr>
            <w:tcW w:w="867"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3"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六价铬</w:t>
            </w:r>
          </w:p>
        </w:tc>
        <w:tc>
          <w:tcPr>
            <w:tcW w:w="851"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ND</w:t>
            </w:r>
          </w:p>
        </w:tc>
        <w:tc>
          <w:tcPr>
            <w:tcW w:w="854"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ND</w:t>
            </w:r>
          </w:p>
        </w:tc>
        <w:tc>
          <w:tcPr>
            <w:tcW w:w="8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ND</w:t>
            </w:r>
          </w:p>
        </w:tc>
        <w:tc>
          <w:tcPr>
            <w:tcW w:w="867"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3"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全盐量</w:t>
            </w:r>
          </w:p>
        </w:tc>
        <w:tc>
          <w:tcPr>
            <w:tcW w:w="851"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1.82×10</w:t>
            </w:r>
            <w:r>
              <w:rPr>
                <w:color w:val="auto"/>
                <w:sz w:val="21"/>
                <w:szCs w:val="21"/>
                <w:vertAlign w:val="superscript"/>
              </w:rPr>
              <w:t>3</w:t>
            </w:r>
          </w:p>
        </w:tc>
        <w:tc>
          <w:tcPr>
            <w:tcW w:w="854"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1.81×10</w:t>
            </w:r>
            <w:r>
              <w:rPr>
                <w:color w:val="auto"/>
                <w:sz w:val="21"/>
                <w:szCs w:val="21"/>
                <w:vertAlign w:val="superscript"/>
              </w:rPr>
              <w:t>3</w:t>
            </w:r>
          </w:p>
        </w:tc>
        <w:tc>
          <w:tcPr>
            <w:tcW w:w="8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2.15×10</w:t>
            </w:r>
            <w:r>
              <w:rPr>
                <w:color w:val="auto"/>
                <w:sz w:val="21"/>
                <w:szCs w:val="21"/>
                <w:vertAlign w:val="superscript"/>
              </w:rPr>
              <w:t>3</w:t>
            </w:r>
          </w:p>
        </w:tc>
        <w:tc>
          <w:tcPr>
            <w:tcW w:w="867"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2.17×10</w:t>
            </w:r>
            <w:r>
              <w:rPr>
                <w:color w:val="auto"/>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3"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氟化物</w:t>
            </w:r>
          </w:p>
        </w:tc>
        <w:tc>
          <w:tcPr>
            <w:tcW w:w="851"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1.06</w:t>
            </w:r>
          </w:p>
        </w:tc>
        <w:tc>
          <w:tcPr>
            <w:tcW w:w="854"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1.05</w:t>
            </w:r>
          </w:p>
        </w:tc>
        <w:tc>
          <w:tcPr>
            <w:tcW w:w="8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1.11</w:t>
            </w:r>
          </w:p>
        </w:tc>
        <w:tc>
          <w:tcPr>
            <w:tcW w:w="867"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1.10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3"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氰化物</w:t>
            </w:r>
          </w:p>
        </w:tc>
        <w:tc>
          <w:tcPr>
            <w:tcW w:w="851"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0.005</w:t>
            </w:r>
          </w:p>
        </w:tc>
        <w:tc>
          <w:tcPr>
            <w:tcW w:w="854"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0.005</w:t>
            </w:r>
          </w:p>
        </w:tc>
        <w:tc>
          <w:tcPr>
            <w:tcW w:w="8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0.005</w:t>
            </w:r>
          </w:p>
        </w:tc>
        <w:tc>
          <w:tcPr>
            <w:tcW w:w="867"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0.005</w:t>
            </w:r>
          </w:p>
        </w:tc>
      </w:tr>
    </w:tbl>
    <w:p>
      <w:pPr>
        <w:pStyle w:val="2"/>
        <w:spacing w:after="0"/>
        <w:ind w:firstLine="0" w:firstLineChars="0"/>
        <w:jc w:val="center"/>
        <w:rPr>
          <w:rFonts w:eastAsia="黑体"/>
          <w:color w:val="auto"/>
          <w:sz w:val="21"/>
          <w:szCs w:val="21"/>
        </w:rPr>
      </w:pPr>
      <w:bookmarkStart w:id="252" w:name="_Toc11652"/>
      <w:bookmarkStart w:id="253" w:name="_Toc11156"/>
      <w:r>
        <w:rPr>
          <w:rFonts w:hint="eastAsia" w:eastAsia="黑体"/>
          <w:color w:val="auto"/>
          <w:sz w:val="21"/>
          <w:szCs w:val="21"/>
        </w:rPr>
        <w:t>表4.2-</w:t>
      </w:r>
      <w:r>
        <w:rPr>
          <w:rFonts w:hint="eastAsia" w:eastAsia="黑体"/>
          <w:color w:val="auto"/>
          <w:sz w:val="21"/>
          <w:szCs w:val="21"/>
          <w:lang w:val="en-US" w:eastAsia="zh-CN"/>
        </w:rPr>
        <w:t>5</w:t>
      </w:r>
      <w:r>
        <w:rPr>
          <w:rFonts w:hint="eastAsia" w:eastAsia="黑体"/>
          <w:color w:val="auto"/>
          <w:sz w:val="21"/>
          <w:szCs w:val="21"/>
        </w:rPr>
        <w:t xml:space="preserve"> 地表水</w:t>
      </w:r>
      <w:r>
        <w:rPr>
          <w:rFonts w:hint="eastAsia" w:eastAsia="黑体"/>
          <w:color w:val="auto"/>
          <w:sz w:val="21"/>
          <w:szCs w:val="21"/>
          <w:lang w:val="en-US" w:eastAsia="zh-CN"/>
        </w:rPr>
        <w:t>补充</w:t>
      </w:r>
      <w:r>
        <w:rPr>
          <w:rFonts w:hint="eastAsia" w:eastAsia="黑体"/>
          <w:color w:val="auto"/>
          <w:sz w:val="21"/>
          <w:szCs w:val="21"/>
        </w:rPr>
        <w:t>监测数据一览表</w:t>
      </w:r>
    </w:p>
    <w:tbl>
      <w:tblPr>
        <w:tblStyle w:val="2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03"/>
        <w:gridCol w:w="1225"/>
        <w:gridCol w:w="1073"/>
        <w:gridCol w:w="954"/>
        <w:gridCol w:w="1019"/>
        <w:gridCol w:w="1030"/>
        <w:gridCol w:w="10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4"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采样日期</w:t>
            </w:r>
          </w:p>
        </w:tc>
        <w:tc>
          <w:tcPr>
            <w:tcW w:w="1238" w:type="pct"/>
            <w:gridSpan w:val="2"/>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2022.4.17</w:t>
            </w:r>
          </w:p>
        </w:tc>
        <w:tc>
          <w:tcPr>
            <w:tcW w:w="1063" w:type="pct"/>
            <w:gridSpan w:val="2"/>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2022.4.18</w:t>
            </w:r>
          </w:p>
        </w:tc>
        <w:tc>
          <w:tcPr>
            <w:tcW w:w="1133" w:type="pct"/>
            <w:gridSpan w:val="2"/>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2022.4.19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4"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检测点位</w:t>
            </w:r>
          </w:p>
        </w:tc>
        <w:tc>
          <w:tcPr>
            <w:tcW w:w="660"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1#</w:t>
            </w:r>
          </w:p>
        </w:tc>
        <w:tc>
          <w:tcPr>
            <w:tcW w:w="578"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2#</w:t>
            </w:r>
          </w:p>
        </w:tc>
        <w:tc>
          <w:tcPr>
            <w:tcW w:w="514"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1#</w:t>
            </w:r>
          </w:p>
        </w:tc>
        <w:tc>
          <w:tcPr>
            <w:tcW w:w="549"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2#</w:t>
            </w:r>
          </w:p>
        </w:tc>
        <w:tc>
          <w:tcPr>
            <w:tcW w:w="555"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1#</w:t>
            </w:r>
          </w:p>
        </w:tc>
        <w:tc>
          <w:tcPr>
            <w:tcW w:w="578"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4" w:type="pct"/>
            <w:tcBorders>
              <w:tl2br w:val="nil"/>
              <w:tr2bl w:val="nil"/>
            </w:tcBorders>
            <w:vAlign w:val="center"/>
          </w:tcPr>
          <w:p>
            <w:pPr>
              <w:widowControl/>
              <w:ind w:firstLine="0" w:firstLineChars="0"/>
              <w:jc w:val="center"/>
              <w:textAlignment w:val="center"/>
              <w:rPr>
                <w:color w:val="auto"/>
                <w:sz w:val="21"/>
                <w:szCs w:val="21"/>
              </w:rPr>
            </w:pPr>
            <w:r>
              <w:rPr>
                <w:color w:val="auto"/>
                <w:kern w:val="0"/>
                <w:sz w:val="21"/>
                <w:szCs w:val="21"/>
                <w:lang w:bidi="ar"/>
              </w:rPr>
              <w:t>锌</w:t>
            </w:r>
          </w:p>
        </w:tc>
        <w:tc>
          <w:tcPr>
            <w:tcW w:w="660" w:type="pct"/>
            <w:tcBorders>
              <w:tl2br w:val="nil"/>
              <w:tr2bl w:val="nil"/>
            </w:tcBorders>
            <w:vAlign w:val="center"/>
          </w:tcPr>
          <w:p>
            <w:pPr>
              <w:widowControl/>
              <w:ind w:firstLine="0" w:firstLineChars="0"/>
              <w:jc w:val="center"/>
              <w:textAlignment w:val="center"/>
              <w:rPr>
                <w:color w:val="auto"/>
                <w:sz w:val="21"/>
                <w:szCs w:val="21"/>
              </w:rPr>
            </w:pPr>
            <w:r>
              <w:rPr>
                <w:color w:val="auto"/>
                <w:kern w:val="0"/>
                <w:sz w:val="21"/>
                <w:szCs w:val="21"/>
                <w:lang w:bidi="ar"/>
              </w:rPr>
              <w:t>1.52</w:t>
            </w:r>
          </w:p>
        </w:tc>
        <w:tc>
          <w:tcPr>
            <w:tcW w:w="57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6.02</w:t>
            </w:r>
          </w:p>
        </w:tc>
        <w:tc>
          <w:tcPr>
            <w:tcW w:w="514" w:type="pct"/>
            <w:tcBorders>
              <w:tl2br w:val="nil"/>
              <w:tr2bl w:val="nil"/>
            </w:tcBorders>
            <w:vAlign w:val="center"/>
          </w:tcPr>
          <w:p>
            <w:pPr>
              <w:widowControl/>
              <w:ind w:firstLine="0" w:firstLineChars="0"/>
              <w:jc w:val="center"/>
              <w:textAlignment w:val="center"/>
              <w:rPr>
                <w:color w:val="auto"/>
                <w:sz w:val="21"/>
                <w:szCs w:val="21"/>
              </w:rPr>
            </w:pPr>
            <w:r>
              <w:rPr>
                <w:color w:val="auto"/>
                <w:kern w:val="0"/>
                <w:sz w:val="21"/>
                <w:szCs w:val="21"/>
                <w:lang w:bidi="ar"/>
              </w:rPr>
              <w:t>11.2</w:t>
            </w:r>
          </w:p>
        </w:tc>
        <w:tc>
          <w:tcPr>
            <w:tcW w:w="549"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27.2</w:t>
            </w:r>
          </w:p>
        </w:tc>
        <w:tc>
          <w:tcPr>
            <w:tcW w:w="555" w:type="pct"/>
            <w:tcBorders>
              <w:tl2br w:val="nil"/>
              <w:tr2bl w:val="nil"/>
            </w:tcBorders>
            <w:vAlign w:val="center"/>
          </w:tcPr>
          <w:p>
            <w:pPr>
              <w:widowControl/>
              <w:ind w:firstLine="0" w:firstLineChars="0"/>
              <w:jc w:val="center"/>
              <w:textAlignment w:val="center"/>
              <w:rPr>
                <w:color w:val="auto"/>
                <w:sz w:val="21"/>
                <w:szCs w:val="21"/>
              </w:rPr>
            </w:pPr>
            <w:r>
              <w:rPr>
                <w:color w:val="auto"/>
                <w:kern w:val="0"/>
                <w:sz w:val="21"/>
                <w:szCs w:val="21"/>
                <w:lang w:bidi="ar"/>
              </w:rPr>
              <w:t>8.56</w:t>
            </w:r>
          </w:p>
        </w:tc>
        <w:tc>
          <w:tcPr>
            <w:tcW w:w="57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25.2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4" w:type="pct"/>
            <w:tcBorders>
              <w:tl2br w:val="nil"/>
              <w:tr2bl w:val="nil"/>
            </w:tcBorders>
            <w:vAlign w:val="center"/>
          </w:tcPr>
          <w:p>
            <w:pPr>
              <w:widowControl/>
              <w:ind w:firstLine="0" w:firstLineChars="0"/>
              <w:jc w:val="center"/>
              <w:textAlignment w:val="center"/>
              <w:rPr>
                <w:color w:val="auto"/>
                <w:sz w:val="21"/>
                <w:szCs w:val="21"/>
              </w:rPr>
            </w:pPr>
            <w:r>
              <w:rPr>
                <w:color w:val="auto"/>
                <w:kern w:val="0"/>
                <w:sz w:val="21"/>
                <w:szCs w:val="21"/>
                <w:lang w:bidi="ar"/>
              </w:rPr>
              <w:t>铁</w:t>
            </w:r>
          </w:p>
        </w:tc>
        <w:tc>
          <w:tcPr>
            <w:tcW w:w="660" w:type="pct"/>
            <w:tcBorders>
              <w:tl2br w:val="nil"/>
              <w:tr2bl w:val="nil"/>
            </w:tcBorders>
            <w:vAlign w:val="center"/>
          </w:tcPr>
          <w:p>
            <w:pPr>
              <w:widowControl/>
              <w:ind w:firstLine="0" w:firstLineChars="0"/>
              <w:jc w:val="center"/>
              <w:textAlignment w:val="center"/>
              <w:rPr>
                <w:color w:val="auto"/>
                <w:sz w:val="21"/>
                <w:szCs w:val="21"/>
              </w:rPr>
            </w:pPr>
            <w:r>
              <w:rPr>
                <w:color w:val="auto"/>
                <w:kern w:val="0"/>
                <w:sz w:val="21"/>
                <w:szCs w:val="21"/>
                <w:lang w:bidi="ar"/>
              </w:rPr>
              <w:t>3.22</w:t>
            </w:r>
          </w:p>
        </w:tc>
        <w:tc>
          <w:tcPr>
            <w:tcW w:w="57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18.4</w:t>
            </w:r>
          </w:p>
        </w:tc>
        <w:tc>
          <w:tcPr>
            <w:tcW w:w="514" w:type="pct"/>
            <w:tcBorders>
              <w:tl2br w:val="nil"/>
              <w:tr2bl w:val="nil"/>
            </w:tcBorders>
            <w:vAlign w:val="center"/>
          </w:tcPr>
          <w:p>
            <w:pPr>
              <w:widowControl/>
              <w:ind w:firstLine="0" w:firstLineChars="0"/>
              <w:jc w:val="center"/>
              <w:textAlignment w:val="center"/>
              <w:rPr>
                <w:color w:val="auto"/>
                <w:sz w:val="21"/>
                <w:szCs w:val="21"/>
              </w:rPr>
            </w:pPr>
            <w:r>
              <w:rPr>
                <w:color w:val="auto"/>
                <w:kern w:val="0"/>
                <w:sz w:val="21"/>
                <w:szCs w:val="21"/>
                <w:lang w:bidi="ar"/>
              </w:rPr>
              <w:t>31.2</w:t>
            </w:r>
          </w:p>
        </w:tc>
        <w:tc>
          <w:tcPr>
            <w:tcW w:w="549"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103</w:t>
            </w:r>
          </w:p>
        </w:tc>
        <w:tc>
          <w:tcPr>
            <w:tcW w:w="555" w:type="pct"/>
            <w:tcBorders>
              <w:tl2br w:val="nil"/>
              <w:tr2bl w:val="nil"/>
            </w:tcBorders>
            <w:vAlign w:val="center"/>
          </w:tcPr>
          <w:p>
            <w:pPr>
              <w:widowControl/>
              <w:ind w:firstLine="0" w:firstLineChars="0"/>
              <w:jc w:val="center"/>
              <w:textAlignment w:val="center"/>
              <w:rPr>
                <w:color w:val="auto"/>
                <w:sz w:val="21"/>
                <w:szCs w:val="21"/>
              </w:rPr>
            </w:pPr>
            <w:r>
              <w:rPr>
                <w:color w:val="auto"/>
                <w:kern w:val="0"/>
                <w:sz w:val="21"/>
                <w:szCs w:val="21"/>
                <w:lang w:bidi="ar"/>
              </w:rPr>
              <w:t>79.1</w:t>
            </w:r>
          </w:p>
        </w:tc>
        <w:tc>
          <w:tcPr>
            <w:tcW w:w="57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4" w:type="pct"/>
            <w:tcBorders>
              <w:tl2br w:val="nil"/>
              <w:tr2bl w:val="nil"/>
            </w:tcBorders>
            <w:vAlign w:val="center"/>
          </w:tcPr>
          <w:p>
            <w:pPr>
              <w:widowControl/>
              <w:ind w:firstLine="0" w:firstLineChars="0"/>
              <w:jc w:val="center"/>
              <w:textAlignment w:val="center"/>
              <w:rPr>
                <w:color w:val="auto"/>
                <w:sz w:val="21"/>
                <w:szCs w:val="21"/>
              </w:rPr>
            </w:pPr>
            <w:r>
              <w:rPr>
                <w:color w:val="auto"/>
                <w:kern w:val="0"/>
                <w:sz w:val="21"/>
                <w:szCs w:val="21"/>
                <w:lang w:bidi="ar"/>
              </w:rPr>
              <w:t>钛</w:t>
            </w:r>
          </w:p>
        </w:tc>
        <w:tc>
          <w:tcPr>
            <w:tcW w:w="660" w:type="pct"/>
            <w:tcBorders>
              <w:tl2br w:val="nil"/>
              <w:tr2bl w:val="nil"/>
            </w:tcBorders>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ND</w:t>
            </w:r>
          </w:p>
        </w:tc>
        <w:tc>
          <w:tcPr>
            <w:tcW w:w="514" w:type="pct"/>
            <w:tcBorders>
              <w:tl2br w:val="nil"/>
              <w:tr2bl w:val="nil"/>
            </w:tcBorders>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49"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2.21</w:t>
            </w:r>
          </w:p>
        </w:tc>
        <w:tc>
          <w:tcPr>
            <w:tcW w:w="555" w:type="pct"/>
            <w:tcBorders>
              <w:tl2br w:val="nil"/>
              <w:tr2bl w:val="nil"/>
            </w:tcBorders>
            <w:vAlign w:val="center"/>
          </w:tcPr>
          <w:p>
            <w:pPr>
              <w:widowControl/>
              <w:ind w:firstLine="0" w:firstLineChars="0"/>
              <w:jc w:val="center"/>
              <w:textAlignment w:val="center"/>
              <w:rPr>
                <w:color w:val="auto"/>
                <w:sz w:val="21"/>
                <w:szCs w:val="21"/>
              </w:rPr>
            </w:pPr>
            <w:r>
              <w:rPr>
                <w:color w:val="auto"/>
                <w:kern w:val="0"/>
                <w:sz w:val="21"/>
                <w:szCs w:val="21"/>
                <w:lang w:bidi="ar"/>
              </w:rPr>
              <w:t>3.86</w:t>
            </w:r>
          </w:p>
        </w:tc>
        <w:tc>
          <w:tcPr>
            <w:tcW w:w="57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6.29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4" w:type="pct"/>
            <w:tcBorders>
              <w:tl2br w:val="nil"/>
              <w:tr2bl w:val="nil"/>
            </w:tcBorders>
            <w:vAlign w:val="center"/>
          </w:tcPr>
          <w:p>
            <w:pPr>
              <w:widowControl/>
              <w:ind w:firstLine="0" w:firstLineChars="0"/>
              <w:jc w:val="center"/>
              <w:textAlignment w:val="center"/>
              <w:rPr>
                <w:color w:val="auto"/>
                <w:sz w:val="21"/>
                <w:szCs w:val="21"/>
              </w:rPr>
            </w:pPr>
            <w:r>
              <w:rPr>
                <w:color w:val="auto"/>
                <w:kern w:val="0"/>
                <w:sz w:val="21"/>
                <w:szCs w:val="21"/>
                <w:lang w:bidi="ar"/>
              </w:rPr>
              <w:t>锡</w:t>
            </w:r>
          </w:p>
        </w:tc>
        <w:tc>
          <w:tcPr>
            <w:tcW w:w="660" w:type="pct"/>
            <w:tcBorders>
              <w:tl2br w:val="nil"/>
              <w:tr2bl w:val="nil"/>
            </w:tcBorders>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ND</w:t>
            </w:r>
          </w:p>
        </w:tc>
        <w:tc>
          <w:tcPr>
            <w:tcW w:w="514" w:type="pct"/>
            <w:tcBorders>
              <w:tl2br w:val="nil"/>
              <w:tr2bl w:val="nil"/>
            </w:tcBorders>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49"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ND</w:t>
            </w:r>
          </w:p>
        </w:tc>
        <w:tc>
          <w:tcPr>
            <w:tcW w:w="555" w:type="pct"/>
            <w:tcBorders>
              <w:tl2br w:val="nil"/>
              <w:tr2bl w:val="nil"/>
            </w:tcBorders>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7"/>
            <w:tcBorders>
              <w:tl2br w:val="nil"/>
              <w:tr2bl w:val="nil"/>
            </w:tcBorders>
            <w:vAlign w:val="center"/>
          </w:tcPr>
          <w:p>
            <w:pPr>
              <w:spacing w:line="312" w:lineRule="exact"/>
              <w:ind w:firstLine="0" w:firstLineChars="0"/>
              <w:rPr>
                <w:color w:val="auto"/>
                <w:sz w:val="21"/>
                <w:szCs w:val="21"/>
              </w:rPr>
            </w:pPr>
            <w:r>
              <w:rPr>
                <w:color w:val="auto"/>
                <w:sz w:val="21"/>
                <w:szCs w:val="21"/>
              </w:rPr>
              <w:t>注：“ND”表示未检出。</w:t>
            </w:r>
          </w:p>
        </w:tc>
      </w:tr>
    </w:tbl>
    <w:p>
      <w:pPr>
        <w:pStyle w:val="9"/>
        <w:spacing w:before="0" w:beforeLines="0" w:after="0" w:afterLines="0" w:line="360" w:lineRule="auto"/>
        <w:rPr>
          <w:color w:val="auto"/>
        </w:rPr>
      </w:pPr>
      <w:r>
        <w:rPr>
          <w:rFonts w:hint="eastAsia"/>
          <w:color w:val="auto"/>
        </w:rPr>
        <w:t>4.2.2评价因子与评价标准</w:t>
      </w:r>
      <w:bookmarkEnd w:id="252"/>
      <w:bookmarkEnd w:id="253"/>
    </w:p>
    <w:p>
      <w:pPr>
        <w:spacing w:line="360" w:lineRule="auto"/>
        <w:ind w:firstLine="480"/>
        <w:rPr>
          <w:color w:val="auto"/>
          <w:szCs w:val="24"/>
        </w:rPr>
      </w:pPr>
      <w:r>
        <w:rPr>
          <w:rFonts w:hint="eastAsia"/>
          <w:color w:val="auto"/>
        </w:rPr>
        <w:t>评价因子为</w:t>
      </w:r>
      <w:r>
        <w:rPr>
          <w:color w:val="auto"/>
        </w:rPr>
        <w:t>pH、溶解氧、</w:t>
      </w:r>
      <w:r>
        <w:rPr>
          <w:rFonts w:hint="eastAsia"/>
          <w:color w:val="auto"/>
        </w:rPr>
        <w:t>高锰酸盐指数、</w:t>
      </w:r>
      <w:r>
        <w:rPr>
          <w:color w:val="auto"/>
        </w:rPr>
        <w:t>COD、BOD</w:t>
      </w:r>
      <w:r>
        <w:rPr>
          <w:color w:val="auto"/>
          <w:vertAlign w:val="subscript"/>
        </w:rPr>
        <w:t>5</w:t>
      </w:r>
      <w:r>
        <w:rPr>
          <w:color w:val="auto"/>
        </w:rPr>
        <w:t>、氨氮、总磷、总氮、铜、氟化物、</w:t>
      </w:r>
      <w:r>
        <w:rPr>
          <w:rFonts w:hint="eastAsia"/>
          <w:color w:val="auto"/>
        </w:rPr>
        <w:t>硒、</w:t>
      </w:r>
      <w:r>
        <w:rPr>
          <w:color w:val="auto"/>
        </w:rPr>
        <w:t>砷、汞、镉、</w:t>
      </w:r>
      <w:r>
        <w:rPr>
          <w:rFonts w:hint="eastAsia"/>
          <w:color w:val="auto"/>
        </w:rPr>
        <w:t>铬（六价）、</w:t>
      </w:r>
      <w:r>
        <w:rPr>
          <w:color w:val="auto"/>
        </w:rPr>
        <w:t>铅、氰化物、挥发酚、石油类、阴离子表面活性剂、</w:t>
      </w:r>
      <w:r>
        <w:rPr>
          <w:rFonts w:hint="eastAsia"/>
          <w:color w:val="auto"/>
        </w:rPr>
        <w:t>硫化物共22项</w:t>
      </w:r>
      <w:r>
        <w:rPr>
          <w:color w:val="auto"/>
          <w:spacing w:val="-20"/>
          <w:szCs w:val="24"/>
        </w:rPr>
        <w:t>。</w:t>
      </w:r>
    </w:p>
    <w:p>
      <w:pPr>
        <w:adjustRightInd w:val="0"/>
        <w:snapToGrid w:val="0"/>
        <w:ind w:firstLine="480"/>
        <w:rPr>
          <w:color w:val="auto"/>
          <w:szCs w:val="24"/>
        </w:rPr>
      </w:pPr>
      <w:r>
        <w:rPr>
          <w:color w:val="auto"/>
          <w:szCs w:val="24"/>
        </w:rPr>
        <w:t>评价标准采用《地表水环境质量标准》（GB3838-2002）中的</w:t>
      </w:r>
      <w:r>
        <w:rPr>
          <w:color w:val="auto"/>
        </w:rPr>
        <w:t>IV</w:t>
      </w:r>
      <w:r>
        <w:rPr>
          <w:color w:val="auto"/>
          <w:szCs w:val="24"/>
        </w:rPr>
        <w:t>类水质标准，见表</w:t>
      </w:r>
      <w:r>
        <w:rPr>
          <w:rFonts w:hint="eastAsia"/>
          <w:color w:val="auto"/>
          <w:szCs w:val="24"/>
        </w:rPr>
        <w:t>4.2-5</w:t>
      </w:r>
      <w:r>
        <w:rPr>
          <w:color w:val="auto"/>
          <w:szCs w:val="24"/>
        </w:rPr>
        <w:t>。</w:t>
      </w:r>
    </w:p>
    <w:p>
      <w:pPr>
        <w:pStyle w:val="58"/>
        <w:rPr>
          <w:color w:val="auto"/>
        </w:rPr>
      </w:pPr>
      <w:r>
        <w:rPr>
          <w:rFonts w:hint="eastAsia"/>
          <w:color w:val="auto"/>
        </w:rPr>
        <w:t xml:space="preserve">                     </w:t>
      </w:r>
      <w:r>
        <w:rPr>
          <w:rFonts w:hint="eastAsia"/>
          <w:b w:val="0"/>
          <w:bCs/>
          <w:color w:val="auto"/>
        </w:rPr>
        <w:t xml:space="preserve">  表4.2-5  地表水现状监测及评价标准表            单位：mg/L</w:t>
      </w:r>
    </w:p>
    <w:tbl>
      <w:tblPr>
        <w:tblStyle w:val="22"/>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3088"/>
        <w:gridCol w:w="2940"/>
        <w:gridCol w:w="303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7" w:hRule="atLeast"/>
          <w:jc w:val="center"/>
        </w:trPr>
        <w:tc>
          <w:tcPr>
            <w:tcW w:w="1703" w:type="pct"/>
            <w:tcBorders>
              <w:tl2br w:val="nil"/>
              <w:tr2bl w:val="nil"/>
            </w:tcBorders>
            <w:vAlign w:val="center"/>
          </w:tcPr>
          <w:p>
            <w:pPr>
              <w:pStyle w:val="47"/>
              <w:rPr>
                <w:color w:val="auto"/>
                <w:lang w:val="zh-CN"/>
              </w:rPr>
            </w:pPr>
            <w:bookmarkStart w:id="254" w:name="_Toc17920"/>
            <w:bookmarkStart w:id="255" w:name="_Toc7941"/>
            <w:r>
              <w:rPr>
                <w:color w:val="auto"/>
                <w:lang w:val="zh-CN"/>
              </w:rPr>
              <w:t>污染物名称</w:t>
            </w:r>
          </w:p>
        </w:tc>
        <w:tc>
          <w:tcPr>
            <w:tcW w:w="1621" w:type="pct"/>
            <w:tcBorders>
              <w:tl2br w:val="nil"/>
              <w:tr2bl w:val="nil"/>
            </w:tcBorders>
            <w:vAlign w:val="center"/>
          </w:tcPr>
          <w:p>
            <w:pPr>
              <w:pStyle w:val="47"/>
              <w:rPr>
                <w:color w:val="auto"/>
                <w:lang w:val="zh-CN"/>
              </w:rPr>
            </w:pPr>
            <w:r>
              <w:rPr>
                <w:color w:val="auto"/>
              </w:rPr>
              <w:t>IV</w:t>
            </w:r>
            <w:r>
              <w:rPr>
                <w:color w:val="auto"/>
                <w:lang w:val="zh-CN"/>
              </w:rPr>
              <w:t>类标准值（mg/L）</w:t>
            </w:r>
          </w:p>
        </w:tc>
        <w:tc>
          <w:tcPr>
            <w:tcW w:w="1675" w:type="pct"/>
            <w:tcBorders>
              <w:tl2br w:val="nil"/>
              <w:tr2bl w:val="nil"/>
            </w:tcBorders>
            <w:vAlign w:val="center"/>
          </w:tcPr>
          <w:p>
            <w:pPr>
              <w:pStyle w:val="47"/>
              <w:rPr>
                <w:color w:val="auto"/>
                <w:lang w:val="zh-CN"/>
              </w:rPr>
            </w:pPr>
            <w:r>
              <w:rPr>
                <w:color w:val="auto"/>
                <w:lang w:val="zh-CN"/>
              </w:rPr>
              <w:t>标准来源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7" w:hRule="atLeast"/>
          <w:jc w:val="center"/>
        </w:trPr>
        <w:tc>
          <w:tcPr>
            <w:tcW w:w="1703" w:type="pct"/>
            <w:tcBorders>
              <w:tl2br w:val="nil"/>
              <w:tr2bl w:val="nil"/>
            </w:tcBorders>
            <w:vAlign w:val="center"/>
          </w:tcPr>
          <w:p>
            <w:pPr>
              <w:pStyle w:val="47"/>
              <w:rPr>
                <w:color w:val="auto"/>
                <w:lang w:val="zh-CN"/>
              </w:rPr>
            </w:pPr>
            <w:r>
              <w:rPr>
                <w:color w:val="auto"/>
                <w:lang w:val="zh-CN"/>
              </w:rPr>
              <w:t>pH值（无量纲）</w:t>
            </w:r>
          </w:p>
        </w:tc>
        <w:tc>
          <w:tcPr>
            <w:tcW w:w="1621" w:type="pct"/>
            <w:tcBorders>
              <w:tl2br w:val="nil"/>
              <w:tr2bl w:val="nil"/>
            </w:tcBorders>
            <w:vAlign w:val="center"/>
          </w:tcPr>
          <w:p>
            <w:pPr>
              <w:pStyle w:val="47"/>
              <w:rPr>
                <w:color w:val="auto"/>
                <w:lang w:val="zh-CN"/>
              </w:rPr>
            </w:pPr>
            <w:r>
              <w:rPr>
                <w:color w:val="auto"/>
                <w:lang w:val="zh-CN"/>
              </w:rPr>
              <w:t>6-9</w:t>
            </w:r>
          </w:p>
        </w:tc>
        <w:tc>
          <w:tcPr>
            <w:tcW w:w="1675" w:type="pct"/>
            <w:vMerge w:val="restart"/>
            <w:tcBorders>
              <w:tl2br w:val="nil"/>
              <w:tr2bl w:val="nil"/>
            </w:tcBorders>
            <w:vAlign w:val="center"/>
          </w:tcPr>
          <w:p>
            <w:pPr>
              <w:autoSpaceDE w:val="0"/>
              <w:autoSpaceDN w:val="0"/>
              <w:spacing w:line="240" w:lineRule="auto"/>
              <w:ind w:firstLine="0" w:firstLineChars="0"/>
              <w:jc w:val="center"/>
              <w:rPr>
                <w:bCs/>
                <w:color w:val="auto"/>
                <w:sz w:val="21"/>
                <w:szCs w:val="22"/>
                <w:lang w:val="zh-CN" w:bidi="zh-CN"/>
              </w:rPr>
            </w:pPr>
            <w:r>
              <w:rPr>
                <w:bCs/>
                <w:color w:val="auto"/>
                <w:sz w:val="21"/>
                <w:szCs w:val="22"/>
                <w:lang w:val="zh-CN" w:bidi="zh-CN"/>
              </w:rPr>
              <w:t>《地表水环境质量标准》（</w:t>
            </w:r>
            <w:r>
              <w:rPr>
                <w:rFonts w:eastAsia="Times New Roman"/>
                <w:bCs/>
                <w:color w:val="auto"/>
                <w:sz w:val="21"/>
                <w:szCs w:val="22"/>
                <w:lang w:val="zh-CN" w:bidi="zh-CN"/>
              </w:rPr>
              <w:t>GB3838-2002</w:t>
            </w:r>
            <w:r>
              <w:rPr>
                <w:bCs/>
                <w:color w:val="auto"/>
                <w:sz w:val="21"/>
                <w:szCs w:val="22"/>
                <w:lang w:val="zh-CN" w:bidi="zh-CN"/>
              </w:rPr>
              <w:t>）</w:t>
            </w:r>
            <w:r>
              <w:rPr>
                <w:color w:val="auto"/>
              </w:rPr>
              <w:t>IV</w:t>
            </w:r>
            <w:r>
              <w:rPr>
                <w:bCs/>
                <w:color w:val="auto"/>
                <w:sz w:val="21"/>
                <w:szCs w:val="22"/>
                <w:lang w:val="zh-CN" w:bidi="zh-CN"/>
              </w:rPr>
              <w:t>类标准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7" w:hRule="atLeast"/>
          <w:jc w:val="center"/>
        </w:trPr>
        <w:tc>
          <w:tcPr>
            <w:tcW w:w="3088" w:type="dxa"/>
            <w:tcBorders>
              <w:tl2br w:val="nil"/>
              <w:tr2bl w:val="nil"/>
            </w:tcBorders>
            <w:vAlign w:val="center"/>
          </w:tcPr>
          <w:p>
            <w:pPr>
              <w:pStyle w:val="47"/>
              <w:ind w:firstLine="0" w:firstLineChars="0"/>
              <w:rPr>
                <w:rFonts w:hint="default" w:eastAsia="宋体"/>
                <w:color w:val="auto"/>
                <w:lang w:val="en-US" w:eastAsia="zh-CN"/>
              </w:rPr>
            </w:pPr>
            <w:r>
              <w:rPr>
                <w:rFonts w:hint="eastAsia"/>
                <w:color w:val="auto"/>
                <w:lang w:val="en-US" w:eastAsia="zh-CN"/>
              </w:rPr>
              <w:t>溶解氧</w:t>
            </w:r>
          </w:p>
        </w:tc>
        <w:tc>
          <w:tcPr>
            <w:tcW w:w="2940" w:type="dxa"/>
            <w:tcBorders>
              <w:tl2br w:val="nil"/>
              <w:tr2bl w:val="nil"/>
            </w:tcBorders>
            <w:vAlign w:val="center"/>
          </w:tcPr>
          <w:p>
            <w:pPr>
              <w:pStyle w:val="47"/>
              <w:ind w:firstLine="0" w:firstLineChars="0"/>
              <w:rPr>
                <w:color w:val="auto"/>
                <w:lang w:val="zh-CN"/>
              </w:rPr>
            </w:pPr>
            <w:r>
              <w:rPr>
                <w:rFonts w:hint="eastAsia"/>
                <w:color w:val="auto"/>
                <w:lang w:val="en-US" w:eastAsia="zh-CN"/>
              </w:rPr>
              <w:t>3</w:t>
            </w:r>
          </w:p>
        </w:tc>
        <w:tc>
          <w:tcPr>
            <w:tcW w:w="1675" w:type="pct"/>
            <w:vMerge w:val="continue"/>
            <w:tcBorders>
              <w:tl2br w:val="nil"/>
              <w:tr2bl w:val="nil"/>
            </w:tcBorders>
            <w:vAlign w:val="center"/>
          </w:tcPr>
          <w:p>
            <w:pPr>
              <w:autoSpaceDE w:val="0"/>
              <w:autoSpaceDN w:val="0"/>
              <w:spacing w:line="240" w:lineRule="auto"/>
              <w:ind w:firstLine="0" w:firstLineChars="0"/>
              <w:jc w:val="center"/>
              <w:rPr>
                <w:bCs/>
                <w:color w:val="auto"/>
                <w:sz w:val="21"/>
                <w:szCs w:val="2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6" w:hRule="atLeast"/>
          <w:jc w:val="center"/>
        </w:trPr>
        <w:tc>
          <w:tcPr>
            <w:tcW w:w="1703" w:type="pct"/>
            <w:tcBorders>
              <w:tl2br w:val="nil"/>
              <w:tr2bl w:val="nil"/>
            </w:tcBorders>
            <w:vAlign w:val="center"/>
          </w:tcPr>
          <w:p>
            <w:pPr>
              <w:pStyle w:val="47"/>
              <w:rPr>
                <w:color w:val="auto"/>
                <w:lang w:val="zh-CN"/>
              </w:rPr>
            </w:pPr>
            <w:r>
              <w:rPr>
                <w:color w:val="auto"/>
                <w:lang w:val="zh-CN"/>
              </w:rPr>
              <w:t>高锰酸盐指数</w:t>
            </w:r>
          </w:p>
        </w:tc>
        <w:tc>
          <w:tcPr>
            <w:tcW w:w="1621" w:type="pct"/>
            <w:tcBorders>
              <w:tl2br w:val="nil"/>
              <w:tr2bl w:val="nil"/>
            </w:tcBorders>
            <w:vAlign w:val="center"/>
          </w:tcPr>
          <w:p>
            <w:pPr>
              <w:pStyle w:val="47"/>
              <w:rPr>
                <w:color w:val="auto"/>
              </w:rPr>
            </w:pPr>
            <w:r>
              <w:rPr>
                <w:rFonts w:hint="eastAsia"/>
                <w:color w:val="auto"/>
              </w:rPr>
              <w:t>10</w:t>
            </w:r>
          </w:p>
        </w:tc>
        <w:tc>
          <w:tcPr>
            <w:tcW w:w="1675" w:type="pct"/>
            <w:vMerge w:val="continue"/>
            <w:tcBorders>
              <w:tl2br w:val="nil"/>
              <w:tr2bl w:val="nil"/>
            </w:tcBorders>
            <w:vAlign w:val="center"/>
          </w:tcPr>
          <w:p>
            <w:pPr>
              <w:autoSpaceDE w:val="0"/>
              <w:autoSpaceDN w:val="0"/>
              <w:spacing w:line="240" w:lineRule="auto"/>
              <w:ind w:firstLine="0" w:firstLineChars="0"/>
              <w:jc w:val="center"/>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vAlign w:val="center"/>
          </w:tcPr>
          <w:p>
            <w:pPr>
              <w:pStyle w:val="47"/>
              <w:rPr>
                <w:color w:val="auto"/>
                <w:lang w:val="zh-CN"/>
              </w:rPr>
            </w:pPr>
            <w:r>
              <w:rPr>
                <w:color w:val="auto"/>
                <w:lang w:val="zh-CN"/>
              </w:rPr>
              <w:t>化学需氧量</w:t>
            </w:r>
          </w:p>
        </w:tc>
        <w:tc>
          <w:tcPr>
            <w:tcW w:w="1621" w:type="pct"/>
            <w:tcBorders>
              <w:tl2br w:val="nil"/>
              <w:tr2bl w:val="nil"/>
            </w:tcBorders>
            <w:vAlign w:val="center"/>
          </w:tcPr>
          <w:p>
            <w:pPr>
              <w:pStyle w:val="47"/>
              <w:rPr>
                <w:color w:val="auto"/>
              </w:rPr>
            </w:pPr>
            <w:r>
              <w:rPr>
                <w:rFonts w:hint="eastAsia"/>
                <w:color w:val="auto"/>
              </w:rPr>
              <w:t>30</w:t>
            </w:r>
          </w:p>
        </w:tc>
        <w:tc>
          <w:tcPr>
            <w:tcW w:w="1675" w:type="pct"/>
            <w:vMerge w:val="continue"/>
            <w:tcBorders>
              <w:tl2br w:val="nil"/>
              <w:tr2bl w:val="nil"/>
            </w:tcBorders>
            <w:vAlign w:val="center"/>
          </w:tcPr>
          <w:p>
            <w:pPr>
              <w:autoSpaceDE w:val="0"/>
              <w:autoSpaceDN w:val="0"/>
              <w:spacing w:line="240" w:lineRule="auto"/>
              <w:ind w:firstLine="0" w:firstLineChars="0"/>
              <w:jc w:val="center"/>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vAlign w:val="center"/>
          </w:tcPr>
          <w:p>
            <w:pPr>
              <w:pStyle w:val="47"/>
              <w:rPr>
                <w:color w:val="auto"/>
                <w:lang w:val="zh-CN"/>
              </w:rPr>
            </w:pPr>
            <w:r>
              <w:rPr>
                <w:color w:val="auto"/>
                <w:lang w:val="zh-CN"/>
              </w:rPr>
              <w:t>五日生化需氧量</w:t>
            </w:r>
          </w:p>
        </w:tc>
        <w:tc>
          <w:tcPr>
            <w:tcW w:w="1621" w:type="pct"/>
            <w:tcBorders>
              <w:tl2br w:val="nil"/>
              <w:tr2bl w:val="nil"/>
            </w:tcBorders>
            <w:vAlign w:val="center"/>
          </w:tcPr>
          <w:p>
            <w:pPr>
              <w:pStyle w:val="47"/>
              <w:rPr>
                <w:color w:val="auto"/>
                <w:lang w:val="zh-CN"/>
              </w:rPr>
            </w:pPr>
            <w:r>
              <w:rPr>
                <w:rFonts w:hint="eastAsia"/>
                <w:color w:val="auto"/>
              </w:rPr>
              <w:t>6</w:t>
            </w:r>
          </w:p>
        </w:tc>
        <w:tc>
          <w:tcPr>
            <w:tcW w:w="1675" w:type="pct"/>
            <w:vMerge w:val="continue"/>
            <w:tcBorders>
              <w:tl2br w:val="nil"/>
              <w:tr2bl w:val="nil"/>
            </w:tcBorders>
            <w:vAlign w:val="center"/>
          </w:tcPr>
          <w:p>
            <w:pPr>
              <w:autoSpaceDE w:val="0"/>
              <w:autoSpaceDN w:val="0"/>
              <w:spacing w:line="240" w:lineRule="auto"/>
              <w:ind w:firstLine="0" w:firstLineChars="0"/>
              <w:jc w:val="center"/>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703" w:type="pct"/>
            <w:tcBorders>
              <w:tl2br w:val="nil"/>
              <w:tr2bl w:val="nil"/>
            </w:tcBorders>
            <w:vAlign w:val="center"/>
          </w:tcPr>
          <w:p>
            <w:pPr>
              <w:pStyle w:val="47"/>
              <w:rPr>
                <w:color w:val="auto"/>
                <w:lang w:val="zh-CN"/>
              </w:rPr>
            </w:pPr>
            <w:r>
              <w:rPr>
                <w:color w:val="auto"/>
                <w:lang w:val="zh-CN"/>
              </w:rPr>
              <w:t>氨氮</w:t>
            </w:r>
          </w:p>
        </w:tc>
        <w:tc>
          <w:tcPr>
            <w:tcW w:w="1621" w:type="pct"/>
            <w:tcBorders>
              <w:tl2br w:val="nil"/>
              <w:tr2bl w:val="nil"/>
            </w:tcBorders>
            <w:vAlign w:val="center"/>
          </w:tcPr>
          <w:p>
            <w:pPr>
              <w:pStyle w:val="47"/>
              <w:rPr>
                <w:color w:val="auto"/>
              </w:rPr>
            </w:pPr>
            <w:r>
              <w:rPr>
                <w:rFonts w:hint="eastAsia"/>
                <w:color w:val="auto"/>
              </w:rPr>
              <w:t>1.5</w:t>
            </w:r>
          </w:p>
        </w:tc>
        <w:tc>
          <w:tcPr>
            <w:tcW w:w="1675" w:type="pct"/>
            <w:vMerge w:val="continue"/>
            <w:tcBorders>
              <w:tl2br w:val="nil"/>
              <w:tr2bl w:val="nil"/>
            </w:tcBorders>
            <w:vAlign w:val="center"/>
          </w:tcPr>
          <w:p>
            <w:pPr>
              <w:autoSpaceDE w:val="0"/>
              <w:autoSpaceDN w:val="0"/>
              <w:spacing w:line="240" w:lineRule="auto"/>
              <w:ind w:firstLine="0" w:firstLineChars="0"/>
              <w:jc w:val="center"/>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vAlign w:val="center"/>
          </w:tcPr>
          <w:p>
            <w:pPr>
              <w:pStyle w:val="47"/>
              <w:rPr>
                <w:color w:val="auto"/>
                <w:lang w:val="zh-CN"/>
              </w:rPr>
            </w:pPr>
            <w:r>
              <w:rPr>
                <w:color w:val="auto"/>
                <w:lang w:val="zh-CN"/>
              </w:rPr>
              <w:t>总氮</w:t>
            </w:r>
          </w:p>
        </w:tc>
        <w:tc>
          <w:tcPr>
            <w:tcW w:w="1621" w:type="pct"/>
            <w:tcBorders>
              <w:tl2br w:val="nil"/>
              <w:tr2bl w:val="nil"/>
            </w:tcBorders>
            <w:vAlign w:val="center"/>
          </w:tcPr>
          <w:p>
            <w:pPr>
              <w:pStyle w:val="47"/>
              <w:rPr>
                <w:color w:val="auto"/>
              </w:rPr>
            </w:pPr>
            <w:r>
              <w:rPr>
                <w:rFonts w:hint="eastAsia"/>
                <w:color w:val="auto"/>
              </w:rPr>
              <w:t>1.5</w:t>
            </w:r>
          </w:p>
        </w:tc>
        <w:tc>
          <w:tcPr>
            <w:tcW w:w="1675" w:type="pct"/>
            <w:vMerge w:val="continue"/>
            <w:tcBorders>
              <w:tl2br w:val="nil"/>
              <w:tr2bl w:val="nil"/>
            </w:tcBorders>
            <w:vAlign w:val="center"/>
          </w:tcPr>
          <w:p>
            <w:pPr>
              <w:autoSpaceDE w:val="0"/>
              <w:autoSpaceDN w:val="0"/>
              <w:spacing w:line="240" w:lineRule="auto"/>
              <w:ind w:firstLine="0" w:firstLineChars="0"/>
              <w:jc w:val="center"/>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vAlign w:val="center"/>
          </w:tcPr>
          <w:p>
            <w:pPr>
              <w:pStyle w:val="47"/>
              <w:rPr>
                <w:color w:val="auto"/>
                <w:lang w:val="zh-CN"/>
              </w:rPr>
            </w:pPr>
            <w:r>
              <w:rPr>
                <w:color w:val="auto"/>
                <w:lang w:val="zh-CN"/>
              </w:rPr>
              <w:t>总磷</w:t>
            </w:r>
          </w:p>
        </w:tc>
        <w:tc>
          <w:tcPr>
            <w:tcW w:w="1621" w:type="pct"/>
            <w:tcBorders>
              <w:tl2br w:val="nil"/>
              <w:tr2bl w:val="nil"/>
            </w:tcBorders>
            <w:vAlign w:val="center"/>
          </w:tcPr>
          <w:p>
            <w:pPr>
              <w:pStyle w:val="47"/>
              <w:rPr>
                <w:color w:val="auto"/>
              </w:rPr>
            </w:pPr>
            <w:r>
              <w:rPr>
                <w:rFonts w:hint="eastAsia"/>
                <w:color w:val="auto"/>
              </w:rPr>
              <w:t>0.3</w:t>
            </w:r>
          </w:p>
        </w:tc>
        <w:tc>
          <w:tcPr>
            <w:tcW w:w="1675" w:type="pct"/>
            <w:vMerge w:val="continue"/>
            <w:tcBorders>
              <w:tl2br w:val="nil"/>
              <w:tr2bl w:val="nil"/>
            </w:tcBorders>
            <w:vAlign w:val="center"/>
          </w:tcPr>
          <w:p>
            <w:pPr>
              <w:autoSpaceDE w:val="0"/>
              <w:autoSpaceDN w:val="0"/>
              <w:spacing w:line="240" w:lineRule="auto"/>
              <w:ind w:firstLine="0" w:firstLineChars="0"/>
              <w:jc w:val="center"/>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vAlign w:val="center"/>
          </w:tcPr>
          <w:p>
            <w:pPr>
              <w:pStyle w:val="47"/>
              <w:rPr>
                <w:color w:val="auto"/>
                <w:lang w:val="zh-CN"/>
              </w:rPr>
            </w:pPr>
            <w:r>
              <w:rPr>
                <w:color w:val="auto"/>
                <w:lang w:val="zh-CN"/>
              </w:rPr>
              <w:t>硫化物</w:t>
            </w:r>
          </w:p>
        </w:tc>
        <w:tc>
          <w:tcPr>
            <w:tcW w:w="1621" w:type="pct"/>
            <w:tcBorders>
              <w:tl2br w:val="nil"/>
              <w:tr2bl w:val="nil"/>
            </w:tcBorders>
            <w:vAlign w:val="center"/>
          </w:tcPr>
          <w:p>
            <w:pPr>
              <w:pStyle w:val="47"/>
              <w:rPr>
                <w:color w:val="auto"/>
              </w:rPr>
            </w:pPr>
            <w:r>
              <w:rPr>
                <w:rFonts w:hint="eastAsia"/>
                <w:color w:val="auto"/>
              </w:rPr>
              <w:t>0.5</w:t>
            </w:r>
          </w:p>
        </w:tc>
        <w:tc>
          <w:tcPr>
            <w:tcW w:w="1675" w:type="pct"/>
            <w:vMerge w:val="continue"/>
            <w:tcBorders>
              <w:tl2br w:val="nil"/>
              <w:tr2bl w:val="nil"/>
            </w:tcBorders>
            <w:vAlign w:val="center"/>
          </w:tcPr>
          <w:p>
            <w:pPr>
              <w:autoSpaceDE w:val="0"/>
              <w:autoSpaceDN w:val="0"/>
              <w:spacing w:line="240" w:lineRule="auto"/>
              <w:ind w:firstLine="0" w:firstLineChars="0"/>
              <w:jc w:val="center"/>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6" w:hRule="atLeast"/>
          <w:jc w:val="center"/>
        </w:trPr>
        <w:tc>
          <w:tcPr>
            <w:tcW w:w="1703" w:type="pct"/>
            <w:tcBorders>
              <w:tl2br w:val="nil"/>
              <w:tr2bl w:val="nil"/>
            </w:tcBorders>
            <w:vAlign w:val="center"/>
          </w:tcPr>
          <w:p>
            <w:pPr>
              <w:pStyle w:val="47"/>
              <w:rPr>
                <w:color w:val="auto"/>
                <w:lang w:val="zh-CN"/>
              </w:rPr>
            </w:pPr>
            <w:r>
              <w:rPr>
                <w:color w:val="auto"/>
                <w:lang w:val="zh-CN"/>
              </w:rPr>
              <w:t>石油类</w:t>
            </w:r>
          </w:p>
        </w:tc>
        <w:tc>
          <w:tcPr>
            <w:tcW w:w="1621" w:type="pct"/>
            <w:tcBorders>
              <w:tl2br w:val="nil"/>
              <w:tr2bl w:val="nil"/>
            </w:tcBorders>
            <w:vAlign w:val="center"/>
          </w:tcPr>
          <w:p>
            <w:pPr>
              <w:pStyle w:val="47"/>
              <w:rPr>
                <w:color w:val="auto"/>
              </w:rPr>
            </w:pPr>
            <w:r>
              <w:rPr>
                <w:rFonts w:hint="eastAsia"/>
                <w:color w:val="auto"/>
              </w:rPr>
              <w:t>0.5</w:t>
            </w:r>
          </w:p>
        </w:tc>
        <w:tc>
          <w:tcPr>
            <w:tcW w:w="1675" w:type="pct"/>
            <w:vMerge w:val="continue"/>
            <w:tcBorders>
              <w:tl2br w:val="nil"/>
              <w:tr2bl w:val="nil"/>
            </w:tcBorders>
            <w:vAlign w:val="center"/>
          </w:tcPr>
          <w:p>
            <w:pPr>
              <w:autoSpaceDE w:val="0"/>
              <w:autoSpaceDN w:val="0"/>
              <w:spacing w:line="240" w:lineRule="auto"/>
              <w:ind w:firstLine="0" w:firstLineChars="0"/>
              <w:jc w:val="center"/>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703" w:type="pct"/>
            <w:tcBorders>
              <w:tl2br w:val="nil"/>
              <w:tr2bl w:val="nil"/>
            </w:tcBorders>
            <w:vAlign w:val="center"/>
          </w:tcPr>
          <w:p>
            <w:pPr>
              <w:pStyle w:val="47"/>
              <w:rPr>
                <w:color w:val="auto"/>
                <w:lang w:val="zh-CN"/>
              </w:rPr>
            </w:pPr>
            <w:r>
              <w:rPr>
                <w:color w:val="auto"/>
                <w:lang w:val="zh-CN"/>
              </w:rPr>
              <w:t>氟化物</w:t>
            </w:r>
          </w:p>
        </w:tc>
        <w:tc>
          <w:tcPr>
            <w:tcW w:w="1621" w:type="pct"/>
            <w:tcBorders>
              <w:tl2br w:val="nil"/>
              <w:tr2bl w:val="nil"/>
            </w:tcBorders>
            <w:vAlign w:val="center"/>
          </w:tcPr>
          <w:p>
            <w:pPr>
              <w:pStyle w:val="47"/>
              <w:rPr>
                <w:color w:val="auto"/>
                <w:lang w:val="zh-CN"/>
              </w:rPr>
            </w:pPr>
            <w:r>
              <w:rPr>
                <w:color w:val="auto"/>
                <w:lang w:val="zh-CN"/>
              </w:rPr>
              <w:t>1.5</w:t>
            </w:r>
          </w:p>
        </w:tc>
        <w:tc>
          <w:tcPr>
            <w:tcW w:w="1675" w:type="pct"/>
            <w:vMerge w:val="continue"/>
            <w:tcBorders>
              <w:tl2br w:val="nil"/>
              <w:tr2bl w:val="nil"/>
            </w:tcBorders>
            <w:vAlign w:val="center"/>
          </w:tcPr>
          <w:p>
            <w:pPr>
              <w:autoSpaceDE w:val="0"/>
              <w:autoSpaceDN w:val="0"/>
              <w:spacing w:line="240" w:lineRule="auto"/>
              <w:ind w:firstLine="0" w:firstLineChars="0"/>
              <w:jc w:val="center"/>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vAlign w:val="center"/>
          </w:tcPr>
          <w:p>
            <w:pPr>
              <w:pStyle w:val="47"/>
              <w:rPr>
                <w:color w:val="auto"/>
                <w:lang w:val="zh-CN"/>
              </w:rPr>
            </w:pPr>
            <w:r>
              <w:rPr>
                <w:color w:val="auto"/>
                <w:lang w:val="zh-CN"/>
              </w:rPr>
              <w:t>氰化物</w:t>
            </w:r>
          </w:p>
        </w:tc>
        <w:tc>
          <w:tcPr>
            <w:tcW w:w="1621" w:type="pct"/>
            <w:tcBorders>
              <w:tl2br w:val="nil"/>
              <w:tr2bl w:val="nil"/>
            </w:tcBorders>
            <w:vAlign w:val="center"/>
          </w:tcPr>
          <w:p>
            <w:pPr>
              <w:pStyle w:val="47"/>
              <w:rPr>
                <w:color w:val="auto"/>
                <w:lang w:val="zh-CN"/>
              </w:rPr>
            </w:pPr>
            <w:r>
              <w:rPr>
                <w:color w:val="auto"/>
                <w:lang w:val="zh-CN"/>
              </w:rPr>
              <w:t>0.2</w:t>
            </w:r>
          </w:p>
        </w:tc>
        <w:tc>
          <w:tcPr>
            <w:tcW w:w="1675" w:type="pct"/>
            <w:vMerge w:val="continue"/>
            <w:tcBorders>
              <w:tl2br w:val="nil"/>
              <w:tr2bl w:val="nil"/>
            </w:tcBorders>
            <w:vAlign w:val="center"/>
          </w:tcPr>
          <w:p>
            <w:pPr>
              <w:autoSpaceDE w:val="0"/>
              <w:autoSpaceDN w:val="0"/>
              <w:spacing w:line="240" w:lineRule="auto"/>
              <w:ind w:firstLine="0" w:firstLineChars="0"/>
              <w:jc w:val="center"/>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vAlign w:val="center"/>
          </w:tcPr>
          <w:p>
            <w:pPr>
              <w:pStyle w:val="47"/>
              <w:rPr>
                <w:color w:val="auto"/>
                <w:lang w:val="zh-CN"/>
              </w:rPr>
            </w:pPr>
            <w:r>
              <w:rPr>
                <w:color w:val="auto"/>
                <w:lang w:val="zh-CN"/>
              </w:rPr>
              <w:t>挥发酚</w:t>
            </w:r>
          </w:p>
        </w:tc>
        <w:tc>
          <w:tcPr>
            <w:tcW w:w="1621" w:type="pct"/>
            <w:tcBorders>
              <w:tl2br w:val="nil"/>
              <w:tr2bl w:val="nil"/>
            </w:tcBorders>
            <w:vAlign w:val="center"/>
          </w:tcPr>
          <w:p>
            <w:pPr>
              <w:pStyle w:val="47"/>
              <w:rPr>
                <w:color w:val="auto"/>
              </w:rPr>
            </w:pPr>
            <w:r>
              <w:rPr>
                <w:rFonts w:hint="eastAsia"/>
                <w:color w:val="auto"/>
              </w:rPr>
              <w:t>0.01</w:t>
            </w:r>
          </w:p>
        </w:tc>
        <w:tc>
          <w:tcPr>
            <w:tcW w:w="1675" w:type="pct"/>
            <w:vMerge w:val="continue"/>
            <w:tcBorders>
              <w:tl2br w:val="nil"/>
              <w:tr2bl w:val="nil"/>
            </w:tcBorders>
            <w:vAlign w:val="center"/>
          </w:tcPr>
          <w:p>
            <w:pPr>
              <w:autoSpaceDE w:val="0"/>
              <w:autoSpaceDN w:val="0"/>
              <w:spacing w:line="240" w:lineRule="auto"/>
              <w:ind w:firstLine="0" w:firstLineChars="0"/>
              <w:jc w:val="center"/>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vAlign w:val="center"/>
          </w:tcPr>
          <w:p>
            <w:pPr>
              <w:pStyle w:val="47"/>
              <w:rPr>
                <w:color w:val="auto"/>
                <w:lang w:val="zh-CN"/>
              </w:rPr>
            </w:pPr>
            <w:r>
              <w:rPr>
                <w:color w:val="auto"/>
                <w:lang w:val="zh-CN"/>
              </w:rPr>
              <w:t>砷</w:t>
            </w:r>
          </w:p>
        </w:tc>
        <w:tc>
          <w:tcPr>
            <w:tcW w:w="1621" w:type="pct"/>
            <w:tcBorders>
              <w:tl2br w:val="nil"/>
              <w:tr2bl w:val="nil"/>
            </w:tcBorders>
            <w:vAlign w:val="center"/>
          </w:tcPr>
          <w:p>
            <w:pPr>
              <w:pStyle w:val="47"/>
              <w:rPr>
                <w:color w:val="auto"/>
                <w:lang w:val="zh-CN"/>
              </w:rPr>
            </w:pPr>
            <w:r>
              <w:rPr>
                <w:color w:val="auto"/>
                <w:lang w:val="zh-CN"/>
              </w:rPr>
              <w:t>0.1</w:t>
            </w:r>
          </w:p>
        </w:tc>
        <w:tc>
          <w:tcPr>
            <w:tcW w:w="1675" w:type="pct"/>
            <w:vMerge w:val="continue"/>
            <w:tcBorders>
              <w:tl2br w:val="nil"/>
              <w:tr2bl w:val="nil"/>
            </w:tcBorders>
            <w:vAlign w:val="center"/>
          </w:tcPr>
          <w:p>
            <w:pPr>
              <w:autoSpaceDE w:val="0"/>
              <w:autoSpaceDN w:val="0"/>
              <w:spacing w:line="240" w:lineRule="auto"/>
              <w:ind w:firstLine="0" w:firstLineChars="0"/>
              <w:jc w:val="center"/>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6" w:hRule="atLeast"/>
          <w:jc w:val="center"/>
        </w:trPr>
        <w:tc>
          <w:tcPr>
            <w:tcW w:w="1703" w:type="pct"/>
            <w:tcBorders>
              <w:tl2br w:val="nil"/>
              <w:tr2bl w:val="nil"/>
            </w:tcBorders>
            <w:vAlign w:val="center"/>
          </w:tcPr>
          <w:p>
            <w:pPr>
              <w:pStyle w:val="47"/>
              <w:rPr>
                <w:color w:val="auto"/>
                <w:lang w:val="zh-CN"/>
              </w:rPr>
            </w:pPr>
            <w:r>
              <w:rPr>
                <w:color w:val="auto"/>
                <w:lang w:val="zh-CN"/>
              </w:rPr>
              <w:t>六价铬</w:t>
            </w:r>
          </w:p>
        </w:tc>
        <w:tc>
          <w:tcPr>
            <w:tcW w:w="1621" w:type="pct"/>
            <w:tcBorders>
              <w:tl2br w:val="nil"/>
              <w:tr2bl w:val="nil"/>
            </w:tcBorders>
            <w:vAlign w:val="center"/>
          </w:tcPr>
          <w:p>
            <w:pPr>
              <w:pStyle w:val="47"/>
              <w:rPr>
                <w:color w:val="auto"/>
              </w:rPr>
            </w:pPr>
            <w:r>
              <w:rPr>
                <w:rFonts w:hint="eastAsia"/>
                <w:color w:val="auto"/>
              </w:rPr>
              <w:t>0.05</w:t>
            </w:r>
          </w:p>
        </w:tc>
        <w:tc>
          <w:tcPr>
            <w:tcW w:w="1675" w:type="pct"/>
            <w:vMerge w:val="continue"/>
            <w:tcBorders>
              <w:tl2br w:val="nil"/>
              <w:tr2bl w:val="nil"/>
            </w:tcBorders>
            <w:vAlign w:val="center"/>
          </w:tcPr>
          <w:p>
            <w:pPr>
              <w:autoSpaceDE w:val="0"/>
              <w:autoSpaceDN w:val="0"/>
              <w:spacing w:line="240" w:lineRule="auto"/>
              <w:ind w:firstLine="0" w:firstLineChars="0"/>
              <w:jc w:val="center"/>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vAlign w:val="center"/>
          </w:tcPr>
          <w:p>
            <w:pPr>
              <w:pStyle w:val="47"/>
              <w:rPr>
                <w:color w:val="auto"/>
                <w:lang w:val="zh-CN"/>
              </w:rPr>
            </w:pPr>
            <w:r>
              <w:rPr>
                <w:color w:val="auto"/>
                <w:lang w:val="zh-CN"/>
              </w:rPr>
              <w:t>汞</w:t>
            </w:r>
          </w:p>
        </w:tc>
        <w:tc>
          <w:tcPr>
            <w:tcW w:w="1621" w:type="pct"/>
            <w:tcBorders>
              <w:tl2br w:val="nil"/>
              <w:tr2bl w:val="nil"/>
            </w:tcBorders>
            <w:vAlign w:val="center"/>
          </w:tcPr>
          <w:p>
            <w:pPr>
              <w:pStyle w:val="47"/>
              <w:rPr>
                <w:color w:val="auto"/>
                <w:lang w:val="zh-CN"/>
              </w:rPr>
            </w:pPr>
            <w:r>
              <w:rPr>
                <w:color w:val="auto"/>
                <w:lang w:val="zh-CN"/>
              </w:rPr>
              <w:t>0.001</w:t>
            </w:r>
          </w:p>
        </w:tc>
        <w:tc>
          <w:tcPr>
            <w:tcW w:w="1675" w:type="pct"/>
            <w:vMerge w:val="continue"/>
            <w:tcBorders>
              <w:tl2br w:val="nil"/>
              <w:tr2bl w:val="nil"/>
            </w:tcBorders>
            <w:vAlign w:val="center"/>
          </w:tcPr>
          <w:p>
            <w:pPr>
              <w:autoSpaceDE w:val="0"/>
              <w:autoSpaceDN w:val="0"/>
              <w:spacing w:line="240" w:lineRule="auto"/>
              <w:ind w:firstLine="0" w:firstLineChars="0"/>
              <w:jc w:val="center"/>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vAlign w:val="center"/>
          </w:tcPr>
          <w:p>
            <w:pPr>
              <w:pStyle w:val="47"/>
              <w:rPr>
                <w:color w:val="auto"/>
                <w:lang w:val="zh-CN"/>
              </w:rPr>
            </w:pPr>
            <w:r>
              <w:rPr>
                <w:color w:val="auto"/>
                <w:lang w:val="zh-CN"/>
              </w:rPr>
              <w:t>铅</w:t>
            </w:r>
          </w:p>
        </w:tc>
        <w:tc>
          <w:tcPr>
            <w:tcW w:w="1621" w:type="pct"/>
            <w:tcBorders>
              <w:tl2br w:val="nil"/>
              <w:tr2bl w:val="nil"/>
            </w:tcBorders>
            <w:vAlign w:val="center"/>
          </w:tcPr>
          <w:p>
            <w:pPr>
              <w:pStyle w:val="47"/>
              <w:rPr>
                <w:color w:val="auto"/>
              </w:rPr>
            </w:pPr>
            <w:r>
              <w:rPr>
                <w:rFonts w:hint="eastAsia"/>
                <w:color w:val="auto"/>
              </w:rPr>
              <w:t>0.05</w:t>
            </w:r>
          </w:p>
        </w:tc>
        <w:tc>
          <w:tcPr>
            <w:tcW w:w="1675" w:type="pct"/>
            <w:vMerge w:val="continue"/>
            <w:tcBorders>
              <w:tl2br w:val="nil"/>
              <w:tr2bl w:val="nil"/>
            </w:tcBorders>
            <w:vAlign w:val="center"/>
          </w:tcPr>
          <w:p>
            <w:pPr>
              <w:autoSpaceDE w:val="0"/>
              <w:autoSpaceDN w:val="0"/>
              <w:spacing w:line="240" w:lineRule="auto"/>
              <w:ind w:firstLine="0" w:firstLineChars="0"/>
              <w:jc w:val="center"/>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vAlign w:val="center"/>
          </w:tcPr>
          <w:p>
            <w:pPr>
              <w:pStyle w:val="47"/>
              <w:rPr>
                <w:color w:val="auto"/>
                <w:lang w:val="zh-CN"/>
              </w:rPr>
            </w:pPr>
            <w:r>
              <w:rPr>
                <w:color w:val="auto"/>
                <w:lang w:val="zh-CN"/>
              </w:rPr>
              <w:t>镉</w:t>
            </w:r>
          </w:p>
        </w:tc>
        <w:tc>
          <w:tcPr>
            <w:tcW w:w="1621" w:type="pct"/>
            <w:tcBorders>
              <w:tl2br w:val="nil"/>
              <w:tr2bl w:val="nil"/>
            </w:tcBorders>
            <w:vAlign w:val="center"/>
          </w:tcPr>
          <w:p>
            <w:pPr>
              <w:pStyle w:val="47"/>
              <w:rPr>
                <w:color w:val="auto"/>
              </w:rPr>
            </w:pPr>
            <w:r>
              <w:rPr>
                <w:rFonts w:hint="eastAsia"/>
                <w:color w:val="auto"/>
              </w:rPr>
              <w:t>0.005</w:t>
            </w:r>
          </w:p>
        </w:tc>
        <w:tc>
          <w:tcPr>
            <w:tcW w:w="1675" w:type="pct"/>
            <w:vMerge w:val="continue"/>
            <w:tcBorders>
              <w:tl2br w:val="nil"/>
              <w:tr2bl w:val="nil"/>
            </w:tcBorders>
            <w:vAlign w:val="center"/>
          </w:tcPr>
          <w:p>
            <w:pPr>
              <w:autoSpaceDE w:val="0"/>
              <w:autoSpaceDN w:val="0"/>
              <w:spacing w:line="240" w:lineRule="auto"/>
              <w:ind w:firstLine="0" w:firstLineChars="0"/>
              <w:jc w:val="center"/>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703" w:type="pct"/>
            <w:tcBorders>
              <w:tl2br w:val="nil"/>
              <w:tr2bl w:val="nil"/>
            </w:tcBorders>
            <w:vAlign w:val="center"/>
          </w:tcPr>
          <w:p>
            <w:pPr>
              <w:pStyle w:val="47"/>
              <w:rPr>
                <w:color w:val="auto"/>
                <w:lang w:val="zh-CN"/>
              </w:rPr>
            </w:pPr>
            <w:r>
              <w:rPr>
                <w:color w:val="auto"/>
                <w:lang w:val="zh-CN"/>
              </w:rPr>
              <w:t>铜</w:t>
            </w:r>
          </w:p>
        </w:tc>
        <w:tc>
          <w:tcPr>
            <w:tcW w:w="1621" w:type="pct"/>
            <w:tcBorders>
              <w:tl2br w:val="nil"/>
              <w:tr2bl w:val="nil"/>
            </w:tcBorders>
            <w:vAlign w:val="center"/>
          </w:tcPr>
          <w:p>
            <w:pPr>
              <w:pStyle w:val="47"/>
              <w:rPr>
                <w:color w:val="auto"/>
                <w:lang w:val="zh-CN"/>
              </w:rPr>
            </w:pPr>
            <w:r>
              <w:rPr>
                <w:color w:val="auto"/>
                <w:lang w:val="zh-CN"/>
              </w:rPr>
              <w:t>1.0</w:t>
            </w:r>
          </w:p>
        </w:tc>
        <w:tc>
          <w:tcPr>
            <w:tcW w:w="1675" w:type="pct"/>
            <w:vMerge w:val="continue"/>
            <w:tcBorders>
              <w:tl2br w:val="nil"/>
              <w:tr2bl w:val="nil"/>
            </w:tcBorders>
            <w:vAlign w:val="center"/>
          </w:tcPr>
          <w:p>
            <w:pPr>
              <w:autoSpaceDE w:val="0"/>
              <w:autoSpaceDN w:val="0"/>
              <w:spacing w:line="240" w:lineRule="auto"/>
              <w:ind w:firstLine="0" w:firstLineChars="0"/>
              <w:jc w:val="center"/>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6" w:hRule="atLeast"/>
          <w:jc w:val="center"/>
        </w:trPr>
        <w:tc>
          <w:tcPr>
            <w:tcW w:w="1703" w:type="pct"/>
            <w:tcBorders>
              <w:tl2br w:val="nil"/>
              <w:tr2bl w:val="nil"/>
            </w:tcBorders>
            <w:vAlign w:val="center"/>
          </w:tcPr>
          <w:p>
            <w:pPr>
              <w:pStyle w:val="47"/>
              <w:rPr>
                <w:color w:val="auto"/>
                <w:lang w:val="zh-CN"/>
              </w:rPr>
            </w:pPr>
            <w:r>
              <w:rPr>
                <w:color w:val="auto"/>
                <w:lang w:val="zh-CN"/>
              </w:rPr>
              <w:t>锌</w:t>
            </w:r>
          </w:p>
        </w:tc>
        <w:tc>
          <w:tcPr>
            <w:tcW w:w="1621" w:type="pct"/>
            <w:tcBorders>
              <w:tl2br w:val="nil"/>
              <w:tr2bl w:val="nil"/>
            </w:tcBorders>
            <w:vAlign w:val="center"/>
          </w:tcPr>
          <w:p>
            <w:pPr>
              <w:pStyle w:val="47"/>
              <w:rPr>
                <w:color w:val="auto"/>
                <w:lang w:val="zh-CN"/>
              </w:rPr>
            </w:pPr>
            <w:r>
              <w:rPr>
                <w:color w:val="auto"/>
                <w:lang w:val="zh-CN"/>
              </w:rPr>
              <w:t>2.0</w:t>
            </w:r>
          </w:p>
        </w:tc>
        <w:tc>
          <w:tcPr>
            <w:tcW w:w="1675" w:type="pct"/>
            <w:vMerge w:val="continue"/>
            <w:tcBorders>
              <w:tl2br w:val="nil"/>
              <w:tr2bl w:val="nil"/>
            </w:tcBorders>
            <w:vAlign w:val="center"/>
          </w:tcPr>
          <w:p>
            <w:pPr>
              <w:autoSpaceDE w:val="0"/>
              <w:autoSpaceDN w:val="0"/>
              <w:spacing w:line="240" w:lineRule="auto"/>
              <w:ind w:firstLine="0" w:firstLineChars="0"/>
              <w:jc w:val="center"/>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4" w:hRule="atLeast"/>
          <w:jc w:val="center"/>
        </w:trPr>
        <w:tc>
          <w:tcPr>
            <w:tcW w:w="1703" w:type="pct"/>
            <w:tcBorders>
              <w:tl2br w:val="nil"/>
              <w:tr2bl w:val="nil"/>
            </w:tcBorders>
            <w:vAlign w:val="center"/>
          </w:tcPr>
          <w:p>
            <w:pPr>
              <w:pStyle w:val="47"/>
              <w:rPr>
                <w:color w:val="auto"/>
                <w:lang w:val="zh-CN"/>
              </w:rPr>
            </w:pPr>
            <w:r>
              <w:rPr>
                <w:color w:val="auto"/>
                <w:lang w:val="zh-CN"/>
              </w:rPr>
              <w:t>硒</w:t>
            </w:r>
          </w:p>
        </w:tc>
        <w:tc>
          <w:tcPr>
            <w:tcW w:w="1621" w:type="pct"/>
            <w:tcBorders>
              <w:tl2br w:val="nil"/>
              <w:tr2bl w:val="nil"/>
            </w:tcBorders>
            <w:vAlign w:val="center"/>
          </w:tcPr>
          <w:p>
            <w:pPr>
              <w:pStyle w:val="47"/>
              <w:rPr>
                <w:color w:val="auto"/>
                <w:lang w:val="zh-CN"/>
              </w:rPr>
            </w:pPr>
            <w:r>
              <w:rPr>
                <w:color w:val="auto"/>
                <w:lang w:val="zh-CN"/>
              </w:rPr>
              <w:t>0.02</w:t>
            </w:r>
          </w:p>
        </w:tc>
        <w:tc>
          <w:tcPr>
            <w:tcW w:w="1675" w:type="pct"/>
            <w:vMerge w:val="continue"/>
            <w:tcBorders>
              <w:tl2br w:val="nil"/>
              <w:tr2bl w:val="nil"/>
            </w:tcBorders>
            <w:vAlign w:val="center"/>
          </w:tcPr>
          <w:p>
            <w:pPr>
              <w:autoSpaceDE w:val="0"/>
              <w:autoSpaceDN w:val="0"/>
              <w:spacing w:line="240" w:lineRule="auto"/>
              <w:ind w:firstLine="0" w:firstLineChars="0"/>
              <w:jc w:val="center"/>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7" w:hRule="atLeast"/>
          <w:jc w:val="center"/>
        </w:trPr>
        <w:tc>
          <w:tcPr>
            <w:tcW w:w="1703" w:type="pct"/>
            <w:tcBorders>
              <w:tl2br w:val="nil"/>
              <w:tr2bl w:val="nil"/>
            </w:tcBorders>
            <w:vAlign w:val="center"/>
          </w:tcPr>
          <w:p>
            <w:pPr>
              <w:pStyle w:val="47"/>
              <w:rPr>
                <w:color w:val="auto"/>
                <w:lang w:val="zh-CN"/>
              </w:rPr>
            </w:pPr>
            <w:r>
              <w:rPr>
                <w:color w:val="auto"/>
                <w:lang w:val="zh-CN"/>
              </w:rPr>
              <w:t>阴离子表面活性剂</w:t>
            </w:r>
          </w:p>
        </w:tc>
        <w:tc>
          <w:tcPr>
            <w:tcW w:w="1621" w:type="pct"/>
            <w:tcBorders>
              <w:tl2br w:val="nil"/>
              <w:tr2bl w:val="nil"/>
            </w:tcBorders>
            <w:vAlign w:val="center"/>
          </w:tcPr>
          <w:p>
            <w:pPr>
              <w:pStyle w:val="47"/>
              <w:rPr>
                <w:color w:val="auto"/>
                <w:lang w:val="zh-CN"/>
              </w:rPr>
            </w:pPr>
            <w:r>
              <w:rPr>
                <w:color w:val="auto"/>
                <w:lang w:val="zh-CN"/>
              </w:rPr>
              <w:t>0.3</w:t>
            </w:r>
          </w:p>
        </w:tc>
        <w:tc>
          <w:tcPr>
            <w:tcW w:w="1675" w:type="pct"/>
            <w:vMerge w:val="continue"/>
            <w:tcBorders>
              <w:tl2br w:val="nil"/>
              <w:tr2bl w:val="nil"/>
            </w:tcBorders>
            <w:vAlign w:val="center"/>
          </w:tcPr>
          <w:p>
            <w:pPr>
              <w:autoSpaceDE w:val="0"/>
              <w:autoSpaceDN w:val="0"/>
              <w:spacing w:line="240" w:lineRule="auto"/>
              <w:ind w:firstLine="400"/>
              <w:jc w:val="center"/>
              <w:rPr>
                <w:rFonts w:eastAsia="Times New Roman"/>
                <w:bCs/>
                <w:color w:val="auto"/>
                <w:sz w:val="20"/>
                <w:szCs w:val="2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6" w:hRule="atLeast"/>
          <w:jc w:val="center"/>
        </w:trPr>
        <w:tc>
          <w:tcPr>
            <w:tcW w:w="1703" w:type="pct"/>
            <w:tcBorders>
              <w:tl2br w:val="nil"/>
              <w:tr2bl w:val="nil"/>
            </w:tcBorders>
            <w:vAlign w:val="center"/>
          </w:tcPr>
          <w:p>
            <w:pPr>
              <w:pStyle w:val="47"/>
              <w:rPr>
                <w:color w:val="auto"/>
                <w:lang w:val="zh-CN"/>
              </w:rPr>
            </w:pPr>
            <w:r>
              <w:rPr>
                <w:color w:val="auto"/>
                <w:lang w:val="zh-CN"/>
              </w:rPr>
              <w:t>粪大肠菌群（个/L）</w:t>
            </w:r>
          </w:p>
        </w:tc>
        <w:tc>
          <w:tcPr>
            <w:tcW w:w="1621" w:type="pct"/>
            <w:tcBorders>
              <w:tl2br w:val="nil"/>
              <w:tr2bl w:val="nil"/>
            </w:tcBorders>
            <w:vAlign w:val="center"/>
          </w:tcPr>
          <w:p>
            <w:pPr>
              <w:pStyle w:val="47"/>
              <w:rPr>
                <w:color w:val="auto"/>
              </w:rPr>
            </w:pPr>
            <w:r>
              <w:rPr>
                <w:rFonts w:hint="eastAsia"/>
                <w:color w:val="auto"/>
              </w:rPr>
              <w:t>20000</w:t>
            </w:r>
          </w:p>
        </w:tc>
        <w:tc>
          <w:tcPr>
            <w:tcW w:w="1675" w:type="pct"/>
            <w:vMerge w:val="continue"/>
            <w:tcBorders>
              <w:tl2br w:val="nil"/>
              <w:tr2bl w:val="nil"/>
            </w:tcBorders>
            <w:vAlign w:val="center"/>
          </w:tcPr>
          <w:p>
            <w:pPr>
              <w:autoSpaceDE w:val="0"/>
              <w:autoSpaceDN w:val="0"/>
              <w:spacing w:line="240" w:lineRule="auto"/>
              <w:ind w:firstLine="0" w:firstLineChars="0"/>
              <w:jc w:val="center"/>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6" w:hRule="atLeast"/>
          <w:jc w:val="center"/>
        </w:trPr>
        <w:tc>
          <w:tcPr>
            <w:tcW w:w="1703" w:type="pct"/>
            <w:tcBorders>
              <w:tl2br w:val="nil"/>
              <w:tr2bl w:val="nil"/>
            </w:tcBorders>
            <w:vAlign w:val="center"/>
          </w:tcPr>
          <w:p>
            <w:pPr>
              <w:pStyle w:val="47"/>
              <w:rPr>
                <w:color w:val="auto"/>
                <w:lang w:val="zh-CN"/>
              </w:rPr>
            </w:pPr>
            <w:r>
              <w:rPr>
                <w:rFonts w:hint="eastAsia"/>
                <w:color w:val="auto"/>
                <w:lang w:val="zh-CN"/>
              </w:rPr>
              <w:t>铁</w:t>
            </w:r>
          </w:p>
        </w:tc>
        <w:tc>
          <w:tcPr>
            <w:tcW w:w="1621" w:type="pct"/>
            <w:tcBorders>
              <w:tl2br w:val="nil"/>
              <w:tr2bl w:val="nil"/>
            </w:tcBorders>
            <w:vAlign w:val="center"/>
          </w:tcPr>
          <w:p>
            <w:pPr>
              <w:pStyle w:val="47"/>
              <w:rPr>
                <w:color w:val="auto"/>
              </w:rPr>
            </w:pPr>
            <w:r>
              <w:rPr>
                <w:rFonts w:hint="eastAsia"/>
                <w:color w:val="auto"/>
              </w:rPr>
              <w:t>0.3</w:t>
            </w:r>
          </w:p>
        </w:tc>
        <w:tc>
          <w:tcPr>
            <w:tcW w:w="1675" w:type="pct"/>
            <w:vMerge w:val="continue"/>
            <w:tcBorders>
              <w:tl2br w:val="nil"/>
              <w:tr2bl w:val="nil"/>
            </w:tcBorders>
            <w:vAlign w:val="center"/>
          </w:tcPr>
          <w:p>
            <w:pPr>
              <w:autoSpaceDE w:val="0"/>
              <w:autoSpaceDN w:val="0"/>
              <w:spacing w:line="240" w:lineRule="auto"/>
              <w:ind w:firstLine="0" w:firstLineChars="0"/>
              <w:jc w:val="center"/>
              <w:rPr>
                <w:bCs/>
                <w:color w:val="auto"/>
                <w:kern w:val="0"/>
                <w:sz w:val="2"/>
                <w:szCs w:val="2"/>
                <w:lang w:val="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6" w:hRule="atLeast"/>
          <w:jc w:val="center"/>
        </w:trPr>
        <w:tc>
          <w:tcPr>
            <w:tcW w:w="1703" w:type="pct"/>
            <w:tcBorders>
              <w:tl2br w:val="nil"/>
              <w:tr2bl w:val="nil"/>
            </w:tcBorders>
            <w:vAlign w:val="center"/>
          </w:tcPr>
          <w:p>
            <w:pPr>
              <w:pStyle w:val="47"/>
              <w:rPr>
                <w:color w:val="auto"/>
                <w:lang w:val="zh-CN"/>
              </w:rPr>
            </w:pPr>
            <w:r>
              <w:rPr>
                <w:rFonts w:hint="eastAsia"/>
                <w:color w:val="auto"/>
                <w:lang w:val="zh-CN"/>
              </w:rPr>
              <w:t>钛</w:t>
            </w:r>
          </w:p>
        </w:tc>
        <w:tc>
          <w:tcPr>
            <w:tcW w:w="1621" w:type="pct"/>
            <w:tcBorders>
              <w:tl2br w:val="nil"/>
              <w:tr2bl w:val="nil"/>
            </w:tcBorders>
            <w:vAlign w:val="center"/>
          </w:tcPr>
          <w:p>
            <w:pPr>
              <w:pStyle w:val="47"/>
              <w:rPr>
                <w:color w:val="auto"/>
              </w:rPr>
            </w:pPr>
            <w:r>
              <w:rPr>
                <w:rFonts w:hint="eastAsia"/>
                <w:color w:val="auto"/>
              </w:rPr>
              <w:t>0.1</w:t>
            </w:r>
          </w:p>
        </w:tc>
        <w:tc>
          <w:tcPr>
            <w:tcW w:w="1675" w:type="pct"/>
            <w:vMerge w:val="continue"/>
            <w:tcBorders>
              <w:tl2br w:val="nil"/>
              <w:tr2bl w:val="nil"/>
            </w:tcBorders>
            <w:vAlign w:val="center"/>
          </w:tcPr>
          <w:p>
            <w:pPr>
              <w:autoSpaceDE w:val="0"/>
              <w:autoSpaceDN w:val="0"/>
              <w:spacing w:line="240" w:lineRule="auto"/>
              <w:ind w:firstLine="0" w:firstLineChars="0"/>
              <w:jc w:val="center"/>
              <w:rPr>
                <w:bCs/>
                <w:color w:val="auto"/>
                <w:kern w:val="0"/>
                <w:sz w:val="2"/>
                <w:szCs w:val="2"/>
                <w:lang w:val="zh-CN" w:bidi="zh-CN"/>
              </w:rPr>
            </w:pPr>
          </w:p>
        </w:tc>
      </w:tr>
    </w:tbl>
    <w:p>
      <w:pPr>
        <w:spacing w:line="240" w:lineRule="auto"/>
        <w:ind w:firstLine="360"/>
        <w:rPr>
          <w:color w:val="auto"/>
          <w:sz w:val="18"/>
          <w:szCs w:val="18"/>
        </w:rPr>
      </w:pPr>
      <w:r>
        <w:rPr>
          <w:color w:val="auto"/>
          <w:sz w:val="18"/>
          <w:szCs w:val="18"/>
        </w:rPr>
        <w:t>注：上述标准中pH无量纲，其余因子单位为mg/l。</w:t>
      </w:r>
    </w:p>
    <w:p>
      <w:pPr>
        <w:ind w:firstLine="360"/>
        <w:rPr>
          <w:color w:val="auto"/>
          <w:sz w:val="18"/>
          <w:szCs w:val="18"/>
        </w:rPr>
      </w:pPr>
      <w:r>
        <w:rPr>
          <w:rFonts w:hint="eastAsia"/>
          <w:color w:val="auto"/>
          <w:sz w:val="18"/>
          <w:szCs w:val="18"/>
        </w:rPr>
        <w:t>其中铁</w:t>
      </w:r>
      <w:r>
        <w:rPr>
          <w:color w:val="auto"/>
          <w:sz w:val="18"/>
          <w:szCs w:val="18"/>
        </w:rPr>
        <w:t>参照《地表水环境质量标准》（GB3838-2002）中的表2《集中式生活饮用水地表水源地补充项目标准限值》</w:t>
      </w:r>
      <w:r>
        <w:rPr>
          <w:rFonts w:hint="eastAsia"/>
          <w:color w:val="auto"/>
          <w:sz w:val="18"/>
          <w:szCs w:val="18"/>
        </w:rPr>
        <w:t>钛参照</w:t>
      </w:r>
      <w:r>
        <w:rPr>
          <w:color w:val="auto"/>
          <w:sz w:val="18"/>
          <w:szCs w:val="18"/>
        </w:rPr>
        <w:t>《地表水环境质量标准》（GB3838-2002）中的表</w:t>
      </w:r>
      <w:r>
        <w:rPr>
          <w:rFonts w:hint="eastAsia"/>
          <w:color w:val="auto"/>
          <w:sz w:val="18"/>
          <w:szCs w:val="18"/>
        </w:rPr>
        <w:t>3</w:t>
      </w:r>
      <w:r>
        <w:rPr>
          <w:color w:val="auto"/>
          <w:sz w:val="18"/>
          <w:szCs w:val="18"/>
        </w:rPr>
        <w:t>《集中式生活饮用水地表水源地</w:t>
      </w:r>
      <w:r>
        <w:rPr>
          <w:rFonts w:hint="eastAsia"/>
          <w:color w:val="auto"/>
          <w:sz w:val="18"/>
          <w:szCs w:val="18"/>
        </w:rPr>
        <w:t>特定</w:t>
      </w:r>
      <w:r>
        <w:rPr>
          <w:color w:val="auto"/>
          <w:sz w:val="18"/>
          <w:szCs w:val="18"/>
        </w:rPr>
        <w:t>项目标准限值》。</w:t>
      </w:r>
    </w:p>
    <w:p>
      <w:pPr>
        <w:pStyle w:val="9"/>
        <w:spacing w:before="0" w:beforeLines="0" w:after="0" w:afterLines="0" w:line="360" w:lineRule="auto"/>
        <w:rPr>
          <w:color w:val="auto"/>
        </w:rPr>
      </w:pPr>
      <w:r>
        <w:rPr>
          <w:rFonts w:hint="eastAsia"/>
          <w:color w:val="auto"/>
        </w:rPr>
        <w:t>4.2.3评价方法</w:t>
      </w:r>
      <w:bookmarkEnd w:id="254"/>
      <w:bookmarkEnd w:id="255"/>
    </w:p>
    <w:p>
      <w:pPr>
        <w:adjustRightInd w:val="0"/>
        <w:snapToGrid w:val="0"/>
        <w:ind w:firstLine="480"/>
        <w:rPr>
          <w:color w:val="auto"/>
          <w:szCs w:val="24"/>
        </w:rPr>
      </w:pPr>
      <w:r>
        <w:rPr>
          <w:color w:val="auto"/>
          <w:szCs w:val="24"/>
        </w:rPr>
        <w:t>评价方法采用单因子指数法。</w:t>
      </w:r>
    </w:p>
    <w:p>
      <w:pPr>
        <w:adjustRightInd w:val="0"/>
        <w:snapToGrid w:val="0"/>
        <w:ind w:firstLine="470" w:firstLineChars="196"/>
        <w:rPr>
          <w:bCs/>
          <w:color w:val="auto"/>
        </w:rPr>
      </w:pPr>
      <w:r>
        <w:rPr>
          <w:bCs/>
          <w:color w:val="auto"/>
        </w:rPr>
        <w:t>采用单因子指数法进行评价，其计算公式如下：</w:t>
      </w:r>
    </w:p>
    <w:p>
      <w:pPr>
        <w:adjustRightInd w:val="0"/>
        <w:snapToGrid w:val="0"/>
        <w:ind w:firstLine="1920" w:firstLineChars="800"/>
        <w:rPr>
          <w:bCs/>
          <w:color w:val="auto"/>
        </w:rPr>
      </w:pPr>
      <w:r>
        <w:rPr>
          <w:bCs/>
          <w:color w:val="auto"/>
        </w:rPr>
        <w:t>①S</w:t>
      </w:r>
      <w:r>
        <w:rPr>
          <w:bCs/>
          <w:color w:val="auto"/>
          <w:vertAlign w:val="subscript"/>
        </w:rPr>
        <w:t>ij</w:t>
      </w:r>
      <w:r>
        <w:rPr>
          <w:bCs/>
          <w:color w:val="auto"/>
        </w:rPr>
        <w:t>= C</w:t>
      </w:r>
      <w:r>
        <w:rPr>
          <w:bCs/>
          <w:color w:val="auto"/>
          <w:vertAlign w:val="subscript"/>
        </w:rPr>
        <w:t>ij</w:t>
      </w:r>
      <w:r>
        <w:rPr>
          <w:bCs/>
          <w:color w:val="auto"/>
        </w:rPr>
        <w:t>/ C</w:t>
      </w:r>
      <w:r>
        <w:rPr>
          <w:bCs/>
          <w:color w:val="auto"/>
          <w:vertAlign w:val="subscript"/>
        </w:rPr>
        <w:t>si</w:t>
      </w:r>
    </w:p>
    <w:p>
      <w:pPr>
        <w:adjustRightInd w:val="0"/>
        <w:snapToGrid w:val="0"/>
        <w:ind w:firstLine="960" w:firstLineChars="400"/>
        <w:rPr>
          <w:bCs/>
          <w:color w:val="auto"/>
        </w:rPr>
      </w:pPr>
      <w:r>
        <w:rPr>
          <w:bCs/>
          <w:color w:val="auto"/>
        </w:rPr>
        <w:t>式中：</w:t>
      </w:r>
    </w:p>
    <w:p>
      <w:pPr>
        <w:adjustRightInd w:val="0"/>
        <w:snapToGrid w:val="0"/>
        <w:ind w:firstLine="1440" w:firstLineChars="600"/>
        <w:rPr>
          <w:bCs/>
          <w:color w:val="auto"/>
        </w:rPr>
      </w:pPr>
      <w:r>
        <w:rPr>
          <w:bCs/>
          <w:color w:val="auto"/>
        </w:rPr>
        <w:t>S</w:t>
      </w:r>
      <w:r>
        <w:rPr>
          <w:bCs/>
          <w:color w:val="auto"/>
          <w:vertAlign w:val="subscript"/>
        </w:rPr>
        <w:t>ij</w:t>
      </w:r>
      <w:r>
        <w:rPr>
          <w:bCs/>
          <w:color w:val="auto"/>
        </w:rPr>
        <w:t>---单项水质参数i在j点的标准指数；</w:t>
      </w:r>
    </w:p>
    <w:p>
      <w:pPr>
        <w:adjustRightInd w:val="0"/>
        <w:snapToGrid w:val="0"/>
        <w:ind w:firstLine="1440" w:firstLineChars="600"/>
        <w:rPr>
          <w:bCs/>
          <w:color w:val="auto"/>
        </w:rPr>
      </w:pPr>
      <w:r>
        <w:rPr>
          <w:bCs/>
          <w:color w:val="auto"/>
        </w:rPr>
        <w:t>C</w:t>
      </w:r>
      <w:r>
        <w:rPr>
          <w:bCs/>
          <w:color w:val="auto"/>
          <w:vertAlign w:val="subscript"/>
        </w:rPr>
        <w:t>ij</w:t>
      </w:r>
      <w:r>
        <w:rPr>
          <w:bCs/>
          <w:color w:val="auto"/>
        </w:rPr>
        <w:t>---污染物i在监测点j的浓度，mg/L；</w:t>
      </w:r>
    </w:p>
    <w:p>
      <w:pPr>
        <w:adjustRightInd w:val="0"/>
        <w:snapToGrid w:val="0"/>
        <w:ind w:firstLine="1440" w:firstLineChars="600"/>
        <w:rPr>
          <w:bCs/>
          <w:color w:val="auto"/>
        </w:rPr>
      </w:pPr>
      <w:r>
        <w:rPr>
          <w:bCs/>
          <w:color w:val="auto"/>
        </w:rPr>
        <w:t>C</w:t>
      </w:r>
      <w:r>
        <w:rPr>
          <w:bCs/>
          <w:color w:val="auto"/>
          <w:vertAlign w:val="subscript"/>
        </w:rPr>
        <w:t>si</w:t>
      </w:r>
      <w:r>
        <w:rPr>
          <w:bCs/>
          <w:color w:val="auto"/>
        </w:rPr>
        <w:t>---i污染物的水质评价标准mg/L</w:t>
      </w:r>
    </w:p>
    <w:p>
      <w:pPr>
        <w:adjustRightInd w:val="0"/>
        <w:snapToGrid w:val="0"/>
        <w:ind w:firstLine="480"/>
        <w:rPr>
          <w:bCs/>
          <w:color w:val="auto"/>
        </w:rPr>
      </w:pPr>
      <w:r>
        <w:rPr>
          <w:bCs/>
          <w:color w:val="auto"/>
        </w:rPr>
        <w:t>②pH的标准指数采用下式计算</w:t>
      </w:r>
    </w:p>
    <w:p>
      <w:pPr>
        <w:adjustRightInd w:val="0"/>
        <w:snapToGrid w:val="0"/>
        <w:ind w:firstLine="1440" w:firstLineChars="600"/>
        <w:rPr>
          <w:bCs/>
          <w:color w:val="auto"/>
        </w:rPr>
      </w:pPr>
      <w:r>
        <w:rPr>
          <w:bCs/>
          <w:color w:val="auto"/>
        </w:rPr>
        <w:t>S</w:t>
      </w:r>
      <w:r>
        <w:rPr>
          <w:bCs/>
          <w:color w:val="auto"/>
          <w:vertAlign w:val="subscript"/>
        </w:rPr>
        <w:t>pHj</w:t>
      </w:r>
      <w:r>
        <w:rPr>
          <w:bCs/>
          <w:color w:val="auto"/>
        </w:rPr>
        <w:t>=(7.0-pH</w:t>
      </w:r>
      <w:r>
        <w:rPr>
          <w:bCs/>
          <w:color w:val="auto"/>
          <w:vertAlign w:val="subscript"/>
        </w:rPr>
        <w:t>j</w:t>
      </w:r>
      <w:r>
        <w:rPr>
          <w:bCs/>
          <w:color w:val="auto"/>
        </w:rPr>
        <w:t>)/(7.0-pH</w:t>
      </w:r>
      <w:r>
        <w:rPr>
          <w:bCs/>
          <w:color w:val="auto"/>
          <w:vertAlign w:val="subscript"/>
        </w:rPr>
        <w:t>sd</w:t>
      </w:r>
      <w:r>
        <w:rPr>
          <w:bCs/>
          <w:color w:val="auto"/>
        </w:rPr>
        <w:t>)       当PH</w:t>
      </w:r>
      <w:r>
        <w:rPr>
          <w:bCs/>
          <w:color w:val="auto"/>
          <w:vertAlign w:val="subscript"/>
        </w:rPr>
        <w:t>j</w:t>
      </w:r>
      <w:r>
        <w:rPr>
          <w:bCs/>
          <w:color w:val="auto"/>
        </w:rPr>
        <w:t>≤7.0时</w:t>
      </w:r>
    </w:p>
    <w:p>
      <w:pPr>
        <w:adjustRightInd w:val="0"/>
        <w:snapToGrid w:val="0"/>
        <w:ind w:firstLine="1440" w:firstLineChars="600"/>
        <w:rPr>
          <w:bCs/>
          <w:color w:val="auto"/>
        </w:rPr>
      </w:pPr>
      <w:r>
        <w:rPr>
          <w:bCs/>
          <w:color w:val="auto"/>
        </w:rPr>
        <w:t>S</w:t>
      </w:r>
      <w:r>
        <w:rPr>
          <w:bCs/>
          <w:color w:val="auto"/>
          <w:vertAlign w:val="subscript"/>
        </w:rPr>
        <w:t>pHj</w:t>
      </w:r>
      <w:r>
        <w:rPr>
          <w:bCs/>
          <w:color w:val="auto"/>
        </w:rPr>
        <w:t>=( pH</w:t>
      </w:r>
      <w:r>
        <w:rPr>
          <w:bCs/>
          <w:color w:val="auto"/>
          <w:vertAlign w:val="subscript"/>
        </w:rPr>
        <w:t>j</w:t>
      </w:r>
      <w:r>
        <w:rPr>
          <w:bCs/>
          <w:color w:val="auto"/>
        </w:rPr>
        <w:t xml:space="preserve"> -7.0)/( pH</w:t>
      </w:r>
      <w:r>
        <w:rPr>
          <w:bCs/>
          <w:color w:val="auto"/>
          <w:vertAlign w:val="subscript"/>
        </w:rPr>
        <w:t>su</w:t>
      </w:r>
      <w:r>
        <w:rPr>
          <w:bCs/>
          <w:color w:val="auto"/>
        </w:rPr>
        <w:t xml:space="preserve"> -7.0)     当PH</w:t>
      </w:r>
      <w:r>
        <w:rPr>
          <w:bCs/>
          <w:color w:val="auto"/>
          <w:vertAlign w:val="subscript"/>
        </w:rPr>
        <w:t>j</w:t>
      </w:r>
      <w:r>
        <w:rPr>
          <w:bCs/>
          <w:color w:val="auto"/>
        </w:rPr>
        <w:t>＞7.0时</w:t>
      </w:r>
    </w:p>
    <w:p>
      <w:pPr>
        <w:adjustRightInd w:val="0"/>
        <w:snapToGrid w:val="0"/>
        <w:ind w:firstLine="960" w:firstLineChars="400"/>
        <w:rPr>
          <w:bCs/>
          <w:color w:val="auto"/>
        </w:rPr>
      </w:pPr>
      <w:r>
        <w:rPr>
          <w:bCs/>
          <w:color w:val="auto"/>
        </w:rPr>
        <w:t>式中：</w:t>
      </w:r>
    </w:p>
    <w:p>
      <w:pPr>
        <w:adjustRightInd w:val="0"/>
        <w:snapToGrid w:val="0"/>
        <w:ind w:firstLine="1440" w:firstLineChars="600"/>
        <w:rPr>
          <w:bCs/>
          <w:color w:val="auto"/>
        </w:rPr>
      </w:pPr>
      <w:r>
        <w:rPr>
          <w:bCs/>
          <w:color w:val="auto"/>
        </w:rPr>
        <w:t>S</w:t>
      </w:r>
      <w:r>
        <w:rPr>
          <w:bCs/>
          <w:color w:val="auto"/>
          <w:vertAlign w:val="subscript"/>
        </w:rPr>
        <w:t>PHj</w:t>
      </w:r>
      <w:r>
        <w:rPr>
          <w:bCs/>
          <w:color w:val="auto"/>
        </w:rPr>
        <w:t>---单项水质参数pH在j点的标准指数；</w:t>
      </w:r>
    </w:p>
    <w:p>
      <w:pPr>
        <w:adjustRightInd w:val="0"/>
        <w:snapToGrid w:val="0"/>
        <w:ind w:firstLine="1440" w:firstLineChars="600"/>
        <w:rPr>
          <w:bCs/>
          <w:color w:val="auto"/>
        </w:rPr>
      </w:pPr>
      <w:r>
        <w:rPr>
          <w:bCs/>
          <w:color w:val="auto"/>
        </w:rPr>
        <w:t>pH</w:t>
      </w:r>
      <w:r>
        <w:rPr>
          <w:bCs/>
          <w:color w:val="auto"/>
          <w:vertAlign w:val="subscript"/>
        </w:rPr>
        <w:t>sd</w:t>
      </w:r>
      <w:r>
        <w:rPr>
          <w:bCs/>
          <w:color w:val="auto"/>
        </w:rPr>
        <w:t>---地表水质量标准中规定的pH值下限；</w:t>
      </w:r>
    </w:p>
    <w:p>
      <w:pPr>
        <w:adjustRightInd w:val="0"/>
        <w:snapToGrid w:val="0"/>
        <w:ind w:firstLine="1440" w:firstLineChars="600"/>
        <w:rPr>
          <w:color w:val="auto"/>
        </w:rPr>
      </w:pPr>
      <w:r>
        <w:rPr>
          <w:color w:val="auto"/>
        </w:rPr>
        <w:t>pH</w:t>
      </w:r>
      <w:r>
        <w:rPr>
          <w:color w:val="auto"/>
          <w:vertAlign w:val="subscript"/>
        </w:rPr>
        <w:t>su</w:t>
      </w:r>
      <w:r>
        <w:rPr>
          <w:color w:val="auto"/>
        </w:rPr>
        <w:t>---地表水质量标准中规定的pH值上限。</w:t>
      </w:r>
    </w:p>
    <w:p>
      <w:pPr>
        <w:adjustRightInd w:val="0"/>
        <w:snapToGrid w:val="0"/>
        <w:ind w:firstLine="480"/>
        <w:rPr>
          <w:color w:val="auto"/>
        </w:rPr>
      </w:pPr>
      <w:r>
        <w:rPr>
          <w:color w:val="auto"/>
        </w:rPr>
        <w:t>若计算的标准数小于1，则表明该项水质指标能满足目前的水质用途；若标准指数大于1，则表明水体已受到该污染物的污染，指数越高，表明污染越重。</w:t>
      </w:r>
    </w:p>
    <w:p>
      <w:pPr>
        <w:keepNext w:val="0"/>
        <w:keepLines w:val="0"/>
        <w:pageBreakBefore w:val="0"/>
        <w:widowControl w:val="0"/>
        <w:kinsoku/>
        <w:wordWrap/>
        <w:overflowPunct/>
        <w:topLinePunct w:val="0"/>
        <w:autoSpaceDE/>
        <w:autoSpaceDN/>
        <w:bidi w:val="0"/>
        <w:adjustRightInd w:val="0"/>
        <w:snapToGrid w:val="0"/>
        <w:spacing w:line="440" w:lineRule="exact"/>
        <w:ind w:left="0" w:leftChars="0" w:right="0" w:firstLine="480" w:firstLineChars="200"/>
        <w:jc w:val="both"/>
        <w:textAlignment w:val="auto"/>
        <w:rPr>
          <w:color w:val="auto"/>
        </w:rPr>
      </w:pPr>
      <w:r>
        <w:rPr>
          <w:color w:val="auto"/>
        </w:rPr>
        <w:t>③DO的标准指数为：</w:t>
      </w:r>
    </w:p>
    <w:p>
      <w:pPr>
        <w:keepNext w:val="0"/>
        <w:keepLines w:val="0"/>
        <w:pageBreakBefore w:val="0"/>
        <w:widowControl w:val="0"/>
        <w:kinsoku/>
        <w:wordWrap/>
        <w:overflowPunct/>
        <w:topLinePunct w:val="0"/>
        <w:autoSpaceDE/>
        <w:autoSpaceDN/>
        <w:bidi w:val="0"/>
        <w:adjustRightInd w:val="0"/>
        <w:snapToGrid w:val="0"/>
        <w:spacing w:line="440" w:lineRule="exact"/>
        <w:ind w:left="0" w:leftChars="0" w:right="0" w:firstLine="480" w:firstLineChars="200"/>
        <w:jc w:val="both"/>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position w:val="-16"/>
          <w:sz w:val="24"/>
          <w:highlight w:val="none"/>
        </w:rPr>
        <w:object>
          <v:shape id="_x0000_i1025" o:spt="75" type="#_x0000_t75" style="height:20pt;width:177pt;" o:ole="t" filled="f" stroked="f" coordsize="21600,21600">
            <v:path/>
            <v:fill on="f" alignshape="1" focussize="0,0"/>
            <v:stroke on="f"/>
            <v:imagedata r:id="rId74" o:title=""/>
            <o:lock v:ext="edit" aspectratio="t"/>
            <w10:wrap type="none"/>
            <w10:anchorlock/>
          </v:shape>
          <o:OLEObject Type="Embed" ProgID="Equation.3" ShapeID="_x0000_i1025" DrawAspect="Content" ObjectID="_1468075725" r:id="rId73">
            <o:LockedField>false</o:LockedField>
          </o:OLEObject>
        </w:object>
      </w:r>
      <w:r>
        <w:rPr>
          <w:rFonts w:hint="default" w:ascii="Times New Roman" w:hAnsi="Times New Roman" w:cs="Times New Roman"/>
          <w:color w:val="auto"/>
          <w:sz w:val="24"/>
          <w:highlight w:val="none"/>
        </w:rPr>
        <w:t xml:space="preserve">           </w:t>
      </w:r>
      <w:r>
        <w:rPr>
          <w:rFonts w:hint="default" w:ascii="Times New Roman" w:hAnsi="Times New Roman" w:cs="Times New Roman"/>
          <w:color w:val="auto"/>
          <w:position w:val="-14"/>
          <w:sz w:val="24"/>
          <w:highlight w:val="none"/>
        </w:rPr>
        <w:object>
          <v:shape id="_x0000_i1026" o:spt="75" type="#_x0000_t75" style="height:19pt;width:53pt;" o:ole="t" filled="f" o:preferrelative="t" stroked="f" coordsize="21600,21600">
            <v:path/>
            <v:fill on="f" focussize="0,0"/>
            <v:stroke on="f"/>
            <v:imagedata r:id="rId76" o:title=""/>
            <o:lock v:ext="edit" aspectratio="t"/>
            <w10:wrap type="none"/>
            <w10:anchorlock/>
          </v:shape>
          <o:OLEObject Type="Embed" ProgID="Equation.3" ShapeID="_x0000_i1026" DrawAspect="Content" ObjectID="_1468075726" r:id="rId75">
            <o:LockedField>false</o:LockedField>
          </o:OLEObject>
        </w:objec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480" w:firstLineChars="200"/>
        <w:jc w:val="both"/>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position w:val="-32"/>
          <w:sz w:val="24"/>
          <w:highlight w:val="none"/>
        </w:rPr>
        <w:object>
          <v:shape id="_x0000_i1027" o:spt="75" type="#_x0000_t75" style="height:35pt;width:62pt;" o:ole="t" filled="f" o:preferrelative="t" stroked="f" coordsize="21600,21600">
            <v:path/>
            <v:fill on="f" focussize="0,0"/>
            <v:stroke on="f"/>
            <v:imagedata r:id="rId78" o:title=""/>
            <o:lock v:ext="edit" aspectratio="t"/>
            <w10:wrap type="none"/>
            <w10:anchorlock/>
          </v:shape>
          <o:OLEObject Type="Embed" ProgID="Equation.3" ShapeID="_x0000_i1027" DrawAspect="Content" ObjectID="_1468075727" r:id="rId77">
            <o:LockedField>false</o:LockedField>
          </o:OLEObject>
        </w:object>
      </w:r>
      <w:r>
        <w:rPr>
          <w:rFonts w:hint="default" w:ascii="Times New Roman" w:hAnsi="Times New Roman" w:cs="Times New Roman"/>
          <w:color w:val="auto"/>
          <w:sz w:val="24"/>
          <w:highlight w:val="none"/>
        </w:rPr>
        <w:pict>
          <v:shape id="对象 495" o:spid="_x0000_s1028" o:spt="75" type="#_x0000_t75" style="position:absolute;left:0pt;margin-top:-0.15pt;height:17.25pt;width:9pt;mso-position-horizontal:left;mso-wrap-distance-bottom:0pt;mso-wrap-distance-left:9pt;mso-wrap-distance-right:9pt;mso-wrap-distance-top:0pt;z-index:251771904;mso-width-relative:page;mso-height-relative:page;" o:ole="t" filled="f" stroked="f" coordsize="21600,21600">
            <v:path/>
            <v:fill on="f" alignshape="1" focussize="0,0"/>
            <v:stroke on="f"/>
            <v:imagedata r:id="rId80" o:title=""/>
            <o:lock v:ext="edit" aspectratio="t"/>
            <w10:wrap type="square" side="right"/>
          </v:shape>
          <o:OLEObject Type="Embed" ProgID="Equation.3" ShapeID="对象 495" DrawAspect="Content" ObjectID="_1468075728" r:id="rId79">
            <o:LockedField>false</o:LockedField>
          </o:OLEObject>
        </w:pict>
      </w:r>
      <w:r>
        <w:rPr>
          <w:rFonts w:hint="default" w:ascii="Times New Roman" w:hAnsi="Times New Roman" w:cs="Times New Roman"/>
          <w:color w:val="auto"/>
          <w:sz w:val="24"/>
          <w:highlight w:val="none"/>
        </w:rPr>
        <w:t xml:space="preserve">                       </w:t>
      </w:r>
      <w:r>
        <w:rPr>
          <w:rFonts w:hint="eastAsia" w:ascii="Times New Roman" w:hAnsi="Times New Roman" w:eastAsia="宋体" w:cs="Times New Roman"/>
          <w:color w:val="auto"/>
          <w:sz w:val="24"/>
          <w:highlight w:val="none"/>
          <w:lang w:val="en-US" w:eastAsia="zh-CN"/>
        </w:rPr>
        <w:t xml:space="preserve">     </w:t>
      </w:r>
      <w:r>
        <w:rPr>
          <w:rFonts w:hint="default" w:ascii="Times New Roman" w:hAnsi="Times New Roman" w:cs="Times New Roman"/>
          <w:color w:val="auto"/>
          <w:sz w:val="24"/>
          <w:highlight w:val="none"/>
        </w:rPr>
        <w:t xml:space="preserve">  </w:t>
      </w:r>
      <w:r>
        <w:rPr>
          <w:rFonts w:hint="default" w:ascii="Times New Roman" w:hAnsi="Times New Roman" w:cs="Times New Roman"/>
          <w:color w:val="auto"/>
          <w:position w:val="-14"/>
          <w:sz w:val="24"/>
          <w:highlight w:val="none"/>
        </w:rPr>
        <w:object>
          <v:shape id="_x0000_i1028" o:spt="75" type="#_x0000_t75" style="height:19pt;width:60pt;" o:ole="t" filled="f" o:preferrelative="t" stroked="f" coordsize="21600,21600">
            <v:path/>
            <v:fill on="f" focussize="0,0"/>
            <v:stroke on="f"/>
            <v:imagedata r:id="rId82" o:title=""/>
            <o:lock v:ext="edit" aspectratio="t"/>
            <w10:wrap type="none"/>
            <w10:anchorlock/>
          </v:shape>
          <o:OLEObject Type="Embed" ProgID="Equation.3" ShapeID="_x0000_i1028" DrawAspect="Content" ObjectID="_1468075729" r:id="rId81">
            <o:LockedField>false</o:LockedField>
          </o:OLEObject>
        </w:object>
      </w:r>
    </w:p>
    <w:p>
      <w:pPr>
        <w:keepNext w:val="0"/>
        <w:keepLines w:val="0"/>
        <w:pageBreakBefore w:val="0"/>
        <w:widowControl w:val="0"/>
        <w:tabs>
          <w:tab w:val="left" w:pos="0"/>
          <w:tab w:val="left" w:pos="540"/>
        </w:tabs>
        <w:kinsoku/>
        <w:wordWrap/>
        <w:overflowPunct/>
        <w:topLinePunct w:val="0"/>
        <w:autoSpaceDE/>
        <w:autoSpaceDN/>
        <w:bidi w:val="0"/>
        <w:adjustRightInd w:val="0"/>
        <w:snapToGrid w:val="0"/>
        <w:spacing w:line="440" w:lineRule="exact"/>
        <w:ind w:right="0"/>
        <w:jc w:val="both"/>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pict>
          <v:shape id="对象 496" o:spid="_x0000_s1029" o:spt="75" type="#_x0000_t75" style="position:absolute;left:0pt;margin-top:-0.15pt;height:17.25pt;width:9pt;mso-position-horizontal:left;mso-wrap-distance-bottom:0pt;mso-wrap-distance-left:9pt;mso-wrap-distance-right:9pt;mso-wrap-distance-top:0pt;z-index:251772928;mso-width-relative:page;mso-height-relative:page;" o:ole="t" filled="f" stroked="f" coordsize="21600,21600">
            <v:path/>
            <v:fill on="f" alignshape="1" focussize="0,0"/>
            <v:stroke on="f"/>
            <v:imagedata r:id="rId80" o:title=""/>
            <o:lock v:ext="edit" aspectratio="t"/>
            <w10:wrap type="square" side="right"/>
          </v:shape>
          <o:OLEObject Type="Embed" ProgID="Equation.3" ShapeID="对象 496" DrawAspect="Content" ObjectID="_1468075730" r:id="rId83">
            <o:LockedField>false</o:LockedField>
          </o:OLEObject>
        </w:pict>
      </w:r>
      <w:r>
        <w:rPr>
          <w:rFonts w:hint="default" w:ascii="Times New Roman" w:hAnsi="Times New Roman" w:cs="Times New Roman"/>
          <w:color w:val="auto"/>
          <w:sz w:val="24"/>
          <w:highlight w:val="none"/>
        </w:rPr>
        <w:t xml:space="preserve"> 式中：</w:t>
      </w:r>
      <w:r>
        <w:rPr>
          <w:rFonts w:hint="default" w:ascii="Times New Roman" w:hAnsi="Times New Roman" w:cs="Times New Roman"/>
          <w:color w:val="auto"/>
          <w:position w:val="-16"/>
          <w:sz w:val="24"/>
          <w:highlight w:val="none"/>
        </w:rPr>
        <w:object>
          <v:shape id="_x0000_i1029" o:spt="75" type="#_x0000_t75" style="height:20pt;width:24.95pt;" o:ole="t" filled="f" stroked="f" coordsize="21600,21600">
            <v:path/>
            <v:fill on="f" alignshape="1" focussize="0,0"/>
            <v:stroke on="f"/>
            <v:imagedata r:id="rId85" o:title=""/>
            <o:lock v:ext="edit" aspectratio="t"/>
            <w10:wrap type="none"/>
            <w10:anchorlock/>
          </v:shape>
          <o:OLEObject Type="Embed" ProgID="Equation.3" ShapeID="_x0000_i1029" DrawAspect="Content" ObjectID="_1468075731" r:id="rId84">
            <o:LockedField>false</o:LockedField>
          </o:OLEObject>
        </w:object>
      </w:r>
      <w:r>
        <w:rPr>
          <w:rFonts w:hint="default" w:ascii="Times New Roman" w:hAnsi="Times New Roman" w:cs="Times New Roman"/>
          <w:color w:val="auto"/>
          <w:sz w:val="24"/>
          <w:highlight w:val="none"/>
        </w:rPr>
        <w:t xml:space="preserve"> —— DO的标准指数；</w:t>
      </w:r>
    </w:p>
    <w:p>
      <w:pPr>
        <w:keepNext w:val="0"/>
        <w:keepLines w:val="0"/>
        <w:pageBreakBefore w:val="0"/>
        <w:widowControl w:val="0"/>
        <w:kinsoku/>
        <w:wordWrap/>
        <w:overflowPunct/>
        <w:topLinePunct w:val="0"/>
        <w:autoSpaceDE/>
        <w:autoSpaceDN/>
        <w:bidi w:val="0"/>
        <w:adjustRightInd w:val="0"/>
        <w:snapToGrid w:val="0"/>
        <w:spacing w:line="440" w:lineRule="exact"/>
        <w:ind w:left="2808" w:leftChars="570" w:right="0" w:hanging="1440" w:hangingChars="600"/>
        <w:jc w:val="both"/>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position w:val="-14"/>
          <w:sz w:val="24"/>
          <w:highlight w:val="none"/>
        </w:rPr>
        <w:object>
          <v:shape id="_x0000_i1030" o:spt="75" type="#_x0000_t75" style="height:19pt;width:27pt;" o:ole="t" filled="f" stroked="f" coordsize="21600,21600">
            <v:path/>
            <v:fill on="f" alignshape="1" focussize="0,0"/>
            <v:stroke on="f"/>
            <v:imagedata r:id="rId87" o:title=""/>
            <o:lock v:ext="edit" aspectratio="t"/>
            <w10:wrap type="none"/>
            <w10:anchorlock/>
          </v:shape>
          <o:OLEObject Type="Embed" ProgID="Equation.3" ShapeID="_x0000_i1030" DrawAspect="Content" ObjectID="_1468075732" r:id="rId86">
            <o:LockedField>false</o:LockedField>
          </o:OLEObject>
        </w:object>
      </w:r>
      <w:r>
        <w:rPr>
          <w:rFonts w:hint="default" w:ascii="Times New Roman" w:hAnsi="Times New Roman" w:cs="Times New Roman"/>
          <w:color w:val="auto"/>
          <w:sz w:val="24"/>
          <w:highlight w:val="none"/>
        </w:rPr>
        <w:t xml:space="preserve"> —— 某水温、气压条件下的饱和溶解氧浓度，mg/L，</w:t>
      </w:r>
      <w:r>
        <w:rPr>
          <w:rFonts w:hint="eastAsia" w:ascii="Times New Roman" w:hAnsi="Times New Roman" w:eastAsia="宋体" w:cs="Times New Roman"/>
          <w:color w:val="auto"/>
          <w:sz w:val="24"/>
          <w:highlight w:val="none"/>
          <w:lang w:val="en-US" w:eastAsia="zh-CN"/>
        </w:rPr>
        <w:t>计</w:t>
      </w:r>
      <w:r>
        <w:rPr>
          <w:rFonts w:hint="default" w:ascii="Times New Roman" w:hAnsi="Times New Roman" w:cs="Times New Roman"/>
          <w:color w:val="auto"/>
          <w:sz w:val="24"/>
          <w:highlight w:val="none"/>
        </w:rPr>
        <w:t>算公式常采用：</w:t>
      </w:r>
      <w:r>
        <w:rPr>
          <w:rFonts w:hint="default" w:ascii="Times New Roman" w:hAnsi="Times New Roman" w:cs="Times New Roman"/>
          <w:color w:val="auto"/>
          <w:position w:val="-14"/>
          <w:sz w:val="24"/>
          <w:highlight w:val="none"/>
        </w:rPr>
        <w:object>
          <v:shape id="_x0000_i1031" o:spt="75" type="#_x0000_t75" style="height:19pt;width:112pt;" o:ole="t" filled="f" stroked="f" coordsize="21600,21600">
            <v:path/>
            <v:fill on="f" alignshape="1" focussize="0,0"/>
            <v:stroke on="f"/>
            <v:imagedata r:id="rId89" o:title=""/>
            <o:lock v:ext="edit" aspectratio="t"/>
            <w10:wrap type="none"/>
            <w10:anchorlock/>
          </v:shape>
          <o:OLEObject Type="Embed" ProgID="Equation.3" ShapeID="_x0000_i1031" DrawAspect="Content" ObjectID="_1468075733" r:id="rId88">
            <o:LockedField>false</o:LockedField>
          </o:OLEObject>
        </w:object>
      </w:r>
      <w:r>
        <w:rPr>
          <w:rFonts w:hint="default" w:ascii="Times New Roman" w:hAnsi="Times New Roman" w:cs="Times New Roman"/>
          <w:color w:val="auto"/>
          <w:sz w:val="24"/>
          <w:highlight w:val="none"/>
        </w:rPr>
        <w:t>，T为水温，℃；</w:t>
      </w:r>
    </w:p>
    <w:p>
      <w:pPr>
        <w:keepNext w:val="0"/>
        <w:keepLines w:val="0"/>
        <w:pageBreakBefore w:val="0"/>
        <w:widowControl w:val="0"/>
        <w:kinsoku/>
        <w:wordWrap/>
        <w:overflowPunct/>
        <w:topLinePunct w:val="0"/>
        <w:autoSpaceDE/>
        <w:autoSpaceDN/>
        <w:bidi w:val="0"/>
        <w:adjustRightInd w:val="0"/>
        <w:snapToGrid w:val="0"/>
        <w:spacing w:line="440" w:lineRule="exact"/>
        <w:ind w:left="0" w:leftChars="0" w:right="0" w:firstLine="1200" w:firstLineChars="500"/>
        <w:jc w:val="both"/>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position w:val="-14"/>
          <w:sz w:val="24"/>
          <w:highlight w:val="none"/>
        </w:rPr>
        <w:object>
          <v:shape id="_x0000_i1032" o:spt="75" type="#_x0000_t75" style="height:19pt;width:24.95pt;" o:ole="t" filled="f" stroked="f" coordsize="21600,21600">
            <v:path/>
            <v:fill on="f" alignshape="1" focussize="0,0"/>
            <v:stroke on="f"/>
            <v:imagedata r:id="rId91" o:title=""/>
            <o:lock v:ext="edit" aspectratio="t"/>
            <w10:wrap type="none"/>
            <w10:anchorlock/>
          </v:shape>
          <o:OLEObject Type="Embed" ProgID="Equation.3" ShapeID="_x0000_i1032" DrawAspect="Content" ObjectID="_1468075734" r:id="rId90">
            <o:LockedField>false</o:LockedField>
          </o:OLEObject>
        </w:object>
      </w:r>
      <w:r>
        <w:rPr>
          <w:rFonts w:hint="default" w:ascii="Times New Roman" w:hAnsi="Times New Roman" w:cs="Times New Roman"/>
          <w:color w:val="auto"/>
          <w:sz w:val="24"/>
          <w:highlight w:val="none"/>
        </w:rPr>
        <w:t xml:space="preserve"> —— 溶解氧实测值，mg/L；</w:t>
      </w:r>
    </w:p>
    <w:p>
      <w:pPr>
        <w:keepNext w:val="0"/>
        <w:keepLines w:val="0"/>
        <w:pageBreakBefore w:val="0"/>
        <w:widowControl w:val="0"/>
        <w:kinsoku/>
        <w:wordWrap/>
        <w:overflowPunct/>
        <w:topLinePunct w:val="0"/>
        <w:autoSpaceDE/>
        <w:autoSpaceDN/>
        <w:bidi w:val="0"/>
        <w:adjustRightInd w:val="0"/>
        <w:snapToGrid w:val="0"/>
        <w:spacing w:line="440" w:lineRule="exact"/>
        <w:ind w:left="0" w:leftChars="0" w:right="0" w:firstLine="1200" w:firstLineChars="500"/>
        <w:jc w:val="both"/>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position w:val="-12"/>
          <w:sz w:val="24"/>
          <w:highlight w:val="none"/>
        </w:rPr>
        <w:object>
          <v:shape id="_x0000_i1033" o:spt="75" type="#_x0000_t75" style="height:18pt;width:24.95pt;" o:ole="t" filled="f" stroked="f" coordsize="21600,21600">
            <v:path/>
            <v:fill on="f" alignshape="1" focussize="0,0"/>
            <v:stroke on="f"/>
            <v:imagedata r:id="rId93" o:title=""/>
            <o:lock v:ext="edit" aspectratio="t"/>
            <w10:wrap type="none"/>
            <w10:anchorlock/>
          </v:shape>
          <o:OLEObject Type="Embed" ProgID="Equation.3" ShapeID="_x0000_i1033" DrawAspect="Content" ObjectID="_1468075735" r:id="rId92">
            <o:LockedField>false</o:LockedField>
          </o:OLEObject>
        </w:object>
      </w:r>
      <w:r>
        <w:rPr>
          <w:rFonts w:hint="default" w:ascii="Times New Roman" w:hAnsi="Times New Roman" w:cs="Times New Roman"/>
          <w:color w:val="auto"/>
          <w:sz w:val="24"/>
          <w:highlight w:val="none"/>
        </w:rPr>
        <w:t xml:space="preserve"> —— 溶解氧的评价标准限值，mg/L。</w:t>
      </w:r>
    </w:p>
    <w:p>
      <w:pPr>
        <w:adjustRightInd w:val="0"/>
        <w:snapToGrid w:val="0"/>
        <w:ind w:firstLine="960" w:firstLineChars="400"/>
        <w:rPr>
          <w:color w:val="auto"/>
        </w:rPr>
      </w:pPr>
    </w:p>
    <w:p>
      <w:pPr>
        <w:pStyle w:val="9"/>
        <w:spacing w:before="0" w:beforeLines="0" w:after="0" w:afterLines="0" w:line="360" w:lineRule="auto"/>
        <w:rPr>
          <w:color w:val="auto"/>
        </w:rPr>
      </w:pPr>
      <w:bookmarkStart w:id="256" w:name="_Toc1604"/>
      <w:bookmarkStart w:id="257" w:name="_Toc7972_WPSOffice_Level3"/>
      <w:bookmarkStart w:id="258" w:name="_Toc21061"/>
      <w:r>
        <w:rPr>
          <w:rFonts w:hint="eastAsia"/>
          <w:color w:val="auto"/>
        </w:rPr>
        <w:t>4..2.4评价结果</w:t>
      </w:r>
      <w:bookmarkEnd w:id="256"/>
      <w:bookmarkEnd w:id="257"/>
      <w:bookmarkEnd w:id="258"/>
    </w:p>
    <w:p>
      <w:pPr>
        <w:pStyle w:val="2"/>
        <w:spacing w:after="0"/>
        <w:ind w:firstLine="480"/>
        <w:rPr>
          <w:color w:val="auto"/>
        </w:rPr>
      </w:pPr>
      <w:r>
        <w:rPr>
          <w:color w:val="auto"/>
        </w:rPr>
        <w:t>根据上述评价方法，对监测结果进行单因子指数评价，评价结果见表</w:t>
      </w:r>
      <w:r>
        <w:rPr>
          <w:rFonts w:hint="eastAsia"/>
          <w:color w:val="auto"/>
        </w:rPr>
        <w:t>4.2-6</w:t>
      </w:r>
      <w:r>
        <w:rPr>
          <w:color w:val="auto"/>
        </w:rPr>
        <w:t>。</w:t>
      </w:r>
    </w:p>
    <w:p>
      <w:pPr>
        <w:ind w:firstLine="0" w:firstLineChars="0"/>
        <w:jc w:val="center"/>
        <w:rPr>
          <w:rFonts w:eastAsia="黑体"/>
          <w:color w:val="auto"/>
          <w:sz w:val="21"/>
          <w:szCs w:val="21"/>
        </w:rPr>
      </w:pPr>
      <w:r>
        <w:rPr>
          <w:rFonts w:eastAsia="黑体"/>
          <w:color w:val="auto"/>
          <w:sz w:val="21"/>
          <w:szCs w:val="21"/>
        </w:rPr>
        <w:t>表</w:t>
      </w:r>
      <w:r>
        <w:rPr>
          <w:rFonts w:hint="eastAsia" w:eastAsia="黑体"/>
          <w:color w:val="auto"/>
          <w:sz w:val="21"/>
          <w:szCs w:val="21"/>
        </w:rPr>
        <w:t>4.2-6</w:t>
      </w:r>
      <w:r>
        <w:rPr>
          <w:rFonts w:eastAsia="黑体"/>
          <w:color w:val="auto"/>
          <w:sz w:val="21"/>
          <w:szCs w:val="21"/>
        </w:rPr>
        <w:t xml:space="preserve"> 地表水水质现状评价结果表</w:t>
      </w:r>
    </w:p>
    <w:tbl>
      <w:tblPr>
        <w:tblStyle w:val="23"/>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99"/>
        <w:gridCol w:w="1223"/>
        <w:gridCol w:w="356"/>
        <w:gridCol w:w="716"/>
        <w:gridCol w:w="869"/>
        <w:gridCol w:w="80"/>
        <w:gridCol w:w="1019"/>
        <w:gridCol w:w="497"/>
        <w:gridCol w:w="529"/>
        <w:gridCol w:w="10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采样日期</w:t>
            </w:r>
          </w:p>
        </w:tc>
        <w:tc>
          <w:tcPr>
            <w:tcW w:w="3437" w:type="pct"/>
            <w:gridSpan w:val="9"/>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2020.1.5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检测点位</w:t>
            </w:r>
          </w:p>
        </w:tc>
        <w:tc>
          <w:tcPr>
            <w:tcW w:w="1705" w:type="pct"/>
            <w:gridSpan w:val="4"/>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1#</w:t>
            </w:r>
          </w:p>
        </w:tc>
        <w:tc>
          <w:tcPr>
            <w:tcW w:w="1731" w:type="pct"/>
            <w:gridSpan w:val="5"/>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检测时间/频次</w:t>
            </w:r>
          </w:p>
        </w:tc>
        <w:tc>
          <w:tcPr>
            <w:tcW w:w="85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第一次</w:t>
            </w:r>
          </w:p>
        </w:tc>
        <w:tc>
          <w:tcPr>
            <w:tcW w:w="854" w:type="pct"/>
            <w:gridSpan w:val="2"/>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第二次</w:t>
            </w:r>
          </w:p>
        </w:tc>
        <w:tc>
          <w:tcPr>
            <w:tcW w:w="860" w:type="pct"/>
            <w:gridSpan w:val="3"/>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第一次</w:t>
            </w:r>
          </w:p>
        </w:tc>
        <w:tc>
          <w:tcPr>
            <w:tcW w:w="87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第二次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 xml:space="preserve">pH（无量纲） </w:t>
            </w:r>
          </w:p>
        </w:tc>
        <w:tc>
          <w:tcPr>
            <w:tcW w:w="85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0.80</w:t>
            </w:r>
          </w:p>
        </w:tc>
        <w:tc>
          <w:tcPr>
            <w:tcW w:w="854"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0.80 </w:t>
            </w:r>
          </w:p>
        </w:tc>
        <w:tc>
          <w:tcPr>
            <w:tcW w:w="860" w:type="pct"/>
            <w:gridSpan w:val="3"/>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0.81 </w:t>
            </w:r>
          </w:p>
        </w:tc>
        <w:tc>
          <w:tcPr>
            <w:tcW w:w="87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0.82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化学需氧量</w:t>
            </w:r>
          </w:p>
        </w:tc>
        <w:tc>
          <w:tcPr>
            <w:tcW w:w="851" w:type="pct"/>
            <w:gridSpan w:val="2"/>
            <w:tcBorders>
              <w:tl2br w:val="nil"/>
              <w:tr2bl w:val="nil"/>
            </w:tcBorders>
            <w:vAlign w:val="center"/>
          </w:tcPr>
          <w:p>
            <w:pPr>
              <w:pStyle w:val="2"/>
              <w:spacing w:after="0" w:line="312" w:lineRule="exact"/>
              <w:ind w:firstLine="0" w:firstLineChars="0"/>
              <w:jc w:val="center"/>
              <w:rPr>
                <w:b/>
                <w:bCs/>
                <w:color w:val="auto"/>
                <w:sz w:val="21"/>
                <w:szCs w:val="21"/>
              </w:rPr>
            </w:pPr>
            <w:r>
              <w:rPr>
                <w:rFonts w:hint="eastAsia"/>
                <w:b w:val="0"/>
                <w:bCs w:val="0"/>
                <w:color w:val="auto"/>
                <w:sz w:val="21"/>
                <w:szCs w:val="21"/>
              </w:rPr>
              <w:t xml:space="preserve">1.00 </w:t>
            </w:r>
          </w:p>
        </w:tc>
        <w:tc>
          <w:tcPr>
            <w:tcW w:w="854" w:type="pct"/>
            <w:gridSpan w:val="2"/>
            <w:tcBorders>
              <w:tl2br w:val="nil"/>
              <w:tr2bl w:val="nil"/>
            </w:tcBorders>
            <w:vAlign w:val="center"/>
          </w:tcPr>
          <w:p>
            <w:pPr>
              <w:pStyle w:val="2"/>
              <w:spacing w:after="0" w:line="312" w:lineRule="exact"/>
              <w:ind w:firstLine="0" w:firstLineChars="0"/>
              <w:jc w:val="center"/>
              <w:rPr>
                <w:b/>
                <w:bCs/>
                <w:color w:val="auto"/>
                <w:sz w:val="21"/>
                <w:szCs w:val="21"/>
              </w:rPr>
            </w:pPr>
            <w:r>
              <w:rPr>
                <w:rFonts w:hint="eastAsia"/>
                <w:b/>
                <w:bCs/>
                <w:color w:val="auto"/>
                <w:sz w:val="21"/>
                <w:szCs w:val="21"/>
              </w:rPr>
              <w:t xml:space="preserve">1.03 </w:t>
            </w:r>
          </w:p>
        </w:tc>
        <w:tc>
          <w:tcPr>
            <w:tcW w:w="860" w:type="pct"/>
            <w:gridSpan w:val="3"/>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0.97 </w:t>
            </w:r>
          </w:p>
        </w:tc>
        <w:tc>
          <w:tcPr>
            <w:tcW w:w="87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0.90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五日生化需氧量</w:t>
            </w:r>
          </w:p>
        </w:tc>
        <w:tc>
          <w:tcPr>
            <w:tcW w:w="85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0.97 </w:t>
            </w:r>
          </w:p>
        </w:tc>
        <w:tc>
          <w:tcPr>
            <w:tcW w:w="854"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0.98 </w:t>
            </w:r>
          </w:p>
        </w:tc>
        <w:tc>
          <w:tcPr>
            <w:tcW w:w="860" w:type="pct"/>
            <w:gridSpan w:val="3"/>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0.95 </w:t>
            </w:r>
          </w:p>
        </w:tc>
        <w:tc>
          <w:tcPr>
            <w:tcW w:w="87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0.90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氨氮</w:t>
            </w:r>
          </w:p>
        </w:tc>
        <w:tc>
          <w:tcPr>
            <w:tcW w:w="85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0.20 </w:t>
            </w:r>
          </w:p>
        </w:tc>
        <w:tc>
          <w:tcPr>
            <w:tcW w:w="854"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0.20 </w:t>
            </w:r>
          </w:p>
        </w:tc>
        <w:tc>
          <w:tcPr>
            <w:tcW w:w="860" w:type="pct"/>
            <w:gridSpan w:val="3"/>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0.24 </w:t>
            </w:r>
          </w:p>
        </w:tc>
        <w:tc>
          <w:tcPr>
            <w:tcW w:w="87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0.24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挥发酚</w:t>
            </w:r>
          </w:p>
        </w:tc>
        <w:tc>
          <w:tcPr>
            <w:tcW w:w="85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c>
          <w:tcPr>
            <w:tcW w:w="854"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c>
          <w:tcPr>
            <w:tcW w:w="860" w:type="pct"/>
            <w:gridSpan w:val="3"/>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c>
          <w:tcPr>
            <w:tcW w:w="87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石油类</w:t>
            </w:r>
          </w:p>
        </w:tc>
        <w:tc>
          <w:tcPr>
            <w:tcW w:w="851" w:type="pct"/>
            <w:gridSpan w:val="2"/>
            <w:tcBorders>
              <w:tl2br w:val="nil"/>
              <w:tr2bl w:val="nil"/>
            </w:tcBorders>
            <w:vAlign w:val="center"/>
          </w:tcPr>
          <w:p>
            <w:pPr>
              <w:pStyle w:val="2"/>
              <w:spacing w:after="0" w:line="312" w:lineRule="exact"/>
              <w:ind w:firstLine="0" w:firstLineChars="0"/>
              <w:jc w:val="center"/>
              <w:rPr>
                <w:b/>
                <w:bCs/>
                <w:color w:val="auto"/>
                <w:sz w:val="21"/>
                <w:szCs w:val="21"/>
              </w:rPr>
            </w:pPr>
            <w:r>
              <w:rPr>
                <w:b/>
                <w:bCs/>
                <w:color w:val="auto"/>
                <w:sz w:val="21"/>
                <w:szCs w:val="21"/>
              </w:rPr>
              <w:t>1.04</w:t>
            </w:r>
          </w:p>
        </w:tc>
        <w:tc>
          <w:tcPr>
            <w:tcW w:w="854" w:type="pct"/>
            <w:gridSpan w:val="2"/>
            <w:tcBorders>
              <w:tl2br w:val="nil"/>
              <w:tr2bl w:val="nil"/>
            </w:tcBorders>
            <w:vAlign w:val="center"/>
          </w:tcPr>
          <w:p>
            <w:pPr>
              <w:pStyle w:val="2"/>
              <w:spacing w:after="0" w:line="312" w:lineRule="exact"/>
              <w:ind w:firstLine="0" w:firstLineChars="0"/>
              <w:jc w:val="center"/>
              <w:rPr>
                <w:b/>
                <w:bCs/>
                <w:color w:val="auto"/>
                <w:sz w:val="21"/>
                <w:szCs w:val="21"/>
              </w:rPr>
            </w:pPr>
            <w:r>
              <w:rPr>
                <w:b/>
                <w:bCs/>
                <w:color w:val="auto"/>
                <w:sz w:val="21"/>
                <w:szCs w:val="21"/>
              </w:rPr>
              <w:t>1.1</w:t>
            </w:r>
          </w:p>
        </w:tc>
        <w:tc>
          <w:tcPr>
            <w:tcW w:w="860" w:type="pct"/>
            <w:gridSpan w:val="3"/>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0.86</w:t>
            </w:r>
          </w:p>
        </w:tc>
        <w:tc>
          <w:tcPr>
            <w:tcW w:w="87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硫化物</w:t>
            </w:r>
          </w:p>
        </w:tc>
        <w:tc>
          <w:tcPr>
            <w:tcW w:w="85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0.07</w:t>
            </w:r>
          </w:p>
        </w:tc>
        <w:tc>
          <w:tcPr>
            <w:tcW w:w="854" w:type="pct"/>
            <w:gridSpan w:val="2"/>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0.078</w:t>
            </w:r>
          </w:p>
        </w:tc>
        <w:tc>
          <w:tcPr>
            <w:tcW w:w="860" w:type="pct"/>
            <w:gridSpan w:val="3"/>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0.122</w:t>
            </w:r>
          </w:p>
        </w:tc>
        <w:tc>
          <w:tcPr>
            <w:tcW w:w="87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0.114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总磷</w:t>
            </w:r>
          </w:p>
        </w:tc>
        <w:tc>
          <w:tcPr>
            <w:tcW w:w="85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0.35 </w:t>
            </w:r>
          </w:p>
        </w:tc>
        <w:tc>
          <w:tcPr>
            <w:tcW w:w="854"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0.36 </w:t>
            </w:r>
          </w:p>
        </w:tc>
        <w:tc>
          <w:tcPr>
            <w:tcW w:w="860" w:type="pct"/>
            <w:gridSpan w:val="3"/>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0.38 </w:t>
            </w:r>
          </w:p>
        </w:tc>
        <w:tc>
          <w:tcPr>
            <w:tcW w:w="87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0.40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溶解氧</w:t>
            </w:r>
          </w:p>
        </w:tc>
        <w:tc>
          <w:tcPr>
            <w:tcW w:w="851" w:type="pct"/>
            <w:gridSpan w:val="2"/>
            <w:tcBorders>
              <w:tl2br w:val="nil"/>
              <w:tr2bl w:val="nil"/>
            </w:tcBorders>
            <w:vAlign w:val="center"/>
          </w:tcPr>
          <w:p>
            <w:pPr>
              <w:pStyle w:val="2"/>
              <w:spacing w:after="0" w:line="312" w:lineRule="exact"/>
              <w:ind w:firstLine="0" w:firstLineChars="0"/>
              <w:jc w:val="center"/>
              <w:rPr>
                <w:rFonts w:hint="default"/>
                <w:color w:val="auto"/>
                <w:sz w:val="21"/>
                <w:szCs w:val="21"/>
                <w:lang w:val="en-US" w:eastAsia="zh-CN"/>
              </w:rPr>
            </w:pPr>
            <w:r>
              <w:rPr>
                <w:rFonts w:hint="eastAsia"/>
                <w:color w:val="auto"/>
                <w:sz w:val="21"/>
                <w:szCs w:val="21"/>
                <w:lang w:val="en-US" w:eastAsia="zh-CN"/>
              </w:rPr>
              <w:t>0.64</w:t>
            </w:r>
          </w:p>
        </w:tc>
        <w:tc>
          <w:tcPr>
            <w:tcW w:w="854"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lang w:val="en-US" w:eastAsia="zh-CN"/>
              </w:rPr>
              <w:t>0.61</w:t>
            </w:r>
            <w:r>
              <w:rPr>
                <w:rFonts w:hint="eastAsia"/>
                <w:color w:val="auto"/>
                <w:sz w:val="21"/>
                <w:szCs w:val="21"/>
              </w:rPr>
              <w:t xml:space="preserve"> </w:t>
            </w:r>
          </w:p>
        </w:tc>
        <w:tc>
          <w:tcPr>
            <w:tcW w:w="860" w:type="pct"/>
            <w:gridSpan w:val="3"/>
            <w:tcBorders>
              <w:tl2br w:val="nil"/>
              <w:tr2bl w:val="nil"/>
            </w:tcBorders>
            <w:vAlign w:val="center"/>
          </w:tcPr>
          <w:p>
            <w:pPr>
              <w:pStyle w:val="2"/>
              <w:spacing w:after="0" w:line="312" w:lineRule="exact"/>
              <w:ind w:firstLine="0" w:firstLineChars="0"/>
              <w:jc w:val="center"/>
              <w:rPr>
                <w:rFonts w:hint="default"/>
                <w:color w:val="auto"/>
                <w:sz w:val="21"/>
                <w:szCs w:val="21"/>
                <w:lang w:val="en-US" w:eastAsia="zh-CN"/>
              </w:rPr>
            </w:pPr>
            <w:r>
              <w:rPr>
                <w:rFonts w:hint="eastAsia"/>
                <w:color w:val="auto"/>
                <w:sz w:val="21"/>
                <w:szCs w:val="21"/>
                <w:lang w:val="en-US" w:eastAsia="zh-CN"/>
              </w:rPr>
              <w:t>0.71</w:t>
            </w:r>
          </w:p>
        </w:tc>
        <w:tc>
          <w:tcPr>
            <w:tcW w:w="87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lang w:val="en-US" w:eastAsia="zh-CN"/>
              </w:rPr>
              <w:t>0.65</w:t>
            </w:r>
            <w:r>
              <w:rPr>
                <w:rFonts w:hint="eastAsia"/>
                <w:color w:val="auto"/>
                <w:sz w:val="21"/>
                <w:szCs w:val="21"/>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高锰酸盐指数</w:t>
            </w:r>
          </w:p>
        </w:tc>
        <w:tc>
          <w:tcPr>
            <w:tcW w:w="85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0.48</w:t>
            </w:r>
          </w:p>
        </w:tc>
        <w:tc>
          <w:tcPr>
            <w:tcW w:w="854"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0.48</w:t>
            </w:r>
          </w:p>
        </w:tc>
        <w:tc>
          <w:tcPr>
            <w:tcW w:w="860" w:type="pct"/>
            <w:gridSpan w:val="3"/>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0.48</w:t>
            </w:r>
          </w:p>
        </w:tc>
        <w:tc>
          <w:tcPr>
            <w:tcW w:w="87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0.48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 xml:space="preserve">阴离子表面活性剂 </w:t>
            </w:r>
          </w:p>
        </w:tc>
        <w:tc>
          <w:tcPr>
            <w:tcW w:w="85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0.55 </w:t>
            </w:r>
          </w:p>
        </w:tc>
        <w:tc>
          <w:tcPr>
            <w:tcW w:w="854"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0.54 </w:t>
            </w:r>
          </w:p>
        </w:tc>
        <w:tc>
          <w:tcPr>
            <w:tcW w:w="860" w:type="pct"/>
            <w:gridSpan w:val="3"/>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0.57 </w:t>
            </w:r>
          </w:p>
        </w:tc>
        <w:tc>
          <w:tcPr>
            <w:tcW w:w="87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0.57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镍</w:t>
            </w:r>
          </w:p>
        </w:tc>
        <w:tc>
          <w:tcPr>
            <w:tcW w:w="85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c>
          <w:tcPr>
            <w:tcW w:w="854"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c>
          <w:tcPr>
            <w:tcW w:w="860" w:type="pct"/>
            <w:gridSpan w:val="3"/>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c>
          <w:tcPr>
            <w:tcW w:w="87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铜</w:t>
            </w:r>
          </w:p>
        </w:tc>
        <w:tc>
          <w:tcPr>
            <w:tcW w:w="85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c>
          <w:tcPr>
            <w:tcW w:w="854"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c>
          <w:tcPr>
            <w:tcW w:w="860" w:type="pct"/>
            <w:gridSpan w:val="3"/>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c>
          <w:tcPr>
            <w:tcW w:w="87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六价铬</w:t>
            </w:r>
          </w:p>
        </w:tc>
        <w:tc>
          <w:tcPr>
            <w:tcW w:w="85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c>
          <w:tcPr>
            <w:tcW w:w="854"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c>
          <w:tcPr>
            <w:tcW w:w="860" w:type="pct"/>
            <w:gridSpan w:val="3"/>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c>
          <w:tcPr>
            <w:tcW w:w="87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氟化物</w:t>
            </w:r>
          </w:p>
        </w:tc>
        <w:tc>
          <w:tcPr>
            <w:tcW w:w="85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0.71 </w:t>
            </w:r>
          </w:p>
        </w:tc>
        <w:tc>
          <w:tcPr>
            <w:tcW w:w="854"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0.70 </w:t>
            </w:r>
          </w:p>
        </w:tc>
        <w:tc>
          <w:tcPr>
            <w:tcW w:w="860" w:type="pct"/>
            <w:gridSpan w:val="3"/>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0.74 </w:t>
            </w:r>
          </w:p>
        </w:tc>
        <w:tc>
          <w:tcPr>
            <w:tcW w:w="87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0.73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氰化物</w:t>
            </w:r>
          </w:p>
        </w:tc>
        <w:tc>
          <w:tcPr>
            <w:tcW w:w="85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0.025</w:t>
            </w:r>
          </w:p>
        </w:tc>
        <w:tc>
          <w:tcPr>
            <w:tcW w:w="854"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0.025</w:t>
            </w:r>
          </w:p>
        </w:tc>
        <w:tc>
          <w:tcPr>
            <w:tcW w:w="860" w:type="pct"/>
            <w:gridSpan w:val="3"/>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0.025</w:t>
            </w:r>
          </w:p>
        </w:tc>
        <w:tc>
          <w:tcPr>
            <w:tcW w:w="87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0.025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采样日期</w:t>
            </w:r>
          </w:p>
        </w:tc>
        <w:tc>
          <w:tcPr>
            <w:tcW w:w="1237" w:type="pct"/>
            <w:gridSpan w:val="3"/>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2022.4.17</w:t>
            </w:r>
          </w:p>
        </w:tc>
        <w:tc>
          <w:tcPr>
            <w:tcW w:w="1060" w:type="pct"/>
            <w:gridSpan w:val="3"/>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2022.4.18</w:t>
            </w:r>
          </w:p>
        </w:tc>
        <w:tc>
          <w:tcPr>
            <w:tcW w:w="1139" w:type="pct"/>
            <w:gridSpan w:val="3"/>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2022.4.19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检测点位</w:t>
            </w:r>
          </w:p>
        </w:tc>
        <w:tc>
          <w:tcPr>
            <w:tcW w:w="659"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1#</w:t>
            </w:r>
          </w:p>
        </w:tc>
        <w:tc>
          <w:tcPr>
            <w:tcW w:w="578" w:type="pct"/>
            <w:gridSpan w:val="2"/>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2#</w:t>
            </w:r>
          </w:p>
        </w:tc>
        <w:tc>
          <w:tcPr>
            <w:tcW w:w="51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1#</w:t>
            </w:r>
          </w:p>
        </w:tc>
        <w:tc>
          <w:tcPr>
            <w:tcW w:w="548"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2#</w:t>
            </w:r>
          </w:p>
        </w:tc>
        <w:tc>
          <w:tcPr>
            <w:tcW w:w="553" w:type="pct"/>
            <w:gridSpan w:val="2"/>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1#</w:t>
            </w:r>
          </w:p>
        </w:tc>
        <w:tc>
          <w:tcPr>
            <w:tcW w:w="586"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widowControl/>
              <w:ind w:firstLine="0" w:firstLineChars="0"/>
              <w:jc w:val="center"/>
              <w:textAlignment w:val="center"/>
              <w:rPr>
                <w:color w:val="auto"/>
                <w:sz w:val="21"/>
                <w:szCs w:val="21"/>
              </w:rPr>
            </w:pPr>
            <w:r>
              <w:rPr>
                <w:color w:val="auto"/>
                <w:kern w:val="0"/>
                <w:sz w:val="21"/>
                <w:szCs w:val="21"/>
                <w:lang w:bidi="ar"/>
              </w:rPr>
              <w:t>锌</w:t>
            </w:r>
          </w:p>
        </w:tc>
        <w:tc>
          <w:tcPr>
            <w:tcW w:w="659" w:type="pct"/>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0.00056</w:t>
            </w:r>
          </w:p>
        </w:tc>
        <w:tc>
          <w:tcPr>
            <w:tcW w:w="578"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0.00301</w:t>
            </w:r>
          </w:p>
        </w:tc>
        <w:tc>
          <w:tcPr>
            <w:tcW w:w="51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0.0056</w:t>
            </w:r>
          </w:p>
        </w:tc>
        <w:tc>
          <w:tcPr>
            <w:tcW w:w="548" w:type="pct"/>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0.0136</w:t>
            </w:r>
          </w:p>
        </w:tc>
        <w:tc>
          <w:tcPr>
            <w:tcW w:w="553"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0.00428</w:t>
            </w:r>
          </w:p>
        </w:tc>
        <w:tc>
          <w:tcPr>
            <w:tcW w:w="586" w:type="pct"/>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0.0126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widowControl/>
              <w:ind w:firstLine="0" w:firstLineChars="0"/>
              <w:jc w:val="center"/>
              <w:textAlignment w:val="center"/>
              <w:rPr>
                <w:color w:val="auto"/>
                <w:sz w:val="21"/>
                <w:szCs w:val="21"/>
              </w:rPr>
            </w:pPr>
            <w:r>
              <w:rPr>
                <w:color w:val="auto"/>
                <w:kern w:val="0"/>
                <w:sz w:val="21"/>
                <w:szCs w:val="21"/>
                <w:lang w:bidi="ar"/>
              </w:rPr>
              <w:t>铁</w:t>
            </w:r>
          </w:p>
        </w:tc>
        <w:tc>
          <w:tcPr>
            <w:tcW w:w="659" w:type="pct"/>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0.011 </w:t>
            </w:r>
          </w:p>
        </w:tc>
        <w:tc>
          <w:tcPr>
            <w:tcW w:w="578"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0.061 </w:t>
            </w:r>
          </w:p>
        </w:tc>
        <w:tc>
          <w:tcPr>
            <w:tcW w:w="51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0.104 </w:t>
            </w:r>
          </w:p>
        </w:tc>
        <w:tc>
          <w:tcPr>
            <w:tcW w:w="548" w:type="pct"/>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0.343 </w:t>
            </w:r>
          </w:p>
        </w:tc>
        <w:tc>
          <w:tcPr>
            <w:tcW w:w="553"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0.264 </w:t>
            </w:r>
          </w:p>
        </w:tc>
        <w:tc>
          <w:tcPr>
            <w:tcW w:w="586" w:type="pct"/>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 xml:space="preserve">0.400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widowControl/>
              <w:ind w:firstLine="0" w:firstLineChars="0"/>
              <w:jc w:val="center"/>
              <w:textAlignment w:val="center"/>
              <w:rPr>
                <w:color w:val="auto"/>
                <w:sz w:val="21"/>
                <w:szCs w:val="21"/>
              </w:rPr>
            </w:pPr>
            <w:r>
              <w:rPr>
                <w:color w:val="auto"/>
                <w:kern w:val="0"/>
                <w:sz w:val="21"/>
                <w:szCs w:val="21"/>
                <w:lang w:bidi="ar"/>
              </w:rPr>
              <w:t>钛</w:t>
            </w:r>
          </w:p>
        </w:tc>
        <w:tc>
          <w:tcPr>
            <w:tcW w:w="659" w:type="pct"/>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c>
          <w:tcPr>
            <w:tcW w:w="578"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c>
          <w:tcPr>
            <w:tcW w:w="51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c>
          <w:tcPr>
            <w:tcW w:w="548" w:type="pct"/>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0.0221</w:t>
            </w:r>
          </w:p>
        </w:tc>
        <w:tc>
          <w:tcPr>
            <w:tcW w:w="553"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0.0386</w:t>
            </w:r>
          </w:p>
        </w:tc>
        <w:tc>
          <w:tcPr>
            <w:tcW w:w="586" w:type="pct"/>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0.0629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2" w:type="pct"/>
            <w:tcBorders>
              <w:tl2br w:val="nil"/>
              <w:tr2bl w:val="nil"/>
            </w:tcBorders>
            <w:vAlign w:val="center"/>
          </w:tcPr>
          <w:p>
            <w:pPr>
              <w:widowControl/>
              <w:ind w:firstLine="0" w:firstLineChars="0"/>
              <w:jc w:val="center"/>
              <w:textAlignment w:val="center"/>
              <w:rPr>
                <w:color w:val="auto"/>
                <w:sz w:val="21"/>
                <w:szCs w:val="21"/>
              </w:rPr>
            </w:pPr>
            <w:r>
              <w:rPr>
                <w:color w:val="auto"/>
                <w:kern w:val="0"/>
                <w:sz w:val="21"/>
                <w:szCs w:val="21"/>
                <w:lang w:bidi="ar"/>
              </w:rPr>
              <w:t>锡</w:t>
            </w:r>
          </w:p>
        </w:tc>
        <w:tc>
          <w:tcPr>
            <w:tcW w:w="659" w:type="pct"/>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c>
          <w:tcPr>
            <w:tcW w:w="578"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c>
          <w:tcPr>
            <w:tcW w:w="511"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c>
          <w:tcPr>
            <w:tcW w:w="548" w:type="pct"/>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c>
          <w:tcPr>
            <w:tcW w:w="553" w:type="pct"/>
            <w:gridSpan w:val="2"/>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c>
          <w:tcPr>
            <w:tcW w:w="586" w:type="pct"/>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10"/>
            <w:tcBorders>
              <w:tl2br w:val="nil"/>
              <w:tr2bl w:val="nil"/>
            </w:tcBorders>
            <w:vAlign w:val="center"/>
          </w:tcPr>
          <w:p>
            <w:pPr>
              <w:spacing w:line="312" w:lineRule="exact"/>
              <w:ind w:firstLine="0" w:firstLineChars="0"/>
              <w:rPr>
                <w:color w:val="auto"/>
                <w:sz w:val="21"/>
                <w:szCs w:val="21"/>
              </w:rPr>
            </w:pPr>
            <w:r>
              <w:rPr>
                <w:rFonts w:hint="eastAsia"/>
                <w:color w:val="auto"/>
                <w:sz w:val="21"/>
                <w:szCs w:val="21"/>
              </w:rPr>
              <w:t>注：“/”表示无评价标准；各点位均未检出的因子不在其中。</w:t>
            </w:r>
          </w:p>
        </w:tc>
      </w:tr>
    </w:tbl>
    <w:p>
      <w:pPr>
        <w:pStyle w:val="2"/>
        <w:spacing w:after="0"/>
        <w:ind w:firstLine="480"/>
        <w:rPr>
          <w:color w:val="auto"/>
        </w:rPr>
      </w:pPr>
      <w:r>
        <w:rPr>
          <w:color w:val="auto"/>
        </w:rPr>
        <w:t>从现状监测评价结果可以看出：</w:t>
      </w:r>
    </w:p>
    <w:p>
      <w:pPr>
        <w:pStyle w:val="2"/>
        <w:spacing w:after="0"/>
        <w:ind w:firstLine="480"/>
        <w:rPr>
          <w:rFonts w:hint="eastAsia" w:eastAsia="宋体"/>
          <w:color w:val="auto"/>
          <w:lang w:val="en-US" w:eastAsia="zh-CN"/>
        </w:rPr>
      </w:pPr>
      <w:r>
        <w:rPr>
          <w:color w:val="auto"/>
        </w:rPr>
        <w:t>现状监测期间，在光大水务淄博有限公司水质净化</w:t>
      </w:r>
      <w:r>
        <w:rPr>
          <w:rFonts w:hint="eastAsia"/>
          <w:color w:val="auto"/>
          <w:lang w:eastAsia="zh-CN"/>
        </w:rPr>
        <w:t>三分厂</w:t>
      </w:r>
      <w:r>
        <w:rPr>
          <w:color w:val="auto"/>
        </w:rPr>
        <w:t>排污口上游、下游设的 2个监测断面中， 1#监测断面化学需氧量、石油类</w:t>
      </w:r>
      <w:r>
        <w:rPr>
          <w:rFonts w:hint="eastAsia"/>
          <w:color w:val="auto"/>
          <w:lang w:eastAsia="zh-CN"/>
        </w:rPr>
        <w:t>，</w:t>
      </w:r>
      <w:r>
        <w:rPr>
          <w:color w:val="auto"/>
        </w:rPr>
        <w:t>其余监测项目均能够满足《地表水环境质量标准》(GB3838-2002)中的Ⅳ类标准要求。分析其超标的主要原因是，监测断面附近部分区域污水管网尚未铺设完全，部分生活污水未经收集处理直接排放对周围地表水造成一定的影响。</w:t>
      </w:r>
    </w:p>
    <w:p>
      <w:pPr>
        <w:pStyle w:val="9"/>
        <w:spacing w:before="0" w:beforeLines="0" w:after="0" w:afterLines="0" w:line="360" w:lineRule="auto"/>
        <w:rPr>
          <w:color w:val="auto"/>
        </w:rPr>
      </w:pPr>
      <w:r>
        <w:rPr>
          <w:rFonts w:hint="eastAsia"/>
          <w:color w:val="auto"/>
        </w:rPr>
        <w:t>4.</w:t>
      </w:r>
      <w:r>
        <w:rPr>
          <w:color w:val="auto"/>
        </w:rPr>
        <w:t>2.</w:t>
      </w:r>
      <w:r>
        <w:rPr>
          <w:rFonts w:hint="eastAsia"/>
          <w:color w:val="auto"/>
        </w:rPr>
        <w:t>5</w:t>
      </w:r>
      <w:r>
        <w:rPr>
          <w:color w:val="auto"/>
        </w:rPr>
        <w:t>区域消减方案</w:t>
      </w:r>
    </w:p>
    <w:p>
      <w:pPr>
        <w:ind w:firstLine="480"/>
        <w:rPr>
          <w:color w:val="auto"/>
          <w:szCs w:val="24"/>
        </w:rPr>
      </w:pPr>
      <w:r>
        <w:rPr>
          <w:color w:val="auto"/>
          <w:szCs w:val="24"/>
        </w:rPr>
        <w:t>淄博市</w:t>
      </w:r>
      <w:r>
        <w:rPr>
          <w:rFonts w:hint="eastAsia"/>
          <w:color w:val="auto"/>
          <w:szCs w:val="24"/>
        </w:rPr>
        <w:t>张店区</w:t>
      </w:r>
      <w:r>
        <w:rPr>
          <w:color w:val="auto"/>
          <w:szCs w:val="24"/>
        </w:rPr>
        <w:t>目前采取了一系列的措施，用于改善区域环境空气质量。</w:t>
      </w:r>
    </w:p>
    <w:p>
      <w:pPr>
        <w:ind w:firstLine="480"/>
        <w:rPr>
          <w:color w:val="auto"/>
          <w:szCs w:val="24"/>
        </w:rPr>
      </w:pPr>
      <w:r>
        <w:rPr>
          <w:color w:val="auto"/>
          <w:szCs w:val="24"/>
        </w:rPr>
        <w:t>一、《20</w:t>
      </w:r>
      <w:r>
        <w:rPr>
          <w:rFonts w:hint="eastAsia"/>
          <w:color w:val="auto"/>
          <w:szCs w:val="24"/>
        </w:rPr>
        <w:t>22</w:t>
      </w:r>
      <w:r>
        <w:rPr>
          <w:color w:val="auto"/>
          <w:szCs w:val="24"/>
        </w:rPr>
        <w:t>年</w:t>
      </w:r>
      <w:r>
        <w:rPr>
          <w:rFonts w:hint="eastAsia"/>
          <w:color w:val="auto"/>
          <w:szCs w:val="24"/>
        </w:rPr>
        <w:t>全区</w:t>
      </w:r>
      <w:r>
        <w:rPr>
          <w:color w:val="auto"/>
          <w:szCs w:val="24"/>
        </w:rPr>
        <w:t>生态环境综合治理</w:t>
      </w:r>
      <w:r>
        <w:rPr>
          <w:rFonts w:hint="eastAsia"/>
          <w:color w:val="auto"/>
          <w:szCs w:val="24"/>
        </w:rPr>
        <w:t>重点工作</w:t>
      </w:r>
      <w:r>
        <w:rPr>
          <w:color w:val="auto"/>
          <w:szCs w:val="24"/>
        </w:rPr>
        <w:t>任务清单》</w:t>
      </w:r>
    </w:p>
    <w:p>
      <w:pPr>
        <w:pStyle w:val="21"/>
        <w:widowControl/>
        <w:ind w:firstLine="480"/>
        <w:rPr>
          <w:color w:val="auto"/>
          <w:kern w:val="2"/>
          <w:szCs w:val="24"/>
        </w:rPr>
      </w:pPr>
      <w:r>
        <w:rPr>
          <w:color w:val="auto"/>
          <w:kern w:val="2"/>
          <w:szCs w:val="24"/>
        </w:rPr>
        <w:t>坚决打好碧水保卫战</w:t>
      </w:r>
      <w:r>
        <w:rPr>
          <w:rFonts w:hint="eastAsia"/>
          <w:color w:val="auto"/>
          <w:kern w:val="2"/>
          <w:szCs w:val="24"/>
        </w:rPr>
        <w:t>：</w:t>
      </w:r>
      <w:r>
        <w:rPr>
          <w:color w:val="auto"/>
          <w:kern w:val="2"/>
          <w:szCs w:val="24"/>
        </w:rPr>
        <w:t xml:space="preserve"> </w:t>
      </w:r>
    </w:p>
    <w:p>
      <w:pPr>
        <w:pStyle w:val="21"/>
        <w:widowControl/>
        <w:ind w:firstLine="480"/>
        <w:rPr>
          <w:color w:val="auto"/>
          <w:kern w:val="2"/>
          <w:szCs w:val="24"/>
        </w:rPr>
      </w:pPr>
      <w:r>
        <w:rPr>
          <w:rFonts w:hint="eastAsia"/>
          <w:color w:val="auto"/>
          <w:kern w:val="2"/>
          <w:szCs w:val="24"/>
        </w:rPr>
        <w:t>1</w:t>
      </w:r>
      <w:r>
        <w:rPr>
          <w:color w:val="auto"/>
          <w:kern w:val="2"/>
          <w:szCs w:val="24"/>
        </w:rPr>
        <w:t>.加快污水管网建设。加快城市建成区污水管网建设及老旧城区雨污分流改造工程进度，完成30.6公里的雨污分流改造任务。对主城区排水管网雨水口进行清淤，确保管网畅通。</w:t>
      </w:r>
    </w:p>
    <w:p>
      <w:pPr>
        <w:pStyle w:val="21"/>
        <w:widowControl/>
        <w:ind w:firstLine="480"/>
        <w:rPr>
          <w:color w:val="auto"/>
          <w:kern w:val="2"/>
          <w:szCs w:val="24"/>
        </w:rPr>
      </w:pPr>
      <w:r>
        <w:rPr>
          <w:rFonts w:hint="eastAsia"/>
          <w:color w:val="auto"/>
          <w:kern w:val="2"/>
          <w:szCs w:val="24"/>
        </w:rPr>
        <w:t>2</w:t>
      </w:r>
      <w:r>
        <w:rPr>
          <w:color w:val="auto"/>
          <w:kern w:val="2"/>
          <w:szCs w:val="24"/>
        </w:rPr>
        <w:t>.对涝淄河实施提升改造。对涝淄河4.24km河道进行清淤扩挖，改迁河道内7km排污管道，实施自动化监测等信息化工程。建设生态湿地82亩。</w:t>
      </w:r>
    </w:p>
    <w:p>
      <w:pPr>
        <w:pStyle w:val="21"/>
        <w:widowControl/>
        <w:ind w:firstLine="480"/>
        <w:rPr>
          <w:color w:val="auto"/>
          <w:kern w:val="2"/>
          <w:szCs w:val="24"/>
        </w:rPr>
      </w:pPr>
      <w:r>
        <w:rPr>
          <w:rFonts w:hint="eastAsia"/>
          <w:color w:val="auto"/>
          <w:kern w:val="2"/>
          <w:szCs w:val="24"/>
        </w:rPr>
        <w:t>3</w:t>
      </w:r>
      <w:r>
        <w:rPr>
          <w:color w:val="auto"/>
          <w:kern w:val="2"/>
          <w:szCs w:val="24"/>
        </w:rPr>
        <w:t>.狠抓入河排污口整治和规范化管理。全面完成全区入河排污口溯源、分类、命名、编码及竖标立牌等重点工作，强化实时监控和日常巡查，严打偷排偷放。</w:t>
      </w:r>
    </w:p>
    <w:p>
      <w:pPr>
        <w:pStyle w:val="21"/>
        <w:widowControl/>
        <w:ind w:firstLine="480"/>
        <w:rPr>
          <w:color w:val="auto"/>
          <w:kern w:val="2"/>
          <w:szCs w:val="24"/>
        </w:rPr>
      </w:pPr>
      <w:r>
        <w:rPr>
          <w:rFonts w:hint="eastAsia"/>
          <w:color w:val="auto"/>
          <w:kern w:val="2"/>
          <w:szCs w:val="24"/>
        </w:rPr>
        <w:t>4</w:t>
      </w:r>
      <w:r>
        <w:rPr>
          <w:color w:val="auto"/>
          <w:kern w:val="2"/>
          <w:szCs w:val="24"/>
        </w:rPr>
        <w:t>.加快农村生活污水治理。完成全区2022年度5个行政村农村生活污水治理和验收任务。</w:t>
      </w:r>
    </w:p>
    <w:p>
      <w:pPr>
        <w:ind w:firstLine="480"/>
        <w:rPr>
          <w:color w:val="auto"/>
        </w:rPr>
      </w:pPr>
      <w:r>
        <w:rPr>
          <w:color w:val="auto"/>
        </w:rPr>
        <w:t>根据《20</w:t>
      </w:r>
      <w:r>
        <w:rPr>
          <w:rFonts w:hint="eastAsia"/>
          <w:color w:val="auto"/>
        </w:rPr>
        <w:t>22</w:t>
      </w:r>
      <w:r>
        <w:rPr>
          <w:color w:val="auto"/>
        </w:rPr>
        <w:t>年</w:t>
      </w:r>
      <w:r>
        <w:rPr>
          <w:rFonts w:hint="eastAsia"/>
          <w:color w:val="auto"/>
        </w:rPr>
        <w:t>全区</w:t>
      </w:r>
      <w:r>
        <w:rPr>
          <w:color w:val="auto"/>
        </w:rPr>
        <w:t>生态环境综合治理</w:t>
      </w:r>
      <w:r>
        <w:rPr>
          <w:rFonts w:hint="eastAsia"/>
          <w:color w:val="auto"/>
        </w:rPr>
        <w:t>重点工作</w:t>
      </w:r>
      <w:r>
        <w:rPr>
          <w:color w:val="auto"/>
        </w:rPr>
        <w:t>任务清单》，</w:t>
      </w:r>
      <w:r>
        <w:rPr>
          <w:rFonts w:hint="eastAsia"/>
          <w:color w:val="auto"/>
        </w:rPr>
        <w:t>张店区</w:t>
      </w:r>
      <w:r>
        <w:rPr>
          <w:color w:val="auto"/>
        </w:rPr>
        <w:t>将采取的措施如下：</w:t>
      </w:r>
    </w:p>
    <w:p>
      <w:pPr>
        <w:ind w:firstLine="0" w:firstLineChars="0"/>
        <w:jc w:val="center"/>
        <w:rPr>
          <w:rFonts w:eastAsia="黑体"/>
          <w:color w:val="auto"/>
          <w:sz w:val="21"/>
          <w:szCs w:val="21"/>
        </w:rPr>
      </w:pPr>
      <w:r>
        <w:rPr>
          <w:rFonts w:eastAsia="黑体"/>
          <w:color w:val="auto"/>
          <w:sz w:val="21"/>
          <w:szCs w:val="21"/>
        </w:rPr>
        <w:t>表</w:t>
      </w:r>
      <w:r>
        <w:rPr>
          <w:rFonts w:hint="eastAsia" w:eastAsia="黑体"/>
          <w:color w:val="auto"/>
          <w:sz w:val="21"/>
          <w:szCs w:val="21"/>
        </w:rPr>
        <w:t>4.2-7</w:t>
      </w:r>
      <w:r>
        <w:rPr>
          <w:rFonts w:eastAsia="黑体"/>
          <w:color w:val="auto"/>
          <w:sz w:val="21"/>
          <w:szCs w:val="21"/>
        </w:rPr>
        <w:t xml:space="preserve">  20</w:t>
      </w:r>
      <w:r>
        <w:rPr>
          <w:rFonts w:hint="eastAsia" w:eastAsia="黑体"/>
          <w:color w:val="auto"/>
          <w:sz w:val="21"/>
          <w:szCs w:val="21"/>
        </w:rPr>
        <w:t>22</w:t>
      </w:r>
      <w:r>
        <w:rPr>
          <w:rFonts w:eastAsia="黑体"/>
          <w:color w:val="auto"/>
          <w:sz w:val="21"/>
          <w:szCs w:val="21"/>
        </w:rPr>
        <w:t>年</w:t>
      </w:r>
      <w:r>
        <w:rPr>
          <w:rFonts w:hint="eastAsia" w:eastAsia="黑体"/>
          <w:color w:val="auto"/>
          <w:sz w:val="21"/>
          <w:szCs w:val="21"/>
        </w:rPr>
        <w:t>全区</w:t>
      </w:r>
      <w:r>
        <w:rPr>
          <w:rFonts w:eastAsia="黑体"/>
          <w:color w:val="auto"/>
          <w:sz w:val="21"/>
          <w:szCs w:val="21"/>
        </w:rPr>
        <w:t>生态环境综合治理</w:t>
      </w:r>
      <w:r>
        <w:rPr>
          <w:rFonts w:hint="eastAsia" w:eastAsia="黑体"/>
          <w:color w:val="auto"/>
          <w:sz w:val="21"/>
          <w:szCs w:val="21"/>
        </w:rPr>
        <w:t>重点工作</w:t>
      </w:r>
      <w:r>
        <w:rPr>
          <w:rFonts w:eastAsia="黑体"/>
          <w:color w:val="auto"/>
          <w:sz w:val="21"/>
          <w:szCs w:val="21"/>
        </w:rPr>
        <w:t>任务清单文件要求</w:t>
      </w:r>
    </w:p>
    <w:tbl>
      <w:tblPr>
        <w:tblStyle w:val="22"/>
        <w:tblW w:w="5000" w:type="pct"/>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
      <w:tblGrid>
        <w:gridCol w:w="482"/>
        <w:gridCol w:w="1098"/>
        <w:gridCol w:w="1634"/>
        <w:gridCol w:w="5000"/>
        <w:gridCol w:w="1072"/>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533" w:hRule="atLeast"/>
          <w:tblHeader/>
          <w:jc w:val="center"/>
        </w:trPr>
        <w:tc>
          <w:tcPr>
            <w:tcW w:w="259" w:type="pct"/>
            <w:tcBorders>
              <w:tl2br w:val="nil"/>
              <w:tr2bl w:val="nil"/>
            </w:tcBorders>
            <w:shd w:val="clear" w:color="auto" w:fill="auto"/>
            <w:noWrap/>
            <w:vAlign w:val="center"/>
          </w:tcPr>
          <w:p>
            <w:pPr>
              <w:spacing w:line="312" w:lineRule="exact"/>
              <w:ind w:firstLine="0" w:firstLineChars="0"/>
              <w:jc w:val="center"/>
              <w:rPr>
                <w:b/>
                <w:bCs/>
                <w:color w:val="auto"/>
                <w:sz w:val="21"/>
                <w:szCs w:val="21"/>
              </w:rPr>
            </w:pPr>
            <w:r>
              <w:rPr>
                <w:b/>
                <w:bCs/>
                <w:color w:val="auto"/>
                <w:sz w:val="21"/>
                <w:szCs w:val="21"/>
              </w:rPr>
              <w:t>序号</w:t>
            </w:r>
          </w:p>
        </w:tc>
        <w:tc>
          <w:tcPr>
            <w:tcW w:w="591" w:type="pct"/>
            <w:tcBorders>
              <w:tl2br w:val="nil"/>
              <w:tr2bl w:val="nil"/>
            </w:tcBorders>
            <w:shd w:val="clear" w:color="auto" w:fill="auto"/>
            <w:noWrap/>
            <w:vAlign w:val="center"/>
          </w:tcPr>
          <w:p>
            <w:pPr>
              <w:spacing w:line="312" w:lineRule="exact"/>
              <w:ind w:firstLine="0" w:firstLineChars="0"/>
              <w:jc w:val="center"/>
              <w:rPr>
                <w:b/>
                <w:bCs/>
                <w:color w:val="auto"/>
                <w:sz w:val="21"/>
                <w:szCs w:val="21"/>
              </w:rPr>
            </w:pPr>
            <w:r>
              <w:rPr>
                <w:b/>
                <w:bCs/>
                <w:color w:val="auto"/>
                <w:sz w:val="21"/>
                <w:szCs w:val="21"/>
              </w:rPr>
              <w:t>项目类别</w:t>
            </w:r>
          </w:p>
        </w:tc>
        <w:tc>
          <w:tcPr>
            <w:tcW w:w="880" w:type="pct"/>
            <w:tcBorders>
              <w:tl2br w:val="nil"/>
              <w:tr2bl w:val="nil"/>
            </w:tcBorders>
            <w:shd w:val="clear" w:color="auto" w:fill="auto"/>
            <w:noWrap/>
            <w:vAlign w:val="center"/>
          </w:tcPr>
          <w:p>
            <w:pPr>
              <w:spacing w:line="312" w:lineRule="exact"/>
              <w:ind w:firstLine="0" w:firstLineChars="0"/>
              <w:jc w:val="center"/>
              <w:rPr>
                <w:b/>
                <w:bCs/>
                <w:color w:val="auto"/>
                <w:sz w:val="21"/>
                <w:szCs w:val="21"/>
              </w:rPr>
            </w:pPr>
            <w:r>
              <w:rPr>
                <w:b/>
                <w:bCs/>
                <w:color w:val="auto"/>
                <w:sz w:val="21"/>
                <w:szCs w:val="21"/>
              </w:rPr>
              <w:t>项目名称</w:t>
            </w:r>
          </w:p>
        </w:tc>
        <w:tc>
          <w:tcPr>
            <w:tcW w:w="2691" w:type="pct"/>
            <w:tcBorders>
              <w:tl2br w:val="nil"/>
              <w:tr2bl w:val="nil"/>
            </w:tcBorders>
            <w:shd w:val="clear" w:color="auto" w:fill="auto"/>
            <w:noWrap/>
            <w:vAlign w:val="center"/>
          </w:tcPr>
          <w:p>
            <w:pPr>
              <w:spacing w:line="312" w:lineRule="exact"/>
              <w:ind w:firstLine="0" w:firstLineChars="0"/>
              <w:jc w:val="center"/>
              <w:rPr>
                <w:b/>
                <w:bCs/>
                <w:color w:val="auto"/>
                <w:sz w:val="21"/>
                <w:szCs w:val="21"/>
              </w:rPr>
            </w:pPr>
            <w:r>
              <w:rPr>
                <w:b/>
                <w:bCs/>
                <w:color w:val="auto"/>
                <w:sz w:val="21"/>
                <w:szCs w:val="21"/>
              </w:rPr>
              <w:t>具体工作内容</w:t>
            </w:r>
          </w:p>
        </w:tc>
        <w:tc>
          <w:tcPr>
            <w:tcW w:w="577" w:type="pct"/>
            <w:tcBorders>
              <w:tl2br w:val="nil"/>
              <w:tr2bl w:val="nil"/>
            </w:tcBorders>
            <w:shd w:val="clear" w:color="auto" w:fill="auto"/>
            <w:noWrap/>
            <w:vAlign w:val="center"/>
          </w:tcPr>
          <w:p>
            <w:pPr>
              <w:spacing w:line="312" w:lineRule="exact"/>
              <w:ind w:firstLine="0" w:firstLineChars="0"/>
              <w:jc w:val="center"/>
              <w:rPr>
                <w:b/>
                <w:bCs/>
                <w:color w:val="auto"/>
                <w:sz w:val="21"/>
                <w:szCs w:val="21"/>
              </w:rPr>
            </w:pPr>
            <w:r>
              <w:rPr>
                <w:b/>
                <w:bCs/>
                <w:color w:val="auto"/>
                <w:sz w:val="21"/>
                <w:szCs w:val="21"/>
              </w:rPr>
              <w:t>完成</w:t>
            </w:r>
          </w:p>
          <w:p>
            <w:pPr>
              <w:spacing w:line="312" w:lineRule="exact"/>
              <w:ind w:firstLine="0" w:firstLineChars="0"/>
              <w:jc w:val="center"/>
              <w:rPr>
                <w:b/>
                <w:bCs/>
                <w:color w:val="auto"/>
                <w:sz w:val="21"/>
                <w:szCs w:val="21"/>
              </w:rPr>
            </w:pPr>
            <w:r>
              <w:rPr>
                <w:b/>
                <w:bCs/>
                <w:color w:val="auto"/>
                <w:sz w:val="21"/>
                <w:szCs w:val="21"/>
              </w:rPr>
              <w:t>时限</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783" w:hRule="atLeast"/>
          <w:jc w:val="center"/>
        </w:trPr>
        <w:tc>
          <w:tcPr>
            <w:tcW w:w="259" w:type="pc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1</w:t>
            </w:r>
          </w:p>
        </w:tc>
        <w:tc>
          <w:tcPr>
            <w:tcW w:w="591" w:type="pct"/>
            <w:vMerge w:val="restar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水污染防治</w:t>
            </w:r>
          </w:p>
        </w:tc>
        <w:tc>
          <w:tcPr>
            <w:tcW w:w="880"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kern w:val="0"/>
                <w:sz w:val="21"/>
                <w:szCs w:val="21"/>
              </w:rPr>
              <w:t>污水管网建设</w:t>
            </w: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加快全市城市建成区污水管网建设及老旧城区雨污分流改造工程进度；</w:t>
            </w:r>
            <w:r>
              <w:rPr>
                <w:color w:val="auto"/>
                <w:sz w:val="21"/>
                <w:szCs w:val="21"/>
              </w:rPr>
              <w:t>完成30.6公里的雨污分流改造任务</w:t>
            </w:r>
            <w:r>
              <w:rPr>
                <w:color w:val="auto"/>
                <w:kern w:val="0"/>
                <w:sz w:val="21"/>
                <w:szCs w:val="21"/>
              </w:rPr>
              <w:t>。</w:t>
            </w:r>
          </w:p>
        </w:tc>
        <w:tc>
          <w:tcPr>
            <w:tcW w:w="577"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2022年12月</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783" w:hRule="atLeast"/>
          <w:jc w:val="center"/>
        </w:trPr>
        <w:tc>
          <w:tcPr>
            <w:tcW w:w="259" w:type="pct"/>
            <w:tcBorders>
              <w:tl2br w:val="nil"/>
              <w:tr2bl w:val="nil"/>
            </w:tcBorders>
            <w:shd w:val="clear" w:color="auto" w:fill="auto"/>
            <w:noWrap/>
            <w:vAlign w:val="center"/>
          </w:tcPr>
          <w:p>
            <w:pPr>
              <w:spacing w:line="312" w:lineRule="exact"/>
              <w:ind w:firstLine="0" w:firstLineChars="0"/>
              <w:jc w:val="center"/>
              <w:rPr>
                <w:color w:val="auto"/>
                <w:sz w:val="21"/>
                <w:szCs w:val="21"/>
              </w:rPr>
            </w:pPr>
            <w:r>
              <w:rPr>
                <w:rFonts w:hint="eastAsia"/>
                <w:color w:val="auto"/>
                <w:sz w:val="21"/>
                <w:szCs w:val="21"/>
              </w:rPr>
              <w:t>2</w:t>
            </w:r>
          </w:p>
        </w:tc>
        <w:tc>
          <w:tcPr>
            <w:tcW w:w="591" w:type="pct"/>
            <w:vMerge w:val="continue"/>
            <w:tcBorders>
              <w:tl2br w:val="nil"/>
              <w:tr2bl w:val="nil"/>
            </w:tcBorders>
            <w:shd w:val="clear" w:color="auto" w:fill="auto"/>
            <w:noWrap/>
            <w:vAlign w:val="center"/>
          </w:tcPr>
          <w:p>
            <w:pPr>
              <w:spacing w:line="312" w:lineRule="exact"/>
              <w:ind w:firstLine="0" w:firstLineChars="0"/>
              <w:jc w:val="center"/>
              <w:rPr>
                <w:color w:val="auto"/>
                <w:sz w:val="21"/>
                <w:szCs w:val="21"/>
              </w:rPr>
            </w:pPr>
          </w:p>
        </w:tc>
        <w:tc>
          <w:tcPr>
            <w:tcW w:w="880"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河道及管网清淤</w:t>
            </w: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lang w:bidi="ar"/>
              </w:rPr>
              <w:t>对主城区排水管网雨水口进行清淤，确保管网畅通</w:t>
            </w:r>
          </w:p>
        </w:tc>
        <w:tc>
          <w:tcPr>
            <w:tcW w:w="577"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lang w:bidi="ar"/>
              </w:rPr>
              <w:t>2022年5月</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783" w:hRule="atLeast"/>
          <w:jc w:val="center"/>
        </w:trPr>
        <w:tc>
          <w:tcPr>
            <w:tcW w:w="259" w:type="pct"/>
            <w:tcBorders>
              <w:tl2br w:val="nil"/>
              <w:tr2bl w:val="nil"/>
            </w:tcBorders>
            <w:shd w:val="clear" w:color="auto" w:fill="auto"/>
            <w:noWrap/>
            <w:vAlign w:val="center"/>
          </w:tcPr>
          <w:p>
            <w:pPr>
              <w:spacing w:line="312" w:lineRule="exact"/>
              <w:ind w:firstLine="0" w:firstLineChars="0"/>
              <w:jc w:val="center"/>
              <w:rPr>
                <w:color w:val="auto"/>
                <w:sz w:val="21"/>
                <w:szCs w:val="21"/>
              </w:rPr>
            </w:pPr>
            <w:r>
              <w:rPr>
                <w:rFonts w:hint="eastAsia"/>
                <w:color w:val="auto"/>
                <w:sz w:val="21"/>
                <w:szCs w:val="21"/>
              </w:rPr>
              <w:t>3</w:t>
            </w:r>
          </w:p>
        </w:tc>
        <w:tc>
          <w:tcPr>
            <w:tcW w:w="591" w:type="pc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水污染防治</w:t>
            </w:r>
          </w:p>
        </w:tc>
        <w:tc>
          <w:tcPr>
            <w:tcW w:w="880"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kern w:val="0"/>
                <w:sz w:val="21"/>
                <w:szCs w:val="21"/>
              </w:rPr>
              <w:t>涝淄河综合治理</w:t>
            </w: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对涝淄河4.24km河道进行清淤扩挖，改迁河道内7km排污管道；实施自动化监测等信息化工程。建设生态湿地82亩。</w:t>
            </w:r>
          </w:p>
        </w:tc>
        <w:tc>
          <w:tcPr>
            <w:tcW w:w="577"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2023年12月</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783" w:hRule="atLeast"/>
          <w:jc w:val="center"/>
        </w:trPr>
        <w:tc>
          <w:tcPr>
            <w:tcW w:w="259" w:type="pct"/>
            <w:tcBorders>
              <w:tl2br w:val="nil"/>
              <w:tr2bl w:val="nil"/>
            </w:tcBorders>
            <w:shd w:val="clear" w:color="auto" w:fill="auto"/>
            <w:noWrap/>
            <w:vAlign w:val="center"/>
          </w:tcPr>
          <w:p>
            <w:pPr>
              <w:spacing w:line="312" w:lineRule="exact"/>
              <w:ind w:firstLine="0" w:firstLineChars="0"/>
              <w:jc w:val="center"/>
              <w:rPr>
                <w:color w:val="auto"/>
                <w:sz w:val="21"/>
                <w:szCs w:val="21"/>
              </w:rPr>
            </w:pPr>
            <w:r>
              <w:rPr>
                <w:rFonts w:hint="eastAsia"/>
                <w:color w:val="auto"/>
                <w:sz w:val="21"/>
                <w:szCs w:val="21"/>
              </w:rPr>
              <w:t>4</w:t>
            </w:r>
          </w:p>
        </w:tc>
        <w:tc>
          <w:tcPr>
            <w:tcW w:w="591" w:type="pct"/>
            <w:vMerge w:val="restar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水污染防治</w:t>
            </w:r>
          </w:p>
        </w:tc>
        <w:tc>
          <w:tcPr>
            <w:tcW w:w="880" w:type="pct"/>
            <w:tcBorders>
              <w:tl2br w:val="nil"/>
              <w:tr2bl w:val="nil"/>
            </w:tcBorders>
            <w:shd w:val="clear" w:color="auto" w:fill="auto"/>
            <w:noWrap/>
            <w:vAlign w:val="center"/>
          </w:tcPr>
          <w:p>
            <w:pPr>
              <w:spacing w:line="312" w:lineRule="exact"/>
              <w:ind w:firstLine="0" w:firstLineChars="0"/>
              <w:jc w:val="center"/>
              <w:rPr>
                <w:color w:val="auto"/>
                <w:sz w:val="21"/>
                <w:szCs w:val="21"/>
              </w:rPr>
            </w:pPr>
            <w:r>
              <w:rPr>
                <w:color w:val="auto"/>
                <w:sz w:val="21"/>
                <w:szCs w:val="21"/>
              </w:rPr>
              <w:t>入河排污口整治</w:t>
            </w:r>
          </w:p>
          <w:p>
            <w:pPr>
              <w:widowControl/>
              <w:spacing w:line="312" w:lineRule="exact"/>
              <w:ind w:firstLine="0" w:firstLineChars="0"/>
              <w:jc w:val="center"/>
              <w:rPr>
                <w:color w:val="auto"/>
                <w:sz w:val="21"/>
                <w:szCs w:val="21"/>
              </w:rPr>
            </w:pP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持续狠抓入河排污口整治和规范化管理。全面完成全区入河排污口溯源、分类、命名、编码及竖标立牌等重点工作；建立“权责清晰、监控到位、管理规范”的入河湖排污（水）口管控体系，强化实时监控和日常巡查，严打偷排偷放。</w:t>
            </w:r>
          </w:p>
        </w:tc>
        <w:tc>
          <w:tcPr>
            <w:tcW w:w="577"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2022年6月</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783" w:hRule="atLeast"/>
          <w:jc w:val="center"/>
        </w:trPr>
        <w:tc>
          <w:tcPr>
            <w:tcW w:w="259" w:type="pct"/>
            <w:tcBorders>
              <w:tl2br w:val="nil"/>
              <w:tr2bl w:val="nil"/>
            </w:tcBorders>
            <w:shd w:val="clear" w:color="auto" w:fill="auto"/>
            <w:noWrap/>
            <w:vAlign w:val="center"/>
          </w:tcPr>
          <w:p>
            <w:pPr>
              <w:spacing w:line="312" w:lineRule="exact"/>
              <w:ind w:firstLine="0" w:firstLineChars="0"/>
              <w:jc w:val="center"/>
              <w:rPr>
                <w:color w:val="auto"/>
                <w:sz w:val="21"/>
                <w:szCs w:val="21"/>
              </w:rPr>
            </w:pPr>
            <w:r>
              <w:rPr>
                <w:rFonts w:hint="eastAsia"/>
                <w:color w:val="auto"/>
                <w:sz w:val="21"/>
                <w:szCs w:val="21"/>
              </w:rPr>
              <w:t>5</w:t>
            </w:r>
          </w:p>
        </w:tc>
        <w:tc>
          <w:tcPr>
            <w:tcW w:w="591" w:type="pct"/>
            <w:vMerge w:val="continue"/>
            <w:tcBorders>
              <w:tl2br w:val="nil"/>
              <w:tr2bl w:val="nil"/>
            </w:tcBorders>
            <w:shd w:val="clear" w:color="auto" w:fill="auto"/>
            <w:noWrap/>
            <w:vAlign w:val="center"/>
          </w:tcPr>
          <w:p>
            <w:pPr>
              <w:spacing w:line="312" w:lineRule="exact"/>
              <w:ind w:firstLine="0" w:firstLineChars="0"/>
              <w:jc w:val="center"/>
              <w:rPr>
                <w:color w:val="auto"/>
                <w:sz w:val="21"/>
                <w:szCs w:val="21"/>
              </w:rPr>
            </w:pPr>
          </w:p>
        </w:tc>
        <w:tc>
          <w:tcPr>
            <w:tcW w:w="880"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kern w:val="0"/>
                <w:sz w:val="21"/>
                <w:szCs w:val="21"/>
              </w:rPr>
              <w:t>重点流域和断面专项治理</w:t>
            </w: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开展水质预警暨启动应急工作；定期进行通报、督导，发挥好生态补偿、第三方监测、交叉执法作用，倒逼各责任主体加快实施截污治污、生态补水等治污项目。</w:t>
            </w:r>
          </w:p>
        </w:tc>
        <w:tc>
          <w:tcPr>
            <w:tcW w:w="577"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2023年12月</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783" w:hRule="atLeast"/>
          <w:jc w:val="center"/>
        </w:trPr>
        <w:tc>
          <w:tcPr>
            <w:tcW w:w="259" w:type="pct"/>
            <w:tcBorders>
              <w:tl2br w:val="nil"/>
              <w:tr2bl w:val="nil"/>
            </w:tcBorders>
            <w:shd w:val="clear" w:color="auto" w:fill="auto"/>
            <w:noWrap/>
            <w:vAlign w:val="center"/>
          </w:tcPr>
          <w:p>
            <w:pPr>
              <w:spacing w:line="312" w:lineRule="exact"/>
              <w:ind w:firstLine="0" w:firstLineChars="0"/>
              <w:jc w:val="center"/>
              <w:rPr>
                <w:color w:val="auto"/>
                <w:sz w:val="21"/>
                <w:szCs w:val="21"/>
              </w:rPr>
            </w:pPr>
            <w:r>
              <w:rPr>
                <w:rFonts w:hint="eastAsia"/>
                <w:color w:val="auto"/>
                <w:sz w:val="21"/>
                <w:szCs w:val="21"/>
              </w:rPr>
              <w:t>6</w:t>
            </w:r>
          </w:p>
        </w:tc>
        <w:tc>
          <w:tcPr>
            <w:tcW w:w="591" w:type="pct"/>
            <w:vMerge w:val="continue"/>
            <w:tcBorders>
              <w:tl2br w:val="nil"/>
              <w:tr2bl w:val="nil"/>
            </w:tcBorders>
            <w:shd w:val="clear" w:color="auto" w:fill="auto"/>
            <w:noWrap/>
            <w:vAlign w:val="center"/>
          </w:tcPr>
          <w:p>
            <w:pPr>
              <w:spacing w:line="312" w:lineRule="exact"/>
              <w:ind w:firstLine="0" w:firstLineChars="0"/>
              <w:jc w:val="center"/>
              <w:rPr>
                <w:color w:val="auto"/>
                <w:sz w:val="21"/>
                <w:szCs w:val="21"/>
              </w:rPr>
            </w:pPr>
          </w:p>
        </w:tc>
        <w:tc>
          <w:tcPr>
            <w:tcW w:w="880" w:type="pct"/>
            <w:tcBorders>
              <w:tl2br w:val="nil"/>
              <w:tr2bl w:val="nil"/>
            </w:tcBorders>
            <w:shd w:val="clear" w:color="auto" w:fill="auto"/>
            <w:noWrap/>
            <w:vAlign w:val="center"/>
          </w:tcPr>
          <w:p>
            <w:pPr>
              <w:widowControl/>
              <w:spacing w:line="312" w:lineRule="exact"/>
              <w:ind w:firstLine="0" w:firstLineChars="0"/>
              <w:jc w:val="center"/>
              <w:rPr>
                <w:color w:val="auto"/>
                <w:sz w:val="21"/>
                <w:szCs w:val="21"/>
              </w:rPr>
            </w:pPr>
            <w:r>
              <w:rPr>
                <w:color w:val="auto"/>
                <w:sz w:val="21"/>
                <w:szCs w:val="21"/>
              </w:rPr>
              <w:t>地下水污染防治</w:t>
            </w: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对化工聚集区及周边开展地下水检测，跟踪水质变化情况。</w:t>
            </w:r>
          </w:p>
        </w:tc>
        <w:tc>
          <w:tcPr>
            <w:tcW w:w="577"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2022年9月</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783" w:hRule="atLeast"/>
          <w:jc w:val="center"/>
        </w:trPr>
        <w:tc>
          <w:tcPr>
            <w:tcW w:w="259" w:type="pct"/>
            <w:tcBorders>
              <w:tl2br w:val="nil"/>
              <w:tr2bl w:val="nil"/>
            </w:tcBorders>
            <w:shd w:val="clear" w:color="auto" w:fill="auto"/>
            <w:noWrap/>
            <w:vAlign w:val="center"/>
          </w:tcPr>
          <w:p>
            <w:pPr>
              <w:spacing w:line="312" w:lineRule="exact"/>
              <w:ind w:firstLine="0" w:firstLineChars="0"/>
              <w:jc w:val="center"/>
              <w:rPr>
                <w:color w:val="auto"/>
                <w:sz w:val="21"/>
                <w:szCs w:val="21"/>
              </w:rPr>
            </w:pPr>
            <w:r>
              <w:rPr>
                <w:rFonts w:hint="eastAsia"/>
                <w:color w:val="auto"/>
                <w:sz w:val="21"/>
                <w:szCs w:val="21"/>
              </w:rPr>
              <w:t>7</w:t>
            </w:r>
          </w:p>
        </w:tc>
        <w:tc>
          <w:tcPr>
            <w:tcW w:w="591" w:type="pct"/>
            <w:vMerge w:val="continue"/>
            <w:tcBorders>
              <w:tl2br w:val="nil"/>
              <w:tr2bl w:val="nil"/>
            </w:tcBorders>
            <w:shd w:val="clear" w:color="auto" w:fill="auto"/>
            <w:noWrap/>
            <w:vAlign w:val="center"/>
          </w:tcPr>
          <w:p>
            <w:pPr>
              <w:spacing w:line="312" w:lineRule="exact"/>
              <w:ind w:firstLine="0" w:firstLineChars="0"/>
              <w:jc w:val="center"/>
              <w:rPr>
                <w:color w:val="auto"/>
                <w:sz w:val="21"/>
                <w:szCs w:val="21"/>
              </w:rPr>
            </w:pPr>
          </w:p>
        </w:tc>
        <w:tc>
          <w:tcPr>
            <w:tcW w:w="880"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继续推进农村生活污水治理</w:t>
            </w:r>
          </w:p>
        </w:tc>
        <w:tc>
          <w:tcPr>
            <w:tcW w:w="2691"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完成全区2022年度5个行政村农村生活污水治理和验收任务。</w:t>
            </w:r>
          </w:p>
        </w:tc>
        <w:tc>
          <w:tcPr>
            <w:tcW w:w="577" w:type="pct"/>
            <w:tcBorders>
              <w:tl2br w:val="nil"/>
              <w:tr2bl w:val="nil"/>
            </w:tcBorders>
            <w:shd w:val="clear" w:color="auto" w:fill="auto"/>
            <w:noWrap/>
            <w:vAlign w:val="center"/>
          </w:tcPr>
          <w:p>
            <w:pPr>
              <w:widowControl/>
              <w:spacing w:line="312" w:lineRule="exact"/>
              <w:ind w:firstLine="0" w:firstLineChars="0"/>
              <w:jc w:val="center"/>
              <w:rPr>
                <w:color w:val="auto"/>
                <w:kern w:val="0"/>
                <w:sz w:val="21"/>
                <w:szCs w:val="21"/>
              </w:rPr>
            </w:pPr>
            <w:r>
              <w:rPr>
                <w:color w:val="auto"/>
                <w:kern w:val="0"/>
                <w:sz w:val="21"/>
                <w:szCs w:val="21"/>
              </w:rPr>
              <w:t>2022年12月</w:t>
            </w:r>
          </w:p>
        </w:tc>
      </w:tr>
    </w:tbl>
    <w:p>
      <w:pPr>
        <w:pStyle w:val="8"/>
        <w:spacing w:before="0" w:beforeLines="0" w:after="0" w:afterLines="0" w:line="360" w:lineRule="auto"/>
        <w:rPr>
          <w:color w:val="auto"/>
        </w:rPr>
      </w:pPr>
      <w:bookmarkStart w:id="259" w:name="_Toc32129"/>
      <w:bookmarkStart w:id="260" w:name="_Toc22750"/>
      <w:r>
        <w:rPr>
          <w:rFonts w:hint="eastAsia"/>
          <w:color w:val="auto"/>
        </w:rPr>
        <w:t>4</w:t>
      </w:r>
      <w:r>
        <w:rPr>
          <w:color w:val="auto"/>
        </w:rPr>
        <w:t>.3 地下水环境现状调查与评价</w:t>
      </w:r>
      <w:bookmarkEnd w:id="259"/>
      <w:bookmarkEnd w:id="260"/>
    </w:p>
    <w:p>
      <w:pPr>
        <w:pStyle w:val="9"/>
        <w:spacing w:before="0" w:beforeLines="0" w:after="0" w:afterLines="0" w:line="360" w:lineRule="auto"/>
        <w:rPr>
          <w:color w:val="auto"/>
        </w:rPr>
      </w:pPr>
      <w:r>
        <w:rPr>
          <w:rFonts w:hint="eastAsia"/>
          <w:color w:val="auto"/>
        </w:rPr>
        <w:t>4</w:t>
      </w:r>
      <w:r>
        <w:rPr>
          <w:color w:val="auto"/>
        </w:rPr>
        <w:t>.3.1 地下水环境质量监测</w:t>
      </w:r>
    </w:p>
    <w:p>
      <w:pPr>
        <w:pStyle w:val="10"/>
        <w:spacing w:line="360" w:lineRule="auto"/>
        <w:rPr>
          <w:color w:val="auto"/>
        </w:rPr>
      </w:pPr>
      <w:r>
        <w:rPr>
          <w:rFonts w:hint="eastAsia"/>
          <w:color w:val="auto"/>
        </w:rPr>
        <w:t>4</w:t>
      </w:r>
      <w:r>
        <w:rPr>
          <w:color w:val="auto"/>
        </w:rPr>
        <w:t>.3.1.1 监测断面设置</w:t>
      </w:r>
    </w:p>
    <w:p>
      <w:pPr>
        <w:ind w:firstLine="480"/>
        <w:rPr>
          <w:color w:val="auto"/>
        </w:rPr>
      </w:pPr>
      <w:r>
        <w:rPr>
          <w:rFonts w:hint="eastAsia"/>
          <w:color w:val="auto"/>
        </w:rPr>
        <w:t>本次监测</w:t>
      </w:r>
      <w:r>
        <w:rPr>
          <w:color w:val="auto"/>
        </w:rPr>
        <w:t>点位布设：共设置了</w:t>
      </w:r>
      <w:r>
        <w:rPr>
          <w:rFonts w:hint="eastAsia"/>
          <w:color w:val="auto"/>
          <w:lang w:val="en-US" w:eastAsia="zh-CN"/>
        </w:rPr>
        <w:t>7</w:t>
      </w:r>
      <w:r>
        <w:rPr>
          <w:color w:val="auto"/>
        </w:rPr>
        <w:t>个监测点位，监测点位为本项目区域地下水井，监测点位见表</w:t>
      </w:r>
      <w:r>
        <w:rPr>
          <w:rFonts w:hint="eastAsia"/>
          <w:color w:val="auto"/>
        </w:rPr>
        <w:t>4</w:t>
      </w:r>
      <w:r>
        <w:rPr>
          <w:color w:val="auto"/>
        </w:rPr>
        <w:t>.3-1和图</w:t>
      </w:r>
      <w:r>
        <w:rPr>
          <w:rFonts w:hint="eastAsia"/>
          <w:color w:val="auto"/>
        </w:rPr>
        <w:t>4</w:t>
      </w:r>
      <w:r>
        <w:rPr>
          <w:color w:val="auto"/>
        </w:rPr>
        <w:t>.3-1。</w:t>
      </w:r>
    </w:p>
    <w:p>
      <w:pPr>
        <w:pStyle w:val="48"/>
        <w:spacing w:line="360" w:lineRule="auto"/>
        <w:rPr>
          <w:b/>
          <w:color w:val="auto"/>
        </w:rPr>
      </w:pPr>
      <w:r>
        <w:rPr>
          <w:b/>
          <w:color w:val="auto"/>
        </w:rPr>
        <w:t xml:space="preserve"> </w:t>
      </w:r>
      <w:r>
        <w:rPr>
          <w:bCs/>
          <w:color w:val="auto"/>
        </w:rPr>
        <w:t>表</w:t>
      </w:r>
      <w:r>
        <w:rPr>
          <w:rFonts w:hint="eastAsia"/>
          <w:bCs/>
          <w:color w:val="auto"/>
        </w:rPr>
        <w:t>4</w:t>
      </w:r>
      <w:r>
        <w:rPr>
          <w:bCs/>
          <w:color w:val="auto"/>
        </w:rPr>
        <w:t>.3-1 地下水监测点位一览表</w:t>
      </w:r>
    </w:p>
    <w:tbl>
      <w:tblPr>
        <w:tblStyle w:val="2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640"/>
        <w:gridCol w:w="2434"/>
        <w:gridCol w:w="655"/>
        <w:gridCol w:w="911"/>
        <w:gridCol w:w="443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353" w:type="pct"/>
            <w:vAlign w:val="center"/>
          </w:tcPr>
          <w:p>
            <w:pPr>
              <w:pStyle w:val="47"/>
              <w:spacing w:line="240" w:lineRule="auto"/>
              <w:rPr>
                <w:b/>
                <w:color w:val="auto"/>
              </w:rPr>
            </w:pPr>
            <w:r>
              <w:rPr>
                <w:b/>
                <w:color w:val="auto"/>
              </w:rPr>
              <w:t>序号</w:t>
            </w:r>
          </w:p>
        </w:tc>
        <w:tc>
          <w:tcPr>
            <w:tcW w:w="1341" w:type="pct"/>
            <w:vAlign w:val="center"/>
          </w:tcPr>
          <w:p>
            <w:pPr>
              <w:pStyle w:val="47"/>
              <w:spacing w:line="240" w:lineRule="auto"/>
              <w:rPr>
                <w:b/>
                <w:color w:val="auto"/>
              </w:rPr>
            </w:pPr>
            <w:r>
              <w:rPr>
                <w:b/>
                <w:color w:val="auto"/>
              </w:rPr>
              <w:t>监测点</w:t>
            </w:r>
          </w:p>
        </w:tc>
        <w:tc>
          <w:tcPr>
            <w:tcW w:w="361" w:type="pct"/>
            <w:vAlign w:val="center"/>
          </w:tcPr>
          <w:p>
            <w:pPr>
              <w:pStyle w:val="47"/>
              <w:spacing w:line="240" w:lineRule="auto"/>
              <w:rPr>
                <w:b/>
                <w:color w:val="auto"/>
              </w:rPr>
            </w:pPr>
            <w:r>
              <w:rPr>
                <w:b/>
                <w:color w:val="auto"/>
              </w:rPr>
              <w:t>方位</w:t>
            </w:r>
          </w:p>
        </w:tc>
        <w:tc>
          <w:tcPr>
            <w:tcW w:w="502" w:type="pct"/>
            <w:vAlign w:val="center"/>
          </w:tcPr>
          <w:p>
            <w:pPr>
              <w:pStyle w:val="47"/>
              <w:spacing w:line="240" w:lineRule="auto"/>
              <w:rPr>
                <w:b/>
                <w:color w:val="auto"/>
              </w:rPr>
            </w:pPr>
            <w:r>
              <w:rPr>
                <w:b/>
                <w:color w:val="auto"/>
              </w:rPr>
              <w:t>距厂址距离</w:t>
            </w:r>
          </w:p>
        </w:tc>
        <w:tc>
          <w:tcPr>
            <w:tcW w:w="2441" w:type="pct"/>
            <w:vAlign w:val="center"/>
          </w:tcPr>
          <w:p>
            <w:pPr>
              <w:pStyle w:val="47"/>
              <w:spacing w:line="240" w:lineRule="auto"/>
              <w:rPr>
                <w:b/>
                <w:color w:val="auto"/>
              </w:rPr>
            </w:pPr>
            <w:r>
              <w:rPr>
                <w:b/>
                <w:color w:val="auto"/>
              </w:rPr>
              <w:t>设置意义</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353" w:type="pct"/>
            <w:vAlign w:val="center"/>
          </w:tcPr>
          <w:p>
            <w:pPr>
              <w:spacing w:line="240" w:lineRule="auto"/>
              <w:ind w:firstLine="0" w:firstLineChars="0"/>
              <w:jc w:val="center"/>
              <w:rPr>
                <w:color w:val="auto"/>
                <w:sz w:val="21"/>
                <w:szCs w:val="21"/>
              </w:rPr>
            </w:pPr>
            <w:r>
              <w:rPr>
                <w:color w:val="auto"/>
                <w:sz w:val="21"/>
                <w:szCs w:val="21"/>
              </w:rPr>
              <w:t>1#</w:t>
            </w:r>
          </w:p>
        </w:tc>
        <w:tc>
          <w:tcPr>
            <w:tcW w:w="1341" w:type="pct"/>
            <w:vAlign w:val="center"/>
          </w:tcPr>
          <w:p>
            <w:pPr>
              <w:spacing w:line="240" w:lineRule="auto"/>
              <w:ind w:firstLine="0" w:firstLineChars="0"/>
              <w:jc w:val="center"/>
              <w:rPr>
                <w:color w:val="auto"/>
                <w:sz w:val="21"/>
                <w:szCs w:val="21"/>
              </w:rPr>
            </w:pPr>
            <w:r>
              <w:rPr>
                <w:rFonts w:hint="eastAsia"/>
                <w:color w:val="auto"/>
                <w:sz w:val="21"/>
                <w:szCs w:val="21"/>
              </w:rPr>
              <w:t>山东工泵电机有限公司</w:t>
            </w:r>
          </w:p>
        </w:tc>
        <w:tc>
          <w:tcPr>
            <w:tcW w:w="361" w:type="pct"/>
            <w:vAlign w:val="center"/>
          </w:tcPr>
          <w:p>
            <w:pPr>
              <w:spacing w:line="240" w:lineRule="auto"/>
              <w:ind w:firstLine="0" w:firstLineChars="0"/>
              <w:jc w:val="center"/>
              <w:rPr>
                <w:color w:val="auto"/>
                <w:sz w:val="21"/>
                <w:szCs w:val="21"/>
              </w:rPr>
            </w:pPr>
            <w:r>
              <w:rPr>
                <w:rFonts w:hint="eastAsia"/>
                <w:color w:val="auto"/>
                <w:sz w:val="21"/>
                <w:szCs w:val="21"/>
              </w:rPr>
              <w:t>NE</w:t>
            </w:r>
          </w:p>
        </w:tc>
        <w:tc>
          <w:tcPr>
            <w:tcW w:w="502" w:type="pct"/>
            <w:vAlign w:val="center"/>
          </w:tcPr>
          <w:p>
            <w:pPr>
              <w:spacing w:line="240" w:lineRule="auto"/>
              <w:ind w:firstLine="0" w:firstLineChars="0"/>
              <w:jc w:val="center"/>
              <w:rPr>
                <w:color w:val="auto"/>
                <w:sz w:val="21"/>
                <w:szCs w:val="21"/>
              </w:rPr>
            </w:pPr>
            <w:r>
              <w:rPr>
                <w:rFonts w:hint="eastAsia"/>
                <w:color w:val="auto"/>
                <w:sz w:val="21"/>
                <w:szCs w:val="21"/>
              </w:rPr>
              <w:t>180</w:t>
            </w:r>
          </w:p>
        </w:tc>
        <w:tc>
          <w:tcPr>
            <w:tcW w:w="2441" w:type="pct"/>
            <w:vAlign w:val="center"/>
          </w:tcPr>
          <w:p>
            <w:pPr>
              <w:spacing w:line="240" w:lineRule="auto"/>
              <w:ind w:firstLine="0" w:firstLineChars="0"/>
              <w:jc w:val="center"/>
              <w:rPr>
                <w:color w:val="auto"/>
                <w:sz w:val="21"/>
                <w:szCs w:val="21"/>
              </w:rPr>
            </w:pPr>
            <w:r>
              <w:rPr>
                <w:rFonts w:hint="eastAsia"/>
                <w:color w:val="auto"/>
                <w:sz w:val="21"/>
                <w:szCs w:val="21"/>
              </w:rPr>
              <w:t>水位、水质监测点（了解厂址附近）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353" w:type="pct"/>
            <w:vAlign w:val="center"/>
          </w:tcPr>
          <w:p>
            <w:pPr>
              <w:spacing w:line="240" w:lineRule="auto"/>
              <w:ind w:firstLine="0" w:firstLineChars="0"/>
              <w:jc w:val="center"/>
              <w:rPr>
                <w:color w:val="auto"/>
                <w:sz w:val="21"/>
                <w:szCs w:val="21"/>
              </w:rPr>
            </w:pPr>
            <w:r>
              <w:rPr>
                <w:color w:val="auto"/>
                <w:sz w:val="21"/>
                <w:szCs w:val="21"/>
              </w:rPr>
              <w:t>2#</w:t>
            </w:r>
          </w:p>
        </w:tc>
        <w:tc>
          <w:tcPr>
            <w:tcW w:w="1341" w:type="pct"/>
            <w:vAlign w:val="center"/>
          </w:tcPr>
          <w:p>
            <w:pPr>
              <w:spacing w:line="240" w:lineRule="auto"/>
              <w:ind w:firstLine="0" w:firstLineChars="0"/>
              <w:jc w:val="center"/>
              <w:rPr>
                <w:color w:val="auto"/>
                <w:sz w:val="21"/>
                <w:szCs w:val="21"/>
              </w:rPr>
            </w:pPr>
            <w:r>
              <w:rPr>
                <w:rFonts w:hint="eastAsia"/>
                <w:color w:val="auto"/>
                <w:sz w:val="21"/>
                <w:szCs w:val="21"/>
              </w:rPr>
              <w:t>西吕村</w:t>
            </w:r>
          </w:p>
        </w:tc>
        <w:tc>
          <w:tcPr>
            <w:tcW w:w="361" w:type="pct"/>
            <w:vAlign w:val="center"/>
          </w:tcPr>
          <w:p>
            <w:pPr>
              <w:spacing w:line="240" w:lineRule="auto"/>
              <w:ind w:firstLine="0" w:firstLineChars="0"/>
              <w:jc w:val="center"/>
              <w:rPr>
                <w:color w:val="auto"/>
                <w:sz w:val="21"/>
                <w:szCs w:val="21"/>
              </w:rPr>
            </w:pPr>
            <w:r>
              <w:rPr>
                <w:rFonts w:hint="eastAsia"/>
                <w:color w:val="auto"/>
                <w:sz w:val="21"/>
                <w:szCs w:val="21"/>
              </w:rPr>
              <w:t>NW</w:t>
            </w:r>
          </w:p>
        </w:tc>
        <w:tc>
          <w:tcPr>
            <w:tcW w:w="502" w:type="pct"/>
            <w:vAlign w:val="center"/>
          </w:tcPr>
          <w:p>
            <w:pPr>
              <w:spacing w:line="240" w:lineRule="auto"/>
              <w:ind w:firstLine="0" w:firstLineChars="0"/>
              <w:jc w:val="center"/>
              <w:rPr>
                <w:color w:val="auto"/>
                <w:sz w:val="21"/>
                <w:szCs w:val="21"/>
              </w:rPr>
            </w:pPr>
            <w:r>
              <w:rPr>
                <w:rFonts w:hint="eastAsia"/>
                <w:color w:val="auto"/>
                <w:sz w:val="21"/>
                <w:szCs w:val="21"/>
              </w:rPr>
              <w:t>1670</w:t>
            </w:r>
          </w:p>
        </w:tc>
        <w:tc>
          <w:tcPr>
            <w:tcW w:w="2441" w:type="pct"/>
            <w:vAlign w:val="center"/>
          </w:tcPr>
          <w:p>
            <w:pPr>
              <w:spacing w:line="240" w:lineRule="auto"/>
              <w:ind w:firstLine="0" w:firstLineChars="0"/>
              <w:jc w:val="center"/>
              <w:rPr>
                <w:color w:val="auto"/>
                <w:sz w:val="21"/>
                <w:szCs w:val="21"/>
              </w:rPr>
            </w:pPr>
            <w:r>
              <w:rPr>
                <w:rFonts w:hint="eastAsia"/>
                <w:color w:val="auto"/>
                <w:sz w:val="21"/>
                <w:szCs w:val="21"/>
              </w:rPr>
              <w:t>水位、水质监测点（了解厂址下游）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5" w:hRule="atLeast"/>
          <w:jc w:val="center"/>
        </w:trPr>
        <w:tc>
          <w:tcPr>
            <w:tcW w:w="353" w:type="pct"/>
            <w:vAlign w:val="center"/>
          </w:tcPr>
          <w:p>
            <w:pPr>
              <w:spacing w:line="240" w:lineRule="auto"/>
              <w:ind w:firstLine="0" w:firstLineChars="0"/>
              <w:jc w:val="center"/>
              <w:rPr>
                <w:color w:val="auto"/>
                <w:sz w:val="21"/>
                <w:szCs w:val="21"/>
              </w:rPr>
            </w:pPr>
            <w:r>
              <w:rPr>
                <w:color w:val="auto"/>
                <w:sz w:val="21"/>
                <w:szCs w:val="21"/>
              </w:rPr>
              <w:t>3#</w:t>
            </w:r>
          </w:p>
        </w:tc>
        <w:tc>
          <w:tcPr>
            <w:tcW w:w="1341" w:type="pct"/>
            <w:vAlign w:val="center"/>
          </w:tcPr>
          <w:p>
            <w:pPr>
              <w:spacing w:line="240" w:lineRule="auto"/>
              <w:ind w:firstLine="0" w:firstLineChars="0"/>
              <w:jc w:val="center"/>
              <w:rPr>
                <w:color w:val="auto"/>
                <w:sz w:val="21"/>
                <w:szCs w:val="21"/>
              </w:rPr>
            </w:pPr>
            <w:r>
              <w:rPr>
                <w:rFonts w:hint="eastAsia"/>
                <w:color w:val="auto"/>
                <w:sz w:val="21"/>
                <w:szCs w:val="21"/>
              </w:rPr>
              <w:t xml:space="preserve">大张社区 </w:t>
            </w:r>
          </w:p>
        </w:tc>
        <w:tc>
          <w:tcPr>
            <w:tcW w:w="361" w:type="pct"/>
            <w:vAlign w:val="center"/>
          </w:tcPr>
          <w:p>
            <w:pPr>
              <w:spacing w:line="240" w:lineRule="auto"/>
              <w:ind w:firstLine="0" w:firstLineChars="0"/>
              <w:jc w:val="center"/>
              <w:rPr>
                <w:color w:val="auto"/>
                <w:sz w:val="21"/>
                <w:szCs w:val="21"/>
              </w:rPr>
            </w:pPr>
            <w:r>
              <w:rPr>
                <w:rFonts w:hint="eastAsia"/>
                <w:color w:val="auto"/>
                <w:sz w:val="21"/>
                <w:szCs w:val="21"/>
              </w:rPr>
              <w:t>SE</w:t>
            </w:r>
          </w:p>
        </w:tc>
        <w:tc>
          <w:tcPr>
            <w:tcW w:w="502" w:type="pct"/>
            <w:vAlign w:val="center"/>
          </w:tcPr>
          <w:p>
            <w:pPr>
              <w:spacing w:line="240" w:lineRule="auto"/>
              <w:ind w:firstLine="0" w:firstLineChars="0"/>
              <w:jc w:val="center"/>
              <w:rPr>
                <w:color w:val="auto"/>
                <w:sz w:val="21"/>
                <w:szCs w:val="21"/>
              </w:rPr>
            </w:pPr>
            <w:r>
              <w:rPr>
                <w:rFonts w:hint="eastAsia"/>
                <w:color w:val="auto"/>
                <w:sz w:val="21"/>
                <w:szCs w:val="21"/>
              </w:rPr>
              <w:t>1200</w:t>
            </w:r>
          </w:p>
        </w:tc>
        <w:tc>
          <w:tcPr>
            <w:tcW w:w="2441" w:type="pct"/>
            <w:vAlign w:val="center"/>
          </w:tcPr>
          <w:p>
            <w:pPr>
              <w:spacing w:line="240" w:lineRule="auto"/>
              <w:ind w:firstLine="0" w:firstLineChars="0"/>
              <w:jc w:val="center"/>
              <w:rPr>
                <w:color w:val="auto"/>
                <w:sz w:val="21"/>
                <w:szCs w:val="21"/>
              </w:rPr>
            </w:pPr>
            <w:r>
              <w:rPr>
                <w:rFonts w:hint="eastAsia"/>
                <w:color w:val="auto"/>
                <w:sz w:val="21"/>
                <w:szCs w:val="21"/>
              </w:rPr>
              <w:t>水位、水质监测点（了解厂址上游）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353" w:type="pct"/>
            <w:vAlign w:val="center"/>
          </w:tcPr>
          <w:p>
            <w:pPr>
              <w:spacing w:line="240" w:lineRule="auto"/>
              <w:ind w:firstLine="0" w:firstLineChars="0"/>
              <w:jc w:val="center"/>
              <w:rPr>
                <w:color w:val="auto"/>
                <w:sz w:val="21"/>
                <w:szCs w:val="21"/>
              </w:rPr>
            </w:pPr>
            <w:r>
              <w:rPr>
                <w:color w:val="auto"/>
                <w:sz w:val="21"/>
                <w:szCs w:val="21"/>
              </w:rPr>
              <w:t>4#</w:t>
            </w:r>
          </w:p>
        </w:tc>
        <w:tc>
          <w:tcPr>
            <w:tcW w:w="1341" w:type="pct"/>
            <w:vAlign w:val="center"/>
          </w:tcPr>
          <w:p>
            <w:pPr>
              <w:spacing w:line="240" w:lineRule="auto"/>
              <w:ind w:firstLine="0" w:firstLineChars="0"/>
              <w:jc w:val="center"/>
              <w:rPr>
                <w:color w:val="auto"/>
                <w:sz w:val="21"/>
                <w:szCs w:val="21"/>
              </w:rPr>
            </w:pPr>
            <w:r>
              <w:rPr>
                <w:rFonts w:hint="eastAsia"/>
                <w:color w:val="auto"/>
                <w:sz w:val="21"/>
                <w:szCs w:val="21"/>
              </w:rPr>
              <w:t>曹营村</w:t>
            </w:r>
          </w:p>
        </w:tc>
        <w:tc>
          <w:tcPr>
            <w:tcW w:w="361" w:type="pct"/>
            <w:vAlign w:val="center"/>
          </w:tcPr>
          <w:p>
            <w:pPr>
              <w:spacing w:line="240" w:lineRule="auto"/>
              <w:ind w:firstLine="0" w:firstLineChars="0"/>
              <w:jc w:val="center"/>
              <w:rPr>
                <w:color w:val="auto"/>
                <w:sz w:val="21"/>
                <w:szCs w:val="21"/>
              </w:rPr>
            </w:pPr>
            <w:r>
              <w:rPr>
                <w:rFonts w:hint="eastAsia"/>
                <w:color w:val="auto"/>
                <w:sz w:val="21"/>
                <w:szCs w:val="21"/>
              </w:rPr>
              <w:t>N</w:t>
            </w:r>
          </w:p>
        </w:tc>
        <w:tc>
          <w:tcPr>
            <w:tcW w:w="502" w:type="pct"/>
            <w:vAlign w:val="center"/>
          </w:tcPr>
          <w:p>
            <w:pPr>
              <w:spacing w:line="240" w:lineRule="auto"/>
              <w:ind w:firstLine="0" w:firstLineChars="0"/>
              <w:jc w:val="center"/>
              <w:rPr>
                <w:color w:val="auto"/>
                <w:sz w:val="21"/>
                <w:szCs w:val="21"/>
              </w:rPr>
            </w:pPr>
            <w:r>
              <w:rPr>
                <w:rFonts w:hint="eastAsia"/>
                <w:color w:val="auto"/>
                <w:sz w:val="21"/>
                <w:szCs w:val="21"/>
              </w:rPr>
              <w:t>870</w:t>
            </w:r>
          </w:p>
        </w:tc>
        <w:tc>
          <w:tcPr>
            <w:tcW w:w="2441" w:type="pct"/>
            <w:vAlign w:val="center"/>
          </w:tcPr>
          <w:p>
            <w:pPr>
              <w:spacing w:line="240" w:lineRule="auto"/>
              <w:ind w:firstLine="0" w:firstLineChars="0"/>
              <w:jc w:val="center"/>
              <w:rPr>
                <w:color w:val="auto"/>
                <w:sz w:val="21"/>
                <w:szCs w:val="21"/>
              </w:rPr>
            </w:pPr>
            <w:r>
              <w:rPr>
                <w:rFonts w:hint="eastAsia"/>
                <w:color w:val="auto"/>
                <w:sz w:val="21"/>
                <w:szCs w:val="21"/>
              </w:rPr>
              <w:t>水位监测点</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353" w:type="pct"/>
            <w:vAlign w:val="center"/>
          </w:tcPr>
          <w:p>
            <w:pPr>
              <w:spacing w:line="240" w:lineRule="auto"/>
              <w:ind w:firstLine="0" w:firstLineChars="0"/>
              <w:jc w:val="center"/>
              <w:rPr>
                <w:color w:val="auto"/>
                <w:sz w:val="21"/>
                <w:szCs w:val="21"/>
              </w:rPr>
            </w:pPr>
            <w:r>
              <w:rPr>
                <w:color w:val="auto"/>
                <w:sz w:val="21"/>
                <w:szCs w:val="21"/>
              </w:rPr>
              <w:t>5#</w:t>
            </w:r>
          </w:p>
        </w:tc>
        <w:tc>
          <w:tcPr>
            <w:tcW w:w="1341" w:type="pct"/>
            <w:vAlign w:val="center"/>
          </w:tcPr>
          <w:p>
            <w:pPr>
              <w:spacing w:line="240" w:lineRule="auto"/>
              <w:ind w:firstLine="0" w:firstLineChars="0"/>
              <w:jc w:val="center"/>
              <w:rPr>
                <w:color w:val="auto"/>
                <w:sz w:val="21"/>
                <w:szCs w:val="21"/>
              </w:rPr>
            </w:pPr>
            <w:r>
              <w:rPr>
                <w:rFonts w:hint="eastAsia"/>
                <w:color w:val="auto"/>
                <w:sz w:val="21"/>
                <w:szCs w:val="21"/>
              </w:rPr>
              <w:t>解营村</w:t>
            </w:r>
          </w:p>
        </w:tc>
        <w:tc>
          <w:tcPr>
            <w:tcW w:w="361" w:type="pct"/>
            <w:vAlign w:val="center"/>
          </w:tcPr>
          <w:p>
            <w:pPr>
              <w:spacing w:line="240" w:lineRule="auto"/>
              <w:ind w:firstLine="0" w:firstLineChars="0"/>
              <w:jc w:val="center"/>
              <w:rPr>
                <w:color w:val="auto"/>
                <w:sz w:val="21"/>
                <w:szCs w:val="21"/>
              </w:rPr>
            </w:pPr>
            <w:r>
              <w:rPr>
                <w:rFonts w:hint="eastAsia"/>
                <w:color w:val="auto"/>
                <w:sz w:val="21"/>
                <w:szCs w:val="21"/>
              </w:rPr>
              <w:t>NW</w:t>
            </w:r>
          </w:p>
        </w:tc>
        <w:tc>
          <w:tcPr>
            <w:tcW w:w="502" w:type="pct"/>
            <w:vAlign w:val="center"/>
          </w:tcPr>
          <w:p>
            <w:pPr>
              <w:spacing w:line="240" w:lineRule="auto"/>
              <w:ind w:firstLine="0" w:firstLineChars="0"/>
              <w:jc w:val="center"/>
              <w:rPr>
                <w:color w:val="auto"/>
                <w:sz w:val="21"/>
                <w:szCs w:val="21"/>
              </w:rPr>
            </w:pPr>
            <w:r>
              <w:rPr>
                <w:rFonts w:hint="eastAsia"/>
                <w:color w:val="auto"/>
                <w:sz w:val="21"/>
                <w:szCs w:val="21"/>
              </w:rPr>
              <w:t>300</w:t>
            </w:r>
          </w:p>
        </w:tc>
        <w:tc>
          <w:tcPr>
            <w:tcW w:w="2441" w:type="pct"/>
            <w:vAlign w:val="center"/>
          </w:tcPr>
          <w:p>
            <w:pPr>
              <w:spacing w:line="240" w:lineRule="auto"/>
              <w:ind w:firstLine="0" w:firstLineChars="0"/>
              <w:jc w:val="center"/>
              <w:rPr>
                <w:color w:val="auto"/>
                <w:sz w:val="21"/>
                <w:szCs w:val="21"/>
              </w:rPr>
            </w:pPr>
            <w:r>
              <w:rPr>
                <w:rFonts w:hint="eastAsia"/>
                <w:color w:val="auto"/>
                <w:sz w:val="21"/>
                <w:szCs w:val="21"/>
              </w:rPr>
              <w:t>水位监测点</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353" w:type="pct"/>
            <w:vAlign w:val="center"/>
          </w:tcPr>
          <w:p>
            <w:pPr>
              <w:spacing w:line="240" w:lineRule="auto"/>
              <w:ind w:firstLine="0" w:firstLineChars="0"/>
              <w:jc w:val="center"/>
              <w:rPr>
                <w:color w:val="auto"/>
                <w:sz w:val="21"/>
                <w:szCs w:val="21"/>
              </w:rPr>
            </w:pPr>
            <w:r>
              <w:rPr>
                <w:color w:val="auto"/>
                <w:sz w:val="21"/>
                <w:szCs w:val="21"/>
              </w:rPr>
              <w:t>6#</w:t>
            </w:r>
          </w:p>
        </w:tc>
        <w:tc>
          <w:tcPr>
            <w:tcW w:w="1341" w:type="pct"/>
            <w:vAlign w:val="center"/>
          </w:tcPr>
          <w:p>
            <w:pPr>
              <w:spacing w:line="240" w:lineRule="auto"/>
              <w:ind w:firstLine="0" w:firstLineChars="0"/>
              <w:jc w:val="center"/>
              <w:rPr>
                <w:color w:val="auto"/>
                <w:sz w:val="21"/>
                <w:szCs w:val="21"/>
              </w:rPr>
            </w:pPr>
            <w:r>
              <w:rPr>
                <w:rFonts w:hint="eastAsia"/>
                <w:color w:val="auto"/>
                <w:sz w:val="21"/>
                <w:szCs w:val="21"/>
              </w:rPr>
              <w:t>董家村</w:t>
            </w:r>
          </w:p>
        </w:tc>
        <w:tc>
          <w:tcPr>
            <w:tcW w:w="361" w:type="pct"/>
            <w:vAlign w:val="center"/>
          </w:tcPr>
          <w:p>
            <w:pPr>
              <w:spacing w:line="240" w:lineRule="auto"/>
              <w:ind w:firstLine="0" w:firstLineChars="0"/>
              <w:jc w:val="center"/>
              <w:rPr>
                <w:color w:val="auto"/>
                <w:sz w:val="21"/>
                <w:szCs w:val="21"/>
              </w:rPr>
            </w:pPr>
            <w:r>
              <w:rPr>
                <w:rFonts w:hint="eastAsia"/>
                <w:color w:val="auto"/>
                <w:sz w:val="21"/>
                <w:szCs w:val="21"/>
              </w:rPr>
              <w:t>SW</w:t>
            </w:r>
          </w:p>
        </w:tc>
        <w:tc>
          <w:tcPr>
            <w:tcW w:w="502" w:type="pct"/>
            <w:vAlign w:val="center"/>
          </w:tcPr>
          <w:p>
            <w:pPr>
              <w:spacing w:line="240" w:lineRule="auto"/>
              <w:ind w:firstLine="0" w:firstLineChars="0"/>
              <w:jc w:val="center"/>
              <w:rPr>
                <w:color w:val="auto"/>
                <w:sz w:val="21"/>
                <w:szCs w:val="21"/>
              </w:rPr>
            </w:pPr>
            <w:r>
              <w:rPr>
                <w:rFonts w:hint="eastAsia"/>
                <w:color w:val="auto"/>
                <w:sz w:val="21"/>
                <w:szCs w:val="21"/>
              </w:rPr>
              <w:t>1400</w:t>
            </w:r>
          </w:p>
        </w:tc>
        <w:tc>
          <w:tcPr>
            <w:tcW w:w="2441" w:type="pct"/>
            <w:vAlign w:val="center"/>
          </w:tcPr>
          <w:p>
            <w:pPr>
              <w:spacing w:line="240" w:lineRule="auto"/>
              <w:ind w:firstLine="0" w:firstLineChars="0"/>
              <w:jc w:val="center"/>
              <w:rPr>
                <w:color w:val="auto"/>
                <w:sz w:val="21"/>
                <w:szCs w:val="21"/>
              </w:rPr>
            </w:pPr>
            <w:r>
              <w:rPr>
                <w:rFonts w:hint="eastAsia"/>
                <w:color w:val="auto"/>
                <w:sz w:val="21"/>
                <w:szCs w:val="21"/>
              </w:rPr>
              <w:t>水位监测点</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353" w:type="pct"/>
            <w:vAlign w:val="center"/>
          </w:tcPr>
          <w:p>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7#</w:t>
            </w:r>
          </w:p>
        </w:tc>
        <w:tc>
          <w:tcPr>
            <w:tcW w:w="1341" w:type="pct"/>
            <w:vAlign w:val="center"/>
          </w:tcPr>
          <w:p>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本项目厂址</w:t>
            </w:r>
          </w:p>
        </w:tc>
        <w:tc>
          <w:tcPr>
            <w:tcW w:w="361" w:type="pct"/>
            <w:vAlign w:val="center"/>
          </w:tcPr>
          <w:p>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c>
          <w:tcPr>
            <w:tcW w:w="502" w:type="pct"/>
            <w:vAlign w:val="center"/>
          </w:tcPr>
          <w:p>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c>
          <w:tcPr>
            <w:tcW w:w="2441" w:type="pct"/>
            <w:vAlign w:val="center"/>
          </w:tcPr>
          <w:p>
            <w:pPr>
              <w:spacing w:line="240" w:lineRule="auto"/>
              <w:ind w:firstLine="0" w:firstLineChars="0"/>
              <w:jc w:val="center"/>
              <w:rPr>
                <w:rFonts w:hint="eastAsia"/>
                <w:color w:val="auto"/>
                <w:sz w:val="21"/>
                <w:szCs w:val="21"/>
              </w:rPr>
            </w:pPr>
            <w:r>
              <w:rPr>
                <w:rFonts w:hint="eastAsia"/>
                <w:color w:val="auto"/>
                <w:sz w:val="21"/>
                <w:szCs w:val="21"/>
              </w:rPr>
              <w:t>水位、水质监测点（了解厂址）</w:t>
            </w:r>
          </w:p>
        </w:tc>
      </w:tr>
    </w:tbl>
    <w:p>
      <w:pPr>
        <w:pStyle w:val="10"/>
        <w:spacing w:line="360" w:lineRule="auto"/>
        <w:rPr>
          <w:color w:val="auto"/>
        </w:rPr>
      </w:pPr>
      <w:r>
        <w:rPr>
          <w:rFonts w:hint="eastAsia"/>
          <w:color w:val="auto"/>
        </w:rPr>
        <w:t>4</w:t>
      </w:r>
      <w:r>
        <w:rPr>
          <w:color w:val="auto"/>
        </w:rPr>
        <w:t>.3.1.2 监测项目</w:t>
      </w:r>
    </w:p>
    <w:p>
      <w:pPr>
        <w:ind w:firstLine="480"/>
        <w:rPr>
          <w:color w:val="auto"/>
        </w:rPr>
        <w:sectPr>
          <w:pgSz w:w="11906" w:h="16838"/>
          <w:pgMar w:top="1418" w:right="1418" w:bottom="1418" w:left="1418" w:header="992" w:footer="992" w:gutter="0"/>
          <w:pgBorders>
            <w:top w:val="none" w:sz="0" w:space="0"/>
            <w:left w:val="none" w:sz="0" w:space="0"/>
            <w:bottom w:val="none" w:sz="0" w:space="0"/>
            <w:right w:val="none" w:sz="0" w:space="0"/>
          </w:pgBorders>
          <w:cols w:space="720" w:num="1"/>
          <w:docGrid w:linePitch="312" w:charSpace="0"/>
        </w:sectPr>
      </w:pPr>
      <w:r>
        <w:rPr>
          <w:color w:val="auto"/>
        </w:rPr>
        <w:t>监测项目：</w:t>
      </w:r>
      <w:r>
        <w:rPr>
          <w:rFonts w:hint="eastAsia"/>
          <w:color w:val="auto"/>
        </w:rPr>
        <w:t>色度、嗅和味、浑浊度、肉眼可见物、pH、总硬度、溶解性总固体、硫酸盐、氯化物、铁、锰、铜、锌、铝、挥发酚类、阴离子表面活性剂、耗氧量、氨氮、硫化物、钠、亚硝酸盐氮、硝酸盐氮、氰化物、氟化物、碘化物、汞、砷、硒、镉、六价铬、铅、三氯</w:t>
      </w:r>
      <w:r>
        <w:rPr>
          <w:rFonts w:hint="eastAsia"/>
          <w:color w:val="auto"/>
          <w:lang w:val="en-US" w:eastAsia="zh-CN"/>
        </w:rPr>
        <w:t>甲烷</w:t>
      </w:r>
      <w:r>
        <w:rPr>
          <w:rFonts w:hint="eastAsia"/>
          <w:color w:val="auto"/>
        </w:rPr>
        <w:t>、四氯化碳、苯、甲苯、总大肠菌群、菌落总数、石油类、锡、钛40项</w:t>
      </w:r>
      <w:r>
        <w:rPr>
          <w:color w:val="auto"/>
        </w:rPr>
        <w:t>；同时检测K</w:t>
      </w:r>
      <w:r>
        <w:rPr>
          <w:color w:val="auto"/>
          <w:vertAlign w:val="superscript"/>
        </w:rPr>
        <w:t>+</w:t>
      </w:r>
      <w:r>
        <w:rPr>
          <w:color w:val="auto"/>
        </w:rPr>
        <w:t>、Na</w:t>
      </w:r>
      <w:r>
        <w:rPr>
          <w:color w:val="auto"/>
          <w:vertAlign w:val="superscript"/>
        </w:rPr>
        <w:t>+</w:t>
      </w:r>
      <w:r>
        <w:rPr>
          <w:color w:val="auto"/>
        </w:rPr>
        <w:t>、Ca</w:t>
      </w:r>
      <w:r>
        <w:rPr>
          <w:color w:val="auto"/>
          <w:vertAlign w:val="superscript"/>
        </w:rPr>
        <w:t>2+</w:t>
      </w:r>
      <w:r>
        <w:rPr>
          <w:color w:val="auto"/>
        </w:rPr>
        <w:t>、Mg</w:t>
      </w:r>
      <w:r>
        <w:rPr>
          <w:color w:val="auto"/>
          <w:vertAlign w:val="superscript"/>
        </w:rPr>
        <w:t>2+</w:t>
      </w:r>
      <w:r>
        <w:rPr>
          <w:color w:val="auto"/>
        </w:rPr>
        <w:t>、CO</w:t>
      </w:r>
      <w:r>
        <w:rPr>
          <w:color w:val="auto"/>
          <w:vertAlign w:val="subscript"/>
        </w:rPr>
        <w:t>3</w:t>
      </w:r>
      <w:r>
        <w:rPr>
          <w:color w:val="auto"/>
          <w:vertAlign w:val="superscript"/>
        </w:rPr>
        <w:t>2-</w:t>
      </w:r>
      <w:r>
        <w:rPr>
          <w:color w:val="auto"/>
        </w:rPr>
        <w:t>、HCO</w:t>
      </w:r>
      <w:r>
        <w:rPr>
          <w:color w:val="auto"/>
          <w:vertAlign w:val="subscript"/>
        </w:rPr>
        <w:t>3</w:t>
      </w:r>
      <w:r>
        <w:rPr>
          <w:color w:val="auto"/>
          <w:vertAlign w:val="superscript"/>
        </w:rPr>
        <w:t>-</w:t>
      </w:r>
      <w:r>
        <w:rPr>
          <w:color w:val="auto"/>
        </w:rPr>
        <w:t>、Cl</w:t>
      </w:r>
      <w:r>
        <w:rPr>
          <w:color w:val="auto"/>
          <w:vertAlign w:val="superscript"/>
        </w:rPr>
        <w:t>-</w:t>
      </w:r>
      <w:r>
        <w:rPr>
          <w:color w:val="auto"/>
        </w:rPr>
        <w:t>、SO</w:t>
      </w:r>
      <w:r>
        <w:rPr>
          <w:color w:val="auto"/>
          <w:vertAlign w:val="subscript"/>
        </w:rPr>
        <w:t>4</w:t>
      </w:r>
      <w:r>
        <w:rPr>
          <w:color w:val="auto"/>
          <w:vertAlign w:val="superscript"/>
        </w:rPr>
        <w:t>2-</w:t>
      </w:r>
      <w:r>
        <w:rPr>
          <w:color w:val="auto"/>
        </w:rPr>
        <w:t>的浓度。</w:t>
      </w:r>
      <w:r>
        <w:rPr>
          <w:rFonts w:hint="eastAsia"/>
          <w:color w:val="auto"/>
        </w:rPr>
        <w:t>6</w:t>
      </w:r>
      <w:r>
        <w:rPr>
          <w:color w:val="auto"/>
        </w:rPr>
        <w:t>个点同时测量水温、井深、地下水埋深及水位</w:t>
      </w:r>
      <w:r>
        <w:rPr>
          <w:rFonts w:hint="eastAsia"/>
          <w:color w:val="auto"/>
        </w:rPr>
        <w:t>。</w:t>
      </w:r>
    </w:p>
    <w:p>
      <w:pPr>
        <w:pStyle w:val="2"/>
        <w:spacing w:after="0"/>
        <w:ind w:firstLine="0" w:firstLineChars="0"/>
        <w:jc w:val="center"/>
        <w:rPr>
          <w:rFonts w:ascii="黑体" w:hAnsi="黑体" w:eastAsia="黑体" w:cs="黑体"/>
          <w:color w:val="auto"/>
          <w:sz w:val="21"/>
          <w:szCs w:val="21"/>
        </w:rPr>
        <w:sectPr>
          <w:headerReference r:id="rId28" w:type="default"/>
          <w:pgSz w:w="16838" w:h="11906" w:orient="landscape"/>
          <w:pgMar w:top="1418" w:right="1418" w:bottom="1418" w:left="1418" w:header="992" w:footer="992" w:gutter="0"/>
          <w:pgBorders>
            <w:top w:val="none" w:sz="0" w:space="0"/>
            <w:left w:val="none" w:sz="0" w:space="0"/>
            <w:bottom w:val="none" w:sz="0" w:space="0"/>
            <w:right w:val="none" w:sz="0" w:space="0"/>
          </w:pgBorders>
          <w:cols w:space="720" w:num="1"/>
          <w:docGrid w:linePitch="312" w:charSpace="0"/>
        </w:sectPr>
      </w:pPr>
      <w:r>
        <w:drawing>
          <wp:anchor distT="0" distB="0" distL="114300" distR="114300" simplePos="0" relativeHeight="251822080" behindDoc="0" locked="0" layoutInCell="1" allowOverlap="1">
            <wp:simplePos x="0" y="0"/>
            <wp:positionH relativeFrom="column">
              <wp:posOffset>4711700</wp:posOffset>
            </wp:positionH>
            <wp:positionV relativeFrom="paragraph">
              <wp:posOffset>2826385</wp:posOffset>
            </wp:positionV>
            <wp:extent cx="157480" cy="222885"/>
            <wp:effectExtent l="0" t="0" r="13970" b="5715"/>
            <wp:wrapNone/>
            <wp:docPr id="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pic:cNvPicPr>
                      <a:picLocks noChangeAspect="1"/>
                    </pic:cNvPicPr>
                  </pic:nvPicPr>
                  <pic:blipFill>
                    <a:blip r:embed="rId94"/>
                    <a:stretch>
                      <a:fillRect/>
                    </a:stretch>
                  </pic:blipFill>
                  <pic:spPr>
                    <a:xfrm>
                      <a:off x="0" y="0"/>
                      <a:ext cx="157480" cy="222885"/>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762688" behindDoc="0" locked="0" layoutInCell="1" allowOverlap="1">
                <wp:simplePos x="0" y="0"/>
                <wp:positionH relativeFrom="column">
                  <wp:posOffset>3549650</wp:posOffset>
                </wp:positionH>
                <wp:positionV relativeFrom="paragraph">
                  <wp:posOffset>2224405</wp:posOffset>
                </wp:positionV>
                <wp:extent cx="1722120" cy="1603375"/>
                <wp:effectExtent l="0" t="0" r="30480" b="15875"/>
                <wp:wrapNone/>
                <wp:docPr id="19" name="直接箭头连接符 19"/>
                <wp:cNvGraphicFramePr/>
                <a:graphic xmlns:a="http://schemas.openxmlformats.org/drawingml/2006/main">
                  <a:graphicData uri="http://schemas.microsoft.com/office/word/2010/wordprocessingShape">
                    <wps:wsp>
                      <wps:cNvCnPr/>
                      <wps:spPr>
                        <a:xfrm rot="10800000">
                          <a:off x="3822700" y="3396615"/>
                          <a:ext cx="1722120" cy="1603375"/>
                        </a:xfrm>
                        <a:prstGeom prst="straightConnector1">
                          <a:avLst/>
                        </a:prstGeom>
                        <a:ln w="3810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79.5pt;margin-top:175.15pt;height:126.25pt;width:135.6pt;rotation:11796480f;z-index:251762688;mso-width-relative:page;mso-height-relative:page;" filled="f" stroked="t" coordsize="21600,21600" o:gfxdata="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i/sDhdoAAAALAQAADwAAAAAAAAABACAAAAAiAAAAZHJzL2Rvd25yZXYueG1sUEsBAhQAFAAAAAgA&#10;h07iQEnGTXkjAgAAAgQAAA4AAAAAAAAAAQAgAAAAKQEAAGRycy9lMm9Eb2MueG1sUEsFBgAAAAAG&#10;AAYAWQEAAL4FAAAAAA==&#10;">
                <v:fill on="f" focussize="0,0"/>
                <v:stroke weight="3pt" color="#00B050 [3204]" miterlimit="8" joinstyle="miter" endarrow="open"/>
                <v:imagedata o:title=""/>
                <o:lock v:ext="edit" aspectratio="f"/>
              </v:shape>
            </w:pict>
          </mc:Fallback>
        </mc:AlternateContent>
      </w:r>
      <w:r>
        <w:rPr>
          <w:color w:val="auto"/>
          <w:sz w:val="21"/>
        </w:rPr>
        <mc:AlternateContent>
          <mc:Choice Requires="wps">
            <w:drawing>
              <wp:anchor distT="0" distB="0" distL="114300" distR="114300" simplePos="0" relativeHeight="251763712" behindDoc="0" locked="0" layoutInCell="1" allowOverlap="1">
                <wp:simplePos x="0" y="0"/>
                <wp:positionH relativeFrom="column">
                  <wp:posOffset>247015</wp:posOffset>
                </wp:positionH>
                <wp:positionV relativeFrom="paragraph">
                  <wp:posOffset>4938395</wp:posOffset>
                </wp:positionV>
                <wp:extent cx="294005" cy="0"/>
                <wp:effectExtent l="0" t="48895" r="10795" b="65405"/>
                <wp:wrapNone/>
                <wp:docPr id="22" name="直接箭头连接符 22"/>
                <wp:cNvGraphicFramePr/>
                <a:graphic xmlns:a="http://schemas.openxmlformats.org/drawingml/2006/main">
                  <a:graphicData uri="http://schemas.microsoft.com/office/word/2010/wordprocessingShape">
                    <wps:wsp>
                      <wps:cNvCnPr/>
                      <wps:spPr>
                        <a:xfrm>
                          <a:off x="1147445" y="5920740"/>
                          <a:ext cx="294005" cy="0"/>
                        </a:xfrm>
                        <a:prstGeom prst="straightConnector1">
                          <a:avLst/>
                        </a:prstGeom>
                        <a:ln>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9.45pt;margin-top:388.85pt;height:0pt;width:23.15pt;z-index:251763712;mso-width-relative:page;mso-height-relative:page;" filled="f" stroked="t" coordsize="21600,21600" o:gfxdata="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hvDMF1gAAAAkBAAAPAAAAAAAA&#10;AAEAIAAAACIAAABkcnMvZG93bnJldi54bWxQSwECFAAUAAAACACHTuJAgPsBQBQCAADrAwAADgAA&#10;AAAAAAABACAAAAAlAQAAZHJzL2Uyb0RvYy54bWxQSwUGAAAAAAYABgBZAQAAqwUAAAAA&#10;">
                <v:fill on="f" focussize="0,0"/>
                <v:stroke weight="0.5pt" color="#00B050 [3204]" miterlimit="8" joinstyle="miter" endarrow="open"/>
                <v:imagedata o:title=""/>
                <o:lock v:ext="edit" aspectratio="f"/>
              </v:shape>
            </w:pict>
          </mc:Fallback>
        </mc:AlternateContent>
      </w:r>
      <w:r>
        <w:rPr>
          <w:color w:val="auto"/>
          <w:sz w:val="21"/>
        </w:rPr>
        <mc:AlternateContent>
          <mc:Choice Requires="wps">
            <w:drawing>
              <wp:anchor distT="0" distB="0" distL="114300" distR="114300" simplePos="0" relativeHeight="251687936" behindDoc="0" locked="0" layoutInCell="1" allowOverlap="1">
                <wp:simplePos x="0" y="0"/>
                <wp:positionH relativeFrom="column">
                  <wp:posOffset>179705</wp:posOffset>
                </wp:positionH>
                <wp:positionV relativeFrom="paragraph">
                  <wp:posOffset>3940810</wp:posOffset>
                </wp:positionV>
                <wp:extent cx="1650365" cy="1333500"/>
                <wp:effectExtent l="6350" t="6350" r="19685" b="12700"/>
                <wp:wrapNone/>
                <wp:docPr id="62" name="矩形 62"/>
                <wp:cNvGraphicFramePr/>
                <a:graphic xmlns:a="http://schemas.openxmlformats.org/drawingml/2006/main">
                  <a:graphicData uri="http://schemas.microsoft.com/office/word/2010/wordprocessingShape">
                    <wps:wsp>
                      <wps:cNvSpPr/>
                      <wps:spPr>
                        <a:xfrm>
                          <a:off x="0" y="0"/>
                          <a:ext cx="1650365" cy="13335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0" w:firstLineChars="0"/>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图例：</w:t>
                            </w:r>
                          </w:p>
                          <w:p>
                            <w:pPr>
                              <w:spacing w:line="360" w:lineRule="auto"/>
                              <w:ind w:firstLine="0" w:firstLineChars="0"/>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drawing>
                                <wp:inline distT="0" distB="0" distL="114300" distR="114300">
                                  <wp:extent cx="214630" cy="236855"/>
                                  <wp:effectExtent l="0" t="0" r="13970" b="10795"/>
                                  <wp:docPr id="68" name="图片 68" descr="fd6b9b04de1267b6ca1f5fc3fca3a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fd6b9b04de1267b6ca1f5fc3fca3a25"/>
                                          <pic:cNvPicPr>
                                            <a:picLocks noChangeAspect="1"/>
                                          </pic:cNvPicPr>
                                        </pic:nvPicPr>
                                        <pic:blipFill>
                                          <a:blip r:embed="rId95"/>
                                          <a:stretch>
                                            <a:fillRect/>
                                          </a:stretch>
                                        </pic:blipFill>
                                        <pic:spPr>
                                          <a:xfrm>
                                            <a:off x="0" y="0"/>
                                            <a:ext cx="214630" cy="236855"/>
                                          </a:xfrm>
                                          <a:prstGeom prst="rect">
                                            <a:avLst/>
                                          </a:prstGeom>
                                        </pic:spPr>
                                      </pic:pic>
                                    </a:graphicData>
                                  </a:graphic>
                                </wp:inline>
                              </w:drawing>
                            </w: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 xml:space="preserve"> 地下水监测点位</w:t>
                            </w:r>
                          </w:p>
                          <w:p>
                            <w:pPr>
                              <w:pStyle w:val="2"/>
                              <w:rPr>
                                <w:rFonts w:hint="default" w:eastAsia="宋体"/>
                                <w:lang w:val="en-US" w:eastAsia="zh-CN"/>
                              </w:rPr>
                            </w:pPr>
                            <w:r>
                              <w:rPr>
                                <w:rFonts w:hint="eastAsia"/>
                                <w:color w:val="000000" w:themeColor="text1"/>
                                <w:lang w:val="en-US" w:eastAsia="zh-CN"/>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地下水流向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15pt;margin-top:310.3pt;height:105pt;width:129.95pt;z-index:251687936;v-text-anchor:middle;mso-width-relative:page;mso-height-relative:page;" fillcolor="#FFFFFF [3212]" filled="t" stroked="t" coordsize="21600,21600" o:gfxdata="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&#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AbEWCDWAAAACgEAAA8AAAAAAAAAAQAgAAAAIgAAAGRy&#10;cy9kb3ducmV2LnhtbFBLAQIUABQAAAAIAIdO4kB07GnReQIAAAIFAAAOAAAAAAAAAAEAIAAAACUB&#10;AABkcnMvZTJvRG9jLnhtbFBLBQYAAAAABgAGAFkBAAAQBgAAAAA=&#10;">
                <v:fill on="t" focussize="0,0"/>
                <v:stroke weight="1pt" color="#000000 [3213]" miterlimit="8" joinstyle="miter"/>
                <v:imagedata o:title=""/>
                <o:lock v:ext="edit" aspectratio="f"/>
                <v:textbox>
                  <w:txbxContent>
                    <w:p>
                      <w:pPr>
                        <w:ind w:firstLine="0" w:firstLineChars="0"/>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图例：</w:t>
                      </w:r>
                    </w:p>
                    <w:p>
                      <w:pPr>
                        <w:spacing w:line="360" w:lineRule="auto"/>
                        <w:ind w:firstLine="0" w:firstLineChars="0"/>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drawing>
                          <wp:inline distT="0" distB="0" distL="114300" distR="114300">
                            <wp:extent cx="214630" cy="236855"/>
                            <wp:effectExtent l="0" t="0" r="13970" b="10795"/>
                            <wp:docPr id="68" name="图片 68" descr="fd6b9b04de1267b6ca1f5fc3fca3a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fd6b9b04de1267b6ca1f5fc3fca3a25"/>
                                    <pic:cNvPicPr>
                                      <a:picLocks noChangeAspect="1"/>
                                    </pic:cNvPicPr>
                                  </pic:nvPicPr>
                                  <pic:blipFill>
                                    <a:blip r:embed="rId95"/>
                                    <a:stretch>
                                      <a:fillRect/>
                                    </a:stretch>
                                  </pic:blipFill>
                                  <pic:spPr>
                                    <a:xfrm>
                                      <a:off x="0" y="0"/>
                                      <a:ext cx="214630" cy="236855"/>
                                    </a:xfrm>
                                    <a:prstGeom prst="rect">
                                      <a:avLst/>
                                    </a:prstGeom>
                                  </pic:spPr>
                                </pic:pic>
                              </a:graphicData>
                            </a:graphic>
                          </wp:inline>
                        </w:drawing>
                      </w: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 xml:space="preserve"> 地下水监测点位</w:t>
                      </w:r>
                    </w:p>
                    <w:p>
                      <w:pPr>
                        <w:pStyle w:val="2"/>
                        <w:rPr>
                          <w:rFonts w:hint="default" w:eastAsia="宋体"/>
                          <w:lang w:val="en-US" w:eastAsia="zh-CN"/>
                        </w:rPr>
                      </w:pPr>
                      <w:r>
                        <w:rPr>
                          <w:rFonts w:hint="eastAsia"/>
                          <w:color w:val="000000" w:themeColor="text1"/>
                          <w:lang w:val="en-US" w:eastAsia="zh-CN"/>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地下水流向</w:t>
                      </w:r>
                    </w:p>
                  </w:txbxContent>
                </v:textbox>
              </v:rect>
            </w:pict>
          </mc:Fallback>
        </mc:AlternateContent>
      </w:r>
      <w:r>
        <w:rPr>
          <w:rFonts w:eastAsia="黑体"/>
          <w:b/>
          <w:bCs/>
          <w:color w:val="auto"/>
          <w:sz w:val="21"/>
          <w:szCs w:val="21"/>
        </w:rPr>
        <w:drawing>
          <wp:anchor distT="0" distB="0" distL="114935" distR="114935" simplePos="0" relativeHeight="251761664" behindDoc="0" locked="0" layoutInCell="1" allowOverlap="1">
            <wp:simplePos x="0" y="0"/>
            <wp:positionH relativeFrom="column">
              <wp:posOffset>7711440</wp:posOffset>
            </wp:positionH>
            <wp:positionV relativeFrom="paragraph">
              <wp:posOffset>-39370</wp:posOffset>
            </wp:positionV>
            <wp:extent cx="800100" cy="854075"/>
            <wp:effectExtent l="0" t="0" r="0" b="3175"/>
            <wp:wrapNone/>
            <wp:docPr id="10" name="图片 26"/>
            <wp:cNvGraphicFramePr/>
            <a:graphic xmlns:a="http://schemas.openxmlformats.org/drawingml/2006/main">
              <a:graphicData uri="http://schemas.openxmlformats.org/drawingml/2006/picture">
                <pic:pic xmlns:pic="http://schemas.openxmlformats.org/drawingml/2006/picture">
                  <pic:nvPicPr>
                    <pic:cNvPr id="10" name="图片 26"/>
                    <pic:cNvPicPr/>
                  </pic:nvPicPr>
                  <pic:blipFill>
                    <a:blip r:embed="rId71" cstate="print"/>
                    <a:srcRect r="-95"/>
                    <a:stretch>
                      <a:fillRect/>
                    </a:stretch>
                  </pic:blipFill>
                  <pic:spPr>
                    <a:xfrm>
                      <a:off x="0" y="0"/>
                      <a:ext cx="800100" cy="854075"/>
                    </a:xfrm>
                    <a:prstGeom prst="rect">
                      <a:avLst/>
                    </a:prstGeom>
                    <a:noFill/>
                    <a:ln w="9525">
                      <a:noFill/>
                    </a:ln>
                  </pic:spPr>
                </pic:pic>
              </a:graphicData>
            </a:graphic>
          </wp:anchor>
        </w:drawing>
      </w:r>
      <w:r>
        <w:rPr>
          <w:color w:val="auto"/>
          <w:sz w:val="21"/>
        </w:rPr>
        <mc:AlternateContent>
          <mc:Choice Requires="wps">
            <w:drawing>
              <wp:anchor distT="0" distB="0" distL="114300" distR="114300" simplePos="0" relativeHeight="251688960" behindDoc="0" locked="0" layoutInCell="1" allowOverlap="1">
                <wp:simplePos x="0" y="0"/>
                <wp:positionH relativeFrom="column">
                  <wp:posOffset>1981835</wp:posOffset>
                </wp:positionH>
                <wp:positionV relativeFrom="paragraph">
                  <wp:posOffset>-3171190</wp:posOffset>
                </wp:positionV>
                <wp:extent cx="2071370" cy="1579245"/>
                <wp:effectExtent l="0" t="0" r="24130" b="40005"/>
                <wp:wrapNone/>
                <wp:docPr id="70" name="直接箭头连接符 70"/>
                <wp:cNvGraphicFramePr/>
                <a:graphic xmlns:a="http://schemas.openxmlformats.org/drawingml/2006/main">
                  <a:graphicData uri="http://schemas.microsoft.com/office/word/2010/wordprocessingShape">
                    <wps:wsp>
                      <wps:cNvCnPr/>
                      <wps:spPr>
                        <a:xfrm flipH="1" flipV="1">
                          <a:off x="0" y="0"/>
                          <a:ext cx="2071370" cy="1579245"/>
                        </a:xfrm>
                        <a:prstGeom prst="straightConnector1">
                          <a:avLst/>
                        </a:prstGeom>
                        <a:ln w="57150">
                          <a:solidFill>
                            <a:srgbClr val="00B050"/>
                          </a:solidFill>
                          <a:tailEnd type="arrow" w="med" len="med"/>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id="_x0000_s1026" o:spid="_x0000_s1026" o:spt="32" type="#_x0000_t32" style="position:absolute;left:0pt;flip:x y;margin-left:156.05pt;margin-top:-249.7pt;height:124.35pt;width:163.1pt;z-index:251688960;mso-width-relative:page;mso-height-relative:page;" filled="f" stroked="t" coordsize="21600,21600" o:gfxdata="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KRSP2nbAAAADQEAAA8AAAAAAAAAAQAgAAAAIgAAAGRycy9kb3ducmV2LnhtbFBLAQIUABQAAAAI&#10;AIdO4kDFUPPhIwIAAA0EAAAOAAAAAAAAAAEAIAAAACoBAABkcnMvZTJvRG9jLnhtbFBLBQYAAAAA&#10;BgAGAFkBAAC/BQAAAAA=&#10;">
                <v:fill on="f" focussize="0,0"/>
                <v:stroke weight="4.5pt" color="#00B050 [3209]" miterlimit="8" joinstyle="miter" endarrow="open"/>
                <v:imagedata o:title=""/>
                <o:lock v:ext="edit" aspectratio="f"/>
              </v:shape>
            </w:pict>
          </mc:Fallback>
        </mc:AlternateContent>
      </w:r>
      <w:r>
        <w:rPr>
          <w:rFonts w:hint="eastAsia" w:eastAsia="黑体"/>
          <w:b/>
          <w:bCs/>
          <w:color w:val="auto"/>
        </w:rPr>
        <w:drawing>
          <wp:anchor distT="0" distB="0" distL="114300" distR="114300" simplePos="0" relativeHeight="251686912" behindDoc="0" locked="0" layoutInCell="1" allowOverlap="1">
            <wp:simplePos x="0" y="0"/>
            <wp:positionH relativeFrom="column">
              <wp:posOffset>7742555</wp:posOffset>
            </wp:positionH>
            <wp:positionV relativeFrom="paragraph">
              <wp:posOffset>-5337175</wp:posOffset>
            </wp:positionV>
            <wp:extent cx="775970" cy="807720"/>
            <wp:effectExtent l="0" t="0" r="5080" b="11430"/>
            <wp:wrapNone/>
            <wp:docPr id="53" name="图片 53" descr="9231966187c51f82577e5b8e845b6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9231966187c51f82577e5b8e845b6da"/>
                    <pic:cNvPicPr>
                      <a:picLocks noChangeAspect="1"/>
                    </pic:cNvPicPr>
                  </pic:nvPicPr>
                  <pic:blipFill>
                    <a:blip r:embed="rId54"/>
                    <a:stretch>
                      <a:fillRect/>
                    </a:stretch>
                  </pic:blipFill>
                  <pic:spPr>
                    <a:xfrm>
                      <a:off x="0" y="0"/>
                      <a:ext cx="775970" cy="807720"/>
                    </a:xfrm>
                    <a:prstGeom prst="rect">
                      <a:avLst/>
                    </a:prstGeom>
                  </pic:spPr>
                </pic:pic>
              </a:graphicData>
            </a:graphic>
          </wp:anchor>
        </w:drawing>
      </w:r>
      <w:r>
        <w:rPr>
          <w:rFonts w:hint="eastAsia" w:ascii="黑体" w:hAnsi="黑体" w:eastAsia="黑体" w:cs="黑体"/>
          <w:color w:val="auto"/>
          <w:sz w:val="21"/>
          <w:szCs w:val="21"/>
        </w:rPr>
        <w:drawing>
          <wp:anchor distT="0" distB="0" distL="114300" distR="114300" simplePos="0" relativeHeight="251685888" behindDoc="0" locked="0" layoutInCell="1" allowOverlap="1">
            <wp:simplePos x="0" y="0"/>
            <wp:positionH relativeFrom="column">
              <wp:posOffset>150495</wp:posOffset>
            </wp:positionH>
            <wp:positionV relativeFrom="paragraph">
              <wp:posOffset>-45720</wp:posOffset>
            </wp:positionV>
            <wp:extent cx="8397875" cy="5347970"/>
            <wp:effectExtent l="0" t="0" r="3175" b="5080"/>
            <wp:wrapTopAndBottom/>
            <wp:docPr id="47" name="图片 47" descr="165715913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657159132316"/>
                    <pic:cNvPicPr>
                      <a:picLocks noChangeAspect="1"/>
                    </pic:cNvPicPr>
                  </pic:nvPicPr>
                  <pic:blipFill>
                    <a:blip r:embed="rId96"/>
                    <a:stretch>
                      <a:fillRect/>
                    </a:stretch>
                  </pic:blipFill>
                  <pic:spPr>
                    <a:xfrm>
                      <a:off x="0" y="0"/>
                      <a:ext cx="8397875" cy="5347970"/>
                    </a:xfrm>
                    <a:prstGeom prst="rect">
                      <a:avLst/>
                    </a:prstGeom>
                  </pic:spPr>
                </pic:pic>
              </a:graphicData>
            </a:graphic>
          </wp:anchor>
        </w:drawing>
      </w:r>
      <w:r>
        <w:rPr>
          <w:rFonts w:hint="eastAsia" w:ascii="黑体" w:hAnsi="黑体" w:eastAsia="黑体" w:cs="黑体"/>
          <w:color w:val="auto"/>
          <w:sz w:val="21"/>
          <w:szCs w:val="21"/>
        </w:rPr>
        <w:t>图4.3-1 地下水监测布点图</w:t>
      </w:r>
    </w:p>
    <w:p>
      <w:pPr>
        <w:pStyle w:val="10"/>
        <w:spacing w:line="360" w:lineRule="auto"/>
        <w:rPr>
          <w:color w:val="auto"/>
        </w:rPr>
      </w:pPr>
      <w:r>
        <w:rPr>
          <w:rFonts w:hint="eastAsia"/>
          <w:color w:val="auto"/>
        </w:rPr>
        <w:t>4</w:t>
      </w:r>
      <w:r>
        <w:rPr>
          <w:color w:val="auto"/>
        </w:rPr>
        <w:t>.3.1.3 分析方法</w:t>
      </w:r>
    </w:p>
    <w:p>
      <w:pPr>
        <w:ind w:firstLine="480"/>
        <w:rPr>
          <w:color w:val="auto"/>
        </w:rPr>
      </w:pPr>
      <w:r>
        <w:rPr>
          <w:color w:val="auto"/>
        </w:rPr>
        <w:t xml:space="preserve">按照《地下水质量标准》（GB/T 14848-2017）和《地下水环境监测技术规范》（HJ/T164-2004）中有关规定执行。监测分析方法见表 </w:t>
      </w:r>
      <w:r>
        <w:rPr>
          <w:rFonts w:hint="eastAsia"/>
          <w:color w:val="auto"/>
        </w:rPr>
        <w:t>4</w:t>
      </w:r>
      <w:r>
        <w:rPr>
          <w:color w:val="auto"/>
        </w:rPr>
        <w:t>.3-2。</w:t>
      </w:r>
    </w:p>
    <w:p>
      <w:pPr>
        <w:pStyle w:val="48"/>
        <w:rPr>
          <w:bCs/>
          <w:color w:val="auto"/>
        </w:rPr>
      </w:pPr>
      <w:r>
        <w:rPr>
          <w:bCs/>
          <w:color w:val="auto"/>
        </w:rPr>
        <w:t>表</w:t>
      </w:r>
      <w:r>
        <w:rPr>
          <w:rFonts w:hint="eastAsia"/>
          <w:bCs/>
          <w:color w:val="auto"/>
        </w:rPr>
        <w:t>4</w:t>
      </w:r>
      <w:r>
        <w:rPr>
          <w:bCs/>
          <w:color w:val="auto"/>
        </w:rPr>
        <w:t>.3-2 监测项目分析方法</w:t>
      </w:r>
    </w:p>
    <w:tbl>
      <w:tblPr>
        <w:tblStyle w:val="2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2"/>
        <w:gridCol w:w="1572"/>
        <w:gridCol w:w="3201"/>
        <w:gridCol w:w="1763"/>
        <w:gridCol w:w="1112"/>
        <w:gridCol w:w="10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87" w:type="pct"/>
            <w:vAlign w:val="center"/>
          </w:tcPr>
          <w:p>
            <w:pPr>
              <w:tabs>
                <w:tab w:val="center" w:pos="4153"/>
                <w:tab w:val="right" w:pos="8306"/>
              </w:tabs>
              <w:snapToGrid w:val="0"/>
              <w:spacing w:line="312" w:lineRule="exact"/>
              <w:ind w:firstLine="0" w:firstLineChars="0"/>
              <w:jc w:val="center"/>
              <w:rPr>
                <w:b/>
                <w:bCs/>
                <w:color w:val="auto"/>
                <w:sz w:val="21"/>
                <w:szCs w:val="21"/>
              </w:rPr>
            </w:pPr>
            <w:r>
              <w:rPr>
                <w:b/>
                <w:bCs/>
                <w:color w:val="auto"/>
                <w:sz w:val="21"/>
                <w:szCs w:val="21"/>
              </w:rPr>
              <w:t>序号</w:t>
            </w:r>
          </w:p>
        </w:tc>
        <w:tc>
          <w:tcPr>
            <w:tcW w:w="846" w:type="pct"/>
            <w:vAlign w:val="center"/>
          </w:tcPr>
          <w:p>
            <w:pPr>
              <w:tabs>
                <w:tab w:val="center" w:pos="4153"/>
                <w:tab w:val="right" w:pos="8306"/>
              </w:tabs>
              <w:snapToGrid w:val="0"/>
              <w:spacing w:line="312" w:lineRule="exact"/>
              <w:ind w:firstLine="0" w:firstLineChars="0"/>
              <w:jc w:val="center"/>
              <w:rPr>
                <w:b/>
                <w:bCs/>
                <w:color w:val="auto"/>
                <w:sz w:val="21"/>
                <w:szCs w:val="21"/>
              </w:rPr>
            </w:pPr>
            <w:r>
              <w:rPr>
                <w:b/>
                <w:bCs/>
                <w:color w:val="auto"/>
                <w:sz w:val="21"/>
                <w:szCs w:val="21"/>
              </w:rPr>
              <w:t>监测项目</w:t>
            </w:r>
          </w:p>
        </w:tc>
        <w:tc>
          <w:tcPr>
            <w:tcW w:w="1724" w:type="pct"/>
            <w:vAlign w:val="center"/>
          </w:tcPr>
          <w:p>
            <w:pPr>
              <w:tabs>
                <w:tab w:val="center" w:pos="4153"/>
                <w:tab w:val="right" w:pos="8306"/>
              </w:tabs>
              <w:snapToGrid w:val="0"/>
              <w:spacing w:line="312" w:lineRule="exact"/>
              <w:ind w:firstLine="0" w:firstLineChars="0"/>
              <w:jc w:val="center"/>
              <w:rPr>
                <w:b/>
                <w:bCs/>
                <w:color w:val="auto"/>
                <w:sz w:val="21"/>
                <w:szCs w:val="21"/>
              </w:rPr>
            </w:pPr>
            <w:r>
              <w:rPr>
                <w:b/>
                <w:bCs/>
                <w:color w:val="auto"/>
                <w:sz w:val="21"/>
                <w:szCs w:val="21"/>
              </w:rPr>
              <w:t>检测依据</w:t>
            </w:r>
          </w:p>
        </w:tc>
        <w:tc>
          <w:tcPr>
            <w:tcW w:w="949" w:type="pct"/>
            <w:vAlign w:val="center"/>
          </w:tcPr>
          <w:p>
            <w:pPr>
              <w:tabs>
                <w:tab w:val="center" w:pos="4153"/>
                <w:tab w:val="right" w:pos="8306"/>
              </w:tabs>
              <w:snapToGrid w:val="0"/>
              <w:spacing w:line="312" w:lineRule="exact"/>
              <w:ind w:firstLine="0" w:firstLineChars="0"/>
              <w:jc w:val="center"/>
              <w:rPr>
                <w:b/>
                <w:bCs/>
                <w:color w:val="auto"/>
                <w:sz w:val="21"/>
                <w:szCs w:val="21"/>
              </w:rPr>
            </w:pPr>
            <w:r>
              <w:rPr>
                <w:b/>
                <w:bCs/>
                <w:color w:val="auto"/>
                <w:sz w:val="21"/>
                <w:szCs w:val="21"/>
              </w:rPr>
              <w:t>检测设备</w:t>
            </w:r>
          </w:p>
        </w:tc>
        <w:tc>
          <w:tcPr>
            <w:tcW w:w="599" w:type="pct"/>
            <w:vAlign w:val="center"/>
          </w:tcPr>
          <w:p>
            <w:pPr>
              <w:tabs>
                <w:tab w:val="center" w:pos="4153"/>
                <w:tab w:val="right" w:pos="8306"/>
              </w:tabs>
              <w:snapToGrid w:val="0"/>
              <w:spacing w:line="312" w:lineRule="exact"/>
              <w:ind w:firstLine="0" w:firstLineChars="0"/>
              <w:jc w:val="center"/>
              <w:rPr>
                <w:b/>
                <w:bCs/>
                <w:color w:val="auto"/>
                <w:sz w:val="21"/>
                <w:szCs w:val="21"/>
              </w:rPr>
            </w:pPr>
            <w:r>
              <w:rPr>
                <w:b/>
                <w:bCs/>
                <w:color w:val="auto"/>
                <w:sz w:val="21"/>
                <w:szCs w:val="21"/>
              </w:rPr>
              <w:t>设备编号</w:t>
            </w:r>
          </w:p>
        </w:tc>
        <w:tc>
          <w:tcPr>
            <w:tcW w:w="592" w:type="pct"/>
            <w:vAlign w:val="center"/>
          </w:tcPr>
          <w:p>
            <w:pPr>
              <w:tabs>
                <w:tab w:val="center" w:pos="4153"/>
                <w:tab w:val="right" w:pos="8306"/>
              </w:tabs>
              <w:snapToGrid w:val="0"/>
              <w:spacing w:line="312" w:lineRule="exact"/>
              <w:ind w:firstLine="0" w:firstLineChars="0"/>
              <w:jc w:val="center"/>
              <w:rPr>
                <w:b/>
                <w:bCs/>
                <w:color w:val="auto"/>
                <w:sz w:val="21"/>
                <w:szCs w:val="21"/>
              </w:rPr>
            </w:pPr>
            <w:r>
              <w:rPr>
                <w:b/>
                <w:bCs/>
                <w:color w:val="auto"/>
                <w:sz w:val="21"/>
                <w:szCs w:val="21"/>
              </w:rPr>
              <w:t>检出限</w:t>
            </w:r>
            <w:r>
              <w:rPr>
                <w:rFonts w:hint="eastAsia"/>
                <w:b/>
                <w:bCs/>
                <w:color w:val="auto"/>
                <w:sz w:val="21"/>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1</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色度</w:t>
            </w:r>
          </w:p>
        </w:tc>
        <w:tc>
          <w:tcPr>
            <w:tcW w:w="1724" w:type="pct"/>
            <w:vAlign w:val="center"/>
          </w:tcPr>
          <w:p>
            <w:pPr>
              <w:widowControl/>
              <w:spacing w:line="312" w:lineRule="exact"/>
              <w:ind w:firstLine="0" w:firstLineChars="0"/>
              <w:jc w:val="center"/>
              <w:rPr>
                <w:color w:val="auto"/>
                <w:sz w:val="21"/>
                <w:szCs w:val="21"/>
              </w:rPr>
            </w:pPr>
            <w:r>
              <w:rPr>
                <w:color w:val="auto"/>
                <w:sz w:val="21"/>
                <w:szCs w:val="21"/>
              </w:rPr>
              <w:t>GB/T 5750.4-2006 生活饮用水标准检验方法 感官性状和物理指标 （1.1铂-钴标准比色法）</w:t>
            </w:r>
          </w:p>
        </w:tc>
        <w:tc>
          <w:tcPr>
            <w:tcW w:w="949" w:type="pct"/>
            <w:vAlign w:val="center"/>
          </w:tcPr>
          <w:p>
            <w:pPr>
              <w:spacing w:line="312" w:lineRule="exact"/>
              <w:ind w:firstLine="0" w:firstLineChars="0"/>
              <w:jc w:val="center"/>
              <w:rPr>
                <w:color w:val="auto"/>
                <w:sz w:val="21"/>
                <w:szCs w:val="21"/>
              </w:rPr>
            </w:pPr>
            <w:r>
              <w:rPr>
                <w:color w:val="auto"/>
                <w:sz w:val="21"/>
                <w:szCs w:val="21"/>
              </w:rPr>
              <w:t>/</w:t>
            </w:r>
          </w:p>
        </w:tc>
        <w:tc>
          <w:tcPr>
            <w:tcW w:w="599" w:type="pct"/>
            <w:vAlign w:val="center"/>
          </w:tcPr>
          <w:p>
            <w:pPr>
              <w:spacing w:line="312" w:lineRule="exact"/>
              <w:ind w:firstLine="0" w:firstLineChars="0"/>
              <w:jc w:val="center"/>
              <w:rPr>
                <w:color w:val="auto"/>
                <w:sz w:val="21"/>
                <w:szCs w:val="21"/>
              </w:rPr>
            </w:pPr>
            <w:r>
              <w:rPr>
                <w:color w:val="auto"/>
                <w:sz w:val="21"/>
                <w:szCs w:val="21"/>
              </w:rPr>
              <w:t>/</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2</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嗅和味</w:t>
            </w:r>
          </w:p>
        </w:tc>
        <w:tc>
          <w:tcPr>
            <w:tcW w:w="1724" w:type="pct"/>
            <w:vAlign w:val="center"/>
          </w:tcPr>
          <w:p>
            <w:pPr>
              <w:widowControl/>
              <w:spacing w:line="312" w:lineRule="exact"/>
              <w:ind w:firstLine="0" w:firstLineChars="0"/>
              <w:jc w:val="center"/>
              <w:rPr>
                <w:color w:val="auto"/>
                <w:sz w:val="21"/>
                <w:szCs w:val="21"/>
              </w:rPr>
            </w:pPr>
            <w:r>
              <w:rPr>
                <w:color w:val="auto"/>
                <w:sz w:val="21"/>
                <w:szCs w:val="21"/>
              </w:rPr>
              <w:t>GB/T 5750.4-2006 生活饮用水标准检验方法 感官性状和物理指标(3.1 臭 嗅气法）</w:t>
            </w:r>
          </w:p>
        </w:tc>
        <w:tc>
          <w:tcPr>
            <w:tcW w:w="949" w:type="pct"/>
            <w:vAlign w:val="center"/>
          </w:tcPr>
          <w:p>
            <w:pPr>
              <w:spacing w:line="312" w:lineRule="exact"/>
              <w:ind w:firstLine="0" w:firstLineChars="0"/>
              <w:jc w:val="center"/>
              <w:rPr>
                <w:color w:val="auto"/>
                <w:sz w:val="21"/>
                <w:szCs w:val="21"/>
              </w:rPr>
            </w:pPr>
            <w:r>
              <w:rPr>
                <w:color w:val="auto"/>
                <w:sz w:val="21"/>
                <w:szCs w:val="21"/>
              </w:rPr>
              <w:t>DZS-706 多参数系列分析仪</w:t>
            </w:r>
          </w:p>
        </w:tc>
        <w:tc>
          <w:tcPr>
            <w:tcW w:w="599" w:type="pct"/>
            <w:vAlign w:val="center"/>
          </w:tcPr>
          <w:p>
            <w:pPr>
              <w:spacing w:line="312" w:lineRule="exact"/>
              <w:ind w:firstLine="0" w:firstLineChars="0"/>
              <w:jc w:val="center"/>
              <w:rPr>
                <w:color w:val="auto"/>
                <w:sz w:val="21"/>
                <w:szCs w:val="21"/>
              </w:rPr>
            </w:pPr>
            <w:r>
              <w:rPr>
                <w:color w:val="auto"/>
                <w:sz w:val="21"/>
                <w:szCs w:val="21"/>
              </w:rPr>
              <w:t>DT/C-031</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3</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浑浊度</w:t>
            </w:r>
          </w:p>
        </w:tc>
        <w:tc>
          <w:tcPr>
            <w:tcW w:w="1724" w:type="pct"/>
            <w:vAlign w:val="center"/>
          </w:tcPr>
          <w:p>
            <w:pPr>
              <w:widowControl/>
              <w:spacing w:line="312" w:lineRule="exact"/>
              <w:ind w:firstLine="0" w:firstLineChars="0"/>
              <w:jc w:val="center"/>
              <w:rPr>
                <w:color w:val="auto"/>
                <w:sz w:val="21"/>
                <w:szCs w:val="21"/>
              </w:rPr>
            </w:pPr>
            <w:r>
              <w:rPr>
                <w:color w:val="auto"/>
                <w:sz w:val="21"/>
                <w:szCs w:val="21"/>
              </w:rPr>
              <w:t>HJ 1075-2019 水质 浊度的测定 浊度计法</w:t>
            </w:r>
          </w:p>
        </w:tc>
        <w:tc>
          <w:tcPr>
            <w:tcW w:w="949" w:type="pct"/>
            <w:vAlign w:val="center"/>
          </w:tcPr>
          <w:p>
            <w:pPr>
              <w:spacing w:line="312" w:lineRule="exact"/>
              <w:ind w:firstLine="0" w:firstLineChars="0"/>
              <w:jc w:val="center"/>
              <w:rPr>
                <w:color w:val="auto"/>
                <w:sz w:val="21"/>
                <w:szCs w:val="21"/>
              </w:rPr>
            </w:pPr>
            <w:r>
              <w:rPr>
                <w:color w:val="auto"/>
                <w:sz w:val="21"/>
                <w:szCs w:val="21"/>
              </w:rPr>
              <w:t>WGZ-1A 浊度计</w:t>
            </w:r>
          </w:p>
        </w:tc>
        <w:tc>
          <w:tcPr>
            <w:tcW w:w="599" w:type="pct"/>
            <w:vAlign w:val="center"/>
          </w:tcPr>
          <w:p>
            <w:pPr>
              <w:spacing w:line="312" w:lineRule="exact"/>
              <w:ind w:firstLine="0" w:firstLineChars="0"/>
              <w:jc w:val="center"/>
              <w:rPr>
                <w:color w:val="auto"/>
                <w:sz w:val="21"/>
                <w:szCs w:val="21"/>
              </w:rPr>
            </w:pPr>
            <w:r>
              <w:rPr>
                <w:color w:val="auto"/>
                <w:sz w:val="21"/>
                <w:szCs w:val="21"/>
              </w:rPr>
              <w:t>DT/J-023</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0.3NTU</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4</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肉眼可见物</w:t>
            </w:r>
          </w:p>
        </w:tc>
        <w:tc>
          <w:tcPr>
            <w:tcW w:w="1724" w:type="pct"/>
            <w:vAlign w:val="center"/>
          </w:tcPr>
          <w:p>
            <w:pPr>
              <w:widowControl/>
              <w:spacing w:line="312" w:lineRule="exact"/>
              <w:ind w:firstLine="0" w:firstLineChars="0"/>
              <w:jc w:val="center"/>
              <w:rPr>
                <w:color w:val="auto"/>
                <w:sz w:val="21"/>
                <w:szCs w:val="21"/>
              </w:rPr>
            </w:pPr>
            <w:r>
              <w:rPr>
                <w:color w:val="auto"/>
                <w:sz w:val="21"/>
                <w:szCs w:val="21"/>
              </w:rPr>
              <w:t>GB/T 5750.4-2006 生活饮用水标准检验方法 感官指标和物理指标 （4.1 直接观察法）</w:t>
            </w:r>
          </w:p>
        </w:tc>
        <w:tc>
          <w:tcPr>
            <w:tcW w:w="949" w:type="pct"/>
            <w:vAlign w:val="center"/>
          </w:tcPr>
          <w:p>
            <w:pPr>
              <w:spacing w:line="312" w:lineRule="exact"/>
              <w:ind w:firstLine="0" w:firstLineChars="0"/>
              <w:jc w:val="center"/>
              <w:rPr>
                <w:color w:val="auto"/>
                <w:sz w:val="21"/>
                <w:szCs w:val="21"/>
              </w:rPr>
            </w:pPr>
            <w:r>
              <w:rPr>
                <w:color w:val="auto"/>
                <w:sz w:val="21"/>
                <w:szCs w:val="21"/>
              </w:rPr>
              <w:t>/</w:t>
            </w:r>
          </w:p>
        </w:tc>
        <w:tc>
          <w:tcPr>
            <w:tcW w:w="599" w:type="pct"/>
            <w:vAlign w:val="center"/>
          </w:tcPr>
          <w:p>
            <w:pPr>
              <w:spacing w:line="312" w:lineRule="exact"/>
              <w:ind w:firstLine="0" w:firstLineChars="0"/>
              <w:jc w:val="center"/>
              <w:rPr>
                <w:color w:val="auto"/>
                <w:sz w:val="21"/>
                <w:szCs w:val="21"/>
              </w:rPr>
            </w:pPr>
            <w:r>
              <w:rPr>
                <w:color w:val="auto"/>
                <w:sz w:val="21"/>
                <w:szCs w:val="21"/>
              </w:rPr>
              <w:t>/</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5</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pH</w:t>
            </w:r>
          </w:p>
        </w:tc>
        <w:tc>
          <w:tcPr>
            <w:tcW w:w="1724" w:type="pct"/>
            <w:vAlign w:val="center"/>
          </w:tcPr>
          <w:p>
            <w:pPr>
              <w:widowControl/>
              <w:spacing w:line="312" w:lineRule="exact"/>
              <w:ind w:firstLine="0" w:firstLineChars="0"/>
              <w:jc w:val="center"/>
              <w:rPr>
                <w:color w:val="auto"/>
                <w:sz w:val="21"/>
                <w:szCs w:val="21"/>
              </w:rPr>
            </w:pPr>
            <w:r>
              <w:rPr>
                <w:color w:val="auto"/>
                <w:sz w:val="21"/>
                <w:szCs w:val="21"/>
              </w:rPr>
              <w:t>HJ 1147-2020 水质 pH值的测定 电极法</w:t>
            </w:r>
          </w:p>
        </w:tc>
        <w:tc>
          <w:tcPr>
            <w:tcW w:w="949" w:type="pct"/>
            <w:vAlign w:val="center"/>
          </w:tcPr>
          <w:p>
            <w:pPr>
              <w:spacing w:line="312" w:lineRule="exact"/>
              <w:ind w:firstLine="0" w:firstLineChars="0"/>
              <w:jc w:val="center"/>
              <w:rPr>
                <w:color w:val="auto"/>
                <w:sz w:val="21"/>
                <w:szCs w:val="21"/>
              </w:rPr>
            </w:pPr>
            <w:r>
              <w:rPr>
                <w:color w:val="auto"/>
                <w:sz w:val="21"/>
                <w:szCs w:val="21"/>
              </w:rPr>
              <w:t>PHB-05 便携式pH计</w:t>
            </w:r>
          </w:p>
        </w:tc>
        <w:tc>
          <w:tcPr>
            <w:tcW w:w="599" w:type="pct"/>
            <w:vAlign w:val="center"/>
          </w:tcPr>
          <w:p>
            <w:pPr>
              <w:spacing w:line="312" w:lineRule="exact"/>
              <w:ind w:firstLine="0" w:firstLineChars="0"/>
              <w:jc w:val="center"/>
              <w:rPr>
                <w:color w:val="auto"/>
                <w:sz w:val="21"/>
                <w:szCs w:val="21"/>
              </w:rPr>
            </w:pPr>
            <w:r>
              <w:rPr>
                <w:color w:val="auto"/>
                <w:sz w:val="21"/>
                <w:szCs w:val="21"/>
              </w:rPr>
              <w:t>DT/C-049</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6</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总硬度</w:t>
            </w:r>
          </w:p>
        </w:tc>
        <w:tc>
          <w:tcPr>
            <w:tcW w:w="1724" w:type="pct"/>
            <w:vAlign w:val="center"/>
          </w:tcPr>
          <w:p>
            <w:pPr>
              <w:widowControl/>
              <w:spacing w:line="312" w:lineRule="exact"/>
              <w:ind w:firstLine="0" w:firstLineChars="0"/>
              <w:jc w:val="center"/>
              <w:rPr>
                <w:color w:val="auto"/>
                <w:sz w:val="21"/>
                <w:szCs w:val="21"/>
              </w:rPr>
            </w:pPr>
            <w:r>
              <w:rPr>
                <w:color w:val="auto"/>
                <w:kern w:val="0"/>
                <w:sz w:val="21"/>
                <w:szCs w:val="21"/>
              </w:rPr>
              <w:t>GB/T 5750.4-2006 生活饮用水标准检验方法 感官性状和物理指标（7.1 总硬度 乙二胺四乙酸二钠滴定法）</w:t>
            </w:r>
          </w:p>
        </w:tc>
        <w:tc>
          <w:tcPr>
            <w:tcW w:w="949" w:type="pct"/>
            <w:vAlign w:val="center"/>
          </w:tcPr>
          <w:p>
            <w:pPr>
              <w:spacing w:line="312" w:lineRule="exact"/>
              <w:ind w:firstLine="0" w:firstLineChars="0"/>
              <w:jc w:val="center"/>
              <w:rPr>
                <w:color w:val="auto"/>
                <w:sz w:val="21"/>
                <w:szCs w:val="21"/>
              </w:rPr>
            </w:pPr>
            <w:r>
              <w:rPr>
                <w:color w:val="auto"/>
                <w:sz w:val="21"/>
                <w:szCs w:val="21"/>
              </w:rPr>
              <w:t>50ml酸式滴定管</w:t>
            </w:r>
          </w:p>
        </w:tc>
        <w:tc>
          <w:tcPr>
            <w:tcW w:w="599" w:type="pct"/>
            <w:vAlign w:val="center"/>
          </w:tcPr>
          <w:p>
            <w:pPr>
              <w:spacing w:line="312" w:lineRule="exact"/>
              <w:ind w:firstLine="0" w:firstLineChars="0"/>
              <w:jc w:val="center"/>
              <w:rPr>
                <w:color w:val="auto"/>
                <w:sz w:val="21"/>
                <w:szCs w:val="21"/>
              </w:rPr>
            </w:pPr>
            <w:r>
              <w:rPr>
                <w:color w:val="auto"/>
                <w:sz w:val="21"/>
                <w:szCs w:val="21"/>
              </w:rPr>
              <w:t>DT/B-002</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7</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溶解性总固体</w:t>
            </w:r>
          </w:p>
        </w:tc>
        <w:tc>
          <w:tcPr>
            <w:tcW w:w="1724" w:type="pct"/>
            <w:vAlign w:val="center"/>
          </w:tcPr>
          <w:p>
            <w:pPr>
              <w:widowControl/>
              <w:spacing w:line="312" w:lineRule="exact"/>
              <w:ind w:firstLine="0" w:firstLineChars="0"/>
              <w:jc w:val="center"/>
              <w:rPr>
                <w:color w:val="auto"/>
                <w:sz w:val="21"/>
                <w:szCs w:val="21"/>
              </w:rPr>
            </w:pPr>
            <w:r>
              <w:rPr>
                <w:color w:val="auto"/>
                <w:kern w:val="0"/>
                <w:sz w:val="21"/>
                <w:szCs w:val="21"/>
              </w:rPr>
              <w:t>GB/T 5750.4-2006 生活饮用水标准检验方法 感官性状和物理指标（8.1 溶解性总固体 称重法）</w:t>
            </w:r>
          </w:p>
        </w:tc>
        <w:tc>
          <w:tcPr>
            <w:tcW w:w="949" w:type="pct"/>
            <w:vAlign w:val="center"/>
          </w:tcPr>
          <w:p>
            <w:pPr>
              <w:spacing w:line="312" w:lineRule="exact"/>
              <w:ind w:firstLine="0" w:firstLineChars="0"/>
              <w:jc w:val="center"/>
              <w:rPr>
                <w:color w:val="auto"/>
                <w:sz w:val="21"/>
                <w:szCs w:val="21"/>
              </w:rPr>
            </w:pPr>
            <w:r>
              <w:rPr>
                <w:color w:val="auto"/>
                <w:sz w:val="21"/>
                <w:szCs w:val="21"/>
              </w:rPr>
              <w:t>FA124 电子天平</w:t>
            </w:r>
          </w:p>
        </w:tc>
        <w:tc>
          <w:tcPr>
            <w:tcW w:w="599" w:type="pct"/>
            <w:vAlign w:val="center"/>
          </w:tcPr>
          <w:p>
            <w:pPr>
              <w:spacing w:line="312" w:lineRule="exact"/>
              <w:ind w:firstLine="0" w:firstLineChars="0"/>
              <w:jc w:val="center"/>
              <w:rPr>
                <w:color w:val="auto"/>
                <w:sz w:val="21"/>
                <w:szCs w:val="21"/>
              </w:rPr>
            </w:pPr>
            <w:r>
              <w:rPr>
                <w:color w:val="auto"/>
                <w:sz w:val="21"/>
                <w:szCs w:val="21"/>
              </w:rPr>
              <w:t>DT/J-053</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8</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硫酸盐</w:t>
            </w:r>
          </w:p>
        </w:tc>
        <w:tc>
          <w:tcPr>
            <w:tcW w:w="1724" w:type="pct"/>
            <w:vMerge w:val="restart"/>
            <w:vAlign w:val="center"/>
          </w:tcPr>
          <w:p>
            <w:pPr>
              <w:widowControl/>
              <w:spacing w:line="312" w:lineRule="exact"/>
              <w:ind w:firstLine="0" w:firstLineChars="0"/>
              <w:jc w:val="center"/>
              <w:rPr>
                <w:color w:val="auto"/>
                <w:sz w:val="21"/>
                <w:szCs w:val="21"/>
              </w:rPr>
            </w:pPr>
            <w:r>
              <w:rPr>
                <w:color w:val="auto"/>
                <w:kern w:val="0"/>
                <w:sz w:val="21"/>
                <w:szCs w:val="21"/>
              </w:rPr>
              <w:t>HJ 84-2016 水质 无机阴离子（F</w:t>
            </w:r>
            <w:r>
              <w:rPr>
                <w:color w:val="auto"/>
                <w:kern w:val="0"/>
                <w:sz w:val="21"/>
                <w:szCs w:val="21"/>
                <w:vertAlign w:val="superscript"/>
              </w:rPr>
              <w:t>-</w:t>
            </w:r>
            <w:r>
              <w:rPr>
                <w:color w:val="auto"/>
                <w:kern w:val="0"/>
                <w:sz w:val="21"/>
                <w:szCs w:val="21"/>
              </w:rPr>
              <w:t>、Cl</w:t>
            </w:r>
            <w:r>
              <w:rPr>
                <w:color w:val="auto"/>
                <w:kern w:val="0"/>
                <w:sz w:val="21"/>
                <w:szCs w:val="21"/>
                <w:vertAlign w:val="superscript"/>
              </w:rPr>
              <w:t>-</w:t>
            </w:r>
            <w:r>
              <w:rPr>
                <w:color w:val="auto"/>
                <w:kern w:val="0"/>
                <w:sz w:val="21"/>
                <w:szCs w:val="21"/>
              </w:rPr>
              <w:t>、NO</w:t>
            </w:r>
            <w:r>
              <w:rPr>
                <w:color w:val="auto"/>
                <w:kern w:val="0"/>
                <w:sz w:val="21"/>
                <w:szCs w:val="21"/>
                <w:vertAlign w:val="subscript"/>
              </w:rPr>
              <w:t>2</w:t>
            </w:r>
            <w:r>
              <w:rPr>
                <w:color w:val="auto"/>
                <w:kern w:val="0"/>
                <w:sz w:val="21"/>
                <w:szCs w:val="21"/>
                <w:vertAlign w:val="superscript"/>
              </w:rPr>
              <w:t>-</w:t>
            </w:r>
            <w:r>
              <w:rPr>
                <w:color w:val="auto"/>
                <w:kern w:val="0"/>
                <w:sz w:val="21"/>
                <w:szCs w:val="21"/>
              </w:rPr>
              <w:t>、Br</w:t>
            </w:r>
            <w:r>
              <w:rPr>
                <w:color w:val="auto"/>
                <w:kern w:val="0"/>
                <w:sz w:val="21"/>
                <w:szCs w:val="21"/>
                <w:vertAlign w:val="superscript"/>
              </w:rPr>
              <w:t>-</w:t>
            </w:r>
            <w:r>
              <w:rPr>
                <w:color w:val="auto"/>
                <w:kern w:val="0"/>
                <w:sz w:val="21"/>
                <w:szCs w:val="21"/>
              </w:rPr>
              <w:t>、NO</w:t>
            </w:r>
            <w:r>
              <w:rPr>
                <w:color w:val="auto"/>
                <w:kern w:val="0"/>
                <w:sz w:val="21"/>
                <w:szCs w:val="21"/>
                <w:vertAlign w:val="subscript"/>
              </w:rPr>
              <w:t>3</w:t>
            </w:r>
            <w:r>
              <w:rPr>
                <w:color w:val="auto"/>
                <w:kern w:val="0"/>
                <w:sz w:val="21"/>
                <w:szCs w:val="21"/>
                <w:vertAlign w:val="superscript"/>
              </w:rPr>
              <w:t>-</w:t>
            </w:r>
            <w:r>
              <w:rPr>
                <w:color w:val="auto"/>
                <w:kern w:val="0"/>
                <w:sz w:val="21"/>
                <w:szCs w:val="21"/>
              </w:rPr>
              <w:t>、PO</w:t>
            </w:r>
            <w:r>
              <w:rPr>
                <w:color w:val="auto"/>
                <w:kern w:val="0"/>
                <w:sz w:val="21"/>
                <w:szCs w:val="21"/>
                <w:vertAlign w:val="subscript"/>
              </w:rPr>
              <w:t>4</w:t>
            </w:r>
            <w:r>
              <w:rPr>
                <w:color w:val="auto"/>
                <w:kern w:val="0"/>
                <w:sz w:val="21"/>
                <w:szCs w:val="21"/>
                <w:vertAlign w:val="superscript"/>
              </w:rPr>
              <w:t>3-</w:t>
            </w:r>
            <w:r>
              <w:rPr>
                <w:color w:val="auto"/>
                <w:kern w:val="0"/>
                <w:sz w:val="21"/>
                <w:szCs w:val="21"/>
              </w:rPr>
              <w:t>、SO</w:t>
            </w:r>
            <w:r>
              <w:rPr>
                <w:color w:val="auto"/>
                <w:kern w:val="0"/>
                <w:sz w:val="21"/>
                <w:szCs w:val="21"/>
                <w:vertAlign w:val="subscript"/>
              </w:rPr>
              <w:t>3</w:t>
            </w:r>
            <w:r>
              <w:rPr>
                <w:color w:val="auto"/>
                <w:kern w:val="0"/>
                <w:sz w:val="21"/>
                <w:szCs w:val="21"/>
                <w:vertAlign w:val="superscript"/>
              </w:rPr>
              <w:t>2-</w:t>
            </w:r>
            <w:r>
              <w:rPr>
                <w:color w:val="auto"/>
                <w:kern w:val="0"/>
                <w:sz w:val="21"/>
                <w:szCs w:val="21"/>
              </w:rPr>
              <w:t>、SO</w:t>
            </w:r>
            <w:r>
              <w:rPr>
                <w:color w:val="auto"/>
                <w:kern w:val="0"/>
                <w:sz w:val="21"/>
                <w:szCs w:val="21"/>
                <w:vertAlign w:val="subscript"/>
              </w:rPr>
              <w:t>4</w:t>
            </w:r>
            <w:r>
              <w:rPr>
                <w:color w:val="auto"/>
                <w:kern w:val="0"/>
                <w:sz w:val="21"/>
                <w:szCs w:val="21"/>
                <w:vertAlign w:val="superscript"/>
              </w:rPr>
              <w:t>2-</w:t>
            </w:r>
            <w:r>
              <w:rPr>
                <w:color w:val="auto"/>
                <w:kern w:val="0"/>
                <w:sz w:val="21"/>
                <w:szCs w:val="21"/>
              </w:rPr>
              <w:t>）的测定 离子色谱法</w:t>
            </w:r>
          </w:p>
        </w:tc>
        <w:tc>
          <w:tcPr>
            <w:tcW w:w="949" w:type="pct"/>
            <w:vMerge w:val="restart"/>
            <w:vAlign w:val="center"/>
          </w:tcPr>
          <w:p>
            <w:pPr>
              <w:spacing w:line="312" w:lineRule="exact"/>
              <w:ind w:firstLine="0" w:firstLineChars="0"/>
              <w:jc w:val="center"/>
              <w:rPr>
                <w:color w:val="auto"/>
                <w:sz w:val="21"/>
                <w:szCs w:val="21"/>
              </w:rPr>
            </w:pPr>
            <w:r>
              <w:rPr>
                <w:color w:val="auto"/>
                <w:sz w:val="21"/>
                <w:szCs w:val="21"/>
              </w:rPr>
              <w:t>CIC-D100 离子色谱仪</w:t>
            </w:r>
          </w:p>
        </w:tc>
        <w:tc>
          <w:tcPr>
            <w:tcW w:w="599" w:type="pct"/>
            <w:vMerge w:val="restart"/>
            <w:vAlign w:val="center"/>
          </w:tcPr>
          <w:p>
            <w:pPr>
              <w:spacing w:line="312" w:lineRule="exact"/>
              <w:ind w:firstLine="0" w:firstLineChars="0"/>
              <w:jc w:val="center"/>
              <w:rPr>
                <w:color w:val="auto"/>
                <w:sz w:val="21"/>
                <w:szCs w:val="21"/>
              </w:rPr>
            </w:pPr>
            <w:r>
              <w:rPr>
                <w:color w:val="auto"/>
                <w:sz w:val="21"/>
                <w:szCs w:val="21"/>
              </w:rPr>
              <w:t>DT/J-029-01</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0.018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9</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氯化物</w:t>
            </w:r>
          </w:p>
        </w:tc>
        <w:tc>
          <w:tcPr>
            <w:tcW w:w="1724" w:type="pct"/>
            <w:vMerge w:val="continue"/>
            <w:vAlign w:val="center"/>
          </w:tcPr>
          <w:p>
            <w:pPr>
              <w:spacing w:line="312" w:lineRule="exact"/>
              <w:ind w:firstLine="0" w:firstLineChars="0"/>
              <w:jc w:val="center"/>
              <w:rPr>
                <w:color w:val="auto"/>
                <w:sz w:val="21"/>
                <w:szCs w:val="21"/>
              </w:rPr>
            </w:pPr>
          </w:p>
        </w:tc>
        <w:tc>
          <w:tcPr>
            <w:tcW w:w="949" w:type="pct"/>
            <w:vMerge w:val="continue"/>
            <w:vAlign w:val="center"/>
          </w:tcPr>
          <w:p>
            <w:pPr>
              <w:spacing w:line="312" w:lineRule="exact"/>
              <w:ind w:firstLine="0" w:firstLineChars="0"/>
              <w:jc w:val="center"/>
              <w:rPr>
                <w:color w:val="auto"/>
                <w:sz w:val="21"/>
                <w:szCs w:val="21"/>
              </w:rPr>
            </w:pPr>
          </w:p>
        </w:tc>
        <w:tc>
          <w:tcPr>
            <w:tcW w:w="599" w:type="pct"/>
            <w:vMerge w:val="continue"/>
            <w:vAlign w:val="center"/>
          </w:tcPr>
          <w:p>
            <w:pPr>
              <w:spacing w:line="312" w:lineRule="exact"/>
              <w:ind w:firstLine="0" w:firstLineChars="0"/>
              <w:jc w:val="center"/>
              <w:rPr>
                <w:color w:val="auto"/>
                <w:sz w:val="21"/>
                <w:szCs w:val="21"/>
              </w:rPr>
            </w:pP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10</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铁</w:t>
            </w:r>
          </w:p>
        </w:tc>
        <w:tc>
          <w:tcPr>
            <w:tcW w:w="1724" w:type="pct"/>
            <w:vMerge w:val="restart"/>
            <w:vAlign w:val="center"/>
          </w:tcPr>
          <w:p>
            <w:pPr>
              <w:widowControl/>
              <w:spacing w:line="312" w:lineRule="exact"/>
              <w:ind w:firstLine="0" w:firstLineChars="0"/>
              <w:jc w:val="center"/>
              <w:rPr>
                <w:color w:val="auto"/>
                <w:sz w:val="21"/>
                <w:szCs w:val="21"/>
              </w:rPr>
            </w:pPr>
            <w:r>
              <w:rPr>
                <w:color w:val="auto"/>
                <w:kern w:val="0"/>
                <w:sz w:val="21"/>
                <w:szCs w:val="21"/>
              </w:rPr>
              <w:t>HJ 700-2014 水质 65种元素的测定 电感耦合等离子体质谱法</w:t>
            </w:r>
          </w:p>
        </w:tc>
        <w:tc>
          <w:tcPr>
            <w:tcW w:w="949" w:type="pct"/>
            <w:vMerge w:val="restart"/>
            <w:vAlign w:val="center"/>
          </w:tcPr>
          <w:p>
            <w:pPr>
              <w:spacing w:line="312" w:lineRule="exact"/>
              <w:ind w:firstLine="0" w:firstLineChars="0"/>
              <w:jc w:val="center"/>
              <w:rPr>
                <w:color w:val="auto"/>
                <w:sz w:val="21"/>
                <w:szCs w:val="21"/>
              </w:rPr>
            </w:pPr>
            <w:r>
              <w:rPr>
                <w:color w:val="auto"/>
                <w:sz w:val="21"/>
                <w:szCs w:val="21"/>
              </w:rPr>
              <w:t>Agilent 7850 ICP-MS 电感耦合等离子体质谱仪</w:t>
            </w:r>
          </w:p>
        </w:tc>
        <w:tc>
          <w:tcPr>
            <w:tcW w:w="599" w:type="pct"/>
            <w:vMerge w:val="restart"/>
            <w:vAlign w:val="center"/>
          </w:tcPr>
          <w:p>
            <w:pPr>
              <w:spacing w:line="312" w:lineRule="exact"/>
              <w:ind w:firstLine="0" w:firstLineChars="0"/>
              <w:jc w:val="center"/>
              <w:rPr>
                <w:color w:val="auto"/>
                <w:sz w:val="21"/>
                <w:szCs w:val="21"/>
              </w:rPr>
            </w:pPr>
            <w:r>
              <w:rPr>
                <w:color w:val="auto"/>
                <w:sz w:val="21"/>
                <w:szCs w:val="21"/>
              </w:rPr>
              <w:t>DT/J-045-01</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w:t>
            </w:r>
            <w:r>
              <w:rPr>
                <w:rFonts w:hint="eastAsia" w:eastAsia="华文仿宋"/>
                <w:color w:val="auto"/>
                <w:kern w:val="0"/>
                <w:sz w:val="21"/>
                <w:szCs w:val="21"/>
                <w:lang w:bidi="ar"/>
              </w:rPr>
              <w:t>000</w:t>
            </w:r>
            <w:r>
              <w:rPr>
                <w:rFonts w:eastAsia="华文仿宋"/>
                <w:color w:val="auto"/>
                <w:kern w:val="0"/>
                <w:sz w:val="21"/>
                <w:szCs w:val="21"/>
                <w:lang w:bidi="ar"/>
              </w:rPr>
              <w:t>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11</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锰</w:t>
            </w:r>
          </w:p>
        </w:tc>
        <w:tc>
          <w:tcPr>
            <w:tcW w:w="1724" w:type="pct"/>
            <w:vMerge w:val="continue"/>
            <w:vAlign w:val="center"/>
          </w:tcPr>
          <w:p>
            <w:pPr>
              <w:spacing w:line="312" w:lineRule="exact"/>
              <w:ind w:firstLine="0" w:firstLineChars="0"/>
              <w:jc w:val="center"/>
              <w:rPr>
                <w:color w:val="auto"/>
                <w:sz w:val="21"/>
                <w:szCs w:val="21"/>
              </w:rPr>
            </w:pPr>
          </w:p>
        </w:tc>
        <w:tc>
          <w:tcPr>
            <w:tcW w:w="949" w:type="pct"/>
            <w:vMerge w:val="continue"/>
            <w:vAlign w:val="center"/>
          </w:tcPr>
          <w:p>
            <w:pPr>
              <w:spacing w:line="312" w:lineRule="exact"/>
              <w:ind w:firstLine="0" w:firstLineChars="0"/>
              <w:jc w:val="center"/>
              <w:rPr>
                <w:color w:val="auto"/>
                <w:sz w:val="21"/>
                <w:szCs w:val="21"/>
              </w:rPr>
            </w:pPr>
          </w:p>
        </w:tc>
        <w:tc>
          <w:tcPr>
            <w:tcW w:w="599" w:type="pct"/>
            <w:vMerge w:val="continue"/>
            <w:vAlign w:val="center"/>
          </w:tcPr>
          <w:p>
            <w:pPr>
              <w:spacing w:line="312" w:lineRule="exact"/>
              <w:ind w:firstLine="0" w:firstLineChars="0"/>
              <w:jc w:val="center"/>
              <w:rPr>
                <w:color w:val="auto"/>
                <w:sz w:val="21"/>
                <w:szCs w:val="21"/>
              </w:rPr>
            </w:pP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w:t>
            </w:r>
            <w:r>
              <w:rPr>
                <w:rFonts w:hint="eastAsia" w:eastAsia="华文仿宋"/>
                <w:color w:val="auto"/>
                <w:kern w:val="0"/>
                <w:sz w:val="21"/>
                <w:szCs w:val="21"/>
                <w:lang w:bidi="ar"/>
              </w:rPr>
              <w:t>000</w:t>
            </w:r>
            <w:r>
              <w:rPr>
                <w:rFonts w:eastAsia="华文仿宋"/>
                <w:color w:val="auto"/>
                <w:kern w:val="0"/>
                <w:sz w:val="21"/>
                <w:szCs w:val="21"/>
                <w:lang w:bidi="ar"/>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12</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铜</w:t>
            </w:r>
          </w:p>
        </w:tc>
        <w:tc>
          <w:tcPr>
            <w:tcW w:w="1724" w:type="pct"/>
            <w:vMerge w:val="continue"/>
            <w:vAlign w:val="center"/>
          </w:tcPr>
          <w:p>
            <w:pPr>
              <w:widowControl/>
              <w:spacing w:line="312" w:lineRule="exact"/>
              <w:ind w:firstLine="0" w:firstLineChars="0"/>
              <w:jc w:val="center"/>
              <w:rPr>
                <w:color w:val="auto"/>
                <w:sz w:val="21"/>
                <w:szCs w:val="21"/>
              </w:rPr>
            </w:pPr>
          </w:p>
        </w:tc>
        <w:tc>
          <w:tcPr>
            <w:tcW w:w="949" w:type="pct"/>
            <w:vMerge w:val="continue"/>
            <w:vAlign w:val="center"/>
          </w:tcPr>
          <w:p>
            <w:pPr>
              <w:spacing w:line="312" w:lineRule="exact"/>
              <w:ind w:firstLine="0" w:firstLineChars="0"/>
              <w:jc w:val="center"/>
              <w:rPr>
                <w:color w:val="auto"/>
                <w:sz w:val="21"/>
                <w:szCs w:val="21"/>
              </w:rPr>
            </w:pPr>
          </w:p>
        </w:tc>
        <w:tc>
          <w:tcPr>
            <w:tcW w:w="599" w:type="pct"/>
            <w:vMerge w:val="continue"/>
            <w:vAlign w:val="center"/>
          </w:tcPr>
          <w:p>
            <w:pPr>
              <w:spacing w:line="312" w:lineRule="exact"/>
              <w:ind w:firstLine="0" w:firstLineChars="0"/>
              <w:jc w:val="center"/>
              <w:rPr>
                <w:color w:val="auto"/>
                <w:sz w:val="21"/>
                <w:szCs w:val="21"/>
              </w:rPr>
            </w:pP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0.0</w:t>
            </w:r>
            <w:r>
              <w:rPr>
                <w:rFonts w:hint="eastAsia" w:eastAsia="华文仿宋"/>
                <w:color w:val="auto"/>
                <w:kern w:val="0"/>
                <w:sz w:val="21"/>
                <w:szCs w:val="21"/>
                <w:lang w:bidi="ar"/>
              </w:rPr>
              <w:t>000</w:t>
            </w:r>
            <w:r>
              <w:rPr>
                <w:rFonts w:eastAsia="华文仿宋"/>
                <w:color w:val="auto"/>
                <w:kern w:val="0"/>
                <w:sz w:val="21"/>
                <w:szCs w:val="21"/>
                <w:lang w:bidi="ar"/>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13</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锌</w:t>
            </w:r>
          </w:p>
        </w:tc>
        <w:tc>
          <w:tcPr>
            <w:tcW w:w="1724" w:type="pct"/>
            <w:vMerge w:val="continue"/>
            <w:vAlign w:val="center"/>
          </w:tcPr>
          <w:p>
            <w:pPr>
              <w:widowControl/>
              <w:spacing w:line="312" w:lineRule="exact"/>
              <w:ind w:firstLine="0" w:firstLineChars="0"/>
              <w:jc w:val="center"/>
              <w:rPr>
                <w:color w:val="auto"/>
                <w:sz w:val="21"/>
                <w:szCs w:val="21"/>
              </w:rPr>
            </w:pPr>
          </w:p>
        </w:tc>
        <w:tc>
          <w:tcPr>
            <w:tcW w:w="949" w:type="pct"/>
            <w:vMerge w:val="continue"/>
            <w:vAlign w:val="center"/>
          </w:tcPr>
          <w:p>
            <w:pPr>
              <w:spacing w:line="312" w:lineRule="exact"/>
              <w:ind w:firstLine="0" w:firstLineChars="0"/>
              <w:jc w:val="center"/>
              <w:rPr>
                <w:color w:val="auto"/>
                <w:sz w:val="21"/>
                <w:szCs w:val="21"/>
              </w:rPr>
            </w:pPr>
          </w:p>
        </w:tc>
        <w:tc>
          <w:tcPr>
            <w:tcW w:w="599" w:type="pct"/>
            <w:vMerge w:val="continue"/>
            <w:vAlign w:val="center"/>
          </w:tcPr>
          <w:p>
            <w:pPr>
              <w:spacing w:line="312" w:lineRule="exact"/>
              <w:ind w:firstLine="0" w:firstLineChars="0"/>
              <w:jc w:val="center"/>
              <w:rPr>
                <w:color w:val="auto"/>
                <w:sz w:val="21"/>
                <w:szCs w:val="21"/>
              </w:rPr>
            </w:pP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w:t>
            </w:r>
            <w:r>
              <w:rPr>
                <w:rFonts w:hint="eastAsia" w:eastAsia="华文仿宋"/>
                <w:color w:val="auto"/>
                <w:kern w:val="0"/>
                <w:sz w:val="21"/>
                <w:szCs w:val="21"/>
                <w:lang w:bidi="ar"/>
              </w:rPr>
              <w:t>000</w:t>
            </w:r>
            <w:r>
              <w:rPr>
                <w:rFonts w:eastAsia="华文仿宋"/>
                <w:color w:val="auto"/>
                <w:kern w:val="0"/>
                <w:sz w:val="21"/>
                <w:szCs w:val="21"/>
                <w:lang w:bidi="ar"/>
              </w:rPr>
              <w:t>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14</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铝</w:t>
            </w:r>
          </w:p>
        </w:tc>
        <w:tc>
          <w:tcPr>
            <w:tcW w:w="1724" w:type="pct"/>
            <w:vMerge w:val="continue"/>
            <w:vAlign w:val="center"/>
          </w:tcPr>
          <w:p>
            <w:pPr>
              <w:widowControl/>
              <w:spacing w:line="312" w:lineRule="exact"/>
              <w:ind w:firstLine="0" w:firstLineChars="0"/>
              <w:jc w:val="center"/>
              <w:rPr>
                <w:color w:val="auto"/>
                <w:sz w:val="21"/>
                <w:szCs w:val="21"/>
              </w:rPr>
            </w:pPr>
          </w:p>
        </w:tc>
        <w:tc>
          <w:tcPr>
            <w:tcW w:w="949" w:type="pct"/>
            <w:vMerge w:val="continue"/>
            <w:vAlign w:val="center"/>
          </w:tcPr>
          <w:p>
            <w:pPr>
              <w:spacing w:line="312" w:lineRule="exact"/>
              <w:ind w:firstLine="0" w:firstLineChars="0"/>
              <w:jc w:val="center"/>
              <w:rPr>
                <w:color w:val="auto"/>
                <w:sz w:val="21"/>
                <w:szCs w:val="21"/>
              </w:rPr>
            </w:pPr>
          </w:p>
        </w:tc>
        <w:tc>
          <w:tcPr>
            <w:tcW w:w="599" w:type="pct"/>
            <w:vMerge w:val="continue"/>
            <w:vAlign w:val="center"/>
          </w:tcPr>
          <w:p>
            <w:pPr>
              <w:spacing w:line="312" w:lineRule="exact"/>
              <w:ind w:firstLine="0" w:firstLineChars="0"/>
              <w:jc w:val="center"/>
              <w:rPr>
                <w:color w:val="auto"/>
                <w:sz w:val="21"/>
                <w:szCs w:val="21"/>
              </w:rPr>
            </w:pPr>
          </w:p>
        </w:tc>
        <w:tc>
          <w:tcPr>
            <w:tcW w:w="592" w:type="pct"/>
            <w:vAlign w:val="center"/>
          </w:tcPr>
          <w:p>
            <w:pPr>
              <w:widowControl/>
              <w:ind w:firstLine="0" w:firstLineChars="0"/>
              <w:jc w:val="center"/>
              <w:textAlignment w:val="center"/>
              <w:rPr>
                <w:color w:val="auto"/>
                <w:sz w:val="21"/>
                <w:szCs w:val="21"/>
              </w:rPr>
            </w:pPr>
            <w:r>
              <w:rPr>
                <w:rFonts w:hint="eastAsia" w:eastAsia="华文仿宋"/>
                <w:color w:val="auto"/>
                <w:kern w:val="0"/>
                <w:sz w:val="21"/>
                <w:szCs w:val="21"/>
                <w:lang w:bidi="ar"/>
              </w:rPr>
              <w:t>0.0</w:t>
            </w:r>
            <w:r>
              <w:rPr>
                <w:rFonts w:eastAsia="华文仿宋"/>
                <w:color w:val="auto"/>
                <w:kern w:val="0"/>
                <w:sz w:val="21"/>
                <w:szCs w:val="21"/>
                <w:lang w:bidi="ar"/>
              </w:rPr>
              <w:t>115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15</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镉</w:t>
            </w:r>
          </w:p>
        </w:tc>
        <w:tc>
          <w:tcPr>
            <w:tcW w:w="1724" w:type="pct"/>
            <w:vMerge w:val="continue"/>
            <w:vAlign w:val="center"/>
          </w:tcPr>
          <w:p>
            <w:pPr>
              <w:widowControl/>
              <w:spacing w:line="312" w:lineRule="exact"/>
              <w:ind w:firstLine="0" w:firstLineChars="0"/>
              <w:jc w:val="center"/>
              <w:rPr>
                <w:color w:val="auto"/>
                <w:sz w:val="21"/>
                <w:szCs w:val="21"/>
              </w:rPr>
            </w:pPr>
          </w:p>
        </w:tc>
        <w:tc>
          <w:tcPr>
            <w:tcW w:w="949" w:type="pct"/>
            <w:vMerge w:val="continue"/>
            <w:vAlign w:val="center"/>
          </w:tcPr>
          <w:p>
            <w:pPr>
              <w:spacing w:line="312" w:lineRule="exact"/>
              <w:ind w:firstLine="0" w:firstLineChars="0"/>
              <w:jc w:val="center"/>
              <w:rPr>
                <w:color w:val="auto"/>
                <w:sz w:val="21"/>
                <w:szCs w:val="21"/>
              </w:rPr>
            </w:pPr>
          </w:p>
        </w:tc>
        <w:tc>
          <w:tcPr>
            <w:tcW w:w="599" w:type="pct"/>
            <w:vMerge w:val="continue"/>
            <w:vAlign w:val="center"/>
          </w:tcPr>
          <w:p>
            <w:pPr>
              <w:spacing w:line="312" w:lineRule="exact"/>
              <w:ind w:firstLine="0" w:firstLineChars="0"/>
              <w:jc w:val="center"/>
              <w:rPr>
                <w:color w:val="auto"/>
                <w:sz w:val="21"/>
                <w:szCs w:val="21"/>
              </w:rPr>
            </w:pP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w:t>
            </w:r>
            <w:r>
              <w:rPr>
                <w:rFonts w:hint="eastAsia" w:eastAsia="华文仿宋"/>
                <w:color w:val="auto"/>
                <w:kern w:val="0"/>
                <w:sz w:val="21"/>
                <w:szCs w:val="21"/>
                <w:lang w:bidi="ar"/>
              </w:rPr>
              <w:t>000</w:t>
            </w:r>
            <w:r>
              <w:rPr>
                <w:rFonts w:eastAsia="华文仿宋"/>
                <w:color w:val="auto"/>
                <w:kern w:val="0"/>
                <w:sz w:val="21"/>
                <w:szCs w:val="21"/>
                <w:lang w:bidi="ar"/>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16</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铅</w:t>
            </w:r>
          </w:p>
        </w:tc>
        <w:tc>
          <w:tcPr>
            <w:tcW w:w="1724" w:type="pct"/>
            <w:vMerge w:val="continue"/>
            <w:vAlign w:val="center"/>
          </w:tcPr>
          <w:p>
            <w:pPr>
              <w:spacing w:line="312" w:lineRule="exact"/>
              <w:ind w:firstLine="0" w:firstLineChars="0"/>
              <w:jc w:val="center"/>
              <w:rPr>
                <w:color w:val="auto"/>
                <w:sz w:val="21"/>
                <w:szCs w:val="21"/>
              </w:rPr>
            </w:pPr>
          </w:p>
        </w:tc>
        <w:tc>
          <w:tcPr>
            <w:tcW w:w="949" w:type="pct"/>
            <w:vMerge w:val="continue"/>
            <w:vAlign w:val="center"/>
          </w:tcPr>
          <w:p>
            <w:pPr>
              <w:spacing w:line="312" w:lineRule="exact"/>
              <w:ind w:firstLine="0" w:firstLineChars="0"/>
              <w:jc w:val="center"/>
              <w:rPr>
                <w:color w:val="auto"/>
                <w:sz w:val="21"/>
                <w:szCs w:val="21"/>
              </w:rPr>
            </w:pPr>
          </w:p>
        </w:tc>
        <w:tc>
          <w:tcPr>
            <w:tcW w:w="599" w:type="pct"/>
            <w:vMerge w:val="continue"/>
            <w:vAlign w:val="center"/>
          </w:tcPr>
          <w:p>
            <w:pPr>
              <w:spacing w:line="312" w:lineRule="exact"/>
              <w:ind w:firstLine="0" w:firstLineChars="0"/>
              <w:jc w:val="center"/>
              <w:rPr>
                <w:color w:val="auto"/>
                <w:sz w:val="21"/>
                <w:szCs w:val="21"/>
              </w:rPr>
            </w:pP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w:t>
            </w:r>
            <w:r>
              <w:rPr>
                <w:rFonts w:hint="eastAsia" w:eastAsia="华文仿宋"/>
                <w:color w:val="auto"/>
                <w:kern w:val="0"/>
                <w:sz w:val="21"/>
                <w:szCs w:val="21"/>
                <w:lang w:bidi="ar"/>
              </w:rPr>
              <w:t>0000</w:t>
            </w:r>
            <w:r>
              <w:rPr>
                <w:rFonts w:eastAsia="华文仿宋"/>
                <w:color w:val="auto"/>
                <w:kern w:val="0"/>
                <w:sz w:val="21"/>
                <w:szCs w:val="21"/>
                <w:lang w:bidi="ar"/>
              </w:rPr>
              <w:t>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17</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锡</w:t>
            </w:r>
          </w:p>
        </w:tc>
        <w:tc>
          <w:tcPr>
            <w:tcW w:w="1724" w:type="pct"/>
            <w:vMerge w:val="continue"/>
            <w:vAlign w:val="center"/>
          </w:tcPr>
          <w:p>
            <w:pPr>
              <w:widowControl/>
              <w:spacing w:line="312" w:lineRule="exact"/>
              <w:ind w:firstLine="0" w:firstLineChars="0"/>
              <w:jc w:val="center"/>
              <w:rPr>
                <w:color w:val="auto"/>
                <w:sz w:val="21"/>
                <w:szCs w:val="21"/>
              </w:rPr>
            </w:pPr>
          </w:p>
        </w:tc>
        <w:tc>
          <w:tcPr>
            <w:tcW w:w="949" w:type="pct"/>
            <w:vMerge w:val="continue"/>
            <w:vAlign w:val="center"/>
          </w:tcPr>
          <w:p>
            <w:pPr>
              <w:spacing w:line="312" w:lineRule="exact"/>
              <w:ind w:firstLine="0" w:firstLineChars="0"/>
              <w:jc w:val="center"/>
              <w:rPr>
                <w:color w:val="auto"/>
                <w:sz w:val="21"/>
                <w:szCs w:val="21"/>
              </w:rPr>
            </w:pPr>
          </w:p>
        </w:tc>
        <w:tc>
          <w:tcPr>
            <w:tcW w:w="599" w:type="pct"/>
            <w:vMerge w:val="continue"/>
            <w:vAlign w:val="center"/>
          </w:tcPr>
          <w:p>
            <w:pPr>
              <w:spacing w:line="312" w:lineRule="exact"/>
              <w:ind w:firstLine="0" w:firstLineChars="0"/>
              <w:jc w:val="center"/>
              <w:rPr>
                <w:color w:val="auto"/>
                <w:sz w:val="21"/>
                <w:szCs w:val="21"/>
              </w:rPr>
            </w:pP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0.0</w:t>
            </w:r>
            <w:r>
              <w:rPr>
                <w:rFonts w:hint="eastAsia" w:eastAsia="华文仿宋"/>
                <w:color w:val="auto"/>
                <w:kern w:val="0"/>
                <w:sz w:val="21"/>
                <w:szCs w:val="21"/>
                <w:lang w:bidi="ar"/>
              </w:rPr>
              <w:t>000</w:t>
            </w:r>
            <w:r>
              <w:rPr>
                <w:rFonts w:eastAsia="华文仿宋"/>
                <w:color w:val="auto"/>
                <w:kern w:val="0"/>
                <w:sz w:val="21"/>
                <w:szCs w:val="21"/>
                <w:lang w:bidi="ar"/>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18</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钛</w:t>
            </w:r>
          </w:p>
        </w:tc>
        <w:tc>
          <w:tcPr>
            <w:tcW w:w="1724" w:type="pct"/>
            <w:vMerge w:val="continue"/>
            <w:vAlign w:val="center"/>
          </w:tcPr>
          <w:p>
            <w:pPr>
              <w:widowControl/>
              <w:spacing w:line="312" w:lineRule="exact"/>
              <w:ind w:firstLine="0" w:firstLineChars="0"/>
              <w:jc w:val="center"/>
              <w:rPr>
                <w:color w:val="auto"/>
                <w:sz w:val="21"/>
                <w:szCs w:val="21"/>
              </w:rPr>
            </w:pPr>
          </w:p>
        </w:tc>
        <w:tc>
          <w:tcPr>
            <w:tcW w:w="949" w:type="pct"/>
            <w:vMerge w:val="continue"/>
            <w:vAlign w:val="center"/>
          </w:tcPr>
          <w:p>
            <w:pPr>
              <w:spacing w:line="312" w:lineRule="exact"/>
              <w:ind w:firstLine="0" w:firstLineChars="0"/>
              <w:jc w:val="center"/>
              <w:rPr>
                <w:color w:val="auto"/>
                <w:sz w:val="21"/>
                <w:szCs w:val="21"/>
              </w:rPr>
            </w:pPr>
          </w:p>
        </w:tc>
        <w:tc>
          <w:tcPr>
            <w:tcW w:w="599" w:type="pct"/>
            <w:vMerge w:val="continue"/>
            <w:vAlign w:val="center"/>
          </w:tcPr>
          <w:p>
            <w:pPr>
              <w:spacing w:line="312" w:lineRule="exact"/>
              <w:ind w:firstLine="0" w:firstLineChars="0"/>
              <w:jc w:val="center"/>
              <w:rPr>
                <w:color w:val="auto"/>
                <w:sz w:val="21"/>
                <w:szCs w:val="21"/>
              </w:rPr>
            </w:pP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w:t>
            </w:r>
            <w:r>
              <w:rPr>
                <w:rFonts w:hint="eastAsia" w:eastAsia="华文仿宋"/>
                <w:color w:val="auto"/>
                <w:kern w:val="0"/>
                <w:sz w:val="21"/>
                <w:szCs w:val="21"/>
                <w:lang w:bidi="ar"/>
              </w:rPr>
              <w:t>000</w:t>
            </w:r>
            <w:r>
              <w:rPr>
                <w:rFonts w:eastAsia="华文仿宋"/>
                <w:color w:val="auto"/>
                <w:kern w:val="0"/>
                <w:sz w:val="21"/>
                <w:szCs w:val="21"/>
                <w:lang w:bidi="ar"/>
              </w:rPr>
              <w:t>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19</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挥发酚类</w:t>
            </w:r>
          </w:p>
        </w:tc>
        <w:tc>
          <w:tcPr>
            <w:tcW w:w="1724" w:type="pct"/>
            <w:vAlign w:val="center"/>
          </w:tcPr>
          <w:p>
            <w:pPr>
              <w:widowControl/>
              <w:spacing w:line="312" w:lineRule="exact"/>
              <w:ind w:firstLine="0" w:firstLineChars="0"/>
              <w:jc w:val="center"/>
              <w:rPr>
                <w:color w:val="auto"/>
                <w:sz w:val="21"/>
                <w:szCs w:val="21"/>
              </w:rPr>
            </w:pPr>
            <w:r>
              <w:rPr>
                <w:color w:val="auto"/>
                <w:kern w:val="0"/>
                <w:sz w:val="21"/>
                <w:szCs w:val="21"/>
              </w:rPr>
              <w:t>GB/T 5750.4-2006 生活饮用水标准检验方法 感官性状和物理指标 (9.1 挥发酚 4-氨基安替吡啉三氯</w:t>
            </w:r>
            <w:r>
              <w:rPr>
                <w:rFonts w:hint="eastAsia"/>
                <w:color w:val="auto"/>
                <w:kern w:val="0"/>
                <w:sz w:val="21"/>
                <w:szCs w:val="21"/>
                <w:lang w:val="en-US" w:eastAsia="zh-CN"/>
              </w:rPr>
              <w:t>甲烷</w:t>
            </w:r>
            <w:r>
              <w:rPr>
                <w:color w:val="auto"/>
                <w:kern w:val="0"/>
                <w:sz w:val="21"/>
                <w:szCs w:val="21"/>
              </w:rPr>
              <w:t>萃取分光光度法)</w:t>
            </w:r>
          </w:p>
        </w:tc>
        <w:tc>
          <w:tcPr>
            <w:tcW w:w="949" w:type="pct"/>
            <w:vAlign w:val="center"/>
          </w:tcPr>
          <w:p>
            <w:pPr>
              <w:spacing w:line="312" w:lineRule="exact"/>
              <w:ind w:firstLine="0" w:firstLineChars="0"/>
              <w:jc w:val="center"/>
              <w:rPr>
                <w:color w:val="auto"/>
                <w:sz w:val="21"/>
                <w:szCs w:val="21"/>
              </w:rPr>
            </w:pPr>
            <w:r>
              <w:rPr>
                <w:color w:val="auto"/>
                <w:sz w:val="21"/>
                <w:szCs w:val="21"/>
              </w:rPr>
              <w:t>TU-1810 紫外可见分光光度计</w:t>
            </w:r>
          </w:p>
        </w:tc>
        <w:tc>
          <w:tcPr>
            <w:tcW w:w="599" w:type="pct"/>
            <w:vAlign w:val="center"/>
          </w:tcPr>
          <w:p>
            <w:pPr>
              <w:spacing w:line="312" w:lineRule="exact"/>
              <w:ind w:firstLine="0" w:firstLineChars="0"/>
              <w:jc w:val="center"/>
              <w:rPr>
                <w:color w:val="auto"/>
                <w:sz w:val="21"/>
                <w:szCs w:val="21"/>
              </w:rPr>
            </w:pPr>
            <w:r>
              <w:rPr>
                <w:color w:val="auto"/>
                <w:sz w:val="21"/>
                <w:szCs w:val="21"/>
              </w:rPr>
              <w:t>DT/J-032</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20</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阴离子表面活性剂</w:t>
            </w:r>
          </w:p>
        </w:tc>
        <w:tc>
          <w:tcPr>
            <w:tcW w:w="1724" w:type="pct"/>
            <w:vAlign w:val="center"/>
          </w:tcPr>
          <w:p>
            <w:pPr>
              <w:widowControl/>
              <w:spacing w:line="312" w:lineRule="exact"/>
              <w:ind w:firstLine="0" w:firstLineChars="0"/>
              <w:jc w:val="center"/>
              <w:rPr>
                <w:color w:val="auto"/>
                <w:sz w:val="21"/>
                <w:szCs w:val="21"/>
              </w:rPr>
            </w:pPr>
            <w:r>
              <w:rPr>
                <w:color w:val="auto"/>
                <w:kern w:val="0"/>
                <w:sz w:val="21"/>
                <w:szCs w:val="21"/>
              </w:rPr>
              <w:t>GB/T 5750.4-2006 生活饮用水标准检验方法 感官性状和物理指标  (10.1 亚甲蓝分光光度法)</w:t>
            </w:r>
          </w:p>
        </w:tc>
        <w:tc>
          <w:tcPr>
            <w:tcW w:w="949" w:type="pct"/>
            <w:vAlign w:val="center"/>
          </w:tcPr>
          <w:p>
            <w:pPr>
              <w:spacing w:line="312" w:lineRule="exact"/>
              <w:ind w:firstLine="0" w:firstLineChars="0"/>
              <w:jc w:val="center"/>
              <w:rPr>
                <w:color w:val="auto"/>
                <w:sz w:val="21"/>
                <w:szCs w:val="21"/>
              </w:rPr>
            </w:pPr>
            <w:r>
              <w:rPr>
                <w:color w:val="auto"/>
                <w:sz w:val="21"/>
                <w:szCs w:val="21"/>
              </w:rPr>
              <w:t>TU-1810 紫外可见分光光度计</w:t>
            </w:r>
          </w:p>
        </w:tc>
        <w:tc>
          <w:tcPr>
            <w:tcW w:w="599" w:type="pct"/>
            <w:vAlign w:val="center"/>
          </w:tcPr>
          <w:p>
            <w:pPr>
              <w:spacing w:line="312" w:lineRule="exact"/>
              <w:ind w:firstLine="0" w:firstLineChars="0"/>
              <w:jc w:val="center"/>
              <w:rPr>
                <w:color w:val="auto"/>
                <w:sz w:val="21"/>
                <w:szCs w:val="21"/>
              </w:rPr>
            </w:pPr>
            <w:r>
              <w:rPr>
                <w:color w:val="auto"/>
                <w:sz w:val="21"/>
                <w:szCs w:val="21"/>
              </w:rPr>
              <w:t>DT/J-032</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21</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耗氧量</w:t>
            </w:r>
          </w:p>
        </w:tc>
        <w:tc>
          <w:tcPr>
            <w:tcW w:w="1724" w:type="pct"/>
            <w:vAlign w:val="center"/>
          </w:tcPr>
          <w:p>
            <w:pPr>
              <w:widowControl/>
              <w:spacing w:line="312" w:lineRule="exact"/>
              <w:ind w:firstLine="0" w:firstLineChars="0"/>
              <w:jc w:val="center"/>
              <w:rPr>
                <w:color w:val="auto"/>
                <w:sz w:val="21"/>
                <w:szCs w:val="21"/>
              </w:rPr>
            </w:pPr>
            <w:r>
              <w:rPr>
                <w:color w:val="auto"/>
                <w:kern w:val="0"/>
                <w:sz w:val="21"/>
                <w:szCs w:val="21"/>
              </w:rPr>
              <w:t>GB/T 5750.7-2006 生活饮用水标准检验方法 有机物综合指标（1.1 耗氧量 酸性高锰酸钾滴定法）</w:t>
            </w:r>
          </w:p>
        </w:tc>
        <w:tc>
          <w:tcPr>
            <w:tcW w:w="949" w:type="pct"/>
            <w:vAlign w:val="center"/>
          </w:tcPr>
          <w:p>
            <w:pPr>
              <w:spacing w:line="312" w:lineRule="exact"/>
              <w:ind w:firstLine="0" w:firstLineChars="0"/>
              <w:jc w:val="center"/>
              <w:rPr>
                <w:color w:val="auto"/>
                <w:sz w:val="21"/>
                <w:szCs w:val="21"/>
              </w:rPr>
            </w:pPr>
            <w:r>
              <w:rPr>
                <w:color w:val="auto"/>
                <w:sz w:val="21"/>
                <w:szCs w:val="21"/>
              </w:rPr>
              <w:t>25ml棕色酸式滴定管</w:t>
            </w:r>
          </w:p>
        </w:tc>
        <w:tc>
          <w:tcPr>
            <w:tcW w:w="599" w:type="pct"/>
            <w:vAlign w:val="center"/>
          </w:tcPr>
          <w:p>
            <w:pPr>
              <w:spacing w:line="312" w:lineRule="exact"/>
              <w:ind w:firstLine="0" w:firstLineChars="0"/>
              <w:jc w:val="center"/>
              <w:rPr>
                <w:color w:val="auto"/>
                <w:sz w:val="21"/>
                <w:szCs w:val="21"/>
              </w:rPr>
            </w:pPr>
            <w:r>
              <w:rPr>
                <w:color w:val="auto"/>
                <w:sz w:val="21"/>
                <w:szCs w:val="21"/>
              </w:rPr>
              <w:t>DT/B-001</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22</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氨氮</w:t>
            </w:r>
          </w:p>
        </w:tc>
        <w:tc>
          <w:tcPr>
            <w:tcW w:w="1724" w:type="pct"/>
            <w:vAlign w:val="center"/>
          </w:tcPr>
          <w:p>
            <w:pPr>
              <w:widowControl/>
              <w:spacing w:line="312" w:lineRule="exact"/>
              <w:ind w:firstLine="0" w:firstLineChars="0"/>
              <w:jc w:val="center"/>
              <w:rPr>
                <w:color w:val="auto"/>
                <w:sz w:val="21"/>
                <w:szCs w:val="21"/>
              </w:rPr>
            </w:pPr>
            <w:r>
              <w:rPr>
                <w:color w:val="auto"/>
                <w:kern w:val="0"/>
                <w:sz w:val="21"/>
                <w:szCs w:val="21"/>
              </w:rPr>
              <w:t>GB/T 5750.5-2006 生活饮用水标准检验方法 无机非金属指标（9.1纳氏试剂分光光度法）</w:t>
            </w:r>
          </w:p>
        </w:tc>
        <w:tc>
          <w:tcPr>
            <w:tcW w:w="949" w:type="pct"/>
            <w:vAlign w:val="center"/>
          </w:tcPr>
          <w:p>
            <w:pPr>
              <w:spacing w:line="312" w:lineRule="exact"/>
              <w:ind w:firstLine="0" w:firstLineChars="0"/>
              <w:jc w:val="center"/>
              <w:rPr>
                <w:color w:val="auto"/>
                <w:sz w:val="21"/>
                <w:szCs w:val="21"/>
              </w:rPr>
            </w:pPr>
            <w:r>
              <w:rPr>
                <w:color w:val="auto"/>
                <w:sz w:val="21"/>
                <w:szCs w:val="21"/>
              </w:rPr>
              <w:t>TU-1810 紫外可见分光光度计</w:t>
            </w:r>
          </w:p>
        </w:tc>
        <w:tc>
          <w:tcPr>
            <w:tcW w:w="599" w:type="pct"/>
            <w:vAlign w:val="center"/>
          </w:tcPr>
          <w:p>
            <w:pPr>
              <w:spacing w:line="312" w:lineRule="exact"/>
              <w:ind w:firstLine="0" w:firstLineChars="0"/>
              <w:jc w:val="center"/>
              <w:rPr>
                <w:color w:val="auto"/>
                <w:sz w:val="21"/>
                <w:szCs w:val="21"/>
              </w:rPr>
            </w:pPr>
            <w:r>
              <w:rPr>
                <w:color w:val="auto"/>
                <w:sz w:val="21"/>
                <w:szCs w:val="21"/>
              </w:rPr>
              <w:t>DT/J-032</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23</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硫化物</w:t>
            </w:r>
          </w:p>
        </w:tc>
        <w:tc>
          <w:tcPr>
            <w:tcW w:w="1724" w:type="pct"/>
            <w:vAlign w:val="center"/>
          </w:tcPr>
          <w:p>
            <w:pPr>
              <w:widowControl/>
              <w:spacing w:line="312" w:lineRule="exact"/>
              <w:ind w:firstLine="0" w:firstLineChars="0"/>
              <w:jc w:val="center"/>
              <w:rPr>
                <w:color w:val="auto"/>
                <w:sz w:val="21"/>
                <w:szCs w:val="21"/>
              </w:rPr>
            </w:pPr>
            <w:r>
              <w:rPr>
                <w:color w:val="auto"/>
                <w:kern w:val="0"/>
                <w:sz w:val="21"/>
                <w:szCs w:val="21"/>
              </w:rPr>
              <w:t>GB/T 5750.5-2006 生活饮用水标准检验方法 无机非金属指标（6.1 硫化物 N,N-二乙基对苯二胺分光光度法）</w:t>
            </w:r>
          </w:p>
        </w:tc>
        <w:tc>
          <w:tcPr>
            <w:tcW w:w="949" w:type="pct"/>
            <w:vAlign w:val="center"/>
          </w:tcPr>
          <w:p>
            <w:pPr>
              <w:spacing w:line="312" w:lineRule="exact"/>
              <w:ind w:firstLine="0" w:firstLineChars="0"/>
              <w:jc w:val="center"/>
              <w:rPr>
                <w:color w:val="auto"/>
                <w:sz w:val="21"/>
                <w:szCs w:val="21"/>
              </w:rPr>
            </w:pPr>
            <w:r>
              <w:rPr>
                <w:color w:val="auto"/>
                <w:sz w:val="21"/>
                <w:szCs w:val="21"/>
              </w:rPr>
              <w:t>TU-1810 紫外可见分光光度计</w:t>
            </w:r>
          </w:p>
        </w:tc>
        <w:tc>
          <w:tcPr>
            <w:tcW w:w="599" w:type="pct"/>
            <w:vAlign w:val="center"/>
          </w:tcPr>
          <w:p>
            <w:pPr>
              <w:spacing w:line="312" w:lineRule="exact"/>
              <w:ind w:firstLine="0" w:firstLineChars="0"/>
              <w:jc w:val="center"/>
              <w:rPr>
                <w:color w:val="auto"/>
                <w:sz w:val="21"/>
                <w:szCs w:val="21"/>
              </w:rPr>
            </w:pPr>
            <w:r>
              <w:rPr>
                <w:color w:val="auto"/>
                <w:sz w:val="21"/>
                <w:szCs w:val="21"/>
              </w:rPr>
              <w:t>DT/J-032</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24</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钠</w:t>
            </w:r>
          </w:p>
        </w:tc>
        <w:tc>
          <w:tcPr>
            <w:tcW w:w="1724" w:type="pct"/>
            <w:vMerge w:val="restart"/>
            <w:vAlign w:val="center"/>
          </w:tcPr>
          <w:p>
            <w:pPr>
              <w:widowControl/>
              <w:spacing w:line="312" w:lineRule="exact"/>
              <w:ind w:firstLine="0" w:firstLineChars="0"/>
              <w:jc w:val="center"/>
              <w:rPr>
                <w:color w:val="auto"/>
                <w:sz w:val="21"/>
                <w:szCs w:val="21"/>
              </w:rPr>
            </w:pPr>
            <w:r>
              <w:rPr>
                <w:color w:val="auto"/>
                <w:kern w:val="0"/>
                <w:sz w:val="21"/>
                <w:szCs w:val="21"/>
              </w:rPr>
              <w:t>GB/T 11904-1989 水质 钾和钠的测定 火焰原子吸收分光光度法</w:t>
            </w:r>
          </w:p>
        </w:tc>
        <w:tc>
          <w:tcPr>
            <w:tcW w:w="949" w:type="pct"/>
            <w:vMerge w:val="restart"/>
            <w:vAlign w:val="center"/>
          </w:tcPr>
          <w:p>
            <w:pPr>
              <w:spacing w:line="312" w:lineRule="exact"/>
              <w:ind w:firstLine="0" w:firstLineChars="0"/>
              <w:jc w:val="center"/>
              <w:rPr>
                <w:color w:val="auto"/>
                <w:sz w:val="21"/>
                <w:szCs w:val="21"/>
              </w:rPr>
            </w:pPr>
            <w:r>
              <w:rPr>
                <w:color w:val="auto"/>
                <w:sz w:val="21"/>
                <w:szCs w:val="21"/>
              </w:rPr>
              <w:t>280FS AA 火焰原子吸收分光光度计</w:t>
            </w:r>
          </w:p>
        </w:tc>
        <w:tc>
          <w:tcPr>
            <w:tcW w:w="599" w:type="pct"/>
            <w:vMerge w:val="restart"/>
            <w:vAlign w:val="center"/>
          </w:tcPr>
          <w:p>
            <w:pPr>
              <w:spacing w:line="312" w:lineRule="exact"/>
              <w:ind w:firstLine="0" w:firstLineChars="0"/>
              <w:jc w:val="center"/>
              <w:rPr>
                <w:color w:val="auto"/>
                <w:sz w:val="21"/>
                <w:szCs w:val="21"/>
              </w:rPr>
            </w:pPr>
            <w:r>
              <w:rPr>
                <w:color w:val="auto"/>
                <w:sz w:val="21"/>
                <w:szCs w:val="21"/>
              </w:rPr>
              <w:t>DT/J-042-01</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25</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K</w:t>
            </w:r>
            <w:r>
              <w:rPr>
                <w:color w:val="auto"/>
                <w:sz w:val="21"/>
                <w:szCs w:val="21"/>
                <w:vertAlign w:val="superscript"/>
              </w:rPr>
              <w:t>+</w:t>
            </w:r>
          </w:p>
        </w:tc>
        <w:tc>
          <w:tcPr>
            <w:tcW w:w="1724" w:type="pct"/>
            <w:vMerge w:val="continue"/>
            <w:vAlign w:val="center"/>
          </w:tcPr>
          <w:p>
            <w:pPr>
              <w:widowControl/>
              <w:adjustRightInd w:val="0"/>
              <w:snapToGrid w:val="0"/>
              <w:spacing w:line="312" w:lineRule="exact"/>
              <w:ind w:firstLine="0" w:firstLineChars="0"/>
              <w:jc w:val="center"/>
              <w:rPr>
                <w:color w:val="auto"/>
                <w:sz w:val="21"/>
                <w:szCs w:val="21"/>
              </w:rPr>
            </w:pPr>
          </w:p>
        </w:tc>
        <w:tc>
          <w:tcPr>
            <w:tcW w:w="949" w:type="pct"/>
            <w:vMerge w:val="continue"/>
            <w:vAlign w:val="center"/>
          </w:tcPr>
          <w:p>
            <w:pPr>
              <w:spacing w:line="312" w:lineRule="exact"/>
              <w:ind w:firstLine="0" w:firstLineChars="0"/>
              <w:jc w:val="center"/>
              <w:rPr>
                <w:color w:val="auto"/>
                <w:sz w:val="21"/>
                <w:szCs w:val="21"/>
              </w:rPr>
            </w:pPr>
          </w:p>
        </w:tc>
        <w:tc>
          <w:tcPr>
            <w:tcW w:w="599" w:type="pct"/>
            <w:vMerge w:val="continue"/>
            <w:vAlign w:val="center"/>
          </w:tcPr>
          <w:p>
            <w:pPr>
              <w:spacing w:line="312" w:lineRule="exact"/>
              <w:ind w:firstLine="0" w:firstLineChars="0"/>
              <w:jc w:val="center"/>
              <w:rPr>
                <w:color w:val="auto"/>
                <w:sz w:val="21"/>
                <w:szCs w:val="21"/>
              </w:rPr>
            </w:pP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26</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亚硝酸盐氮</w:t>
            </w:r>
          </w:p>
        </w:tc>
        <w:tc>
          <w:tcPr>
            <w:tcW w:w="1724" w:type="pct"/>
            <w:vAlign w:val="center"/>
          </w:tcPr>
          <w:p>
            <w:pPr>
              <w:widowControl/>
              <w:spacing w:line="312" w:lineRule="exact"/>
              <w:ind w:firstLine="0" w:firstLineChars="0"/>
              <w:jc w:val="center"/>
              <w:rPr>
                <w:color w:val="auto"/>
                <w:sz w:val="21"/>
                <w:szCs w:val="21"/>
              </w:rPr>
            </w:pPr>
            <w:r>
              <w:rPr>
                <w:color w:val="auto"/>
                <w:kern w:val="0"/>
                <w:sz w:val="21"/>
                <w:szCs w:val="21"/>
              </w:rPr>
              <w:t>GB/T 7493-1987 水质 亚硝酸盐氮的测定 分光光度法</w:t>
            </w:r>
          </w:p>
        </w:tc>
        <w:tc>
          <w:tcPr>
            <w:tcW w:w="949" w:type="pct"/>
            <w:vAlign w:val="center"/>
          </w:tcPr>
          <w:p>
            <w:pPr>
              <w:spacing w:line="312" w:lineRule="exact"/>
              <w:ind w:firstLine="0" w:firstLineChars="0"/>
              <w:jc w:val="center"/>
              <w:rPr>
                <w:color w:val="auto"/>
                <w:sz w:val="21"/>
                <w:szCs w:val="21"/>
              </w:rPr>
            </w:pPr>
            <w:r>
              <w:rPr>
                <w:color w:val="auto"/>
                <w:sz w:val="21"/>
                <w:szCs w:val="21"/>
              </w:rPr>
              <w:t>TU-1810 紫外可见分光光度计</w:t>
            </w:r>
          </w:p>
        </w:tc>
        <w:tc>
          <w:tcPr>
            <w:tcW w:w="599" w:type="pct"/>
            <w:vAlign w:val="center"/>
          </w:tcPr>
          <w:p>
            <w:pPr>
              <w:spacing w:line="312" w:lineRule="exact"/>
              <w:ind w:firstLine="0" w:firstLineChars="0"/>
              <w:jc w:val="center"/>
              <w:rPr>
                <w:color w:val="auto"/>
                <w:sz w:val="21"/>
                <w:szCs w:val="21"/>
              </w:rPr>
            </w:pPr>
            <w:r>
              <w:rPr>
                <w:color w:val="auto"/>
                <w:sz w:val="21"/>
                <w:szCs w:val="21"/>
              </w:rPr>
              <w:t>DT/J-032</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27</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硝酸盐氮</w:t>
            </w:r>
          </w:p>
        </w:tc>
        <w:tc>
          <w:tcPr>
            <w:tcW w:w="1724" w:type="pct"/>
            <w:vAlign w:val="center"/>
          </w:tcPr>
          <w:p>
            <w:pPr>
              <w:widowControl/>
              <w:spacing w:line="312" w:lineRule="exact"/>
              <w:ind w:firstLine="0" w:firstLineChars="0"/>
              <w:jc w:val="center"/>
              <w:rPr>
                <w:color w:val="auto"/>
                <w:sz w:val="21"/>
                <w:szCs w:val="21"/>
              </w:rPr>
            </w:pPr>
            <w:r>
              <w:rPr>
                <w:color w:val="auto"/>
                <w:kern w:val="0"/>
                <w:sz w:val="21"/>
                <w:szCs w:val="21"/>
              </w:rPr>
              <w:t>GB/T 7480-1987水质 硝酸盐氮的测定 酚二磺酸分光光度法</w:t>
            </w:r>
          </w:p>
        </w:tc>
        <w:tc>
          <w:tcPr>
            <w:tcW w:w="949" w:type="pct"/>
            <w:vAlign w:val="center"/>
          </w:tcPr>
          <w:p>
            <w:pPr>
              <w:spacing w:line="312" w:lineRule="exact"/>
              <w:ind w:firstLine="0" w:firstLineChars="0"/>
              <w:jc w:val="center"/>
              <w:rPr>
                <w:color w:val="auto"/>
                <w:sz w:val="21"/>
                <w:szCs w:val="21"/>
              </w:rPr>
            </w:pPr>
            <w:r>
              <w:rPr>
                <w:color w:val="auto"/>
                <w:sz w:val="21"/>
                <w:szCs w:val="21"/>
              </w:rPr>
              <w:t>TU-1810 紫外可见分光光度计</w:t>
            </w:r>
          </w:p>
        </w:tc>
        <w:tc>
          <w:tcPr>
            <w:tcW w:w="599" w:type="pct"/>
            <w:vAlign w:val="center"/>
          </w:tcPr>
          <w:p>
            <w:pPr>
              <w:spacing w:line="312" w:lineRule="exact"/>
              <w:ind w:firstLine="0" w:firstLineChars="0"/>
              <w:jc w:val="center"/>
              <w:rPr>
                <w:color w:val="auto"/>
                <w:sz w:val="21"/>
                <w:szCs w:val="21"/>
              </w:rPr>
            </w:pPr>
            <w:r>
              <w:rPr>
                <w:color w:val="auto"/>
                <w:sz w:val="21"/>
                <w:szCs w:val="21"/>
              </w:rPr>
              <w:t>DT/J-032</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28</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氰化物</w:t>
            </w:r>
          </w:p>
        </w:tc>
        <w:tc>
          <w:tcPr>
            <w:tcW w:w="1724" w:type="pct"/>
            <w:vAlign w:val="center"/>
          </w:tcPr>
          <w:p>
            <w:pPr>
              <w:widowControl/>
              <w:spacing w:line="312" w:lineRule="exact"/>
              <w:ind w:firstLine="0" w:firstLineChars="0"/>
              <w:jc w:val="center"/>
              <w:rPr>
                <w:color w:val="auto"/>
                <w:sz w:val="21"/>
                <w:szCs w:val="21"/>
              </w:rPr>
            </w:pPr>
            <w:r>
              <w:rPr>
                <w:color w:val="auto"/>
                <w:sz w:val="21"/>
                <w:szCs w:val="21"/>
              </w:rPr>
              <w:t>GB/T 5750.5-2006 生活饮用水标准检验方法 无机非金属指标（4.1 氰化物 异烟酸-吡唑酮分光光度法）</w:t>
            </w:r>
          </w:p>
        </w:tc>
        <w:tc>
          <w:tcPr>
            <w:tcW w:w="949" w:type="pct"/>
            <w:vAlign w:val="center"/>
          </w:tcPr>
          <w:p>
            <w:pPr>
              <w:spacing w:line="312" w:lineRule="exact"/>
              <w:ind w:firstLine="0" w:firstLineChars="0"/>
              <w:jc w:val="center"/>
              <w:rPr>
                <w:color w:val="auto"/>
                <w:sz w:val="21"/>
                <w:szCs w:val="21"/>
              </w:rPr>
            </w:pPr>
            <w:r>
              <w:rPr>
                <w:color w:val="auto"/>
                <w:sz w:val="21"/>
                <w:szCs w:val="21"/>
              </w:rPr>
              <w:t>TU-1810 紫外可见分光光度计</w:t>
            </w:r>
          </w:p>
        </w:tc>
        <w:tc>
          <w:tcPr>
            <w:tcW w:w="599" w:type="pct"/>
            <w:vAlign w:val="center"/>
          </w:tcPr>
          <w:p>
            <w:pPr>
              <w:spacing w:line="312" w:lineRule="exact"/>
              <w:ind w:firstLine="0" w:firstLineChars="0"/>
              <w:jc w:val="center"/>
              <w:rPr>
                <w:color w:val="auto"/>
                <w:sz w:val="21"/>
                <w:szCs w:val="21"/>
              </w:rPr>
            </w:pPr>
            <w:r>
              <w:rPr>
                <w:color w:val="auto"/>
                <w:sz w:val="21"/>
                <w:szCs w:val="21"/>
              </w:rPr>
              <w:t>DT/J-032</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29</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氟化物</w:t>
            </w:r>
          </w:p>
        </w:tc>
        <w:tc>
          <w:tcPr>
            <w:tcW w:w="1724" w:type="pct"/>
            <w:vAlign w:val="center"/>
          </w:tcPr>
          <w:p>
            <w:pPr>
              <w:widowControl/>
              <w:spacing w:line="312" w:lineRule="exact"/>
              <w:ind w:firstLine="0" w:firstLineChars="0"/>
              <w:jc w:val="center"/>
              <w:rPr>
                <w:color w:val="auto"/>
                <w:sz w:val="21"/>
                <w:szCs w:val="21"/>
              </w:rPr>
            </w:pPr>
            <w:r>
              <w:rPr>
                <w:color w:val="auto"/>
                <w:kern w:val="0"/>
                <w:sz w:val="21"/>
                <w:szCs w:val="21"/>
              </w:rPr>
              <w:t>GB/T 5750.5-2006生活饮用水标准检验方法 无机非金属指标（3.1 离子选择电极法）</w:t>
            </w:r>
          </w:p>
        </w:tc>
        <w:tc>
          <w:tcPr>
            <w:tcW w:w="949" w:type="pct"/>
            <w:vAlign w:val="center"/>
          </w:tcPr>
          <w:p>
            <w:pPr>
              <w:spacing w:line="312" w:lineRule="exact"/>
              <w:ind w:firstLine="0" w:firstLineChars="0"/>
              <w:jc w:val="center"/>
              <w:rPr>
                <w:color w:val="auto"/>
                <w:sz w:val="21"/>
                <w:szCs w:val="21"/>
              </w:rPr>
            </w:pPr>
            <w:r>
              <w:rPr>
                <w:color w:val="auto"/>
                <w:sz w:val="21"/>
                <w:szCs w:val="21"/>
              </w:rPr>
              <w:t>多参数系列分析仪</w:t>
            </w:r>
          </w:p>
        </w:tc>
        <w:tc>
          <w:tcPr>
            <w:tcW w:w="599" w:type="pct"/>
            <w:vAlign w:val="center"/>
          </w:tcPr>
          <w:p>
            <w:pPr>
              <w:spacing w:line="312" w:lineRule="exact"/>
              <w:ind w:firstLine="0" w:firstLineChars="0"/>
              <w:jc w:val="center"/>
              <w:rPr>
                <w:color w:val="auto"/>
                <w:sz w:val="21"/>
                <w:szCs w:val="21"/>
              </w:rPr>
            </w:pPr>
            <w:r>
              <w:rPr>
                <w:color w:val="auto"/>
                <w:sz w:val="21"/>
                <w:szCs w:val="21"/>
              </w:rPr>
              <w:t>DT/C-031</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30</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碘化物</w:t>
            </w:r>
          </w:p>
        </w:tc>
        <w:tc>
          <w:tcPr>
            <w:tcW w:w="1724" w:type="pct"/>
            <w:vAlign w:val="center"/>
          </w:tcPr>
          <w:p>
            <w:pPr>
              <w:widowControl/>
              <w:spacing w:line="312" w:lineRule="exact"/>
              <w:ind w:firstLine="0" w:firstLineChars="0"/>
              <w:jc w:val="center"/>
              <w:rPr>
                <w:color w:val="auto"/>
                <w:sz w:val="21"/>
                <w:szCs w:val="21"/>
              </w:rPr>
            </w:pPr>
            <w:r>
              <w:rPr>
                <w:color w:val="auto"/>
                <w:sz w:val="21"/>
                <w:szCs w:val="21"/>
              </w:rPr>
              <w:t>GB/T 5750.5-2006 生活饮用水标准检验方法 无机非金属指标（11.2 碘化物 高浓度碘化物比色法）</w:t>
            </w:r>
          </w:p>
        </w:tc>
        <w:tc>
          <w:tcPr>
            <w:tcW w:w="949" w:type="pct"/>
            <w:vAlign w:val="center"/>
          </w:tcPr>
          <w:p>
            <w:pPr>
              <w:spacing w:line="312" w:lineRule="exact"/>
              <w:ind w:firstLine="0" w:firstLineChars="0"/>
              <w:jc w:val="center"/>
              <w:rPr>
                <w:color w:val="auto"/>
                <w:sz w:val="21"/>
                <w:szCs w:val="21"/>
              </w:rPr>
            </w:pPr>
            <w:r>
              <w:rPr>
                <w:color w:val="auto"/>
                <w:sz w:val="21"/>
                <w:szCs w:val="21"/>
              </w:rPr>
              <w:t>TU-1810 紫外可见分光光度计</w:t>
            </w:r>
          </w:p>
        </w:tc>
        <w:tc>
          <w:tcPr>
            <w:tcW w:w="599" w:type="pct"/>
            <w:vAlign w:val="center"/>
          </w:tcPr>
          <w:p>
            <w:pPr>
              <w:spacing w:line="312" w:lineRule="exact"/>
              <w:ind w:firstLine="0" w:firstLineChars="0"/>
              <w:jc w:val="center"/>
              <w:rPr>
                <w:color w:val="auto"/>
                <w:sz w:val="21"/>
                <w:szCs w:val="21"/>
              </w:rPr>
            </w:pPr>
            <w:r>
              <w:rPr>
                <w:color w:val="auto"/>
                <w:sz w:val="21"/>
                <w:szCs w:val="21"/>
              </w:rPr>
              <w:t>DT/J-032</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31</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汞</w:t>
            </w:r>
          </w:p>
        </w:tc>
        <w:tc>
          <w:tcPr>
            <w:tcW w:w="1724" w:type="pct"/>
            <w:vMerge w:val="restart"/>
            <w:vAlign w:val="center"/>
          </w:tcPr>
          <w:p>
            <w:pPr>
              <w:widowControl/>
              <w:spacing w:line="312" w:lineRule="exact"/>
              <w:ind w:firstLine="0" w:firstLineChars="0"/>
              <w:jc w:val="center"/>
              <w:rPr>
                <w:color w:val="auto"/>
                <w:sz w:val="21"/>
                <w:szCs w:val="21"/>
              </w:rPr>
            </w:pPr>
            <w:r>
              <w:rPr>
                <w:color w:val="auto"/>
                <w:sz w:val="21"/>
                <w:szCs w:val="21"/>
              </w:rPr>
              <w:t>HJ 694-2014 水质 汞、砷、硒、铋和锑的测定 原子荧光法</w:t>
            </w:r>
          </w:p>
        </w:tc>
        <w:tc>
          <w:tcPr>
            <w:tcW w:w="949" w:type="pct"/>
            <w:vMerge w:val="restart"/>
            <w:vAlign w:val="center"/>
          </w:tcPr>
          <w:p>
            <w:pPr>
              <w:spacing w:line="312" w:lineRule="exact"/>
              <w:ind w:firstLine="0" w:firstLineChars="0"/>
              <w:jc w:val="center"/>
              <w:rPr>
                <w:color w:val="auto"/>
                <w:sz w:val="21"/>
                <w:szCs w:val="21"/>
              </w:rPr>
            </w:pPr>
            <w:r>
              <w:rPr>
                <w:color w:val="auto"/>
                <w:sz w:val="21"/>
                <w:szCs w:val="21"/>
              </w:rPr>
              <w:t>AFS-933 原子荧光光度计</w:t>
            </w:r>
          </w:p>
        </w:tc>
        <w:tc>
          <w:tcPr>
            <w:tcW w:w="599" w:type="pct"/>
            <w:vMerge w:val="restart"/>
            <w:vAlign w:val="center"/>
          </w:tcPr>
          <w:p>
            <w:pPr>
              <w:spacing w:line="312" w:lineRule="exact"/>
              <w:ind w:firstLine="0" w:firstLineChars="0"/>
              <w:jc w:val="center"/>
              <w:rPr>
                <w:color w:val="auto"/>
                <w:sz w:val="21"/>
                <w:szCs w:val="21"/>
              </w:rPr>
            </w:pPr>
            <w:r>
              <w:rPr>
                <w:color w:val="auto"/>
                <w:sz w:val="21"/>
                <w:szCs w:val="21"/>
              </w:rPr>
              <w:t>DT/J-041-01</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0.0</w:t>
            </w:r>
            <w:r>
              <w:rPr>
                <w:rFonts w:hint="eastAsia" w:eastAsia="华文仿宋"/>
                <w:color w:val="auto"/>
                <w:kern w:val="0"/>
                <w:sz w:val="21"/>
                <w:szCs w:val="21"/>
                <w:lang w:bidi="ar"/>
              </w:rPr>
              <w:t>000</w:t>
            </w:r>
            <w:r>
              <w:rPr>
                <w:rFonts w:eastAsia="华文仿宋"/>
                <w:color w:val="auto"/>
                <w:kern w:val="0"/>
                <w:sz w:val="21"/>
                <w:szCs w:val="21"/>
                <w:lang w:bidi="ar"/>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32</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砷</w:t>
            </w:r>
          </w:p>
        </w:tc>
        <w:tc>
          <w:tcPr>
            <w:tcW w:w="1724" w:type="pct"/>
            <w:vMerge w:val="continue"/>
            <w:vAlign w:val="center"/>
          </w:tcPr>
          <w:p>
            <w:pPr>
              <w:widowControl/>
              <w:adjustRightInd w:val="0"/>
              <w:snapToGrid w:val="0"/>
              <w:spacing w:line="312" w:lineRule="exact"/>
              <w:ind w:firstLine="0" w:firstLineChars="0"/>
              <w:jc w:val="center"/>
              <w:rPr>
                <w:color w:val="auto"/>
                <w:sz w:val="21"/>
                <w:szCs w:val="21"/>
              </w:rPr>
            </w:pPr>
          </w:p>
        </w:tc>
        <w:tc>
          <w:tcPr>
            <w:tcW w:w="949" w:type="pct"/>
            <w:vMerge w:val="continue"/>
            <w:vAlign w:val="center"/>
          </w:tcPr>
          <w:p>
            <w:pPr>
              <w:spacing w:line="312" w:lineRule="exact"/>
              <w:ind w:firstLine="0" w:firstLineChars="0"/>
              <w:jc w:val="center"/>
              <w:rPr>
                <w:color w:val="auto"/>
                <w:sz w:val="21"/>
                <w:szCs w:val="21"/>
              </w:rPr>
            </w:pPr>
          </w:p>
        </w:tc>
        <w:tc>
          <w:tcPr>
            <w:tcW w:w="599" w:type="pct"/>
            <w:vMerge w:val="continue"/>
            <w:vAlign w:val="center"/>
          </w:tcPr>
          <w:p>
            <w:pPr>
              <w:spacing w:line="312" w:lineRule="exact"/>
              <w:ind w:firstLine="0" w:firstLineChars="0"/>
              <w:jc w:val="center"/>
              <w:rPr>
                <w:color w:val="auto"/>
                <w:sz w:val="21"/>
                <w:szCs w:val="21"/>
              </w:rPr>
            </w:pP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w:t>
            </w:r>
            <w:r>
              <w:rPr>
                <w:rFonts w:hint="eastAsia" w:eastAsia="华文仿宋"/>
                <w:color w:val="auto"/>
                <w:kern w:val="0"/>
                <w:sz w:val="21"/>
                <w:szCs w:val="21"/>
                <w:lang w:bidi="ar"/>
              </w:rPr>
              <w:t>000</w:t>
            </w:r>
            <w:r>
              <w:rPr>
                <w:rFonts w:eastAsia="华文仿宋"/>
                <w:color w:val="auto"/>
                <w:kern w:val="0"/>
                <w:sz w:val="21"/>
                <w:szCs w:val="21"/>
                <w:lang w:bidi="ar"/>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33</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硒</w:t>
            </w:r>
          </w:p>
        </w:tc>
        <w:tc>
          <w:tcPr>
            <w:tcW w:w="1724" w:type="pct"/>
            <w:vMerge w:val="continue"/>
            <w:vAlign w:val="center"/>
          </w:tcPr>
          <w:p>
            <w:pPr>
              <w:widowControl/>
              <w:adjustRightInd w:val="0"/>
              <w:snapToGrid w:val="0"/>
              <w:spacing w:line="312" w:lineRule="exact"/>
              <w:ind w:firstLine="0" w:firstLineChars="0"/>
              <w:jc w:val="center"/>
              <w:rPr>
                <w:color w:val="auto"/>
                <w:sz w:val="21"/>
                <w:szCs w:val="21"/>
              </w:rPr>
            </w:pPr>
          </w:p>
        </w:tc>
        <w:tc>
          <w:tcPr>
            <w:tcW w:w="949" w:type="pct"/>
            <w:vMerge w:val="continue"/>
            <w:vAlign w:val="center"/>
          </w:tcPr>
          <w:p>
            <w:pPr>
              <w:spacing w:line="312" w:lineRule="exact"/>
              <w:ind w:firstLine="0" w:firstLineChars="0"/>
              <w:jc w:val="center"/>
              <w:rPr>
                <w:color w:val="auto"/>
                <w:sz w:val="21"/>
                <w:szCs w:val="21"/>
              </w:rPr>
            </w:pPr>
          </w:p>
        </w:tc>
        <w:tc>
          <w:tcPr>
            <w:tcW w:w="599" w:type="pct"/>
            <w:vMerge w:val="continue"/>
            <w:vAlign w:val="center"/>
          </w:tcPr>
          <w:p>
            <w:pPr>
              <w:spacing w:line="312" w:lineRule="exact"/>
              <w:ind w:firstLine="0" w:firstLineChars="0"/>
              <w:jc w:val="center"/>
              <w:rPr>
                <w:color w:val="auto"/>
                <w:sz w:val="21"/>
                <w:szCs w:val="21"/>
              </w:rPr>
            </w:pP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w:t>
            </w:r>
            <w:r>
              <w:rPr>
                <w:rFonts w:hint="eastAsia" w:eastAsia="华文仿宋"/>
                <w:color w:val="auto"/>
                <w:kern w:val="0"/>
                <w:sz w:val="21"/>
                <w:szCs w:val="21"/>
                <w:lang w:bidi="ar"/>
              </w:rPr>
              <w:t>000</w:t>
            </w:r>
            <w:r>
              <w:rPr>
                <w:rFonts w:eastAsia="华文仿宋"/>
                <w:color w:val="auto"/>
                <w:kern w:val="0"/>
                <w:sz w:val="21"/>
                <w:szCs w:val="21"/>
                <w:lang w:bidi="ar"/>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34</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六价铬</w:t>
            </w:r>
          </w:p>
        </w:tc>
        <w:tc>
          <w:tcPr>
            <w:tcW w:w="1724" w:type="pct"/>
            <w:vAlign w:val="center"/>
          </w:tcPr>
          <w:p>
            <w:pPr>
              <w:widowControl/>
              <w:spacing w:line="312" w:lineRule="exact"/>
              <w:ind w:firstLine="0" w:firstLineChars="0"/>
              <w:jc w:val="center"/>
              <w:rPr>
                <w:color w:val="auto"/>
                <w:sz w:val="21"/>
                <w:szCs w:val="21"/>
              </w:rPr>
            </w:pPr>
            <w:r>
              <w:rPr>
                <w:color w:val="auto"/>
                <w:sz w:val="21"/>
                <w:szCs w:val="21"/>
              </w:rPr>
              <w:t>GB/T 5750.6-2006 生活饮用水标准检验方法 金属指标（10.1 六价铬 二苯碳酰二肼分光光度法）</w:t>
            </w:r>
          </w:p>
        </w:tc>
        <w:tc>
          <w:tcPr>
            <w:tcW w:w="949" w:type="pct"/>
            <w:vAlign w:val="center"/>
          </w:tcPr>
          <w:p>
            <w:pPr>
              <w:spacing w:line="312" w:lineRule="exact"/>
              <w:ind w:firstLine="0" w:firstLineChars="0"/>
              <w:jc w:val="center"/>
              <w:rPr>
                <w:color w:val="auto"/>
                <w:sz w:val="21"/>
                <w:szCs w:val="21"/>
              </w:rPr>
            </w:pPr>
            <w:r>
              <w:rPr>
                <w:color w:val="auto"/>
                <w:sz w:val="21"/>
                <w:szCs w:val="21"/>
              </w:rPr>
              <w:t>TU-1810 紫外可见分光光度计</w:t>
            </w:r>
          </w:p>
        </w:tc>
        <w:tc>
          <w:tcPr>
            <w:tcW w:w="599" w:type="pct"/>
            <w:vAlign w:val="center"/>
          </w:tcPr>
          <w:p>
            <w:pPr>
              <w:spacing w:line="312" w:lineRule="exact"/>
              <w:ind w:firstLine="0" w:firstLineChars="0"/>
              <w:jc w:val="center"/>
              <w:rPr>
                <w:color w:val="auto"/>
                <w:sz w:val="21"/>
                <w:szCs w:val="21"/>
              </w:rPr>
            </w:pPr>
            <w:r>
              <w:rPr>
                <w:color w:val="auto"/>
                <w:sz w:val="21"/>
                <w:szCs w:val="21"/>
              </w:rPr>
              <w:t>DT/J-032</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35</w:t>
            </w:r>
          </w:p>
        </w:tc>
        <w:tc>
          <w:tcPr>
            <w:tcW w:w="846" w:type="pct"/>
            <w:vAlign w:val="center"/>
          </w:tcPr>
          <w:p>
            <w:pPr>
              <w:widowControl/>
              <w:spacing w:line="312" w:lineRule="exact"/>
              <w:ind w:firstLine="0" w:firstLineChars="0"/>
              <w:jc w:val="center"/>
              <w:rPr>
                <w:rFonts w:hint="eastAsia" w:eastAsia="宋体"/>
                <w:color w:val="auto"/>
                <w:sz w:val="21"/>
                <w:szCs w:val="21"/>
                <w:lang w:eastAsia="zh-CN"/>
              </w:rPr>
            </w:pPr>
            <w:r>
              <w:rPr>
                <w:color w:val="auto"/>
                <w:sz w:val="21"/>
                <w:szCs w:val="21"/>
              </w:rPr>
              <w:t>三氯</w:t>
            </w:r>
            <w:r>
              <w:rPr>
                <w:rFonts w:hint="eastAsia"/>
                <w:color w:val="auto"/>
                <w:sz w:val="21"/>
                <w:szCs w:val="21"/>
                <w:lang w:val="en-US" w:eastAsia="zh-CN"/>
              </w:rPr>
              <w:t>甲烷</w:t>
            </w:r>
          </w:p>
        </w:tc>
        <w:tc>
          <w:tcPr>
            <w:tcW w:w="1724" w:type="pct"/>
            <w:vMerge w:val="restart"/>
            <w:vAlign w:val="center"/>
          </w:tcPr>
          <w:p>
            <w:pPr>
              <w:widowControl/>
              <w:spacing w:line="312" w:lineRule="exact"/>
              <w:ind w:firstLine="0" w:firstLineChars="0"/>
              <w:jc w:val="center"/>
              <w:rPr>
                <w:color w:val="auto"/>
                <w:sz w:val="21"/>
                <w:szCs w:val="21"/>
              </w:rPr>
            </w:pPr>
            <w:r>
              <w:rPr>
                <w:color w:val="auto"/>
                <w:sz w:val="21"/>
                <w:szCs w:val="21"/>
              </w:rPr>
              <w:t>HJ 639-2012 水质 挥发性有机物的测定 吹扫捕集/气相色谱-质谱法</w:t>
            </w:r>
          </w:p>
        </w:tc>
        <w:tc>
          <w:tcPr>
            <w:tcW w:w="949" w:type="pct"/>
            <w:vMerge w:val="restart"/>
            <w:vAlign w:val="center"/>
          </w:tcPr>
          <w:p>
            <w:pPr>
              <w:spacing w:line="312" w:lineRule="exact"/>
              <w:ind w:firstLine="0" w:firstLineChars="0"/>
              <w:jc w:val="center"/>
              <w:rPr>
                <w:color w:val="auto"/>
                <w:sz w:val="21"/>
                <w:szCs w:val="21"/>
              </w:rPr>
            </w:pPr>
            <w:r>
              <w:rPr>
                <w:color w:val="auto"/>
                <w:sz w:val="21"/>
                <w:szCs w:val="21"/>
              </w:rPr>
              <w:t>8890-5977B气相色谱-质谱联用仪</w:t>
            </w:r>
          </w:p>
        </w:tc>
        <w:tc>
          <w:tcPr>
            <w:tcW w:w="599" w:type="pct"/>
            <w:vMerge w:val="restart"/>
            <w:vAlign w:val="center"/>
          </w:tcPr>
          <w:p>
            <w:pPr>
              <w:spacing w:line="312" w:lineRule="exact"/>
              <w:ind w:firstLine="0" w:firstLineChars="0"/>
              <w:jc w:val="center"/>
              <w:rPr>
                <w:color w:val="auto"/>
                <w:sz w:val="21"/>
                <w:szCs w:val="21"/>
              </w:rPr>
            </w:pPr>
            <w:r>
              <w:rPr>
                <w:color w:val="auto"/>
                <w:sz w:val="21"/>
                <w:szCs w:val="21"/>
              </w:rPr>
              <w:t>DT/J-049-01</w:t>
            </w:r>
          </w:p>
        </w:tc>
        <w:tc>
          <w:tcPr>
            <w:tcW w:w="592" w:type="pct"/>
            <w:vAlign w:val="center"/>
          </w:tcPr>
          <w:p>
            <w:pPr>
              <w:widowControl/>
              <w:ind w:firstLine="0" w:firstLineChars="0"/>
              <w:jc w:val="center"/>
              <w:textAlignment w:val="center"/>
              <w:rPr>
                <w:color w:val="auto"/>
                <w:sz w:val="21"/>
                <w:szCs w:val="21"/>
              </w:rPr>
            </w:pPr>
            <w:r>
              <w:rPr>
                <w:rFonts w:hint="eastAsia" w:eastAsia="华文仿宋"/>
                <w:color w:val="auto"/>
                <w:kern w:val="0"/>
                <w:sz w:val="21"/>
                <w:szCs w:val="21"/>
                <w:lang w:bidi="ar"/>
              </w:rPr>
              <w:t>0.000</w:t>
            </w:r>
            <w:r>
              <w:rPr>
                <w:rFonts w:eastAsia="华文仿宋"/>
                <w:color w:val="auto"/>
                <w:kern w:val="0"/>
                <w:sz w:val="21"/>
                <w:szCs w:val="21"/>
                <w:lang w:bidi="ar"/>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36</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四氯化碳</w:t>
            </w:r>
          </w:p>
        </w:tc>
        <w:tc>
          <w:tcPr>
            <w:tcW w:w="1724" w:type="pct"/>
            <w:vMerge w:val="continue"/>
            <w:vAlign w:val="center"/>
          </w:tcPr>
          <w:p>
            <w:pPr>
              <w:widowControl/>
              <w:adjustRightInd w:val="0"/>
              <w:snapToGrid w:val="0"/>
              <w:spacing w:line="312" w:lineRule="exact"/>
              <w:ind w:firstLine="0" w:firstLineChars="0"/>
              <w:jc w:val="center"/>
              <w:rPr>
                <w:color w:val="auto"/>
                <w:sz w:val="21"/>
                <w:szCs w:val="21"/>
              </w:rPr>
            </w:pPr>
          </w:p>
        </w:tc>
        <w:tc>
          <w:tcPr>
            <w:tcW w:w="949" w:type="pct"/>
            <w:vMerge w:val="continue"/>
            <w:vAlign w:val="center"/>
          </w:tcPr>
          <w:p>
            <w:pPr>
              <w:spacing w:line="312" w:lineRule="exact"/>
              <w:ind w:firstLine="0" w:firstLineChars="0"/>
              <w:jc w:val="center"/>
              <w:rPr>
                <w:color w:val="auto"/>
                <w:sz w:val="21"/>
                <w:szCs w:val="21"/>
              </w:rPr>
            </w:pPr>
          </w:p>
        </w:tc>
        <w:tc>
          <w:tcPr>
            <w:tcW w:w="599" w:type="pct"/>
            <w:vMerge w:val="continue"/>
            <w:vAlign w:val="center"/>
          </w:tcPr>
          <w:p>
            <w:pPr>
              <w:spacing w:line="312" w:lineRule="exact"/>
              <w:ind w:firstLine="0" w:firstLineChars="0"/>
              <w:jc w:val="center"/>
              <w:rPr>
                <w:color w:val="auto"/>
                <w:sz w:val="21"/>
                <w:szCs w:val="21"/>
              </w:rPr>
            </w:pP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w:t>
            </w:r>
            <w:r>
              <w:rPr>
                <w:rFonts w:hint="eastAsia" w:eastAsia="华文仿宋"/>
                <w:color w:val="auto"/>
                <w:kern w:val="0"/>
                <w:sz w:val="21"/>
                <w:szCs w:val="21"/>
                <w:lang w:bidi="ar"/>
              </w:rPr>
              <w:t>000</w:t>
            </w:r>
            <w:r>
              <w:rPr>
                <w:rFonts w:eastAsia="华文仿宋"/>
                <w:color w:val="auto"/>
                <w:kern w:val="0"/>
                <w:sz w:val="21"/>
                <w:szCs w:val="21"/>
                <w:lang w:bidi="ar"/>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37</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苯</w:t>
            </w:r>
          </w:p>
        </w:tc>
        <w:tc>
          <w:tcPr>
            <w:tcW w:w="1724" w:type="pct"/>
            <w:vMerge w:val="continue"/>
            <w:vAlign w:val="center"/>
          </w:tcPr>
          <w:p>
            <w:pPr>
              <w:widowControl/>
              <w:adjustRightInd w:val="0"/>
              <w:snapToGrid w:val="0"/>
              <w:spacing w:line="312" w:lineRule="exact"/>
              <w:ind w:firstLine="0" w:firstLineChars="0"/>
              <w:jc w:val="center"/>
              <w:rPr>
                <w:color w:val="auto"/>
                <w:sz w:val="21"/>
                <w:szCs w:val="21"/>
              </w:rPr>
            </w:pPr>
          </w:p>
        </w:tc>
        <w:tc>
          <w:tcPr>
            <w:tcW w:w="949" w:type="pct"/>
            <w:vMerge w:val="continue"/>
            <w:vAlign w:val="center"/>
          </w:tcPr>
          <w:p>
            <w:pPr>
              <w:spacing w:line="312" w:lineRule="exact"/>
              <w:ind w:firstLine="0" w:firstLineChars="0"/>
              <w:jc w:val="center"/>
              <w:rPr>
                <w:color w:val="auto"/>
                <w:sz w:val="21"/>
                <w:szCs w:val="21"/>
              </w:rPr>
            </w:pPr>
          </w:p>
        </w:tc>
        <w:tc>
          <w:tcPr>
            <w:tcW w:w="599" w:type="pct"/>
            <w:vMerge w:val="continue"/>
            <w:vAlign w:val="center"/>
          </w:tcPr>
          <w:p>
            <w:pPr>
              <w:spacing w:line="312" w:lineRule="exact"/>
              <w:ind w:firstLine="0" w:firstLineChars="0"/>
              <w:jc w:val="center"/>
              <w:rPr>
                <w:color w:val="auto"/>
                <w:sz w:val="21"/>
                <w:szCs w:val="21"/>
              </w:rPr>
            </w:pP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w:t>
            </w:r>
            <w:r>
              <w:rPr>
                <w:rFonts w:hint="eastAsia" w:eastAsia="华文仿宋"/>
                <w:color w:val="auto"/>
                <w:kern w:val="0"/>
                <w:sz w:val="21"/>
                <w:szCs w:val="21"/>
                <w:lang w:bidi="ar"/>
              </w:rPr>
              <w:t>000</w:t>
            </w:r>
            <w:r>
              <w:rPr>
                <w:rFonts w:eastAsia="华文仿宋"/>
                <w:color w:val="auto"/>
                <w:kern w:val="0"/>
                <w:sz w:val="21"/>
                <w:szCs w:val="21"/>
                <w:lang w:bidi="ar"/>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38</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甲苯</w:t>
            </w:r>
          </w:p>
        </w:tc>
        <w:tc>
          <w:tcPr>
            <w:tcW w:w="1724" w:type="pct"/>
            <w:vMerge w:val="continue"/>
            <w:vAlign w:val="center"/>
          </w:tcPr>
          <w:p>
            <w:pPr>
              <w:widowControl/>
              <w:adjustRightInd w:val="0"/>
              <w:snapToGrid w:val="0"/>
              <w:spacing w:line="312" w:lineRule="exact"/>
              <w:ind w:firstLine="0" w:firstLineChars="0"/>
              <w:jc w:val="center"/>
              <w:rPr>
                <w:color w:val="auto"/>
                <w:sz w:val="21"/>
                <w:szCs w:val="21"/>
              </w:rPr>
            </w:pPr>
          </w:p>
        </w:tc>
        <w:tc>
          <w:tcPr>
            <w:tcW w:w="949" w:type="pct"/>
            <w:vMerge w:val="continue"/>
            <w:vAlign w:val="center"/>
          </w:tcPr>
          <w:p>
            <w:pPr>
              <w:spacing w:line="312" w:lineRule="exact"/>
              <w:ind w:firstLine="0" w:firstLineChars="0"/>
              <w:jc w:val="center"/>
              <w:rPr>
                <w:color w:val="auto"/>
                <w:sz w:val="21"/>
                <w:szCs w:val="21"/>
              </w:rPr>
            </w:pPr>
          </w:p>
        </w:tc>
        <w:tc>
          <w:tcPr>
            <w:tcW w:w="599" w:type="pct"/>
            <w:vMerge w:val="continue"/>
            <w:vAlign w:val="center"/>
          </w:tcPr>
          <w:p>
            <w:pPr>
              <w:spacing w:line="312" w:lineRule="exact"/>
              <w:ind w:firstLine="0" w:firstLineChars="0"/>
              <w:jc w:val="center"/>
              <w:rPr>
                <w:color w:val="auto"/>
                <w:sz w:val="21"/>
                <w:szCs w:val="21"/>
              </w:rPr>
            </w:pP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w:t>
            </w:r>
            <w:r>
              <w:rPr>
                <w:rFonts w:hint="eastAsia" w:eastAsia="华文仿宋"/>
                <w:color w:val="auto"/>
                <w:kern w:val="0"/>
                <w:sz w:val="21"/>
                <w:szCs w:val="21"/>
                <w:lang w:bidi="ar"/>
              </w:rPr>
              <w:t>000</w:t>
            </w:r>
            <w:r>
              <w:rPr>
                <w:rFonts w:eastAsia="华文仿宋"/>
                <w:color w:val="auto"/>
                <w:kern w:val="0"/>
                <w:sz w:val="21"/>
                <w:szCs w:val="21"/>
                <w:lang w:bidi="ar"/>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534" w:type="dxa"/>
            <w:vAlign w:val="center"/>
          </w:tcPr>
          <w:p>
            <w:pPr>
              <w:spacing w:line="312" w:lineRule="exact"/>
              <w:ind w:firstLine="0" w:firstLineChars="0"/>
              <w:jc w:val="center"/>
              <w:rPr>
                <w:color w:val="auto"/>
                <w:sz w:val="21"/>
                <w:szCs w:val="21"/>
              </w:rPr>
            </w:pPr>
            <w:r>
              <w:rPr>
                <w:color w:val="auto"/>
                <w:sz w:val="21"/>
                <w:szCs w:val="21"/>
              </w:rPr>
              <w:t>39</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总大肠菌群</w:t>
            </w:r>
          </w:p>
        </w:tc>
        <w:tc>
          <w:tcPr>
            <w:tcW w:w="1724" w:type="pct"/>
            <w:vAlign w:val="center"/>
          </w:tcPr>
          <w:p>
            <w:pPr>
              <w:widowControl/>
              <w:spacing w:line="312" w:lineRule="exact"/>
              <w:ind w:firstLine="0" w:firstLineChars="0"/>
              <w:jc w:val="center"/>
              <w:rPr>
                <w:color w:val="auto"/>
                <w:sz w:val="21"/>
                <w:szCs w:val="21"/>
              </w:rPr>
            </w:pPr>
            <w:r>
              <w:rPr>
                <w:color w:val="auto"/>
                <w:kern w:val="0"/>
                <w:sz w:val="21"/>
                <w:szCs w:val="21"/>
              </w:rPr>
              <w:t>GB/T 5750.12-2006 生活饮用水标准检验方法 微生物指标（2.1 多管发酵法）</w:t>
            </w:r>
          </w:p>
        </w:tc>
        <w:tc>
          <w:tcPr>
            <w:tcW w:w="949" w:type="pct"/>
            <w:vAlign w:val="center"/>
          </w:tcPr>
          <w:p>
            <w:pPr>
              <w:spacing w:line="312" w:lineRule="exact"/>
              <w:ind w:firstLine="0" w:firstLineChars="0"/>
              <w:jc w:val="center"/>
              <w:rPr>
                <w:color w:val="auto"/>
                <w:sz w:val="21"/>
                <w:szCs w:val="21"/>
              </w:rPr>
            </w:pPr>
            <w:r>
              <w:rPr>
                <w:color w:val="auto"/>
                <w:sz w:val="21"/>
                <w:szCs w:val="21"/>
              </w:rPr>
              <w:t>MJX-80 生化（霉菌）培养箱</w:t>
            </w:r>
          </w:p>
        </w:tc>
        <w:tc>
          <w:tcPr>
            <w:tcW w:w="599" w:type="pct"/>
            <w:vAlign w:val="center"/>
          </w:tcPr>
          <w:p>
            <w:pPr>
              <w:spacing w:line="312" w:lineRule="exact"/>
              <w:ind w:firstLine="0" w:firstLineChars="0"/>
              <w:jc w:val="center"/>
              <w:rPr>
                <w:color w:val="auto"/>
                <w:sz w:val="21"/>
                <w:szCs w:val="21"/>
              </w:rPr>
            </w:pPr>
            <w:r>
              <w:rPr>
                <w:color w:val="auto"/>
                <w:sz w:val="21"/>
                <w:szCs w:val="21"/>
              </w:rPr>
              <w:t>DT/J-006</w:t>
            </w:r>
          </w:p>
        </w:tc>
        <w:tc>
          <w:tcPr>
            <w:tcW w:w="592" w:type="pct"/>
            <w:vAlign w:val="center"/>
          </w:tcPr>
          <w:p>
            <w:pPr>
              <w:widowControl/>
              <w:ind w:firstLine="0" w:firstLineChars="0"/>
              <w:jc w:val="center"/>
              <w:textAlignment w:val="center"/>
              <w:rPr>
                <w:color w:val="auto"/>
                <w:sz w:val="21"/>
                <w:szCs w:val="21"/>
              </w:rPr>
            </w:pPr>
            <w:r>
              <w:rPr>
                <w:rFonts w:hint="eastAsia" w:eastAsia="华文仿宋"/>
                <w:color w:val="auto"/>
                <w:kern w:val="0"/>
                <w:sz w:val="21"/>
                <w:szCs w:val="21"/>
                <w:lang w:bidi="ar"/>
              </w:rPr>
              <w:t>20</w:t>
            </w:r>
            <w:r>
              <w:rPr>
                <w:rFonts w:eastAsia="华文仿宋"/>
                <w:color w:val="auto"/>
                <w:kern w:val="0"/>
                <w:sz w:val="21"/>
                <w:szCs w:val="21"/>
                <w:lang w:bidi="ar"/>
              </w:rPr>
              <w:t>MPN/L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7" w:type="pct"/>
            <w:vAlign w:val="center"/>
          </w:tcPr>
          <w:p>
            <w:pPr>
              <w:spacing w:line="312" w:lineRule="exact"/>
              <w:ind w:firstLine="0" w:firstLineChars="0"/>
              <w:jc w:val="center"/>
              <w:rPr>
                <w:color w:val="auto"/>
                <w:sz w:val="21"/>
                <w:szCs w:val="21"/>
              </w:rPr>
            </w:pPr>
            <w:r>
              <w:rPr>
                <w:rFonts w:hint="eastAsia"/>
                <w:color w:val="auto"/>
                <w:sz w:val="21"/>
                <w:szCs w:val="21"/>
              </w:rPr>
              <w:t>40</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菌落总数</w:t>
            </w:r>
          </w:p>
        </w:tc>
        <w:tc>
          <w:tcPr>
            <w:tcW w:w="1724" w:type="pct"/>
            <w:vAlign w:val="center"/>
          </w:tcPr>
          <w:p>
            <w:pPr>
              <w:widowControl/>
              <w:spacing w:line="312" w:lineRule="exact"/>
              <w:ind w:firstLine="0" w:firstLineChars="0"/>
              <w:jc w:val="center"/>
              <w:rPr>
                <w:color w:val="auto"/>
                <w:sz w:val="21"/>
                <w:szCs w:val="21"/>
              </w:rPr>
            </w:pPr>
            <w:r>
              <w:rPr>
                <w:color w:val="auto"/>
                <w:kern w:val="0"/>
                <w:sz w:val="21"/>
                <w:szCs w:val="21"/>
              </w:rPr>
              <w:t>GB/T 5750.12-2006 生活饮用水标准检验方法 微生物指标1.1 平皿计数法</w:t>
            </w:r>
          </w:p>
        </w:tc>
        <w:tc>
          <w:tcPr>
            <w:tcW w:w="949" w:type="pct"/>
            <w:vAlign w:val="center"/>
          </w:tcPr>
          <w:p>
            <w:pPr>
              <w:spacing w:line="312" w:lineRule="exact"/>
              <w:ind w:firstLine="0" w:firstLineChars="0"/>
              <w:jc w:val="center"/>
              <w:rPr>
                <w:color w:val="auto"/>
                <w:sz w:val="21"/>
                <w:szCs w:val="21"/>
              </w:rPr>
            </w:pPr>
            <w:r>
              <w:rPr>
                <w:color w:val="auto"/>
                <w:sz w:val="21"/>
                <w:szCs w:val="21"/>
              </w:rPr>
              <w:t>MJX-80 生化（霉菌）培养箱</w:t>
            </w:r>
          </w:p>
        </w:tc>
        <w:tc>
          <w:tcPr>
            <w:tcW w:w="599" w:type="pct"/>
            <w:vAlign w:val="center"/>
          </w:tcPr>
          <w:p>
            <w:pPr>
              <w:spacing w:line="312" w:lineRule="exact"/>
              <w:ind w:firstLine="0" w:firstLineChars="0"/>
              <w:jc w:val="center"/>
              <w:rPr>
                <w:color w:val="auto"/>
                <w:sz w:val="21"/>
                <w:szCs w:val="21"/>
              </w:rPr>
            </w:pPr>
            <w:r>
              <w:rPr>
                <w:color w:val="auto"/>
                <w:sz w:val="21"/>
                <w:szCs w:val="21"/>
              </w:rPr>
              <w:t>DT/J-006</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7" w:type="pct"/>
            <w:vAlign w:val="center"/>
          </w:tcPr>
          <w:p>
            <w:pPr>
              <w:spacing w:line="312" w:lineRule="exact"/>
              <w:ind w:firstLine="0" w:firstLineChars="0"/>
              <w:jc w:val="center"/>
              <w:rPr>
                <w:color w:val="auto"/>
                <w:sz w:val="21"/>
                <w:szCs w:val="21"/>
              </w:rPr>
            </w:pPr>
            <w:r>
              <w:rPr>
                <w:rFonts w:hint="eastAsia"/>
                <w:color w:val="auto"/>
                <w:sz w:val="21"/>
                <w:szCs w:val="21"/>
              </w:rPr>
              <w:t>41</w:t>
            </w:r>
          </w:p>
        </w:tc>
        <w:tc>
          <w:tcPr>
            <w:tcW w:w="846" w:type="pct"/>
            <w:vAlign w:val="center"/>
          </w:tcPr>
          <w:p>
            <w:pPr>
              <w:widowControl/>
              <w:spacing w:line="312" w:lineRule="exact"/>
              <w:ind w:firstLine="0" w:firstLineChars="0"/>
              <w:jc w:val="center"/>
              <w:rPr>
                <w:color w:val="auto"/>
                <w:sz w:val="21"/>
                <w:szCs w:val="21"/>
              </w:rPr>
            </w:pPr>
            <w:r>
              <w:rPr>
                <w:color w:val="auto"/>
                <w:sz w:val="21"/>
                <w:szCs w:val="21"/>
              </w:rPr>
              <w:t>石油类</w:t>
            </w:r>
          </w:p>
        </w:tc>
        <w:tc>
          <w:tcPr>
            <w:tcW w:w="1724" w:type="pct"/>
            <w:vAlign w:val="center"/>
          </w:tcPr>
          <w:p>
            <w:pPr>
              <w:widowControl/>
              <w:spacing w:line="312" w:lineRule="exact"/>
              <w:ind w:firstLine="0" w:firstLineChars="0"/>
              <w:jc w:val="center"/>
              <w:rPr>
                <w:color w:val="auto"/>
                <w:sz w:val="21"/>
                <w:szCs w:val="21"/>
              </w:rPr>
            </w:pPr>
            <w:r>
              <w:rPr>
                <w:color w:val="auto"/>
                <w:sz w:val="21"/>
                <w:szCs w:val="21"/>
              </w:rPr>
              <w:t>HJ 970-2018 水质 石油类的测定 紫外分光光度法（试行）</w:t>
            </w:r>
          </w:p>
        </w:tc>
        <w:tc>
          <w:tcPr>
            <w:tcW w:w="949" w:type="pct"/>
            <w:vAlign w:val="center"/>
          </w:tcPr>
          <w:p>
            <w:pPr>
              <w:spacing w:line="312" w:lineRule="exact"/>
              <w:ind w:firstLine="0" w:firstLineChars="0"/>
              <w:jc w:val="center"/>
              <w:rPr>
                <w:color w:val="auto"/>
                <w:sz w:val="21"/>
                <w:szCs w:val="21"/>
              </w:rPr>
            </w:pPr>
            <w:r>
              <w:rPr>
                <w:color w:val="auto"/>
                <w:sz w:val="21"/>
                <w:szCs w:val="21"/>
              </w:rPr>
              <w:t>TU-1810 紫外可见分光光度计</w:t>
            </w:r>
          </w:p>
        </w:tc>
        <w:tc>
          <w:tcPr>
            <w:tcW w:w="599" w:type="pct"/>
            <w:vAlign w:val="center"/>
          </w:tcPr>
          <w:p>
            <w:pPr>
              <w:spacing w:line="312" w:lineRule="exact"/>
              <w:ind w:firstLine="0" w:firstLineChars="0"/>
              <w:jc w:val="center"/>
              <w:rPr>
                <w:color w:val="auto"/>
                <w:sz w:val="21"/>
                <w:szCs w:val="21"/>
              </w:rPr>
            </w:pPr>
            <w:r>
              <w:rPr>
                <w:color w:val="auto"/>
                <w:sz w:val="21"/>
                <w:szCs w:val="21"/>
              </w:rPr>
              <w:t>DT/J-032</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7" w:type="pct"/>
            <w:vAlign w:val="center"/>
          </w:tcPr>
          <w:p>
            <w:pPr>
              <w:spacing w:line="312" w:lineRule="exact"/>
              <w:ind w:firstLine="0" w:firstLineChars="0"/>
              <w:jc w:val="center"/>
              <w:rPr>
                <w:color w:val="auto"/>
                <w:sz w:val="21"/>
                <w:szCs w:val="21"/>
              </w:rPr>
            </w:pPr>
            <w:r>
              <w:rPr>
                <w:rFonts w:hint="eastAsia"/>
                <w:color w:val="auto"/>
                <w:sz w:val="21"/>
                <w:szCs w:val="21"/>
              </w:rPr>
              <w:t>42</w:t>
            </w:r>
          </w:p>
        </w:tc>
        <w:tc>
          <w:tcPr>
            <w:tcW w:w="846" w:type="pct"/>
            <w:vAlign w:val="center"/>
          </w:tcPr>
          <w:p>
            <w:pPr>
              <w:widowControl/>
              <w:spacing w:line="312" w:lineRule="exact"/>
              <w:ind w:firstLine="0" w:firstLineChars="0"/>
              <w:jc w:val="center"/>
              <w:rPr>
                <w:color w:val="auto"/>
                <w:sz w:val="21"/>
                <w:szCs w:val="21"/>
              </w:rPr>
            </w:pPr>
            <w:r>
              <w:rPr>
                <w:color w:val="auto"/>
                <w:kern w:val="0"/>
                <w:sz w:val="21"/>
                <w:szCs w:val="21"/>
              </w:rPr>
              <w:t>Ca</w:t>
            </w:r>
            <w:r>
              <w:rPr>
                <w:color w:val="auto"/>
                <w:kern w:val="0"/>
                <w:sz w:val="21"/>
                <w:szCs w:val="21"/>
                <w:vertAlign w:val="superscript"/>
              </w:rPr>
              <w:t>2+</w:t>
            </w:r>
          </w:p>
        </w:tc>
        <w:tc>
          <w:tcPr>
            <w:tcW w:w="1724" w:type="pct"/>
            <w:vAlign w:val="center"/>
          </w:tcPr>
          <w:p>
            <w:pPr>
              <w:widowControl/>
              <w:spacing w:line="312" w:lineRule="exact"/>
              <w:ind w:firstLine="0" w:firstLineChars="0"/>
              <w:jc w:val="center"/>
              <w:rPr>
                <w:color w:val="auto"/>
                <w:sz w:val="21"/>
                <w:szCs w:val="21"/>
              </w:rPr>
            </w:pPr>
            <w:r>
              <w:rPr>
                <w:color w:val="auto"/>
                <w:kern w:val="0"/>
                <w:sz w:val="21"/>
                <w:szCs w:val="21"/>
              </w:rPr>
              <w:t>DZ 0064.13-2021 地下水质分析方法 第13部分：钙量的测定 乙二胺四乙酸二钠滴定法</w:t>
            </w:r>
          </w:p>
        </w:tc>
        <w:tc>
          <w:tcPr>
            <w:tcW w:w="949" w:type="pct"/>
            <w:vAlign w:val="center"/>
          </w:tcPr>
          <w:p>
            <w:pPr>
              <w:spacing w:line="312" w:lineRule="exact"/>
              <w:ind w:firstLine="0" w:firstLineChars="0"/>
              <w:jc w:val="center"/>
              <w:rPr>
                <w:color w:val="auto"/>
                <w:sz w:val="21"/>
                <w:szCs w:val="21"/>
              </w:rPr>
            </w:pPr>
            <w:r>
              <w:rPr>
                <w:color w:val="auto"/>
                <w:sz w:val="21"/>
                <w:szCs w:val="21"/>
              </w:rPr>
              <w:t>25ml酸式滴定管</w:t>
            </w:r>
          </w:p>
        </w:tc>
        <w:tc>
          <w:tcPr>
            <w:tcW w:w="599" w:type="pct"/>
            <w:vAlign w:val="center"/>
          </w:tcPr>
          <w:p>
            <w:pPr>
              <w:spacing w:line="312" w:lineRule="exact"/>
              <w:ind w:firstLine="0" w:firstLineChars="0"/>
              <w:jc w:val="center"/>
              <w:rPr>
                <w:color w:val="auto"/>
                <w:sz w:val="21"/>
                <w:szCs w:val="21"/>
              </w:rPr>
            </w:pPr>
            <w:r>
              <w:rPr>
                <w:color w:val="auto"/>
                <w:sz w:val="21"/>
                <w:szCs w:val="21"/>
              </w:rPr>
              <w:t>DT/B-002</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7" w:type="pct"/>
            <w:vAlign w:val="center"/>
          </w:tcPr>
          <w:p>
            <w:pPr>
              <w:spacing w:line="312" w:lineRule="exact"/>
              <w:ind w:firstLine="0" w:firstLineChars="0"/>
              <w:jc w:val="center"/>
              <w:rPr>
                <w:color w:val="auto"/>
                <w:sz w:val="21"/>
                <w:szCs w:val="21"/>
              </w:rPr>
            </w:pPr>
            <w:r>
              <w:rPr>
                <w:rFonts w:hint="eastAsia"/>
                <w:color w:val="auto"/>
                <w:sz w:val="21"/>
                <w:szCs w:val="21"/>
              </w:rPr>
              <w:t>43</w:t>
            </w:r>
          </w:p>
        </w:tc>
        <w:tc>
          <w:tcPr>
            <w:tcW w:w="846" w:type="pct"/>
            <w:vAlign w:val="center"/>
          </w:tcPr>
          <w:p>
            <w:pPr>
              <w:widowControl/>
              <w:spacing w:line="312" w:lineRule="exact"/>
              <w:ind w:firstLine="0" w:firstLineChars="0"/>
              <w:jc w:val="center"/>
              <w:rPr>
                <w:color w:val="auto"/>
                <w:sz w:val="21"/>
                <w:szCs w:val="21"/>
              </w:rPr>
            </w:pPr>
            <w:r>
              <w:rPr>
                <w:color w:val="auto"/>
                <w:kern w:val="0"/>
                <w:sz w:val="21"/>
                <w:szCs w:val="21"/>
              </w:rPr>
              <w:t>Mg</w:t>
            </w:r>
            <w:r>
              <w:rPr>
                <w:color w:val="auto"/>
                <w:kern w:val="0"/>
                <w:sz w:val="21"/>
                <w:szCs w:val="21"/>
                <w:vertAlign w:val="superscript"/>
              </w:rPr>
              <w:t>2+</w:t>
            </w:r>
          </w:p>
        </w:tc>
        <w:tc>
          <w:tcPr>
            <w:tcW w:w="1724" w:type="pct"/>
            <w:vAlign w:val="center"/>
          </w:tcPr>
          <w:p>
            <w:pPr>
              <w:widowControl/>
              <w:spacing w:line="312" w:lineRule="exact"/>
              <w:ind w:firstLine="0" w:firstLineChars="0"/>
              <w:jc w:val="center"/>
              <w:rPr>
                <w:color w:val="auto"/>
                <w:sz w:val="21"/>
                <w:szCs w:val="21"/>
              </w:rPr>
            </w:pPr>
            <w:r>
              <w:rPr>
                <w:color w:val="auto"/>
                <w:kern w:val="0"/>
                <w:sz w:val="21"/>
                <w:szCs w:val="21"/>
              </w:rPr>
              <w:t>DZ 0064.14-2021 地下水质分析方法 第14部分：镁量的测定 乙二胺四乙酸二钠滴定法</w:t>
            </w:r>
          </w:p>
        </w:tc>
        <w:tc>
          <w:tcPr>
            <w:tcW w:w="949" w:type="pct"/>
            <w:vAlign w:val="center"/>
          </w:tcPr>
          <w:p>
            <w:pPr>
              <w:spacing w:line="312" w:lineRule="exact"/>
              <w:ind w:firstLine="0" w:firstLineChars="0"/>
              <w:jc w:val="center"/>
              <w:rPr>
                <w:color w:val="auto"/>
                <w:sz w:val="21"/>
                <w:szCs w:val="21"/>
              </w:rPr>
            </w:pPr>
            <w:r>
              <w:rPr>
                <w:color w:val="auto"/>
                <w:sz w:val="21"/>
                <w:szCs w:val="21"/>
              </w:rPr>
              <w:t>25ml酸式滴定管</w:t>
            </w:r>
          </w:p>
        </w:tc>
        <w:tc>
          <w:tcPr>
            <w:tcW w:w="599" w:type="pct"/>
            <w:vAlign w:val="center"/>
          </w:tcPr>
          <w:p>
            <w:pPr>
              <w:spacing w:line="312" w:lineRule="exact"/>
              <w:ind w:firstLine="0" w:firstLineChars="0"/>
              <w:jc w:val="center"/>
              <w:rPr>
                <w:color w:val="auto"/>
                <w:sz w:val="21"/>
                <w:szCs w:val="21"/>
              </w:rPr>
            </w:pPr>
            <w:r>
              <w:rPr>
                <w:color w:val="auto"/>
                <w:sz w:val="21"/>
                <w:szCs w:val="21"/>
              </w:rPr>
              <w:t>DT/B-002</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7" w:type="pct"/>
            <w:vAlign w:val="center"/>
          </w:tcPr>
          <w:p>
            <w:pPr>
              <w:spacing w:line="312" w:lineRule="exact"/>
              <w:ind w:firstLine="0" w:firstLineChars="0"/>
              <w:jc w:val="center"/>
              <w:rPr>
                <w:color w:val="auto"/>
                <w:sz w:val="21"/>
                <w:szCs w:val="21"/>
              </w:rPr>
            </w:pPr>
            <w:r>
              <w:rPr>
                <w:rFonts w:hint="eastAsia"/>
                <w:color w:val="auto"/>
                <w:sz w:val="21"/>
                <w:szCs w:val="21"/>
              </w:rPr>
              <w:t>44</w:t>
            </w:r>
          </w:p>
        </w:tc>
        <w:tc>
          <w:tcPr>
            <w:tcW w:w="846" w:type="pct"/>
            <w:vAlign w:val="center"/>
          </w:tcPr>
          <w:p>
            <w:pPr>
              <w:widowControl/>
              <w:spacing w:line="312" w:lineRule="exact"/>
              <w:ind w:firstLine="0" w:firstLineChars="0"/>
              <w:jc w:val="center"/>
              <w:rPr>
                <w:color w:val="auto"/>
                <w:sz w:val="21"/>
                <w:szCs w:val="21"/>
              </w:rPr>
            </w:pPr>
            <w:r>
              <w:rPr>
                <w:color w:val="auto"/>
                <w:kern w:val="0"/>
                <w:sz w:val="21"/>
                <w:szCs w:val="21"/>
              </w:rPr>
              <w:t>CO</w:t>
            </w:r>
            <w:r>
              <w:rPr>
                <w:color w:val="auto"/>
                <w:kern w:val="0"/>
                <w:sz w:val="21"/>
                <w:szCs w:val="21"/>
                <w:vertAlign w:val="subscript"/>
              </w:rPr>
              <w:t>3</w:t>
            </w:r>
            <w:r>
              <w:rPr>
                <w:color w:val="auto"/>
                <w:kern w:val="0"/>
                <w:sz w:val="21"/>
                <w:szCs w:val="21"/>
                <w:vertAlign w:val="superscript"/>
              </w:rPr>
              <w:t>2-</w:t>
            </w:r>
          </w:p>
        </w:tc>
        <w:tc>
          <w:tcPr>
            <w:tcW w:w="1724" w:type="pct"/>
            <w:vMerge w:val="restart"/>
            <w:vAlign w:val="center"/>
          </w:tcPr>
          <w:p>
            <w:pPr>
              <w:widowControl/>
              <w:spacing w:line="312" w:lineRule="exact"/>
              <w:ind w:firstLine="0" w:firstLineChars="0"/>
              <w:jc w:val="center"/>
              <w:rPr>
                <w:color w:val="auto"/>
                <w:sz w:val="21"/>
                <w:szCs w:val="21"/>
              </w:rPr>
            </w:pPr>
            <w:r>
              <w:rPr>
                <w:color w:val="auto"/>
                <w:kern w:val="0"/>
                <w:sz w:val="21"/>
                <w:szCs w:val="21"/>
              </w:rPr>
              <w:t>DZ/T 0064.49-2021 地下水质分析方法 第49部分：碳酸根、重碳酸根和氢氧根离子的测定 滴定法</w:t>
            </w:r>
          </w:p>
        </w:tc>
        <w:tc>
          <w:tcPr>
            <w:tcW w:w="949" w:type="pct"/>
            <w:vMerge w:val="restart"/>
            <w:vAlign w:val="center"/>
          </w:tcPr>
          <w:p>
            <w:pPr>
              <w:spacing w:line="312" w:lineRule="exact"/>
              <w:ind w:firstLine="0" w:firstLineChars="0"/>
              <w:jc w:val="center"/>
              <w:rPr>
                <w:color w:val="auto"/>
                <w:sz w:val="21"/>
                <w:szCs w:val="21"/>
              </w:rPr>
            </w:pPr>
            <w:r>
              <w:rPr>
                <w:color w:val="auto"/>
                <w:sz w:val="21"/>
                <w:szCs w:val="21"/>
              </w:rPr>
              <w:t>25ml酸式滴定管</w:t>
            </w:r>
          </w:p>
        </w:tc>
        <w:tc>
          <w:tcPr>
            <w:tcW w:w="599" w:type="pct"/>
            <w:vMerge w:val="restart"/>
            <w:vAlign w:val="center"/>
          </w:tcPr>
          <w:p>
            <w:pPr>
              <w:spacing w:line="312" w:lineRule="exact"/>
              <w:ind w:firstLine="0" w:firstLineChars="0"/>
              <w:jc w:val="center"/>
              <w:rPr>
                <w:color w:val="auto"/>
                <w:sz w:val="21"/>
                <w:szCs w:val="21"/>
              </w:rPr>
            </w:pPr>
            <w:r>
              <w:rPr>
                <w:color w:val="auto"/>
                <w:sz w:val="21"/>
                <w:szCs w:val="21"/>
              </w:rPr>
              <w:t>DT/B-186</w:t>
            </w: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7" w:type="pct"/>
            <w:vAlign w:val="center"/>
          </w:tcPr>
          <w:p>
            <w:pPr>
              <w:spacing w:line="312" w:lineRule="exact"/>
              <w:ind w:firstLine="0" w:firstLineChars="0"/>
              <w:jc w:val="center"/>
              <w:rPr>
                <w:color w:val="auto"/>
                <w:sz w:val="21"/>
                <w:szCs w:val="21"/>
              </w:rPr>
            </w:pPr>
            <w:r>
              <w:rPr>
                <w:rFonts w:hint="eastAsia"/>
                <w:color w:val="auto"/>
                <w:sz w:val="21"/>
                <w:szCs w:val="21"/>
              </w:rPr>
              <w:t>45</w:t>
            </w:r>
          </w:p>
        </w:tc>
        <w:tc>
          <w:tcPr>
            <w:tcW w:w="846" w:type="pct"/>
            <w:vAlign w:val="center"/>
          </w:tcPr>
          <w:p>
            <w:pPr>
              <w:widowControl/>
              <w:spacing w:line="312" w:lineRule="exact"/>
              <w:ind w:firstLine="0" w:firstLineChars="0"/>
              <w:jc w:val="center"/>
              <w:rPr>
                <w:color w:val="auto"/>
                <w:sz w:val="21"/>
                <w:szCs w:val="21"/>
              </w:rPr>
            </w:pPr>
            <w:r>
              <w:rPr>
                <w:color w:val="auto"/>
                <w:kern w:val="0"/>
                <w:sz w:val="21"/>
                <w:szCs w:val="21"/>
              </w:rPr>
              <w:t>HCO</w:t>
            </w:r>
            <w:r>
              <w:rPr>
                <w:color w:val="auto"/>
                <w:kern w:val="0"/>
                <w:sz w:val="21"/>
                <w:szCs w:val="21"/>
                <w:vertAlign w:val="subscript"/>
              </w:rPr>
              <w:t>3</w:t>
            </w:r>
            <w:r>
              <w:rPr>
                <w:color w:val="auto"/>
                <w:kern w:val="0"/>
                <w:sz w:val="21"/>
                <w:szCs w:val="21"/>
                <w:vertAlign w:val="superscript"/>
              </w:rPr>
              <w:t>-</w:t>
            </w:r>
          </w:p>
        </w:tc>
        <w:tc>
          <w:tcPr>
            <w:tcW w:w="1724" w:type="pct"/>
            <w:vMerge w:val="continue"/>
            <w:vAlign w:val="center"/>
          </w:tcPr>
          <w:p>
            <w:pPr>
              <w:widowControl/>
              <w:spacing w:line="312" w:lineRule="exact"/>
              <w:ind w:firstLine="0" w:firstLineChars="0"/>
              <w:jc w:val="center"/>
              <w:rPr>
                <w:color w:val="auto"/>
                <w:sz w:val="21"/>
                <w:szCs w:val="21"/>
              </w:rPr>
            </w:pPr>
          </w:p>
        </w:tc>
        <w:tc>
          <w:tcPr>
            <w:tcW w:w="949" w:type="pct"/>
            <w:vMerge w:val="continue"/>
            <w:vAlign w:val="center"/>
          </w:tcPr>
          <w:p>
            <w:pPr>
              <w:spacing w:line="312" w:lineRule="exact"/>
              <w:ind w:firstLine="0" w:firstLineChars="0"/>
              <w:jc w:val="center"/>
              <w:rPr>
                <w:color w:val="auto"/>
                <w:sz w:val="21"/>
                <w:szCs w:val="21"/>
              </w:rPr>
            </w:pPr>
          </w:p>
        </w:tc>
        <w:tc>
          <w:tcPr>
            <w:tcW w:w="599" w:type="pct"/>
            <w:vMerge w:val="continue"/>
            <w:vAlign w:val="center"/>
          </w:tcPr>
          <w:p>
            <w:pPr>
              <w:spacing w:line="312" w:lineRule="exact"/>
              <w:ind w:firstLine="0" w:firstLineChars="0"/>
              <w:jc w:val="center"/>
              <w:rPr>
                <w:color w:val="auto"/>
                <w:sz w:val="21"/>
                <w:szCs w:val="21"/>
              </w:rPr>
            </w:pPr>
          </w:p>
        </w:tc>
        <w:tc>
          <w:tcPr>
            <w:tcW w:w="592" w:type="pct"/>
            <w:vAlign w:val="center"/>
          </w:tcPr>
          <w:p>
            <w:pPr>
              <w:widowControl/>
              <w:ind w:firstLine="0" w:firstLineChars="0"/>
              <w:jc w:val="center"/>
              <w:textAlignment w:val="center"/>
              <w:rPr>
                <w:color w:val="auto"/>
                <w:sz w:val="21"/>
                <w:szCs w:val="21"/>
              </w:rPr>
            </w:pPr>
            <w:r>
              <w:rPr>
                <w:rFonts w:eastAsia="华文仿宋"/>
                <w:color w:val="auto"/>
                <w:kern w:val="0"/>
                <w:sz w:val="21"/>
                <w:szCs w:val="21"/>
                <w:lang w:bidi="ar"/>
              </w:rPr>
              <w:t>5</w:t>
            </w:r>
          </w:p>
        </w:tc>
      </w:tr>
    </w:tbl>
    <w:p>
      <w:pPr>
        <w:pStyle w:val="10"/>
        <w:spacing w:line="360" w:lineRule="auto"/>
        <w:rPr>
          <w:color w:val="auto"/>
        </w:rPr>
      </w:pPr>
      <w:r>
        <w:rPr>
          <w:rFonts w:hint="eastAsia"/>
          <w:color w:val="auto"/>
        </w:rPr>
        <w:t>4</w:t>
      </w:r>
      <w:r>
        <w:rPr>
          <w:color w:val="auto"/>
        </w:rPr>
        <w:t>.3.1.4 监测单位、采样时间</w:t>
      </w:r>
    </w:p>
    <w:p>
      <w:pPr>
        <w:ind w:firstLine="480"/>
        <w:rPr>
          <w:color w:val="auto"/>
        </w:rPr>
      </w:pPr>
      <w:r>
        <w:rPr>
          <w:color w:val="auto"/>
        </w:rPr>
        <w:t>监测单位：</w:t>
      </w:r>
      <w:r>
        <w:rPr>
          <w:rFonts w:hint="eastAsia"/>
          <w:color w:val="auto"/>
        </w:rPr>
        <w:t>山东典图生态环境工程有限公司</w:t>
      </w:r>
    </w:p>
    <w:p>
      <w:pPr>
        <w:ind w:firstLine="480"/>
        <w:rPr>
          <w:color w:val="auto"/>
        </w:rPr>
      </w:pPr>
      <w:r>
        <w:rPr>
          <w:color w:val="auto"/>
        </w:rPr>
        <w:t>监测时间和频率：202</w:t>
      </w:r>
      <w:r>
        <w:rPr>
          <w:rFonts w:hint="eastAsia"/>
          <w:color w:val="auto"/>
        </w:rPr>
        <w:t>2</w:t>
      </w:r>
      <w:r>
        <w:rPr>
          <w:color w:val="auto"/>
        </w:rPr>
        <w:t>年</w:t>
      </w:r>
      <w:r>
        <w:rPr>
          <w:rFonts w:hint="eastAsia"/>
          <w:color w:val="auto"/>
        </w:rPr>
        <w:t>05</w:t>
      </w:r>
      <w:r>
        <w:rPr>
          <w:color w:val="auto"/>
        </w:rPr>
        <w:t>月</w:t>
      </w:r>
      <w:r>
        <w:rPr>
          <w:rFonts w:hint="eastAsia"/>
          <w:color w:val="auto"/>
        </w:rPr>
        <w:t>16</w:t>
      </w:r>
      <w:r>
        <w:rPr>
          <w:color w:val="auto"/>
        </w:rPr>
        <w:t>日</w:t>
      </w:r>
      <w:r>
        <w:rPr>
          <w:rFonts w:hint="eastAsia"/>
          <w:color w:val="auto"/>
          <w:lang w:eastAsia="zh-CN"/>
        </w:rPr>
        <w:t>、</w:t>
      </w:r>
      <w:r>
        <w:rPr>
          <w:rFonts w:hint="eastAsia"/>
          <w:color w:val="auto"/>
          <w:lang w:val="en-US" w:eastAsia="zh-CN"/>
        </w:rPr>
        <w:t>2022年09月21日</w:t>
      </w:r>
      <w:r>
        <w:rPr>
          <w:color w:val="auto"/>
        </w:rPr>
        <w:t>。监测一天，采样一次。</w:t>
      </w:r>
    </w:p>
    <w:p>
      <w:pPr>
        <w:pStyle w:val="10"/>
        <w:spacing w:line="360" w:lineRule="auto"/>
        <w:rPr>
          <w:color w:val="auto"/>
        </w:rPr>
      </w:pPr>
      <w:r>
        <w:rPr>
          <w:rFonts w:hint="eastAsia"/>
          <w:color w:val="auto"/>
        </w:rPr>
        <w:t>4</w:t>
      </w:r>
      <w:r>
        <w:rPr>
          <w:color w:val="auto"/>
        </w:rPr>
        <w:t>.3.1.5 监测结果</w:t>
      </w:r>
    </w:p>
    <w:p>
      <w:pPr>
        <w:ind w:firstLine="480"/>
        <w:rPr>
          <w:color w:val="auto"/>
        </w:rPr>
      </w:pPr>
      <w:r>
        <w:rPr>
          <w:color w:val="auto"/>
        </w:rPr>
        <w:t>202</w:t>
      </w:r>
      <w:r>
        <w:rPr>
          <w:rFonts w:hint="eastAsia"/>
          <w:color w:val="auto"/>
        </w:rPr>
        <w:t>2</w:t>
      </w:r>
      <w:r>
        <w:rPr>
          <w:color w:val="auto"/>
        </w:rPr>
        <w:t>年</w:t>
      </w:r>
      <w:r>
        <w:rPr>
          <w:rFonts w:hint="eastAsia"/>
          <w:color w:val="auto"/>
        </w:rPr>
        <w:t>05</w:t>
      </w:r>
      <w:r>
        <w:rPr>
          <w:color w:val="auto"/>
        </w:rPr>
        <w:t>月</w:t>
      </w:r>
      <w:r>
        <w:rPr>
          <w:rFonts w:hint="eastAsia"/>
          <w:color w:val="auto"/>
        </w:rPr>
        <w:t>16</w:t>
      </w:r>
      <w:r>
        <w:rPr>
          <w:color w:val="auto"/>
        </w:rPr>
        <w:t>日地下水检测期间参数如下表。</w:t>
      </w:r>
    </w:p>
    <w:p>
      <w:pPr>
        <w:pStyle w:val="48"/>
        <w:rPr>
          <w:bCs/>
          <w:color w:val="auto"/>
        </w:rPr>
      </w:pPr>
      <w:r>
        <w:rPr>
          <w:bCs/>
          <w:color w:val="auto"/>
        </w:rPr>
        <w:t xml:space="preserve">表 </w:t>
      </w:r>
      <w:r>
        <w:rPr>
          <w:rFonts w:hint="eastAsia"/>
          <w:bCs/>
          <w:color w:val="auto"/>
        </w:rPr>
        <w:t>4</w:t>
      </w:r>
      <w:r>
        <w:rPr>
          <w:bCs/>
          <w:color w:val="auto"/>
        </w:rPr>
        <w:t>.3-3 地下水检测期间参数统计表</w:t>
      </w:r>
    </w:p>
    <w:tbl>
      <w:tblPr>
        <w:tblStyle w:val="2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50"/>
        <w:gridCol w:w="1641"/>
        <w:gridCol w:w="1047"/>
        <w:gridCol w:w="1159"/>
        <w:gridCol w:w="1159"/>
        <w:gridCol w:w="1562"/>
        <w:gridCol w:w="15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20" w:type="pct"/>
            <w:vAlign w:val="center"/>
          </w:tcPr>
          <w:p>
            <w:pPr>
              <w:widowControl/>
              <w:spacing w:line="240" w:lineRule="auto"/>
              <w:ind w:firstLine="0" w:firstLineChars="0"/>
              <w:jc w:val="center"/>
              <w:rPr>
                <w:b/>
                <w:bCs/>
                <w:color w:val="auto"/>
                <w:kern w:val="0"/>
                <w:sz w:val="21"/>
                <w:szCs w:val="21"/>
              </w:rPr>
            </w:pPr>
            <w:r>
              <w:rPr>
                <w:b/>
                <w:bCs/>
                <w:color w:val="auto"/>
                <w:kern w:val="0"/>
                <w:sz w:val="21"/>
                <w:szCs w:val="21"/>
              </w:rPr>
              <w:t>采样点位</w:t>
            </w:r>
          </w:p>
        </w:tc>
        <w:tc>
          <w:tcPr>
            <w:tcW w:w="884" w:type="pct"/>
            <w:vAlign w:val="center"/>
          </w:tcPr>
          <w:p>
            <w:pPr>
              <w:widowControl/>
              <w:spacing w:line="240" w:lineRule="auto"/>
              <w:ind w:firstLine="0" w:firstLineChars="0"/>
              <w:jc w:val="center"/>
              <w:rPr>
                <w:b/>
                <w:bCs/>
                <w:color w:val="auto"/>
                <w:kern w:val="0"/>
                <w:sz w:val="21"/>
                <w:szCs w:val="21"/>
              </w:rPr>
            </w:pPr>
            <w:r>
              <w:rPr>
                <w:b/>
                <w:bCs/>
                <w:color w:val="auto"/>
                <w:kern w:val="0"/>
                <w:sz w:val="21"/>
                <w:szCs w:val="21"/>
              </w:rPr>
              <w:t>坐标</w:t>
            </w:r>
          </w:p>
        </w:tc>
        <w:tc>
          <w:tcPr>
            <w:tcW w:w="564" w:type="pct"/>
            <w:vAlign w:val="center"/>
          </w:tcPr>
          <w:p>
            <w:pPr>
              <w:widowControl/>
              <w:spacing w:line="240" w:lineRule="auto"/>
              <w:ind w:firstLine="0" w:firstLineChars="0"/>
              <w:jc w:val="center"/>
              <w:rPr>
                <w:b/>
                <w:bCs/>
                <w:color w:val="auto"/>
                <w:kern w:val="0"/>
                <w:sz w:val="21"/>
                <w:szCs w:val="21"/>
              </w:rPr>
            </w:pPr>
            <w:r>
              <w:rPr>
                <w:b/>
                <w:bCs/>
                <w:color w:val="auto"/>
                <w:kern w:val="0"/>
                <w:sz w:val="21"/>
                <w:szCs w:val="21"/>
              </w:rPr>
              <w:t>水温（℃）</w:t>
            </w:r>
          </w:p>
        </w:tc>
        <w:tc>
          <w:tcPr>
            <w:tcW w:w="624" w:type="pct"/>
            <w:vAlign w:val="center"/>
          </w:tcPr>
          <w:p>
            <w:pPr>
              <w:widowControl/>
              <w:spacing w:line="240" w:lineRule="auto"/>
              <w:ind w:firstLine="0" w:firstLineChars="0"/>
              <w:jc w:val="center"/>
              <w:rPr>
                <w:b/>
                <w:bCs/>
                <w:color w:val="auto"/>
                <w:kern w:val="0"/>
                <w:sz w:val="21"/>
                <w:szCs w:val="21"/>
              </w:rPr>
            </w:pPr>
            <w:r>
              <w:rPr>
                <w:b/>
                <w:bCs/>
                <w:color w:val="auto"/>
                <w:kern w:val="0"/>
                <w:sz w:val="21"/>
                <w:szCs w:val="21"/>
              </w:rPr>
              <w:t>井深（m）</w:t>
            </w:r>
          </w:p>
        </w:tc>
        <w:tc>
          <w:tcPr>
            <w:tcW w:w="624" w:type="pct"/>
            <w:vAlign w:val="center"/>
          </w:tcPr>
          <w:p>
            <w:pPr>
              <w:widowControl/>
              <w:spacing w:line="240" w:lineRule="auto"/>
              <w:ind w:firstLine="0" w:firstLineChars="0"/>
              <w:jc w:val="center"/>
              <w:rPr>
                <w:b/>
                <w:bCs/>
                <w:color w:val="auto"/>
                <w:kern w:val="0"/>
                <w:sz w:val="21"/>
                <w:szCs w:val="21"/>
              </w:rPr>
            </w:pPr>
            <w:r>
              <w:rPr>
                <w:b/>
                <w:bCs/>
                <w:color w:val="auto"/>
                <w:kern w:val="0"/>
                <w:sz w:val="21"/>
                <w:szCs w:val="21"/>
              </w:rPr>
              <w:t>埋深（m）</w:t>
            </w:r>
          </w:p>
        </w:tc>
        <w:tc>
          <w:tcPr>
            <w:tcW w:w="841" w:type="pct"/>
            <w:vAlign w:val="center"/>
          </w:tcPr>
          <w:p>
            <w:pPr>
              <w:widowControl/>
              <w:spacing w:line="240" w:lineRule="auto"/>
              <w:ind w:firstLine="0" w:firstLineChars="0"/>
              <w:jc w:val="center"/>
              <w:rPr>
                <w:b/>
                <w:bCs/>
                <w:color w:val="auto"/>
                <w:kern w:val="0"/>
                <w:sz w:val="21"/>
                <w:szCs w:val="21"/>
              </w:rPr>
            </w:pPr>
            <w:r>
              <w:rPr>
                <w:rFonts w:hint="eastAsia"/>
                <w:b/>
                <w:bCs/>
                <w:color w:val="auto"/>
                <w:kern w:val="0"/>
                <w:sz w:val="21"/>
                <w:szCs w:val="21"/>
              </w:rPr>
              <w:t>水位（m）</w:t>
            </w:r>
          </w:p>
        </w:tc>
        <w:tc>
          <w:tcPr>
            <w:tcW w:w="841" w:type="pct"/>
            <w:vAlign w:val="center"/>
          </w:tcPr>
          <w:p>
            <w:pPr>
              <w:widowControl/>
              <w:spacing w:line="240" w:lineRule="auto"/>
              <w:ind w:firstLine="0" w:firstLineChars="0"/>
              <w:jc w:val="center"/>
              <w:rPr>
                <w:b/>
                <w:bCs/>
                <w:color w:val="auto"/>
                <w:kern w:val="0"/>
                <w:sz w:val="21"/>
                <w:szCs w:val="21"/>
              </w:rPr>
            </w:pPr>
            <w:r>
              <w:rPr>
                <w:b/>
                <w:bCs/>
                <w:color w:val="auto"/>
                <w:kern w:val="0"/>
                <w:sz w:val="21"/>
                <w:szCs w:val="21"/>
              </w:rPr>
              <w:t>水井功能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20" w:type="pct"/>
            <w:vAlign w:val="center"/>
          </w:tcPr>
          <w:p>
            <w:pPr>
              <w:spacing w:line="240" w:lineRule="auto"/>
              <w:ind w:firstLine="0" w:firstLineChars="0"/>
              <w:jc w:val="center"/>
              <w:rPr>
                <w:color w:val="auto"/>
                <w:kern w:val="0"/>
                <w:sz w:val="21"/>
                <w:szCs w:val="21"/>
              </w:rPr>
            </w:pPr>
            <w:r>
              <w:rPr>
                <w:rFonts w:hint="eastAsia"/>
                <w:color w:val="auto"/>
                <w:sz w:val="21"/>
                <w:szCs w:val="21"/>
              </w:rPr>
              <w:t>1#山东工泵电机有限公司</w:t>
            </w:r>
          </w:p>
        </w:tc>
        <w:tc>
          <w:tcPr>
            <w:tcW w:w="884" w:type="pct"/>
            <w:vAlign w:val="center"/>
          </w:tcPr>
          <w:p>
            <w:pPr>
              <w:widowControl/>
              <w:spacing w:line="240" w:lineRule="auto"/>
              <w:ind w:firstLine="0" w:firstLineChars="0"/>
              <w:jc w:val="center"/>
              <w:rPr>
                <w:color w:val="auto"/>
                <w:kern w:val="0"/>
                <w:sz w:val="21"/>
                <w:szCs w:val="21"/>
              </w:rPr>
            </w:pPr>
            <w:r>
              <w:rPr>
                <w:color w:val="auto"/>
                <w:kern w:val="0"/>
                <w:sz w:val="21"/>
                <w:szCs w:val="21"/>
              </w:rPr>
              <w:t>N3</w:t>
            </w:r>
            <w:r>
              <w:rPr>
                <w:rFonts w:hint="eastAsia"/>
                <w:color w:val="auto"/>
                <w:kern w:val="0"/>
                <w:sz w:val="21"/>
                <w:szCs w:val="21"/>
              </w:rPr>
              <w:t>6</w:t>
            </w:r>
            <w:r>
              <w:rPr>
                <w:color w:val="auto"/>
                <w:kern w:val="0"/>
                <w:sz w:val="21"/>
                <w:szCs w:val="21"/>
              </w:rPr>
              <w:t>°</w:t>
            </w:r>
            <w:r>
              <w:rPr>
                <w:rFonts w:hint="eastAsia"/>
                <w:color w:val="auto"/>
                <w:kern w:val="0"/>
                <w:sz w:val="21"/>
                <w:szCs w:val="21"/>
              </w:rPr>
              <w:t>51.7085</w:t>
            </w:r>
            <w:r>
              <w:rPr>
                <w:color w:val="auto"/>
                <w:kern w:val="0"/>
                <w:sz w:val="21"/>
                <w:szCs w:val="21"/>
              </w:rPr>
              <w:t>'  E118°</w:t>
            </w:r>
            <w:r>
              <w:rPr>
                <w:rFonts w:hint="eastAsia"/>
                <w:color w:val="auto"/>
                <w:kern w:val="0"/>
                <w:sz w:val="21"/>
                <w:szCs w:val="21"/>
              </w:rPr>
              <w:t>0.2424</w:t>
            </w:r>
            <w:r>
              <w:rPr>
                <w:color w:val="auto"/>
                <w:kern w:val="0"/>
                <w:sz w:val="21"/>
                <w:szCs w:val="21"/>
              </w:rPr>
              <w:t>'</w:t>
            </w:r>
          </w:p>
        </w:tc>
        <w:tc>
          <w:tcPr>
            <w:tcW w:w="564"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18.4</w:t>
            </w:r>
          </w:p>
        </w:tc>
        <w:tc>
          <w:tcPr>
            <w:tcW w:w="624"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20</w:t>
            </w:r>
          </w:p>
        </w:tc>
        <w:tc>
          <w:tcPr>
            <w:tcW w:w="624"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9.8</w:t>
            </w:r>
          </w:p>
        </w:tc>
        <w:tc>
          <w:tcPr>
            <w:tcW w:w="841" w:type="pct"/>
            <w:vAlign w:val="center"/>
          </w:tcPr>
          <w:p>
            <w:pPr>
              <w:widowControl/>
              <w:spacing w:line="240" w:lineRule="auto"/>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20.4</w:t>
            </w:r>
          </w:p>
        </w:tc>
        <w:tc>
          <w:tcPr>
            <w:tcW w:w="841" w:type="pct"/>
            <w:vAlign w:val="center"/>
          </w:tcPr>
          <w:p>
            <w:pPr>
              <w:widowControl/>
              <w:spacing w:line="240" w:lineRule="auto"/>
              <w:ind w:firstLine="0" w:firstLineChars="0"/>
              <w:jc w:val="center"/>
              <w:rPr>
                <w:color w:val="auto"/>
                <w:kern w:val="0"/>
                <w:sz w:val="21"/>
                <w:szCs w:val="21"/>
              </w:rPr>
            </w:pPr>
            <w:r>
              <w:rPr>
                <w:color w:val="auto"/>
                <w:kern w:val="0"/>
                <w:sz w:val="21"/>
                <w:szCs w:val="21"/>
              </w:rPr>
              <w:t>监测井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20" w:type="pct"/>
            <w:vAlign w:val="center"/>
          </w:tcPr>
          <w:p>
            <w:pPr>
              <w:spacing w:line="240" w:lineRule="auto"/>
              <w:ind w:firstLine="0" w:firstLineChars="0"/>
              <w:jc w:val="center"/>
              <w:rPr>
                <w:color w:val="auto"/>
                <w:kern w:val="0"/>
                <w:sz w:val="21"/>
                <w:szCs w:val="21"/>
              </w:rPr>
            </w:pPr>
            <w:r>
              <w:rPr>
                <w:rFonts w:hint="eastAsia"/>
                <w:color w:val="auto"/>
                <w:sz w:val="21"/>
                <w:szCs w:val="21"/>
              </w:rPr>
              <w:t>2#西吕村</w:t>
            </w:r>
          </w:p>
        </w:tc>
        <w:tc>
          <w:tcPr>
            <w:tcW w:w="884" w:type="pct"/>
            <w:vAlign w:val="center"/>
          </w:tcPr>
          <w:p>
            <w:pPr>
              <w:widowControl/>
              <w:spacing w:line="240" w:lineRule="auto"/>
              <w:ind w:firstLine="0" w:firstLineChars="0"/>
              <w:jc w:val="center"/>
              <w:rPr>
                <w:color w:val="auto"/>
                <w:kern w:val="0"/>
                <w:sz w:val="21"/>
                <w:szCs w:val="21"/>
              </w:rPr>
            </w:pPr>
            <w:r>
              <w:rPr>
                <w:color w:val="auto"/>
                <w:kern w:val="0"/>
                <w:sz w:val="21"/>
                <w:szCs w:val="21"/>
              </w:rPr>
              <w:t>N3</w:t>
            </w:r>
            <w:r>
              <w:rPr>
                <w:rFonts w:hint="eastAsia"/>
                <w:color w:val="auto"/>
                <w:kern w:val="0"/>
                <w:sz w:val="21"/>
                <w:szCs w:val="21"/>
              </w:rPr>
              <w:t>6</w:t>
            </w:r>
            <w:r>
              <w:rPr>
                <w:color w:val="auto"/>
                <w:kern w:val="0"/>
                <w:sz w:val="21"/>
                <w:szCs w:val="21"/>
              </w:rPr>
              <w:t>°</w:t>
            </w:r>
            <w:r>
              <w:rPr>
                <w:rFonts w:hint="eastAsia"/>
                <w:color w:val="auto"/>
                <w:kern w:val="0"/>
                <w:sz w:val="21"/>
                <w:szCs w:val="21"/>
              </w:rPr>
              <w:t>52.43046</w:t>
            </w:r>
            <w:r>
              <w:rPr>
                <w:color w:val="auto"/>
                <w:kern w:val="0"/>
                <w:sz w:val="21"/>
                <w:szCs w:val="21"/>
              </w:rPr>
              <w:t>'  E11</w:t>
            </w:r>
            <w:r>
              <w:rPr>
                <w:rFonts w:hint="eastAsia"/>
                <w:color w:val="auto"/>
                <w:kern w:val="0"/>
                <w:sz w:val="21"/>
                <w:szCs w:val="21"/>
              </w:rPr>
              <w:t>7</w:t>
            </w:r>
            <w:r>
              <w:rPr>
                <w:color w:val="auto"/>
                <w:kern w:val="0"/>
                <w:sz w:val="21"/>
                <w:szCs w:val="21"/>
              </w:rPr>
              <w:t>°</w:t>
            </w:r>
            <w:r>
              <w:rPr>
                <w:rFonts w:hint="eastAsia"/>
                <w:color w:val="auto"/>
                <w:kern w:val="0"/>
                <w:sz w:val="21"/>
                <w:szCs w:val="21"/>
              </w:rPr>
              <w:t>59.3985</w:t>
            </w:r>
            <w:r>
              <w:rPr>
                <w:color w:val="auto"/>
                <w:kern w:val="0"/>
                <w:sz w:val="21"/>
                <w:szCs w:val="21"/>
              </w:rPr>
              <w:t>'</w:t>
            </w:r>
          </w:p>
        </w:tc>
        <w:tc>
          <w:tcPr>
            <w:tcW w:w="564"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17.3</w:t>
            </w:r>
          </w:p>
        </w:tc>
        <w:tc>
          <w:tcPr>
            <w:tcW w:w="624"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25</w:t>
            </w:r>
          </w:p>
        </w:tc>
        <w:tc>
          <w:tcPr>
            <w:tcW w:w="624"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10.2</w:t>
            </w:r>
          </w:p>
        </w:tc>
        <w:tc>
          <w:tcPr>
            <w:tcW w:w="841" w:type="pct"/>
            <w:vAlign w:val="center"/>
          </w:tcPr>
          <w:p>
            <w:pPr>
              <w:widowControl/>
              <w:spacing w:line="240" w:lineRule="auto"/>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18.7</w:t>
            </w:r>
          </w:p>
        </w:tc>
        <w:tc>
          <w:tcPr>
            <w:tcW w:w="841" w:type="pct"/>
            <w:vAlign w:val="center"/>
          </w:tcPr>
          <w:p>
            <w:pPr>
              <w:widowControl/>
              <w:spacing w:line="240" w:lineRule="auto"/>
              <w:ind w:firstLine="0" w:firstLineChars="0"/>
              <w:jc w:val="center"/>
              <w:rPr>
                <w:color w:val="auto"/>
                <w:kern w:val="0"/>
                <w:sz w:val="21"/>
                <w:szCs w:val="21"/>
              </w:rPr>
            </w:pPr>
            <w:r>
              <w:rPr>
                <w:color w:val="auto"/>
                <w:kern w:val="0"/>
                <w:sz w:val="21"/>
                <w:szCs w:val="21"/>
              </w:rPr>
              <w:t>监测井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20" w:type="pct"/>
            <w:vAlign w:val="center"/>
          </w:tcPr>
          <w:p>
            <w:pPr>
              <w:spacing w:line="240" w:lineRule="auto"/>
              <w:ind w:firstLine="0" w:firstLineChars="0"/>
              <w:jc w:val="center"/>
              <w:rPr>
                <w:color w:val="auto"/>
                <w:kern w:val="0"/>
                <w:sz w:val="21"/>
                <w:szCs w:val="21"/>
              </w:rPr>
            </w:pPr>
            <w:r>
              <w:rPr>
                <w:rFonts w:hint="eastAsia"/>
                <w:color w:val="auto"/>
                <w:sz w:val="21"/>
                <w:szCs w:val="21"/>
              </w:rPr>
              <w:t xml:space="preserve">3#大张社区 </w:t>
            </w:r>
          </w:p>
        </w:tc>
        <w:tc>
          <w:tcPr>
            <w:tcW w:w="884" w:type="pct"/>
            <w:vAlign w:val="center"/>
          </w:tcPr>
          <w:p>
            <w:pPr>
              <w:widowControl/>
              <w:spacing w:line="240" w:lineRule="auto"/>
              <w:ind w:firstLine="0" w:firstLineChars="0"/>
              <w:jc w:val="center"/>
              <w:rPr>
                <w:color w:val="auto"/>
                <w:kern w:val="0"/>
                <w:sz w:val="21"/>
                <w:szCs w:val="21"/>
              </w:rPr>
            </w:pPr>
            <w:r>
              <w:rPr>
                <w:color w:val="auto"/>
                <w:kern w:val="0"/>
                <w:sz w:val="21"/>
                <w:szCs w:val="21"/>
              </w:rPr>
              <w:t>N3</w:t>
            </w:r>
            <w:r>
              <w:rPr>
                <w:rFonts w:hint="eastAsia"/>
                <w:color w:val="auto"/>
                <w:kern w:val="0"/>
                <w:sz w:val="21"/>
                <w:szCs w:val="21"/>
              </w:rPr>
              <w:t>6</w:t>
            </w:r>
            <w:r>
              <w:rPr>
                <w:color w:val="auto"/>
                <w:kern w:val="0"/>
                <w:sz w:val="21"/>
                <w:szCs w:val="21"/>
              </w:rPr>
              <w:t>°</w:t>
            </w:r>
            <w:r>
              <w:rPr>
                <w:rFonts w:hint="eastAsia"/>
                <w:color w:val="auto"/>
                <w:kern w:val="0"/>
                <w:sz w:val="21"/>
                <w:szCs w:val="21"/>
              </w:rPr>
              <w:t>51.0464</w:t>
            </w:r>
            <w:r>
              <w:rPr>
                <w:color w:val="auto"/>
                <w:kern w:val="0"/>
                <w:sz w:val="21"/>
                <w:szCs w:val="21"/>
              </w:rPr>
              <w:t>'  E118°</w:t>
            </w:r>
            <w:r>
              <w:rPr>
                <w:rFonts w:hint="eastAsia"/>
                <w:color w:val="auto"/>
                <w:kern w:val="0"/>
                <w:sz w:val="21"/>
                <w:szCs w:val="21"/>
              </w:rPr>
              <w:t>0.6447</w:t>
            </w:r>
            <w:r>
              <w:rPr>
                <w:color w:val="auto"/>
                <w:kern w:val="0"/>
                <w:sz w:val="21"/>
                <w:szCs w:val="21"/>
              </w:rPr>
              <w:t>'</w:t>
            </w:r>
          </w:p>
        </w:tc>
        <w:tc>
          <w:tcPr>
            <w:tcW w:w="564"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20.7</w:t>
            </w:r>
          </w:p>
        </w:tc>
        <w:tc>
          <w:tcPr>
            <w:tcW w:w="624"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25</w:t>
            </w:r>
          </w:p>
        </w:tc>
        <w:tc>
          <w:tcPr>
            <w:tcW w:w="624"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6.5</w:t>
            </w:r>
          </w:p>
        </w:tc>
        <w:tc>
          <w:tcPr>
            <w:tcW w:w="841" w:type="pct"/>
            <w:vAlign w:val="center"/>
          </w:tcPr>
          <w:p>
            <w:pPr>
              <w:widowControl/>
              <w:spacing w:line="240" w:lineRule="auto"/>
              <w:ind w:firstLine="0" w:firstLineChars="0"/>
              <w:jc w:val="center"/>
              <w:rPr>
                <w:rFonts w:hint="default"/>
                <w:color w:val="auto"/>
                <w:kern w:val="0"/>
                <w:sz w:val="21"/>
                <w:szCs w:val="21"/>
                <w:lang w:val="en-US"/>
              </w:rPr>
            </w:pPr>
            <w:r>
              <w:rPr>
                <w:rFonts w:hint="eastAsia"/>
                <w:color w:val="auto"/>
                <w:kern w:val="0"/>
                <w:sz w:val="21"/>
                <w:szCs w:val="21"/>
                <w:lang w:val="en-US" w:eastAsia="zh-CN"/>
              </w:rPr>
              <w:t>26.5</w:t>
            </w:r>
          </w:p>
        </w:tc>
        <w:tc>
          <w:tcPr>
            <w:tcW w:w="841" w:type="pct"/>
            <w:vAlign w:val="center"/>
          </w:tcPr>
          <w:p>
            <w:pPr>
              <w:widowControl/>
              <w:spacing w:line="240" w:lineRule="auto"/>
              <w:ind w:firstLine="0" w:firstLineChars="0"/>
              <w:jc w:val="center"/>
              <w:rPr>
                <w:color w:val="auto"/>
                <w:kern w:val="0"/>
                <w:sz w:val="21"/>
                <w:szCs w:val="21"/>
              </w:rPr>
            </w:pPr>
            <w:r>
              <w:rPr>
                <w:color w:val="auto"/>
                <w:kern w:val="0"/>
                <w:sz w:val="21"/>
                <w:szCs w:val="21"/>
              </w:rPr>
              <w:t>监测井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20" w:type="pct"/>
            <w:vAlign w:val="center"/>
          </w:tcPr>
          <w:p>
            <w:pPr>
              <w:spacing w:line="240" w:lineRule="auto"/>
              <w:ind w:firstLine="0" w:firstLineChars="0"/>
              <w:jc w:val="center"/>
              <w:rPr>
                <w:color w:val="auto"/>
                <w:kern w:val="0"/>
                <w:sz w:val="21"/>
                <w:szCs w:val="21"/>
              </w:rPr>
            </w:pPr>
            <w:r>
              <w:rPr>
                <w:rFonts w:hint="eastAsia"/>
                <w:color w:val="auto"/>
                <w:sz w:val="21"/>
                <w:szCs w:val="21"/>
              </w:rPr>
              <w:t>4#曹营村</w:t>
            </w:r>
          </w:p>
        </w:tc>
        <w:tc>
          <w:tcPr>
            <w:tcW w:w="884" w:type="pct"/>
            <w:vAlign w:val="center"/>
          </w:tcPr>
          <w:p>
            <w:pPr>
              <w:widowControl/>
              <w:spacing w:line="240" w:lineRule="auto"/>
              <w:ind w:firstLine="0" w:firstLineChars="0"/>
              <w:jc w:val="center"/>
              <w:rPr>
                <w:color w:val="auto"/>
                <w:kern w:val="0"/>
                <w:sz w:val="21"/>
                <w:szCs w:val="21"/>
              </w:rPr>
            </w:pPr>
            <w:r>
              <w:rPr>
                <w:color w:val="auto"/>
                <w:kern w:val="0"/>
                <w:sz w:val="21"/>
                <w:szCs w:val="21"/>
              </w:rPr>
              <w:t>N3</w:t>
            </w:r>
            <w:r>
              <w:rPr>
                <w:rFonts w:hint="eastAsia"/>
                <w:color w:val="auto"/>
                <w:kern w:val="0"/>
                <w:sz w:val="21"/>
                <w:szCs w:val="21"/>
              </w:rPr>
              <w:t>6</w:t>
            </w:r>
            <w:r>
              <w:rPr>
                <w:color w:val="auto"/>
                <w:kern w:val="0"/>
                <w:sz w:val="21"/>
                <w:szCs w:val="21"/>
              </w:rPr>
              <w:t>°</w:t>
            </w:r>
            <w:r>
              <w:rPr>
                <w:rFonts w:hint="eastAsia"/>
                <w:color w:val="auto"/>
                <w:kern w:val="0"/>
                <w:sz w:val="21"/>
                <w:szCs w:val="21"/>
              </w:rPr>
              <w:t>56.1330</w:t>
            </w:r>
            <w:r>
              <w:rPr>
                <w:color w:val="auto"/>
                <w:kern w:val="0"/>
                <w:sz w:val="21"/>
                <w:szCs w:val="21"/>
              </w:rPr>
              <w:t>'  E118°</w:t>
            </w:r>
            <w:r>
              <w:rPr>
                <w:rFonts w:hint="eastAsia"/>
                <w:color w:val="auto"/>
                <w:kern w:val="0"/>
                <w:sz w:val="21"/>
                <w:szCs w:val="21"/>
              </w:rPr>
              <w:t>0.3113</w:t>
            </w:r>
            <w:r>
              <w:rPr>
                <w:color w:val="auto"/>
                <w:kern w:val="0"/>
                <w:sz w:val="21"/>
                <w:szCs w:val="21"/>
              </w:rPr>
              <w:t>'</w:t>
            </w:r>
          </w:p>
        </w:tc>
        <w:tc>
          <w:tcPr>
            <w:tcW w:w="564"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19.6</w:t>
            </w:r>
          </w:p>
        </w:tc>
        <w:tc>
          <w:tcPr>
            <w:tcW w:w="624"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20</w:t>
            </w:r>
          </w:p>
        </w:tc>
        <w:tc>
          <w:tcPr>
            <w:tcW w:w="624"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9.8</w:t>
            </w:r>
          </w:p>
        </w:tc>
        <w:tc>
          <w:tcPr>
            <w:tcW w:w="841" w:type="pct"/>
            <w:vAlign w:val="center"/>
          </w:tcPr>
          <w:p>
            <w:pPr>
              <w:widowControl/>
              <w:spacing w:line="240" w:lineRule="auto"/>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20.2</w:t>
            </w:r>
          </w:p>
        </w:tc>
        <w:tc>
          <w:tcPr>
            <w:tcW w:w="841" w:type="pct"/>
            <w:vAlign w:val="center"/>
          </w:tcPr>
          <w:p>
            <w:pPr>
              <w:widowControl/>
              <w:spacing w:line="240" w:lineRule="auto"/>
              <w:ind w:firstLine="0" w:firstLineChars="0"/>
              <w:jc w:val="center"/>
              <w:rPr>
                <w:color w:val="auto"/>
                <w:kern w:val="0"/>
                <w:sz w:val="21"/>
                <w:szCs w:val="21"/>
              </w:rPr>
            </w:pPr>
            <w:r>
              <w:rPr>
                <w:color w:val="auto"/>
                <w:kern w:val="0"/>
                <w:sz w:val="21"/>
                <w:szCs w:val="21"/>
              </w:rPr>
              <w:t>监测井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20" w:type="pct"/>
            <w:vAlign w:val="center"/>
          </w:tcPr>
          <w:p>
            <w:pPr>
              <w:spacing w:line="240" w:lineRule="auto"/>
              <w:ind w:firstLine="0" w:firstLineChars="0"/>
              <w:jc w:val="center"/>
              <w:rPr>
                <w:color w:val="auto"/>
                <w:kern w:val="0"/>
                <w:sz w:val="21"/>
                <w:szCs w:val="21"/>
              </w:rPr>
            </w:pPr>
            <w:r>
              <w:rPr>
                <w:rFonts w:hint="eastAsia"/>
                <w:color w:val="auto"/>
                <w:sz w:val="21"/>
                <w:szCs w:val="21"/>
              </w:rPr>
              <w:t>5#解营村</w:t>
            </w:r>
          </w:p>
        </w:tc>
        <w:tc>
          <w:tcPr>
            <w:tcW w:w="884" w:type="pct"/>
            <w:vAlign w:val="center"/>
          </w:tcPr>
          <w:p>
            <w:pPr>
              <w:widowControl/>
              <w:spacing w:line="240" w:lineRule="auto"/>
              <w:ind w:firstLine="0" w:firstLineChars="0"/>
              <w:jc w:val="center"/>
              <w:rPr>
                <w:color w:val="auto"/>
                <w:kern w:val="0"/>
                <w:sz w:val="21"/>
                <w:szCs w:val="21"/>
              </w:rPr>
            </w:pPr>
            <w:r>
              <w:rPr>
                <w:color w:val="auto"/>
                <w:kern w:val="0"/>
                <w:sz w:val="21"/>
                <w:szCs w:val="21"/>
              </w:rPr>
              <w:t>N3</w:t>
            </w:r>
            <w:r>
              <w:rPr>
                <w:rFonts w:hint="eastAsia"/>
                <w:color w:val="auto"/>
                <w:kern w:val="0"/>
                <w:sz w:val="21"/>
                <w:szCs w:val="21"/>
              </w:rPr>
              <w:t>6</w:t>
            </w:r>
            <w:r>
              <w:rPr>
                <w:color w:val="auto"/>
                <w:kern w:val="0"/>
                <w:sz w:val="21"/>
                <w:szCs w:val="21"/>
              </w:rPr>
              <w:t>°</w:t>
            </w:r>
            <w:r>
              <w:rPr>
                <w:rFonts w:hint="eastAsia"/>
                <w:color w:val="auto"/>
                <w:kern w:val="0"/>
                <w:sz w:val="21"/>
                <w:szCs w:val="21"/>
              </w:rPr>
              <w:t>51.7442</w:t>
            </w:r>
            <w:r>
              <w:rPr>
                <w:color w:val="auto"/>
                <w:kern w:val="0"/>
                <w:sz w:val="21"/>
                <w:szCs w:val="21"/>
              </w:rPr>
              <w:t>'  E11</w:t>
            </w:r>
            <w:r>
              <w:rPr>
                <w:rFonts w:hint="eastAsia"/>
                <w:color w:val="auto"/>
                <w:kern w:val="0"/>
                <w:sz w:val="21"/>
                <w:szCs w:val="21"/>
              </w:rPr>
              <w:t>7</w:t>
            </w:r>
            <w:r>
              <w:rPr>
                <w:color w:val="auto"/>
                <w:kern w:val="0"/>
                <w:sz w:val="21"/>
                <w:szCs w:val="21"/>
              </w:rPr>
              <w:t>°</w:t>
            </w:r>
            <w:r>
              <w:rPr>
                <w:rFonts w:hint="eastAsia"/>
                <w:color w:val="auto"/>
                <w:kern w:val="0"/>
                <w:sz w:val="21"/>
                <w:szCs w:val="21"/>
              </w:rPr>
              <w:t>59.9830</w:t>
            </w:r>
            <w:r>
              <w:rPr>
                <w:color w:val="auto"/>
                <w:kern w:val="0"/>
                <w:sz w:val="21"/>
                <w:szCs w:val="21"/>
              </w:rPr>
              <w:t>'</w:t>
            </w:r>
          </w:p>
        </w:tc>
        <w:tc>
          <w:tcPr>
            <w:tcW w:w="564"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16.9</w:t>
            </w:r>
          </w:p>
        </w:tc>
        <w:tc>
          <w:tcPr>
            <w:tcW w:w="624"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25</w:t>
            </w:r>
          </w:p>
        </w:tc>
        <w:tc>
          <w:tcPr>
            <w:tcW w:w="624"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7.8</w:t>
            </w:r>
          </w:p>
        </w:tc>
        <w:tc>
          <w:tcPr>
            <w:tcW w:w="841" w:type="pct"/>
            <w:vAlign w:val="center"/>
          </w:tcPr>
          <w:p>
            <w:pPr>
              <w:widowControl/>
              <w:spacing w:line="240" w:lineRule="auto"/>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22.5</w:t>
            </w:r>
          </w:p>
        </w:tc>
        <w:tc>
          <w:tcPr>
            <w:tcW w:w="841" w:type="pct"/>
            <w:vAlign w:val="center"/>
          </w:tcPr>
          <w:p>
            <w:pPr>
              <w:widowControl/>
              <w:spacing w:line="240" w:lineRule="auto"/>
              <w:ind w:firstLine="0" w:firstLineChars="0"/>
              <w:jc w:val="center"/>
              <w:rPr>
                <w:color w:val="auto"/>
                <w:kern w:val="0"/>
                <w:sz w:val="21"/>
                <w:szCs w:val="21"/>
              </w:rPr>
            </w:pPr>
            <w:r>
              <w:rPr>
                <w:color w:val="auto"/>
                <w:kern w:val="0"/>
                <w:sz w:val="21"/>
                <w:szCs w:val="21"/>
              </w:rPr>
              <w:t>监测井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20" w:type="pct"/>
            <w:vAlign w:val="center"/>
          </w:tcPr>
          <w:p>
            <w:pPr>
              <w:spacing w:line="240" w:lineRule="auto"/>
              <w:ind w:firstLine="0" w:firstLineChars="0"/>
              <w:jc w:val="center"/>
              <w:rPr>
                <w:color w:val="auto"/>
                <w:kern w:val="0"/>
                <w:sz w:val="21"/>
                <w:szCs w:val="21"/>
              </w:rPr>
            </w:pPr>
            <w:r>
              <w:rPr>
                <w:rFonts w:hint="eastAsia"/>
                <w:color w:val="auto"/>
                <w:sz w:val="21"/>
                <w:szCs w:val="21"/>
              </w:rPr>
              <w:t>6#董家村</w:t>
            </w:r>
          </w:p>
        </w:tc>
        <w:tc>
          <w:tcPr>
            <w:tcW w:w="884" w:type="pct"/>
            <w:vAlign w:val="center"/>
          </w:tcPr>
          <w:p>
            <w:pPr>
              <w:widowControl/>
              <w:spacing w:line="240" w:lineRule="auto"/>
              <w:ind w:firstLine="0" w:firstLineChars="0"/>
              <w:jc w:val="center"/>
              <w:rPr>
                <w:color w:val="auto"/>
                <w:kern w:val="0"/>
                <w:sz w:val="21"/>
                <w:szCs w:val="21"/>
              </w:rPr>
            </w:pPr>
            <w:r>
              <w:rPr>
                <w:color w:val="auto"/>
                <w:kern w:val="0"/>
                <w:sz w:val="21"/>
                <w:szCs w:val="21"/>
              </w:rPr>
              <w:t>N3</w:t>
            </w:r>
            <w:r>
              <w:rPr>
                <w:rFonts w:hint="eastAsia"/>
                <w:color w:val="auto"/>
                <w:kern w:val="0"/>
                <w:sz w:val="21"/>
                <w:szCs w:val="21"/>
              </w:rPr>
              <w:t>6</w:t>
            </w:r>
            <w:r>
              <w:rPr>
                <w:color w:val="auto"/>
                <w:kern w:val="0"/>
                <w:sz w:val="21"/>
                <w:szCs w:val="21"/>
              </w:rPr>
              <w:t>°</w:t>
            </w:r>
            <w:r>
              <w:rPr>
                <w:rFonts w:hint="eastAsia"/>
                <w:color w:val="auto"/>
                <w:kern w:val="0"/>
                <w:sz w:val="21"/>
                <w:szCs w:val="21"/>
              </w:rPr>
              <w:t>51.3412</w:t>
            </w:r>
            <w:r>
              <w:rPr>
                <w:color w:val="auto"/>
                <w:kern w:val="0"/>
                <w:sz w:val="21"/>
                <w:szCs w:val="21"/>
              </w:rPr>
              <w:t>'  E11</w:t>
            </w:r>
            <w:r>
              <w:rPr>
                <w:rFonts w:hint="eastAsia"/>
                <w:color w:val="auto"/>
                <w:kern w:val="0"/>
                <w:sz w:val="21"/>
                <w:szCs w:val="21"/>
              </w:rPr>
              <w:t>7</w:t>
            </w:r>
            <w:r>
              <w:rPr>
                <w:color w:val="auto"/>
                <w:kern w:val="0"/>
                <w:sz w:val="21"/>
                <w:szCs w:val="21"/>
              </w:rPr>
              <w:t>°</w:t>
            </w:r>
            <w:r>
              <w:rPr>
                <w:rFonts w:hint="eastAsia"/>
                <w:color w:val="auto"/>
                <w:kern w:val="0"/>
                <w:sz w:val="21"/>
                <w:szCs w:val="21"/>
              </w:rPr>
              <w:t>59.2517</w:t>
            </w:r>
            <w:r>
              <w:rPr>
                <w:color w:val="auto"/>
                <w:kern w:val="0"/>
                <w:sz w:val="21"/>
                <w:szCs w:val="21"/>
              </w:rPr>
              <w:t>'</w:t>
            </w:r>
          </w:p>
        </w:tc>
        <w:tc>
          <w:tcPr>
            <w:tcW w:w="564"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17.8</w:t>
            </w:r>
          </w:p>
        </w:tc>
        <w:tc>
          <w:tcPr>
            <w:tcW w:w="624"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25</w:t>
            </w:r>
          </w:p>
        </w:tc>
        <w:tc>
          <w:tcPr>
            <w:tcW w:w="624"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8.5</w:t>
            </w:r>
          </w:p>
        </w:tc>
        <w:tc>
          <w:tcPr>
            <w:tcW w:w="841" w:type="pct"/>
            <w:vAlign w:val="center"/>
          </w:tcPr>
          <w:p>
            <w:pPr>
              <w:widowControl/>
              <w:spacing w:line="240" w:lineRule="auto"/>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23.2</w:t>
            </w:r>
          </w:p>
        </w:tc>
        <w:tc>
          <w:tcPr>
            <w:tcW w:w="841" w:type="pct"/>
            <w:vAlign w:val="center"/>
          </w:tcPr>
          <w:p>
            <w:pPr>
              <w:widowControl/>
              <w:spacing w:line="240" w:lineRule="auto"/>
              <w:ind w:firstLine="0" w:firstLineChars="0"/>
              <w:jc w:val="center"/>
              <w:rPr>
                <w:color w:val="auto"/>
                <w:kern w:val="0"/>
                <w:sz w:val="21"/>
                <w:szCs w:val="21"/>
              </w:rPr>
            </w:pPr>
            <w:r>
              <w:rPr>
                <w:color w:val="auto"/>
                <w:kern w:val="0"/>
                <w:sz w:val="21"/>
                <w:szCs w:val="21"/>
              </w:rPr>
              <w:t>生活用水，不饮用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20" w:type="pct"/>
            <w:vAlign w:val="center"/>
          </w:tcPr>
          <w:p>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7#厂址</w:t>
            </w:r>
          </w:p>
        </w:tc>
        <w:tc>
          <w:tcPr>
            <w:tcW w:w="884" w:type="pct"/>
            <w:vAlign w:val="center"/>
          </w:tcPr>
          <w:p>
            <w:pPr>
              <w:widowControl/>
              <w:spacing w:line="240" w:lineRule="auto"/>
              <w:ind w:firstLine="0" w:firstLineChars="0"/>
              <w:jc w:val="center"/>
              <w:rPr>
                <w:color w:val="auto"/>
                <w:kern w:val="0"/>
                <w:sz w:val="21"/>
                <w:szCs w:val="21"/>
              </w:rPr>
            </w:pPr>
            <w:r>
              <w:rPr>
                <w:color w:val="auto"/>
                <w:kern w:val="0"/>
                <w:sz w:val="21"/>
                <w:szCs w:val="21"/>
              </w:rPr>
              <w:t>N3</w:t>
            </w:r>
            <w:r>
              <w:rPr>
                <w:rFonts w:hint="eastAsia"/>
                <w:color w:val="auto"/>
                <w:kern w:val="0"/>
                <w:sz w:val="21"/>
                <w:szCs w:val="21"/>
              </w:rPr>
              <w:t>6</w:t>
            </w:r>
            <w:r>
              <w:rPr>
                <w:color w:val="auto"/>
                <w:kern w:val="0"/>
                <w:sz w:val="21"/>
                <w:szCs w:val="21"/>
              </w:rPr>
              <w:t>°</w:t>
            </w:r>
            <w:r>
              <w:rPr>
                <w:rFonts w:hint="eastAsia"/>
                <w:color w:val="auto"/>
                <w:kern w:val="0"/>
                <w:sz w:val="21"/>
                <w:szCs w:val="21"/>
              </w:rPr>
              <w:t>51.</w:t>
            </w:r>
            <w:r>
              <w:rPr>
                <w:rFonts w:hint="eastAsia"/>
                <w:color w:val="auto"/>
                <w:kern w:val="0"/>
                <w:sz w:val="21"/>
                <w:szCs w:val="21"/>
                <w:lang w:val="en-US" w:eastAsia="zh-CN"/>
              </w:rPr>
              <w:t>6124</w:t>
            </w:r>
            <w:r>
              <w:rPr>
                <w:color w:val="auto"/>
                <w:kern w:val="0"/>
                <w:sz w:val="21"/>
                <w:szCs w:val="21"/>
              </w:rPr>
              <w:t>'  E118°</w:t>
            </w:r>
            <w:r>
              <w:rPr>
                <w:rFonts w:hint="eastAsia"/>
                <w:color w:val="auto"/>
                <w:kern w:val="0"/>
                <w:sz w:val="21"/>
                <w:szCs w:val="21"/>
              </w:rPr>
              <w:t>0.</w:t>
            </w:r>
            <w:r>
              <w:rPr>
                <w:rFonts w:hint="eastAsia"/>
                <w:color w:val="auto"/>
                <w:kern w:val="0"/>
                <w:sz w:val="21"/>
                <w:szCs w:val="21"/>
                <w:lang w:val="en-US" w:eastAsia="zh-CN"/>
              </w:rPr>
              <w:t>1568</w:t>
            </w:r>
            <w:r>
              <w:rPr>
                <w:color w:val="auto"/>
                <w:kern w:val="0"/>
                <w:sz w:val="21"/>
                <w:szCs w:val="21"/>
              </w:rPr>
              <w:t>'</w:t>
            </w:r>
          </w:p>
        </w:tc>
        <w:tc>
          <w:tcPr>
            <w:tcW w:w="564" w:type="pct"/>
            <w:vAlign w:val="center"/>
          </w:tcPr>
          <w:p>
            <w:pPr>
              <w:widowControl/>
              <w:spacing w:line="240" w:lineRule="auto"/>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19.4</w:t>
            </w:r>
          </w:p>
        </w:tc>
        <w:tc>
          <w:tcPr>
            <w:tcW w:w="624" w:type="pct"/>
            <w:vAlign w:val="center"/>
          </w:tcPr>
          <w:p>
            <w:pPr>
              <w:widowControl/>
              <w:spacing w:line="240" w:lineRule="auto"/>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19</w:t>
            </w:r>
          </w:p>
        </w:tc>
        <w:tc>
          <w:tcPr>
            <w:tcW w:w="624" w:type="pct"/>
            <w:vAlign w:val="center"/>
          </w:tcPr>
          <w:p>
            <w:pPr>
              <w:widowControl/>
              <w:spacing w:line="240" w:lineRule="auto"/>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2</w:t>
            </w:r>
          </w:p>
        </w:tc>
        <w:tc>
          <w:tcPr>
            <w:tcW w:w="841" w:type="pct"/>
            <w:vAlign w:val="center"/>
          </w:tcPr>
          <w:p>
            <w:pPr>
              <w:widowControl/>
              <w:spacing w:line="240" w:lineRule="auto"/>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25.0</w:t>
            </w:r>
          </w:p>
        </w:tc>
        <w:tc>
          <w:tcPr>
            <w:tcW w:w="841" w:type="pct"/>
            <w:vAlign w:val="center"/>
          </w:tcPr>
          <w:p>
            <w:pPr>
              <w:widowControl/>
              <w:spacing w:line="240" w:lineRule="auto"/>
              <w:ind w:firstLine="0" w:firstLineChars="0"/>
              <w:jc w:val="center"/>
              <w:rPr>
                <w:color w:val="auto"/>
                <w:kern w:val="0"/>
                <w:sz w:val="21"/>
                <w:szCs w:val="21"/>
              </w:rPr>
            </w:pPr>
            <w:r>
              <w:rPr>
                <w:color w:val="auto"/>
                <w:kern w:val="0"/>
                <w:sz w:val="21"/>
                <w:szCs w:val="21"/>
              </w:rPr>
              <w:t>监测井</w:t>
            </w:r>
          </w:p>
        </w:tc>
      </w:tr>
    </w:tbl>
    <w:p>
      <w:pPr>
        <w:ind w:firstLine="480"/>
        <w:rPr>
          <w:color w:val="auto"/>
        </w:rPr>
      </w:pPr>
      <w:r>
        <w:rPr>
          <w:color w:val="auto"/>
        </w:rPr>
        <w:t>202</w:t>
      </w:r>
      <w:r>
        <w:rPr>
          <w:rFonts w:hint="eastAsia"/>
          <w:color w:val="auto"/>
        </w:rPr>
        <w:t>2</w:t>
      </w:r>
      <w:r>
        <w:rPr>
          <w:color w:val="auto"/>
        </w:rPr>
        <w:t>年</w:t>
      </w:r>
      <w:r>
        <w:rPr>
          <w:rFonts w:hint="eastAsia"/>
          <w:color w:val="auto"/>
        </w:rPr>
        <w:t>05</w:t>
      </w:r>
      <w:r>
        <w:rPr>
          <w:color w:val="auto"/>
        </w:rPr>
        <w:t>月</w:t>
      </w:r>
      <w:r>
        <w:rPr>
          <w:rFonts w:hint="eastAsia"/>
          <w:color w:val="auto"/>
        </w:rPr>
        <w:t>16</w:t>
      </w:r>
      <w:r>
        <w:rPr>
          <w:color w:val="auto"/>
        </w:rPr>
        <w:t>日地下水环境质量现状监测结果见下表。</w:t>
      </w:r>
    </w:p>
    <w:p>
      <w:pPr>
        <w:pStyle w:val="48"/>
        <w:rPr>
          <w:bCs/>
          <w:color w:val="auto"/>
        </w:rPr>
      </w:pPr>
      <w:r>
        <w:rPr>
          <w:bCs/>
          <w:color w:val="auto"/>
        </w:rPr>
        <w:t xml:space="preserve">表 </w:t>
      </w:r>
      <w:r>
        <w:rPr>
          <w:rFonts w:hint="eastAsia"/>
          <w:bCs/>
          <w:color w:val="auto"/>
        </w:rPr>
        <w:t>4</w:t>
      </w:r>
      <w:r>
        <w:rPr>
          <w:bCs/>
          <w:color w:val="auto"/>
        </w:rPr>
        <w:t>.3-4 地下水环境质量现状监测结果一览表      单位：mg/L</w:t>
      </w:r>
    </w:p>
    <w:tbl>
      <w:tblPr>
        <w:tblStyle w:val="2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00"/>
        <w:gridCol w:w="2223"/>
        <w:gridCol w:w="2225"/>
        <w:gridCol w:w="22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b/>
                <w:bCs/>
                <w:color w:val="auto"/>
                <w:sz w:val="21"/>
                <w:szCs w:val="21"/>
              </w:rPr>
            </w:pPr>
            <w:r>
              <w:rPr>
                <w:b/>
                <w:bCs/>
                <w:color w:val="auto"/>
                <w:sz w:val="21"/>
                <w:szCs w:val="21"/>
              </w:rPr>
              <w:t>监测项目</w:t>
            </w:r>
          </w:p>
        </w:tc>
        <w:tc>
          <w:tcPr>
            <w:tcW w:w="1198" w:type="pct"/>
            <w:vAlign w:val="center"/>
          </w:tcPr>
          <w:p>
            <w:pPr>
              <w:spacing w:line="312" w:lineRule="exact"/>
              <w:ind w:firstLine="0" w:firstLineChars="0"/>
              <w:jc w:val="center"/>
              <w:rPr>
                <w:b/>
                <w:bCs/>
                <w:color w:val="auto"/>
                <w:sz w:val="21"/>
                <w:szCs w:val="21"/>
              </w:rPr>
            </w:pPr>
            <w:r>
              <w:rPr>
                <w:b/>
                <w:bCs/>
                <w:color w:val="auto"/>
                <w:sz w:val="21"/>
                <w:szCs w:val="21"/>
              </w:rPr>
              <w:t>1#项目厂址</w:t>
            </w:r>
          </w:p>
        </w:tc>
        <w:tc>
          <w:tcPr>
            <w:tcW w:w="1199" w:type="pct"/>
            <w:vAlign w:val="center"/>
          </w:tcPr>
          <w:p>
            <w:pPr>
              <w:spacing w:line="312" w:lineRule="exact"/>
              <w:ind w:firstLine="0" w:firstLineChars="0"/>
              <w:jc w:val="center"/>
              <w:rPr>
                <w:b/>
                <w:bCs/>
                <w:color w:val="auto"/>
                <w:sz w:val="21"/>
                <w:szCs w:val="21"/>
              </w:rPr>
            </w:pPr>
            <w:r>
              <w:rPr>
                <w:b/>
                <w:bCs/>
                <w:color w:val="auto"/>
                <w:sz w:val="21"/>
                <w:szCs w:val="21"/>
              </w:rPr>
              <w:t>2#西吕村</w:t>
            </w:r>
          </w:p>
        </w:tc>
        <w:tc>
          <w:tcPr>
            <w:tcW w:w="1200" w:type="pct"/>
            <w:vAlign w:val="center"/>
          </w:tcPr>
          <w:p>
            <w:pPr>
              <w:spacing w:line="312" w:lineRule="exact"/>
              <w:ind w:firstLine="0" w:firstLineChars="0"/>
              <w:jc w:val="center"/>
              <w:rPr>
                <w:b/>
                <w:bCs/>
                <w:color w:val="auto"/>
                <w:sz w:val="21"/>
                <w:szCs w:val="21"/>
              </w:rPr>
            </w:pPr>
            <w:r>
              <w:rPr>
                <w:b/>
                <w:bCs/>
                <w:color w:val="auto"/>
                <w:sz w:val="21"/>
                <w:szCs w:val="21"/>
              </w:rPr>
              <w:t>3#大张社区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色度</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5</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5</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嗅和味</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0级无味</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0级无味</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0级无味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浑浊度</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0.3</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0.2</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肉眼可见物</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无</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无</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pH</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7.3</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7.4</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总硬度</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781</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669</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1.20×10</w:t>
            </w:r>
            <w:r>
              <w:rPr>
                <w:color w:val="auto"/>
                <w:kern w:val="0"/>
                <w:sz w:val="21"/>
                <w:szCs w:val="21"/>
                <w:vertAlign w:val="superscript"/>
                <w:lang w:bidi="ar"/>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溶解性总固体</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1.35×10</w:t>
            </w:r>
            <w:r>
              <w:rPr>
                <w:color w:val="auto"/>
                <w:kern w:val="0"/>
                <w:sz w:val="21"/>
                <w:szCs w:val="21"/>
                <w:vertAlign w:val="superscript"/>
                <w:lang w:bidi="ar"/>
              </w:rPr>
              <w:t>3</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1.02×10</w:t>
            </w:r>
            <w:r>
              <w:rPr>
                <w:color w:val="auto"/>
                <w:kern w:val="0"/>
                <w:sz w:val="21"/>
                <w:szCs w:val="21"/>
                <w:vertAlign w:val="superscript"/>
                <w:lang w:bidi="ar"/>
              </w:rPr>
              <w:t>3</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1.87×10</w:t>
            </w:r>
            <w:r>
              <w:rPr>
                <w:color w:val="auto"/>
                <w:kern w:val="0"/>
                <w:sz w:val="21"/>
                <w:szCs w:val="21"/>
                <w:vertAlign w:val="superscript"/>
                <w:lang w:bidi="ar"/>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硫酸盐</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192</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190</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498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氯化物</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161</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116</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240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铁</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锰</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4.54</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1.48</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铜</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锌</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3.90</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8.34</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4.78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铝</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200" w:type="pct"/>
            <w:vAlign w:val="center"/>
          </w:tcPr>
          <w:p>
            <w:pPr>
              <w:ind w:firstLine="0" w:firstLineChars="0"/>
              <w:jc w:val="center"/>
              <w:rPr>
                <w:color w:val="auto"/>
                <w:sz w:val="21"/>
                <w:szCs w:val="21"/>
              </w:rPr>
            </w:pPr>
            <w:r>
              <w:rPr>
                <w:color w:val="auto"/>
                <w:sz w:val="21"/>
                <w:szCs w:val="21"/>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镉</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铅</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1.20</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0.80</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0.74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锡</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0.19</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钛</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挥发酚类</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阴离子表面活性剂</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耗氧量</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2.47</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1.18</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1.04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氨氮</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0.05</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硫化物</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钠</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47.2</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62.7</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67.2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K+</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0.79</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0.49</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0.80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亚硝酸盐氮</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0.010</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硝酸盐氮</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60.2</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26.7</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44.0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氰化物</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氟化物</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1.0</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1.8</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碘化物</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汞</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砷</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0.6</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0.3</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硒</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3.0</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6.1</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六价铬</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425" w:hRule="atLeast"/>
          <w:jc w:val="center"/>
        </w:trPr>
        <w:tc>
          <w:tcPr>
            <w:tcW w:w="1401" w:type="pct"/>
            <w:vAlign w:val="center"/>
          </w:tcPr>
          <w:p>
            <w:pPr>
              <w:spacing w:line="312" w:lineRule="exact"/>
              <w:ind w:firstLine="0" w:firstLineChars="0"/>
              <w:jc w:val="center"/>
              <w:rPr>
                <w:rFonts w:hint="eastAsia" w:eastAsia="宋体"/>
                <w:color w:val="auto"/>
                <w:sz w:val="21"/>
                <w:szCs w:val="21"/>
                <w:lang w:eastAsia="zh-CN"/>
              </w:rPr>
            </w:pPr>
            <w:r>
              <w:rPr>
                <w:color w:val="auto"/>
                <w:sz w:val="21"/>
                <w:szCs w:val="21"/>
              </w:rPr>
              <w:t>三氯</w:t>
            </w:r>
            <w:r>
              <w:rPr>
                <w:rFonts w:hint="eastAsia"/>
                <w:color w:val="auto"/>
                <w:sz w:val="21"/>
                <w:szCs w:val="21"/>
                <w:lang w:val="en-US" w:eastAsia="zh-CN"/>
              </w:rPr>
              <w:t>甲烷</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10.6</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四氯化碳</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苯</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甲苯</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总大肠菌群</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110</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1300</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1100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菌落总数</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1.8×10</w:t>
            </w:r>
            <w:r>
              <w:rPr>
                <w:color w:val="auto"/>
                <w:kern w:val="0"/>
                <w:sz w:val="21"/>
                <w:szCs w:val="21"/>
                <w:vertAlign w:val="superscript"/>
                <w:lang w:bidi="ar"/>
              </w:rPr>
              <w:t>3</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1.2×10</w:t>
            </w:r>
            <w:r>
              <w:rPr>
                <w:color w:val="auto"/>
                <w:kern w:val="0"/>
                <w:sz w:val="21"/>
                <w:szCs w:val="21"/>
                <w:vertAlign w:val="superscript"/>
                <w:lang w:bidi="ar"/>
              </w:rPr>
              <w:t>2</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2.1×10</w:t>
            </w:r>
            <w:r>
              <w:rPr>
                <w:color w:val="auto"/>
                <w:kern w:val="0"/>
                <w:sz w:val="21"/>
                <w:szCs w:val="21"/>
                <w:vertAlign w:val="superscript"/>
                <w:lang w:bidi="ar"/>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石油类</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0.04</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0.05</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Ca</w:t>
            </w:r>
            <w:r>
              <w:rPr>
                <w:color w:val="auto"/>
                <w:sz w:val="21"/>
                <w:szCs w:val="21"/>
                <w:vertAlign w:val="superscript"/>
              </w:rPr>
              <w:t>2+</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165</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84</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179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Mg</w:t>
            </w:r>
            <w:r>
              <w:rPr>
                <w:color w:val="auto"/>
                <w:sz w:val="21"/>
                <w:szCs w:val="21"/>
                <w:vertAlign w:val="superscript"/>
              </w:rPr>
              <w:t>2+</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89</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112</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182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CO</w:t>
            </w:r>
            <w:r>
              <w:rPr>
                <w:color w:val="auto"/>
                <w:sz w:val="21"/>
                <w:szCs w:val="21"/>
                <w:vertAlign w:val="subscript"/>
              </w:rPr>
              <w:t>3</w:t>
            </w:r>
            <w:r>
              <w:rPr>
                <w:color w:val="auto"/>
                <w:sz w:val="21"/>
                <w:szCs w:val="21"/>
                <w:vertAlign w:val="superscript"/>
              </w:rPr>
              <w:t>2-</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1" w:type="pct"/>
            <w:vAlign w:val="center"/>
          </w:tcPr>
          <w:p>
            <w:pPr>
              <w:spacing w:line="312" w:lineRule="exact"/>
              <w:ind w:firstLine="0" w:firstLineChars="0"/>
              <w:jc w:val="center"/>
              <w:rPr>
                <w:color w:val="auto"/>
                <w:sz w:val="21"/>
                <w:szCs w:val="21"/>
              </w:rPr>
            </w:pPr>
            <w:r>
              <w:rPr>
                <w:color w:val="auto"/>
                <w:sz w:val="21"/>
                <w:szCs w:val="21"/>
              </w:rPr>
              <w:t>HCO</w:t>
            </w:r>
            <w:r>
              <w:rPr>
                <w:color w:val="auto"/>
                <w:sz w:val="21"/>
                <w:szCs w:val="21"/>
                <w:vertAlign w:val="superscript"/>
              </w:rPr>
              <w:t>3-</w:t>
            </w:r>
          </w:p>
        </w:tc>
        <w:tc>
          <w:tcPr>
            <w:tcW w:w="1198" w:type="pct"/>
            <w:vAlign w:val="center"/>
          </w:tcPr>
          <w:p>
            <w:pPr>
              <w:widowControl/>
              <w:ind w:firstLine="0" w:firstLineChars="0"/>
              <w:jc w:val="center"/>
              <w:textAlignment w:val="center"/>
              <w:rPr>
                <w:color w:val="auto"/>
                <w:sz w:val="21"/>
                <w:szCs w:val="21"/>
              </w:rPr>
            </w:pPr>
            <w:r>
              <w:rPr>
                <w:color w:val="auto"/>
                <w:kern w:val="0"/>
                <w:sz w:val="21"/>
                <w:szCs w:val="21"/>
                <w:lang w:bidi="ar"/>
              </w:rPr>
              <w:t>344</w:t>
            </w:r>
          </w:p>
        </w:tc>
        <w:tc>
          <w:tcPr>
            <w:tcW w:w="1199" w:type="pct"/>
            <w:vAlign w:val="center"/>
          </w:tcPr>
          <w:p>
            <w:pPr>
              <w:widowControl/>
              <w:ind w:firstLine="0" w:firstLineChars="0"/>
              <w:jc w:val="center"/>
              <w:textAlignment w:val="center"/>
              <w:rPr>
                <w:color w:val="auto"/>
                <w:sz w:val="21"/>
                <w:szCs w:val="21"/>
              </w:rPr>
            </w:pPr>
            <w:r>
              <w:rPr>
                <w:color w:val="auto"/>
                <w:kern w:val="0"/>
                <w:sz w:val="21"/>
                <w:szCs w:val="21"/>
                <w:lang w:bidi="ar"/>
              </w:rPr>
              <w:t>383</w:t>
            </w:r>
          </w:p>
        </w:tc>
        <w:tc>
          <w:tcPr>
            <w:tcW w:w="1200" w:type="pct"/>
            <w:vAlign w:val="center"/>
          </w:tcPr>
          <w:p>
            <w:pPr>
              <w:widowControl/>
              <w:ind w:firstLine="0" w:firstLineChars="0"/>
              <w:jc w:val="center"/>
              <w:textAlignment w:val="center"/>
              <w:rPr>
                <w:color w:val="auto"/>
                <w:sz w:val="21"/>
                <w:szCs w:val="21"/>
              </w:rPr>
            </w:pPr>
            <w:r>
              <w:rPr>
                <w:color w:val="auto"/>
                <w:kern w:val="0"/>
                <w:sz w:val="21"/>
                <w:szCs w:val="21"/>
                <w:lang w:bidi="ar"/>
              </w:rPr>
              <w:t>363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5000" w:type="pct"/>
            <w:gridSpan w:val="4"/>
            <w:vAlign w:val="center"/>
          </w:tcPr>
          <w:p>
            <w:pPr>
              <w:widowControl/>
              <w:ind w:firstLine="0" w:firstLineChars="0"/>
              <w:textAlignment w:val="center"/>
              <w:rPr>
                <w:color w:val="auto"/>
                <w:kern w:val="0"/>
                <w:sz w:val="21"/>
                <w:szCs w:val="21"/>
                <w:lang w:bidi="ar"/>
              </w:rPr>
            </w:pPr>
            <w:r>
              <w:rPr>
                <w:color w:val="auto"/>
                <w:sz w:val="18"/>
                <w:szCs w:val="18"/>
              </w:rPr>
              <w:t>注：ND表示未检出</w:t>
            </w:r>
            <w:r>
              <w:rPr>
                <w:rFonts w:hint="eastAsia"/>
                <w:color w:val="auto"/>
                <w:sz w:val="18"/>
                <w:szCs w:val="18"/>
              </w:rPr>
              <w:t>。</w:t>
            </w:r>
          </w:p>
        </w:tc>
      </w:tr>
    </w:tbl>
    <w:p>
      <w:pPr>
        <w:ind w:firstLine="480"/>
        <w:rPr>
          <w:color w:val="auto"/>
        </w:rPr>
      </w:pPr>
      <w:r>
        <w:rPr>
          <w:color w:val="auto"/>
        </w:rPr>
        <w:t>202</w:t>
      </w:r>
      <w:r>
        <w:rPr>
          <w:rFonts w:hint="eastAsia"/>
          <w:color w:val="auto"/>
        </w:rPr>
        <w:t>2</w:t>
      </w:r>
      <w:r>
        <w:rPr>
          <w:color w:val="auto"/>
        </w:rPr>
        <w:t>年</w:t>
      </w:r>
      <w:r>
        <w:rPr>
          <w:rFonts w:hint="eastAsia"/>
          <w:color w:val="auto"/>
        </w:rPr>
        <w:t>0</w:t>
      </w:r>
      <w:r>
        <w:rPr>
          <w:rFonts w:hint="eastAsia"/>
          <w:color w:val="auto"/>
          <w:lang w:val="en-US" w:eastAsia="zh-CN"/>
        </w:rPr>
        <w:t>9</w:t>
      </w:r>
      <w:r>
        <w:rPr>
          <w:color w:val="auto"/>
        </w:rPr>
        <w:t>月</w:t>
      </w:r>
      <w:r>
        <w:rPr>
          <w:rFonts w:hint="eastAsia"/>
          <w:color w:val="auto"/>
          <w:lang w:val="en-US" w:eastAsia="zh-CN"/>
        </w:rPr>
        <w:t>21</w:t>
      </w:r>
      <w:r>
        <w:rPr>
          <w:color w:val="auto"/>
        </w:rPr>
        <w:t>日地下水环境质量现状</w:t>
      </w:r>
      <w:r>
        <w:rPr>
          <w:rFonts w:hint="eastAsia"/>
          <w:color w:val="auto"/>
          <w:lang w:val="en-US" w:eastAsia="zh-CN"/>
        </w:rPr>
        <w:t>补充</w:t>
      </w:r>
      <w:r>
        <w:rPr>
          <w:color w:val="auto"/>
        </w:rPr>
        <w:t>监测结果见下表。</w:t>
      </w:r>
    </w:p>
    <w:p>
      <w:pPr>
        <w:pStyle w:val="48"/>
        <w:jc w:val="center"/>
        <w:rPr>
          <w:bCs/>
          <w:color w:val="auto"/>
        </w:rPr>
      </w:pPr>
      <w:r>
        <w:rPr>
          <w:bCs/>
          <w:color w:val="auto"/>
        </w:rPr>
        <w:t xml:space="preserve">表 </w:t>
      </w:r>
      <w:r>
        <w:rPr>
          <w:rFonts w:hint="eastAsia"/>
          <w:bCs/>
          <w:color w:val="auto"/>
        </w:rPr>
        <w:t>4</w:t>
      </w:r>
      <w:r>
        <w:rPr>
          <w:bCs/>
          <w:color w:val="auto"/>
        </w:rPr>
        <w:t>.3-</w:t>
      </w:r>
      <w:r>
        <w:rPr>
          <w:rFonts w:hint="eastAsia"/>
          <w:bCs/>
          <w:color w:val="auto"/>
          <w:lang w:val="en-US" w:eastAsia="zh-CN"/>
        </w:rPr>
        <w:t>5</w:t>
      </w:r>
      <w:r>
        <w:rPr>
          <w:bCs/>
          <w:color w:val="auto"/>
        </w:rPr>
        <w:t xml:space="preserve"> 地下水环境质量现状监测结果一览表      单位：mg/L</w:t>
      </w:r>
    </w:p>
    <w:tbl>
      <w:tblPr>
        <w:tblStyle w:val="2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2"/>
        <w:gridCol w:w="502"/>
        <w:gridCol w:w="868"/>
        <w:gridCol w:w="874"/>
        <w:gridCol w:w="1081"/>
        <w:gridCol w:w="849"/>
        <w:gridCol w:w="742"/>
        <w:gridCol w:w="558"/>
        <w:gridCol w:w="517"/>
        <w:gridCol w:w="905"/>
        <w:gridCol w:w="878"/>
        <w:gridCol w:w="8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75" w:type="pct"/>
            <w:gridSpan w:val="4"/>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检测类别：</w:t>
            </w:r>
            <w:r>
              <w:rPr>
                <w:rFonts w:hint="default" w:ascii="Times New Roman" w:hAnsi="Times New Roman" w:eastAsia="宋体" w:cs="Times New Roman"/>
                <w:color w:val="auto"/>
                <w:sz w:val="21"/>
                <w:szCs w:val="21"/>
                <w:lang w:eastAsia="zh-CN"/>
              </w:rPr>
              <w:t>环评补充监测</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检测点位</w:t>
            </w:r>
          </w:p>
        </w:tc>
        <w:tc>
          <w:tcPr>
            <w:tcW w:w="2834" w:type="pct"/>
            <w:gridSpan w:val="7"/>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w:t>
            </w:r>
            <w:r>
              <w:rPr>
                <w:rFonts w:hint="default" w:ascii="Times New Roman" w:hAnsi="Times New Roman" w:eastAsia="宋体" w:cs="Times New Roman"/>
                <w:color w:val="auto"/>
                <w:sz w:val="21"/>
                <w:szCs w:val="21"/>
                <w:lang w:val="en-US" w:eastAsia="zh-CN"/>
              </w:rPr>
              <w:t>#厂区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75" w:type="pct"/>
            <w:gridSpan w:val="4"/>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采样日期</w:t>
            </w:r>
          </w:p>
        </w:tc>
        <w:tc>
          <w:tcPr>
            <w:tcW w:w="2834" w:type="pct"/>
            <w:gridSpan w:val="7"/>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2022.09.21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75" w:type="pct"/>
            <w:gridSpan w:val="4"/>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样品状态</w:t>
            </w:r>
          </w:p>
        </w:tc>
        <w:tc>
          <w:tcPr>
            <w:tcW w:w="2834" w:type="pct"/>
            <w:gridSpan w:val="7"/>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无色略浑，无味，无浮油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24"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井深/m</w:t>
            </w:r>
          </w:p>
        </w:tc>
        <w:tc>
          <w:tcPr>
            <w:tcW w:w="9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19.0</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埋深/m</w:t>
            </w:r>
          </w:p>
        </w:tc>
        <w:tc>
          <w:tcPr>
            <w:tcW w:w="464"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w:t>
            </w:r>
          </w:p>
        </w:tc>
        <w:tc>
          <w:tcPr>
            <w:tcW w:w="713"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水位/m</w:t>
            </w:r>
          </w:p>
        </w:tc>
        <w:tc>
          <w:tcPr>
            <w:tcW w:w="706"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25.0</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水温/℃</w:t>
            </w:r>
          </w:p>
        </w:tc>
        <w:tc>
          <w:tcPr>
            <w:tcW w:w="47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检测项目</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单位</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检出限</w:t>
            </w:r>
          </w:p>
        </w:tc>
        <w:tc>
          <w:tcPr>
            <w:tcW w:w="464"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测定值</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序号</w:t>
            </w:r>
          </w:p>
        </w:tc>
        <w:tc>
          <w:tcPr>
            <w:tcW w:w="592"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检测项目</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单位</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检出限</w:t>
            </w:r>
          </w:p>
        </w:tc>
        <w:tc>
          <w:tcPr>
            <w:tcW w:w="47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测定值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色度</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度</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464"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24</w:t>
            </w:r>
          </w:p>
        </w:tc>
        <w:tc>
          <w:tcPr>
            <w:tcW w:w="592"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阴离子表面活性剂</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0.050</w:t>
            </w:r>
          </w:p>
        </w:tc>
        <w:tc>
          <w:tcPr>
            <w:tcW w:w="470"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嗅和味</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464"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0级无味</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25</w:t>
            </w:r>
          </w:p>
        </w:tc>
        <w:tc>
          <w:tcPr>
            <w:tcW w:w="592"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耗氧量</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0.05</w:t>
            </w:r>
          </w:p>
        </w:tc>
        <w:tc>
          <w:tcPr>
            <w:tcW w:w="470"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3</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浑浊度</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NTU</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0.3</w:t>
            </w:r>
          </w:p>
        </w:tc>
        <w:tc>
          <w:tcPr>
            <w:tcW w:w="464"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8.5</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26</w:t>
            </w:r>
          </w:p>
        </w:tc>
        <w:tc>
          <w:tcPr>
            <w:tcW w:w="592"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氨氮</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0.025</w:t>
            </w:r>
          </w:p>
        </w:tc>
        <w:tc>
          <w:tcPr>
            <w:tcW w:w="470"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0.236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肉眼可见物</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464"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少量悬浮物</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27</w:t>
            </w:r>
          </w:p>
        </w:tc>
        <w:tc>
          <w:tcPr>
            <w:tcW w:w="592"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硫化物</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0.003</w:t>
            </w:r>
          </w:p>
        </w:tc>
        <w:tc>
          <w:tcPr>
            <w:tcW w:w="470"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5</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pH</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无量纲</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464"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7.6</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28</w:t>
            </w:r>
          </w:p>
        </w:tc>
        <w:tc>
          <w:tcPr>
            <w:tcW w:w="592"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钠</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0.01</w:t>
            </w:r>
          </w:p>
        </w:tc>
        <w:tc>
          <w:tcPr>
            <w:tcW w:w="470"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82.2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6</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总硬度</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w:t>
            </w:r>
          </w:p>
        </w:tc>
        <w:tc>
          <w:tcPr>
            <w:tcW w:w="464"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334</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29</w:t>
            </w:r>
          </w:p>
        </w:tc>
        <w:tc>
          <w:tcPr>
            <w:tcW w:w="592"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钾</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0.05</w:t>
            </w:r>
          </w:p>
        </w:tc>
        <w:tc>
          <w:tcPr>
            <w:tcW w:w="470"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7</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溶解性总固体</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464"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716</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30</w:t>
            </w:r>
          </w:p>
        </w:tc>
        <w:tc>
          <w:tcPr>
            <w:tcW w:w="592"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氰化物</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0.002</w:t>
            </w:r>
          </w:p>
        </w:tc>
        <w:tc>
          <w:tcPr>
            <w:tcW w:w="470"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8</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硫酸盐</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5.0</w:t>
            </w:r>
          </w:p>
        </w:tc>
        <w:tc>
          <w:tcPr>
            <w:tcW w:w="464"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168</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31</w:t>
            </w:r>
          </w:p>
        </w:tc>
        <w:tc>
          <w:tcPr>
            <w:tcW w:w="592"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汞</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μg/L</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0.04</w:t>
            </w:r>
          </w:p>
        </w:tc>
        <w:tc>
          <w:tcPr>
            <w:tcW w:w="470"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氯化物</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10</w:t>
            </w:r>
          </w:p>
        </w:tc>
        <w:tc>
          <w:tcPr>
            <w:tcW w:w="464"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104</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32</w:t>
            </w:r>
          </w:p>
        </w:tc>
        <w:tc>
          <w:tcPr>
            <w:tcW w:w="592"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砷</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μg/L</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0.3</w:t>
            </w:r>
          </w:p>
        </w:tc>
        <w:tc>
          <w:tcPr>
            <w:tcW w:w="470"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亚硝酸盐（以N计）</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0.003</w:t>
            </w:r>
          </w:p>
        </w:tc>
        <w:tc>
          <w:tcPr>
            <w:tcW w:w="464"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0.06</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33</w:t>
            </w:r>
          </w:p>
        </w:tc>
        <w:tc>
          <w:tcPr>
            <w:tcW w:w="592"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硒</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μg/L</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0.4</w:t>
            </w:r>
          </w:p>
        </w:tc>
        <w:tc>
          <w:tcPr>
            <w:tcW w:w="470"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11</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硝酸盐（以N计）</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0.02</w:t>
            </w:r>
          </w:p>
        </w:tc>
        <w:tc>
          <w:tcPr>
            <w:tcW w:w="464"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3.92</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34</w:t>
            </w:r>
          </w:p>
        </w:tc>
        <w:tc>
          <w:tcPr>
            <w:tcW w:w="592"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六价铬</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0.004</w:t>
            </w:r>
          </w:p>
        </w:tc>
        <w:tc>
          <w:tcPr>
            <w:tcW w:w="470"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12</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氟化物</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0.05</w:t>
            </w:r>
          </w:p>
        </w:tc>
        <w:tc>
          <w:tcPr>
            <w:tcW w:w="464"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1.12</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35</w:t>
            </w:r>
          </w:p>
        </w:tc>
        <w:tc>
          <w:tcPr>
            <w:tcW w:w="592"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三氯甲烷</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μg/L</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0.4</w:t>
            </w:r>
          </w:p>
        </w:tc>
        <w:tc>
          <w:tcPr>
            <w:tcW w:w="470"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13</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碘化物</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0.05</w:t>
            </w:r>
          </w:p>
        </w:tc>
        <w:tc>
          <w:tcPr>
            <w:tcW w:w="464"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36</w:t>
            </w:r>
          </w:p>
        </w:tc>
        <w:tc>
          <w:tcPr>
            <w:tcW w:w="592"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四氯化碳</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μg/L</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0.4</w:t>
            </w:r>
          </w:p>
        </w:tc>
        <w:tc>
          <w:tcPr>
            <w:tcW w:w="470"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14</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铁</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μg/L</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0.82</w:t>
            </w:r>
          </w:p>
        </w:tc>
        <w:tc>
          <w:tcPr>
            <w:tcW w:w="464"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280</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37</w:t>
            </w:r>
          </w:p>
        </w:tc>
        <w:tc>
          <w:tcPr>
            <w:tcW w:w="592"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苯</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0.4</w:t>
            </w:r>
          </w:p>
        </w:tc>
        <w:tc>
          <w:tcPr>
            <w:tcW w:w="470"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15</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锰</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μg/L</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0.12</w:t>
            </w:r>
          </w:p>
        </w:tc>
        <w:tc>
          <w:tcPr>
            <w:tcW w:w="464"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3.14</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38</w:t>
            </w:r>
          </w:p>
        </w:tc>
        <w:tc>
          <w:tcPr>
            <w:tcW w:w="592"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甲苯</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μg/L</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0.3</w:t>
            </w:r>
          </w:p>
        </w:tc>
        <w:tc>
          <w:tcPr>
            <w:tcW w:w="470"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16</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铜</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μg/L</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0.08</w:t>
            </w:r>
          </w:p>
        </w:tc>
        <w:tc>
          <w:tcPr>
            <w:tcW w:w="464"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2.98</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39</w:t>
            </w:r>
          </w:p>
        </w:tc>
        <w:tc>
          <w:tcPr>
            <w:tcW w:w="592" w:type="pct"/>
            <w:gridSpan w:val="2"/>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总大肠菌群</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MPN/L</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20</w:t>
            </w:r>
          </w:p>
        </w:tc>
        <w:tc>
          <w:tcPr>
            <w:tcW w:w="470"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490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17</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锌</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μg/L</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0.67</w:t>
            </w:r>
          </w:p>
        </w:tc>
        <w:tc>
          <w:tcPr>
            <w:tcW w:w="464"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58.8</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40</w:t>
            </w:r>
          </w:p>
        </w:tc>
        <w:tc>
          <w:tcPr>
            <w:tcW w:w="592" w:type="pct"/>
            <w:gridSpan w:val="2"/>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菌落总数</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CFU/ml</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470"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3.6×10</w:t>
            </w:r>
            <w:r>
              <w:rPr>
                <w:rFonts w:hint="default" w:ascii="Times New Roman" w:hAnsi="Times New Roman" w:eastAsia="宋体" w:cs="Times New Roman"/>
                <w:color w:val="auto"/>
                <w:sz w:val="21"/>
                <w:szCs w:val="21"/>
                <w:vertAlign w:val="superscript"/>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18</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铝</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μg/L</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1.15</w:t>
            </w:r>
          </w:p>
        </w:tc>
        <w:tc>
          <w:tcPr>
            <w:tcW w:w="464"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408</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41</w:t>
            </w:r>
          </w:p>
        </w:tc>
        <w:tc>
          <w:tcPr>
            <w:tcW w:w="592" w:type="pct"/>
            <w:gridSpan w:val="2"/>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石油类</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0.01</w:t>
            </w:r>
          </w:p>
        </w:tc>
        <w:tc>
          <w:tcPr>
            <w:tcW w:w="470"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19</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镉</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μg/L</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0.05</w:t>
            </w:r>
          </w:p>
        </w:tc>
        <w:tc>
          <w:tcPr>
            <w:tcW w:w="464"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42</w:t>
            </w:r>
          </w:p>
        </w:tc>
        <w:tc>
          <w:tcPr>
            <w:tcW w:w="592" w:type="pct"/>
            <w:gridSpan w:val="2"/>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Ca</w:t>
            </w:r>
            <w:r>
              <w:rPr>
                <w:rFonts w:hint="default" w:ascii="Times New Roman" w:hAnsi="Times New Roman" w:eastAsia="宋体" w:cs="Times New Roman"/>
                <w:color w:val="auto"/>
                <w:kern w:val="2"/>
                <w:sz w:val="21"/>
                <w:szCs w:val="21"/>
                <w:vertAlign w:val="superscript"/>
                <w:lang w:val="en-US" w:eastAsia="zh-CN" w:bidi="ar-SA"/>
              </w:rPr>
              <w:t>2+</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w:t>
            </w:r>
          </w:p>
        </w:tc>
        <w:tc>
          <w:tcPr>
            <w:tcW w:w="470"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20</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铅</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μg/L</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0.09</w:t>
            </w:r>
          </w:p>
        </w:tc>
        <w:tc>
          <w:tcPr>
            <w:tcW w:w="464"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1.71</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43</w:t>
            </w:r>
          </w:p>
        </w:tc>
        <w:tc>
          <w:tcPr>
            <w:tcW w:w="592" w:type="pct"/>
            <w:gridSpan w:val="2"/>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Mg</w:t>
            </w:r>
            <w:r>
              <w:rPr>
                <w:rFonts w:hint="default" w:ascii="Times New Roman" w:hAnsi="Times New Roman" w:eastAsia="宋体" w:cs="Times New Roman"/>
                <w:color w:val="auto"/>
                <w:kern w:val="2"/>
                <w:sz w:val="21"/>
                <w:szCs w:val="21"/>
                <w:vertAlign w:val="superscript"/>
                <w:lang w:val="en-US" w:eastAsia="zh-CN" w:bidi="ar-SA"/>
              </w:rPr>
              <w:t>2+</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w:t>
            </w:r>
          </w:p>
        </w:tc>
        <w:tc>
          <w:tcPr>
            <w:tcW w:w="470"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21</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锡</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μg/L</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0.08</w:t>
            </w:r>
          </w:p>
        </w:tc>
        <w:tc>
          <w:tcPr>
            <w:tcW w:w="464"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0.51</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44</w:t>
            </w:r>
          </w:p>
        </w:tc>
        <w:tc>
          <w:tcPr>
            <w:tcW w:w="592" w:type="pct"/>
            <w:gridSpan w:val="2"/>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CO</w:t>
            </w:r>
            <w:r>
              <w:rPr>
                <w:rFonts w:hint="default" w:ascii="Times New Roman" w:hAnsi="Times New Roman" w:eastAsia="宋体" w:cs="Times New Roman"/>
                <w:color w:val="auto"/>
                <w:kern w:val="2"/>
                <w:sz w:val="21"/>
                <w:szCs w:val="21"/>
                <w:vertAlign w:val="subscript"/>
                <w:lang w:val="en-US" w:eastAsia="zh-CN" w:bidi="ar-SA"/>
              </w:rPr>
              <w:t>3</w:t>
            </w:r>
            <w:r>
              <w:rPr>
                <w:rFonts w:hint="default" w:ascii="Times New Roman" w:hAnsi="Times New Roman" w:eastAsia="宋体" w:cs="Times New Roman"/>
                <w:color w:val="auto"/>
                <w:kern w:val="2"/>
                <w:sz w:val="21"/>
                <w:szCs w:val="21"/>
                <w:vertAlign w:val="superscript"/>
                <w:lang w:val="en-US" w:eastAsia="zh-CN" w:bidi="ar-SA"/>
              </w:rPr>
              <w:t>2-</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5</w:t>
            </w:r>
          </w:p>
        </w:tc>
        <w:tc>
          <w:tcPr>
            <w:tcW w:w="470"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22</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钛</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μg/L</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0.46</w:t>
            </w:r>
          </w:p>
        </w:tc>
        <w:tc>
          <w:tcPr>
            <w:tcW w:w="464"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6.90</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45</w:t>
            </w:r>
          </w:p>
        </w:tc>
        <w:tc>
          <w:tcPr>
            <w:tcW w:w="592" w:type="pct"/>
            <w:gridSpan w:val="2"/>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HCO</w:t>
            </w:r>
            <w:r>
              <w:rPr>
                <w:rFonts w:hint="default" w:ascii="Times New Roman" w:hAnsi="Times New Roman" w:eastAsia="宋体" w:cs="Times New Roman"/>
                <w:color w:val="auto"/>
                <w:kern w:val="2"/>
                <w:sz w:val="21"/>
                <w:szCs w:val="21"/>
                <w:vertAlign w:val="subscript"/>
                <w:lang w:val="en-US" w:eastAsia="zh-CN" w:bidi="ar-SA"/>
              </w:rPr>
              <w:t>3</w:t>
            </w:r>
            <w:r>
              <w:rPr>
                <w:rFonts w:hint="default" w:ascii="Times New Roman" w:hAnsi="Times New Roman" w:eastAsia="宋体" w:cs="Times New Roman"/>
                <w:color w:val="auto"/>
                <w:kern w:val="2"/>
                <w:sz w:val="21"/>
                <w:szCs w:val="21"/>
                <w:vertAlign w:val="superscript"/>
                <w:lang w:val="en-US" w:eastAsia="zh-CN" w:bidi="ar-SA"/>
              </w:rPr>
              <w:t>-</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5</w:t>
            </w:r>
          </w:p>
        </w:tc>
        <w:tc>
          <w:tcPr>
            <w:tcW w:w="470"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47"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23</w:t>
            </w:r>
          </w:p>
        </w:tc>
        <w:tc>
          <w:tcPr>
            <w:tcW w:w="751"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挥发性酚类</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58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0.002</w:t>
            </w:r>
          </w:p>
        </w:tc>
        <w:tc>
          <w:tcPr>
            <w:tcW w:w="464" w:type="pct"/>
            <w:noWrap w:val="0"/>
            <w:vAlign w:val="center"/>
          </w:tcPr>
          <w:p>
            <w:pPr>
              <w:keepNext w:val="0"/>
              <w:keepLines w:val="0"/>
              <w:pageBreakBefore w:val="0"/>
              <w:widowControl/>
              <w:suppressLineNumbers w:val="0"/>
              <w:kinsoku/>
              <w:wordWrap/>
              <w:overflowPunct/>
              <w:topLinePunct w:val="0"/>
              <w:autoSpaceDE/>
              <w:autoSpaceDN/>
              <w:bidi w:val="0"/>
              <w:spacing w:line="312"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c>
          <w:tcPr>
            <w:tcW w:w="406"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92" w:type="pct"/>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479" w:type="pct"/>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470" w:type="pct"/>
            <w:noWrap w:val="0"/>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000" w:type="pct"/>
            <w:gridSpan w:val="12"/>
            <w:noWrap w:val="0"/>
            <w:vAlign w:val="center"/>
          </w:tcPr>
          <w:p>
            <w:pPr>
              <w:keepNext w:val="0"/>
              <w:keepLines w:val="0"/>
              <w:pageBreakBefore w:val="0"/>
              <w:widowControl w:val="0"/>
              <w:kinsoku/>
              <w:wordWrap/>
              <w:overflowPunct/>
              <w:topLinePunct w:val="0"/>
              <w:autoSpaceDE/>
              <w:autoSpaceDN/>
              <w:bidi w:val="0"/>
              <w:adjustRightInd/>
              <w:snapToGrid w:val="0"/>
              <w:spacing w:line="340" w:lineRule="atLeast"/>
              <w:ind w:left="0" w:leftChars="0" w:right="0" w:rightChars="0" w:firstLine="420" w:firstLineChars="200"/>
              <w:jc w:val="left"/>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注：</w:t>
            </w:r>
            <w:r>
              <w:rPr>
                <w:rFonts w:hint="default" w:ascii="Times New Roman" w:hAnsi="Times New Roman" w:eastAsia="宋体" w:cs="Times New Roman"/>
                <w:color w:val="auto"/>
                <w:sz w:val="21"/>
                <w:szCs w:val="21"/>
                <w:lang w:val="en-US" w:eastAsia="zh-CN"/>
              </w:rPr>
              <w:t>1.ND为未检出，表示检测结果小于方法检出限。</w:t>
            </w:r>
          </w:p>
        </w:tc>
      </w:tr>
    </w:tbl>
    <w:p>
      <w:pPr>
        <w:pStyle w:val="10"/>
        <w:spacing w:line="360" w:lineRule="auto"/>
        <w:rPr>
          <w:color w:val="auto"/>
        </w:rPr>
      </w:pPr>
      <w:r>
        <w:rPr>
          <w:rFonts w:hint="eastAsia"/>
          <w:color w:val="auto"/>
        </w:rPr>
        <w:t>4</w:t>
      </w:r>
      <w:r>
        <w:rPr>
          <w:color w:val="auto"/>
        </w:rPr>
        <w:t>.3.1.6 评价标准</w:t>
      </w:r>
    </w:p>
    <w:p>
      <w:pPr>
        <w:adjustRightInd w:val="0"/>
        <w:snapToGrid w:val="0"/>
        <w:spacing w:line="440" w:lineRule="atLeast"/>
        <w:ind w:firstLine="470" w:firstLineChars="196"/>
        <w:rPr>
          <w:b/>
          <w:color w:val="auto"/>
        </w:rPr>
      </w:pPr>
      <w:r>
        <w:rPr>
          <w:color w:val="auto"/>
        </w:rPr>
        <w:t>地下水环境评价标准执行《地下水质量标准》（GB/T14848-2017）中的III类标准。</w:t>
      </w:r>
    </w:p>
    <w:p>
      <w:pPr>
        <w:pStyle w:val="48"/>
        <w:spacing w:line="440" w:lineRule="atLeast"/>
        <w:rPr>
          <w:bCs/>
          <w:color w:val="auto"/>
        </w:rPr>
      </w:pPr>
      <w:r>
        <w:rPr>
          <w:bCs/>
          <w:color w:val="auto"/>
        </w:rPr>
        <w:t>表</w:t>
      </w:r>
      <w:r>
        <w:rPr>
          <w:rFonts w:hint="eastAsia"/>
          <w:bCs/>
          <w:color w:val="auto"/>
        </w:rPr>
        <w:t>4</w:t>
      </w:r>
      <w:r>
        <w:rPr>
          <w:bCs/>
          <w:color w:val="auto"/>
        </w:rPr>
        <w:t>.3-5  地下水质量标准</w:t>
      </w:r>
    </w:p>
    <w:tbl>
      <w:tblPr>
        <w:tblStyle w:val="2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211"/>
        <w:gridCol w:w="2867"/>
        <w:gridCol w:w="2218"/>
        <w:gridCol w:w="299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b/>
                <w:color w:val="auto"/>
              </w:rPr>
            </w:pPr>
            <w:r>
              <w:rPr>
                <w:b/>
                <w:color w:val="auto"/>
              </w:rPr>
              <w:t>序号</w:t>
            </w:r>
          </w:p>
        </w:tc>
        <w:tc>
          <w:tcPr>
            <w:tcW w:w="1543" w:type="pct"/>
            <w:vAlign w:val="center"/>
          </w:tcPr>
          <w:p>
            <w:pPr>
              <w:pStyle w:val="47"/>
              <w:spacing w:line="240" w:lineRule="auto"/>
              <w:rPr>
                <w:b/>
                <w:color w:val="auto"/>
              </w:rPr>
            </w:pPr>
            <w:r>
              <w:rPr>
                <w:b/>
                <w:color w:val="auto"/>
              </w:rPr>
              <w:t>项目</w:t>
            </w:r>
          </w:p>
        </w:tc>
        <w:tc>
          <w:tcPr>
            <w:tcW w:w="1194" w:type="pct"/>
            <w:vAlign w:val="center"/>
          </w:tcPr>
          <w:p>
            <w:pPr>
              <w:spacing w:line="240" w:lineRule="auto"/>
              <w:ind w:firstLine="0" w:firstLineChars="0"/>
              <w:jc w:val="center"/>
              <w:rPr>
                <w:b/>
                <w:color w:val="auto"/>
              </w:rPr>
            </w:pPr>
            <w:r>
              <w:rPr>
                <w:b/>
                <w:color w:val="auto"/>
              </w:rPr>
              <w:t>单位</w:t>
            </w:r>
          </w:p>
        </w:tc>
        <w:tc>
          <w:tcPr>
            <w:tcW w:w="1609" w:type="pct"/>
            <w:vAlign w:val="center"/>
          </w:tcPr>
          <w:p>
            <w:pPr>
              <w:pStyle w:val="47"/>
              <w:spacing w:line="240" w:lineRule="auto"/>
              <w:rPr>
                <w:b/>
                <w:color w:val="auto"/>
              </w:rPr>
            </w:pPr>
            <w:r>
              <w:rPr>
                <w:b/>
                <w:color w:val="auto"/>
              </w:rPr>
              <w:t>（GB/T14848-2017）Ⅲ类标准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1</w:t>
            </w:r>
          </w:p>
        </w:tc>
        <w:tc>
          <w:tcPr>
            <w:tcW w:w="1543" w:type="pct"/>
            <w:vAlign w:val="center"/>
          </w:tcPr>
          <w:p>
            <w:pPr>
              <w:pStyle w:val="47"/>
              <w:spacing w:line="240" w:lineRule="auto"/>
              <w:rPr>
                <w:color w:val="auto"/>
              </w:rPr>
            </w:pPr>
            <w:r>
              <w:rPr>
                <w:color w:val="auto"/>
              </w:rPr>
              <w:t>pH</w:t>
            </w:r>
          </w:p>
        </w:tc>
        <w:tc>
          <w:tcPr>
            <w:tcW w:w="1194" w:type="pct"/>
            <w:vAlign w:val="center"/>
          </w:tcPr>
          <w:p>
            <w:pPr>
              <w:spacing w:line="240" w:lineRule="auto"/>
              <w:ind w:firstLine="0" w:firstLineChars="0"/>
              <w:jc w:val="center"/>
              <w:rPr>
                <w:color w:val="auto"/>
              </w:rPr>
            </w:pPr>
            <w:r>
              <w:rPr>
                <w:color w:val="auto"/>
              </w:rPr>
              <w:t>---</w:t>
            </w:r>
          </w:p>
        </w:tc>
        <w:tc>
          <w:tcPr>
            <w:tcW w:w="1609" w:type="pct"/>
            <w:vAlign w:val="center"/>
          </w:tcPr>
          <w:p>
            <w:pPr>
              <w:pStyle w:val="47"/>
              <w:spacing w:line="240" w:lineRule="auto"/>
              <w:rPr>
                <w:color w:val="auto"/>
              </w:rPr>
            </w:pPr>
            <w:r>
              <w:rPr>
                <w:color w:val="auto"/>
              </w:rPr>
              <w:t>6.5-8.5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2</w:t>
            </w:r>
          </w:p>
        </w:tc>
        <w:tc>
          <w:tcPr>
            <w:tcW w:w="1543" w:type="pct"/>
            <w:vAlign w:val="center"/>
          </w:tcPr>
          <w:p>
            <w:pPr>
              <w:pStyle w:val="47"/>
              <w:spacing w:line="240" w:lineRule="auto"/>
              <w:rPr>
                <w:color w:val="auto"/>
              </w:rPr>
            </w:pPr>
            <w:r>
              <w:rPr>
                <w:color w:val="auto"/>
              </w:rPr>
              <w:t>总硬度</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≤450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3</w:t>
            </w:r>
          </w:p>
        </w:tc>
        <w:tc>
          <w:tcPr>
            <w:tcW w:w="1543" w:type="pct"/>
            <w:vAlign w:val="center"/>
          </w:tcPr>
          <w:p>
            <w:pPr>
              <w:pStyle w:val="47"/>
              <w:spacing w:line="240" w:lineRule="auto"/>
              <w:rPr>
                <w:color w:val="auto"/>
              </w:rPr>
            </w:pPr>
            <w:r>
              <w:rPr>
                <w:color w:val="auto"/>
              </w:rPr>
              <w:t>溶解性总固体</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≤1000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97" w:hRule="atLeast"/>
          <w:jc w:val="center"/>
        </w:trPr>
        <w:tc>
          <w:tcPr>
            <w:tcW w:w="652" w:type="pct"/>
            <w:vAlign w:val="center"/>
          </w:tcPr>
          <w:p>
            <w:pPr>
              <w:pStyle w:val="47"/>
              <w:spacing w:line="240" w:lineRule="auto"/>
              <w:rPr>
                <w:color w:val="auto"/>
              </w:rPr>
            </w:pPr>
            <w:r>
              <w:rPr>
                <w:color w:val="auto"/>
              </w:rPr>
              <w:t>4</w:t>
            </w:r>
          </w:p>
        </w:tc>
        <w:tc>
          <w:tcPr>
            <w:tcW w:w="1543" w:type="pct"/>
            <w:vAlign w:val="center"/>
          </w:tcPr>
          <w:p>
            <w:pPr>
              <w:pStyle w:val="47"/>
              <w:spacing w:line="240" w:lineRule="auto"/>
              <w:rPr>
                <w:color w:val="auto"/>
              </w:rPr>
            </w:pPr>
            <w:r>
              <w:rPr>
                <w:color w:val="auto"/>
              </w:rPr>
              <w:t>硫酸盐</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≤250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5</w:t>
            </w:r>
          </w:p>
        </w:tc>
        <w:tc>
          <w:tcPr>
            <w:tcW w:w="1543" w:type="pct"/>
            <w:vAlign w:val="center"/>
          </w:tcPr>
          <w:p>
            <w:pPr>
              <w:pStyle w:val="47"/>
              <w:spacing w:line="240" w:lineRule="auto"/>
              <w:rPr>
                <w:color w:val="auto"/>
              </w:rPr>
            </w:pPr>
            <w:r>
              <w:rPr>
                <w:color w:val="auto"/>
              </w:rPr>
              <w:t>氯化物</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≤250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6</w:t>
            </w:r>
          </w:p>
        </w:tc>
        <w:tc>
          <w:tcPr>
            <w:tcW w:w="1543" w:type="pct"/>
            <w:vAlign w:val="center"/>
          </w:tcPr>
          <w:p>
            <w:pPr>
              <w:pStyle w:val="47"/>
              <w:spacing w:line="240" w:lineRule="auto"/>
              <w:rPr>
                <w:color w:val="auto"/>
              </w:rPr>
            </w:pPr>
            <w:r>
              <w:rPr>
                <w:color w:val="auto"/>
              </w:rPr>
              <w:t>铁</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≤0.3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7</w:t>
            </w:r>
          </w:p>
        </w:tc>
        <w:tc>
          <w:tcPr>
            <w:tcW w:w="1543" w:type="pct"/>
            <w:vAlign w:val="center"/>
          </w:tcPr>
          <w:p>
            <w:pPr>
              <w:pStyle w:val="47"/>
              <w:spacing w:line="240" w:lineRule="auto"/>
              <w:rPr>
                <w:color w:val="auto"/>
              </w:rPr>
            </w:pPr>
            <w:r>
              <w:rPr>
                <w:color w:val="auto"/>
              </w:rPr>
              <w:t>锰</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8</w:t>
            </w:r>
          </w:p>
        </w:tc>
        <w:tc>
          <w:tcPr>
            <w:tcW w:w="1543" w:type="pct"/>
            <w:vAlign w:val="center"/>
          </w:tcPr>
          <w:p>
            <w:pPr>
              <w:pStyle w:val="47"/>
              <w:spacing w:line="240" w:lineRule="auto"/>
              <w:rPr>
                <w:color w:val="auto"/>
              </w:rPr>
            </w:pPr>
            <w:r>
              <w:rPr>
                <w:color w:val="auto"/>
              </w:rPr>
              <w:t>铜</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9</w:t>
            </w:r>
          </w:p>
        </w:tc>
        <w:tc>
          <w:tcPr>
            <w:tcW w:w="1543" w:type="pct"/>
            <w:vAlign w:val="center"/>
          </w:tcPr>
          <w:p>
            <w:pPr>
              <w:pStyle w:val="47"/>
              <w:spacing w:line="240" w:lineRule="auto"/>
              <w:rPr>
                <w:color w:val="auto"/>
              </w:rPr>
            </w:pPr>
            <w:r>
              <w:rPr>
                <w:color w:val="auto"/>
              </w:rPr>
              <w:t>锌</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10</w:t>
            </w:r>
          </w:p>
        </w:tc>
        <w:tc>
          <w:tcPr>
            <w:tcW w:w="1543" w:type="pct"/>
            <w:vAlign w:val="center"/>
          </w:tcPr>
          <w:p>
            <w:pPr>
              <w:pStyle w:val="47"/>
              <w:spacing w:line="240" w:lineRule="auto"/>
              <w:rPr>
                <w:color w:val="auto"/>
              </w:rPr>
            </w:pPr>
            <w:r>
              <w:rPr>
                <w:color w:val="auto"/>
              </w:rPr>
              <w:t>铝</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11</w:t>
            </w:r>
          </w:p>
        </w:tc>
        <w:tc>
          <w:tcPr>
            <w:tcW w:w="1543" w:type="pct"/>
            <w:vAlign w:val="center"/>
          </w:tcPr>
          <w:p>
            <w:pPr>
              <w:pStyle w:val="47"/>
              <w:spacing w:line="240" w:lineRule="auto"/>
              <w:rPr>
                <w:color w:val="auto"/>
              </w:rPr>
            </w:pPr>
            <w:r>
              <w:rPr>
                <w:color w:val="auto"/>
              </w:rPr>
              <w:t>挥发酚类</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≤0.002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12</w:t>
            </w:r>
          </w:p>
        </w:tc>
        <w:tc>
          <w:tcPr>
            <w:tcW w:w="1543" w:type="pct"/>
            <w:vAlign w:val="center"/>
          </w:tcPr>
          <w:p>
            <w:pPr>
              <w:pStyle w:val="47"/>
              <w:spacing w:line="240" w:lineRule="auto"/>
              <w:rPr>
                <w:color w:val="auto"/>
              </w:rPr>
            </w:pPr>
            <w:r>
              <w:rPr>
                <w:color w:val="auto"/>
              </w:rPr>
              <w:t>阴离子表面活性剂</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≤0.3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97" w:hRule="atLeast"/>
          <w:jc w:val="center"/>
        </w:trPr>
        <w:tc>
          <w:tcPr>
            <w:tcW w:w="652" w:type="pct"/>
            <w:vAlign w:val="center"/>
          </w:tcPr>
          <w:p>
            <w:pPr>
              <w:pStyle w:val="47"/>
              <w:spacing w:line="240" w:lineRule="auto"/>
              <w:rPr>
                <w:color w:val="auto"/>
              </w:rPr>
            </w:pPr>
            <w:r>
              <w:rPr>
                <w:color w:val="auto"/>
              </w:rPr>
              <w:t>13</w:t>
            </w:r>
          </w:p>
        </w:tc>
        <w:tc>
          <w:tcPr>
            <w:tcW w:w="1543" w:type="pct"/>
            <w:vAlign w:val="center"/>
          </w:tcPr>
          <w:p>
            <w:pPr>
              <w:pStyle w:val="47"/>
              <w:spacing w:line="240" w:lineRule="auto"/>
              <w:rPr>
                <w:color w:val="auto"/>
              </w:rPr>
            </w:pPr>
            <w:r>
              <w:rPr>
                <w:color w:val="auto"/>
              </w:rPr>
              <w:t>耗氧量</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14</w:t>
            </w:r>
          </w:p>
        </w:tc>
        <w:tc>
          <w:tcPr>
            <w:tcW w:w="1543" w:type="pct"/>
            <w:vAlign w:val="center"/>
          </w:tcPr>
          <w:p>
            <w:pPr>
              <w:pStyle w:val="47"/>
              <w:spacing w:line="240" w:lineRule="auto"/>
              <w:rPr>
                <w:color w:val="auto"/>
              </w:rPr>
            </w:pPr>
            <w:r>
              <w:rPr>
                <w:color w:val="auto"/>
              </w:rPr>
              <w:t>氨氮</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15</w:t>
            </w:r>
          </w:p>
        </w:tc>
        <w:tc>
          <w:tcPr>
            <w:tcW w:w="1543" w:type="pct"/>
            <w:vAlign w:val="center"/>
          </w:tcPr>
          <w:p>
            <w:pPr>
              <w:pStyle w:val="47"/>
              <w:spacing w:line="240" w:lineRule="auto"/>
              <w:rPr>
                <w:color w:val="auto"/>
              </w:rPr>
            </w:pPr>
            <w:r>
              <w:rPr>
                <w:color w:val="auto"/>
              </w:rPr>
              <w:t>硫化物</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≤0.02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16</w:t>
            </w:r>
          </w:p>
        </w:tc>
        <w:tc>
          <w:tcPr>
            <w:tcW w:w="1543" w:type="pct"/>
            <w:vAlign w:val="center"/>
          </w:tcPr>
          <w:p>
            <w:pPr>
              <w:pStyle w:val="47"/>
              <w:spacing w:line="240" w:lineRule="auto"/>
              <w:rPr>
                <w:color w:val="auto"/>
              </w:rPr>
            </w:pPr>
            <w:r>
              <w:rPr>
                <w:color w:val="auto"/>
              </w:rPr>
              <w:t>钠</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≤200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17</w:t>
            </w:r>
          </w:p>
        </w:tc>
        <w:tc>
          <w:tcPr>
            <w:tcW w:w="1543" w:type="pct"/>
            <w:vAlign w:val="center"/>
          </w:tcPr>
          <w:p>
            <w:pPr>
              <w:pStyle w:val="47"/>
              <w:spacing w:line="240" w:lineRule="auto"/>
              <w:rPr>
                <w:color w:val="auto"/>
              </w:rPr>
            </w:pPr>
            <w:r>
              <w:rPr>
                <w:color w:val="auto"/>
              </w:rPr>
              <w:t>总大肠杆菌</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18</w:t>
            </w:r>
          </w:p>
        </w:tc>
        <w:tc>
          <w:tcPr>
            <w:tcW w:w="1543" w:type="pct"/>
            <w:vAlign w:val="center"/>
          </w:tcPr>
          <w:p>
            <w:pPr>
              <w:pStyle w:val="47"/>
              <w:spacing w:line="240" w:lineRule="auto"/>
              <w:rPr>
                <w:color w:val="auto"/>
              </w:rPr>
            </w:pPr>
            <w:r>
              <w:rPr>
                <w:color w:val="auto"/>
              </w:rPr>
              <w:t>菌落总数</w:t>
            </w:r>
          </w:p>
        </w:tc>
        <w:tc>
          <w:tcPr>
            <w:tcW w:w="1194" w:type="pct"/>
            <w:vAlign w:val="center"/>
          </w:tcPr>
          <w:p>
            <w:pPr>
              <w:spacing w:line="240" w:lineRule="auto"/>
              <w:ind w:firstLine="0" w:firstLineChars="0"/>
              <w:jc w:val="center"/>
              <w:rPr>
                <w:color w:val="auto"/>
              </w:rPr>
            </w:pPr>
            <w:r>
              <w:rPr>
                <w:color w:val="auto"/>
              </w:rPr>
              <w:t>CFU/L</w:t>
            </w:r>
          </w:p>
        </w:tc>
        <w:tc>
          <w:tcPr>
            <w:tcW w:w="1609" w:type="pct"/>
            <w:vAlign w:val="center"/>
          </w:tcPr>
          <w:p>
            <w:pPr>
              <w:pStyle w:val="47"/>
              <w:spacing w:line="240" w:lineRule="auto"/>
              <w:rPr>
                <w:color w:val="auto"/>
              </w:rPr>
            </w:pPr>
            <w:r>
              <w:rPr>
                <w:color w:val="auto"/>
              </w:rPr>
              <w:t>≤100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19</w:t>
            </w:r>
          </w:p>
        </w:tc>
        <w:tc>
          <w:tcPr>
            <w:tcW w:w="1543" w:type="pct"/>
            <w:vAlign w:val="center"/>
          </w:tcPr>
          <w:p>
            <w:pPr>
              <w:pStyle w:val="47"/>
              <w:spacing w:line="240" w:lineRule="auto"/>
              <w:rPr>
                <w:color w:val="auto"/>
              </w:rPr>
            </w:pPr>
            <w:r>
              <w:rPr>
                <w:color w:val="auto"/>
              </w:rPr>
              <w:t>亚硝酸盐氮</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20</w:t>
            </w:r>
          </w:p>
        </w:tc>
        <w:tc>
          <w:tcPr>
            <w:tcW w:w="1543" w:type="pct"/>
            <w:vAlign w:val="center"/>
          </w:tcPr>
          <w:p>
            <w:pPr>
              <w:pStyle w:val="47"/>
              <w:spacing w:line="240" w:lineRule="auto"/>
              <w:rPr>
                <w:color w:val="auto"/>
              </w:rPr>
            </w:pPr>
            <w:r>
              <w:rPr>
                <w:color w:val="auto"/>
              </w:rPr>
              <w:t>硝酸盐氮</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21</w:t>
            </w:r>
          </w:p>
        </w:tc>
        <w:tc>
          <w:tcPr>
            <w:tcW w:w="1543" w:type="pct"/>
            <w:vAlign w:val="center"/>
          </w:tcPr>
          <w:p>
            <w:pPr>
              <w:pStyle w:val="47"/>
              <w:spacing w:line="240" w:lineRule="auto"/>
              <w:rPr>
                <w:color w:val="auto"/>
              </w:rPr>
            </w:pPr>
            <w:r>
              <w:rPr>
                <w:color w:val="auto"/>
              </w:rPr>
              <w:t>氰化物</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22</w:t>
            </w:r>
          </w:p>
        </w:tc>
        <w:tc>
          <w:tcPr>
            <w:tcW w:w="1543" w:type="pct"/>
            <w:vAlign w:val="center"/>
          </w:tcPr>
          <w:p>
            <w:pPr>
              <w:pStyle w:val="47"/>
              <w:spacing w:line="240" w:lineRule="auto"/>
              <w:rPr>
                <w:color w:val="auto"/>
              </w:rPr>
            </w:pPr>
            <w:r>
              <w:rPr>
                <w:color w:val="auto"/>
              </w:rPr>
              <w:t>氟化物</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23</w:t>
            </w:r>
          </w:p>
        </w:tc>
        <w:tc>
          <w:tcPr>
            <w:tcW w:w="1543" w:type="pct"/>
            <w:vAlign w:val="center"/>
          </w:tcPr>
          <w:p>
            <w:pPr>
              <w:pStyle w:val="47"/>
              <w:spacing w:line="240" w:lineRule="auto"/>
              <w:rPr>
                <w:color w:val="auto"/>
              </w:rPr>
            </w:pPr>
            <w:r>
              <w:rPr>
                <w:color w:val="auto"/>
              </w:rPr>
              <w:t>碘化物</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≤0.08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24</w:t>
            </w:r>
          </w:p>
        </w:tc>
        <w:tc>
          <w:tcPr>
            <w:tcW w:w="1543" w:type="pct"/>
            <w:vAlign w:val="center"/>
          </w:tcPr>
          <w:p>
            <w:pPr>
              <w:pStyle w:val="47"/>
              <w:spacing w:line="240" w:lineRule="auto"/>
              <w:rPr>
                <w:color w:val="auto"/>
              </w:rPr>
            </w:pPr>
            <w:r>
              <w:rPr>
                <w:color w:val="auto"/>
              </w:rPr>
              <w:t>汞</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≤0.001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97" w:hRule="atLeast"/>
          <w:jc w:val="center"/>
        </w:trPr>
        <w:tc>
          <w:tcPr>
            <w:tcW w:w="652" w:type="pct"/>
            <w:vAlign w:val="center"/>
          </w:tcPr>
          <w:p>
            <w:pPr>
              <w:pStyle w:val="47"/>
              <w:spacing w:line="240" w:lineRule="auto"/>
              <w:rPr>
                <w:color w:val="auto"/>
              </w:rPr>
            </w:pPr>
            <w:r>
              <w:rPr>
                <w:color w:val="auto"/>
              </w:rPr>
              <w:t>25</w:t>
            </w:r>
          </w:p>
        </w:tc>
        <w:tc>
          <w:tcPr>
            <w:tcW w:w="1543" w:type="pct"/>
            <w:vAlign w:val="center"/>
          </w:tcPr>
          <w:p>
            <w:pPr>
              <w:pStyle w:val="47"/>
              <w:spacing w:line="240" w:lineRule="auto"/>
              <w:rPr>
                <w:color w:val="auto"/>
              </w:rPr>
            </w:pPr>
            <w:r>
              <w:rPr>
                <w:color w:val="auto"/>
              </w:rPr>
              <w:t>砷</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26</w:t>
            </w:r>
          </w:p>
        </w:tc>
        <w:tc>
          <w:tcPr>
            <w:tcW w:w="1543" w:type="pct"/>
            <w:vAlign w:val="center"/>
          </w:tcPr>
          <w:p>
            <w:pPr>
              <w:pStyle w:val="47"/>
              <w:spacing w:line="240" w:lineRule="auto"/>
              <w:rPr>
                <w:color w:val="auto"/>
              </w:rPr>
            </w:pPr>
            <w:r>
              <w:rPr>
                <w:color w:val="auto"/>
              </w:rPr>
              <w:t>硒</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27</w:t>
            </w:r>
          </w:p>
        </w:tc>
        <w:tc>
          <w:tcPr>
            <w:tcW w:w="1543" w:type="pct"/>
            <w:vAlign w:val="center"/>
          </w:tcPr>
          <w:p>
            <w:pPr>
              <w:pStyle w:val="47"/>
              <w:spacing w:line="240" w:lineRule="auto"/>
              <w:rPr>
                <w:color w:val="auto"/>
              </w:rPr>
            </w:pPr>
            <w:r>
              <w:rPr>
                <w:color w:val="auto"/>
              </w:rPr>
              <w:t>镉</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≤0.005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28</w:t>
            </w:r>
          </w:p>
        </w:tc>
        <w:tc>
          <w:tcPr>
            <w:tcW w:w="1543" w:type="pct"/>
            <w:vAlign w:val="center"/>
          </w:tcPr>
          <w:p>
            <w:pPr>
              <w:pStyle w:val="47"/>
              <w:spacing w:line="240" w:lineRule="auto"/>
              <w:rPr>
                <w:color w:val="auto"/>
              </w:rPr>
            </w:pPr>
            <w:r>
              <w:rPr>
                <w:color w:val="auto"/>
              </w:rPr>
              <w:t>六价铬</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97" w:hRule="atLeast"/>
          <w:jc w:val="center"/>
        </w:trPr>
        <w:tc>
          <w:tcPr>
            <w:tcW w:w="652" w:type="pct"/>
            <w:vAlign w:val="center"/>
          </w:tcPr>
          <w:p>
            <w:pPr>
              <w:pStyle w:val="47"/>
              <w:spacing w:line="240" w:lineRule="auto"/>
              <w:rPr>
                <w:color w:val="auto"/>
              </w:rPr>
            </w:pPr>
            <w:r>
              <w:rPr>
                <w:color w:val="auto"/>
              </w:rPr>
              <w:t>29</w:t>
            </w:r>
          </w:p>
        </w:tc>
        <w:tc>
          <w:tcPr>
            <w:tcW w:w="1543" w:type="pct"/>
            <w:vAlign w:val="center"/>
          </w:tcPr>
          <w:p>
            <w:pPr>
              <w:pStyle w:val="47"/>
              <w:spacing w:line="240" w:lineRule="auto"/>
              <w:rPr>
                <w:color w:val="auto"/>
              </w:rPr>
            </w:pPr>
            <w:r>
              <w:rPr>
                <w:color w:val="auto"/>
              </w:rPr>
              <w:t>铅</w:t>
            </w:r>
          </w:p>
        </w:tc>
        <w:tc>
          <w:tcPr>
            <w:tcW w:w="1194" w:type="pct"/>
            <w:vAlign w:val="center"/>
          </w:tcPr>
          <w:p>
            <w:pPr>
              <w:spacing w:line="240" w:lineRule="auto"/>
              <w:ind w:firstLine="0" w:firstLineChars="0"/>
              <w:jc w:val="center"/>
              <w:rPr>
                <w:color w:val="auto"/>
              </w:rPr>
            </w:pPr>
            <w:r>
              <w:rPr>
                <w:color w:val="auto"/>
              </w:rPr>
              <w:t>mg/L</w:t>
            </w:r>
          </w:p>
        </w:tc>
        <w:tc>
          <w:tcPr>
            <w:tcW w:w="1609" w:type="pct"/>
            <w:vAlign w:val="center"/>
          </w:tcPr>
          <w:p>
            <w:pPr>
              <w:pStyle w:val="47"/>
              <w:spacing w:line="240" w:lineRule="auto"/>
              <w:rPr>
                <w:color w:val="auto"/>
              </w:rPr>
            </w:pPr>
            <w:r>
              <w:rPr>
                <w:color w:val="auto"/>
              </w:rPr>
              <w:t>≤0.01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30</w:t>
            </w:r>
          </w:p>
        </w:tc>
        <w:tc>
          <w:tcPr>
            <w:tcW w:w="1543" w:type="pct"/>
            <w:vAlign w:val="center"/>
          </w:tcPr>
          <w:p>
            <w:pPr>
              <w:pStyle w:val="47"/>
              <w:spacing w:line="240" w:lineRule="auto"/>
              <w:rPr>
                <w:rFonts w:hint="eastAsia" w:eastAsia="宋体"/>
                <w:color w:val="auto"/>
                <w:lang w:val="en-US" w:eastAsia="zh-CN"/>
              </w:rPr>
            </w:pPr>
            <w:r>
              <w:rPr>
                <w:color w:val="auto"/>
              </w:rPr>
              <w:t>三氯</w:t>
            </w:r>
            <w:r>
              <w:rPr>
                <w:rFonts w:hint="eastAsia"/>
                <w:color w:val="auto"/>
                <w:lang w:val="en-US" w:eastAsia="zh-CN"/>
              </w:rPr>
              <w:t>甲烷</w:t>
            </w:r>
          </w:p>
        </w:tc>
        <w:tc>
          <w:tcPr>
            <w:tcW w:w="1194" w:type="pct"/>
            <w:vAlign w:val="center"/>
          </w:tcPr>
          <w:p>
            <w:pPr>
              <w:spacing w:line="240" w:lineRule="auto"/>
              <w:ind w:firstLine="0" w:firstLineChars="0"/>
              <w:jc w:val="center"/>
              <w:rPr>
                <w:color w:val="auto"/>
              </w:rPr>
            </w:pPr>
            <w:r>
              <w:rPr>
                <w:color w:val="auto"/>
              </w:rPr>
              <w:t>ug/L</w:t>
            </w:r>
          </w:p>
        </w:tc>
        <w:tc>
          <w:tcPr>
            <w:tcW w:w="1609" w:type="pct"/>
            <w:vAlign w:val="center"/>
          </w:tcPr>
          <w:p>
            <w:pPr>
              <w:pStyle w:val="47"/>
              <w:spacing w:line="240" w:lineRule="auto"/>
              <w:rPr>
                <w:color w:val="auto"/>
              </w:rPr>
            </w:pPr>
            <w:r>
              <w:rPr>
                <w:color w:val="auto"/>
              </w:rPr>
              <w:t>≤60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31</w:t>
            </w:r>
          </w:p>
        </w:tc>
        <w:tc>
          <w:tcPr>
            <w:tcW w:w="1543" w:type="pct"/>
            <w:vAlign w:val="center"/>
          </w:tcPr>
          <w:p>
            <w:pPr>
              <w:pStyle w:val="47"/>
              <w:spacing w:line="240" w:lineRule="auto"/>
              <w:rPr>
                <w:color w:val="auto"/>
              </w:rPr>
            </w:pPr>
            <w:r>
              <w:rPr>
                <w:color w:val="auto"/>
              </w:rPr>
              <w:t>四氯化碳</w:t>
            </w:r>
          </w:p>
        </w:tc>
        <w:tc>
          <w:tcPr>
            <w:tcW w:w="1194" w:type="pct"/>
            <w:vAlign w:val="center"/>
          </w:tcPr>
          <w:p>
            <w:pPr>
              <w:spacing w:line="240" w:lineRule="auto"/>
              <w:ind w:firstLine="0" w:firstLineChars="0"/>
              <w:jc w:val="center"/>
              <w:rPr>
                <w:color w:val="auto"/>
              </w:rPr>
            </w:pPr>
            <w:r>
              <w:rPr>
                <w:color w:val="auto"/>
              </w:rPr>
              <w:t>ug/L</w:t>
            </w:r>
          </w:p>
        </w:tc>
        <w:tc>
          <w:tcPr>
            <w:tcW w:w="1609" w:type="pct"/>
            <w:vAlign w:val="center"/>
          </w:tcPr>
          <w:p>
            <w:pPr>
              <w:pStyle w:val="47"/>
              <w:spacing w:line="240" w:lineRule="auto"/>
              <w:rPr>
                <w:color w:val="auto"/>
              </w:rPr>
            </w:pPr>
            <w:r>
              <w:rPr>
                <w:color w:val="auto"/>
              </w:rPr>
              <w: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32</w:t>
            </w:r>
          </w:p>
        </w:tc>
        <w:tc>
          <w:tcPr>
            <w:tcW w:w="1543" w:type="pct"/>
            <w:vAlign w:val="center"/>
          </w:tcPr>
          <w:p>
            <w:pPr>
              <w:pStyle w:val="47"/>
              <w:spacing w:line="240" w:lineRule="auto"/>
              <w:rPr>
                <w:color w:val="auto"/>
              </w:rPr>
            </w:pPr>
            <w:r>
              <w:rPr>
                <w:color w:val="auto"/>
              </w:rPr>
              <w:t>苯</w:t>
            </w:r>
          </w:p>
        </w:tc>
        <w:tc>
          <w:tcPr>
            <w:tcW w:w="1194" w:type="pct"/>
            <w:vAlign w:val="center"/>
          </w:tcPr>
          <w:p>
            <w:pPr>
              <w:spacing w:line="240" w:lineRule="auto"/>
              <w:ind w:firstLine="0" w:firstLineChars="0"/>
              <w:jc w:val="center"/>
              <w:rPr>
                <w:color w:val="auto"/>
              </w:rPr>
            </w:pPr>
            <w:r>
              <w:rPr>
                <w:color w:val="auto"/>
              </w:rPr>
              <w:t>ug/L</w:t>
            </w:r>
          </w:p>
        </w:tc>
        <w:tc>
          <w:tcPr>
            <w:tcW w:w="1609" w:type="pct"/>
            <w:vAlign w:val="center"/>
          </w:tcPr>
          <w:p>
            <w:pPr>
              <w:pStyle w:val="47"/>
              <w:spacing w:line="240" w:lineRule="auto"/>
              <w:rPr>
                <w:color w:val="auto"/>
              </w:rPr>
            </w:pPr>
            <w:r>
              <w:rPr>
                <w:color w:val="auto"/>
              </w:rPr>
              <w:t>≤10.0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33</w:t>
            </w:r>
          </w:p>
        </w:tc>
        <w:tc>
          <w:tcPr>
            <w:tcW w:w="1543" w:type="pct"/>
            <w:vAlign w:val="center"/>
          </w:tcPr>
          <w:p>
            <w:pPr>
              <w:pStyle w:val="47"/>
              <w:spacing w:line="240" w:lineRule="auto"/>
              <w:rPr>
                <w:color w:val="auto"/>
              </w:rPr>
            </w:pPr>
            <w:r>
              <w:rPr>
                <w:color w:val="auto"/>
              </w:rPr>
              <w:t>甲苯</w:t>
            </w:r>
          </w:p>
        </w:tc>
        <w:tc>
          <w:tcPr>
            <w:tcW w:w="1194" w:type="pct"/>
            <w:vAlign w:val="center"/>
          </w:tcPr>
          <w:p>
            <w:pPr>
              <w:spacing w:line="240" w:lineRule="auto"/>
              <w:ind w:firstLine="0" w:firstLineChars="0"/>
              <w:jc w:val="center"/>
              <w:rPr>
                <w:color w:val="auto"/>
              </w:rPr>
            </w:pPr>
            <w:r>
              <w:rPr>
                <w:color w:val="auto"/>
              </w:rPr>
              <w:t>ug/L</w:t>
            </w:r>
          </w:p>
        </w:tc>
        <w:tc>
          <w:tcPr>
            <w:tcW w:w="1609" w:type="pct"/>
            <w:vAlign w:val="center"/>
          </w:tcPr>
          <w:p>
            <w:pPr>
              <w:pStyle w:val="47"/>
              <w:spacing w:line="240" w:lineRule="auto"/>
              <w:rPr>
                <w:color w:val="auto"/>
              </w:rPr>
            </w:pPr>
            <w:r>
              <w:rPr>
                <w:color w:val="auto"/>
              </w:rPr>
              <w:t>≤700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2" w:type="pct"/>
            <w:vAlign w:val="center"/>
          </w:tcPr>
          <w:p>
            <w:pPr>
              <w:pStyle w:val="47"/>
              <w:spacing w:line="240" w:lineRule="auto"/>
              <w:rPr>
                <w:color w:val="auto"/>
              </w:rPr>
            </w:pPr>
            <w:r>
              <w:rPr>
                <w:color w:val="auto"/>
              </w:rPr>
              <w:t>34</w:t>
            </w:r>
          </w:p>
        </w:tc>
        <w:tc>
          <w:tcPr>
            <w:tcW w:w="1543" w:type="pct"/>
            <w:vAlign w:val="center"/>
          </w:tcPr>
          <w:p>
            <w:pPr>
              <w:pStyle w:val="47"/>
              <w:spacing w:line="240" w:lineRule="auto"/>
              <w:rPr>
                <w:color w:val="auto"/>
              </w:rPr>
            </w:pPr>
            <w:r>
              <w:rPr>
                <w:color w:val="auto"/>
              </w:rPr>
              <w:t>石油类</w:t>
            </w:r>
          </w:p>
        </w:tc>
        <w:tc>
          <w:tcPr>
            <w:tcW w:w="1194" w:type="pct"/>
            <w:vAlign w:val="center"/>
          </w:tcPr>
          <w:p>
            <w:pPr>
              <w:spacing w:line="240" w:lineRule="auto"/>
              <w:ind w:firstLine="0" w:firstLineChars="0"/>
              <w:jc w:val="center"/>
              <w:rPr>
                <w:color w:val="auto"/>
                <w:sz w:val="21"/>
                <w:szCs w:val="21"/>
              </w:rPr>
            </w:pPr>
            <w:r>
              <w:rPr>
                <w:color w:val="auto"/>
                <w:sz w:val="21"/>
                <w:szCs w:val="21"/>
              </w:rPr>
              <w:t>ug/L</w:t>
            </w:r>
          </w:p>
        </w:tc>
        <w:tc>
          <w:tcPr>
            <w:tcW w:w="1609" w:type="pct"/>
            <w:vAlign w:val="center"/>
          </w:tcPr>
          <w:p>
            <w:pPr>
              <w:pStyle w:val="47"/>
              <w:spacing w:line="240" w:lineRule="auto"/>
              <w:rPr>
                <w:color w:val="auto"/>
              </w:rPr>
            </w:pPr>
            <w:r>
              <w:rPr>
                <w:color w:val="auto"/>
              </w:rPr>
              <w:t>≤0.05</w:t>
            </w:r>
          </w:p>
        </w:tc>
      </w:tr>
    </w:tbl>
    <w:p>
      <w:pPr>
        <w:pStyle w:val="10"/>
        <w:spacing w:line="360" w:lineRule="auto"/>
        <w:rPr>
          <w:color w:val="auto"/>
        </w:rPr>
      </w:pPr>
      <w:r>
        <w:rPr>
          <w:rFonts w:hint="eastAsia"/>
          <w:color w:val="auto"/>
        </w:rPr>
        <w:t>4</w:t>
      </w:r>
      <w:r>
        <w:rPr>
          <w:color w:val="auto"/>
        </w:rPr>
        <w:t>.3.1.7 评价方法</w:t>
      </w:r>
    </w:p>
    <w:p>
      <w:pPr>
        <w:adjustRightInd w:val="0"/>
        <w:snapToGrid w:val="0"/>
        <w:ind w:firstLine="470" w:firstLineChars="196"/>
        <w:rPr>
          <w:bCs/>
          <w:color w:val="auto"/>
        </w:rPr>
      </w:pPr>
      <w:r>
        <w:rPr>
          <w:bCs/>
          <w:color w:val="auto"/>
        </w:rPr>
        <w:t>采用单因子指数法进行评价，其计算公式如下：</w:t>
      </w:r>
    </w:p>
    <w:p>
      <w:pPr>
        <w:adjustRightInd w:val="0"/>
        <w:snapToGrid w:val="0"/>
        <w:ind w:firstLine="1440" w:firstLineChars="600"/>
        <w:rPr>
          <w:bCs/>
          <w:color w:val="auto"/>
        </w:rPr>
      </w:pPr>
      <w:r>
        <w:rPr>
          <w:bCs/>
          <w:color w:val="auto"/>
        </w:rPr>
        <w:t>①S</w:t>
      </w:r>
      <w:r>
        <w:rPr>
          <w:bCs/>
          <w:color w:val="auto"/>
          <w:vertAlign w:val="subscript"/>
        </w:rPr>
        <w:t>ij</w:t>
      </w:r>
      <w:r>
        <w:rPr>
          <w:bCs/>
          <w:color w:val="auto"/>
        </w:rPr>
        <w:t>= C</w:t>
      </w:r>
      <w:r>
        <w:rPr>
          <w:bCs/>
          <w:color w:val="auto"/>
          <w:vertAlign w:val="subscript"/>
        </w:rPr>
        <w:t>ij</w:t>
      </w:r>
      <w:r>
        <w:rPr>
          <w:bCs/>
          <w:color w:val="auto"/>
        </w:rPr>
        <w:t>/ C</w:t>
      </w:r>
      <w:r>
        <w:rPr>
          <w:bCs/>
          <w:color w:val="auto"/>
          <w:vertAlign w:val="subscript"/>
        </w:rPr>
        <w:t>si</w:t>
      </w:r>
    </w:p>
    <w:p>
      <w:pPr>
        <w:adjustRightInd w:val="0"/>
        <w:snapToGrid w:val="0"/>
        <w:ind w:firstLine="480"/>
        <w:rPr>
          <w:bCs/>
          <w:color w:val="auto"/>
        </w:rPr>
      </w:pPr>
      <w:r>
        <w:rPr>
          <w:bCs/>
          <w:color w:val="auto"/>
        </w:rPr>
        <w:t>式中：</w:t>
      </w:r>
    </w:p>
    <w:p>
      <w:pPr>
        <w:adjustRightInd w:val="0"/>
        <w:snapToGrid w:val="0"/>
        <w:ind w:firstLine="960" w:firstLineChars="400"/>
        <w:rPr>
          <w:bCs/>
          <w:color w:val="auto"/>
        </w:rPr>
      </w:pPr>
      <w:r>
        <w:rPr>
          <w:bCs/>
          <w:color w:val="auto"/>
        </w:rPr>
        <w:t>S</w:t>
      </w:r>
      <w:r>
        <w:rPr>
          <w:bCs/>
          <w:color w:val="auto"/>
          <w:vertAlign w:val="subscript"/>
        </w:rPr>
        <w:t>ij</w:t>
      </w:r>
      <w:r>
        <w:rPr>
          <w:bCs/>
          <w:color w:val="auto"/>
        </w:rPr>
        <w:t>---单项水质参数i在j点的标准指数；</w:t>
      </w:r>
    </w:p>
    <w:p>
      <w:pPr>
        <w:adjustRightInd w:val="0"/>
        <w:snapToGrid w:val="0"/>
        <w:ind w:firstLine="960" w:firstLineChars="400"/>
        <w:rPr>
          <w:bCs/>
          <w:color w:val="auto"/>
        </w:rPr>
      </w:pPr>
      <w:r>
        <w:rPr>
          <w:bCs/>
          <w:color w:val="auto"/>
        </w:rPr>
        <w:t>C</w:t>
      </w:r>
      <w:r>
        <w:rPr>
          <w:bCs/>
          <w:color w:val="auto"/>
          <w:vertAlign w:val="subscript"/>
        </w:rPr>
        <w:t>ij</w:t>
      </w:r>
      <w:r>
        <w:rPr>
          <w:bCs/>
          <w:color w:val="auto"/>
        </w:rPr>
        <w:t>---污染物i在监测点j的浓度，mg/L；</w:t>
      </w:r>
    </w:p>
    <w:p>
      <w:pPr>
        <w:adjustRightInd w:val="0"/>
        <w:snapToGrid w:val="0"/>
        <w:ind w:firstLine="960" w:firstLineChars="400"/>
        <w:rPr>
          <w:bCs/>
          <w:color w:val="auto"/>
        </w:rPr>
      </w:pPr>
      <w:r>
        <w:rPr>
          <w:bCs/>
          <w:color w:val="auto"/>
        </w:rPr>
        <w:t>C</w:t>
      </w:r>
      <w:r>
        <w:rPr>
          <w:bCs/>
          <w:color w:val="auto"/>
          <w:vertAlign w:val="subscript"/>
        </w:rPr>
        <w:t>si</w:t>
      </w:r>
      <w:r>
        <w:rPr>
          <w:bCs/>
          <w:color w:val="auto"/>
        </w:rPr>
        <w:t>---i污染物的水质评价标准mg/L</w:t>
      </w:r>
    </w:p>
    <w:p>
      <w:pPr>
        <w:adjustRightInd w:val="0"/>
        <w:snapToGrid w:val="0"/>
        <w:ind w:firstLine="480"/>
        <w:rPr>
          <w:bCs/>
          <w:color w:val="auto"/>
        </w:rPr>
      </w:pPr>
      <w:r>
        <w:rPr>
          <w:bCs/>
          <w:color w:val="auto"/>
        </w:rPr>
        <w:t>②pH的标准指数采用下式计算</w:t>
      </w:r>
    </w:p>
    <w:p>
      <w:pPr>
        <w:adjustRightInd w:val="0"/>
        <w:snapToGrid w:val="0"/>
        <w:ind w:firstLine="1200" w:firstLineChars="500"/>
        <w:rPr>
          <w:bCs/>
          <w:color w:val="auto"/>
        </w:rPr>
      </w:pPr>
      <w:r>
        <w:rPr>
          <w:bCs/>
          <w:color w:val="auto"/>
        </w:rPr>
        <w:t>S</w:t>
      </w:r>
      <w:r>
        <w:rPr>
          <w:bCs/>
          <w:color w:val="auto"/>
          <w:vertAlign w:val="subscript"/>
        </w:rPr>
        <w:t>pHj</w:t>
      </w:r>
      <w:r>
        <w:rPr>
          <w:bCs/>
          <w:color w:val="auto"/>
        </w:rPr>
        <w:t>=(7.0-pH</w:t>
      </w:r>
      <w:r>
        <w:rPr>
          <w:bCs/>
          <w:color w:val="auto"/>
          <w:vertAlign w:val="subscript"/>
        </w:rPr>
        <w:t>j</w:t>
      </w:r>
      <w:r>
        <w:rPr>
          <w:bCs/>
          <w:color w:val="auto"/>
        </w:rPr>
        <w:t>)/(7.0-pH</w:t>
      </w:r>
      <w:r>
        <w:rPr>
          <w:bCs/>
          <w:color w:val="auto"/>
          <w:vertAlign w:val="subscript"/>
        </w:rPr>
        <w:t>sd</w:t>
      </w:r>
      <w:r>
        <w:rPr>
          <w:bCs/>
          <w:color w:val="auto"/>
        </w:rPr>
        <w:t>)       当PH</w:t>
      </w:r>
      <w:r>
        <w:rPr>
          <w:bCs/>
          <w:color w:val="auto"/>
          <w:vertAlign w:val="subscript"/>
        </w:rPr>
        <w:t>j</w:t>
      </w:r>
      <w:r>
        <w:rPr>
          <w:bCs/>
          <w:color w:val="auto"/>
        </w:rPr>
        <w:t>≤7.0时</w:t>
      </w:r>
    </w:p>
    <w:p>
      <w:pPr>
        <w:adjustRightInd w:val="0"/>
        <w:snapToGrid w:val="0"/>
        <w:ind w:firstLine="1200" w:firstLineChars="500"/>
        <w:rPr>
          <w:bCs/>
          <w:color w:val="auto"/>
        </w:rPr>
      </w:pPr>
      <w:r>
        <w:rPr>
          <w:bCs/>
          <w:color w:val="auto"/>
        </w:rPr>
        <w:t>S</w:t>
      </w:r>
      <w:r>
        <w:rPr>
          <w:bCs/>
          <w:color w:val="auto"/>
          <w:vertAlign w:val="subscript"/>
        </w:rPr>
        <w:t>pHj</w:t>
      </w:r>
      <w:r>
        <w:rPr>
          <w:bCs/>
          <w:color w:val="auto"/>
        </w:rPr>
        <w:t>=( pH</w:t>
      </w:r>
      <w:r>
        <w:rPr>
          <w:bCs/>
          <w:color w:val="auto"/>
          <w:vertAlign w:val="subscript"/>
        </w:rPr>
        <w:t>j</w:t>
      </w:r>
      <w:r>
        <w:rPr>
          <w:bCs/>
          <w:color w:val="auto"/>
        </w:rPr>
        <w:t xml:space="preserve"> -7.0)/( pH</w:t>
      </w:r>
      <w:r>
        <w:rPr>
          <w:bCs/>
          <w:color w:val="auto"/>
          <w:vertAlign w:val="subscript"/>
        </w:rPr>
        <w:t>su</w:t>
      </w:r>
      <w:r>
        <w:rPr>
          <w:bCs/>
          <w:color w:val="auto"/>
        </w:rPr>
        <w:t xml:space="preserve"> -7.0)     当PH</w:t>
      </w:r>
      <w:r>
        <w:rPr>
          <w:bCs/>
          <w:color w:val="auto"/>
          <w:vertAlign w:val="subscript"/>
        </w:rPr>
        <w:t>j</w:t>
      </w:r>
      <w:r>
        <w:rPr>
          <w:bCs/>
          <w:color w:val="auto"/>
        </w:rPr>
        <w:t>＞7.0时</w:t>
      </w:r>
    </w:p>
    <w:p>
      <w:pPr>
        <w:adjustRightInd w:val="0"/>
        <w:snapToGrid w:val="0"/>
        <w:ind w:firstLine="480"/>
        <w:rPr>
          <w:bCs/>
          <w:color w:val="auto"/>
        </w:rPr>
      </w:pPr>
      <w:r>
        <w:rPr>
          <w:bCs/>
          <w:color w:val="auto"/>
        </w:rPr>
        <w:t>式中：</w:t>
      </w:r>
    </w:p>
    <w:p>
      <w:pPr>
        <w:adjustRightInd w:val="0"/>
        <w:snapToGrid w:val="0"/>
        <w:ind w:firstLine="960" w:firstLineChars="400"/>
        <w:rPr>
          <w:bCs/>
          <w:color w:val="auto"/>
        </w:rPr>
      </w:pPr>
      <w:r>
        <w:rPr>
          <w:bCs/>
          <w:color w:val="auto"/>
        </w:rPr>
        <w:t>S</w:t>
      </w:r>
      <w:r>
        <w:rPr>
          <w:bCs/>
          <w:color w:val="auto"/>
          <w:vertAlign w:val="subscript"/>
        </w:rPr>
        <w:t>PHj</w:t>
      </w:r>
      <w:r>
        <w:rPr>
          <w:bCs/>
          <w:color w:val="auto"/>
        </w:rPr>
        <w:t>---单项水质参数pH在j点的标准指数；</w:t>
      </w:r>
    </w:p>
    <w:p>
      <w:pPr>
        <w:adjustRightInd w:val="0"/>
        <w:snapToGrid w:val="0"/>
        <w:ind w:firstLine="960" w:firstLineChars="400"/>
        <w:rPr>
          <w:bCs/>
          <w:color w:val="auto"/>
        </w:rPr>
      </w:pPr>
      <w:r>
        <w:rPr>
          <w:bCs/>
          <w:color w:val="auto"/>
        </w:rPr>
        <w:t>pH</w:t>
      </w:r>
      <w:r>
        <w:rPr>
          <w:bCs/>
          <w:color w:val="auto"/>
          <w:vertAlign w:val="subscript"/>
        </w:rPr>
        <w:t>sd</w:t>
      </w:r>
      <w:r>
        <w:rPr>
          <w:bCs/>
          <w:color w:val="auto"/>
        </w:rPr>
        <w:t>---地下水质量标准中规定的pH值下限；</w:t>
      </w:r>
    </w:p>
    <w:p>
      <w:pPr>
        <w:adjustRightInd w:val="0"/>
        <w:snapToGrid w:val="0"/>
        <w:ind w:firstLine="960" w:firstLineChars="400"/>
        <w:rPr>
          <w:color w:val="auto"/>
        </w:rPr>
      </w:pPr>
      <w:r>
        <w:rPr>
          <w:color w:val="auto"/>
        </w:rPr>
        <w:t>pH</w:t>
      </w:r>
      <w:r>
        <w:rPr>
          <w:color w:val="auto"/>
          <w:vertAlign w:val="subscript"/>
        </w:rPr>
        <w:t>su</w:t>
      </w:r>
      <w:r>
        <w:rPr>
          <w:color w:val="auto"/>
        </w:rPr>
        <w:t>---地下水质量标准中规定的pH值上限。</w:t>
      </w:r>
    </w:p>
    <w:p>
      <w:pPr>
        <w:adjustRightInd w:val="0"/>
        <w:snapToGrid w:val="0"/>
        <w:ind w:firstLine="480"/>
        <w:rPr>
          <w:color w:val="auto"/>
        </w:rPr>
      </w:pPr>
      <w:r>
        <w:rPr>
          <w:color w:val="auto"/>
        </w:rPr>
        <w:t>若计算的标准数小于1，则表明该项水质指标能满足目前的水质用途；若标准指数大于1，则表明水体已受到该污染物的污染，指数越高，表明污染越重。</w:t>
      </w:r>
    </w:p>
    <w:p>
      <w:pPr>
        <w:pStyle w:val="9"/>
        <w:spacing w:before="0" w:beforeLines="0" w:after="0" w:afterLines="0"/>
        <w:rPr>
          <w:color w:val="auto"/>
        </w:rPr>
      </w:pPr>
      <w:bookmarkStart w:id="261" w:name="_Toc289"/>
      <w:r>
        <w:rPr>
          <w:rFonts w:hint="eastAsia"/>
          <w:color w:val="auto"/>
        </w:rPr>
        <w:t>4</w:t>
      </w:r>
      <w:r>
        <w:rPr>
          <w:color w:val="auto"/>
        </w:rPr>
        <w:t xml:space="preserve">.3.2 </w:t>
      </w:r>
      <w:bookmarkEnd w:id="261"/>
      <w:r>
        <w:rPr>
          <w:color w:val="auto"/>
        </w:rPr>
        <w:t>评价结果</w:t>
      </w:r>
    </w:p>
    <w:p>
      <w:pPr>
        <w:pStyle w:val="48"/>
        <w:rPr>
          <w:bCs/>
          <w:color w:val="auto"/>
        </w:rPr>
      </w:pPr>
      <w:r>
        <w:rPr>
          <w:bCs/>
          <w:color w:val="auto"/>
        </w:rPr>
        <w:t>表</w:t>
      </w:r>
      <w:r>
        <w:rPr>
          <w:rFonts w:hint="eastAsia"/>
          <w:bCs/>
          <w:color w:val="auto"/>
        </w:rPr>
        <w:t>4</w:t>
      </w:r>
      <w:r>
        <w:rPr>
          <w:bCs/>
          <w:color w:val="auto"/>
        </w:rPr>
        <w:t>.3-6  地下水环境质量评价结果表</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68"/>
        <w:gridCol w:w="1784"/>
        <w:gridCol w:w="1784"/>
        <w:gridCol w:w="1823"/>
        <w:gridCol w:w="18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114" w:type="pct"/>
            <w:vAlign w:val="center"/>
          </w:tcPr>
          <w:p>
            <w:pPr>
              <w:spacing w:line="312" w:lineRule="exact"/>
              <w:ind w:firstLine="0" w:firstLineChars="0"/>
              <w:jc w:val="center"/>
              <w:rPr>
                <w:b/>
                <w:bCs/>
                <w:color w:val="auto"/>
                <w:sz w:val="21"/>
                <w:szCs w:val="21"/>
              </w:rPr>
            </w:pPr>
            <w:r>
              <w:rPr>
                <w:b/>
                <w:bCs/>
                <w:color w:val="auto"/>
                <w:sz w:val="21"/>
                <w:szCs w:val="21"/>
              </w:rPr>
              <w:t>监测项目</w:t>
            </w:r>
          </w:p>
        </w:tc>
        <w:tc>
          <w:tcPr>
            <w:tcW w:w="961" w:type="pct"/>
            <w:vAlign w:val="center"/>
          </w:tcPr>
          <w:p>
            <w:pPr>
              <w:spacing w:line="312" w:lineRule="exact"/>
              <w:ind w:firstLine="0" w:firstLineChars="0"/>
              <w:jc w:val="center"/>
              <w:rPr>
                <w:b/>
                <w:bCs/>
                <w:color w:val="auto"/>
                <w:sz w:val="21"/>
                <w:szCs w:val="21"/>
              </w:rPr>
            </w:pPr>
            <w:r>
              <w:rPr>
                <w:b/>
                <w:bCs/>
                <w:color w:val="auto"/>
                <w:sz w:val="21"/>
                <w:szCs w:val="21"/>
              </w:rPr>
              <w:t>1#项目厂址</w:t>
            </w:r>
          </w:p>
        </w:tc>
        <w:tc>
          <w:tcPr>
            <w:tcW w:w="961" w:type="pct"/>
            <w:vAlign w:val="center"/>
          </w:tcPr>
          <w:p>
            <w:pPr>
              <w:spacing w:line="312" w:lineRule="exact"/>
              <w:ind w:firstLine="0" w:firstLineChars="0"/>
              <w:jc w:val="center"/>
              <w:rPr>
                <w:b/>
                <w:bCs/>
                <w:color w:val="auto"/>
                <w:sz w:val="21"/>
                <w:szCs w:val="21"/>
              </w:rPr>
            </w:pPr>
            <w:r>
              <w:rPr>
                <w:b/>
                <w:bCs/>
                <w:color w:val="auto"/>
                <w:sz w:val="21"/>
                <w:szCs w:val="21"/>
              </w:rPr>
              <w:t>2#西吕村</w:t>
            </w:r>
          </w:p>
        </w:tc>
        <w:tc>
          <w:tcPr>
            <w:tcW w:w="981" w:type="pct"/>
            <w:vAlign w:val="center"/>
          </w:tcPr>
          <w:p>
            <w:pPr>
              <w:spacing w:line="312" w:lineRule="exact"/>
              <w:ind w:firstLine="0" w:firstLineChars="0"/>
              <w:jc w:val="center"/>
              <w:rPr>
                <w:b/>
                <w:bCs/>
                <w:color w:val="auto"/>
                <w:sz w:val="21"/>
                <w:szCs w:val="21"/>
              </w:rPr>
            </w:pPr>
            <w:r>
              <w:rPr>
                <w:b/>
                <w:bCs/>
                <w:color w:val="auto"/>
                <w:sz w:val="21"/>
                <w:szCs w:val="21"/>
              </w:rPr>
              <w:t>3#大张社区</w:t>
            </w:r>
          </w:p>
        </w:tc>
        <w:tc>
          <w:tcPr>
            <w:tcW w:w="981" w:type="pct"/>
            <w:vAlign w:val="center"/>
          </w:tcPr>
          <w:p>
            <w:pPr>
              <w:spacing w:line="312" w:lineRule="exact"/>
              <w:ind w:firstLine="0" w:firstLineChars="0"/>
              <w:jc w:val="center"/>
              <w:rPr>
                <w:rFonts w:hint="default" w:eastAsia="宋体"/>
                <w:b/>
                <w:bCs/>
                <w:color w:val="auto"/>
                <w:sz w:val="21"/>
                <w:szCs w:val="21"/>
                <w:lang w:val="en-US" w:eastAsia="zh-CN"/>
              </w:rPr>
            </w:pPr>
            <w:r>
              <w:rPr>
                <w:rFonts w:hint="eastAsia"/>
                <w:b/>
                <w:bCs/>
                <w:color w:val="auto"/>
                <w:sz w:val="21"/>
                <w:szCs w:val="21"/>
                <w:lang w:val="en-US" w:eastAsia="zh-CN"/>
              </w:rPr>
              <w:t>7#厂址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114" w:type="pct"/>
            <w:vAlign w:val="center"/>
          </w:tcPr>
          <w:p>
            <w:pPr>
              <w:spacing w:line="312" w:lineRule="exact"/>
              <w:ind w:firstLine="0" w:firstLineChars="0"/>
              <w:jc w:val="center"/>
              <w:rPr>
                <w:color w:val="auto"/>
                <w:sz w:val="21"/>
                <w:szCs w:val="21"/>
              </w:rPr>
            </w:pPr>
            <w:r>
              <w:rPr>
                <w:color w:val="auto"/>
                <w:sz w:val="21"/>
                <w:szCs w:val="21"/>
              </w:rPr>
              <w:t>总硬度</w:t>
            </w:r>
          </w:p>
        </w:tc>
        <w:tc>
          <w:tcPr>
            <w:tcW w:w="961" w:type="pct"/>
            <w:vAlign w:val="center"/>
          </w:tcPr>
          <w:p>
            <w:pPr>
              <w:widowControl/>
              <w:ind w:firstLine="0" w:firstLineChars="0"/>
              <w:jc w:val="center"/>
              <w:textAlignment w:val="center"/>
              <w:rPr>
                <w:b/>
                <w:bCs/>
                <w:color w:val="auto"/>
                <w:sz w:val="21"/>
                <w:szCs w:val="21"/>
              </w:rPr>
            </w:pPr>
            <w:r>
              <w:rPr>
                <w:rFonts w:hint="eastAsia"/>
                <w:b/>
                <w:bCs/>
                <w:color w:val="auto"/>
                <w:sz w:val="21"/>
                <w:szCs w:val="21"/>
              </w:rPr>
              <w:t>1.74</w:t>
            </w:r>
          </w:p>
        </w:tc>
        <w:tc>
          <w:tcPr>
            <w:tcW w:w="961" w:type="pct"/>
            <w:vAlign w:val="center"/>
          </w:tcPr>
          <w:p>
            <w:pPr>
              <w:spacing w:line="312" w:lineRule="exact"/>
              <w:ind w:firstLine="0" w:firstLineChars="0"/>
              <w:jc w:val="center"/>
              <w:rPr>
                <w:b/>
                <w:bCs/>
                <w:color w:val="auto"/>
                <w:sz w:val="21"/>
                <w:szCs w:val="21"/>
              </w:rPr>
            </w:pPr>
            <w:r>
              <w:rPr>
                <w:rFonts w:hint="eastAsia"/>
                <w:b/>
                <w:bCs/>
                <w:color w:val="auto"/>
                <w:sz w:val="21"/>
                <w:szCs w:val="21"/>
              </w:rPr>
              <w:t xml:space="preserve">1.49 </w:t>
            </w:r>
          </w:p>
        </w:tc>
        <w:tc>
          <w:tcPr>
            <w:tcW w:w="981" w:type="pct"/>
            <w:vAlign w:val="center"/>
          </w:tcPr>
          <w:p>
            <w:pPr>
              <w:spacing w:line="312" w:lineRule="exact"/>
              <w:ind w:firstLine="0" w:firstLineChars="0"/>
              <w:jc w:val="center"/>
              <w:rPr>
                <w:b/>
                <w:bCs/>
                <w:color w:val="auto"/>
                <w:sz w:val="21"/>
                <w:szCs w:val="21"/>
              </w:rPr>
            </w:pPr>
            <w:r>
              <w:rPr>
                <w:rFonts w:hint="eastAsia"/>
                <w:b/>
                <w:bCs/>
                <w:color w:val="auto"/>
                <w:sz w:val="21"/>
                <w:szCs w:val="21"/>
              </w:rPr>
              <w:t xml:space="preserve">2.667 </w:t>
            </w:r>
          </w:p>
        </w:tc>
        <w:tc>
          <w:tcPr>
            <w:tcW w:w="981" w:type="pct"/>
            <w:vAlign w:val="center"/>
          </w:tcPr>
          <w:p>
            <w:pPr>
              <w:spacing w:line="312" w:lineRule="exact"/>
              <w:ind w:firstLine="0" w:firstLineChars="0"/>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0.742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114" w:type="pct"/>
            <w:vAlign w:val="center"/>
          </w:tcPr>
          <w:p>
            <w:pPr>
              <w:spacing w:line="312" w:lineRule="exact"/>
              <w:ind w:firstLine="0" w:firstLineChars="0"/>
              <w:jc w:val="center"/>
              <w:rPr>
                <w:color w:val="auto"/>
                <w:sz w:val="21"/>
                <w:szCs w:val="21"/>
              </w:rPr>
            </w:pPr>
            <w:r>
              <w:rPr>
                <w:color w:val="auto"/>
                <w:sz w:val="21"/>
                <w:szCs w:val="21"/>
              </w:rPr>
              <w:t>溶解性总固体</w:t>
            </w:r>
          </w:p>
        </w:tc>
        <w:tc>
          <w:tcPr>
            <w:tcW w:w="961" w:type="pct"/>
            <w:vAlign w:val="center"/>
          </w:tcPr>
          <w:p>
            <w:pPr>
              <w:spacing w:line="312" w:lineRule="exact"/>
              <w:ind w:firstLine="0" w:firstLineChars="0"/>
              <w:jc w:val="center"/>
              <w:rPr>
                <w:b/>
                <w:bCs/>
                <w:color w:val="auto"/>
                <w:sz w:val="21"/>
                <w:szCs w:val="21"/>
              </w:rPr>
            </w:pPr>
            <w:r>
              <w:rPr>
                <w:rFonts w:hint="eastAsia"/>
                <w:b/>
                <w:bCs/>
                <w:color w:val="auto"/>
                <w:sz w:val="21"/>
                <w:szCs w:val="21"/>
              </w:rPr>
              <w:t xml:space="preserve">1.35 </w:t>
            </w:r>
          </w:p>
        </w:tc>
        <w:tc>
          <w:tcPr>
            <w:tcW w:w="961" w:type="pct"/>
            <w:vAlign w:val="center"/>
          </w:tcPr>
          <w:p>
            <w:pPr>
              <w:spacing w:line="312" w:lineRule="exact"/>
              <w:ind w:firstLine="0" w:firstLineChars="0"/>
              <w:jc w:val="center"/>
              <w:rPr>
                <w:b/>
                <w:bCs/>
                <w:color w:val="auto"/>
                <w:sz w:val="21"/>
                <w:szCs w:val="21"/>
              </w:rPr>
            </w:pPr>
            <w:r>
              <w:rPr>
                <w:rFonts w:hint="eastAsia"/>
                <w:b/>
                <w:bCs/>
                <w:color w:val="auto"/>
                <w:sz w:val="21"/>
                <w:szCs w:val="21"/>
              </w:rPr>
              <w:t xml:space="preserve">1.02 </w:t>
            </w:r>
          </w:p>
        </w:tc>
        <w:tc>
          <w:tcPr>
            <w:tcW w:w="981" w:type="pct"/>
            <w:vAlign w:val="center"/>
          </w:tcPr>
          <w:p>
            <w:pPr>
              <w:spacing w:line="312" w:lineRule="exact"/>
              <w:ind w:firstLine="0" w:firstLineChars="0"/>
              <w:jc w:val="center"/>
              <w:rPr>
                <w:b/>
                <w:bCs/>
                <w:color w:val="auto"/>
                <w:sz w:val="21"/>
                <w:szCs w:val="21"/>
              </w:rPr>
            </w:pPr>
            <w:r>
              <w:rPr>
                <w:rFonts w:hint="eastAsia"/>
                <w:b/>
                <w:bCs/>
                <w:color w:val="auto"/>
                <w:sz w:val="21"/>
                <w:szCs w:val="21"/>
              </w:rPr>
              <w:t xml:space="preserve">1.870 </w:t>
            </w:r>
          </w:p>
        </w:tc>
        <w:tc>
          <w:tcPr>
            <w:tcW w:w="981" w:type="pct"/>
            <w:vAlign w:val="center"/>
          </w:tcPr>
          <w:p>
            <w:pPr>
              <w:spacing w:line="312" w:lineRule="exact"/>
              <w:ind w:firstLine="0" w:firstLineChars="0"/>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0.716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114" w:type="pct"/>
            <w:vAlign w:val="center"/>
          </w:tcPr>
          <w:p>
            <w:pPr>
              <w:spacing w:line="312" w:lineRule="exact"/>
              <w:ind w:firstLine="0" w:firstLineChars="0"/>
              <w:jc w:val="center"/>
              <w:rPr>
                <w:color w:val="auto"/>
                <w:sz w:val="21"/>
                <w:szCs w:val="21"/>
              </w:rPr>
            </w:pPr>
            <w:r>
              <w:rPr>
                <w:color w:val="auto"/>
                <w:sz w:val="21"/>
                <w:szCs w:val="21"/>
              </w:rPr>
              <w:t>硫酸盐</w:t>
            </w:r>
          </w:p>
        </w:tc>
        <w:tc>
          <w:tcPr>
            <w:tcW w:w="961" w:type="pct"/>
            <w:vAlign w:val="center"/>
          </w:tcPr>
          <w:p>
            <w:pPr>
              <w:spacing w:line="312" w:lineRule="exact"/>
              <w:ind w:firstLine="0" w:firstLineChars="0"/>
              <w:jc w:val="center"/>
              <w:rPr>
                <w:color w:val="auto"/>
                <w:sz w:val="21"/>
                <w:szCs w:val="21"/>
              </w:rPr>
            </w:pPr>
            <w:r>
              <w:rPr>
                <w:rFonts w:hint="eastAsia"/>
                <w:color w:val="auto"/>
                <w:sz w:val="21"/>
                <w:szCs w:val="21"/>
              </w:rPr>
              <w:t xml:space="preserve">0.77 </w:t>
            </w:r>
          </w:p>
        </w:tc>
        <w:tc>
          <w:tcPr>
            <w:tcW w:w="961" w:type="pct"/>
            <w:vAlign w:val="center"/>
          </w:tcPr>
          <w:p>
            <w:pPr>
              <w:spacing w:line="312" w:lineRule="exact"/>
              <w:ind w:firstLine="0" w:firstLineChars="0"/>
              <w:jc w:val="center"/>
              <w:rPr>
                <w:color w:val="auto"/>
                <w:sz w:val="21"/>
                <w:szCs w:val="21"/>
              </w:rPr>
            </w:pPr>
            <w:r>
              <w:rPr>
                <w:rFonts w:hint="eastAsia"/>
                <w:color w:val="auto"/>
                <w:sz w:val="21"/>
                <w:szCs w:val="21"/>
              </w:rPr>
              <w:t xml:space="preserve">0.76 </w:t>
            </w:r>
          </w:p>
        </w:tc>
        <w:tc>
          <w:tcPr>
            <w:tcW w:w="981" w:type="pct"/>
            <w:vAlign w:val="center"/>
          </w:tcPr>
          <w:p>
            <w:pPr>
              <w:spacing w:line="312" w:lineRule="exact"/>
              <w:ind w:firstLine="0" w:firstLineChars="0"/>
              <w:jc w:val="center"/>
              <w:rPr>
                <w:color w:val="auto"/>
                <w:sz w:val="21"/>
                <w:szCs w:val="21"/>
              </w:rPr>
            </w:pPr>
            <w:r>
              <w:rPr>
                <w:rFonts w:hint="eastAsia"/>
                <w:b/>
                <w:bCs/>
                <w:color w:val="auto"/>
                <w:sz w:val="21"/>
                <w:szCs w:val="21"/>
              </w:rPr>
              <w:t xml:space="preserve">1.992 </w:t>
            </w:r>
          </w:p>
        </w:tc>
        <w:tc>
          <w:tcPr>
            <w:tcW w:w="981" w:type="pct"/>
            <w:vAlign w:val="center"/>
          </w:tcPr>
          <w:p>
            <w:pPr>
              <w:spacing w:line="312" w:lineRule="exact"/>
              <w:ind w:firstLine="0" w:firstLineChars="0"/>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0.672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114" w:type="pct"/>
            <w:vAlign w:val="center"/>
          </w:tcPr>
          <w:p>
            <w:pPr>
              <w:spacing w:line="312" w:lineRule="exact"/>
              <w:ind w:firstLine="0" w:firstLineChars="0"/>
              <w:jc w:val="center"/>
              <w:rPr>
                <w:color w:val="auto"/>
                <w:sz w:val="21"/>
                <w:szCs w:val="21"/>
              </w:rPr>
            </w:pPr>
            <w:r>
              <w:rPr>
                <w:color w:val="auto"/>
                <w:sz w:val="21"/>
                <w:szCs w:val="21"/>
              </w:rPr>
              <w:t>氯化物</w:t>
            </w:r>
          </w:p>
        </w:tc>
        <w:tc>
          <w:tcPr>
            <w:tcW w:w="961" w:type="pct"/>
            <w:vAlign w:val="center"/>
          </w:tcPr>
          <w:p>
            <w:pPr>
              <w:spacing w:line="312" w:lineRule="exact"/>
              <w:ind w:firstLine="0" w:firstLineChars="0"/>
              <w:jc w:val="center"/>
              <w:rPr>
                <w:color w:val="auto"/>
                <w:sz w:val="21"/>
                <w:szCs w:val="21"/>
              </w:rPr>
            </w:pPr>
            <w:r>
              <w:rPr>
                <w:rFonts w:hint="eastAsia"/>
                <w:color w:val="auto"/>
                <w:sz w:val="21"/>
                <w:szCs w:val="21"/>
              </w:rPr>
              <w:t xml:space="preserve">0.64 </w:t>
            </w:r>
          </w:p>
        </w:tc>
        <w:tc>
          <w:tcPr>
            <w:tcW w:w="961" w:type="pct"/>
            <w:vAlign w:val="center"/>
          </w:tcPr>
          <w:p>
            <w:pPr>
              <w:spacing w:line="312" w:lineRule="exact"/>
              <w:ind w:firstLine="0" w:firstLineChars="0"/>
              <w:jc w:val="center"/>
              <w:rPr>
                <w:color w:val="auto"/>
                <w:sz w:val="21"/>
                <w:szCs w:val="21"/>
              </w:rPr>
            </w:pPr>
            <w:r>
              <w:rPr>
                <w:rFonts w:hint="eastAsia"/>
                <w:color w:val="auto"/>
                <w:sz w:val="21"/>
                <w:szCs w:val="21"/>
              </w:rPr>
              <w:t xml:space="preserve">0.46 </w:t>
            </w:r>
          </w:p>
        </w:tc>
        <w:tc>
          <w:tcPr>
            <w:tcW w:w="981" w:type="pct"/>
            <w:vAlign w:val="center"/>
          </w:tcPr>
          <w:p>
            <w:pPr>
              <w:spacing w:line="312" w:lineRule="exact"/>
              <w:ind w:firstLine="0" w:firstLineChars="0"/>
              <w:jc w:val="center"/>
              <w:rPr>
                <w:color w:val="auto"/>
                <w:sz w:val="21"/>
                <w:szCs w:val="21"/>
              </w:rPr>
            </w:pPr>
            <w:r>
              <w:rPr>
                <w:rFonts w:hint="eastAsia"/>
                <w:color w:val="auto"/>
                <w:sz w:val="21"/>
                <w:szCs w:val="21"/>
              </w:rPr>
              <w:t xml:space="preserve">0.960 </w:t>
            </w:r>
          </w:p>
        </w:tc>
        <w:tc>
          <w:tcPr>
            <w:tcW w:w="981" w:type="pct"/>
            <w:vAlign w:val="center"/>
          </w:tcPr>
          <w:p>
            <w:pPr>
              <w:spacing w:line="312"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0.416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114" w:type="pct"/>
            <w:vAlign w:val="center"/>
          </w:tcPr>
          <w:p>
            <w:pPr>
              <w:spacing w:line="312"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铁</w:t>
            </w:r>
          </w:p>
        </w:tc>
        <w:tc>
          <w:tcPr>
            <w:tcW w:w="961" w:type="pct"/>
            <w:vAlign w:val="center"/>
          </w:tcPr>
          <w:p>
            <w:pPr>
              <w:spacing w:line="312" w:lineRule="exact"/>
              <w:ind w:firstLine="0" w:firstLineChars="0"/>
              <w:jc w:val="center"/>
              <w:rPr>
                <w:rFonts w:hint="eastAsia"/>
                <w:color w:val="auto"/>
                <w:sz w:val="21"/>
                <w:szCs w:val="21"/>
              </w:rPr>
            </w:pPr>
            <w:r>
              <w:rPr>
                <w:rFonts w:hint="eastAsia"/>
                <w:color w:val="auto"/>
                <w:sz w:val="21"/>
                <w:szCs w:val="21"/>
              </w:rPr>
              <w:t>未检出</w:t>
            </w:r>
          </w:p>
        </w:tc>
        <w:tc>
          <w:tcPr>
            <w:tcW w:w="961" w:type="pct"/>
            <w:vAlign w:val="center"/>
          </w:tcPr>
          <w:p>
            <w:pPr>
              <w:spacing w:line="312" w:lineRule="exact"/>
              <w:ind w:firstLine="0" w:firstLineChars="0"/>
              <w:jc w:val="center"/>
              <w:rPr>
                <w:rFonts w:hint="eastAsia"/>
                <w:b/>
                <w:bCs/>
                <w:color w:val="auto"/>
                <w:sz w:val="21"/>
                <w:szCs w:val="21"/>
              </w:rPr>
            </w:pPr>
            <w:r>
              <w:rPr>
                <w:rFonts w:hint="eastAsia"/>
                <w:color w:val="auto"/>
                <w:sz w:val="21"/>
                <w:szCs w:val="21"/>
              </w:rPr>
              <w:t>未检出</w:t>
            </w:r>
          </w:p>
        </w:tc>
        <w:tc>
          <w:tcPr>
            <w:tcW w:w="981" w:type="pct"/>
            <w:vAlign w:val="center"/>
          </w:tcPr>
          <w:p>
            <w:pPr>
              <w:spacing w:line="312" w:lineRule="exact"/>
              <w:ind w:firstLine="0" w:firstLineChars="0"/>
              <w:jc w:val="center"/>
              <w:rPr>
                <w:rFonts w:hint="eastAsia"/>
                <w:b/>
                <w:bCs/>
                <w:color w:val="auto"/>
                <w:sz w:val="21"/>
                <w:szCs w:val="21"/>
              </w:rPr>
            </w:pPr>
            <w:r>
              <w:rPr>
                <w:rFonts w:hint="eastAsia"/>
                <w:color w:val="auto"/>
                <w:sz w:val="21"/>
                <w:szCs w:val="21"/>
              </w:rPr>
              <w:t>未检出</w:t>
            </w:r>
          </w:p>
        </w:tc>
        <w:tc>
          <w:tcPr>
            <w:tcW w:w="981" w:type="pct"/>
            <w:vAlign w:val="center"/>
          </w:tcPr>
          <w:p>
            <w:pPr>
              <w:spacing w:line="312" w:lineRule="exact"/>
              <w:ind w:firstLine="0" w:firstLineChars="0"/>
              <w:jc w:val="center"/>
              <w:rPr>
                <w:rFonts w:hint="default"/>
                <w:color w:val="auto"/>
                <w:sz w:val="21"/>
                <w:szCs w:val="21"/>
                <w:lang w:val="en-US" w:eastAsia="zh-CN"/>
              </w:rPr>
            </w:pPr>
            <w:r>
              <w:rPr>
                <w:rFonts w:hint="eastAsia"/>
                <w:color w:val="auto"/>
                <w:sz w:val="21"/>
                <w:szCs w:val="21"/>
                <w:lang w:val="en-US" w:eastAsia="zh-CN"/>
              </w:rPr>
              <w:t>0.933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114" w:type="pct"/>
            <w:vAlign w:val="center"/>
          </w:tcPr>
          <w:p>
            <w:pPr>
              <w:spacing w:line="312" w:lineRule="exact"/>
              <w:ind w:firstLine="0" w:firstLineChars="0"/>
              <w:jc w:val="center"/>
              <w:rPr>
                <w:color w:val="auto"/>
                <w:sz w:val="21"/>
                <w:szCs w:val="21"/>
              </w:rPr>
            </w:pPr>
            <w:r>
              <w:rPr>
                <w:color w:val="auto"/>
                <w:sz w:val="21"/>
                <w:szCs w:val="21"/>
              </w:rPr>
              <w:t>锰</w:t>
            </w:r>
          </w:p>
        </w:tc>
        <w:tc>
          <w:tcPr>
            <w:tcW w:w="961" w:type="pct"/>
            <w:vAlign w:val="center"/>
          </w:tcPr>
          <w:p>
            <w:pPr>
              <w:widowControl/>
              <w:ind w:firstLine="0" w:firstLineChars="0"/>
              <w:jc w:val="center"/>
              <w:textAlignment w:val="center"/>
              <w:rPr>
                <w:color w:val="auto"/>
                <w:sz w:val="21"/>
                <w:szCs w:val="21"/>
              </w:rPr>
            </w:pPr>
            <w:r>
              <w:rPr>
                <w:rFonts w:hint="eastAsia"/>
                <w:color w:val="auto"/>
                <w:sz w:val="21"/>
                <w:szCs w:val="21"/>
              </w:rPr>
              <w:t>0.0454</w:t>
            </w:r>
          </w:p>
        </w:tc>
        <w:tc>
          <w:tcPr>
            <w:tcW w:w="961" w:type="pct"/>
            <w:vAlign w:val="center"/>
          </w:tcPr>
          <w:p>
            <w:pPr>
              <w:widowControl/>
              <w:ind w:firstLine="0" w:firstLineChars="0"/>
              <w:jc w:val="center"/>
              <w:textAlignment w:val="center"/>
              <w:rPr>
                <w:color w:val="auto"/>
                <w:sz w:val="21"/>
                <w:szCs w:val="21"/>
              </w:rPr>
            </w:pPr>
            <w:r>
              <w:rPr>
                <w:rFonts w:hint="eastAsia"/>
                <w:color w:val="auto"/>
                <w:sz w:val="21"/>
                <w:szCs w:val="21"/>
              </w:rPr>
              <w:t>0.0148</w:t>
            </w:r>
          </w:p>
        </w:tc>
        <w:tc>
          <w:tcPr>
            <w:tcW w:w="981" w:type="pct"/>
            <w:vAlign w:val="center"/>
          </w:tcPr>
          <w:p>
            <w:pPr>
              <w:widowControl/>
              <w:ind w:firstLine="0" w:firstLineChars="0"/>
              <w:jc w:val="center"/>
              <w:textAlignment w:val="center"/>
              <w:rPr>
                <w:color w:val="auto"/>
                <w:sz w:val="21"/>
                <w:szCs w:val="21"/>
              </w:rPr>
            </w:pPr>
            <w:r>
              <w:rPr>
                <w:rFonts w:hint="eastAsia"/>
                <w:color w:val="auto"/>
                <w:sz w:val="21"/>
                <w:szCs w:val="21"/>
              </w:rPr>
              <w:t>未检出</w:t>
            </w:r>
          </w:p>
        </w:tc>
        <w:tc>
          <w:tcPr>
            <w:tcW w:w="981" w:type="pct"/>
            <w:vAlign w:val="center"/>
          </w:tcPr>
          <w:p>
            <w:pPr>
              <w:widowControl/>
              <w:ind w:firstLine="0" w:firstLineChars="0"/>
              <w:jc w:val="center"/>
              <w:textAlignment w:val="center"/>
              <w:rPr>
                <w:rFonts w:hint="default" w:eastAsia="宋体"/>
                <w:color w:val="auto"/>
                <w:sz w:val="21"/>
                <w:szCs w:val="21"/>
                <w:lang w:val="en-US" w:eastAsia="zh-CN"/>
              </w:rPr>
            </w:pPr>
            <w:r>
              <w:rPr>
                <w:rFonts w:hint="eastAsia"/>
                <w:color w:val="auto"/>
                <w:sz w:val="21"/>
                <w:szCs w:val="21"/>
                <w:lang w:val="en-US" w:eastAsia="zh-CN"/>
              </w:rPr>
              <w:t>0.031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114" w:type="pct"/>
            <w:vAlign w:val="center"/>
          </w:tcPr>
          <w:p>
            <w:pPr>
              <w:spacing w:line="312" w:lineRule="exact"/>
              <w:ind w:firstLine="0" w:firstLineChars="0"/>
              <w:jc w:val="center"/>
              <w:rPr>
                <w:rFonts w:hint="eastAsia" w:eastAsia="宋体"/>
                <w:color w:val="auto"/>
                <w:sz w:val="21"/>
                <w:szCs w:val="21"/>
                <w:lang w:val="en-US" w:eastAsia="zh-CN"/>
              </w:rPr>
            </w:pPr>
            <w:r>
              <w:rPr>
                <w:rFonts w:hint="eastAsia"/>
                <w:color w:val="auto"/>
                <w:sz w:val="21"/>
                <w:szCs w:val="21"/>
                <w:lang w:val="en-US" w:eastAsia="zh-CN"/>
              </w:rPr>
              <w:t>铜</w:t>
            </w:r>
          </w:p>
        </w:tc>
        <w:tc>
          <w:tcPr>
            <w:tcW w:w="1784" w:type="dxa"/>
            <w:vAlign w:val="center"/>
          </w:tcPr>
          <w:p>
            <w:pPr>
              <w:spacing w:line="312" w:lineRule="exact"/>
              <w:ind w:firstLine="0" w:firstLineChars="0"/>
              <w:jc w:val="center"/>
              <w:rPr>
                <w:rFonts w:hint="eastAsia"/>
                <w:color w:val="auto"/>
                <w:sz w:val="21"/>
                <w:szCs w:val="21"/>
              </w:rPr>
            </w:pPr>
            <w:r>
              <w:rPr>
                <w:rFonts w:hint="eastAsia"/>
                <w:color w:val="auto"/>
                <w:sz w:val="21"/>
                <w:szCs w:val="21"/>
              </w:rPr>
              <w:t>未检出</w:t>
            </w:r>
          </w:p>
        </w:tc>
        <w:tc>
          <w:tcPr>
            <w:tcW w:w="1784" w:type="dxa"/>
            <w:vAlign w:val="center"/>
          </w:tcPr>
          <w:p>
            <w:pPr>
              <w:spacing w:line="312" w:lineRule="exact"/>
              <w:ind w:firstLine="0" w:firstLineChars="0"/>
              <w:jc w:val="center"/>
              <w:rPr>
                <w:rFonts w:hint="eastAsia"/>
                <w:color w:val="auto"/>
                <w:sz w:val="21"/>
                <w:szCs w:val="21"/>
              </w:rPr>
            </w:pPr>
            <w:r>
              <w:rPr>
                <w:rFonts w:hint="eastAsia"/>
                <w:color w:val="auto"/>
                <w:sz w:val="21"/>
                <w:szCs w:val="21"/>
              </w:rPr>
              <w:t>未检出</w:t>
            </w:r>
          </w:p>
        </w:tc>
        <w:tc>
          <w:tcPr>
            <w:tcW w:w="1823" w:type="dxa"/>
            <w:vAlign w:val="center"/>
          </w:tcPr>
          <w:p>
            <w:pPr>
              <w:spacing w:line="312" w:lineRule="exact"/>
              <w:ind w:firstLine="0" w:firstLineChars="0"/>
              <w:jc w:val="center"/>
              <w:rPr>
                <w:rFonts w:hint="eastAsia"/>
                <w:color w:val="auto"/>
                <w:sz w:val="21"/>
                <w:szCs w:val="21"/>
              </w:rPr>
            </w:pPr>
            <w:r>
              <w:rPr>
                <w:rFonts w:hint="eastAsia"/>
                <w:color w:val="auto"/>
                <w:sz w:val="21"/>
                <w:szCs w:val="21"/>
              </w:rPr>
              <w:t>未检出</w:t>
            </w:r>
          </w:p>
        </w:tc>
        <w:tc>
          <w:tcPr>
            <w:tcW w:w="981" w:type="pct"/>
            <w:vAlign w:val="center"/>
          </w:tcPr>
          <w:p>
            <w:pPr>
              <w:widowControl/>
              <w:ind w:firstLine="0" w:firstLineChars="0"/>
              <w:jc w:val="center"/>
              <w:textAlignment w:val="center"/>
              <w:rPr>
                <w:rFonts w:hint="default"/>
                <w:color w:val="auto"/>
                <w:sz w:val="21"/>
                <w:szCs w:val="21"/>
                <w:lang w:val="en-US" w:eastAsia="zh-CN"/>
              </w:rPr>
            </w:pPr>
            <w:r>
              <w:rPr>
                <w:rFonts w:hint="eastAsia"/>
                <w:color w:val="auto"/>
                <w:sz w:val="21"/>
                <w:szCs w:val="21"/>
                <w:lang w:val="en-US" w:eastAsia="zh-CN"/>
              </w:rPr>
              <w:t>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114" w:type="pct"/>
            <w:vAlign w:val="center"/>
          </w:tcPr>
          <w:p>
            <w:pPr>
              <w:spacing w:line="312" w:lineRule="exact"/>
              <w:ind w:firstLine="0" w:firstLineChars="0"/>
              <w:jc w:val="center"/>
              <w:rPr>
                <w:color w:val="auto"/>
                <w:sz w:val="21"/>
                <w:szCs w:val="21"/>
              </w:rPr>
            </w:pPr>
            <w:r>
              <w:rPr>
                <w:color w:val="auto"/>
                <w:sz w:val="21"/>
                <w:szCs w:val="21"/>
              </w:rPr>
              <w:t>锌</w:t>
            </w:r>
          </w:p>
        </w:tc>
        <w:tc>
          <w:tcPr>
            <w:tcW w:w="961" w:type="pct"/>
            <w:vAlign w:val="center"/>
          </w:tcPr>
          <w:p>
            <w:pPr>
              <w:widowControl/>
              <w:ind w:firstLine="0" w:firstLineChars="0"/>
              <w:jc w:val="center"/>
              <w:textAlignment w:val="center"/>
              <w:rPr>
                <w:color w:val="auto"/>
                <w:sz w:val="21"/>
                <w:szCs w:val="21"/>
              </w:rPr>
            </w:pPr>
            <w:r>
              <w:rPr>
                <w:rFonts w:hint="eastAsia"/>
                <w:color w:val="auto"/>
                <w:sz w:val="21"/>
                <w:szCs w:val="21"/>
              </w:rPr>
              <w:t>0.0039</w:t>
            </w:r>
          </w:p>
        </w:tc>
        <w:tc>
          <w:tcPr>
            <w:tcW w:w="961" w:type="pct"/>
            <w:vAlign w:val="center"/>
          </w:tcPr>
          <w:p>
            <w:pPr>
              <w:widowControl/>
              <w:ind w:firstLine="0" w:firstLineChars="0"/>
              <w:jc w:val="center"/>
              <w:textAlignment w:val="center"/>
              <w:rPr>
                <w:color w:val="auto"/>
                <w:sz w:val="21"/>
                <w:szCs w:val="21"/>
              </w:rPr>
            </w:pPr>
            <w:r>
              <w:rPr>
                <w:rFonts w:hint="eastAsia"/>
                <w:color w:val="auto"/>
                <w:sz w:val="21"/>
                <w:szCs w:val="21"/>
              </w:rPr>
              <w:t>0.0083</w:t>
            </w:r>
          </w:p>
        </w:tc>
        <w:tc>
          <w:tcPr>
            <w:tcW w:w="981" w:type="pct"/>
            <w:vAlign w:val="center"/>
          </w:tcPr>
          <w:p>
            <w:pPr>
              <w:widowControl/>
              <w:ind w:firstLine="0" w:firstLineChars="0"/>
              <w:jc w:val="center"/>
              <w:textAlignment w:val="center"/>
              <w:rPr>
                <w:color w:val="auto"/>
                <w:sz w:val="21"/>
                <w:szCs w:val="21"/>
              </w:rPr>
            </w:pPr>
            <w:r>
              <w:rPr>
                <w:rFonts w:hint="eastAsia"/>
                <w:color w:val="auto"/>
                <w:sz w:val="21"/>
                <w:szCs w:val="21"/>
              </w:rPr>
              <w:t>0.0048</w:t>
            </w:r>
          </w:p>
        </w:tc>
        <w:tc>
          <w:tcPr>
            <w:tcW w:w="981" w:type="pct"/>
            <w:vAlign w:val="center"/>
          </w:tcPr>
          <w:p>
            <w:pPr>
              <w:widowControl/>
              <w:ind w:firstLine="0" w:firstLineChars="0"/>
              <w:jc w:val="center"/>
              <w:textAlignment w:val="center"/>
              <w:rPr>
                <w:rFonts w:hint="default" w:eastAsia="宋体"/>
                <w:color w:val="auto"/>
                <w:sz w:val="21"/>
                <w:szCs w:val="21"/>
                <w:lang w:val="en-US" w:eastAsia="zh-CN"/>
              </w:rPr>
            </w:pPr>
            <w:r>
              <w:rPr>
                <w:rFonts w:hint="eastAsia"/>
                <w:color w:val="auto"/>
                <w:sz w:val="21"/>
                <w:szCs w:val="21"/>
                <w:lang w:val="en-US" w:eastAsia="zh-CN"/>
              </w:rPr>
              <w:t>0.059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114" w:type="pct"/>
            <w:vAlign w:val="center"/>
          </w:tcPr>
          <w:p>
            <w:pPr>
              <w:spacing w:line="312" w:lineRule="exact"/>
              <w:ind w:firstLine="0" w:firstLineChars="0"/>
              <w:jc w:val="center"/>
              <w:rPr>
                <w:rFonts w:hint="eastAsia" w:eastAsia="宋体"/>
                <w:color w:val="auto"/>
                <w:sz w:val="21"/>
                <w:szCs w:val="21"/>
                <w:lang w:val="en-US" w:eastAsia="zh-CN"/>
              </w:rPr>
            </w:pPr>
            <w:r>
              <w:rPr>
                <w:rFonts w:hint="eastAsia"/>
                <w:color w:val="auto"/>
                <w:sz w:val="21"/>
                <w:szCs w:val="21"/>
                <w:lang w:val="en-US" w:eastAsia="zh-CN"/>
              </w:rPr>
              <w:t>铝</w:t>
            </w:r>
          </w:p>
        </w:tc>
        <w:tc>
          <w:tcPr>
            <w:tcW w:w="1784" w:type="dxa"/>
            <w:vAlign w:val="center"/>
          </w:tcPr>
          <w:p>
            <w:pPr>
              <w:spacing w:line="312" w:lineRule="exact"/>
              <w:ind w:firstLine="0" w:firstLineChars="0"/>
              <w:jc w:val="center"/>
              <w:rPr>
                <w:rFonts w:hint="eastAsia"/>
                <w:color w:val="auto"/>
                <w:sz w:val="21"/>
                <w:szCs w:val="21"/>
              </w:rPr>
            </w:pPr>
            <w:r>
              <w:rPr>
                <w:rFonts w:hint="eastAsia"/>
                <w:color w:val="auto"/>
                <w:sz w:val="21"/>
                <w:szCs w:val="21"/>
              </w:rPr>
              <w:t>未检出</w:t>
            </w:r>
          </w:p>
        </w:tc>
        <w:tc>
          <w:tcPr>
            <w:tcW w:w="1784" w:type="dxa"/>
            <w:vAlign w:val="center"/>
          </w:tcPr>
          <w:p>
            <w:pPr>
              <w:spacing w:line="312" w:lineRule="exact"/>
              <w:ind w:firstLine="0" w:firstLineChars="0"/>
              <w:jc w:val="center"/>
              <w:rPr>
                <w:rFonts w:hint="eastAsia"/>
                <w:color w:val="auto"/>
                <w:sz w:val="21"/>
                <w:szCs w:val="21"/>
              </w:rPr>
            </w:pPr>
            <w:r>
              <w:rPr>
                <w:rFonts w:hint="eastAsia"/>
                <w:color w:val="auto"/>
                <w:sz w:val="21"/>
                <w:szCs w:val="21"/>
              </w:rPr>
              <w:t>未检出</w:t>
            </w:r>
          </w:p>
        </w:tc>
        <w:tc>
          <w:tcPr>
            <w:tcW w:w="1823" w:type="dxa"/>
            <w:vAlign w:val="center"/>
          </w:tcPr>
          <w:p>
            <w:pPr>
              <w:spacing w:line="312" w:lineRule="exact"/>
              <w:ind w:firstLine="0" w:firstLineChars="0"/>
              <w:jc w:val="center"/>
              <w:rPr>
                <w:rFonts w:hint="eastAsia"/>
                <w:color w:val="auto"/>
                <w:sz w:val="21"/>
                <w:szCs w:val="21"/>
              </w:rPr>
            </w:pPr>
            <w:r>
              <w:rPr>
                <w:rFonts w:hint="eastAsia"/>
                <w:color w:val="auto"/>
                <w:sz w:val="21"/>
                <w:szCs w:val="21"/>
              </w:rPr>
              <w:t>未检出</w:t>
            </w:r>
          </w:p>
        </w:tc>
        <w:tc>
          <w:tcPr>
            <w:tcW w:w="981" w:type="pct"/>
            <w:vAlign w:val="center"/>
          </w:tcPr>
          <w:p>
            <w:pPr>
              <w:widowControl/>
              <w:ind w:firstLine="0" w:firstLineChars="0"/>
              <w:jc w:val="center"/>
              <w:textAlignment w:val="center"/>
              <w:rPr>
                <w:rFonts w:hint="default"/>
                <w:color w:val="auto"/>
                <w:sz w:val="21"/>
                <w:szCs w:val="21"/>
                <w:lang w:val="en-US" w:eastAsia="zh-CN"/>
              </w:rPr>
            </w:pPr>
            <w:r>
              <w:rPr>
                <w:rFonts w:hint="eastAsia"/>
                <w:b/>
                <w:bCs/>
                <w:color w:val="auto"/>
                <w:sz w:val="21"/>
                <w:szCs w:val="21"/>
                <w:lang w:val="en-US" w:eastAsia="zh-CN"/>
              </w:rPr>
              <w:t>2.04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114" w:type="pct"/>
            <w:vAlign w:val="center"/>
          </w:tcPr>
          <w:p>
            <w:pPr>
              <w:spacing w:line="312" w:lineRule="exact"/>
              <w:ind w:firstLine="0" w:firstLineChars="0"/>
              <w:jc w:val="center"/>
              <w:rPr>
                <w:color w:val="auto"/>
                <w:sz w:val="21"/>
                <w:szCs w:val="21"/>
              </w:rPr>
            </w:pPr>
            <w:r>
              <w:rPr>
                <w:color w:val="auto"/>
                <w:sz w:val="21"/>
                <w:szCs w:val="21"/>
              </w:rPr>
              <w:t>铅</w:t>
            </w:r>
          </w:p>
        </w:tc>
        <w:tc>
          <w:tcPr>
            <w:tcW w:w="961" w:type="pct"/>
            <w:vAlign w:val="center"/>
          </w:tcPr>
          <w:p>
            <w:pPr>
              <w:widowControl/>
              <w:ind w:firstLine="0" w:firstLineChars="0"/>
              <w:jc w:val="center"/>
              <w:textAlignment w:val="center"/>
              <w:rPr>
                <w:color w:val="auto"/>
                <w:sz w:val="21"/>
                <w:szCs w:val="21"/>
              </w:rPr>
            </w:pPr>
            <w:r>
              <w:rPr>
                <w:rFonts w:hint="eastAsia"/>
                <w:color w:val="auto"/>
                <w:sz w:val="21"/>
                <w:szCs w:val="21"/>
              </w:rPr>
              <w:t>0.12</w:t>
            </w:r>
          </w:p>
        </w:tc>
        <w:tc>
          <w:tcPr>
            <w:tcW w:w="961" w:type="pct"/>
            <w:vAlign w:val="center"/>
          </w:tcPr>
          <w:p>
            <w:pPr>
              <w:widowControl/>
              <w:ind w:firstLine="0" w:firstLineChars="0"/>
              <w:jc w:val="center"/>
              <w:textAlignment w:val="center"/>
              <w:rPr>
                <w:color w:val="auto"/>
                <w:sz w:val="21"/>
                <w:szCs w:val="21"/>
              </w:rPr>
            </w:pPr>
            <w:r>
              <w:rPr>
                <w:rFonts w:hint="eastAsia"/>
                <w:color w:val="auto"/>
                <w:sz w:val="21"/>
                <w:szCs w:val="21"/>
              </w:rPr>
              <w:t>0.08</w:t>
            </w:r>
          </w:p>
        </w:tc>
        <w:tc>
          <w:tcPr>
            <w:tcW w:w="981" w:type="pct"/>
            <w:vAlign w:val="center"/>
          </w:tcPr>
          <w:p>
            <w:pPr>
              <w:widowControl/>
              <w:ind w:firstLine="0" w:firstLineChars="0"/>
              <w:jc w:val="center"/>
              <w:textAlignment w:val="center"/>
              <w:rPr>
                <w:color w:val="auto"/>
                <w:sz w:val="21"/>
                <w:szCs w:val="21"/>
              </w:rPr>
            </w:pPr>
            <w:r>
              <w:rPr>
                <w:rFonts w:hint="eastAsia"/>
                <w:color w:val="auto"/>
                <w:sz w:val="21"/>
                <w:szCs w:val="21"/>
              </w:rPr>
              <w:t>0.074</w:t>
            </w:r>
          </w:p>
        </w:tc>
        <w:tc>
          <w:tcPr>
            <w:tcW w:w="981" w:type="pct"/>
            <w:vAlign w:val="center"/>
          </w:tcPr>
          <w:p>
            <w:pPr>
              <w:widowControl/>
              <w:ind w:firstLine="0" w:firstLineChars="0"/>
              <w:jc w:val="center"/>
              <w:textAlignment w:val="center"/>
              <w:rPr>
                <w:rFonts w:hint="default" w:eastAsia="宋体"/>
                <w:color w:val="auto"/>
                <w:sz w:val="21"/>
                <w:szCs w:val="21"/>
                <w:lang w:val="en-US" w:eastAsia="zh-CN"/>
              </w:rPr>
            </w:pPr>
            <w:r>
              <w:rPr>
                <w:rFonts w:hint="eastAsia"/>
                <w:color w:val="auto"/>
                <w:sz w:val="21"/>
                <w:szCs w:val="21"/>
                <w:lang w:val="en-US" w:eastAsia="zh-CN"/>
              </w:rPr>
              <w:t>0.009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114" w:type="pct"/>
            <w:vAlign w:val="center"/>
          </w:tcPr>
          <w:p>
            <w:pPr>
              <w:spacing w:line="312" w:lineRule="exact"/>
              <w:ind w:firstLine="0" w:firstLineChars="0"/>
              <w:jc w:val="center"/>
              <w:rPr>
                <w:color w:val="auto"/>
                <w:sz w:val="21"/>
                <w:szCs w:val="21"/>
              </w:rPr>
            </w:pPr>
            <w:r>
              <w:rPr>
                <w:color w:val="auto"/>
                <w:sz w:val="21"/>
                <w:szCs w:val="21"/>
              </w:rPr>
              <w:t>耗氧量</w:t>
            </w:r>
          </w:p>
        </w:tc>
        <w:tc>
          <w:tcPr>
            <w:tcW w:w="961" w:type="pct"/>
            <w:vAlign w:val="center"/>
          </w:tcPr>
          <w:p>
            <w:pPr>
              <w:widowControl/>
              <w:ind w:firstLine="0" w:firstLineChars="0"/>
              <w:jc w:val="center"/>
              <w:textAlignment w:val="center"/>
              <w:rPr>
                <w:color w:val="auto"/>
                <w:sz w:val="21"/>
                <w:szCs w:val="21"/>
              </w:rPr>
            </w:pPr>
            <w:r>
              <w:rPr>
                <w:rFonts w:hint="eastAsia"/>
                <w:color w:val="auto"/>
                <w:sz w:val="21"/>
                <w:szCs w:val="21"/>
              </w:rPr>
              <w:t>0.82</w:t>
            </w:r>
          </w:p>
        </w:tc>
        <w:tc>
          <w:tcPr>
            <w:tcW w:w="961" w:type="pct"/>
            <w:vAlign w:val="center"/>
          </w:tcPr>
          <w:p>
            <w:pPr>
              <w:widowControl/>
              <w:ind w:firstLine="0" w:firstLineChars="0"/>
              <w:jc w:val="center"/>
              <w:textAlignment w:val="center"/>
              <w:rPr>
                <w:color w:val="auto"/>
                <w:sz w:val="21"/>
                <w:szCs w:val="21"/>
              </w:rPr>
            </w:pPr>
            <w:r>
              <w:rPr>
                <w:rFonts w:hint="eastAsia"/>
                <w:color w:val="auto"/>
                <w:sz w:val="21"/>
                <w:szCs w:val="21"/>
              </w:rPr>
              <w:t>0.39</w:t>
            </w:r>
          </w:p>
        </w:tc>
        <w:tc>
          <w:tcPr>
            <w:tcW w:w="981" w:type="pct"/>
            <w:vAlign w:val="center"/>
          </w:tcPr>
          <w:p>
            <w:pPr>
              <w:widowControl/>
              <w:ind w:firstLine="0" w:firstLineChars="0"/>
              <w:jc w:val="center"/>
              <w:textAlignment w:val="center"/>
              <w:rPr>
                <w:color w:val="auto"/>
                <w:sz w:val="21"/>
                <w:szCs w:val="21"/>
              </w:rPr>
            </w:pPr>
            <w:r>
              <w:rPr>
                <w:rFonts w:hint="eastAsia"/>
                <w:color w:val="auto"/>
                <w:sz w:val="21"/>
                <w:szCs w:val="21"/>
              </w:rPr>
              <w:t>0.35</w:t>
            </w:r>
          </w:p>
        </w:tc>
        <w:tc>
          <w:tcPr>
            <w:tcW w:w="981" w:type="pct"/>
            <w:vAlign w:val="center"/>
          </w:tcPr>
          <w:p>
            <w:pPr>
              <w:widowControl/>
              <w:ind w:firstLine="0" w:firstLineChars="0"/>
              <w:jc w:val="center"/>
              <w:textAlignment w:val="center"/>
              <w:rPr>
                <w:rFonts w:hint="default" w:eastAsia="宋体"/>
                <w:color w:val="auto"/>
                <w:sz w:val="21"/>
                <w:szCs w:val="21"/>
                <w:lang w:val="en-US" w:eastAsia="zh-CN"/>
              </w:rPr>
            </w:pPr>
            <w:r>
              <w:rPr>
                <w:rFonts w:hint="eastAsia"/>
                <w:color w:val="auto"/>
                <w:sz w:val="21"/>
                <w:szCs w:val="21"/>
                <w:lang w:val="en-US" w:eastAsia="zh-CN"/>
              </w:rPr>
              <w:t>0.613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114" w:type="pct"/>
            <w:vAlign w:val="center"/>
          </w:tcPr>
          <w:p>
            <w:pPr>
              <w:spacing w:line="312" w:lineRule="exact"/>
              <w:ind w:firstLine="0" w:firstLineChars="0"/>
              <w:jc w:val="center"/>
              <w:rPr>
                <w:color w:val="auto"/>
                <w:sz w:val="21"/>
                <w:szCs w:val="21"/>
              </w:rPr>
            </w:pPr>
            <w:r>
              <w:rPr>
                <w:color w:val="auto"/>
                <w:sz w:val="21"/>
                <w:szCs w:val="21"/>
              </w:rPr>
              <w:t>氨氮</w:t>
            </w:r>
          </w:p>
        </w:tc>
        <w:tc>
          <w:tcPr>
            <w:tcW w:w="961" w:type="pct"/>
            <w:vAlign w:val="center"/>
          </w:tcPr>
          <w:p>
            <w:pPr>
              <w:widowControl/>
              <w:ind w:firstLine="0" w:firstLineChars="0"/>
              <w:jc w:val="center"/>
              <w:textAlignment w:val="center"/>
              <w:rPr>
                <w:color w:val="auto"/>
                <w:sz w:val="21"/>
                <w:szCs w:val="21"/>
              </w:rPr>
            </w:pPr>
            <w:r>
              <w:rPr>
                <w:rFonts w:hint="eastAsia"/>
                <w:color w:val="auto"/>
                <w:sz w:val="21"/>
                <w:szCs w:val="21"/>
              </w:rPr>
              <w:t>0.10</w:t>
            </w:r>
          </w:p>
        </w:tc>
        <w:tc>
          <w:tcPr>
            <w:tcW w:w="961" w:type="pct"/>
            <w:vAlign w:val="center"/>
          </w:tcPr>
          <w:p>
            <w:pPr>
              <w:widowControl/>
              <w:ind w:firstLine="0" w:firstLineChars="0"/>
              <w:jc w:val="center"/>
              <w:textAlignment w:val="center"/>
              <w:rPr>
                <w:color w:val="auto"/>
                <w:sz w:val="21"/>
                <w:szCs w:val="21"/>
              </w:rPr>
            </w:pPr>
            <w:r>
              <w:rPr>
                <w:rFonts w:hint="eastAsia"/>
                <w:color w:val="auto"/>
                <w:sz w:val="21"/>
                <w:szCs w:val="21"/>
              </w:rPr>
              <w:t>未检出</w:t>
            </w:r>
          </w:p>
        </w:tc>
        <w:tc>
          <w:tcPr>
            <w:tcW w:w="981" w:type="pct"/>
            <w:vAlign w:val="center"/>
          </w:tcPr>
          <w:p>
            <w:pPr>
              <w:widowControl/>
              <w:ind w:firstLine="0" w:firstLineChars="0"/>
              <w:jc w:val="center"/>
              <w:textAlignment w:val="center"/>
              <w:rPr>
                <w:color w:val="auto"/>
                <w:sz w:val="21"/>
                <w:szCs w:val="21"/>
              </w:rPr>
            </w:pPr>
            <w:r>
              <w:rPr>
                <w:rFonts w:hint="eastAsia"/>
                <w:color w:val="auto"/>
                <w:sz w:val="21"/>
                <w:szCs w:val="21"/>
              </w:rPr>
              <w:t>0.4</w:t>
            </w:r>
          </w:p>
        </w:tc>
        <w:tc>
          <w:tcPr>
            <w:tcW w:w="981" w:type="pct"/>
            <w:vAlign w:val="center"/>
          </w:tcPr>
          <w:p>
            <w:pPr>
              <w:widowControl/>
              <w:ind w:firstLine="0" w:firstLineChars="0"/>
              <w:jc w:val="center"/>
              <w:textAlignment w:val="center"/>
              <w:rPr>
                <w:rFonts w:hint="default" w:eastAsia="宋体"/>
                <w:color w:val="auto"/>
                <w:sz w:val="21"/>
                <w:szCs w:val="21"/>
                <w:lang w:val="en-US" w:eastAsia="zh-CN"/>
              </w:rPr>
            </w:pPr>
            <w:r>
              <w:rPr>
                <w:rFonts w:hint="eastAsia"/>
                <w:color w:val="auto"/>
                <w:sz w:val="21"/>
                <w:szCs w:val="21"/>
                <w:lang w:val="en-US" w:eastAsia="zh-CN"/>
              </w:rPr>
              <w:t>0.472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114" w:type="pct"/>
            <w:vAlign w:val="center"/>
          </w:tcPr>
          <w:p>
            <w:pPr>
              <w:spacing w:line="312" w:lineRule="exact"/>
              <w:ind w:firstLine="0" w:firstLineChars="0"/>
              <w:jc w:val="center"/>
              <w:rPr>
                <w:color w:val="auto"/>
                <w:sz w:val="21"/>
                <w:szCs w:val="21"/>
              </w:rPr>
            </w:pPr>
            <w:r>
              <w:rPr>
                <w:color w:val="auto"/>
                <w:sz w:val="21"/>
                <w:szCs w:val="21"/>
              </w:rPr>
              <w:t>钠</w:t>
            </w:r>
          </w:p>
        </w:tc>
        <w:tc>
          <w:tcPr>
            <w:tcW w:w="961" w:type="pct"/>
            <w:vAlign w:val="center"/>
          </w:tcPr>
          <w:p>
            <w:pPr>
              <w:widowControl/>
              <w:ind w:firstLine="0" w:firstLineChars="0"/>
              <w:jc w:val="center"/>
              <w:textAlignment w:val="center"/>
              <w:rPr>
                <w:color w:val="auto"/>
                <w:sz w:val="21"/>
                <w:szCs w:val="21"/>
              </w:rPr>
            </w:pPr>
            <w:r>
              <w:rPr>
                <w:rFonts w:hint="eastAsia"/>
                <w:color w:val="auto"/>
                <w:sz w:val="21"/>
                <w:szCs w:val="21"/>
              </w:rPr>
              <w:t>0.24</w:t>
            </w:r>
          </w:p>
        </w:tc>
        <w:tc>
          <w:tcPr>
            <w:tcW w:w="961" w:type="pct"/>
            <w:vAlign w:val="center"/>
          </w:tcPr>
          <w:p>
            <w:pPr>
              <w:widowControl/>
              <w:ind w:firstLine="0" w:firstLineChars="0"/>
              <w:jc w:val="center"/>
              <w:textAlignment w:val="center"/>
              <w:rPr>
                <w:color w:val="auto"/>
                <w:sz w:val="21"/>
                <w:szCs w:val="21"/>
              </w:rPr>
            </w:pPr>
            <w:r>
              <w:rPr>
                <w:rFonts w:hint="eastAsia"/>
                <w:color w:val="auto"/>
                <w:sz w:val="21"/>
                <w:szCs w:val="21"/>
              </w:rPr>
              <w:t>0.31</w:t>
            </w:r>
          </w:p>
        </w:tc>
        <w:tc>
          <w:tcPr>
            <w:tcW w:w="981" w:type="pct"/>
            <w:vAlign w:val="center"/>
          </w:tcPr>
          <w:p>
            <w:pPr>
              <w:widowControl/>
              <w:ind w:firstLine="0" w:firstLineChars="0"/>
              <w:jc w:val="center"/>
              <w:textAlignment w:val="center"/>
              <w:rPr>
                <w:color w:val="auto"/>
                <w:sz w:val="21"/>
                <w:szCs w:val="21"/>
              </w:rPr>
            </w:pPr>
            <w:r>
              <w:rPr>
                <w:rFonts w:hint="eastAsia"/>
                <w:color w:val="auto"/>
                <w:sz w:val="21"/>
                <w:szCs w:val="21"/>
              </w:rPr>
              <w:t>0.34</w:t>
            </w:r>
          </w:p>
        </w:tc>
        <w:tc>
          <w:tcPr>
            <w:tcW w:w="981" w:type="pct"/>
            <w:vAlign w:val="center"/>
          </w:tcPr>
          <w:p>
            <w:pPr>
              <w:widowControl/>
              <w:ind w:firstLine="0" w:firstLineChars="0"/>
              <w:jc w:val="center"/>
              <w:textAlignment w:val="center"/>
              <w:rPr>
                <w:rFonts w:hint="default" w:eastAsia="宋体"/>
                <w:color w:val="auto"/>
                <w:sz w:val="21"/>
                <w:szCs w:val="21"/>
                <w:lang w:val="en-US" w:eastAsia="zh-CN"/>
              </w:rPr>
            </w:pPr>
            <w:r>
              <w:rPr>
                <w:rFonts w:hint="eastAsia"/>
                <w:color w:val="auto"/>
                <w:sz w:val="21"/>
                <w:szCs w:val="21"/>
                <w:lang w:val="en-US" w:eastAsia="zh-CN"/>
              </w:rPr>
              <w:t>0.411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114" w:type="pct"/>
            <w:vAlign w:val="center"/>
          </w:tcPr>
          <w:p>
            <w:pPr>
              <w:spacing w:line="312" w:lineRule="exact"/>
              <w:ind w:firstLine="0" w:firstLineChars="0"/>
              <w:jc w:val="center"/>
              <w:rPr>
                <w:color w:val="auto"/>
                <w:sz w:val="21"/>
                <w:szCs w:val="21"/>
              </w:rPr>
            </w:pPr>
            <w:r>
              <w:rPr>
                <w:color w:val="auto"/>
                <w:sz w:val="21"/>
                <w:szCs w:val="21"/>
              </w:rPr>
              <w:t>亚硝酸盐氮</w:t>
            </w:r>
          </w:p>
        </w:tc>
        <w:tc>
          <w:tcPr>
            <w:tcW w:w="961" w:type="pct"/>
            <w:vAlign w:val="center"/>
          </w:tcPr>
          <w:p>
            <w:pPr>
              <w:widowControl/>
              <w:ind w:firstLine="0" w:firstLineChars="0"/>
              <w:jc w:val="center"/>
              <w:textAlignment w:val="center"/>
              <w:rPr>
                <w:color w:val="auto"/>
                <w:sz w:val="21"/>
                <w:szCs w:val="21"/>
              </w:rPr>
            </w:pPr>
            <w:r>
              <w:rPr>
                <w:rFonts w:hint="eastAsia"/>
                <w:color w:val="auto"/>
                <w:sz w:val="21"/>
                <w:szCs w:val="21"/>
              </w:rPr>
              <w:t>0.01</w:t>
            </w:r>
          </w:p>
        </w:tc>
        <w:tc>
          <w:tcPr>
            <w:tcW w:w="961" w:type="pct"/>
            <w:vAlign w:val="center"/>
          </w:tcPr>
          <w:p>
            <w:pPr>
              <w:widowControl/>
              <w:ind w:firstLine="0" w:firstLineChars="0"/>
              <w:jc w:val="center"/>
              <w:textAlignment w:val="center"/>
              <w:rPr>
                <w:color w:val="auto"/>
                <w:sz w:val="21"/>
                <w:szCs w:val="21"/>
              </w:rPr>
            </w:pPr>
            <w:r>
              <w:rPr>
                <w:rFonts w:hint="eastAsia"/>
                <w:color w:val="auto"/>
                <w:sz w:val="21"/>
                <w:szCs w:val="21"/>
              </w:rPr>
              <w:t>未检出</w:t>
            </w:r>
          </w:p>
        </w:tc>
        <w:tc>
          <w:tcPr>
            <w:tcW w:w="981" w:type="pct"/>
            <w:vAlign w:val="center"/>
          </w:tcPr>
          <w:p>
            <w:pPr>
              <w:widowControl/>
              <w:ind w:firstLine="0" w:firstLineChars="0"/>
              <w:jc w:val="center"/>
              <w:textAlignment w:val="center"/>
              <w:rPr>
                <w:color w:val="auto"/>
                <w:sz w:val="21"/>
                <w:szCs w:val="21"/>
              </w:rPr>
            </w:pPr>
            <w:r>
              <w:rPr>
                <w:rFonts w:hint="eastAsia"/>
                <w:color w:val="auto"/>
                <w:sz w:val="21"/>
                <w:szCs w:val="21"/>
              </w:rPr>
              <w:t>未检出</w:t>
            </w:r>
          </w:p>
        </w:tc>
        <w:tc>
          <w:tcPr>
            <w:tcW w:w="981" w:type="pct"/>
            <w:vAlign w:val="center"/>
          </w:tcPr>
          <w:p>
            <w:pPr>
              <w:widowControl/>
              <w:ind w:firstLine="0" w:firstLineChars="0"/>
              <w:jc w:val="center"/>
              <w:textAlignment w:val="center"/>
              <w:rPr>
                <w:rFonts w:hint="default" w:eastAsia="宋体"/>
                <w:color w:val="auto"/>
                <w:sz w:val="21"/>
                <w:szCs w:val="21"/>
                <w:lang w:val="en-US" w:eastAsia="zh-CN"/>
              </w:rPr>
            </w:pPr>
            <w:r>
              <w:rPr>
                <w:rFonts w:hint="eastAsia"/>
                <w:color w:val="auto"/>
                <w:sz w:val="21"/>
                <w:szCs w:val="21"/>
                <w:lang w:val="en-US" w:eastAsia="zh-CN"/>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114" w:type="pct"/>
            <w:vAlign w:val="center"/>
          </w:tcPr>
          <w:p>
            <w:pPr>
              <w:spacing w:line="312" w:lineRule="exact"/>
              <w:ind w:firstLine="0" w:firstLineChars="0"/>
              <w:jc w:val="center"/>
              <w:rPr>
                <w:color w:val="auto"/>
                <w:sz w:val="21"/>
                <w:szCs w:val="21"/>
              </w:rPr>
            </w:pPr>
            <w:r>
              <w:rPr>
                <w:color w:val="auto"/>
                <w:sz w:val="21"/>
                <w:szCs w:val="21"/>
              </w:rPr>
              <w:t>硝酸盐氮</w:t>
            </w:r>
          </w:p>
        </w:tc>
        <w:tc>
          <w:tcPr>
            <w:tcW w:w="961" w:type="pct"/>
            <w:vAlign w:val="center"/>
          </w:tcPr>
          <w:p>
            <w:pPr>
              <w:widowControl/>
              <w:ind w:firstLine="0" w:firstLineChars="0"/>
              <w:jc w:val="center"/>
              <w:textAlignment w:val="center"/>
              <w:rPr>
                <w:b/>
                <w:bCs/>
                <w:color w:val="auto"/>
                <w:sz w:val="21"/>
                <w:szCs w:val="21"/>
              </w:rPr>
            </w:pPr>
            <w:r>
              <w:rPr>
                <w:rFonts w:hint="eastAsia"/>
                <w:b/>
                <w:bCs/>
                <w:color w:val="auto"/>
                <w:sz w:val="21"/>
                <w:szCs w:val="21"/>
              </w:rPr>
              <w:t>3.01</w:t>
            </w:r>
          </w:p>
        </w:tc>
        <w:tc>
          <w:tcPr>
            <w:tcW w:w="961" w:type="pct"/>
            <w:vAlign w:val="center"/>
          </w:tcPr>
          <w:p>
            <w:pPr>
              <w:widowControl/>
              <w:ind w:firstLine="0" w:firstLineChars="0"/>
              <w:jc w:val="center"/>
              <w:textAlignment w:val="center"/>
              <w:rPr>
                <w:b/>
                <w:bCs/>
                <w:color w:val="auto"/>
                <w:sz w:val="21"/>
                <w:szCs w:val="21"/>
              </w:rPr>
            </w:pPr>
            <w:r>
              <w:rPr>
                <w:rFonts w:hint="eastAsia"/>
                <w:b/>
                <w:bCs/>
                <w:color w:val="auto"/>
                <w:sz w:val="21"/>
                <w:szCs w:val="21"/>
              </w:rPr>
              <w:t>1.34</w:t>
            </w:r>
          </w:p>
        </w:tc>
        <w:tc>
          <w:tcPr>
            <w:tcW w:w="981" w:type="pct"/>
            <w:vAlign w:val="center"/>
          </w:tcPr>
          <w:p>
            <w:pPr>
              <w:widowControl/>
              <w:ind w:firstLine="0" w:firstLineChars="0"/>
              <w:jc w:val="center"/>
              <w:textAlignment w:val="center"/>
              <w:rPr>
                <w:b/>
                <w:bCs/>
                <w:color w:val="auto"/>
                <w:sz w:val="21"/>
                <w:szCs w:val="21"/>
              </w:rPr>
            </w:pPr>
            <w:r>
              <w:rPr>
                <w:rFonts w:hint="eastAsia"/>
                <w:b/>
                <w:bCs/>
                <w:color w:val="auto"/>
                <w:sz w:val="21"/>
                <w:szCs w:val="21"/>
              </w:rPr>
              <w:t>2.2</w:t>
            </w:r>
          </w:p>
        </w:tc>
        <w:tc>
          <w:tcPr>
            <w:tcW w:w="981" w:type="pct"/>
            <w:vAlign w:val="center"/>
          </w:tcPr>
          <w:p>
            <w:pPr>
              <w:widowControl/>
              <w:ind w:firstLine="0" w:firstLineChars="0"/>
              <w:jc w:val="center"/>
              <w:textAlignment w:val="center"/>
              <w:rPr>
                <w:rFonts w:hint="default" w:eastAsia="宋体"/>
                <w:b/>
                <w:bCs/>
                <w:color w:val="auto"/>
                <w:sz w:val="21"/>
                <w:szCs w:val="21"/>
                <w:lang w:val="en-US" w:eastAsia="zh-CN"/>
              </w:rPr>
            </w:pPr>
            <w:r>
              <w:rPr>
                <w:rFonts w:hint="eastAsia"/>
                <w:b w:val="0"/>
                <w:bCs w:val="0"/>
                <w:color w:val="auto"/>
                <w:sz w:val="21"/>
                <w:szCs w:val="21"/>
                <w:lang w:val="en-US" w:eastAsia="zh-CN"/>
              </w:rPr>
              <w:t>0.196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114" w:type="pct"/>
            <w:vAlign w:val="center"/>
          </w:tcPr>
          <w:p>
            <w:pPr>
              <w:spacing w:line="312" w:lineRule="exact"/>
              <w:ind w:firstLine="0" w:firstLineChars="0"/>
              <w:jc w:val="center"/>
              <w:rPr>
                <w:color w:val="auto"/>
                <w:sz w:val="21"/>
                <w:szCs w:val="21"/>
              </w:rPr>
            </w:pPr>
            <w:r>
              <w:rPr>
                <w:color w:val="auto"/>
                <w:sz w:val="21"/>
                <w:szCs w:val="21"/>
              </w:rPr>
              <w:t>氟化物</w:t>
            </w:r>
          </w:p>
        </w:tc>
        <w:tc>
          <w:tcPr>
            <w:tcW w:w="961" w:type="pct"/>
            <w:vAlign w:val="center"/>
          </w:tcPr>
          <w:p>
            <w:pPr>
              <w:widowControl/>
              <w:ind w:firstLine="0" w:firstLineChars="0"/>
              <w:jc w:val="center"/>
              <w:textAlignment w:val="center"/>
              <w:rPr>
                <w:color w:val="auto"/>
                <w:sz w:val="21"/>
                <w:szCs w:val="21"/>
              </w:rPr>
            </w:pPr>
            <w:r>
              <w:rPr>
                <w:rFonts w:hint="eastAsia"/>
                <w:color w:val="auto"/>
                <w:sz w:val="21"/>
                <w:szCs w:val="21"/>
              </w:rPr>
              <w:t>1</w:t>
            </w:r>
          </w:p>
        </w:tc>
        <w:tc>
          <w:tcPr>
            <w:tcW w:w="961" w:type="pct"/>
            <w:vAlign w:val="center"/>
          </w:tcPr>
          <w:p>
            <w:pPr>
              <w:widowControl/>
              <w:ind w:firstLine="0" w:firstLineChars="0"/>
              <w:jc w:val="center"/>
              <w:textAlignment w:val="center"/>
              <w:rPr>
                <w:color w:val="auto"/>
                <w:sz w:val="21"/>
                <w:szCs w:val="21"/>
              </w:rPr>
            </w:pPr>
            <w:r>
              <w:rPr>
                <w:rFonts w:hint="eastAsia"/>
                <w:b/>
                <w:bCs/>
                <w:color w:val="auto"/>
                <w:sz w:val="21"/>
                <w:szCs w:val="21"/>
              </w:rPr>
              <w:t>1.80</w:t>
            </w:r>
          </w:p>
        </w:tc>
        <w:tc>
          <w:tcPr>
            <w:tcW w:w="981" w:type="pct"/>
            <w:vAlign w:val="center"/>
          </w:tcPr>
          <w:p>
            <w:pPr>
              <w:widowControl/>
              <w:ind w:firstLine="0" w:firstLineChars="0"/>
              <w:jc w:val="center"/>
              <w:textAlignment w:val="center"/>
              <w:rPr>
                <w:color w:val="auto"/>
                <w:sz w:val="21"/>
                <w:szCs w:val="21"/>
              </w:rPr>
            </w:pPr>
            <w:r>
              <w:rPr>
                <w:rFonts w:hint="eastAsia"/>
                <w:color w:val="auto"/>
                <w:sz w:val="21"/>
                <w:szCs w:val="21"/>
              </w:rPr>
              <w:t>0.6</w:t>
            </w:r>
          </w:p>
        </w:tc>
        <w:tc>
          <w:tcPr>
            <w:tcW w:w="981" w:type="pct"/>
            <w:vAlign w:val="center"/>
          </w:tcPr>
          <w:p>
            <w:pPr>
              <w:widowControl/>
              <w:ind w:firstLine="0" w:firstLineChars="0"/>
              <w:jc w:val="center"/>
              <w:textAlignment w:val="center"/>
              <w:rPr>
                <w:rFonts w:hint="default" w:eastAsia="宋体"/>
                <w:color w:val="auto"/>
                <w:sz w:val="21"/>
                <w:szCs w:val="21"/>
                <w:lang w:val="en-US" w:eastAsia="zh-CN"/>
              </w:rPr>
            </w:pPr>
            <w:r>
              <w:rPr>
                <w:rFonts w:hint="eastAsia"/>
                <w:color w:val="auto"/>
                <w:sz w:val="21"/>
                <w:szCs w:val="21"/>
                <w:lang w:val="en-US" w:eastAsia="zh-CN"/>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114" w:type="pct"/>
            <w:vAlign w:val="center"/>
          </w:tcPr>
          <w:p>
            <w:pPr>
              <w:spacing w:line="312" w:lineRule="exact"/>
              <w:ind w:firstLine="0" w:firstLineChars="0"/>
              <w:jc w:val="center"/>
              <w:rPr>
                <w:color w:val="auto"/>
                <w:sz w:val="21"/>
                <w:szCs w:val="21"/>
              </w:rPr>
            </w:pPr>
            <w:r>
              <w:rPr>
                <w:color w:val="auto"/>
                <w:sz w:val="21"/>
                <w:szCs w:val="21"/>
              </w:rPr>
              <w:t>砷</w:t>
            </w:r>
          </w:p>
        </w:tc>
        <w:tc>
          <w:tcPr>
            <w:tcW w:w="961" w:type="pct"/>
            <w:vAlign w:val="center"/>
          </w:tcPr>
          <w:p>
            <w:pPr>
              <w:widowControl/>
              <w:ind w:firstLine="0" w:firstLineChars="0"/>
              <w:jc w:val="center"/>
              <w:textAlignment w:val="center"/>
              <w:rPr>
                <w:color w:val="auto"/>
                <w:sz w:val="21"/>
                <w:szCs w:val="21"/>
              </w:rPr>
            </w:pPr>
            <w:r>
              <w:rPr>
                <w:rFonts w:hint="eastAsia"/>
                <w:color w:val="auto"/>
                <w:sz w:val="21"/>
                <w:szCs w:val="21"/>
              </w:rPr>
              <w:t>0.06</w:t>
            </w:r>
          </w:p>
        </w:tc>
        <w:tc>
          <w:tcPr>
            <w:tcW w:w="961" w:type="pct"/>
            <w:vAlign w:val="center"/>
          </w:tcPr>
          <w:p>
            <w:pPr>
              <w:widowControl/>
              <w:ind w:firstLine="0" w:firstLineChars="0"/>
              <w:jc w:val="center"/>
              <w:textAlignment w:val="center"/>
              <w:rPr>
                <w:color w:val="auto"/>
                <w:sz w:val="21"/>
                <w:szCs w:val="21"/>
              </w:rPr>
            </w:pPr>
            <w:r>
              <w:rPr>
                <w:rFonts w:hint="eastAsia"/>
                <w:color w:val="auto"/>
                <w:sz w:val="21"/>
                <w:szCs w:val="21"/>
              </w:rPr>
              <w:t>0.03</w:t>
            </w:r>
          </w:p>
        </w:tc>
        <w:tc>
          <w:tcPr>
            <w:tcW w:w="981" w:type="pct"/>
            <w:vAlign w:val="center"/>
          </w:tcPr>
          <w:p>
            <w:pPr>
              <w:widowControl/>
              <w:ind w:firstLine="0" w:firstLineChars="0"/>
              <w:jc w:val="center"/>
              <w:textAlignment w:val="center"/>
              <w:rPr>
                <w:color w:val="auto"/>
                <w:sz w:val="21"/>
                <w:szCs w:val="21"/>
              </w:rPr>
            </w:pPr>
            <w:r>
              <w:rPr>
                <w:rFonts w:hint="eastAsia"/>
                <w:color w:val="auto"/>
                <w:sz w:val="21"/>
                <w:szCs w:val="21"/>
              </w:rPr>
              <w:t>0.03</w:t>
            </w:r>
          </w:p>
        </w:tc>
        <w:tc>
          <w:tcPr>
            <w:tcW w:w="981" w:type="pct"/>
            <w:vAlign w:val="center"/>
          </w:tcPr>
          <w:p>
            <w:pPr>
              <w:widowControl/>
              <w:ind w:firstLine="0" w:firstLineChars="0"/>
              <w:jc w:val="center"/>
              <w:textAlignment w:val="center"/>
              <w:rPr>
                <w:rFonts w:hint="default" w:eastAsia="宋体"/>
                <w:color w:val="auto"/>
                <w:sz w:val="21"/>
                <w:szCs w:val="21"/>
                <w:lang w:val="en-US" w:eastAsia="zh-CN"/>
              </w:rPr>
            </w:pPr>
            <w:r>
              <w:rPr>
                <w:rFonts w:hint="eastAsia"/>
                <w:color w:val="auto"/>
                <w:sz w:val="21"/>
                <w:szCs w:val="21"/>
                <w:lang w:val="en-US" w:eastAsia="zh-CN"/>
              </w:rPr>
              <w:t>0.0810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114" w:type="pct"/>
            <w:vAlign w:val="center"/>
          </w:tcPr>
          <w:p>
            <w:pPr>
              <w:spacing w:line="312" w:lineRule="exact"/>
              <w:ind w:firstLine="0" w:firstLineChars="0"/>
              <w:jc w:val="center"/>
              <w:rPr>
                <w:color w:val="auto"/>
                <w:sz w:val="21"/>
                <w:szCs w:val="21"/>
              </w:rPr>
            </w:pPr>
            <w:r>
              <w:rPr>
                <w:color w:val="auto"/>
                <w:sz w:val="21"/>
                <w:szCs w:val="21"/>
              </w:rPr>
              <w:t>硒</w:t>
            </w:r>
          </w:p>
        </w:tc>
        <w:tc>
          <w:tcPr>
            <w:tcW w:w="961" w:type="pct"/>
            <w:vAlign w:val="center"/>
          </w:tcPr>
          <w:p>
            <w:pPr>
              <w:widowControl/>
              <w:ind w:firstLine="0" w:firstLineChars="0"/>
              <w:jc w:val="center"/>
              <w:textAlignment w:val="center"/>
              <w:rPr>
                <w:color w:val="auto"/>
                <w:sz w:val="21"/>
                <w:szCs w:val="21"/>
              </w:rPr>
            </w:pPr>
            <w:r>
              <w:rPr>
                <w:rFonts w:hint="eastAsia"/>
                <w:color w:val="auto"/>
                <w:sz w:val="21"/>
                <w:szCs w:val="21"/>
              </w:rPr>
              <w:t>0.3</w:t>
            </w:r>
          </w:p>
        </w:tc>
        <w:tc>
          <w:tcPr>
            <w:tcW w:w="961" w:type="pct"/>
            <w:vAlign w:val="center"/>
          </w:tcPr>
          <w:p>
            <w:pPr>
              <w:widowControl/>
              <w:ind w:firstLine="0" w:firstLineChars="0"/>
              <w:jc w:val="center"/>
              <w:textAlignment w:val="center"/>
              <w:rPr>
                <w:color w:val="auto"/>
                <w:sz w:val="21"/>
                <w:szCs w:val="21"/>
              </w:rPr>
            </w:pPr>
            <w:r>
              <w:rPr>
                <w:rFonts w:hint="eastAsia"/>
                <w:color w:val="auto"/>
                <w:sz w:val="21"/>
                <w:szCs w:val="21"/>
              </w:rPr>
              <w:t>0.61</w:t>
            </w:r>
          </w:p>
        </w:tc>
        <w:tc>
          <w:tcPr>
            <w:tcW w:w="981" w:type="pct"/>
            <w:vAlign w:val="center"/>
          </w:tcPr>
          <w:p>
            <w:pPr>
              <w:widowControl/>
              <w:ind w:firstLine="0" w:firstLineChars="0"/>
              <w:jc w:val="center"/>
              <w:textAlignment w:val="center"/>
              <w:rPr>
                <w:color w:val="auto"/>
                <w:sz w:val="21"/>
                <w:szCs w:val="21"/>
              </w:rPr>
            </w:pPr>
            <w:r>
              <w:rPr>
                <w:rFonts w:hint="eastAsia"/>
                <w:color w:val="auto"/>
                <w:sz w:val="21"/>
                <w:szCs w:val="21"/>
              </w:rPr>
              <w:t>0.76</w:t>
            </w:r>
          </w:p>
        </w:tc>
        <w:tc>
          <w:tcPr>
            <w:tcW w:w="981" w:type="pct"/>
            <w:vAlign w:val="center"/>
          </w:tcPr>
          <w:p>
            <w:pPr>
              <w:widowControl/>
              <w:ind w:firstLine="0" w:firstLineChars="0"/>
              <w:jc w:val="center"/>
              <w:textAlignment w:val="center"/>
              <w:rPr>
                <w:rFonts w:hint="default" w:eastAsia="宋体"/>
                <w:color w:val="auto"/>
                <w:sz w:val="21"/>
                <w:szCs w:val="21"/>
                <w:lang w:val="en-US" w:eastAsia="zh-CN"/>
              </w:rPr>
            </w:pPr>
            <w:r>
              <w:rPr>
                <w:rFonts w:hint="eastAsia"/>
                <w:color w:val="auto"/>
                <w:sz w:val="21"/>
                <w:szCs w:val="21"/>
                <w:lang w:val="en-US" w:eastAsia="zh-CN"/>
              </w:rPr>
              <w:t>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114" w:type="pct"/>
            <w:vAlign w:val="center"/>
          </w:tcPr>
          <w:p>
            <w:pPr>
              <w:spacing w:line="312" w:lineRule="exact"/>
              <w:ind w:firstLine="0" w:firstLineChars="0"/>
              <w:jc w:val="center"/>
              <w:rPr>
                <w:rFonts w:hint="eastAsia" w:eastAsia="宋体"/>
                <w:color w:val="auto"/>
                <w:sz w:val="21"/>
                <w:szCs w:val="21"/>
                <w:lang w:eastAsia="zh-CN"/>
              </w:rPr>
            </w:pPr>
            <w:r>
              <w:rPr>
                <w:color w:val="auto"/>
                <w:sz w:val="21"/>
                <w:szCs w:val="21"/>
              </w:rPr>
              <w:t>三氯</w:t>
            </w:r>
            <w:r>
              <w:rPr>
                <w:rFonts w:hint="eastAsia"/>
                <w:color w:val="auto"/>
                <w:sz w:val="21"/>
                <w:szCs w:val="21"/>
                <w:lang w:val="en-US" w:eastAsia="zh-CN"/>
              </w:rPr>
              <w:t>甲烷</w:t>
            </w:r>
          </w:p>
        </w:tc>
        <w:tc>
          <w:tcPr>
            <w:tcW w:w="961" w:type="pct"/>
            <w:vAlign w:val="center"/>
          </w:tcPr>
          <w:p>
            <w:pPr>
              <w:widowControl/>
              <w:ind w:firstLine="0" w:firstLineChars="0"/>
              <w:jc w:val="center"/>
              <w:textAlignment w:val="center"/>
              <w:rPr>
                <w:color w:val="auto"/>
                <w:sz w:val="21"/>
                <w:szCs w:val="21"/>
              </w:rPr>
            </w:pPr>
            <w:r>
              <w:rPr>
                <w:rFonts w:hint="eastAsia"/>
                <w:color w:val="auto"/>
                <w:sz w:val="21"/>
                <w:szCs w:val="21"/>
              </w:rPr>
              <w:t>未检出</w:t>
            </w:r>
          </w:p>
        </w:tc>
        <w:tc>
          <w:tcPr>
            <w:tcW w:w="961" w:type="pct"/>
            <w:vAlign w:val="center"/>
          </w:tcPr>
          <w:p>
            <w:pPr>
              <w:widowControl/>
              <w:ind w:firstLine="0" w:firstLineChars="0"/>
              <w:jc w:val="center"/>
              <w:textAlignment w:val="center"/>
              <w:rPr>
                <w:color w:val="auto"/>
                <w:sz w:val="21"/>
                <w:szCs w:val="21"/>
              </w:rPr>
            </w:pPr>
            <w:r>
              <w:rPr>
                <w:rFonts w:hint="eastAsia"/>
                <w:color w:val="auto"/>
                <w:sz w:val="21"/>
                <w:szCs w:val="21"/>
              </w:rPr>
              <w:t>0.18</w:t>
            </w:r>
          </w:p>
        </w:tc>
        <w:tc>
          <w:tcPr>
            <w:tcW w:w="981" w:type="pct"/>
            <w:vAlign w:val="center"/>
          </w:tcPr>
          <w:p>
            <w:pPr>
              <w:widowControl/>
              <w:ind w:firstLine="0" w:firstLineChars="0"/>
              <w:jc w:val="center"/>
              <w:textAlignment w:val="center"/>
              <w:rPr>
                <w:color w:val="auto"/>
                <w:sz w:val="21"/>
                <w:szCs w:val="21"/>
              </w:rPr>
            </w:pPr>
            <w:r>
              <w:rPr>
                <w:rFonts w:hint="eastAsia"/>
                <w:color w:val="auto"/>
                <w:sz w:val="21"/>
                <w:szCs w:val="21"/>
              </w:rPr>
              <w:t>未检出</w:t>
            </w:r>
          </w:p>
        </w:tc>
        <w:tc>
          <w:tcPr>
            <w:tcW w:w="981" w:type="pct"/>
            <w:vAlign w:val="center"/>
          </w:tcPr>
          <w:p>
            <w:pPr>
              <w:widowControl/>
              <w:ind w:firstLine="0" w:firstLineChars="0"/>
              <w:jc w:val="center"/>
              <w:textAlignment w:val="center"/>
              <w:rPr>
                <w:rFonts w:hint="eastAsia"/>
                <w:color w:val="auto"/>
                <w:sz w:val="21"/>
                <w:szCs w:val="21"/>
              </w:rPr>
            </w:pPr>
            <w:r>
              <w:rPr>
                <w:rFonts w:hint="eastAsia"/>
                <w:color w:val="auto"/>
                <w:sz w:val="21"/>
                <w:szCs w:val="21"/>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114" w:type="pct"/>
            <w:vAlign w:val="center"/>
          </w:tcPr>
          <w:p>
            <w:pPr>
              <w:spacing w:line="312" w:lineRule="exact"/>
              <w:ind w:firstLine="0" w:firstLineChars="0"/>
              <w:jc w:val="center"/>
              <w:rPr>
                <w:color w:val="auto"/>
                <w:sz w:val="21"/>
                <w:szCs w:val="21"/>
              </w:rPr>
            </w:pPr>
            <w:r>
              <w:rPr>
                <w:color w:val="auto"/>
                <w:sz w:val="21"/>
                <w:szCs w:val="21"/>
              </w:rPr>
              <w:t>总大肠菌群</w:t>
            </w:r>
          </w:p>
        </w:tc>
        <w:tc>
          <w:tcPr>
            <w:tcW w:w="961" w:type="pct"/>
            <w:vAlign w:val="center"/>
          </w:tcPr>
          <w:p>
            <w:pPr>
              <w:widowControl/>
              <w:ind w:firstLine="0" w:firstLineChars="0"/>
              <w:jc w:val="center"/>
              <w:textAlignment w:val="center"/>
              <w:rPr>
                <w:b/>
                <w:bCs/>
                <w:color w:val="auto"/>
                <w:sz w:val="21"/>
                <w:szCs w:val="21"/>
              </w:rPr>
            </w:pPr>
            <w:r>
              <w:rPr>
                <w:rFonts w:hint="eastAsia"/>
                <w:b/>
                <w:bCs/>
                <w:color w:val="auto"/>
                <w:sz w:val="21"/>
                <w:szCs w:val="21"/>
              </w:rPr>
              <w:t>3.67</w:t>
            </w:r>
          </w:p>
        </w:tc>
        <w:tc>
          <w:tcPr>
            <w:tcW w:w="961" w:type="pct"/>
            <w:vAlign w:val="center"/>
          </w:tcPr>
          <w:p>
            <w:pPr>
              <w:widowControl/>
              <w:ind w:firstLine="0" w:firstLineChars="0"/>
              <w:jc w:val="center"/>
              <w:textAlignment w:val="center"/>
              <w:rPr>
                <w:b/>
                <w:bCs/>
                <w:color w:val="auto"/>
                <w:sz w:val="21"/>
                <w:szCs w:val="21"/>
              </w:rPr>
            </w:pPr>
            <w:r>
              <w:rPr>
                <w:rFonts w:hint="eastAsia"/>
                <w:b/>
                <w:bCs/>
                <w:color w:val="auto"/>
                <w:sz w:val="21"/>
                <w:szCs w:val="21"/>
              </w:rPr>
              <w:t>43.3</w:t>
            </w:r>
          </w:p>
        </w:tc>
        <w:tc>
          <w:tcPr>
            <w:tcW w:w="981" w:type="pct"/>
            <w:vAlign w:val="center"/>
          </w:tcPr>
          <w:p>
            <w:pPr>
              <w:widowControl/>
              <w:ind w:firstLine="0" w:firstLineChars="0"/>
              <w:jc w:val="center"/>
              <w:textAlignment w:val="center"/>
              <w:rPr>
                <w:b/>
                <w:bCs/>
                <w:color w:val="auto"/>
                <w:sz w:val="21"/>
                <w:szCs w:val="21"/>
              </w:rPr>
            </w:pPr>
            <w:r>
              <w:rPr>
                <w:rFonts w:hint="eastAsia"/>
                <w:b/>
                <w:bCs/>
                <w:color w:val="auto"/>
                <w:sz w:val="21"/>
                <w:szCs w:val="21"/>
              </w:rPr>
              <w:t>36.67</w:t>
            </w:r>
          </w:p>
        </w:tc>
        <w:tc>
          <w:tcPr>
            <w:tcW w:w="981" w:type="pct"/>
            <w:vAlign w:val="center"/>
          </w:tcPr>
          <w:p>
            <w:pPr>
              <w:widowControl/>
              <w:ind w:firstLine="0" w:firstLineChars="0"/>
              <w:jc w:val="center"/>
              <w:textAlignment w:val="center"/>
              <w:rPr>
                <w:rFonts w:hint="eastAsia"/>
                <w:b/>
                <w:bCs/>
                <w:color w:val="auto"/>
                <w:sz w:val="21"/>
                <w:szCs w:val="21"/>
              </w:rPr>
            </w:pPr>
            <w:r>
              <w:rPr>
                <w:rFonts w:hint="eastAsia"/>
                <w:color w:val="auto"/>
                <w:sz w:val="21"/>
                <w:szCs w:val="21"/>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114" w:type="pct"/>
            <w:vAlign w:val="center"/>
          </w:tcPr>
          <w:p>
            <w:pPr>
              <w:spacing w:line="312" w:lineRule="exact"/>
              <w:ind w:firstLine="0" w:firstLineChars="0"/>
              <w:jc w:val="center"/>
              <w:rPr>
                <w:color w:val="auto"/>
                <w:sz w:val="21"/>
                <w:szCs w:val="21"/>
              </w:rPr>
            </w:pPr>
            <w:r>
              <w:rPr>
                <w:color w:val="auto"/>
                <w:sz w:val="21"/>
                <w:szCs w:val="21"/>
              </w:rPr>
              <w:t>菌落总数</w:t>
            </w:r>
          </w:p>
        </w:tc>
        <w:tc>
          <w:tcPr>
            <w:tcW w:w="961" w:type="pct"/>
            <w:vAlign w:val="center"/>
          </w:tcPr>
          <w:p>
            <w:pPr>
              <w:widowControl/>
              <w:ind w:firstLine="0" w:firstLineChars="0"/>
              <w:jc w:val="center"/>
              <w:textAlignment w:val="center"/>
              <w:rPr>
                <w:b/>
                <w:bCs/>
                <w:color w:val="auto"/>
                <w:sz w:val="21"/>
                <w:szCs w:val="21"/>
              </w:rPr>
            </w:pPr>
            <w:r>
              <w:rPr>
                <w:rFonts w:hint="eastAsia"/>
                <w:b/>
                <w:bCs/>
                <w:color w:val="auto"/>
                <w:sz w:val="21"/>
                <w:szCs w:val="21"/>
              </w:rPr>
              <w:t>18</w:t>
            </w:r>
          </w:p>
        </w:tc>
        <w:tc>
          <w:tcPr>
            <w:tcW w:w="961" w:type="pct"/>
            <w:vAlign w:val="center"/>
          </w:tcPr>
          <w:p>
            <w:pPr>
              <w:widowControl/>
              <w:ind w:firstLine="0" w:firstLineChars="0"/>
              <w:jc w:val="center"/>
              <w:textAlignment w:val="center"/>
              <w:rPr>
                <w:b/>
                <w:bCs/>
                <w:color w:val="auto"/>
                <w:sz w:val="21"/>
                <w:szCs w:val="21"/>
              </w:rPr>
            </w:pPr>
            <w:r>
              <w:rPr>
                <w:rFonts w:hint="eastAsia"/>
                <w:b/>
                <w:bCs/>
                <w:color w:val="auto"/>
                <w:sz w:val="21"/>
                <w:szCs w:val="21"/>
              </w:rPr>
              <w:t>1.2</w:t>
            </w:r>
          </w:p>
        </w:tc>
        <w:tc>
          <w:tcPr>
            <w:tcW w:w="981" w:type="pct"/>
            <w:vAlign w:val="center"/>
          </w:tcPr>
          <w:p>
            <w:pPr>
              <w:widowControl/>
              <w:ind w:firstLine="0" w:firstLineChars="0"/>
              <w:jc w:val="center"/>
              <w:textAlignment w:val="center"/>
              <w:rPr>
                <w:b/>
                <w:bCs/>
                <w:color w:val="auto"/>
                <w:sz w:val="21"/>
                <w:szCs w:val="21"/>
              </w:rPr>
            </w:pPr>
            <w:r>
              <w:rPr>
                <w:rFonts w:hint="eastAsia"/>
                <w:b/>
                <w:bCs/>
                <w:color w:val="auto"/>
                <w:sz w:val="21"/>
                <w:szCs w:val="21"/>
              </w:rPr>
              <w:t>2.1</w:t>
            </w:r>
          </w:p>
        </w:tc>
        <w:tc>
          <w:tcPr>
            <w:tcW w:w="981" w:type="pct"/>
            <w:vAlign w:val="center"/>
          </w:tcPr>
          <w:p>
            <w:pPr>
              <w:widowControl/>
              <w:ind w:firstLine="0" w:firstLineChars="0"/>
              <w:jc w:val="center"/>
              <w:textAlignment w:val="center"/>
              <w:rPr>
                <w:rFonts w:hint="default" w:eastAsia="宋体"/>
                <w:b/>
                <w:bCs/>
                <w:color w:val="auto"/>
                <w:sz w:val="21"/>
                <w:szCs w:val="21"/>
                <w:lang w:val="en-US" w:eastAsia="zh-CN"/>
              </w:rPr>
            </w:pPr>
            <w:r>
              <w:rPr>
                <w:rFonts w:hint="eastAsia"/>
                <w:b/>
                <w:bCs/>
                <w:color w:val="auto"/>
                <w:sz w:val="21"/>
                <w:szCs w:val="21"/>
                <w:lang w:val="en-US" w:eastAsia="zh-CN"/>
              </w:rPr>
              <w:t>0.018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114" w:type="pct"/>
            <w:vAlign w:val="center"/>
          </w:tcPr>
          <w:p>
            <w:pPr>
              <w:spacing w:line="312" w:lineRule="exact"/>
              <w:ind w:firstLine="0" w:firstLineChars="0"/>
              <w:jc w:val="center"/>
              <w:rPr>
                <w:color w:val="auto"/>
                <w:sz w:val="21"/>
                <w:szCs w:val="21"/>
              </w:rPr>
            </w:pPr>
            <w:r>
              <w:rPr>
                <w:color w:val="auto"/>
                <w:sz w:val="21"/>
                <w:szCs w:val="21"/>
              </w:rPr>
              <w:t>石油类</w:t>
            </w:r>
          </w:p>
        </w:tc>
        <w:tc>
          <w:tcPr>
            <w:tcW w:w="961" w:type="pct"/>
            <w:vAlign w:val="center"/>
          </w:tcPr>
          <w:p>
            <w:pPr>
              <w:widowControl/>
              <w:ind w:firstLine="0" w:firstLineChars="0"/>
              <w:jc w:val="center"/>
              <w:textAlignment w:val="center"/>
              <w:rPr>
                <w:color w:val="auto"/>
                <w:sz w:val="21"/>
                <w:szCs w:val="21"/>
              </w:rPr>
            </w:pPr>
            <w:r>
              <w:rPr>
                <w:rFonts w:hint="eastAsia"/>
                <w:color w:val="auto"/>
                <w:sz w:val="21"/>
                <w:szCs w:val="21"/>
              </w:rPr>
              <w:t>0.8</w:t>
            </w:r>
          </w:p>
        </w:tc>
        <w:tc>
          <w:tcPr>
            <w:tcW w:w="961" w:type="pct"/>
            <w:vAlign w:val="center"/>
          </w:tcPr>
          <w:p>
            <w:pPr>
              <w:widowControl/>
              <w:ind w:firstLine="0" w:firstLineChars="0"/>
              <w:jc w:val="center"/>
              <w:textAlignment w:val="center"/>
              <w:rPr>
                <w:color w:val="auto"/>
                <w:sz w:val="21"/>
                <w:szCs w:val="21"/>
              </w:rPr>
            </w:pPr>
            <w:r>
              <w:rPr>
                <w:rFonts w:hint="eastAsia"/>
                <w:color w:val="auto"/>
                <w:sz w:val="21"/>
                <w:szCs w:val="21"/>
              </w:rPr>
              <w:t>1.0</w:t>
            </w:r>
          </w:p>
        </w:tc>
        <w:tc>
          <w:tcPr>
            <w:tcW w:w="981" w:type="pct"/>
            <w:vAlign w:val="center"/>
          </w:tcPr>
          <w:p>
            <w:pPr>
              <w:widowControl/>
              <w:ind w:firstLine="0" w:firstLineChars="0"/>
              <w:jc w:val="center"/>
              <w:textAlignment w:val="center"/>
              <w:rPr>
                <w:color w:val="auto"/>
                <w:sz w:val="21"/>
                <w:szCs w:val="21"/>
              </w:rPr>
            </w:pPr>
            <w:r>
              <w:rPr>
                <w:rFonts w:hint="eastAsia"/>
                <w:color w:val="auto"/>
                <w:sz w:val="21"/>
                <w:szCs w:val="21"/>
              </w:rPr>
              <w:t>0.8</w:t>
            </w:r>
          </w:p>
        </w:tc>
        <w:tc>
          <w:tcPr>
            <w:tcW w:w="981" w:type="pct"/>
            <w:vAlign w:val="center"/>
          </w:tcPr>
          <w:p>
            <w:pPr>
              <w:widowControl/>
              <w:ind w:firstLine="0" w:firstLineChars="0"/>
              <w:jc w:val="center"/>
              <w:textAlignment w:val="center"/>
              <w:rPr>
                <w:rFonts w:hint="default" w:eastAsia="宋体"/>
                <w:color w:val="auto"/>
                <w:sz w:val="21"/>
                <w:szCs w:val="21"/>
                <w:lang w:val="en-US" w:eastAsia="zh-CN"/>
              </w:rPr>
            </w:pPr>
            <w:r>
              <w:rPr>
                <w:rFonts w:hint="eastAsia"/>
                <w:b/>
                <w:bCs/>
                <w:color w:val="auto"/>
                <w:sz w:val="21"/>
                <w:szCs w:val="21"/>
                <w:lang w:val="en-US" w:eastAsia="zh-CN"/>
              </w:rPr>
              <w:t>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35" w:hRule="atLeast"/>
          <w:jc w:val="center"/>
        </w:trPr>
        <w:tc>
          <w:tcPr>
            <w:tcW w:w="4018" w:type="pct"/>
            <w:gridSpan w:val="4"/>
            <w:vAlign w:val="center"/>
          </w:tcPr>
          <w:p>
            <w:pPr>
              <w:pStyle w:val="2"/>
              <w:spacing w:after="0" w:line="312" w:lineRule="exact"/>
              <w:ind w:firstLine="0" w:firstLineChars="0"/>
              <w:rPr>
                <w:color w:val="auto"/>
                <w:kern w:val="0"/>
                <w:sz w:val="21"/>
                <w:szCs w:val="21"/>
                <w:lang w:bidi="ar"/>
              </w:rPr>
            </w:pPr>
            <w:r>
              <w:rPr>
                <w:color w:val="auto"/>
                <w:sz w:val="18"/>
                <w:szCs w:val="18"/>
              </w:rPr>
              <w:t>注：未检出及无评价标准因子，不予评价。</w:t>
            </w:r>
          </w:p>
        </w:tc>
        <w:tc>
          <w:tcPr>
            <w:tcW w:w="981" w:type="pct"/>
            <w:vAlign w:val="center"/>
          </w:tcPr>
          <w:p>
            <w:pPr>
              <w:pStyle w:val="2"/>
              <w:spacing w:after="0" w:line="312" w:lineRule="exact"/>
              <w:ind w:firstLine="0" w:firstLineChars="0"/>
              <w:rPr>
                <w:color w:val="auto"/>
                <w:sz w:val="18"/>
                <w:szCs w:val="18"/>
              </w:rPr>
            </w:pPr>
          </w:p>
        </w:tc>
      </w:tr>
    </w:tbl>
    <w:p>
      <w:pPr>
        <w:ind w:firstLine="480"/>
        <w:rPr>
          <w:color w:val="auto"/>
        </w:rPr>
      </w:pPr>
      <w:r>
        <w:rPr>
          <w:color w:val="auto"/>
        </w:rPr>
        <w:t>由上表可见，除未检出项以外，地下水</w:t>
      </w:r>
      <w:r>
        <w:rPr>
          <w:rFonts w:hint="eastAsia"/>
          <w:color w:val="auto"/>
          <w:lang w:val="en-US" w:eastAsia="zh-CN"/>
        </w:rPr>
        <w:t>4</w:t>
      </w:r>
      <w:r>
        <w:rPr>
          <w:color w:val="auto"/>
        </w:rPr>
        <w:t>个监测点的监测因子中，部分监测因子不能满足地下水质量标准》(GB/T14848-2017)Ⅲ类标准要求</w:t>
      </w:r>
      <w:r>
        <w:rPr>
          <w:rFonts w:hint="eastAsia"/>
          <w:color w:val="auto"/>
        </w:rPr>
        <w:t>。</w:t>
      </w:r>
      <w:r>
        <w:rPr>
          <w:color w:val="auto"/>
        </w:rPr>
        <w:t>1#、2#、3#点位总硬度</w:t>
      </w:r>
      <w:r>
        <w:rPr>
          <w:rFonts w:hint="eastAsia"/>
          <w:color w:val="auto"/>
        </w:rPr>
        <w:t>、溶解性总固体、</w:t>
      </w:r>
      <w:r>
        <w:rPr>
          <w:color w:val="auto"/>
        </w:rPr>
        <w:t>硝酸盐氮</w:t>
      </w:r>
      <w:r>
        <w:rPr>
          <w:rFonts w:hint="eastAsia"/>
          <w:color w:val="auto"/>
        </w:rPr>
        <w:t>、</w:t>
      </w:r>
      <w:r>
        <w:rPr>
          <w:color w:val="auto"/>
        </w:rPr>
        <w:t>总大肠菌群</w:t>
      </w:r>
      <w:r>
        <w:rPr>
          <w:rFonts w:hint="eastAsia"/>
          <w:color w:val="auto"/>
        </w:rPr>
        <w:t>、</w:t>
      </w:r>
      <w:r>
        <w:rPr>
          <w:color w:val="auto"/>
        </w:rPr>
        <w:t>菌落总数均出现不同程度的超标，</w:t>
      </w:r>
      <w:r>
        <w:rPr>
          <w:rFonts w:hint="eastAsia"/>
          <w:color w:val="auto"/>
        </w:rPr>
        <w:t>2#点位氟化物超标，3#点位硫酸盐超标</w:t>
      </w:r>
      <w:r>
        <w:rPr>
          <w:rFonts w:hint="eastAsia"/>
          <w:color w:val="auto"/>
          <w:lang w:val="en-US" w:eastAsia="zh-CN"/>
        </w:rPr>
        <w:t>,7#铝、石油类超标</w:t>
      </w:r>
      <w:r>
        <w:rPr>
          <w:rFonts w:hint="eastAsia"/>
          <w:color w:val="auto"/>
        </w:rPr>
        <w:t>。</w:t>
      </w:r>
      <w:r>
        <w:rPr>
          <w:color w:val="auto"/>
        </w:rPr>
        <w:t>区域地下水总体不能满足《地下水质量标准》(GB/T14848-2017)Ⅲ类标准要求。</w:t>
      </w:r>
    </w:p>
    <w:p>
      <w:pPr>
        <w:pStyle w:val="2"/>
        <w:spacing w:after="0"/>
        <w:ind w:firstLine="480"/>
        <w:rPr>
          <w:color w:val="auto"/>
        </w:rPr>
      </w:pPr>
      <w:r>
        <w:rPr>
          <w:color w:val="auto"/>
        </w:rPr>
        <w:t>综上分析，本区总硬度、溶解性总固体超标主要与区域水文地质条件有关，地下水中氟化物、硫酸盐</w:t>
      </w:r>
      <w:r>
        <w:rPr>
          <w:rFonts w:hint="eastAsia"/>
          <w:color w:val="auto"/>
        </w:rPr>
        <w:t>、</w:t>
      </w:r>
      <w:r>
        <w:rPr>
          <w:color w:val="auto"/>
        </w:rPr>
        <w:t>硝酸盐氮</w:t>
      </w:r>
      <w:r>
        <w:rPr>
          <w:rFonts w:hint="eastAsia"/>
          <w:color w:val="auto"/>
        </w:rPr>
        <w:t>、</w:t>
      </w:r>
      <w:r>
        <w:rPr>
          <w:color w:val="auto"/>
        </w:rPr>
        <w:t>总大肠菌群</w:t>
      </w:r>
      <w:r>
        <w:rPr>
          <w:rFonts w:hint="eastAsia"/>
          <w:color w:val="auto"/>
        </w:rPr>
        <w:t>、</w:t>
      </w:r>
      <w:r>
        <w:rPr>
          <w:color w:val="auto"/>
        </w:rPr>
        <w:t>菌落总数超标与区域整体环境质量有关系，可能受到生产、生活污染。</w:t>
      </w:r>
    </w:p>
    <w:p>
      <w:pPr>
        <w:pStyle w:val="8"/>
        <w:spacing w:before="0" w:beforeLines="0" w:after="0" w:afterLines="0" w:line="360" w:lineRule="auto"/>
        <w:rPr>
          <w:color w:val="auto"/>
        </w:rPr>
      </w:pPr>
      <w:bookmarkStart w:id="262" w:name="_Toc3921"/>
      <w:bookmarkStart w:id="263" w:name="_Toc6026"/>
      <w:r>
        <w:rPr>
          <w:rFonts w:hint="eastAsia"/>
          <w:color w:val="auto"/>
        </w:rPr>
        <w:t>4</w:t>
      </w:r>
      <w:r>
        <w:rPr>
          <w:color w:val="auto"/>
        </w:rPr>
        <w:t>.4 声环境现状调查与评价</w:t>
      </w:r>
      <w:bookmarkEnd w:id="262"/>
      <w:bookmarkEnd w:id="263"/>
    </w:p>
    <w:p>
      <w:pPr>
        <w:pStyle w:val="9"/>
        <w:spacing w:before="0" w:beforeLines="0" w:after="0" w:afterLines="0" w:line="360" w:lineRule="auto"/>
        <w:rPr>
          <w:color w:val="auto"/>
        </w:rPr>
      </w:pPr>
      <w:r>
        <w:rPr>
          <w:rFonts w:hint="eastAsia"/>
          <w:color w:val="auto"/>
        </w:rPr>
        <w:t>4</w:t>
      </w:r>
      <w:r>
        <w:rPr>
          <w:color w:val="auto"/>
        </w:rPr>
        <w:t>.4.1 现状监测</w:t>
      </w:r>
    </w:p>
    <w:p>
      <w:pPr>
        <w:pStyle w:val="10"/>
        <w:spacing w:line="360" w:lineRule="auto"/>
        <w:rPr>
          <w:color w:val="auto"/>
        </w:rPr>
      </w:pPr>
      <w:r>
        <w:rPr>
          <w:rFonts w:hint="eastAsia"/>
          <w:color w:val="auto"/>
        </w:rPr>
        <w:t>4</w:t>
      </w:r>
      <w:r>
        <w:rPr>
          <w:color w:val="auto"/>
        </w:rPr>
        <w:t>.4.1.1 监测布点</w:t>
      </w:r>
    </w:p>
    <w:p>
      <w:pPr>
        <w:ind w:firstLine="480"/>
        <w:jc w:val="left"/>
        <w:rPr>
          <w:color w:val="auto"/>
        </w:rPr>
      </w:pPr>
      <w:r>
        <w:rPr>
          <w:color w:val="auto"/>
        </w:rPr>
        <w:t>根据厂区平面布置情况，</w:t>
      </w:r>
      <w:r>
        <w:rPr>
          <w:rFonts w:hint="eastAsia"/>
          <w:color w:val="auto"/>
        </w:rPr>
        <w:t>本次评价在厂区4个边界</w:t>
      </w:r>
      <w:r>
        <w:rPr>
          <w:color w:val="auto"/>
          <w:kern w:val="0"/>
        </w:rPr>
        <w:t>以及近距离村庄共布设</w:t>
      </w:r>
      <w:r>
        <w:rPr>
          <w:rFonts w:hint="eastAsia"/>
          <w:color w:val="auto"/>
          <w:kern w:val="0"/>
        </w:rPr>
        <w:t>5</w:t>
      </w:r>
      <w:r>
        <w:rPr>
          <w:color w:val="auto"/>
          <w:kern w:val="0"/>
        </w:rPr>
        <w:t>个</w:t>
      </w:r>
      <w:r>
        <w:rPr>
          <w:color w:val="auto"/>
        </w:rPr>
        <w:t>厂界噪声监测点，具体监测布点见图</w:t>
      </w:r>
      <w:r>
        <w:rPr>
          <w:rFonts w:hint="eastAsia"/>
          <w:color w:val="auto"/>
        </w:rPr>
        <w:t>4</w:t>
      </w:r>
      <w:r>
        <w:rPr>
          <w:color w:val="auto"/>
        </w:rPr>
        <w:t>.4-1和表</w:t>
      </w:r>
      <w:r>
        <w:rPr>
          <w:rFonts w:hint="eastAsia"/>
          <w:color w:val="auto"/>
        </w:rPr>
        <w:t>4</w:t>
      </w:r>
      <w:r>
        <w:rPr>
          <w:color w:val="auto"/>
        </w:rPr>
        <w:t>.4-1。</w:t>
      </w:r>
    </w:p>
    <w:p>
      <w:pPr>
        <w:pStyle w:val="48"/>
        <w:rPr>
          <w:bCs/>
          <w:color w:val="auto"/>
        </w:rPr>
      </w:pPr>
      <w:r>
        <w:rPr>
          <w:bCs/>
          <w:color w:val="auto"/>
        </w:rPr>
        <w:t>表</w:t>
      </w:r>
      <w:r>
        <w:rPr>
          <w:rFonts w:hint="eastAsia"/>
          <w:bCs/>
          <w:color w:val="auto"/>
        </w:rPr>
        <w:t>4</w:t>
      </w:r>
      <w:r>
        <w:rPr>
          <w:bCs/>
          <w:color w:val="auto"/>
        </w:rPr>
        <w:t>.4-1 声环境现状监测布点情况</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01"/>
        <w:gridCol w:w="1940"/>
        <w:gridCol w:w="1202"/>
        <w:gridCol w:w="1345"/>
        <w:gridCol w:w="32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08" w:type="pct"/>
            <w:vAlign w:val="center"/>
          </w:tcPr>
          <w:p>
            <w:pPr>
              <w:pStyle w:val="15"/>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测点</w:t>
            </w:r>
          </w:p>
        </w:tc>
        <w:tc>
          <w:tcPr>
            <w:tcW w:w="1044" w:type="pct"/>
            <w:vAlign w:val="center"/>
          </w:tcPr>
          <w:p>
            <w:pPr>
              <w:pStyle w:val="15"/>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名称</w:t>
            </w:r>
          </w:p>
        </w:tc>
        <w:tc>
          <w:tcPr>
            <w:tcW w:w="647" w:type="pct"/>
            <w:vAlign w:val="center"/>
          </w:tcPr>
          <w:p>
            <w:pPr>
              <w:pStyle w:val="15"/>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相对方位</w:t>
            </w:r>
          </w:p>
        </w:tc>
        <w:tc>
          <w:tcPr>
            <w:tcW w:w="724" w:type="pct"/>
            <w:vAlign w:val="center"/>
          </w:tcPr>
          <w:p>
            <w:pPr>
              <w:pStyle w:val="15"/>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距离</w:t>
            </w:r>
          </w:p>
        </w:tc>
        <w:tc>
          <w:tcPr>
            <w:tcW w:w="1775" w:type="pct"/>
            <w:vAlign w:val="center"/>
          </w:tcPr>
          <w:p>
            <w:pPr>
              <w:pStyle w:val="15"/>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监测点位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08" w:type="pct"/>
            <w:vAlign w:val="center"/>
          </w:tcPr>
          <w:p>
            <w:pPr>
              <w:pStyle w:val="15"/>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1#</w:t>
            </w:r>
          </w:p>
        </w:tc>
        <w:tc>
          <w:tcPr>
            <w:tcW w:w="1940" w:type="dxa"/>
            <w:vAlign w:val="center"/>
          </w:tcPr>
          <w:p>
            <w:pPr>
              <w:pStyle w:val="15"/>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厂界东</w:t>
            </w:r>
          </w:p>
        </w:tc>
        <w:tc>
          <w:tcPr>
            <w:tcW w:w="1202" w:type="dxa"/>
            <w:vAlign w:val="center"/>
          </w:tcPr>
          <w:p>
            <w:pPr>
              <w:pStyle w:val="15"/>
              <w:spacing w:line="240" w:lineRule="auto"/>
              <w:ind w:firstLine="0" w:firstLineChars="0"/>
              <w:jc w:val="center"/>
              <w:rPr>
                <w:rFonts w:ascii="Times New Roman" w:hAnsi="Times New Roman"/>
                <w:color w:val="auto"/>
                <w:sz w:val="21"/>
                <w:szCs w:val="21"/>
              </w:rPr>
            </w:pPr>
            <w:r>
              <w:rPr>
                <w:rFonts w:hint="eastAsia" w:ascii="Times New Roman" w:hAnsi="Times New Roman"/>
                <w:color w:val="auto"/>
                <w:sz w:val="21"/>
                <w:szCs w:val="21"/>
              </w:rPr>
              <w:t>/</w:t>
            </w:r>
          </w:p>
        </w:tc>
        <w:tc>
          <w:tcPr>
            <w:tcW w:w="1345" w:type="dxa"/>
            <w:vAlign w:val="center"/>
          </w:tcPr>
          <w:p>
            <w:pPr>
              <w:pStyle w:val="15"/>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厂界外1m</w:t>
            </w:r>
          </w:p>
        </w:tc>
        <w:tc>
          <w:tcPr>
            <w:tcW w:w="1775" w:type="pct"/>
            <w:vMerge w:val="restart"/>
            <w:vAlign w:val="center"/>
          </w:tcPr>
          <w:p>
            <w:pPr>
              <w:pStyle w:val="15"/>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厂界外1m，见图5.4-1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08" w:type="pct"/>
            <w:vAlign w:val="center"/>
          </w:tcPr>
          <w:p>
            <w:pPr>
              <w:pStyle w:val="15"/>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2#</w:t>
            </w:r>
          </w:p>
        </w:tc>
        <w:tc>
          <w:tcPr>
            <w:tcW w:w="1940" w:type="dxa"/>
            <w:vAlign w:val="center"/>
          </w:tcPr>
          <w:p>
            <w:pPr>
              <w:pStyle w:val="15"/>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厂界南</w:t>
            </w:r>
          </w:p>
        </w:tc>
        <w:tc>
          <w:tcPr>
            <w:tcW w:w="1202" w:type="dxa"/>
            <w:vAlign w:val="center"/>
          </w:tcPr>
          <w:p>
            <w:pPr>
              <w:pStyle w:val="15"/>
              <w:spacing w:line="240" w:lineRule="auto"/>
              <w:ind w:firstLine="0" w:firstLineChars="0"/>
              <w:jc w:val="center"/>
              <w:rPr>
                <w:rFonts w:ascii="Times New Roman" w:hAnsi="Times New Roman"/>
                <w:color w:val="auto"/>
                <w:sz w:val="21"/>
                <w:szCs w:val="21"/>
              </w:rPr>
            </w:pPr>
            <w:r>
              <w:rPr>
                <w:rFonts w:hint="eastAsia" w:ascii="Times New Roman" w:hAnsi="Times New Roman"/>
                <w:color w:val="auto"/>
                <w:sz w:val="21"/>
                <w:szCs w:val="21"/>
              </w:rPr>
              <w:t>/</w:t>
            </w:r>
          </w:p>
        </w:tc>
        <w:tc>
          <w:tcPr>
            <w:tcW w:w="1345" w:type="dxa"/>
          </w:tcPr>
          <w:p>
            <w:pPr>
              <w:pStyle w:val="15"/>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厂界外1m</w:t>
            </w:r>
          </w:p>
        </w:tc>
        <w:tc>
          <w:tcPr>
            <w:tcW w:w="1775" w:type="pct"/>
            <w:vMerge w:val="continue"/>
            <w:vAlign w:val="center"/>
          </w:tcPr>
          <w:p>
            <w:pPr>
              <w:pStyle w:val="15"/>
              <w:spacing w:line="240" w:lineRule="auto"/>
              <w:ind w:firstLine="0" w:firstLineChars="0"/>
              <w:jc w:val="center"/>
              <w:rPr>
                <w:rFonts w:ascii="Times New Roman" w:hAnsi="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08" w:type="pct"/>
            <w:vAlign w:val="center"/>
          </w:tcPr>
          <w:p>
            <w:pPr>
              <w:pStyle w:val="15"/>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3#</w:t>
            </w:r>
          </w:p>
        </w:tc>
        <w:tc>
          <w:tcPr>
            <w:tcW w:w="1940" w:type="dxa"/>
            <w:vAlign w:val="center"/>
          </w:tcPr>
          <w:p>
            <w:pPr>
              <w:pStyle w:val="15"/>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厂界西</w:t>
            </w:r>
          </w:p>
        </w:tc>
        <w:tc>
          <w:tcPr>
            <w:tcW w:w="1202" w:type="dxa"/>
            <w:vAlign w:val="center"/>
          </w:tcPr>
          <w:p>
            <w:pPr>
              <w:pStyle w:val="15"/>
              <w:spacing w:line="240" w:lineRule="auto"/>
              <w:ind w:firstLine="0" w:firstLineChars="0"/>
              <w:jc w:val="center"/>
              <w:rPr>
                <w:rFonts w:ascii="Times New Roman" w:hAnsi="Times New Roman"/>
                <w:color w:val="auto"/>
                <w:sz w:val="21"/>
                <w:szCs w:val="21"/>
              </w:rPr>
            </w:pPr>
            <w:r>
              <w:rPr>
                <w:rFonts w:hint="eastAsia" w:ascii="Times New Roman" w:hAnsi="Times New Roman"/>
                <w:color w:val="auto"/>
                <w:sz w:val="21"/>
                <w:szCs w:val="21"/>
              </w:rPr>
              <w:t>/</w:t>
            </w:r>
          </w:p>
        </w:tc>
        <w:tc>
          <w:tcPr>
            <w:tcW w:w="1345" w:type="dxa"/>
          </w:tcPr>
          <w:p>
            <w:pPr>
              <w:pStyle w:val="15"/>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厂界外1m</w:t>
            </w:r>
          </w:p>
        </w:tc>
        <w:tc>
          <w:tcPr>
            <w:tcW w:w="1775" w:type="pct"/>
            <w:vMerge w:val="continue"/>
            <w:vAlign w:val="center"/>
          </w:tcPr>
          <w:p>
            <w:pPr>
              <w:pStyle w:val="15"/>
              <w:spacing w:line="240" w:lineRule="auto"/>
              <w:ind w:firstLine="0" w:firstLineChars="0"/>
              <w:jc w:val="center"/>
              <w:rPr>
                <w:rFonts w:ascii="Times New Roman" w:hAnsi="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08" w:type="pct"/>
            <w:vAlign w:val="center"/>
          </w:tcPr>
          <w:p>
            <w:pPr>
              <w:pStyle w:val="15"/>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4#</w:t>
            </w:r>
          </w:p>
        </w:tc>
        <w:tc>
          <w:tcPr>
            <w:tcW w:w="1940" w:type="dxa"/>
            <w:vAlign w:val="center"/>
          </w:tcPr>
          <w:p>
            <w:pPr>
              <w:pStyle w:val="15"/>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厂界</w:t>
            </w:r>
            <w:r>
              <w:rPr>
                <w:rFonts w:hint="eastAsia" w:ascii="Times New Roman" w:hAnsi="Times New Roman"/>
                <w:color w:val="auto"/>
                <w:sz w:val="21"/>
                <w:szCs w:val="21"/>
              </w:rPr>
              <w:t>北</w:t>
            </w:r>
          </w:p>
        </w:tc>
        <w:tc>
          <w:tcPr>
            <w:tcW w:w="1202" w:type="dxa"/>
            <w:vAlign w:val="center"/>
          </w:tcPr>
          <w:p>
            <w:pPr>
              <w:pStyle w:val="15"/>
              <w:spacing w:line="240" w:lineRule="auto"/>
              <w:ind w:firstLine="0" w:firstLineChars="0"/>
              <w:jc w:val="center"/>
              <w:rPr>
                <w:rFonts w:ascii="Times New Roman" w:hAnsi="Times New Roman"/>
                <w:color w:val="auto"/>
                <w:sz w:val="21"/>
                <w:szCs w:val="21"/>
              </w:rPr>
            </w:pPr>
            <w:r>
              <w:rPr>
                <w:rFonts w:hint="eastAsia" w:ascii="Times New Roman" w:hAnsi="Times New Roman"/>
                <w:color w:val="auto"/>
                <w:sz w:val="21"/>
                <w:szCs w:val="21"/>
              </w:rPr>
              <w:t>/</w:t>
            </w:r>
          </w:p>
        </w:tc>
        <w:tc>
          <w:tcPr>
            <w:tcW w:w="1345" w:type="dxa"/>
          </w:tcPr>
          <w:p>
            <w:pPr>
              <w:pStyle w:val="15"/>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厂界外1m</w:t>
            </w:r>
          </w:p>
        </w:tc>
        <w:tc>
          <w:tcPr>
            <w:tcW w:w="1775" w:type="pct"/>
            <w:vMerge w:val="continue"/>
            <w:vAlign w:val="center"/>
          </w:tcPr>
          <w:p>
            <w:pPr>
              <w:pStyle w:val="15"/>
              <w:spacing w:line="240" w:lineRule="auto"/>
              <w:ind w:firstLine="0" w:firstLineChars="0"/>
              <w:jc w:val="center"/>
              <w:rPr>
                <w:rFonts w:ascii="Times New Roman" w:hAnsi="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08" w:type="pct"/>
            <w:vAlign w:val="center"/>
          </w:tcPr>
          <w:p>
            <w:pPr>
              <w:pStyle w:val="15"/>
              <w:spacing w:line="240" w:lineRule="auto"/>
              <w:ind w:firstLine="0" w:firstLineChars="0"/>
              <w:jc w:val="center"/>
              <w:rPr>
                <w:rFonts w:ascii="Times New Roman" w:hAnsi="Times New Roman"/>
                <w:color w:val="auto"/>
                <w:sz w:val="21"/>
                <w:szCs w:val="21"/>
              </w:rPr>
            </w:pPr>
            <w:r>
              <w:rPr>
                <w:rFonts w:hint="eastAsia" w:ascii="Times New Roman" w:hAnsi="Times New Roman"/>
                <w:color w:val="auto"/>
                <w:sz w:val="21"/>
                <w:szCs w:val="21"/>
              </w:rPr>
              <w:t>5#</w:t>
            </w:r>
          </w:p>
        </w:tc>
        <w:tc>
          <w:tcPr>
            <w:tcW w:w="1940" w:type="dxa"/>
            <w:vAlign w:val="center"/>
          </w:tcPr>
          <w:p>
            <w:pPr>
              <w:pStyle w:val="15"/>
              <w:spacing w:line="240" w:lineRule="auto"/>
              <w:ind w:firstLine="0" w:firstLineChars="0"/>
              <w:jc w:val="center"/>
              <w:rPr>
                <w:rFonts w:ascii="Times New Roman" w:hAnsi="Times New Roman"/>
                <w:color w:val="auto"/>
                <w:sz w:val="21"/>
                <w:szCs w:val="21"/>
              </w:rPr>
            </w:pPr>
            <w:r>
              <w:rPr>
                <w:rFonts w:hint="eastAsia" w:ascii="Times New Roman" w:hAnsi="Times New Roman"/>
                <w:color w:val="auto"/>
                <w:sz w:val="21"/>
                <w:szCs w:val="21"/>
              </w:rPr>
              <w:t>解营村</w:t>
            </w:r>
          </w:p>
        </w:tc>
        <w:tc>
          <w:tcPr>
            <w:tcW w:w="1202" w:type="dxa"/>
            <w:vAlign w:val="center"/>
          </w:tcPr>
          <w:p>
            <w:pPr>
              <w:pStyle w:val="15"/>
              <w:spacing w:line="240" w:lineRule="auto"/>
              <w:ind w:firstLine="0" w:firstLineChars="0"/>
              <w:jc w:val="center"/>
              <w:rPr>
                <w:rFonts w:ascii="Times New Roman" w:hAnsi="Times New Roman"/>
                <w:color w:val="auto"/>
                <w:sz w:val="21"/>
                <w:szCs w:val="21"/>
              </w:rPr>
            </w:pPr>
            <w:r>
              <w:rPr>
                <w:rFonts w:hint="eastAsia" w:ascii="Times New Roman" w:hAnsi="Times New Roman"/>
                <w:color w:val="auto"/>
                <w:sz w:val="21"/>
                <w:szCs w:val="21"/>
              </w:rPr>
              <w:t>N</w:t>
            </w:r>
          </w:p>
        </w:tc>
        <w:tc>
          <w:tcPr>
            <w:tcW w:w="1345" w:type="dxa"/>
          </w:tcPr>
          <w:p>
            <w:pPr>
              <w:pStyle w:val="15"/>
              <w:spacing w:line="240" w:lineRule="auto"/>
              <w:ind w:firstLine="0" w:firstLineChars="0"/>
              <w:jc w:val="center"/>
              <w:rPr>
                <w:rFonts w:ascii="Times New Roman" w:hAnsi="Times New Roman"/>
                <w:color w:val="auto"/>
                <w:sz w:val="21"/>
                <w:szCs w:val="21"/>
              </w:rPr>
            </w:pPr>
            <w:r>
              <w:rPr>
                <w:rFonts w:hint="eastAsia" w:ascii="Times New Roman" w:hAnsi="Times New Roman"/>
                <w:color w:val="auto"/>
                <w:sz w:val="21"/>
                <w:szCs w:val="21"/>
              </w:rPr>
              <w:t>180</w:t>
            </w:r>
          </w:p>
        </w:tc>
        <w:tc>
          <w:tcPr>
            <w:tcW w:w="1775" w:type="pct"/>
            <w:vAlign w:val="center"/>
          </w:tcPr>
          <w:p>
            <w:pPr>
              <w:pStyle w:val="15"/>
              <w:spacing w:line="240" w:lineRule="auto"/>
              <w:ind w:firstLine="0" w:firstLineChars="0"/>
              <w:jc w:val="center"/>
              <w:rPr>
                <w:rFonts w:ascii="Times New Roman" w:hAnsi="Times New Roman"/>
                <w:color w:val="auto"/>
                <w:sz w:val="21"/>
                <w:szCs w:val="21"/>
              </w:rPr>
            </w:pPr>
            <w:r>
              <w:rPr>
                <w:rFonts w:hint="eastAsia" w:ascii="Times New Roman" w:hAnsi="Times New Roman"/>
                <w:color w:val="auto"/>
                <w:sz w:val="21"/>
                <w:szCs w:val="21"/>
              </w:rPr>
              <w:t>解营村</w:t>
            </w:r>
          </w:p>
        </w:tc>
      </w:tr>
    </w:tbl>
    <w:p>
      <w:pPr>
        <w:pStyle w:val="10"/>
        <w:spacing w:line="360" w:lineRule="auto"/>
        <w:rPr>
          <w:color w:val="auto"/>
        </w:rPr>
      </w:pPr>
      <w:r>
        <w:rPr>
          <w:rFonts w:hint="eastAsia"/>
          <w:color w:val="auto"/>
        </w:rPr>
        <w:t>4</w:t>
      </w:r>
      <w:r>
        <w:rPr>
          <w:color w:val="auto"/>
        </w:rPr>
        <w:t>.4.1.2 监测项目</w:t>
      </w:r>
    </w:p>
    <w:p>
      <w:pPr>
        <w:adjustRightInd w:val="0"/>
        <w:spacing w:line="360" w:lineRule="auto"/>
        <w:ind w:firstLine="480"/>
        <w:rPr>
          <w:color w:val="auto"/>
        </w:rPr>
      </w:pPr>
      <w:r>
        <w:rPr>
          <w:color w:val="auto"/>
          <w:kern w:val="0"/>
        </w:rPr>
        <w:t>等效连续A声级L</w:t>
      </w:r>
      <w:r>
        <w:rPr>
          <w:color w:val="auto"/>
          <w:kern w:val="0"/>
          <w:vertAlign w:val="subscript"/>
        </w:rPr>
        <w:t>Aeq</w:t>
      </w:r>
      <w:r>
        <w:rPr>
          <w:color w:val="auto"/>
          <w:kern w:val="0"/>
        </w:rPr>
        <w:t>。</w:t>
      </w:r>
    </w:p>
    <w:p>
      <w:pPr>
        <w:pStyle w:val="10"/>
        <w:spacing w:line="360" w:lineRule="auto"/>
        <w:rPr>
          <w:color w:val="auto"/>
        </w:rPr>
      </w:pPr>
      <w:r>
        <w:rPr>
          <w:rFonts w:hint="eastAsia"/>
          <w:color w:val="auto"/>
        </w:rPr>
        <w:t>4.</w:t>
      </w:r>
      <w:r>
        <w:rPr>
          <w:color w:val="auto"/>
        </w:rPr>
        <w:t>4.1.3 监测时间及频率</w:t>
      </w:r>
    </w:p>
    <w:p>
      <w:pPr>
        <w:ind w:firstLine="480"/>
        <w:rPr>
          <w:color w:val="auto"/>
        </w:rPr>
      </w:pPr>
      <w:r>
        <w:rPr>
          <w:rFonts w:hint="eastAsia"/>
          <w:color w:val="auto"/>
        </w:rPr>
        <w:t>山东典图生态环境工程</w:t>
      </w:r>
      <w:r>
        <w:rPr>
          <w:color w:val="auto"/>
        </w:rPr>
        <w:t>有限公司于20</w:t>
      </w:r>
      <w:r>
        <w:rPr>
          <w:rFonts w:hint="eastAsia"/>
          <w:color w:val="auto"/>
        </w:rPr>
        <w:t>22</w:t>
      </w:r>
      <w:r>
        <w:rPr>
          <w:color w:val="auto"/>
        </w:rPr>
        <w:t>年</w:t>
      </w:r>
      <w:r>
        <w:rPr>
          <w:rFonts w:hint="eastAsia"/>
          <w:color w:val="auto"/>
        </w:rPr>
        <w:t>4</w:t>
      </w:r>
      <w:r>
        <w:rPr>
          <w:color w:val="auto"/>
        </w:rPr>
        <w:t>月</w:t>
      </w:r>
      <w:r>
        <w:rPr>
          <w:rFonts w:hint="eastAsia"/>
          <w:color w:val="auto"/>
        </w:rPr>
        <w:t>18</w:t>
      </w:r>
      <w:r>
        <w:rPr>
          <w:color w:val="auto"/>
        </w:rPr>
        <w:t>日~</w:t>
      </w:r>
      <w:r>
        <w:rPr>
          <w:rFonts w:hint="eastAsia"/>
          <w:color w:val="auto"/>
        </w:rPr>
        <w:t>19</w:t>
      </w:r>
      <w:r>
        <w:rPr>
          <w:color w:val="auto"/>
        </w:rPr>
        <w:t>日进行监测，昼、夜各一次。</w:t>
      </w:r>
    </w:p>
    <w:p>
      <w:pPr>
        <w:pStyle w:val="10"/>
        <w:spacing w:line="360" w:lineRule="auto"/>
        <w:rPr>
          <w:color w:val="auto"/>
        </w:rPr>
      </w:pPr>
      <w:r>
        <w:rPr>
          <w:rFonts w:hint="eastAsia"/>
          <w:color w:val="auto"/>
        </w:rPr>
        <w:t>4</w:t>
      </w:r>
      <w:r>
        <w:rPr>
          <w:color w:val="auto"/>
        </w:rPr>
        <w:t>.4.1.4 监测方法</w:t>
      </w:r>
    </w:p>
    <w:p>
      <w:pPr>
        <w:ind w:firstLine="480"/>
        <w:rPr>
          <w:color w:val="auto"/>
        </w:rPr>
      </w:pPr>
      <w:r>
        <w:rPr>
          <w:color w:val="auto"/>
        </w:rPr>
        <w:t>监测工作按照《环境监测技术规范》进行，测试方法依据GB 3096-2008 声环境质量标准。</w:t>
      </w:r>
    </w:p>
    <w:p>
      <w:pPr>
        <w:pStyle w:val="10"/>
        <w:spacing w:line="360" w:lineRule="auto"/>
        <w:rPr>
          <w:color w:val="auto"/>
        </w:rPr>
      </w:pPr>
      <w:r>
        <w:rPr>
          <w:rFonts w:hint="eastAsia"/>
          <w:color w:val="auto"/>
        </w:rPr>
        <w:t>4</w:t>
      </w:r>
      <w:r>
        <w:rPr>
          <w:color w:val="auto"/>
        </w:rPr>
        <w:t>.4.1.5 监测结果</w:t>
      </w:r>
    </w:p>
    <w:p>
      <w:pPr>
        <w:ind w:firstLine="480"/>
        <w:rPr>
          <w:color w:val="auto"/>
        </w:rPr>
      </w:pPr>
      <w:r>
        <w:rPr>
          <w:color w:val="auto"/>
        </w:rPr>
        <w:t>厂界噪声监测结果见表</w:t>
      </w:r>
      <w:r>
        <w:rPr>
          <w:rFonts w:hint="eastAsia"/>
          <w:color w:val="auto"/>
        </w:rPr>
        <w:t>4</w:t>
      </w:r>
      <w:r>
        <w:rPr>
          <w:color w:val="auto"/>
        </w:rPr>
        <w:t>.4-2。</w:t>
      </w:r>
    </w:p>
    <w:p>
      <w:pPr>
        <w:pStyle w:val="48"/>
        <w:rPr>
          <w:bCs/>
          <w:color w:val="auto"/>
        </w:rPr>
      </w:pPr>
      <w:r>
        <w:rPr>
          <w:bCs/>
          <w:color w:val="auto"/>
        </w:rPr>
        <w:t xml:space="preserve">表 </w:t>
      </w:r>
      <w:r>
        <w:rPr>
          <w:rFonts w:hint="eastAsia"/>
          <w:bCs/>
          <w:color w:val="auto"/>
        </w:rPr>
        <w:t>4</w:t>
      </w:r>
      <w:r>
        <w:rPr>
          <w:bCs/>
          <w:color w:val="auto"/>
        </w:rPr>
        <w:t>.4-2厂界噪声监测结果</w:t>
      </w:r>
    </w:p>
    <w:tbl>
      <w:tblPr>
        <w:tblStyle w:val="22"/>
        <w:tblW w:w="4982"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031"/>
        <w:gridCol w:w="1000"/>
        <w:gridCol w:w="1051"/>
        <w:gridCol w:w="1025"/>
        <w:gridCol w:w="1027"/>
        <w:gridCol w:w="7"/>
        <w:gridCol w:w="1018"/>
        <w:gridCol w:w="1025"/>
        <w:gridCol w:w="1026"/>
        <w:gridCol w:w="104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57"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采样日期</w:t>
            </w:r>
          </w:p>
        </w:tc>
        <w:tc>
          <w:tcPr>
            <w:tcW w:w="2221" w:type="pct"/>
            <w:gridSpan w:val="5"/>
            <w:tcBorders>
              <w:tl2br w:val="nil"/>
              <w:tr2bl w:val="nil"/>
            </w:tcBorders>
            <w:vAlign w:val="center"/>
          </w:tcPr>
          <w:p>
            <w:pPr>
              <w:spacing w:line="312" w:lineRule="exact"/>
              <w:ind w:firstLine="0" w:firstLineChars="0"/>
              <w:jc w:val="center"/>
              <w:rPr>
                <w:color w:val="auto"/>
                <w:sz w:val="21"/>
                <w:szCs w:val="21"/>
              </w:rPr>
            </w:pPr>
            <w:r>
              <w:rPr>
                <w:color w:val="auto"/>
                <w:sz w:val="21"/>
                <w:szCs w:val="21"/>
              </w:rPr>
              <w:t>2022.04.18</w:t>
            </w:r>
          </w:p>
        </w:tc>
        <w:tc>
          <w:tcPr>
            <w:tcW w:w="2221" w:type="pct"/>
            <w:gridSpan w:val="4"/>
            <w:tcBorders>
              <w:tl2br w:val="nil"/>
              <w:tr2bl w:val="nil"/>
            </w:tcBorders>
            <w:vAlign w:val="center"/>
          </w:tcPr>
          <w:p>
            <w:pPr>
              <w:spacing w:line="312" w:lineRule="exact"/>
              <w:ind w:firstLine="0" w:firstLineChars="0"/>
              <w:jc w:val="center"/>
              <w:rPr>
                <w:color w:val="auto"/>
                <w:sz w:val="21"/>
                <w:szCs w:val="21"/>
              </w:rPr>
            </w:pPr>
            <w:r>
              <w:rPr>
                <w:color w:val="auto"/>
                <w:sz w:val="21"/>
                <w:szCs w:val="21"/>
              </w:rPr>
              <w:t>2022.04.19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57"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检测点位</w:t>
            </w:r>
          </w:p>
        </w:tc>
        <w:tc>
          <w:tcPr>
            <w:tcW w:w="1108" w:type="pct"/>
            <w:gridSpan w:val="2"/>
            <w:tcBorders>
              <w:tl2br w:val="nil"/>
              <w:tr2bl w:val="nil"/>
            </w:tcBorders>
            <w:vAlign w:val="center"/>
          </w:tcPr>
          <w:p>
            <w:pPr>
              <w:spacing w:line="312" w:lineRule="exact"/>
              <w:ind w:firstLine="0" w:firstLineChars="0"/>
              <w:jc w:val="center"/>
              <w:rPr>
                <w:color w:val="auto"/>
                <w:sz w:val="21"/>
                <w:szCs w:val="21"/>
              </w:rPr>
            </w:pPr>
            <w:r>
              <w:rPr>
                <w:color w:val="auto"/>
                <w:sz w:val="21"/>
                <w:szCs w:val="21"/>
              </w:rPr>
              <w:t>昼间</w:t>
            </w:r>
          </w:p>
        </w:tc>
        <w:tc>
          <w:tcPr>
            <w:tcW w:w="1109" w:type="pct"/>
            <w:gridSpan w:val="2"/>
            <w:tcBorders>
              <w:tl2br w:val="nil"/>
              <w:tr2bl w:val="nil"/>
            </w:tcBorders>
            <w:vAlign w:val="center"/>
          </w:tcPr>
          <w:p>
            <w:pPr>
              <w:spacing w:line="312" w:lineRule="exact"/>
              <w:ind w:firstLine="0" w:firstLineChars="0"/>
              <w:jc w:val="center"/>
              <w:rPr>
                <w:color w:val="auto"/>
                <w:sz w:val="21"/>
                <w:szCs w:val="21"/>
              </w:rPr>
            </w:pPr>
            <w:r>
              <w:rPr>
                <w:color w:val="auto"/>
                <w:sz w:val="21"/>
                <w:szCs w:val="21"/>
              </w:rPr>
              <w:t>夜间</w:t>
            </w:r>
          </w:p>
        </w:tc>
        <w:tc>
          <w:tcPr>
            <w:tcW w:w="1108" w:type="pct"/>
            <w:gridSpan w:val="3"/>
            <w:tcBorders>
              <w:tl2br w:val="nil"/>
              <w:tr2bl w:val="nil"/>
            </w:tcBorders>
            <w:vAlign w:val="center"/>
          </w:tcPr>
          <w:p>
            <w:pPr>
              <w:spacing w:line="312" w:lineRule="exact"/>
              <w:ind w:firstLine="0" w:firstLineChars="0"/>
              <w:jc w:val="center"/>
              <w:rPr>
                <w:color w:val="auto"/>
                <w:sz w:val="21"/>
                <w:szCs w:val="21"/>
              </w:rPr>
            </w:pPr>
            <w:r>
              <w:rPr>
                <w:color w:val="auto"/>
                <w:sz w:val="21"/>
                <w:szCs w:val="21"/>
              </w:rPr>
              <w:t>昼间</w:t>
            </w:r>
          </w:p>
        </w:tc>
        <w:tc>
          <w:tcPr>
            <w:tcW w:w="1117" w:type="pct"/>
            <w:gridSpan w:val="2"/>
            <w:tcBorders>
              <w:tl2br w:val="nil"/>
              <w:tr2bl w:val="nil"/>
            </w:tcBorders>
            <w:vAlign w:val="center"/>
          </w:tcPr>
          <w:p>
            <w:pPr>
              <w:spacing w:line="312" w:lineRule="exact"/>
              <w:ind w:firstLine="0" w:firstLineChars="0"/>
              <w:jc w:val="center"/>
              <w:rPr>
                <w:color w:val="auto"/>
                <w:sz w:val="21"/>
                <w:szCs w:val="21"/>
              </w:rPr>
            </w:pPr>
            <w:r>
              <w:rPr>
                <w:color w:val="auto"/>
                <w:sz w:val="21"/>
                <w:szCs w:val="21"/>
              </w:rPr>
              <w:t>夜间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57" w:type="pct"/>
            <w:vMerge w:val="continue"/>
            <w:tcBorders>
              <w:tl2br w:val="nil"/>
              <w:tr2bl w:val="nil"/>
            </w:tcBorders>
            <w:vAlign w:val="center"/>
          </w:tcPr>
          <w:p>
            <w:pPr>
              <w:spacing w:line="312" w:lineRule="exact"/>
              <w:ind w:firstLine="0" w:firstLineChars="0"/>
              <w:jc w:val="center"/>
              <w:rPr>
                <w:color w:val="auto"/>
                <w:sz w:val="21"/>
                <w:szCs w:val="21"/>
              </w:rPr>
            </w:pPr>
            <w:r>
              <w:rPr>
                <w:color w:val="auto"/>
                <w:sz w:val="21"/>
                <w:szCs w:val="21"/>
              </w:rPr>
              <w:t>:</w:t>
            </w:r>
          </w:p>
        </w:tc>
        <w:tc>
          <w:tcPr>
            <w:tcW w:w="540"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检测时间</w:t>
            </w:r>
          </w:p>
        </w:tc>
        <w:tc>
          <w:tcPr>
            <w:tcW w:w="56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测定值dB（A）</w:t>
            </w:r>
          </w:p>
        </w:tc>
        <w:tc>
          <w:tcPr>
            <w:tcW w:w="554"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检测时间</w:t>
            </w:r>
          </w:p>
        </w:tc>
        <w:tc>
          <w:tcPr>
            <w:tcW w:w="555"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测定值dB（A）</w:t>
            </w:r>
          </w:p>
        </w:tc>
        <w:tc>
          <w:tcPr>
            <w:tcW w:w="554" w:type="pct"/>
            <w:gridSpan w:val="2"/>
            <w:tcBorders>
              <w:tl2br w:val="nil"/>
              <w:tr2bl w:val="nil"/>
            </w:tcBorders>
            <w:vAlign w:val="center"/>
          </w:tcPr>
          <w:p>
            <w:pPr>
              <w:spacing w:line="312" w:lineRule="exact"/>
              <w:ind w:firstLine="0" w:firstLineChars="0"/>
              <w:jc w:val="center"/>
              <w:rPr>
                <w:color w:val="auto"/>
                <w:sz w:val="21"/>
                <w:szCs w:val="21"/>
              </w:rPr>
            </w:pPr>
            <w:r>
              <w:rPr>
                <w:color w:val="auto"/>
                <w:sz w:val="21"/>
                <w:szCs w:val="21"/>
              </w:rPr>
              <w:t>检测时间</w:t>
            </w:r>
          </w:p>
        </w:tc>
        <w:tc>
          <w:tcPr>
            <w:tcW w:w="554"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测定值dB（A）</w:t>
            </w:r>
          </w:p>
        </w:tc>
        <w:tc>
          <w:tcPr>
            <w:tcW w:w="554"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检测时间</w:t>
            </w:r>
          </w:p>
        </w:tc>
        <w:tc>
          <w:tcPr>
            <w:tcW w:w="56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测定值dB（A）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6" w:hRule="atLeast"/>
          <w:jc w:val="center"/>
        </w:trPr>
        <w:tc>
          <w:tcPr>
            <w:tcW w:w="55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厂界东</w:t>
            </w:r>
          </w:p>
        </w:tc>
        <w:tc>
          <w:tcPr>
            <w:tcW w:w="540"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10:38</w:t>
            </w:r>
          </w:p>
        </w:tc>
        <w:tc>
          <w:tcPr>
            <w:tcW w:w="56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59.9</w:t>
            </w:r>
          </w:p>
        </w:tc>
        <w:tc>
          <w:tcPr>
            <w:tcW w:w="554"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23:18</w:t>
            </w:r>
          </w:p>
        </w:tc>
        <w:tc>
          <w:tcPr>
            <w:tcW w:w="555"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46.9</w:t>
            </w:r>
          </w:p>
        </w:tc>
        <w:tc>
          <w:tcPr>
            <w:tcW w:w="554" w:type="pct"/>
            <w:gridSpan w:val="2"/>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16:02</w:t>
            </w:r>
          </w:p>
        </w:tc>
        <w:tc>
          <w:tcPr>
            <w:tcW w:w="554"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55.3</w:t>
            </w:r>
          </w:p>
        </w:tc>
        <w:tc>
          <w:tcPr>
            <w:tcW w:w="554"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23:49</w:t>
            </w:r>
          </w:p>
        </w:tc>
        <w:tc>
          <w:tcPr>
            <w:tcW w:w="563"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47.2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5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厂界南</w:t>
            </w:r>
          </w:p>
        </w:tc>
        <w:tc>
          <w:tcPr>
            <w:tcW w:w="540"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10:33</w:t>
            </w:r>
          </w:p>
        </w:tc>
        <w:tc>
          <w:tcPr>
            <w:tcW w:w="56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59.3</w:t>
            </w:r>
          </w:p>
        </w:tc>
        <w:tc>
          <w:tcPr>
            <w:tcW w:w="554"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23:22</w:t>
            </w:r>
          </w:p>
        </w:tc>
        <w:tc>
          <w:tcPr>
            <w:tcW w:w="555"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46.6</w:t>
            </w:r>
          </w:p>
        </w:tc>
        <w:tc>
          <w:tcPr>
            <w:tcW w:w="554" w:type="pct"/>
            <w:gridSpan w:val="2"/>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15:56</w:t>
            </w:r>
          </w:p>
        </w:tc>
        <w:tc>
          <w:tcPr>
            <w:tcW w:w="554"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56.6</w:t>
            </w:r>
          </w:p>
        </w:tc>
        <w:tc>
          <w:tcPr>
            <w:tcW w:w="554"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23:54</w:t>
            </w:r>
          </w:p>
        </w:tc>
        <w:tc>
          <w:tcPr>
            <w:tcW w:w="563"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46.3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5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厂界西</w:t>
            </w:r>
          </w:p>
        </w:tc>
        <w:tc>
          <w:tcPr>
            <w:tcW w:w="540"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10:43</w:t>
            </w:r>
          </w:p>
        </w:tc>
        <w:tc>
          <w:tcPr>
            <w:tcW w:w="56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46.7</w:t>
            </w:r>
          </w:p>
        </w:tc>
        <w:tc>
          <w:tcPr>
            <w:tcW w:w="554"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23:29</w:t>
            </w:r>
          </w:p>
        </w:tc>
        <w:tc>
          <w:tcPr>
            <w:tcW w:w="555"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46.0</w:t>
            </w:r>
          </w:p>
        </w:tc>
        <w:tc>
          <w:tcPr>
            <w:tcW w:w="554" w:type="pct"/>
            <w:gridSpan w:val="2"/>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16:10</w:t>
            </w:r>
          </w:p>
        </w:tc>
        <w:tc>
          <w:tcPr>
            <w:tcW w:w="554"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56.4</w:t>
            </w:r>
          </w:p>
        </w:tc>
        <w:tc>
          <w:tcPr>
            <w:tcW w:w="554"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23:39</w:t>
            </w:r>
          </w:p>
        </w:tc>
        <w:tc>
          <w:tcPr>
            <w:tcW w:w="563"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47.3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57"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厂界北</w:t>
            </w:r>
          </w:p>
        </w:tc>
        <w:tc>
          <w:tcPr>
            <w:tcW w:w="540"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10:48</w:t>
            </w:r>
          </w:p>
        </w:tc>
        <w:tc>
          <w:tcPr>
            <w:tcW w:w="568"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52.9</w:t>
            </w:r>
          </w:p>
        </w:tc>
        <w:tc>
          <w:tcPr>
            <w:tcW w:w="554"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23:26</w:t>
            </w:r>
          </w:p>
        </w:tc>
        <w:tc>
          <w:tcPr>
            <w:tcW w:w="555"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45.4</w:t>
            </w:r>
          </w:p>
        </w:tc>
        <w:tc>
          <w:tcPr>
            <w:tcW w:w="554" w:type="pct"/>
            <w:gridSpan w:val="2"/>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16:05</w:t>
            </w:r>
          </w:p>
        </w:tc>
        <w:tc>
          <w:tcPr>
            <w:tcW w:w="554"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55.3</w:t>
            </w:r>
          </w:p>
        </w:tc>
        <w:tc>
          <w:tcPr>
            <w:tcW w:w="554"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23:44</w:t>
            </w:r>
          </w:p>
        </w:tc>
        <w:tc>
          <w:tcPr>
            <w:tcW w:w="563" w:type="pct"/>
            <w:tcBorders>
              <w:tl2br w:val="nil"/>
              <w:tr2bl w:val="nil"/>
            </w:tcBorders>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45.2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094" w:type="dxa"/>
            <w:tcBorders>
              <w:tl2br w:val="nil"/>
              <w:tr2bl w:val="nil"/>
            </w:tcBorders>
            <w:vAlign w:val="center"/>
          </w:tcPr>
          <w:p>
            <w:pPr>
              <w:widowControl/>
              <w:spacing w:line="312" w:lineRule="exact"/>
              <w:ind w:firstLine="0" w:firstLineChars="0"/>
              <w:jc w:val="center"/>
              <w:textAlignment w:val="center"/>
              <w:rPr>
                <w:color w:val="auto"/>
                <w:kern w:val="0"/>
                <w:sz w:val="21"/>
                <w:szCs w:val="21"/>
                <w:lang w:bidi="ar"/>
              </w:rPr>
            </w:pPr>
            <w:r>
              <w:rPr>
                <w:color w:val="auto"/>
                <w:kern w:val="0"/>
                <w:sz w:val="21"/>
                <w:szCs w:val="21"/>
                <w:lang w:bidi="ar"/>
              </w:rPr>
              <w:t>解营村</w:t>
            </w:r>
          </w:p>
        </w:tc>
        <w:tc>
          <w:tcPr>
            <w:tcW w:w="1061" w:type="dxa"/>
            <w:tcBorders>
              <w:tl2br w:val="nil"/>
              <w:tr2bl w:val="nil"/>
            </w:tcBorders>
            <w:vAlign w:val="center"/>
          </w:tcPr>
          <w:p>
            <w:pPr>
              <w:widowControl/>
              <w:spacing w:line="312" w:lineRule="exact"/>
              <w:ind w:firstLine="0" w:firstLineChars="0"/>
              <w:jc w:val="center"/>
              <w:textAlignment w:val="center"/>
              <w:rPr>
                <w:color w:val="auto"/>
                <w:kern w:val="0"/>
                <w:sz w:val="21"/>
                <w:szCs w:val="21"/>
                <w:lang w:bidi="ar"/>
              </w:rPr>
            </w:pPr>
            <w:r>
              <w:rPr>
                <w:color w:val="auto"/>
                <w:kern w:val="0"/>
                <w:sz w:val="21"/>
                <w:szCs w:val="21"/>
                <w:lang w:bidi="ar"/>
              </w:rPr>
              <w:t>10:59</w:t>
            </w:r>
          </w:p>
        </w:tc>
        <w:tc>
          <w:tcPr>
            <w:tcW w:w="1116" w:type="dxa"/>
            <w:tcBorders>
              <w:tl2br w:val="nil"/>
              <w:tr2bl w:val="nil"/>
            </w:tcBorders>
            <w:vAlign w:val="center"/>
          </w:tcPr>
          <w:p>
            <w:pPr>
              <w:widowControl/>
              <w:spacing w:line="312" w:lineRule="exact"/>
              <w:ind w:firstLine="0" w:firstLineChars="0"/>
              <w:jc w:val="center"/>
              <w:textAlignment w:val="center"/>
              <w:rPr>
                <w:color w:val="auto"/>
                <w:kern w:val="0"/>
                <w:sz w:val="21"/>
                <w:szCs w:val="21"/>
                <w:lang w:bidi="ar"/>
              </w:rPr>
            </w:pPr>
            <w:r>
              <w:rPr>
                <w:color w:val="auto"/>
                <w:kern w:val="0"/>
                <w:sz w:val="21"/>
                <w:szCs w:val="21"/>
                <w:lang w:bidi="ar"/>
              </w:rPr>
              <w:t>53.8</w:t>
            </w:r>
          </w:p>
        </w:tc>
        <w:tc>
          <w:tcPr>
            <w:tcW w:w="1088" w:type="dxa"/>
            <w:tcBorders>
              <w:tl2br w:val="nil"/>
              <w:tr2bl w:val="nil"/>
            </w:tcBorders>
            <w:vAlign w:val="center"/>
          </w:tcPr>
          <w:p>
            <w:pPr>
              <w:widowControl/>
              <w:spacing w:line="312" w:lineRule="exact"/>
              <w:ind w:firstLine="0" w:firstLineChars="0"/>
              <w:jc w:val="center"/>
              <w:textAlignment w:val="center"/>
              <w:rPr>
                <w:color w:val="auto"/>
                <w:kern w:val="0"/>
                <w:sz w:val="21"/>
                <w:szCs w:val="21"/>
                <w:lang w:bidi="ar"/>
              </w:rPr>
            </w:pPr>
            <w:r>
              <w:rPr>
                <w:color w:val="auto"/>
                <w:kern w:val="0"/>
                <w:sz w:val="21"/>
                <w:szCs w:val="21"/>
                <w:lang w:bidi="ar"/>
              </w:rPr>
              <w:t>23:23</w:t>
            </w:r>
          </w:p>
        </w:tc>
        <w:tc>
          <w:tcPr>
            <w:tcW w:w="1090" w:type="dxa"/>
            <w:tcBorders>
              <w:tl2br w:val="nil"/>
              <w:tr2bl w:val="nil"/>
            </w:tcBorders>
            <w:vAlign w:val="center"/>
          </w:tcPr>
          <w:p>
            <w:pPr>
              <w:widowControl/>
              <w:spacing w:line="312" w:lineRule="exact"/>
              <w:ind w:firstLine="0" w:firstLineChars="0"/>
              <w:jc w:val="center"/>
              <w:textAlignment w:val="center"/>
              <w:rPr>
                <w:color w:val="auto"/>
                <w:kern w:val="0"/>
                <w:sz w:val="21"/>
                <w:szCs w:val="21"/>
                <w:lang w:bidi="ar"/>
              </w:rPr>
            </w:pPr>
            <w:r>
              <w:rPr>
                <w:color w:val="auto"/>
                <w:kern w:val="0"/>
                <w:sz w:val="21"/>
                <w:szCs w:val="21"/>
                <w:lang w:bidi="ar"/>
              </w:rPr>
              <w:t>42.3</w:t>
            </w:r>
          </w:p>
        </w:tc>
        <w:tc>
          <w:tcPr>
            <w:tcW w:w="1088" w:type="dxa"/>
            <w:gridSpan w:val="2"/>
            <w:tcBorders>
              <w:tl2br w:val="nil"/>
              <w:tr2bl w:val="nil"/>
            </w:tcBorders>
            <w:vAlign w:val="center"/>
          </w:tcPr>
          <w:p>
            <w:pPr>
              <w:widowControl/>
              <w:spacing w:line="312" w:lineRule="exact"/>
              <w:ind w:firstLine="0" w:firstLineChars="0"/>
              <w:jc w:val="center"/>
              <w:textAlignment w:val="center"/>
              <w:rPr>
                <w:color w:val="auto"/>
                <w:kern w:val="0"/>
                <w:sz w:val="21"/>
                <w:szCs w:val="21"/>
                <w:lang w:bidi="ar"/>
              </w:rPr>
            </w:pPr>
            <w:r>
              <w:rPr>
                <w:color w:val="auto"/>
                <w:kern w:val="0"/>
                <w:sz w:val="21"/>
                <w:szCs w:val="21"/>
                <w:lang w:bidi="ar"/>
              </w:rPr>
              <w:t>16:14</w:t>
            </w:r>
          </w:p>
        </w:tc>
        <w:tc>
          <w:tcPr>
            <w:tcW w:w="1088" w:type="dxa"/>
            <w:tcBorders>
              <w:tl2br w:val="nil"/>
              <w:tr2bl w:val="nil"/>
            </w:tcBorders>
            <w:vAlign w:val="center"/>
          </w:tcPr>
          <w:p>
            <w:pPr>
              <w:widowControl/>
              <w:spacing w:line="312" w:lineRule="exact"/>
              <w:ind w:firstLine="0" w:firstLineChars="0"/>
              <w:jc w:val="center"/>
              <w:textAlignment w:val="center"/>
              <w:rPr>
                <w:color w:val="auto"/>
                <w:kern w:val="0"/>
                <w:sz w:val="21"/>
                <w:szCs w:val="21"/>
                <w:lang w:bidi="ar"/>
              </w:rPr>
            </w:pPr>
            <w:r>
              <w:rPr>
                <w:color w:val="auto"/>
                <w:kern w:val="0"/>
                <w:sz w:val="21"/>
                <w:szCs w:val="21"/>
                <w:lang w:bidi="ar"/>
              </w:rPr>
              <w:t>55.3</w:t>
            </w:r>
          </w:p>
        </w:tc>
        <w:tc>
          <w:tcPr>
            <w:tcW w:w="1088" w:type="dxa"/>
            <w:tcBorders>
              <w:tl2br w:val="nil"/>
              <w:tr2bl w:val="nil"/>
            </w:tcBorders>
            <w:vAlign w:val="center"/>
          </w:tcPr>
          <w:p>
            <w:pPr>
              <w:widowControl/>
              <w:spacing w:line="312" w:lineRule="exact"/>
              <w:ind w:firstLine="0" w:firstLineChars="0"/>
              <w:jc w:val="center"/>
              <w:textAlignment w:val="center"/>
              <w:rPr>
                <w:color w:val="auto"/>
                <w:kern w:val="0"/>
                <w:sz w:val="21"/>
                <w:szCs w:val="21"/>
                <w:lang w:bidi="ar"/>
              </w:rPr>
            </w:pPr>
            <w:r>
              <w:rPr>
                <w:color w:val="auto"/>
                <w:kern w:val="0"/>
                <w:sz w:val="21"/>
                <w:szCs w:val="21"/>
                <w:lang w:bidi="ar"/>
              </w:rPr>
              <w:t>23:33</w:t>
            </w:r>
          </w:p>
        </w:tc>
        <w:tc>
          <w:tcPr>
            <w:tcW w:w="1106" w:type="dxa"/>
            <w:tcBorders>
              <w:tl2br w:val="nil"/>
              <w:tr2bl w:val="nil"/>
            </w:tcBorders>
            <w:vAlign w:val="center"/>
          </w:tcPr>
          <w:p>
            <w:pPr>
              <w:widowControl/>
              <w:spacing w:line="312" w:lineRule="exact"/>
              <w:ind w:firstLine="0" w:firstLineChars="0"/>
              <w:jc w:val="center"/>
              <w:textAlignment w:val="center"/>
              <w:rPr>
                <w:color w:val="auto"/>
                <w:kern w:val="0"/>
                <w:sz w:val="21"/>
                <w:szCs w:val="21"/>
                <w:lang w:bidi="ar"/>
              </w:rPr>
            </w:pPr>
            <w:r>
              <w:rPr>
                <w:color w:val="auto"/>
                <w:kern w:val="0"/>
                <w:sz w:val="21"/>
                <w:szCs w:val="21"/>
                <w:lang w:bidi="ar"/>
              </w:rPr>
              <w:t>42.7</w:t>
            </w:r>
          </w:p>
        </w:tc>
      </w:tr>
    </w:tbl>
    <w:p>
      <w:pPr>
        <w:ind w:firstLine="480"/>
        <w:rPr>
          <w:color w:val="auto"/>
        </w:rPr>
        <w:sectPr>
          <w:headerReference r:id="rId29" w:type="default"/>
          <w:pgSz w:w="11906" w:h="16838"/>
          <w:pgMar w:top="1418" w:right="1418" w:bottom="1418" w:left="1418" w:header="992" w:footer="992" w:gutter="0"/>
          <w:pgBorders>
            <w:top w:val="none" w:sz="0" w:space="0"/>
            <w:left w:val="none" w:sz="0" w:space="0"/>
            <w:bottom w:val="none" w:sz="0" w:space="0"/>
            <w:right w:val="none" w:sz="0" w:space="0"/>
          </w:pgBorders>
          <w:cols w:space="720" w:num="1"/>
          <w:docGrid w:linePitch="312" w:charSpace="0"/>
        </w:sectPr>
      </w:pPr>
    </w:p>
    <w:p>
      <w:pPr>
        <w:pStyle w:val="2"/>
        <w:spacing w:after="0"/>
        <w:ind w:firstLine="0" w:firstLineChars="0"/>
        <w:jc w:val="center"/>
        <w:rPr>
          <w:rFonts w:eastAsia="黑体"/>
          <w:color w:val="auto"/>
          <w:sz w:val="21"/>
          <w:szCs w:val="21"/>
        </w:rPr>
        <w:sectPr>
          <w:headerReference r:id="rId30" w:type="default"/>
          <w:pgSz w:w="16838" w:h="11906" w:orient="landscape"/>
          <w:pgMar w:top="1418" w:right="1418" w:bottom="1418" w:left="1418" w:header="992" w:footer="992" w:gutter="0"/>
          <w:pgBorders>
            <w:top w:val="none" w:sz="0" w:space="0"/>
            <w:left w:val="none" w:sz="0" w:space="0"/>
            <w:bottom w:val="none" w:sz="0" w:space="0"/>
            <w:right w:val="none" w:sz="0" w:space="0"/>
          </w:pgBorders>
          <w:cols w:space="720" w:num="1"/>
          <w:docGrid w:linePitch="312" w:charSpace="0"/>
        </w:sectPr>
      </w:pPr>
      <w:r>
        <w:rPr>
          <w:rFonts w:hint="eastAsia" w:eastAsia="黑体"/>
          <w:b/>
          <w:bCs/>
          <w:color w:val="auto"/>
        </w:rPr>
        <w:drawing>
          <wp:anchor distT="0" distB="0" distL="114300" distR="114300" simplePos="0" relativeHeight="251692032" behindDoc="0" locked="0" layoutInCell="1" allowOverlap="1">
            <wp:simplePos x="0" y="0"/>
            <wp:positionH relativeFrom="column">
              <wp:posOffset>7027545</wp:posOffset>
            </wp:positionH>
            <wp:positionV relativeFrom="paragraph">
              <wp:posOffset>66675</wp:posOffset>
            </wp:positionV>
            <wp:extent cx="775970" cy="807720"/>
            <wp:effectExtent l="0" t="0" r="5080" b="11430"/>
            <wp:wrapNone/>
            <wp:docPr id="75" name="图片 75" descr="9231966187c51f82577e5b8e845b6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9231966187c51f82577e5b8e845b6da"/>
                    <pic:cNvPicPr>
                      <a:picLocks noChangeAspect="1"/>
                    </pic:cNvPicPr>
                  </pic:nvPicPr>
                  <pic:blipFill>
                    <a:blip r:embed="rId54"/>
                    <a:stretch>
                      <a:fillRect/>
                    </a:stretch>
                  </pic:blipFill>
                  <pic:spPr>
                    <a:xfrm>
                      <a:off x="0" y="0"/>
                      <a:ext cx="775970" cy="807720"/>
                    </a:xfrm>
                    <a:prstGeom prst="rect">
                      <a:avLst/>
                    </a:prstGeom>
                  </pic:spPr>
                </pic:pic>
              </a:graphicData>
            </a:graphic>
          </wp:anchor>
        </w:drawing>
      </w:r>
      <w:r>
        <w:rPr>
          <w:color w:val="auto"/>
          <w:sz w:val="21"/>
        </w:rPr>
        <mc:AlternateContent>
          <mc:Choice Requires="wps">
            <w:drawing>
              <wp:anchor distT="0" distB="0" distL="114300" distR="114300" simplePos="0" relativeHeight="251691008" behindDoc="0" locked="0" layoutInCell="1" allowOverlap="1">
                <wp:simplePos x="0" y="0"/>
                <wp:positionH relativeFrom="column">
                  <wp:posOffset>1156970</wp:posOffset>
                </wp:positionH>
                <wp:positionV relativeFrom="paragraph">
                  <wp:posOffset>4104005</wp:posOffset>
                </wp:positionV>
                <wp:extent cx="1468120" cy="778510"/>
                <wp:effectExtent l="6350" t="6350" r="11430" b="15240"/>
                <wp:wrapNone/>
                <wp:docPr id="71" name="矩形 71"/>
                <wp:cNvGraphicFramePr/>
                <a:graphic xmlns:a="http://schemas.openxmlformats.org/drawingml/2006/main">
                  <a:graphicData uri="http://schemas.microsoft.com/office/word/2010/wordprocessingShape">
                    <wps:wsp>
                      <wps:cNvSpPr/>
                      <wps:spPr>
                        <a:xfrm>
                          <a:off x="0" y="0"/>
                          <a:ext cx="1468120" cy="77851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0" w:firstLineChars="0"/>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图例：</w:t>
                            </w:r>
                          </w:p>
                          <w:p>
                            <w:pPr>
                              <w:spacing w:line="360" w:lineRule="auto"/>
                              <w:ind w:firstLine="0" w:firstLineChars="0"/>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drawing>
                                <wp:inline distT="0" distB="0" distL="114300" distR="114300">
                                  <wp:extent cx="214630" cy="236855"/>
                                  <wp:effectExtent l="0" t="0" r="13970" b="10795"/>
                                  <wp:docPr id="72" name="图片 72" descr="fd6b9b04de1267b6ca1f5fc3fca3a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fd6b9b04de1267b6ca1f5fc3fca3a25"/>
                                          <pic:cNvPicPr>
                                            <a:picLocks noChangeAspect="1"/>
                                          </pic:cNvPicPr>
                                        </pic:nvPicPr>
                                        <pic:blipFill>
                                          <a:blip r:embed="rId95"/>
                                          <a:stretch>
                                            <a:fillRect/>
                                          </a:stretch>
                                        </pic:blipFill>
                                        <pic:spPr>
                                          <a:xfrm>
                                            <a:off x="0" y="0"/>
                                            <a:ext cx="214630" cy="236855"/>
                                          </a:xfrm>
                                          <a:prstGeom prst="rect">
                                            <a:avLst/>
                                          </a:prstGeom>
                                        </pic:spPr>
                                      </pic:pic>
                                    </a:graphicData>
                                  </a:graphic>
                                </wp:inline>
                              </w:drawing>
                            </w: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 xml:space="preserve"> 噪声监测点位</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1.1pt;margin-top:323.15pt;height:61.3pt;width:115.6pt;z-index:251691008;v-text-anchor:middle;mso-width-relative:page;mso-height-relative:page;" fillcolor="#FFFFFF [3212]" filled="t" stroked="t" coordsize="21600,21600" o:gfxdata="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&#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TIctNNgAAAALAQAADwAAAAAAAAABACAAAAAiAAAAZHJz&#10;L2Rvd25yZXYueG1sUEsBAhQAFAAAAAgAh07iQC/hC992AgAAAQUAAA4AAAAAAAAAAQAgAAAAJwEA&#10;AGRycy9lMm9Eb2MueG1sUEsFBgAAAAAGAAYAWQEAAA8GAAAAAA==&#10;">
                <v:fill on="t" focussize="0,0"/>
                <v:stroke weight="1pt" color="#000000 [3213]" miterlimit="8" joinstyle="miter"/>
                <v:imagedata o:title=""/>
                <o:lock v:ext="edit" aspectratio="f"/>
                <v:textbox>
                  <w:txbxContent>
                    <w:p>
                      <w:pPr>
                        <w:ind w:firstLine="0" w:firstLineChars="0"/>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图例：</w:t>
                      </w:r>
                    </w:p>
                    <w:p>
                      <w:pPr>
                        <w:spacing w:line="360" w:lineRule="auto"/>
                        <w:ind w:firstLine="0" w:firstLineChars="0"/>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drawing>
                          <wp:inline distT="0" distB="0" distL="114300" distR="114300">
                            <wp:extent cx="214630" cy="236855"/>
                            <wp:effectExtent l="0" t="0" r="13970" b="10795"/>
                            <wp:docPr id="72" name="图片 72" descr="fd6b9b04de1267b6ca1f5fc3fca3a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fd6b9b04de1267b6ca1f5fc3fca3a25"/>
                                    <pic:cNvPicPr>
                                      <a:picLocks noChangeAspect="1"/>
                                    </pic:cNvPicPr>
                                  </pic:nvPicPr>
                                  <pic:blipFill>
                                    <a:blip r:embed="rId95"/>
                                    <a:stretch>
                                      <a:fillRect/>
                                    </a:stretch>
                                  </pic:blipFill>
                                  <pic:spPr>
                                    <a:xfrm>
                                      <a:off x="0" y="0"/>
                                      <a:ext cx="214630" cy="236855"/>
                                    </a:xfrm>
                                    <a:prstGeom prst="rect">
                                      <a:avLst/>
                                    </a:prstGeom>
                                  </pic:spPr>
                                </pic:pic>
                              </a:graphicData>
                            </a:graphic>
                          </wp:inline>
                        </w:drawing>
                      </w: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 xml:space="preserve"> 噪声监测点位</w:t>
                      </w:r>
                    </w:p>
                  </w:txbxContent>
                </v:textbox>
              </v:rect>
            </w:pict>
          </mc:Fallback>
        </mc:AlternateContent>
      </w:r>
      <w:r>
        <w:rPr>
          <w:rFonts w:eastAsia="黑体"/>
          <w:b/>
          <w:bCs/>
          <w:color w:val="auto"/>
          <w:sz w:val="21"/>
          <w:szCs w:val="21"/>
        </w:rPr>
        <w:drawing>
          <wp:anchor distT="0" distB="0" distL="114300" distR="114300" simplePos="0" relativeHeight="251689984" behindDoc="0" locked="0" layoutInCell="1" allowOverlap="1">
            <wp:simplePos x="0" y="0"/>
            <wp:positionH relativeFrom="column">
              <wp:posOffset>1127125</wp:posOffset>
            </wp:positionH>
            <wp:positionV relativeFrom="paragraph">
              <wp:posOffset>57150</wp:posOffset>
            </wp:positionV>
            <wp:extent cx="6724650" cy="4846320"/>
            <wp:effectExtent l="0" t="0" r="0" b="11430"/>
            <wp:wrapTopAndBottom/>
            <wp:docPr id="38" name="图片 38" descr="16497244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649724444(1)"/>
                    <pic:cNvPicPr>
                      <a:picLocks noChangeAspect="1"/>
                    </pic:cNvPicPr>
                  </pic:nvPicPr>
                  <pic:blipFill>
                    <a:blip r:embed="rId97"/>
                    <a:stretch>
                      <a:fillRect/>
                    </a:stretch>
                  </pic:blipFill>
                  <pic:spPr>
                    <a:xfrm>
                      <a:off x="0" y="0"/>
                      <a:ext cx="6724650" cy="4846320"/>
                    </a:xfrm>
                    <a:prstGeom prst="rect">
                      <a:avLst/>
                    </a:prstGeom>
                  </pic:spPr>
                </pic:pic>
              </a:graphicData>
            </a:graphic>
          </wp:anchor>
        </w:drawing>
      </w:r>
      <w:r>
        <w:rPr>
          <w:rFonts w:eastAsia="黑体"/>
          <w:color w:val="auto"/>
          <w:sz w:val="21"/>
          <w:szCs w:val="21"/>
        </w:rPr>
        <w:t>图4.4-1 噪声监测点位分布图</w:t>
      </w:r>
    </w:p>
    <w:p>
      <w:pPr>
        <w:pStyle w:val="9"/>
        <w:spacing w:before="0" w:beforeLines="0" w:after="0" w:afterLines="0" w:line="360" w:lineRule="auto"/>
        <w:rPr>
          <w:color w:val="auto"/>
        </w:rPr>
      </w:pPr>
      <w:r>
        <w:rPr>
          <w:rFonts w:hint="eastAsia"/>
          <w:color w:val="auto"/>
        </w:rPr>
        <w:t>4</w:t>
      </w:r>
      <w:r>
        <w:rPr>
          <w:color w:val="auto"/>
        </w:rPr>
        <w:t>.4.2 现状评价</w:t>
      </w:r>
    </w:p>
    <w:p>
      <w:pPr>
        <w:pStyle w:val="10"/>
        <w:spacing w:line="360" w:lineRule="auto"/>
        <w:rPr>
          <w:color w:val="auto"/>
        </w:rPr>
      </w:pPr>
      <w:r>
        <w:rPr>
          <w:rFonts w:hint="eastAsia"/>
          <w:color w:val="auto"/>
        </w:rPr>
        <w:t>4</w:t>
      </w:r>
      <w:r>
        <w:rPr>
          <w:color w:val="auto"/>
        </w:rPr>
        <w:t>.4.2.1 评价方法</w:t>
      </w:r>
    </w:p>
    <w:p>
      <w:pPr>
        <w:ind w:firstLine="480"/>
        <w:rPr>
          <w:color w:val="auto"/>
        </w:rPr>
      </w:pPr>
      <w:r>
        <w:rPr>
          <w:color w:val="auto"/>
        </w:rPr>
        <w:t>评价方法采用超标值法，计算公式为：</w:t>
      </w:r>
    </w:p>
    <w:p>
      <w:pPr>
        <w:ind w:firstLine="1920" w:firstLineChars="800"/>
        <w:rPr>
          <w:color w:val="auto"/>
        </w:rPr>
      </w:pPr>
      <w:r>
        <w:rPr>
          <w:color w:val="auto"/>
        </w:rPr>
        <w:t>P=Leq-Lb</w:t>
      </w:r>
    </w:p>
    <w:p>
      <w:pPr>
        <w:ind w:firstLine="480"/>
        <w:rPr>
          <w:color w:val="auto"/>
        </w:rPr>
      </w:pPr>
      <w:r>
        <w:rPr>
          <w:color w:val="auto"/>
        </w:rPr>
        <w:t>式中：P—超标值，dB(A)；</w:t>
      </w:r>
    </w:p>
    <w:p>
      <w:pPr>
        <w:ind w:firstLine="1200" w:firstLineChars="500"/>
        <w:rPr>
          <w:color w:val="auto"/>
        </w:rPr>
      </w:pPr>
      <w:r>
        <w:rPr>
          <w:color w:val="auto"/>
        </w:rPr>
        <w:t>Leq—测点等效A声级，dB(A)；</w:t>
      </w:r>
    </w:p>
    <w:p>
      <w:pPr>
        <w:ind w:firstLine="1200" w:firstLineChars="500"/>
        <w:rPr>
          <w:color w:val="auto"/>
        </w:rPr>
      </w:pPr>
      <w:r>
        <w:rPr>
          <w:color w:val="auto"/>
        </w:rPr>
        <w:t>Lb—噪声评价标准，dB(A)。</w:t>
      </w:r>
    </w:p>
    <w:p>
      <w:pPr>
        <w:pStyle w:val="10"/>
        <w:spacing w:line="360" w:lineRule="auto"/>
        <w:rPr>
          <w:color w:val="auto"/>
        </w:rPr>
      </w:pPr>
      <w:r>
        <w:rPr>
          <w:rFonts w:hint="eastAsia"/>
          <w:color w:val="auto"/>
        </w:rPr>
        <w:t>4</w:t>
      </w:r>
      <w:r>
        <w:rPr>
          <w:color w:val="auto"/>
        </w:rPr>
        <w:t>.4.2.2 评价标准</w:t>
      </w:r>
    </w:p>
    <w:p>
      <w:pPr>
        <w:ind w:firstLine="480"/>
        <w:rPr>
          <w:color w:val="auto"/>
        </w:rPr>
      </w:pPr>
      <w:r>
        <w:rPr>
          <w:color w:val="auto"/>
        </w:rPr>
        <w:t>厂界评价执行《声环境质量标准》（GB3096-2008）中</w:t>
      </w:r>
      <w:r>
        <w:rPr>
          <w:rFonts w:hint="eastAsia"/>
          <w:color w:val="auto"/>
          <w:lang w:eastAsia="zh-CN"/>
        </w:rPr>
        <w:t>2类标准</w:t>
      </w:r>
      <w:r>
        <w:rPr>
          <w:color w:val="auto"/>
        </w:rPr>
        <w:t>。</w:t>
      </w:r>
    </w:p>
    <w:p>
      <w:pPr>
        <w:pStyle w:val="10"/>
        <w:spacing w:line="360" w:lineRule="auto"/>
        <w:rPr>
          <w:color w:val="auto"/>
        </w:rPr>
      </w:pPr>
      <w:r>
        <w:rPr>
          <w:rFonts w:hint="eastAsia"/>
          <w:color w:val="auto"/>
        </w:rPr>
        <w:t>4</w:t>
      </w:r>
      <w:r>
        <w:rPr>
          <w:color w:val="auto"/>
        </w:rPr>
        <w:t>.4.2.3 评价结果</w:t>
      </w:r>
    </w:p>
    <w:p>
      <w:pPr>
        <w:ind w:firstLine="480"/>
        <w:rPr>
          <w:color w:val="auto"/>
        </w:rPr>
      </w:pPr>
      <w:r>
        <w:rPr>
          <w:color w:val="auto"/>
        </w:rPr>
        <w:t>本次声环境现状评价结果见下表。</w:t>
      </w:r>
    </w:p>
    <w:p>
      <w:pPr>
        <w:pStyle w:val="48"/>
        <w:spacing w:line="360" w:lineRule="auto"/>
        <w:rPr>
          <w:bCs/>
          <w:color w:val="auto"/>
        </w:rPr>
      </w:pPr>
      <w:r>
        <w:rPr>
          <w:bCs/>
          <w:color w:val="auto"/>
        </w:rPr>
        <w:t xml:space="preserve">表 </w:t>
      </w:r>
      <w:r>
        <w:rPr>
          <w:rFonts w:hint="eastAsia"/>
          <w:bCs/>
          <w:color w:val="auto"/>
        </w:rPr>
        <w:t>4</w:t>
      </w:r>
      <w:r>
        <w:rPr>
          <w:bCs/>
          <w:color w:val="auto"/>
        </w:rPr>
        <w:t>.4-</w:t>
      </w:r>
      <w:r>
        <w:rPr>
          <w:rFonts w:hint="eastAsia"/>
          <w:bCs/>
          <w:color w:val="auto"/>
        </w:rPr>
        <w:t>3</w:t>
      </w:r>
      <w:r>
        <w:rPr>
          <w:bCs/>
          <w:color w:val="auto"/>
        </w:rPr>
        <w:t xml:space="preserve"> 声环境现状评价结果一览表</w:t>
      </w:r>
    </w:p>
    <w:tbl>
      <w:tblPr>
        <w:tblStyle w:val="22"/>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5" w:type="dxa"/>
          <w:bottom w:w="15" w:type="dxa"/>
          <w:right w:w="15" w:type="dxa"/>
        </w:tblCellMar>
      </w:tblPr>
      <w:tblGrid>
        <w:gridCol w:w="999"/>
        <w:gridCol w:w="1985"/>
        <w:gridCol w:w="2406"/>
        <w:gridCol w:w="1834"/>
        <w:gridCol w:w="1856"/>
        <w:gridCol w:w="1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6" w:hRule="atLeast"/>
        </w:trPr>
        <w:tc>
          <w:tcPr>
            <w:tcW w:w="549" w:type="pct"/>
            <w:vMerge w:val="restart"/>
            <w:vAlign w:val="center"/>
          </w:tcPr>
          <w:p>
            <w:pPr>
              <w:pStyle w:val="47"/>
              <w:spacing w:line="240" w:lineRule="auto"/>
              <w:rPr>
                <w:b/>
                <w:color w:val="auto"/>
              </w:rPr>
            </w:pPr>
            <w:r>
              <w:rPr>
                <w:b/>
                <w:color w:val="auto"/>
              </w:rPr>
              <w:t>检测点位</w:t>
            </w:r>
          </w:p>
        </w:tc>
        <w:tc>
          <w:tcPr>
            <w:tcW w:w="2413" w:type="pct"/>
            <w:gridSpan w:val="2"/>
            <w:vMerge w:val="restart"/>
            <w:vAlign w:val="center"/>
          </w:tcPr>
          <w:p>
            <w:pPr>
              <w:pStyle w:val="47"/>
              <w:spacing w:line="240" w:lineRule="auto"/>
              <w:rPr>
                <w:b/>
                <w:color w:val="auto"/>
              </w:rPr>
            </w:pPr>
            <w:r>
              <w:rPr>
                <w:b/>
                <w:color w:val="auto"/>
              </w:rPr>
              <w:t>采样时间</w:t>
            </w:r>
          </w:p>
        </w:tc>
        <w:tc>
          <w:tcPr>
            <w:tcW w:w="2037" w:type="pct"/>
            <w:gridSpan w:val="3"/>
            <w:vAlign w:val="center"/>
          </w:tcPr>
          <w:p>
            <w:pPr>
              <w:pStyle w:val="47"/>
              <w:spacing w:line="240" w:lineRule="auto"/>
              <w:rPr>
                <w:b/>
                <w:color w:val="auto"/>
              </w:rPr>
            </w:pPr>
            <w:r>
              <w:rPr>
                <w:b/>
                <w:color w:val="auto"/>
              </w:rPr>
              <w:t>检测项目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286" w:hRule="atLeast"/>
        </w:trPr>
        <w:tc>
          <w:tcPr>
            <w:tcW w:w="549" w:type="pct"/>
            <w:vMerge w:val="continue"/>
            <w:vAlign w:val="center"/>
          </w:tcPr>
          <w:p>
            <w:pPr>
              <w:pStyle w:val="47"/>
              <w:spacing w:line="240" w:lineRule="auto"/>
              <w:rPr>
                <w:b/>
                <w:color w:val="auto"/>
              </w:rPr>
            </w:pPr>
          </w:p>
        </w:tc>
        <w:tc>
          <w:tcPr>
            <w:tcW w:w="2413" w:type="pct"/>
            <w:gridSpan w:val="2"/>
            <w:vMerge w:val="continue"/>
            <w:vAlign w:val="center"/>
          </w:tcPr>
          <w:p>
            <w:pPr>
              <w:pStyle w:val="47"/>
              <w:spacing w:line="240" w:lineRule="auto"/>
              <w:rPr>
                <w:b/>
                <w:color w:val="auto"/>
              </w:rPr>
            </w:pPr>
          </w:p>
        </w:tc>
        <w:tc>
          <w:tcPr>
            <w:tcW w:w="1008" w:type="pct"/>
            <w:vAlign w:val="center"/>
          </w:tcPr>
          <w:p>
            <w:pPr>
              <w:pStyle w:val="47"/>
              <w:spacing w:line="240" w:lineRule="auto"/>
              <w:rPr>
                <w:b/>
                <w:color w:val="auto"/>
              </w:rPr>
            </w:pPr>
            <w:r>
              <w:rPr>
                <w:b/>
                <w:color w:val="auto"/>
              </w:rPr>
              <w:t>噪声[dB(A)]</w:t>
            </w:r>
          </w:p>
        </w:tc>
        <w:tc>
          <w:tcPr>
            <w:tcW w:w="1020" w:type="pct"/>
            <w:vAlign w:val="center"/>
          </w:tcPr>
          <w:p>
            <w:pPr>
              <w:pStyle w:val="47"/>
              <w:spacing w:line="240" w:lineRule="auto"/>
              <w:rPr>
                <w:b/>
                <w:color w:val="auto"/>
              </w:rPr>
            </w:pPr>
            <w:r>
              <w:rPr>
                <w:b/>
                <w:color w:val="auto"/>
              </w:rPr>
              <w:t>噪声[dB(A)]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286" w:hRule="atLeast"/>
        </w:trPr>
        <w:tc>
          <w:tcPr>
            <w:tcW w:w="549" w:type="pct"/>
            <w:vMerge w:val="continue"/>
            <w:vAlign w:val="center"/>
          </w:tcPr>
          <w:p>
            <w:pPr>
              <w:pStyle w:val="47"/>
              <w:spacing w:line="240" w:lineRule="auto"/>
              <w:rPr>
                <w:b/>
                <w:color w:val="auto"/>
              </w:rPr>
            </w:pPr>
          </w:p>
        </w:tc>
        <w:tc>
          <w:tcPr>
            <w:tcW w:w="2413" w:type="pct"/>
            <w:gridSpan w:val="2"/>
            <w:vMerge w:val="continue"/>
            <w:vAlign w:val="center"/>
          </w:tcPr>
          <w:p>
            <w:pPr>
              <w:pStyle w:val="47"/>
              <w:spacing w:line="240" w:lineRule="auto"/>
              <w:rPr>
                <w:b/>
                <w:color w:val="auto"/>
              </w:rPr>
            </w:pPr>
          </w:p>
        </w:tc>
        <w:tc>
          <w:tcPr>
            <w:tcW w:w="1008" w:type="pct"/>
            <w:vAlign w:val="center"/>
          </w:tcPr>
          <w:p>
            <w:pPr>
              <w:pStyle w:val="47"/>
              <w:spacing w:line="240" w:lineRule="auto"/>
              <w:rPr>
                <w:rFonts w:eastAsia="等线"/>
                <w:b/>
                <w:color w:val="auto"/>
              </w:rPr>
            </w:pPr>
            <w:r>
              <w:rPr>
                <w:rFonts w:eastAsia="等线"/>
                <w:color w:val="auto"/>
                <w:kern w:val="0"/>
                <w:szCs w:val="21"/>
              </w:rPr>
              <w:t>2021.0</w:t>
            </w:r>
            <w:r>
              <w:rPr>
                <w:rFonts w:hint="eastAsia" w:eastAsia="等线"/>
                <w:color w:val="auto"/>
                <w:kern w:val="0"/>
                <w:szCs w:val="21"/>
              </w:rPr>
              <w:t>4</w:t>
            </w:r>
            <w:r>
              <w:rPr>
                <w:rFonts w:eastAsia="等线"/>
                <w:color w:val="auto"/>
                <w:kern w:val="0"/>
                <w:szCs w:val="21"/>
              </w:rPr>
              <w:t>.1</w:t>
            </w:r>
            <w:r>
              <w:rPr>
                <w:rFonts w:hint="eastAsia" w:eastAsia="等线"/>
                <w:color w:val="auto"/>
                <w:kern w:val="0"/>
                <w:szCs w:val="21"/>
              </w:rPr>
              <w:t>8</w:t>
            </w:r>
          </w:p>
        </w:tc>
        <w:tc>
          <w:tcPr>
            <w:tcW w:w="1020" w:type="pct"/>
            <w:vAlign w:val="center"/>
          </w:tcPr>
          <w:p>
            <w:pPr>
              <w:pStyle w:val="47"/>
              <w:spacing w:line="240" w:lineRule="auto"/>
              <w:rPr>
                <w:rFonts w:eastAsia="等线"/>
                <w:b/>
                <w:color w:val="auto"/>
              </w:rPr>
            </w:pPr>
            <w:r>
              <w:rPr>
                <w:rFonts w:eastAsia="等线"/>
                <w:color w:val="auto"/>
                <w:kern w:val="0"/>
                <w:szCs w:val="21"/>
              </w:rPr>
              <w:t>2021.0</w:t>
            </w:r>
            <w:r>
              <w:rPr>
                <w:rFonts w:hint="eastAsia" w:eastAsia="等线"/>
                <w:color w:val="auto"/>
                <w:kern w:val="0"/>
                <w:szCs w:val="21"/>
              </w:rPr>
              <w:t>4</w:t>
            </w:r>
            <w:r>
              <w:rPr>
                <w:rFonts w:eastAsia="等线"/>
                <w:color w:val="auto"/>
                <w:kern w:val="0"/>
                <w:szCs w:val="21"/>
              </w:rPr>
              <w:t>.1</w:t>
            </w:r>
            <w:r>
              <w:rPr>
                <w:rFonts w:hint="eastAsia" w:eastAsia="等线"/>
                <w:color w:val="auto"/>
                <w:kern w:val="0"/>
                <w:szCs w:val="21"/>
              </w:rPr>
              <w:t>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340" w:hRule="atLeast"/>
        </w:trPr>
        <w:tc>
          <w:tcPr>
            <w:tcW w:w="549" w:type="pct"/>
            <w:vMerge w:val="restart"/>
            <w:vAlign w:val="center"/>
          </w:tcPr>
          <w:p>
            <w:pPr>
              <w:pStyle w:val="47"/>
              <w:spacing w:line="240" w:lineRule="auto"/>
              <w:rPr>
                <w:color w:val="auto"/>
              </w:rPr>
            </w:pPr>
            <w:r>
              <w:rPr>
                <w:color w:val="auto"/>
              </w:rPr>
              <w:t>1#</w:t>
            </w:r>
          </w:p>
        </w:tc>
        <w:tc>
          <w:tcPr>
            <w:tcW w:w="1091" w:type="pct"/>
            <w:vMerge w:val="restart"/>
            <w:vAlign w:val="center"/>
          </w:tcPr>
          <w:p>
            <w:pPr>
              <w:pStyle w:val="47"/>
              <w:spacing w:line="240" w:lineRule="auto"/>
              <w:rPr>
                <w:color w:val="auto"/>
              </w:rPr>
            </w:pPr>
            <w:r>
              <w:rPr>
                <w:color w:val="auto"/>
              </w:rPr>
              <w:t>昼间</w:t>
            </w:r>
          </w:p>
        </w:tc>
        <w:tc>
          <w:tcPr>
            <w:tcW w:w="1322" w:type="pct"/>
            <w:vAlign w:val="center"/>
          </w:tcPr>
          <w:p>
            <w:pPr>
              <w:pStyle w:val="47"/>
              <w:spacing w:line="240" w:lineRule="auto"/>
              <w:rPr>
                <w:color w:val="auto"/>
              </w:rPr>
            </w:pPr>
            <w:r>
              <w:rPr>
                <w:color w:val="auto"/>
              </w:rPr>
              <w:t>监测值(Leq)</w:t>
            </w:r>
          </w:p>
        </w:tc>
        <w:tc>
          <w:tcPr>
            <w:tcW w:w="1008" w:type="pct"/>
            <w:vAlign w:val="center"/>
          </w:tcPr>
          <w:p>
            <w:pPr>
              <w:pStyle w:val="47"/>
              <w:spacing w:line="240" w:lineRule="auto"/>
              <w:rPr>
                <w:color w:val="auto"/>
              </w:rPr>
            </w:pPr>
            <w:r>
              <w:rPr>
                <w:rFonts w:hint="eastAsia"/>
                <w:color w:val="auto"/>
              </w:rPr>
              <w:t>59.9</w:t>
            </w:r>
          </w:p>
        </w:tc>
        <w:tc>
          <w:tcPr>
            <w:tcW w:w="1020" w:type="pct"/>
            <w:vAlign w:val="center"/>
          </w:tcPr>
          <w:p>
            <w:pPr>
              <w:pStyle w:val="47"/>
              <w:spacing w:line="240" w:lineRule="auto"/>
              <w:rPr>
                <w:color w:val="auto"/>
              </w:rPr>
            </w:pPr>
            <w:r>
              <w:rPr>
                <w:rFonts w:hint="eastAsia"/>
                <w:color w:val="auto"/>
              </w:rPr>
              <w:t>55.3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286" w:hRule="atLeast"/>
        </w:trPr>
        <w:tc>
          <w:tcPr>
            <w:tcW w:w="549" w:type="pct"/>
            <w:vMerge w:val="continue"/>
            <w:vAlign w:val="center"/>
          </w:tcPr>
          <w:p>
            <w:pPr>
              <w:pStyle w:val="47"/>
              <w:spacing w:line="240" w:lineRule="auto"/>
              <w:rPr>
                <w:color w:val="auto"/>
              </w:rPr>
            </w:pPr>
          </w:p>
        </w:tc>
        <w:tc>
          <w:tcPr>
            <w:tcW w:w="1091" w:type="pct"/>
            <w:vMerge w:val="continue"/>
            <w:vAlign w:val="center"/>
          </w:tcPr>
          <w:p>
            <w:pPr>
              <w:pStyle w:val="47"/>
              <w:spacing w:line="240" w:lineRule="auto"/>
              <w:rPr>
                <w:color w:val="auto"/>
              </w:rPr>
            </w:pPr>
          </w:p>
        </w:tc>
        <w:tc>
          <w:tcPr>
            <w:tcW w:w="1322" w:type="pct"/>
            <w:vAlign w:val="center"/>
          </w:tcPr>
          <w:p>
            <w:pPr>
              <w:pStyle w:val="47"/>
              <w:spacing w:line="240" w:lineRule="auto"/>
              <w:rPr>
                <w:color w:val="auto"/>
              </w:rPr>
            </w:pPr>
            <w:r>
              <w:rPr>
                <w:color w:val="auto"/>
              </w:rPr>
              <w:t>标准值(Lb)</w:t>
            </w:r>
          </w:p>
        </w:tc>
        <w:tc>
          <w:tcPr>
            <w:tcW w:w="1008" w:type="pct"/>
            <w:vAlign w:val="center"/>
          </w:tcPr>
          <w:p>
            <w:pPr>
              <w:pStyle w:val="47"/>
              <w:spacing w:line="240" w:lineRule="auto"/>
              <w:rPr>
                <w:color w:val="auto"/>
              </w:rPr>
            </w:pPr>
            <w:r>
              <w:rPr>
                <w:color w:val="auto"/>
              </w:rPr>
              <w:t>65</w:t>
            </w:r>
          </w:p>
        </w:tc>
        <w:tc>
          <w:tcPr>
            <w:tcW w:w="1020" w:type="pct"/>
            <w:vAlign w:val="center"/>
          </w:tcPr>
          <w:p>
            <w:pPr>
              <w:pStyle w:val="47"/>
              <w:spacing w:line="240" w:lineRule="auto"/>
              <w:rPr>
                <w:color w:val="auto"/>
              </w:rPr>
            </w:pPr>
            <w:r>
              <w:rPr>
                <w:color w:val="auto"/>
              </w:rPr>
              <w:t>65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286" w:hRule="atLeast"/>
        </w:trPr>
        <w:tc>
          <w:tcPr>
            <w:tcW w:w="549" w:type="pct"/>
            <w:vMerge w:val="continue"/>
            <w:vAlign w:val="center"/>
          </w:tcPr>
          <w:p>
            <w:pPr>
              <w:pStyle w:val="47"/>
              <w:spacing w:line="240" w:lineRule="auto"/>
              <w:rPr>
                <w:color w:val="auto"/>
              </w:rPr>
            </w:pPr>
          </w:p>
        </w:tc>
        <w:tc>
          <w:tcPr>
            <w:tcW w:w="1091" w:type="pct"/>
            <w:vMerge w:val="continue"/>
            <w:vAlign w:val="center"/>
          </w:tcPr>
          <w:p>
            <w:pPr>
              <w:pStyle w:val="47"/>
              <w:spacing w:line="240" w:lineRule="auto"/>
              <w:rPr>
                <w:color w:val="auto"/>
              </w:rPr>
            </w:pPr>
          </w:p>
        </w:tc>
        <w:tc>
          <w:tcPr>
            <w:tcW w:w="1322" w:type="pct"/>
            <w:vAlign w:val="center"/>
          </w:tcPr>
          <w:p>
            <w:pPr>
              <w:pStyle w:val="47"/>
              <w:spacing w:line="240" w:lineRule="auto"/>
              <w:rPr>
                <w:color w:val="auto"/>
              </w:rPr>
            </w:pPr>
            <w:r>
              <w:rPr>
                <w:color w:val="auto"/>
              </w:rPr>
              <w:t>超标值(P)</w:t>
            </w:r>
          </w:p>
        </w:tc>
        <w:tc>
          <w:tcPr>
            <w:tcW w:w="1008" w:type="pct"/>
            <w:vAlign w:val="center"/>
          </w:tcPr>
          <w:p>
            <w:pPr>
              <w:pStyle w:val="47"/>
              <w:spacing w:line="240" w:lineRule="auto"/>
              <w:rPr>
                <w:color w:val="auto"/>
              </w:rPr>
            </w:pPr>
            <w:r>
              <w:rPr>
                <w:color w:val="auto"/>
              </w:rPr>
              <w:t>-</w:t>
            </w:r>
            <w:r>
              <w:rPr>
                <w:rFonts w:hint="eastAsia"/>
                <w:color w:val="auto"/>
              </w:rPr>
              <w:t>5.1</w:t>
            </w:r>
          </w:p>
        </w:tc>
        <w:tc>
          <w:tcPr>
            <w:tcW w:w="1020" w:type="pct"/>
            <w:vAlign w:val="center"/>
          </w:tcPr>
          <w:p>
            <w:pPr>
              <w:pStyle w:val="47"/>
              <w:spacing w:line="240" w:lineRule="auto"/>
              <w:rPr>
                <w:color w:val="auto"/>
              </w:rPr>
            </w:pPr>
            <w:r>
              <w:rPr>
                <w:color w:val="auto"/>
              </w:rPr>
              <w:t>-</w:t>
            </w:r>
            <w:r>
              <w:rPr>
                <w:rFonts w:hint="eastAsia"/>
                <w:color w:val="auto"/>
              </w:rPr>
              <w:t>9.7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370" w:hRule="atLeast"/>
        </w:trPr>
        <w:tc>
          <w:tcPr>
            <w:tcW w:w="549" w:type="pct"/>
            <w:vMerge w:val="continue"/>
            <w:vAlign w:val="center"/>
          </w:tcPr>
          <w:p>
            <w:pPr>
              <w:pStyle w:val="47"/>
              <w:spacing w:line="240" w:lineRule="auto"/>
              <w:rPr>
                <w:color w:val="auto"/>
              </w:rPr>
            </w:pPr>
          </w:p>
        </w:tc>
        <w:tc>
          <w:tcPr>
            <w:tcW w:w="1091" w:type="pct"/>
            <w:vMerge w:val="restart"/>
            <w:vAlign w:val="center"/>
          </w:tcPr>
          <w:p>
            <w:pPr>
              <w:pStyle w:val="47"/>
              <w:spacing w:line="240" w:lineRule="auto"/>
              <w:rPr>
                <w:color w:val="auto"/>
              </w:rPr>
            </w:pPr>
            <w:r>
              <w:rPr>
                <w:color w:val="auto"/>
              </w:rPr>
              <w:t>夜间</w:t>
            </w:r>
          </w:p>
        </w:tc>
        <w:tc>
          <w:tcPr>
            <w:tcW w:w="1322" w:type="pct"/>
            <w:vAlign w:val="center"/>
          </w:tcPr>
          <w:p>
            <w:pPr>
              <w:pStyle w:val="47"/>
              <w:spacing w:line="240" w:lineRule="auto"/>
              <w:rPr>
                <w:color w:val="auto"/>
              </w:rPr>
            </w:pPr>
            <w:r>
              <w:rPr>
                <w:color w:val="auto"/>
              </w:rPr>
              <w:t>监测值(Leq)</w:t>
            </w:r>
          </w:p>
        </w:tc>
        <w:tc>
          <w:tcPr>
            <w:tcW w:w="1008" w:type="pct"/>
            <w:vAlign w:val="center"/>
          </w:tcPr>
          <w:p>
            <w:pPr>
              <w:pStyle w:val="47"/>
              <w:spacing w:line="240" w:lineRule="auto"/>
              <w:rPr>
                <w:color w:val="auto"/>
              </w:rPr>
            </w:pPr>
            <w:r>
              <w:rPr>
                <w:rFonts w:hint="eastAsia"/>
                <w:color w:val="auto"/>
              </w:rPr>
              <w:t>46.9</w:t>
            </w:r>
          </w:p>
        </w:tc>
        <w:tc>
          <w:tcPr>
            <w:tcW w:w="1020" w:type="pct"/>
            <w:vAlign w:val="center"/>
          </w:tcPr>
          <w:p>
            <w:pPr>
              <w:pStyle w:val="47"/>
              <w:spacing w:line="240" w:lineRule="auto"/>
              <w:rPr>
                <w:color w:val="auto"/>
              </w:rPr>
            </w:pPr>
            <w:r>
              <w:rPr>
                <w:color w:val="auto"/>
              </w:rPr>
              <w:t>47.</w:t>
            </w:r>
            <w:r>
              <w:rPr>
                <w:rFonts w:hint="eastAsia"/>
                <w:color w:val="auto"/>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286" w:hRule="atLeast"/>
        </w:trPr>
        <w:tc>
          <w:tcPr>
            <w:tcW w:w="549" w:type="pct"/>
            <w:vMerge w:val="continue"/>
            <w:vAlign w:val="center"/>
          </w:tcPr>
          <w:p>
            <w:pPr>
              <w:pStyle w:val="47"/>
              <w:spacing w:line="240" w:lineRule="auto"/>
              <w:rPr>
                <w:color w:val="auto"/>
              </w:rPr>
            </w:pPr>
          </w:p>
        </w:tc>
        <w:tc>
          <w:tcPr>
            <w:tcW w:w="1091" w:type="pct"/>
            <w:vMerge w:val="continue"/>
            <w:vAlign w:val="center"/>
          </w:tcPr>
          <w:p>
            <w:pPr>
              <w:pStyle w:val="47"/>
              <w:spacing w:line="240" w:lineRule="auto"/>
              <w:rPr>
                <w:color w:val="auto"/>
              </w:rPr>
            </w:pPr>
          </w:p>
        </w:tc>
        <w:tc>
          <w:tcPr>
            <w:tcW w:w="1322" w:type="pct"/>
            <w:vAlign w:val="center"/>
          </w:tcPr>
          <w:p>
            <w:pPr>
              <w:pStyle w:val="47"/>
              <w:spacing w:line="240" w:lineRule="auto"/>
              <w:rPr>
                <w:color w:val="auto"/>
              </w:rPr>
            </w:pPr>
            <w:r>
              <w:rPr>
                <w:color w:val="auto"/>
              </w:rPr>
              <w:t>标准值(Lb)</w:t>
            </w:r>
          </w:p>
        </w:tc>
        <w:tc>
          <w:tcPr>
            <w:tcW w:w="1008" w:type="pct"/>
            <w:vAlign w:val="center"/>
          </w:tcPr>
          <w:p>
            <w:pPr>
              <w:pStyle w:val="47"/>
              <w:spacing w:line="240" w:lineRule="auto"/>
              <w:rPr>
                <w:color w:val="auto"/>
              </w:rPr>
            </w:pPr>
            <w:r>
              <w:rPr>
                <w:color w:val="auto"/>
              </w:rPr>
              <w:t>55</w:t>
            </w:r>
          </w:p>
        </w:tc>
        <w:tc>
          <w:tcPr>
            <w:tcW w:w="1020" w:type="pct"/>
            <w:vAlign w:val="center"/>
          </w:tcPr>
          <w:p>
            <w:pPr>
              <w:pStyle w:val="47"/>
              <w:spacing w:line="240" w:lineRule="auto"/>
              <w:rPr>
                <w:color w:val="auto"/>
              </w:rPr>
            </w:pPr>
            <w:r>
              <w:rPr>
                <w:color w:val="auto"/>
              </w:rPr>
              <w:t>55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286" w:hRule="atLeast"/>
        </w:trPr>
        <w:tc>
          <w:tcPr>
            <w:tcW w:w="549" w:type="pct"/>
            <w:vMerge w:val="continue"/>
            <w:vAlign w:val="center"/>
          </w:tcPr>
          <w:p>
            <w:pPr>
              <w:pStyle w:val="47"/>
              <w:spacing w:line="240" w:lineRule="auto"/>
              <w:rPr>
                <w:color w:val="auto"/>
              </w:rPr>
            </w:pPr>
          </w:p>
        </w:tc>
        <w:tc>
          <w:tcPr>
            <w:tcW w:w="1091" w:type="pct"/>
            <w:vMerge w:val="continue"/>
            <w:vAlign w:val="center"/>
          </w:tcPr>
          <w:p>
            <w:pPr>
              <w:pStyle w:val="47"/>
              <w:spacing w:line="240" w:lineRule="auto"/>
              <w:rPr>
                <w:color w:val="auto"/>
              </w:rPr>
            </w:pPr>
          </w:p>
        </w:tc>
        <w:tc>
          <w:tcPr>
            <w:tcW w:w="1322" w:type="pct"/>
            <w:vAlign w:val="center"/>
          </w:tcPr>
          <w:p>
            <w:pPr>
              <w:pStyle w:val="47"/>
              <w:spacing w:line="240" w:lineRule="auto"/>
              <w:rPr>
                <w:color w:val="auto"/>
              </w:rPr>
            </w:pPr>
            <w:r>
              <w:rPr>
                <w:color w:val="auto"/>
              </w:rPr>
              <w:t>超标值(P)</w:t>
            </w:r>
          </w:p>
        </w:tc>
        <w:tc>
          <w:tcPr>
            <w:tcW w:w="1008" w:type="pct"/>
            <w:vAlign w:val="center"/>
          </w:tcPr>
          <w:p>
            <w:pPr>
              <w:pStyle w:val="47"/>
              <w:spacing w:line="240" w:lineRule="auto"/>
              <w:rPr>
                <w:color w:val="auto"/>
              </w:rPr>
            </w:pPr>
            <w:r>
              <w:rPr>
                <w:color w:val="auto"/>
              </w:rPr>
              <w:t>-</w:t>
            </w:r>
            <w:r>
              <w:rPr>
                <w:rFonts w:hint="eastAsia"/>
                <w:color w:val="auto"/>
              </w:rPr>
              <w:t>8.1</w:t>
            </w:r>
          </w:p>
        </w:tc>
        <w:tc>
          <w:tcPr>
            <w:tcW w:w="1020" w:type="pct"/>
            <w:vAlign w:val="center"/>
          </w:tcPr>
          <w:p>
            <w:pPr>
              <w:pStyle w:val="47"/>
              <w:spacing w:line="240" w:lineRule="auto"/>
              <w:rPr>
                <w:color w:val="auto"/>
              </w:rPr>
            </w:pPr>
            <w:r>
              <w:rPr>
                <w:color w:val="auto"/>
              </w:rPr>
              <w:t>-7.</w:t>
            </w:r>
            <w:r>
              <w:rPr>
                <w:rFonts w:hint="eastAsia"/>
                <w:color w:val="auto"/>
              </w:rPr>
              <w:t>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344" w:hRule="atLeast"/>
        </w:trPr>
        <w:tc>
          <w:tcPr>
            <w:tcW w:w="549" w:type="pct"/>
            <w:vMerge w:val="restart"/>
            <w:vAlign w:val="center"/>
          </w:tcPr>
          <w:p>
            <w:pPr>
              <w:pStyle w:val="47"/>
              <w:spacing w:line="240" w:lineRule="auto"/>
              <w:rPr>
                <w:color w:val="auto"/>
              </w:rPr>
            </w:pPr>
            <w:r>
              <w:rPr>
                <w:color w:val="auto"/>
              </w:rPr>
              <w:t>2#</w:t>
            </w:r>
          </w:p>
        </w:tc>
        <w:tc>
          <w:tcPr>
            <w:tcW w:w="1091" w:type="pct"/>
            <w:vMerge w:val="restart"/>
            <w:vAlign w:val="center"/>
          </w:tcPr>
          <w:p>
            <w:pPr>
              <w:pStyle w:val="47"/>
              <w:spacing w:line="240" w:lineRule="auto"/>
              <w:rPr>
                <w:color w:val="auto"/>
              </w:rPr>
            </w:pPr>
            <w:r>
              <w:rPr>
                <w:color w:val="auto"/>
              </w:rPr>
              <w:t>昼间</w:t>
            </w:r>
          </w:p>
        </w:tc>
        <w:tc>
          <w:tcPr>
            <w:tcW w:w="1322" w:type="pct"/>
            <w:vAlign w:val="center"/>
          </w:tcPr>
          <w:p>
            <w:pPr>
              <w:pStyle w:val="47"/>
              <w:spacing w:line="240" w:lineRule="auto"/>
              <w:rPr>
                <w:color w:val="auto"/>
              </w:rPr>
            </w:pPr>
            <w:r>
              <w:rPr>
                <w:color w:val="auto"/>
              </w:rPr>
              <w:t>监测值(Leq)</w:t>
            </w:r>
          </w:p>
        </w:tc>
        <w:tc>
          <w:tcPr>
            <w:tcW w:w="1008" w:type="pct"/>
            <w:vAlign w:val="center"/>
          </w:tcPr>
          <w:p>
            <w:pPr>
              <w:pStyle w:val="47"/>
              <w:spacing w:line="240" w:lineRule="auto"/>
              <w:rPr>
                <w:color w:val="auto"/>
              </w:rPr>
            </w:pPr>
            <w:r>
              <w:rPr>
                <w:rFonts w:hint="eastAsia"/>
                <w:color w:val="auto"/>
              </w:rPr>
              <w:t>59.3</w:t>
            </w:r>
          </w:p>
        </w:tc>
        <w:tc>
          <w:tcPr>
            <w:tcW w:w="1020" w:type="pct"/>
            <w:vAlign w:val="center"/>
          </w:tcPr>
          <w:p>
            <w:pPr>
              <w:pStyle w:val="47"/>
              <w:spacing w:line="240" w:lineRule="auto"/>
              <w:rPr>
                <w:color w:val="auto"/>
              </w:rPr>
            </w:pPr>
            <w:r>
              <w:rPr>
                <w:rFonts w:hint="eastAsia"/>
                <w:color w:val="auto"/>
              </w:rPr>
              <w:t>56.6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286" w:hRule="atLeast"/>
        </w:trPr>
        <w:tc>
          <w:tcPr>
            <w:tcW w:w="549" w:type="pct"/>
            <w:vMerge w:val="continue"/>
            <w:vAlign w:val="center"/>
          </w:tcPr>
          <w:p>
            <w:pPr>
              <w:pStyle w:val="47"/>
              <w:spacing w:line="240" w:lineRule="auto"/>
              <w:rPr>
                <w:color w:val="auto"/>
              </w:rPr>
            </w:pPr>
          </w:p>
        </w:tc>
        <w:tc>
          <w:tcPr>
            <w:tcW w:w="1091" w:type="pct"/>
            <w:vMerge w:val="continue"/>
            <w:vAlign w:val="center"/>
          </w:tcPr>
          <w:p>
            <w:pPr>
              <w:pStyle w:val="47"/>
              <w:spacing w:line="240" w:lineRule="auto"/>
              <w:rPr>
                <w:color w:val="auto"/>
              </w:rPr>
            </w:pPr>
          </w:p>
        </w:tc>
        <w:tc>
          <w:tcPr>
            <w:tcW w:w="1322" w:type="pct"/>
            <w:vAlign w:val="center"/>
          </w:tcPr>
          <w:p>
            <w:pPr>
              <w:pStyle w:val="47"/>
              <w:spacing w:line="240" w:lineRule="auto"/>
              <w:rPr>
                <w:color w:val="auto"/>
              </w:rPr>
            </w:pPr>
            <w:r>
              <w:rPr>
                <w:color w:val="auto"/>
              </w:rPr>
              <w:t>标准值(Lb)</w:t>
            </w:r>
          </w:p>
        </w:tc>
        <w:tc>
          <w:tcPr>
            <w:tcW w:w="1008" w:type="pct"/>
            <w:vAlign w:val="center"/>
          </w:tcPr>
          <w:p>
            <w:pPr>
              <w:pStyle w:val="47"/>
              <w:spacing w:line="240" w:lineRule="auto"/>
              <w:rPr>
                <w:color w:val="auto"/>
              </w:rPr>
            </w:pPr>
            <w:r>
              <w:rPr>
                <w:color w:val="auto"/>
              </w:rPr>
              <w:t>65</w:t>
            </w:r>
          </w:p>
        </w:tc>
        <w:tc>
          <w:tcPr>
            <w:tcW w:w="1020" w:type="pct"/>
            <w:vAlign w:val="center"/>
          </w:tcPr>
          <w:p>
            <w:pPr>
              <w:pStyle w:val="47"/>
              <w:spacing w:line="240" w:lineRule="auto"/>
              <w:rPr>
                <w:color w:val="auto"/>
              </w:rPr>
            </w:pPr>
            <w:r>
              <w:rPr>
                <w:color w:val="auto"/>
              </w:rPr>
              <w:t>65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286" w:hRule="atLeast"/>
        </w:trPr>
        <w:tc>
          <w:tcPr>
            <w:tcW w:w="549" w:type="pct"/>
            <w:vMerge w:val="continue"/>
            <w:vAlign w:val="center"/>
          </w:tcPr>
          <w:p>
            <w:pPr>
              <w:pStyle w:val="47"/>
              <w:spacing w:line="240" w:lineRule="auto"/>
              <w:rPr>
                <w:color w:val="auto"/>
              </w:rPr>
            </w:pPr>
          </w:p>
        </w:tc>
        <w:tc>
          <w:tcPr>
            <w:tcW w:w="1091" w:type="pct"/>
            <w:vMerge w:val="continue"/>
            <w:vAlign w:val="center"/>
          </w:tcPr>
          <w:p>
            <w:pPr>
              <w:pStyle w:val="47"/>
              <w:spacing w:line="240" w:lineRule="auto"/>
              <w:rPr>
                <w:color w:val="auto"/>
              </w:rPr>
            </w:pPr>
          </w:p>
        </w:tc>
        <w:tc>
          <w:tcPr>
            <w:tcW w:w="1322" w:type="pct"/>
            <w:vAlign w:val="center"/>
          </w:tcPr>
          <w:p>
            <w:pPr>
              <w:pStyle w:val="47"/>
              <w:spacing w:line="240" w:lineRule="auto"/>
              <w:rPr>
                <w:color w:val="auto"/>
              </w:rPr>
            </w:pPr>
            <w:r>
              <w:rPr>
                <w:color w:val="auto"/>
              </w:rPr>
              <w:t>超标值(P)</w:t>
            </w:r>
          </w:p>
        </w:tc>
        <w:tc>
          <w:tcPr>
            <w:tcW w:w="1008" w:type="pct"/>
            <w:vAlign w:val="center"/>
          </w:tcPr>
          <w:p>
            <w:pPr>
              <w:pStyle w:val="47"/>
              <w:spacing w:line="240" w:lineRule="auto"/>
              <w:rPr>
                <w:color w:val="auto"/>
              </w:rPr>
            </w:pPr>
            <w:r>
              <w:rPr>
                <w:rFonts w:hint="eastAsia"/>
                <w:color w:val="auto"/>
              </w:rPr>
              <w:t>-5.7</w:t>
            </w:r>
          </w:p>
        </w:tc>
        <w:tc>
          <w:tcPr>
            <w:tcW w:w="1020" w:type="pct"/>
            <w:vAlign w:val="center"/>
          </w:tcPr>
          <w:p>
            <w:pPr>
              <w:pStyle w:val="47"/>
              <w:spacing w:line="240" w:lineRule="auto"/>
              <w:rPr>
                <w:color w:val="auto"/>
              </w:rPr>
            </w:pPr>
            <w:r>
              <w:rPr>
                <w:color w:val="auto"/>
              </w:rPr>
              <w:t>-</w:t>
            </w:r>
            <w:r>
              <w:rPr>
                <w:rFonts w:hint="eastAsia"/>
                <w:color w:val="auto"/>
              </w:rPr>
              <w:t>8.4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242" w:hRule="atLeast"/>
        </w:trPr>
        <w:tc>
          <w:tcPr>
            <w:tcW w:w="549" w:type="pct"/>
            <w:vMerge w:val="continue"/>
            <w:vAlign w:val="center"/>
          </w:tcPr>
          <w:p>
            <w:pPr>
              <w:pStyle w:val="47"/>
              <w:spacing w:line="240" w:lineRule="auto"/>
              <w:rPr>
                <w:color w:val="auto"/>
              </w:rPr>
            </w:pPr>
          </w:p>
        </w:tc>
        <w:tc>
          <w:tcPr>
            <w:tcW w:w="1091" w:type="pct"/>
            <w:vMerge w:val="restart"/>
            <w:vAlign w:val="center"/>
          </w:tcPr>
          <w:p>
            <w:pPr>
              <w:pStyle w:val="47"/>
              <w:spacing w:line="240" w:lineRule="auto"/>
              <w:rPr>
                <w:color w:val="auto"/>
              </w:rPr>
            </w:pPr>
            <w:r>
              <w:rPr>
                <w:color w:val="auto"/>
              </w:rPr>
              <w:t>夜间</w:t>
            </w:r>
          </w:p>
        </w:tc>
        <w:tc>
          <w:tcPr>
            <w:tcW w:w="1322" w:type="pct"/>
            <w:vAlign w:val="center"/>
          </w:tcPr>
          <w:p>
            <w:pPr>
              <w:pStyle w:val="47"/>
              <w:spacing w:line="240" w:lineRule="auto"/>
              <w:rPr>
                <w:color w:val="auto"/>
              </w:rPr>
            </w:pPr>
            <w:r>
              <w:rPr>
                <w:color w:val="auto"/>
              </w:rPr>
              <w:t>监测值(Leq)</w:t>
            </w:r>
          </w:p>
        </w:tc>
        <w:tc>
          <w:tcPr>
            <w:tcW w:w="1008" w:type="pct"/>
            <w:vAlign w:val="center"/>
          </w:tcPr>
          <w:p>
            <w:pPr>
              <w:pStyle w:val="47"/>
              <w:spacing w:line="240" w:lineRule="auto"/>
              <w:rPr>
                <w:color w:val="auto"/>
              </w:rPr>
            </w:pPr>
            <w:r>
              <w:rPr>
                <w:rFonts w:hint="eastAsia"/>
                <w:color w:val="auto"/>
              </w:rPr>
              <w:t>46.6</w:t>
            </w:r>
          </w:p>
        </w:tc>
        <w:tc>
          <w:tcPr>
            <w:tcW w:w="1020" w:type="pct"/>
            <w:vAlign w:val="center"/>
          </w:tcPr>
          <w:p>
            <w:pPr>
              <w:pStyle w:val="47"/>
              <w:spacing w:line="240" w:lineRule="auto"/>
              <w:rPr>
                <w:color w:val="auto"/>
              </w:rPr>
            </w:pPr>
            <w:r>
              <w:rPr>
                <w:rFonts w:hint="eastAsia"/>
                <w:color w:val="auto"/>
              </w:rPr>
              <w:t>46.3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286" w:hRule="atLeast"/>
        </w:trPr>
        <w:tc>
          <w:tcPr>
            <w:tcW w:w="549" w:type="pct"/>
            <w:vMerge w:val="continue"/>
            <w:vAlign w:val="center"/>
          </w:tcPr>
          <w:p>
            <w:pPr>
              <w:pStyle w:val="47"/>
              <w:spacing w:line="240" w:lineRule="auto"/>
              <w:rPr>
                <w:color w:val="auto"/>
              </w:rPr>
            </w:pPr>
          </w:p>
        </w:tc>
        <w:tc>
          <w:tcPr>
            <w:tcW w:w="1091" w:type="pct"/>
            <w:vMerge w:val="continue"/>
            <w:vAlign w:val="center"/>
          </w:tcPr>
          <w:p>
            <w:pPr>
              <w:pStyle w:val="47"/>
              <w:spacing w:line="240" w:lineRule="auto"/>
              <w:rPr>
                <w:color w:val="auto"/>
              </w:rPr>
            </w:pPr>
          </w:p>
        </w:tc>
        <w:tc>
          <w:tcPr>
            <w:tcW w:w="1322" w:type="pct"/>
            <w:vAlign w:val="center"/>
          </w:tcPr>
          <w:p>
            <w:pPr>
              <w:pStyle w:val="47"/>
              <w:spacing w:line="240" w:lineRule="auto"/>
              <w:rPr>
                <w:color w:val="auto"/>
              </w:rPr>
            </w:pPr>
            <w:r>
              <w:rPr>
                <w:color w:val="auto"/>
              </w:rPr>
              <w:t>标准值(Lb)</w:t>
            </w:r>
          </w:p>
        </w:tc>
        <w:tc>
          <w:tcPr>
            <w:tcW w:w="1008" w:type="pct"/>
            <w:vAlign w:val="center"/>
          </w:tcPr>
          <w:p>
            <w:pPr>
              <w:pStyle w:val="47"/>
              <w:spacing w:line="240" w:lineRule="auto"/>
              <w:rPr>
                <w:color w:val="auto"/>
              </w:rPr>
            </w:pPr>
            <w:r>
              <w:rPr>
                <w:color w:val="auto"/>
              </w:rPr>
              <w:t>55</w:t>
            </w:r>
          </w:p>
        </w:tc>
        <w:tc>
          <w:tcPr>
            <w:tcW w:w="1020" w:type="pct"/>
            <w:vAlign w:val="center"/>
          </w:tcPr>
          <w:p>
            <w:pPr>
              <w:pStyle w:val="47"/>
              <w:spacing w:line="240" w:lineRule="auto"/>
              <w:rPr>
                <w:color w:val="auto"/>
              </w:rPr>
            </w:pPr>
            <w:r>
              <w:rPr>
                <w:color w:val="auto"/>
              </w:rPr>
              <w:t>55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286" w:hRule="atLeast"/>
        </w:trPr>
        <w:tc>
          <w:tcPr>
            <w:tcW w:w="549" w:type="pct"/>
            <w:vMerge w:val="continue"/>
            <w:vAlign w:val="center"/>
          </w:tcPr>
          <w:p>
            <w:pPr>
              <w:pStyle w:val="47"/>
              <w:spacing w:line="240" w:lineRule="auto"/>
              <w:rPr>
                <w:color w:val="auto"/>
              </w:rPr>
            </w:pPr>
          </w:p>
        </w:tc>
        <w:tc>
          <w:tcPr>
            <w:tcW w:w="1091" w:type="pct"/>
            <w:vMerge w:val="continue"/>
            <w:vAlign w:val="center"/>
          </w:tcPr>
          <w:p>
            <w:pPr>
              <w:pStyle w:val="47"/>
              <w:spacing w:line="240" w:lineRule="auto"/>
              <w:rPr>
                <w:color w:val="auto"/>
              </w:rPr>
            </w:pPr>
          </w:p>
        </w:tc>
        <w:tc>
          <w:tcPr>
            <w:tcW w:w="1322" w:type="pct"/>
            <w:vAlign w:val="center"/>
          </w:tcPr>
          <w:p>
            <w:pPr>
              <w:pStyle w:val="47"/>
              <w:spacing w:line="240" w:lineRule="auto"/>
              <w:rPr>
                <w:color w:val="auto"/>
              </w:rPr>
            </w:pPr>
            <w:r>
              <w:rPr>
                <w:color w:val="auto"/>
              </w:rPr>
              <w:t>超标值(P)</w:t>
            </w:r>
          </w:p>
        </w:tc>
        <w:tc>
          <w:tcPr>
            <w:tcW w:w="1008" w:type="pct"/>
            <w:vAlign w:val="center"/>
          </w:tcPr>
          <w:p>
            <w:pPr>
              <w:pStyle w:val="47"/>
              <w:spacing w:line="240" w:lineRule="auto"/>
              <w:rPr>
                <w:color w:val="auto"/>
              </w:rPr>
            </w:pPr>
            <w:r>
              <w:rPr>
                <w:rFonts w:hint="eastAsia"/>
                <w:color w:val="auto"/>
              </w:rPr>
              <w:t>-8.4</w:t>
            </w:r>
          </w:p>
        </w:tc>
        <w:tc>
          <w:tcPr>
            <w:tcW w:w="1020" w:type="pct"/>
            <w:vAlign w:val="center"/>
          </w:tcPr>
          <w:p>
            <w:pPr>
              <w:pStyle w:val="47"/>
              <w:spacing w:line="240" w:lineRule="auto"/>
              <w:rPr>
                <w:color w:val="auto"/>
              </w:rPr>
            </w:pPr>
            <w:r>
              <w:rPr>
                <w:rFonts w:hint="eastAsia"/>
                <w:color w:val="auto"/>
              </w:rPr>
              <w:t>-8.7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286" w:hRule="atLeast"/>
        </w:trPr>
        <w:tc>
          <w:tcPr>
            <w:tcW w:w="549" w:type="pct"/>
            <w:vMerge w:val="restart"/>
            <w:vAlign w:val="center"/>
          </w:tcPr>
          <w:p>
            <w:pPr>
              <w:pStyle w:val="47"/>
              <w:spacing w:line="240" w:lineRule="auto"/>
              <w:rPr>
                <w:color w:val="auto"/>
              </w:rPr>
            </w:pPr>
            <w:r>
              <w:rPr>
                <w:color w:val="auto"/>
              </w:rPr>
              <w:t>3#</w:t>
            </w:r>
          </w:p>
        </w:tc>
        <w:tc>
          <w:tcPr>
            <w:tcW w:w="1091" w:type="pct"/>
            <w:vMerge w:val="restart"/>
            <w:vAlign w:val="center"/>
          </w:tcPr>
          <w:p>
            <w:pPr>
              <w:pStyle w:val="47"/>
              <w:spacing w:line="240" w:lineRule="auto"/>
              <w:rPr>
                <w:color w:val="auto"/>
              </w:rPr>
            </w:pPr>
            <w:r>
              <w:rPr>
                <w:color w:val="auto"/>
              </w:rPr>
              <w:t>昼间</w:t>
            </w:r>
          </w:p>
        </w:tc>
        <w:tc>
          <w:tcPr>
            <w:tcW w:w="1322" w:type="pct"/>
            <w:vAlign w:val="center"/>
          </w:tcPr>
          <w:p>
            <w:pPr>
              <w:pStyle w:val="47"/>
              <w:spacing w:line="240" w:lineRule="auto"/>
              <w:rPr>
                <w:color w:val="auto"/>
              </w:rPr>
            </w:pPr>
            <w:r>
              <w:rPr>
                <w:color w:val="auto"/>
              </w:rPr>
              <w:t>监测值(Leq)</w:t>
            </w:r>
          </w:p>
        </w:tc>
        <w:tc>
          <w:tcPr>
            <w:tcW w:w="1008" w:type="pct"/>
            <w:vAlign w:val="center"/>
          </w:tcPr>
          <w:p>
            <w:pPr>
              <w:pStyle w:val="47"/>
              <w:spacing w:line="240" w:lineRule="auto"/>
              <w:rPr>
                <w:color w:val="auto"/>
              </w:rPr>
            </w:pPr>
            <w:r>
              <w:rPr>
                <w:rFonts w:hint="eastAsia"/>
                <w:color w:val="auto"/>
              </w:rPr>
              <w:t>46.7</w:t>
            </w:r>
          </w:p>
        </w:tc>
        <w:tc>
          <w:tcPr>
            <w:tcW w:w="1020" w:type="pct"/>
            <w:vAlign w:val="center"/>
          </w:tcPr>
          <w:p>
            <w:pPr>
              <w:pStyle w:val="47"/>
              <w:spacing w:line="240" w:lineRule="auto"/>
              <w:rPr>
                <w:color w:val="auto"/>
              </w:rPr>
            </w:pPr>
            <w:r>
              <w:rPr>
                <w:rFonts w:hint="eastAsia"/>
                <w:color w:val="auto"/>
              </w:rPr>
              <w:t>56.4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286" w:hRule="atLeast"/>
        </w:trPr>
        <w:tc>
          <w:tcPr>
            <w:tcW w:w="549" w:type="pct"/>
            <w:vMerge w:val="continue"/>
            <w:vAlign w:val="center"/>
          </w:tcPr>
          <w:p>
            <w:pPr>
              <w:pStyle w:val="47"/>
              <w:spacing w:line="240" w:lineRule="auto"/>
              <w:rPr>
                <w:color w:val="auto"/>
              </w:rPr>
            </w:pPr>
          </w:p>
        </w:tc>
        <w:tc>
          <w:tcPr>
            <w:tcW w:w="1091" w:type="pct"/>
            <w:vMerge w:val="continue"/>
            <w:vAlign w:val="center"/>
          </w:tcPr>
          <w:p>
            <w:pPr>
              <w:pStyle w:val="47"/>
              <w:spacing w:line="240" w:lineRule="auto"/>
              <w:rPr>
                <w:color w:val="auto"/>
              </w:rPr>
            </w:pPr>
          </w:p>
        </w:tc>
        <w:tc>
          <w:tcPr>
            <w:tcW w:w="1322" w:type="pct"/>
            <w:vAlign w:val="center"/>
          </w:tcPr>
          <w:p>
            <w:pPr>
              <w:pStyle w:val="47"/>
              <w:spacing w:line="240" w:lineRule="auto"/>
              <w:rPr>
                <w:color w:val="auto"/>
              </w:rPr>
            </w:pPr>
            <w:r>
              <w:rPr>
                <w:color w:val="auto"/>
              </w:rPr>
              <w:t>标准值(Lb)</w:t>
            </w:r>
          </w:p>
        </w:tc>
        <w:tc>
          <w:tcPr>
            <w:tcW w:w="1008" w:type="pct"/>
            <w:vAlign w:val="center"/>
          </w:tcPr>
          <w:p>
            <w:pPr>
              <w:pStyle w:val="47"/>
              <w:spacing w:line="240" w:lineRule="auto"/>
              <w:rPr>
                <w:color w:val="auto"/>
              </w:rPr>
            </w:pPr>
            <w:r>
              <w:rPr>
                <w:color w:val="auto"/>
              </w:rPr>
              <w:t>65</w:t>
            </w:r>
          </w:p>
        </w:tc>
        <w:tc>
          <w:tcPr>
            <w:tcW w:w="1020" w:type="pct"/>
            <w:vAlign w:val="center"/>
          </w:tcPr>
          <w:p>
            <w:pPr>
              <w:pStyle w:val="47"/>
              <w:spacing w:line="240" w:lineRule="auto"/>
              <w:rPr>
                <w:color w:val="auto"/>
              </w:rPr>
            </w:pPr>
            <w:r>
              <w:rPr>
                <w:color w:val="auto"/>
              </w:rPr>
              <w:t>65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286" w:hRule="atLeast"/>
        </w:trPr>
        <w:tc>
          <w:tcPr>
            <w:tcW w:w="549" w:type="pct"/>
            <w:vMerge w:val="continue"/>
            <w:vAlign w:val="center"/>
          </w:tcPr>
          <w:p>
            <w:pPr>
              <w:pStyle w:val="47"/>
              <w:spacing w:line="240" w:lineRule="auto"/>
              <w:rPr>
                <w:color w:val="auto"/>
              </w:rPr>
            </w:pPr>
          </w:p>
        </w:tc>
        <w:tc>
          <w:tcPr>
            <w:tcW w:w="1091" w:type="pct"/>
            <w:vMerge w:val="continue"/>
            <w:vAlign w:val="center"/>
          </w:tcPr>
          <w:p>
            <w:pPr>
              <w:pStyle w:val="47"/>
              <w:spacing w:line="240" w:lineRule="auto"/>
              <w:rPr>
                <w:color w:val="auto"/>
              </w:rPr>
            </w:pPr>
          </w:p>
        </w:tc>
        <w:tc>
          <w:tcPr>
            <w:tcW w:w="1322" w:type="pct"/>
            <w:vAlign w:val="center"/>
          </w:tcPr>
          <w:p>
            <w:pPr>
              <w:pStyle w:val="47"/>
              <w:spacing w:line="240" w:lineRule="auto"/>
              <w:rPr>
                <w:color w:val="auto"/>
              </w:rPr>
            </w:pPr>
            <w:r>
              <w:rPr>
                <w:color w:val="auto"/>
              </w:rPr>
              <w:t>超标值(P)</w:t>
            </w:r>
          </w:p>
        </w:tc>
        <w:tc>
          <w:tcPr>
            <w:tcW w:w="1008" w:type="pct"/>
            <w:vAlign w:val="center"/>
          </w:tcPr>
          <w:p>
            <w:pPr>
              <w:pStyle w:val="47"/>
              <w:spacing w:line="240" w:lineRule="auto"/>
              <w:rPr>
                <w:color w:val="auto"/>
              </w:rPr>
            </w:pPr>
            <w:r>
              <w:rPr>
                <w:color w:val="auto"/>
              </w:rPr>
              <w:t>-</w:t>
            </w:r>
            <w:r>
              <w:rPr>
                <w:rFonts w:hint="eastAsia"/>
                <w:color w:val="auto"/>
              </w:rPr>
              <w:t>18.3</w:t>
            </w:r>
          </w:p>
        </w:tc>
        <w:tc>
          <w:tcPr>
            <w:tcW w:w="1020" w:type="pct"/>
            <w:vAlign w:val="center"/>
          </w:tcPr>
          <w:p>
            <w:pPr>
              <w:pStyle w:val="47"/>
              <w:spacing w:line="240" w:lineRule="auto"/>
              <w:rPr>
                <w:color w:val="auto"/>
              </w:rPr>
            </w:pPr>
            <w:r>
              <w:rPr>
                <w:color w:val="auto"/>
              </w:rPr>
              <w:t>-</w:t>
            </w:r>
            <w:r>
              <w:rPr>
                <w:rFonts w:hint="eastAsia"/>
                <w:color w:val="auto"/>
              </w:rPr>
              <w:t>8.6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286" w:hRule="atLeast"/>
        </w:trPr>
        <w:tc>
          <w:tcPr>
            <w:tcW w:w="549" w:type="pct"/>
            <w:vMerge w:val="continue"/>
            <w:vAlign w:val="center"/>
          </w:tcPr>
          <w:p>
            <w:pPr>
              <w:pStyle w:val="47"/>
              <w:spacing w:line="240" w:lineRule="auto"/>
              <w:rPr>
                <w:color w:val="auto"/>
              </w:rPr>
            </w:pPr>
          </w:p>
        </w:tc>
        <w:tc>
          <w:tcPr>
            <w:tcW w:w="1091" w:type="pct"/>
            <w:vMerge w:val="restart"/>
            <w:vAlign w:val="center"/>
          </w:tcPr>
          <w:p>
            <w:pPr>
              <w:pStyle w:val="47"/>
              <w:spacing w:line="240" w:lineRule="auto"/>
              <w:rPr>
                <w:color w:val="auto"/>
              </w:rPr>
            </w:pPr>
            <w:r>
              <w:rPr>
                <w:color w:val="auto"/>
              </w:rPr>
              <w:t>夜间</w:t>
            </w:r>
          </w:p>
        </w:tc>
        <w:tc>
          <w:tcPr>
            <w:tcW w:w="1322" w:type="pct"/>
            <w:vAlign w:val="center"/>
          </w:tcPr>
          <w:p>
            <w:pPr>
              <w:pStyle w:val="47"/>
              <w:spacing w:line="240" w:lineRule="auto"/>
              <w:rPr>
                <w:color w:val="auto"/>
              </w:rPr>
            </w:pPr>
            <w:r>
              <w:rPr>
                <w:color w:val="auto"/>
              </w:rPr>
              <w:t>监测值(Leq)</w:t>
            </w:r>
          </w:p>
        </w:tc>
        <w:tc>
          <w:tcPr>
            <w:tcW w:w="1008" w:type="pct"/>
            <w:vAlign w:val="center"/>
          </w:tcPr>
          <w:p>
            <w:pPr>
              <w:pStyle w:val="47"/>
              <w:spacing w:line="240" w:lineRule="auto"/>
              <w:rPr>
                <w:color w:val="auto"/>
              </w:rPr>
            </w:pPr>
            <w:r>
              <w:rPr>
                <w:rFonts w:hint="eastAsia"/>
                <w:color w:val="auto"/>
              </w:rPr>
              <w:t>46.0</w:t>
            </w:r>
          </w:p>
        </w:tc>
        <w:tc>
          <w:tcPr>
            <w:tcW w:w="1020" w:type="pct"/>
            <w:vAlign w:val="center"/>
          </w:tcPr>
          <w:p>
            <w:pPr>
              <w:pStyle w:val="47"/>
              <w:spacing w:line="240" w:lineRule="auto"/>
              <w:rPr>
                <w:color w:val="auto"/>
              </w:rPr>
            </w:pPr>
            <w:r>
              <w:rPr>
                <w:rFonts w:hint="eastAsia"/>
                <w:color w:val="auto"/>
              </w:rPr>
              <w:t>47.3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286" w:hRule="atLeast"/>
        </w:trPr>
        <w:tc>
          <w:tcPr>
            <w:tcW w:w="549" w:type="pct"/>
            <w:vMerge w:val="continue"/>
            <w:vAlign w:val="center"/>
          </w:tcPr>
          <w:p>
            <w:pPr>
              <w:pStyle w:val="47"/>
              <w:spacing w:line="240" w:lineRule="auto"/>
              <w:rPr>
                <w:color w:val="auto"/>
              </w:rPr>
            </w:pPr>
          </w:p>
        </w:tc>
        <w:tc>
          <w:tcPr>
            <w:tcW w:w="1091" w:type="pct"/>
            <w:vMerge w:val="continue"/>
            <w:vAlign w:val="center"/>
          </w:tcPr>
          <w:p>
            <w:pPr>
              <w:pStyle w:val="47"/>
              <w:spacing w:line="240" w:lineRule="auto"/>
              <w:rPr>
                <w:color w:val="auto"/>
              </w:rPr>
            </w:pPr>
          </w:p>
        </w:tc>
        <w:tc>
          <w:tcPr>
            <w:tcW w:w="1322" w:type="pct"/>
            <w:vAlign w:val="center"/>
          </w:tcPr>
          <w:p>
            <w:pPr>
              <w:pStyle w:val="47"/>
              <w:spacing w:line="240" w:lineRule="auto"/>
              <w:rPr>
                <w:color w:val="auto"/>
              </w:rPr>
            </w:pPr>
            <w:r>
              <w:rPr>
                <w:color w:val="auto"/>
              </w:rPr>
              <w:t>标准值(Lb)</w:t>
            </w:r>
          </w:p>
        </w:tc>
        <w:tc>
          <w:tcPr>
            <w:tcW w:w="1008" w:type="pct"/>
            <w:vAlign w:val="center"/>
          </w:tcPr>
          <w:p>
            <w:pPr>
              <w:pStyle w:val="47"/>
              <w:spacing w:line="240" w:lineRule="auto"/>
              <w:rPr>
                <w:color w:val="auto"/>
              </w:rPr>
            </w:pPr>
            <w:r>
              <w:rPr>
                <w:color w:val="auto"/>
              </w:rPr>
              <w:t>55</w:t>
            </w:r>
          </w:p>
        </w:tc>
        <w:tc>
          <w:tcPr>
            <w:tcW w:w="1020" w:type="pct"/>
            <w:vAlign w:val="center"/>
          </w:tcPr>
          <w:p>
            <w:pPr>
              <w:pStyle w:val="47"/>
              <w:spacing w:line="240" w:lineRule="auto"/>
              <w:rPr>
                <w:color w:val="auto"/>
              </w:rPr>
            </w:pPr>
            <w:r>
              <w:rPr>
                <w:color w:val="auto"/>
              </w:rPr>
              <w:t>55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286" w:hRule="atLeast"/>
        </w:trPr>
        <w:tc>
          <w:tcPr>
            <w:tcW w:w="549" w:type="pct"/>
            <w:vMerge w:val="continue"/>
            <w:vAlign w:val="center"/>
          </w:tcPr>
          <w:p>
            <w:pPr>
              <w:pStyle w:val="47"/>
              <w:spacing w:line="240" w:lineRule="auto"/>
              <w:rPr>
                <w:color w:val="auto"/>
              </w:rPr>
            </w:pPr>
          </w:p>
        </w:tc>
        <w:tc>
          <w:tcPr>
            <w:tcW w:w="1091" w:type="pct"/>
            <w:vMerge w:val="continue"/>
            <w:vAlign w:val="center"/>
          </w:tcPr>
          <w:p>
            <w:pPr>
              <w:pStyle w:val="47"/>
              <w:spacing w:line="240" w:lineRule="auto"/>
              <w:rPr>
                <w:color w:val="auto"/>
              </w:rPr>
            </w:pPr>
          </w:p>
        </w:tc>
        <w:tc>
          <w:tcPr>
            <w:tcW w:w="1322" w:type="pct"/>
            <w:vAlign w:val="center"/>
          </w:tcPr>
          <w:p>
            <w:pPr>
              <w:pStyle w:val="47"/>
              <w:spacing w:line="240" w:lineRule="auto"/>
              <w:rPr>
                <w:color w:val="auto"/>
              </w:rPr>
            </w:pPr>
            <w:r>
              <w:rPr>
                <w:color w:val="auto"/>
              </w:rPr>
              <w:t>超标值(P)</w:t>
            </w:r>
          </w:p>
        </w:tc>
        <w:tc>
          <w:tcPr>
            <w:tcW w:w="1008" w:type="pct"/>
            <w:vAlign w:val="center"/>
          </w:tcPr>
          <w:p>
            <w:pPr>
              <w:pStyle w:val="47"/>
              <w:spacing w:line="240" w:lineRule="auto"/>
              <w:rPr>
                <w:color w:val="auto"/>
              </w:rPr>
            </w:pPr>
            <w:r>
              <w:rPr>
                <w:color w:val="auto"/>
              </w:rPr>
              <w:t>-</w:t>
            </w:r>
            <w:r>
              <w:rPr>
                <w:rFonts w:hint="eastAsia"/>
                <w:color w:val="auto"/>
              </w:rPr>
              <w:t>9</w:t>
            </w:r>
          </w:p>
        </w:tc>
        <w:tc>
          <w:tcPr>
            <w:tcW w:w="1020" w:type="pct"/>
            <w:vAlign w:val="center"/>
          </w:tcPr>
          <w:p>
            <w:pPr>
              <w:pStyle w:val="47"/>
              <w:spacing w:line="240" w:lineRule="auto"/>
              <w:rPr>
                <w:color w:val="auto"/>
              </w:rPr>
            </w:pPr>
            <w:r>
              <w:rPr>
                <w:color w:val="auto"/>
              </w:rPr>
              <w:t>-</w:t>
            </w:r>
            <w:r>
              <w:rPr>
                <w:rFonts w:hint="eastAsia"/>
                <w:color w:val="auto"/>
              </w:rPr>
              <w:t>7.7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286" w:hRule="atLeast"/>
        </w:trPr>
        <w:tc>
          <w:tcPr>
            <w:tcW w:w="549" w:type="pct"/>
            <w:vMerge w:val="restart"/>
            <w:vAlign w:val="center"/>
          </w:tcPr>
          <w:p>
            <w:pPr>
              <w:pStyle w:val="47"/>
              <w:spacing w:line="240" w:lineRule="auto"/>
              <w:rPr>
                <w:color w:val="auto"/>
              </w:rPr>
            </w:pPr>
            <w:r>
              <w:rPr>
                <w:color w:val="auto"/>
              </w:rPr>
              <w:t>4#</w:t>
            </w:r>
          </w:p>
        </w:tc>
        <w:tc>
          <w:tcPr>
            <w:tcW w:w="1091" w:type="pct"/>
            <w:vMerge w:val="restart"/>
            <w:vAlign w:val="center"/>
          </w:tcPr>
          <w:p>
            <w:pPr>
              <w:pStyle w:val="47"/>
              <w:spacing w:line="240" w:lineRule="auto"/>
              <w:rPr>
                <w:color w:val="auto"/>
              </w:rPr>
            </w:pPr>
            <w:r>
              <w:rPr>
                <w:color w:val="auto"/>
              </w:rPr>
              <w:t>昼间</w:t>
            </w:r>
          </w:p>
        </w:tc>
        <w:tc>
          <w:tcPr>
            <w:tcW w:w="1322" w:type="pct"/>
            <w:vAlign w:val="center"/>
          </w:tcPr>
          <w:p>
            <w:pPr>
              <w:pStyle w:val="47"/>
              <w:spacing w:line="240" w:lineRule="auto"/>
              <w:rPr>
                <w:color w:val="auto"/>
              </w:rPr>
            </w:pPr>
            <w:r>
              <w:rPr>
                <w:color w:val="auto"/>
              </w:rPr>
              <w:t>监测值(Leq)</w:t>
            </w:r>
          </w:p>
        </w:tc>
        <w:tc>
          <w:tcPr>
            <w:tcW w:w="1008" w:type="pct"/>
            <w:vAlign w:val="center"/>
          </w:tcPr>
          <w:p>
            <w:pPr>
              <w:pStyle w:val="47"/>
              <w:spacing w:line="240" w:lineRule="auto"/>
              <w:rPr>
                <w:color w:val="auto"/>
              </w:rPr>
            </w:pPr>
            <w:r>
              <w:rPr>
                <w:rFonts w:hint="eastAsia"/>
                <w:color w:val="auto"/>
              </w:rPr>
              <w:t>52.9</w:t>
            </w:r>
          </w:p>
        </w:tc>
        <w:tc>
          <w:tcPr>
            <w:tcW w:w="1020" w:type="pct"/>
            <w:vAlign w:val="center"/>
          </w:tcPr>
          <w:p>
            <w:pPr>
              <w:pStyle w:val="47"/>
              <w:spacing w:line="240" w:lineRule="auto"/>
              <w:rPr>
                <w:color w:val="auto"/>
              </w:rPr>
            </w:pPr>
            <w:r>
              <w:rPr>
                <w:rFonts w:hint="eastAsia"/>
                <w:color w:val="auto"/>
              </w:rPr>
              <w:t>55.3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286" w:hRule="atLeast"/>
        </w:trPr>
        <w:tc>
          <w:tcPr>
            <w:tcW w:w="549" w:type="pct"/>
            <w:vMerge w:val="continue"/>
            <w:vAlign w:val="center"/>
          </w:tcPr>
          <w:p>
            <w:pPr>
              <w:pStyle w:val="47"/>
              <w:spacing w:line="240" w:lineRule="auto"/>
              <w:rPr>
                <w:color w:val="auto"/>
              </w:rPr>
            </w:pPr>
          </w:p>
        </w:tc>
        <w:tc>
          <w:tcPr>
            <w:tcW w:w="1091" w:type="pct"/>
            <w:vMerge w:val="continue"/>
            <w:vAlign w:val="center"/>
          </w:tcPr>
          <w:p>
            <w:pPr>
              <w:pStyle w:val="47"/>
              <w:spacing w:line="240" w:lineRule="auto"/>
              <w:rPr>
                <w:color w:val="auto"/>
              </w:rPr>
            </w:pPr>
          </w:p>
        </w:tc>
        <w:tc>
          <w:tcPr>
            <w:tcW w:w="1322" w:type="pct"/>
            <w:vAlign w:val="center"/>
          </w:tcPr>
          <w:p>
            <w:pPr>
              <w:pStyle w:val="47"/>
              <w:spacing w:line="240" w:lineRule="auto"/>
              <w:rPr>
                <w:color w:val="auto"/>
              </w:rPr>
            </w:pPr>
            <w:r>
              <w:rPr>
                <w:color w:val="auto"/>
              </w:rPr>
              <w:t>标准值(Lb)</w:t>
            </w:r>
          </w:p>
        </w:tc>
        <w:tc>
          <w:tcPr>
            <w:tcW w:w="1008" w:type="pct"/>
            <w:vAlign w:val="center"/>
          </w:tcPr>
          <w:p>
            <w:pPr>
              <w:pStyle w:val="47"/>
              <w:spacing w:line="240" w:lineRule="auto"/>
              <w:rPr>
                <w:color w:val="auto"/>
              </w:rPr>
            </w:pPr>
            <w:r>
              <w:rPr>
                <w:color w:val="auto"/>
              </w:rPr>
              <w:t>65</w:t>
            </w:r>
          </w:p>
        </w:tc>
        <w:tc>
          <w:tcPr>
            <w:tcW w:w="1020" w:type="pct"/>
            <w:vAlign w:val="center"/>
          </w:tcPr>
          <w:p>
            <w:pPr>
              <w:pStyle w:val="47"/>
              <w:spacing w:line="240" w:lineRule="auto"/>
              <w:rPr>
                <w:color w:val="auto"/>
              </w:rPr>
            </w:pPr>
            <w:r>
              <w:rPr>
                <w:color w:val="auto"/>
              </w:rPr>
              <w:t>65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286" w:hRule="atLeast"/>
        </w:trPr>
        <w:tc>
          <w:tcPr>
            <w:tcW w:w="549" w:type="pct"/>
            <w:vMerge w:val="continue"/>
            <w:vAlign w:val="center"/>
          </w:tcPr>
          <w:p>
            <w:pPr>
              <w:pStyle w:val="47"/>
              <w:spacing w:line="240" w:lineRule="auto"/>
              <w:rPr>
                <w:color w:val="auto"/>
              </w:rPr>
            </w:pPr>
          </w:p>
        </w:tc>
        <w:tc>
          <w:tcPr>
            <w:tcW w:w="1091" w:type="pct"/>
            <w:vMerge w:val="continue"/>
            <w:vAlign w:val="center"/>
          </w:tcPr>
          <w:p>
            <w:pPr>
              <w:pStyle w:val="47"/>
              <w:spacing w:line="240" w:lineRule="auto"/>
              <w:rPr>
                <w:color w:val="auto"/>
              </w:rPr>
            </w:pPr>
          </w:p>
        </w:tc>
        <w:tc>
          <w:tcPr>
            <w:tcW w:w="1322" w:type="pct"/>
            <w:vAlign w:val="center"/>
          </w:tcPr>
          <w:p>
            <w:pPr>
              <w:pStyle w:val="47"/>
              <w:spacing w:line="240" w:lineRule="auto"/>
              <w:rPr>
                <w:color w:val="auto"/>
              </w:rPr>
            </w:pPr>
            <w:r>
              <w:rPr>
                <w:color w:val="auto"/>
              </w:rPr>
              <w:t>超标值(P)</w:t>
            </w:r>
          </w:p>
        </w:tc>
        <w:tc>
          <w:tcPr>
            <w:tcW w:w="1008" w:type="pct"/>
            <w:vAlign w:val="center"/>
          </w:tcPr>
          <w:p>
            <w:pPr>
              <w:pStyle w:val="47"/>
              <w:spacing w:line="240" w:lineRule="auto"/>
              <w:rPr>
                <w:color w:val="auto"/>
              </w:rPr>
            </w:pPr>
            <w:r>
              <w:rPr>
                <w:color w:val="auto"/>
              </w:rPr>
              <w:t>-1</w:t>
            </w:r>
            <w:r>
              <w:rPr>
                <w:rFonts w:hint="eastAsia"/>
                <w:color w:val="auto"/>
              </w:rPr>
              <w:t>2.1</w:t>
            </w:r>
          </w:p>
        </w:tc>
        <w:tc>
          <w:tcPr>
            <w:tcW w:w="1020" w:type="pct"/>
            <w:vAlign w:val="center"/>
          </w:tcPr>
          <w:p>
            <w:pPr>
              <w:pStyle w:val="47"/>
              <w:spacing w:line="240" w:lineRule="auto"/>
              <w:rPr>
                <w:color w:val="auto"/>
              </w:rPr>
            </w:pPr>
            <w:r>
              <w:rPr>
                <w:color w:val="auto"/>
              </w:rPr>
              <w:t>-</w:t>
            </w:r>
            <w:r>
              <w:rPr>
                <w:rFonts w:hint="eastAsia"/>
                <w:color w:val="auto"/>
              </w:rPr>
              <w:t>9.7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286" w:hRule="atLeast"/>
        </w:trPr>
        <w:tc>
          <w:tcPr>
            <w:tcW w:w="549" w:type="pct"/>
            <w:vMerge w:val="continue"/>
            <w:vAlign w:val="center"/>
          </w:tcPr>
          <w:p>
            <w:pPr>
              <w:pStyle w:val="47"/>
              <w:spacing w:line="240" w:lineRule="auto"/>
              <w:rPr>
                <w:color w:val="auto"/>
              </w:rPr>
            </w:pPr>
          </w:p>
        </w:tc>
        <w:tc>
          <w:tcPr>
            <w:tcW w:w="1091" w:type="pct"/>
            <w:vMerge w:val="restart"/>
            <w:vAlign w:val="center"/>
          </w:tcPr>
          <w:p>
            <w:pPr>
              <w:pStyle w:val="47"/>
              <w:spacing w:line="240" w:lineRule="auto"/>
              <w:rPr>
                <w:color w:val="auto"/>
              </w:rPr>
            </w:pPr>
            <w:r>
              <w:rPr>
                <w:color w:val="auto"/>
              </w:rPr>
              <w:t>夜间</w:t>
            </w:r>
          </w:p>
        </w:tc>
        <w:tc>
          <w:tcPr>
            <w:tcW w:w="1322" w:type="pct"/>
            <w:vAlign w:val="center"/>
          </w:tcPr>
          <w:p>
            <w:pPr>
              <w:pStyle w:val="47"/>
              <w:spacing w:line="240" w:lineRule="auto"/>
              <w:rPr>
                <w:color w:val="auto"/>
              </w:rPr>
            </w:pPr>
            <w:r>
              <w:rPr>
                <w:color w:val="auto"/>
              </w:rPr>
              <w:t>监测值(Leq)</w:t>
            </w:r>
          </w:p>
        </w:tc>
        <w:tc>
          <w:tcPr>
            <w:tcW w:w="1008" w:type="pct"/>
            <w:vAlign w:val="center"/>
          </w:tcPr>
          <w:p>
            <w:pPr>
              <w:pStyle w:val="47"/>
              <w:spacing w:line="240" w:lineRule="auto"/>
              <w:rPr>
                <w:color w:val="auto"/>
              </w:rPr>
            </w:pPr>
            <w:r>
              <w:rPr>
                <w:rFonts w:hint="eastAsia"/>
                <w:color w:val="auto"/>
              </w:rPr>
              <w:t>45.4</w:t>
            </w:r>
          </w:p>
        </w:tc>
        <w:tc>
          <w:tcPr>
            <w:tcW w:w="1020" w:type="pct"/>
            <w:vAlign w:val="center"/>
          </w:tcPr>
          <w:p>
            <w:pPr>
              <w:pStyle w:val="47"/>
              <w:spacing w:line="240" w:lineRule="auto"/>
              <w:rPr>
                <w:color w:val="auto"/>
              </w:rPr>
            </w:pPr>
            <w:r>
              <w:rPr>
                <w:rFonts w:hint="eastAsia"/>
                <w:color w:val="auto"/>
              </w:rPr>
              <w:t>45.2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286" w:hRule="atLeast"/>
        </w:trPr>
        <w:tc>
          <w:tcPr>
            <w:tcW w:w="549" w:type="pct"/>
            <w:vMerge w:val="continue"/>
            <w:vAlign w:val="center"/>
          </w:tcPr>
          <w:p>
            <w:pPr>
              <w:pStyle w:val="47"/>
              <w:spacing w:line="240" w:lineRule="auto"/>
              <w:rPr>
                <w:color w:val="auto"/>
              </w:rPr>
            </w:pPr>
          </w:p>
        </w:tc>
        <w:tc>
          <w:tcPr>
            <w:tcW w:w="1091" w:type="pct"/>
            <w:vMerge w:val="continue"/>
            <w:vAlign w:val="center"/>
          </w:tcPr>
          <w:p>
            <w:pPr>
              <w:pStyle w:val="47"/>
              <w:spacing w:line="240" w:lineRule="auto"/>
              <w:rPr>
                <w:color w:val="auto"/>
              </w:rPr>
            </w:pPr>
          </w:p>
        </w:tc>
        <w:tc>
          <w:tcPr>
            <w:tcW w:w="1322" w:type="pct"/>
            <w:vAlign w:val="center"/>
          </w:tcPr>
          <w:p>
            <w:pPr>
              <w:pStyle w:val="47"/>
              <w:spacing w:line="240" w:lineRule="auto"/>
              <w:rPr>
                <w:color w:val="auto"/>
              </w:rPr>
            </w:pPr>
            <w:r>
              <w:rPr>
                <w:color w:val="auto"/>
              </w:rPr>
              <w:t>标准值(Lb)</w:t>
            </w:r>
          </w:p>
        </w:tc>
        <w:tc>
          <w:tcPr>
            <w:tcW w:w="1008" w:type="pct"/>
            <w:vAlign w:val="center"/>
          </w:tcPr>
          <w:p>
            <w:pPr>
              <w:pStyle w:val="47"/>
              <w:spacing w:line="240" w:lineRule="auto"/>
              <w:rPr>
                <w:color w:val="auto"/>
              </w:rPr>
            </w:pPr>
            <w:r>
              <w:rPr>
                <w:color w:val="auto"/>
              </w:rPr>
              <w:t>55</w:t>
            </w:r>
          </w:p>
        </w:tc>
        <w:tc>
          <w:tcPr>
            <w:tcW w:w="1020" w:type="pct"/>
            <w:vAlign w:val="center"/>
          </w:tcPr>
          <w:p>
            <w:pPr>
              <w:pStyle w:val="47"/>
              <w:spacing w:line="240" w:lineRule="auto"/>
              <w:rPr>
                <w:color w:val="auto"/>
              </w:rPr>
            </w:pPr>
            <w:r>
              <w:rPr>
                <w:color w:val="auto"/>
              </w:rPr>
              <w:t>55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gridAfter w:val="1"/>
          <w:wAfter w:w="8" w:type="pct"/>
          <w:trHeight w:val="286" w:hRule="atLeast"/>
        </w:trPr>
        <w:tc>
          <w:tcPr>
            <w:tcW w:w="549" w:type="pct"/>
            <w:vMerge w:val="continue"/>
            <w:vAlign w:val="center"/>
          </w:tcPr>
          <w:p>
            <w:pPr>
              <w:pStyle w:val="47"/>
              <w:spacing w:line="240" w:lineRule="auto"/>
              <w:rPr>
                <w:color w:val="auto"/>
              </w:rPr>
            </w:pPr>
          </w:p>
        </w:tc>
        <w:tc>
          <w:tcPr>
            <w:tcW w:w="1091" w:type="pct"/>
            <w:vMerge w:val="continue"/>
            <w:vAlign w:val="center"/>
          </w:tcPr>
          <w:p>
            <w:pPr>
              <w:pStyle w:val="47"/>
              <w:spacing w:line="240" w:lineRule="auto"/>
              <w:rPr>
                <w:color w:val="auto"/>
              </w:rPr>
            </w:pPr>
          </w:p>
        </w:tc>
        <w:tc>
          <w:tcPr>
            <w:tcW w:w="1322" w:type="pct"/>
            <w:vAlign w:val="center"/>
          </w:tcPr>
          <w:p>
            <w:pPr>
              <w:pStyle w:val="47"/>
              <w:spacing w:line="240" w:lineRule="auto"/>
              <w:rPr>
                <w:color w:val="auto"/>
              </w:rPr>
            </w:pPr>
            <w:r>
              <w:rPr>
                <w:color w:val="auto"/>
              </w:rPr>
              <w:t>超标值(P)</w:t>
            </w:r>
          </w:p>
        </w:tc>
        <w:tc>
          <w:tcPr>
            <w:tcW w:w="1008" w:type="pct"/>
            <w:vAlign w:val="center"/>
          </w:tcPr>
          <w:p>
            <w:pPr>
              <w:pStyle w:val="47"/>
              <w:spacing w:line="240" w:lineRule="auto"/>
              <w:rPr>
                <w:color w:val="auto"/>
              </w:rPr>
            </w:pPr>
            <w:r>
              <w:rPr>
                <w:color w:val="auto"/>
              </w:rPr>
              <w:t>-</w:t>
            </w:r>
            <w:r>
              <w:rPr>
                <w:rFonts w:hint="eastAsia"/>
                <w:color w:val="auto"/>
              </w:rPr>
              <w:t>9.6</w:t>
            </w:r>
          </w:p>
        </w:tc>
        <w:tc>
          <w:tcPr>
            <w:tcW w:w="1020" w:type="pct"/>
            <w:vAlign w:val="center"/>
          </w:tcPr>
          <w:p>
            <w:pPr>
              <w:pStyle w:val="47"/>
              <w:spacing w:line="240" w:lineRule="auto"/>
              <w:rPr>
                <w:color w:val="auto"/>
              </w:rPr>
            </w:pPr>
            <w:r>
              <w:rPr>
                <w:color w:val="auto"/>
              </w:rPr>
              <w:t>-</w:t>
            </w:r>
            <w:r>
              <w:rPr>
                <w:rFonts w:hint="eastAsia"/>
                <w:color w:val="auto"/>
              </w:rPr>
              <w:t>9.8</w:t>
            </w:r>
          </w:p>
        </w:tc>
      </w:tr>
    </w:tbl>
    <w:p>
      <w:pPr>
        <w:ind w:firstLine="480"/>
        <w:rPr>
          <w:rFonts w:hint="default" w:eastAsia="宋体"/>
          <w:color w:val="auto"/>
          <w:lang w:val="en-US" w:eastAsia="zh-CN"/>
        </w:rPr>
      </w:pPr>
      <w:r>
        <w:rPr>
          <w:color w:val="auto"/>
        </w:rPr>
        <w:t>由上表可以看出，北、南、西</w:t>
      </w:r>
      <w:r>
        <w:rPr>
          <w:rFonts w:hint="eastAsia"/>
          <w:color w:val="auto"/>
        </w:rPr>
        <w:t>、东</w:t>
      </w:r>
      <w:r>
        <w:rPr>
          <w:color w:val="auto"/>
        </w:rPr>
        <w:t>厂界昼、夜间噪声均能满足《声环境质量标准》（GB3096-2008）中</w:t>
      </w:r>
      <w:r>
        <w:rPr>
          <w:rFonts w:hint="eastAsia"/>
          <w:color w:val="auto"/>
          <w:lang w:eastAsia="zh-CN"/>
        </w:rPr>
        <w:t>2类标准</w:t>
      </w:r>
      <w:r>
        <w:rPr>
          <w:color w:val="auto"/>
        </w:rPr>
        <w:t>。</w:t>
      </w:r>
      <w:r>
        <w:rPr>
          <w:rFonts w:hint="eastAsia"/>
          <w:color w:val="auto"/>
          <w:lang w:val="en-US" w:eastAsia="zh-CN"/>
        </w:rPr>
        <w:t>西北方向180m处的谢营村能满足</w:t>
      </w:r>
      <w:r>
        <w:rPr>
          <w:color w:val="auto"/>
        </w:rPr>
        <w:t>《声环境质量标准》（GB3096-2008）中</w:t>
      </w:r>
      <w:r>
        <w:rPr>
          <w:rFonts w:hint="eastAsia"/>
          <w:color w:val="auto"/>
          <w:lang w:val="en-US" w:eastAsia="zh-CN"/>
        </w:rPr>
        <w:t>2</w:t>
      </w:r>
      <w:r>
        <w:rPr>
          <w:color w:val="auto"/>
        </w:rPr>
        <w:t>类标准</w:t>
      </w:r>
      <w:r>
        <w:rPr>
          <w:rFonts w:hint="eastAsia"/>
          <w:color w:val="auto"/>
          <w:lang w:eastAsia="zh-CN"/>
        </w:rPr>
        <w:t>。</w:t>
      </w:r>
      <w:r>
        <w:rPr>
          <w:rFonts w:hint="eastAsia"/>
          <w:color w:val="auto"/>
          <w:lang w:val="en-US" w:eastAsia="zh-CN"/>
        </w:rPr>
        <w:t>现状夜间噪声明显低于昼间噪声主要是园区内大部分企业夜间不生产。</w:t>
      </w:r>
    </w:p>
    <w:p>
      <w:pPr>
        <w:pStyle w:val="8"/>
        <w:spacing w:before="0" w:beforeLines="0" w:after="0" w:afterLines="0" w:line="360" w:lineRule="auto"/>
        <w:rPr>
          <w:color w:val="auto"/>
        </w:rPr>
      </w:pPr>
      <w:bookmarkStart w:id="264" w:name="_Toc22463"/>
      <w:bookmarkStart w:id="265" w:name="_Toc28616"/>
      <w:r>
        <w:rPr>
          <w:rFonts w:hint="eastAsia"/>
          <w:color w:val="auto"/>
        </w:rPr>
        <w:t>4</w:t>
      </w:r>
      <w:r>
        <w:rPr>
          <w:color w:val="auto"/>
        </w:rPr>
        <w:t>.5 土壤环境现状调查与评价</w:t>
      </w:r>
      <w:bookmarkEnd w:id="264"/>
      <w:bookmarkEnd w:id="265"/>
    </w:p>
    <w:p>
      <w:pPr>
        <w:pStyle w:val="9"/>
        <w:spacing w:before="0" w:beforeLines="0" w:after="0" w:afterLines="0" w:line="360" w:lineRule="auto"/>
        <w:rPr>
          <w:color w:val="auto"/>
        </w:rPr>
      </w:pPr>
      <w:r>
        <w:rPr>
          <w:rFonts w:hint="eastAsia"/>
          <w:color w:val="auto"/>
        </w:rPr>
        <w:t>4</w:t>
      </w:r>
      <w:r>
        <w:rPr>
          <w:color w:val="auto"/>
        </w:rPr>
        <w:t>.5.1 土地利用历史及现状调查</w:t>
      </w:r>
    </w:p>
    <w:p>
      <w:pPr>
        <w:pStyle w:val="10"/>
        <w:spacing w:line="360" w:lineRule="auto"/>
        <w:rPr>
          <w:color w:val="auto"/>
        </w:rPr>
      </w:pPr>
      <w:r>
        <w:rPr>
          <w:rFonts w:hint="eastAsia"/>
          <w:color w:val="auto"/>
        </w:rPr>
        <w:t>4</w:t>
      </w:r>
      <w:r>
        <w:rPr>
          <w:color w:val="auto"/>
        </w:rPr>
        <w:t>.5.1.1 土地利用历史</w:t>
      </w:r>
    </w:p>
    <w:p>
      <w:pPr>
        <w:ind w:firstLine="480"/>
        <w:rPr>
          <w:color w:val="auto"/>
        </w:rPr>
      </w:pPr>
      <w:r>
        <w:rPr>
          <w:color w:val="auto"/>
        </w:rPr>
        <w:t>根据土地利用调查结果，该地块涉及2段</w:t>
      </w:r>
      <w:r>
        <w:rPr>
          <w:rFonts w:hint="eastAsia"/>
          <w:color w:val="auto"/>
        </w:rPr>
        <w:t>工业</w:t>
      </w:r>
      <w:r>
        <w:rPr>
          <w:color w:val="auto"/>
        </w:rPr>
        <w:t>活动利用历史，地块利用历史见表</w:t>
      </w:r>
      <w:r>
        <w:rPr>
          <w:rFonts w:hint="eastAsia"/>
          <w:color w:val="auto"/>
        </w:rPr>
        <w:t>4</w:t>
      </w:r>
      <w:r>
        <w:rPr>
          <w:color w:val="auto"/>
        </w:rPr>
        <w:t>.5-1。</w:t>
      </w:r>
    </w:p>
    <w:p>
      <w:pPr>
        <w:pStyle w:val="48"/>
        <w:spacing w:line="360" w:lineRule="auto"/>
        <w:rPr>
          <w:bCs/>
          <w:color w:val="auto"/>
        </w:rPr>
      </w:pPr>
      <w:r>
        <w:rPr>
          <w:bCs/>
          <w:color w:val="auto"/>
        </w:rPr>
        <w:t>表</w:t>
      </w:r>
      <w:r>
        <w:rPr>
          <w:rFonts w:hint="eastAsia"/>
          <w:bCs/>
          <w:color w:val="auto"/>
        </w:rPr>
        <w:t>4</w:t>
      </w:r>
      <w:r>
        <w:rPr>
          <w:bCs/>
          <w:color w:val="auto"/>
        </w:rPr>
        <w:t xml:space="preserve">.5-1  </w:t>
      </w:r>
      <w:r>
        <w:rPr>
          <w:rFonts w:hint="eastAsia"/>
          <w:bCs/>
          <w:color w:val="auto"/>
        </w:rPr>
        <w:t>山东朗净新材料科技有限公司</w:t>
      </w:r>
      <w:r>
        <w:rPr>
          <w:bCs/>
          <w:color w:val="auto"/>
        </w:rPr>
        <w:t>土地利用历史</w:t>
      </w:r>
    </w:p>
    <w:tbl>
      <w:tblPr>
        <w:tblStyle w:val="22"/>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739"/>
        <w:gridCol w:w="1007"/>
        <w:gridCol w:w="1175"/>
        <w:gridCol w:w="2857"/>
        <w:gridCol w:w="2257"/>
        <w:gridCol w:w="125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98" w:type="pct"/>
            <w:vAlign w:val="center"/>
          </w:tcPr>
          <w:p>
            <w:pPr>
              <w:pStyle w:val="47"/>
              <w:spacing w:line="240" w:lineRule="auto"/>
              <w:rPr>
                <w:b/>
                <w:bCs/>
                <w:color w:val="auto"/>
                <w:szCs w:val="21"/>
              </w:rPr>
            </w:pPr>
            <w:r>
              <w:rPr>
                <w:b/>
                <w:bCs/>
                <w:color w:val="auto"/>
                <w:szCs w:val="21"/>
              </w:rPr>
              <w:t>序号</w:t>
            </w:r>
          </w:p>
        </w:tc>
        <w:tc>
          <w:tcPr>
            <w:tcW w:w="542" w:type="pct"/>
            <w:vAlign w:val="center"/>
          </w:tcPr>
          <w:p>
            <w:pPr>
              <w:pStyle w:val="47"/>
              <w:spacing w:line="240" w:lineRule="auto"/>
              <w:rPr>
                <w:b/>
                <w:bCs/>
                <w:color w:val="auto"/>
                <w:szCs w:val="21"/>
              </w:rPr>
            </w:pPr>
            <w:r>
              <w:rPr>
                <w:b/>
                <w:bCs/>
                <w:color w:val="auto"/>
                <w:szCs w:val="21"/>
              </w:rPr>
              <w:t>起（年）</w:t>
            </w:r>
          </w:p>
        </w:tc>
        <w:tc>
          <w:tcPr>
            <w:tcW w:w="632" w:type="pct"/>
            <w:vAlign w:val="center"/>
          </w:tcPr>
          <w:p>
            <w:pPr>
              <w:pStyle w:val="47"/>
              <w:spacing w:line="240" w:lineRule="auto"/>
              <w:rPr>
                <w:b/>
                <w:bCs/>
                <w:color w:val="auto"/>
                <w:szCs w:val="21"/>
              </w:rPr>
            </w:pPr>
            <w:r>
              <w:rPr>
                <w:b/>
                <w:bCs/>
                <w:color w:val="auto"/>
                <w:szCs w:val="21"/>
              </w:rPr>
              <w:t>止（年）</w:t>
            </w:r>
          </w:p>
        </w:tc>
        <w:tc>
          <w:tcPr>
            <w:tcW w:w="1537" w:type="pct"/>
            <w:vAlign w:val="center"/>
          </w:tcPr>
          <w:p>
            <w:pPr>
              <w:pStyle w:val="47"/>
              <w:spacing w:line="240" w:lineRule="auto"/>
              <w:rPr>
                <w:b/>
                <w:bCs/>
                <w:color w:val="auto"/>
                <w:szCs w:val="21"/>
              </w:rPr>
            </w:pPr>
            <w:r>
              <w:rPr>
                <w:rFonts w:hint="eastAsia"/>
                <w:b/>
                <w:bCs/>
                <w:color w:val="auto"/>
                <w:szCs w:val="21"/>
              </w:rPr>
              <w:t>用途</w:t>
            </w:r>
          </w:p>
        </w:tc>
        <w:tc>
          <w:tcPr>
            <w:tcW w:w="1214" w:type="pct"/>
            <w:vAlign w:val="center"/>
          </w:tcPr>
          <w:p>
            <w:pPr>
              <w:pStyle w:val="47"/>
              <w:spacing w:line="240" w:lineRule="auto"/>
              <w:rPr>
                <w:b/>
                <w:bCs/>
                <w:color w:val="auto"/>
                <w:szCs w:val="21"/>
              </w:rPr>
            </w:pPr>
            <w:r>
              <w:rPr>
                <w:b/>
                <w:bCs/>
                <w:color w:val="auto"/>
                <w:szCs w:val="21"/>
              </w:rPr>
              <w:t>主要产品</w:t>
            </w:r>
          </w:p>
        </w:tc>
        <w:tc>
          <w:tcPr>
            <w:tcW w:w="674" w:type="pct"/>
            <w:vAlign w:val="center"/>
          </w:tcPr>
          <w:p>
            <w:pPr>
              <w:pStyle w:val="47"/>
              <w:spacing w:line="240" w:lineRule="auto"/>
              <w:rPr>
                <w:b/>
                <w:bCs/>
                <w:color w:val="auto"/>
                <w:szCs w:val="21"/>
              </w:rPr>
            </w:pPr>
            <w:r>
              <w:rPr>
                <w:b/>
                <w:bCs/>
                <w:color w:val="auto"/>
                <w:szCs w:val="21"/>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98" w:type="pct"/>
            <w:vAlign w:val="center"/>
          </w:tcPr>
          <w:p>
            <w:pPr>
              <w:pStyle w:val="47"/>
              <w:spacing w:line="240" w:lineRule="auto"/>
              <w:rPr>
                <w:color w:val="auto"/>
                <w:szCs w:val="21"/>
              </w:rPr>
            </w:pPr>
            <w:r>
              <w:rPr>
                <w:color w:val="auto"/>
                <w:szCs w:val="21"/>
              </w:rPr>
              <w:t>①</w:t>
            </w:r>
          </w:p>
        </w:tc>
        <w:tc>
          <w:tcPr>
            <w:tcW w:w="542" w:type="pct"/>
            <w:vAlign w:val="center"/>
          </w:tcPr>
          <w:p>
            <w:pPr>
              <w:pStyle w:val="47"/>
              <w:spacing w:line="240" w:lineRule="auto"/>
              <w:rPr>
                <w:color w:val="auto"/>
                <w:szCs w:val="21"/>
              </w:rPr>
            </w:pPr>
            <w:r>
              <w:rPr>
                <w:color w:val="auto"/>
                <w:szCs w:val="21"/>
              </w:rPr>
              <w:t>201</w:t>
            </w:r>
            <w:r>
              <w:rPr>
                <w:rFonts w:hint="eastAsia"/>
                <w:color w:val="auto"/>
                <w:szCs w:val="21"/>
              </w:rPr>
              <w:t>7</w:t>
            </w:r>
            <w:r>
              <w:rPr>
                <w:color w:val="auto"/>
                <w:szCs w:val="21"/>
              </w:rPr>
              <w:t>年</w:t>
            </w:r>
          </w:p>
        </w:tc>
        <w:tc>
          <w:tcPr>
            <w:tcW w:w="632" w:type="pct"/>
            <w:vAlign w:val="center"/>
          </w:tcPr>
          <w:p>
            <w:pPr>
              <w:pStyle w:val="47"/>
              <w:spacing w:line="240" w:lineRule="auto"/>
              <w:rPr>
                <w:color w:val="auto"/>
                <w:szCs w:val="21"/>
              </w:rPr>
            </w:pPr>
            <w:r>
              <w:rPr>
                <w:color w:val="auto"/>
                <w:szCs w:val="21"/>
              </w:rPr>
              <w:t>至今</w:t>
            </w:r>
          </w:p>
        </w:tc>
        <w:tc>
          <w:tcPr>
            <w:tcW w:w="1537" w:type="pct"/>
            <w:vAlign w:val="center"/>
          </w:tcPr>
          <w:p>
            <w:pPr>
              <w:pStyle w:val="47"/>
              <w:spacing w:line="240" w:lineRule="auto"/>
              <w:rPr>
                <w:color w:val="auto"/>
                <w:szCs w:val="21"/>
              </w:rPr>
            </w:pPr>
            <w:r>
              <w:rPr>
                <w:rFonts w:hint="eastAsia"/>
                <w:color w:val="auto"/>
                <w:szCs w:val="21"/>
              </w:rPr>
              <w:t>闲置院落</w:t>
            </w:r>
          </w:p>
        </w:tc>
        <w:tc>
          <w:tcPr>
            <w:tcW w:w="1214" w:type="pct"/>
            <w:vAlign w:val="center"/>
          </w:tcPr>
          <w:p>
            <w:pPr>
              <w:pStyle w:val="47"/>
              <w:spacing w:line="240" w:lineRule="auto"/>
              <w:rPr>
                <w:color w:val="auto"/>
                <w:szCs w:val="21"/>
              </w:rPr>
            </w:pPr>
            <w:r>
              <w:rPr>
                <w:rFonts w:hint="eastAsia"/>
                <w:color w:val="auto"/>
                <w:szCs w:val="21"/>
              </w:rPr>
              <w:t>/</w:t>
            </w:r>
          </w:p>
        </w:tc>
        <w:tc>
          <w:tcPr>
            <w:tcW w:w="674" w:type="pct"/>
            <w:vAlign w:val="center"/>
          </w:tcPr>
          <w:p>
            <w:pPr>
              <w:pStyle w:val="47"/>
              <w:spacing w:line="240" w:lineRule="auto"/>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98" w:type="pct"/>
            <w:vAlign w:val="center"/>
          </w:tcPr>
          <w:p>
            <w:pPr>
              <w:pStyle w:val="47"/>
              <w:spacing w:line="240" w:lineRule="auto"/>
              <w:rPr>
                <w:color w:val="auto"/>
                <w:szCs w:val="21"/>
              </w:rPr>
            </w:pPr>
            <w:r>
              <w:rPr>
                <w:color w:val="auto"/>
                <w:szCs w:val="21"/>
              </w:rPr>
              <w:t>②</w:t>
            </w:r>
          </w:p>
        </w:tc>
        <w:tc>
          <w:tcPr>
            <w:tcW w:w="542" w:type="pct"/>
            <w:vAlign w:val="center"/>
          </w:tcPr>
          <w:p>
            <w:pPr>
              <w:pStyle w:val="47"/>
              <w:spacing w:line="240" w:lineRule="auto"/>
              <w:rPr>
                <w:color w:val="auto"/>
                <w:szCs w:val="21"/>
              </w:rPr>
            </w:pPr>
            <w:r>
              <w:rPr>
                <w:rFonts w:hint="eastAsia"/>
                <w:color w:val="auto"/>
                <w:szCs w:val="21"/>
              </w:rPr>
              <w:t>--</w:t>
            </w:r>
          </w:p>
        </w:tc>
        <w:tc>
          <w:tcPr>
            <w:tcW w:w="632" w:type="pct"/>
            <w:vAlign w:val="center"/>
          </w:tcPr>
          <w:p>
            <w:pPr>
              <w:pStyle w:val="47"/>
              <w:spacing w:line="240" w:lineRule="auto"/>
              <w:rPr>
                <w:color w:val="auto"/>
                <w:szCs w:val="21"/>
              </w:rPr>
            </w:pPr>
            <w:r>
              <w:rPr>
                <w:color w:val="auto"/>
                <w:szCs w:val="21"/>
              </w:rPr>
              <w:t>201</w:t>
            </w:r>
            <w:r>
              <w:rPr>
                <w:rFonts w:hint="eastAsia"/>
                <w:color w:val="auto"/>
                <w:szCs w:val="21"/>
              </w:rPr>
              <w:t>7</w:t>
            </w:r>
            <w:r>
              <w:rPr>
                <w:color w:val="auto"/>
                <w:szCs w:val="21"/>
              </w:rPr>
              <w:t>年</w:t>
            </w:r>
          </w:p>
        </w:tc>
        <w:tc>
          <w:tcPr>
            <w:tcW w:w="1537" w:type="pct"/>
            <w:vAlign w:val="center"/>
          </w:tcPr>
          <w:p>
            <w:pPr>
              <w:pStyle w:val="47"/>
              <w:spacing w:line="240" w:lineRule="auto"/>
              <w:rPr>
                <w:color w:val="auto"/>
                <w:szCs w:val="21"/>
              </w:rPr>
            </w:pPr>
            <w:r>
              <w:rPr>
                <w:color w:val="auto"/>
                <w:szCs w:val="21"/>
              </w:rPr>
              <w:t>农田</w:t>
            </w:r>
          </w:p>
        </w:tc>
        <w:tc>
          <w:tcPr>
            <w:tcW w:w="1214" w:type="pct"/>
            <w:vAlign w:val="center"/>
          </w:tcPr>
          <w:p>
            <w:pPr>
              <w:pStyle w:val="47"/>
              <w:spacing w:line="240" w:lineRule="auto"/>
              <w:rPr>
                <w:color w:val="auto"/>
                <w:szCs w:val="21"/>
              </w:rPr>
            </w:pPr>
            <w:r>
              <w:rPr>
                <w:color w:val="auto"/>
                <w:szCs w:val="21"/>
              </w:rPr>
              <w:t>/</w:t>
            </w:r>
          </w:p>
        </w:tc>
        <w:tc>
          <w:tcPr>
            <w:tcW w:w="674" w:type="pct"/>
            <w:vAlign w:val="center"/>
          </w:tcPr>
          <w:p>
            <w:pPr>
              <w:pStyle w:val="47"/>
              <w:spacing w:line="240" w:lineRule="auto"/>
              <w:rPr>
                <w:color w:val="auto"/>
                <w:szCs w:val="21"/>
              </w:rPr>
            </w:pPr>
          </w:p>
        </w:tc>
      </w:tr>
    </w:tbl>
    <w:p>
      <w:pPr>
        <w:pStyle w:val="10"/>
        <w:keepNext/>
        <w:keepLines/>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color w:val="auto"/>
          <w:kern w:val="2"/>
          <w:sz w:val="24"/>
          <w:lang w:val="en-US" w:eastAsia="zh-CN" w:bidi="ar-SA"/>
        </w:rPr>
      </w:pPr>
      <w:r>
        <w:rPr>
          <w:rFonts w:hint="eastAsia" w:ascii="Times New Roman" w:hAnsi="Times New Roman" w:eastAsia="宋体" w:cs="Times New Roman"/>
          <w:b w:val="0"/>
          <w:color w:val="auto"/>
          <w:kern w:val="2"/>
          <w:sz w:val="24"/>
          <w:lang w:val="en-US" w:eastAsia="zh-CN" w:bidi="ar-SA"/>
        </w:rPr>
        <w:t>根据调查，本项目厂址所在地块原为解营村农田，后划入淄博科技工业园作为工业用地使用，谢营村村委会2017年建设本院落，拟作为厂房或仓库出租，2017年至2021年未使用，2022年山东朗净新材料科技有限公司租赁。</w:t>
      </w:r>
    </w:p>
    <w:p>
      <w:pPr>
        <w:pStyle w:val="10"/>
        <w:spacing w:line="360" w:lineRule="auto"/>
        <w:rPr>
          <w:color w:val="auto"/>
        </w:rPr>
      </w:pPr>
      <w:r>
        <w:rPr>
          <w:rFonts w:hint="eastAsia"/>
          <w:color w:val="auto"/>
        </w:rPr>
        <w:t>4</w:t>
      </w:r>
      <w:r>
        <w:rPr>
          <w:color w:val="auto"/>
        </w:rPr>
        <w:t>.5.1.2 土地利用现状调查</w:t>
      </w:r>
    </w:p>
    <w:p>
      <w:pPr>
        <w:ind w:firstLine="480"/>
        <w:rPr>
          <w:color w:val="auto"/>
        </w:rPr>
      </w:pPr>
      <w:r>
        <w:rPr>
          <w:color w:val="auto"/>
        </w:rPr>
        <w:t>企业及周边土地利用现状见图</w:t>
      </w:r>
      <w:r>
        <w:rPr>
          <w:rFonts w:hint="eastAsia"/>
          <w:color w:val="auto"/>
        </w:rPr>
        <w:t>4</w:t>
      </w:r>
      <w:r>
        <w:rPr>
          <w:color w:val="auto"/>
        </w:rPr>
        <w:t>.5-1。</w:t>
      </w:r>
    </w:p>
    <w:p>
      <w:pPr>
        <w:pStyle w:val="2"/>
        <w:spacing w:after="0"/>
        <w:ind w:firstLine="480"/>
        <w:rPr>
          <w:color w:val="auto"/>
        </w:rPr>
        <w:sectPr>
          <w:headerReference r:id="rId31" w:type="default"/>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pPr>
        <w:ind w:firstLine="480"/>
        <w:jc w:val="center"/>
        <w:rPr>
          <w:rFonts w:eastAsia="黑体"/>
          <w:color w:val="auto"/>
          <w:sz w:val="21"/>
          <w:szCs w:val="21"/>
        </w:rPr>
        <w:sectPr>
          <w:headerReference r:id="rId32" w:type="default"/>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color w:val="auto"/>
        </w:rPr>
        <w:drawing>
          <wp:anchor distT="0" distB="0" distL="114300" distR="114300" simplePos="0" relativeHeight="251693056" behindDoc="0" locked="0" layoutInCell="1" allowOverlap="1">
            <wp:simplePos x="0" y="0"/>
            <wp:positionH relativeFrom="column">
              <wp:posOffset>948690</wp:posOffset>
            </wp:positionH>
            <wp:positionV relativeFrom="paragraph">
              <wp:posOffset>37465</wp:posOffset>
            </wp:positionV>
            <wp:extent cx="7348220" cy="4741545"/>
            <wp:effectExtent l="0" t="0" r="5080" b="1905"/>
            <wp:wrapTopAndBottom/>
            <wp:docPr id="76" name="图片 76" descr="165717698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1657176981965"/>
                    <pic:cNvPicPr>
                      <a:picLocks noChangeAspect="1"/>
                    </pic:cNvPicPr>
                  </pic:nvPicPr>
                  <pic:blipFill>
                    <a:blip r:embed="rId98"/>
                    <a:stretch>
                      <a:fillRect/>
                    </a:stretch>
                  </pic:blipFill>
                  <pic:spPr>
                    <a:xfrm>
                      <a:off x="0" y="0"/>
                      <a:ext cx="7348220" cy="4741545"/>
                    </a:xfrm>
                    <a:prstGeom prst="rect">
                      <a:avLst/>
                    </a:prstGeom>
                  </pic:spPr>
                </pic:pic>
              </a:graphicData>
            </a:graphic>
          </wp:anchor>
        </w:drawing>
      </w:r>
      <w:r>
        <w:rPr>
          <w:color w:val="auto"/>
        </w:rPr>
        <mc:AlternateContent>
          <mc:Choice Requires="wps">
            <w:drawing>
              <wp:anchor distT="0" distB="0" distL="114300" distR="114300" simplePos="0" relativeHeight="251695104" behindDoc="0" locked="0" layoutInCell="1" allowOverlap="1">
                <wp:simplePos x="0" y="0"/>
                <wp:positionH relativeFrom="column">
                  <wp:posOffset>5507990</wp:posOffset>
                </wp:positionH>
                <wp:positionV relativeFrom="paragraph">
                  <wp:posOffset>3190875</wp:posOffset>
                </wp:positionV>
                <wp:extent cx="1111250" cy="395605"/>
                <wp:effectExtent l="45085" t="6350" r="24765" b="302895"/>
                <wp:wrapNone/>
                <wp:docPr id="81" name="矩形标注 81"/>
                <wp:cNvGraphicFramePr/>
                <a:graphic xmlns:a="http://schemas.openxmlformats.org/drawingml/2006/main">
                  <a:graphicData uri="http://schemas.microsoft.com/office/word/2010/wordprocessingShape">
                    <wps:wsp>
                      <wps:cNvSpPr/>
                      <wps:spPr>
                        <a:xfrm>
                          <a:off x="6406515" y="4681855"/>
                          <a:ext cx="1111250" cy="395605"/>
                        </a:xfrm>
                        <a:prstGeom prst="wedgeRectCallout">
                          <a:avLst>
                            <a:gd name="adj1" fmla="val -51924"/>
                            <a:gd name="adj2" fmla="val 11727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ind w:firstLine="0" w:firstLineChars="0"/>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33.7pt;margin-top:251.25pt;height:31.15pt;width:87.5pt;z-index:251695104;v-text-anchor:middle;mso-width-relative:page;mso-height-relative:page;" fillcolor="#FFFFFF [3212]" filled="t" stroked="t" coordsize="21600,21600" o:gfxdata="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S99sONoAAAAMAQAADwAAAAAAAAAB&#10;ACAAAAAiAAAAZHJzL2Rvd25yZXYueG1sUEsBAhQAFAAAAAgAh07iQEataG+5AgAAcgUAAA4AAAAA&#10;AAAAAQAgAAAAKQEAAGRycy9lMm9Eb2MueG1sUEsFBgAAAAAGAAYAWQEAAFQGAAAAAA==&#10;" adj="-416,36131">
                <v:fill on="t" focussize="0,0"/>
                <v:stroke weight="1pt" color="#000000 [3213]" miterlimit="8" joinstyle="miter"/>
                <v:imagedata o:title=""/>
                <o:lock v:ext="edit" aspectratio="f"/>
                <v:textbox>
                  <w:txbxContent>
                    <w:p>
                      <w:pPr>
                        <w:spacing w:line="240" w:lineRule="auto"/>
                        <w:ind w:firstLine="0" w:firstLineChars="0"/>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本项目位置</w:t>
                      </w:r>
                    </w:p>
                  </w:txbxContent>
                </v:textbox>
              </v:shape>
            </w:pict>
          </mc:Fallback>
        </mc:AlternateContent>
      </w:r>
      <w:r>
        <w:rPr>
          <w:color w:val="auto"/>
        </w:rPr>
        <mc:AlternateContent>
          <mc:Choice Requires="wps">
            <w:drawing>
              <wp:anchor distT="0" distB="0" distL="114300" distR="114300" simplePos="0" relativeHeight="251694080" behindDoc="0" locked="0" layoutInCell="1" allowOverlap="1">
                <wp:simplePos x="0" y="0"/>
                <wp:positionH relativeFrom="column">
                  <wp:posOffset>5436235</wp:posOffset>
                </wp:positionH>
                <wp:positionV relativeFrom="paragraph">
                  <wp:posOffset>3824605</wp:posOffset>
                </wp:positionV>
                <wp:extent cx="75565" cy="87630"/>
                <wp:effectExtent l="16510" t="24765" r="22225" b="20955"/>
                <wp:wrapNone/>
                <wp:docPr id="80" name="五角星 80"/>
                <wp:cNvGraphicFramePr/>
                <a:graphic xmlns:a="http://schemas.openxmlformats.org/drawingml/2006/main">
                  <a:graphicData uri="http://schemas.microsoft.com/office/word/2010/wordprocessingShape">
                    <wps:wsp>
                      <wps:cNvSpPr/>
                      <wps:spPr>
                        <a:xfrm>
                          <a:off x="6049010" y="4935855"/>
                          <a:ext cx="75565" cy="8763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28.05pt;margin-top:301.15pt;height:6.9pt;width:5.95pt;z-index:251694080;v-text-anchor:middle;mso-width-relative:page;mso-height-relative:page;" fillcolor="#FF0000" filled="t" stroked="t" coordsize="75565,87630" o:gfxdata="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jCcWG2AAAAAsBAAAPAAAAAAAAAAEAIAAA&#10;ACIAAABkcnMvZG93bnJldi54bWxQSwECFAAUAAAACACHTuJAxwCBVn4CAAADBQAADgAAAAAAAAAB&#10;ACAAAAAnAQAAZHJzL2Uyb0RvYy54bWxQSwUGAAAAAAYABgBZAQAAFwYAAAAA&#10;" path="m0,33471l28863,33471,37782,0,46701,33471,75564,33471,52213,54158,61133,87629,37782,66942,14431,87629,23351,54158xe">
                <v:path o:connectlocs="37782,0;0,33471;14431,87629;61133,87629;75564,33471" o:connectangles="247,164,82,82,0"/>
                <v:fill on="t" focussize="0,0"/>
                <v:stroke weight="1pt" color="#FF0000 [3204]" miterlimit="8" joinstyle="miter"/>
                <v:imagedata o:title=""/>
                <o:lock v:ext="edit" aspectratio="f"/>
              </v:shape>
            </w:pict>
          </mc:Fallback>
        </mc:AlternateContent>
      </w:r>
      <w:r>
        <w:rPr>
          <w:rFonts w:eastAsia="黑体"/>
          <w:color w:val="auto"/>
          <w:sz w:val="21"/>
          <w:szCs w:val="21"/>
        </w:rPr>
        <w:t xml:space="preserve">图4.5-1 </w:t>
      </w:r>
      <w:r>
        <w:rPr>
          <w:rFonts w:hint="eastAsia" w:eastAsia="黑体"/>
          <w:color w:val="auto"/>
          <w:sz w:val="21"/>
          <w:szCs w:val="21"/>
        </w:rPr>
        <w:t>企业及周边</w:t>
      </w:r>
      <w:r>
        <w:rPr>
          <w:rFonts w:eastAsia="黑体"/>
          <w:color w:val="auto"/>
          <w:sz w:val="21"/>
          <w:szCs w:val="21"/>
        </w:rPr>
        <w:t>土地利用现状图</w:t>
      </w:r>
    </w:p>
    <w:p>
      <w:pPr>
        <w:pStyle w:val="10"/>
        <w:spacing w:line="360" w:lineRule="auto"/>
        <w:rPr>
          <w:color w:val="auto"/>
        </w:rPr>
      </w:pPr>
      <w:r>
        <w:rPr>
          <w:rFonts w:hint="eastAsia"/>
          <w:color w:val="auto"/>
        </w:rPr>
        <w:t>4</w:t>
      </w:r>
      <w:r>
        <w:rPr>
          <w:color w:val="auto"/>
        </w:rPr>
        <w:t>.5.1.3 土壤类型分布</w:t>
      </w:r>
    </w:p>
    <w:p>
      <w:pPr>
        <w:pStyle w:val="2"/>
        <w:spacing w:after="0"/>
        <w:ind w:firstLine="480"/>
        <w:rPr>
          <w:color w:val="auto"/>
        </w:rPr>
      </w:pPr>
      <w:r>
        <w:rPr>
          <w:rFonts w:hint="eastAsia"/>
          <w:color w:val="auto"/>
        </w:rPr>
        <w:t>山东朗净新材料科技</w:t>
      </w:r>
      <w:r>
        <w:rPr>
          <w:color w:val="auto"/>
        </w:rPr>
        <w:t>有限公司</w:t>
      </w:r>
      <w:r>
        <w:rPr>
          <w:rFonts w:hint="eastAsia"/>
          <w:color w:val="auto"/>
        </w:rPr>
        <w:t>中心地理坐标E118.002306°，N3.6859949°，</w:t>
      </w:r>
      <w:r>
        <w:rPr>
          <w:color w:val="auto"/>
        </w:rPr>
        <w:t>该厂区范围位于华北地台济阳拗陷区，地表被第四纪河流冲击及海陆交互相沉积物所覆盖，以粘性土、粉土、粉细砂为主，局部分布有软土地层。地貌特征表现为河流冲积平原，且微地貌发育。</w:t>
      </w:r>
      <w:r>
        <w:rPr>
          <w:rFonts w:hint="eastAsia"/>
          <w:color w:val="auto"/>
        </w:rPr>
        <w:t>根据土壤信息服务平台（http://www.soilinfo.cn/map/index.aspx），厂区</w:t>
      </w:r>
      <w:r>
        <w:rPr>
          <w:color w:val="auto"/>
        </w:rPr>
        <w:t>主要地层属于第四系黄河三角洲沉积土层</w:t>
      </w:r>
      <w:r>
        <w:rPr>
          <w:rFonts w:hint="eastAsia"/>
          <w:color w:val="auto"/>
        </w:rPr>
        <w:t>为潮褐土</w:t>
      </w:r>
      <w:r>
        <w:rPr>
          <w:color w:val="auto"/>
        </w:rPr>
        <w:t>。土壤类型分布图见图</w:t>
      </w:r>
      <w:r>
        <w:rPr>
          <w:rFonts w:hint="eastAsia"/>
          <w:color w:val="auto"/>
        </w:rPr>
        <w:t>4</w:t>
      </w:r>
      <w:r>
        <w:rPr>
          <w:color w:val="auto"/>
        </w:rPr>
        <w:t>.5-2。</w:t>
      </w:r>
    </w:p>
    <w:p>
      <w:pPr>
        <w:ind w:firstLine="420"/>
        <w:jc w:val="center"/>
        <w:rPr>
          <w:rFonts w:eastAsia="黑体"/>
          <w:b/>
          <w:bCs/>
          <w:color w:val="auto"/>
          <w:sz w:val="21"/>
          <w:szCs w:val="21"/>
        </w:rPr>
      </w:pPr>
      <w:r>
        <w:rPr>
          <w:rFonts w:eastAsia="黑体"/>
          <w:color w:val="auto"/>
          <w:sz w:val="21"/>
          <w:szCs w:val="21"/>
        </w:rPr>
        <mc:AlternateContent>
          <mc:Choice Requires="wps">
            <w:drawing>
              <wp:anchor distT="0" distB="0" distL="114300" distR="114300" simplePos="0" relativeHeight="251698176" behindDoc="0" locked="0" layoutInCell="1" allowOverlap="1">
                <wp:simplePos x="0" y="0"/>
                <wp:positionH relativeFrom="column">
                  <wp:posOffset>2990850</wp:posOffset>
                </wp:positionH>
                <wp:positionV relativeFrom="paragraph">
                  <wp:posOffset>2803525</wp:posOffset>
                </wp:positionV>
                <wp:extent cx="619760" cy="387985"/>
                <wp:effectExtent l="140970" t="386080" r="20320" b="6985"/>
                <wp:wrapNone/>
                <wp:docPr id="84" name="矩形标注 84"/>
                <wp:cNvGraphicFramePr/>
                <a:graphic xmlns:a="http://schemas.openxmlformats.org/drawingml/2006/main">
                  <a:graphicData uri="http://schemas.microsoft.com/office/word/2010/wordprocessingShape">
                    <wps:wsp>
                      <wps:cNvSpPr/>
                      <wps:spPr>
                        <a:xfrm>
                          <a:off x="0" y="0"/>
                          <a:ext cx="619760" cy="387985"/>
                        </a:xfrm>
                        <a:prstGeom prst="wedgeRectCallout">
                          <a:avLst>
                            <a:gd name="adj1" fmla="val -68954"/>
                            <a:gd name="adj2" fmla="val -142144"/>
                          </a:avLst>
                        </a:prstGeom>
                        <a:solidFill>
                          <a:srgbClr val="FFFFFF"/>
                        </a:solidFill>
                        <a:ln w="9525" cap="flat" cmpd="sng">
                          <a:solidFill>
                            <a:srgbClr val="000000"/>
                          </a:solidFill>
                          <a:prstDash val="solid"/>
                          <a:miter/>
                          <a:headEnd type="none" w="med" len="med"/>
                          <a:tailEnd type="none" w="med" len="med"/>
                        </a:ln>
                      </wps:spPr>
                      <wps:txbx>
                        <w:txbxContent>
                          <w:p>
                            <w:pPr>
                              <w:ind w:firstLine="0" w:firstLineChars="0"/>
                              <w:rPr>
                                <w:sz w:val="21"/>
                                <w:szCs w:val="21"/>
                              </w:rPr>
                            </w:pPr>
                            <w:r>
                              <w:rPr>
                                <w:rFonts w:hint="eastAsia"/>
                                <w:sz w:val="21"/>
                                <w:szCs w:val="21"/>
                              </w:rPr>
                              <w:t>本项目</w:t>
                            </w:r>
                          </w:p>
                        </w:txbxContent>
                      </wps:txbx>
                      <wps:bodyPr upright="1"/>
                    </wps:wsp>
                  </a:graphicData>
                </a:graphic>
              </wp:anchor>
            </w:drawing>
          </mc:Choice>
          <mc:Fallback>
            <w:pict>
              <v:shape id="_x0000_s1026" o:spid="_x0000_s1026" o:spt="61" type="#_x0000_t61" style="position:absolute;left:0pt;margin-left:235.5pt;margin-top:220.75pt;height:30.55pt;width:48.8pt;z-index:251698176;mso-width-relative:page;mso-height-relative:page;" fillcolor="#FFFFFF" filled="t" stroked="t" coordsize="21600,21600" o:gfxdata="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&#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EoHWnbAAAACwEAAA8AAAAAAAAAAQAgAAAAIgAAAGRy&#10;cy9kb3ducmV2LnhtbFBLAQIUABQAAAAIAIdO4kDalvJ1OwIAAJAEAAAOAAAAAAAAAAEAIAAAACoB&#10;AABkcnMvZTJvRG9jLnhtbFBLBQYAAAAABgAGAFkBAADXBQAAAAA=&#10;" adj="-4094,-19903">
                <v:fill on="t" focussize="0,0"/>
                <v:stroke color="#000000" joinstyle="miter"/>
                <v:imagedata o:title=""/>
                <o:lock v:ext="edit" aspectratio="f"/>
                <v:textbox>
                  <w:txbxContent>
                    <w:p>
                      <w:pPr>
                        <w:ind w:firstLine="0" w:firstLineChars="0"/>
                        <w:rPr>
                          <w:sz w:val="21"/>
                          <w:szCs w:val="21"/>
                        </w:rPr>
                      </w:pPr>
                      <w:r>
                        <w:rPr>
                          <w:rFonts w:hint="eastAsia"/>
                          <w:sz w:val="21"/>
                          <w:szCs w:val="21"/>
                        </w:rPr>
                        <w:t>本项目</w:t>
                      </w:r>
                    </w:p>
                  </w:txbxContent>
                </v:textbox>
              </v:shape>
            </w:pict>
          </mc:Fallback>
        </mc:AlternateContent>
      </w:r>
      <w:r>
        <w:rPr>
          <w:rFonts w:eastAsia="黑体"/>
          <w:color w:val="auto"/>
          <w:sz w:val="21"/>
          <w:szCs w:val="21"/>
        </w:rPr>
        <w:drawing>
          <wp:anchor distT="0" distB="0" distL="114300" distR="114300" simplePos="0" relativeHeight="251697152" behindDoc="0" locked="0" layoutInCell="1" allowOverlap="1">
            <wp:simplePos x="0" y="0"/>
            <wp:positionH relativeFrom="column">
              <wp:posOffset>-24765</wp:posOffset>
            </wp:positionH>
            <wp:positionV relativeFrom="paragraph">
              <wp:posOffset>55245</wp:posOffset>
            </wp:positionV>
            <wp:extent cx="5727065" cy="4679315"/>
            <wp:effectExtent l="19050" t="19050" r="26035" b="26035"/>
            <wp:wrapTopAndBottom/>
            <wp:docPr id="83" name="图片 4" descr="山东土壤类型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 descr="山东土壤类型分布图"/>
                    <pic:cNvPicPr>
                      <a:picLocks noChangeAspect="1"/>
                    </pic:cNvPicPr>
                  </pic:nvPicPr>
                  <pic:blipFill>
                    <a:blip r:embed="rId99"/>
                    <a:stretch>
                      <a:fillRect/>
                    </a:stretch>
                  </pic:blipFill>
                  <pic:spPr>
                    <a:xfrm>
                      <a:off x="0" y="0"/>
                      <a:ext cx="5727065" cy="4679315"/>
                    </a:xfrm>
                    <a:prstGeom prst="rect">
                      <a:avLst/>
                    </a:prstGeom>
                    <a:noFill/>
                    <a:ln w="19050" cap="flat" cmpd="sng">
                      <a:solidFill>
                        <a:srgbClr val="000000"/>
                      </a:solidFill>
                      <a:prstDash val="solid"/>
                      <a:miter/>
                      <a:headEnd type="none" w="med" len="med"/>
                      <a:tailEnd type="none" w="med" len="med"/>
                    </a:ln>
                  </pic:spPr>
                </pic:pic>
              </a:graphicData>
            </a:graphic>
          </wp:anchor>
        </w:drawing>
      </w:r>
      <w:r>
        <w:rPr>
          <w:rFonts w:eastAsia="黑体"/>
          <w:color w:val="auto"/>
          <w:sz w:val="21"/>
          <w:szCs w:val="21"/>
        </w:rPr>
        <w:drawing>
          <wp:anchor distT="0" distB="0" distL="114300" distR="114300" simplePos="0" relativeHeight="251696128" behindDoc="0" locked="0" layoutInCell="1" allowOverlap="1">
            <wp:simplePos x="0" y="0"/>
            <wp:positionH relativeFrom="column">
              <wp:posOffset>-33020</wp:posOffset>
            </wp:positionH>
            <wp:positionV relativeFrom="paragraph">
              <wp:posOffset>55245</wp:posOffset>
            </wp:positionV>
            <wp:extent cx="5727065" cy="4679315"/>
            <wp:effectExtent l="19050" t="19050" r="26035" b="26035"/>
            <wp:wrapTopAndBottom/>
            <wp:docPr id="82" name="图片 4" descr="山东土壤类型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 descr="山东土壤类型分布图"/>
                    <pic:cNvPicPr>
                      <a:picLocks noChangeAspect="1"/>
                    </pic:cNvPicPr>
                  </pic:nvPicPr>
                  <pic:blipFill>
                    <a:blip r:embed="rId99"/>
                    <a:stretch>
                      <a:fillRect/>
                    </a:stretch>
                  </pic:blipFill>
                  <pic:spPr>
                    <a:xfrm>
                      <a:off x="0" y="0"/>
                      <a:ext cx="5727065" cy="4679315"/>
                    </a:xfrm>
                    <a:prstGeom prst="rect">
                      <a:avLst/>
                    </a:prstGeom>
                    <a:noFill/>
                    <a:ln w="19050" cap="flat" cmpd="sng">
                      <a:solidFill>
                        <a:srgbClr val="000000"/>
                      </a:solidFill>
                      <a:prstDash val="solid"/>
                      <a:miter/>
                      <a:headEnd type="none" w="med" len="med"/>
                      <a:tailEnd type="none" w="med" len="med"/>
                    </a:ln>
                  </pic:spPr>
                </pic:pic>
              </a:graphicData>
            </a:graphic>
          </wp:anchor>
        </w:drawing>
      </w:r>
      <w:r>
        <w:rPr>
          <w:rFonts w:eastAsia="黑体"/>
          <w:b/>
          <w:bCs/>
          <w:color w:val="auto"/>
          <w:sz w:val="21"/>
          <w:szCs w:val="21"/>
        </w:rPr>
        <w:t>图</w:t>
      </w:r>
      <w:r>
        <w:rPr>
          <w:rFonts w:hint="eastAsia" w:eastAsia="黑体"/>
          <w:b/>
          <w:bCs/>
          <w:color w:val="auto"/>
          <w:sz w:val="21"/>
          <w:szCs w:val="21"/>
        </w:rPr>
        <w:t>4</w:t>
      </w:r>
      <w:r>
        <w:rPr>
          <w:rFonts w:eastAsia="黑体"/>
          <w:b/>
          <w:bCs/>
          <w:color w:val="auto"/>
          <w:sz w:val="21"/>
          <w:szCs w:val="21"/>
        </w:rPr>
        <w:t>.5-2  土壤类型分布图</w:t>
      </w:r>
    </w:p>
    <w:p>
      <w:pPr>
        <w:ind w:firstLine="480"/>
        <w:rPr>
          <w:color w:val="auto"/>
        </w:rPr>
      </w:pPr>
      <w:r>
        <w:rPr>
          <w:color w:val="auto"/>
        </w:rPr>
        <w:br w:type="page"/>
      </w:r>
    </w:p>
    <w:p>
      <w:pPr>
        <w:pStyle w:val="9"/>
        <w:spacing w:before="0" w:beforeLines="0" w:after="0" w:afterLines="0"/>
        <w:rPr>
          <w:color w:val="auto"/>
        </w:rPr>
      </w:pPr>
      <w:r>
        <w:rPr>
          <w:rFonts w:hint="eastAsia"/>
          <w:color w:val="auto"/>
        </w:rPr>
        <w:t>4</w:t>
      </w:r>
      <w:r>
        <w:rPr>
          <w:color w:val="auto"/>
        </w:rPr>
        <w:t>.5.2 现状监测</w:t>
      </w:r>
    </w:p>
    <w:p>
      <w:pPr>
        <w:pStyle w:val="10"/>
        <w:rPr>
          <w:color w:val="auto"/>
        </w:rPr>
      </w:pPr>
      <w:r>
        <w:rPr>
          <w:rFonts w:hint="eastAsia"/>
          <w:color w:val="auto"/>
        </w:rPr>
        <w:t>4</w:t>
      </w:r>
      <w:r>
        <w:rPr>
          <w:color w:val="auto"/>
        </w:rPr>
        <w:t>.5.2.1 监测布点</w:t>
      </w:r>
    </w:p>
    <w:p>
      <w:pPr>
        <w:ind w:firstLine="480"/>
        <w:rPr>
          <w:color w:val="auto"/>
          <w:kern w:val="0"/>
        </w:rPr>
      </w:pPr>
      <w:r>
        <w:rPr>
          <w:color w:val="auto"/>
        </w:rPr>
        <w:t>202</w:t>
      </w:r>
      <w:r>
        <w:rPr>
          <w:rFonts w:hint="eastAsia"/>
          <w:color w:val="auto"/>
        </w:rPr>
        <w:t>2</w:t>
      </w:r>
      <w:r>
        <w:rPr>
          <w:color w:val="auto"/>
        </w:rPr>
        <w:t>年</w:t>
      </w:r>
      <w:r>
        <w:rPr>
          <w:rFonts w:hint="eastAsia"/>
          <w:color w:val="auto"/>
        </w:rPr>
        <w:t>04</w:t>
      </w:r>
      <w:r>
        <w:rPr>
          <w:color w:val="auto"/>
        </w:rPr>
        <w:t>月</w:t>
      </w:r>
      <w:r>
        <w:rPr>
          <w:rFonts w:hint="eastAsia"/>
          <w:color w:val="auto"/>
        </w:rPr>
        <w:t>1</w:t>
      </w:r>
      <w:r>
        <w:rPr>
          <w:color w:val="auto"/>
        </w:rPr>
        <w:t>9日，</w:t>
      </w:r>
      <w:r>
        <w:rPr>
          <w:rFonts w:hint="eastAsia"/>
          <w:color w:val="auto"/>
        </w:rPr>
        <w:t>山东典图生态环境工程</w:t>
      </w:r>
      <w:r>
        <w:rPr>
          <w:color w:val="auto"/>
        </w:rPr>
        <w:t>有限公司现场进行采样，并完成样品监测。</w:t>
      </w:r>
      <w:r>
        <w:rPr>
          <w:rFonts w:hint="eastAsia"/>
          <w:color w:val="auto"/>
          <w:lang w:val="en-US" w:eastAsia="zh-CN"/>
        </w:rPr>
        <w:t>2022年9月20日</w:t>
      </w:r>
      <w:r>
        <w:rPr>
          <w:rFonts w:hint="eastAsia"/>
          <w:color w:val="auto"/>
        </w:rPr>
        <w:t>山东典图生态环境工程</w:t>
      </w:r>
      <w:r>
        <w:rPr>
          <w:color w:val="auto"/>
        </w:rPr>
        <w:t>有限公司现场进行</w:t>
      </w:r>
      <w:r>
        <w:rPr>
          <w:rFonts w:hint="eastAsia"/>
          <w:color w:val="auto"/>
          <w:lang w:val="en-US" w:eastAsia="zh-CN"/>
        </w:rPr>
        <w:t>补充</w:t>
      </w:r>
      <w:r>
        <w:rPr>
          <w:color w:val="auto"/>
        </w:rPr>
        <w:t>采样，并完成样品监测</w:t>
      </w:r>
      <w:r>
        <w:rPr>
          <w:rFonts w:hint="eastAsia"/>
          <w:color w:val="auto"/>
          <w:lang w:eastAsia="zh-CN"/>
        </w:rPr>
        <w:t>，</w:t>
      </w:r>
      <w:r>
        <w:rPr>
          <w:color w:val="auto"/>
          <w:kern w:val="0"/>
        </w:rPr>
        <w:t>监测点位</w:t>
      </w:r>
      <w:r>
        <w:rPr>
          <w:rFonts w:hint="eastAsia"/>
          <w:color w:val="auto"/>
          <w:kern w:val="0"/>
          <w:lang w:eastAsia="zh-CN"/>
        </w:rPr>
        <w:t>、</w:t>
      </w:r>
      <w:r>
        <w:rPr>
          <w:rFonts w:hint="eastAsia"/>
          <w:color w:val="auto"/>
          <w:kern w:val="0"/>
          <w:lang w:val="en-US" w:eastAsia="zh-CN"/>
        </w:rPr>
        <w:t>补充监测点位</w:t>
      </w:r>
      <w:r>
        <w:rPr>
          <w:color w:val="auto"/>
          <w:kern w:val="0"/>
        </w:rPr>
        <w:t>及项目见表</w:t>
      </w:r>
      <w:r>
        <w:rPr>
          <w:rFonts w:hint="eastAsia"/>
          <w:color w:val="auto"/>
          <w:kern w:val="0"/>
        </w:rPr>
        <w:t>4</w:t>
      </w:r>
      <w:r>
        <w:rPr>
          <w:color w:val="auto"/>
          <w:kern w:val="0"/>
        </w:rPr>
        <w:t>.5-2和图</w:t>
      </w:r>
      <w:r>
        <w:rPr>
          <w:rFonts w:hint="eastAsia"/>
          <w:color w:val="auto"/>
          <w:kern w:val="0"/>
        </w:rPr>
        <w:t>4</w:t>
      </w:r>
      <w:r>
        <w:rPr>
          <w:color w:val="auto"/>
          <w:kern w:val="0"/>
        </w:rPr>
        <w:t>.5-3。</w:t>
      </w:r>
    </w:p>
    <w:p>
      <w:pPr>
        <w:pStyle w:val="48"/>
        <w:spacing w:line="360" w:lineRule="auto"/>
        <w:rPr>
          <w:bCs/>
          <w:color w:val="auto"/>
        </w:rPr>
      </w:pPr>
      <w:r>
        <w:rPr>
          <w:bCs/>
          <w:color w:val="auto"/>
        </w:rPr>
        <w:t>表</w:t>
      </w:r>
      <w:r>
        <w:rPr>
          <w:rFonts w:hint="eastAsia"/>
          <w:bCs/>
          <w:color w:val="auto"/>
        </w:rPr>
        <w:t>4</w:t>
      </w:r>
      <w:r>
        <w:rPr>
          <w:bCs/>
          <w:color w:val="auto"/>
        </w:rPr>
        <w:t>.5-2 土壤环境质量现状监测布点</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3"/>
        <w:gridCol w:w="873"/>
        <w:gridCol w:w="2725"/>
        <w:gridCol w:w="1336"/>
        <w:gridCol w:w="34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spacing w:line="240" w:lineRule="auto"/>
              <w:ind w:firstLine="0" w:firstLineChars="0"/>
              <w:jc w:val="center"/>
              <w:rPr>
                <w:b/>
                <w:bCs/>
                <w:color w:val="auto"/>
                <w:sz w:val="21"/>
                <w:szCs w:val="21"/>
              </w:rPr>
            </w:pPr>
            <w:r>
              <w:rPr>
                <w:b/>
                <w:bCs/>
                <w:color w:val="auto"/>
                <w:sz w:val="21"/>
                <w:szCs w:val="21"/>
              </w:rPr>
              <w:t>编号</w:t>
            </w:r>
          </w:p>
        </w:tc>
        <w:tc>
          <w:tcPr>
            <w:tcW w:w="1937" w:type="pct"/>
            <w:gridSpan w:val="2"/>
            <w:vAlign w:val="center"/>
          </w:tcPr>
          <w:p>
            <w:pPr>
              <w:spacing w:line="240" w:lineRule="auto"/>
              <w:ind w:firstLine="0" w:firstLineChars="0"/>
              <w:jc w:val="center"/>
              <w:rPr>
                <w:b/>
                <w:bCs/>
                <w:color w:val="auto"/>
                <w:sz w:val="21"/>
                <w:szCs w:val="21"/>
              </w:rPr>
            </w:pPr>
            <w:r>
              <w:rPr>
                <w:b/>
                <w:bCs/>
                <w:color w:val="auto"/>
                <w:sz w:val="21"/>
                <w:szCs w:val="21"/>
              </w:rPr>
              <w:t>监测点位置</w:t>
            </w:r>
          </w:p>
        </w:tc>
        <w:tc>
          <w:tcPr>
            <w:tcW w:w="719" w:type="pct"/>
            <w:vAlign w:val="center"/>
          </w:tcPr>
          <w:p>
            <w:pPr>
              <w:spacing w:line="240" w:lineRule="auto"/>
              <w:ind w:firstLine="0" w:firstLineChars="0"/>
              <w:jc w:val="center"/>
              <w:rPr>
                <w:b/>
                <w:bCs/>
                <w:color w:val="auto"/>
                <w:sz w:val="21"/>
                <w:szCs w:val="21"/>
              </w:rPr>
            </w:pPr>
            <w:r>
              <w:rPr>
                <w:b/>
                <w:bCs/>
                <w:color w:val="auto"/>
                <w:sz w:val="21"/>
                <w:szCs w:val="21"/>
              </w:rPr>
              <w:t>布点类型</w:t>
            </w:r>
          </w:p>
        </w:tc>
        <w:tc>
          <w:tcPr>
            <w:tcW w:w="1872" w:type="pct"/>
            <w:vAlign w:val="center"/>
          </w:tcPr>
          <w:p>
            <w:pPr>
              <w:spacing w:line="240" w:lineRule="auto"/>
              <w:ind w:firstLine="0" w:firstLineChars="0"/>
              <w:jc w:val="center"/>
              <w:rPr>
                <w:b/>
                <w:bCs/>
                <w:color w:val="auto"/>
                <w:sz w:val="21"/>
                <w:szCs w:val="21"/>
              </w:rPr>
            </w:pPr>
            <w:r>
              <w:rPr>
                <w:b/>
                <w:bCs/>
                <w:color w:val="auto"/>
                <w:sz w:val="21"/>
                <w:szCs w:val="21"/>
              </w:rPr>
              <w:t>功能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spacing w:line="312" w:lineRule="exact"/>
              <w:ind w:firstLine="0" w:firstLineChars="0"/>
              <w:jc w:val="center"/>
              <w:rPr>
                <w:color w:val="auto"/>
                <w:sz w:val="21"/>
                <w:szCs w:val="21"/>
              </w:rPr>
            </w:pPr>
            <w:r>
              <w:rPr>
                <w:color w:val="auto"/>
                <w:sz w:val="21"/>
                <w:szCs w:val="21"/>
              </w:rPr>
              <w:t>1#</w:t>
            </w:r>
          </w:p>
        </w:tc>
        <w:tc>
          <w:tcPr>
            <w:tcW w:w="470" w:type="pct"/>
            <w:vAlign w:val="center"/>
          </w:tcPr>
          <w:p>
            <w:pPr>
              <w:spacing w:line="312" w:lineRule="exact"/>
              <w:ind w:firstLine="0" w:firstLineChars="0"/>
              <w:jc w:val="center"/>
              <w:rPr>
                <w:color w:val="auto"/>
                <w:sz w:val="21"/>
                <w:szCs w:val="21"/>
              </w:rPr>
            </w:pPr>
            <w:r>
              <w:rPr>
                <w:color w:val="auto"/>
                <w:sz w:val="21"/>
                <w:szCs w:val="21"/>
              </w:rPr>
              <w:t>土壤</w:t>
            </w:r>
          </w:p>
        </w:tc>
        <w:tc>
          <w:tcPr>
            <w:tcW w:w="1467" w:type="pct"/>
            <w:vAlign w:val="center"/>
          </w:tcPr>
          <w:p>
            <w:pPr>
              <w:spacing w:line="312" w:lineRule="exact"/>
              <w:ind w:firstLine="0" w:firstLineChars="0"/>
              <w:jc w:val="center"/>
              <w:rPr>
                <w:color w:val="auto"/>
                <w:sz w:val="21"/>
                <w:szCs w:val="21"/>
              </w:rPr>
            </w:pPr>
            <w:r>
              <w:rPr>
                <w:color w:val="auto"/>
                <w:sz w:val="21"/>
                <w:szCs w:val="21"/>
              </w:rPr>
              <w:t>厂区西北侧空地</w:t>
            </w:r>
          </w:p>
        </w:tc>
        <w:tc>
          <w:tcPr>
            <w:tcW w:w="719" w:type="pct"/>
            <w:vAlign w:val="center"/>
          </w:tcPr>
          <w:p>
            <w:pPr>
              <w:spacing w:line="312" w:lineRule="exact"/>
              <w:ind w:firstLine="0" w:firstLineChars="0"/>
              <w:jc w:val="center"/>
              <w:rPr>
                <w:color w:val="auto"/>
                <w:sz w:val="21"/>
                <w:szCs w:val="21"/>
              </w:rPr>
            </w:pPr>
            <w:r>
              <w:rPr>
                <w:color w:val="auto"/>
                <w:sz w:val="21"/>
                <w:szCs w:val="21"/>
              </w:rPr>
              <w:t>表层样</w:t>
            </w:r>
          </w:p>
        </w:tc>
        <w:tc>
          <w:tcPr>
            <w:tcW w:w="1872" w:type="pct"/>
            <w:vAlign w:val="center"/>
          </w:tcPr>
          <w:p>
            <w:pPr>
              <w:spacing w:line="312" w:lineRule="exact"/>
              <w:ind w:firstLine="0" w:firstLineChars="0"/>
              <w:jc w:val="center"/>
              <w:rPr>
                <w:color w:val="auto"/>
                <w:sz w:val="21"/>
                <w:szCs w:val="21"/>
              </w:rPr>
            </w:pPr>
            <w:r>
              <w:rPr>
                <w:color w:val="auto"/>
                <w:sz w:val="21"/>
                <w:szCs w:val="21"/>
              </w:rPr>
              <w:t>了解厂区土壤背景值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spacing w:line="312" w:lineRule="exact"/>
              <w:ind w:firstLine="0" w:firstLineChars="0"/>
              <w:jc w:val="center"/>
              <w:rPr>
                <w:color w:val="auto"/>
                <w:sz w:val="21"/>
                <w:szCs w:val="21"/>
              </w:rPr>
            </w:pPr>
            <w:r>
              <w:rPr>
                <w:color w:val="auto"/>
                <w:sz w:val="21"/>
                <w:szCs w:val="21"/>
              </w:rPr>
              <w:t>2#</w:t>
            </w:r>
          </w:p>
        </w:tc>
        <w:tc>
          <w:tcPr>
            <w:tcW w:w="470" w:type="pct"/>
            <w:vAlign w:val="center"/>
          </w:tcPr>
          <w:p>
            <w:pPr>
              <w:spacing w:line="312" w:lineRule="exact"/>
              <w:ind w:firstLine="0" w:firstLineChars="0"/>
              <w:jc w:val="center"/>
              <w:rPr>
                <w:color w:val="auto"/>
                <w:sz w:val="21"/>
                <w:szCs w:val="21"/>
              </w:rPr>
            </w:pPr>
            <w:r>
              <w:rPr>
                <w:color w:val="auto"/>
                <w:sz w:val="21"/>
                <w:szCs w:val="21"/>
              </w:rPr>
              <w:t>土壤</w:t>
            </w:r>
          </w:p>
        </w:tc>
        <w:tc>
          <w:tcPr>
            <w:tcW w:w="1467" w:type="pct"/>
            <w:vAlign w:val="center"/>
          </w:tcPr>
          <w:p>
            <w:pPr>
              <w:spacing w:line="312" w:lineRule="exact"/>
              <w:ind w:firstLine="0" w:firstLineChars="0"/>
              <w:jc w:val="center"/>
              <w:rPr>
                <w:color w:val="auto"/>
                <w:sz w:val="21"/>
                <w:szCs w:val="21"/>
              </w:rPr>
            </w:pPr>
            <w:r>
              <w:rPr>
                <w:color w:val="auto"/>
                <w:sz w:val="21"/>
                <w:szCs w:val="21"/>
              </w:rPr>
              <w:t>厂区1号车间附近绿化带</w:t>
            </w:r>
          </w:p>
        </w:tc>
        <w:tc>
          <w:tcPr>
            <w:tcW w:w="719" w:type="pct"/>
            <w:vAlign w:val="center"/>
          </w:tcPr>
          <w:p>
            <w:pPr>
              <w:spacing w:line="312" w:lineRule="exact"/>
              <w:ind w:firstLine="0" w:firstLineChars="0"/>
              <w:jc w:val="center"/>
              <w:rPr>
                <w:color w:val="auto"/>
                <w:sz w:val="21"/>
                <w:szCs w:val="21"/>
              </w:rPr>
            </w:pPr>
            <w:r>
              <w:rPr>
                <w:color w:val="auto"/>
                <w:sz w:val="21"/>
                <w:szCs w:val="21"/>
              </w:rPr>
              <w:t>柱状样</w:t>
            </w:r>
          </w:p>
        </w:tc>
        <w:tc>
          <w:tcPr>
            <w:tcW w:w="1872" w:type="pct"/>
            <w:vAlign w:val="center"/>
          </w:tcPr>
          <w:p>
            <w:pPr>
              <w:spacing w:line="312" w:lineRule="exact"/>
              <w:ind w:firstLine="0" w:firstLineChars="0"/>
              <w:jc w:val="center"/>
              <w:rPr>
                <w:color w:val="auto"/>
                <w:sz w:val="21"/>
                <w:szCs w:val="21"/>
              </w:rPr>
            </w:pPr>
            <w:r>
              <w:rPr>
                <w:color w:val="auto"/>
                <w:sz w:val="21"/>
                <w:szCs w:val="21"/>
              </w:rPr>
              <w:t>了解厂区拟建区域现状值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spacing w:line="312" w:lineRule="exact"/>
              <w:ind w:firstLine="0" w:firstLineChars="0"/>
              <w:jc w:val="center"/>
              <w:rPr>
                <w:color w:val="auto"/>
                <w:sz w:val="21"/>
                <w:szCs w:val="21"/>
              </w:rPr>
            </w:pPr>
            <w:r>
              <w:rPr>
                <w:color w:val="auto"/>
                <w:sz w:val="21"/>
                <w:szCs w:val="21"/>
              </w:rPr>
              <w:t>3#</w:t>
            </w:r>
          </w:p>
        </w:tc>
        <w:tc>
          <w:tcPr>
            <w:tcW w:w="470" w:type="pct"/>
            <w:vAlign w:val="center"/>
          </w:tcPr>
          <w:p>
            <w:pPr>
              <w:spacing w:line="312" w:lineRule="exact"/>
              <w:ind w:firstLine="0" w:firstLineChars="0"/>
              <w:jc w:val="center"/>
              <w:rPr>
                <w:color w:val="auto"/>
                <w:sz w:val="21"/>
                <w:szCs w:val="21"/>
              </w:rPr>
            </w:pPr>
            <w:r>
              <w:rPr>
                <w:color w:val="auto"/>
                <w:sz w:val="21"/>
                <w:szCs w:val="21"/>
              </w:rPr>
              <w:t>土壤</w:t>
            </w:r>
          </w:p>
        </w:tc>
        <w:tc>
          <w:tcPr>
            <w:tcW w:w="1467" w:type="pct"/>
            <w:vAlign w:val="center"/>
          </w:tcPr>
          <w:p>
            <w:pPr>
              <w:spacing w:line="312" w:lineRule="exact"/>
              <w:ind w:firstLine="0" w:firstLineChars="0"/>
              <w:jc w:val="center"/>
              <w:rPr>
                <w:color w:val="auto"/>
                <w:sz w:val="21"/>
                <w:szCs w:val="21"/>
              </w:rPr>
            </w:pPr>
            <w:r>
              <w:rPr>
                <w:color w:val="auto"/>
                <w:sz w:val="21"/>
                <w:szCs w:val="21"/>
              </w:rPr>
              <w:t>厂区中部空地</w:t>
            </w:r>
          </w:p>
        </w:tc>
        <w:tc>
          <w:tcPr>
            <w:tcW w:w="719" w:type="pct"/>
            <w:vAlign w:val="center"/>
          </w:tcPr>
          <w:p>
            <w:pPr>
              <w:spacing w:line="312" w:lineRule="exact"/>
              <w:ind w:firstLine="0" w:firstLineChars="0"/>
              <w:jc w:val="center"/>
              <w:rPr>
                <w:color w:val="auto"/>
                <w:sz w:val="21"/>
                <w:szCs w:val="21"/>
              </w:rPr>
            </w:pPr>
            <w:r>
              <w:rPr>
                <w:color w:val="auto"/>
                <w:sz w:val="21"/>
                <w:szCs w:val="21"/>
              </w:rPr>
              <w:t>柱状样</w:t>
            </w:r>
          </w:p>
        </w:tc>
        <w:tc>
          <w:tcPr>
            <w:tcW w:w="1872" w:type="pct"/>
            <w:vAlign w:val="center"/>
          </w:tcPr>
          <w:p>
            <w:pPr>
              <w:spacing w:line="312" w:lineRule="exact"/>
              <w:ind w:firstLine="0" w:firstLineChars="0"/>
              <w:jc w:val="center"/>
              <w:rPr>
                <w:color w:val="auto"/>
                <w:sz w:val="21"/>
                <w:szCs w:val="21"/>
              </w:rPr>
            </w:pPr>
            <w:r>
              <w:rPr>
                <w:color w:val="auto"/>
                <w:sz w:val="21"/>
                <w:szCs w:val="21"/>
              </w:rPr>
              <w:t>了解厂区拟建区域现状值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spacing w:line="312" w:lineRule="exact"/>
              <w:ind w:firstLine="0" w:firstLineChars="0"/>
              <w:jc w:val="center"/>
              <w:rPr>
                <w:color w:val="auto"/>
                <w:sz w:val="21"/>
                <w:szCs w:val="21"/>
              </w:rPr>
            </w:pPr>
            <w:r>
              <w:rPr>
                <w:color w:val="auto"/>
                <w:sz w:val="21"/>
                <w:szCs w:val="21"/>
              </w:rPr>
              <w:t>4#</w:t>
            </w:r>
          </w:p>
        </w:tc>
        <w:tc>
          <w:tcPr>
            <w:tcW w:w="470" w:type="pct"/>
            <w:vAlign w:val="center"/>
          </w:tcPr>
          <w:p>
            <w:pPr>
              <w:spacing w:line="312" w:lineRule="exact"/>
              <w:ind w:firstLine="0" w:firstLineChars="0"/>
              <w:jc w:val="center"/>
              <w:rPr>
                <w:color w:val="auto"/>
                <w:sz w:val="21"/>
                <w:szCs w:val="21"/>
              </w:rPr>
            </w:pPr>
            <w:r>
              <w:rPr>
                <w:color w:val="auto"/>
                <w:sz w:val="21"/>
                <w:szCs w:val="21"/>
              </w:rPr>
              <w:t>土壤</w:t>
            </w:r>
          </w:p>
        </w:tc>
        <w:tc>
          <w:tcPr>
            <w:tcW w:w="1467" w:type="pct"/>
            <w:vAlign w:val="center"/>
          </w:tcPr>
          <w:p>
            <w:pPr>
              <w:spacing w:line="312" w:lineRule="exact"/>
              <w:ind w:firstLine="0" w:firstLineChars="0"/>
              <w:jc w:val="center"/>
              <w:rPr>
                <w:color w:val="auto"/>
                <w:sz w:val="21"/>
                <w:szCs w:val="21"/>
              </w:rPr>
            </w:pPr>
            <w:r>
              <w:rPr>
                <w:color w:val="auto"/>
                <w:sz w:val="21"/>
                <w:szCs w:val="21"/>
              </w:rPr>
              <w:t>厂区西南空地</w:t>
            </w:r>
          </w:p>
        </w:tc>
        <w:tc>
          <w:tcPr>
            <w:tcW w:w="719" w:type="pct"/>
            <w:vAlign w:val="center"/>
          </w:tcPr>
          <w:p>
            <w:pPr>
              <w:spacing w:line="312" w:lineRule="exact"/>
              <w:ind w:firstLine="0" w:firstLineChars="0"/>
              <w:jc w:val="center"/>
              <w:rPr>
                <w:color w:val="auto"/>
                <w:sz w:val="21"/>
                <w:szCs w:val="21"/>
              </w:rPr>
            </w:pPr>
            <w:r>
              <w:rPr>
                <w:color w:val="auto"/>
                <w:sz w:val="21"/>
                <w:szCs w:val="21"/>
              </w:rPr>
              <w:t>柱状样</w:t>
            </w:r>
          </w:p>
        </w:tc>
        <w:tc>
          <w:tcPr>
            <w:tcW w:w="1872" w:type="pct"/>
            <w:vAlign w:val="center"/>
          </w:tcPr>
          <w:p>
            <w:pPr>
              <w:spacing w:line="312" w:lineRule="exact"/>
              <w:ind w:firstLine="0" w:firstLineChars="0"/>
              <w:jc w:val="center"/>
              <w:rPr>
                <w:color w:val="auto"/>
                <w:sz w:val="21"/>
                <w:szCs w:val="21"/>
              </w:rPr>
            </w:pPr>
            <w:r>
              <w:rPr>
                <w:color w:val="auto"/>
                <w:sz w:val="21"/>
                <w:szCs w:val="21"/>
              </w:rPr>
              <w:t>了解厂区拟建区域现状值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spacing w:line="312" w:lineRule="exact"/>
              <w:ind w:firstLine="0" w:firstLineChars="0"/>
              <w:jc w:val="center"/>
              <w:rPr>
                <w:color w:val="auto"/>
                <w:sz w:val="21"/>
                <w:szCs w:val="21"/>
              </w:rPr>
            </w:pPr>
            <w:r>
              <w:rPr>
                <w:color w:val="auto"/>
                <w:sz w:val="21"/>
                <w:szCs w:val="21"/>
              </w:rPr>
              <w:t>5#</w:t>
            </w:r>
          </w:p>
        </w:tc>
        <w:tc>
          <w:tcPr>
            <w:tcW w:w="470" w:type="pct"/>
            <w:vAlign w:val="center"/>
          </w:tcPr>
          <w:p>
            <w:pPr>
              <w:spacing w:line="312" w:lineRule="exact"/>
              <w:ind w:firstLine="0" w:firstLineChars="0"/>
              <w:jc w:val="center"/>
              <w:rPr>
                <w:color w:val="auto"/>
                <w:sz w:val="21"/>
                <w:szCs w:val="21"/>
              </w:rPr>
            </w:pPr>
            <w:r>
              <w:rPr>
                <w:color w:val="auto"/>
                <w:sz w:val="21"/>
                <w:szCs w:val="21"/>
              </w:rPr>
              <w:t>土壤</w:t>
            </w:r>
          </w:p>
        </w:tc>
        <w:tc>
          <w:tcPr>
            <w:tcW w:w="1467" w:type="pct"/>
            <w:vAlign w:val="center"/>
          </w:tcPr>
          <w:p>
            <w:pPr>
              <w:spacing w:line="312" w:lineRule="exact"/>
              <w:ind w:firstLine="0" w:firstLineChars="0"/>
              <w:jc w:val="center"/>
              <w:rPr>
                <w:color w:val="auto"/>
                <w:sz w:val="21"/>
                <w:szCs w:val="21"/>
              </w:rPr>
            </w:pPr>
            <w:r>
              <w:rPr>
                <w:color w:val="auto"/>
                <w:sz w:val="21"/>
                <w:szCs w:val="21"/>
              </w:rPr>
              <w:t>厂址东北空地</w:t>
            </w:r>
          </w:p>
        </w:tc>
        <w:tc>
          <w:tcPr>
            <w:tcW w:w="719" w:type="pct"/>
            <w:vAlign w:val="center"/>
          </w:tcPr>
          <w:p>
            <w:pPr>
              <w:spacing w:line="312" w:lineRule="exact"/>
              <w:ind w:firstLine="0" w:firstLineChars="0"/>
              <w:jc w:val="center"/>
              <w:rPr>
                <w:color w:val="auto"/>
                <w:sz w:val="21"/>
                <w:szCs w:val="21"/>
              </w:rPr>
            </w:pPr>
            <w:r>
              <w:rPr>
                <w:color w:val="auto"/>
                <w:sz w:val="21"/>
                <w:szCs w:val="21"/>
              </w:rPr>
              <w:t>表层样</w:t>
            </w:r>
          </w:p>
        </w:tc>
        <w:tc>
          <w:tcPr>
            <w:tcW w:w="1872" w:type="pct"/>
            <w:vAlign w:val="center"/>
          </w:tcPr>
          <w:p>
            <w:pPr>
              <w:spacing w:line="312" w:lineRule="exact"/>
              <w:ind w:firstLine="0" w:firstLineChars="0"/>
              <w:jc w:val="center"/>
              <w:rPr>
                <w:color w:val="auto"/>
                <w:sz w:val="21"/>
                <w:szCs w:val="21"/>
              </w:rPr>
            </w:pPr>
            <w:r>
              <w:rPr>
                <w:color w:val="auto"/>
                <w:sz w:val="21"/>
                <w:szCs w:val="21"/>
              </w:rPr>
              <w:t>了解厂区下风向土壤背景值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spacing w:line="312" w:lineRule="exact"/>
              <w:ind w:firstLine="0" w:firstLineChars="0"/>
              <w:jc w:val="center"/>
              <w:rPr>
                <w:color w:val="auto"/>
                <w:sz w:val="21"/>
                <w:szCs w:val="21"/>
              </w:rPr>
            </w:pPr>
            <w:r>
              <w:rPr>
                <w:color w:val="auto"/>
                <w:sz w:val="21"/>
                <w:szCs w:val="21"/>
              </w:rPr>
              <w:t>6#</w:t>
            </w:r>
          </w:p>
        </w:tc>
        <w:tc>
          <w:tcPr>
            <w:tcW w:w="470" w:type="pct"/>
            <w:vAlign w:val="center"/>
          </w:tcPr>
          <w:p>
            <w:pPr>
              <w:spacing w:line="312" w:lineRule="exact"/>
              <w:ind w:firstLine="0" w:firstLineChars="0"/>
              <w:jc w:val="center"/>
              <w:rPr>
                <w:color w:val="auto"/>
                <w:sz w:val="21"/>
                <w:szCs w:val="21"/>
              </w:rPr>
            </w:pPr>
            <w:r>
              <w:rPr>
                <w:color w:val="auto"/>
                <w:sz w:val="21"/>
                <w:szCs w:val="21"/>
              </w:rPr>
              <w:t>土壤</w:t>
            </w:r>
          </w:p>
        </w:tc>
        <w:tc>
          <w:tcPr>
            <w:tcW w:w="1467" w:type="pct"/>
            <w:vAlign w:val="center"/>
          </w:tcPr>
          <w:p>
            <w:pPr>
              <w:spacing w:line="312" w:lineRule="exact"/>
              <w:ind w:firstLine="0" w:firstLineChars="0"/>
              <w:jc w:val="center"/>
              <w:rPr>
                <w:color w:val="auto"/>
                <w:sz w:val="21"/>
                <w:szCs w:val="21"/>
              </w:rPr>
            </w:pPr>
            <w:r>
              <w:rPr>
                <w:color w:val="auto"/>
                <w:sz w:val="21"/>
                <w:szCs w:val="21"/>
              </w:rPr>
              <w:t>厂址西南空地</w:t>
            </w:r>
          </w:p>
        </w:tc>
        <w:tc>
          <w:tcPr>
            <w:tcW w:w="719" w:type="pct"/>
            <w:vAlign w:val="center"/>
          </w:tcPr>
          <w:p>
            <w:pPr>
              <w:spacing w:line="312" w:lineRule="exact"/>
              <w:ind w:firstLine="0" w:firstLineChars="0"/>
              <w:jc w:val="center"/>
              <w:rPr>
                <w:color w:val="auto"/>
                <w:sz w:val="21"/>
                <w:szCs w:val="21"/>
              </w:rPr>
            </w:pPr>
            <w:r>
              <w:rPr>
                <w:color w:val="auto"/>
                <w:sz w:val="21"/>
                <w:szCs w:val="21"/>
              </w:rPr>
              <w:t>表层样</w:t>
            </w:r>
          </w:p>
        </w:tc>
        <w:tc>
          <w:tcPr>
            <w:tcW w:w="1872" w:type="pct"/>
            <w:vAlign w:val="center"/>
          </w:tcPr>
          <w:p>
            <w:pPr>
              <w:spacing w:line="312" w:lineRule="exact"/>
              <w:ind w:firstLine="0" w:firstLineChars="0"/>
              <w:jc w:val="center"/>
              <w:rPr>
                <w:color w:val="auto"/>
                <w:sz w:val="21"/>
                <w:szCs w:val="21"/>
              </w:rPr>
            </w:pPr>
            <w:r>
              <w:rPr>
                <w:color w:val="auto"/>
                <w:sz w:val="21"/>
                <w:szCs w:val="21"/>
              </w:rPr>
              <w:t>了解周边土壤本底值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spacing w:line="312"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7#</w:t>
            </w:r>
          </w:p>
        </w:tc>
        <w:tc>
          <w:tcPr>
            <w:tcW w:w="873" w:type="dxa"/>
            <w:vAlign w:val="center"/>
          </w:tcPr>
          <w:p>
            <w:pPr>
              <w:spacing w:line="312" w:lineRule="exact"/>
              <w:ind w:firstLine="0" w:firstLineChars="0"/>
              <w:jc w:val="center"/>
              <w:rPr>
                <w:color w:val="auto"/>
                <w:sz w:val="21"/>
                <w:szCs w:val="21"/>
              </w:rPr>
            </w:pPr>
            <w:r>
              <w:rPr>
                <w:color w:val="auto"/>
                <w:sz w:val="21"/>
                <w:szCs w:val="21"/>
              </w:rPr>
              <w:t>土壤</w:t>
            </w:r>
          </w:p>
        </w:tc>
        <w:tc>
          <w:tcPr>
            <w:tcW w:w="2725" w:type="dxa"/>
            <w:vAlign w:val="center"/>
          </w:tcPr>
          <w:p>
            <w:pPr>
              <w:spacing w:line="312"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厂区西北侧村庄</w:t>
            </w:r>
          </w:p>
        </w:tc>
        <w:tc>
          <w:tcPr>
            <w:tcW w:w="1336" w:type="dxa"/>
            <w:vAlign w:val="center"/>
          </w:tcPr>
          <w:p>
            <w:pPr>
              <w:spacing w:line="312" w:lineRule="exact"/>
              <w:ind w:firstLine="0" w:firstLineChars="0"/>
              <w:jc w:val="center"/>
              <w:rPr>
                <w:color w:val="auto"/>
                <w:sz w:val="21"/>
                <w:szCs w:val="21"/>
              </w:rPr>
            </w:pPr>
            <w:r>
              <w:rPr>
                <w:color w:val="auto"/>
                <w:sz w:val="21"/>
                <w:szCs w:val="21"/>
              </w:rPr>
              <w:t>表层样</w:t>
            </w:r>
          </w:p>
        </w:tc>
        <w:tc>
          <w:tcPr>
            <w:tcW w:w="3477" w:type="dxa"/>
            <w:vAlign w:val="center"/>
          </w:tcPr>
          <w:p>
            <w:pPr>
              <w:spacing w:line="312" w:lineRule="exact"/>
              <w:ind w:firstLine="0" w:firstLineChars="0"/>
              <w:jc w:val="center"/>
              <w:rPr>
                <w:color w:val="auto"/>
                <w:sz w:val="21"/>
                <w:szCs w:val="21"/>
              </w:rPr>
            </w:pPr>
            <w:r>
              <w:rPr>
                <w:color w:val="auto"/>
                <w:sz w:val="21"/>
                <w:szCs w:val="21"/>
              </w:rPr>
              <w:t>了解周边土壤本底值</w:t>
            </w:r>
          </w:p>
        </w:tc>
      </w:tr>
    </w:tbl>
    <w:p>
      <w:pPr>
        <w:pStyle w:val="2"/>
        <w:spacing w:after="0"/>
        <w:ind w:firstLine="480"/>
        <w:rPr>
          <w:color w:val="auto"/>
        </w:rPr>
        <w:sectPr>
          <w:headerReference r:id="rId33" w:type="default"/>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pPr>
        <w:spacing w:line="240" w:lineRule="auto"/>
        <w:ind w:firstLine="0" w:firstLineChars="0"/>
        <w:jc w:val="center"/>
        <w:rPr>
          <w:rFonts w:eastAsia="黑体"/>
          <w:color w:val="auto"/>
          <w:sz w:val="21"/>
          <w:szCs w:val="21"/>
        </w:rPr>
      </w:pPr>
      <w:r>
        <w:rPr>
          <w:rFonts w:hint="eastAsia" w:eastAsia="黑体"/>
          <w:color w:val="auto"/>
          <w:sz w:val="21"/>
          <w:szCs w:val="21"/>
          <w:lang w:eastAsia="zh-CN"/>
        </w:rPr>
        <w:drawing>
          <wp:anchor distT="0" distB="0" distL="114300" distR="114300" simplePos="0" relativeHeight="251824128" behindDoc="0" locked="0" layoutInCell="1" allowOverlap="1">
            <wp:simplePos x="0" y="0"/>
            <wp:positionH relativeFrom="column">
              <wp:posOffset>1063625</wp:posOffset>
            </wp:positionH>
            <wp:positionV relativeFrom="paragraph">
              <wp:posOffset>4509135</wp:posOffset>
            </wp:positionV>
            <wp:extent cx="208280" cy="244475"/>
            <wp:effectExtent l="0" t="0" r="1270" b="3175"/>
            <wp:wrapNone/>
            <wp:docPr id="66" name="图片 66" descr="1810ef781baf5da0d6bfeb34618bd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1810ef781baf5da0d6bfeb34618bdb9"/>
                    <pic:cNvPicPr>
                      <a:picLocks noChangeAspect="1"/>
                    </pic:cNvPicPr>
                  </pic:nvPicPr>
                  <pic:blipFill>
                    <a:blip r:embed="rId100"/>
                    <a:stretch>
                      <a:fillRect/>
                    </a:stretch>
                  </pic:blipFill>
                  <pic:spPr>
                    <a:xfrm>
                      <a:off x="0" y="0"/>
                      <a:ext cx="208280" cy="244475"/>
                    </a:xfrm>
                    <a:prstGeom prst="rect">
                      <a:avLst/>
                    </a:prstGeom>
                  </pic:spPr>
                </pic:pic>
              </a:graphicData>
            </a:graphic>
          </wp:anchor>
        </w:drawing>
      </w:r>
      <w:r>
        <w:rPr>
          <w:color w:val="auto"/>
          <w:sz w:val="21"/>
        </w:rPr>
        <mc:AlternateContent>
          <mc:Choice Requires="wps">
            <w:drawing>
              <wp:anchor distT="0" distB="0" distL="114300" distR="114300" simplePos="0" relativeHeight="251823104" behindDoc="0" locked="0" layoutInCell="1" allowOverlap="1">
                <wp:simplePos x="0" y="0"/>
                <wp:positionH relativeFrom="column">
                  <wp:posOffset>991870</wp:posOffset>
                </wp:positionH>
                <wp:positionV relativeFrom="paragraph">
                  <wp:posOffset>4110355</wp:posOffset>
                </wp:positionV>
                <wp:extent cx="1468120" cy="778510"/>
                <wp:effectExtent l="6350" t="6350" r="11430" b="15240"/>
                <wp:wrapNone/>
                <wp:docPr id="56" name="矩形 56"/>
                <wp:cNvGraphicFramePr/>
                <a:graphic xmlns:a="http://schemas.openxmlformats.org/drawingml/2006/main">
                  <a:graphicData uri="http://schemas.microsoft.com/office/word/2010/wordprocessingShape">
                    <wps:wsp>
                      <wps:cNvSpPr/>
                      <wps:spPr>
                        <a:xfrm>
                          <a:off x="0" y="0"/>
                          <a:ext cx="1468120" cy="77851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0" w:firstLineChars="0"/>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图例：</w:t>
                            </w:r>
                          </w:p>
                          <w:p>
                            <w:pPr>
                              <w:spacing w:line="360" w:lineRule="auto"/>
                              <w:ind w:firstLine="0" w:firstLineChars="0"/>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 xml:space="preserve"> </w:t>
                            </w:r>
                            <w:r>
                              <w:rPr>
                                <w:rFonts w:hint="eastAsia"/>
                                <w:color w:val="000000" w:themeColor="text1"/>
                                <w:lang w:val="en-US" w:eastAsia="zh-CN"/>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 xml:space="preserve"> 土壤</w:t>
                            </w: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监测点位</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8.1pt;margin-top:323.65pt;height:61.3pt;width:115.6pt;z-index:251823104;v-text-anchor:middle;mso-width-relative:page;mso-height-relative:page;" fillcolor="#FFFFFF [3212]" filled="t" stroked="t" coordsize="21600,21600" o:gfxdata="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fUBAk2QAAAAsBAAAPAAAAAAAAAAEAIAAAACIAAABk&#10;cnMvZG93bnJldi54bWxQSwECFAAUAAAACACHTuJAOC2aincCAAABBQAADgAAAAAAAAABACAAAAAo&#10;AQAAZHJzL2Uyb0RvYy54bWxQSwUGAAAAAAYABgBZAQAAEQYAAAAA&#10;">
                <v:fill on="t" focussize="0,0"/>
                <v:stroke weight="1pt" color="#000000 [3213]" miterlimit="8" joinstyle="miter"/>
                <v:imagedata o:title=""/>
                <o:lock v:ext="edit" aspectratio="f"/>
                <v:textbox>
                  <w:txbxContent>
                    <w:p>
                      <w:pPr>
                        <w:ind w:firstLine="0" w:firstLineChars="0"/>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图例：</w:t>
                      </w:r>
                    </w:p>
                    <w:p>
                      <w:pPr>
                        <w:spacing w:line="360" w:lineRule="auto"/>
                        <w:ind w:firstLine="0" w:firstLineChars="0"/>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 xml:space="preserve"> </w:t>
                      </w:r>
                      <w:r>
                        <w:rPr>
                          <w:rFonts w:hint="eastAsia"/>
                          <w:color w:val="000000" w:themeColor="text1"/>
                          <w:lang w:val="en-US" w:eastAsia="zh-CN"/>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 xml:space="preserve"> 土壤</w:t>
                      </w: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监测点位</w:t>
                      </w:r>
                    </w:p>
                  </w:txbxContent>
                </v:textbox>
              </v:rect>
            </w:pict>
          </mc:Fallback>
        </mc:AlternateContent>
      </w:r>
      <w:r>
        <w:rPr>
          <w:rFonts w:hint="eastAsia" w:eastAsia="黑体"/>
          <w:b/>
          <w:bCs/>
          <w:color w:val="auto"/>
          <w:szCs w:val="24"/>
        </w:rPr>
        <w:drawing>
          <wp:anchor distT="0" distB="0" distL="114300" distR="114300" simplePos="0" relativeHeight="251700224" behindDoc="0" locked="0" layoutInCell="1" allowOverlap="1">
            <wp:simplePos x="0" y="0"/>
            <wp:positionH relativeFrom="column">
              <wp:posOffset>7099300</wp:posOffset>
            </wp:positionH>
            <wp:positionV relativeFrom="paragraph">
              <wp:posOffset>41275</wp:posOffset>
            </wp:positionV>
            <wp:extent cx="775970" cy="807720"/>
            <wp:effectExtent l="0" t="0" r="5080" b="11430"/>
            <wp:wrapNone/>
            <wp:docPr id="88" name="图片 88" descr="9231966187c51f82577e5b8e845b6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9231966187c51f82577e5b8e845b6da"/>
                    <pic:cNvPicPr>
                      <a:picLocks noChangeAspect="1"/>
                    </pic:cNvPicPr>
                  </pic:nvPicPr>
                  <pic:blipFill>
                    <a:blip r:embed="rId54"/>
                    <a:stretch>
                      <a:fillRect/>
                    </a:stretch>
                  </pic:blipFill>
                  <pic:spPr>
                    <a:xfrm>
                      <a:off x="0" y="0"/>
                      <a:ext cx="775970" cy="807720"/>
                    </a:xfrm>
                    <a:prstGeom prst="rect">
                      <a:avLst/>
                    </a:prstGeom>
                  </pic:spPr>
                </pic:pic>
              </a:graphicData>
            </a:graphic>
          </wp:anchor>
        </w:drawing>
      </w:r>
      <w:r>
        <w:rPr>
          <w:rFonts w:eastAsia="黑体"/>
          <w:color w:val="auto"/>
          <w:sz w:val="21"/>
          <w:szCs w:val="21"/>
        </w:rPr>
        <w:drawing>
          <wp:inline distT="0" distB="0" distL="114300" distR="114300">
            <wp:extent cx="6922770" cy="4853940"/>
            <wp:effectExtent l="0" t="0" r="11430" b="3810"/>
            <wp:docPr id="12" name="图片 12" descr="ee8bb82a8509217bf2472c43c26a5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ee8bb82a8509217bf2472c43c26a5cd"/>
                    <pic:cNvPicPr>
                      <a:picLocks noChangeAspect="1"/>
                    </pic:cNvPicPr>
                  </pic:nvPicPr>
                  <pic:blipFill>
                    <a:blip r:embed="rId101"/>
                    <a:stretch>
                      <a:fillRect/>
                    </a:stretch>
                  </pic:blipFill>
                  <pic:spPr>
                    <a:xfrm>
                      <a:off x="0" y="0"/>
                      <a:ext cx="6922770" cy="4853940"/>
                    </a:xfrm>
                    <a:prstGeom prst="rect">
                      <a:avLst/>
                    </a:prstGeom>
                  </pic:spPr>
                </pic:pic>
              </a:graphicData>
            </a:graphic>
          </wp:inline>
        </w:drawing>
      </w:r>
    </w:p>
    <w:p>
      <w:pPr>
        <w:spacing w:line="240" w:lineRule="auto"/>
        <w:ind w:firstLine="0" w:firstLineChars="0"/>
        <w:jc w:val="center"/>
        <w:rPr>
          <w:rFonts w:hint="eastAsia" w:eastAsia="黑体"/>
          <w:color w:val="auto"/>
          <w:sz w:val="21"/>
          <w:szCs w:val="21"/>
          <w:lang w:eastAsia="zh-CN"/>
        </w:rPr>
        <w:sectPr>
          <w:headerReference r:id="rId34" w:type="default"/>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color w:val="auto"/>
          <w:sz w:val="21"/>
        </w:rPr>
        <mc:AlternateContent>
          <mc:Choice Requires="wps">
            <w:drawing>
              <wp:anchor distT="0" distB="0" distL="114300" distR="114300" simplePos="0" relativeHeight="251699200" behindDoc="0" locked="0" layoutInCell="1" allowOverlap="1">
                <wp:simplePos x="0" y="0"/>
                <wp:positionH relativeFrom="column">
                  <wp:posOffset>618490</wp:posOffset>
                </wp:positionH>
                <wp:positionV relativeFrom="paragraph">
                  <wp:posOffset>4143375</wp:posOffset>
                </wp:positionV>
                <wp:extent cx="1404620" cy="650875"/>
                <wp:effectExtent l="6350" t="6350" r="17780" b="9525"/>
                <wp:wrapNone/>
                <wp:docPr id="86" name="矩形 86"/>
                <wp:cNvGraphicFramePr/>
                <a:graphic xmlns:a="http://schemas.openxmlformats.org/drawingml/2006/main">
                  <a:graphicData uri="http://schemas.microsoft.com/office/word/2010/wordprocessingShape">
                    <wps:wsp>
                      <wps:cNvSpPr/>
                      <wps:spPr>
                        <a:xfrm>
                          <a:off x="0" y="0"/>
                          <a:ext cx="1404620" cy="6508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0" w:firstLineChars="0"/>
                              <w:rPr>
                                <w:color w:val="000000" w:themeColor="text1"/>
                                <w:sz w:val="22"/>
                                <w:szCs w:val="18"/>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sz w:val="22"/>
                                <w:szCs w:val="18"/>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图例：</w:t>
                            </w:r>
                          </w:p>
                          <w:p>
                            <w:pPr>
                              <w:ind w:firstLine="0" w:firstLineChars="0"/>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color w:val="000000" w:themeColor="text1"/>
                                <w:sz w:val="22"/>
                                <w:szCs w:val="18"/>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drawing>
                                <wp:inline distT="0" distB="0" distL="114300" distR="114300">
                                  <wp:extent cx="193675" cy="213995"/>
                                  <wp:effectExtent l="0" t="0" r="15875" b="14605"/>
                                  <wp:docPr id="87" name="图片 87" descr="fd6b9b04de1267b6ca1f5fc3fca3a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fd6b9b04de1267b6ca1f5fc3fca3a25"/>
                                          <pic:cNvPicPr>
                                            <a:picLocks noChangeAspect="1"/>
                                          </pic:cNvPicPr>
                                        </pic:nvPicPr>
                                        <pic:blipFill>
                                          <a:blip r:embed="rId95"/>
                                          <a:stretch>
                                            <a:fillRect/>
                                          </a:stretch>
                                        </pic:blipFill>
                                        <pic:spPr>
                                          <a:xfrm>
                                            <a:off x="0" y="0"/>
                                            <a:ext cx="193675" cy="213995"/>
                                          </a:xfrm>
                                          <a:prstGeom prst="rect">
                                            <a:avLst/>
                                          </a:prstGeom>
                                        </pic:spPr>
                                      </pic:pic>
                                    </a:graphicData>
                                  </a:graphic>
                                </wp:inline>
                              </w:drawing>
                            </w:r>
                            <w:r>
                              <w:rPr>
                                <w:rFonts w:hint="eastAsia"/>
                                <w:color w:val="000000" w:themeColor="text1"/>
                                <w:sz w:val="22"/>
                                <w:szCs w:val="18"/>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 xml:space="preserve"> 土壤监测点</w:t>
                            </w: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位</w:t>
                            </w:r>
                          </w:p>
                          <w:p>
                            <w:pPr>
                              <w:pStyle w:val="2"/>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7pt;margin-top:326.25pt;height:51.25pt;width:110.6pt;z-index:251699200;v-text-anchor:middle;mso-width-relative:page;mso-height-relative:page;" fillcolor="#FFFFFF [3212]" filled="t" stroked="t" coordsize="21600,21600" o:gfxdata="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25VX02AAAAAoBAAAPAAAAAAAAAAEAIAAAACIAAABkcnMv&#10;ZG93bnJldi54bWxQSwECFAAUAAAACACHTuJAdb5GV3UCAAABBQAADgAAAAAAAAABACAAAAAnAQAA&#10;ZHJzL2Uyb0RvYy54bWxQSwUGAAAAAAYABgBZAQAADgYAAAAA&#10;">
                <v:fill on="t" focussize="0,0"/>
                <v:stroke weight="1pt" color="#000000 [3213]" miterlimit="8" joinstyle="miter"/>
                <v:imagedata o:title=""/>
                <o:lock v:ext="edit" aspectratio="f"/>
                <v:textbox>
                  <w:txbxContent>
                    <w:p>
                      <w:pPr>
                        <w:ind w:firstLine="0" w:firstLineChars="0"/>
                        <w:rPr>
                          <w:color w:val="000000" w:themeColor="text1"/>
                          <w:sz w:val="22"/>
                          <w:szCs w:val="18"/>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sz w:val="22"/>
                          <w:szCs w:val="18"/>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图例：</w:t>
                      </w:r>
                    </w:p>
                    <w:p>
                      <w:pPr>
                        <w:ind w:firstLine="0" w:firstLineChars="0"/>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color w:val="000000" w:themeColor="text1"/>
                          <w:sz w:val="22"/>
                          <w:szCs w:val="18"/>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drawing>
                          <wp:inline distT="0" distB="0" distL="114300" distR="114300">
                            <wp:extent cx="193675" cy="213995"/>
                            <wp:effectExtent l="0" t="0" r="15875" b="14605"/>
                            <wp:docPr id="87" name="图片 87" descr="fd6b9b04de1267b6ca1f5fc3fca3a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fd6b9b04de1267b6ca1f5fc3fca3a25"/>
                                    <pic:cNvPicPr>
                                      <a:picLocks noChangeAspect="1"/>
                                    </pic:cNvPicPr>
                                  </pic:nvPicPr>
                                  <pic:blipFill>
                                    <a:blip r:embed="rId95"/>
                                    <a:stretch>
                                      <a:fillRect/>
                                    </a:stretch>
                                  </pic:blipFill>
                                  <pic:spPr>
                                    <a:xfrm>
                                      <a:off x="0" y="0"/>
                                      <a:ext cx="193675" cy="213995"/>
                                    </a:xfrm>
                                    <a:prstGeom prst="rect">
                                      <a:avLst/>
                                    </a:prstGeom>
                                  </pic:spPr>
                                </pic:pic>
                              </a:graphicData>
                            </a:graphic>
                          </wp:inline>
                        </w:drawing>
                      </w:r>
                      <w:r>
                        <w:rPr>
                          <w:rFonts w:hint="eastAsia"/>
                          <w:color w:val="000000" w:themeColor="text1"/>
                          <w:sz w:val="22"/>
                          <w:szCs w:val="18"/>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 xml:space="preserve"> 土壤监测点</w:t>
                      </w: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位</w:t>
                      </w:r>
                    </w:p>
                    <w:p>
                      <w:pPr>
                        <w:pStyle w:val="2"/>
                      </w:pPr>
                    </w:p>
                  </w:txbxContent>
                </v:textbox>
              </v:rect>
            </w:pict>
          </mc:Fallback>
        </mc:AlternateContent>
      </w:r>
      <w:r>
        <w:rPr>
          <w:rFonts w:eastAsia="黑体"/>
          <w:color w:val="auto"/>
          <w:sz w:val="21"/>
          <w:szCs w:val="21"/>
        </w:rPr>
        <w:t>图4.5-3土壤现状监测布点图</w:t>
      </w:r>
    </w:p>
    <w:p>
      <w:pPr>
        <w:pStyle w:val="10"/>
        <w:spacing w:line="360" w:lineRule="auto"/>
        <w:rPr>
          <w:color w:val="auto"/>
        </w:rPr>
      </w:pPr>
      <w:r>
        <w:rPr>
          <w:rFonts w:hint="eastAsia"/>
          <w:color w:val="auto"/>
        </w:rPr>
        <w:t>4</w:t>
      </w:r>
      <w:r>
        <w:rPr>
          <w:color w:val="auto"/>
        </w:rPr>
        <w:t>.5.2.2 监测因子</w:t>
      </w:r>
    </w:p>
    <w:p>
      <w:pPr>
        <w:spacing w:line="360" w:lineRule="auto"/>
        <w:ind w:firstLine="480"/>
        <w:rPr>
          <w:color w:val="auto"/>
        </w:rPr>
      </w:pPr>
      <w:r>
        <w:rPr>
          <w:rFonts w:hint="eastAsia"/>
          <w:color w:val="auto"/>
        </w:rPr>
        <w:t>1#~4#监测点位：《土壤环境质量  建设用地土壤污染风险管控标准》（GB36600-2018）表1建设用地土壤污染风险筛选值和管制值（基本项目）45项以及pH、石油烃、锡、钛、锌、铁，共51项。</w:t>
      </w:r>
    </w:p>
    <w:p>
      <w:pPr>
        <w:spacing w:line="360" w:lineRule="auto"/>
        <w:ind w:firstLine="480"/>
        <w:rPr>
          <w:color w:val="auto"/>
        </w:rPr>
      </w:pPr>
      <w:r>
        <w:rPr>
          <w:rFonts w:hint="eastAsia"/>
          <w:color w:val="auto"/>
        </w:rPr>
        <w:t>5#</w:t>
      </w:r>
      <w:r>
        <w:rPr>
          <w:rFonts w:hint="eastAsia"/>
          <w:color w:val="auto"/>
          <w:lang w:eastAsia="zh-CN"/>
        </w:rPr>
        <w:t>、</w:t>
      </w:r>
      <w:r>
        <w:rPr>
          <w:rFonts w:hint="eastAsia"/>
          <w:color w:val="auto"/>
          <w:lang w:val="en-US" w:eastAsia="zh-CN"/>
        </w:rPr>
        <w:t>7#</w:t>
      </w:r>
      <w:r>
        <w:rPr>
          <w:rFonts w:hint="eastAsia"/>
          <w:color w:val="auto"/>
        </w:rPr>
        <w:t>监测点位：《土壤环境质量  建设用地土壤污染风险管控标准》（GB36600-2018）表1建设用地土壤污染风险筛选值和管制值（基本项目）45项以及pH、石油烃，共47项。</w:t>
      </w:r>
    </w:p>
    <w:p>
      <w:pPr>
        <w:spacing w:line="360" w:lineRule="auto"/>
        <w:ind w:firstLine="480"/>
        <w:rPr>
          <w:rFonts w:hint="eastAsia"/>
          <w:color w:val="auto"/>
        </w:rPr>
      </w:pPr>
      <w:r>
        <w:rPr>
          <w:rFonts w:hint="eastAsia"/>
          <w:color w:val="auto"/>
        </w:rPr>
        <w:t>6#监测点位：《土壤环境质量  农用地土壤污染风险管控标准》（试行）（GB36600-2018）表1农用地土壤污染风险筛选值（基本项目）8项及pH共9项。</w:t>
      </w:r>
    </w:p>
    <w:p>
      <w:pPr>
        <w:pStyle w:val="10"/>
        <w:spacing w:line="360" w:lineRule="auto"/>
        <w:rPr>
          <w:color w:val="auto"/>
        </w:rPr>
      </w:pPr>
      <w:r>
        <w:rPr>
          <w:rFonts w:hint="eastAsia"/>
          <w:color w:val="auto"/>
        </w:rPr>
        <w:t>4</w:t>
      </w:r>
      <w:r>
        <w:rPr>
          <w:color w:val="auto"/>
        </w:rPr>
        <w:t>.5.2.3监测频率与取样要求</w:t>
      </w:r>
    </w:p>
    <w:p>
      <w:pPr>
        <w:ind w:firstLine="480"/>
        <w:rPr>
          <w:color w:val="auto"/>
        </w:rPr>
      </w:pPr>
      <w:r>
        <w:rPr>
          <w:color w:val="auto"/>
        </w:rPr>
        <w:t>监测1天，采样1次。表层样在0-0.2m取样，柱状样在0-0.5m、0.5-1.5m、1.5-3.0m分别取样。</w:t>
      </w:r>
    </w:p>
    <w:p>
      <w:pPr>
        <w:pStyle w:val="10"/>
        <w:spacing w:line="360" w:lineRule="auto"/>
        <w:rPr>
          <w:color w:val="auto"/>
        </w:rPr>
      </w:pPr>
      <w:r>
        <w:rPr>
          <w:rFonts w:hint="eastAsia"/>
          <w:color w:val="auto"/>
        </w:rPr>
        <w:t>4</w:t>
      </w:r>
      <w:r>
        <w:rPr>
          <w:color w:val="auto"/>
        </w:rPr>
        <w:t>.5.2.4 监测方法</w:t>
      </w:r>
    </w:p>
    <w:p>
      <w:pPr>
        <w:ind w:firstLine="480"/>
        <w:rPr>
          <w:color w:val="auto"/>
        </w:rPr>
      </w:pPr>
      <w:r>
        <w:rPr>
          <w:color w:val="auto"/>
        </w:rPr>
        <w:t>土壤监测采样、分析方法按照国家环保总局《环境监测分析方法》、《土壤元素的近代分析方法》（中国环境监测总站编）及《土壤环境质量 建设用地土壤污染风险管控标准（试行）》（GB36600-2018）中有关规定进行。具体监测分析方法见下表。</w:t>
      </w:r>
    </w:p>
    <w:p>
      <w:pPr>
        <w:pStyle w:val="48"/>
        <w:spacing w:line="360" w:lineRule="auto"/>
        <w:rPr>
          <w:bCs/>
          <w:color w:val="auto"/>
        </w:rPr>
      </w:pPr>
      <w:r>
        <w:rPr>
          <w:bCs/>
          <w:color w:val="auto"/>
        </w:rPr>
        <w:t>表</w:t>
      </w:r>
      <w:r>
        <w:rPr>
          <w:rFonts w:hint="eastAsia"/>
          <w:bCs/>
          <w:color w:val="auto"/>
        </w:rPr>
        <w:t>4</w:t>
      </w:r>
      <w:r>
        <w:rPr>
          <w:bCs/>
          <w:color w:val="auto"/>
        </w:rPr>
        <w:t>.5-</w:t>
      </w:r>
      <w:r>
        <w:rPr>
          <w:rFonts w:hint="eastAsia"/>
          <w:bCs/>
          <w:color w:val="auto"/>
        </w:rPr>
        <w:t>4</w:t>
      </w:r>
      <w:r>
        <w:rPr>
          <w:bCs/>
          <w:color w:val="auto"/>
        </w:rPr>
        <w:t xml:space="preserve">  土壤监测分析方法</w:t>
      </w:r>
    </w:p>
    <w:tbl>
      <w:tblPr>
        <w:tblStyle w:val="2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2"/>
        <w:gridCol w:w="1331"/>
        <w:gridCol w:w="2593"/>
        <w:gridCol w:w="1642"/>
        <w:gridCol w:w="1359"/>
        <w:gridCol w:w="11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467" w:type="pct"/>
            <w:vAlign w:val="center"/>
          </w:tcPr>
          <w:p>
            <w:pPr>
              <w:spacing w:line="312" w:lineRule="exact"/>
              <w:ind w:firstLine="0" w:firstLineChars="0"/>
              <w:jc w:val="center"/>
              <w:rPr>
                <w:b/>
                <w:bCs/>
                <w:color w:val="auto"/>
                <w:sz w:val="21"/>
                <w:szCs w:val="21"/>
              </w:rPr>
            </w:pPr>
            <w:r>
              <w:rPr>
                <w:b/>
                <w:bCs/>
                <w:color w:val="auto"/>
                <w:sz w:val="21"/>
                <w:szCs w:val="21"/>
              </w:rPr>
              <w:t>序号</w:t>
            </w:r>
          </w:p>
        </w:tc>
        <w:tc>
          <w:tcPr>
            <w:tcW w:w="747" w:type="pct"/>
            <w:vAlign w:val="center"/>
          </w:tcPr>
          <w:p>
            <w:pPr>
              <w:spacing w:line="312" w:lineRule="exact"/>
              <w:ind w:firstLine="0" w:firstLineChars="0"/>
              <w:jc w:val="center"/>
              <w:rPr>
                <w:b/>
                <w:bCs/>
                <w:color w:val="auto"/>
                <w:sz w:val="21"/>
                <w:szCs w:val="21"/>
              </w:rPr>
            </w:pPr>
            <w:r>
              <w:rPr>
                <w:b/>
                <w:bCs/>
                <w:color w:val="auto"/>
                <w:sz w:val="21"/>
                <w:szCs w:val="21"/>
              </w:rPr>
              <w:t>检测项目</w:t>
            </w:r>
          </w:p>
        </w:tc>
        <w:tc>
          <w:tcPr>
            <w:tcW w:w="1456" w:type="pct"/>
            <w:vAlign w:val="center"/>
          </w:tcPr>
          <w:p>
            <w:pPr>
              <w:spacing w:line="312" w:lineRule="exact"/>
              <w:ind w:firstLine="0" w:firstLineChars="0"/>
              <w:jc w:val="center"/>
              <w:rPr>
                <w:b/>
                <w:bCs/>
                <w:color w:val="auto"/>
                <w:sz w:val="21"/>
                <w:szCs w:val="21"/>
              </w:rPr>
            </w:pPr>
            <w:r>
              <w:rPr>
                <w:b/>
                <w:bCs/>
                <w:color w:val="auto"/>
                <w:sz w:val="21"/>
                <w:szCs w:val="21"/>
              </w:rPr>
              <w:t>检测依据</w:t>
            </w:r>
          </w:p>
        </w:tc>
        <w:tc>
          <w:tcPr>
            <w:tcW w:w="922" w:type="pct"/>
            <w:vAlign w:val="center"/>
          </w:tcPr>
          <w:p>
            <w:pPr>
              <w:spacing w:line="312" w:lineRule="exact"/>
              <w:ind w:firstLine="0" w:firstLineChars="0"/>
              <w:jc w:val="center"/>
              <w:rPr>
                <w:b/>
                <w:bCs/>
                <w:color w:val="auto"/>
                <w:sz w:val="21"/>
                <w:szCs w:val="21"/>
              </w:rPr>
            </w:pPr>
            <w:r>
              <w:rPr>
                <w:b/>
                <w:bCs/>
                <w:color w:val="auto"/>
                <w:sz w:val="21"/>
                <w:szCs w:val="21"/>
              </w:rPr>
              <w:t>检测设备</w:t>
            </w:r>
          </w:p>
        </w:tc>
        <w:tc>
          <w:tcPr>
            <w:tcW w:w="763" w:type="pct"/>
            <w:vAlign w:val="center"/>
          </w:tcPr>
          <w:p>
            <w:pPr>
              <w:spacing w:line="312" w:lineRule="exact"/>
              <w:ind w:firstLine="0" w:firstLineChars="0"/>
              <w:jc w:val="center"/>
              <w:rPr>
                <w:b/>
                <w:bCs/>
                <w:color w:val="auto"/>
                <w:sz w:val="21"/>
                <w:szCs w:val="21"/>
              </w:rPr>
            </w:pPr>
            <w:r>
              <w:rPr>
                <w:b/>
                <w:bCs/>
                <w:color w:val="auto"/>
                <w:sz w:val="21"/>
                <w:szCs w:val="21"/>
              </w:rPr>
              <w:t>设备编号</w:t>
            </w:r>
          </w:p>
        </w:tc>
        <w:tc>
          <w:tcPr>
            <w:tcW w:w="642" w:type="pct"/>
            <w:vAlign w:val="center"/>
          </w:tcPr>
          <w:p>
            <w:pPr>
              <w:spacing w:line="312" w:lineRule="exact"/>
              <w:ind w:firstLine="0" w:firstLineChars="0"/>
              <w:jc w:val="center"/>
              <w:rPr>
                <w:b/>
                <w:bCs/>
                <w:color w:val="auto"/>
                <w:sz w:val="21"/>
                <w:szCs w:val="21"/>
              </w:rPr>
            </w:pPr>
            <w:r>
              <w:rPr>
                <w:rFonts w:hint="eastAsia"/>
                <w:b/>
                <w:bCs/>
                <w:color w:val="auto"/>
                <w:sz w:val="21"/>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1</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汞</w:t>
            </w:r>
          </w:p>
        </w:tc>
        <w:tc>
          <w:tcPr>
            <w:tcW w:w="1456" w:type="pct"/>
            <w:vAlign w:val="center"/>
          </w:tcPr>
          <w:p>
            <w:pPr>
              <w:widowControl/>
              <w:spacing w:line="312" w:lineRule="exact"/>
              <w:ind w:firstLine="0" w:firstLineChars="0"/>
              <w:jc w:val="center"/>
              <w:rPr>
                <w:color w:val="auto"/>
                <w:kern w:val="0"/>
                <w:sz w:val="21"/>
                <w:szCs w:val="21"/>
              </w:rPr>
            </w:pPr>
            <w:r>
              <w:rPr>
                <w:color w:val="auto"/>
                <w:kern w:val="0"/>
                <w:sz w:val="21"/>
                <w:szCs w:val="21"/>
              </w:rPr>
              <w:t>GB/T 22105.1-2008 土壤质量 总汞、总砷、总铅的测定 原子荧光法 第1部分：土壤中总汞的测定</w:t>
            </w:r>
          </w:p>
        </w:tc>
        <w:tc>
          <w:tcPr>
            <w:tcW w:w="922" w:type="pct"/>
            <w:vAlign w:val="center"/>
          </w:tcPr>
          <w:p>
            <w:pPr>
              <w:spacing w:line="312" w:lineRule="exact"/>
              <w:ind w:firstLine="0" w:firstLineChars="0"/>
              <w:jc w:val="center"/>
              <w:rPr>
                <w:color w:val="auto"/>
                <w:sz w:val="21"/>
                <w:szCs w:val="21"/>
              </w:rPr>
            </w:pPr>
            <w:r>
              <w:rPr>
                <w:color w:val="auto"/>
                <w:sz w:val="21"/>
                <w:szCs w:val="21"/>
              </w:rPr>
              <w:t>AFS-933 原子荧光光度计</w:t>
            </w:r>
          </w:p>
        </w:tc>
        <w:tc>
          <w:tcPr>
            <w:tcW w:w="763" w:type="pct"/>
            <w:vAlign w:val="center"/>
          </w:tcPr>
          <w:p>
            <w:pPr>
              <w:spacing w:line="312" w:lineRule="exact"/>
              <w:ind w:firstLine="0" w:firstLineChars="0"/>
              <w:jc w:val="center"/>
              <w:rPr>
                <w:color w:val="auto"/>
                <w:sz w:val="21"/>
                <w:szCs w:val="21"/>
              </w:rPr>
            </w:pPr>
            <w:r>
              <w:rPr>
                <w:color w:val="auto"/>
                <w:sz w:val="21"/>
                <w:szCs w:val="21"/>
              </w:rPr>
              <w:t>DT/J-041-01</w:t>
            </w: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2</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砷</w:t>
            </w:r>
          </w:p>
        </w:tc>
        <w:tc>
          <w:tcPr>
            <w:tcW w:w="1456" w:type="pct"/>
            <w:vAlign w:val="center"/>
          </w:tcPr>
          <w:p>
            <w:pPr>
              <w:widowControl/>
              <w:spacing w:line="312" w:lineRule="exact"/>
              <w:ind w:firstLine="0" w:firstLineChars="0"/>
              <w:jc w:val="center"/>
              <w:rPr>
                <w:color w:val="auto"/>
                <w:kern w:val="0"/>
                <w:sz w:val="21"/>
                <w:szCs w:val="21"/>
              </w:rPr>
            </w:pPr>
            <w:r>
              <w:rPr>
                <w:color w:val="auto"/>
                <w:kern w:val="0"/>
                <w:sz w:val="21"/>
                <w:szCs w:val="21"/>
              </w:rPr>
              <w:t>GB/T 22105.2-2008 土壤质量 总汞、总砷、总铅的测定 原子荧光法 第2部分：土壤中总砷的测定</w:t>
            </w:r>
          </w:p>
        </w:tc>
        <w:tc>
          <w:tcPr>
            <w:tcW w:w="922" w:type="pct"/>
            <w:vAlign w:val="center"/>
          </w:tcPr>
          <w:p>
            <w:pPr>
              <w:spacing w:line="312" w:lineRule="exact"/>
              <w:ind w:firstLine="0" w:firstLineChars="0"/>
              <w:jc w:val="center"/>
              <w:rPr>
                <w:color w:val="auto"/>
                <w:sz w:val="21"/>
                <w:szCs w:val="21"/>
              </w:rPr>
            </w:pPr>
            <w:r>
              <w:rPr>
                <w:color w:val="auto"/>
                <w:sz w:val="21"/>
                <w:szCs w:val="21"/>
              </w:rPr>
              <w:t>AFS-933 原子荧光光度计</w:t>
            </w:r>
          </w:p>
        </w:tc>
        <w:tc>
          <w:tcPr>
            <w:tcW w:w="763" w:type="pct"/>
            <w:vAlign w:val="center"/>
          </w:tcPr>
          <w:p>
            <w:pPr>
              <w:spacing w:line="312" w:lineRule="exact"/>
              <w:ind w:firstLine="0" w:firstLineChars="0"/>
              <w:jc w:val="center"/>
              <w:rPr>
                <w:color w:val="auto"/>
                <w:sz w:val="21"/>
                <w:szCs w:val="21"/>
              </w:rPr>
            </w:pPr>
            <w:r>
              <w:rPr>
                <w:color w:val="auto"/>
                <w:sz w:val="21"/>
                <w:szCs w:val="21"/>
              </w:rPr>
              <w:t>DT/J-041-01</w:t>
            </w: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3</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镉</w:t>
            </w:r>
          </w:p>
        </w:tc>
        <w:tc>
          <w:tcPr>
            <w:tcW w:w="1456" w:type="pct"/>
            <w:vMerge w:val="restart"/>
            <w:vAlign w:val="center"/>
          </w:tcPr>
          <w:p>
            <w:pPr>
              <w:widowControl/>
              <w:spacing w:line="312" w:lineRule="exact"/>
              <w:ind w:firstLine="0" w:firstLineChars="0"/>
              <w:jc w:val="center"/>
              <w:rPr>
                <w:color w:val="auto"/>
                <w:kern w:val="0"/>
                <w:sz w:val="21"/>
                <w:szCs w:val="21"/>
              </w:rPr>
            </w:pPr>
            <w:r>
              <w:rPr>
                <w:color w:val="auto"/>
                <w:sz w:val="21"/>
                <w:szCs w:val="21"/>
              </w:rPr>
              <w:t>DB37/T 4435-2021 土壤和沉积物 14种金属元素总量的测定 电感耦合等离子体质谱法</w:t>
            </w:r>
          </w:p>
        </w:tc>
        <w:tc>
          <w:tcPr>
            <w:tcW w:w="922" w:type="pct"/>
            <w:vMerge w:val="restart"/>
            <w:vAlign w:val="center"/>
          </w:tcPr>
          <w:p>
            <w:pPr>
              <w:spacing w:line="312" w:lineRule="exact"/>
              <w:ind w:firstLine="0" w:firstLineChars="0"/>
              <w:jc w:val="center"/>
              <w:rPr>
                <w:color w:val="auto"/>
                <w:sz w:val="21"/>
                <w:szCs w:val="21"/>
              </w:rPr>
            </w:pPr>
            <w:r>
              <w:rPr>
                <w:color w:val="auto"/>
                <w:sz w:val="21"/>
                <w:szCs w:val="21"/>
              </w:rPr>
              <w:t>7850 ICP-MS 等离子体质谱仪</w:t>
            </w:r>
          </w:p>
        </w:tc>
        <w:tc>
          <w:tcPr>
            <w:tcW w:w="763" w:type="pct"/>
            <w:vMerge w:val="restart"/>
            <w:vAlign w:val="center"/>
          </w:tcPr>
          <w:p>
            <w:pPr>
              <w:spacing w:line="312" w:lineRule="exact"/>
              <w:ind w:firstLine="0" w:firstLineChars="0"/>
              <w:jc w:val="center"/>
              <w:rPr>
                <w:color w:val="auto"/>
                <w:sz w:val="21"/>
                <w:szCs w:val="21"/>
              </w:rPr>
            </w:pPr>
            <w:r>
              <w:rPr>
                <w:color w:val="auto"/>
                <w:sz w:val="21"/>
                <w:szCs w:val="21"/>
              </w:rPr>
              <w:t>DT/J-045-01</w:t>
            </w: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4</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铅</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5</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铜</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6</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镍</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7</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锌</w:t>
            </w:r>
          </w:p>
        </w:tc>
        <w:tc>
          <w:tcPr>
            <w:tcW w:w="1456" w:type="pct"/>
            <w:vMerge w:val="continue"/>
            <w:vAlign w:val="center"/>
          </w:tcPr>
          <w:p>
            <w:pPr>
              <w:widowControl/>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Align w:val="center"/>
          </w:tcPr>
          <w:p>
            <w:pPr>
              <w:widowControl/>
              <w:spacing w:line="312" w:lineRule="exact"/>
              <w:ind w:firstLine="0" w:firstLineChars="0"/>
              <w:jc w:val="center"/>
              <w:rPr>
                <w:color w:val="auto"/>
                <w:kern w:val="0"/>
                <w:sz w:val="21"/>
                <w:szCs w:val="21"/>
              </w:rPr>
            </w:pPr>
            <w:r>
              <w:rPr>
                <w:rFonts w:hint="eastAsia"/>
                <w:color w:val="auto"/>
                <w:kern w:val="0"/>
                <w:sz w:val="21"/>
                <w:szCs w:val="21"/>
              </w:rPr>
              <w:t>8</w:t>
            </w:r>
          </w:p>
        </w:tc>
        <w:tc>
          <w:tcPr>
            <w:tcW w:w="747" w:type="pct"/>
            <w:vAlign w:val="center"/>
          </w:tcPr>
          <w:p>
            <w:pPr>
              <w:widowControl/>
              <w:spacing w:line="312" w:lineRule="exact"/>
              <w:ind w:firstLine="0" w:firstLineChars="0"/>
              <w:jc w:val="center"/>
              <w:rPr>
                <w:rFonts w:hint="eastAsia" w:eastAsia="宋体"/>
                <w:color w:val="auto"/>
                <w:kern w:val="0"/>
                <w:sz w:val="21"/>
                <w:szCs w:val="21"/>
                <w:lang w:eastAsia="zh-CN"/>
              </w:rPr>
            </w:pPr>
            <w:r>
              <w:rPr>
                <w:color w:val="auto"/>
                <w:kern w:val="0"/>
                <w:sz w:val="21"/>
                <w:szCs w:val="21"/>
              </w:rPr>
              <w:t>铁</w:t>
            </w:r>
            <w:r>
              <w:rPr>
                <w:rFonts w:hint="eastAsia"/>
                <w:color w:val="auto"/>
                <w:kern w:val="0"/>
                <w:sz w:val="21"/>
                <w:szCs w:val="21"/>
                <w:lang w:eastAsia="zh-CN"/>
              </w:rPr>
              <w:t>×</w:t>
            </w:r>
          </w:p>
        </w:tc>
        <w:tc>
          <w:tcPr>
            <w:tcW w:w="1456" w:type="pct"/>
            <w:vMerge w:val="restart"/>
            <w:vAlign w:val="center"/>
          </w:tcPr>
          <w:p>
            <w:pPr>
              <w:widowControl/>
              <w:spacing w:line="312" w:lineRule="exact"/>
              <w:ind w:firstLine="0" w:firstLineChars="0"/>
              <w:jc w:val="center"/>
              <w:rPr>
                <w:color w:val="auto"/>
                <w:kern w:val="0"/>
                <w:sz w:val="21"/>
                <w:szCs w:val="21"/>
              </w:rPr>
            </w:pPr>
            <w:r>
              <w:rPr>
                <w:color w:val="auto"/>
                <w:sz w:val="21"/>
                <w:szCs w:val="21"/>
              </w:rPr>
              <w:t>HJ 974-2018 土壤和沉积物 11种元素的测定 碱熔-电感耦合等离子体发射光谱法</w:t>
            </w:r>
          </w:p>
        </w:tc>
        <w:tc>
          <w:tcPr>
            <w:tcW w:w="922" w:type="pct"/>
            <w:vMerge w:val="restart"/>
            <w:vAlign w:val="center"/>
          </w:tcPr>
          <w:p>
            <w:pPr>
              <w:spacing w:line="312" w:lineRule="exact"/>
              <w:ind w:firstLine="0" w:firstLineChars="0"/>
              <w:jc w:val="center"/>
              <w:rPr>
                <w:color w:val="auto"/>
                <w:sz w:val="21"/>
                <w:szCs w:val="21"/>
              </w:rPr>
            </w:pPr>
            <w:r>
              <w:rPr>
                <w:color w:val="auto"/>
                <w:sz w:val="21"/>
                <w:szCs w:val="21"/>
              </w:rPr>
              <w:t>5110 全谱直读电感耦合等离子体原子发射光谱仪（ICP-OES）</w:t>
            </w:r>
          </w:p>
        </w:tc>
        <w:tc>
          <w:tcPr>
            <w:tcW w:w="763" w:type="pct"/>
            <w:vMerge w:val="restart"/>
            <w:vAlign w:val="center"/>
          </w:tcPr>
          <w:p>
            <w:pPr>
              <w:spacing w:line="312" w:lineRule="exact"/>
              <w:ind w:firstLine="0" w:firstLineChars="0"/>
              <w:jc w:val="center"/>
              <w:rPr>
                <w:color w:val="auto"/>
                <w:sz w:val="21"/>
                <w:szCs w:val="21"/>
              </w:rPr>
            </w:pPr>
            <w:r>
              <w:rPr>
                <w:color w:val="auto"/>
                <w:sz w:val="21"/>
                <w:szCs w:val="21"/>
              </w:rPr>
              <w:t>128</w:t>
            </w: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hint="eastAsia" w:eastAsia="华文仿宋"/>
                <w:color w:val="auto"/>
                <w:kern w:val="0"/>
                <w:sz w:val="21"/>
                <w:szCs w:val="21"/>
                <w:lang w:bidi="ar"/>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9</w:t>
            </w:r>
          </w:p>
        </w:tc>
        <w:tc>
          <w:tcPr>
            <w:tcW w:w="747" w:type="pct"/>
            <w:vAlign w:val="center"/>
          </w:tcPr>
          <w:p>
            <w:pPr>
              <w:widowControl/>
              <w:spacing w:line="312" w:lineRule="exact"/>
              <w:ind w:firstLine="0" w:firstLineChars="0"/>
              <w:jc w:val="center"/>
              <w:rPr>
                <w:rFonts w:hint="eastAsia" w:eastAsia="宋体"/>
                <w:color w:val="auto"/>
                <w:kern w:val="0"/>
                <w:sz w:val="21"/>
                <w:szCs w:val="21"/>
                <w:lang w:eastAsia="zh-CN"/>
              </w:rPr>
            </w:pPr>
            <w:r>
              <w:rPr>
                <w:color w:val="auto"/>
                <w:kern w:val="0"/>
                <w:sz w:val="21"/>
                <w:szCs w:val="21"/>
              </w:rPr>
              <w:t>钛</w:t>
            </w:r>
            <w:r>
              <w:rPr>
                <w:rFonts w:hint="eastAsia"/>
                <w:color w:val="auto"/>
                <w:kern w:val="0"/>
                <w:sz w:val="21"/>
                <w:szCs w:val="21"/>
                <w:lang w:eastAsia="zh-CN"/>
              </w:rPr>
              <w:t>×</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hint="eastAsia" w:eastAsia="华文仿宋"/>
                <w:color w:val="auto"/>
                <w:kern w:val="0"/>
                <w:sz w:val="21"/>
                <w:szCs w:val="21"/>
                <w:lang w:bidi="ar"/>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10</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铬（六价）</w:t>
            </w:r>
          </w:p>
        </w:tc>
        <w:tc>
          <w:tcPr>
            <w:tcW w:w="1456" w:type="pct"/>
            <w:vAlign w:val="center"/>
          </w:tcPr>
          <w:p>
            <w:pPr>
              <w:widowControl/>
              <w:spacing w:line="312" w:lineRule="exact"/>
              <w:ind w:firstLine="0" w:firstLineChars="0"/>
              <w:jc w:val="center"/>
              <w:rPr>
                <w:color w:val="auto"/>
                <w:kern w:val="0"/>
                <w:sz w:val="21"/>
                <w:szCs w:val="21"/>
              </w:rPr>
            </w:pPr>
            <w:r>
              <w:rPr>
                <w:color w:val="auto"/>
                <w:kern w:val="0"/>
                <w:sz w:val="21"/>
                <w:szCs w:val="21"/>
              </w:rPr>
              <w:t xml:space="preserve">HJ </w:t>
            </w:r>
            <w:r>
              <w:rPr>
                <w:rFonts w:hint="eastAsia"/>
                <w:color w:val="auto"/>
                <w:kern w:val="0"/>
                <w:sz w:val="21"/>
                <w:szCs w:val="21"/>
                <w:lang w:eastAsia="zh-CN"/>
              </w:rPr>
              <w:t>15</w:t>
            </w:r>
            <w:r>
              <w:rPr>
                <w:color w:val="auto"/>
                <w:kern w:val="0"/>
                <w:sz w:val="21"/>
                <w:szCs w:val="21"/>
              </w:rPr>
              <w:t>2-2019 土壤和沉积物 六价铬的测定 碱溶液提取-火焰原子吸收分光光度法</w:t>
            </w:r>
          </w:p>
        </w:tc>
        <w:tc>
          <w:tcPr>
            <w:tcW w:w="922" w:type="pct"/>
            <w:vAlign w:val="center"/>
          </w:tcPr>
          <w:p>
            <w:pPr>
              <w:spacing w:line="312" w:lineRule="exact"/>
              <w:ind w:firstLine="0" w:firstLineChars="0"/>
              <w:jc w:val="center"/>
              <w:rPr>
                <w:color w:val="auto"/>
                <w:sz w:val="21"/>
                <w:szCs w:val="21"/>
              </w:rPr>
            </w:pPr>
            <w:r>
              <w:rPr>
                <w:color w:val="auto"/>
                <w:sz w:val="21"/>
                <w:szCs w:val="21"/>
              </w:rPr>
              <w:t>280FS AA火焰原子吸收分光光度计</w:t>
            </w:r>
          </w:p>
        </w:tc>
        <w:tc>
          <w:tcPr>
            <w:tcW w:w="763" w:type="pct"/>
            <w:vAlign w:val="center"/>
          </w:tcPr>
          <w:p>
            <w:pPr>
              <w:spacing w:line="312" w:lineRule="exact"/>
              <w:ind w:firstLine="0" w:firstLineChars="0"/>
              <w:jc w:val="center"/>
              <w:rPr>
                <w:color w:val="auto"/>
                <w:sz w:val="21"/>
                <w:szCs w:val="21"/>
              </w:rPr>
            </w:pPr>
            <w:r>
              <w:rPr>
                <w:color w:val="auto"/>
                <w:sz w:val="21"/>
                <w:szCs w:val="21"/>
              </w:rPr>
              <w:t>DT/J-042-01</w:t>
            </w: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11</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四氯化碳</w:t>
            </w:r>
          </w:p>
        </w:tc>
        <w:tc>
          <w:tcPr>
            <w:tcW w:w="1456" w:type="pct"/>
            <w:vMerge w:val="restart"/>
            <w:vAlign w:val="center"/>
          </w:tcPr>
          <w:p>
            <w:pPr>
              <w:widowControl/>
              <w:spacing w:line="312" w:lineRule="exact"/>
              <w:ind w:firstLine="0" w:firstLineChars="0"/>
              <w:jc w:val="center"/>
              <w:rPr>
                <w:color w:val="auto"/>
                <w:kern w:val="0"/>
                <w:sz w:val="21"/>
                <w:szCs w:val="21"/>
              </w:rPr>
            </w:pPr>
            <w:r>
              <w:rPr>
                <w:color w:val="auto"/>
                <w:kern w:val="0"/>
                <w:sz w:val="21"/>
                <w:szCs w:val="21"/>
              </w:rPr>
              <w:t>HJ 605-2011 土壤和沉积物 挥发性有机物的测定 吹扫捕集/气相色谱-质谱法</w:t>
            </w:r>
          </w:p>
        </w:tc>
        <w:tc>
          <w:tcPr>
            <w:tcW w:w="922" w:type="pct"/>
            <w:vMerge w:val="restart"/>
            <w:vAlign w:val="center"/>
          </w:tcPr>
          <w:p>
            <w:pPr>
              <w:spacing w:line="312" w:lineRule="exact"/>
              <w:ind w:firstLine="0" w:firstLineChars="0"/>
              <w:jc w:val="center"/>
              <w:rPr>
                <w:color w:val="auto"/>
                <w:sz w:val="21"/>
                <w:szCs w:val="21"/>
              </w:rPr>
            </w:pPr>
            <w:r>
              <w:rPr>
                <w:color w:val="auto"/>
                <w:sz w:val="21"/>
                <w:szCs w:val="21"/>
              </w:rPr>
              <w:t>8890-5977B 气相色谱-质谱联用仪</w:t>
            </w:r>
          </w:p>
        </w:tc>
        <w:tc>
          <w:tcPr>
            <w:tcW w:w="763" w:type="pct"/>
            <w:vMerge w:val="restart"/>
            <w:vAlign w:val="center"/>
          </w:tcPr>
          <w:p>
            <w:pPr>
              <w:spacing w:line="312" w:lineRule="exact"/>
              <w:ind w:firstLine="0" w:firstLineChars="0"/>
              <w:jc w:val="center"/>
              <w:rPr>
                <w:color w:val="auto"/>
                <w:sz w:val="21"/>
                <w:szCs w:val="21"/>
              </w:rPr>
            </w:pPr>
            <w:r>
              <w:rPr>
                <w:color w:val="auto"/>
                <w:sz w:val="21"/>
                <w:szCs w:val="21"/>
              </w:rPr>
              <w:t>DT/J-049-01</w:t>
            </w: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12</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氯仿</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13</w:t>
            </w:r>
          </w:p>
        </w:tc>
        <w:tc>
          <w:tcPr>
            <w:tcW w:w="747" w:type="pct"/>
            <w:vAlign w:val="center"/>
          </w:tcPr>
          <w:p>
            <w:pPr>
              <w:widowControl/>
              <w:spacing w:line="312" w:lineRule="exact"/>
              <w:ind w:firstLine="0" w:firstLineChars="0"/>
              <w:jc w:val="center"/>
              <w:rPr>
                <w:rFonts w:hint="eastAsia" w:eastAsia="宋体"/>
                <w:color w:val="auto"/>
                <w:kern w:val="0"/>
                <w:sz w:val="21"/>
                <w:szCs w:val="21"/>
                <w:lang w:eastAsia="zh-CN"/>
              </w:rPr>
            </w:pPr>
            <w:r>
              <w:rPr>
                <w:color w:val="auto"/>
                <w:kern w:val="0"/>
                <w:sz w:val="21"/>
                <w:szCs w:val="21"/>
              </w:rPr>
              <w:t>氯</w:t>
            </w:r>
            <w:r>
              <w:rPr>
                <w:rFonts w:hint="eastAsia"/>
                <w:color w:val="auto"/>
                <w:kern w:val="0"/>
                <w:sz w:val="21"/>
                <w:szCs w:val="21"/>
                <w:lang w:val="en-US" w:eastAsia="zh-CN"/>
              </w:rPr>
              <w:t>甲烷</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14</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1,1-二氯乙烷</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15</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1,2-二氯乙烷</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16</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1,1-二氯乙烯</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17</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顺-1,2-二氯乙烯</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18</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反-1,2-二氯乙烯</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19</w:t>
            </w:r>
          </w:p>
        </w:tc>
        <w:tc>
          <w:tcPr>
            <w:tcW w:w="747" w:type="pct"/>
            <w:vAlign w:val="center"/>
          </w:tcPr>
          <w:p>
            <w:pPr>
              <w:widowControl/>
              <w:spacing w:line="312" w:lineRule="exact"/>
              <w:ind w:firstLine="0" w:firstLineChars="0"/>
              <w:jc w:val="center"/>
              <w:rPr>
                <w:rFonts w:hint="eastAsia" w:eastAsia="宋体"/>
                <w:color w:val="auto"/>
                <w:kern w:val="0"/>
                <w:sz w:val="21"/>
                <w:szCs w:val="21"/>
                <w:lang w:eastAsia="zh-CN"/>
              </w:rPr>
            </w:pPr>
            <w:r>
              <w:rPr>
                <w:color w:val="auto"/>
                <w:kern w:val="0"/>
                <w:sz w:val="21"/>
                <w:szCs w:val="21"/>
              </w:rPr>
              <w:t>二氯</w:t>
            </w:r>
            <w:r>
              <w:rPr>
                <w:rFonts w:hint="eastAsia"/>
                <w:color w:val="auto"/>
                <w:kern w:val="0"/>
                <w:sz w:val="21"/>
                <w:szCs w:val="21"/>
                <w:lang w:val="en-US" w:eastAsia="zh-CN"/>
              </w:rPr>
              <w:t>甲烷</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20</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1,2-二氯丙烷</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21</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1,1,1,2-四氯乙烷</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22</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1,1,2,2-四氯乙烷</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23</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四氯乙烯</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24</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1,1,1-三氯乙烷</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25</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1,1,2-三氯乙烷</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spacing w:line="312" w:lineRule="exact"/>
              <w:ind w:firstLine="0" w:firstLineChars="0"/>
              <w:jc w:val="center"/>
              <w:rPr>
                <w:color w:val="auto"/>
                <w:sz w:val="21"/>
                <w:szCs w:val="21"/>
              </w:rPr>
            </w:pPr>
            <w:r>
              <w:rPr>
                <w:rFonts w:hint="eastAsia"/>
                <w:color w:val="auto"/>
                <w:sz w:val="21"/>
                <w:szCs w:val="21"/>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26</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三氯乙烯</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27</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1,2,3-三氯丙烷</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28</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氯乙烯</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29</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苯</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30</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氯苯</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31</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1,2-二氯苯</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32</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1,4-二氯苯</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33</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乙苯</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34</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苯乙烯</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35</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甲苯</w:t>
            </w:r>
          </w:p>
        </w:tc>
        <w:tc>
          <w:tcPr>
            <w:tcW w:w="1456" w:type="pct"/>
            <w:vMerge w:val="continue"/>
            <w:vAlign w:val="center"/>
          </w:tcPr>
          <w:p>
            <w:pPr>
              <w:widowControl/>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36</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间二甲苯+对二甲苯</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37</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邻二甲苯</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38</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硝基苯</w:t>
            </w:r>
          </w:p>
        </w:tc>
        <w:tc>
          <w:tcPr>
            <w:tcW w:w="1456" w:type="pct"/>
            <w:vMerge w:val="restart"/>
            <w:vAlign w:val="center"/>
          </w:tcPr>
          <w:p>
            <w:pPr>
              <w:widowControl/>
              <w:spacing w:line="312" w:lineRule="exact"/>
              <w:ind w:firstLine="0" w:firstLineChars="0"/>
              <w:jc w:val="center"/>
              <w:rPr>
                <w:color w:val="auto"/>
                <w:kern w:val="0"/>
                <w:sz w:val="21"/>
                <w:szCs w:val="21"/>
              </w:rPr>
            </w:pPr>
            <w:r>
              <w:rPr>
                <w:color w:val="auto"/>
                <w:kern w:val="0"/>
                <w:sz w:val="21"/>
                <w:szCs w:val="21"/>
              </w:rPr>
              <w:t>HJ 834-2017 土壤和沉积物 半挥发性有机物的测定 气相色谱-质谱法</w:t>
            </w:r>
          </w:p>
        </w:tc>
        <w:tc>
          <w:tcPr>
            <w:tcW w:w="922" w:type="pct"/>
            <w:vMerge w:val="restart"/>
            <w:vAlign w:val="center"/>
          </w:tcPr>
          <w:p>
            <w:pPr>
              <w:spacing w:line="312" w:lineRule="exact"/>
              <w:ind w:firstLine="0" w:firstLineChars="0"/>
              <w:jc w:val="center"/>
              <w:rPr>
                <w:color w:val="auto"/>
                <w:sz w:val="21"/>
                <w:szCs w:val="21"/>
              </w:rPr>
            </w:pPr>
            <w:r>
              <w:rPr>
                <w:color w:val="auto"/>
                <w:sz w:val="21"/>
                <w:szCs w:val="21"/>
              </w:rPr>
              <w:t>8890-5977B 气相色谱-质谱联用仪</w:t>
            </w:r>
          </w:p>
        </w:tc>
        <w:tc>
          <w:tcPr>
            <w:tcW w:w="763" w:type="pct"/>
            <w:vMerge w:val="restart"/>
            <w:vAlign w:val="center"/>
          </w:tcPr>
          <w:p>
            <w:pPr>
              <w:spacing w:line="312" w:lineRule="exact"/>
              <w:ind w:firstLine="0" w:firstLineChars="0"/>
              <w:jc w:val="center"/>
              <w:rPr>
                <w:color w:val="auto"/>
                <w:sz w:val="21"/>
                <w:szCs w:val="21"/>
              </w:rPr>
            </w:pPr>
            <w:r>
              <w:rPr>
                <w:color w:val="auto"/>
                <w:sz w:val="21"/>
                <w:szCs w:val="21"/>
              </w:rPr>
              <w:t>DT/J-052-01</w:t>
            </w: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39</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苯胺</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0.006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40</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2-氯酚</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41</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苯并[a]蒽</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42</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苯并[a]芘</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43</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苯并[b]荧蒽</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44</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苯并[k]荧蒽</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45</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䓛</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46</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二苯并[a,h]蒽</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47</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茚并[1,2,3-cd]芘</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48</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萘</w:t>
            </w:r>
          </w:p>
        </w:tc>
        <w:tc>
          <w:tcPr>
            <w:tcW w:w="1456" w:type="pct"/>
            <w:vMerge w:val="continue"/>
            <w:vAlign w:val="center"/>
          </w:tcPr>
          <w:p>
            <w:pPr>
              <w:spacing w:line="312" w:lineRule="exact"/>
              <w:ind w:firstLine="0" w:firstLineChars="0"/>
              <w:jc w:val="center"/>
              <w:rPr>
                <w:color w:val="auto"/>
                <w:sz w:val="21"/>
                <w:szCs w:val="21"/>
              </w:rPr>
            </w:pPr>
          </w:p>
        </w:tc>
        <w:tc>
          <w:tcPr>
            <w:tcW w:w="922" w:type="pct"/>
            <w:vMerge w:val="continue"/>
            <w:vAlign w:val="center"/>
          </w:tcPr>
          <w:p>
            <w:pPr>
              <w:spacing w:line="312" w:lineRule="exact"/>
              <w:ind w:firstLine="0" w:firstLineChars="0"/>
              <w:jc w:val="center"/>
              <w:rPr>
                <w:color w:val="auto"/>
                <w:sz w:val="21"/>
                <w:szCs w:val="21"/>
              </w:rPr>
            </w:pPr>
          </w:p>
        </w:tc>
        <w:tc>
          <w:tcPr>
            <w:tcW w:w="763" w:type="pct"/>
            <w:vMerge w:val="continue"/>
            <w:vAlign w:val="center"/>
          </w:tcPr>
          <w:p>
            <w:pPr>
              <w:spacing w:line="312" w:lineRule="exact"/>
              <w:ind w:firstLine="0" w:firstLineChars="0"/>
              <w:jc w:val="center"/>
              <w:rPr>
                <w:color w:val="auto"/>
                <w:sz w:val="21"/>
                <w:szCs w:val="21"/>
              </w:rPr>
            </w:pP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49</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pH值</w:t>
            </w:r>
          </w:p>
        </w:tc>
        <w:tc>
          <w:tcPr>
            <w:tcW w:w="1456" w:type="pct"/>
            <w:vAlign w:val="center"/>
          </w:tcPr>
          <w:p>
            <w:pPr>
              <w:widowControl/>
              <w:spacing w:line="312" w:lineRule="exact"/>
              <w:ind w:firstLine="0" w:firstLineChars="0"/>
              <w:jc w:val="center"/>
              <w:rPr>
                <w:color w:val="auto"/>
                <w:kern w:val="0"/>
                <w:sz w:val="21"/>
                <w:szCs w:val="21"/>
              </w:rPr>
            </w:pPr>
            <w:r>
              <w:rPr>
                <w:color w:val="auto"/>
                <w:kern w:val="0"/>
                <w:sz w:val="21"/>
                <w:szCs w:val="21"/>
              </w:rPr>
              <w:t>HJ 962-2018 土壤 pH 值的测定 电位法</w:t>
            </w:r>
          </w:p>
        </w:tc>
        <w:tc>
          <w:tcPr>
            <w:tcW w:w="922" w:type="pct"/>
            <w:vAlign w:val="center"/>
          </w:tcPr>
          <w:p>
            <w:pPr>
              <w:spacing w:line="312" w:lineRule="exact"/>
              <w:ind w:firstLine="0" w:firstLineChars="0"/>
              <w:jc w:val="center"/>
              <w:rPr>
                <w:color w:val="auto"/>
                <w:sz w:val="21"/>
                <w:szCs w:val="21"/>
              </w:rPr>
            </w:pPr>
            <w:r>
              <w:rPr>
                <w:color w:val="auto"/>
                <w:sz w:val="21"/>
                <w:szCs w:val="21"/>
              </w:rPr>
              <w:t>PHS-3C pH计</w:t>
            </w:r>
          </w:p>
        </w:tc>
        <w:tc>
          <w:tcPr>
            <w:tcW w:w="763" w:type="pct"/>
            <w:vAlign w:val="center"/>
          </w:tcPr>
          <w:p>
            <w:pPr>
              <w:spacing w:line="312" w:lineRule="exact"/>
              <w:ind w:firstLine="0" w:firstLineChars="0"/>
              <w:jc w:val="center"/>
              <w:rPr>
                <w:color w:val="auto"/>
                <w:sz w:val="21"/>
                <w:szCs w:val="21"/>
              </w:rPr>
            </w:pPr>
            <w:r>
              <w:rPr>
                <w:color w:val="auto"/>
                <w:sz w:val="21"/>
                <w:szCs w:val="21"/>
              </w:rPr>
              <w:t>DT/J-034</w:t>
            </w: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Align w:val="center"/>
          </w:tcPr>
          <w:p>
            <w:pPr>
              <w:widowControl/>
              <w:spacing w:line="312" w:lineRule="exact"/>
              <w:ind w:firstLine="0" w:firstLineChars="0"/>
              <w:jc w:val="center"/>
              <w:rPr>
                <w:color w:val="auto"/>
                <w:kern w:val="0"/>
                <w:sz w:val="21"/>
                <w:szCs w:val="21"/>
              </w:rPr>
            </w:pPr>
            <w:r>
              <w:rPr>
                <w:color w:val="auto"/>
                <w:kern w:val="0"/>
                <w:sz w:val="21"/>
                <w:szCs w:val="21"/>
              </w:rPr>
              <w:t>50</w:t>
            </w:r>
          </w:p>
        </w:tc>
        <w:tc>
          <w:tcPr>
            <w:tcW w:w="747" w:type="pct"/>
            <w:vAlign w:val="center"/>
          </w:tcPr>
          <w:p>
            <w:pPr>
              <w:widowControl/>
              <w:spacing w:line="312" w:lineRule="exact"/>
              <w:ind w:firstLine="0" w:firstLineChars="0"/>
              <w:jc w:val="center"/>
              <w:rPr>
                <w:color w:val="auto"/>
                <w:kern w:val="0"/>
                <w:sz w:val="21"/>
                <w:szCs w:val="21"/>
              </w:rPr>
            </w:pPr>
            <w:r>
              <w:rPr>
                <w:color w:val="auto"/>
                <w:kern w:val="0"/>
                <w:sz w:val="21"/>
                <w:szCs w:val="21"/>
              </w:rPr>
              <w:t>石油烃(C</w:t>
            </w:r>
            <w:r>
              <w:rPr>
                <w:color w:val="auto"/>
                <w:kern w:val="0"/>
                <w:sz w:val="21"/>
                <w:szCs w:val="21"/>
                <w:vertAlign w:val="subscript"/>
              </w:rPr>
              <w:t>10</w:t>
            </w:r>
            <w:r>
              <w:rPr>
                <w:color w:val="auto"/>
                <w:kern w:val="0"/>
                <w:sz w:val="21"/>
                <w:szCs w:val="21"/>
              </w:rPr>
              <w:t>-C</w:t>
            </w:r>
            <w:r>
              <w:rPr>
                <w:color w:val="auto"/>
                <w:kern w:val="0"/>
                <w:sz w:val="21"/>
                <w:szCs w:val="21"/>
                <w:vertAlign w:val="subscript"/>
              </w:rPr>
              <w:t>40</w:t>
            </w:r>
            <w:r>
              <w:rPr>
                <w:color w:val="auto"/>
                <w:kern w:val="0"/>
                <w:sz w:val="21"/>
                <w:szCs w:val="21"/>
              </w:rPr>
              <w:t>)</w:t>
            </w:r>
          </w:p>
        </w:tc>
        <w:tc>
          <w:tcPr>
            <w:tcW w:w="1456" w:type="pct"/>
            <w:vAlign w:val="center"/>
          </w:tcPr>
          <w:p>
            <w:pPr>
              <w:widowControl/>
              <w:spacing w:line="312" w:lineRule="exact"/>
              <w:ind w:firstLine="0" w:firstLineChars="0"/>
              <w:jc w:val="center"/>
              <w:rPr>
                <w:color w:val="auto"/>
                <w:kern w:val="0"/>
                <w:sz w:val="21"/>
                <w:szCs w:val="21"/>
              </w:rPr>
            </w:pPr>
            <w:r>
              <w:rPr>
                <w:color w:val="auto"/>
                <w:kern w:val="0"/>
                <w:sz w:val="21"/>
                <w:szCs w:val="21"/>
                <w:lang w:bidi="ar"/>
              </w:rPr>
              <w:t>HJ 1021-2019 土壤和沉积物 石油烃（C</w:t>
            </w:r>
            <w:r>
              <w:rPr>
                <w:color w:val="auto"/>
                <w:kern w:val="0"/>
                <w:sz w:val="21"/>
                <w:szCs w:val="21"/>
                <w:vertAlign w:val="subscript"/>
                <w:lang w:bidi="ar"/>
              </w:rPr>
              <w:t>10</w:t>
            </w:r>
            <w:r>
              <w:rPr>
                <w:color w:val="auto"/>
                <w:kern w:val="0"/>
                <w:sz w:val="21"/>
                <w:szCs w:val="21"/>
                <w:lang w:bidi="ar"/>
              </w:rPr>
              <w:t>-C</w:t>
            </w:r>
            <w:r>
              <w:rPr>
                <w:color w:val="auto"/>
                <w:kern w:val="0"/>
                <w:sz w:val="21"/>
                <w:szCs w:val="21"/>
                <w:vertAlign w:val="subscript"/>
                <w:lang w:bidi="ar"/>
              </w:rPr>
              <w:t>40</w:t>
            </w:r>
            <w:r>
              <w:rPr>
                <w:color w:val="auto"/>
                <w:kern w:val="0"/>
                <w:sz w:val="21"/>
                <w:szCs w:val="21"/>
                <w:lang w:bidi="ar"/>
              </w:rPr>
              <w:t>）的测定 气相色谱法</w:t>
            </w:r>
          </w:p>
        </w:tc>
        <w:tc>
          <w:tcPr>
            <w:tcW w:w="922" w:type="pct"/>
            <w:vAlign w:val="center"/>
          </w:tcPr>
          <w:p>
            <w:pPr>
              <w:spacing w:line="312" w:lineRule="exact"/>
              <w:ind w:firstLine="0" w:firstLineChars="0"/>
              <w:jc w:val="center"/>
              <w:rPr>
                <w:color w:val="auto"/>
                <w:sz w:val="21"/>
                <w:szCs w:val="21"/>
              </w:rPr>
            </w:pPr>
            <w:r>
              <w:rPr>
                <w:color w:val="auto"/>
                <w:sz w:val="21"/>
                <w:szCs w:val="21"/>
              </w:rPr>
              <w:t>8890-5977B 气相色谱-质谱联用仪</w:t>
            </w:r>
          </w:p>
        </w:tc>
        <w:tc>
          <w:tcPr>
            <w:tcW w:w="763" w:type="pct"/>
            <w:vAlign w:val="center"/>
          </w:tcPr>
          <w:p>
            <w:pPr>
              <w:spacing w:line="312" w:lineRule="exact"/>
              <w:ind w:firstLine="0" w:firstLineChars="0"/>
              <w:jc w:val="center"/>
              <w:rPr>
                <w:color w:val="auto"/>
                <w:sz w:val="21"/>
                <w:szCs w:val="21"/>
              </w:rPr>
            </w:pPr>
            <w:r>
              <w:rPr>
                <w:color w:val="auto"/>
                <w:sz w:val="21"/>
                <w:szCs w:val="21"/>
              </w:rPr>
              <w:t>DT/J-051-01</w:t>
            </w:r>
          </w:p>
        </w:tc>
        <w:tc>
          <w:tcPr>
            <w:tcW w:w="642"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6</w:t>
            </w:r>
          </w:p>
        </w:tc>
      </w:tr>
    </w:tbl>
    <w:p>
      <w:pPr>
        <w:pStyle w:val="10"/>
        <w:spacing w:line="360" w:lineRule="auto"/>
        <w:rPr>
          <w:color w:val="auto"/>
        </w:rPr>
      </w:pPr>
      <w:r>
        <w:rPr>
          <w:rFonts w:hint="eastAsia"/>
          <w:color w:val="auto"/>
        </w:rPr>
        <w:t>4</w:t>
      </w:r>
      <w:r>
        <w:rPr>
          <w:color w:val="auto"/>
        </w:rPr>
        <w:t>.5.2.5 监测结果</w:t>
      </w:r>
    </w:p>
    <w:p>
      <w:pPr>
        <w:ind w:firstLine="480"/>
        <w:rPr>
          <w:color w:val="auto"/>
        </w:rPr>
      </w:pPr>
      <w:r>
        <w:rPr>
          <w:color w:val="auto"/>
        </w:rPr>
        <w:t>土壤监测结果见下表。</w:t>
      </w:r>
    </w:p>
    <w:p>
      <w:pPr>
        <w:pStyle w:val="48"/>
        <w:spacing w:line="360" w:lineRule="auto"/>
        <w:rPr>
          <w:bCs/>
          <w:color w:val="auto"/>
        </w:rPr>
      </w:pPr>
      <w:r>
        <w:rPr>
          <w:bCs/>
          <w:color w:val="auto"/>
        </w:rPr>
        <w:t>表</w:t>
      </w:r>
      <w:r>
        <w:rPr>
          <w:rFonts w:hint="eastAsia"/>
          <w:bCs/>
          <w:color w:val="auto"/>
        </w:rPr>
        <w:t>4</w:t>
      </w:r>
      <w:r>
        <w:rPr>
          <w:bCs/>
          <w:color w:val="auto"/>
        </w:rPr>
        <w:t>.5-</w:t>
      </w:r>
      <w:r>
        <w:rPr>
          <w:rFonts w:hint="eastAsia"/>
          <w:bCs/>
          <w:color w:val="auto"/>
        </w:rPr>
        <w:t>5</w:t>
      </w:r>
      <w:r>
        <w:rPr>
          <w:bCs/>
          <w:color w:val="auto"/>
        </w:rPr>
        <w:t xml:space="preserve">  土壤环境质量现状监测结果（1#、</w:t>
      </w:r>
      <w:r>
        <w:rPr>
          <w:rFonts w:hint="eastAsia"/>
          <w:bCs/>
          <w:color w:val="auto"/>
        </w:rPr>
        <w:t>5</w:t>
      </w:r>
      <w:r>
        <w:rPr>
          <w:bCs/>
          <w:color w:val="auto"/>
        </w:rPr>
        <w:t>#）</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23"/>
        <w:gridCol w:w="1615"/>
        <w:gridCol w:w="2838"/>
        <w:gridCol w:w="26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Merge w:val="restart"/>
            <w:vAlign w:val="center"/>
          </w:tcPr>
          <w:p>
            <w:pPr>
              <w:spacing w:line="240" w:lineRule="auto"/>
              <w:ind w:firstLine="0" w:firstLineChars="0"/>
              <w:jc w:val="center"/>
              <w:rPr>
                <w:b/>
                <w:bCs/>
                <w:color w:val="auto"/>
                <w:sz w:val="21"/>
                <w:szCs w:val="21"/>
              </w:rPr>
            </w:pPr>
            <w:r>
              <w:rPr>
                <w:b/>
                <w:bCs/>
                <w:color w:val="auto"/>
                <w:sz w:val="21"/>
                <w:szCs w:val="21"/>
              </w:rPr>
              <w:t>监测项目</w:t>
            </w:r>
          </w:p>
        </w:tc>
        <w:tc>
          <w:tcPr>
            <w:tcW w:w="907" w:type="pct"/>
            <w:vMerge w:val="restart"/>
            <w:vAlign w:val="center"/>
          </w:tcPr>
          <w:p>
            <w:pPr>
              <w:spacing w:line="240" w:lineRule="auto"/>
              <w:ind w:firstLine="0" w:firstLineChars="0"/>
              <w:jc w:val="center"/>
              <w:rPr>
                <w:b/>
                <w:bCs/>
                <w:color w:val="auto"/>
                <w:sz w:val="21"/>
                <w:szCs w:val="21"/>
              </w:rPr>
            </w:pPr>
            <w:r>
              <w:rPr>
                <w:b/>
                <w:bCs/>
                <w:color w:val="auto"/>
                <w:sz w:val="21"/>
                <w:szCs w:val="21"/>
              </w:rPr>
              <w:t>单位</w:t>
            </w:r>
          </w:p>
        </w:tc>
        <w:tc>
          <w:tcPr>
            <w:tcW w:w="3068" w:type="pct"/>
            <w:gridSpan w:val="2"/>
            <w:vAlign w:val="center"/>
          </w:tcPr>
          <w:p>
            <w:pPr>
              <w:spacing w:line="240" w:lineRule="auto"/>
              <w:ind w:firstLine="0" w:firstLineChars="0"/>
              <w:jc w:val="center"/>
              <w:rPr>
                <w:b/>
                <w:bCs/>
                <w:color w:val="auto"/>
                <w:sz w:val="21"/>
                <w:szCs w:val="21"/>
              </w:rPr>
            </w:pPr>
            <w:r>
              <w:rPr>
                <w:b/>
                <w:bCs/>
                <w:color w:val="auto"/>
                <w:sz w:val="21"/>
                <w:szCs w:val="21"/>
              </w:rPr>
              <w:t>监测结果（mg/kg）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1024" w:type="pct"/>
            <w:vMerge w:val="continue"/>
            <w:vAlign w:val="center"/>
          </w:tcPr>
          <w:p>
            <w:pPr>
              <w:spacing w:line="240" w:lineRule="auto"/>
              <w:ind w:firstLine="0" w:firstLineChars="0"/>
              <w:jc w:val="center"/>
              <w:rPr>
                <w:color w:val="auto"/>
                <w:sz w:val="21"/>
                <w:szCs w:val="21"/>
              </w:rPr>
            </w:pPr>
          </w:p>
        </w:tc>
        <w:tc>
          <w:tcPr>
            <w:tcW w:w="907" w:type="pct"/>
            <w:vMerge w:val="continue"/>
            <w:vAlign w:val="center"/>
          </w:tcPr>
          <w:p>
            <w:pPr>
              <w:spacing w:line="240" w:lineRule="auto"/>
              <w:ind w:firstLine="0" w:firstLineChars="0"/>
              <w:jc w:val="center"/>
              <w:rPr>
                <w:color w:val="auto"/>
                <w:sz w:val="21"/>
                <w:szCs w:val="21"/>
              </w:rPr>
            </w:pPr>
          </w:p>
        </w:tc>
        <w:tc>
          <w:tcPr>
            <w:tcW w:w="1594" w:type="pct"/>
            <w:vAlign w:val="center"/>
          </w:tcPr>
          <w:p>
            <w:pPr>
              <w:spacing w:line="240" w:lineRule="auto"/>
              <w:ind w:firstLine="0" w:firstLineChars="0"/>
              <w:jc w:val="center"/>
              <w:rPr>
                <w:b/>
                <w:bCs/>
                <w:color w:val="auto"/>
                <w:sz w:val="21"/>
                <w:szCs w:val="21"/>
              </w:rPr>
            </w:pPr>
            <w:r>
              <w:rPr>
                <w:b/>
                <w:bCs/>
                <w:color w:val="auto"/>
                <w:sz w:val="21"/>
                <w:szCs w:val="21"/>
              </w:rPr>
              <w:t>1#厂区西北侧空地</w:t>
            </w:r>
          </w:p>
        </w:tc>
        <w:tc>
          <w:tcPr>
            <w:tcW w:w="1474" w:type="pct"/>
            <w:vAlign w:val="center"/>
          </w:tcPr>
          <w:p>
            <w:pPr>
              <w:spacing w:line="240" w:lineRule="auto"/>
              <w:ind w:firstLine="0" w:firstLineChars="0"/>
              <w:jc w:val="center"/>
              <w:rPr>
                <w:b/>
                <w:bCs/>
                <w:color w:val="auto"/>
                <w:sz w:val="21"/>
                <w:szCs w:val="21"/>
              </w:rPr>
            </w:pPr>
            <w:r>
              <w:rPr>
                <w:rFonts w:hint="eastAsia"/>
                <w:b/>
                <w:bCs/>
                <w:color w:val="auto"/>
                <w:sz w:val="21"/>
                <w:szCs w:val="21"/>
              </w:rPr>
              <w:t>5</w:t>
            </w:r>
            <w:r>
              <w:rPr>
                <w:b/>
                <w:bCs/>
                <w:color w:val="auto"/>
                <w:sz w:val="21"/>
                <w:szCs w:val="21"/>
              </w:rPr>
              <w:t>#厂外东北空地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Merge w:val="continue"/>
            <w:vAlign w:val="center"/>
          </w:tcPr>
          <w:p>
            <w:pPr>
              <w:spacing w:line="240" w:lineRule="auto"/>
              <w:ind w:firstLine="0" w:firstLineChars="0"/>
              <w:jc w:val="center"/>
              <w:rPr>
                <w:color w:val="auto"/>
                <w:sz w:val="21"/>
                <w:szCs w:val="21"/>
              </w:rPr>
            </w:pPr>
          </w:p>
        </w:tc>
        <w:tc>
          <w:tcPr>
            <w:tcW w:w="907" w:type="pct"/>
            <w:vMerge w:val="continue"/>
            <w:vAlign w:val="center"/>
          </w:tcPr>
          <w:p>
            <w:pPr>
              <w:spacing w:line="240" w:lineRule="auto"/>
              <w:ind w:firstLine="0" w:firstLineChars="0"/>
              <w:jc w:val="center"/>
              <w:rPr>
                <w:color w:val="auto"/>
                <w:sz w:val="21"/>
                <w:szCs w:val="21"/>
              </w:rPr>
            </w:pPr>
          </w:p>
        </w:tc>
        <w:tc>
          <w:tcPr>
            <w:tcW w:w="1594" w:type="pct"/>
            <w:vAlign w:val="center"/>
          </w:tcPr>
          <w:p>
            <w:pPr>
              <w:spacing w:line="240" w:lineRule="auto"/>
              <w:ind w:firstLine="0" w:firstLineChars="0"/>
              <w:jc w:val="center"/>
              <w:rPr>
                <w:color w:val="auto"/>
                <w:sz w:val="21"/>
                <w:szCs w:val="21"/>
              </w:rPr>
            </w:pPr>
            <w:r>
              <w:rPr>
                <w:color w:val="auto"/>
                <w:sz w:val="21"/>
                <w:szCs w:val="21"/>
              </w:rPr>
              <w:t>0-0.2m</w:t>
            </w:r>
          </w:p>
        </w:tc>
        <w:tc>
          <w:tcPr>
            <w:tcW w:w="1474" w:type="pct"/>
            <w:vAlign w:val="center"/>
          </w:tcPr>
          <w:p>
            <w:pPr>
              <w:spacing w:line="240" w:lineRule="auto"/>
              <w:ind w:firstLine="0" w:firstLineChars="0"/>
              <w:jc w:val="center"/>
              <w:rPr>
                <w:color w:val="auto"/>
                <w:sz w:val="21"/>
                <w:szCs w:val="21"/>
              </w:rPr>
            </w:pPr>
            <w:r>
              <w:rPr>
                <w:color w:val="auto"/>
                <w:sz w:val="21"/>
                <w:szCs w:val="21"/>
              </w:rPr>
              <w:t>0-0.2m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8" w:hRule="exact"/>
          <w:jc w:val="center"/>
        </w:trPr>
        <w:tc>
          <w:tcPr>
            <w:tcW w:w="1024" w:type="pct"/>
            <w:vAlign w:val="center"/>
          </w:tcPr>
          <w:p>
            <w:pPr>
              <w:spacing w:line="240" w:lineRule="auto"/>
              <w:ind w:firstLine="0" w:firstLineChars="0"/>
              <w:jc w:val="center"/>
              <w:rPr>
                <w:color w:val="auto"/>
                <w:sz w:val="21"/>
                <w:szCs w:val="21"/>
              </w:rPr>
            </w:pPr>
            <w:r>
              <w:rPr>
                <w:color w:val="auto"/>
                <w:sz w:val="21"/>
                <w:szCs w:val="21"/>
              </w:rPr>
              <w:t>pH值</w:t>
            </w:r>
          </w:p>
        </w:tc>
        <w:tc>
          <w:tcPr>
            <w:tcW w:w="907" w:type="pct"/>
            <w:vAlign w:val="center"/>
          </w:tcPr>
          <w:p>
            <w:pPr>
              <w:spacing w:line="240" w:lineRule="auto"/>
              <w:ind w:firstLine="0" w:firstLineChars="0"/>
              <w:jc w:val="center"/>
              <w:rPr>
                <w:color w:val="auto"/>
                <w:sz w:val="21"/>
                <w:szCs w:val="21"/>
              </w:rPr>
            </w:pPr>
            <w:r>
              <w:rPr>
                <w:color w:val="auto"/>
                <w:sz w:val="21"/>
                <w:szCs w:val="21"/>
              </w:rPr>
              <w:t>无量纲</w:t>
            </w:r>
          </w:p>
        </w:tc>
        <w:tc>
          <w:tcPr>
            <w:tcW w:w="1594" w:type="pct"/>
            <w:vAlign w:val="center"/>
          </w:tcPr>
          <w:p>
            <w:pPr>
              <w:spacing w:line="240" w:lineRule="auto"/>
              <w:ind w:firstLine="0" w:firstLineChars="0"/>
              <w:jc w:val="center"/>
              <w:rPr>
                <w:color w:val="auto"/>
                <w:sz w:val="21"/>
                <w:szCs w:val="21"/>
              </w:rPr>
            </w:pPr>
            <w:r>
              <w:rPr>
                <w:color w:val="auto"/>
                <w:sz w:val="21"/>
                <w:szCs w:val="21"/>
              </w:rPr>
              <w:t>7.76</w:t>
            </w:r>
          </w:p>
        </w:tc>
        <w:tc>
          <w:tcPr>
            <w:tcW w:w="1474" w:type="pct"/>
            <w:vAlign w:val="center"/>
          </w:tcPr>
          <w:p>
            <w:pPr>
              <w:spacing w:line="240" w:lineRule="auto"/>
              <w:ind w:firstLine="0" w:firstLineChars="0"/>
              <w:jc w:val="center"/>
              <w:rPr>
                <w:color w:val="auto"/>
                <w:sz w:val="21"/>
                <w:szCs w:val="21"/>
              </w:rPr>
            </w:pPr>
            <w:r>
              <w:rPr>
                <w:color w:val="auto"/>
                <w:sz w:val="21"/>
                <w:szCs w:val="21"/>
              </w:rPr>
              <w:t>8.13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汞</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0.092</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0.064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砷</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7.18</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7.18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镉</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0.38</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铅</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36.6</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铜</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45</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10.9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镍</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34.2</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12.2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锌</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94</w:t>
            </w:r>
          </w:p>
        </w:tc>
        <w:tc>
          <w:tcPr>
            <w:tcW w:w="1474" w:type="pct"/>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rFonts w:hint="eastAsia" w:eastAsia="宋体"/>
                <w:color w:val="auto"/>
                <w:sz w:val="21"/>
                <w:szCs w:val="21"/>
                <w:lang w:eastAsia="zh-CN"/>
              </w:rPr>
            </w:pPr>
            <w:r>
              <w:rPr>
                <w:color w:val="auto"/>
                <w:kern w:val="0"/>
                <w:sz w:val="21"/>
                <w:szCs w:val="21"/>
                <w:lang w:bidi="ar"/>
              </w:rPr>
              <w:t>铁(以Fe</w:t>
            </w:r>
            <w:r>
              <w:rPr>
                <w:rStyle w:val="60"/>
                <w:rFonts w:hint="default" w:ascii="Times New Roman" w:hAnsi="Times New Roman" w:cs="Times New Roman"/>
                <w:color w:val="auto"/>
                <w:lang w:bidi="ar"/>
              </w:rPr>
              <w:t>2</w:t>
            </w:r>
            <w:r>
              <w:rPr>
                <w:rStyle w:val="61"/>
                <w:rFonts w:hint="default" w:ascii="Times New Roman" w:hAnsi="Times New Roman" w:cs="Times New Roman"/>
                <w:color w:val="auto"/>
                <w:lang w:bidi="ar"/>
              </w:rPr>
              <w:t>O</w:t>
            </w:r>
            <w:r>
              <w:rPr>
                <w:rStyle w:val="60"/>
                <w:rFonts w:hint="default" w:ascii="Times New Roman" w:hAnsi="Times New Roman" w:cs="Times New Roman"/>
                <w:color w:val="auto"/>
                <w:lang w:bidi="ar"/>
              </w:rPr>
              <w:t>3</w:t>
            </w:r>
            <w:r>
              <w:rPr>
                <w:rStyle w:val="61"/>
                <w:rFonts w:hint="default" w:ascii="Times New Roman" w:hAnsi="Times New Roman" w:cs="Times New Roman"/>
                <w:color w:val="auto"/>
                <w:lang w:bidi="ar"/>
              </w:rPr>
              <w:t>计）</w:t>
            </w:r>
            <w:r>
              <w:rPr>
                <w:rStyle w:val="61"/>
                <w:rFonts w:hint="eastAsia" w:cs="Times New Roman"/>
                <w:color w:val="auto"/>
                <w:lang w:eastAsia="zh-CN" w:bidi="ar"/>
              </w:rPr>
              <w:t>×</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4.39</w:t>
            </w:r>
          </w:p>
        </w:tc>
        <w:tc>
          <w:tcPr>
            <w:tcW w:w="1474" w:type="pct"/>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rFonts w:hint="eastAsia" w:eastAsia="宋体"/>
                <w:color w:val="auto"/>
                <w:sz w:val="21"/>
                <w:szCs w:val="21"/>
                <w:lang w:eastAsia="zh-CN"/>
              </w:rPr>
            </w:pPr>
            <w:r>
              <w:rPr>
                <w:color w:val="auto"/>
                <w:kern w:val="0"/>
                <w:sz w:val="21"/>
                <w:szCs w:val="21"/>
                <w:lang w:bidi="ar"/>
              </w:rPr>
              <w:t>钛</w:t>
            </w:r>
            <w:r>
              <w:rPr>
                <w:rFonts w:hint="eastAsia"/>
                <w:color w:val="auto"/>
                <w:kern w:val="0"/>
                <w:sz w:val="21"/>
                <w:szCs w:val="21"/>
                <w:lang w:eastAsia="zh-CN" w:bidi="ar"/>
              </w:rPr>
              <w:t>×</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3.49</w:t>
            </w:r>
          </w:p>
        </w:tc>
        <w:tc>
          <w:tcPr>
            <w:tcW w:w="1474" w:type="pct"/>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铬（六价）</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sz w:val="21"/>
                <w:szCs w:val="21"/>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四氯化碳</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氯仿</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rFonts w:hint="eastAsia" w:eastAsia="宋体"/>
                <w:color w:val="auto"/>
                <w:kern w:val="0"/>
                <w:sz w:val="21"/>
                <w:szCs w:val="21"/>
                <w:lang w:eastAsia="zh-CN" w:bidi="ar"/>
              </w:rPr>
            </w:pPr>
            <w:r>
              <w:rPr>
                <w:color w:val="auto"/>
                <w:kern w:val="0"/>
                <w:sz w:val="21"/>
                <w:szCs w:val="21"/>
                <w:lang w:bidi="ar"/>
              </w:rPr>
              <w:t>氯</w:t>
            </w:r>
            <w:r>
              <w:rPr>
                <w:rFonts w:hint="eastAsia"/>
                <w:color w:val="auto"/>
                <w:kern w:val="0"/>
                <w:sz w:val="21"/>
                <w:szCs w:val="21"/>
                <w:lang w:val="en-US" w:eastAsia="zh-CN" w:bidi="ar"/>
              </w:rPr>
              <w:t>甲烷</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1,1-</w:t>
            </w:r>
            <w:r>
              <w:rPr>
                <w:rStyle w:val="61"/>
                <w:rFonts w:hint="default" w:ascii="Times New Roman" w:hAnsi="Times New Roman" w:cs="Times New Roman"/>
                <w:color w:val="auto"/>
                <w:lang w:bidi="ar"/>
              </w:rPr>
              <w:t>二氯乙烷</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1,2-</w:t>
            </w:r>
            <w:r>
              <w:rPr>
                <w:rStyle w:val="61"/>
                <w:rFonts w:hint="default" w:ascii="Times New Roman" w:hAnsi="Times New Roman" w:cs="Times New Roman"/>
                <w:color w:val="auto"/>
                <w:lang w:bidi="ar"/>
              </w:rPr>
              <w:t>二氯乙烷</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1,1-</w:t>
            </w:r>
            <w:r>
              <w:rPr>
                <w:rStyle w:val="61"/>
                <w:rFonts w:hint="default" w:ascii="Times New Roman" w:hAnsi="Times New Roman" w:cs="Times New Roman"/>
                <w:color w:val="auto"/>
                <w:lang w:bidi="ar"/>
              </w:rPr>
              <w:t>二氯乙烯</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顺</w:t>
            </w:r>
            <w:r>
              <w:rPr>
                <w:color w:val="auto"/>
                <w:kern w:val="0"/>
                <w:sz w:val="21"/>
                <w:szCs w:val="21"/>
                <w:lang w:bidi="ar"/>
              </w:rPr>
              <w:t>-1,2-</w:t>
            </w:r>
            <w:r>
              <w:rPr>
                <w:rStyle w:val="61"/>
                <w:rFonts w:hint="default" w:ascii="Times New Roman" w:hAnsi="Times New Roman" w:cs="Times New Roman"/>
                <w:color w:val="auto"/>
                <w:lang w:bidi="ar"/>
              </w:rPr>
              <w:t>二氯乙烯</w:t>
            </w:r>
          </w:p>
        </w:tc>
        <w:tc>
          <w:tcPr>
            <w:tcW w:w="907"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反</w:t>
            </w:r>
            <w:r>
              <w:rPr>
                <w:color w:val="auto"/>
                <w:kern w:val="0"/>
                <w:sz w:val="21"/>
                <w:szCs w:val="21"/>
                <w:lang w:bidi="ar"/>
              </w:rPr>
              <w:t>-1,2-</w:t>
            </w:r>
            <w:r>
              <w:rPr>
                <w:rStyle w:val="61"/>
                <w:rFonts w:hint="default" w:ascii="Times New Roman" w:hAnsi="Times New Roman" w:cs="Times New Roman"/>
                <w:color w:val="auto"/>
                <w:lang w:bidi="ar"/>
              </w:rPr>
              <w:t>二氯乙烯</w:t>
            </w:r>
          </w:p>
        </w:tc>
        <w:tc>
          <w:tcPr>
            <w:tcW w:w="907"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rFonts w:hint="eastAsia" w:eastAsia="宋体"/>
                <w:color w:val="auto"/>
                <w:kern w:val="0"/>
                <w:sz w:val="21"/>
                <w:szCs w:val="21"/>
                <w:lang w:eastAsia="zh-CN" w:bidi="ar"/>
              </w:rPr>
            </w:pPr>
            <w:r>
              <w:rPr>
                <w:color w:val="auto"/>
                <w:kern w:val="0"/>
                <w:sz w:val="21"/>
                <w:szCs w:val="21"/>
                <w:lang w:bidi="ar"/>
              </w:rPr>
              <w:t>二氯</w:t>
            </w:r>
            <w:r>
              <w:rPr>
                <w:rFonts w:hint="eastAsia"/>
                <w:color w:val="auto"/>
                <w:kern w:val="0"/>
                <w:sz w:val="21"/>
                <w:szCs w:val="21"/>
                <w:lang w:val="en-US" w:eastAsia="zh-CN" w:bidi="ar"/>
              </w:rPr>
              <w:t>甲烷</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1,2-</w:t>
            </w:r>
            <w:r>
              <w:rPr>
                <w:rStyle w:val="61"/>
                <w:rFonts w:hint="default" w:ascii="Times New Roman" w:hAnsi="Times New Roman" w:cs="Times New Roman"/>
                <w:color w:val="auto"/>
                <w:lang w:bidi="ar"/>
              </w:rPr>
              <w:t>二氯丙烷</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1,1,1,2-</w:t>
            </w:r>
            <w:r>
              <w:rPr>
                <w:rStyle w:val="61"/>
                <w:rFonts w:hint="default" w:ascii="Times New Roman" w:hAnsi="Times New Roman" w:cs="Times New Roman"/>
                <w:color w:val="auto"/>
                <w:lang w:bidi="ar"/>
              </w:rPr>
              <w:t>四氯乙烷</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1,1,2,2-</w:t>
            </w:r>
            <w:r>
              <w:rPr>
                <w:rStyle w:val="61"/>
                <w:rFonts w:hint="default" w:ascii="Times New Roman" w:hAnsi="Times New Roman" w:cs="Times New Roman"/>
                <w:color w:val="auto"/>
                <w:lang w:bidi="ar"/>
              </w:rPr>
              <w:t>四氯乙烷</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四氯乙烯</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1,1,1-</w:t>
            </w:r>
            <w:r>
              <w:rPr>
                <w:rStyle w:val="61"/>
                <w:rFonts w:hint="default" w:ascii="Times New Roman" w:hAnsi="Times New Roman" w:cs="Times New Roman"/>
                <w:color w:val="auto"/>
                <w:lang w:bidi="ar"/>
              </w:rPr>
              <w:t>三氯乙烷</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1,1,2-</w:t>
            </w:r>
            <w:r>
              <w:rPr>
                <w:rStyle w:val="61"/>
                <w:rFonts w:hint="default" w:ascii="Times New Roman" w:hAnsi="Times New Roman" w:cs="Times New Roman"/>
                <w:color w:val="auto"/>
                <w:lang w:bidi="ar"/>
              </w:rPr>
              <w:t>三氯乙烷</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三氯乙烯</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1,2,3-</w:t>
            </w:r>
            <w:r>
              <w:rPr>
                <w:rStyle w:val="61"/>
                <w:rFonts w:hint="default" w:ascii="Times New Roman" w:hAnsi="Times New Roman" w:cs="Times New Roman"/>
                <w:color w:val="auto"/>
                <w:lang w:bidi="ar"/>
              </w:rPr>
              <w:t>三氯丙烷</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氯乙烯</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sz w:val="21"/>
                <w:szCs w:val="21"/>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苯</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氯苯</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1,2-</w:t>
            </w:r>
            <w:r>
              <w:rPr>
                <w:rStyle w:val="61"/>
                <w:rFonts w:hint="default" w:ascii="Times New Roman" w:hAnsi="Times New Roman" w:cs="Times New Roman"/>
                <w:color w:val="auto"/>
                <w:lang w:bidi="ar"/>
              </w:rPr>
              <w:t>二氯苯</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1,4-</w:t>
            </w:r>
            <w:r>
              <w:rPr>
                <w:rStyle w:val="61"/>
                <w:rFonts w:hint="default" w:ascii="Times New Roman" w:hAnsi="Times New Roman" w:cs="Times New Roman"/>
                <w:color w:val="auto"/>
                <w:lang w:bidi="ar"/>
              </w:rPr>
              <w:t>二氯苯</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乙苯</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苯乙烯</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甲苯</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间二甲苯</w:t>
            </w:r>
            <w:r>
              <w:rPr>
                <w:color w:val="auto"/>
                <w:kern w:val="0"/>
                <w:sz w:val="21"/>
                <w:szCs w:val="21"/>
                <w:lang w:bidi="ar"/>
              </w:rPr>
              <w:t>+</w:t>
            </w:r>
            <w:r>
              <w:rPr>
                <w:rStyle w:val="61"/>
                <w:rFonts w:hint="default" w:ascii="Times New Roman" w:hAnsi="Times New Roman" w:cs="Times New Roman"/>
                <w:color w:val="auto"/>
                <w:lang w:bidi="ar"/>
              </w:rPr>
              <w:t>对二甲苯</w:t>
            </w:r>
          </w:p>
        </w:tc>
        <w:tc>
          <w:tcPr>
            <w:tcW w:w="907"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邻二甲苯</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硝基苯</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苯胺</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2-</w:t>
            </w:r>
            <w:r>
              <w:rPr>
                <w:rStyle w:val="61"/>
                <w:rFonts w:hint="default" w:ascii="Times New Roman" w:hAnsi="Times New Roman" w:cs="Times New Roman"/>
                <w:color w:val="auto"/>
                <w:lang w:bidi="ar"/>
              </w:rPr>
              <w:t>氯酚</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苯并</w:t>
            </w:r>
            <w:r>
              <w:rPr>
                <w:color w:val="auto"/>
                <w:kern w:val="0"/>
                <w:sz w:val="21"/>
                <w:szCs w:val="21"/>
                <w:lang w:bidi="ar"/>
              </w:rPr>
              <w:t>[a]</w:t>
            </w:r>
            <w:r>
              <w:rPr>
                <w:rStyle w:val="61"/>
                <w:rFonts w:hint="default" w:ascii="Times New Roman" w:hAnsi="Times New Roman" w:cs="Times New Roman"/>
                <w:color w:val="auto"/>
                <w:lang w:bidi="ar"/>
              </w:rPr>
              <w:t>蒽</w:t>
            </w:r>
          </w:p>
        </w:tc>
        <w:tc>
          <w:tcPr>
            <w:tcW w:w="907"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mg/kg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苯并</w:t>
            </w:r>
            <w:r>
              <w:rPr>
                <w:color w:val="auto"/>
                <w:kern w:val="0"/>
                <w:sz w:val="21"/>
                <w:szCs w:val="21"/>
                <w:lang w:bidi="ar"/>
              </w:rPr>
              <w:t>[a]</w:t>
            </w:r>
            <w:r>
              <w:rPr>
                <w:rStyle w:val="61"/>
                <w:rFonts w:hint="default" w:ascii="Times New Roman" w:hAnsi="Times New Roman" w:cs="Times New Roman"/>
                <w:color w:val="auto"/>
                <w:lang w:bidi="ar"/>
              </w:rPr>
              <w:t>芘</w:t>
            </w:r>
          </w:p>
        </w:tc>
        <w:tc>
          <w:tcPr>
            <w:tcW w:w="907"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mg/kg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苯并</w:t>
            </w:r>
            <w:r>
              <w:rPr>
                <w:color w:val="auto"/>
                <w:kern w:val="0"/>
                <w:sz w:val="21"/>
                <w:szCs w:val="21"/>
                <w:lang w:bidi="ar"/>
              </w:rPr>
              <w:t>[b]</w:t>
            </w:r>
            <w:r>
              <w:rPr>
                <w:rStyle w:val="61"/>
                <w:rFonts w:hint="default" w:ascii="Times New Roman" w:hAnsi="Times New Roman" w:cs="Times New Roman"/>
                <w:color w:val="auto"/>
                <w:lang w:bidi="ar"/>
              </w:rPr>
              <w:t>荧蒽</w:t>
            </w:r>
          </w:p>
        </w:tc>
        <w:tc>
          <w:tcPr>
            <w:tcW w:w="907"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mg/kg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苯并</w:t>
            </w:r>
            <w:r>
              <w:rPr>
                <w:color w:val="auto"/>
                <w:kern w:val="0"/>
                <w:sz w:val="21"/>
                <w:szCs w:val="21"/>
                <w:lang w:bidi="ar"/>
              </w:rPr>
              <w:t>[k]</w:t>
            </w:r>
            <w:r>
              <w:rPr>
                <w:rStyle w:val="61"/>
                <w:rFonts w:hint="default" w:ascii="Times New Roman" w:hAnsi="Times New Roman" w:cs="Times New Roman"/>
                <w:color w:val="auto"/>
                <w:lang w:bidi="ar"/>
              </w:rPr>
              <w:t>荧蒽</w:t>
            </w:r>
          </w:p>
        </w:tc>
        <w:tc>
          <w:tcPr>
            <w:tcW w:w="907"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mg/kg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䓛</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二苯并</w:t>
            </w:r>
            <w:r>
              <w:rPr>
                <w:color w:val="auto"/>
                <w:kern w:val="0"/>
                <w:sz w:val="21"/>
                <w:szCs w:val="21"/>
                <w:lang w:bidi="ar"/>
              </w:rPr>
              <w:t>[a,h]</w:t>
            </w:r>
            <w:r>
              <w:rPr>
                <w:rStyle w:val="61"/>
                <w:rFonts w:hint="default" w:ascii="Times New Roman" w:hAnsi="Times New Roman" w:cs="Times New Roman"/>
                <w:color w:val="auto"/>
                <w:lang w:bidi="ar"/>
              </w:rPr>
              <w:t>蒽</w:t>
            </w:r>
          </w:p>
        </w:tc>
        <w:tc>
          <w:tcPr>
            <w:tcW w:w="907"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mg/kg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sz w:val="21"/>
                <w:szCs w:val="21"/>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rStyle w:val="61"/>
                <w:rFonts w:hint="default" w:ascii="Times New Roman" w:hAnsi="Times New Roman" w:cs="Times New Roman"/>
                <w:color w:val="auto"/>
                <w:lang w:bidi="ar"/>
              </w:rPr>
              <w:t>茚并</w:t>
            </w:r>
            <w:r>
              <w:rPr>
                <w:color w:val="auto"/>
                <w:kern w:val="0"/>
                <w:sz w:val="21"/>
                <w:szCs w:val="21"/>
                <w:lang w:bidi="ar"/>
              </w:rPr>
              <w:t>[1,2,3-cd]</w:t>
            </w:r>
            <w:r>
              <w:rPr>
                <w:rStyle w:val="61"/>
                <w:rFonts w:hint="default" w:ascii="Times New Roman" w:hAnsi="Times New Roman" w:cs="Times New Roman"/>
                <w:color w:val="auto"/>
                <w:lang w:bidi="ar"/>
              </w:rPr>
              <w:t>芘</w:t>
            </w:r>
          </w:p>
        </w:tc>
        <w:tc>
          <w:tcPr>
            <w:tcW w:w="907"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mg/kg</w:t>
            </w:r>
          </w:p>
        </w:tc>
        <w:tc>
          <w:tcPr>
            <w:tcW w:w="1594"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萘</w:t>
            </w:r>
          </w:p>
        </w:tc>
        <w:tc>
          <w:tcPr>
            <w:tcW w:w="907"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594" w:type="pct"/>
            <w:vAlign w:val="center"/>
          </w:tcPr>
          <w:p>
            <w:pPr>
              <w:spacing w:line="240" w:lineRule="auto"/>
              <w:ind w:firstLine="0" w:firstLineChars="0"/>
              <w:jc w:val="center"/>
              <w:rPr>
                <w:color w:val="auto"/>
                <w:sz w:val="21"/>
                <w:szCs w:val="21"/>
              </w:rPr>
            </w:pPr>
            <w:r>
              <w:rPr>
                <w:color w:val="auto"/>
                <w:sz w:val="21"/>
                <w:szCs w:val="21"/>
              </w:rPr>
              <w:t>ND</w:t>
            </w:r>
          </w:p>
        </w:tc>
        <w:tc>
          <w:tcPr>
            <w:tcW w:w="147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24"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rStyle w:val="61"/>
                <w:rFonts w:hint="default" w:ascii="Times New Roman" w:hAnsi="Times New Roman" w:cs="Times New Roman"/>
                <w:color w:val="auto"/>
                <w:lang w:bidi="ar"/>
              </w:rPr>
              <w:t>石油烃</w:t>
            </w:r>
            <w:r>
              <w:rPr>
                <w:color w:val="auto"/>
                <w:kern w:val="0"/>
                <w:sz w:val="21"/>
                <w:szCs w:val="21"/>
                <w:lang w:bidi="ar"/>
              </w:rPr>
              <w:t>(C</w:t>
            </w:r>
            <w:r>
              <w:rPr>
                <w:color w:val="auto"/>
                <w:kern w:val="0"/>
                <w:sz w:val="21"/>
                <w:szCs w:val="21"/>
                <w:vertAlign w:val="subscript"/>
                <w:lang w:bidi="ar"/>
              </w:rPr>
              <w:t>10</w:t>
            </w:r>
            <w:r>
              <w:rPr>
                <w:color w:val="auto"/>
                <w:kern w:val="0"/>
                <w:sz w:val="21"/>
                <w:szCs w:val="21"/>
                <w:lang w:bidi="ar"/>
              </w:rPr>
              <w:t>-C</w:t>
            </w:r>
            <w:r>
              <w:rPr>
                <w:color w:val="auto"/>
                <w:kern w:val="0"/>
                <w:sz w:val="21"/>
                <w:szCs w:val="21"/>
                <w:vertAlign w:val="subscript"/>
                <w:lang w:bidi="ar"/>
              </w:rPr>
              <w:t>40</w:t>
            </w:r>
            <w:r>
              <w:rPr>
                <w:color w:val="auto"/>
                <w:kern w:val="0"/>
                <w:sz w:val="21"/>
                <w:szCs w:val="21"/>
                <w:lang w:bidi="ar"/>
              </w:rPr>
              <w:t>)</w:t>
            </w:r>
          </w:p>
        </w:tc>
        <w:tc>
          <w:tcPr>
            <w:tcW w:w="907"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mg/kg</w:t>
            </w:r>
          </w:p>
        </w:tc>
        <w:tc>
          <w:tcPr>
            <w:tcW w:w="1594" w:type="pct"/>
            <w:vAlign w:val="center"/>
          </w:tcPr>
          <w:p>
            <w:pPr>
              <w:spacing w:line="240" w:lineRule="auto"/>
              <w:ind w:firstLine="0" w:firstLineChars="0"/>
              <w:jc w:val="center"/>
              <w:rPr>
                <w:color w:val="auto"/>
                <w:sz w:val="21"/>
                <w:szCs w:val="21"/>
              </w:rPr>
            </w:pPr>
            <w:r>
              <w:rPr>
                <w:color w:val="auto"/>
                <w:sz w:val="21"/>
                <w:szCs w:val="21"/>
              </w:rPr>
              <w:t>21</w:t>
            </w:r>
          </w:p>
        </w:tc>
        <w:tc>
          <w:tcPr>
            <w:tcW w:w="1474" w:type="pct"/>
            <w:vAlign w:val="center"/>
          </w:tcPr>
          <w:p>
            <w:pPr>
              <w:spacing w:line="240" w:lineRule="auto"/>
              <w:ind w:firstLine="0" w:firstLineChars="0"/>
              <w:jc w:val="center"/>
              <w:rPr>
                <w:color w:val="auto"/>
                <w:sz w:val="21"/>
                <w:szCs w:val="21"/>
              </w:rPr>
            </w:pPr>
            <w:r>
              <w:rPr>
                <w:color w:val="auto"/>
                <w:sz w:val="21"/>
                <w:szCs w:val="21"/>
              </w:rPr>
              <w:t>27</w:t>
            </w:r>
          </w:p>
        </w:tc>
      </w:tr>
    </w:tbl>
    <w:p>
      <w:pPr>
        <w:pStyle w:val="48"/>
        <w:spacing w:line="360" w:lineRule="auto"/>
        <w:rPr>
          <w:bCs/>
          <w:color w:val="auto"/>
        </w:rPr>
      </w:pPr>
      <w:r>
        <w:rPr>
          <w:bCs/>
          <w:color w:val="auto"/>
        </w:rPr>
        <w:t>续表</w:t>
      </w:r>
      <w:r>
        <w:rPr>
          <w:rFonts w:hint="eastAsia"/>
          <w:bCs/>
          <w:color w:val="auto"/>
        </w:rPr>
        <w:t>4.5-5</w:t>
      </w:r>
      <w:r>
        <w:rPr>
          <w:bCs/>
          <w:color w:val="auto"/>
        </w:rPr>
        <w:t xml:space="preserve">  土壤环境质量现状监测结果（</w:t>
      </w:r>
      <w:r>
        <w:rPr>
          <w:rFonts w:hint="eastAsia"/>
          <w:bCs/>
          <w:color w:val="auto"/>
        </w:rPr>
        <w:t>2</w:t>
      </w:r>
      <w:r>
        <w:rPr>
          <w:bCs/>
          <w:color w:val="auto"/>
        </w:rPr>
        <w:t>#、</w:t>
      </w:r>
      <w:r>
        <w:rPr>
          <w:rFonts w:hint="eastAsia"/>
          <w:bCs/>
          <w:color w:val="auto"/>
        </w:rPr>
        <w:t>3</w:t>
      </w:r>
      <w:r>
        <w:rPr>
          <w:bCs/>
          <w:color w:val="auto"/>
        </w:rPr>
        <w:t>#）</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05"/>
        <w:gridCol w:w="1231"/>
        <w:gridCol w:w="866"/>
        <w:gridCol w:w="1029"/>
        <w:gridCol w:w="1031"/>
        <w:gridCol w:w="866"/>
        <w:gridCol w:w="1031"/>
        <w:gridCol w:w="10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Merge w:val="restart"/>
            <w:vAlign w:val="center"/>
          </w:tcPr>
          <w:p>
            <w:pPr>
              <w:spacing w:line="240" w:lineRule="auto"/>
              <w:ind w:firstLine="0" w:firstLineChars="0"/>
              <w:jc w:val="center"/>
              <w:rPr>
                <w:b/>
                <w:bCs/>
                <w:color w:val="auto"/>
                <w:sz w:val="21"/>
                <w:szCs w:val="21"/>
              </w:rPr>
            </w:pPr>
            <w:r>
              <w:rPr>
                <w:b/>
                <w:bCs/>
                <w:color w:val="auto"/>
                <w:sz w:val="21"/>
                <w:szCs w:val="21"/>
              </w:rPr>
              <w:t>监测项目</w:t>
            </w:r>
          </w:p>
        </w:tc>
        <w:tc>
          <w:tcPr>
            <w:tcW w:w="691" w:type="pct"/>
            <w:vMerge w:val="restart"/>
            <w:vAlign w:val="center"/>
          </w:tcPr>
          <w:p>
            <w:pPr>
              <w:spacing w:line="240" w:lineRule="auto"/>
              <w:ind w:firstLine="0" w:firstLineChars="0"/>
              <w:jc w:val="center"/>
              <w:rPr>
                <w:b/>
                <w:bCs/>
                <w:color w:val="auto"/>
                <w:sz w:val="21"/>
                <w:szCs w:val="21"/>
              </w:rPr>
            </w:pPr>
            <w:r>
              <w:rPr>
                <w:b/>
                <w:bCs/>
                <w:color w:val="auto"/>
                <w:sz w:val="21"/>
                <w:szCs w:val="21"/>
              </w:rPr>
              <w:t>单位</w:t>
            </w:r>
          </w:p>
        </w:tc>
        <w:tc>
          <w:tcPr>
            <w:tcW w:w="3293" w:type="pct"/>
            <w:gridSpan w:val="6"/>
            <w:vAlign w:val="center"/>
          </w:tcPr>
          <w:p>
            <w:pPr>
              <w:spacing w:line="240" w:lineRule="auto"/>
              <w:ind w:firstLine="0" w:firstLineChars="0"/>
              <w:jc w:val="center"/>
              <w:rPr>
                <w:b/>
                <w:bCs/>
                <w:color w:val="auto"/>
                <w:sz w:val="21"/>
                <w:szCs w:val="21"/>
              </w:rPr>
            </w:pPr>
            <w:r>
              <w:rPr>
                <w:b/>
                <w:bCs/>
                <w:color w:val="auto"/>
                <w:sz w:val="21"/>
                <w:szCs w:val="21"/>
              </w:rPr>
              <w:t>监测结果（mg/kg）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1014" w:type="pct"/>
            <w:vMerge w:val="continue"/>
            <w:vAlign w:val="center"/>
          </w:tcPr>
          <w:p>
            <w:pPr>
              <w:spacing w:line="240" w:lineRule="auto"/>
              <w:ind w:firstLine="0" w:firstLineChars="0"/>
              <w:jc w:val="center"/>
              <w:rPr>
                <w:color w:val="auto"/>
                <w:sz w:val="21"/>
                <w:szCs w:val="21"/>
              </w:rPr>
            </w:pPr>
          </w:p>
        </w:tc>
        <w:tc>
          <w:tcPr>
            <w:tcW w:w="691" w:type="pct"/>
            <w:vMerge w:val="continue"/>
            <w:vAlign w:val="center"/>
          </w:tcPr>
          <w:p>
            <w:pPr>
              <w:spacing w:line="240" w:lineRule="auto"/>
              <w:ind w:firstLine="0" w:firstLineChars="0"/>
              <w:jc w:val="center"/>
              <w:rPr>
                <w:color w:val="auto"/>
                <w:sz w:val="21"/>
                <w:szCs w:val="21"/>
              </w:rPr>
            </w:pPr>
          </w:p>
        </w:tc>
        <w:tc>
          <w:tcPr>
            <w:tcW w:w="1643" w:type="pct"/>
            <w:gridSpan w:val="3"/>
            <w:vAlign w:val="center"/>
          </w:tcPr>
          <w:p>
            <w:pPr>
              <w:spacing w:line="240" w:lineRule="auto"/>
              <w:ind w:firstLine="0" w:firstLineChars="0"/>
              <w:jc w:val="center"/>
              <w:rPr>
                <w:b/>
                <w:bCs/>
                <w:color w:val="auto"/>
                <w:sz w:val="21"/>
                <w:szCs w:val="21"/>
              </w:rPr>
            </w:pPr>
            <w:r>
              <w:rPr>
                <w:b/>
                <w:bCs/>
                <w:color w:val="auto"/>
                <w:sz w:val="21"/>
                <w:szCs w:val="21"/>
              </w:rPr>
              <w:t>2#厂区1号车间附近绿化带</w:t>
            </w:r>
          </w:p>
        </w:tc>
        <w:tc>
          <w:tcPr>
            <w:tcW w:w="1649" w:type="pct"/>
            <w:gridSpan w:val="3"/>
            <w:vAlign w:val="center"/>
          </w:tcPr>
          <w:p>
            <w:pPr>
              <w:spacing w:line="240" w:lineRule="auto"/>
              <w:ind w:firstLine="0" w:firstLineChars="0"/>
              <w:jc w:val="center"/>
              <w:rPr>
                <w:b/>
                <w:bCs/>
                <w:color w:val="auto"/>
                <w:sz w:val="21"/>
                <w:szCs w:val="21"/>
              </w:rPr>
            </w:pPr>
            <w:r>
              <w:rPr>
                <w:b/>
                <w:bCs/>
                <w:color w:val="auto"/>
                <w:sz w:val="21"/>
                <w:szCs w:val="21"/>
              </w:rPr>
              <w:t>3#厂区中部空地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Merge w:val="continue"/>
            <w:vAlign w:val="center"/>
          </w:tcPr>
          <w:p>
            <w:pPr>
              <w:spacing w:line="240" w:lineRule="auto"/>
              <w:ind w:firstLine="0" w:firstLineChars="0"/>
              <w:jc w:val="center"/>
              <w:rPr>
                <w:color w:val="auto"/>
                <w:sz w:val="21"/>
                <w:szCs w:val="21"/>
              </w:rPr>
            </w:pPr>
          </w:p>
        </w:tc>
        <w:tc>
          <w:tcPr>
            <w:tcW w:w="691" w:type="pct"/>
            <w:vMerge w:val="continue"/>
            <w:vAlign w:val="center"/>
          </w:tcPr>
          <w:p>
            <w:pPr>
              <w:spacing w:line="240" w:lineRule="auto"/>
              <w:ind w:firstLine="0" w:firstLineChars="0"/>
              <w:jc w:val="center"/>
              <w:rPr>
                <w:color w:val="auto"/>
                <w:sz w:val="21"/>
                <w:szCs w:val="21"/>
              </w:rPr>
            </w:pPr>
          </w:p>
        </w:tc>
        <w:tc>
          <w:tcPr>
            <w:tcW w:w="486" w:type="pct"/>
            <w:vAlign w:val="center"/>
          </w:tcPr>
          <w:p>
            <w:pPr>
              <w:spacing w:line="240" w:lineRule="auto"/>
              <w:ind w:firstLine="0" w:firstLineChars="0"/>
              <w:jc w:val="center"/>
              <w:rPr>
                <w:color w:val="auto"/>
                <w:sz w:val="21"/>
                <w:szCs w:val="21"/>
              </w:rPr>
            </w:pPr>
            <w:r>
              <w:rPr>
                <w:rFonts w:eastAsia="等线"/>
                <w:b/>
                <w:bCs/>
                <w:color w:val="auto"/>
                <w:sz w:val="21"/>
                <w:szCs w:val="21"/>
              </w:rPr>
              <w:t>0-0.5m</w:t>
            </w:r>
          </w:p>
        </w:tc>
        <w:tc>
          <w:tcPr>
            <w:tcW w:w="578" w:type="pct"/>
            <w:vAlign w:val="center"/>
          </w:tcPr>
          <w:p>
            <w:pPr>
              <w:spacing w:line="240" w:lineRule="auto"/>
              <w:ind w:firstLine="0" w:firstLineChars="0"/>
              <w:jc w:val="center"/>
              <w:rPr>
                <w:color w:val="auto"/>
                <w:sz w:val="21"/>
                <w:szCs w:val="21"/>
              </w:rPr>
            </w:pPr>
            <w:r>
              <w:rPr>
                <w:rFonts w:eastAsia="等线"/>
                <w:b/>
                <w:bCs/>
                <w:color w:val="auto"/>
                <w:sz w:val="21"/>
                <w:szCs w:val="21"/>
              </w:rPr>
              <w:t>0.5-1.5m</w:t>
            </w:r>
          </w:p>
        </w:tc>
        <w:tc>
          <w:tcPr>
            <w:tcW w:w="578" w:type="pct"/>
            <w:vAlign w:val="center"/>
          </w:tcPr>
          <w:p>
            <w:pPr>
              <w:spacing w:line="240" w:lineRule="auto"/>
              <w:ind w:firstLine="0" w:firstLineChars="0"/>
              <w:jc w:val="center"/>
              <w:rPr>
                <w:color w:val="auto"/>
                <w:sz w:val="21"/>
                <w:szCs w:val="21"/>
              </w:rPr>
            </w:pPr>
            <w:r>
              <w:rPr>
                <w:rFonts w:eastAsia="等线"/>
                <w:b/>
                <w:bCs/>
                <w:color w:val="auto"/>
                <w:sz w:val="21"/>
                <w:szCs w:val="21"/>
              </w:rPr>
              <w:t>1.5-3.0m</w:t>
            </w:r>
          </w:p>
        </w:tc>
        <w:tc>
          <w:tcPr>
            <w:tcW w:w="486" w:type="pct"/>
            <w:vAlign w:val="center"/>
          </w:tcPr>
          <w:p>
            <w:pPr>
              <w:spacing w:line="240" w:lineRule="auto"/>
              <w:ind w:firstLine="0" w:firstLineChars="0"/>
              <w:jc w:val="center"/>
              <w:rPr>
                <w:color w:val="auto"/>
                <w:sz w:val="21"/>
                <w:szCs w:val="21"/>
              </w:rPr>
            </w:pPr>
            <w:r>
              <w:rPr>
                <w:rFonts w:eastAsia="等线"/>
                <w:b/>
                <w:bCs/>
                <w:color w:val="auto"/>
                <w:sz w:val="21"/>
                <w:szCs w:val="21"/>
              </w:rPr>
              <w:t>0-0.5m</w:t>
            </w:r>
          </w:p>
        </w:tc>
        <w:tc>
          <w:tcPr>
            <w:tcW w:w="579" w:type="pct"/>
            <w:vAlign w:val="center"/>
          </w:tcPr>
          <w:p>
            <w:pPr>
              <w:spacing w:line="240" w:lineRule="auto"/>
              <w:ind w:firstLine="0" w:firstLineChars="0"/>
              <w:jc w:val="center"/>
              <w:rPr>
                <w:color w:val="auto"/>
                <w:sz w:val="21"/>
                <w:szCs w:val="21"/>
              </w:rPr>
            </w:pPr>
            <w:r>
              <w:rPr>
                <w:rFonts w:eastAsia="等线"/>
                <w:b/>
                <w:bCs/>
                <w:color w:val="auto"/>
                <w:sz w:val="21"/>
                <w:szCs w:val="21"/>
              </w:rPr>
              <w:t>0.5-1.5m</w:t>
            </w:r>
          </w:p>
        </w:tc>
        <w:tc>
          <w:tcPr>
            <w:tcW w:w="583" w:type="pct"/>
            <w:vAlign w:val="center"/>
          </w:tcPr>
          <w:p>
            <w:pPr>
              <w:spacing w:line="240" w:lineRule="auto"/>
              <w:ind w:firstLine="0" w:firstLineChars="0"/>
              <w:jc w:val="center"/>
              <w:rPr>
                <w:color w:val="auto"/>
                <w:sz w:val="21"/>
                <w:szCs w:val="21"/>
              </w:rPr>
            </w:pPr>
            <w:r>
              <w:rPr>
                <w:rFonts w:eastAsia="等线"/>
                <w:b/>
                <w:bCs/>
                <w:color w:val="auto"/>
                <w:sz w:val="21"/>
                <w:szCs w:val="21"/>
              </w:rPr>
              <w:t>1.5-3.0m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8" w:hRule="exact"/>
          <w:jc w:val="center"/>
        </w:trPr>
        <w:tc>
          <w:tcPr>
            <w:tcW w:w="1014" w:type="pct"/>
            <w:vAlign w:val="center"/>
          </w:tcPr>
          <w:p>
            <w:pPr>
              <w:spacing w:line="240" w:lineRule="auto"/>
              <w:ind w:firstLine="0" w:firstLineChars="0"/>
              <w:jc w:val="center"/>
              <w:rPr>
                <w:color w:val="auto"/>
                <w:sz w:val="21"/>
                <w:szCs w:val="21"/>
              </w:rPr>
            </w:pPr>
            <w:r>
              <w:rPr>
                <w:color w:val="auto"/>
                <w:sz w:val="21"/>
                <w:szCs w:val="21"/>
              </w:rPr>
              <w:t>pH值</w:t>
            </w:r>
          </w:p>
        </w:tc>
        <w:tc>
          <w:tcPr>
            <w:tcW w:w="691" w:type="pct"/>
            <w:vAlign w:val="center"/>
          </w:tcPr>
          <w:p>
            <w:pPr>
              <w:spacing w:line="240" w:lineRule="auto"/>
              <w:ind w:firstLine="0" w:firstLineChars="0"/>
              <w:jc w:val="center"/>
              <w:rPr>
                <w:color w:val="auto"/>
                <w:sz w:val="21"/>
                <w:szCs w:val="21"/>
              </w:rPr>
            </w:pPr>
            <w:r>
              <w:rPr>
                <w:color w:val="auto"/>
                <w:sz w:val="21"/>
                <w:szCs w:val="21"/>
              </w:rPr>
              <w:t>无量纲</w:t>
            </w:r>
          </w:p>
        </w:tc>
        <w:tc>
          <w:tcPr>
            <w:tcW w:w="486" w:type="pct"/>
            <w:vAlign w:val="center"/>
          </w:tcPr>
          <w:p>
            <w:pPr>
              <w:widowControl/>
              <w:ind w:firstLine="0" w:firstLineChars="0"/>
              <w:jc w:val="center"/>
              <w:textAlignment w:val="center"/>
              <w:rPr>
                <w:color w:val="auto"/>
                <w:sz w:val="21"/>
                <w:szCs w:val="21"/>
              </w:rPr>
            </w:pPr>
            <w:r>
              <w:rPr>
                <w:rFonts w:hint="eastAsia" w:eastAsia="华文仿宋"/>
                <w:color w:val="auto"/>
                <w:sz w:val="21"/>
                <w:szCs w:val="21"/>
              </w:rPr>
              <w:t>8.05</w:t>
            </w:r>
          </w:p>
        </w:tc>
        <w:tc>
          <w:tcPr>
            <w:tcW w:w="578" w:type="pct"/>
            <w:vAlign w:val="center"/>
          </w:tcPr>
          <w:p>
            <w:pPr>
              <w:widowControl/>
              <w:ind w:firstLine="0" w:firstLineChars="0"/>
              <w:jc w:val="center"/>
              <w:textAlignment w:val="center"/>
              <w:rPr>
                <w:color w:val="auto"/>
                <w:sz w:val="21"/>
                <w:szCs w:val="21"/>
              </w:rPr>
            </w:pPr>
            <w:r>
              <w:rPr>
                <w:rFonts w:hint="eastAsia" w:eastAsia="华文仿宋"/>
                <w:color w:val="auto"/>
                <w:sz w:val="21"/>
                <w:szCs w:val="21"/>
              </w:rPr>
              <w:t>7.73</w:t>
            </w:r>
          </w:p>
        </w:tc>
        <w:tc>
          <w:tcPr>
            <w:tcW w:w="578" w:type="pct"/>
            <w:vAlign w:val="center"/>
          </w:tcPr>
          <w:p>
            <w:pPr>
              <w:widowControl/>
              <w:ind w:firstLine="0" w:firstLineChars="0"/>
              <w:jc w:val="center"/>
              <w:textAlignment w:val="center"/>
              <w:rPr>
                <w:color w:val="auto"/>
                <w:sz w:val="21"/>
                <w:szCs w:val="21"/>
              </w:rPr>
            </w:pPr>
            <w:r>
              <w:rPr>
                <w:rFonts w:hint="eastAsia" w:eastAsia="华文仿宋"/>
                <w:color w:val="auto"/>
                <w:sz w:val="21"/>
                <w:szCs w:val="21"/>
              </w:rPr>
              <w:t>7.86</w:t>
            </w:r>
          </w:p>
        </w:tc>
        <w:tc>
          <w:tcPr>
            <w:tcW w:w="486" w:type="pct"/>
            <w:vAlign w:val="center"/>
          </w:tcPr>
          <w:p>
            <w:pPr>
              <w:spacing w:line="240" w:lineRule="auto"/>
              <w:ind w:firstLine="0" w:firstLineChars="0"/>
              <w:jc w:val="center"/>
              <w:rPr>
                <w:color w:val="auto"/>
                <w:sz w:val="21"/>
                <w:szCs w:val="21"/>
              </w:rPr>
            </w:pPr>
            <w:r>
              <w:rPr>
                <w:rFonts w:hint="eastAsia"/>
                <w:color w:val="auto"/>
                <w:sz w:val="21"/>
                <w:szCs w:val="21"/>
              </w:rPr>
              <w:t>7.99</w:t>
            </w:r>
          </w:p>
        </w:tc>
        <w:tc>
          <w:tcPr>
            <w:tcW w:w="579" w:type="pct"/>
            <w:vAlign w:val="center"/>
          </w:tcPr>
          <w:p>
            <w:pPr>
              <w:spacing w:line="240" w:lineRule="auto"/>
              <w:ind w:firstLine="0" w:firstLineChars="0"/>
              <w:jc w:val="center"/>
              <w:rPr>
                <w:color w:val="auto"/>
                <w:sz w:val="21"/>
                <w:szCs w:val="21"/>
              </w:rPr>
            </w:pPr>
            <w:r>
              <w:rPr>
                <w:rFonts w:hint="eastAsia"/>
                <w:color w:val="auto"/>
                <w:sz w:val="21"/>
                <w:szCs w:val="21"/>
              </w:rPr>
              <w:t>7.89</w:t>
            </w:r>
          </w:p>
        </w:tc>
        <w:tc>
          <w:tcPr>
            <w:tcW w:w="583" w:type="pct"/>
            <w:vAlign w:val="center"/>
          </w:tcPr>
          <w:p>
            <w:pPr>
              <w:spacing w:line="240" w:lineRule="auto"/>
              <w:ind w:firstLine="0" w:firstLineChars="0"/>
              <w:jc w:val="center"/>
              <w:rPr>
                <w:color w:val="auto"/>
                <w:sz w:val="21"/>
                <w:szCs w:val="21"/>
              </w:rPr>
            </w:pPr>
            <w:r>
              <w:rPr>
                <w:rFonts w:hint="eastAsia"/>
                <w:color w:val="auto"/>
                <w:sz w:val="21"/>
                <w:szCs w:val="21"/>
              </w:rPr>
              <w:t>8.44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汞</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486" w:type="pct"/>
            <w:vAlign w:val="center"/>
          </w:tcPr>
          <w:p>
            <w:pPr>
              <w:widowControl/>
              <w:ind w:firstLine="0" w:firstLineChars="0"/>
              <w:jc w:val="center"/>
              <w:textAlignment w:val="center"/>
              <w:rPr>
                <w:color w:val="auto"/>
                <w:sz w:val="21"/>
                <w:szCs w:val="21"/>
              </w:rPr>
            </w:pPr>
            <w:r>
              <w:rPr>
                <w:rFonts w:hint="eastAsia"/>
                <w:color w:val="auto"/>
                <w:kern w:val="0"/>
                <w:sz w:val="21"/>
                <w:szCs w:val="21"/>
                <w:lang w:bidi="ar"/>
              </w:rPr>
              <w:t>0.037</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0.019</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0.027</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0.027</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0.024</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0.028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砷</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7.33</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6.41</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13.0</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8.30</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5.47</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10.8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镉</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0.10</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0.08</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0.07</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0.07</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0.08</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铅</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17.4</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17.1</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10.8</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13.3</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14.9</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12.5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铜</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18</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16</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11</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13</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16</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镍</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19.4</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24.7</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15.0</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19.1</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20.0</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13.8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锌</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54</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45</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28</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36</w:t>
            </w:r>
          </w:p>
        </w:tc>
        <w:tc>
          <w:tcPr>
            <w:tcW w:w="579" w:type="pct"/>
            <w:vAlign w:val="center"/>
          </w:tcPr>
          <w:p>
            <w:pPr>
              <w:widowControl/>
              <w:ind w:firstLine="0" w:firstLineChars="0"/>
              <w:jc w:val="center"/>
              <w:textAlignment w:val="center"/>
              <w:rPr>
                <w:color w:val="auto"/>
                <w:sz w:val="21"/>
                <w:szCs w:val="21"/>
              </w:rPr>
            </w:pPr>
            <w:r>
              <w:rPr>
                <w:color w:val="auto"/>
                <w:kern w:val="0"/>
                <w:sz w:val="21"/>
                <w:szCs w:val="21"/>
                <w:lang w:bidi="ar"/>
              </w:rPr>
              <w:t>40</w:t>
            </w:r>
          </w:p>
        </w:tc>
        <w:tc>
          <w:tcPr>
            <w:tcW w:w="583" w:type="pct"/>
            <w:vAlign w:val="center"/>
          </w:tcPr>
          <w:p>
            <w:pPr>
              <w:widowControl/>
              <w:ind w:firstLine="0" w:firstLineChars="0"/>
              <w:jc w:val="center"/>
              <w:textAlignment w:val="center"/>
              <w:rPr>
                <w:color w:val="auto"/>
                <w:sz w:val="21"/>
                <w:szCs w:val="21"/>
              </w:rPr>
            </w:pPr>
            <w:r>
              <w:rPr>
                <w:color w:val="auto"/>
                <w:kern w:val="0"/>
                <w:sz w:val="21"/>
                <w:szCs w:val="21"/>
                <w:lang w:bidi="ar"/>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rFonts w:hint="eastAsia" w:eastAsia="宋体"/>
                <w:color w:val="auto"/>
                <w:sz w:val="21"/>
                <w:szCs w:val="21"/>
                <w:lang w:eastAsia="zh-CN"/>
              </w:rPr>
            </w:pPr>
            <w:r>
              <w:rPr>
                <w:color w:val="auto"/>
                <w:kern w:val="0"/>
                <w:sz w:val="21"/>
                <w:szCs w:val="21"/>
                <w:lang w:bidi="ar"/>
              </w:rPr>
              <w:t>铁(以Fe</w:t>
            </w:r>
            <w:r>
              <w:rPr>
                <w:rStyle w:val="60"/>
                <w:rFonts w:hint="default" w:ascii="Times New Roman" w:hAnsi="Times New Roman" w:cs="Times New Roman"/>
                <w:color w:val="auto"/>
                <w:lang w:bidi="ar"/>
              </w:rPr>
              <w:t>2</w:t>
            </w:r>
            <w:r>
              <w:rPr>
                <w:rStyle w:val="61"/>
                <w:rFonts w:hint="default" w:ascii="Times New Roman" w:hAnsi="Times New Roman" w:cs="Times New Roman"/>
                <w:color w:val="auto"/>
                <w:lang w:bidi="ar"/>
              </w:rPr>
              <w:t>O</w:t>
            </w:r>
            <w:r>
              <w:rPr>
                <w:rStyle w:val="60"/>
                <w:rFonts w:hint="default" w:ascii="Times New Roman" w:hAnsi="Times New Roman" w:cs="Times New Roman"/>
                <w:color w:val="auto"/>
                <w:lang w:bidi="ar"/>
              </w:rPr>
              <w:t>3</w:t>
            </w:r>
            <w:r>
              <w:rPr>
                <w:rStyle w:val="61"/>
                <w:rFonts w:hint="default" w:ascii="Times New Roman" w:hAnsi="Times New Roman" w:cs="Times New Roman"/>
                <w:color w:val="auto"/>
                <w:lang w:bidi="ar"/>
              </w:rPr>
              <w:t>计）</w:t>
            </w:r>
            <w:r>
              <w:rPr>
                <w:rStyle w:val="61"/>
                <w:rFonts w:hint="eastAsia" w:cs="Times New Roman"/>
                <w:color w:val="auto"/>
                <w:lang w:eastAsia="zh-CN" w:bidi="ar"/>
              </w:rPr>
              <w:t>×</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3.10</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3.30</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3.22</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3.27</w:t>
            </w:r>
          </w:p>
        </w:tc>
        <w:tc>
          <w:tcPr>
            <w:tcW w:w="579" w:type="pct"/>
            <w:vAlign w:val="center"/>
          </w:tcPr>
          <w:p>
            <w:pPr>
              <w:widowControl/>
              <w:ind w:firstLine="0" w:firstLineChars="0"/>
              <w:jc w:val="center"/>
              <w:textAlignment w:val="center"/>
              <w:rPr>
                <w:color w:val="auto"/>
                <w:sz w:val="21"/>
                <w:szCs w:val="21"/>
              </w:rPr>
            </w:pPr>
            <w:r>
              <w:rPr>
                <w:color w:val="auto"/>
                <w:kern w:val="0"/>
                <w:sz w:val="21"/>
                <w:szCs w:val="21"/>
                <w:lang w:bidi="ar"/>
              </w:rPr>
              <w:t>3.92</w:t>
            </w:r>
          </w:p>
        </w:tc>
        <w:tc>
          <w:tcPr>
            <w:tcW w:w="583" w:type="pct"/>
            <w:vAlign w:val="center"/>
          </w:tcPr>
          <w:p>
            <w:pPr>
              <w:widowControl/>
              <w:ind w:firstLine="0" w:firstLineChars="0"/>
              <w:jc w:val="center"/>
              <w:textAlignment w:val="center"/>
              <w:rPr>
                <w:color w:val="auto"/>
                <w:sz w:val="21"/>
                <w:szCs w:val="21"/>
              </w:rPr>
            </w:pPr>
            <w:r>
              <w:rPr>
                <w:color w:val="auto"/>
                <w:kern w:val="0"/>
                <w:sz w:val="21"/>
                <w:szCs w:val="21"/>
                <w:lang w:bidi="ar"/>
              </w:rPr>
              <w:t>3.56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rFonts w:hint="eastAsia" w:eastAsia="宋体"/>
                <w:color w:val="auto"/>
                <w:sz w:val="21"/>
                <w:szCs w:val="21"/>
                <w:lang w:eastAsia="zh-CN"/>
              </w:rPr>
            </w:pPr>
            <w:r>
              <w:rPr>
                <w:color w:val="auto"/>
                <w:kern w:val="0"/>
                <w:sz w:val="21"/>
                <w:szCs w:val="21"/>
                <w:lang w:bidi="ar"/>
              </w:rPr>
              <w:t>钛</w:t>
            </w:r>
            <w:r>
              <w:rPr>
                <w:rFonts w:hint="eastAsia"/>
                <w:color w:val="auto"/>
                <w:kern w:val="0"/>
                <w:sz w:val="21"/>
                <w:szCs w:val="21"/>
                <w:lang w:eastAsia="zh-CN" w:bidi="ar"/>
              </w:rPr>
              <w:t>×</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2.76</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2.95</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2.79</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3.03</w:t>
            </w:r>
          </w:p>
        </w:tc>
        <w:tc>
          <w:tcPr>
            <w:tcW w:w="579" w:type="pct"/>
            <w:vAlign w:val="center"/>
          </w:tcPr>
          <w:p>
            <w:pPr>
              <w:widowControl/>
              <w:ind w:firstLine="0" w:firstLineChars="0"/>
              <w:jc w:val="center"/>
              <w:textAlignment w:val="center"/>
              <w:rPr>
                <w:color w:val="auto"/>
                <w:sz w:val="21"/>
                <w:szCs w:val="21"/>
              </w:rPr>
            </w:pPr>
            <w:r>
              <w:rPr>
                <w:color w:val="auto"/>
                <w:kern w:val="0"/>
                <w:sz w:val="21"/>
                <w:szCs w:val="21"/>
                <w:lang w:bidi="ar"/>
              </w:rPr>
              <w:t>3.27</w:t>
            </w:r>
          </w:p>
        </w:tc>
        <w:tc>
          <w:tcPr>
            <w:tcW w:w="583" w:type="pct"/>
            <w:vAlign w:val="center"/>
          </w:tcPr>
          <w:p>
            <w:pPr>
              <w:widowControl/>
              <w:ind w:firstLine="0" w:firstLineChars="0"/>
              <w:jc w:val="center"/>
              <w:textAlignment w:val="center"/>
              <w:rPr>
                <w:color w:val="auto"/>
                <w:sz w:val="21"/>
                <w:szCs w:val="21"/>
              </w:rPr>
            </w:pPr>
            <w:r>
              <w:rPr>
                <w:color w:val="auto"/>
                <w:kern w:val="0"/>
                <w:sz w:val="21"/>
                <w:szCs w:val="21"/>
                <w:lang w:bidi="ar"/>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铬（六价）</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四氯化碳</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氯仿</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rFonts w:hint="eastAsia" w:eastAsia="宋体"/>
                <w:color w:val="auto"/>
                <w:kern w:val="0"/>
                <w:sz w:val="21"/>
                <w:szCs w:val="21"/>
                <w:lang w:eastAsia="zh-CN" w:bidi="ar"/>
              </w:rPr>
            </w:pPr>
            <w:r>
              <w:rPr>
                <w:color w:val="auto"/>
                <w:kern w:val="0"/>
                <w:sz w:val="21"/>
                <w:szCs w:val="21"/>
                <w:lang w:bidi="ar"/>
              </w:rPr>
              <w:t>氯</w:t>
            </w:r>
            <w:r>
              <w:rPr>
                <w:rFonts w:hint="eastAsia"/>
                <w:color w:val="auto"/>
                <w:kern w:val="0"/>
                <w:sz w:val="21"/>
                <w:szCs w:val="21"/>
                <w:lang w:val="en-US" w:eastAsia="zh-CN" w:bidi="ar"/>
              </w:rPr>
              <w:t>甲烷</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1,1-</w:t>
            </w:r>
            <w:r>
              <w:rPr>
                <w:rStyle w:val="61"/>
                <w:rFonts w:hint="default" w:ascii="Times New Roman" w:hAnsi="Times New Roman" w:cs="Times New Roman"/>
                <w:color w:val="auto"/>
                <w:lang w:bidi="ar"/>
              </w:rPr>
              <w:t>二氯乙烷</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1,2-</w:t>
            </w:r>
            <w:r>
              <w:rPr>
                <w:rStyle w:val="61"/>
                <w:rFonts w:hint="default" w:ascii="Times New Roman" w:hAnsi="Times New Roman" w:cs="Times New Roman"/>
                <w:color w:val="auto"/>
                <w:lang w:bidi="ar"/>
              </w:rPr>
              <w:t>二氯乙烷</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1,1-</w:t>
            </w:r>
            <w:r>
              <w:rPr>
                <w:rStyle w:val="61"/>
                <w:rFonts w:hint="default" w:ascii="Times New Roman" w:hAnsi="Times New Roman" w:cs="Times New Roman"/>
                <w:color w:val="auto"/>
                <w:lang w:bidi="ar"/>
              </w:rPr>
              <w:t>二氯乙烯</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顺</w:t>
            </w:r>
            <w:r>
              <w:rPr>
                <w:color w:val="auto"/>
                <w:kern w:val="0"/>
                <w:sz w:val="21"/>
                <w:szCs w:val="21"/>
                <w:lang w:bidi="ar"/>
              </w:rPr>
              <w:t>-1,2-</w:t>
            </w:r>
            <w:r>
              <w:rPr>
                <w:rStyle w:val="61"/>
                <w:rFonts w:hint="default" w:ascii="Times New Roman" w:hAnsi="Times New Roman" w:cs="Times New Roman"/>
                <w:color w:val="auto"/>
                <w:lang w:bidi="ar"/>
              </w:rPr>
              <w:t>二氯乙烯</w:t>
            </w:r>
          </w:p>
        </w:tc>
        <w:tc>
          <w:tcPr>
            <w:tcW w:w="691"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反</w:t>
            </w:r>
            <w:r>
              <w:rPr>
                <w:color w:val="auto"/>
                <w:kern w:val="0"/>
                <w:sz w:val="21"/>
                <w:szCs w:val="21"/>
                <w:lang w:bidi="ar"/>
              </w:rPr>
              <w:t>-1,2-</w:t>
            </w:r>
            <w:r>
              <w:rPr>
                <w:rStyle w:val="61"/>
                <w:rFonts w:hint="default" w:ascii="Times New Roman" w:hAnsi="Times New Roman" w:cs="Times New Roman"/>
                <w:color w:val="auto"/>
                <w:lang w:bidi="ar"/>
              </w:rPr>
              <w:t>二氯乙烯</w:t>
            </w:r>
          </w:p>
        </w:tc>
        <w:tc>
          <w:tcPr>
            <w:tcW w:w="691"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rFonts w:hint="eastAsia" w:eastAsia="宋体"/>
                <w:color w:val="auto"/>
                <w:kern w:val="0"/>
                <w:sz w:val="21"/>
                <w:szCs w:val="21"/>
                <w:lang w:eastAsia="zh-CN" w:bidi="ar"/>
              </w:rPr>
            </w:pPr>
            <w:r>
              <w:rPr>
                <w:color w:val="auto"/>
                <w:kern w:val="0"/>
                <w:sz w:val="21"/>
                <w:szCs w:val="21"/>
                <w:lang w:bidi="ar"/>
              </w:rPr>
              <w:t>二氯</w:t>
            </w:r>
            <w:r>
              <w:rPr>
                <w:rFonts w:hint="eastAsia"/>
                <w:color w:val="auto"/>
                <w:kern w:val="0"/>
                <w:sz w:val="21"/>
                <w:szCs w:val="21"/>
                <w:lang w:val="en-US" w:eastAsia="zh-CN" w:bidi="ar"/>
              </w:rPr>
              <w:t>甲烷</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1,2-</w:t>
            </w:r>
            <w:r>
              <w:rPr>
                <w:rStyle w:val="61"/>
                <w:rFonts w:hint="default" w:ascii="Times New Roman" w:hAnsi="Times New Roman" w:cs="Times New Roman"/>
                <w:color w:val="auto"/>
                <w:lang w:bidi="ar"/>
              </w:rPr>
              <w:t>二氯丙烷</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1,1,1,2-</w:t>
            </w:r>
            <w:r>
              <w:rPr>
                <w:rStyle w:val="61"/>
                <w:rFonts w:hint="default" w:ascii="Times New Roman" w:hAnsi="Times New Roman" w:cs="Times New Roman"/>
                <w:color w:val="auto"/>
                <w:lang w:bidi="ar"/>
              </w:rPr>
              <w:t>四氯乙烷</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1,1,2,2-</w:t>
            </w:r>
            <w:r>
              <w:rPr>
                <w:rStyle w:val="61"/>
                <w:rFonts w:hint="default" w:ascii="Times New Roman" w:hAnsi="Times New Roman" w:cs="Times New Roman"/>
                <w:color w:val="auto"/>
                <w:lang w:bidi="ar"/>
              </w:rPr>
              <w:t>四氯乙烷</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四氯乙烯</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1,1,1-</w:t>
            </w:r>
            <w:r>
              <w:rPr>
                <w:rStyle w:val="61"/>
                <w:rFonts w:hint="default" w:ascii="Times New Roman" w:hAnsi="Times New Roman" w:cs="Times New Roman"/>
                <w:color w:val="auto"/>
                <w:lang w:bidi="ar"/>
              </w:rPr>
              <w:t>三氯乙烷</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1,1,2-</w:t>
            </w:r>
            <w:r>
              <w:rPr>
                <w:rStyle w:val="61"/>
                <w:rFonts w:hint="default" w:ascii="Times New Roman" w:hAnsi="Times New Roman" w:cs="Times New Roman"/>
                <w:color w:val="auto"/>
                <w:lang w:bidi="ar"/>
              </w:rPr>
              <w:t>三氯乙烷</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三氯乙烯</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1,2,3-</w:t>
            </w:r>
            <w:r>
              <w:rPr>
                <w:rStyle w:val="61"/>
                <w:rFonts w:hint="default" w:ascii="Times New Roman" w:hAnsi="Times New Roman" w:cs="Times New Roman"/>
                <w:color w:val="auto"/>
                <w:lang w:bidi="ar"/>
              </w:rPr>
              <w:t>三氯丙烷</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氯乙烯</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苯</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氯苯</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1,2-</w:t>
            </w:r>
            <w:r>
              <w:rPr>
                <w:rStyle w:val="61"/>
                <w:rFonts w:hint="default" w:ascii="Times New Roman" w:hAnsi="Times New Roman" w:cs="Times New Roman"/>
                <w:color w:val="auto"/>
                <w:lang w:bidi="ar"/>
              </w:rPr>
              <w:t>二氯苯</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1,4-</w:t>
            </w:r>
            <w:r>
              <w:rPr>
                <w:rStyle w:val="61"/>
                <w:rFonts w:hint="default" w:ascii="Times New Roman" w:hAnsi="Times New Roman" w:cs="Times New Roman"/>
                <w:color w:val="auto"/>
                <w:lang w:bidi="ar"/>
              </w:rPr>
              <w:t>二氯苯</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乙苯</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苯乙烯</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甲苯</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间二甲苯</w:t>
            </w:r>
            <w:r>
              <w:rPr>
                <w:color w:val="auto"/>
                <w:kern w:val="0"/>
                <w:sz w:val="21"/>
                <w:szCs w:val="21"/>
                <w:lang w:bidi="ar"/>
              </w:rPr>
              <w:t>+</w:t>
            </w:r>
            <w:r>
              <w:rPr>
                <w:rStyle w:val="61"/>
                <w:rFonts w:hint="default" w:ascii="Times New Roman" w:hAnsi="Times New Roman" w:cs="Times New Roman"/>
                <w:color w:val="auto"/>
                <w:lang w:bidi="ar"/>
              </w:rPr>
              <w:t>对二甲苯</w:t>
            </w:r>
          </w:p>
        </w:tc>
        <w:tc>
          <w:tcPr>
            <w:tcW w:w="691"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邻二甲苯</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硝基苯</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苯胺</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2-</w:t>
            </w:r>
            <w:r>
              <w:rPr>
                <w:rStyle w:val="61"/>
                <w:rFonts w:hint="default" w:ascii="Times New Roman" w:hAnsi="Times New Roman" w:cs="Times New Roman"/>
                <w:color w:val="auto"/>
                <w:lang w:bidi="ar"/>
              </w:rPr>
              <w:t>氯酚</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苯并</w:t>
            </w:r>
            <w:r>
              <w:rPr>
                <w:color w:val="auto"/>
                <w:kern w:val="0"/>
                <w:sz w:val="21"/>
                <w:szCs w:val="21"/>
                <w:lang w:bidi="ar"/>
              </w:rPr>
              <w:t>[a]</w:t>
            </w:r>
            <w:r>
              <w:rPr>
                <w:rStyle w:val="61"/>
                <w:rFonts w:hint="default" w:ascii="Times New Roman" w:hAnsi="Times New Roman" w:cs="Times New Roman"/>
                <w:color w:val="auto"/>
                <w:lang w:bidi="ar"/>
              </w:rPr>
              <w:t>蒽</w:t>
            </w:r>
          </w:p>
        </w:tc>
        <w:tc>
          <w:tcPr>
            <w:tcW w:w="691"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mg/kg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苯并</w:t>
            </w:r>
            <w:r>
              <w:rPr>
                <w:color w:val="auto"/>
                <w:kern w:val="0"/>
                <w:sz w:val="21"/>
                <w:szCs w:val="21"/>
                <w:lang w:bidi="ar"/>
              </w:rPr>
              <w:t>[a]</w:t>
            </w:r>
            <w:r>
              <w:rPr>
                <w:rStyle w:val="61"/>
                <w:rFonts w:hint="default" w:ascii="Times New Roman" w:hAnsi="Times New Roman" w:cs="Times New Roman"/>
                <w:color w:val="auto"/>
                <w:lang w:bidi="ar"/>
              </w:rPr>
              <w:t>芘</w:t>
            </w:r>
          </w:p>
        </w:tc>
        <w:tc>
          <w:tcPr>
            <w:tcW w:w="691"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mg/kg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苯并</w:t>
            </w:r>
            <w:r>
              <w:rPr>
                <w:color w:val="auto"/>
                <w:kern w:val="0"/>
                <w:sz w:val="21"/>
                <w:szCs w:val="21"/>
                <w:lang w:bidi="ar"/>
              </w:rPr>
              <w:t>[b]</w:t>
            </w:r>
            <w:r>
              <w:rPr>
                <w:rStyle w:val="61"/>
                <w:rFonts w:hint="default" w:ascii="Times New Roman" w:hAnsi="Times New Roman" w:cs="Times New Roman"/>
                <w:color w:val="auto"/>
                <w:lang w:bidi="ar"/>
              </w:rPr>
              <w:t>荧蒽</w:t>
            </w:r>
          </w:p>
        </w:tc>
        <w:tc>
          <w:tcPr>
            <w:tcW w:w="691"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mg/kg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苯并</w:t>
            </w:r>
            <w:r>
              <w:rPr>
                <w:color w:val="auto"/>
                <w:kern w:val="0"/>
                <w:sz w:val="21"/>
                <w:szCs w:val="21"/>
                <w:lang w:bidi="ar"/>
              </w:rPr>
              <w:t>[k]</w:t>
            </w:r>
            <w:r>
              <w:rPr>
                <w:rStyle w:val="61"/>
                <w:rFonts w:hint="default" w:ascii="Times New Roman" w:hAnsi="Times New Roman" w:cs="Times New Roman"/>
                <w:color w:val="auto"/>
                <w:lang w:bidi="ar"/>
              </w:rPr>
              <w:t>荧蒽</w:t>
            </w:r>
          </w:p>
        </w:tc>
        <w:tc>
          <w:tcPr>
            <w:tcW w:w="691"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mg/kg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䓛</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二苯并</w:t>
            </w:r>
            <w:r>
              <w:rPr>
                <w:color w:val="auto"/>
                <w:kern w:val="0"/>
                <w:sz w:val="21"/>
                <w:szCs w:val="21"/>
                <w:lang w:bidi="ar"/>
              </w:rPr>
              <w:t>[a,h]</w:t>
            </w:r>
            <w:r>
              <w:rPr>
                <w:rStyle w:val="61"/>
                <w:rFonts w:hint="default" w:ascii="Times New Roman" w:hAnsi="Times New Roman" w:cs="Times New Roman"/>
                <w:color w:val="auto"/>
                <w:lang w:bidi="ar"/>
              </w:rPr>
              <w:t>蒽</w:t>
            </w:r>
          </w:p>
        </w:tc>
        <w:tc>
          <w:tcPr>
            <w:tcW w:w="691"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mg/kg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rStyle w:val="61"/>
                <w:rFonts w:hint="default" w:ascii="Times New Roman" w:hAnsi="Times New Roman" w:cs="Times New Roman"/>
                <w:color w:val="auto"/>
                <w:lang w:bidi="ar"/>
              </w:rPr>
              <w:t>茚并</w:t>
            </w:r>
            <w:r>
              <w:rPr>
                <w:color w:val="auto"/>
                <w:kern w:val="0"/>
                <w:sz w:val="21"/>
                <w:szCs w:val="21"/>
                <w:lang w:bidi="ar"/>
              </w:rPr>
              <w:t>[1,2,3-cd]</w:t>
            </w:r>
            <w:r>
              <w:rPr>
                <w:rStyle w:val="61"/>
                <w:rFonts w:hint="default" w:ascii="Times New Roman" w:hAnsi="Times New Roman" w:cs="Times New Roman"/>
                <w:color w:val="auto"/>
                <w:lang w:bidi="ar"/>
              </w:rPr>
              <w:t>芘</w:t>
            </w:r>
          </w:p>
        </w:tc>
        <w:tc>
          <w:tcPr>
            <w:tcW w:w="691"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mg/kg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萘</w:t>
            </w:r>
          </w:p>
        </w:tc>
        <w:tc>
          <w:tcPr>
            <w:tcW w:w="69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8"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486" w:type="pct"/>
            <w:vAlign w:val="center"/>
          </w:tcPr>
          <w:p>
            <w:pPr>
              <w:widowControl/>
              <w:ind w:firstLine="0" w:firstLineChars="0"/>
              <w:jc w:val="center"/>
              <w:textAlignment w:val="center"/>
              <w:rPr>
                <w:color w:val="auto"/>
                <w:sz w:val="21"/>
                <w:szCs w:val="21"/>
              </w:rPr>
            </w:pPr>
            <w:r>
              <w:rPr>
                <w:color w:val="auto"/>
                <w:kern w:val="0"/>
                <w:sz w:val="21"/>
                <w:szCs w:val="21"/>
                <w:lang w:bidi="ar"/>
              </w:rPr>
              <w:t>ND</w:t>
            </w:r>
          </w:p>
        </w:tc>
        <w:tc>
          <w:tcPr>
            <w:tcW w:w="579"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c>
          <w:tcPr>
            <w:tcW w:w="583" w:type="pct"/>
            <w:vAlign w:val="center"/>
          </w:tcPr>
          <w:p>
            <w:pPr>
              <w:widowControl/>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014"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rStyle w:val="61"/>
                <w:rFonts w:hint="default" w:ascii="Times New Roman" w:hAnsi="Times New Roman" w:cs="Times New Roman"/>
                <w:color w:val="auto"/>
                <w:lang w:bidi="ar"/>
              </w:rPr>
              <w:t>石油烃</w:t>
            </w:r>
            <w:r>
              <w:rPr>
                <w:color w:val="auto"/>
                <w:kern w:val="0"/>
                <w:sz w:val="21"/>
                <w:szCs w:val="21"/>
                <w:lang w:bidi="ar"/>
              </w:rPr>
              <w:t>(C</w:t>
            </w:r>
            <w:r>
              <w:rPr>
                <w:color w:val="auto"/>
                <w:kern w:val="0"/>
                <w:sz w:val="21"/>
                <w:szCs w:val="21"/>
                <w:vertAlign w:val="subscript"/>
                <w:lang w:bidi="ar"/>
              </w:rPr>
              <w:t>10</w:t>
            </w:r>
            <w:r>
              <w:rPr>
                <w:color w:val="auto"/>
                <w:kern w:val="0"/>
                <w:sz w:val="21"/>
                <w:szCs w:val="21"/>
                <w:lang w:bidi="ar"/>
              </w:rPr>
              <w:t>-C</w:t>
            </w:r>
            <w:r>
              <w:rPr>
                <w:color w:val="auto"/>
                <w:kern w:val="0"/>
                <w:sz w:val="21"/>
                <w:szCs w:val="21"/>
                <w:vertAlign w:val="subscript"/>
                <w:lang w:bidi="ar"/>
              </w:rPr>
              <w:t>40</w:t>
            </w:r>
            <w:r>
              <w:rPr>
                <w:color w:val="auto"/>
                <w:kern w:val="0"/>
                <w:sz w:val="21"/>
                <w:szCs w:val="21"/>
                <w:lang w:bidi="ar"/>
              </w:rPr>
              <w:t>)</w:t>
            </w:r>
          </w:p>
        </w:tc>
        <w:tc>
          <w:tcPr>
            <w:tcW w:w="691"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mg/kg</w:t>
            </w:r>
          </w:p>
        </w:tc>
        <w:tc>
          <w:tcPr>
            <w:tcW w:w="486" w:type="pct"/>
            <w:vAlign w:val="center"/>
          </w:tcPr>
          <w:p>
            <w:pPr>
              <w:spacing w:line="240" w:lineRule="auto"/>
              <w:ind w:firstLine="0" w:firstLineChars="0"/>
              <w:jc w:val="center"/>
              <w:rPr>
                <w:color w:val="auto"/>
                <w:sz w:val="21"/>
                <w:szCs w:val="21"/>
              </w:rPr>
            </w:pPr>
            <w:r>
              <w:rPr>
                <w:rFonts w:hint="eastAsia"/>
                <w:color w:val="auto"/>
                <w:sz w:val="21"/>
                <w:szCs w:val="21"/>
              </w:rPr>
              <w:t>9</w:t>
            </w:r>
          </w:p>
        </w:tc>
        <w:tc>
          <w:tcPr>
            <w:tcW w:w="578" w:type="pct"/>
            <w:vAlign w:val="center"/>
          </w:tcPr>
          <w:p>
            <w:pPr>
              <w:spacing w:line="240" w:lineRule="auto"/>
              <w:ind w:firstLine="0" w:firstLineChars="0"/>
              <w:jc w:val="center"/>
              <w:rPr>
                <w:color w:val="auto"/>
                <w:sz w:val="21"/>
                <w:szCs w:val="21"/>
              </w:rPr>
            </w:pPr>
            <w:r>
              <w:rPr>
                <w:rFonts w:hint="eastAsia"/>
                <w:color w:val="auto"/>
                <w:sz w:val="21"/>
                <w:szCs w:val="21"/>
              </w:rPr>
              <w:t>19</w:t>
            </w:r>
          </w:p>
        </w:tc>
        <w:tc>
          <w:tcPr>
            <w:tcW w:w="578" w:type="pct"/>
            <w:vAlign w:val="center"/>
          </w:tcPr>
          <w:p>
            <w:pPr>
              <w:spacing w:line="240" w:lineRule="auto"/>
              <w:ind w:firstLine="0" w:firstLineChars="0"/>
              <w:jc w:val="center"/>
              <w:rPr>
                <w:color w:val="auto"/>
                <w:sz w:val="21"/>
                <w:szCs w:val="21"/>
              </w:rPr>
            </w:pPr>
            <w:r>
              <w:rPr>
                <w:rFonts w:hint="eastAsia"/>
                <w:color w:val="auto"/>
                <w:sz w:val="21"/>
                <w:szCs w:val="21"/>
              </w:rPr>
              <w:t>34</w:t>
            </w:r>
          </w:p>
        </w:tc>
        <w:tc>
          <w:tcPr>
            <w:tcW w:w="486" w:type="pct"/>
            <w:vAlign w:val="center"/>
          </w:tcPr>
          <w:p>
            <w:pPr>
              <w:spacing w:line="240" w:lineRule="auto"/>
              <w:ind w:firstLine="0" w:firstLineChars="0"/>
              <w:jc w:val="center"/>
              <w:rPr>
                <w:color w:val="auto"/>
                <w:sz w:val="21"/>
                <w:szCs w:val="21"/>
              </w:rPr>
            </w:pPr>
            <w:r>
              <w:rPr>
                <w:rFonts w:hint="eastAsia"/>
                <w:color w:val="auto"/>
                <w:sz w:val="21"/>
                <w:szCs w:val="21"/>
              </w:rPr>
              <w:t>24</w:t>
            </w:r>
          </w:p>
        </w:tc>
        <w:tc>
          <w:tcPr>
            <w:tcW w:w="579" w:type="pct"/>
            <w:vAlign w:val="center"/>
          </w:tcPr>
          <w:p>
            <w:pPr>
              <w:spacing w:line="240" w:lineRule="auto"/>
              <w:ind w:firstLine="0" w:firstLineChars="0"/>
              <w:jc w:val="center"/>
              <w:rPr>
                <w:color w:val="auto"/>
                <w:sz w:val="21"/>
                <w:szCs w:val="21"/>
              </w:rPr>
            </w:pPr>
            <w:r>
              <w:rPr>
                <w:rFonts w:hint="eastAsia"/>
                <w:color w:val="auto"/>
                <w:sz w:val="21"/>
                <w:szCs w:val="21"/>
              </w:rPr>
              <w:t>27</w:t>
            </w:r>
          </w:p>
        </w:tc>
        <w:tc>
          <w:tcPr>
            <w:tcW w:w="583" w:type="pct"/>
            <w:vAlign w:val="center"/>
          </w:tcPr>
          <w:p>
            <w:pPr>
              <w:spacing w:line="240" w:lineRule="auto"/>
              <w:ind w:firstLine="0" w:firstLineChars="0"/>
              <w:jc w:val="center"/>
              <w:rPr>
                <w:color w:val="auto"/>
                <w:sz w:val="21"/>
                <w:szCs w:val="21"/>
              </w:rPr>
            </w:pPr>
            <w:r>
              <w:rPr>
                <w:rFonts w:hint="eastAsia"/>
                <w:color w:val="auto"/>
                <w:sz w:val="21"/>
                <w:szCs w:val="21"/>
              </w:rPr>
              <w:t>22</w:t>
            </w:r>
          </w:p>
        </w:tc>
      </w:tr>
    </w:tbl>
    <w:p>
      <w:pPr>
        <w:pStyle w:val="48"/>
        <w:spacing w:line="360" w:lineRule="auto"/>
        <w:rPr>
          <w:bCs/>
          <w:color w:val="auto"/>
        </w:rPr>
      </w:pPr>
    </w:p>
    <w:p>
      <w:pPr>
        <w:pStyle w:val="48"/>
        <w:spacing w:line="360" w:lineRule="auto"/>
        <w:rPr>
          <w:bCs/>
          <w:color w:val="auto"/>
        </w:rPr>
      </w:pPr>
      <w:r>
        <w:rPr>
          <w:bCs/>
          <w:color w:val="auto"/>
        </w:rPr>
        <w:t>续表</w:t>
      </w:r>
      <w:r>
        <w:rPr>
          <w:rFonts w:hint="eastAsia"/>
          <w:bCs/>
          <w:color w:val="auto"/>
        </w:rPr>
        <w:t>4.5-5</w:t>
      </w:r>
      <w:r>
        <w:rPr>
          <w:bCs/>
          <w:color w:val="auto"/>
        </w:rPr>
        <w:t xml:space="preserve">  土壤环境质量现状监测结果（</w:t>
      </w:r>
      <w:r>
        <w:rPr>
          <w:rFonts w:hint="eastAsia"/>
          <w:bCs/>
          <w:color w:val="auto"/>
        </w:rPr>
        <w:t>4</w:t>
      </w:r>
      <w:r>
        <w:rPr>
          <w:bCs/>
          <w:color w:val="auto"/>
        </w:rPr>
        <w:t>#）</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93"/>
        <w:gridCol w:w="1836"/>
        <w:gridCol w:w="1293"/>
        <w:gridCol w:w="1537"/>
        <w:gridCol w:w="15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Merge w:val="restart"/>
            <w:vAlign w:val="center"/>
          </w:tcPr>
          <w:p>
            <w:pPr>
              <w:spacing w:line="240" w:lineRule="auto"/>
              <w:ind w:firstLine="0" w:firstLineChars="0"/>
              <w:jc w:val="center"/>
              <w:rPr>
                <w:b/>
                <w:bCs/>
                <w:color w:val="auto"/>
                <w:sz w:val="21"/>
                <w:szCs w:val="21"/>
              </w:rPr>
            </w:pPr>
            <w:r>
              <w:rPr>
                <w:b/>
                <w:bCs/>
                <w:color w:val="auto"/>
                <w:sz w:val="21"/>
                <w:szCs w:val="21"/>
              </w:rPr>
              <w:t>监测项目</w:t>
            </w:r>
          </w:p>
        </w:tc>
        <w:tc>
          <w:tcPr>
            <w:tcW w:w="1031" w:type="pct"/>
            <w:vMerge w:val="restart"/>
            <w:vAlign w:val="center"/>
          </w:tcPr>
          <w:p>
            <w:pPr>
              <w:spacing w:line="240" w:lineRule="auto"/>
              <w:ind w:firstLine="0" w:firstLineChars="0"/>
              <w:jc w:val="center"/>
              <w:rPr>
                <w:b/>
                <w:bCs/>
                <w:color w:val="auto"/>
                <w:sz w:val="21"/>
                <w:szCs w:val="21"/>
              </w:rPr>
            </w:pPr>
            <w:r>
              <w:rPr>
                <w:b/>
                <w:bCs/>
                <w:color w:val="auto"/>
                <w:sz w:val="21"/>
                <w:szCs w:val="21"/>
              </w:rPr>
              <w:t>单位</w:t>
            </w:r>
          </w:p>
        </w:tc>
        <w:tc>
          <w:tcPr>
            <w:tcW w:w="2455" w:type="pct"/>
            <w:gridSpan w:val="3"/>
            <w:vAlign w:val="center"/>
          </w:tcPr>
          <w:p>
            <w:pPr>
              <w:spacing w:line="240" w:lineRule="auto"/>
              <w:ind w:firstLine="0" w:firstLineChars="0"/>
              <w:jc w:val="center"/>
              <w:rPr>
                <w:b/>
                <w:bCs/>
                <w:color w:val="auto"/>
                <w:sz w:val="21"/>
                <w:szCs w:val="21"/>
              </w:rPr>
            </w:pPr>
            <w:r>
              <w:rPr>
                <w:b/>
                <w:bCs/>
                <w:color w:val="auto"/>
                <w:sz w:val="21"/>
                <w:szCs w:val="21"/>
              </w:rPr>
              <w:t>监测结果（mg/kg）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1513" w:type="pct"/>
            <w:vMerge w:val="continue"/>
            <w:vAlign w:val="center"/>
          </w:tcPr>
          <w:p>
            <w:pPr>
              <w:spacing w:line="240" w:lineRule="auto"/>
              <w:ind w:firstLine="0" w:firstLineChars="0"/>
              <w:jc w:val="center"/>
              <w:rPr>
                <w:color w:val="auto"/>
                <w:sz w:val="21"/>
                <w:szCs w:val="21"/>
              </w:rPr>
            </w:pPr>
          </w:p>
        </w:tc>
        <w:tc>
          <w:tcPr>
            <w:tcW w:w="1031" w:type="pct"/>
            <w:vMerge w:val="continue"/>
            <w:vAlign w:val="center"/>
          </w:tcPr>
          <w:p>
            <w:pPr>
              <w:spacing w:line="240" w:lineRule="auto"/>
              <w:ind w:firstLine="0" w:firstLineChars="0"/>
              <w:jc w:val="center"/>
              <w:rPr>
                <w:color w:val="auto"/>
                <w:sz w:val="21"/>
                <w:szCs w:val="21"/>
              </w:rPr>
            </w:pPr>
          </w:p>
        </w:tc>
        <w:tc>
          <w:tcPr>
            <w:tcW w:w="2455" w:type="pct"/>
            <w:gridSpan w:val="3"/>
            <w:vAlign w:val="center"/>
          </w:tcPr>
          <w:p>
            <w:pPr>
              <w:spacing w:line="240" w:lineRule="auto"/>
              <w:ind w:firstLine="0" w:firstLineChars="0"/>
              <w:jc w:val="center"/>
              <w:rPr>
                <w:b/>
                <w:bCs/>
                <w:color w:val="auto"/>
                <w:sz w:val="21"/>
                <w:szCs w:val="21"/>
              </w:rPr>
            </w:pPr>
            <w:r>
              <w:rPr>
                <w:b/>
                <w:bCs/>
                <w:color w:val="auto"/>
                <w:sz w:val="21"/>
                <w:szCs w:val="21"/>
              </w:rPr>
              <w:t>2#厂区1号车间附近绿化带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Merge w:val="continue"/>
            <w:vAlign w:val="center"/>
          </w:tcPr>
          <w:p>
            <w:pPr>
              <w:spacing w:line="240" w:lineRule="auto"/>
              <w:ind w:firstLine="0" w:firstLineChars="0"/>
              <w:jc w:val="center"/>
              <w:rPr>
                <w:color w:val="auto"/>
                <w:sz w:val="21"/>
                <w:szCs w:val="21"/>
              </w:rPr>
            </w:pPr>
          </w:p>
        </w:tc>
        <w:tc>
          <w:tcPr>
            <w:tcW w:w="1031" w:type="pct"/>
            <w:vMerge w:val="continue"/>
            <w:vAlign w:val="center"/>
          </w:tcPr>
          <w:p>
            <w:pPr>
              <w:spacing w:line="240" w:lineRule="auto"/>
              <w:ind w:firstLine="0" w:firstLineChars="0"/>
              <w:jc w:val="center"/>
              <w:rPr>
                <w:color w:val="auto"/>
                <w:sz w:val="21"/>
                <w:szCs w:val="21"/>
              </w:rPr>
            </w:pPr>
          </w:p>
        </w:tc>
        <w:tc>
          <w:tcPr>
            <w:tcW w:w="726" w:type="pct"/>
            <w:vAlign w:val="center"/>
          </w:tcPr>
          <w:p>
            <w:pPr>
              <w:spacing w:line="240" w:lineRule="auto"/>
              <w:ind w:firstLine="0" w:firstLineChars="0"/>
              <w:jc w:val="center"/>
              <w:rPr>
                <w:color w:val="auto"/>
                <w:sz w:val="21"/>
                <w:szCs w:val="21"/>
              </w:rPr>
            </w:pPr>
            <w:r>
              <w:rPr>
                <w:rFonts w:eastAsia="等线"/>
                <w:b/>
                <w:bCs/>
                <w:color w:val="auto"/>
                <w:sz w:val="21"/>
                <w:szCs w:val="21"/>
              </w:rPr>
              <w:t>0-0.5m</w:t>
            </w:r>
          </w:p>
        </w:tc>
        <w:tc>
          <w:tcPr>
            <w:tcW w:w="863" w:type="pct"/>
            <w:vAlign w:val="center"/>
          </w:tcPr>
          <w:p>
            <w:pPr>
              <w:spacing w:line="240" w:lineRule="auto"/>
              <w:ind w:firstLine="0" w:firstLineChars="0"/>
              <w:jc w:val="center"/>
              <w:rPr>
                <w:color w:val="auto"/>
                <w:sz w:val="21"/>
                <w:szCs w:val="21"/>
              </w:rPr>
            </w:pPr>
            <w:r>
              <w:rPr>
                <w:rFonts w:eastAsia="等线"/>
                <w:b/>
                <w:bCs/>
                <w:color w:val="auto"/>
                <w:sz w:val="21"/>
                <w:szCs w:val="21"/>
              </w:rPr>
              <w:t>0.5-1.5m</w:t>
            </w:r>
          </w:p>
        </w:tc>
        <w:tc>
          <w:tcPr>
            <w:tcW w:w="865" w:type="pct"/>
            <w:vAlign w:val="center"/>
          </w:tcPr>
          <w:p>
            <w:pPr>
              <w:spacing w:line="240" w:lineRule="auto"/>
              <w:ind w:firstLine="0" w:firstLineChars="0"/>
              <w:jc w:val="center"/>
              <w:rPr>
                <w:color w:val="auto"/>
                <w:sz w:val="21"/>
                <w:szCs w:val="21"/>
              </w:rPr>
            </w:pPr>
            <w:r>
              <w:rPr>
                <w:rFonts w:eastAsia="等线"/>
                <w:b/>
                <w:bCs/>
                <w:color w:val="auto"/>
                <w:sz w:val="21"/>
                <w:szCs w:val="21"/>
              </w:rPr>
              <w:t>1.5-3.0m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8" w:hRule="exact"/>
          <w:jc w:val="center"/>
        </w:trPr>
        <w:tc>
          <w:tcPr>
            <w:tcW w:w="1513" w:type="pct"/>
            <w:vAlign w:val="center"/>
          </w:tcPr>
          <w:p>
            <w:pPr>
              <w:spacing w:line="240" w:lineRule="auto"/>
              <w:ind w:firstLine="0" w:firstLineChars="0"/>
              <w:jc w:val="center"/>
              <w:rPr>
                <w:color w:val="auto"/>
                <w:sz w:val="21"/>
                <w:szCs w:val="21"/>
              </w:rPr>
            </w:pPr>
            <w:r>
              <w:rPr>
                <w:color w:val="auto"/>
                <w:sz w:val="21"/>
                <w:szCs w:val="21"/>
              </w:rPr>
              <w:t>pH值</w:t>
            </w:r>
          </w:p>
        </w:tc>
        <w:tc>
          <w:tcPr>
            <w:tcW w:w="1031" w:type="pct"/>
            <w:vAlign w:val="center"/>
          </w:tcPr>
          <w:p>
            <w:pPr>
              <w:spacing w:line="240" w:lineRule="auto"/>
              <w:ind w:firstLine="0" w:firstLineChars="0"/>
              <w:jc w:val="center"/>
              <w:rPr>
                <w:color w:val="auto"/>
                <w:sz w:val="21"/>
                <w:szCs w:val="21"/>
              </w:rPr>
            </w:pPr>
            <w:r>
              <w:rPr>
                <w:color w:val="auto"/>
                <w:sz w:val="21"/>
                <w:szCs w:val="21"/>
              </w:rPr>
              <w:t>无量纲</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rFonts w:hint="eastAsia" w:eastAsia="华文仿宋"/>
                <w:color w:val="auto"/>
                <w:sz w:val="21"/>
                <w:szCs w:val="21"/>
              </w:rPr>
              <w:t>8.34</w:t>
            </w:r>
          </w:p>
        </w:tc>
        <w:tc>
          <w:tcPr>
            <w:tcW w:w="1471" w:type="dxa"/>
            <w:vAlign w:val="center"/>
          </w:tcPr>
          <w:p>
            <w:pPr>
              <w:widowControl/>
              <w:snapToGrid w:val="0"/>
              <w:spacing w:line="312" w:lineRule="exact"/>
              <w:ind w:firstLine="0" w:firstLineChars="0"/>
              <w:jc w:val="center"/>
              <w:textAlignment w:val="center"/>
              <w:rPr>
                <w:color w:val="auto"/>
                <w:sz w:val="21"/>
                <w:szCs w:val="21"/>
              </w:rPr>
            </w:pPr>
            <w:r>
              <w:rPr>
                <w:rFonts w:hint="eastAsia" w:eastAsia="华文仿宋"/>
                <w:color w:val="auto"/>
                <w:sz w:val="21"/>
                <w:szCs w:val="21"/>
              </w:rPr>
              <w:t>7.90</w:t>
            </w:r>
          </w:p>
        </w:tc>
        <w:tc>
          <w:tcPr>
            <w:tcW w:w="1476" w:type="dxa"/>
            <w:vAlign w:val="center"/>
          </w:tcPr>
          <w:p>
            <w:pPr>
              <w:widowControl/>
              <w:snapToGrid w:val="0"/>
              <w:spacing w:line="312" w:lineRule="exact"/>
              <w:ind w:firstLine="0" w:firstLineChars="0"/>
              <w:jc w:val="center"/>
              <w:textAlignment w:val="center"/>
              <w:rPr>
                <w:color w:val="auto"/>
                <w:sz w:val="21"/>
                <w:szCs w:val="21"/>
              </w:rPr>
            </w:pPr>
            <w:r>
              <w:rPr>
                <w:rFonts w:hint="eastAsia" w:eastAsia="华文仿宋"/>
                <w:color w:val="auto"/>
                <w:sz w:val="21"/>
                <w:szCs w:val="21"/>
              </w:rPr>
              <w:t>7.88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汞</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0.026</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0.018</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0.016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砷</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7.91</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6.70</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7.41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镉</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0.09</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0.08</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铅</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14.6</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14.7</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铜</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13</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11</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镍</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15.9</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19.0</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锌</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35</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36</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rFonts w:hint="eastAsia" w:eastAsia="宋体"/>
                <w:color w:val="auto"/>
                <w:sz w:val="21"/>
                <w:szCs w:val="21"/>
                <w:lang w:eastAsia="zh-CN"/>
              </w:rPr>
            </w:pPr>
            <w:r>
              <w:rPr>
                <w:color w:val="auto"/>
                <w:kern w:val="0"/>
                <w:sz w:val="21"/>
                <w:szCs w:val="21"/>
                <w:lang w:bidi="ar"/>
              </w:rPr>
              <w:t>铁(以Fe</w:t>
            </w:r>
            <w:r>
              <w:rPr>
                <w:rStyle w:val="60"/>
                <w:rFonts w:hint="default" w:ascii="Times New Roman" w:hAnsi="Times New Roman" w:cs="Times New Roman"/>
                <w:color w:val="auto"/>
                <w:lang w:bidi="ar"/>
              </w:rPr>
              <w:t>2</w:t>
            </w:r>
            <w:r>
              <w:rPr>
                <w:rStyle w:val="61"/>
                <w:rFonts w:hint="default" w:ascii="Times New Roman" w:hAnsi="Times New Roman" w:cs="Times New Roman"/>
                <w:color w:val="auto"/>
                <w:lang w:bidi="ar"/>
              </w:rPr>
              <w:t>O</w:t>
            </w:r>
            <w:r>
              <w:rPr>
                <w:rStyle w:val="60"/>
                <w:rFonts w:hint="default" w:ascii="Times New Roman" w:hAnsi="Times New Roman" w:cs="Times New Roman"/>
                <w:color w:val="auto"/>
                <w:lang w:bidi="ar"/>
              </w:rPr>
              <w:t>3</w:t>
            </w:r>
            <w:r>
              <w:rPr>
                <w:rStyle w:val="61"/>
                <w:rFonts w:hint="default" w:ascii="Times New Roman" w:hAnsi="Times New Roman" w:cs="Times New Roman"/>
                <w:color w:val="auto"/>
                <w:lang w:bidi="ar"/>
              </w:rPr>
              <w:t>计）</w:t>
            </w:r>
            <w:r>
              <w:rPr>
                <w:rStyle w:val="61"/>
                <w:rFonts w:hint="eastAsia" w:cs="Times New Roman"/>
                <w:color w:val="auto"/>
                <w:lang w:eastAsia="zh-CN" w:bidi="ar"/>
              </w:rPr>
              <w:t>×</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2.73</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3.75</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2.90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rFonts w:hint="eastAsia" w:eastAsia="宋体"/>
                <w:color w:val="auto"/>
                <w:sz w:val="21"/>
                <w:szCs w:val="21"/>
                <w:lang w:eastAsia="zh-CN"/>
              </w:rPr>
            </w:pPr>
            <w:r>
              <w:rPr>
                <w:color w:val="auto"/>
                <w:kern w:val="0"/>
                <w:sz w:val="21"/>
                <w:szCs w:val="21"/>
                <w:lang w:bidi="ar"/>
              </w:rPr>
              <w:t>钛</w:t>
            </w:r>
            <w:r>
              <w:rPr>
                <w:rFonts w:hint="eastAsia"/>
                <w:color w:val="auto"/>
                <w:kern w:val="0"/>
                <w:sz w:val="21"/>
                <w:szCs w:val="21"/>
                <w:lang w:eastAsia="zh-CN" w:bidi="ar"/>
              </w:rPr>
              <w:t>×</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2.43</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3.16</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2.87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铬（六价）</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四氯化碳</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氯仿</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rFonts w:hint="eastAsia" w:eastAsia="宋体"/>
                <w:color w:val="auto"/>
                <w:kern w:val="0"/>
                <w:sz w:val="21"/>
                <w:szCs w:val="21"/>
                <w:lang w:eastAsia="zh-CN" w:bidi="ar"/>
              </w:rPr>
            </w:pPr>
            <w:r>
              <w:rPr>
                <w:color w:val="auto"/>
                <w:kern w:val="0"/>
                <w:sz w:val="21"/>
                <w:szCs w:val="21"/>
                <w:lang w:bidi="ar"/>
              </w:rPr>
              <w:t>氯</w:t>
            </w:r>
            <w:r>
              <w:rPr>
                <w:rFonts w:hint="eastAsia"/>
                <w:color w:val="auto"/>
                <w:kern w:val="0"/>
                <w:sz w:val="21"/>
                <w:szCs w:val="21"/>
                <w:lang w:val="en-US" w:eastAsia="zh-CN" w:bidi="ar"/>
              </w:rPr>
              <w:t>甲烷</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2.0</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1,1-</w:t>
            </w:r>
            <w:r>
              <w:rPr>
                <w:rStyle w:val="61"/>
                <w:rFonts w:hint="default" w:ascii="Times New Roman" w:hAnsi="Times New Roman" w:cs="Times New Roman"/>
                <w:color w:val="auto"/>
                <w:lang w:bidi="ar"/>
              </w:rPr>
              <w:t>二氯乙烷</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1,2-</w:t>
            </w:r>
            <w:r>
              <w:rPr>
                <w:rStyle w:val="61"/>
                <w:rFonts w:hint="default" w:ascii="Times New Roman" w:hAnsi="Times New Roman" w:cs="Times New Roman"/>
                <w:color w:val="auto"/>
                <w:lang w:bidi="ar"/>
              </w:rPr>
              <w:t>二氯乙烷</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1,1-</w:t>
            </w:r>
            <w:r>
              <w:rPr>
                <w:rStyle w:val="61"/>
                <w:rFonts w:hint="default" w:ascii="Times New Roman" w:hAnsi="Times New Roman" w:cs="Times New Roman"/>
                <w:color w:val="auto"/>
                <w:lang w:bidi="ar"/>
              </w:rPr>
              <w:t>二氯乙烯</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顺</w:t>
            </w:r>
            <w:r>
              <w:rPr>
                <w:color w:val="auto"/>
                <w:kern w:val="0"/>
                <w:sz w:val="21"/>
                <w:szCs w:val="21"/>
                <w:lang w:bidi="ar"/>
              </w:rPr>
              <w:t>-1,2-</w:t>
            </w:r>
            <w:r>
              <w:rPr>
                <w:rStyle w:val="61"/>
                <w:rFonts w:hint="default" w:ascii="Times New Roman" w:hAnsi="Times New Roman" w:cs="Times New Roman"/>
                <w:color w:val="auto"/>
                <w:lang w:bidi="ar"/>
              </w:rPr>
              <w:t>二氯乙烯</w:t>
            </w:r>
          </w:p>
        </w:tc>
        <w:tc>
          <w:tcPr>
            <w:tcW w:w="1031"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反</w:t>
            </w:r>
            <w:r>
              <w:rPr>
                <w:color w:val="auto"/>
                <w:kern w:val="0"/>
                <w:sz w:val="21"/>
                <w:szCs w:val="21"/>
                <w:lang w:bidi="ar"/>
              </w:rPr>
              <w:t>-1,2-</w:t>
            </w:r>
            <w:r>
              <w:rPr>
                <w:rStyle w:val="61"/>
                <w:rFonts w:hint="default" w:ascii="Times New Roman" w:hAnsi="Times New Roman" w:cs="Times New Roman"/>
                <w:color w:val="auto"/>
                <w:lang w:bidi="ar"/>
              </w:rPr>
              <w:t>二氯乙烯</w:t>
            </w:r>
          </w:p>
        </w:tc>
        <w:tc>
          <w:tcPr>
            <w:tcW w:w="1031"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rFonts w:hint="eastAsia" w:eastAsia="宋体"/>
                <w:color w:val="auto"/>
                <w:kern w:val="0"/>
                <w:sz w:val="21"/>
                <w:szCs w:val="21"/>
                <w:lang w:eastAsia="zh-CN" w:bidi="ar"/>
              </w:rPr>
            </w:pPr>
            <w:r>
              <w:rPr>
                <w:color w:val="auto"/>
                <w:kern w:val="0"/>
                <w:sz w:val="21"/>
                <w:szCs w:val="21"/>
                <w:lang w:bidi="ar"/>
              </w:rPr>
              <w:t>二氯</w:t>
            </w:r>
            <w:r>
              <w:rPr>
                <w:rFonts w:hint="eastAsia"/>
                <w:color w:val="auto"/>
                <w:kern w:val="0"/>
                <w:sz w:val="21"/>
                <w:szCs w:val="21"/>
                <w:lang w:val="en-US" w:eastAsia="zh-CN" w:bidi="ar"/>
              </w:rPr>
              <w:t>甲烷</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1,2-</w:t>
            </w:r>
            <w:r>
              <w:rPr>
                <w:rStyle w:val="61"/>
                <w:rFonts w:hint="default" w:ascii="Times New Roman" w:hAnsi="Times New Roman" w:cs="Times New Roman"/>
                <w:color w:val="auto"/>
                <w:lang w:bidi="ar"/>
              </w:rPr>
              <w:t>二氯丙烷</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1,1,1,2-</w:t>
            </w:r>
            <w:r>
              <w:rPr>
                <w:rStyle w:val="61"/>
                <w:rFonts w:hint="default" w:ascii="Times New Roman" w:hAnsi="Times New Roman" w:cs="Times New Roman"/>
                <w:color w:val="auto"/>
                <w:lang w:bidi="ar"/>
              </w:rPr>
              <w:t>四氯乙烷</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1,1,2,2-</w:t>
            </w:r>
            <w:r>
              <w:rPr>
                <w:rStyle w:val="61"/>
                <w:rFonts w:hint="default" w:ascii="Times New Roman" w:hAnsi="Times New Roman" w:cs="Times New Roman"/>
                <w:color w:val="auto"/>
                <w:lang w:bidi="ar"/>
              </w:rPr>
              <w:t>四氯乙烷</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四氯乙烯</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1,1,1-</w:t>
            </w:r>
            <w:r>
              <w:rPr>
                <w:rStyle w:val="61"/>
                <w:rFonts w:hint="default" w:ascii="Times New Roman" w:hAnsi="Times New Roman" w:cs="Times New Roman"/>
                <w:color w:val="auto"/>
                <w:lang w:bidi="ar"/>
              </w:rPr>
              <w:t>三氯乙烷</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1,1,2-</w:t>
            </w:r>
            <w:r>
              <w:rPr>
                <w:rStyle w:val="61"/>
                <w:rFonts w:hint="default" w:ascii="Times New Roman" w:hAnsi="Times New Roman" w:cs="Times New Roman"/>
                <w:color w:val="auto"/>
                <w:lang w:bidi="ar"/>
              </w:rPr>
              <w:t>三氯乙烷</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三氯乙烯</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1,2,3-</w:t>
            </w:r>
            <w:r>
              <w:rPr>
                <w:rStyle w:val="61"/>
                <w:rFonts w:hint="default" w:ascii="Times New Roman" w:hAnsi="Times New Roman" w:cs="Times New Roman"/>
                <w:color w:val="auto"/>
                <w:lang w:bidi="ar"/>
              </w:rPr>
              <w:t>三氯丙烷</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氯乙烯</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苯</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氯苯</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1,2-</w:t>
            </w:r>
            <w:r>
              <w:rPr>
                <w:rStyle w:val="61"/>
                <w:rFonts w:hint="default" w:ascii="Times New Roman" w:hAnsi="Times New Roman" w:cs="Times New Roman"/>
                <w:color w:val="auto"/>
                <w:lang w:bidi="ar"/>
              </w:rPr>
              <w:t>二氯苯</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1,4-</w:t>
            </w:r>
            <w:r>
              <w:rPr>
                <w:rStyle w:val="61"/>
                <w:rFonts w:hint="default" w:ascii="Times New Roman" w:hAnsi="Times New Roman" w:cs="Times New Roman"/>
                <w:color w:val="auto"/>
                <w:lang w:bidi="ar"/>
              </w:rPr>
              <w:t>二氯苯</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乙苯</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苯乙烯</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甲苯</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间二甲苯</w:t>
            </w:r>
            <w:r>
              <w:rPr>
                <w:color w:val="auto"/>
                <w:kern w:val="0"/>
                <w:sz w:val="21"/>
                <w:szCs w:val="21"/>
                <w:lang w:bidi="ar"/>
              </w:rPr>
              <w:t>+</w:t>
            </w:r>
            <w:r>
              <w:rPr>
                <w:rStyle w:val="61"/>
                <w:rFonts w:hint="default" w:ascii="Times New Roman" w:hAnsi="Times New Roman" w:cs="Times New Roman"/>
                <w:color w:val="auto"/>
                <w:lang w:bidi="ar"/>
              </w:rPr>
              <w:t>对二甲苯</w:t>
            </w:r>
          </w:p>
        </w:tc>
        <w:tc>
          <w:tcPr>
            <w:tcW w:w="1031"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邻二甲苯</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2"/>
                <w:color w:val="auto"/>
                <w:sz w:val="21"/>
                <w:szCs w:val="21"/>
                <w:lang w:bidi="ar"/>
              </w:rPr>
              <w:t>μ</w:t>
            </w:r>
            <w:r>
              <w:rPr>
                <w:color w:val="auto"/>
                <w:kern w:val="0"/>
                <w:sz w:val="21"/>
                <w:szCs w:val="21"/>
                <w:lang w:bidi="ar"/>
              </w:rPr>
              <w:t>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硝基苯</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苯胺</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2-</w:t>
            </w:r>
            <w:r>
              <w:rPr>
                <w:rStyle w:val="61"/>
                <w:rFonts w:hint="default" w:ascii="Times New Roman" w:hAnsi="Times New Roman" w:cs="Times New Roman"/>
                <w:color w:val="auto"/>
                <w:lang w:bidi="ar"/>
              </w:rPr>
              <w:t>氯酚</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苯并</w:t>
            </w:r>
            <w:r>
              <w:rPr>
                <w:color w:val="auto"/>
                <w:kern w:val="0"/>
                <w:sz w:val="21"/>
                <w:szCs w:val="21"/>
                <w:lang w:bidi="ar"/>
              </w:rPr>
              <w:t>[a]</w:t>
            </w:r>
            <w:r>
              <w:rPr>
                <w:rStyle w:val="61"/>
                <w:rFonts w:hint="default" w:ascii="Times New Roman" w:hAnsi="Times New Roman" w:cs="Times New Roman"/>
                <w:color w:val="auto"/>
                <w:lang w:bidi="ar"/>
              </w:rPr>
              <w:t>蒽</w:t>
            </w:r>
          </w:p>
        </w:tc>
        <w:tc>
          <w:tcPr>
            <w:tcW w:w="1031"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mg/kg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苯并</w:t>
            </w:r>
            <w:r>
              <w:rPr>
                <w:color w:val="auto"/>
                <w:kern w:val="0"/>
                <w:sz w:val="21"/>
                <w:szCs w:val="21"/>
                <w:lang w:bidi="ar"/>
              </w:rPr>
              <w:t>[a]</w:t>
            </w:r>
            <w:r>
              <w:rPr>
                <w:rStyle w:val="61"/>
                <w:rFonts w:hint="default" w:ascii="Times New Roman" w:hAnsi="Times New Roman" w:cs="Times New Roman"/>
                <w:color w:val="auto"/>
                <w:lang w:bidi="ar"/>
              </w:rPr>
              <w:t>芘</w:t>
            </w:r>
          </w:p>
        </w:tc>
        <w:tc>
          <w:tcPr>
            <w:tcW w:w="1031"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mg/kg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苯并</w:t>
            </w:r>
            <w:r>
              <w:rPr>
                <w:color w:val="auto"/>
                <w:kern w:val="0"/>
                <w:sz w:val="21"/>
                <w:szCs w:val="21"/>
                <w:lang w:bidi="ar"/>
              </w:rPr>
              <w:t>[b]</w:t>
            </w:r>
            <w:r>
              <w:rPr>
                <w:rStyle w:val="61"/>
                <w:rFonts w:hint="default" w:ascii="Times New Roman" w:hAnsi="Times New Roman" w:cs="Times New Roman"/>
                <w:color w:val="auto"/>
                <w:lang w:bidi="ar"/>
              </w:rPr>
              <w:t>荧蒽</w:t>
            </w:r>
          </w:p>
        </w:tc>
        <w:tc>
          <w:tcPr>
            <w:tcW w:w="1031"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mg/kg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苯并</w:t>
            </w:r>
            <w:r>
              <w:rPr>
                <w:color w:val="auto"/>
                <w:kern w:val="0"/>
                <w:sz w:val="21"/>
                <w:szCs w:val="21"/>
                <w:lang w:bidi="ar"/>
              </w:rPr>
              <w:t>[k]</w:t>
            </w:r>
            <w:r>
              <w:rPr>
                <w:rStyle w:val="61"/>
                <w:rFonts w:hint="default" w:ascii="Times New Roman" w:hAnsi="Times New Roman" w:cs="Times New Roman"/>
                <w:color w:val="auto"/>
                <w:lang w:bidi="ar"/>
              </w:rPr>
              <w:t>荧蒽</w:t>
            </w:r>
          </w:p>
        </w:tc>
        <w:tc>
          <w:tcPr>
            <w:tcW w:w="1031"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mg/kg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䓛</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color w:val="auto"/>
                <w:kern w:val="0"/>
                <w:sz w:val="21"/>
                <w:szCs w:val="21"/>
                <w:lang w:bidi="ar"/>
              </w:rPr>
            </w:pPr>
            <w:r>
              <w:rPr>
                <w:rStyle w:val="61"/>
                <w:rFonts w:hint="default" w:ascii="Times New Roman" w:hAnsi="Times New Roman" w:cs="Times New Roman"/>
                <w:color w:val="auto"/>
                <w:lang w:bidi="ar"/>
              </w:rPr>
              <w:t>二苯并</w:t>
            </w:r>
            <w:r>
              <w:rPr>
                <w:color w:val="auto"/>
                <w:kern w:val="0"/>
                <w:sz w:val="21"/>
                <w:szCs w:val="21"/>
                <w:lang w:bidi="ar"/>
              </w:rPr>
              <w:t>[a,h]</w:t>
            </w:r>
            <w:r>
              <w:rPr>
                <w:rStyle w:val="61"/>
                <w:rFonts w:hint="default" w:ascii="Times New Roman" w:hAnsi="Times New Roman" w:cs="Times New Roman"/>
                <w:color w:val="auto"/>
                <w:lang w:bidi="ar"/>
              </w:rPr>
              <w:t>蒽</w:t>
            </w:r>
          </w:p>
        </w:tc>
        <w:tc>
          <w:tcPr>
            <w:tcW w:w="1031"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mg/kg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rStyle w:val="61"/>
                <w:rFonts w:hint="default" w:ascii="Times New Roman" w:hAnsi="Times New Roman" w:cs="Times New Roman"/>
                <w:color w:val="auto"/>
                <w:lang w:bidi="ar"/>
              </w:rPr>
              <w:t>茚并</w:t>
            </w:r>
            <w:r>
              <w:rPr>
                <w:color w:val="auto"/>
                <w:kern w:val="0"/>
                <w:sz w:val="21"/>
                <w:szCs w:val="21"/>
                <w:lang w:bidi="ar"/>
              </w:rPr>
              <w:t>[1,2,3-cd]</w:t>
            </w:r>
            <w:r>
              <w:rPr>
                <w:rStyle w:val="61"/>
                <w:rFonts w:hint="default" w:ascii="Times New Roman" w:hAnsi="Times New Roman" w:cs="Times New Roman"/>
                <w:color w:val="auto"/>
                <w:lang w:bidi="ar"/>
              </w:rPr>
              <w:t>芘</w:t>
            </w:r>
          </w:p>
        </w:tc>
        <w:tc>
          <w:tcPr>
            <w:tcW w:w="1031"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mg/kg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萘</w:t>
            </w:r>
          </w:p>
        </w:tc>
        <w:tc>
          <w:tcPr>
            <w:tcW w:w="1031"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1237"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1"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c>
          <w:tcPr>
            <w:tcW w:w="1476" w:type="dxa"/>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513"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rStyle w:val="61"/>
                <w:rFonts w:hint="default" w:ascii="Times New Roman" w:hAnsi="Times New Roman" w:cs="Times New Roman"/>
                <w:color w:val="auto"/>
                <w:lang w:bidi="ar"/>
              </w:rPr>
              <w:t>石油烃</w:t>
            </w:r>
            <w:r>
              <w:rPr>
                <w:color w:val="auto"/>
                <w:kern w:val="0"/>
                <w:sz w:val="21"/>
                <w:szCs w:val="21"/>
                <w:lang w:bidi="ar"/>
              </w:rPr>
              <w:t>(C</w:t>
            </w:r>
            <w:r>
              <w:rPr>
                <w:color w:val="auto"/>
                <w:kern w:val="0"/>
                <w:sz w:val="21"/>
                <w:szCs w:val="21"/>
                <w:vertAlign w:val="subscript"/>
                <w:lang w:bidi="ar"/>
              </w:rPr>
              <w:t>10</w:t>
            </w:r>
            <w:r>
              <w:rPr>
                <w:color w:val="auto"/>
                <w:kern w:val="0"/>
                <w:sz w:val="21"/>
                <w:szCs w:val="21"/>
                <w:lang w:bidi="ar"/>
              </w:rPr>
              <w:t>-C</w:t>
            </w:r>
            <w:r>
              <w:rPr>
                <w:color w:val="auto"/>
                <w:kern w:val="0"/>
                <w:sz w:val="21"/>
                <w:szCs w:val="21"/>
                <w:vertAlign w:val="subscript"/>
                <w:lang w:bidi="ar"/>
              </w:rPr>
              <w:t>40</w:t>
            </w:r>
            <w:r>
              <w:rPr>
                <w:color w:val="auto"/>
                <w:kern w:val="0"/>
                <w:sz w:val="21"/>
                <w:szCs w:val="21"/>
                <w:lang w:bidi="ar"/>
              </w:rPr>
              <w:t>)</w:t>
            </w:r>
          </w:p>
        </w:tc>
        <w:tc>
          <w:tcPr>
            <w:tcW w:w="1031" w:type="pct"/>
            <w:vAlign w:val="center"/>
          </w:tcPr>
          <w:p>
            <w:pPr>
              <w:widowControl/>
              <w:snapToGrid w:val="0"/>
              <w:spacing w:line="312" w:lineRule="exact"/>
              <w:ind w:firstLine="0" w:firstLineChars="0"/>
              <w:jc w:val="center"/>
              <w:textAlignment w:val="center"/>
              <w:rPr>
                <w:rStyle w:val="61"/>
                <w:rFonts w:hint="default" w:ascii="Times New Roman" w:hAnsi="Times New Roman" w:cs="Times New Roman"/>
                <w:color w:val="auto"/>
                <w:lang w:bidi="ar"/>
              </w:rPr>
            </w:pPr>
            <w:r>
              <w:rPr>
                <w:color w:val="auto"/>
                <w:kern w:val="0"/>
                <w:sz w:val="21"/>
                <w:szCs w:val="21"/>
                <w:lang w:bidi="ar"/>
              </w:rPr>
              <w:t>mg/kg</w:t>
            </w:r>
          </w:p>
        </w:tc>
        <w:tc>
          <w:tcPr>
            <w:tcW w:w="726" w:type="pct"/>
            <w:vAlign w:val="center"/>
          </w:tcPr>
          <w:p>
            <w:pPr>
              <w:spacing w:line="240" w:lineRule="auto"/>
              <w:ind w:firstLine="0" w:firstLineChars="0"/>
              <w:jc w:val="center"/>
              <w:rPr>
                <w:color w:val="auto"/>
                <w:sz w:val="21"/>
                <w:szCs w:val="21"/>
              </w:rPr>
            </w:pPr>
            <w:r>
              <w:rPr>
                <w:rFonts w:hint="eastAsia"/>
                <w:color w:val="auto"/>
                <w:sz w:val="21"/>
                <w:szCs w:val="21"/>
              </w:rPr>
              <w:t>30</w:t>
            </w:r>
          </w:p>
        </w:tc>
        <w:tc>
          <w:tcPr>
            <w:tcW w:w="863" w:type="pct"/>
            <w:vAlign w:val="center"/>
          </w:tcPr>
          <w:p>
            <w:pPr>
              <w:spacing w:line="240" w:lineRule="auto"/>
              <w:ind w:firstLine="0" w:firstLineChars="0"/>
              <w:jc w:val="center"/>
              <w:rPr>
                <w:color w:val="auto"/>
                <w:sz w:val="21"/>
                <w:szCs w:val="21"/>
              </w:rPr>
            </w:pPr>
            <w:r>
              <w:rPr>
                <w:rFonts w:hint="eastAsia"/>
                <w:color w:val="auto"/>
                <w:sz w:val="21"/>
                <w:szCs w:val="21"/>
              </w:rPr>
              <w:t>30</w:t>
            </w:r>
          </w:p>
        </w:tc>
        <w:tc>
          <w:tcPr>
            <w:tcW w:w="865" w:type="pct"/>
            <w:vAlign w:val="center"/>
          </w:tcPr>
          <w:p>
            <w:pPr>
              <w:spacing w:line="240" w:lineRule="auto"/>
              <w:ind w:firstLine="0" w:firstLineChars="0"/>
              <w:jc w:val="center"/>
              <w:rPr>
                <w:color w:val="auto"/>
                <w:sz w:val="21"/>
                <w:szCs w:val="21"/>
              </w:rPr>
            </w:pPr>
            <w:r>
              <w:rPr>
                <w:rFonts w:hint="eastAsia"/>
                <w:color w:val="auto"/>
                <w:sz w:val="21"/>
                <w:szCs w:val="21"/>
              </w:rPr>
              <w:t>38</w:t>
            </w:r>
          </w:p>
        </w:tc>
      </w:tr>
    </w:tbl>
    <w:p>
      <w:pPr>
        <w:pStyle w:val="48"/>
        <w:spacing w:line="360" w:lineRule="auto"/>
        <w:rPr>
          <w:bCs/>
          <w:color w:val="auto"/>
        </w:rPr>
      </w:pPr>
      <w:r>
        <w:rPr>
          <w:bCs/>
          <w:color w:val="auto"/>
        </w:rPr>
        <w:t>续表</w:t>
      </w:r>
      <w:r>
        <w:rPr>
          <w:rFonts w:hint="eastAsia"/>
          <w:bCs/>
          <w:color w:val="auto"/>
        </w:rPr>
        <w:t>4.5-5</w:t>
      </w:r>
      <w:r>
        <w:rPr>
          <w:bCs/>
          <w:color w:val="auto"/>
        </w:rPr>
        <w:t xml:space="preserve">  土壤环境质量现状监测结果（</w:t>
      </w:r>
      <w:r>
        <w:rPr>
          <w:rFonts w:hint="eastAsia"/>
          <w:bCs/>
          <w:color w:val="auto"/>
        </w:rPr>
        <w:t>6</w:t>
      </w:r>
      <w:r>
        <w:rPr>
          <w:bCs/>
          <w:color w:val="auto"/>
        </w:rPr>
        <w:t>#）</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62"/>
        <w:gridCol w:w="1967"/>
        <w:gridCol w:w="38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720" w:type="pct"/>
            <w:vMerge w:val="restart"/>
            <w:vAlign w:val="center"/>
          </w:tcPr>
          <w:p>
            <w:pPr>
              <w:spacing w:line="240" w:lineRule="auto"/>
              <w:ind w:firstLine="0" w:firstLineChars="0"/>
              <w:jc w:val="center"/>
              <w:rPr>
                <w:b/>
                <w:bCs/>
                <w:color w:val="auto"/>
                <w:sz w:val="21"/>
                <w:szCs w:val="21"/>
              </w:rPr>
            </w:pPr>
            <w:r>
              <w:rPr>
                <w:b/>
                <w:bCs/>
                <w:color w:val="auto"/>
                <w:sz w:val="21"/>
                <w:szCs w:val="21"/>
              </w:rPr>
              <w:t>监测项目</w:t>
            </w:r>
          </w:p>
        </w:tc>
        <w:tc>
          <w:tcPr>
            <w:tcW w:w="1105" w:type="pct"/>
            <w:vMerge w:val="restart"/>
            <w:vAlign w:val="center"/>
          </w:tcPr>
          <w:p>
            <w:pPr>
              <w:spacing w:line="240" w:lineRule="auto"/>
              <w:ind w:firstLine="0" w:firstLineChars="0"/>
              <w:jc w:val="center"/>
              <w:rPr>
                <w:b/>
                <w:bCs/>
                <w:color w:val="auto"/>
                <w:sz w:val="21"/>
                <w:szCs w:val="21"/>
              </w:rPr>
            </w:pPr>
            <w:r>
              <w:rPr>
                <w:b/>
                <w:bCs/>
                <w:color w:val="auto"/>
                <w:sz w:val="21"/>
                <w:szCs w:val="21"/>
              </w:rPr>
              <w:t>单位</w:t>
            </w:r>
          </w:p>
        </w:tc>
        <w:tc>
          <w:tcPr>
            <w:tcW w:w="2174" w:type="pct"/>
            <w:vAlign w:val="center"/>
          </w:tcPr>
          <w:p>
            <w:pPr>
              <w:spacing w:line="240" w:lineRule="auto"/>
              <w:ind w:firstLine="0" w:firstLineChars="0"/>
              <w:jc w:val="center"/>
              <w:rPr>
                <w:b/>
                <w:bCs/>
                <w:color w:val="auto"/>
                <w:sz w:val="21"/>
                <w:szCs w:val="21"/>
              </w:rPr>
            </w:pPr>
            <w:r>
              <w:rPr>
                <w:b/>
                <w:bCs/>
                <w:color w:val="auto"/>
                <w:sz w:val="21"/>
                <w:szCs w:val="21"/>
              </w:rPr>
              <w:t>监测结果（mg/kg）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1720" w:type="pct"/>
            <w:vMerge w:val="continue"/>
            <w:vAlign w:val="center"/>
          </w:tcPr>
          <w:p>
            <w:pPr>
              <w:spacing w:line="240" w:lineRule="auto"/>
              <w:ind w:firstLine="0" w:firstLineChars="0"/>
              <w:jc w:val="center"/>
              <w:rPr>
                <w:color w:val="auto"/>
                <w:sz w:val="21"/>
                <w:szCs w:val="21"/>
              </w:rPr>
            </w:pPr>
          </w:p>
        </w:tc>
        <w:tc>
          <w:tcPr>
            <w:tcW w:w="1105" w:type="pct"/>
            <w:vMerge w:val="continue"/>
            <w:vAlign w:val="center"/>
          </w:tcPr>
          <w:p>
            <w:pPr>
              <w:spacing w:line="240" w:lineRule="auto"/>
              <w:ind w:firstLine="0" w:firstLineChars="0"/>
              <w:jc w:val="center"/>
              <w:rPr>
                <w:color w:val="auto"/>
                <w:sz w:val="21"/>
                <w:szCs w:val="21"/>
              </w:rPr>
            </w:pPr>
          </w:p>
        </w:tc>
        <w:tc>
          <w:tcPr>
            <w:tcW w:w="2174" w:type="pct"/>
            <w:vAlign w:val="center"/>
          </w:tcPr>
          <w:p>
            <w:pPr>
              <w:spacing w:line="240" w:lineRule="auto"/>
              <w:ind w:firstLine="0" w:firstLineChars="0"/>
              <w:jc w:val="center"/>
              <w:rPr>
                <w:b/>
                <w:bCs/>
                <w:color w:val="auto"/>
                <w:sz w:val="21"/>
                <w:szCs w:val="21"/>
              </w:rPr>
            </w:pPr>
            <w:r>
              <w:rPr>
                <w:rFonts w:hint="eastAsia"/>
                <w:b/>
                <w:bCs/>
                <w:color w:val="auto"/>
                <w:sz w:val="21"/>
                <w:szCs w:val="21"/>
              </w:rPr>
              <w:t>6</w:t>
            </w:r>
            <w:r>
              <w:rPr>
                <w:b/>
                <w:bCs/>
                <w:color w:val="auto"/>
                <w:sz w:val="21"/>
                <w:szCs w:val="21"/>
              </w:rPr>
              <w:t>#厂址西南空地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720" w:type="pct"/>
            <w:vMerge w:val="continue"/>
            <w:vAlign w:val="center"/>
          </w:tcPr>
          <w:p>
            <w:pPr>
              <w:spacing w:line="240" w:lineRule="auto"/>
              <w:ind w:firstLine="0" w:firstLineChars="0"/>
              <w:jc w:val="center"/>
              <w:rPr>
                <w:color w:val="auto"/>
                <w:sz w:val="21"/>
                <w:szCs w:val="21"/>
              </w:rPr>
            </w:pPr>
          </w:p>
        </w:tc>
        <w:tc>
          <w:tcPr>
            <w:tcW w:w="1105" w:type="pct"/>
            <w:vMerge w:val="continue"/>
            <w:vAlign w:val="center"/>
          </w:tcPr>
          <w:p>
            <w:pPr>
              <w:spacing w:line="240" w:lineRule="auto"/>
              <w:ind w:firstLine="0" w:firstLineChars="0"/>
              <w:jc w:val="center"/>
              <w:rPr>
                <w:color w:val="auto"/>
                <w:sz w:val="21"/>
                <w:szCs w:val="21"/>
              </w:rPr>
            </w:pPr>
          </w:p>
        </w:tc>
        <w:tc>
          <w:tcPr>
            <w:tcW w:w="2174" w:type="pct"/>
            <w:vAlign w:val="center"/>
          </w:tcPr>
          <w:p>
            <w:pPr>
              <w:spacing w:line="240" w:lineRule="auto"/>
              <w:ind w:firstLine="0" w:firstLineChars="0"/>
              <w:jc w:val="center"/>
              <w:rPr>
                <w:color w:val="auto"/>
                <w:sz w:val="21"/>
                <w:szCs w:val="21"/>
              </w:rPr>
            </w:pPr>
            <w:r>
              <w:rPr>
                <w:color w:val="auto"/>
                <w:sz w:val="21"/>
                <w:szCs w:val="21"/>
              </w:rPr>
              <w:t>0-0.2m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8" w:hRule="exact"/>
          <w:jc w:val="center"/>
        </w:trPr>
        <w:tc>
          <w:tcPr>
            <w:tcW w:w="1720" w:type="pct"/>
            <w:vAlign w:val="center"/>
          </w:tcPr>
          <w:p>
            <w:pPr>
              <w:spacing w:line="240" w:lineRule="auto"/>
              <w:ind w:firstLine="0" w:firstLineChars="0"/>
              <w:jc w:val="center"/>
              <w:rPr>
                <w:color w:val="auto"/>
                <w:sz w:val="21"/>
                <w:szCs w:val="21"/>
              </w:rPr>
            </w:pPr>
            <w:r>
              <w:rPr>
                <w:color w:val="auto"/>
                <w:sz w:val="21"/>
                <w:szCs w:val="21"/>
              </w:rPr>
              <w:t>pH值</w:t>
            </w:r>
          </w:p>
        </w:tc>
        <w:tc>
          <w:tcPr>
            <w:tcW w:w="1105" w:type="pct"/>
            <w:vAlign w:val="center"/>
          </w:tcPr>
          <w:p>
            <w:pPr>
              <w:spacing w:line="240" w:lineRule="auto"/>
              <w:ind w:firstLine="0" w:firstLineChars="0"/>
              <w:jc w:val="center"/>
              <w:rPr>
                <w:color w:val="auto"/>
                <w:sz w:val="21"/>
                <w:szCs w:val="21"/>
              </w:rPr>
            </w:pPr>
            <w:r>
              <w:rPr>
                <w:color w:val="auto"/>
                <w:sz w:val="21"/>
                <w:szCs w:val="21"/>
              </w:rPr>
              <w:t>无量纲</w:t>
            </w:r>
          </w:p>
        </w:tc>
        <w:tc>
          <w:tcPr>
            <w:tcW w:w="2174" w:type="pct"/>
            <w:vAlign w:val="center"/>
          </w:tcPr>
          <w:p>
            <w:pPr>
              <w:spacing w:line="240" w:lineRule="auto"/>
              <w:ind w:firstLine="0" w:firstLineChars="0"/>
              <w:jc w:val="center"/>
              <w:rPr>
                <w:color w:val="auto"/>
                <w:sz w:val="21"/>
                <w:szCs w:val="21"/>
              </w:rPr>
            </w:pPr>
            <w:r>
              <w:rPr>
                <w:rFonts w:hint="eastAsia"/>
                <w:color w:val="auto"/>
                <w:sz w:val="21"/>
                <w:szCs w:val="21"/>
              </w:rPr>
              <w:t>7.89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720"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汞</w:t>
            </w:r>
          </w:p>
        </w:tc>
        <w:tc>
          <w:tcPr>
            <w:tcW w:w="1105"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2174"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0.058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720"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砷</w:t>
            </w:r>
          </w:p>
        </w:tc>
        <w:tc>
          <w:tcPr>
            <w:tcW w:w="1105"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2174"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7.46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720"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镉</w:t>
            </w:r>
          </w:p>
        </w:tc>
        <w:tc>
          <w:tcPr>
            <w:tcW w:w="1105"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2174"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720"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铅</w:t>
            </w:r>
          </w:p>
        </w:tc>
        <w:tc>
          <w:tcPr>
            <w:tcW w:w="1105"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2174"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720"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铬</w:t>
            </w:r>
          </w:p>
        </w:tc>
        <w:tc>
          <w:tcPr>
            <w:tcW w:w="1105"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2174"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29.3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720"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铜</w:t>
            </w:r>
          </w:p>
        </w:tc>
        <w:tc>
          <w:tcPr>
            <w:tcW w:w="1105"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2174"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720"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镍</w:t>
            </w:r>
          </w:p>
        </w:tc>
        <w:tc>
          <w:tcPr>
            <w:tcW w:w="1105"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2174"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exact"/>
          <w:jc w:val="center"/>
        </w:trPr>
        <w:tc>
          <w:tcPr>
            <w:tcW w:w="1720"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锌</w:t>
            </w:r>
          </w:p>
        </w:tc>
        <w:tc>
          <w:tcPr>
            <w:tcW w:w="1105" w:type="pct"/>
            <w:vAlign w:val="center"/>
          </w:tcPr>
          <w:p>
            <w:pPr>
              <w:widowControl/>
              <w:snapToGrid w:val="0"/>
              <w:spacing w:line="312" w:lineRule="exact"/>
              <w:ind w:firstLine="0" w:firstLineChars="0"/>
              <w:jc w:val="center"/>
              <w:textAlignment w:val="center"/>
              <w:rPr>
                <w:color w:val="auto"/>
                <w:kern w:val="0"/>
                <w:sz w:val="21"/>
                <w:szCs w:val="21"/>
                <w:lang w:bidi="ar"/>
              </w:rPr>
            </w:pPr>
            <w:r>
              <w:rPr>
                <w:color w:val="auto"/>
                <w:kern w:val="0"/>
                <w:sz w:val="21"/>
                <w:szCs w:val="21"/>
                <w:lang w:bidi="ar"/>
              </w:rPr>
              <w:t>mg/kg</w:t>
            </w:r>
          </w:p>
        </w:tc>
        <w:tc>
          <w:tcPr>
            <w:tcW w:w="2174"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95" w:hRule="exact"/>
          <w:jc w:val="center"/>
        </w:trPr>
        <w:tc>
          <w:tcPr>
            <w:tcW w:w="5000" w:type="pct"/>
            <w:gridSpan w:val="3"/>
            <w:vAlign w:val="center"/>
          </w:tcPr>
          <w:p>
            <w:pPr>
              <w:snapToGrid w:val="0"/>
              <w:spacing w:line="312" w:lineRule="exact"/>
              <w:ind w:firstLine="0" w:firstLineChars="0"/>
              <w:jc w:val="left"/>
              <w:rPr>
                <w:color w:val="auto"/>
                <w:sz w:val="21"/>
                <w:szCs w:val="21"/>
              </w:rPr>
            </w:pPr>
            <w:r>
              <w:rPr>
                <w:color w:val="auto"/>
                <w:sz w:val="21"/>
                <w:szCs w:val="21"/>
              </w:rPr>
              <w:t>注：1.ND为未检出，表示检测结果小于方法检出限；</w:t>
            </w:r>
          </w:p>
          <w:p>
            <w:pPr>
              <w:widowControl/>
              <w:snapToGrid w:val="0"/>
              <w:spacing w:line="312" w:lineRule="exact"/>
              <w:ind w:firstLine="0" w:firstLineChars="0"/>
              <w:jc w:val="left"/>
              <w:textAlignment w:val="center"/>
              <w:rPr>
                <w:rFonts w:eastAsia="华文仿宋"/>
                <w:color w:val="auto"/>
                <w:kern w:val="0"/>
                <w:sz w:val="21"/>
                <w:szCs w:val="21"/>
                <w:lang w:bidi="ar"/>
              </w:rPr>
            </w:pPr>
            <w:r>
              <w:rPr>
                <w:color w:val="auto"/>
                <w:sz w:val="21"/>
                <w:szCs w:val="21"/>
              </w:rPr>
              <w:t>2.标注“</w:t>
            </w:r>
            <w:r>
              <w:rPr>
                <w:rFonts w:hint="eastAsia"/>
                <w:color w:val="auto"/>
                <w:sz w:val="21"/>
                <w:szCs w:val="21"/>
                <w:lang w:eastAsia="zh-CN"/>
              </w:rPr>
              <w:t>×</w:t>
            </w:r>
            <w:r>
              <w:rPr>
                <w:color w:val="auto"/>
                <w:sz w:val="21"/>
                <w:szCs w:val="21"/>
              </w:rPr>
              <w:t>”的为分包项目，分包单位为山东嘉誉测试科技有限公司,资质认定编号：211512111129。</w:t>
            </w:r>
          </w:p>
        </w:tc>
      </w:tr>
    </w:tbl>
    <w:p>
      <w:pPr>
        <w:pStyle w:val="9"/>
        <w:spacing w:before="0" w:beforeLines="0" w:after="0" w:afterLines="0" w:line="360" w:lineRule="auto"/>
        <w:rPr>
          <w:rFonts w:hint="eastAsia"/>
          <w:color w:val="auto"/>
          <w:lang w:val="en-US" w:eastAsia="zh-CN"/>
        </w:rPr>
      </w:pPr>
      <w:r>
        <w:rPr>
          <w:rFonts w:hint="eastAsia"/>
          <w:color w:val="auto"/>
          <w:lang w:val="en-US" w:eastAsia="zh-CN"/>
        </w:rPr>
        <w:t>补充监测结果如下：</w:t>
      </w:r>
    </w:p>
    <w:tbl>
      <w:tblPr>
        <w:tblStyle w:val="22"/>
        <w:tblW w:w="502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1"/>
        <w:gridCol w:w="993"/>
        <w:gridCol w:w="747"/>
        <w:gridCol w:w="1065"/>
        <w:gridCol w:w="907"/>
        <w:gridCol w:w="721"/>
        <w:gridCol w:w="1093"/>
        <w:gridCol w:w="907"/>
        <w:gridCol w:w="907"/>
        <w:gridCol w:w="9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1319" w:type="pct"/>
            <w:gridSpan w:val="3"/>
            <w:vMerge w:val="restar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检测类别：</w:t>
            </w:r>
            <w:r>
              <w:rPr>
                <w:rFonts w:hint="default" w:ascii="Times New Roman" w:hAnsi="Times New Roman" w:eastAsia="宋体" w:cs="Times New Roman"/>
                <w:color w:val="auto"/>
                <w:sz w:val="21"/>
                <w:szCs w:val="21"/>
                <w:lang w:eastAsia="zh-CN"/>
              </w:rPr>
              <w:t>环评补充监测</w:t>
            </w:r>
          </w:p>
        </w:tc>
        <w:tc>
          <w:tcPr>
            <w:tcW w:w="595"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检测点位</w:t>
            </w:r>
          </w:p>
        </w:tc>
        <w:tc>
          <w:tcPr>
            <w:tcW w:w="3085" w:type="pct"/>
            <w:gridSpan w:val="6"/>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w:t>
            </w:r>
            <w:r>
              <w:rPr>
                <w:rFonts w:hint="default" w:ascii="Times New Roman" w:hAnsi="Times New Roman" w:eastAsia="宋体" w:cs="Times New Roman"/>
                <w:color w:val="auto"/>
                <w:sz w:val="21"/>
                <w:szCs w:val="21"/>
                <w:lang w:val="en-US" w:eastAsia="zh-CN"/>
              </w:rPr>
              <w:t># 解营村（表层样0-0.2m）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19" w:type="pct"/>
            <w:gridSpan w:val="3"/>
            <w:vMerge w:val="continue"/>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sz w:val="21"/>
                <w:szCs w:val="21"/>
              </w:rPr>
            </w:pPr>
          </w:p>
        </w:tc>
        <w:tc>
          <w:tcPr>
            <w:tcW w:w="595"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采样日期</w:t>
            </w:r>
          </w:p>
        </w:tc>
        <w:tc>
          <w:tcPr>
            <w:tcW w:w="3085" w:type="pct"/>
            <w:gridSpan w:val="6"/>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2022.09.20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19" w:type="pct"/>
            <w:gridSpan w:val="3"/>
            <w:vMerge w:val="continue"/>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left"/>
              <w:rPr>
                <w:rFonts w:hint="default" w:ascii="Times New Roman" w:hAnsi="Times New Roman" w:eastAsia="宋体" w:cs="Times New Roman"/>
                <w:color w:val="auto"/>
                <w:sz w:val="21"/>
                <w:szCs w:val="21"/>
                <w:lang w:val="en-US" w:eastAsia="zh-CN"/>
              </w:rPr>
            </w:pPr>
          </w:p>
        </w:tc>
        <w:tc>
          <w:tcPr>
            <w:tcW w:w="595"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地层描述</w:t>
            </w:r>
          </w:p>
        </w:tc>
        <w:tc>
          <w:tcPr>
            <w:tcW w:w="3085" w:type="pct"/>
            <w:gridSpan w:val="6"/>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left"/>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0-0.2m为壤土，松散，潮，棕褐色，无味，无油，无污，少量根系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554"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检测项目</w:t>
            </w:r>
          </w:p>
        </w:tc>
        <w:tc>
          <w:tcPr>
            <w:tcW w:w="417"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单位</w:t>
            </w:r>
          </w:p>
        </w:tc>
        <w:tc>
          <w:tcPr>
            <w:tcW w:w="595"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检出限</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测定值</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序号</w:t>
            </w:r>
          </w:p>
        </w:tc>
        <w:tc>
          <w:tcPr>
            <w:tcW w:w="610"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检测项目</w:t>
            </w:r>
          </w:p>
        </w:tc>
        <w:tc>
          <w:tcPr>
            <w:tcW w:w="50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单位</w:t>
            </w:r>
          </w:p>
        </w:tc>
        <w:tc>
          <w:tcPr>
            <w:tcW w:w="50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检出限</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测定值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汞</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mg/kg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0.002</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0.064</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25</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氯乙烯</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1.0</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砷</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mg/kg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0.01</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7.62</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26</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苯</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1.9</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3</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镉</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mg/kg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0.07</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0.18</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27</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氯苯</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1.2</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铜</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mg/kg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19.2</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28</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1,2-二氯苯</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1.5</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5</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铅</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mg/kg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0.8</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20.4</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29</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1,4-二氯苯</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1.5</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6</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镍</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mg/kg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0.4</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20.2</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30</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乙苯</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1.2</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7</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六价铬</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mg/kg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0.5</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31</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苯乙烯</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1.1</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8</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四氯化碳</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1.3</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32</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甲苯</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1.3</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氯仿</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1.1</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33</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间二甲苯+对二甲苯</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1.2</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氯甲烷</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1.0</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34</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邻二甲苯</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1.2</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11</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1,1-二氯乙烷</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1.2</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35</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硝基苯</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mg/kg</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0.09</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12</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1,2-二氯乙烷</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1.3</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36</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苯胺</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mg/kg</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0.006</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13</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1,1-二氯乙烯</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1.0</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37</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2-氯酚</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mg/kg</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0.06</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14</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顺-1,2-二氯乙烯</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1.3</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38</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苯并[a]蒽</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mg/kg</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15</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反-1,2-二氯乙烯</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1.4</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39</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苯并[a]芘</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mg/kg</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16</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二氯甲烷</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1.5</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40</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苯并[b]荧蒽</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mg/kg</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0.2</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17</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1,2-二氯丙烷</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1.1</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41</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苯并[k]荧蒽</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mg/kg</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18</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1,1,1,2-四氯乙烷</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1.2</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42</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䓛</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mg/kg</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19</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1,1,2,2-四氯乙烷</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1.2</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43</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二苯并[a,h]蒽</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mg/kg</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四氯乙烯</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1.4</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16.2</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44</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茚并[1,2,3-cd]芘</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mg/kg</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21</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1,1,1-三氯乙烷</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1.3</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45</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萘</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mg/kg</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0.09</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22</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1,1,2-三氯乙烷</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1.2</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46</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pH</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无量纲</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8.03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23</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三氯乙烯</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1.2</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c>
          <w:tcPr>
            <w:tcW w:w="402"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47</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石油烃C</w:t>
            </w:r>
            <w:r>
              <w:rPr>
                <w:rFonts w:hint="default" w:ascii="Times New Roman" w:hAnsi="Times New Roman" w:eastAsia="宋体" w:cs="Times New Roman"/>
                <w:i w:val="0"/>
                <w:iCs w:val="0"/>
                <w:color w:val="auto"/>
                <w:kern w:val="0"/>
                <w:sz w:val="21"/>
                <w:szCs w:val="21"/>
                <w:u w:val="none"/>
                <w:vertAlign w:val="subscript"/>
                <w:lang w:val="en-US" w:eastAsia="zh-CN" w:bidi="ar"/>
              </w:rPr>
              <w:t>10</w:t>
            </w:r>
            <w:r>
              <w:rPr>
                <w:rFonts w:hint="default" w:ascii="Times New Roman" w:hAnsi="Times New Roman" w:eastAsia="宋体" w:cs="Times New Roman"/>
                <w:i w:val="0"/>
                <w:iCs w:val="0"/>
                <w:color w:val="auto"/>
                <w:kern w:val="0"/>
                <w:sz w:val="21"/>
                <w:szCs w:val="21"/>
                <w:u w:val="none"/>
                <w:lang w:val="en-US" w:eastAsia="zh-CN" w:bidi="ar"/>
              </w:rPr>
              <w:t>-C</w:t>
            </w:r>
            <w:r>
              <w:rPr>
                <w:rFonts w:hint="default" w:ascii="Times New Roman" w:hAnsi="Times New Roman" w:eastAsia="宋体" w:cs="Times New Roman"/>
                <w:i w:val="0"/>
                <w:iCs w:val="0"/>
                <w:color w:val="auto"/>
                <w:kern w:val="0"/>
                <w:sz w:val="21"/>
                <w:szCs w:val="21"/>
                <w:u w:val="none"/>
                <w:vertAlign w:val="subscript"/>
                <w:lang w:val="en-US" w:eastAsia="zh-CN" w:bidi="ar"/>
              </w:rPr>
              <w:t>40</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mg/kg</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6" w:type="pct"/>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w:t>
            </w:r>
          </w:p>
        </w:tc>
        <w:tc>
          <w:tcPr>
            <w:tcW w:w="55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1,2,3-三氯丙烷</w:t>
            </w:r>
          </w:p>
        </w:tc>
        <w:tc>
          <w:tcPr>
            <w:tcW w:w="41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μg/kg</w:t>
            </w:r>
          </w:p>
        </w:tc>
        <w:tc>
          <w:tcPr>
            <w:tcW w:w="595"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1.2</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ND</w:t>
            </w:r>
          </w:p>
        </w:tc>
        <w:tc>
          <w:tcPr>
            <w:tcW w:w="402"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61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0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50"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10"/>
            <w:noWrap w:val="0"/>
            <w:vAlign w:val="center"/>
          </w:tcPr>
          <w:p>
            <w:pPr>
              <w:keepNext w:val="0"/>
              <w:keepLines w:val="0"/>
              <w:pageBreakBefore w:val="0"/>
              <w:kinsoku/>
              <w:wordWrap/>
              <w:overflowPunct/>
              <w:topLinePunct w:val="0"/>
              <w:autoSpaceDE/>
              <w:autoSpaceDN/>
              <w:bidi w:val="0"/>
              <w:adjustRightInd/>
              <w:snapToGrid w:val="0"/>
              <w:spacing w:line="312" w:lineRule="atLeast"/>
              <w:ind w:left="0" w:leftChars="0" w:right="0" w:rightChars="0" w:firstLine="0" w:firstLineChars="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注：</w:t>
            </w:r>
            <w:r>
              <w:rPr>
                <w:rFonts w:hint="default" w:ascii="Times New Roman" w:hAnsi="Times New Roman" w:eastAsia="宋体" w:cs="Times New Roman"/>
                <w:color w:val="auto"/>
                <w:sz w:val="21"/>
                <w:szCs w:val="21"/>
                <w:lang w:val="en-US" w:eastAsia="zh-CN"/>
              </w:rPr>
              <w:t>1.ND为未检出，表示检测结果小于方法检出限。</w:t>
            </w:r>
          </w:p>
        </w:tc>
      </w:tr>
    </w:tbl>
    <w:p>
      <w:pPr>
        <w:pStyle w:val="9"/>
        <w:spacing w:before="0" w:beforeLines="0" w:after="0" w:afterLines="0" w:line="360" w:lineRule="auto"/>
        <w:rPr>
          <w:color w:val="auto"/>
        </w:rPr>
      </w:pPr>
      <w:r>
        <w:rPr>
          <w:rFonts w:hint="eastAsia"/>
          <w:color w:val="auto"/>
        </w:rPr>
        <w:t>4</w:t>
      </w:r>
      <w:r>
        <w:rPr>
          <w:color w:val="auto"/>
        </w:rPr>
        <w:t>.5.3 现状评价</w:t>
      </w:r>
    </w:p>
    <w:p>
      <w:pPr>
        <w:pStyle w:val="10"/>
        <w:spacing w:line="360" w:lineRule="auto"/>
        <w:rPr>
          <w:color w:val="auto"/>
        </w:rPr>
      </w:pPr>
      <w:r>
        <w:rPr>
          <w:rFonts w:hint="eastAsia"/>
          <w:color w:val="auto"/>
        </w:rPr>
        <w:t>4</w:t>
      </w:r>
      <w:r>
        <w:rPr>
          <w:color w:val="auto"/>
        </w:rPr>
        <w:t>.5.3.1 评价标准</w:t>
      </w:r>
    </w:p>
    <w:p>
      <w:pPr>
        <w:ind w:firstLine="480"/>
        <w:rPr>
          <w:color w:val="auto"/>
          <w:kern w:val="0"/>
        </w:rPr>
      </w:pPr>
      <w:r>
        <w:rPr>
          <w:color w:val="auto"/>
          <w:kern w:val="0"/>
        </w:rPr>
        <w:t>建设用地土壤环境质量现状评价采用《土壤环境质量 建设用地土壤污染风险管控标准》（GB36600-2018）中筛选值（第二类用地）标准，具体数值见表</w:t>
      </w:r>
      <w:r>
        <w:rPr>
          <w:rFonts w:hint="eastAsia"/>
          <w:color w:val="auto"/>
          <w:kern w:val="0"/>
        </w:rPr>
        <w:t>4</w:t>
      </w:r>
      <w:r>
        <w:rPr>
          <w:color w:val="auto"/>
          <w:kern w:val="0"/>
        </w:rPr>
        <w:t>.5-6；农用地土壤环境执行《土壤环境质量农用地土壤污染风险管控标准》（试行）（GB15618-2018）表1农用地土壤污染风险筛选值，具体数值见表</w:t>
      </w:r>
      <w:r>
        <w:rPr>
          <w:rFonts w:hint="eastAsia"/>
          <w:color w:val="auto"/>
          <w:kern w:val="0"/>
        </w:rPr>
        <w:t>4</w:t>
      </w:r>
      <w:r>
        <w:rPr>
          <w:color w:val="auto"/>
          <w:kern w:val="0"/>
        </w:rPr>
        <w:t>.5-7。</w:t>
      </w:r>
    </w:p>
    <w:p>
      <w:pPr>
        <w:pStyle w:val="48"/>
        <w:spacing w:line="360" w:lineRule="auto"/>
        <w:rPr>
          <w:bCs/>
          <w:color w:val="auto"/>
        </w:rPr>
      </w:pPr>
      <w:r>
        <w:rPr>
          <w:bCs/>
          <w:color w:val="auto"/>
        </w:rPr>
        <w:t>表</w:t>
      </w:r>
      <w:r>
        <w:rPr>
          <w:rFonts w:hint="eastAsia"/>
          <w:bCs/>
          <w:color w:val="auto"/>
        </w:rPr>
        <w:t>4</w:t>
      </w:r>
      <w:r>
        <w:rPr>
          <w:bCs/>
          <w:color w:val="auto"/>
        </w:rPr>
        <w:t>.5-6 《土壤环境质量 建设用地土壤污染风险管控标准》单位：mg/kg</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8"/>
        <w:gridCol w:w="2279"/>
        <w:gridCol w:w="1781"/>
        <w:gridCol w:w="1782"/>
        <w:gridCol w:w="17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b/>
                <w:color w:val="auto"/>
              </w:rPr>
            </w:pPr>
            <w:r>
              <w:rPr>
                <w:b/>
                <w:color w:val="auto"/>
              </w:rPr>
              <w:t>序号</w:t>
            </w:r>
          </w:p>
        </w:tc>
        <w:tc>
          <w:tcPr>
            <w:tcW w:w="1280" w:type="pct"/>
            <w:vAlign w:val="center"/>
          </w:tcPr>
          <w:p>
            <w:pPr>
              <w:pStyle w:val="47"/>
              <w:spacing w:line="240" w:lineRule="auto"/>
              <w:rPr>
                <w:b/>
                <w:color w:val="auto"/>
              </w:rPr>
            </w:pPr>
            <w:r>
              <w:rPr>
                <w:b/>
                <w:color w:val="auto"/>
              </w:rPr>
              <w:t>污染物项目</w:t>
            </w:r>
          </w:p>
        </w:tc>
        <w:tc>
          <w:tcPr>
            <w:tcW w:w="1000" w:type="pct"/>
            <w:vAlign w:val="center"/>
          </w:tcPr>
          <w:p>
            <w:pPr>
              <w:pStyle w:val="47"/>
              <w:spacing w:line="240" w:lineRule="auto"/>
              <w:rPr>
                <w:b/>
                <w:color w:val="auto"/>
              </w:rPr>
            </w:pPr>
            <w:r>
              <w:rPr>
                <w:b/>
                <w:color w:val="auto"/>
              </w:rPr>
              <w:t>筛选值（第二类用地）</w:t>
            </w:r>
          </w:p>
        </w:tc>
        <w:tc>
          <w:tcPr>
            <w:tcW w:w="1000" w:type="pct"/>
            <w:vAlign w:val="center"/>
          </w:tcPr>
          <w:p>
            <w:pPr>
              <w:pStyle w:val="47"/>
              <w:spacing w:line="240" w:lineRule="auto"/>
              <w:rPr>
                <w:b/>
                <w:color w:val="auto"/>
              </w:rPr>
            </w:pPr>
            <w:r>
              <w:rPr>
                <w:b/>
                <w:color w:val="auto"/>
              </w:rPr>
              <w:t>筛选值（第</w:t>
            </w:r>
            <w:r>
              <w:rPr>
                <w:rFonts w:hint="eastAsia"/>
                <w:b/>
                <w:color w:val="auto"/>
                <w:lang w:val="en-US" w:eastAsia="zh-CN"/>
              </w:rPr>
              <w:t>一</w:t>
            </w:r>
            <w:r>
              <w:rPr>
                <w:b/>
                <w:color w:val="auto"/>
              </w:rPr>
              <w:t>类用地）</w:t>
            </w:r>
          </w:p>
        </w:tc>
        <w:tc>
          <w:tcPr>
            <w:tcW w:w="1000" w:type="pct"/>
            <w:vAlign w:val="center"/>
          </w:tcPr>
          <w:p>
            <w:pPr>
              <w:pStyle w:val="47"/>
              <w:spacing w:line="240" w:lineRule="auto"/>
              <w:rPr>
                <w:b/>
                <w:color w:val="auto"/>
              </w:rPr>
            </w:pPr>
            <w:r>
              <w:rPr>
                <w:b/>
                <w:color w:val="auto"/>
              </w:rPr>
              <w:t>背景值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999" w:type="pct"/>
            <w:gridSpan w:val="4"/>
            <w:vAlign w:val="center"/>
          </w:tcPr>
          <w:p>
            <w:pPr>
              <w:pStyle w:val="47"/>
              <w:spacing w:line="240" w:lineRule="auto"/>
              <w:rPr>
                <w:color w:val="auto"/>
              </w:rPr>
            </w:pPr>
            <w:r>
              <w:rPr>
                <w:color w:val="auto"/>
              </w:rPr>
              <w:t>重金属和无机物</w:t>
            </w:r>
          </w:p>
        </w:tc>
        <w:tc>
          <w:tcPr>
            <w:tcW w:w="1000" w:type="pct"/>
            <w:vAlign w:val="center"/>
          </w:tcPr>
          <w:p>
            <w:pPr>
              <w:pStyle w:val="47"/>
              <w:spacing w:line="240" w:lineRule="auto"/>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1</w:t>
            </w:r>
          </w:p>
        </w:tc>
        <w:tc>
          <w:tcPr>
            <w:tcW w:w="1280" w:type="pct"/>
            <w:vAlign w:val="center"/>
          </w:tcPr>
          <w:p>
            <w:pPr>
              <w:pStyle w:val="47"/>
              <w:spacing w:line="240" w:lineRule="auto"/>
              <w:rPr>
                <w:color w:val="auto"/>
              </w:rPr>
            </w:pPr>
            <w:r>
              <w:rPr>
                <w:color w:val="auto"/>
              </w:rPr>
              <w:t>砷</w:t>
            </w:r>
          </w:p>
        </w:tc>
        <w:tc>
          <w:tcPr>
            <w:tcW w:w="1000" w:type="pct"/>
            <w:vAlign w:val="center"/>
          </w:tcPr>
          <w:p>
            <w:pPr>
              <w:pStyle w:val="47"/>
              <w:spacing w:line="240" w:lineRule="auto"/>
              <w:rPr>
                <w:color w:val="auto"/>
              </w:rPr>
            </w:pPr>
            <w:r>
              <w:rPr>
                <w:color w:val="auto"/>
              </w:rPr>
              <w:t>60</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20</w:t>
            </w:r>
          </w:p>
        </w:tc>
        <w:tc>
          <w:tcPr>
            <w:tcW w:w="1000" w:type="pct"/>
            <w:vAlign w:val="center"/>
          </w:tcPr>
          <w:p>
            <w:pPr>
              <w:pStyle w:val="47"/>
              <w:spacing w:line="240" w:lineRule="auto"/>
              <w:rPr>
                <w:color w:val="auto"/>
              </w:rPr>
            </w:pPr>
            <w:r>
              <w:rPr>
                <w:color w:val="auto"/>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2</w:t>
            </w:r>
          </w:p>
        </w:tc>
        <w:tc>
          <w:tcPr>
            <w:tcW w:w="1280" w:type="pct"/>
            <w:vAlign w:val="center"/>
          </w:tcPr>
          <w:p>
            <w:pPr>
              <w:pStyle w:val="47"/>
              <w:spacing w:line="240" w:lineRule="auto"/>
              <w:rPr>
                <w:color w:val="auto"/>
              </w:rPr>
            </w:pPr>
            <w:r>
              <w:rPr>
                <w:color w:val="auto"/>
              </w:rPr>
              <w:t>镉</w:t>
            </w:r>
          </w:p>
        </w:tc>
        <w:tc>
          <w:tcPr>
            <w:tcW w:w="1000" w:type="pct"/>
            <w:vAlign w:val="center"/>
          </w:tcPr>
          <w:p>
            <w:pPr>
              <w:pStyle w:val="47"/>
              <w:spacing w:line="240" w:lineRule="auto"/>
              <w:rPr>
                <w:color w:val="auto"/>
              </w:rPr>
            </w:pPr>
            <w:r>
              <w:rPr>
                <w:color w:val="auto"/>
              </w:rPr>
              <w:t>65</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20</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3</w:t>
            </w:r>
          </w:p>
        </w:tc>
        <w:tc>
          <w:tcPr>
            <w:tcW w:w="1280" w:type="pct"/>
            <w:vAlign w:val="center"/>
          </w:tcPr>
          <w:p>
            <w:pPr>
              <w:pStyle w:val="47"/>
              <w:spacing w:line="240" w:lineRule="auto"/>
              <w:rPr>
                <w:color w:val="auto"/>
              </w:rPr>
            </w:pPr>
            <w:r>
              <w:rPr>
                <w:color w:val="auto"/>
              </w:rPr>
              <w:t>铬（六价）</w:t>
            </w:r>
          </w:p>
        </w:tc>
        <w:tc>
          <w:tcPr>
            <w:tcW w:w="1000" w:type="pct"/>
            <w:vAlign w:val="center"/>
          </w:tcPr>
          <w:p>
            <w:pPr>
              <w:pStyle w:val="47"/>
              <w:spacing w:line="240" w:lineRule="auto"/>
              <w:rPr>
                <w:color w:val="auto"/>
              </w:rPr>
            </w:pPr>
            <w:r>
              <w:rPr>
                <w:color w:val="auto"/>
              </w:rPr>
              <w:t>5.7</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3.0</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4</w:t>
            </w:r>
          </w:p>
        </w:tc>
        <w:tc>
          <w:tcPr>
            <w:tcW w:w="1280" w:type="pct"/>
            <w:vAlign w:val="center"/>
          </w:tcPr>
          <w:p>
            <w:pPr>
              <w:pStyle w:val="47"/>
              <w:spacing w:line="240" w:lineRule="auto"/>
              <w:rPr>
                <w:color w:val="auto"/>
              </w:rPr>
            </w:pPr>
            <w:r>
              <w:rPr>
                <w:color w:val="auto"/>
              </w:rPr>
              <w:t>铜</w:t>
            </w:r>
          </w:p>
        </w:tc>
        <w:tc>
          <w:tcPr>
            <w:tcW w:w="1000" w:type="pct"/>
            <w:vAlign w:val="center"/>
          </w:tcPr>
          <w:p>
            <w:pPr>
              <w:pStyle w:val="47"/>
              <w:spacing w:line="240" w:lineRule="auto"/>
              <w:rPr>
                <w:color w:val="auto"/>
              </w:rPr>
            </w:pPr>
            <w:r>
              <w:rPr>
                <w:color w:val="auto"/>
              </w:rPr>
              <w:t>18000</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2000</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5</w:t>
            </w:r>
          </w:p>
        </w:tc>
        <w:tc>
          <w:tcPr>
            <w:tcW w:w="1280" w:type="pct"/>
            <w:vAlign w:val="center"/>
          </w:tcPr>
          <w:p>
            <w:pPr>
              <w:pStyle w:val="47"/>
              <w:spacing w:line="240" w:lineRule="auto"/>
              <w:rPr>
                <w:color w:val="auto"/>
              </w:rPr>
            </w:pPr>
            <w:r>
              <w:rPr>
                <w:color w:val="auto"/>
              </w:rPr>
              <w:t>铅</w:t>
            </w:r>
          </w:p>
        </w:tc>
        <w:tc>
          <w:tcPr>
            <w:tcW w:w="1000" w:type="pct"/>
            <w:vAlign w:val="center"/>
          </w:tcPr>
          <w:p>
            <w:pPr>
              <w:pStyle w:val="47"/>
              <w:spacing w:line="240" w:lineRule="auto"/>
              <w:rPr>
                <w:color w:val="auto"/>
              </w:rPr>
            </w:pPr>
            <w:r>
              <w:rPr>
                <w:color w:val="auto"/>
              </w:rPr>
              <w:t>800</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400</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6</w:t>
            </w:r>
          </w:p>
        </w:tc>
        <w:tc>
          <w:tcPr>
            <w:tcW w:w="1280" w:type="pct"/>
            <w:vAlign w:val="center"/>
          </w:tcPr>
          <w:p>
            <w:pPr>
              <w:pStyle w:val="47"/>
              <w:spacing w:line="240" w:lineRule="auto"/>
              <w:rPr>
                <w:color w:val="auto"/>
              </w:rPr>
            </w:pPr>
            <w:r>
              <w:rPr>
                <w:color w:val="auto"/>
              </w:rPr>
              <w:t>汞</w:t>
            </w:r>
          </w:p>
        </w:tc>
        <w:tc>
          <w:tcPr>
            <w:tcW w:w="1000" w:type="pct"/>
            <w:vAlign w:val="center"/>
          </w:tcPr>
          <w:p>
            <w:pPr>
              <w:pStyle w:val="47"/>
              <w:spacing w:line="240" w:lineRule="auto"/>
              <w:rPr>
                <w:color w:val="auto"/>
              </w:rPr>
            </w:pPr>
            <w:r>
              <w:rPr>
                <w:color w:val="auto"/>
              </w:rPr>
              <w:t>38</w:t>
            </w:r>
          </w:p>
        </w:tc>
        <w:tc>
          <w:tcPr>
            <w:tcW w:w="1000" w:type="pct"/>
            <w:vAlign w:val="center"/>
          </w:tcPr>
          <w:p>
            <w:pPr>
              <w:pStyle w:val="47"/>
              <w:spacing w:line="240" w:lineRule="auto"/>
              <w:rPr>
                <w:rFonts w:hint="eastAsia" w:eastAsia="宋体"/>
                <w:color w:val="auto"/>
                <w:lang w:val="en-US" w:eastAsia="zh-CN"/>
              </w:rPr>
            </w:pPr>
            <w:r>
              <w:rPr>
                <w:rFonts w:hint="eastAsia"/>
                <w:color w:val="auto"/>
                <w:lang w:val="en-US" w:eastAsia="zh-CN"/>
              </w:rPr>
              <w:t>8</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7</w:t>
            </w:r>
          </w:p>
        </w:tc>
        <w:tc>
          <w:tcPr>
            <w:tcW w:w="1280" w:type="pct"/>
            <w:vAlign w:val="center"/>
          </w:tcPr>
          <w:p>
            <w:pPr>
              <w:pStyle w:val="47"/>
              <w:spacing w:line="240" w:lineRule="auto"/>
              <w:rPr>
                <w:color w:val="auto"/>
              </w:rPr>
            </w:pPr>
            <w:r>
              <w:rPr>
                <w:color w:val="auto"/>
              </w:rPr>
              <w:t>镍</w:t>
            </w:r>
          </w:p>
        </w:tc>
        <w:tc>
          <w:tcPr>
            <w:tcW w:w="1000" w:type="pct"/>
            <w:vAlign w:val="center"/>
          </w:tcPr>
          <w:p>
            <w:pPr>
              <w:pStyle w:val="47"/>
              <w:spacing w:line="240" w:lineRule="auto"/>
              <w:rPr>
                <w:color w:val="auto"/>
              </w:rPr>
            </w:pPr>
            <w:r>
              <w:rPr>
                <w:color w:val="auto"/>
              </w:rPr>
              <w:t>900</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150</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999" w:type="pct"/>
            <w:gridSpan w:val="4"/>
            <w:vAlign w:val="center"/>
          </w:tcPr>
          <w:p>
            <w:pPr>
              <w:pStyle w:val="47"/>
              <w:spacing w:line="240" w:lineRule="auto"/>
              <w:rPr>
                <w:color w:val="auto"/>
              </w:rPr>
            </w:pPr>
            <w:r>
              <w:rPr>
                <w:color w:val="auto"/>
              </w:rPr>
              <w:t>挥发性有机物</w:t>
            </w:r>
          </w:p>
        </w:tc>
        <w:tc>
          <w:tcPr>
            <w:tcW w:w="1000" w:type="pct"/>
            <w:vAlign w:val="center"/>
          </w:tcPr>
          <w:p>
            <w:pPr>
              <w:pStyle w:val="47"/>
              <w:spacing w:line="240" w:lineRule="auto"/>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8</w:t>
            </w:r>
          </w:p>
        </w:tc>
        <w:tc>
          <w:tcPr>
            <w:tcW w:w="1280" w:type="pct"/>
            <w:vAlign w:val="center"/>
          </w:tcPr>
          <w:p>
            <w:pPr>
              <w:pStyle w:val="47"/>
              <w:spacing w:line="240" w:lineRule="auto"/>
              <w:rPr>
                <w:color w:val="auto"/>
              </w:rPr>
            </w:pPr>
            <w:r>
              <w:rPr>
                <w:color w:val="auto"/>
              </w:rPr>
              <w:t>四氯化碳</w:t>
            </w:r>
          </w:p>
        </w:tc>
        <w:tc>
          <w:tcPr>
            <w:tcW w:w="1000" w:type="pct"/>
            <w:vAlign w:val="center"/>
          </w:tcPr>
          <w:p>
            <w:pPr>
              <w:pStyle w:val="47"/>
              <w:spacing w:line="240" w:lineRule="auto"/>
              <w:rPr>
                <w:color w:val="auto"/>
              </w:rPr>
            </w:pPr>
            <w:r>
              <w:rPr>
                <w:color w:val="auto"/>
              </w:rPr>
              <w:t>2.8</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0.9</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9</w:t>
            </w:r>
          </w:p>
        </w:tc>
        <w:tc>
          <w:tcPr>
            <w:tcW w:w="1280" w:type="pct"/>
            <w:vAlign w:val="center"/>
          </w:tcPr>
          <w:p>
            <w:pPr>
              <w:pStyle w:val="47"/>
              <w:spacing w:line="240" w:lineRule="auto"/>
              <w:rPr>
                <w:color w:val="auto"/>
              </w:rPr>
            </w:pPr>
            <w:r>
              <w:rPr>
                <w:color w:val="auto"/>
              </w:rPr>
              <w:t>氯仿</w:t>
            </w:r>
          </w:p>
        </w:tc>
        <w:tc>
          <w:tcPr>
            <w:tcW w:w="1000" w:type="pct"/>
            <w:vAlign w:val="center"/>
          </w:tcPr>
          <w:p>
            <w:pPr>
              <w:pStyle w:val="47"/>
              <w:spacing w:line="240" w:lineRule="auto"/>
              <w:rPr>
                <w:color w:val="auto"/>
              </w:rPr>
            </w:pPr>
            <w:r>
              <w:rPr>
                <w:color w:val="auto"/>
              </w:rPr>
              <w:t>0.9</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0.3</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10</w:t>
            </w:r>
          </w:p>
        </w:tc>
        <w:tc>
          <w:tcPr>
            <w:tcW w:w="1280" w:type="pct"/>
            <w:vAlign w:val="center"/>
          </w:tcPr>
          <w:p>
            <w:pPr>
              <w:pStyle w:val="47"/>
              <w:spacing w:line="240" w:lineRule="auto"/>
              <w:rPr>
                <w:rFonts w:hint="eastAsia" w:eastAsia="宋体"/>
                <w:color w:val="auto"/>
                <w:lang w:eastAsia="zh-CN"/>
              </w:rPr>
            </w:pPr>
            <w:r>
              <w:rPr>
                <w:color w:val="auto"/>
              </w:rPr>
              <w:t>氯</w:t>
            </w:r>
            <w:r>
              <w:rPr>
                <w:rFonts w:hint="eastAsia"/>
                <w:color w:val="auto"/>
                <w:lang w:val="en-US" w:eastAsia="zh-CN"/>
              </w:rPr>
              <w:t>甲烷</w:t>
            </w:r>
          </w:p>
        </w:tc>
        <w:tc>
          <w:tcPr>
            <w:tcW w:w="1000" w:type="pct"/>
            <w:vAlign w:val="center"/>
          </w:tcPr>
          <w:p>
            <w:pPr>
              <w:pStyle w:val="47"/>
              <w:spacing w:line="240" w:lineRule="auto"/>
              <w:rPr>
                <w:color w:val="auto"/>
              </w:rPr>
            </w:pPr>
            <w:r>
              <w:rPr>
                <w:color w:val="auto"/>
              </w:rPr>
              <w:t>37</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12</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11</w:t>
            </w:r>
          </w:p>
        </w:tc>
        <w:tc>
          <w:tcPr>
            <w:tcW w:w="1280" w:type="pct"/>
            <w:vAlign w:val="center"/>
          </w:tcPr>
          <w:p>
            <w:pPr>
              <w:pStyle w:val="47"/>
              <w:spacing w:line="240" w:lineRule="auto"/>
              <w:rPr>
                <w:color w:val="auto"/>
              </w:rPr>
            </w:pPr>
            <w:r>
              <w:rPr>
                <w:color w:val="auto"/>
              </w:rPr>
              <w:t>1,1-二氯乙烷</w:t>
            </w:r>
          </w:p>
        </w:tc>
        <w:tc>
          <w:tcPr>
            <w:tcW w:w="1000" w:type="pct"/>
            <w:vAlign w:val="center"/>
          </w:tcPr>
          <w:p>
            <w:pPr>
              <w:pStyle w:val="47"/>
              <w:spacing w:line="240" w:lineRule="auto"/>
              <w:rPr>
                <w:color w:val="auto"/>
              </w:rPr>
            </w:pPr>
            <w:r>
              <w:rPr>
                <w:color w:val="auto"/>
              </w:rPr>
              <w:t>9</w:t>
            </w:r>
          </w:p>
        </w:tc>
        <w:tc>
          <w:tcPr>
            <w:tcW w:w="1000" w:type="pct"/>
            <w:vAlign w:val="center"/>
          </w:tcPr>
          <w:p>
            <w:pPr>
              <w:pStyle w:val="47"/>
              <w:spacing w:line="240" w:lineRule="auto"/>
              <w:rPr>
                <w:rFonts w:hint="eastAsia" w:eastAsia="宋体"/>
                <w:color w:val="auto"/>
                <w:lang w:val="en-US" w:eastAsia="zh-CN"/>
              </w:rPr>
            </w:pPr>
            <w:r>
              <w:rPr>
                <w:rFonts w:hint="eastAsia"/>
                <w:color w:val="auto"/>
                <w:lang w:val="en-US" w:eastAsia="zh-CN"/>
              </w:rPr>
              <w:t>3</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12</w:t>
            </w:r>
          </w:p>
        </w:tc>
        <w:tc>
          <w:tcPr>
            <w:tcW w:w="1280" w:type="pct"/>
            <w:vAlign w:val="center"/>
          </w:tcPr>
          <w:p>
            <w:pPr>
              <w:pStyle w:val="47"/>
              <w:spacing w:line="240" w:lineRule="auto"/>
              <w:rPr>
                <w:color w:val="auto"/>
              </w:rPr>
            </w:pPr>
            <w:r>
              <w:rPr>
                <w:color w:val="auto"/>
              </w:rPr>
              <w:t>1,2-二氯乙烷</w:t>
            </w:r>
          </w:p>
        </w:tc>
        <w:tc>
          <w:tcPr>
            <w:tcW w:w="1000" w:type="pct"/>
            <w:vAlign w:val="center"/>
          </w:tcPr>
          <w:p>
            <w:pPr>
              <w:pStyle w:val="47"/>
              <w:spacing w:line="240" w:lineRule="auto"/>
              <w:rPr>
                <w:color w:val="auto"/>
              </w:rPr>
            </w:pPr>
            <w:r>
              <w:rPr>
                <w:color w:val="auto"/>
              </w:rPr>
              <w:t>5</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0.52</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13</w:t>
            </w:r>
          </w:p>
        </w:tc>
        <w:tc>
          <w:tcPr>
            <w:tcW w:w="1280" w:type="pct"/>
            <w:vAlign w:val="center"/>
          </w:tcPr>
          <w:p>
            <w:pPr>
              <w:pStyle w:val="47"/>
              <w:spacing w:line="240" w:lineRule="auto"/>
              <w:rPr>
                <w:color w:val="auto"/>
              </w:rPr>
            </w:pPr>
            <w:r>
              <w:rPr>
                <w:color w:val="auto"/>
              </w:rPr>
              <w:t>1,1-二氯乙烯</w:t>
            </w:r>
          </w:p>
        </w:tc>
        <w:tc>
          <w:tcPr>
            <w:tcW w:w="1000" w:type="pct"/>
            <w:vAlign w:val="center"/>
          </w:tcPr>
          <w:p>
            <w:pPr>
              <w:pStyle w:val="47"/>
              <w:spacing w:line="240" w:lineRule="auto"/>
              <w:rPr>
                <w:color w:val="auto"/>
              </w:rPr>
            </w:pPr>
            <w:r>
              <w:rPr>
                <w:color w:val="auto"/>
              </w:rPr>
              <w:t>66</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12</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14</w:t>
            </w:r>
          </w:p>
        </w:tc>
        <w:tc>
          <w:tcPr>
            <w:tcW w:w="1280" w:type="pct"/>
            <w:vAlign w:val="center"/>
          </w:tcPr>
          <w:p>
            <w:pPr>
              <w:pStyle w:val="47"/>
              <w:spacing w:line="240" w:lineRule="auto"/>
              <w:rPr>
                <w:color w:val="auto"/>
              </w:rPr>
            </w:pPr>
            <w:r>
              <w:rPr>
                <w:color w:val="auto"/>
              </w:rPr>
              <w:t>顺-1,2-二氯乙烯</w:t>
            </w:r>
          </w:p>
        </w:tc>
        <w:tc>
          <w:tcPr>
            <w:tcW w:w="1000" w:type="pct"/>
            <w:vAlign w:val="center"/>
          </w:tcPr>
          <w:p>
            <w:pPr>
              <w:pStyle w:val="47"/>
              <w:spacing w:line="240" w:lineRule="auto"/>
              <w:rPr>
                <w:color w:val="auto"/>
              </w:rPr>
            </w:pPr>
            <w:r>
              <w:rPr>
                <w:color w:val="auto"/>
              </w:rPr>
              <w:t>596</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66</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15</w:t>
            </w:r>
          </w:p>
        </w:tc>
        <w:tc>
          <w:tcPr>
            <w:tcW w:w="1280" w:type="pct"/>
            <w:vAlign w:val="center"/>
          </w:tcPr>
          <w:p>
            <w:pPr>
              <w:pStyle w:val="47"/>
              <w:spacing w:line="240" w:lineRule="auto"/>
              <w:rPr>
                <w:color w:val="auto"/>
              </w:rPr>
            </w:pPr>
            <w:r>
              <w:rPr>
                <w:color w:val="auto"/>
              </w:rPr>
              <w:t>反-1,2-二氯乙烯</w:t>
            </w:r>
          </w:p>
        </w:tc>
        <w:tc>
          <w:tcPr>
            <w:tcW w:w="1000" w:type="pct"/>
            <w:vAlign w:val="center"/>
          </w:tcPr>
          <w:p>
            <w:pPr>
              <w:pStyle w:val="47"/>
              <w:spacing w:line="240" w:lineRule="auto"/>
              <w:rPr>
                <w:color w:val="auto"/>
              </w:rPr>
            </w:pPr>
            <w:r>
              <w:rPr>
                <w:color w:val="auto"/>
              </w:rPr>
              <w:t>54</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10</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16</w:t>
            </w:r>
          </w:p>
        </w:tc>
        <w:tc>
          <w:tcPr>
            <w:tcW w:w="1280" w:type="pct"/>
            <w:vAlign w:val="center"/>
          </w:tcPr>
          <w:p>
            <w:pPr>
              <w:pStyle w:val="47"/>
              <w:spacing w:line="240" w:lineRule="auto"/>
              <w:rPr>
                <w:rFonts w:hint="eastAsia" w:eastAsia="宋体"/>
                <w:color w:val="auto"/>
                <w:lang w:eastAsia="zh-CN"/>
              </w:rPr>
            </w:pPr>
            <w:r>
              <w:rPr>
                <w:color w:val="auto"/>
              </w:rPr>
              <w:t>二氯</w:t>
            </w:r>
            <w:r>
              <w:rPr>
                <w:rFonts w:hint="eastAsia"/>
                <w:color w:val="auto"/>
                <w:lang w:val="en-US" w:eastAsia="zh-CN"/>
              </w:rPr>
              <w:t>甲烷</w:t>
            </w:r>
          </w:p>
        </w:tc>
        <w:tc>
          <w:tcPr>
            <w:tcW w:w="1000" w:type="pct"/>
            <w:vAlign w:val="center"/>
          </w:tcPr>
          <w:p>
            <w:pPr>
              <w:pStyle w:val="47"/>
              <w:spacing w:line="240" w:lineRule="auto"/>
              <w:rPr>
                <w:color w:val="auto"/>
              </w:rPr>
            </w:pPr>
            <w:r>
              <w:rPr>
                <w:color w:val="auto"/>
              </w:rPr>
              <w:t>616</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94</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17</w:t>
            </w:r>
          </w:p>
        </w:tc>
        <w:tc>
          <w:tcPr>
            <w:tcW w:w="1280" w:type="pct"/>
            <w:vAlign w:val="center"/>
          </w:tcPr>
          <w:p>
            <w:pPr>
              <w:pStyle w:val="47"/>
              <w:spacing w:line="240" w:lineRule="auto"/>
              <w:rPr>
                <w:color w:val="auto"/>
              </w:rPr>
            </w:pPr>
            <w:r>
              <w:rPr>
                <w:color w:val="auto"/>
              </w:rPr>
              <w:t>1,2-二氯丙烷</w:t>
            </w:r>
          </w:p>
        </w:tc>
        <w:tc>
          <w:tcPr>
            <w:tcW w:w="1000" w:type="pct"/>
            <w:vAlign w:val="center"/>
          </w:tcPr>
          <w:p>
            <w:pPr>
              <w:pStyle w:val="47"/>
              <w:spacing w:line="240" w:lineRule="auto"/>
              <w:rPr>
                <w:color w:val="auto"/>
              </w:rPr>
            </w:pPr>
            <w:r>
              <w:rPr>
                <w:color w:val="auto"/>
              </w:rPr>
              <w:t>5</w:t>
            </w:r>
          </w:p>
        </w:tc>
        <w:tc>
          <w:tcPr>
            <w:tcW w:w="1000" w:type="pct"/>
            <w:vAlign w:val="center"/>
          </w:tcPr>
          <w:p>
            <w:pPr>
              <w:pStyle w:val="47"/>
              <w:spacing w:line="240" w:lineRule="auto"/>
              <w:rPr>
                <w:rFonts w:hint="eastAsia" w:eastAsia="宋体"/>
                <w:color w:val="auto"/>
                <w:lang w:val="en-US" w:eastAsia="zh-CN"/>
              </w:rPr>
            </w:pPr>
            <w:r>
              <w:rPr>
                <w:rFonts w:hint="eastAsia"/>
                <w:color w:val="auto"/>
                <w:lang w:val="en-US" w:eastAsia="zh-CN"/>
              </w:rPr>
              <w:t>1</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18</w:t>
            </w:r>
          </w:p>
        </w:tc>
        <w:tc>
          <w:tcPr>
            <w:tcW w:w="1280" w:type="pct"/>
            <w:vAlign w:val="center"/>
          </w:tcPr>
          <w:p>
            <w:pPr>
              <w:pStyle w:val="47"/>
              <w:spacing w:line="240" w:lineRule="auto"/>
              <w:rPr>
                <w:color w:val="auto"/>
              </w:rPr>
            </w:pPr>
            <w:r>
              <w:rPr>
                <w:color w:val="auto"/>
              </w:rPr>
              <w:t>1,1,1,2-四氯乙烷</w:t>
            </w:r>
          </w:p>
        </w:tc>
        <w:tc>
          <w:tcPr>
            <w:tcW w:w="1000" w:type="pct"/>
            <w:vAlign w:val="center"/>
          </w:tcPr>
          <w:p>
            <w:pPr>
              <w:pStyle w:val="47"/>
              <w:spacing w:line="240" w:lineRule="auto"/>
              <w:rPr>
                <w:color w:val="auto"/>
              </w:rPr>
            </w:pPr>
            <w:r>
              <w:rPr>
                <w:color w:val="auto"/>
              </w:rPr>
              <w:t>10</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2.6</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19</w:t>
            </w:r>
          </w:p>
        </w:tc>
        <w:tc>
          <w:tcPr>
            <w:tcW w:w="1280" w:type="pct"/>
            <w:vAlign w:val="center"/>
          </w:tcPr>
          <w:p>
            <w:pPr>
              <w:pStyle w:val="47"/>
              <w:spacing w:line="240" w:lineRule="auto"/>
              <w:rPr>
                <w:color w:val="auto"/>
              </w:rPr>
            </w:pPr>
            <w:r>
              <w:rPr>
                <w:color w:val="auto"/>
              </w:rPr>
              <w:t>1,1,2,2-四氯乙烷</w:t>
            </w:r>
          </w:p>
        </w:tc>
        <w:tc>
          <w:tcPr>
            <w:tcW w:w="1000" w:type="pct"/>
            <w:vAlign w:val="center"/>
          </w:tcPr>
          <w:p>
            <w:pPr>
              <w:pStyle w:val="47"/>
              <w:spacing w:line="240" w:lineRule="auto"/>
              <w:rPr>
                <w:color w:val="auto"/>
              </w:rPr>
            </w:pPr>
            <w:r>
              <w:rPr>
                <w:color w:val="auto"/>
              </w:rPr>
              <w:t>6.8</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1.6</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20</w:t>
            </w:r>
          </w:p>
        </w:tc>
        <w:tc>
          <w:tcPr>
            <w:tcW w:w="1280" w:type="pct"/>
            <w:vAlign w:val="center"/>
          </w:tcPr>
          <w:p>
            <w:pPr>
              <w:pStyle w:val="47"/>
              <w:spacing w:line="240" w:lineRule="auto"/>
              <w:rPr>
                <w:color w:val="auto"/>
              </w:rPr>
            </w:pPr>
            <w:r>
              <w:rPr>
                <w:color w:val="auto"/>
              </w:rPr>
              <w:t>四氯乙烯</w:t>
            </w:r>
          </w:p>
        </w:tc>
        <w:tc>
          <w:tcPr>
            <w:tcW w:w="1000" w:type="pct"/>
            <w:vAlign w:val="center"/>
          </w:tcPr>
          <w:p>
            <w:pPr>
              <w:pStyle w:val="47"/>
              <w:spacing w:line="240" w:lineRule="auto"/>
              <w:rPr>
                <w:color w:val="auto"/>
              </w:rPr>
            </w:pPr>
            <w:r>
              <w:rPr>
                <w:color w:val="auto"/>
              </w:rPr>
              <w:t>53</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11</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21</w:t>
            </w:r>
          </w:p>
        </w:tc>
        <w:tc>
          <w:tcPr>
            <w:tcW w:w="1280" w:type="pct"/>
            <w:vAlign w:val="center"/>
          </w:tcPr>
          <w:p>
            <w:pPr>
              <w:pStyle w:val="47"/>
              <w:spacing w:line="240" w:lineRule="auto"/>
              <w:rPr>
                <w:color w:val="auto"/>
              </w:rPr>
            </w:pPr>
            <w:r>
              <w:rPr>
                <w:color w:val="auto"/>
              </w:rPr>
              <w:t>1,1,1-三氯乙烷</w:t>
            </w:r>
          </w:p>
        </w:tc>
        <w:tc>
          <w:tcPr>
            <w:tcW w:w="1000" w:type="pct"/>
            <w:vAlign w:val="center"/>
          </w:tcPr>
          <w:p>
            <w:pPr>
              <w:pStyle w:val="47"/>
              <w:spacing w:line="240" w:lineRule="auto"/>
              <w:rPr>
                <w:color w:val="auto"/>
              </w:rPr>
            </w:pPr>
            <w:r>
              <w:rPr>
                <w:color w:val="auto"/>
              </w:rPr>
              <w:t>840</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701</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22</w:t>
            </w:r>
          </w:p>
        </w:tc>
        <w:tc>
          <w:tcPr>
            <w:tcW w:w="1280" w:type="pct"/>
            <w:vAlign w:val="center"/>
          </w:tcPr>
          <w:p>
            <w:pPr>
              <w:pStyle w:val="47"/>
              <w:spacing w:line="240" w:lineRule="auto"/>
              <w:rPr>
                <w:color w:val="auto"/>
              </w:rPr>
            </w:pPr>
            <w:r>
              <w:rPr>
                <w:color w:val="auto"/>
              </w:rPr>
              <w:t>1,1,2-三氯乙烷</w:t>
            </w:r>
          </w:p>
        </w:tc>
        <w:tc>
          <w:tcPr>
            <w:tcW w:w="1000" w:type="pct"/>
            <w:vAlign w:val="center"/>
          </w:tcPr>
          <w:p>
            <w:pPr>
              <w:pStyle w:val="47"/>
              <w:spacing w:line="240" w:lineRule="auto"/>
              <w:rPr>
                <w:color w:val="auto"/>
              </w:rPr>
            </w:pPr>
            <w:r>
              <w:rPr>
                <w:color w:val="auto"/>
              </w:rPr>
              <w:t>2.8</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0.6</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23</w:t>
            </w:r>
          </w:p>
        </w:tc>
        <w:tc>
          <w:tcPr>
            <w:tcW w:w="1280" w:type="pct"/>
            <w:vAlign w:val="center"/>
          </w:tcPr>
          <w:p>
            <w:pPr>
              <w:pStyle w:val="47"/>
              <w:spacing w:line="240" w:lineRule="auto"/>
              <w:rPr>
                <w:color w:val="auto"/>
              </w:rPr>
            </w:pPr>
            <w:r>
              <w:rPr>
                <w:color w:val="auto"/>
              </w:rPr>
              <w:t>三氯乙烯</w:t>
            </w:r>
          </w:p>
        </w:tc>
        <w:tc>
          <w:tcPr>
            <w:tcW w:w="1000" w:type="pct"/>
            <w:vAlign w:val="center"/>
          </w:tcPr>
          <w:p>
            <w:pPr>
              <w:pStyle w:val="47"/>
              <w:spacing w:line="240" w:lineRule="auto"/>
              <w:rPr>
                <w:color w:val="auto"/>
              </w:rPr>
            </w:pPr>
            <w:r>
              <w:rPr>
                <w:color w:val="auto"/>
              </w:rPr>
              <w:t>2.8</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0.7</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24</w:t>
            </w:r>
          </w:p>
        </w:tc>
        <w:tc>
          <w:tcPr>
            <w:tcW w:w="1280" w:type="pct"/>
            <w:vAlign w:val="center"/>
          </w:tcPr>
          <w:p>
            <w:pPr>
              <w:pStyle w:val="47"/>
              <w:spacing w:line="240" w:lineRule="auto"/>
              <w:rPr>
                <w:color w:val="auto"/>
              </w:rPr>
            </w:pPr>
            <w:r>
              <w:rPr>
                <w:color w:val="auto"/>
              </w:rPr>
              <w:t>1,2,3-三氯丙烷</w:t>
            </w:r>
          </w:p>
        </w:tc>
        <w:tc>
          <w:tcPr>
            <w:tcW w:w="1000" w:type="pct"/>
            <w:vAlign w:val="center"/>
          </w:tcPr>
          <w:p>
            <w:pPr>
              <w:pStyle w:val="47"/>
              <w:spacing w:line="240" w:lineRule="auto"/>
              <w:rPr>
                <w:color w:val="auto"/>
              </w:rPr>
            </w:pPr>
            <w:r>
              <w:rPr>
                <w:color w:val="auto"/>
              </w:rPr>
              <w:t>0.5</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0.05</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718" w:type="pct"/>
            <w:vAlign w:val="center"/>
          </w:tcPr>
          <w:p>
            <w:pPr>
              <w:pStyle w:val="47"/>
              <w:spacing w:line="240" w:lineRule="auto"/>
              <w:rPr>
                <w:color w:val="auto"/>
              </w:rPr>
            </w:pPr>
            <w:r>
              <w:rPr>
                <w:color w:val="auto"/>
              </w:rPr>
              <w:t>25</w:t>
            </w:r>
          </w:p>
        </w:tc>
        <w:tc>
          <w:tcPr>
            <w:tcW w:w="1280" w:type="pct"/>
            <w:vAlign w:val="center"/>
          </w:tcPr>
          <w:p>
            <w:pPr>
              <w:pStyle w:val="47"/>
              <w:spacing w:line="240" w:lineRule="auto"/>
              <w:rPr>
                <w:color w:val="auto"/>
              </w:rPr>
            </w:pPr>
            <w:r>
              <w:rPr>
                <w:color w:val="auto"/>
              </w:rPr>
              <w:t>氯乙烯</w:t>
            </w:r>
          </w:p>
        </w:tc>
        <w:tc>
          <w:tcPr>
            <w:tcW w:w="1000" w:type="pct"/>
            <w:vAlign w:val="center"/>
          </w:tcPr>
          <w:p>
            <w:pPr>
              <w:pStyle w:val="47"/>
              <w:spacing w:line="240" w:lineRule="auto"/>
              <w:rPr>
                <w:color w:val="auto"/>
              </w:rPr>
            </w:pPr>
            <w:r>
              <w:rPr>
                <w:color w:val="auto"/>
              </w:rPr>
              <w:t>0.43</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0.12</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26</w:t>
            </w:r>
          </w:p>
        </w:tc>
        <w:tc>
          <w:tcPr>
            <w:tcW w:w="1280" w:type="pct"/>
            <w:vAlign w:val="center"/>
          </w:tcPr>
          <w:p>
            <w:pPr>
              <w:pStyle w:val="47"/>
              <w:spacing w:line="240" w:lineRule="auto"/>
              <w:rPr>
                <w:color w:val="auto"/>
              </w:rPr>
            </w:pPr>
            <w:r>
              <w:rPr>
                <w:color w:val="auto"/>
              </w:rPr>
              <w:t>苯</w:t>
            </w:r>
          </w:p>
        </w:tc>
        <w:tc>
          <w:tcPr>
            <w:tcW w:w="1000" w:type="pct"/>
            <w:vAlign w:val="center"/>
          </w:tcPr>
          <w:p>
            <w:pPr>
              <w:pStyle w:val="47"/>
              <w:spacing w:line="240" w:lineRule="auto"/>
              <w:rPr>
                <w:color w:val="auto"/>
              </w:rPr>
            </w:pPr>
            <w:r>
              <w:rPr>
                <w:color w:val="auto"/>
              </w:rPr>
              <w:t>4</w:t>
            </w:r>
          </w:p>
        </w:tc>
        <w:tc>
          <w:tcPr>
            <w:tcW w:w="1000" w:type="pct"/>
            <w:vAlign w:val="center"/>
          </w:tcPr>
          <w:p>
            <w:pPr>
              <w:pStyle w:val="47"/>
              <w:spacing w:line="240" w:lineRule="auto"/>
              <w:rPr>
                <w:rFonts w:hint="eastAsia" w:eastAsia="宋体"/>
                <w:color w:val="auto"/>
                <w:lang w:val="en-US" w:eastAsia="zh-CN"/>
              </w:rPr>
            </w:pPr>
            <w:r>
              <w:rPr>
                <w:rFonts w:hint="eastAsia"/>
                <w:color w:val="auto"/>
                <w:lang w:val="en-US" w:eastAsia="zh-CN"/>
              </w:rPr>
              <w:t>1</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27</w:t>
            </w:r>
          </w:p>
        </w:tc>
        <w:tc>
          <w:tcPr>
            <w:tcW w:w="1280" w:type="pct"/>
            <w:vAlign w:val="center"/>
          </w:tcPr>
          <w:p>
            <w:pPr>
              <w:pStyle w:val="47"/>
              <w:spacing w:line="240" w:lineRule="auto"/>
              <w:rPr>
                <w:color w:val="auto"/>
              </w:rPr>
            </w:pPr>
            <w:r>
              <w:rPr>
                <w:color w:val="auto"/>
              </w:rPr>
              <w:t>氯苯</w:t>
            </w:r>
          </w:p>
        </w:tc>
        <w:tc>
          <w:tcPr>
            <w:tcW w:w="1000" w:type="pct"/>
            <w:vAlign w:val="center"/>
          </w:tcPr>
          <w:p>
            <w:pPr>
              <w:pStyle w:val="47"/>
              <w:spacing w:line="240" w:lineRule="auto"/>
              <w:rPr>
                <w:color w:val="auto"/>
              </w:rPr>
            </w:pPr>
            <w:r>
              <w:rPr>
                <w:color w:val="auto"/>
              </w:rPr>
              <w:t>270</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68</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28</w:t>
            </w:r>
          </w:p>
        </w:tc>
        <w:tc>
          <w:tcPr>
            <w:tcW w:w="1280" w:type="pct"/>
            <w:vAlign w:val="center"/>
          </w:tcPr>
          <w:p>
            <w:pPr>
              <w:pStyle w:val="47"/>
              <w:spacing w:line="240" w:lineRule="auto"/>
              <w:rPr>
                <w:color w:val="auto"/>
              </w:rPr>
            </w:pPr>
            <w:r>
              <w:rPr>
                <w:color w:val="auto"/>
              </w:rPr>
              <w:t>1,2-二氯苯</w:t>
            </w:r>
          </w:p>
        </w:tc>
        <w:tc>
          <w:tcPr>
            <w:tcW w:w="1000" w:type="pct"/>
            <w:vAlign w:val="center"/>
          </w:tcPr>
          <w:p>
            <w:pPr>
              <w:pStyle w:val="47"/>
              <w:spacing w:line="240" w:lineRule="auto"/>
              <w:rPr>
                <w:color w:val="auto"/>
              </w:rPr>
            </w:pPr>
            <w:r>
              <w:rPr>
                <w:color w:val="auto"/>
              </w:rPr>
              <w:t>560</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560</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29</w:t>
            </w:r>
          </w:p>
        </w:tc>
        <w:tc>
          <w:tcPr>
            <w:tcW w:w="1280" w:type="pct"/>
            <w:vAlign w:val="center"/>
          </w:tcPr>
          <w:p>
            <w:pPr>
              <w:pStyle w:val="47"/>
              <w:spacing w:line="240" w:lineRule="auto"/>
              <w:rPr>
                <w:color w:val="auto"/>
              </w:rPr>
            </w:pPr>
            <w:r>
              <w:rPr>
                <w:color w:val="auto"/>
              </w:rPr>
              <w:t>1,4-二氯苯</w:t>
            </w:r>
          </w:p>
        </w:tc>
        <w:tc>
          <w:tcPr>
            <w:tcW w:w="1000" w:type="pct"/>
            <w:vAlign w:val="center"/>
          </w:tcPr>
          <w:p>
            <w:pPr>
              <w:pStyle w:val="47"/>
              <w:spacing w:line="240" w:lineRule="auto"/>
              <w:rPr>
                <w:color w:val="auto"/>
              </w:rPr>
            </w:pPr>
            <w:r>
              <w:rPr>
                <w:color w:val="auto"/>
              </w:rPr>
              <w:t>20</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5.6</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30</w:t>
            </w:r>
          </w:p>
        </w:tc>
        <w:tc>
          <w:tcPr>
            <w:tcW w:w="1280" w:type="pct"/>
            <w:vAlign w:val="center"/>
          </w:tcPr>
          <w:p>
            <w:pPr>
              <w:pStyle w:val="47"/>
              <w:spacing w:line="240" w:lineRule="auto"/>
              <w:rPr>
                <w:color w:val="auto"/>
              </w:rPr>
            </w:pPr>
            <w:r>
              <w:rPr>
                <w:color w:val="auto"/>
              </w:rPr>
              <w:t>乙苯</w:t>
            </w:r>
          </w:p>
        </w:tc>
        <w:tc>
          <w:tcPr>
            <w:tcW w:w="1000" w:type="pct"/>
            <w:vAlign w:val="center"/>
          </w:tcPr>
          <w:p>
            <w:pPr>
              <w:pStyle w:val="47"/>
              <w:spacing w:line="240" w:lineRule="auto"/>
              <w:rPr>
                <w:color w:val="auto"/>
              </w:rPr>
            </w:pPr>
            <w:r>
              <w:rPr>
                <w:color w:val="auto"/>
              </w:rPr>
              <w:t>28</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7.2</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31</w:t>
            </w:r>
          </w:p>
        </w:tc>
        <w:tc>
          <w:tcPr>
            <w:tcW w:w="1280" w:type="pct"/>
            <w:vAlign w:val="center"/>
          </w:tcPr>
          <w:p>
            <w:pPr>
              <w:pStyle w:val="47"/>
              <w:spacing w:line="240" w:lineRule="auto"/>
              <w:rPr>
                <w:color w:val="auto"/>
              </w:rPr>
            </w:pPr>
            <w:r>
              <w:rPr>
                <w:color w:val="auto"/>
              </w:rPr>
              <w:t>苯乙烯</w:t>
            </w:r>
          </w:p>
        </w:tc>
        <w:tc>
          <w:tcPr>
            <w:tcW w:w="1000" w:type="pct"/>
            <w:vAlign w:val="center"/>
          </w:tcPr>
          <w:p>
            <w:pPr>
              <w:pStyle w:val="47"/>
              <w:spacing w:line="240" w:lineRule="auto"/>
              <w:rPr>
                <w:color w:val="auto"/>
              </w:rPr>
            </w:pPr>
            <w:r>
              <w:rPr>
                <w:color w:val="auto"/>
              </w:rPr>
              <w:t>1290</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1290</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32</w:t>
            </w:r>
          </w:p>
        </w:tc>
        <w:tc>
          <w:tcPr>
            <w:tcW w:w="1280" w:type="pct"/>
            <w:vAlign w:val="center"/>
          </w:tcPr>
          <w:p>
            <w:pPr>
              <w:pStyle w:val="47"/>
              <w:spacing w:line="240" w:lineRule="auto"/>
              <w:rPr>
                <w:color w:val="auto"/>
              </w:rPr>
            </w:pPr>
            <w:r>
              <w:rPr>
                <w:color w:val="auto"/>
              </w:rPr>
              <w:t>甲苯</w:t>
            </w:r>
          </w:p>
        </w:tc>
        <w:tc>
          <w:tcPr>
            <w:tcW w:w="1000" w:type="pct"/>
            <w:vAlign w:val="center"/>
          </w:tcPr>
          <w:p>
            <w:pPr>
              <w:pStyle w:val="47"/>
              <w:spacing w:line="240" w:lineRule="auto"/>
              <w:rPr>
                <w:color w:val="auto"/>
              </w:rPr>
            </w:pPr>
            <w:r>
              <w:rPr>
                <w:color w:val="auto"/>
              </w:rPr>
              <w:t>1200</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1200</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33</w:t>
            </w:r>
          </w:p>
        </w:tc>
        <w:tc>
          <w:tcPr>
            <w:tcW w:w="1280" w:type="pct"/>
            <w:vAlign w:val="center"/>
          </w:tcPr>
          <w:p>
            <w:pPr>
              <w:pStyle w:val="47"/>
              <w:spacing w:line="240" w:lineRule="auto"/>
              <w:rPr>
                <w:color w:val="auto"/>
              </w:rPr>
            </w:pPr>
            <w:r>
              <w:rPr>
                <w:color w:val="auto"/>
              </w:rPr>
              <w:t>间二甲苯+对二甲苯</w:t>
            </w:r>
          </w:p>
        </w:tc>
        <w:tc>
          <w:tcPr>
            <w:tcW w:w="1000" w:type="pct"/>
            <w:vAlign w:val="center"/>
          </w:tcPr>
          <w:p>
            <w:pPr>
              <w:pStyle w:val="47"/>
              <w:spacing w:line="240" w:lineRule="auto"/>
              <w:rPr>
                <w:color w:val="auto"/>
              </w:rPr>
            </w:pPr>
            <w:r>
              <w:rPr>
                <w:color w:val="auto"/>
              </w:rPr>
              <w:t>570</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163</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34</w:t>
            </w:r>
          </w:p>
        </w:tc>
        <w:tc>
          <w:tcPr>
            <w:tcW w:w="1280" w:type="pct"/>
            <w:vAlign w:val="center"/>
          </w:tcPr>
          <w:p>
            <w:pPr>
              <w:pStyle w:val="47"/>
              <w:spacing w:line="240" w:lineRule="auto"/>
              <w:rPr>
                <w:color w:val="auto"/>
              </w:rPr>
            </w:pPr>
            <w:r>
              <w:rPr>
                <w:color w:val="auto"/>
              </w:rPr>
              <w:t>邻二甲苯</w:t>
            </w:r>
          </w:p>
        </w:tc>
        <w:tc>
          <w:tcPr>
            <w:tcW w:w="1000" w:type="pct"/>
            <w:vAlign w:val="center"/>
          </w:tcPr>
          <w:p>
            <w:pPr>
              <w:pStyle w:val="47"/>
              <w:spacing w:line="240" w:lineRule="auto"/>
              <w:rPr>
                <w:color w:val="auto"/>
              </w:rPr>
            </w:pPr>
            <w:r>
              <w:rPr>
                <w:color w:val="auto"/>
              </w:rPr>
              <w:t>640</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222</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999" w:type="pct"/>
            <w:gridSpan w:val="4"/>
            <w:vAlign w:val="center"/>
          </w:tcPr>
          <w:p>
            <w:pPr>
              <w:pStyle w:val="47"/>
              <w:spacing w:line="240" w:lineRule="auto"/>
              <w:rPr>
                <w:color w:val="auto"/>
              </w:rPr>
            </w:pPr>
            <w:r>
              <w:rPr>
                <w:color w:val="auto"/>
              </w:rPr>
              <w:t>半挥发性有机物</w:t>
            </w:r>
          </w:p>
        </w:tc>
        <w:tc>
          <w:tcPr>
            <w:tcW w:w="1000" w:type="pct"/>
            <w:vAlign w:val="center"/>
          </w:tcPr>
          <w:p>
            <w:pPr>
              <w:pStyle w:val="47"/>
              <w:spacing w:line="240" w:lineRule="auto"/>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35</w:t>
            </w:r>
          </w:p>
        </w:tc>
        <w:tc>
          <w:tcPr>
            <w:tcW w:w="1280" w:type="pct"/>
            <w:vAlign w:val="center"/>
          </w:tcPr>
          <w:p>
            <w:pPr>
              <w:pStyle w:val="47"/>
              <w:spacing w:line="240" w:lineRule="auto"/>
              <w:rPr>
                <w:color w:val="auto"/>
              </w:rPr>
            </w:pPr>
            <w:r>
              <w:rPr>
                <w:color w:val="auto"/>
              </w:rPr>
              <w:t>硝基苯</w:t>
            </w:r>
          </w:p>
        </w:tc>
        <w:tc>
          <w:tcPr>
            <w:tcW w:w="1000" w:type="pct"/>
            <w:vAlign w:val="center"/>
          </w:tcPr>
          <w:p>
            <w:pPr>
              <w:pStyle w:val="47"/>
              <w:spacing w:line="240" w:lineRule="auto"/>
              <w:rPr>
                <w:color w:val="auto"/>
              </w:rPr>
            </w:pPr>
            <w:r>
              <w:rPr>
                <w:color w:val="auto"/>
              </w:rPr>
              <w:t>76</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34</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36</w:t>
            </w:r>
          </w:p>
        </w:tc>
        <w:tc>
          <w:tcPr>
            <w:tcW w:w="1280" w:type="pct"/>
            <w:vAlign w:val="center"/>
          </w:tcPr>
          <w:p>
            <w:pPr>
              <w:pStyle w:val="47"/>
              <w:spacing w:line="240" w:lineRule="auto"/>
              <w:rPr>
                <w:color w:val="auto"/>
              </w:rPr>
            </w:pPr>
            <w:r>
              <w:rPr>
                <w:color w:val="auto"/>
              </w:rPr>
              <w:t>苯胺</w:t>
            </w:r>
          </w:p>
        </w:tc>
        <w:tc>
          <w:tcPr>
            <w:tcW w:w="1000" w:type="pct"/>
            <w:vAlign w:val="center"/>
          </w:tcPr>
          <w:p>
            <w:pPr>
              <w:pStyle w:val="47"/>
              <w:spacing w:line="240" w:lineRule="auto"/>
              <w:rPr>
                <w:color w:val="auto"/>
              </w:rPr>
            </w:pPr>
            <w:r>
              <w:rPr>
                <w:color w:val="auto"/>
              </w:rPr>
              <w:t>260</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92</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37</w:t>
            </w:r>
          </w:p>
        </w:tc>
        <w:tc>
          <w:tcPr>
            <w:tcW w:w="1280" w:type="pct"/>
            <w:vAlign w:val="center"/>
          </w:tcPr>
          <w:p>
            <w:pPr>
              <w:pStyle w:val="47"/>
              <w:spacing w:line="240" w:lineRule="auto"/>
              <w:rPr>
                <w:color w:val="auto"/>
              </w:rPr>
            </w:pPr>
            <w:r>
              <w:rPr>
                <w:color w:val="auto"/>
              </w:rPr>
              <w:t>2-氯酚</w:t>
            </w:r>
          </w:p>
        </w:tc>
        <w:tc>
          <w:tcPr>
            <w:tcW w:w="1000" w:type="pct"/>
            <w:vAlign w:val="center"/>
          </w:tcPr>
          <w:p>
            <w:pPr>
              <w:pStyle w:val="47"/>
              <w:spacing w:line="240" w:lineRule="auto"/>
              <w:rPr>
                <w:color w:val="auto"/>
              </w:rPr>
            </w:pPr>
            <w:r>
              <w:rPr>
                <w:color w:val="auto"/>
              </w:rPr>
              <w:t>2256</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250</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38</w:t>
            </w:r>
          </w:p>
        </w:tc>
        <w:tc>
          <w:tcPr>
            <w:tcW w:w="1280" w:type="pct"/>
            <w:vAlign w:val="center"/>
          </w:tcPr>
          <w:p>
            <w:pPr>
              <w:pStyle w:val="47"/>
              <w:spacing w:line="240" w:lineRule="auto"/>
              <w:rPr>
                <w:color w:val="auto"/>
              </w:rPr>
            </w:pPr>
            <w:r>
              <w:rPr>
                <w:color w:val="auto"/>
              </w:rPr>
              <w:t>苯并[a]蒽</w:t>
            </w:r>
          </w:p>
        </w:tc>
        <w:tc>
          <w:tcPr>
            <w:tcW w:w="1000" w:type="pct"/>
            <w:vAlign w:val="center"/>
          </w:tcPr>
          <w:p>
            <w:pPr>
              <w:pStyle w:val="47"/>
              <w:spacing w:line="240" w:lineRule="auto"/>
              <w:rPr>
                <w:color w:val="auto"/>
              </w:rPr>
            </w:pPr>
            <w:r>
              <w:rPr>
                <w:color w:val="auto"/>
              </w:rPr>
              <w:t>15</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5.5</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39</w:t>
            </w:r>
          </w:p>
        </w:tc>
        <w:tc>
          <w:tcPr>
            <w:tcW w:w="1280" w:type="pct"/>
            <w:vAlign w:val="center"/>
          </w:tcPr>
          <w:p>
            <w:pPr>
              <w:pStyle w:val="47"/>
              <w:spacing w:line="240" w:lineRule="auto"/>
              <w:rPr>
                <w:color w:val="auto"/>
              </w:rPr>
            </w:pPr>
            <w:r>
              <w:rPr>
                <w:color w:val="auto"/>
              </w:rPr>
              <w:t>苯并[a]芘</w:t>
            </w:r>
          </w:p>
        </w:tc>
        <w:tc>
          <w:tcPr>
            <w:tcW w:w="1000" w:type="pct"/>
            <w:vAlign w:val="center"/>
          </w:tcPr>
          <w:p>
            <w:pPr>
              <w:pStyle w:val="47"/>
              <w:spacing w:line="240" w:lineRule="auto"/>
              <w:rPr>
                <w:color w:val="auto"/>
              </w:rPr>
            </w:pPr>
            <w:r>
              <w:rPr>
                <w:color w:val="auto"/>
              </w:rPr>
              <w:t>1.5</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0.55</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40</w:t>
            </w:r>
          </w:p>
        </w:tc>
        <w:tc>
          <w:tcPr>
            <w:tcW w:w="1280" w:type="pct"/>
            <w:vAlign w:val="center"/>
          </w:tcPr>
          <w:p>
            <w:pPr>
              <w:pStyle w:val="47"/>
              <w:spacing w:line="240" w:lineRule="auto"/>
              <w:rPr>
                <w:color w:val="auto"/>
              </w:rPr>
            </w:pPr>
            <w:r>
              <w:rPr>
                <w:color w:val="auto"/>
              </w:rPr>
              <w:t>苯并[b]萤蒽</w:t>
            </w:r>
          </w:p>
        </w:tc>
        <w:tc>
          <w:tcPr>
            <w:tcW w:w="1000" w:type="pct"/>
            <w:vAlign w:val="center"/>
          </w:tcPr>
          <w:p>
            <w:pPr>
              <w:pStyle w:val="47"/>
              <w:spacing w:line="240" w:lineRule="auto"/>
              <w:rPr>
                <w:color w:val="auto"/>
              </w:rPr>
            </w:pPr>
            <w:r>
              <w:rPr>
                <w:color w:val="auto"/>
              </w:rPr>
              <w:t>15</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5.5</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41</w:t>
            </w:r>
          </w:p>
        </w:tc>
        <w:tc>
          <w:tcPr>
            <w:tcW w:w="1280" w:type="pct"/>
            <w:vAlign w:val="center"/>
          </w:tcPr>
          <w:p>
            <w:pPr>
              <w:pStyle w:val="47"/>
              <w:spacing w:line="240" w:lineRule="auto"/>
              <w:rPr>
                <w:color w:val="auto"/>
              </w:rPr>
            </w:pPr>
            <w:r>
              <w:rPr>
                <w:color w:val="auto"/>
              </w:rPr>
              <w:t>苯并[k]萤蒽</w:t>
            </w:r>
          </w:p>
        </w:tc>
        <w:tc>
          <w:tcPr>
            <w:tcW w:w="1000" w:type="pct"/>
            <w:vAlign w:val="center"/>
          </w:tcPr>
          <w:p>
            <w:pPr>
              <w:pStyle w:val="47"/>
              <w:spacing w:line="240" w:lineRule="auto"/>
              <w:rPr>
                <w:color w:val="auto"/>
              </w:rPr>
            </w:pPr>
            <w:r>
              <w:rPr>
                <w:color w:val="auto"/>
              </w:rPr>
              <w:t>151</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55</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42</w:t>
            </w:r>
          </w:p>
        </w:tc>
        <w:tc>
          <w:tcPr>
            <w:tcW w:w="1280" w:type="pct"/>
            <w:vAlign w:val="center"/>
          </w:tcPr>
          <w:p>
            <w:pPr>
              <w:pStyle w:val="47"/>
              <w:spacing w:line="240" w:lineRule="auto"/>
              <w:rPr>
                <w:color w:val="auto"/>
              </w:rPr>
            </w:pPr>
            <w:r>
              <w:rPr>
                <w:color w:val="auto"/>
              </w:rPr>
              <w:t>䓛</w:t>
            </w:r>
          </w:p>
        </w:tc>
        <w:tc>
          <w:tcPr>
            <w:tcW w:w="1000" w:type="pct"/>
            <w:vAlign w:val="center"/>
          </w:tcPr>
          <w:p>
            <w:pPr>
              <w:pStyle w:val="47"/>
              <w:spacing w:line="240" w:lineRule="auto"/>
              <w:rPr>
                <w:color w:val="auto"/>
              </w:rPr>
            </w:pPr>
            <w:r>
              <w:rPr>
                <w:color w:val="auto"/>
              </w:rPr>
              <w:t>1293</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490</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43</w:t>
            </w:r>
          </w:p>
        </w:tc>
        <w:tc>
          <w:tcPr>
            <w:tcW w:w="1280" w:type="pct"/>
            <w:vAlign w:val="center"/>
          </w:tcPr>
          <w:p>
            <w:pPr>
              <w:pStyle w:val="47"/>
              <w:spacing w:line="240" w:lineRule="auto"/>
              <w:rPr>
                <w:color w:val="auto"/>
              </w:rPr>
            </w:pPr>
            <w:r>
              <w:rPr>
                <w:color w:val="auto"/>
              </w:rPr>
              <w:t>二苯并[a,h]蒽</w:t>
            </w:r>
          </w:p>
        </w:tc>
        <w:tc>
          <w:tcPr>
            <w:tcW w:w="1000" w:type="pct"/>
            <w:vAlign w:val="center"/>
          </w:tcPr>
          <w:p>
            <w:pPr>
              <w:pStyle w:val="47"/>
              <w:spacing w:line="240" w:lineRule="auto"/>
              <w:rPr>
                <w:color w:val="auto"/>
              </w:rPr>
            </w:pPr>
            <w:r>
              <w:rPr>
                <w:color w:val="auto"/>
              </w:rPr>
              <w:t>1.5</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0.55</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44</w:t>
            </w:r>
          </w:p>
        </w:tc>
        <w:tc>
          <w:tcPr>
            <w:tcW w:w="1280" w:type="pct"/>
            <w:vAlign w:val="center"/>
          </w:tcPr>
          <w:p>
            <w:pPr>
              <w:pStyle w:val="47"/>
              <w:spacing w:line="240" w:lineRule="auto"/>
              <w:rPr>
                <w:color w:val="auto"/>
              </w:rPr>
            </w:pPr>
            <w:r>
              <w:rPr>
                <w:color w:val="auto"/>
              </w:rPr>
              <w:t>茚并[1,2,3-cd]芘</w:t>
            </w:r>
          </w:p>
        </w:tc>
        <w:tc>
          <w:tcPr>
            <w:tcW w:w="1000" w:type="pct"/>
            <w:vAlign w:val="center"/>
          </w:tcPr>
          <w:p>
            <w:pPr>
              <w:pStyle w:val="47"/>
              <w:spacing w:line="240" w:lineRule="auto"/>
              <w:rPr>
                <w:color w:val="auto"/>
              </w:rPr>
            </w:pPr>
            <w:r>
              <w:rPr>
                <w:color w:val="auto"/>
              </w:rPr>
              <w:t>15</w:t>
            </w:r>
          </w:p>
        </w:tc>
        <w:tc>
          <w:tcPr>
            <w:tcW w:w="1000" w:type="pct"/>
            <w:vAlign w:val="center"/>
          </w:tcPr>
          <w:p>
            <w:pPr>
              <w:pStyle w:val="47"/>
              <w:spacing w:line="240" w:lineRule="auto"/>
              <w:rPr>
                <w:color w:val="auto"/>
              </w:rPr>
            </w:pPr>
            <w:r>
              <w:rPr>
                <w:rFonts w:hint="eastAsia"/>
                <w:color w:val="auto"/>
                <w:lang w:val="en-US" w:eastAsia="zh-CN"/>
              </w:rPr>
              <w:t>5.5</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45</w:t>
            </w:r>
          </w:p>
        </w:tc>
        <w:tc>
          <w:tcPr>
            <w:tcW w:w="1280" w:type="pct"/>
            <w:vAlign w:val="center"/>
          </w:tcPr>
          <w:p>
            <w:pPr>
              <w:pStyle w:val="47"/>
              <w:spacing w:line="240" w:lineRule="auto"/>
              <w:rPr>
                <w:color w:val="auto"/>
              </w:rPr>
            </w:pPr>
            <w:r>
              <w:rPr>
                <w:color w:val="auto"/>
              </w:rPr>
              <w:t>萘</w:t>
            </w:r>
          </w:p>
        </w:tc>
        <w:tc>
          <w:tcPr>
            <w:tcW w:w="1000" w:type="pct"/>
            <w:vAlign w:val="center"/>
          </w:tcPr>
          <w:p>
            <w:pPr>
              <w:pStyle w:val="47"/>
              <w:spacing w:line="240" w:lineRule="auto"/>
              <w:rPr>
                <w:color w:val="auto"/>
              </w:rPr>
            </w:pPr>
            <w:r>
              <w:rPr>
                <w:color w:val="auto"/>
              </w:rPr>
              <w:t>70</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25</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Align w:val="center"/>
          </w:tcPr>
          <w:p>
            <w:pPr>
              <w:pStyle w:val="47"/>
              <w:spacing w:line="240" w:lineRule="auto"/>
              <w:rPr>
                <w:color w:val="auto"/>
              </w:rPr>
            </w:pPr>
            <w:r>
              <w:rPr>
                <w:color w:val="auto"/>
              </w:rPr>
              <w:t>46</w:t>
            </w:r>
          </w:p>
        </w:tc>
        <w:tc>
          <w:tcPr>
            <w:tcW w:w="1280" w:type="pct"/>
            <w:vAlign w:val="center"/>
          </w:tcPr>
          <w:p>
            <w:pPr>
              <w:pStyle w:val="47"/>
              <w:spacing w:line="240" w:lineRule="auto"/>
              <w:rPr>
                <w:color w:val="auto"/>
              </w:rPr>
            </w:pPr>
            <w:r>
              <w:rPr>
                <w:color w:val="auto"/>
              </w:rPr>
              <w:t>石油烃</w:t>
            </w:r>
          </w:p>
        </w:tc>
        <w:tc>
          <w:tcPr>
            <w:tcW w:w="1000" w:type="pct"/>
            <w:vAlign w:val="center"/>
          </w:tcPr>
          <w:p>
            <w:pPr>
              <w:pStyle w:val="47"/>
              <w:spacing w:line="240" w:lineRule="auto"/>
              <w:rPr>
                <w:color w:val="auto"/>
              </w:rPr>
            </w:pPr>
            <w:r>
              <w:rPr>
                <w:color w:val="auto"/>
              </w:rPr>
              <w:t>4500</w:t>
            </w:r>
          </w:p>
        </w:tc>
        <w:tc>
          <w:tcPr>
            <w:tcW w:w="1000" w:type="pct"/>
            <w:vAlign w:val="center"/>
          </w:tcPr>
          <w:p>
            <w:pPr>
              <w:pStyle w:val="47"/>
              <w:spacing w:line="240" w:lineRule="auto"/>
              <w:rPr>
                <w:rFonts w:hint="default" w:eastAsia="宋体"/>
                <w:color w:val="auto"/>
                <w:lang w:val="en-US" w:eastAsia="zh-CN"/>
              </w:rPr>
            </w:pPr>
            <w:r>
              <w:rPr>
                <w:rFonts w:hint="eastAsia"/>
                <w:color w:val="auto"/>
                <w:lang w:val="en-US" w:eastAsia="zh-CN"/>
              </w:rPr>
              <w:t>826</w:t>
            </w:r>
          </w:p>
        </w:tc>
        <w:tc>
          <w:tcPr>
            <w:tcW w:w="1000" w:type="pct"/>
            <w:vAlign w:val="center"/>
          </w:tcPr>
          <w:p>
            <w:pPr>
              <w:pStyle w:val="47"/>
              <w:spacing w:line="240" w:lineRule="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999" w:type="pct"/>
            <w:gridSpan w:val="4"/>
            <w:vAlign w:val="center"/>
          </w:tcPr>
          <w:p>
            <w:pPr>
              <w:pStyle w:val="47"/>
              <w:spacing w:line="240" w:lineRule="auto"/>
              <w:rPr>
                <w:color w:val="auto"/>
              </w:rPr>
            </w:pPr>
            <w:r>
              <w:rPr>
                <w:color w:val="auto"/>
              </w:rPr>
              <w:t>注：具体地块土壤中污染物检测含量超过筛选值，但等于或低于土壤环境背景值水平的，不纳入污染地块管理。</w:t>
            </w:r>
          </w:p>
        </w:tc>
        <w:tc>
          <w:tcPr>
            <w:tcW w:w="1000" w:type="pct"/>
            <w:vAlign w:val="center"/>
          </w:tcPr>
          <w:p>
            <w:pPr>
              <w:pStyle w:val="47"/>
              <w:spacing w:line="240" w:lineRule="auto"/>
              <w:rPr>
                <w:color w:val="auto"/>
              </w:rPr>
            </w:pPr>
          </w:p>
        </w:tc>
      </w:tr>
    </w:tbl>
    <w:p>
      <w:pPr>
        <w:pStyle w:val="48"/>
        <w:rPr>
          <w:bCs/>
          <w:color w:val="auto"/>
        </w:rPr>
      </w:pPr>
      <w:r>
        <w:rPr>
          <w:bCs/>
          <w:color w:val="auto"/>
        </w:rPr>
        <w:t>表</w:t>
      </w:r>
      <w:r>
        <w:rPr>
          <w:rFonts w:hint="eastAsia"/>
          <w:bCs/>
          <w:color w:val="auto"/>
        </w:rPr>
        <w:t>4</w:t>
      </w:r>
      <w:r>
        <w:rPr>
          <w:bCs/>
          <w:color w:val="auto"/>
        </w:rPr>
        <w:t>.5-7 《土壤环境质量农用地土壤污染风险管控标准》单位：mg/kg</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32"/>
        <w:gridCol w:w="670"/>
        <w:gridCol w:w="1013"/>
        <w:gridCol w:w="1277"/>
        <w:gridCol w:w="1918"/>
        <w:gridCol w:w="1918"/>
        <w:gridCol w:w="127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467" w:type="pct"/>
            <w:vMerge w:val="restart"/>
            <w:vAlign w:val="center"/>
          </w:tcPr>
          <w:p>
            <w:pPr>
              <w:pStyle w:val="48"/>
              <w:spacing w:line="240" w:lineRule="auto"/>
              <w:rPr>
                <w:rFonts w:eastAsia="宋体"/>
                <w:b/>
                <w:color w:val="auto"/>
                <w:szCs w:val="21"/>
              </w:rPr>
            </w:pPr>
            <w:r>
              <w:rPr>
                <w:rFonts w:eastAsia="宋体"/>
                <w:b/>
                <w:color w:val="auto"/>
                <w:szCs w:val="21"/>
              </w:rPr>
              <w:t>序号</w:t>
            </w:r>
          </w:p>
        </w:tc>
        <w:tc>
          <w:tcPr>
            <w:tcW w:w="945" w:type="pct"/>
            <w:gridSpan w:val="2"/>
            <w:vMerge w:val="restart"/>
            <w:vAlign w:val="center"/>
          </w:tcPr>
          <w:p>
            <w:pPr>
              <w:pStyle w:val="48"/>
              <w:spacing w:line="240" w:lineRule="auto"/>
              <w:rPr>
                <w:rFonts w:eastAsia="宋体"/>
                <w:b/>
                <w:color w:val="auto"/>
                <w:szCs w:val="21"/>
              </w:rPr>
            </w:pPr>
            <w:r>
              <w:rPr>
                <w:rFonts w:eastAsia="宋体"/>
                <w:b/>
                <w:color w:val="auto"/>
                <w:szCs w:val="21"/>
              </w:rPr>
              <w:t>污染物项目</w:t>
            </w:r>
          </w:p>
        </w:tc>
        <w:tc>
          <w:tcPr>
            <w:tcW w:w="3588" w:type="pct"/>
            <w:gridSpan w:val="4"/>
            <w:vAlign w:val="center"/>
          </w:tcPr>
          <w:p>
            <w:pPr>
              <w:pStyle w:val="48"/>
              <w:spacing w:line="240" w:lineRule="auto"/>
              <w:rPr>
                <w:rFonts w:eastAsia="宋体"/>
                <w:b/>
                <w:color w:val="auto"/>
                <w:szCs w:val="21"/>
              </w:rPr>
            </w:pPr>
            <w:r>
              <w:rPr>
                <w:rFonts w:eastAsia="宋体"/>
                <w:b/>
                <w:color w:val="auto"/>
                <w:szCs w:val="21"/>
              </w:rPr>
              <w:t>风险筛选值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continue"/>
            <w:vAlign w:val="center"/>
          </w:tcPr>
          <w:p>
            <w:pPr>
              <w:pStyle w:val="48"/>
              <w:spacing w:line="240" w:lineRule="auto"/>
              <w:rPr>
                <w:rFonts w:eastAsia="宋体"/>
                <w:b/>
                <w:color w:val="auto"/>
                <w:szCs w:val="21"/>
              </w:rPr>
            </w:pPr>
          </w:p>
        </w:tc>
        <w:tc>
          <w:tcPr>
            <w:tcW w:w="945" w:type="pct"/>
            <w:gridSpan w:val="2"/>
            <w:vMerge w:val="continue"/>
            <w:vAlign w:val="center"/>
          </w:tcPr>
          <w:p>
            <w:pPr>
              <w:pStyle w:val="48"/>
              <w:spacing w:line="240" w:lineRule="auto"/>
              <w:rPr>
                <w:rFonts w:eastAsia="宋体"/>
                <w:b/>
                <w:color w:val="auto"/>
                <w:szCs w:val="21"/>
              </w:rPr>
            </w:pPr>
          </w:p>
        </w:tc>
        <w:tc>
          <w:tcPr>
            <w:tcW w:w="717" w:type="pct"/>
            <w:vAlign w:val="center"/>
          </w:tcPr>
          <w:p>
            <w:pPr>
              <w:pStyle w:val="48"/>
              <w:spacing w:line="240" w:lineRule="auto"/>
              <w:rPr>
                <w:rFonts w:eastAsia="宋体"/>
                <w:b/>
                <w:color w:val="auto"/>
                <w:szCs w:val="21"/>
              </w:rPr>
            </w:pPr>
            <w:r>
              <w:rPr>
                <w:rFonts w:eastAsia="宋体"/>
                <w:b/>
                <w:color w:val="auto"/>
                <w:szCs w:val="21"/>
              </w:rPr>
              <w:t>pH≤5.5</w:t>
            </w:r>
          </w:p>
        </w:tc>
        <w:tc>
          <w:tcPr>
            <w:tcW w:w="1077" w:type="pct"/>
            <w:vAlign w:val="center"/>
          </w:tcPr>
          <w:p>
            <w:pPr>
              <w:pStyle w:val="48"/>
              <w:spacing w:line="240" w:lineRule="auto"/>
              <w:rPr>
                <w:rFonts w:eastAsia="宋体"/>
                <w:b/>
                <w:color w:val="auto"/>
                <w:szCs w:val="21"/>
              </w:rPr>
            </w:pPr>
            <w:r>
              <w:rPr>
                <w:rFonts w:eastAsia="宋体"/>
                <w:b/>
                <w:color w:val="auto"/>
                <w:szCs w:val="21"/>
              </w:rPr>
              <w:t>5.5＜pH≤6.5</w:t>
            </w:r>
          </w:p>
        </w:tc>
        <w:tc>
          <w:tcPr>
            <w:tcW w:w="1077" w:type="pct"/>
            <w:vAlign w:val="center"/>
          </w:tcPr>
          <w:p>
            <w:pPr>
              <w:pStyle w:val="48"/>
              <w:spacing w:line="240" w:lineRule="auto"/>
              <w:rPr>
                <w:rFonts w:eastAsia="宋体"/>
                <w:b/>
                <w:color w:val="auto"/>
                <w:szCs w:val="21"/>
              </w:rPr>
            </w:pPr>
            <w:r>
              <w:rPr>
                <w:rFonts w:eastAsia="宋体"/>
                <w:b/>
                <w:color w:val="auto"/>
                <w:szCs w:val="21"/>
              </w:rPr>
              <w:t>6.5＜pH≤7.5</w:t>
            </w:r>
          </w:p>
        </w:tc>
        <w:tc>
          <w:tcPr>
            <w:tcW w:w="717" w:type="pct"/>
            <w:vAlign w:val="center"/>
          </w:tcPr>
          <w:p>
            <w:pPr>
              <w:pStyle w:val="48"/>
              <w:spacing w:line="240" w:lineRule="auto"/>
              <w:rPr>
                <w:rFonts w:eastAsia="宋体"/>
                <w:b/>
                <w:color w:val="auto"/>
                <w:szCs w:val="21"/>
              </w:rPr>
            </w:pPr>
            <w:r>
              <w:rPr>
                <w:rFonts w:eastAsia="宋体"/>
                <w:b/>
                <w:color w:val="auto"/>
                <w:szCs w:val="21"/>
              </w:rPr>
              <w:t>pH＞7.5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restart"/>
            <w:vAlign w:val="center"/>
          </w:tcPr>
          <w:p>
            <w:pPr>
              <w:pStyle w:val="48"/>
              <w:spacing w:line="240" w:lineRule="auto"/>
              <w:rPr>
                <w:rFonts w:eastAsia="宋体"/>
                <w:color w:val="auto"/>
                <w:szCs w:val="21"/>
              </w:rPr>
            </w:pPr>
            <w:r>
              <w:rPr>
                <w:rFonts w:eastAsia="宋体"/>
                <w:color w:val="auto"/>
                <w:szCs w:val="21"/>
              </w:rPr>
              <w:t>1</w:t>
            </w:r>
          </w:p>
        </w:tc>
        <w:tc>
          <w:tcPr>
            <w:tcW w:w="376" w:type="pct"/>
            <w:vMerge w:val="restart"/>
            <w:vAlign w:val="center"/>
          </w:tcPr>
          <w:p>
            <w:pPr>
              <w:pStyle w:val="48"/>
              <w:spacing w:line="240" w:lineRule="auto"/>
              <w:rPr>
                <w:rFonts w:eastAsia="宋体"/>
                <w:color w:val="auto"/>
                <w:szCs w:val="21"/>
              </w:rPr>
            </w:pPr>
            <w:r>
              <w:rPr>
                <w:rFonts w:eastAsia="宋体"/>
                <w:color w:val="auto"/>
                <w:szCs w:val="21"/>
              </w:rPr>
              <w:t>镉</w:t>
            </w:r>
          </w:p>
        </w:tc>
        <w:tc>
          <w:tcPr>
            <w:tcW w:w="569" w:type="pct"/>
            <w:vAlign w:val="center"/>
          </w:tcPr>
          <w:p>
            <w:pPr>
              <w:pStyle w:val="48"/>
              <w:spacing w:line="240" w:lineRule="auto"/>
              <w:rPr>
                <w:rFonts w:eastAsia="宋体"/>
                <w:color w:val="auto"/>
                <w:szCs w:val="21"/>
              </w:rPr>
            </w:pPr>
            <w:r>
              <w:rPr>
                <w:rFonts w:eastAsia="宋体"/>
                <w:color w:val="auto"/>
                <w:szCs w:val="21"/>
              </w:rPr>
              <w:t>水田</w:t>
            </w:r>
          </w:p>
        </w:tc>
        <w:tc>
          <w:tcPr>
            <w:tcW w:w="717" w:type="pct"/>
            <w:vAlign w:val="center"/>
          </w:tcPr>
          <w:p>
            <w:pPr>
              <w:pStyle w:val="48"/>
              <w:spacing w:line="240" w:lineRule="auto"/>
              <w:rPr>
                <w:rFonts w:eastAsia="宋体"/>
                <w:color w:val="auto"/>
                <w:szCs w:val="21"/>
              </w:rPr>
            </w:pPr>
            <w:r>
              <w:rPr>
                <w:rFonts w:eastAsia="宋体"/>
                <w:color w:val="auto"/>
                <w:szCs w:val="21"/>
              </w:rPr>
              <w:t>0.3</w:t>
            </w:r>
          </w:p>
        </w:tc>
        <w:tc>
          <w:tcPr>
            <w:tcW w:w="1077" w:type="pct"/>
            <w:vAlign w:val="center"/>
          </w:tcPr>
          <w:p>
            <w:pPr>
              <w:pStyle w:val="48"/>
              <w:spacing w:line="240" w:lineRule="auto"/>
              <w:rPr>
                <w:rFonts w:eastAsia="宋体"/>
                <w:color w:val="auto"/>
                <w:szCs w:val="21"/>
              </w:rPr>
            </w:pPr>
            <w:r>
              <w:rPr>
                <w:rFonts w:eastAsia="宋体"/>
                <w:color w:val="auto"/>
                <w:szCs w:val="21"/>
              </w:rPr>
              <w:t>0.4</w:t>
            </w:r>
          </w:p>
        </w:tc>
        <w:tc>
          <w:tcPr>
            <w:tcW w:w="1077" w:type="pct"/>
            <w:vAlign w:val="center"/>
          </w:tcPr>
          <w:p>
            <w:pPr>
              <w:pStyle w:val="48"/>
              <w:spacing w:line="240" w:lineRule="auto"/>
              <w:rPr>
                <w:rFonts w:eastAsia="宋体"/>
                <w:color w:val="auto"/>
                <w:szCs w:val="21"/>
              </w:rPr>
            </w:pPr>
            <w:r>
              <w:rPr>
                <w:rFonts w:eastAsia="宋体"/>
                <w:color w:val="auto"/>
                <w:szCs w:val="21"/>
              </w:rPr>
              <w:t>0.6</w:t>
            </w:r>
          </w:p>
        </w:tc>
        <w:tc>
          <w:tcPr>
            <w:tcW w:w="717" w:type="pct"/>
            <w:vAlign w:val="center"/>
          </w:tcPr>
          <w:p>
            <w:pPr>
              <w:pStyle w:val="48"/>
              <w:spacing w:line="240" w:lineRule="auto"/>
              <w:rPr>
                <w:rFonts w:eastAsia="宋体"/>
                <w:color w:val="auto"/>
                <w:szCs w:val="21"/>
              </w:rPr>
            </w:pPr>
            <w:r>
              <w:rPr>
                <w:rFonts w:eastAsia="宋体"/>
                <w:color w:val="auto"/>
                <w:szCs w:val="21"/>
              </w:rPr>
              <w:t>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continue"/>
            <w:vAlign w:val="center"/>
          </w:tcPr>
          <w:p>
            <w:pPr>
              <w:pStyle w:val="48"/>
              <w:spacing w:line="240" w:lineRule="auto"/>
              <w:rPr>
                <w:rFonts w:eastAsia="宋体"/>
                <w:color w:val="auto"/>
                <w:szCs w:val="21"/>
              </w:rPr>
            </w:pPr>
          </w:p>
        </w:tc>
        <w:tc>
          <w:tcPr>
            <w:tcW w:w="376" w:type="pct"/>
            <w:vMerge w:val="continue"/>
            <w:vAlign w:val="center"/>
          </w:tcPr>
          <w:p>
            <w:pPr>
              <w:pStyle w:val="48"/>
              <w:spacing w:line="240" w:lineRule="auto"/>
              <w:rPr>
                <w:rFonts w:eastAsia="宋体"/>
                <w:color w:val="auto"/>
                <w:szCs w:val="21"/>
              </w:rPr>
            </w:pPr>
          </w:p>
        </w:tc>
        <w:tc>
          <w:tcPr>
            <w:tcW w:w="569" w:type="pct"/>
            <w:vAlign w:val="center"/>
          </w:tcPr>
          <w:p>
            <w:pPr>
              <w:pStyle w:val="48"/>
              <w:spacing w:line="240" w:lineRule="auto"/>
              <w:rPr>
                <w:rFonts w:eastAsia="宋体"/>
                <w:color w:val="auto"/>
                <w:szCs w:val="21"/>
              </w:rPr>
            </w:pPr>
            <w:r>
              <w:rPr>
                <w:rFonts w:eastAsia="宋体"/>
                <w:color w:val="auto"/>
                <w:szCs w:val="21"/>
              </w:rPr>
              <w:t>其他</w:t>
            </w:r>
          </w:p>
        </w:tc>
        <w:tc>
          <w:tcPr>
            <w:tcW w:w="717" w:type="pct"/>
            <w:vAlign w:val="center"/>
          </w:tcPr>
          <w:p>
            <w:pPr>
              <w:pStyle w:val="48"/>
              <w:spacing w:line="240" w:lineRule="auto"/>
              <w:rPr>
                <w:rFonts w:eastAsia="宋体"/>
                <w:color w:val="auto"/>
                <w:szCs w:val="21"/>
              </w:rPr>
            </w:pPr>
            <w:r>
              <w:rPr>
                <w:rFonts w:eastAsia="宋体"/>
                <w:color w:val="auto"/>
                <w:szCs w:val="21"/>
              </w:rPr>
              <w:t>0.3</w:t>
            </w:r>
          </w:p>
        </w:tc>
        <w:tc>
          <w:tcPr>
            <w:tcW w:w="1077" w:type="pct"/>
            <w:vAlign w:val="center"/>
          </w:tcPr>
          <w:p>
            <w:pPr>
              <w:pStyle w:val="48"/>
              <w:spacing w:line="240" w:lineRule="auto"/>
              <w:rPr>
                <w:rFonts w:eastAsia="宋体"/>
                <w:color w:val="auto"/>
                <w:szCs w:val="21"/>
              </w:rPr>
            </w:pPr>
            <w:r>
              <w:rPr>
                <w:rFonts w:eastAsia="宋体"/>
                <w:color w:val="auto"/>
                <w:szCs w:val="21"/>
              </w:rPr>
              <w:t>0.3</w:t>
            </w:r>
          </w:p>
        </w:tc>
        <w:tc>
          <w:tcPr>
            <w:tcW w:w="1077" w:type="pct"/>
            <w:vAlign w:val="center"/>
          </w:tcPr>
          <w:p>
            <w:pPr>
              <w:pStyle w:val="48"/>
              <w:spacing w:line="240" w:lineRule="auto"/>
              <w:rPr>
                <w:rFonts w:eastAsia="宋体"/>
                <w:color w:val="auto"/>
                <w:szCs w:val="21"/>
              </w:rPr>
            </w:pPr>
            <w:r>
              <w:rPr>
                <w:rFonts w:eastAsia="宋体"/>
                <w:color w:val="auto"/>
                <w:szCs w:val="21"/>
              </w:rPr>
              <w:t>0.3</w:t>
            </w:r>
          </w:p>
        </w:tc>
        <w:tc>
          <w:tcPr>
            <w:tcW w:w="717" w:type="pct"/>
            <w:vAlign w:val="center"/>
          </w:tcPr>
          <w:p>
            <w:pPr>
              <w:pStyle w:val="48"/>
              <w:spacing w:line="240" w:lineRule="auto"/>
              <w:rPr>
                <w:rFonts w:eastAsia="宋体"/>
                <w:color w:val="auto"/>
                <w:szCs w:val="21"/>
              </w:rPr>
            </w:pPr>
            <w:r>
              <w:rPr>
                <w:rFonts w:eastAsia="宋体"/>
                <w:color w:val="auto"/>
                <w:szCs w:val="21"/>
              </w:rPr>
              <w:t>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restart"/>
            <w:vAlign w:val="center"/>
          </w:tcPr>
          <w:p>
            <w:pPr>
              <w:pStyle w:val="48"/>
              <w:spacing w:line="240" w:lineRule="auto"/>
              <w:rPr>
                <w:rFonts w:eastAsia="宋体"/>
                <w:color w:val="auto"/>
                <w:szCs w:val="21"/>
              </w:rPr>
            </w:pPr>
            <w:r>
              <w:rPr>
                <w:rFonts w:eastAsia="宋体"/>
                <w:color w:val="auto"/>
                <w:szCs w:val="21"/>
              </w:rPr>
              <w:t>2</w:t>
            </w:r>
          </w:p>
        </w:tc>
        <w:tc>
          <w:tcPr>
            <w:tcW w:w="376" w:type="pct"/>
            <w:vMerge w:val="restart"/>
            <w:vAlign w:val="center"/>
          </w:tcPr>
          <w:p>
            <w:pPr>
              <w:pStyle w:val="48"/>
              <w:spacing w:line="240" w:lineRule="auto"/>
              <w:rPr>
                <w:rFonts w:eastAsia="宋体"/>
                <w:color w:val="auto"/>
                <w:szCs w:val="21"/>
              </w:rPr>
            </w:pPr>
            <w:r>
              <w:rPr>
                <w:rFonts w:eastAsia="宋体"/>
                <w:color w:val="auto"/>
                <w:szCs w:val="21"/>
              </w:rPr>
              <w:t>汞</w:t>
            </w:r>
          </w:p>
        </w:tc>
        <w:tc>
          <w:tcPr>
            <w:tcW w:w="569" w:type="pct"/>
            <w:vAlign w:val="center"/>
          </w:tcPr>
          <w:p>
            <w:pPr>
              <w:pStyle w:val="48"/>
              <w:spacing w:line="240" w:lineRule="auto"/>
              <w:rPr>
                <w:rFonts w:eastAsia="宋体"/>
                <w:color w:val="auto"/>
                <w:szCs w:val="21"/>
              </w:rPr>
            </w:pPr>
            <w:r>
              <w:rPr>
                <w:rFonts w:eastAsia="宋体"/>
                <w:color w:val="auto"/>
                <w:szCs w:val="21"/>
              </w:rPr>
              <w:t>水田</w:t>
            </w:r>
          </w:p>
        </w:tc>
        <w:tc>
          <w:tcPr>
            <w:tcW w:w="717" w:type="pct"/>
            <w:vAlign w:val="center"/>
          </w:tcPr>
          <w:p>
            <w:pPr>
              <w:pStyle w:val="48"/>
              <w:spacing w:line="240" w:lineRule="auto"/>
              <w:rPr>
                <w:rFonts w:eastAsia="宋体"/>
                <w:color w:val="auto"/>
                <w:szCs w:val="21"/>
              </w:rPr>
            </w:pPr>
            <w:r>
              <w:rPr>
                <w:rFonts w:eastAsia="宋体"/>
                <w:color w:val="auto"/>
                <w:szCs w:val="21"/>
              </w:rPr>
              <w:t>0.5</w:t>
            </w:r>
          </w:p>
        </w:tc>
        <w:tc>
          <w:tcPr>
            <w:tcW w:w="1077" w:type="pct"/>
            <w:vAlign w:val="center"/>
          </w:tcPr>
          <w:p>
            <w:pPr>
              <w:pStyle w:val="48"/>
              <w:spacing w:line="240" w:lineRule="auto"/>
              <w:rPr>
                <w:rFonts w:eastAsia="宋体"/>
                <w:color w:val="auto"/>
                <w:szCs w:val="21"/>
              </w:rPr>
            </w:pPr>
            <w:r>
              <w:rPr>
                <w:rFonts w:eastAsia="宋体"/>
                <w:color w:val="auto"/>
                <w:szCs w:val="21"/>
              </w:rPr>
              <w:t>0.5</w:t>
            </w:r>
          </w:p>
        </w:tc>
        <w:tc>
          <w:tcPr>
            <w:tcW w:w="1077" w:type="pct"/>
            <w:vAlign w:val="center"/>
          </w:tcPr>
          <w:p>
            <w:pPr>
              <w:pStyle w:val="48"/>
              <w:spacing w:line="240" w:lineRule="auto"/>
              <w:rPr>
                <w:rFonts w:eastAsia="宋体"/>
                <w:color w:val="auto"/>
                <w:szCs w:val="21"/>
              </w:rPr>
            </w:pPr>
            <w:r>
              <w:rPr>
                <w:rFonts w:eastAsia="宋体"/>
                <w:color w:val="auto"/>
                <w:szCs w:val="21"/>
              </w:rPr>
              <w:t>0.6</w:t>
            </w:r>
          </w:p>
        </w:tc>
        <w:tc>
          <w:tcPr>
            <w:tcW w:w="717" w:type="pct"/>
            <w:vAlign w:val="center"/>
          </w:tcPr>
          <w:p>
            <w:pPr>
              <w:pStyle w:val="48"/>
              <w:spacing w:line="240" w:lineRule="auto"/>
              <w:rPr>
                <w:rFonts w:eastAsia="宋体"/>
                <w:color w:val="auto"/>
                <w:szCs w:val="21"/>
              </w:rPr>
            </w:pPr>
            <w:r>
              <w:rPr>
                <w:rFonts w:eastAsia="宋体"/>
                <w:color w:val="auto"/>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continue"/>
            <w:vAlign w:val="center"/>
          </w:tcPr>
          <w:p>
            <w:pPr>
              <w:pStyle w:val="48"/>
              <w:spacing w:line="240" w:lineRule="auto"/>
              <w:rPr>
                <w:rFonts w:eastAsia="宋体"/>
                <w:color w:val="auto"/>
                <w:szCs w:val="21"/>
              </w:rPr>
            </w:pPr>
          </w:p>
        </w:tc>
        <w:tc>
          <w:tcPr>
            <w:tcW w:w="376" w:type="pct"/>
            <w:vMerge w:val="continue"/>
            <w:vAlign w:val="center"/>
          </w:tcPr>
          <w:p>
            <w:pPr>
              <w:pStyle w:val="48"/>
              <w:spacing w:line="240" w:lineRule="auto"/>
              <w:rPr>
                <w:rFonts w:eastAsia="宋体"/>
                <w:color w:val="auto"/>
                <w:szCs w:val="21"/>
              </w:rPr>
            </w:pPr>
          </w:p>
        </w:tc>
        <w:tc>
          <w:tcPr>
            <w:tcW w:w="569" w:type="pct"/>
            <w:vAlign w:val="center"/>
          </w:tcPr>
          <w:p>
            <w:pPr>
              <w:pStyle w:val="48"/>
              <w:spacing w:line="240" w:lineRule="auto"/>
              <w:rPr>
                <w:rFonts w:eastAsia="宋体"/>
                <w:color w:val="auto"/>
                <w:szCs w:val="21"/>
              </w:rPr>
            </w:pPr>
            <w:r>
              <w:rPr>
                <w:rFonts w:eastAsia="宋体"/>
                <w:color w:val="auto"/>
                <w:szCs w:val="21"/>
              </w:rPr>
              <w:t>其他</w:t>
            </w:r>
          </w:p>
        </w:tc>
        <w:tc>
          <w:tcPr>
            <w:tcW w:w="717" w:type="pct"/>
            <w:vAlign w:val="center"/>
          </w:tcPr>
          <w:p>
            <w:pPr>
              <w:pStyle w:val="48"/>
              <w:spacing w:line="240" w:lineRule="auto"/>
              <w:rPr>
                <w:rFonts w:eastAsia="宋体"/>
                <w:color w:val="auto"/>
                <w:szCs w:val="21"/>
              </w:rPr>
            </w:pPr>
            <w:r>
              <w:rPr>
                <w:rFonts w:eastAsia="宋体"/>
                <w:color w:val="auto"/>
                <w:szCs w:val="21"/>
              </w:rPr>
              <w:t>1.3</w:t>
            </w:r>
          </w:p>
        </w:tc>
        <w:tc>
          <w:tcPr>
            <w:tcW w:w="1077" w:type="pct"/>
            <w:vAlign w:val="center"/>
          </w:tcPr>
          <w:p>
            <w:pPr>
              <w:pStyle w:val="48"/>
              <w:spacing w:line="240" w:lineRule="auto"/>
              <w:rPr>
                <w:rFonts w:eastAsia="宋体"/>
                <w:color w:val="auto"/>
                <w:szCs w:val="21"/>
              </w:rPr>
            </w:pPr>
            <w:r>
              <w:rPr>
                <w:rFonts w:eastAsia="宋体"/>
                <w:color w:val="auto"/>
                <w:szCs w:val="21"/>
              </w:rPr>
              <w:t>1.8</w:t>
            </w:r>
          </w:p>
        </w:tc>
        <w:tc>
          <w:tcPr>
            <w:tcW w:w="1077" w:type="pct"/>
            <w:vAlign w:val="center"/>
          </w:tcPr>
          <w:p>
            <w:pPr>
              <w:pStyle w:val="48"/>
              <w:spacing w:line="240" w:lineRule="auto"/>
              <w:rPr>
                <w:rFonts w:eastAsia="宋体"/>
                <w:color w:val="auto"/>
                <w:szCs w:val="21"/>
              </w:rPr>
            </w:pPr>
            <w:r>
              <w:rPr>
                <w:rFonts w:eastAsia="宋体"/>
                <w:color w:val="auto"/>
                <w:szCs w:val="21"/>
              </w:rPr>
              <w:t>2.4</w:t>
            </w:r>
          </w:p>
        </w:tc>
        <w:tc>
          <w:tcPr>
            <w:tcW w:w="717" w:type="pct"/>
            <w:vAlign w:val="center"/>
          </w:tcPr>
          <w:p>
            <w:pPr>
              <w:pStyle w:val="48"/>
              <w:spacing w:line="240" w:lineRule="auto"/>
              <w:rPr>
                <w:rFonts w:eastAsia="宋体"/>
                <w:color w:val="auto"/>
                <w:szCs w:val="21"/>
              </w:rPr>
            </w:pPr>
            <w:r>
              <w:rPr>
                <w:rFonts w:eastAsia="宋体"/>
                <w:color w:val="auto"/>
                <w:szCs w:val="21"/>
              </w:rPr>
              <w:t>3.4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restart"/>
            <w:vAlign w:val="center"/>
          </w:tcPr>
          <w:p>
            <w:pPr>
              <w:pStyle w:val="48"/>
              <w:spacing w:line="240" w:lineRule="auto"/>
              <w:rPr>
                <w:rFonts w:eastAsia="宋体"/>
                <w:color w:val="auto"/>
                <w:szCs w:val="21"/>
              </w:rPr>
            </w:pPr>
            <w:r>
              <w:rPr>
                <w:rFonts w:eastAsia="宋体"/>
                <w:color w:val="auto"/>
                <w:szCs w:val="21"/>
              </w:rPr>
              <w:t>3</w:t>
            </w:r>
          </w:p>
        </w:tc>
        <w:tc>
          <w:tcPr>
            <w:tcW w:w="376" w:type="pct"/>
            <w:vMerge w:val="restart"/>
            <w:vAlign w:val="center"/>
          </w:tcPr>
          <w:p>
            <w:pPr>
              <w:pStyle w:val="48"/>
              <w:spacing w:line="240" w:lineRule="auto"/>
              <w:rPr>
                <w:rFonts w:eastAsia="宋体"/>
                <w:color w:val="auto"/>
                <w:szCs w:val="21"/>
              </w:rPr>
            </w:pPr>
            <w:r>
              <w:rPr>
                <w:rFonts w:eastAsia="宋体"/>
                <w:color w:val="auto"/>
                <w:szCs w:val="21"/>
              </w:rPr>
              <w:t>砷</w:t>
            </w:r>
          </w:p>
        </w:tc>
        <w:tc>
          <w:tcPr>
            <w:tcW w:w="569" w:type="pct"/>
            <w:vAlign w:val="center"/>
          </w:tcPr>
          <w:p>
            <w:pPr>
              <w:pStyle w:val="48"/>
              <w:spacing w:line="240" w:lineRule="auto"/>
              <w:rPr>
                <w:rFonts w:eastAsia="宋体"/>
                <w:color w:val="auto"/>
                <w:szCs w:val="21"/>
              </w:rPr>
            </w:pPr>
            <w:r>
              <w:rPr>
                <w:rFonts w:eastAsia="宋体"/>
                <w:color w:val="auto"/>
                <w:szCs w:val="21"/>
              </w:rPr>
              <w:t>水田</w:t>
            </w:r>
          </w:p>
        </w:tc>
        <w:tc>
          <w:tcPr>
            <w:tcW w:w="717" w:type="pct"/>
            <w:vAlign w:val="center"/>
          </w:tcPr>
          <w:p>
            <w:pPr>
              <w:pStyle w:val="48"/>
              <w:spacing w:line="240" w:lineRule="auto"/>
              <w:rPr>
                <w:rFonts w:eastAsia="宋体"/>
                <w:color w:val="auto"/>
                <w:szCs w:val="21"/>
              </w:rPr>
            </w:pPr>
            <w:r>
              <w:rPr>
                <w:rFonts w:eastAsia="宋体"/>
                <w:color w:val="auto"/>
                <w:szCs w:val="21"/>
              </w:rPr>
              <w:t>30</w:t>
            </w:r>
          </w:p>
        </w:tc>
        <w:tc>
          <w:tcPr>
            <w:tcW w:w="1077" w:type="pct"/>
            <w:vAlign w:val="center"/>
          </w:tcPr>
          <w:p>
            <w:pPr>
              <w:pStyle w:val="48"/>
              <w:spacing w:line="240" w:lineRule="auto"/>
              <w:rPr>
                <w:rFonts w:eastAsia="宋体"/>
                <w:color w:val="auto"/>
                <w:szCs w:val="21"/>
              </w:rPr>
            </w:pPr>
            <w:r>
              <w:rPr>
                <w:rFonts w:eastAsia="宋体"/>
                <w:color w:val="auto"/>
                <w:szCs w:val="21"/>
              </w:rPr>
              <w:t>30</w:t>
            </w:r>
          </w:p>
        </w:tc>
        <w:tc>
          <w:tcPr>
            <w:tcW w:w="1077" w:type="pct"/>
            <w:vAlign w:val="center"/>
          </w:tcPr>
          <w:p>
            <w:pPr>
              <w:pStyle w:val="48"/>
              <w:spacing w:line="240" w:lineRule="auto"/>
              <w:rPr>
                <w:rFonts w:eastAsia="宋体"/>
                <w:color w:val="auto"/>
                <w:szCs w:val="21"/>
              </w:rPr>
            </w:pPr>
            <w:r>
              <w:rPr>
                <w:rFonts w:eastAsia="宋体"/>
                <w:color w:val="auto"/>
                <w:szCs w:val="21"/>
              </w:rPr>
              <w:t>25</w:t>
            </w:r>
          </w:p>
        </w:tc>
        <w:tc>
          <w:tcPr>
            <w:tcW w:w="717" w:type="pct"/>
            <w:vAlign w:val="center"/>
          </w:tcPr>
          <w:p>
            <w:pPr>
              <w:pStyle w:val="48"/>
              <w:spacing w:line="240" w:lineRule="auto"/>
              <w:rPr>
                <w:rFonts w:eastAsia="宋体"/>
                <w:color w:val="auto"/>
                <w:szCs w:val="21"/>
              </w:rPr>
            </w:pPr>
            <w:r>
              <w:rPr>
                <w:rFonts w:eastAsia="宋体"/>
                <w:color w:val="auto"/>
                <w:szCs w:val="21"/>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continue"/>
            <w:vAlign w:val="center"/>
          </w:tcPr>
          <w:p>
            <w:pPr>
              <w:pStyle w:val="48"/>
              <w:spacing w:line="240" w:lineRule="auto"/>
              <w:rPr>
                <w:rFonts w:eastAsia="宋体"/>
                <w:color w:val="auto"/>
                <w:szCs w:val="21"/>
              </w:rPr>
            </w:pPr>
          </w:p>
        </w:tc>
        <w:tc>
          <w:tcPr>
            <w:tcW w:w="376" w:type="pct"/>
            <w:vMerge w:val="continue"/>
            <w:vAlign w:val="center"/>
          </w:tcPr>
          <w:p>
            <w:pPr>
              <w:pStyle w:val="48"/>
              <w:spacing w:line="240" w:lineRule="auto"/>
              <w:rPr>
                <w:rFonts w:eastAsia="宋体"/>
                <w:color w:val="auto"/>
                <w:szCs w:val="21"/>
              </w:rPr>
            </w:pPr>
          </w:p>
        </w:tc>
        <w:tc>
          <w:tcPr>
            <w:tcW w:w="569" w:type="pct"/>
            <w:vAlign w:val="center"/>
          </w:tcPr>
          <w:p>
            <w:pPr>
              <w:pStyle w:val="48"/>
              <w:spacing w:line="240" w:lineRule="auto"/>
              <w:rPr>
                <w:rFonts w:eastAsia="宋体"/>
                <w:color w:val="auto"/>
                <w:szCs w:val="21"/>
              </w:rPr>
            </w:pPr>
            <w:r>
              <w:rPr>
                <w:rFonts w:eastAsia="宋体"/>
                <w:color w:val="auto"/>
                <w:szCs w:val="21"/>
              </w:rPr>
              <w:t>其他</w:t>
            </w:r>
          </w:p>
        </w:tc>
        <w:tc>
          <w:tcPr>
            <w:tcW w:w="717" w:type="pct"/>
            <w:vAlign w:val="center"/>
          </w:tcPr>
          <w:p>
            <w:pPr>
              <w:pStyle w:val="48"/>
              <w:spacing w:line="240" w:lineRule="auto"/>
              <w:rPr>
                <w:rFonts w:eastAsia="宋体"/>
                <w:color w:val="auto"/>
                <w:szCs w:val="21"/>
              </w:rPr>
            </w:pPr>
            <w:r>
              <w:rPr>
                <w:rFonts w:eastAsia="宋体"/>
                <w:color w:val="auto"/>
                <w:szCs w:val="21"/>
              </w:rPr>
              <w:t>40</w:t>
            </w:r>
          </w:p>
        </w:tc>
        <w:tc>
          <w:tcPr>
            <w:tcW w:w="1077" w:type="pct"/>
            <w:vAlign w:val="center"/>
          </w:tcPr>
          <w:p>
            <w:pPr>
              <w:pStyle w:val="48"/>
              <w:spacing w:line="240" w:lineRule="auto"/>
              <w:rPr>
                <w:rFonts w:eastAsia="宋体"/>
                <w:color w:val="auto"/>
                <w:szCs w:val="21"/>
              </w:rPr>
            </w:pPr>
            <w:r>
              <w:rPr>
                <w:rFonts w:eastAsia="宋体"/>
                <w:color w:val="auto"/>
                <w:szCs w:val="21"/>
              </w:rPr>
              <w:t>40</w:t>
            </w:r>
          </w:p>
        </w:tc>
        <w:tc>
          <w:tcPr>
            <w:tcW w:w="1077" w:type="pct"/>
            <w:vAlign w:val="center"/>
          </w:tcPr>
          <w:p>
            <w:pPr>
              <w:pStyle w:val="48"/>
              <w:spacing w:line="240" w:lineRule="auto"/>
              <w:rPr>
                <w:rFonts w:eastAsia="宋体"/>
                <w:color w:val="auto"/>
                <w:szCs w:val="21"/>
              </w:rPr>
            </w:pPr>
            <w:r>
              <w:rPr>
                <w:rFonts w:eastAsia="宋体"/>
                <w:color w:val="auto"/>
                <w:szCs w:val="21"/>
              </w:rPr>
              <w:t>30</w:t>
            </w:r>
          </w:p>
        </w:tc>
        <w:tc>
          <w:tcPr>
            <w:tcW w:w="717" w:type="pct"/>
            <w:vAlign w:val="center"/>
          </w:tcPr>
          <w:p>
            <w:pPr>
              <w:pStyle w:val="48"/>
              <w:spacing w:line="240" w:lineRule="auto"/>
              <w:rPr>
                <w:rFonts w:eastAsia="宋体"/>
                <w:color w:val="auto"/>
                <w:szCs w:val="21"/>
              </w:rPr>
            </w:pPr>
            <w:r>
              <w:rPr>
                <w:rFonts w:eastAsia="宋体"/>
                <w:color w:val="auto"/>
                <w:szCs w:val="21"/>
              </w:rPr>
              <w:t>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restart"/>
            <w:vAlign w:val="center"/>
          </w:tcPr>
          <w:p>
            <w:pPr>
              <w:pStyle w:val="48"/>
              <w:spacing w:line="240" w:lineRule="auto"/>
              <w:rPr>
                <w:rFonts w:eastAsia="宋体"/>
                <w:color w:val="auto"/>
                <w:szCs w:val="21"/>
              </w:rPr>
            </w:pPr>
            <w:r>
              <w:rPr>
                <w:rFonts w:eastAsia="宋体"/>
                <w:color w:val="auto"/>
                <w:szCs w:val="21"/>
              </w:rPr>
              <w:t>4</w:t>
            </w:r>
          </w:p>
        </w:tc>
        <w:tc>
          <w:tcPr>
            <w:tcW w:w="376" w:type="pct"/>
            <w:vMerge w:val="restart"/>
            <w:vAlign w:val="center"/>
          </w:tcPr>
          <w:p>
            <w:pPr>
              <w:pStyle w:val="48"/>
              <w:spacing w:line="240" w:lineRule="auto"/>
              <w:rPr>
                <w:rFonts w:eastAsia="宋体"/>
                <w:color w:val="auto"/>
                <w:szCs w:val="21"/>
              </w:rPr>
            </w:pPr>
            <w:r>
              <w:rPr>
                <w:rFonts w:eastAsia="宋体"/>
                <w:color w:val="auto"/>
                <w:szCs w:val="21"/>
              </w:rPr>
              <w:t>铅</w:t>
            </w:r>
          </w:p>
        </w:tc>
        <w:tc>
          <w:tcPr>
            <w:tcW w:w="569" w:type="pct"/>
            <w:vAlign w:val="center"/>
          </w:tcPr>
          <w:p>
            <w:pPr>
              <w:pStyle w:val="48"/>
              <w:spacing w:line="240" w:lineRule="auto"/>
              <w:rPr>
                <w:rFonts w:eastAsia="宋体"/>
                <w:color w:val="auto"/>
                <w:szCs w:val="21"/>
              </w:rPr>
            </w:pPr>
            <w:r>
              <w:rPr>
                <w:rFonts w:eastAsia="宋体"/>
                <w:color w:val="auto"/>
                <w:szCs w:val="21"/>
              </w:rPr>
              <w:t>水田</w:t>
            </w:r>
          </w:p>
        </w:tc>
        <w:tc>
          <w:tcPr>
            <w:tcW w:w="717" w:type="pct"/>
            <w:vAlign w:val="center"/>
          </w:tcPr>
          <w:p>
            <w:pPr>
              <w:pStyle w:val="48"/>
              <w:spacing w:line="240" w:lineRule="auto"/>
              <w:rPr>
                <w:rFonts w:eastAsia="宋体"/>
                <w:color w:val="auto"/>
                <w:szCs w:val="21"/>
              </w:rPr>
            </w:pPr>
            <w:r>
              <w:rPr>
                <w:rFonts w:eastAsia="宋体"/>
                <w:color w:val="auto"/>
                <w:szCs w:val="21"/>
              </w:rPr>
              <w:t>80</w:t>
            </w:r>
          </w:p>
        </w:tc>
        <w:tc>
          <w:tcPr>
            <w:tcW w:w="1077" w:type="pct"/>
            <w:vAlign w:val="center"/>
          </w:tcPr>
          <w:p>
            <w:pPr>
              <w:pStyle w:val="48"/>
              <w:spacing w:line="240" w:lineRule="auto"/>
              <w:rPr>
                <w:rFonts w:eastAsia="宋体"/>
                <w:color w:val="auto"/>
                <w:szCs w:val="21"/>
              </w:rPr>
            </w:pPr>
            <w:r>
              <w:rPr>
                <w:rFonts w:eastAsia="宋体"/>
                <w:color w:val="auto"/>
                <w:szCs w:val="21"/>
              </w:rPr>
              <w:t>100</w:t>
            </w:r>
          </w:p>
        </w:tc>
        <w:tc>
          <w:tcPr>
            <w:tcW w:w="1077" w:type="pct"/>
            <w:vAlign w:val="center"/>
          </w:tcPr>
          <w:p>
            <w:pPr>
              <w:pStyle w:val="48"/>
              <w:spacing w:line="240" w:lineRule="auto"/>
              <w:rPr>
                <w:rFonts w:eastAsia="宋体"/>
                <w:color w:val="auto"/>
                <w:szCs w:val="21"/>
              </w:rPr>
            </w:pPr>
            <w:r>
              <w:rPr>
                <w:rFonts w:eastAsia="宋体"/>
                <w:color w:val="auto"/>
                <w:szCs w:val="21"/>
              </w:rPr>
              <w:t>140</w:t>
            </w:r>
          </w:p>
        </w:tc>
        <w:tc>
          <w:tcPr>
            <w:tcW w:w="717" w:type="pct"/>
            <w:vAlign w:val="center"/>
          </w:tcPr>
          <w:p>
            <w:pPr>
              <w:pStyle w:val="48"/>
              <w:spacing w:line="240" w:lineRule="auto"/>
              <w:rPr>
                <w:rFonts w:eastAsia="宋体"/>
                <w:color w:val="auto"/>
                <w:szCs w:val="21"/>
              </w:rPr>
            </w:pPr>
            <w:r>
              <w:rPr>
                <w:rFonts w:eastAsia="宋体"/>
                <w:color w:val="auto"/>
                <w:szCs w:val="21"/>
              </w:rPr>
              <w:t>240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continue"/>
            <w:vAlign w:val="center"/>
          </w:tcPr>
          <w:p>
            <w:pPr>
              <w:pStyle w:val="48"/>
              <w:spacing w:line="240" w:lineRule="auto"/>
              <w:rPr>
                <w:rFonts w:eastAsia="宋体"/>
                <w:color w:val="auto"/>
                <w:szCs w:val="21"/>
              </w:rPr>
            </w:pPr>
          </w:p>
        </w:tc>
        <w:tc>
          <w:tcPr>
            <w:tcW w:w="376" w:type="pct"/>
            <w:vMerge w:val="continue"/>
            <w:vAlign w:val="center"/>
          </w:tcPr>
          <w:p>
            <w:pPr>
              <w:pStyle w:val="48"/>
              <w:spacing w:line="240" w:lineRule="auto"/>
              <w:rPr>
                <w:rFonts w:eastAsia="宋体"/>
                <w:color w:val="auto"/>
                <w:szCs w:val="21"/>
              </w:rPr>
            </w:pPr>
          </w:p>
        </w:tc>
        <w:tc>
          <w:tcPr>
            <w:tcW w:w="569" w:type="pct"/>
            <w:vAlign w:val="center"/>
          </w:tcPr>
          <w:p>
            <w:pPr>
              <w:pStyle w:val="48"/>
              <w:spacing w:line="240" w:lineRule="auto"/>
              <w:rPr>
                <w:rFonts w:eastAsia="宋体"/>
                <w:color w:val="auto"/>
                <w:szCs w:val="21"/>
              </w:rPr>
            </w:pPr>
            <w:r>
              <w:rPr>
                <w:rFonts w:eastAsia="宋体"/>
                <w:color w:val="auto"/>
                <w:szCs w:val="21"/>
              </w:rPr>
              <w:t>其他</w:t>
            </w:r>
          </w:p>
        </w:tc>
        <w:tc>
          <w:tcPr>
            <w:tcW w:w="717" w:type="pct"/>
            <w:vAlign w:val="center"/>
          </w:tcPr>
          <w:p>
            <w:pPr>
              <w:pStyle w:val="48"/>
              <w:spacing w:line="240" w:lineRule="auto"/>
              <w:rPr>
                <w:rFonts w:eastAsia="宋体"/>
                <w:color w:val="auto"/>
                <w:szCs w:val="21"/>
              </w:rPr>
            </w:pPr>
            <w:r>
              <w:rPr>
                <w:rFonts w:eastAsia="宋体"/>
                <w:color w:val="auto"/>
                <w:szCs w:val="21"/>
              </w:rPr>
              <w:t>70</w:t>
            </w:r>
          </w:p>
        </w:tc>
        <w:tc>
          <w:tcPr>
            <w:tcW w:w="1077" w:type="pct"/>
            <w:vAlign w:val="center"/>
          </w:tcPr>
          <w:p>
            <w:pPr>
              <w:pStyle w:val="48"/>
              <w:spacing w:line="240" w:lineRule="auto"/>
              <w:rPr>
                <w:rFonts w:eastAsia="宋体"/>
                <w:color w:val="auto"/>
                <w:szCs w:val="21"/>
              </w:rPr>
            </w:pPr>
            <w:r>
              <w:rPr>
                <w:rFonts w:eastAsia="宋体"/>
                <w:color w:val="auto"/>
                <w:szCs w:val="21"/>
              </w:rPr>
              <w:t>90</w:t>
            </w:r>
          </w:p>
        </w:tc>
        <w:tc>
          <w:tcPr>
            <w:tcW w:w="1077" w:type="pct"/>
            <w:vAlign w:val="center"/>
          </w:tcPr>
          <w:p>
            <w:pPr>
              <w:pStyle w:val="48"/>
              <w:spacing w:line="240" w:lineRule="auto"/>
              <w:rPr>
                <w:rFonts w:eastAsia="宋体"/>
                <w:color w:val="auto"/>
                <w:szCs w:val="21"/>
              </w:rPr>
            </w:pPr>
            <w:r>
              <w:rPr>
                <w:rFonts w:eastAsia="宋体"/>
                <w:color w:val="auto"/>
                <w:szCs w:val="21"/>
              </w:rPr>
              <w:t>120</w:t>
            </w:r>
          </w:p>
        </w:tc>
        <w:tc>
          <w:tcPr>
            <w:tcW w:w="717" w:type="pct"/>
            <w:vAlign w:val="center"/>
          </w:tcPr>
          <w:p>
            <w:pPr>
              <w:pStyle w:val="48"/>
              <w:spacing w:line="240" w:lineRule="auto"/>
              <w:rPr>
                <w:rFonts w:eastAsia="宋体"/>
                <w:color w:val="auto"/>
                <w:szCs w:val="21"/>
              </w:rPr>
            </w:pPr>
            <w:r>
              <w:rPr>
                <w:rFonts w:eastAsia="宋体"/>
                <w:color w:val="auto"/>
                <w:szCs w:val="21"/>
              </w:rPr>
              <w:t>170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restart"/>
            <w:vAlign w:val="center"/>
          </w:tcPr>
          <w:p>
            <w:pPr>
              <w:pStyle w:val="48"/>
              <w:spacing w:line="240" w:lineRule="auto"/>
              <w:rPr>
                <w:rFonts w:eastAsia="宋体"/>
                <w:color w:val="auto"/>
                <w:szCs w:val="21"/>
              </w:rPr>
            </w:pPr>
            <w:r>
              <w:rPr>
                <w:rFonts w:eastAsia="宋体"/>
                <w:color w:val="auto"/>
                <w:szCs w:val="21"/>
              </w:rPr>
              <w:t>5</w:t>
            </w:r>
          </w:p>
        </w:tc>
        <w:tc>
          <w:tcPr>
            <w:tcW w:w="376" w:type="pct"/>
            <w:vMerge w:val="restart"/>
            <w:vAlign w:val="center"/>
          </w:tcPr>
          <w:p>
            <w:pPr>
              <w:pStyle w:val="48"/>
              <w:spacing w:line="240" w:lineRule="auto"/>
              <w:rPr>
                <w:rFonts w:eastAsia="宋体"/>
                <w:color w:val="auto"/>
                <w:szCs w:val="21"/>
              </w:rPr>
            </w:pPr>
            <w:r>
              <w:rPr>
                <w:rFonts w:eastAsia="宋体"/>
                <w:color w:val="auto"/>
                <w:szCs w:val="21"/>
              </w:rPr>
              <w:t>铬</w:t>
            </w:r>
          </w:p>
        </w:tc>
        <w:tc>
          <w:tcPr>
            <w:tcW w:w="569" w:type="pct"/>
            <w:vAlign w:val="center"/>
          </w:tcPr>
          <w:p>
            <w:pPr>
              <w:pStyle w:val="48"/>
              <w:spacing w:line="240" w:lineRule="auto"/>
              <w:rPr>
                <w:rFonts w:eastAsia="宋体"/>
                <w:color w:val="auto"/>
                <w:szCs w:val="21"/>
              </w:rPr>
            </w:pPr>
            <w:r>
              <w:rPr>
                <w:rFonts w:eastAsia="宋体"/>
                <w:color w:val="auto"/>
                <w:szCs w:val="21"/>
              </w:rPr>
              <w:t>水田</w:t>
            </w:r>
          </w:p>
        </w:tc>
        <w:tc>
          <w:tcPr>
            <w:tcW w:w="717" w:type="pct"/>
            <w:vAlign w:val="center"/>
          </w:tcPr>
          <w:p>
            <w:pPr>
              <w:pStyle w:val="48"/>
              <w:spacing w:line="240" w:lineRule="auto"/>
              <w:rPr>
                <w:rFonts w:eastAsia="宋体"/>
                <w:color w:val="auto"/>
                <w:szCs w:val="21"/>
              </w:rPr>
            </w:pPr>
            <w:r>
              <w:rPr>
                <w:rFonts w:eastAsia="宋体"/>
                <w:color w:val="auto"/>
                <w:szCs w:val="21"/>
              </w:rPr>
              <w:t>250</w:t>
            </w:r>
          </w:p>
        </w:tc>
        <w:tc>
          <w:tcPr>
            <w:tcW w:w="1077" w:type="pct"/>
            <w:vAlign w:val="center"/>
          </w:tcPr>
          <w:p>
            <w:pPr>
              <w:pStyle w:val="48"/>
              <w:spacing w:line="240" w:lineRule="auto"/>
              <w:rPr>
                <w:rFonts w:eastAsia="宋体"/>
                <w:color w:val="auto"/>
                <w:szCs w:val="21"/>
              </w:rPr>
            </w:pPr>
            <w:r>
              <w:rPr>
                <w:rFonts w:eastAsia="宋体"/>
                <w:color w:val="auto"/>
                <w:szCs w:val="21"/>
              </w:rPr>
              <w:t>250</w:t>
            </w:r>
          </w:p>
        </w:tc>
        <w:tc>
          <w:tcPr>
            <w:tcW w:w="1077" w:type="pct"/>
            <w:vAlign w:val="center"/>
          </w:tcPr>
          <w:p>
            <w:pPr>
              <w:pStyle w:val="48"/>
              <w:spacing w:line="240" w:lineRule="auto"/>
              <w:rPr>
                <w:rFonts w:eastAsia="宋体"/>
                <w:color w:val="auto"/>
                <w:szCs w:val="21"/>
              </w:rPr>
            </w:pPr>
            <w:r>
              <w:rPr>
                <w:rFonts w:eastAsia="宋体"/>
                <w:color w:val="auto"/>
                <w:szCs w:val="21"/>
              </w:rPr>
              <w:t>300</w:t>
            </w:r>
          </w:p>
        </w:tc>
        <w:tc>
          <w:tcPr>
            <w:tcW w:w="717" w:type="pct"/>
            <w:vAlign w:val="center"/>
          </w:tcPr>
          <w:p>
            <w:pPr>
              <w:pStyle w:val="48"/>
              <w:spacing w:line="240" w:lineRule="auto"/>
              <w:rPr>
                <w:rFonts w:eastAsia="宋体"/>
                <w:color w:val="auto"/>
                <w:szCs w:val="21"/>
              </w:rPr>
            </w:pPr>
            <w:r>
              <w:rPr>
                <w:rFonts w:eastAsia="宋体"/>
                <w:color w:val="auto"/>
                <w:szCs w:val="21"/>
              </w:rPr>
              <w:t>350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continue"/>
            <w:vAlign w:val="center"/>
          </w:tcPr>
          <w:p>
            <w:pPr>
              <w:pStyle w:val="48"/>
              <w:spacing w:line="240" w:lineRule="auto"/>
              <w:rPr>
                <w:rFonts w:eastAsia="宋体"/>
                <w:color w:val="auto"/>
                <w:szCs w:val="21"/>
              </w:rPr>
            </w:pPr>
          </w:p>
        </w:tc>
        <w:tc>
          <w:tcPr>
            <w:tcW w:w="376" w:type="pct"/>
            <w:vMerge w:val="continue"/>
            <w:vAlign w:val="center"/>
          </w:tcPr>
          <w:p>
            <w:pPr>
              <w:pStyle w:val="48"/>
              <w:spacing w:line="240" w:lineRule="auto"/>
              <w:rPr>
                <w:rFonts w:eastAsia="宋体"/>
                <w:color w:val="auto"/>
                <w:szCs w:val="21"/>
              </w:rPr>
            </w:pPr>
          </w:p>
        </w:tc>
        <w:tc>
          <w:tcPr>
            <w:tcW w:w="569" w:type="pct"/>
            <w:vAlign w:val="center"/>
          </w:tcPr>
          <w:p>
            <w:pPr>
              <w:pStyle w:val="48"/>
              <w:spacing w:line="240" w:lineRule="auto"/>
              <w:rPr>
                <w:rFonts w:eastAsia="宋体"/>
                <w:color w:val="auto"/>
                <w:szCs w:val="21"/>
              </w:rPr>
            </w:pPr>
            <w:r>
              <w:rPr>
                <w:rFonts w:eastAsia="宋体"/>
                <w:color w:val="auto"/>
                <w:szCs w:val="21"/>
              </w:rPr>
              <w:t>其他</w:t>
            </w:r>
          </w:p>
        </w:tc>
        <w:tc>
          <w:tcPr>
            <w:tcW w:w="717" w:type="pct"/>
            <w:vAlign w:val="center"/>
          </w:tcPr>
          <w:p>
            <w:pPr>
              <w:pStyle w:val="48"/>
              <w:spacing w:line="240" w:lineRule="auto"/>
              <w:rPr>
                <w:rFonts w:eastAsia="宋体"/>
                <w:color w:val="auto"/>
                <w:szCs w:val="21"/>
              </w:rPr>
            </w:pPr>
            <w:r>
              <w:rPr>
                <w:rFonts w:eastAsia="宋体"/>
                <w:color w:val="auto"/>
                <w:szCs w:val="21"/>
              </w:rPr>
              <w:t>150</w:t>
            </w:r>
          </w:p>
        </w:tc>
        <w:tc>
          <w:tcPr>
            <w:tcW w:w="1077" w:type="pct"/>
            <w:vAlign w:val="center"/>
          </w:tcPr>
          <w:p>
            <w:pPr>
              <w:pStyle w:val="48"/>
              <w:spacing w:line="240" w:lineRule="auto"/>
              <w:rPr>
                <w:rFonts w:eastAsia="宋体"/>
                <w:color w:val="auto"/>
                <w:szCs w:val="21"/>
              </w:rPr>
            </w:pPr>
            <w:r>
              <w:rPr>
                <w:rFonts w:eastAsia="宋体"/>
                <w:color w:val="auto"/>
                <w:szCs w:val="21"/>
              </w:rPr>
              <w:t>150</w:t>
            </w:r>
          </w:p>
        </w:tc>
        <w:tc>
          <w:tcPr>
            <w:tcW w:w="1077" w:type="pct"/>
            <w:vAlign w:val="center"/>
          </w:tcPr>
          <w:p>
            <w:pPr>
              <w:pStyle w:val="48"/>
              <w:spacing w:line="240" w:lineRule="auto"/>
              <w:rPr>
                <w:rFonts w:eastAsia="宋体"/>
                <w:color w:val="auto"/>
                <w:szCs w:val="21"/>
              </w:rPr>
            </w:pPr>
            <w:r>
              <w:rPr>
                <w:rFonts w:eastAsia="宋体"/>
                <w:color w:val="auto"/>
                <w:szCs w:val="21"/>
              </w:rPr>
              <w:t>200</w:t>
            </w:r>
          </w:p>
        </w:tc>
        <w:tc>
          <w:tcPr>
            <w:tcW w:w="717" w:type="pct"/>
            <w:vAlign w:val="center"/>
          </w:tcPr>
          <w:p>
            <w:pPr>
              <w:pStyle w:val="48"/>
              <w:spacing w:line="240" w:lineRule="auto"/>
              <w:rPr>
                <w:rFonts w:eastAsia="宋体"/>
                <w:color w:val="auto"/>
                <w:szCs w:val="21"/>
              </w:rPr>
            </w:pPr>
            <w:r>
              <w:rPr>
                <w:rFonts w:eastAsia="宋体"/>
                <w:color w:val="auto"/>
                <w:szCs w:val="21"/>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restart"/>
            <w:vAlign w:val="center"/>
          </w:tcPr>
          <w:p>
            <w:pPr>
              <w:pStyle w:val="48"/>
              <w:spacing w:line="240" w:lineRule="auto"/>
              <w:rPr>
                <w:rFonts w:eastAsia="宋体"/>
                <w:color w:val="auto"/>
                <w:szCs w:val="21"/>
              </w:rPr>
            </w:pPr>
            <w:r>
              <w:rPr>
                <w:rFonts w:eastAsia="宋体"/>
                <w:color w:val="auto"/>
                <w:szCs w:val="21"/>
              </w:rPr>
              <w:t>6</w:t>
            </w:r>
          </w:p>
        </w:tc>
        <w:tc>
          <w:tcPr>
            <w:tcW w:w="376" w:type="pct"/>
            <w:vMerge w:val="restart"/>
            <w:vAlign w:val="center"/>
          </w:tcPr>
          <w:p>
            <w:pPr>
              <w:pStyle w:val="48"/>
              <w:spacing w:line="240" w:lineRule="auto"/>
              <w:rPr>
                <w:rFonts w:eastAsia="宋体"/>
                <w:color w:val="auto"/>
                <w:szCs w:val="21"/>
              </w:rPr>
            </w:pPr>
            <w:r>
              <w:rPr>
                <w:rFonts w:eastAsia="宋体"/>
                <w:color w:val="auto"/>
                <w:szCs w:val="21"/>
              </w:rPr>
              <w:t>铜</w:t>
            </w:r>
          </w:p>
        </w:tc>
        <w:tc>
          <w:tcPr>
            <w:tcW w:w="569" w:type="pct"/>
            <w:vAlign w:val="center"/>
          </w:tcPr>
          <w:p>
            <w:pPr>
              <w:pStyle w:val="48"/>
              <w:spacing w:line="240" w:lineRule="auto"/>
              <w:rPr>
                <w:rFonts w:eastAsia="宋体"/>
                <w:color w:val="auto"/>
                <w:szCs w:val="21"/>
              </w:rPr>
            </w:pPr>
            <w:r>
              <w:rPr>
                <w:rFonts w:eastAsia="宋体"/>
                <w:color w:val="auto"/>
                <w:szCs w:val="21"/>
              </w:rPr>
              <w:t>果园</w:t>
            </w:r>
          </w:p>
        </w:tc>
        <w:tc>
          <w:tcPr>
            <w:tcW w:w="717" w:type="pct"/>
            <w:vAlign w:val="center"/>
          </w:tcPr>
          <w:p>
            <w:pPr>
              <w:pStyle w:val="48"/>
              <w:spacing w:line="240" w:lineRule="auto"/>
              <w:rPr>
                <w:rFonts w:eastAsia="宋体"/>
                <w:color w:val="auto"/>
                <w:szCs w:val="21"/>
              </w:rPr>
            </w:pPr>
            <w:r>
              <w:rPr>
                <w:rFonts w:eastAsia="宋体"/>
                <w:color w:val="auto"/>
                <w:szCs w:val="21"/>
              </w:rPr>
              <w:t>150</w:t>
            </w:r>
          </w:p>
        </w:tc>
        <w:tc>
          <w:tcPr>
            <w:tcW w:w="1077" w:type="pct"/>
            <w:vAlign w:val="center"/>
          </w:tcPr>
          <w:p>
            <w:pPr>
              <w:pStyle w:val="48"/>
              <w:spacing w:line="240" w:lineRule="auto"/>
              <w:rPr>
                <w:rFonts w:eastAsia="宋体"/>
                <w:color w:val="auto"/>
                <w:szCs w:val="21"/>
              </w:rPr>
            </w:pPr>
            <w:r>
              <w:rPr>
                <w:rFonts w:eastAsia="宋体"/>
                <w:color w:val="auto"/>
                <w:szCs w:val="21"/>
              </w:rPr>
              <w:t>150</w:t>
            </w:r>
          </w:p>
        </w:tc>
        <w:tc>
          <w:tcPr>
            <w:tcW w:w="1077" w:type="pct"/>
            <w:vAlign w:val="center"/>
          </w:tcPr>
          <w:p>
            <w:pPr>
              <w:pStyle w:val="48"/>
              <w:spacing w:line="240" w:lineRule="auto"/>
              <w:rPr>
                <w:rFonts w:eastAsia="宋体"/>
                <w:color w:val="auto"/>
                <w:szCs w:val="21"/>
              </w:rPr>
            </w:pPr>
            <w:r>
              <w:rPr>
                <w:rFonts w:eastAsia="宋体"/>
                <w:color w:val="auto"/>
                <w:szCs w:val="21"/>
              </w:rPr>
              <w:t>200</w:t>
            </w:r>
          </w:p>
        </w:tc>
        <w:tc>
          <w:tcPr>
            <w:tcW w:w="717" w:type="pct"/>
            <w:vAlign w:val="center"/>
          </w:tcPr>
          <w:p>
            <w:pPr>
              <w:pStyle w:val="48"/>
              <w:spacing w:line="240" w:lineRule="auto"/>
              <w:rPr>
                <w:rFonts w:eastAsia="宋体"/>
                <w:color w:val="auto"/>
                <w:szCs w:val="21"/>
              </w:rPr>
            </w:pPr>
            <w:r>
              <w:rPr>
                <w:rFonts w:eastAsia="宋体"/>
                <w:color w:val="auto"/>
                <w:szCs w:val="21"/>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Merge w:val="continue"/>
            <w:vAlign w:val="center"/>
          </w:tcPr>
          <w:p>
            <w:pPr>
              <w:pStyle w:val="48"/>
              <w:spacing w:line="240" w:lineRule="auto"/>
              <w:rPr>
                <w:rFonts w:eastAsia="宋体"/>
                <w:color w:val="auto"/>
                <w:szCs w:val="21"/>
              </w:rPr>
            </w:pPr>
          </w:p>
        </w:tc>
        <w:tc>
          <w:tcPr>
            <w:tcW w:w="376" w:type="pct"/>
            <w:vMerge w:val="continue"/>
            <w:vAlign w:val="center"/>
          </w:tcPr>
          <w:p>
            <w:pPr>
              <w:pStyle w:val="48"/>
              <w:spacing w:line="240" w:lineRule="auto"/>
              <w:rPr>
                <w:rFonts w:eastAsia="宋体"/>
                <w:color w:val="auto"/>
                <w:szCs w:val="21"/>
              </w:rPr>
            </w:pPr>
          </w:p>
        </w:tc>
        <w:tc>
          <w:tcPr>
            <w:tcW w:w="569" w:type="pct"/>
            <w:vAlign w:val="center"/>
          </w:tcPr>
          <w:p>
            <w:pPr>
              <w:pStyle w:val="48"/>
              <w:spacing w:line="240" w:lineRule="auto"/>
              <w:rPr>
                <w:rFonts w:eastAsia="宋体"/>
                <w:color w:val="auto"/>
                <w:szCs w:val="21"/>
              </w:rPr>
            </w:pPr>
            <w:r>
              <w:rPr>
                <w:rFonts w:eastAsia="宋体"/>
                <w:color w:val="auto"/>
                <w:szCs w:val="21"/>
              </w:rPr>
              <w:t>其他</w:t>
            </w:r>
          </w:p>
        </w:tc>
        <w:tc>
          <w:tcPr>
            <w:tcW w:w="717" w:type="pct"/>
            <w:vAlign w:val="center"/>
          </w:tcPr>
          <w:p>
            <w:pPr>
              <w:pStyle w:val="48"/>
              <w:spacing w:line="240" w:lineRule="auto"/>
              <w:rPr>
                <w:rFonts w:eastAsia="宋体"/>
                <w:color w:val="auto"/>
                <w:szCs w:val="21"/>
              </w:rPr>
            </w:pPr>
            <w:r>
              <w:rPr>
                <w:rFonts w:eastAsia="宋体"/>
                <w:color w:val="auto"/>
                <w:szCs w:val="21"/>
              </w:rPr>
              <w:t>50</w:t>
            </w:r>
          </w:p>
        </w:tc>
        <w:tc>
          <w:tcPr>
            <w:tcW w:w="1077" w:type="pct"/>
            <w:vAlign w:val="center"/>
          </w:tcPr>
          <w:p>
            <w:pPr>
              <w:pStyle w:val="48"/>
              <w:spacing w:line="240" w:lineRule="auto"/>
              <w:rPr>
                <w:rFonts w:eastAsia="宋体"/>
                <w:color w:val="auto"/>
                <w:szCs w:val="21"/>
              </w:rPr>
            </w:pPr>
            <w:r>
              <w:rPr>
                <w:rFonts w:eastAsia="宋体"/>
                <w:color w:val="auto"/>
                <w:szCs w:val="21"/>
              </w:rPr>
              <w:t>50</w:t>
            </w:r>
          </w:p>
        </w:tc>
        <w:tc>
          <w:tcPr>
            <w:tcW w:w="1077" w:type="pct"/>
            <w:vAlign w:val="center"/>
          </w:tcPr>
          <w:p>
            <w:pPr>
              <w:pStyle w:val="48"/>
              <w:spacing w:line="240" w:lineRule="auto"/>
              <w:rPr>
                <w:rFonts w:eastAsia="宋体"/>
                <w:color w:val="auto"/>
                <w:szCs w:val="21"/>
              </w:rPr>
            </w:pPr>
            <w:r>
              <w:rPr>
                <w:rFonts w:eastAsia="宋体"/>
                <w:color w:val="auto"/>
                <w:szCs w:val="21"/>
              </w:rPr>
              <w:t>100</w:t>
            </w:r>
          </w:p>
        </w:tc>
        <w:tc>
          <w:tcPr>
            <w:tcW w:w="717" w:type="pct"/>
            <w:vAlign w:val="center"/>
          </w:tcPr>
          <w:p>
            <w:pPr>
              <w:pStyle w:val="48"/>
              <w:spacing w:line="240" w:lineRule="auto"/>
              <w:rPr>
                <w:rFonts w:eastAsia="宋体"/>
                <w:color w:val="auto"/>
                <w:szCs w:val="21"/>
              </w:rPr>
            </w:pPr>
            <w:r>
              <w:rPr>
                <w:rFonts w:eastAsia="宋体"/>
                <w:color w:val="auto"/>
                <w:szCs w:val="21"/>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Align w:val="center"/>
          </w:tcPr>
          <w:p>
            <w:pPr>
              <w:pStyle w:val="48"/>
              <w:spacing w:line="240" w:lineRule="auto"/>
              <w:rPr>
                <w:rFonts w:eastAsia="宋体"/>
                <w:color w:val="auto"/>
                <w:szCs w:val="21"/>
              </w:rPr>
            </w:pPr>
            <w:r>
              <w:rPr>
                <w:rFonts w:eastAsia="宋体"/>
                <w:color w:val="auto"/>
                <w:szCs w:val="21"/>
              </w:rPr>
              <w:t>7</w:t>
            </w:r>
          </w:p>
        </w:tc>
        <w:tc>
          <w:tcPr>
            <w:tcW w:w="945" w:type="pct"/>
            <w:gridSpan w:val="2"/>
            <w:vAlign w:val="center"/>
          </w:tcPr>
          <w:p>
            <w:pPr>
              <w:pStyle w:val="48"/>
              <w:spacing w:line="240" w:lineRule="auto"/>
              <w:rPr>
                <w:rFonts w:eastAsia="宋体"/>
                <w:color w:val="auto"/>
                <w:szCs w:val="21"/>
              </w:rPr>
            </w:pPr>
            <w:r>
              <w:rPr>
                <w:rFonts w:eastAsia="宋体"/>
                <w:color w:val="auto"/>
                <w:szCs w:val="21"/>
              </w:rPr>
              <w:t>镍</w:t>
            </w:r>
          </w:p>
        </w:tc>
        <w:tc>
          <w:tcPr>
            <w:tcW w:w="717" w:type="pct"/>
            <w:vAlign w:val="center"/>
          </w:tcPr>
          <w:p>
            <w:pPr>
              <w:pStyle w:val="48"/>
              <w:spacing w:line="240" w:lineRule="auto"/>
              <w:rPr>
                <w:rFonts w:eastAsia="宋体"/>
                <w:color w:val="auto"/>
                <w:szCs w:val="21"/>
              </w:rPr>
            </w:pPr>
            <w:r>
              <w:rPr>
                <w:rFonts w:eastAsia="宋体"/>
                <w:color w:val="auto"/>
                <w:szCs w:val="21"/>
              </w:rPr>
              <w:t>60</w:t>
            </w:r>
          </w:p>
        </w:tc>
        <w:tc>
          <w:tcPr>
            <w:tcW w:w="1077" w:type="pct"/>
            <w:vAlign w:val="center"/>
          </w:tcPr>
          <w:p>
            <w:pPr>
              <w:pStyle w:val="48"/>
              <w:spacing w:line="240" w:lineRule="auto"/>
              <w:rPr>
                <w:rFonts w:eastAsia="宋体"/>
                <w:color w:val="auto"/>
                <w:szCs w:val="21"/>
              </w:rPr>
            </w:pPr>
            <w:r>
              <w:rPr>
                <w:rFonts w:eastAsia="宋体"/>
                <w:color w:val="auto"/>
                <w:szCs w:val="21"/>
              </w:rPr>
              <w:t>70</w:t>
            </w:r>
          </w:p>
        </w:tc>
        <w:tc>
          <w:tcPr>
            <w:tcW w:w="1077" w:type="pct"/>
            <w:vAlign w:val="center"/>
          </w:tcPr>
          <w:p>
            <w:pPr>
              <w:pStyle w:val="48"/>
              <w:spacing w:line="240" w:lineRule="auto"/>
              <w:rPr>
                <w:rFonts w:eastAsia="宋体"/>
                <w:color w:val="auto"/>
                <w:szCs w:val="21"/>
              </w:rPr>
            </w:pPr>
            <w:r>
              <w:rPr>
                <w:rFonts w:eastAsia="宋体"/>
                <w:color w:val="auto"/>
                <w:szCs w:val="21"/>
              </w:rPr>
              <w:t>100</w:t>
            </w:r>
          </w:p>
        </w:tc>
        <w:tc>
          <w:tcPr>
            <w:tcW w:w="717" w:type="pct"/>
            <w:vAlign w:val="center"/>
          </w:tcPr>
          <w:p>
            <w:pPr>
              <w:pStyle w:val="48"/>
              <w:spacing w:line="240" w:lineRule="auto"/>
              <w:rPr>
                <w:rFonts w:eastAsia="宋体"/>
                <w:color w:val="auto"/>
                <w:szCs w:val="21"/>
              </w:rPr>
            </w:pPr>
            <w:r>
              <w:rPr>
                <w:rFonts w:eastAsia="宋体"/>
                <w:color w:val="auto"/>
                <w:szCs w:val="21"/>
              </w:rPr>
              <w:t>190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7" w:type="pct"/>
            <w:vAlign w:val="center"/>
          </w:tcPr>
          <w:p>
            <w:pPr>
              <w:pStyle w:val="48"/>
              <w:spacing w:line="240" w:lineRule="auto"/>
              <w:rPr>
                <w:rFonts w:eastAsia="宋体"/>
                <w:color w:val="auto"/>
                <w:szCs w:val="21"/>
              </w:rPr>
            </w:pPr>
            <w:r>
              <w:rPr>
                <w:rFonts w:eastAsia="宋体"/>
                <w:color w:val="auto"/>
                <w:szCs w:val="21"/>
              </w:rPr>
              <w:t>8</w:t>
            </w:r>
          </w:p>
        </w:tc>
        <w:tc>
          <w:tcPr>
            <w:tcW w:w="945" w:type="pct"/>
            <w:gridSpan w:val="2"/>
            <w:vAlign w:val="center"/>
          </w:tcPr>
          <w:p>
            <w:pPr>
              <w:pStyle w:val="48"/>
              <w:spacing w:line="240" w:lineRule="auto"/>
              <w:rPr>
                <w:rFonts w:eastAsia="宋体"/>
                <w:color w:val="auto"/>
                <w:szCs w:val="21"/>
              </w:rPr>
            </w:pPr>
            <w:r>
              <w:rPr>
                <w:rFonts w:eastAsia="宋体"/>
                <w:color w:val="auto"/>
                <w:szCs w:val="21"/>
              </w:rPr>
              <w:t>锌</w:t>
            </w:r>
          </w:p>
        </w:tc>
        <w:tc>
          <w:tcPr>
            <w:tcW w:w="717" w:type="pct"/>
            <w:vAlign w:val="center"/>
          </w:tcPr>
          <w:p>
            <w:pPr>
              <w:pStyle w:val="48"/>
              <w:spacing w:line="240" w:lineRule="auto"/>
              <w:rPr>
                <w:rFonts w:eastAsia="宋体"/>
                <w:color w:val="auto"/>
                <w:szCs w:val="21"/>
              </w:rPr>
            </w:pPr>
            <w:r>
              <w:rPr>
                <w:rFonts w:eastAsia="宋体"/>
                <w:color w:val="auto"/>
                <w:szCs w:val="21"/>
              </w:rPr>
              <w:t>200</w:t>
            </w:r>
          </w:p>
        </w:tc>
        <w:tc>
          <w:tcPr>
            <w:tcW w:w="1077" w:type="pct"/>
            <w:vAlign w:val="center"/>
          </w:tcPr>
          <w:p>
            <w:pPr>
              <w:pStyle w:val="48"/>
              <w:spacing w:line="240" w:lineRule="auto"/>
              <w:rPr>
                <w:rFonts w:eastAsia="宋体"/>
                <w:color w:val="auto"/>
                <w:szCs w:val="21"/>
              </w:rPr>
            </w:pPr>
            <w:r>
              <w:rPr>
                <w:rFonts w:eastAsia="宋体"/>
                <w:color w:val="auto"/>
                <w:szCs w:val="21"/>
              </w:rPr>
              <w:t>200</w:t>
            </w:r>
          </w:p>
        </w:tc>
        <w:tc>
          <w:tcPr>
            <w:tcW w:w="1077" w:type="pct"/>
            <w:vAlign w:val="center"/>
          </w:tcPr>
          <w:p>
            <w:pPr>
              <w:pStyle w:val="48"/>
              <w:spacing w:line="240" w:lineRule="auto"/>
              <w:rPr>
                <w:rFonts w:eastAsia="宋体"/>
                <w:color w:val="auto"/>
                <w:szCs w:val="21"/>
              </w:rPr>
            </w:pPr>
            <w:r>
              <w:rPr>
                <w:rFonts w:eastAsia="宋体"/>
                <w:color w:val="auto"/>
                <w:szCs w:val="21"/>
              </w:rPr>
              <w:t>250</w:t>
            </w:r>
          </w:p>
        </w:tc>
        <w:tc>
          <w:tcPr>
            <w:tcW w:w="717" w:type="pct"/>
            <w:vAlign w:val="center"/>
          </w:tcPr>
          <w:p>
            <w:pPr>
              <w:pStyle w:val="48"/>
              <w:spacing w:line="240" w:lineRule="auto"/>
              <w:rPr>
                <w:rFonts w:eastAsia="宋体"/>
                <w:color w:val="auto"/>
                <w:szCs w:val="21"/>
              </w:rPr>
            </w:pPr>
            <w:r>
              <w:rPr>
                <w:rFonts w:eastAsia="宋体"/>
                <w:color w:val="auto"/>
                <w:szCs w:val="21"/>
              </w:rPr>
              <w:t>300</w:t>
            </w:r>
          </w:p>
        </w:tc>
      </w:tr>
    </w:tbl>
    <w:p>
      <w:pPr>
        <w:pStyle w:val="10"/>
        <w:spacing w:line="360" w:lineRule="auto"/>
        <w:rPr>
          <w:color w:val="auto"/>
        </w:rPr>
      </w:pPr>
      <w:r>
        <w:rPr>
          <w:rFonts w:hint="eastAsia"/>
          <w:color w:val="auto"/>
        </w:rPr>
        <w:t>4</w:t>
      </w:r>
      <w:r>
        <w:rPr>
          <w:color w:val="auto"/>
        </w:rPr>
        <w:t>.5.3.2 评价方法</w:t>
      </w:r>
    </w:p>
    <w:p>
      <w:pPr>
        <w:ind w:firstLine="480"/>
        <w:rPr>
          <w:color w:val="auto"/>
        </w:rPr>
      </w:pPr>
      <w:r>
        <w:rPr>
          <w:color w:val="auto"/>
        </w:rPr>
        <w:t>采用单因子指数法进行现状评价。计算公式为：</w:t>
      </w:r>
    </w:p>
    <w:p>
      <w:pPr>
        <w:ind w:firstLine="480"/>
        <w:rPr>
          <w:color w:val="auto"/>
        </w:rPr>
      </w:pPr>
      <w:r>
        <w:rPr>
          <w:color w:val="auto"/>
        </w:rPr>
        <w:t xml:space="preserve">      </w:t>
      </w:r>
      <w:r>
        <w:rPr>
          <w:color w:val="auto"/>
          <w:position w:val="-28"/>
        </w:rPr>
        <w:pict>
          <v:shape id="对象 814" o:spid="_x0000_s1027" o:spt="75" type="#_x0000_t75" style="position:absolute;left:0pt;margin-left:60pt;margin-top:-1.7pt;height:33.3pt;width:42.8pt;z-index:251751424;mso-width-relative:page;mso-height-relative:page;" o:ole="t" filled="f" o:preferrelative="t" stroked="f" coordsize="21600,21600">
            <v:path/>
            <v:fill on="f" focussize="0,0"/>
            <v:stroke on="f" joinstyle="miter"/>
            <v:imagedata r:id="rId103" o:title=""/>
            <o:lock v:ext="edit" aspectratio="t"/>
          </v:shape>
          <o:OLEObject Type="Embed" ProgID="Equation.3" ShapeID="对象 814" DrawAspect="Content" ObjectID="_1468075736" r:id="rId102">
            <o:LockedField>false</o:LockedField>
          </o:OLEObject>
        </w:pict>
      </w:r>
    </w:p>
    <w:p>
      <w:pPr>
        <w:ind w:firstLine="480"/>
        <w:rPr>
          <w:color w:val="auto"/>
        </w:rPr>
      </w:pPr>
      <w:r>
        <w:rPr>
          <w:color w:val="auto"/>
        </w:rPr>
        <w:t>式中：</w:t>
      </w:r>
      <w:r>
        <w:rPr>
          <w:i/>
          <w:iCs/>
          <w:color w:val="auto"/>
        </w:rPr>
        <w:t>S</w:t>
      </w:r>
      <w:r>
        <w:rPr>
          <w:i/>
          <w:iCs/>
          <w:color w:val="auto"/>
          <w:vertAlign w:val="subscript"/>
        </w:rPr>
        <w:t>i</w:t>
      </w:r>
      <w:r>
        <w:rPr>
          <w:color w:val="auto"/>
        </w:rPr>
        <w:t>——污染物单因子指数；</w:t>
      </w:r>
    </w:p>
    <w:p>
      <w:pPr>
        <w:ind w:firstLine="480"/>
        <w:rPr>
          <w:color w:val="auto"/>
        </w:rPr>
      </w:pPr>
      <w:r>
        <w:rPr>
          <w:color w:val="auto"/>
        </w:rPr>
        <w:t xml:space="preserve">      </w:t>
      </w:r>
      <w:r>
        <w:rPr>
          <w:i/>
          <w:iCs/>
          <w:color w:val="auto"/>
        </w:rPr>
        <w:t>C</w:t>
      </w:r>
      <w:r>
        <w:rPr>
          <w:i/>
          <w:iCs/>
          <w:color w:val="auto"/>
          <w:vertAlign w:val="subscript"/>
        </w:rPr>
        <w:t>i</w:t>
      </w:r>
      <w:r>
        <w:rPr>
          <w:color w:val="auto"/>
        </w:rPr>
        <w:t>——i污染物的浓度值，mg/kg；</w:t>
      </w:r>
    </w:p>
    <w:p>
      <w:pPr>
        <w:ind w:firstLine="480"/>
        <w:rPr>
          <w:color w:val="auto"/>
        </w:rPr>
      </w:pPr>
      <w:r>
        <w:rPr>
          <w:color w:val="auto"/>
        </w:rPr>
        <w:t xml:space="preserve">      </w:t>
      </w:r>
      <w:r>
        <w:rPr>
          <w:i/>
          <w:iCs/>
          <w:color w:val="auto"/>
        </w:rPr>
        <w:t>C</w:t>
      </w:r>
      <w:r>
        <w:rPr>
          <w:i/>
          <w:iCs/>
          <w:color w:val="auto"/>
          <w:vertAlign w:val="subscript"/>
        </w:rPr>
        <w:t>si</w:t>
      </w:r>
      <w:r>
        <w:rPr>
          <w:color w:val="auto"/>
        </w:rPr>
        <w:t>——i污染物的评价标准值，mg/kg。</w:t>
      </w:r>
    </w:p>
    <w:p>
      <w:pPr>
        <w:pStyle w:val="10"/>
        <w:spacing w:line="360" w:lineRule="auto"/>
        <w:rPr>
          <w:bCs/>
          <w:color w:val="auto"/>
          <w:kern w:val="0"/>
        </w:rPr>
      </w:pPr>
      <w:r>
        <w:rPr>
          <w:rFonts w:hint="eastAsia"/>
          <w:color w:val="auto"/>
        </w:rPr>
        <w:t>4</w:t>
      </w:r>
      <w:r>
        <w:rPr>
          <w:color w:val="auto"/>
        </w:rPr>
        <w:t>.5.3.3 评价结果</w:t>
      </w:r>
    </w:p>
    <w:p>
      <w:pPr>
        <w:ind w:firstLine="480"/>
        <w:rPr>
          <w:color w:val="auto"/>
          <w:kern w:val="0"/>
        </w:rPr>
      </w:pPr>
      <w:r>
        <w:rPr>
          <w:color w:val="auto"/>
        </w:rPr>
        <w:t>本次检出因子包含镉、汞、铅、砷、铜、镍</w:t>
      </w:r>
      <w:r>
        <w:rPr>
          <w:rFonts w:hint="eastAsia"/>
          <w:color w:val="auto"/>
        </w:rPr>
        <w:t>、氯</w:t>
      </w:r>
      <w:r>
        <w:rPr>
          <w:rFonts w:hint="eastAsia"/>
          <w:color w:val="auto"/>
          <w:lang w:val="en-US" w:eastAsia="zh-CN"/>
        </w:rPr>
        <w:t>甲烷</w:t>
      </w:r>
      <w:r>
        <w:rPr>
          <w:rFonts w:hint="eastAsia"/>
          <w:color w:val="auto"/>
        </w:rPr>
        <w:t>、</w:t>
      </w:r>
      <w:r>
        <w:rPr>
          <w:color w:val="auto"/>
        </w:rPr>
        <w:t>铬、石油烃（C10~C40）共</w:t>
      </w:r>
      <w:r>
        <w:rPr>
          <w:rFonts w:hint="eastAsia"/>
          <w:color w:val="auto"/>
        </w:rPr>
        <w:t>9</w:t>
      </w:r>
      <w:r>
        <w:rPr>
          <w:color w:val="auto"/>
        </w:rPr>
        <w:t>项。对检出因子进行评价，见土壤检出因子指数评价表</w:t>
      </w:r>
    </w:p>
    <w:p>
      <w:pPr>
        <w:ind w:firstLine="480"/>
        <w:rPr>
          <w:color w:val="auto"/>
          <w:kern w:val="0"/>
        </w:rPr>
      </w:pPr>
      <w:r>
        <w:rPr>
          <w:color w:val="auto"/>
          <w:kern w:val="0"/>
        </w:rPr>
        <w:t>1、单因子指数法评价结果见下表。</w:t>
      </w:r>
    </w:p>
    <w:p>
      <w:pPr>
        <w:pStyle w:val="48"/>
        <w:spacing w:line="360" w:lineRule="auto"/>
        <w:rPr>
          <w:bCs/>
          <w:color w:val="auto"/>
        </w:rPr>
      </w:pPr>
      <w:r>
        <w:rPr>
          <w:bCs/>
          <w:color w:val="auto"/>
        </w:rPr>
        <w:t>表</w:t>
      </w:r>
      <w:r>
        <w:rPr>
          <w:rFonts w:hint="eastAsia"/>
          <w:bCs/>
          <w:color w:val="auto"/>
        </w:rPr>
        <w:t>4.5-8</w:t>
      </w:r>
      <w:r>
        <w:rPr>
          <w:bCs/>
          <w:color w:val="auto"/>
        </w:rPr>
        <w:t xml:space="preserve">  土壤环境质量现状评价单因子指数表</w:t>
      </w:r>
    </w:p>
    <w:tbl>
      <w:tblPr>
        <w:tblStyle w:val="22"/>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5" w:type="dxa"/>
          <w:bottom w:w="15" w:type="dxa"/>
          <w:right w:w="15" w:type="dxa"/>
        </w:tblCellMar>
      </w:tblPr>
      <w:tblGrid>
        <w:gridCol w:w="1319"/>
        <w:gridCol w:w="1021"/>
        <w:gridCol w:w="1445"/>
        <w:gridCol w:w="1596"/>
        <w:gridCol w:w="1869"/>
        <w:gridCol w:w="146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Align w:val="center"/>
          </w:tcPr>
          <w:p>
            <w:pPr>
              <w:pStyle w:val="47"/>
              <w:spacing w:line="240" w:lineRule="auto"/>
              <w:rPr>
                <w:b/>
                <w:color w:val="auto"/>
              </w:rPr>
            </w:pPr>
            <w:r>
              <w:rPr>
                <w:b/>
                <w:color w:val="auto"/>
              </w:rPr>
              <w:t>样品编号</w:t>
            </w:r>
          </w:p>
        </w:tc>
        <w:tc>
          <w:tcPr>
            <w:tcW w:w="585" w:type="pct"/>
            <w:vAlign w:val="center"/>
          </w:tcPr>
          <w:p>
            <w:pPr>
              <w:pStyle w:val="47"/>
              <w:spacing w:line="240" w:lineRule="auto"/>
              <w:rPr>
                <w:b/>
                <w:color w:val="auto"/>
              </w:rPr>
            </w:pPr>
            <w:r>
              <w:rPr>
                <w:b/>
                <w:color w:val="auto"/>
              </w:rPr>
              <w:t>分析指标</w:t>
            </w:r>
          </w:p>
        </w:tc>
        <w:tc>
          <w:tcPr>
            <w:tcW w:w="828" w:type="pct"/>
            <w:vAlign w:val="center"/>
          </w:tcPr>
          <w:p>
            <w:pPr>
              <w:pStyle w:val="47"/>
              <w:spacing w:line="240" w:lineRule="auto"/>
              <w:rPr>
                <w:b/>
                <w:color w:val="auto"/>
              </w:rPr>
            </w:pPr>
            <w:r>
              <w:rPr>
                <w:b/>
                <w:color w:val="auto"/>
              </w:rPr>
              <w:t>单位</w:t>
            </w:r>
          </w:p>
        </w:tc>
        <w:tc>
          <w:tcPr>
            <w:tcW w:w="915" w:type="pct"/>
            <w:vAlign w:val="center"/>
          </w:tcPr>
          <w:p>
            <w:pPr>
              <w:pStyle w:val="47"/>
              <w:spacing w:line="240" w:lineRule="auto"/>
              <w:rPr>
                <w:b/>
                <w:color w:val="auto"/>
              </w:rPr>
            </w:pPr>
            <w:r>
              <w:rPr>
                <w:b/>
                <w:color w:val="auto"/>
              </w:rPr>
              <w:t>土样监测值</w:t>
            </w:r>
          </w:p>
        </w:tc>
        <w:tc>
          <w:tcPr>
            <w:tcW w:w="1071" w:type="pct"/>
            <w:vAlign w:val="center"/>
          </w:tcPr>
          <w:p>
            <w:pPr>
              <w:pStyle w:val="47"/>
              <w:spacing w:line="240" w:lineRule="auto"/>
              <w:rPr>
                <w:b/>
                <w:color w:val="auto"/>
              </w:rPr>
            </w:pPr>
            <w:r>
              <w:rPr>
                <w:b/>
                <w:color w:val="auto"/>
              </w:rPr>
              <w:t>标准值</w:t>
            </w:r>
          </w:p>
        </w:tc>
        <w:tc>
          <w:tcPr>
            <w:tcW w:w="842" w:type="pct"/>
            <w:vAlign w:val="center"/>
          </w:tcPr>
          <w:p>
            <w:pPr>
              <w:pStyle w:val="47"/>
              <w:spacing w:line="240" w:lineRule="auto"/>
              <w:rPr>
                <w:b/>
                <w:color w:val="auto"/>
              </w:rPr>
            </w:pPr>
            <w:r>
              <w:rPr>
                <w:b/>
                <w:color w:val="auto"/>
              </w:rPr>
              <w:t>单因子指数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restart"/>
            <w:vAlign w:val="center"/>
          </w:tcPr>
          <w:p>
            <w:pPr>
              <w:pStyle w:val="47"/>
              <w:spacing w:line="240" w:lineRule="auto"/>
              <w:rPr>
                <w:color w:val="auto"/>
              </w:rPr>
            </w:pPr>
            <w:r>
              <w:rPr>
                <w:rFonts w:hint="eastAsia"/>
                <w:color w:val="auto"/>
              </w:rPr>
              <w:t>1</w:t>
            </w:r>
            <w:r>
              <w:rPr>
                <w:color w:val="auto"/>
              </w:rPr>
              <w:t>#</w:t>
            </w:r>
          </w:p>
        </w:tc>
        <w:tc>
          <w:tcPr>
            <w:tcW w:w="585" w:type="pct"/>
            <w:vAlign w:val="center"/>
          </w:tcPr>
          <w:p>
            <w:pPr>
              <w:pStyle w:val="47"/>
              <w:spacing w:line="240" w:lineRule="auto"/>
              <w:rPr>
                <w:color w:val="auto"/>
              </w:rPr>
            </w:pPr>
            <w:r>
              <w:rPr>
                <w:color w:val="auto"/>
              </w:rPr>
              <w:t>汞</w:t>
            </w:r>
          </w:p>
        </w:tc>
        <w:tc>
          <w:tcPr>
            <w:tcW w:w="828" w:type="pct"/>
            <w:vAlign w:val="center"/>
          </w:tcPr>
          <w:p>
            <w:pPr>
              <w:pStyle w:val="47"/>
              <w:spacing w:line="240" w:lineRule="auto"/>
              <w:rPr>
                <w:color w:val="auto"/>
              </w:rPr>
            </w:pPr>
            <w:r>
              <w:rPr>
                <w:color w:val="auto"/>
              </w:rPr>
              <w:t>mg/kg</w:t>
            </w:r>
          </w:p>
        </w:tc>
        <w:tc>
          <w:tcPr>
            <w:tcW w:w="915" w:type="pct"/>
            <w:vAlign w:val="center"/>
          </w:tcPr>
          <w:p>
            <w:pPr>
              <w:pStyle w:val="47"/>
              <w:spacing w:line="240" w:lineRule="auto"/>
              <w:rPr>
                <w:color w:val="auto"/>
              </w:rPr>
            </w:pPr>
            <w:r>
              <w:rPr>
                <w:color w:val="auto"/>
              </w:rPr>
              <w:t>0.09</w:t>
            </w:r>
            <w:r>
              <w:rPr>
                <w:rFonts w:hint="eastAsia"/>
                <w:color w:val="auto"/>
              </w:rPr>
              <w:t>2</w:t>
            </w:r>
          </w:p>
        </w:tc>
        <w:tc>
          <w:tcPr>
            <w:tcW w:w="1071" w:type="pct"/>
            <w:vAlign w:val="center"/>
          </w:tcPr>
          <w:p>
            <w:pPr>
              <w:pStyle w:val="47"/>
              <w:spacing w:line="240" w:lineRule="auto"/>
              <w:rPr>
                <w:color w:val="auto"/>
                <w:szCs w:val="24"/>
              </w:rPr>
            </w:pPr>
            <w:r>
              <w:rPr>
                <w:rFonts w:hint="eastAsia"/>
                <w:color w:val="auto"/>
              </w:rPr>
              <w:t>38</w:t>
            </w:r>
          </w:p>
        </w:tc>
        <w:tc>
          <w:tcPr>
            <w:tcW w:w="842" w:type="pct"/>
            <w:vAlign w:val="center"/>
          </w:tcPr>
          <w:p>
            <w:pPr>
              <w:pStyle w:val="47"/>
              <w:spacing w:line="240" w:lineRule="auto"/>
              <w:rPr>
                <w:color w:val="auto"/>
              </w:rPr>
            </w:pPr>
            <w:r>
              <w:rPr>
                <w:rFonts w:hint="eastAsia"/>
                <w:color w:val="auto"/>
              </w:rPr>
              <w:t xml:space="preserve">0.0024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砷</w:t>
            </w:r>
          </w:p>
        </w:tc>
        <w:tc>
          <w:tcPr>
            <w:tcW w:w="828" w:type="pct"/>
            <w:vAlign w:val="center"/>
          </w:tcPr>
          <w:p>
            <w:pPr>
              <w:pStyle w:val="47"/>
              <w:spacing w:line="240" w:lineRule="auto"/>
              <w:rPr>
                <w:color w:val="auto"/>
              </w:rPr>
            </w:pPr>
            <w:r>
              <w:rPr>
                <w:color w:val="auto"/>
              </w:rPr>
              <w:t>mg/kg</w:t>
            </w:r>
          </w:p>
        </w:tc>
        <w:tc>
          <w:tcPr>
            <w:tcW w:w="915" w:type="pct"/>
            <w:vAlign w:val="center"/>
          </w:tcPr>
          <w:p>
            <w:pPr>
              <w:pStyle w:val="47"/>
              <w:spacing w:line="240" w:lineRule="auto"/>
              <w:rPr>
                <w:color w:val="auto"/>
              </w:rPr>
            </w:pPr>
            <w:r>
              <w:rPr>
                <w:color w:val="auto"/>
              </w:rPr>
              <w:t>7.18</w:t>
            </w:r>
          </w:p>
        </w:tc>
        <w:tc>
          <w:tcPr>
            <w:tcW w:w="1071" w:type="pct"/>
            <w:vAlign w:val="center"/>
          </w:tcPr>
          <w:p>
            <w:pPr>
              <w:pStyle w:val="47"/>
              <w:spacing w:line="240" w:lineRule="auto"/>
              <w:rPr>
                <w:color w:val="auto"/>
                <w:szCs w:val="24"/>
              </w:rPr>
            </w:pPr>
            <w:r>
              <w:rPr>
                <w:rFonts w:hint="eastAsia"/>
                <w:color w:val="auto"/>
              </w:rPr>
              <w:t>60</w:t>
            </w:r>
          </w:p>
        </w:tc>
        <w:tc>
          <w:tcPr>
            <w:tcW w:w="842" w:type="pct"/>
            <w:vAlign w:val="center"/>
          </w:tcPr>
          <w:p>
            <w:pPr>
              <w:pStyle w:val="47"/>
              <w:spacing w:line="240" w:lineRule="auto"/>
              <w:rPr>
                <w:color w:val="auto"/>
              </w:rPr>
            </w:pPr>
            <w:r>
              <w:rPr>
                <w:rFonts w:hint="eastAsia"/>
                <w:color w:val="auto"/>
              </w:rPr>
              <w:t xml:space="preserve">0.1197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镉</w:t>
            </w:r>
          </w:p>
        </w:tc>
        <w:tc>
          <w:tcPr>
            <w:tcW w:w="828" w:type="pct"/>
            <w:vAlign w:val="center"/>
          </w:tcPr>
          <w:p>
            <w:pPr>
              <w:pStyle w:val="47"/>
              <w:spacing w:line="240" w:lineRule="auto"/>
              <w:rPr>
                <w:color w:val="auto"/>
              </w:rPr>
            </w:pPr>
            <w:r>
              <w:rPr>
                <w:color w:val="auto"/>
              </w:rPr>
              <w:t>mg/kg</w:t>
            </w:r>
          </w:p>
        </w:tc>
        <w:tc>
          <w:tcPr>
            <w:tcW w:w="915" w:type="pct"/>
            <w:vAlign w:val="center"/>
          </w:tcPr>
          <w:p>
            <w:pPr>
              <w:pStyle w:val="47"/>
              <w:spacing w:line="240" w:lineRule="auto"/>
              <w:rPr>
                <w:color w:val="auto"/>
              </w:rPr>
            </w:pPr>
            <w:r>
              <w:rPr>
                <w:color w:val="auto"/>
              </w:rPr>
              <w:t>0.38</w:t>
            </w:r>
          </w:p>
        </w:tc>
        <w:tc>
          <w:tcPr>
            <w:tcW w:w="1071" w:type="pct"/>
            <w:vAlign w:val="center"/>
          </w:tcPr>
          <w:p>
            <w:pPr>
              <w:pStyle w:val="47"/>
              <w:spacing w:line="240" w:lineRule="auto"/>
              <w:rPr>
                <w:color w:val="auto"/>
                <w:szCs w:val="24"/>
              </w:rPr>
            </w:pPr>
            <w:r>
              <w:rPr>
                <w:rFonts w:hint="eastAsia"/>
                <w:color w:val="auto"/>
              </w:rPr>
              <w:t>65</w:t>
            </w:r>
          </w:p>
        </w:tc>
        <w:tc>
          <w:tcPr>
            <w:tcW w:w="842" w:type="pct"/>
            <w:vAlign w:val="center"/>
          </w:tcPr>
          <w:p>
            <w:pPr>
              <w:pStyle w:val="47"/>
              <w:spacing w:line="240" w:lineRule="auto"/>
              <w:rPr>
                <w:color w:val="auto"/>
              </w:rPr>
            </w:pPr>
            <w:r>
              <w:rPr>
                <w:rFonts w:hint="eastAsia"/>
                <w:color w:val="auto"/>
              </w:rPr>
              <w:t xml:space="preserve">0.0058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铅</w:t>
            </w:r>
          </w:p>
        </w:tc>
        <w:tc>
          <w:tcPr>
            <w:tcW w:w="828" w:type="pct"/>
            <w:vAlign w:val="center"/>
          </w:tcPr>
          <w:p>
            <w:pPr>
              <w:pStyle w:val="47"/>
              <w:spacing w:line="240" w:lineRule="auto"/>
              <w:rPr>
                <w:color w:val="auto"/>
              </w:rPr>
            </w:pPr>
            <w:r>
              <w:rPr>
                <w:color w:val="auto"/>
              </w:rPr>
              <w:t>mg/kg</w:t>
            </w:r>
          </w:p>
        </w:tc>
        <w:tc>
          <w:tcPr>
            <w:tcW w:w="915" w:type="pct"/>
            <w:vAlign w:val="center"/>
          </w:tcPr>
          <w:p>
            <w:pPr>
              <w:pStyle w:val="47"/>
              <w:spacing w:line="240" w:lineRule="auto"/>
              <w:rPr>
                <w:color w:val="auto"/>
              </w:rPr>
            </w:pPr>
            <w:r>
              <w:rPr>
                <w:color w:val="auto"/>
              </w:rPr>
              <w:t>36.6</w:t>
            </w:r>
          </w:p>
        </w:tc>
        <w:tc>
          <w:tcPr>
            <w:tcW w:w="1071" w:type="pct"/>
            <w:vAlign w:val="center"/>
          </w:tcPr>
          <w:p>
            <w:pPr>
              <w:pStyle w:val="47"/>
              <w:spacing w:line="240" w:lineRule="auto"/>
              <w:rPr>
                <w:color w:val="auto"/>
                <w:szCs w:val="24"/>
              </w:rPr>
            </w:pPr>
            <w:r>
              <w:rPr>
                <w:rFonts w:hint="eastAsia"/>
                <w:color w:val="auto"/>
              </w:rPr>
              <w:t>800</w:t>
            </w:r>
          </w:p>
        </w:tc>
        <w:tc>
          <w:tcPr>
            <w:tcW w:w="842" w:type="pct"/>
            <w:vAlign w:val="center"/>
          </w:tcPr>
          <w:p>
            <w:pPr>
              <w:pStyle w:val="47"/>
              <w:spacing w:line="240" w:lineRule="auto"/>
              <w:rPr>
                <w:color w:val="auto"/>
              </w:rPr>
            </w:pPr>
            <w:r>
              <w:rPr>
                <w:rFonts w:hint="eastAsia"/>
                <w:color w:val="auto"/>
              </w:rPr>
              <w:t xml:space="preserve">0.0458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铜</w:t>
            </w:r>
          </w:p>
        </w:tc>
        <w:tc>
          <w:tcPr>
            <w:tcW w:w="828" w:type="pct"/>
            <w:vAlign w:val="center"/>
          </w:tcPr>
          <w:p>
            <w:pPr>
              <w:pStyle w:val="47"/>
              <w:spacing w:line="240" w:lineRule="auto"/>
              <w:rPr>
                <w:color w:val="auto"/>
              </w:rPr>
            </w:pPr>
            <w:r>
              <w:rPr>
                <w:color w:val="auto"/>
              </w:rPr>
              <w:t>mg/kg</w:t>
            </w:r>
          </w:p>
        </w:tc>
        <w:tc>
          <w:tcPr>
            <w:tcW w:w="915" w:type="pct"/>
            <w:vAlign w:val="center"/>
          </w:tcPr>
          <w:p>
            <w:pPr>
              <w:pStyle w:val="47"/>
              <w:spacing w:line="240" w:lineRule="auto"/>
              <w:rPr>
                <w:color w:val="auto"/>
              </w:rPr>
            </w:pPr>
            <w:r>
              <w:rPr>
                <w:color w:val="auto"/>
              </w:rPr>
              <w:t>45</w:t>
            </w:r>
          </w:p>
        </w:tc>
        <w:tc>
          <w:tcPr>
            <w:tcW w:w="1071" w:type="pct"/>
            <w:vAlign w:val="center"/>
          </w:tcPr>
          <w:p>
            <w:pPr>
              <w:pStyle w:val="47"/>
              <w:spacing w:line="240" w:lineRule="auto"/>
              <w:rPr>
                <w:color w:val="auto"/>
                <w:szCs w:val="24"/>
              </w:rPr>
            </w:pPr>
            <w:r>
              <w:rPr>
                <w:rFonts w:hint="eastAsia"/>
                <w:color w:val="auto"/>
              </w:rPr>
              <w:t>18000</w:t>
            </w:r>
          </w:p>
        </w:tc>
        <w:tc>
          <w:tcPr>
            <w:tcW w:w="842" w:type="pct"/>
            <w:vAlign w:val="center"/>
          </w:tcPr>
          <w:p>
            <w:pPr>
              <w:pStyle w:val="47"/>
              <w:spacing w:line="240" w:lineRule="auto"/>
              <w:rPr>
                <w:color w:val="auto"/>
              </w:rPr>
            </w:pPr>
            <w:r>
              <w:rPr>
                <w:rFonts w:hint="eastAsia"/>
                <w:color w:val="auto"/>
              </w:rPr>
              <w:t xml:space="preserve">0.0025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镍</w:t>
            </w:r>
          </w:p>
        </w:tc>
        <w:tc>
          <w:tcPr>
            <w:tcW w:w="828" w:type="pct"/>
            <w:vAlign w:val="center"/>
          </w:tcPr>
          <w:p>
            <w:pPr>
              <w:pStyle w:val="47"/>
              <w:spacing w:line="240" w:lineRule="auto"/>
              <w:rPr>
                <w:color w:val="auto"/>
              </w:rPr>
            </w:pPr>
            <w:r>
              <w:rPr>
                <w:color w:val="auto"/>
              </w:rPr>
              <w:t>mg/kg</w:t>
            </w:r>
          </w:p>
        </w:tc>
        <w:tc>
          <w:tcPr>
            <w:tcW w:w="915" w:type="pct"/>
            <w:vAlign w:val="center"/>
          </w:tcPr>
          <w:p>
            <w:pPr>
              <w:pStyle w:val="47"/>
              <w:spacing w:line="240" w:lineRule="auto"/>
              <w:rPr>
                <w:color w:val="auto"/>
              </w:rPr>
            </w:pPr>
            <w:r>
              <w:rPr>
                <w:color w:val="auto"/>
              </w:rPr>
              <w:t>34.2</w:t>
            </w:r>
          </w:p>
        </w:tc>
        <w:tc>
          <w:tcPr>
            <w:tcW w:w="1071" w:type="pct"/>
            <w:vAlign w:val="center"/>
          </w:tcPr>
          <w:p>
            <w:pPr>
              <w:pStyle w:val="47"/>
              <w:spacing w:line="240" w:lineRule="auto"/>
              <w:rPr>
                <w:color w:val="auto"/>
                <w:szCs w:val="24"/>
              </w:rPr>
            </w:pPr>
            <w:r>
              <w:rPr>
                <w:rFonts w:hint="eastAsia"/>
                <w:color w:val="auto"/>
              </w:rPr>
              <w:t>900</w:t>
            </w:r>
          </w:p>
        </w:tc>
        <w:tc>
          <w:tcPr>
            <w:tcW w:w="842" w:type="pct"/>
            <w:vAlign w:val="center"/>
          </w:tcPr>
          <w:p>
            <w:pPr>
              <w:pStyle w:val="47"/>
              <w:spacing w:line="240" w:lineRule="auto"/>
              <w:rPr>
                <w:color w:val="auto"/>
              </w:rPr>
            </w:pPr>
            <w:r>
              <w:rPr>
                <w:rFonts w:hint="eastAsia"/>
                <w:color w:val="auto"/>
              </w:rPr>
              <w:t xml:space="preserve">0.0380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石油烃(C</w:t>
            </w:r>
            <w:r>
              <w:rPr>
                <w:color w:val="auto"/>
                <w:vertAlign w:val="subscript"/>
              </w:rPr>
              <w:t>10</w:t>
            </w:r>
            <w:r>
              <w:rPr>
                <w:color w:val="auto"/>
              </w:rPr>
              <w:t>-C</w:t>
            </w:r>
            <w:r>
              <w:rPr>
                <w:color w:val="auto"/>
                <w:vertAlign w:val="subscript"/>
              </w:rPr>
              <w:t>40</w:t>
            </w:r>
            <w:r>
              <w:rPr>
                <w:color w:val="auto"/>
              </w:rPr>
              <w:t>)</w:t>
            </w:r>
          </w:p>
        </w:tc>
        <w:tc>
          <w:tcPr>
            <w:tcW w:w="828" w:type="pct"/>
            <w:vAlign w:val="center"/>
          </w:tcPr>
          <w:p>
            <w:pPr>
              <w:pStyle w:val="47"/>
              <w:spacing w:line="240" w:lineRule="auto"/>
              <w:rPr>
                <w:color w:val="auto"/>
              </w:rPr>
            </w:pPr>
            <w:r>
              <w:rPr>
                <w:rFonts w:eastAsia="华文仿宋"/>
                <w:color w:val="auto"/>
                <w:kern w:val="0"/>
                <w:szCs w:val="21"/>
                <w:lang w:bidi="ar"/>
              </w:rPr>
              <w:t>mg/kg</w:t>
            </w:r>
          </w:p>
        </w:tc>
        <w:tc>
          <w:tcPr>
            <w:tcW w:w="915" w:type="pct"/>
            <w:vAlign w:val="center"/>
          </w:tcPr>
          <w:p>
            <w:pPr>
              <w:pStyle w:val="47"/>
              <w:spacing w:line="240" w:lineRule="auto"/>
              <w:rPr>
                <w:color w:val="auto"/>
              </w:rPr>
            </w:pPr>
            <w:r>
              <w:rPr>
                <w:rFonts w:hint="eastAsia"/>
                <w:color w:val="auto"/>
              </w:rPr>
              <w:t>21</w:t>
            </w:r>
          </w:p>
        </w:tc>
        <w:tc>
          <w:tcPr>
            <w:tcW w:w="1071" w:type="pct"/>
            <w:vAlign w:val="center"/>
          </w:tcPr>
          <w:p>
            <w:pPr>
              <w:pStyle w:val="47"/>
              <w:spacing w:line="240" w:lineRule="auto"/>
              <w:rPr>
                <w:color w:val="auto"/>
              </w:rPr>
            </w:pPr>
            <w:r>
              <w:rPr>
                <w:rFonts w:hint="eastAsia"/>
                <w:color w:val="auto"/>
              </w:rPr>
              <w:t>4500</w:t>
            </w:r>
          </w:p>
        </w:tc>
        <w:tc>
          <w:tcPr>
            <w:tcW w:w="842" w:type="pct"/>
            <w:vAlign w:val="center"/>
          </w:tcPr>
          <w:p>
            <w:pPr>
              <w:pStyle w:val="47"/>
              <w:spacing w:line="240" w:lineRule="auto"/>
              <w:rPr>
                <w:color w:val="auto"/>
              </w:rPr>
            </w:pPr>
            <w:r>
              <w:rPr>
                <w:rFonts w:hint="eastAsia"/>
                <w:color w:val="auto"/>
              </w:rPr>
              <w:t xml:space="preserve">0.0047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restart"/>
            <w:vAlign w:val="center"/>
          </w:tcPr>
          <w:p>
            <w:pPr>
              <w:pStyle w:val="47"/>
              <w:spacing w:line="240" w:lineRule="auto"/>
              <w:rPr>
                <w:color w:val="auto"/>
              </w:rPr>
            </w:pPr>
            <w:r>
              <w:rPr>
                <w:rFonts w:hint="eastAsia"/>
                <w:color w:val="auto"/>
              </w:rPr>
              <w:t>2</w:t>
            </w:r>
            <w:r>
              <w:rPr>
                <w:color w:val="auto"/>
              </w:rPr>
              <w:t>#</w:t>
            </w:r>
            <w:r>
              <w:rPr>
                <w:rFonts w:hint="eastAsia"/>
                <w:color w:val="auto"/>
              </w:rPr>
              <w:t>（0-0.5m）</w:t>
            </w:r>
          </w:p>
        </w:tc>
        <w:tc>
          <w:tcPr>
            <w:tcW w:w="585" w:type="pct"/>
            <w:vAlign w:val="center"/>
          </w:tcPr>
          <w:p>
            <w:pPr>
              <w:pStyle w:val="47"/>
              <w:spacing w:line="240" w:lineRule="auto"/>
              <w:rPr>
                <w:color w:val="auto"/>
                <w:szCs w:val="21"/>
              </w:rPr>
            </w:pPr>
            <w:r>
              <w:rPr>
                <w:color w:val="auto"/>
              </w:rPr>
              <w:t>汞</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rFonts w:hint="eastAsia"/>
                <w:color w:val="auto"/>
                <w:kern w:val="0"/>
                <w:sz w:val="21"/>
                <w:szCs w:val="21"/>
                <w:lang w:bidi="ar"/>
              </w:rPr>
              <w:t>0.037</w:t>
            </w:r>
          </w:p>
        </w:tc>
        <w:tc>
          <w:tcPr>
            <w:tcW w:w="1071" w:type="pct"/>
            <w:vAlign w:val="center"/>
          </w:tcPr>
          <w:p>
            <w:pPr>
              <w:pStyle w:val="47"/>
              <w:spacing w:line="240" w:lineRule="auto"/>
              <w:rPr>
                <w:color w:val="auto"/>
                <w:szCs w:val="24"/>
              </w:rPr>
            </w:pPr>
            <w:r>
              <w:rPr>
                <w:rFonts w:hint="eastAsia"/>
                <w:color w:val="auto"/>
              </w:rPr>
              <w:t>38</w:t>
            </w:r>
          </w:p>
        </w:tc>
        <w:tc>
          <w:tcPr>
            <w:tcW w:w="842" w:type="pct"/>
            <w:vAlign w:val="center"/>
          </w:tcPr>
          <w:p>
            <w:pPr>
              <w:pStyle w:val="47"/>
              <w:spacing w:line="240" w:lineRule="auto"/>
              <w:rPr>
                <w:color w:val="auto"/>
              </w:rPr>
            </w:pPr>
            <w:r>
              <w:rPr>
                <w:rFonts w:hint="eastAsia"/>
                <w:color w:val="auto"/>
              </w:rPr>
              <w:t xml:space="preserve">0.0012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砷</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7.33</w:t>
            </w:r>
          </w:p>
        </w:tc>
        <w:tc>
          <w:tcPr>
            <w:tcW w:w="1071" w:type="pct"/>
            <w:vAlign w:val="center"/>
          </w:tcPr>
          <w:p>
            <w:pPr>
              <w:pStyle w:val="47"/>
              <w:spacing w:line="240" w:lineRule="auto"/>
              <w:rPr>
                <w:color w:val="auto"/>
                <w:szCs w:val="24"/>
              </w:rPr>
            </w:pPr>
            <w:r>
              <w:rPr>
                <w:rFonts w:hint="eastAsia"/>
                <w:color w:val="auto"/>
              </w:rPr>
              <w:t>60</w:t>
            </w:r>
          </w:p>
        </w:tc>
        <w:tc>
          <w:tcPr>
            <w:tcW w:w="842" w:type="pct"/>
            <w:vAlign w:val="center"/>
          </w:tcPr>
          <w:p>
            <w:pPr>
              <w:pStyle w:val="47"/>
              <w:spacing w:line="240" w:lineRule="auto"/>
              <w:rPr>
                <w:color w:val="auto"/>
              </w:rPr>
            </w:pPr>
            <w:r>
              <w:rPr>
                <w:rFonts w:hint="eastAsia"/>
                <w:color w:val="auto"/>
              </w:rPr>
              <w:t xml:space="preserve">0.1222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镉</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0.10</w:t>
            </w:r>
          </w:p>
        </w:tc>
        <w:tc>
          <w:tcPr>
            <w:tcW w:w="1071" w:type="pct"/>
            <w:vAlign w:val="center"/>
          </w:tcPr>
          <w:p>
            <w:pPr>
              <w:pStyle w:val="47"/>
              <w:spacing w:line="240" w:lineRule="auto"/>
              <w:rPr>
                <w:color w:val="auto"/>
                <w:szCs w:val="24"/>
              </w:rPr>
            </w:pPr>
            <w:r>
              <w:rPr>
                <w:rFonts w:hint="eastAsia"/>
                <w:color w:val="auto"/>
              </w:rPr>
              <w:t>65</w:t>
            </w:r>
          </w:p>
        </w:tc>
        <w:tc>
          <w:tcPr>
            <w:tcW w:w="842" w:type="pct"/>
            <w:vAlign w:val="center"/>
          </w:tcPr>
          <w:p>
            <w:pPr>
              <w:pStyle w:val="47"/>
              <w:spacing w:line="240" w:lineRule="auto"/>
              <w:rPr>
                <w:color w:val="auto"/>
              </w:rPr>
            </w:pPr>
            <w:r>
              <w:rPr>
                <w:rFonts w:hint="eastAsia"/>
                <w:color w:val="auto"/>
              </w:rPr>
              <w:t xml:space="preserve">0.0015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铅</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17.4</w:t>
            </w:r>
          </w:p>
        </w:tc>
        <w:tc>
          <w:tcPr>
            <w:tcW w:w="1071" w:type="pct"/>
            <w:vAlign w:val="center"/>
          </w:tcPr>
          <w:p>
            <w:pPr>
              <w:pStyle w:val="47"/>
              <w:spacing w:line="240" w:lineRule="auto"/>
              <w:rPr>
                <w:color w:val="auto"/>
                <w:szCs w:val="24"/>
              </w:rPr>
            </w:pPr>
            <w:r>
              <w:rPr>
                <w:rFonts w:hint="eastAsia"/>
                <w:color w:val="auto"/>
              </w:rPr>
              <w:t>800</w:t>
            </w:r>
          </w:p>
        </w:tc>
        <w:tc>
          <w:tcPr>
            <w:tcW w:w="842" w:type="pct"/>
            <w:vAlign w:val="center"/>
          </w:tcPr>
          <w:p>
            <w:pPr>
              <w:pStyle w:val="47"/>
              <w:spacing w:line="240" w:lineRule="auto"/>
              <w:rPr>
                <w:color w:val="auto"/>
              </w:rPr>
            </w:pPr>
            <w:r>
              <w:rPr>
                <w:rFonts w:hint="eastAsia"/>
                <w:color w:val="auto"/>
              </w:rPr>
              <w:t xml:space="preserve">0.0218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铜</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18</w:t>
            </w:r>
          </w:p>
        </w:tc>
        <w:tc>
          <w:tcPr>
            <w:tcW w:w="1071" w:type="pct"/>
            <w:vAlign w:val="center"/>
          </w:tcPr>
          <w:p>
            <w:pPr>
              <w:pStyle w:val="47"/>
              <w:spacing w:line="240" w:lineRule="auto"/>
              <w:rPr>
                <w:color w:val="auto"/>
                <w:szCs w:val="24"/>
              </w:rPr>
            </w:pPr>
            <w:r>
              <w:rPr>
                <w:rFonts w:hint="eastAsia"/>
                <w:color w:val="auto"/>
              </w:rPr>
              <w:t>18000</w:t>
            </w:r>
          </w:p>
        </w:tc>
        <w:tc>
          <w:tcPr>
            <w:tcW w:w="842" w:type="pct"/>
            <w:vAlign w:val="center"/>
          </w:tcPr>
          <w:p>
            <w:pPr>
              <w:pStyle w:val="47"/>
              <w:spacing w:line="240" w:lineRule="auto"/>
              <w:rPr>
                <w:color w:val="auto"/>
              </w:rPr>
            </w:pPr>
            <w:r>
              <w:rPr>
                <w:rFonts w:hint="eastAsia"/>
                <w:color w:val="auto"/>
              </w:rPr>
              <w:t xml:space="preserve">0.0010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98"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镍</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19.4</w:t>
            </w:r>
          </w:p>
        </w:tc>
        <w:tc>
          <w:tcPr>
            <w:tcW w:w="1071" w:type="pct"/>
            <w:vAlign w:val="center"/>
          </w:tcPr>
          <w:p>
            <w:pPr>
              <w:pStyle w:val="47"/>
              <w:spacing w:line="240" w:lineRule="auto"/>
              <w:rPr>
                <w:color w:val="auto"/>
                <w:szCs w:val="24"/>
              </w:rPr>
            </w:pPr>
            <w:r>
              <w:rPr>
                <w:rFonts w:hint="eastAsia"/>
                <w:color w:val="auto"/>
              </w:rPr>
              <w:t>900</w:t>
            </w:r>
          </w:p>
        </w:tc>
        <w:tc>
          <w:tcPr>
            <w:tcW w:w="842" w:type="pct"/>
            <w:vAlign w:val="center"/>
          </w:tcPr>
          <w:p>
            <w:pPr>
              <w:pStyle w:val="47"/>
              <w:spacing w:line="240" w:lineRule="auto"/>
              <w:rPr>
                <w:color w:val="auto"/>
              </w:rPr>
            </w:pPr>
            <w:r>
              <w:rPr>
                <w:rFonts w:hint="eastAsia"/>
                <w:color w:val="auto"/>
              </w:rPr>
              <w:t xml:space="preserve">0.0216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石油烃(C10-C40)</w:t>
            </w:r>
          </w:p>
        </w:tc>
        <w:tc>
          <w:tcPr>
            <w:tcW w:w="828" w:type="pct"/>
            <w:vAlign w:val="center"/>
          </w:tcPr>
          <w:p>
            <w:pPr>
              <w:pStyle w:val="47"/>
              <w:spacing w:line="240" w:lineRule="auto"/>
              <w:rPr>
                <w:color w:val="auto"/>
              </w:rPr>
            </w:pPr>
            <w:r>
              <w:rPr>
                <w:rFonts w:eastAsia="华文仿宋"/>
                <w:color w:val="auto"/>
                <w:kern w:val="0"/>
                <w:szCs w:val="21"/>
                <w:lang w:bidi="ar"/>
              </w:rPr>
              <w:t>mg/kg</w:t>
            </w:r>
          </w:p>
        </w:tc>
        <w:tc>
          <w:tcPr>
            <w:tcW w:w="915" w:type="pct"/>
            <w:vAlign w:val="center"/>
          </w:tcPr>
          <w:p>
            <w:pPr>
              <w:spacing w:line="240" w:lineRule="auto"/>
              <w:ind w:firstLine="0" w:firstLineChars="0"/>
              <w:jc w:val="center"/>
              <w:rPr>
                <w:color w:val="auto"/>
                <w:sz w:val="21"/>
                <w:szCs w:val="21"/>
              </w:rPr>
            </w:pPr>
            <w:r>
              <w:rPr>
                <w:rFonts w:hint="eastAsia"/>
                <w:color w:val="auto"/>
                <w:sz w:val="21"/>
                <w:szCs w:val="21"/>
              </w:rPr>
              <w:t>9</w:t>
            </w:r>
          </w:p>
        </w:tc>
        <w:tc>
          <w:tcPr>
            <w:tcW w:w="1071" w:type="pct"/>
            <w:vAlign w:val="center"/>
          </w:tcPr>
          <w:p>
            <w:pPr>
              <w:pStyle w:val="47"/>
              <w:spacing w:line="240" w:lineRule="auto"/>
              <w:rPr>
                <w:color w:val="auto"/>
              </w:rPr>
            </w:pPr>
            <w:r>
              <w:rPr>
                <w:rFonts w:hint="eastAsia"/>
                <w:color w:val="auto"/>
              </w:rPr>
              <w:t>4500</w:t>
            </w:r>
          </w:p>
        </w:tc>
        <w:tc>
          <w:tcPr>
            <w:tcW w:w="842" w:type="pct"/>
            <w:vAlign w:val="center"/>
          </w:tcPr>
          <w:p>
            <w:pPr>
              <w:pStyle w:val="47"/>
              <w:spacing w:line="240" w:lineRule="auto"/>
              <w:rPr>
                <w:color w:val="auto"/>
              </w:rPr>
            </w:pPr>
            <w:r>
              <w:rPr>
                <w:rFonts w:hint="eastAsia"/>
                <w:color w:val="auto"/>
              </w:rPr>
              <w:t xml:space="preserve">0.0020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restart"/>
            <w:vAlign w:val="center"/>
          </w:tcPr>
          <w:p>
            <w:pPr>
              <w:pStyle w:val="47"/>
              <w:spacing w:line="240" w:lineRule="auto"/>
              <w:rPr>
                <w:color w:val="auto"/>
              </w:rPr>
            </w:pPr>
            <w:r>
              <w:rPr>
                <w:rFonts w:hint="eastAsia"/>
                <w:color w:val="auto"/>
              </w:rPr>
              <w:t>2</w:t>
            </w:r>
            <w:r>
              <w:rPr>
                <w:color w:val="auto"/>
              </w:rPr>
              <w:t>#</w:t>
            </w:r>
            <w:r>
              <w:rPr>
                <w:rFonts w:hint="eastAsia"/>
                <w:color w:val="auto"/>
              </w:rPr>
              <w:t>（0.5-1.5m）</w:t>
            </w:r>
          </w:p>
        </w:tc>
        <w:tc>
          <w:tcPr>
            <w:tcW w:w="585" w:type="pct"/>
            <w:vAlign w:val="center"/>
          </w:tcPr>
          <w:p>
            <w:pPr>
              <w:pStyle w:val="47"/>
              <w:spacing w:line="240" w:lineRule="auto"/>
              <w:rPr>
                <w:color w:val="auto"/>
                <w:szCs w:val="21"/>
              </w:rPr>
            </w:pPr>
            <w:r>
              <w:rPr>
                <w:color w:val="auto"/>
              </w:rPr>
              <w:t>汞</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0.019</w:t>
            </w:r>
          </w:p>
        </w:tc>
        <w:tc>
          <w:tcPr>
            <w:tcW w:w="1071" w:type="pct"/>
            <w:vAlign w:val="center"/>
          </w:tcPr>
          <w:p>
            <w:pPr>
              <w:pStyle w:val="47"/>
              <w:spacing w:line="240" w:lineRule="auto"/>
              <w:rPr>
                <w:color w:val="auto"/>
              </w:rPr>
            </w:pPr>
            <w:r>
              <w:rPr>
                <w:rFonts w:hint="eastAsia"/>
                <w:color w:val="auto"/>
              </w:rPr>
              <w:t>38</w:t>
            </w:r>
          </w:p>
        </w:tc>
        <w:tc>
          <w:tcPr>
            <w:tcW w:w="842" w:type="pct"/>
            <w:vAlign w:val="center"/>
          </w:tcPr>
          <w:p>
            <w:pPr>
              <w:pStyle w:val="47"/>
              <w:spacing w:line="240" w:lineRule="auto"/>
              <w:rPr>
                <w:color w:val="auto"/>
              </w:rPr>
            </w:pPr>
            <w:r>
              <w:rPr>
                <w:rFonts w:hint="eastAsia"/>
                <w:color w:val="auto"/>
              </w:rPr>
              <w:t xml:space="preserve">0.0005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砷</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6.41</w:t>
            </w:r>
          </w:p>
        </w:tc>
        <w:tc>
          <w:tcPr>
            <w:tcW w:w="1071" w:type="pct"/>
            <w:vAlign w:val="center"/>
          </w:tcPr>
          <w:p>
            <w:pPr>
              <w:pStyle w:val="47"/>
              <w:spacing w:line="240" w:lineRule="auto"/>
              <w:rPr>
                <w:color w:val="auto"/>
              </w:rPr>
            </w:pPr>
            <w:r>
              <w:rPr>
                <w:rFonts w:hint="eastAsia"/>
                <w:color w:val="auto"/>
              </w:rPr>
              <w:t>60</w:t>
            </w:r>
          </w:p>
        </w:tc>
        <w:tc>
          <w:tcPr>
            <w:tcW w:w="842" w:type="pct"/>
            <w:vAlign w:val="center"/>
          </w:tcPr>
          <w:p>
            <w:pPr>
              <w:pStyle w:val="47"/>
              <w:spacing w:line="240" w:lineRule="auto"/>
              <w:rPr>
                <w:color w:val="auto"/>
              </w:rPr>
            </w:pPr>
            <w:r>
              <w:rPr>
                <w:rFonts w:hint="eastAsia"/>
                <w:color w:val="auto"/>
              </w:rPr>
              <w:t xml:space="preserve">0.1068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镉</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0.08</w:t>
            </w:r>
          </w:p>
        </w:tc>
        <w:tc>
          <w:tcPr>
            <w:tcW w:w="1071" w:type="pct"/>
            <w:vAlign w:val="center"/>
          </w:tcPr>
          <w:p>
            <w:pPr>
              <w:pStyle w:val="47"/>
              <w:spacing w:line="240" w:lineRule="auto"/>
              <w:rPr>
                <w:color w:val="auto"/>
              </w:rPr>
            </w:pPr>
            <w:r>
              <w:rPr>
                <w:rFonts w:hint="eastAsia"/>
                <w:color w:val="auto"/>
              </w:rPr>
              <w:t>65</w:t>
            </w:r>
          </w:p>
        </w:tc>
        <w:tc>
          <w:tcPr>
            <w:tcW w:w="842" w:type="pct"/>
            <w:vAlign w:val="center"/>
          </w:tcPr>
          <w:p>
            <w:pPr>
              <w:pStyle w:val="47"/>
              <w:spacing w:line="240" w:lineRule="auto"/>
              <w:rPr>
                <w:color w:val="auto"/>
              </w:rPr>
            </w:pPr>
            <w:r>
              <w:rPr>
                <w:rFonts w:hint="eastAsia"/>
                <w:color w:val="auto"/>
              </w:rPr>
              <w:t xml:space="preserve">0.0012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铅</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17.1</w:t>
            </w:r>
          </w:p>
        </w:tc>
        <w:tc>
          <w:tcPr>
            <w:tcW w:w="1071" w:type="pct"/>
            <w:vAlign w:val="center"/>
          </w:tcPr>
          <w:p>
            <w:pPr>
              <w:pStyle w:val="47"/>
              <w:spacing w:line="240" w:lineRule="auto"/>
              <w:rPr>
                <w:color w:val="auto"/>
              </w:rPr>
            </w:pPr>
            <w:r>
              <w:rPr>
                <w:rFonts w:hint="eastAsia"/>
                <w:color w:val="auto"/>
              </w:rPr>
              <w:t>800</w:t>
            </w:r>
          </w:p>
        </w:tc>
        <w:tc>
          <w:tcPr>
            <w:tcW w:w="842" w:type="pct"/>
            <w:vAlign w:val="center"/>
          </w:tcPr>
          <w:p>
            <w:pPr>
              <w:pStyle w:val="47"/>
              <w:spacing w:line="240" w:lineRule="auto"/>
              <w:rPr>
                <w:color w:val="auto"/>
              </w:rPr>
            </w:pPr>
            <w:r>
              <w:rPr>
                <w:rFonts w:hint="eastAsia"/>
                <w:color w:val="auto"/>
              </w:rPr>
              <w:t xml:space="preserve">0.0214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铜</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16</w:t>
            </w:r>
          </w:p>
        </w:tc>
        <w:tc>
          <w:tcPr>
            <w:tcW w:w="1071" w:type="pct"/>
            <w:vAlign w:val="center"/>
          </w:tcPr>
          <w:p>
            <w:pPr>
              <w:pStyle w:val="47"/>
              <w:spacing w:line="240" w:lineRule="auto"/>
              <w:rPr>
                <w:color w:val="auto"/>
              </w:rPr>
            </w:pPr>
            <w:r>
              <w:rPr>
                <w:rFonts w:hint="eastAsia"/>
                <w:color w:val="auto"/>
              </w:rPr>
              <w:t>18000</w:t>
            </w:r>
          </w:p>
        </w:tc>
        <w:tc>
          <w:tcPr>
            <w:tcW w:w="842" w:type="pct"/>
            <w:vAlign w:val="center"/>
          </w:tcPr>
          <w:p>
            <w:pPr>
              <w:pStyle w:val="47"/>
              <w:spacing w:line="240" w:lineRule="auto"/>
              <w:rPr>
                <w:color w:val="auto"/>
              </w:rPr>
            </w:pPr>
            <w:r>
              <w:rPr>
                <w:rFonts w:hint="eastAsia"/>
                <w:color w:val="auto"/>
              </w:rPr>
              <w:t xml:space="preserve">0.0009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镍</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24.7</w:t>
            </w:r>
          </w:p>
        </w:tc>
        <w:tc>
          <w:tcPr>
            <w:tcW w:w="1071" w:type="pct"/>
            <w:vAlign w:val="center"/>
          </w:tcPr>
          <w:p>
            <w:pPr>
              <w:pStyle w:val="47"/>
              <w:spacing w:line="240" w:lineRule="auto"/>
              <w:rPr>
                <w:color w:val="auto"/>
              </w:rPr>
            </w:pPr>
            <w:r>
              <w:rPr>
                <w:rFonts w:hint="eastAsia"/>
                <w:color w:val="auto"/>
              </w:rPr>
              <w:t>900</w:t>
            </w:r>
          </w:p>
        </w:tc>
        <w:tc>
          <w:tcPr>
            <w:tcW w:w="842" w:type="pct"/>
            <w:vAlign w:val="center"/>
          </w:tcPr>
          <w:p>
            <w:pPr>
              <w:pStyle w:val="47"/>
              <w:spacing w:line="240" w:lineRule="auto"/>
              <w:rPr>
                <w:color w:val="auto"/>
              </w:rPr>
            </w:pPr>
            <w:r>
              <w:rPr>
                <w:rFonts w:hint="eastAsia"/>
                <w:color w:val="auto"/>
              </w:rPr>
              <w:t xml:space="preserve">0.0274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石油烃(C10-C40)</w:t>
            </w:r>
          </w:p>
        </w:tc>
        <w:tc>
          <w:tcPr>
            <w:tcW w:w="828" w:type="pct"/>
            <w:vAlign w:val="center"/>
          </w:tcPr>
          <w:p>
            <w:pPr>
              <w:pStyle w:val="47"/>
              <w:spacing w:line="240" w:lineRule="auto"/>
              <w:rPr>
                <w:color w:val="auto"/>
              </w:rPr>
            </w:pPr>
            <w:r>
              <w:rPr>
                <w:rFonts w:eastAsia="华文仿宋"/>
                <w:color w:val="auto"/>
                <w:kern w:val="0"/>
                <w:szCs w:val="21"/>
                <w:lang w:bidi="ar"/>
              </w:rPr>
              <w:t>mg/kg</w:t>
            </w:r>
          </w:p>
        </w:tc>
        <w:tc>
          <w:tcPr>
            <w:tcW w:w="915" w:type="pct"/>
            <w:vAlign w:val="center"/>
          </w:tcPr>
          <w:p>
            <w:pPr>
              <w:spacing w:line="240" w:lineRule="auto"/>
              <w:ind w:firstLine="0" w:firstLineChars="0"/>
              <w:jc w:val="center"/>
              <w:rPr>
                <w:color w:val="auto"/>
                <w:sz w:val="21"/>
                <w:szCs w:val="21"/>
              </w:rPr>
            </w:pPr>
            <w:r>
              <w:rPr>
                <w:rFonts w:hint="eastAsia"/>
                <w:color w:val="auto"/>
                <w:sz w:val="21"/>
                <w:szCs w:val="21"/>
              </w:rPr>
              <w:t>19</w:t>
            </w:r>
          </w:p>
        </w:tc>
        <w:tc>
          <w:tcPr>
            <w:tcW w:w="1071" w:type="pct"/>
            <w:vAlign w:val="center"/>
          </w:tcPr>
          <w:p>
            <w:pPr>
              <w:pStyle w:val="47"/>
              <w:spacing w:line="240" w:lineRule="auto"/>
              <w:rPr>
                <w:color w:val="auto"/>
              </w:rPr>
            </w:pPr>
            <w:r>
              <w:rPr>
                <w:rFonts w:hint="eastAsia"/>
                <w:color w:val="auto"/>
              </w:rPr>
              <w:t>4500</w:t>
            </w:r>
          </w:p>
        </w:tc>
        <w:tc>
          <w:tcPr>
            <w:tcW w:w="842" w:type="pct"/>
            <w:vAlign w:val="center"/>
          </w:tcPr>
          <w:p>
            <w:pPr>
              <w:pStyle w:val="47"/>
              <w:spacing w:line="240" w:lineRule="auto"/>
              <w:rPr>
                <w:color w:val="auto"/>
              </w:rPr>
            </w:pPr>
            <w:r>
              <w:rPr>
                <w:rFonts w:hint="eastAsia"/>
                <w:color w:val="auto"/>
              </w:rPr>
              <w:t xml:space="preserve">0.0042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restart"/>
            <w:vAlign w:val="center"/>
          </w:tcPr>
          <w:p>
            <w:pPr>
              <w:pStyle w:val="47"/>
              <w:spacing w:line="240" w:lineRule="auto"/>
              <w:rPr>
                <w:color w:val="auto"/>
              </w:rPr>
            </w:pPr>
            <w:r>
              <w:rPr>
                <w:rFonts w:hint="eastAsia"/>
                <w:color w:val="auto"/>
              </w:rPr>
              <w:t>2</w:t>
            </w:r>
            <w:r>
              <w:rPr>
                <w:color w:val="auto"/>
              </w:rPr>
              <w:t>#</w:t>
            </w:r>
            <w:r>
              <w:rPr>
                <w:rFonts w:hint="eastAsia"/>
                <w:color w:val="auto"/>
              </w:rPr>
              <w:t>（1..5-3.0m）</w:t>
            </w:r>
          </w:p>
        </w:tc>
        <w:tc>
          <w:tcPr>
            <w:tcW w:w="585" w:type="pct"/>
            <w:vAlign w:val="center"/>
          </w:tcPr>
          <w:p>
            <w:pPr>
              <w:pStyle w:val="47"/>
              <w:spacing w:line="240" w:lineRule="auto"/>
              <w:rPr>
                <w:color w:val="auto"/>
                <w:szCs w:val="21"/>
              </w:rPr>
            </w:pPr>
            <w:r>
              <w:rPr>
                <w:color w:val="auto"/>
              </w:rPr>
              <w:t>汞</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0.027</w:t>
            </w:r>
          </w:p>
        </w:tc>
        <w:tc>
          <w:tcPr>
            <w:tcW w:w="1071" w:type="pct"/>
            <w:vAlign w:val="center"/>
          </w:tcPr>
          <w:p>
            <w:pPr>
              <w:pStyle w:val="47"/>
              <w:spacing w:line="240" w:lineRule="auto"/>
              <w:rPr>
                <w:color w:val="auto"/>
              </w:rPr>
            </w:pPr>
            <w:r>
              <w:rPr>
                <w:rFonts w:hint="eastAsia"/>
                <w:color w:val="auto"/>
              </w:rPr>
              <w:t>38</w:t>
            </w:r>
          </w:p>
        </w:tc>
        <w:tc>
          <w:tcPr>
            <w:tcW w:w="842" w:type="pct"/>
            <w:vAlign w:val="center"/>
          </w:tcPr>
          <w:p>
            <w:pPr>
              <w:pStyle w:val="47"/>
              <w:spacing w:line="240" w:lineRule="auto"/>
              <w:rPr>
                <w:color w:val="auto"/>
              </w:rPr>
            </w:pPr>
            <w:r>
              <w:rPr>
                <w:rFonts w:hint="eastAsia"/>
                <w:color w:val="auto"/>
              </w:rPr>
              <w:t xml:space="preserve">0.0005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砷</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13.0</w:t>
            </w:r>
          </w:p>
        </w:tc>
        <w:tc>
          <w:tcPr>
            <w:tcW w:w="1071" w:type="pct"/>
            <w:vAlign w:val="center"/>
          </w:tcPr>
          <w:p>
            <w:pPr>
              <w:pStyle w:val="47"/>
              <w:spacing w:line="240" w:lineRule="auto"/>
              <w:rPr>
                <w:color w:val="auto"/>
              </w:rPr>
            </w:pPr>
            <w:r>
              <w:rPr>
                <w:rFonts w:hint="eastAsia"/>
                <w:color w:val="auto"/>
              </w:rPr>
              <w:t>60</w:t>
            </w:r>
          </w:p>
        </w:tc>
        <w:tc>
          <w:tcPr>
            <w:tcW w:w="842" w:type="pct"/>
            <w:vAlign w:val="center"/>
          </w:tcPr>
          <w:p>
            <w:pPr>
              <w:pStyle w:val="47"/>
              <w:spacing w:line="240" w:lineRule="auto"/>
              <w:rPr>
                <w:color w:val="auto"/>
              </w:rPr>
            </w:pPr>
            <w:r>
              <w:rPr>
                <w:rFonts w:hint="eastAsia"/>
                <w:color w:val="auto"/>
              </w:rPr>
              <w:t xml:space="preserve">0.2167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镉</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0.07</w:t>
            </w:r>
          </w:p>
        </w:tc>
        <w:tc>
          <w:tcPr>
            <w:tcW w:w="1071" w:type="pct"/>
            <w:vAlign w:val="center"/>
          </w:tcPr>
          <w:p>
            <w:pPr>
              <w:pStyle w:val="47"/>
              <w:spacing w:line="240" w:lineRule="auto"/>
              <w:rPr>
                <w:color w:val="auto"/>
              </w:rPr>
            </w:pPr>
            <w:r>
              <w:rPr>
                <w:rFonts w:hint="eastAsia"/>
                <w:color w:val="auto"/>
              </w:rPr>
              <w:t>65</w:t>
            </w:r>
          </w:p>
        </w:tc>
        <w:tc>
          <w:tcPr>
            <w:tcW w:w="842" w:type="pct"/>
            <w:vAlign w:val="center"/>
          </w:tcPr>
          <w:p>
            <w:pPr>
              <w:pStyle w:val="47"/>
              <w:spacing w:line="240" w:lineRule="auto"/>
              <w:rPr>
                <w:color w:val="auto"/>
              </w:rPr>
            </w:pPr>
            <w:r>
              <w:rPr>
                <w:rFonts w:hint="eastAsia"/>
                <w:color w:val="auto"/>
              </w:rPr>
              <w:t xml:space="preserve">0.0011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铅</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10.8</w:t>
            </w:r>
          </w:p>
        </w:tc>
        <w:tc>
          <w:tcPr>
            <w:tcW w:w="1071" w:type="pct"/>
            <w:vAlign w:val="center"/>
          </w:tcPr>
          <w:p>
            <w:pPr>
              <w:pStyle w:val="47"/>
              <w:spacing w:line="240" w:lineRule="auto"/>
              <w:rPr>
                <w:color w:val="auto"/>
              </w:rPr>
            </w:pPr>
            <w:r>
              <w:rPr>
                <w:rFonts w:hint="eastAsia"/>
                <w:color w:val="auto"/>
              </w:rPr>
              <w:t>800</w:t>
            </w:r>
          </w:p>
        </w:tc>
        <w:tc>
          <w:tcPr>
            <w:tcW w:w="842" w:type="pct"/>
            <w:vAlign w:val="center"/>
          </w:tcPr>
          <w:p>
            <w:pPr>
              <w:pStyle w:val="47"/>
              <w:spacing w:line="240" w:lineRule="auto"/>
              <w:rPr>
                <w:color w:val="auto"/>
              </w:rPr>
            </w:pPr>
            <w:r>
              <w:rPr>
                <w:rFonts w:hint="eastAsia"/>
                <w:color w:val="auto"/>
              </w:rPr>
              <w:t xml:space="preserve">0.0135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铜</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11</w:t>
            </w:r>
          </w:p>
        </w:tc>
        <w:tc>
          <w:tcPr>
            <w:tcW w:w="1071" w:type="pct"/>
            <w:vAlign w:val="center"/>
          </w:tcPr>
          <w:p>
            <w:pPr>
              <w:pStyle w:val="47"/>
              <w:spacing w:line="240" w:lineRule="auto"/>
              <w:rPr>
                <w:color w:val="auto"/>
              </w:rPr>
            </w:pPr>
            <w:r>
              <w:rPr>
                <w:rFonts w:hint="eastAsia"/>
                <w:color w:val="auto"/>
              </w:rPr>
              <w:t>18000</w:t>
            </w:r>
          </w:p>
        </w:tc>
        <w:tc>
          <w:tcPr>
            <w:tcW w:w="842" w:type="pct"/>
            <w:vAlign w:val="center"/>
          </w:tcPr>
          <w:p>
            <w:pPr>
              <w:pStyle w:val="47"/>
              <w:spacing w:line="240" w:lineRule="auto"/>
              <w:rPr>
                <w:color w:val="auto"/>
              </w:rPr>
            </w:pPr>
            <w:r>
              <w:rPr>
                <w:rFonts w:hint="eastAsia"/>
                <w:color w:val="auto"/>
              </w:rPr>
              <w:t xml:space="preserve">0.0006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镍</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15.0</w:t>
            </w:r>
          </w:p>
        </w:tc>
        <w:tc>
          <w:tcPr>
            <w:tcW w:w="1071" w:type="pct"/>
            <w:vAlign w:val="center"/>
          </w:tcPr>
          <w:p>
            <w:pPr>
              <w:pStyle w:val="47"/>
              <w:spacing w:line="240" w:lineRule="auto"/>
              <w:rPr>
                <w:color w:val="auto"/>
              </w:rPr>
            </w:pPr>
            <w:r>
              <w:rPr>
                <w:rFonts w:hint="eastAsia"/>
                <w:color w:val="auto"/>
              </w:rPr>
              <w:t>900</w:t>
            </w:r>
          </w:p>
        </w:tc>
        <w:tc>
          <w:tcPr>
            <w:tcW w:w="842" w:type="pct"/>
            <w:vAlign w:val="center"/>
          </w:tcPr>
          <w:p>
            <w:pPr>
              <w:pStyle w:val="47"/>
              <w:spacing w:line="240" w:lineRule="auto"/>
              <w:rPr>
                <w:color w:val="auto"/>
              </w:rPr>
            </w:pPr>
            <w:r>
              <w:rPr>
                <w:rFonts w:hint="eastAsia"/>
                <w:color w:val="auto"/>
              </w:rPr>
              <w:t xml:space="preserve">0.0167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石油烃(C10-C40)</w:t>
            </w:r>
          </w:p>
        </w:tc>
        <w:tc>
          <w:tcPr>
            <w:tcW w:w="828" w:type="pct"/>
            <w:vAlign w:val="center"/>
          </w:tcPr>
          <w:p>
            <w:pPr>
              <w:pStyle w:val="47"/>
              <w:spacing w:line="240" w:lineRule="auto"/>
              <w:rPr>
                <w:color w:val="auto"/>
              </w:rPr>
            </w:pPr>
            <w:r>
              <w:rPr>
                <w:rFonts w:eastAsia="华文仿宋"/>
                <w:color w:val="auto"/>
                <w:kern w:val="0"/>
                <w:szCs w:val="21"/>
                <w:lang w:bidi="ar"/>
              </w:rPr>
              <w:t>mg/kg</w:t>
            </w:r>
          </w:p>
        </w:tc>
        <w:tc>
          <w:tcPr>
            <w:tcW w:w="915" w:type="pct"/>
            <w:vAlign w:val="center"/>
          </w:tcPr>
          <w:p>
            <w:pPr>
              <w:widowControl/>
              <w:ind w:firstLine="0" w:firstLineChars="0"/>
              <w:jc w:val="center"/>
              <w:textAlignment w:val="center"/>
              <w:rPr>
                <w:color w:val="auto"/>
                <w:sz w:val="21"/>
                <w:szCs w:val="21"/>
              </w:rPr>
            </w:pPr>
            <w:r>
              <w:rPr>
                <w:rFonts w:hint="eastAsia"/>
                <w:color w:val="auto"/>
                <w:kern w:val="0"/>
                <w:sz w:val="21"/>
                <w:szCs w:val="21"/>
                <w:lang w:bidi="ar"/>
              </w:rPr>
              <w:t>34</w:t>
            </w:r>
          </w:p>
        </w:tc>
        <w:tc>
          <w:tcPr>
            <w:tcW w:w="1071" w:type="pct"/>
            <w:vAlign w:val="center"/>
          </w:tcPr>
          <w:p>
            <w:pPr>
              <w:pStyle w:val="47"/>
              <w:spacing w:line="240" w:lineRule="auto"/>
              <w:rPr>
                <w:color w:val="auto"/>
              </w:rPr>
            </w:pPr>
            <w:r>
              <w:rPr>
                <w:rFonts w:hint="eastAsia"/>
                <w:color w:val="auto"/>
              </w:rPr>
              <w:t>4500</w:t>
            </w:r>
          </w:p>
        </w:tc>
        <w:tc>
          <w:tcPr>
            <w:tcW w:w="842" w:type="pct"/>
            <w:vAlign w:val="center"/>
          </w:tcPr>
          <w:p>
            <w:pPr>
              <w:pStyle w:val="47"/>
              <w:spacing w:line="240" w:lineRule="auto"/>
              <w:rPr>
                <w:color w:val="auto"/>
              </w:rPr>
            </w:pPr>
            <w:r>
              <w:rPr>
                <w:rFonts w:hint="eastAsia"/>
                <w:color w:val="auto"/>
              </w:rPr>
              <w:t xml:space="preserve">0.0076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restart"/>
            <w:vAlign w:val="center"/>
          </w:tcPr>
          <w:p>
            <w:pPr>
              <w:pStyle w:val="47"/>
              <w:spacing w:line="240" w:lineRule="auto"/>
              <w:rPr>
                <w:color w:val="auto"/>
              </w:rPr>
            </w:pPr>
            <w:r>
              <w:rPr>
                <w:rFonts w:hint="eastAsia"/>
                <w:color w:val="auto"/>
              </w:rPr>
              <w:t>3</w:t>
            </w:r>
            <w:r>
              <w:rPr>
                <w:color w:val="auto"/>
              </w:rPr>
              <w:t>#(</w:t>
            </w:r>
            <w:r>
              <w:rPr>
                <w:rFonts w:eastAsia="等线"/>
                <w:color w:val="auto"/>
                <w:szCs w:val="21"/>
              </w:rPr>
              <w:t>0-</w:t>
            </w:r>
            <w:r>
              <w:rPr>
                <w:rFonts w:hint="eastAsia" w:eastAsia="等线"/>
                <w:color w:val="auto"/>
                <w:szCs w:val="21"/>
              </w:rPr>
              <w:t>0</w:t>
            </w:r>
            <w:r>
              <w:rPr>
                <w:rFonts w:eastAsia="等线"/>
                <w:color w:val="auto"/>
                <w:szCs w:val="21"/>
              </w:rPr>
              <w:t>.5m</w:t>
            </w:r>
            <w:r>
              <w:rPr>
                <w:color w:val="auto"/>
              </w:rPr>
              <w:t>)</w:t>
            </w:r>
          </w:p>
        </w:tc>
        <w:tc>
          <w:tcPr>
            <w:tcW w:w="585" w:type="pct"/>
            <w:vAlign w:val="center"/>
          </w:tcPr>
          <w:p>
            <w:pPr>
              <w:pStyle w:val="47"/>
              <w:spacing w:line="240" w:lineRule="auto"/>
              <w:rPr>
                <w:color w:val="auto"/>
                <w:szCs w:val="21"/>
              </w:rPr>
            </w:pPr>
            <w:r>
              <w:rPr>
                <w:color w:val="auto"/>
              </w:rPr>
              <w:t>汞</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0.027</w:t>
            </w:r>
          </w:p>
        </w:tc>
        <w:tc>
          <w:tcPr>
            <w:tcW w:w="1071" w:type="pct"/>
            <w:vAlign w:val="center"/>
          </w:tcPr>
          <w:p>
            <w:pPr>
              <w:pStyle w:val="47"/>
              <w:spacing w:line="240" w:lineRule="auto"/>
              <w:rPr>
                <w:color w:val="auto"/>
              </w:rPr>
            </w:pPr>
            <w:r>
              <w:rPr>
                <w:rFonts w:hint="eastAsia"/>
                <w:color w:val="auto"/>
              </w:rPr>
              <w:t>38</w:t>
            </w:r>
          </w:p>
        </w:tc>
        <w:tc>
          <w:tcPr>
            <w:tcW w:w="842" w:type="pct"/>
            <w:vAlign w:val="center"/>
          </w:tcPr>
          <w:p>
            <w:pPr>
              <w:pStyle w:val="47"/>
              <w:spacing w:line="240" w:lineRule="auto"/>
              <w:rPr>
                <w:color w:val="auto"/>
              </w:rPr>
            </w:pPr>
            <w:r>
              <w:rPr>
                <w:rFonts w:hint="eastAsia"/>
                <w:color w:val="auto"/>
              </w:rPr>
              <w:t xml:space="preserve">0.0005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砷</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8.30</w:t>
            </w:r>
          </w:p>
        </w:tc>
        <w:tc>
          <w:tcPr>
            <w:tcW w:w="1071" w:type="pct"/>
            <w:vAlign w:val="center"/>
          </w:tcPr>
          <w:p>
            <w:pPr>
              <w:pStyle w:val="47"/>
              <w:spacing w:line="240" w:lineRule="auto"/>
              <w:rPr>
                <w:color w:val="auto"/>
              </w:rPr>
            </w:pPr>
            <w:r>
              <w:rPr>
                <w:rFonts w:hint="eastAsia"/>
                <w:color w:val="auto"/>
              </w:rPr>
              <w:t>60</w:t>
            </w:r>
          </w:p>
        </w:tc>
        <w:tc>
          <w:tcPr>
            <w:tcW w:w="842" w:type="pct"/>
            <w:vAlign w:val="center"/>
          </w:tcPr>
          <w:p>
            <w:pPr>
              <w:pStyle w:val="47"/>
              <w:spacing w:line="240" w:lineRule="auto"/>
              <w:rPr>
                <w:color w:val="auto"/>
              </w:rPr>
            </w:pPr>
            <w:r>
              <w:rPr>
                <w:rFonts w:hint="eastAsia"/>
                <w:color w:val="auto"/>
              </w:rPr>
              <w:t xml:space="preserve">0.1383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镉</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0.07</w:t>
            </w:r>
          </w:p>
        </w:tc>
        <w:tc>
          <w:tcPr>
            <w:tcW w:w="1071" w:type="pct"/>
            <w:vAlign w:val="center"/>
          </w:tcPr>
          <w:p>
            <w:pPr>
              <w:pStyle w:val="47"/>
              <w:spacing w:line="240" w:lineRule="auto"/>
              <w:rPr>
                <w:color w:val="auto"/>
              </w:rPr>
            </w:pPr>
            <w:r>
              <w:rPr>
                <w:rFonts w:hint="eastAsia"/>
                <w:color w:val="auto"/>
              </w:rPr>
              <w:t>65</w:t>
            </w:r>
          </w:p>
        </w:tc>
        <w:tc>
          <w:tcPr>
            <w:tcW w:w="842" w:type="pct"/>
            <w:vAlign w:val="center"/>
          </w:tcPr>
          <w:p>
            <w:pPr>
              <w:pStyle w:val="47"/>
              <w:spacing w:line="240" w:lineRule="auto"/>
              <w:rPr>
                <w:color w:val="auto"/>
              </w:rPr>
            </w:pPr>
            <w:r>
              <w:rPr>
                <w:rFonts w:hint="eastAsia"/>
                <w:color w:val="auto"/>
              </w:rPr>
              <w:t xml:space="preserve">0.0011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铅</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13.3</w:t>
            </w:r>
          </w:p>
        </w:tc>
        <w:tc>
          <w:tcPr>
            <w:tcW w:w="1071" w:type="pct"/>
            <w:vAlign w:val="center"/>
          </w:tcPr>
          <w:p>
            <w:pPr>
              <w:pStyle w:val="47"/>
              <w:spacing w:line="240" w:lineRule="auto"/>
              <w:rPr>
                <w:color w:val="auto"/>
              </w:rPr>
            </w:pPr>
            <w:r>
              <w:rPr>
                <w:rFonts w:hint="eastAsia"/>
                <w:color w:val="auto"/>
              </w:rPr>
              <w:t>800</w:t>
            </w:r>
          </w:p>
        </w:tc>
        <w:tc>
          <w:tcPr>
            <w:tcW w:w="842" w:type="pct"/>
            <w:vAlign w:val="center"/>
          </w:tcPr>
          <w:p>
            <w:pPr>
              <w:pStyle w:val="47"/>
              <w:spacing w:line="240" w:lineRule="auto"/>
              <w:rPr>
                <w:color w:val="auto"/>
              </w:rPr>
            </w:pPr>
            <w:r>
              <w:rPr>
                <w:rFonts w:hint="eastAsia"/>
                <w:color w:val="auto"/>
              </w:rPr>
              <w:t xml:space="preserve">0.0166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铜</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13</w:t>
            </w:r>
          </w:p>
        </w:tc>
        <w:tc>
          <w:tcPr>
            <w:tcW w:w="1071" w:type="pct"/>
            <w:vAlign w:val="center"/>
          </w:tcPr>
          <w:p>
            <w:pPr>
              <w:pStyle w:val="47"/>
              <w:spacing w:line="240" w:lineRule="auto"/>
              <w:rPr>
                <w:color w:val="auto"/>
              </w:rPr>
            </w:pPr>
            <w:r>
              <w:rPr>
                <w:rFonts w:hint="eastAsia"/>
                <w:color w:val="auto"/>
              </w:rPr>
              <w:t>18000</w:t>
            </w:r>
          </w:p>
        </w:tc>
        <w:tc>
          <w:tcPr>
            <w:tcW w:w="842" w:type="pct"/>
            <w:vAlign w:val="center"/>
          </w:tcPr>
          <w:p>
            <w:pPr>
              <w:pStyle w:val="47"/>
              <w:spacing w:line="240" w:lineRule="auto"/>
              <w:rPr>
                <w:color w:val="auto"/>
              </w:rPr>
            </w:pPr>
            <w:r>
              <w:rPr>
                <w:rFonts w:hint="eastAsia"/>
                <w:color w:val="auto"/>
              </w:rPr>
              <w:t xml:space="preserve">0.0005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镍</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19.1</w:t>
            </w:r>
          </w:p>
        </w:tc>
        <w:tc>
          <w:tcPr>
            <w:tcW w:w="1071" w:type="pct"/>
            <w:vAlign w:val="center"/>
          </w:tcPr>
          <w:p>
            <w:pPr>
              <w:pStyle w:val="47"/>
              <w:spacing w:line="240" w:lineRule="auto"/>
              <w:rPr>
                <w:color w:val="auto"/>
              </w:rPr>
            </w:pPr>
            <w:r>
              <w:rPr>
                <w:rFonts w:hint="eastAsia"/>
                <w:color w:val="auto"/>
              </w:rPr>
              <w:t>900</w:t>
            </w:r>
          </w:p>
        </w:tc>
        <w:tc>
          <w:tcPr>
            <w:tcW w:w="842" w:type="pct"/>
            <w:vAlign w:val="center"/>
          </w:tcPr>
          <w:p>
            <w:pPr>
              <w:pStyle w:val="47"/>
              <w:spacing w:line="240" w:lineRule="auto"/>
              <w:rPr>
                <w:color w:val="auto"/>
              </w:rPr>
            </w:pPr>
            <w:r>
              <w:rPr>
                <w:rFonts w:hint="eastAsia"/>
                <w:color w:val="auto"/>
              </w:rPr>
              <w:t xml:space="preserve">0.0212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石油烃(C10-C40)</w:t>
            </w:r>
          </w:p>
        </w:tc>
        <w:tc>
          <w:tcPr>
            <w:tcW w:w="828" w:type="pct"/>
            <w:vAlign w:val="center"/>
          </w:tcPr>
          <w:p>
            <w:pPr>
              <w:pStyle w:val="47"/>
              <w:spacing w:line="240" w:lineRule="auto"/>
              <w:rPr>
                <w:color w:val="auto"/>
              </w:rPr>
            </w:pPr>
            <w:r>
              <w:rPr>
                <w:rFonts w:eastAsia="华文仿宋"/>
                <w:color w:val="auto"/>
                <w:kern w:val="0"/>
                <w:szCs w:val="21"/>
                <w:lang w:bidi="ar"/>
              </w:rPr>
              <w:t>mg/kg</w:t>
            </w:r>
          </w:p>
        </w:tc>
        <w:tc>
          <w:tcPr>
            <w:tcW w:w="915" w:type="pct"/>
            <w:vAlign w:val="center"/>
          </w:tcPr>
          <w:p>
            <w:pPr>
              <w:spacing w:line="240" w:lineRule="auto"/>
              <w:ind w:firstLine="0" w:firstLineChars="0"/>
              <w:jc w:val="center"/>
              <w:rPr>
                <w:color w:val="auto"/>
                <w:sz w:val="21"/>
                <w:szCs w:val="21"/>
              </w:rPr>
            </w:pPr>
            <w:r>
              <w:rPr>
                <w:rFonts w:hint="eastAsia"/>
                <w:color w:val="auto"/>
                <w:sz w:val="21"/>
                <w:szCs w:val="21"/>
              </w:rPr>
              <w:t>24</w:t>
            </w:r>
          </w:p>
        </w:tc>
        <w:tc>
          <w:tcPr>
            <w:tcW w:w="1071" w:type="pct"/>
            <w:vAlign w:val="center"/>
          </w:tcPr>
          <w:p>
            <w:pPr>
              <w:pStyle w:val="47"/>
              <w:spacing w:line="240" w:lineRule="auto"/>
              <w:rPr>
                <w:color w:val="auto"/>
              </w:rPr>
            </w:pPr>
            <w:r>
              <w:rPr>
                <w:rFonts w:hint="eastAsia"/>
                <w:color w:val="auto"/>
              </w:rPr>
              <w:t>4500</w:t>
            </w:r>
          </w:p>
        </w:tc>
        <w:tc>
          <w:tcPr>
            <w:tcW w:w="842" w:type="pct"/>
            <w:vAlign w:val="center"/>
          </w:tcPr>
          <w:p>
            <w:pPr>
              <w:pStyle w:val="47"/>
              <w:spacing w:line="240" w:lineRule="auto"/>
              <w:rPr>
                <w:color w:val="auto"/>
              </w:rPr>
            </w:pPr>
            <w:r>
              <w:rPr>
                <w:rFonts w:hint="eastAsia"/>
                <w:color w:val="auto"/>
              </w:rPr>
              <w:t xml:space="preserve">0.0053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restart"/>
            <w:vAlign w:val="center"/>
          </w:tcPr>
          <w:p>
            <w:pPr>
              <w:pStyle w:val="47"/>
              <w:spacing w:line="240" w:lineRule="auto"/>
              <w:rPr>
                <w:color w:val="auto"/>
              </w:rPr>
            </w:pPr>
            <w:r>
              <w:rPr>
                <w:rFonts w:hint="eastAsia"/>
                <w:color w:val="auto"/>
              </w:rPr>
              <w:t>3</w:t>
            </w:r>
            <w:r>
              <w:rPr>
                <w:color w:val="auto"/>
              </w:rPr>
              <w:t>#(</w:t>
            </w:r>
            <w:r>
              <w:rPr>
                <w:rFonts w:eastAsia="等线"/>
                <w:color w:val="auto"/>
                <w:szCs w:val="21"/>
              </w:rPr>
              <w:t>0</w:t>
            </w:r>
            <w:r>
              <w:rPr>
                <w:rFonts w:hint="eastAsia" w:eastAsia="等线"/>
                <w:color w:val="auto"/>
                <w:szCs w:val="21"/>
              </w:rPr>
              <w:t>.5</w:t>
            </w:r>
            <w:r>
              <w:rPr>
                <w:rFonts w:eastAsia="等线"/>
                <w:color w:val="auto"/>
                <w:szCs w:val="21"/>
              </w:rPr>
              <w:t>-</w:t>
            </w:r>
            <w:r>
              <w:rPr>
                <w:rFonts w:hint="eastAsia" w:eastAsia="等线"/>
                <w:color w:val="auto"/>
                <w:szCs w:val="21"/>
              </w:rPr>
              <w:t>1</w:t>
            </w:r>
            <w:r>
              <w:rPr>
                <w:rFonts w:eastAsia="等线"/>
                <w:color w:val="auto"/>
                <w:szCs w:val="21"/>
              </w:rPr>
              <w:t>.5m</w:t>
            </w:r>
            <w:r>
              <w:rPr>
                <w:color w:val="auto"/>
              </w:rPr>
              <w:t>)</w:t>
            </w:r>
          </w:p>
        </w:tc>
        <w:tc>
          <w:tcPr>
            <w:tcW w:w="585" w:type="pct"/>
            <w:vAlign w:val="center"/>
          </w:tcPr>
          <w:p>
            <w:pPr>
              <w:pStyle w:val="47"/>
              <w:spacing w:line="240" w:lineRule="auto"/>
              <w:rPr>
                <w:color w:val="auto"/>
                <w:szCs w:val="21"/>
              </w:rPr>
            </w:pPr>
            <w:r>
              <w:rPr>
                <w:color w:val="auto"/>
              </w:rPr>
              <w:t>汞</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0.024</w:t>
            </w:r>
          </w:p>
        </w:tc>
        <w:tc>
          <w:tcPr>
            <w:tcW w:w="1071" w:type="pct"/>
            <w:vAlign w:val="center"/>
          </w:tcPr>
          <w:p>
            <w:pPr>
              <w:pStyle w:val="47"/>
              <w:spacing w:line="240" w:lineRule="auto"/>
              <w:rPr>
                <w:color w:val="auto"/>
              </w:rPr>
            </w:pPr>
            <w:r>
              <w:rPr>
                <w:rFonts w:hint="eastAsia"/>
                <w:color w:val="auto"/>
              </w:rPr>
              <w:t>38</w:t>
            </w:r>
          </w:p>
        </w:tc>
        <w:tc>
          <w:tcPr>
            <w:tcW w:w="842" w:type="pct"/>
            <w:vAlign w:val="center"/>
          </w:tcPr>
          <w:p>
            <w:pPr>
              <w:pStyle w:val="47"/>
              <w:spacing w:line="240" w:lineRule="auto"/>
              <w:rPr>
                <w:color w:val="auto"/>
              </w:rPr>
            </w:pPr>
            <w:r>
              <w:rPr>
                <w:rFonts w:hint="eastAsia"/>
                <w:color w:val="auto"/>
              </w:rPr>
              <w:t xml:space="preserve">0.0006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砷</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5.47</w:t>
            </w:r>
          </w:p>
        </w:tc>
        <w:tc>
          <w:tcPr>
            <w:tcW w:w="1071" w:type="pct"/>
            <w:vAlign w:val="center"/>
          </w:tcPr>
          <w:p>
            <w:pPr>
              <w:pStyle w:val="47"/>
              <w:spacing w:line="240" w:lineRule="auto"/>
              <w:rPr>
                <w:color w:val="auto"/>
              </w:rPr>
            </w:pPr>
            <w:r>
              <w:rPr>
                <w:rFonts w:hint="eastAsia"/>
                <w:color w:val="auto"/>
              </w:rPr>
              <w:t>60</w:t>
            </w:r>
          </w:p>
        </w:tc>
        <w:tc>
          <w:tcPr>
            <w:tcW w:w="842" w:type="pct"/>
            <w:vAlign w:val="center"/>
          </w:tcPr>
          <w:p>
            <w:pPr>
              <w:pStyle w:val="47"/>
              <w:spacing w:line="240" w:lineRule="auto"/>
              <w:rPr>
                <w:color w:val="auto"/>
              </w:rPr>
            </w:pPr>
            <w:r>
              <w:rPr>
                <w:rFonts w:hint="eastAsia"/>
                <w:color w:val="auto"/>
              </w:rPr>
              <w:t xml:space="preserve">0.0912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镉</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0.08</w:t>
            </w:r>
          </w:p>
        </w:tc>
        <w:tc>
          <w:tcPr>
            <w:tcW w:w="1071" w:type="pct"/>
            <w:vAlign w:val="center"/>
          </w:tcPr>
          <w:p>
            <w:pPr>
              <w:pStyle w:val="47"/>
              <w:spacing w:line="240" w:lineRule="auto"/>
              <w:rPr>
                <w:color w:val="auto"/>
              </w:rPr>
            </w:pPr>
            <w:r>
              <w:rPr>
                <w:rFonts w:hint="eastAsia"/>
                <w:color w:val="auto"/>
              </w:rPr>
              <w:t>65</w:t>
            </w:r>
          </w:p>
        </w:tc>
        <w:tc>
          <w:tcPr>
            <w:tcW w:w="842" w:type="pct"/>
            <w:vAlign w:val="center"/>
          </w:tcPr>
          <w:p>
            <w:pPr>
              <w:pStyle w:val="47"/>
              <w:spacing w:line="240" w:lineRule="auto"/>
              <w:rPr>
                <w:color w:val="auto"/>
              </w:rPr>
            </w:pPr>
            <w:r>
              <w:rPr>
                <w:rFonts w:hint="eastAsia"/>
                <w:color w:val="auto"/>
              </w:rPr>
              <w:t xml:space="preserve">0.0012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铅</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14.9</w:t>
            </w:r>
          </w:p>
        </w:tc>
        <w:tc>
          <w:tcPr>
            <w:tcW w:w="1071" w:type="pct"/>
            <w:vAlign w:val="center"/>
          </w:tcPr>
          <w:p>
            <w:pPr>
              <w:pStyle w:val="47"/>
              <w:spacing w:line="240" w:lineRule="auto"/>
              <w:rPr>
                <w:color w:val="auto"/>
              </w:rPr>
            </w:pPr>
            <w:r>
              <w:rPr>
                <w:rFonts w:hint="eastAsia"/>
                <w:color w:val="auto"/>
              </w:rPr>
              <w:t>800</w:t>
            </w:r>
          </w:p>
        </w:tc>
        <w:tc>
          <w:tcPr>
            <w:tcW w:w="842" w:type="pct"/>
            <w:vAlign w:val="center"/>
          </w:tcPr>
          <w:p>
            <w:pPr>
              <w:pStyle w:val="47"/>
              <w:spacing w:line="240" w:lineRule="auto"/>
              <w:rPr>
                <w:color w:val="auto"/>
              </w:rPr>
            </w:pPr>
            <w:r>
              <w:rPr>
                <w:rFonts w:hint="eastAsia"/>
                <w:color w:val="auto"/>
              </w:rPr>
              <w:t xml:space="preserve">0.0186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铜</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16</w:t>
            </w:r>
          </w:p>
        </w:tc>
        <w:tc>
          <w:tcPr>
            <w:tcW w:w="1071" w:type="pct"/>
            <w:vAlign w:val="center"/>
          </w:tcPr>
          <w:p>
            <w:pPr>
              <w:pStyle w:val="47"/>
              <w:spacing w:line="240" w:lineRule="auto"/>
              <w:rPr>
                <w:color w:val="auto"/>
              </w:rPr>
            </w:pPr>
            <w:r>
              <w:rPr>
                <w:rFonts w:hint="eastAsia"/>
                <w:color w:val="auto"/>
              </w:rPr>
              <w:t>18000</w:t>
            </w:r>
          </w:p>
        </w:tc>
        <w:tc>
          <w:tcPr>
            <w:tcW w:w="842" w:type="pct"/>
            <w:vAlign w:val="center"/>
          </w:tcPr>
          <w:p>
            <w:pPr>
              <w:pStyle w:val="47"/>
              <w:spacing w:line="240" w:lineRule="auto"/>
              <w:rPr>
                <w:color w:val="auto"/>
              </w:rPr>
            </w:pPr>
            <w:r>
              <w:rPr>
                <w:rFonts w:hint="eastAsia"/>
                <w:color w:val="auto"/>
              </w:rPr>
              <w:t xml:space="preserve">0.0009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镍</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20.0</w:t>
            </w:r>
          </w:p>
        </w:tc>
        <w:tc>
          <w:tcPr>
            <w:tcW w:w="1071" w:type="pct"/>
            <w:vAlign w:val="center"/>
          </w:tcPr>
          <w:p>
            <w:pPr>
              <w:pStyle w:val="47"/>
              <w:spacing w:line="240" w:lineRule="auto"/>
              <w:rPr>
                <w:color w:val="auto"/>
              </w:rPr>
            </w:pPr>
            <w:r>
              <w:rPr>
                <w:rFonts w:hint="eastAsia"/>
                <w:color w:val="auto"/>
              </w:rPr>
              <w:t>900</w:t>
            </w:r>
          </w:p>
        </w:tc>
        <w:tc>
          <w:tcPr>
            <w:tcW w:w="842" w:type="pct"/>
            <w:vAlign w:val="center"/>
          </w:tcPr>
          <w:p>
            <w:pPr>
              <w:pStyle w:val="47"/>
              <w:spacing w:line="240" w:lineRule="auto"/>
              <w:rPr>
                <w:color w:val="auto"/>
              </w:rPr>
            </w:pPr>
            <w:r>
              <w:rPr>
                <w:rFonts w:hint="eastAsia"/>
                <w:color w:val="auto"/>
              </w:rPr>
              <w:t xml:space="preserve">0.0222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石油烃(C10-C40)</w:t>
            </w:r>
          </w:p>
        </w:tc>
        <w:tc>
          <w:tcPr>
            <w:tcW w:w="828" w:type="pct"/>
            <w:vAlign w:val="center"/>
          </w:tcPr>
          <w:p>
            <w:pPr>
              <w:pStyle w:val="47"/>
              <w:spacing w:line="240" w:lineRule="auto"/>
              <w:rPr>
                <w:color w:val="auto"/>
              </w:rPr>
            </w:pPr>
            <w:r>
              <w:rPr>
                <w:rFonts w:eastAsia="华文仿宋"/>
                <w:color w:val="auto"/>
                <w:kern w:val="0"/>
                <w:szCs w:val="21"/>
                <w:lang w:bidi="ar"/>
              </w:rPr>
              <w:t>mg/kg</w:t>
            </w:r>
          </w:p>
        </w:tc>
        <w:tc>
          <w:tcPr>
            <w:tcW w:w="915" w:type="pct"/>
            <w:vAlign w:val="center"/>
          </w:tcPr>
          <w:p>
            <w:pPr>
              <w:spacing w:line="240" w:lineRule="auto"/>
              <w:ind w:firstLine="0" w:firstLineChars="0"/>
              <w:jc w:val="center"/>
              <w:rPr>
                <w:color w:val="auto"/>
                <w:sz w:val="21"/>
                <w:szCs w:val="21"/>
              </w:rPr>
            </w:pPr>
            <w:r>
              <w:rPr>
                <w:rFonts w:hint="eastAsia"/>
                <w:color w:val="auto"/>
                <w:sz w:val="21"/>
                <w:szCs w:val="21"/>
              </w:rPr>
              <w:t>27</w:t>
            </w:r>
          </w:p>
        </w:tc>
        <w:tc>
          <w:tcPr>
            <w:tcW w:w="1071" w:type="pct"/>
            <w:vAlign w:val="center"/>
          </w:tcPr>
          <w:p>
            <w:pPr>
              <w:pStyle w:val="47"/>
              <w:spacing w:line="240" w:lineRule="auto"/>
              <w:rPr>
                <w:color w:val="auto"/>
              </w:rPr>
            </w:pPr>
            <w:r>
              <w:rPr>
                <w:rFonts w:hint="eastAsia"/>
                <w:color w:val="auto"/>
              </w:rPr>
              <w:t>4500</w:t>
            </w:r>
          </w:p>
        </w:tc>
        <w:tc>
          <w:tcPr>
            <w:tcW w:w="842" w:type="pct"/>
            <w:vAlign w:val="center"/>
          </w:tcPr>
          <w:p>
            <w:pPr>
              <w:pStyle w:val="47"/>
              <w:spacing w:line="240" w:lineRule="auto"/>
              <w:rPr>
                <w:color w:val="auto"/>
              </w:rPr>
            </w:pPr>
            <w:r>
              <w:rPr>
                <w:rFonts w:hint="eastAsia"/>
                <w:color w:val="auto"/>
              </w:rPr>
              <w:t xml:space="preserve">0.0060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restart"/>
            <w:vAlign w:val="center"/>
          </w:tcPr>
          <w:p>
            <w:pPr>
              <w:pStyle w:val="47"/>
              <w:spacing w:line="240" w:lineRule="auto"/>
              <w:rPr>
                <w:color w:val="auto"/>
              </w:rPr>
            </w:pPr>
            <w:r>
              <w:rPr>
                <w:rFonts w:hint="eastAsia"/>
                <w:color w:val="auto"/>
              </w:rPr>
              <w:t>3</w:t>
            </w:r>
            <w:r>
              <w:rPr>
                <w:color w:val="auto"/>
              </w:rPr>
              <w:t>#(</w:t>
            </w:r>
            <w:r>
              <w:rPr>
                <w:rFonts w:hint="eastAsia" w:eastAsia="等线"/>
                <w:color w:val="auto"/>
                <w:szCs w:val="21"/>
              </w:rPr>
              <w:t>1.5</w:t>
            </w:r>
            <w:r>
              <w:rPr>
                <w:rFonts w:eastAsia="等线"/>
                <w:color w:val="auto"/>
                <w:szCs w:val="21"/>
              </w:rPr>
              <w:t>-</w:t>
            </w:r>
            <w:r>
              <w:rPr>
                <w:rFonts w:hint="eastAsia" w:eastAsia="等线"/>
                <w:color w:val="auto"/>
                <w:szCs w:val="21"/>
              </w:rPr>
              <w:t>3.0</w:t>
            </w:r>
            <w:r>
              <w:rPr>
                <w:rFonts w:eastAsia="等线"/>
                <w:color w:val="auto"/>
                <w:szCs w:val="21"/>
              </w:rPr>
              <w:t>m</w:t>
            </w:r>
            <w:r>
              <w:rPr>
                <w:color w:val="auto"/>
              </w:rPr>
              <w:t>)</w:t>
            </w:r>
          </w:p>
        </w:tc>
        <w:tc>
          <w:tcPr>
            <w:tcW w:w="585" w:type="pct"/>
            <w:vAlign w:val="center"/>
          </w:tcPr>
          <w:p>
            <w:pPr>
              <w:pStyle w:val="47"/>
              <w:spacing w:line="240" w:lineRule="auto"/>
              <w:rPr>
                <w:color w:val="auto"/>
                <w:szCs w:val="21"/>
              </w:rPr>
            </w:pPr>
            <w:r>
              <w:rPr>
                <w:color w:val="auto"/>
              </w:rPr>
              <w:t>汞</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0.028</w:t>
            </w:r>
          </w:p>
        </w:tc>
        <w:tc>
          <w:tcPr>
            <w:tcW w:w="1071" w:type="pct"/>
            <w:vAlign w:val="center"/>
          </w:tcPr>
          <w:p>
            <w:pPr>
              <w:pStyle w:val="47"/>
              <w:spacing w:line="240" w:lineRule="auto"/>
              <w:rPr>
                <w:color w:val="auto"/>
              </w:rPr>
            </w:pPr>
            <w:r>
              <w:rPr>
                <w:rFonts w:hint="eastAsia"/>
                <w:color w:val="auto"/>
              </w:rPr>
              <w:t>38</w:t>
            </w:r>
          </w:p>
        </w:tc>
        <w:tc>
          <w:tcPr>
            <w:tcW w:w="842" w:type="pct"/>
            <w:vAlign w:val="center"/>
          </w:tcPr>
          <w:p>
            <w:pPr>
              <w:pStyle w:val="47"/>
              <w:spacing w:line="240" w:lineRule="auto"/>
              <w:rPr>
                <w:color w:val="auto"/>
              </w:rPr>
            </w:pPr>
            <w:r>
              <w:rPr>
                <w:rFonts w:hint="eastAsia"/>
                <w:color w:val="auto"/>
              </w:rPr>
              <w:t xml:space="preserve">0.0005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砷</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10.8</w:t>
            </w:r>
          </w:p>
        </w:tc>
        <w:tc>
          <w:tcPr>
            <w:tcW w:w="1071" w:type="pct"/>
            <w:vAlign w:val="center"/>
          </w:tcPr>
          <w:p>
            <w:pPr>
              <w:pStyle w:val="47"/>
              <w:spacing w:line="240" w:lineRule="auto"/>
              <w:rPr>
                <w:color w:val="auto"/>
              </w:rPr>
            </w:pPr>
            <w:r>
              <w:rPr>
                <w:rFonts w:hint="eastAsia"/>
                <w:color w:val="auto"/>
              </w:rPr>
              <w:t>60</w:t>
            </w:r>
          </w:p>
        </w:tc>
        <w:tc>
          <w:tcPr>
            <w:tcW w:w="842" w:type="pct"/>
            <w:vAlign w:val="center"/>
          </w:tcPr>
          <w:p>
            <w:pPr>
              <w:pStyle w:val="47"/>
              <w:spacing w:line="240" w:lineRule="auto"/>
              <w:rPr>
                <w:color w:val="auto"/>
              </w:rPr>
            </w:pPr>
            <w:r>
              <w:rPr>
                <w:rFonts w:hint="eastAsia"/>
                <w:color w:val="auto"/>
              </w:rPr>
              <w:t xml:space="preserve">0.1800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镉</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0.09</w:t>
            </w:r>
          </w:p>
        </w:tc>
        <w:tc>
          <w:tcPr>
            <w:tcW w:w="1071" w:type="pct"/>
            <w:vAlign w:val="center"/>
          </w:tcPr>
          <w:p>
            <w:pPr>
              <w:pStyle w:val="47"/>
              <w:spacing w:line="240" w:lineRule="auto"/>
              <w:rPr>
                <w:color w:val="auto"/>
              </w:rPr>
            </w:pPr>
            <w:r>
              <w:rPr>
                <w:rFonts w:hint="eastAsia"/>
                <w:color w:val="auto"/>
              </w:rPr>
              <w:t>65</w:t>
            </w:r>
          </w:p>
        </w:tc>
        <w:tc>
          <w:tcPr>
            <w:tcW w:w="842" w:type="pct"/>
            <w:vAlign w:val="center"/>
          </w:tcPr>
          <w:p>
            <w:pPr>
              <w:pStyle w:val="47"/>
              <w:spacing w:line="240" w:lineRule="auto"/>
              <w:rPr>
                <w:color w:val="auto"/>
              </w:rPr>
            </w:pPr>
            <w:r>
              <w:rPr>
                <w:rFonts w:hint="eastAsia"/>
                <w:color w:val="auto"/>
              </w:rPr>
              <w:t xml:space="preserve">0.0014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铅</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12.5</w:t>
            </w:r>
          </w:p>
        </w:tc>
        <w:tc>
          <w:tcPr>
            <w:tcW w:w="1071" w:type="pct"/>
            <w:vAlign w:val="center"/>
          </w:tcPr>
          <w:p>
            <w:pPr>
              <w:pStyle w:val="47"/>
              <w:spacing w:line="240" w:lineRule="auto"/>
              <w:rPr>
                <w:color w:val="auto"/>
              </w:rPr>
            </w:pPr>
            <w:r>
              <w:rPr>
                <w:rFonts w:hint="eastAsia"/>
                <w:color w:val="auto"/>
              </w:rPr>
              <w:t>800</w:t>
            </w:r>
          </w:p>
        </w:tc>
        <w:tc>
          <w:tcPr>
            <w:tcW w:w="842" w:type="pct"/>
            <w:vAlign w:val="center"/>
          </w:tcPr>
          <w:p>
            <w:pPr>
              <w:pStyle w:val="47"/>
              <w:spacing w:line="240" w:lineRule="auto"/>
              <w:rPr>
                <w:color w:val="auto"/>
              </w:rPr>
            </w:pPr>
            <w:r>
              <w:rPr>
                <w:rFonts w:hint="eastAsia"/>
                <w:color w:val="auto"/>
              </w:rPr>
              <w:t xml:space="preserve">0.0156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铜</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12</w:t>
            </w:r>
          </w:p>
        </w:tc>
        <w:tc>
          <w:tcPr>
            <w:tcW w:w="1071" w:type="pct"/>
            <w:vAlign w:val="center"/>
          </w:tcPr>
          <w:p>
            <w:pPr>
              <w:pStyle w:val="47"/>
              <w:spacing w:line="240" w:lineRule="auto"/>
              <w:rPr>
                <w:color w:val="auto"/>
              </w:rPr>
            </w:pPr>
            <w:r>
              <w:rPr>
                <w:rFonts w:hint="eastAsia"/>
                <w:color w:val="auto"/>
              </w:rPr>
              <w:t>18000</w:t>
            </w:r>
          </w:p>
        </w:tc>
        <w:tc>
          <w:tcPr>
            <w:tcW w:w="842" w:type="pct"/>
            <w:vAlign w:val="center"/>
          </w:tcPr>
          <w:p>
            <w:pPr>
              <w:pStyle w:val="47"/>
              <w:spacing w:line="240" w:lineRule="auto"/>
              <w:rPr>
                <w:color w:val="auto"/>
              </w:rPr>
            </w:pPr>
            <w:r>
              <w:rPr>
                <w:rFonts w:hint="eastAsia"/>
                <w:color w:val="auto"/>
              </w:rPr>
              <w:t xml:space="preserve">0.0005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镍</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ind w:firstLine="0" w:firstLineChars="0"/>
              <w:jc w:val="center"/>
              <w:textAlignment w:val="center"/>
              <w:rPr>
                <w:color w:val="auto"/>
                <w:sz w:val="21"/>
                <w:szCs w:val="21"/>
              </w:rPr>
            </w:pPr>
            <w:r>
              <w:rPr>
                <w:color w:val="auto"/>
                <w:kern w:val="0"/>
                <w:sz w:val="21"/>
                <w:szCs w:val="21"/>
                <w:lang w:bidi="ar"/>
              </w:rPr>
              <w:t>13.8</w:t>
            </w:r>
          </w:p>
        </w:tc>
        <w:tc>
          <w:tcPr>
            <w:tcW w:w="1071" w:type="pct"/>
            <w:vAlign w:val="center"/>
          </w:tcPr>
          <w:p>
            <w:pPr>
              <w:pStyle w:val="47"/>
              <w:spacing w:line="240" w:lineRule="auto"/>
              <w:rPr>
                <w:color w:val="auto"/>
              </w:rPr>
            </w:pPr>
            <w:r>
              <w:rPr>
                <w:rFonts w:hint="eastAsia"/>
                <w:color w:val="auto"/>
              </w:rPr>
              <w:t>900</w:t>
            </w:r>
          </w:p>
        </w:tc>
        <w:tc>
          <w:tcPr>
            <w:tcW w:w="842" w:type="pct"/>
            <w:vAlign w:val="center"/>
          </w:tcPr>
          <w:p>
            <w:pPr>
              <w:pStyle w:val="47"/>
              <w:spacing w:line="240" w:lineRule="auto"/>
              <w:rPr>
                <w:color w:val="auto"/>
              </w:rPr>
            </w:pPr>
            <w:r>
              <w:rPr>
                <w:rFonts w:hint="eastAsia"/>
                <w:color w:val="auto"/>
              </w:rPr>
              <w:t xml:space="preserve">0.0153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szCs w:val="21"/>
              </w:rPr>
            </w:pPr>
            <w:r>
              <w:rPr>
                <w:color w:val="auto"/>
              </w:rPr>
              <w:t>石油烃(C10-C40)</w:t>
            </w:r>
          </w:p>
        </w:tc>
        <w:tc>
          <w:tcPr>
            <w:tcW w:w="828" w:type="pct"/>
            <w:vAlign w:val="center"/>
          </w:tcPr>
          <w:p>
            <w:pPr>
              <w:pStyle w:val="47"/>
              <w:spacing w:line="240" w:lineRule="auto"/>
              <w:rPr>
                <w:color w:val="auto"/>
              </w:rPr>
            </w:pPr>
            <w:r>
              <w:rPr>
                <w:rFonts w:eastAsia="华文仿宋"/>
                <w:color w:val="auto"/>
                <w:kern w:val="0"/>
                <w:szCs w:val="21"/>
                <w:lang w:bidi="ar"/>
              </w:rPr>
              <w:t>mg/kg</w:t>
            </w:r>
          </w:p>
        </w:tc>
        <w:tc>
          <w:tcPr>
            <w:tcW w:w="915" w:type="pct"/>
            <w:vAlign w:val="center"/>
          </w:tcPr>
          <w:p>
            <w:pPr>
              <w:spacing w:line="240" w:lineRule="auto"/>
              <w:ind w:firstLine="0" w:firstLineChars="0"/>
              <w:jc w:val="center"/>
              <w:rPr>
                <w:color w:val="auto"/>
                <w:sz w:val="21"/>
                <w:szCs w:val="21"/>
              </w:rPr>
            </w:pPr>
            <w:r>
              <w:rPr>
                <w:rFonts w:hint="eastAsia"/>
                <w:color w:val="auto"/>
                <w:sz w:val="21"/>
                <w:szCs w:val="21"/>
              </w:rPr>
              <w:t>22</w:t>
            </w:r>
          </w:p>
        </w:tc>
        <w:tc>
          <w:tcPr>
            <w:tcW w:w="1071" w:type="pct"/>
            <w:vAlign w:val="center"/>
          </w:tcPr>
          <w:p>
            <w:pPr>
              <w:pStyle w:val="47"/>
              <w:spacing w:line="240" w:lineRule="auto"/>
              <w:rPr>
                <w:color w:val="auto"/>
              </w:rPr>
            </w:pPr>
            <w:r>
              <w:rPr>
                <w:rFonts w:hint="eastAsia"/>
                <w:color w:val="auto"/>
              </w:rPr>
              <w:t>4500</w:t>
            </w:r>
          </w:p>
        </w:tc>
        <w:tc>
          <w:tcPr>
            <w:tcW w:w="842" w:type="pct"/>
            <w:vAlign w:val="center"/>
          </w:tcPr>
          <w:p>
            <w:pPr>
              <w:pStyle w:val="47"/>
              <w:spacing w:line="240" w:lineRule="auto"/>
              <w:rPr>
                <w:color w:val="auto"/>
              </w:rPr>
            </w:pPr>
            <w:r>
              <w:rPr>
                <w:rFonts w:hint="eastAsia"/>
                <w:color w:val="auto"/>
              </w:rPr>
              <w:t xml:space="preserve">0.0049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84" w:hRule="atLeast"/>
        </w:trPr>
        <w:tc>
          <w:tcPr>
            <w:tcW w:w="756" w:type="pct"/>
            <w:vMerge w:val="restart"/>
            <w:vAlign w:val="center"/>
          </w:tcPr>
          <w:p>
            <w:pPr>
              <w:pStyle w:val="47"/>
              <w:spacing w:line="240" w:lineRule="auto"/>
              <w:rPr>
                <w:color w:val="auto"/>
              </w:rPr>
            </w:pPr>
            <w:r>
              <w:rPr>
                <w:rFonts w:hint="eastAsia"/>
                <w:color w:val="auto"/>
              </w:rPr>
              <w:t>4</w:t>
            </w:r>
            <w:r>
              <w:rPr>
                <w:color w:val="auto"/>
              </w:rPr>
              <w:t>#(</w:t>
            </w:r>
            <w:r>
              <w:rPr>
                <w:rFonts w:eastAsia="等线"/>
                <w:color w:val="auto"/>
                <w:szCs w:val="21"/>
              </w:rPr>
              <w:t>0-</w:t>
            </w:r>
            <w:r>
              <w:rPr>
                <w:rFonts w:hint="eastAsia" w:eastAsia="等线"/>
                <w:color w:val="auto"/>
                <w:szCs w:val="21"/>
              </w:rPr>
              <w:t>0</w:t>
            </w:r>
            <w:r>
              <w:rPr>
                <w:rFonts w:eastAsia="等线"/>
                <w:color w:val="auto"/>
                <w:szCs w:val="21"/>
              </w:rPr>
              <w:t>.5m</w:t>
            </w:r>
            <w:r>
              <w:rPr>
                <w:color w:val="auto"/>
              </w:rPr>
              <w:t>)</w:t>
            </w:r>
          </w:p>
        </w:tc>
        <w:tc>
          <w:tcPr>
            <w:tcW w:w="585" w:type="pct"/>
            <w:vAlign w:val="center"/>
          </w:tcPr>
          <w:p>
            <w:pPr>
              <w:pStyle w:val="47"/>
              <w:spacing w:line="240" w:lineRule="auto"/>
              <w:rPr>
                <w:color w:val="auto"/>
              </w:rPr>
            </w:pPr>
            <w:r>
              <w:rPr>
                <w:color w:val="auto"/>
              </w:rPr>
              <w:t>汞</w:t>
            </w:r>
          </w:p>
        </w:tc>
        <w:tc>
          <w:tcPr>
            <w:tcW w:w="828" w:type="pct"/>
            <w:vAlign w:val="center"/>
          </w:tcPr>
          <w:p>
            <w:pPr>
              <w:pStyle w:val="47"/>
              <w:spacing w:line="240" w:lineRule="auto"/>
              <w:rPr>
                <w:rFonts w:eastAsia="华文仿宋"/>
                <w:color w:val="auto"/>
                <w:kern w:val="0"/>
                <w:szCs w:val="21"/>
                <w:lang w:bidi="ar"/>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0.026</w:t>
            </w:r>
          </w:p>
        </w:tc>
        <w:tc>
          <w:tcPr>
            <w:tcW w:w="1071" w:type="pct"/>
            <w:vAlign w:val="center"/>
          </w:tcPr>
          <w:p>
            <w:pPr>
              <w:pStyle w:val="47"/>
              <w:spacing w:line="240" w:lineRule="auto"/>
              <w:rPr>
                <w:color w:val="auto"/>
              </w:rPr>
            </w:pPr>
            <w:r>
              <w:rPr>
                <w:rFonts w:hint="eastAsia"/>
                <w:color w:val="auto"/>
              </w:rPr>
              <w:t>38</w:t>
            </w:r>
          </w:p>
        </w:tc>
        <w:tc>
          <w:tcPr>
            <w:tcW w:w="842" w:type="pct"/>
            <w:vAlign w:val="center"/>
          </w:tcPr>
          <w:p>
            <w:pPr>
              <w:pStyle w:val="47"/>
              <w:spacing w:line="240" w:lineRule="auto"/>
              <w:rPr>
                <w:color w:val="auto"/>
              </w:rPr>
            </w:pPr>
            <w:r>
              <w:rPr>
                <w:rFonts w:hint="eastAsia"/>
                <w:color w:val="auto"/>
              </w:rPr>
              <w:t xml:space="preserve">0.0005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砷</w:t>
            </w:r>
          </w:p>
        </w:tc>
        <w:tc>
          <w:tcPr>
            <w:tcW w:w="828" w:type="pct"/>
            <w:vAlign w:val="center"/>
          </w:tcPr>
          <w:p>
            <w:pPr>
              <w:pStyle w:val="47"/>
              <w:spacing w:line="240" w:lineRule="auto"/>
              <w:rPr>
                <w:rFonts w:eastAsia="华文仿宋"/>
                <w:color w:val="auto"/>
                <w:kern w:val="0"/>
                <w:szCs w:val="21"/>
                <w:lang w:bidi="ar"/>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7.91</w:t>
            </w:r>
          </w:p>
        </w:tc>
        <w:tc>
          <w:tcPr>
            <w:tcW w:w="1071" w:type="pct"/>
            <w:vAlign w:val="center"/>
          </w:tcPr>
          <w:p>
            <w:pPr>
              <w:pStyle w:val="47"/>
              <w:spacing w:line="240" w:lineRule="auto"/>
              <w:rPr>
                <w:color w:val="auto"/>
              </w:rPr>
            </w:pPr>
            <w:r>
              <w:rPr>
                <w:rFonts w:hint="eastAsia"/>
                <w:color w:val="auto"/>
              </w:rPr>
              <w:t>60</w:t>
            </w:r>
          </w:p>
        </w:tc>
        <w:tc>
          <w:tcPr>
            <w:tcW w:w="842" w:type="pct"/>
            <w:vAlign w:val="center"/>
          </w:tcPr>
          <w:p>
            <w:pPr>
              <w:pStyle w:val="47"/>
              <w:spacing w:line="240" w:lineRule="auto"/>
              <w:rPr>
                <w:color w:val="auto"/>
              </w:rPr>
            </w:pPr>
            <w:r>
              <w:rPr>
                <w:rFonts w:hint="eastAsia"/>
                <w:color w:val="auto"/>
              </w:rPr>
              <w:t xml:space="preserve">0.1318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镉</w:t>
            </w:r>
          </w:p>
        </w:tc>
        <w:tc>
          <w:tcPr>
            <w:tcW w:w="828" w:type="pct"/>
            <w:vAlign w:val="center"/>
          </w:tcPr>
          <w:p>
            <w:pPr>
              <w:pStyle w:val="47"/>
              <w:spacing w:line="240" w:lineRule="auto"/>
              <w:rPr>
                <w:rFonts w:eastAsia="华文仿宋"/>
                <w:color w:val="auto"/>
                <w:kern w:val="0"/>
                <w:szCs w:val="21"/>
                <w:lang w:bidi="ar"/>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0.09</w:t>
            </w:r>
          </w:p>
        </w:tc>
        <w:tc>
          <w:tcPr>
            <w:tcW w:w="1071" w:type="pct"/>
            <w:vAlign w:val="center"/>
          </w:tcPr>
          <w:p>
            <w:pPr>
              <w:pStyle w:val="47"/>
              <w:spacing w:line="240" w:lineRule="auto"/>
              <w:rPr>
                <w:color w:val="auto"/>
              </w:rPr>
            </w:pPr>
            <w:r>
              <w:rPr>
                <w:rFonts w:hint="eastAsia"/>
                <w:color w:val="auto"/>
              </w:rPr>
              <w:t>65</w:t>
            </w:r>
          </w:p>
        </w:tc>
        <w:tc>
          <w:tcPr>
            <w:tcW w:w="842" w:type="pct"/>
            <w:vAlign w:val="center"/>
          </w:tcPr>
          <w:p>
            <w:pPr>
              <w:pStyle w:val="47"/>
              <w:spacing w:line="240" w:lineRule="auto"/>
              <w:rPr>
                <w:color w:val="auto"/>
              </w:rPr>
            </w:pPr>
            <w:r>
              <w:rPr>
                <w:rFonts w:hint="eastAsia"/>
                <w:color w:val="auto"/>
              </w:rPr>
              <w:t xml:space="preserve">0.0014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铅</w:t>
            </w:r>
          </w:p>
        </w:tc>
        <w:tc>
          <w:tcPr>
            <w:tcW w:w="828" w:type="pct"/>
            <w:vAlign w:val="center"/>
          </w:tcPr>
          <w:p>
            <w:pPr>
              <w:pStyle w:val="47"/>
              <w:spacing w:line="240" w:lineRule="auto"/>
              <w:rPr>
                <w:rFonts w:eastAsia="华文仿宋"/>
                <w:color w:val="auto"/>
                <w:kern w:val="0"/>
                <w:szCs w:val="21"/>
                <w:lang w:bidi="ar"/>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14.6</w:t>
            </w:r>
          </w:p>
        </w:tc>
        <w:tc>
          <w:tcPr>
            <w:tcW w:w="1071" w:type="pct"/>
            <w:vAlign w:val="center"/>
          </w:tcPr>
          <w:p>
            <w:pPr>
              <w:pStyle w:val="47"/>
              <w:spacing w:line="240" w:lineRule="auto"/>
              <w:rPr>
                <w:color w:val="auto"/>
              </w:rPr>
            </w:pPr>
            <w:r>
              <w:rPr>
                <w:rFonts w:hint="eastAsia"/>
                <w:color w:val="auto"/>
              </w:rPr>
              <w:t>800</w:t>
            </w:r>
          </w:p>
        </w:tc>
        <w:tc>
          <w:tcPr>
            <w:tcW w:w="842" w:type="pct"/>
            <w:vAlign w:val="center"/>
          </w:tcPr>
          <w:p>
            <w:pPr>
              <w:pStyle w:val="47"/>
              <w:spacing w:line="240" w:lineRule="auto"/>
              <w:rPr>
                <w:color w:val="auto"/>
              </w:rPr>
            </w:pPr>
            <w:r>
              <w:rPr>
                <w:rFonts w:hint="eastAsia"/>
                <w:color w:val="auto"/>
              </w:rPr>
              <w:t xml:space="preserve">0.0183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铜</w:t>
            </w:r>
          </w:p>
        </w:tc>
        <w:tc>
          <w:tcPr>
            <w:tcW w:w="828" w:type="pct"/>
            <w:vAlign w:val="center"/>
          </w:tcPr>
          <w:p>
            <w:pPr>
              <w:pStyle w:val="47"/>
              <w:spacing w:line="240" w:lineRule="auto"/>
              <w:rPr>
                <w:rFonts w:eastAsia="华文仿宋"/>
                <w:color w:val="auto"/>
                <w:kern w:val="0"/>
                <w:szCs w:val="21"/>
                <w:lang w:bidi="ar"/>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13</w:t>
            </w:r>
          </w:p>
        </w:tc>
        <w:tc>
          <w:tcPr>
            <w:tcW w:w="1071" w:type="pct"/>
            <w:vAlign w:val="center"/>
          </w:tcPr>
          <w:p>
            <w:pPr>
              <w:pStyle w:val="47"/>
              <w:spacing w:line="240" w:lineRule="auto"/>
              <w:rPr>
                <w:color w:val="auto"/>
              </w:rPr>
            </w:pPr>
            <w:r>
              <w:rPr>
                <w:rFonts w:hint="eastAsia"/>
                <w:color w:val="auto"/>
              </w:rPr>
              <w:t>18000</w:t>
            </w:r>
          </w:p>
        </w:tc>
        <w:tc>
          <w:tcPr>
            <w:tcW w:w="842" w:type="pct"/>
            <w:vAlign w:val="center"/>
          </w:tcPr>
          <w:p>
            <w:pPr>
              <w:pStyle w:val="47"/>
              <w:spacing w:line="240" w:lineRule="auto"/>
              <w:rPr>
                <w:color w:val="auto"/>
              </w:rPr>
            </w:pPr>
            <w:r>
              <w:rPr>
                <w:rFonts w:hint="eastAsia"/>
                <w:color w:val="auto"/>
              </w:rPr>
              <w:t xml:space="preserve">0.0005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镍</w:t>
            </w:r>
          </w:p>
        </w:tc>
        <w:tc>
          <w:tcPr>
            <w:tcW w:w="828" w:type="pct"/>
            <w:vAlign w:val="center"/>
          </w:tcPr>
          <w:p>
            <w:pPr>
              <w:pStyle w:val="47"/>
              <w:spacing w:line="240" w:lineRule="auto"/>
              <w:rPr>
                <w:rFonts w:eastAsia="华文仿宋"/>
                <w:color w:val="auto"/>
                <w:kern w:val="0"/>
                <w:szCs w:val="21"/>
                <w:lang w:bidi="ar"/>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15.9</w:t>
            </w:r>
          </w:p>
        </w:tc>
        <w:tc>
          <w:tcPr>
            <w:tcW w:w="1071" w:type="pct"/>
            <w:vAlign w:val="center"/>
          </w:tcPr>
          <w:p>
            <w:pPr>
              <w:pStyle w:val="47"/>
              <w:spacing w:line="240" w:lineRule="auto"/>
              <w:rPr>
                <w:color w:val="auto"/>
              </w:rPr>
            </w:pPr>
            <w:r>
              <w:rPr>
                <w:rFonts w:hint="eastAsia"/>
                <w:color w:val="auto"/>
              </w:rPr>
              <w:t>900</w:t>
            </w:r>
          </w:p>
        </w:tc>
        <w:tc>
          <w:tcPr>
            <w:tcW w:w="842" w:type="pct"/>
            <w:vAlign w:val="center"/>
          </w:tcPr>
          <w:p>
            <w:pPr>
              <w:pStyle w:val="47"/>
              <w:spacing w:line="240" w:lineRule="auto"/>
              <w:rPr>
                <w:color w:val="auto"/>
              </w:rPr>
            </w:pPr>
            <w:r>
              <w:rPr>
                <w:rFonts w:hint="eastAsia"/>
                <w:color w:val="auto"/>
              </w:rPr>
              <w:t xml:space="preserve">0.0177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石油烃(C10-C40)</w:t>
            </w:r>
          </w:p>
        </w:tc>
        <w:tc>
          <w:tcPr>
            <w:tcW w:w="828" w:type="pct"/>
            <w:vAlign w:val="center"/>
          </w:tcPr>
          <w:p>
            <w:pPr>
              <w:pStyle w:val="47"/>
              <w:spacing w:line="240" w:lineRule="auto"/>
              <w:rPr>
                <w:rFonts w:eastAsia="华文仿宋"/>
                <w:color w:val="auto"/>
                <w:kern w:val="0"/>
                <w:szCs w:val="21"/>
                <w:lang w:bidi="ar"/>
              </w:rPr>
            </w:pPr>
            <w:r>
              <w:rPr>
                <w:rFonts w:eastAsia="华文仿宋"/>
                <w:color w:val="auto"/>
                <w:kern w:val="0"/>
                <w:szCs w:val="21"/>
                <w:lang w:bidi="ar"/>
              </w:rPr>
              <w:t>mg/kg</w:t>
            </w:r>
          </w:p>
        </w:tc>
        <w:tc>
          <w:tcPr>
            <w:tcW w:w="915" w:type="pct"/>
            <w:vAlign w:val="center"/>
          </w:tcPr>
          <w:p>
            <w:pPr>
              <w:spacing w:line="240" w:lineRule="auto"/>
              <w:ind w:firstLine="0" w:firstLineChars="0"/>
              <w:jc w:val="center"/>
              <w:rPr>
                <w:color w:val="auto"/>
                <w:sz w:val="21"/>
                <w:szCs w:val="21"/>
              </w:rPr>
            </w:pPr>
            <w:r>
              <w:rPr>
                <w:rFonts w:hint="eastAsia"/>
                <w:color w:val="auto"/>
                <w:sz w:val="21"/>
                <w:szCs w:val="21"/>
              </w:rPr>
              <w:t>30</w:t>
            </w:r>
          </w:p>
        </w:tc>
        <w:tc>
          <w:tcPr>
            <w:tcW w:w="1071" w:type="pct"/>
            <w:vAlign w:val="center"/>
          </w:tcPr>
          <w:p>
            <w:pPr>
              <w:pStyle w:val="47"/>
              <w:spacing w:line="240" w:lineRule="auto"/>
              <w:rPr>
                <w:color w:val="auto"/>
              </w:rPr>
            </w:pPr>
            <w:r>
              <w:rPr>
                <w:rFonts w:hint="eastAsia"/>
                <w:color w:val="auto"/>
              </w:rPr>
              <w:t>4500</w:t>
            </w:r>
          </w:p>
        </w:tc>
        <w:tc>
          <w:tcPr>
            <w:tcW w:w="842" w:type="pct"/>
            <w:vAlign w:val="center"/>
          </w:tcPr>
          <w:p>
            <w:pPr>
              <w:pStyle w:val="47"/>
              <w:spacing w:line="240" w:lineRule="auto"/>
              <w:rPr>
                <w:color w:val="auto"/>
              </w:rPr>
            </w:pPr>
            <w:r>
              <w:rPr>
                <w:rFonts w:hint="eastAsia"/>
                <w:color w:val="auto"/>
              </w:rPr>
              <w:t xml:space="preserve">0.0067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restart"/>
            <w:vAlign w:val="center"/>
          </w:tcPr>
          <w:p>
            <w:pPr>
              <w:pStyle w:val="47"/>
              <w:spacing w:line="240" w:lineRule="auto"/>
              <w:rPr>
                <w:color w:val="auto"/>
              </w:rPr>
            </w:pPr>
            <w:r>
              <w:rPr>
                <w:rFonts w:hint="eastAsia"/>
                <w:color w:val="auto"/>
              </w:rPr>
              <w:t>4</w:t>
            </w:r>
            <w:r>
              <w:rPr>
                <w:color w:val="auto"/>
              </w:rPr>
              <w:t>#(</w:t>
            </w:r>
            <w:r>
              <w:rPr>
                <w:rFonts w:eastAsia="等线"/>
                <w:color w:val="auto"/>
                <w:szCs w:val="21"/>
              </w:rPr>
              <w:t>0</w:t>
            </w:r>
            <w:r>
              <w:rPr>
                <w:rFonts w:hint="eastAsia" w:eastAsia="等线"/>
                <w:color w:val="auto"/>
                <w:szCs w:val="21"/>
              </w:rPr>
              <w:t>.5</w:t>
            </w:r>
            <w:r>
              <w:rPr>
                <w:rFonts w:eastAsia="等线"/>
                <w:color w:val="auto"/>
                <w:szCs w:val="21"/>
              </w:rPr>
              <w:t>-</w:t>
            </w:r>
            <w:r>
              <w:rPr>
                <w:rFonts w:hint="eastAsia" w:eastAsia="等线"/>
                <w:color w:val="auto"/>
                <w:szCs w:val="21"/>
              </w:rPr>
              <w:t>1</w:t>
            </w:r>
            <w:r>
              <w:rPr>
                <w:rFonts w:eastAsia="等线"/>
                <w:color w:val="auto"/>
                <w:szCs w:val="21"/>
              </w:rPr>
              <w:t>.5m</w:t>
            </w:r>
            <w:r>
              <w:rPr>
                <w:color w:val="auto"/>
              </w:rPr>
              <w:t>)</w:t>
            </w:r>
          </w:p>
        </w:tc>
        <w:tc>
          <w:tcPr>
            <w:tcW w:w="585" w:type="pct"/>
            <w:vAlign w:val="center"/>
          </w:tcPr>
          <w:p>
            <w:pPr>
              <w:pStyle w:val="47"/>
              <w:spacing w:line="240" w:lineRule="auto"/>
              <w:rPr>
                <w:color w:val="auto"/>
              </w:rPr>
            </w:pPr>
            <w:r>
              <w:rPr>
                <w:color w:val="auto"/>
              </w:rPr>
              <w:t>汞</w:t>
            </w:r>
          </w:p>
        </w:tc>
        <w:tc>
          <w:tcPr>
            <w:tcW w:w="828" w:type="pct"/>
            <w:vAlign w:val="center"/>
          </w:tcPr>
          <w:p>
            <w:pPr>
              <w:pStyle w:val="47"/>
              <w:spacing w:line="240" w:lineRule="auto"/>
              <w:rPr>
                <w:rFonts w:eastAsia="华文仿宋"/>
                <w:color w:val="auto"/>
                <w:kern w:val="0"/>
                <w:szCs w:val="21"/>
                <w:lang w:bidi="ar"/>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0.018</w:t>
            </w:r>
          </w:p>
        </w:tc>
        <w:tc>
          <w:tcPr>
            <w:tcW w:w="1071" w:type="pct"/>
            <w:vAlign w:val="center"/>
          </w:tcPr>
          <w:p>
            <w:pPr>
              <w:pStyle w:val="47"/>
              <w:spacing w:line="240" w:lineRule="auto"/>
              <w:rPr>
                <w:color w:val="auto"/>
              </w:rPr>
            </w:pPr>
            <w:r>
              <w:rPr>
                <w:rFonts w:hint="eastAsia"/>
                <w:color w:val="auto"/>
              </w:rPr>
              <w:t>38</w:t>
            </w:r>
          </w:p>
        </w:tc>
        <w:tc>
          <w:tcPr>
            <w:tcW w:w="842" w:type="pct"/>
            <w:vAlign w:val="center"/>
          </w:tcPr>
          <w:p>
            <w:pPr>
              <w:pStyle w:val="47"/>
              <w:spacing w:line="240" w:lineRule="auto"/>
              <w:rPr>
                <w:color w:val="auto"/>
              </w:rPr>
            </w:pPr>
            <w:r>
              <w:rPr>
                <w:rFonts w:hint="eastAsia"/>
                <w:color w:val="auto"/>
              </w:rPr>
              <w:t xml:space="preserve">0.0005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砷</w:t>
            </w:r>
          </w:p>
        </w:tc>
        <w:tc>
          <w:tcPr>
            <w:tcW w:w="828" w:type="pct"/>
            <w:vAlign w:val="center"/>
          </w:tcPr>
          <w:p>
            <w:pPr>
              <w:pStyle w:val="47"/>
              <w:spacing w:line="240" w:lineRule="auto"/>
              <w:rPr>
                <w:rFonts w:eastAsia="华文仿宋"/>
                <w:color w:val="auto"/>
                <w:kern w:val="0"/>
                <w:szCs w:val="21"/>
                <w:lang w:bidi="ar"/>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6.70</w:t>
            </w:r>
          </w:p>
        </w:tc>
        <w:tc>
          <w:tcPr>
            <w:tcW w:w="1071" w:type="pct"/>
            <w:vAlign w:val="center"/>
          </w:tcPr>
          <w:p>
            <w:pPr>
              <w:pStyle w:val="47"/>
              <w:spacing w:line="240" w:lineRule="auto"/>
              <w:rPr>
                <w:color w:val="auto"/>
              </w:rPr>
            </w:pPr>
            <w:r>
              <w:rPr>
                <w:rFonts w:hint="eastAsia"/>
                <w:color w:val="auto"/>
              </w:rPr>
              <w:t>60</w:t>
            </w:r>
          </w:p>
        </w:tc>
        <w:tc>
          <w:tcPr>
            <w:tcW w:w="842" w:type="pct"/>
            <w:vAlign w:val="center"/>
          </w:tcPr>
          <w:p>
            <w:pPr>
              <w:pStyle w:val="47"/>
              <w:spacing w:line="240" w:lineRule="auto"/>
              <w:rPr>
                <w:color w:val="auto"/>
              </w:rPr>
            </w:pPr>
            <w:r>
              <w:rPr>
                <w:rFonts w:hint="eastAsia"/>
                <w:color w:val="auto"/>
              </w:rPr>
              <w:t xml:space="preserve">0.1117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镉</w:t>
            </w:r>
          </w:p>
        </w:tc>
        <w:tc>
          <w:tcPr>
            <w:tcW w:w="828" w:type="pct"/>
            <w:vAlign w:val="center"/>
          </w:tcPr>
          <w:p>
            <w:pPr>
              <w:pStyle w:val="47"/>
              <w:spacing w:line="240" w:lineRule="auto"/>
              <w:rPr>
                <w:rFonts w:eastAsia="华文仿宋"/>
                <w:color w:val="auto"/>
                <w:kern w:val="0"/>
                <w:szCs w:val="21"/>
                <w:lang w:bidi="ar"/>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0.08</w:t>
            </w:r>
          </w:p>
        </w:tc>
        <w:tc>
          <w:tcPr>
            <w:tcW w:w="1071" w:type="pct"/>
            <w:vAlign w:val="center"/>
          </w:tcPr>
          <w:p>
            <w:pPr>
              <w:pStyle w:val="47"/>
              <w:spacing w:line="240" w:lineRule="auto"/>
              <w:rPr>
                <w:color w:val="auto"/>
              </w:rPr>
            </w:pPr>
            <w:r>
              <w:rPr>
                <w:rFonts w:hint="eastAsia"/>
                <w:color w:val="auto"/>
              </w:rPr>
              <w:t>65</w:t>
            </w:r>
          </w:p>
        </w:tc>
        <w:tc>
          <w:tcPr>
            <w:tcW w:w="842" w:type="pct"/>
            <w:vAlign w:val="center"/>
          </w:tcPr>
          <w:p>
            <w:pPr>
              <w:pStyle w:val="47"/>
              <w:spacing w:line="240" w:lineRule="auto"/>
              <w:rPr>
                <w:color w:val="auto"/>
              </w:rPr>
            </w:pPr>
            <w:r>
              <w:rPr>
                <w:rFonts w:hint="eastAsia"/>
                <w:color w:val="auto"/>
              </w:rPr>
              <w:t xml:space="preserve">0.0012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铅</w:t>
            </w:r>
          </w:p>
        </w:tc>
        <w:tc>
          <w:tcPr>
            <w:tcW w:w="828" w:type="pct"/>
            <w:vAlign w:val="center"/>
          </w:tcPr>
          <w:p>
            <w:pPr>
              <w:pStyle w:val="47"/>
              <w:spacing w:line="240" w:lineRule="auto"/>
              <w:rPr>
                <w:rFonts w:eastAsia="华文仿宋"/>
                <w:color w:val="auto"/>
                <w:kern w:val="0"/>
                <w:szCs w:val="21"/>
                <w:lang w:bidi="ar"/>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14.7</w:t>
            </w:r>
          </w:p>
        </w:tc>
        <w:tc>
          <w:tcPr>
            <w:tcW w:w="1071" w:type="pct"/>
            <w:vAlign w:val="center"/>
          </w:tcPr>
          <w:p>
            <w:pPr>
              <w:pStyle w:val="47"/>
              <w:spacing w:line="240" w:lineRule="auto"/>
              <w:rPr>
                <w:color w:val="auto"/>
              </w:rPr>
            </w:pPr>
            <w:r>
              <w:rPr>
                <w:rFonts w:hint="eastAsia"/>
                <w:color w:val="auto"/>
              </w:rPr>
              <w:t>800</w:t>
            </w:r>
          </w:p>
        </w:tc>
        <w:tc>
          <w:tcPr>
            <w:tcW w:w="842" w:type="pct"/>
            <w:vAlign w:val="center"/>
          </w:tcPr>
          <w:p>
            <w:pPr>
              <w:pStyle w:val="47"/>
              <w:spacing w:line="240" w:lineRule="auto"/>
              <w:rPr>
                <w:color w:val="auto"/>
              </w:rPr>
            </w:pPr>
            <w:r>
              <w:rPr>
                <w:rFonts w:hint="eastAsia"/>
                <w:color w:val="auto"/>
              </w:rPr>
              <w:t xml:space="preserve">0.0184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铜</w:t>
            </w:r>
          </w:p>
        </w:tc>
        <w:tc>
          <w:tcPr>
            <w:tcW w:w="828" w:type="pct"/>
            <w:vAlign w:val="center"/>
          </w:tcPr>
          <w:p>
            <w:pPr>
              <w:pStyle w:val="47"/>
              <w:spacing w:line="240" w:lineRule="auto"/>
              <w:rPr>
                <w:rFonts w:eastAsia="华文仿宋"/>
                <w:color w:val="auto"/>
                <w:kern w:val="0"/>
                <w:szCs w:val="21"/>
                <w:lang w:bidi="ar"/>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11</w:t>
            </w:r>
          </w:p>
        </w:tc>
        <w:tc>
          <w:tcPr>
            <w:tcW w:w="1071" w:type="pct"/>
            <w:vAlign w:val="center"/>
          </w:tcPr>
          <w:p>
            <w:pPr>
              <w:pStyle w:val="47"/>
              <w:spacing w:line="240" w:lineRule="auto"/>
              <w:rPr>
                <w:color w:val="auto"/>
              </w:rPr>
            </w:pPr>
            <w:r>
              <w:rPr>
                <w:rFonts w:hint="eastAsia"/>
                <w:color w:val="auto"/>
              </w:rPr>
              <w:t>18000</w:t>
            </w:r>
          </w:p>
        </w:tc>
        <w:tc>
          <w:tcPr>
            <w:tcW w:w="842" w:type="pct"/>
            <w:vAlign w:val="center"/>
          </w:tcPr>
          <w:p>
            <w:pPr>
              <w:pStyle w:val="47"/>
              <w:spacing w:line="240" w:lineRule="auto"/>
              <w:rPr>
                <w:color w:val="auto"/>
              </w:rPr>
            </w:pPr>
            <w:r>
              <w:rPr>
                <w:rFonts w:hint="eastAsia"/>
                <w:color w:val="auto"/>
              </w:rPr>
              <w:t xml:space="preserve">0.0006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镍</w:t>
            </w:r>
          </w:p>
        </w:tc>
        <w:tc>
          <w:tcPr>
            <w:tcW w:w="828" w:type="pct"/>
            <w:vAlign w:val="center"/>
          </w:tcPr>
          <w:p>
            <w:pPr>
              <w:pStyle w:val="47"/>
              <w:spacing w:line="240" w:lineRule="auto"/>
              <w:rPr>
                <w:rFonts w:eastAsia="华文仿宋"/>
                <w:color w:val="auto"/>
                <w:kern w:val="0"/>
                <w:szCs w:val="21"/>
                <w:lang w:bidi="ar"/>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19.0</w:t>
            </w:r>
          </w:p>
        </w:tc>
        <w:tc>
          <w:tcPr>
            <w:tcW w:w="1071" w:type="pct"/>
            <w:vAlign w:val="center"/>
          </w:tcPr>
          <w:p>
            <w:pPr>
              <w:pStyle w:val="47"/>
              <w:spacing w:line="240" w:lineRule="auto"/>
              <w:rPr>
                <w:color w:val="auto"/>
              </w:rPr>
            </w:pPr>
            <w:r>
              <w:rPr>
                <w:rFonts w:hint="eastAsia"/>
                <w:color w:val="auto"/>
              </w:rPr>
              <w:t>900</w:t>
            </w:r>
          </w:p>
        </w:tc>
        <w:tc>
          <w:tcPr>
            <w:tcW w:w="842" w:type="pct"/>
            <w:vAlign w:val="center"/>
          </w:tcPr>
          <w:p>
            <w:pPr>
              <w:pStyle w:val="47"/>
              <w:spacing w:line="240" w:lineRule="auto"/>
              <w:rPr>
                <w:color w:val="auto"/>
              </w:rPr>
            </w:pPr>
            <w:r>
              <w:rPr>
                <w:rFonts w:hint="eastAsia"/>
                <w:color w:val="auto"/>
              </w:rPr>
              <w:t xml:space="preserve">0.0211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rFonts w:hint="eastAsia" w:eastAsia="宋体"/>
                <w:color w:val="auto"/>
                <w:lang w:eastAsia="zh-CN"/>
              </w:rPr>
            </w:pPr>
            <w:r>
              <w:rPr>
                <w:rFonts w:hint="eastAsia"/>
                <w:color w:val="auto"/>
              </w:rPr>
              <w:t>氯</w:t>
            </w:r>
            <w:r>
              <w:rPr>
                <w:rFonts w:hint="eastAsia"/>
                <w:color w:val="auto"/>
                <w:lang w:eastAsia="zh-CN"/>
              </w:rPr>
              <w:t>甲烷</w:t>
            </w:r>
          </w:p>
        </w:tc>
        <w:tc>
          <w:tcPr>
            <w:tcW w:w="828" w:type="pct"/>
            <w:vAlign w:val="center"/>
          </w:tcPr>
          <w:p>
            <w:pPr>
              <w:pStyle w:val="47"/>
              <w:spacing w:line="240" w:lineRule="auto"/>
              <w:rPr>
                <w:color w:val="auto"/>
              </w:rPr>
            </w:pPr>
            <w:r>
              <w:rPr>
                <w:rFonts w:hint="eastAsia"/>
                <w:color w:val="auto"/>
              </w:rPr>
              <w:t>m</w:t>
            </w:r>
            <w:r>
              <w:rPr>
                <w:color w:val="auto"/>
              </w:rPr>
              <w:t>g/kg</w:t>
            </w:r>
          </w:p>
        </w:tc>
        <w:tc>
          <w:tcPr>
            <w:tcW w:w="915" w:type="pct"/>
            <w:vAlign w:val="center"/>
          </w:tcPr>
          <w:p>
            <w:pPr>
              <w:widowControl/>
              <w:snapToGrid w:val="0"/>
              <w:spacing w:line="312" w:lineRule="exact"/>
              <w:ind w:firstLine="0" w:firstLineChars="0"/>
              <w:jc w:val="center"/>
              <w:textAlignment w:val="center"/>
              <w:rPr>
                <w:color w:val="auto"/>
                <w:kern w:val="0"/>
                <w:sz w:val="21"/>
                <w:szCs w:val="21"/>
                <w:lang w:bidi="ar"/>
              </w:rPr>
            </w:pPr>
            <w:r>
              <w:rPr>
                <w:rFonts w:hint="eastAsia"/>
                <w:color w:val="auto"/>
                <w:kern w:val="0"/>
                <w:sz w:val="21"/>
                <w:szCs w:val="21"/>
                <w:lang w:bidi="ar"/>
              </w:rPr>
              <w:t>2.0</w:t>
            </w:r>
            <w:r>
              <w:rPr>
                <w:rFonts w:hint="eastAsia"/>
                <w:color w:val="auto"/>
                <w:sz w:val="21"/>
                <w:szCs w:val="21"/>
              </w:rPr>
              <w:t>×10</w:t>
            </w:r>
            <w:r>
              <w:rPr>
                <w:rFonts w:hint="eastAsia"/>
                <w:color w:val="auto"/>
                <w:sz w:val="21"/>
                <w:szCs w:val="21"/>
                <w:vertAlign w:val="superscript"/>
              </w:rPr>
              <w:t>-3</w:t>
            </w:r>
          </w:p>
        </w:tc>
        <w:tc>
          <w:tcPr>
            <w:tcW w:w="1071" w:type="pct"/>
            <w:vAlign w:val="center"/>
          </w:tcPr>
          <w:p>
            <w:pPr>
              <w:pStyle w:val="47"/>
              <w:spacing w:line="240" w:lineRule="auto"/>
              <w:rPr>
                <w:color w:val="auto"/>
              </w:rPr>
            </w:pPr>
            <w:r>
              <w:rPr>
                <w:rFonts w:hint="eastAsia"/>
                <w:color w:val="auto"/>
              </w:rPr>
              <w:t>37</w:t>
            </w:r>
          </w:p>
        </w:tc>
        <w:tc>
          <w:tcPr>
            <w:tcW w:w="842" w:type="pct"/>
            <w:vAlign w:val="center"/>
          </w:tcPr>
          <w:p>
            <w:pPr>
              <w:pStyle w:val="47"/>
              <w:spacing w:line="240" w:lineRule="auto"/>
              <w:rPr>
                <w:color w:val="auto"/>
              </w:rPr>
            </w:pPr>
            <w:r>
              <w:rPr>
                <w:rFonts w:hint="eastAsia"/>
                <w:color w:val="auto"/>
              </w:rPr>
              <w:t xml:space="preserve">0.00005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石油烃(C10-C40)</w:t>
            </w:r>
          </w:p>
        </w:tc>
        <w:tc>
          <w:tcPr>
            <w:tcW w:w="828" w:type="pct"/>
            <w:vAlign w:val="center"/>
          </w:tcPr>
          <w:p>
            <w:pPr>
              <w:pStyle w:val="47"/>
              <w:spacing w:line="240" w:lineRule="auto"/>
              <w:rPr>
                <w:color w:val="auto"/>
              </w:rPr>
            </w:pPr>
            <w:r>
              <w:rPr>
                <w:color w:val="auto"/>
              </w:rPr>
              <w:t>mg/kg</w:t>
            </w:r>
          </w:p>
        </w:tc>
        <w:tc>
          <w:tcPr>
            <w:tcW w:w="915" w:type="pct"/>
            <w:vAlign w:val="center"/>
          </w:tcPr>
          <w:p>
            <w:pPr>
              <w:spacing w:line="240" w:lineRule="auto"/>
              <w:ind w:firstLine="0" w:firstLineChars="0"/>
              <w:jc w:val="center"/>
              <w:rPr>
                <w:color w:val="auto"/>
                <w:sz w:val="21"/>
                <w:szCs w:val="21"/>
              </w:rPr>
            </w:pPr>
            <w:r>
              <w:rPr>
                <w:rFonts w:hint="eastAsia"/>
                <w:color w:val="auto"/>
                <w:sz w:val="21"/>
                <w:szCs w:val="21"/>
              </w:rPr>
              <w:t>30</w:t>
            </w:r>
          </w:p>
        </w:tc>
        <w:tc>
          <w:tcPr>
            <w:tcW w:w="1071" w:type="pct"/>
            <w:vAlign w:val="center"/>
          </w:tcPr>
          <w:p>
            <w:pPr>
              <w:pStyle w:val="47"/>
              <w:spacing w:line="240" w:lineRule="auto"/>
              <w:rPr>
                <w:color w:val="auto"/>
              </w:rPr>
            </w:pPr>
            <w:r>
              <w:rPr>
                <w:rFonts w:hint="eastAsia"/>
                <w:color w:val="auto"/>
              </w:rPr>
              <w:t>4500</w:t>
            </w:r>
          </w:p>
        </w:tc>
        <w:tc>
          <w:tcPr>
            <w:tcW w:w="842" w:type="pct"/>
            <w:vAlign w:val="center"/>
          </w:tcPr>
          <w:p>
            <w:pPr>
              <w:pStyle w:val="47"/>
              <w:spacing w:line="240" w:lineRule="auto"/>
              <w:rPr>
                <w:color w:val="auto"/>
              </w:rPr>
            </w:pPr>
            <w:r>
              <w:rPr>
                <w:rFonts w:hint="eastAsia"/>
                <w:color w:val="auto"/>
              </w:rPr>
              <w:t xml:space="preserve">0.0067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restart"/>
            <w:vAlign w:val="center"/>
          </w:tcPr>
          <w:p>
            <w:pPr>
              <w:pStyle w:val="47"/>
              <w:spacing w:line="240" w:lineRule="auto"/>
              <w:rPr>
                <w:color w:val="auto"/>
              </w:rPr>
            </w:pPr>
            <w:r>
              <w:rPr>
                <w:rFonts w:hint="eastAsia"/>
                <w:color w:val="auto"/>
              </w:rPr>
              <w:t>4</w:t>
            </w:r>
            <w:r>
              <w:rPr>
                <w:color w:val="auto"/>
              </w:rPr>
              <w:t>#(</w:t>
            </w:r>
            <w:r>
              <w:rPr>
                <w:rFonts w:hint="eastAsia" w:eastAsia="等线"/>
                <w:color w:val="auto"/>
                <w:szCs w:val="21"/>
              </w:rPr>
              <w:t>1.5</w:t>
            </w:r>
            <w:r>
              <w:rPr>
                <w:rFonts w:eastAsia="等线"/>
                <w:color w:val="auto"/>
                <w:szCs w:val="21"/>
              </w:rPr>
              <w:t>-</w:t>
            </w:r>
            <w:r>
              <w:rPr>
                <w:rFonts w:hint="eastAsia" w:eastAsia="等线"/>
                <w:color w:val="auto"/>
                <w:szCs w:val="21"/>
              </w:rPr>
              <w:t>3.0</w:t>
            </w:r>
            <w:r>
              <w:rPr>
                <w:rFonts w:eastAsia="等线"/>
                <w:color w:val="auto"/>
                <w:szCs w:val="21"/>
              </w:rPr>
              <w:t>m</w:t>
            </w:r>
            <w:r>
              <w:rPr>
                <w:color w:val="auto"/>
              </w:rPr>
              <w:t>)</w:t>
            </w:r>
          </w:p>
        </w:tc>
        <w:tc>
          <w:tcPr>
            <w:tcW w:w="585" w:type="pct"/>
            <w:vAlign w:val="center"/>
          </w:tcPr>
          <w:p>
            <w:pPr>
              <w:pStyle w:val="47"/>
              <w:spacing w:line="240" w:lineRule="auto"/>
              <w:rPr>
                <w:color w:val="auto"/>
              </w:rPr>
            </w:pPr>
            <w:r>
              <w:rPr>
                <w:color w:val="auto"/>
              </w:rPr>
              <w:t>汞</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0.016</w:t>
            </w:r>
          </w:p>
        </w:tc>
        <w:tc>
          <w:tcPr>
            <w:tcW w:w="1071" w:type="pct"/>
            <w:vAlign w:val="center"/>
          </w:tcPr>
          <w:p>
            <w:pPr>
              <w:pStyle w:val="47"/>
              <w:spacing w:line="240" w:lineRule="auto"/>
              <w:rPr>
                <w:color w:val="auto"/>
              </w:rPr>
            </w:pPr>
            <w:r>
              <w:rPr>
                <w:rFonts w:hint="eastAsia"/>
                <w:color w:val="auto"/>
              </w:rPr>
              <w:t>38</w:t>
            </w:r>
          </w:p>
        </w:tc>
        <w:tc>
          <w:tcPr>
            <w:tcW w:w="842" w:type="pct"/>
            <w:vAlign w:val="center"/>
          </w:tcPr>
          <w:p>
            <w:pPr>
              <w:pStyle w:val="47"/>
              <w:spacing w:line="240" w:lineRule="auto"/>
              <w:rPr>
                <w:color w:val="auto"/>
              </w:rPr>
            </w:pPr>
            <w:r>
              <w:rPr>
                <w:rFonts w:hint="eastAsia"/>
                <w:color w:val="auto"/>
              </w:rPr>
              <w:t xml:space="preserve">0.0004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砷</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7.41</w:t>
            </w:r>
          </w:p>
        </w:tc>
        <w:tc>
          <w:tcPr>
            <w:tcW w:w="1071" w:type="pct"/>
            <w:vAlign w:val="center"/>
          </w:tcPr>
          <w:p>
            <w:pPr>
              <w:pStyle w:val="47"/>
              <w:spacing w:line="240" w:lineRule="auto"/>
              <w:rPr>
                <w:color w:val="auto"/>
              </w:rPr>
            </w:pPr>
            <w:r>
              <w:rPr>
                <w:rFonts w:hint="eastAsia"/>
                <w:color w:val="auto"/>
              </w:rPr>
              <w:t>60</w:t>
            </w:r>
          </w:p>
        </w:tc>
        <w:tc>
          <w:tcPr>
            <w:tcW w:w="842" w:type="pct"/>
            <w:vAlign w:val="center"/>
          </w:tcPr>
          <w:p>
            <w:pPr>
              <w:pStyle w:val="47"/>
              <w:spacing w:line="240" w:lineRule="auto"/>
              <w:rPr>
                <w:color w:val="auto"/>
              </w:rPr>
            </w:pPr>
            <w:r>
              <w:rPr>
                <w:rFonts w:hint="eastAsia"/>
                <w:color w:val="auto"/>
              </w:rPr>
              <w:t xml:space="preserve">0.1235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镉</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0.08</w:t>
            </w:r>
          </w:p>
        </w:tc>
        <w:tc>
          <w:tcPr>
            <w:tcW w:w="1071" w:type="pct"/>
            <w:vAlign w:val="center"/>
          </w:tcPr>
          <w:p>
            <w:pPr>
              <w:pStyle w:val="47"/>
              <w:spacing w:line="240" w:lineRule="auto"/>
              <w:rPr>
                <w:color w:val="auto"/>
              </w:rPr>
            </w:pPr>
            <w:r>
              <w:rPr>
                <w:rFonts w:hint="eastAsia"/>
                <w:color w:val="auto"/>
              </w:rPr>
              <w:t>65</w:t>
            </w:r>
          </w:p>
        </w:tc>
        <w:tc>
          <w:tcPr>
            <w:tcW w:w="842" w:type="pct"/>
            <w:vAlign w:val="center"/>
          </w:tcPr>
          <w:p>
            <w:pPr>
              <w:pStyle w:val="47"/>
              <w:spacing w:line="240" w:lineRule="auto"/>
              <w:rPr>
                <w:color w:val="auto"/>
              </w:rPr>
            </w:pPr>
            <w:r>
              <w:rPr>
                <w:rFonts w:hint="eastAsia"/>
                <w:color w:val="auto"/>
              </w:rPr>
              <w:t xml:space="preserve">0.0012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铅</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14.3</w:t>
            </w:r>
          </w:p>
        </w:tc>
        <w:tc>
          <w:tcPr>
            <w:tcW w:w="1071" w:type="pct"/>
            <w:vAlign w:val="center"/>
          </w:tcPr>
          <w:p>
            <w:pPr>
              <w:pStyle w:val="47"/>
              <w:spacing w:line="240" w:lineRule="auto"/>
              <w:rPr>
                <w:color w:val="auto"/>
              </w:rPr>
            </w:pPr>
            <w:r>
              <w:rPr>
                <w:rFonts w:hint="eastAsia"/>
                <w:color w:val="auto"/>
              </w:rPr>
              <w:t>800</w:t>
            </w:r>
          </w:p>
        </w:tc>
        <w:tc>
          <w:tcPr>
            <w:tcW w:w="842" w:type="pct"/>
            <w:vAlign w:val="center"/>
          </w:tcPr>
          <w:p>
            <w:pPr>
              <w:pStyle w:val="47"/>
              <w:spacing w:line="240" w:lineRule="auto"/>
              <w:rPr>
                <w:color w:val="auto"/>
              </w:rPr>
            </w:pPr>
            <w:r>
              <w:rPr>
                <w:rFonts w:hint="eastAsia"/>
                <w:color w:val="auto"/>
              </w:rPr>
              <w:t xml:space="preserve">0.0179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铜</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15</w:t>
            </w:r>
          </w:p>
        </w:tc>
        <w:tc>
          <w:tcPr>
            <w:tcW w:w="1071" w:type="pct"/>
            <w:vAlign w:val="center"/>
          </w:tcPr>
          <w:p>
            <w:pPr>
              <w:pStyle w:val="47"/>
              <w:spacing w:line="240" w:lineRule="auto"/>
              <w:rPr>
                <w:color w:val="auto"/>
              </w:rPr>
            </w:pPr>
            <w:r>
              <w:rPr>
                <w:rFonts w:hint="eastAsia"/>
                <w:color w:val="auto"/>
              </w:rPr>
              <w:t>18000</w:t>
            </w:r>
          </w:p>
        </w:tc>
        <w:tc>
          <w:tcPr>
            <w:tcW w:w="842" w:type="pct"/>
            <w:vAlign w:val="center"/>
          </w:tcPr>
          <w:p>
            <w:pPr>
              <w:pStyle w:val="47"/>
              <w:spacing w:line="240" w:lineRule="auto"/>
              <w:rPr>
                <w:color w:val="auto"/>
              </w:rPr>
            </w:pPr>
            <w:r>
              <w:rPr>
                <w:rFonts w:hint="eastAsia"/>
                <w:color w:val="auto"/>
              </w:rPr>
              <w:t xml:space="preserve">0.0008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镍</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color w:val="auto"/>
                <w:kern w:val="0"/>
                <w:sz w:val="21"/>
                <w:szCs w:val="21"/>
                <w:lang w:bidi="ar"/>
              </w:rPr>
              <w:t>19.5</w:t>
            </w:r>
          </w:p>
        </w:tc>
        <w:tc>
          <w:tcPr>
            <w:tcW w:w="1071" w:type="pct"/>
            <w:vAlign w:val="center"/>
          </w:tcPr>
          <w:p>
            <w:pPr>
              <w:pStyle w:val="47"/>
              <w:spacing w:line="240" w:lineRule="auto"/>
              <w:rPr>
                <w:color w:val="auto"/>
              </w:rPr>
            </w:pPr>
            <w:r>
              <w:rPr>
                <w:rFonts w:hint="eastAsia"/>
                <w:color w:val="auto"/>
              </w:rPr>
              <w:t>900</w:t>
            </w:r>
          </w:p>
        </w:tc>
        <w:tc>
          <w:tcPr>
            <w:tcW w:w="842" w:type="pct"/>
            <w:vAlign w:val="center"/>
          </w:tcPr>
          <w:p>
            <w:pPr>
              <w:pStyle w:val="47"/>
              <w:spacing w:line="240" w:lineRule="auto"/>
              <w:rPr>
                <w:color w:val="auto"/>
              </w:rPr>
            </w:pPr>
            <w:r>
              <w:rPr>
                <w:rFonts w:hint="eastAsia"/>
                <w:color w:val="auto"/>
              </w:rPr>
              <w:t xml:space="preserve">0.0217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rFonts w:hint="eastAsia" w:eastAsia="宋体"/>
                <w:color w:val="auto"/>
                <w:lang w:eastAsia="zh-CN"/>
              </w:rPr>
            </w:pPr>
            <w:r>
              <w:rPr>
                <w:rFonts w:hint="eastAsia"/>
                <w:color w:val="auto"/>
              </w:rPr>
              <w:t>氯</w:t>
            </w:r>
            <w:r>
              <w:rPr>
                <w:rFonts w:hint="eastAsia"/>
                <w:color w:val="auto"/>
                <w:lang w:eastAsia="zh-CN"/>
              </w:rPr>
              <w:t>甲烷</w:t>
            </w:r>
          </w:p>
        </w:tc>
        <w:tc>
          <w:tcPr>
            <w:tcW w:w="828" w:type="pct"/>
            <w:vAlign w:val="center"/>
          </w:tcPr>
          <w:p>
            <w:pPr>
              <w:pStyle w:val="47"/>
              <w:spacing w:line="240" w:lineRule="auto"/>
              <w:rPr>
                <w:color w:val="auto"/>
              </w:rPr>
            </w:pPr>
            <w:r>
              <w:rPr>
                <w:rFonts w:hint="eastAsia"/>
                <w:color w:val="auto"/>
              </w:rPr>
              <w:t>m</w:t>
            </w:r>
            <w:r>
              <w:rPr>
                <w:color w:val="auto"/>
              </w:rPr>
              <w:t>g/kg</w:t>
            </w:r>
          </w:p>
        </w:tc>
        <w:tc>
          <w:tcPr>
            <w:tcW w:w="915" w:type="pct"/>
            <w:vAlign w:val="center"/>
          </w:tcPr>
          <w:p>
            <w:pPr>
              <w:spacing w:line="240" w:lineRule="auto"/>
              <w:ind w:firstLine="0" w:firstLineChars="0"/>
              <w:jc w:val="center"/>
              <w:rPr>
                <w:color w:val="auto"/>
                <w:sz w:val="21"/>
                <w:szCs w:val="21"/>
              </w:rPr>
            </w:pPr>
            <w:r>
              <w:rPr>
                <w:rFonts w:hint="eastAsia"/>
                <w:color w:val="auto"/>
                <w:sz w:val="21"/>
                <w:szCs w:val="21"/>
              </w:rPr>
              <w:t>1.4×10</w:t>
            </w:r>
            <w:r>
              <w:rPr>
                <w:rFonts w:hint="eastAsia"/>
                <w:color w:val="auto"/>
                <w:sz w:val="21"/>
                <w:szCs w:val="21"/>
                <w:vertAlign w:val="superscript"/>
              </w:rPr>
              <w:t>-3</w:t>
            </w:r>
          </w:p>
        </w:tc>
        <w:tc>
          <w:tcPr>
            <w:tcW w:w="1071" w:type="pct"/>
            <w:vAlign w:val="center"/>
          </w:tcPr>
          <w:p>
            <w:pPr>
              <w:pStyle w:val="47"/>
              <w:spacing w:line="240" w:lineRule="auto"/>
              <w:rPr>
                <w:color w:val="auto"/>
              </w:rPr>
            </w:pPr>
            <w:r>
              <w:rPr>
                <w:rFonts w:hint="eastAsia"/>
                <w:color w:val="auto"/>
              </w:rPr>
              <w:t>37</w:t>
            </w:r>
          </w:p>
        </w:tc>
        <w:tc>
          <w:tcPr>
            <w:tcW w:w="842" w:type="pct"/>
            <w:vAlign w:val="center"/>
          </w:tcPr>
          <w:p>
            <w:pPr>
              <w:pStyle w:val="47"/>
              <w:spacing w:line="240" w:lineRule="auto"/>
              <w:rPr>
                <w:color w:val="auto"/>
              </w:rPr>
            </w:pPr>
            <w:r>
              <w:rPr>
                <w:rFonts w:hint="eastAsia"/>
                <w:color w:val="auto"/>
              </w:rPr>
              <w:t>0.00004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石油烃(C10-C40)</w:t>
            </w:r>
          </w:p>
        </w:tc>
        <w:tc>
          <w:tcPr>
            <w:tcW w:w="828" w:type="pct"/>
            <w:vAlign w:val="center"/>
          </w:tcPr>
          <w:p>
            <w:pPr>
              <w:pStyle w:val="47"/>
              <w:spacing w:line="240" w:lineRule="auto"/>
              <w:rPr>
                <w:color w:val="auto"/>
              </w:rPr>
            </w:pPr>
            <w:r>
              <w:rPr>
                <w:rFonts w:eastAsia="华文仿宋"/>
                <w:color w:val="auto"/>
                <w:kern w:val="0"/>
                <w:szCs w:val="21"/>
                <w:lang w:bidi="ar"/>
              </w:rPr>
              <w:t>mg/kg</w:t>
            </w:r>
          </w:p>
        </w:tc>
        <w:tc>
          <w:tcPr>
            <w:tcW w:w="915" w:type="pct"/>
            <w:vAlign w:val="center"/>
          </w:tcPr>
          <w:p>
            <w:pPr>
              <w:spacing w:line="240" w:lineRule="auto"/>
              <w:ind w:firstLine="0" w:firstLineChars="0"/>
              <w:jc w:val="center"/>
              <w:rPr>
                <w:color w:val="auto"/>
                <w:sz w:val="21"/>
                <w:szCs w:val="21"/>
              </w:rPr>
            </w:pPr>
            <w:r>
              <w:rPr>
                <w:rFonts w:hint="eastAsia"/>
                <w:color w:val="auto"/>
                <w:sz w:val="21"/>
                <w:szCs w:val="21"/>
              </w:rPr>
              <w:t>38</w:t>
            </w:r>
          </w:p>
        </w:tc>
        <w:tc>
          <w:tcPr>
            <w:tcW w:w="1071" w:type="pct"/>
            <w:vAlign w:val="center"/>
          </w:tcPr>
          <w:p>
            <w:pPr>
              <w:pStyle w:val="47"/>
              <w:spacing w:line="240" w:lineRule="auto"/>
              <w:rPr>
                <w:color w:val="auto"/>
              </w:rPr>
            </w:pPr>
            <w:r>
              <w:rPr>
                <w:rFonts w:hint="eastAsia"/>
                <w:color w:val="auto"/>
              </w:rPr>
              <w:t>4500</w:t>
            </w:r>
          </w:p>
        </w:tc>
        <w:tc>
          <w:tcPr>
            <w:tcW w:w="842" w:type="pct"/>
            <w:vAlign w:val="center"/>
          </w:tcPr>
          <w:p>
            <w:pPr>
              <w:pStyle w:val="47"/>
              <w:spacing w:line="240" w:lineRule="auto"/>
              <w:rPr>
                <w:color w:val="auto"/>
              </w:rPr>
            </w:pPr>
            <w:r>
              <w:rPr>
                <w:rFonts w:hint="eastAsia"/>
                <w:color w:val="auto"/>
              </w:rPr>
              <w:t xml:space="preserve">0.0084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restart"/>
            <w:vAlign w:val="center"/>
          </w:tcPr>
          <w:p>
            <w:pPr>
              <w:pStyle w:val="47"/>
              <w:spacing w:line="240" w:lineRule="auto"/>
              <w:rPr>
                <w:color w:val="auto"/>
              </w:rPr>
            </w:pPr>
            <w:r>
              <w:rPr>
                <w:rFonts w:hint="eastAsia"/>
                <w:color w:val="auto"/>
              </w:rPr>
              <w:t>5#</w:t>
            </w:r>
          </w:p>
        </w:tc>
        <w:tc>
          <w:tcPr>
            <w:tcW w:w="585" w:type="pct"/>
            <w:vAlign w:val="center"/>
          </w:tcPr>
          <w:p>
            <w:pPr>
              <w:pStyle w:val="47"/>
              <w:spacing w:line="240" w:lineRule="auto"/>
              <w:rPr>
                <w:color w:val="auto"/>
              </w:rPr>
            </w:pPr>
            <w:r>
              <w:rPr>
                <w:color w:val="auto"/>
              </w:rPr>
              <w:t>汞</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0.064</w:t>
            </w:r>
          </w:p>
        </w:tc>
        <w:tc>
          <w:tcPr>
            <w:tcW w:w="1071" w:type="pct"/>
            <w:vAlign w:val="center"/>
          </w:tcPr>
          <w:p>
            <w:pPr>
              <w:pStyle w:val="47"/>
              <w:spacing w:line="240" w:lineRule="auto"/>
              <w:rPr>
                <w:color w:val="auto"/>
              </w:rPr>
            </w:pPr>
            <w:r>
              <w:rPr>
                <w:rFonts w:hint="eastAsia"/>
                <w:color w:val="auto"/>
              </w:rPr>
              <w:t>38</w:t>
            </w:r>
          </w:p>
        </w:tc>
        <w:tc>
          <w:tcPr>
            <w:tcW w:w="842" w:type="pct"/>
            <w:vAlign w:val="center"/>
          </w:tcPr>
          <w:p>
            <w:pPr>
              <w:pStyle w:val="47"/>
              <w:spacing w:line="240" w:lineRule="auto"/>
              <w:rPr>
                <w:color w:val="auto"/>
              </w:rPr>
            </w:pPr>
            <w:r>
              <w:rPr>
                <w:rFonts w:hint="eastAsia"/>
                <w:color w:val="auto"/>
              </w:rPr>
              <w:t xml:space="preserve">0.0017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砷</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7.18</w:t>
            </w:r>
          </w:p>
        </w:tc>
        <w:tc>
          <w:tcPr>
            <w:tcW w:w="1071" w:type="pct"/>
            <w:vAlign w:val="center"/>
          </w:tcPr>
          <w:p>
            <w:pPr>
              <w:pStyle w:val="47"/>
              <w:spacing w:line="240" w:lineRule="auto"/>
              <w:rPr>
                <w:color w:val="auto"/>
              </w:rPr>
            </w:pPr>
            <w:r>
              <w:rPr>
                <w:rFonts w:hint="eastAsia"/>
                <w:color w:val="auto"/>
              </w:rPr>
              <w:t>60</w:t>
            </w:r>
          </w:p>
        </w:tc>
        <w:tc>
          <w:tcPr>
            <w:tcW w:w="842" w:type="pct"/>
            <w:vAlign w:val="center"/>
          </w:tcPr>
          <w:p>
            <w:pPr>
              <w:pStyle w:val="47"/>
              <w:spacing w:line="240" w:lineRule="auto"/>
              <w:rPr>
                <w:color w:val="auto"/>
              </w:rPr>
            </w:pPr>
            <w:r>
              <w:rPr>
                <w:rFonts w:hint="eastAsia"/>
                <w:color w:val="auto"/>
              </w:rPr>
              <w:t xml:space="preserve">0.1197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镉</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0.08</w:t>
            </w:r>
          </w:p>
        </w:tc>
        <w:tc>
          <w:tcPr>
            <w:tcW w:w="1071" w:type="pct"/>
            <w:vAlign w:val="center"/>
          </w:tcPr>
          <w:p>
            <w:pPr>
              <w:pStyle w:val="47"/>
              <w:spacing w:line="240" w:lineRule="auto"/>
              <w:rPr>
                <w:color w:val="auto"/>
              </w:rPr>
            </w:pPr>
            <w:r>
              <w:rPr>
                <w:rFonts w:hint="eastAsia"/>
                <w:color w:val="auto"/>
              </w:rPr>
              <w:t>65</w:t>
            </w:r>
          </w:p>
        </w:tc>
        <w:tc>
          <w:tcPr>
            <w:tcW w:w="842" w:type="pct"/>
            <w:vAlign w:val="center"/>
          </w:tcPr>
          <w:p>
            <w:pPr>
              <w:pStyle w:val="47"/>
              <w:spacing w:line="240" w:lineRule="auto"/>
              <w:rPr>
                <w:color w:val="auto"/>
              </w:rPr>
            </w:pPr>
            <w:r>
              <w:rPr>
                <w:rFonts w:hint="eastAsia"/>
                <w:color w:val="auto"/>
              </w:rPr>
              <w:t xml:space="preserve">0.0012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铅</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10</w:t>
            </w:r>
          </w:p>
        </w:tc>
        <w:tc>
          <w:tcPr>
            <w:tcW w:w="1071" w:type="pct"/>
            <w:vAlign w:val="center"/>
          </w:tcPr>
          <w:p>
            <w:pPr>
              <w:pStyle w:val="47"/>
              <w:spacing w:line="240" w:lineRule="auto"/>
              <w:rPr>
                <w:color w:val="auto"/>
              </w:rPr>
            </w:pPr>
            <w:r>
              <w:rPr>
                <w:rFonts w:hint="eastAsia"/>
                <w:color w:val="auto"/>
              </w:rPr>
              <w:t>800</w:t>
            </w:r>
          </w:p>
        </w:tc>
        <w:tc>
          <w:tcPr>
            <w:tcW w:w="842" w:type="pct"/>
            <w:vAlign w:val="center"/>
          </w:tcPr>
          <w:p>
            <w:pPr>
              <w:pStyle w:val="47"/>
              <w:spacing w:line="240" w:lineRule="auto"/>
              <w:rPr>
                <w:color w:val="auto"/>
              </w:rPr>
            </w:pPr>
            <w:r>
              <w:rPr>
                <w:rFonts w:hint="eastAsia"/>
                <w:color w:val="auto"/>
              </w:rPr>
              <w:t xml:space="preserve">0.0125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铜</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10.9</w:t>
            </w:r>
          </w:p>
        </w:tc>
        <w:tc>
          <w:tcPr>
            <w:tcW w:w="1071" w:type="pct"/>
            <w:vAlign w:val="center"/>
          </w:tcPr>
          <w:p>
            <w:pPr>
              <w:pStyle w:val="47"/>
              <w:spacing w:line="240" w:lineRule="auto"/>
              <w:rPr>
                <w:color w:val="auto"/>
              </w:rPr>
            </w:pPr>
            <w:r>
              <w:rPr>
                <w:rFonts w:hint="eastAsia"/>
                <w:color w:val="auto"/>
              </w:rPr>
              <w:t>18000</w:t>
            </w:r>
          </w:p>
        </w:tc>
        <w:tc>
          <w:tcPr>
            <w:tcW w:w="842" w:type="pct"/>
            <w:vAlign w:val="center"/>
          </w:tcPr>
          <w:p>
            <w:pPr>
              <w:pStyle w:val="47"/>
              <w:spacing w:line="240" w:lineRule="auto"/>
              <w:rPr>
                <w:color w:val="auto"/>
              </w:rPr>
            </w:pPr>
            <w:r>
              <w:rPr>
                <w:rFonts w:hint="eastAsia"/>
                <w:color w:val="auto"/>
              </w:rPr>
              <w:t xml:space="preserve">0.0006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镍</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12.2</w:t>
            </w:r>
          </w:p>
        </w:tc>
        <w:tc>
          <w:tcPr>
            <w:tcW w:w="1071" w:type="pct"/>
            <w:vAlign w:val="center"/>
          </w:tcPr>
          <w:p>
            <w:pPr>
              <w:pStyle w:val="47"/>
              <w:spacing w:line="240" w:lineRule="auto"/>
              <w:rPr>
                <w:color w:val="auto"/>
              </w:rPr>
            </w:pPr>
            <w:r>
              <w:rPr>
                <w:rFonts w:hint="eastAsia"/>
                <w:color w:val="auto"/>
              </w:rPr>
              <w:t>900</w:t>
            </w:r>
          </w:p>
        </w:tc>
        <w:tc>
          <w:tcPr>
            <w:tcW w:w="842" w:type="pct"/>
            <w:vAlign w:val="center"/>
          </w:tcPr>
          <w:p>
            <w:pPr>
              <w:pStyle w:val="47"/>
              <w:spacing w:line="240" w:lineRule="auto"/>
              <w:rPr>
                <w:color w:val="auto"/>
              </w:rPr>
            </w:pPr>
            <w:r>
              <w:rPr>
                <w:rFonts w:hint="eastAsia"/>
                <w:color w:val="auto"/>
              </w:rPr>
              <w:t xml:space="preserve">0.0136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石油烃(C10-C40)</w:t>
            </w:r>
          </w:p>
        </w:tc>
        <w:tc>
          <w:tcPr>
            <w:tcW w:w="828" w:type="pct"/>
            <w:vAlign w:val="center"/>
          </w:tcPr>
          <w:p>
            <w:pPr>
              <w:pStyle w:val="47"/>
              <w:spacing w:line="240" w:lineRule="auto"/>
              <w:rPr>
                <w:color w:val="auto"/>
              </w:rPr>
            </w:pPr>
            <w:r>
              <w:rPr>
                <w:rFonts w:eastAsia="华文仿宋"/>
                <w:color w:val="auto"/>
                <w:kern w:val="0"/>
                <w:szCs w:val="21"/>
                <w:lang w:bidi="ar"/>
              </w:rPr>
              <w:t>mg/kg</w:t>
            </w:r>
          </w:p>
        </w:tc>
        <w:tc>
          <w:tcPr>
            <w:tcW w:w="915" w:type="pct"/>
            <w:vAlign w:val="center"/>
          </w:tcPr>
          <w:p>
            <w:pPr>
              <w:spacing w:line="240" w:lineRule="auto"/>
              <w:ind w:firstLine="0" w:firstLineChars="0"/>
              <w:jc w:val="center"/>
              <w:rPr>
                <w:color w:val="auto"/>
                <w:sz w:val="21"/>
                <w:szCs w:val="21"/>
              </w:rPr>
            </w:pPr>
            <w:r>
              <w:rPr>
                <w:rFonts w:hint="eastAsia"/>
                <w:color w:val="auto"/>
                <w:sz w:val="21"/>
                <w:szCs w:val="21"/>
              </w:rPr>
              <w:t>27</w:t>
            </w:r>
          </w:p>
        </w:tc>
        <w:tc>
          <w:tcPr>
            <w:tcW w:w="1071" w:type="pct"/>
            <w:vAlign w:val="center"/>
          </w:tcPr>
          <w:p>
            <w:pPr>
              <w:pStyle w:val="47"/>
              <w:spacing w:line="240" w:lineRule="auto"/>
              <w:rPr>
                <w:color w:val="auto"/>
              </w:rPr>
            </w:pPr>
            <w:r>
              <w:rPr>
                <w:rFonts w:hint="eastAsia"/>
                <w:color w:val="auto"/>
              </w:rPr>
              <w:t>4500</w:t>
            </w:r>
          </w:p>
        </w:tc>
        <w:tc>
          <w:tcPr>
            <w:tcW w:w="842" w:type="pct"/>
            <w:vAlign w:val="center"/>
          </w:tcPr>
          <w:p>
            <w:pPr>
              <w:pStyle w:val="47"/>
              <w:spacing w:line="240" w:lineRule="auto"/>
              <w:rPr>
                <w:color w:val="auto"/>
              </w:rPr>
            </w:pPr>
            <w:r>
              <w:rPr>
                <w:rFonts w:hint="eastAsia"/>
                <w:color w:val="auto"/>
              </w:rPr>
              <w:t xml:space="preserve">0.0060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restart"/>
            <w:vAlign w:val="center"/>
          </w:tcPr>
          <w:p>
            <w:pPr>
              <w:pStyle w:val="47"/>
              <w:spacing w:line="240" w:lineRule="auto"/>
              <w:rPr>
                <w:color w:val="auto"/>
              </w:rPr>
            </w:pPr>
            <w:r>
              <w:rPr>
                <w:rFonts w:hint="eastAsia"/>
                <w:color w:val="auto"/>
              </w:rPr>
              <w:t>6#</w:t>
            </w:r>
          </w:p>
        </w:tc>
        <w:tc>
          <w:tcPr>
            <w:tcW w:w="585" w:type="pct"/>
            <w:vAlign w:val="center"/>
          </w:tcPr>
          <w:p>
            <w:pPr>
              <w:pStyle w:val="47"/>
              <w:spacing w:line="240" w:lineRule="auto"/>
              <w:rPr>
                <w:color w:val="auto"/>
              </w:rPr>
            </w:pPr>
            <w:r>
              <w:rPr>
                <w:color w:val="auto"/>
              </w:rPr>
              <w:t>汞</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0.058</w:t>
            </w:r>
          </w:p>
        </w:tc>
        <w:tc>
          <w:tcPr>
            <w:tcW w:w="1071" w:type="pct"/>
            <w:vAlign w:val="center"/>
          </w:tcPr>
          <w:p>
            <w:pPr>
              <w:pStyle w:val="47"/>
              <w:spacing w:line="240" w:lineRule="auto"/>
              <w:rPr>
                <w:color w:val="auto"/>
              </w:rPr>
            </w:pPr>
            <w:r>
              <w:rPr>
                <w:rFonts w:hint="eastAsia"/>
                <w:color w:val="auto"/>
              </w:rPr>
              <w:t>3.4</w:t>
            </w:r>
          </w:p>
        </w:tc>
        <w:tc>
          <w:tcPr>
            <w:tcW w:w="842" w:type="pct"/>
            <w:vAlign w:val="center"/>
          </w:tcPr>
          <w:p>
            <w:pPr>
              <w:pStyle w:val="47"/>
              <w:spacing w:line="240" w:lineRule="auto"/>
              <w:rPr>
                <w:color w:val="auto"/>
              </w:rPr>
            </w:pPr>
            <w:r>
              <w:rPr>
                <w:rFonts w:hint="eastAsia"/>
                <w:color w:val="auto"/>
              </w:rPr>
              <w:t xml:space="preserve">0.0171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砷</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7.46</w:t>
            </w:r>
          </w:p>
        </w:tc>
        <w:tc>
          <w:tcPr>
            <w:tcW w:w="1071" w:type="pct"/>
            <w:vAlign w:val="center"/>
          </w:tcPr>
          <w:p>
            <w:pPr>
              <w:pStyle w:val="47"/>
              <w:spacing w:line="240" w:lineRule="auto"/>
              <w:rPr>
                <w:color w:val="auto"/>
              </w:rPr>
            </w:pPr>
            <w:r>
              <w:rPr>
                <w:rFonts w:hint="eastAsia"/>
                <w:color w:val="auto"/>
              </w:rPr>
              <w:t>25</w:t>
            </w:r>
          </w:p>
        </w:tc>
        <w:tc>
          <w:tcPr>
            <w:tcW w:w="842" w:type="pct"/>
            <w:vAlign w:val="center"/>
          </w:tcPr>
          <w:p>
            <w:pPr>
              <w:pStyle w:val="47"/>
              <w:spacing w:line="240" w:lineRule="auto"/>
              <w:rPr>
                <w:color w:val="auto"/>
              </w:rPr>
            </w:pPr>
            <w:r>
              <w:rPr>
                <w:rFonts w:hint="eastAsia"/>
                <w:color w:val="auto"/>
              </w:rPr>
              <w:t xml:space="preserve">0.2984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镉</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0.08</w:t>
            </w:r>
          </w:p>
        </w:tc>
        <w:tc>
          <w:tcPr>
            <w:tcW w:w="1071" w:type="pct"/>
            <w:vAlign w:val="center"/>
          </w:tcPr>
          <w:p>
            <w:pPr>
              <w:pStyle w:val="47"/>
              <w:spacing w:line="240" w:lineRule="auto"/>
              <w:rPr>
                <w:color w:val="auto"/>
              </w:rPr>
            </w:pPr>
            <w:r>
              <w:rPr>
                <w:rFonts w:hint="eastAsia"/>
                <w:color w:val="auto"/>
              </w:rPr>
              <w:t>0.6</w:t>
            </w:r>
          </w:p>
        </w:tc>
        <w:tc>
          <w:tcPr>
            <w:tcW w:w="842" w:type="pct"/>
            <w:vAlign w:val="center"/>
          </w:tcPr>
          <w:p>
            <w:pPr>
              <w:pStyle w:val="47"/>
              <w:spacing w:line="240" w:lineRule="auto"/>
              <w:rPr>
                <w:color w:val="auto"/>
              </w:rPr>
            </w:pPr>
            <w:r>
              <w:rPr>
                <w:rFonts w:hint="eastAsia"/>
                <w:color w:val="auto"/>
              </w:rPr>
              <w:t xml:space="preserve">0.1333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铅</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12.6</w:t>
            </w:r>
          </w:p>
        </w:tc>
        <w:tc>
          <w:tcPr>
            <w:tcW w:w="1071" w:type="pct"/>
            <w:vAlign w:val="center"/>
          </w:tcPr>
          <w:p>
            <w:pPr>
              <w:pStyle w:val="47"/>
              <w:spacing w:line="240" w:lineRule="auto"/>
              <w:rPr>
                <w:color w:val="auto"/>
              </w:rPr>
            </w:pPr>
            <w:r>
              <w:rPr>
                <w:rFonts w:hint="eastAsia"/>
                <w:color w:val="auto"/>
              </w:rPr>
              <w:t>170</w:t>
            </w:r>
          </w:p>
        </w:tc>
        <w:tc>
          <w:tcPr>
            <w:tcW w:w="842" w:type="pct"/>
            <w:vAlign w:val="center"/>
          </w:tcPr>
          <w:p>
            <w:pPr>
              <w:pStyle w:val="47"/>
              <w:spacing w:line="240" w:lineRule="auto"/>
              <w:rPr>
                <w:color w:val="auto"/>
              </w:rPr>
            </w:pPr>
            <w:r>
              <w:rPr>
                <w:rFonts w:hint="eastAsia"/>
                <w:color w:val="auto"/>
              </w:rPr>
              <w:t xml:space="preserve">0.0741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铬</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29.3</w:t>
            </w:r>
          </w:p>
        </w:tc>
        <w:tc>
          <w:tcPr>
            <w:tcW w:w="1071" w:type="pct"/>
            <w:vAlign w:val="center"/>
          </w:tcPr>
          <w:p>
            <w:pPr>
              <w:pStyle w:val="47"/>
              <w:spacing w:line="240" w:lineRule="auto"/>
              <w:rPr>
                <w:color w:val="auto"/>
              </w:rPr>
            </w:pPr>
            <w:r>
              <w:rPr>
                <w:rFonts w:hint="eastAsia"/>
                <w:color w:val="auto"/>
              </w:rPr>
              <w:t>250</w:t>
            </w:r>
          </w:p>
        </w:tc>
        <w:tc>
          <w:tcPr>
            <w:tcW w:w="842" w:type="pct"/>
            <w:vAlign w:val="center"/>
          </w:tcPr>
          <w:p>
            <w:pPr>
              <w:pStyle w:val="47"/>
              <w:spacing w:line="240" w:lineRule="auto"/>
              <w:rPr>
                <w:color w:val="auto"/>
              </w:rPr>
            </w:pPr>
            <w:r>
              <w:rPr>
                <w:rFonts w:hint="eastAsia"/>
                <w:color w:val="auto"/>
              </w:rPr>
              <w:t xml:space="preserve">0.1172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铜</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11</w:t>
            </w:r>
          </w:p>
        </w:tc>
        <w:tc>
          <w:tcPr>
            <w:tcW w:w="1071" w:type="pct"/>
            <w:vAlign w:val="center"/>
          </w:tcPr>
          <w:p>
            <w:pPr>
              <w:pStyle w:val="47"/>
              <w:spacing w:line="240" w:lineRule="auto"/>
              <w:rPr>
                <w:color w:val="auto"/>
              </w:rPr>
            </w:pPr>
            <w:r>
              <w:rPr>
                <w:rFonts w:hint="eastAsia"/>
                <w:color w:val="auto"/>
              </w:rPr>
              <w:t>100</w:t>
            </w:r>
          </w:p>
        </w:tc>
        <w:tc>
          <w:tcPr>
            <w:tcW w:w="842" w:type="pct"/>
            <w:vAlign w:val="center"/>
          </w:tcPr>
          <w:p>
            <w:pPr>
              <w:pStyle w:val="47"/>
              <w:spacing w:line="240" w:lineRule="auto"/>
              <w:rPr>
                <w:color w:val="auto"/>
              </w:rPr>
            </w:pPr>
            <w:r>
              <w:rPr>
                <w:rFonts w:hint="eastAsia"/>
                <w:color w:val="auto"/>
              </w:rPr>
              <w:t xml:space="preserve">0.1100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镍</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13.9</w:t>
            </w:r>
          </w:p>
        </w:tc>
        <w:tc>
          <w:tcPr>
            <w:tcW w:w="1071" w:type="pct"/>
            <w:vAlign w:val="center"/>
          </w:tcPr>
          <w:p>
            <w:pPr>
              <w:pStyle w:val="47"/>
              <w:spacing w:line="240" w:lineRule="auto"/>
              <w:rPr>
                <w:color w:val="auto"/>
              </w:rPr>
            </w:pPr>
            <w:r>
              <w:rPr>
                <w:rFonts w:hint="eastAsia"/>
                <w:color w:val="auto"/>
              </w:rPr>
              <w:t>190</w:t>
            </w:r>
          </w:p>
        </w:tc>
        <w:tc>
          <w:tcPr>
            <w:tcW w:w="842" w:type="pct"/>
            <w:vAlign w:val="center"/>
          </w:tcPr>
          <w:p>
            <w:pPr>
              <w:pStyle w:val="47"/>
              <w:spacing w:line="240" w:lineRule="auto"/>
              <w:rPr>
                <w:color w:val="auto"/>
              </w:rPr>
            </w:pPr>
            <w:r>
              <w:rPr>
                <w:rFonts w:hint="eastAsia"/>
                <w:color w:val="auto"/>
              </w:rPr>
              <w:t xml:space="preserve">0.0732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pStyle w:val="47"/>
              <w:spacing w:line="240" w:lineRule="auto"/>
              <w:rPr>
                <w:color w:val="auto"/>
              </w:rPr>
            </w:pPr>
            <w:r>
              <w:rPr>
                <w:color w:val="auto"/>
              </w:rPr>
              <w:t>锌</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snapToGrid w:val="0"/>
              <w:spacing w:line="312" w:lineRule="exact"/>
              <w:ind w:firstLine="0" w:firstLineChars="0"/>
              <w:jc w:val="center"/>
              <w:textAlignment w:val="center"/>
              <w:rPr>
                <w:color w:val="auto"/>
                <w:sz w:val="21"/>
                <w:szCs w:val="21"/>
              </w:rPr>
            </w:pPr>
            <w:r>
              <w:rPr>
                <w:rFonts w:eastAsia="华文仿宋"/>
                <w:color w:val="auto"/>
                <w:kern w:val="0"/>
                <w:sz w:val="21"/>
                <w:szCs w:val="21"/>
                <w:lang w:bidi="ar"/>
              </w:rPr>
              <w:t>31</w:t>
            </w:r>
          </w:p>
        </w:tc>
        <w:tc>
          <w:tcPr>
            <w:tcW w:w="1071" w:type="pct"/>
            <w:vAlign w:val="center"/>
          </w:tcPr>
          <w:p>
            <w:pPr>
              <w:pStyle w:val="47"/>
              <w:spacing w:line="240" w:lineRule="auto"/>
              <w:rPr>
                <w:color w:val="auto"/>
              </w:rPr>
            </w:pPr>
            <w:r>
              <w:rPr>
                <w:rFonts w:hint="eastAsia"/>
                <w:color w:val="auto"/>
              </w:rPr>
              <w:t>300</w:t>
            </w:r>
          </w:p>
        </w:tc>
        <w:tc>
          <w:tcPr>
            <w:tcW w:w="842" w:type="pct"/>
            <w:vAlign w:val="center"/>
          </w:tcPr>
          <w:p>
            <w:pPr>
              <w:pStyle w:val="47"/>
              <w:spacing w:line="240" w:lineRule="auto"/>
              <w:rPr>
                <w:color w:val="auto"/>
              </w:rPr>
            </w:pPr>
            <w:r>
              <w:rPr>
                <w:rFonts w:hint="eastAsia"/>
                <w:color w:val="auto"/>
              </w:rPr>
              <w:t xml:space="preserve">0.1033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restart"/>
            <w:vAlign w:val="center"/>
          </w:tcPr>
          <w:p>
            <w:pPr>
              <w:pStyle w:val="47"/>
              <w:spacing w:line="240" w:lineRule="auto"/>
              <w:rPr>
                <w:rFonts w:hint="default" w:eastAsia="宋体"/>
                <w:color w:val="auto"/>
                <w:lang w:val="en-US" w:eastAsia="zh-CN"/>
              </w:rPr>
            </w:pPr>
            <w:r>
              <w:rPr>
                <w:rFonts w:hint="eastAsia"/>
                <w:color w:val="auto"/>
                <w:lang w:val="en-US" w:eastAsia="zh-CN"/>
              </w:rPr>
              <w:t>7#</w:t>
            </w:r>
          </w:p>
        </w:tc>
        <w:tc>
          <w:tcPr>
            <w:tcW w:w="585"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汞</w:t>
            </w:r>
          </w:p>
        </w:tc>
        <w:tc>
          <w:tcPr>
            <w:tcW w:w="1445" w:type="dxa"/>
            <w:vAlign w:val="center"/>
          </w:tcPr>
          <w:p>
            <w:pPr>
              <w:pStyle w:val="47"/>
              <w:spacing w:line="240" w:lineRule="auto"/>
              <w:ind w:firstLine="0" w:firstLineChars="0"/>
              <w:rPr>
                <w:color w:val="auto"/>
              </w:rPr>
            </w:pPr>
            <w:r>
              <w:rPr>
                <w:color w:val="auto"/>
              </w:rPr>
              <w:t>mg/kg</w:t>
            </w:r>
          </w:p>
        </w:tc>
        <w:tc>
          <w:tcPr>
            <w:tcW w:w="1596"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eastAsia="华文仿宋"/>
                <w:color w:val="auto"/>
                <w:kern w:val="0"/>
                <w:sz w:val="21"/>
                <w:szCs w:val="21"/>
                <w:lang w:bidi="ar"/>
              </w:rPr>
            </w:pPr>
            <w:r>
              <w:rPr>
                <w:rFonts w:hint="eastAsia" w:ascii="Times New Roman" w:hAnsi="Times New Roman" w:eastAsia="华文仿宋" w:cs="Times New Roman"/>
                <w:color w:val="auto"/>
                <w:kern w:val="2"/>
                <w:sz w:val="21"/>
                <w:szCs w:val="21"/>
                <w:lang w:val="en-US" w:eastAsia="zh-CN" w:bidi="ar-SA"/>
              </w:rPr>
              <w:t>0.064</w:t>
            </w:r>
          </w:p>
        </w:tc>
        <w:tc>
          <w:tcPr>
            <w:tcW w:w="1071" w:type="pct"/>
            <w:vAlign w:val="center"/>
          </w:tcPr>
          <w:p>
            <w:pPr>
              <w:pStyle w:val="47"/>
              <w:spacing w:line="240" w:lineRule="auto"/>
              <w:rPr>
                <w:rFonts w:hint="eastAsia" w:eastAsia="宋体"/>
                <w:color w:val="auto"/>
                <w:lang w:val="en-US" w:eastAsia="zh-CN"/>
              </w:rPr>
            </w:pPr>
            <w:r>
              <w:rPr>
                <w:rFonts w:hint="eastAsia"/>
                <w:color w:val="auto"/>
                <w:lang w:val="en-US" w:eastAsia="zh-CN"/>
              </w:rPr>
              <w:t>8</w:t>
            </w:r>
          </w:p>
        </w:tc>
        <w:tc>
          <w:tcPr>
            <w:tcW w:w="146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eastAsia" w:ascii="Times New Roman" w:hAnsi="Times New Roman" w:eastAsia="华文仿宋" w:cs="Times New Roman"/>
                <w:color w:val="auto"/>
                <w:kern w:val="2"/>
                <w:sz w:val="21"/>
                <w:szCs w:val="21"/>
                <w:lang w:val="en-US" w:eastAsia="zh-CN" w:bidi="ar-SA"/>
              </w:rPr>
            </w:pPr>
            <w:r>
              <w:rPr>
                <w:rFonts w:hint="eastAsia" w:ascii="Times New Roman" w:hAnsi="Times New Roman" w:eastAsia="华文仿宋" w:cs="Times New Roman"/>
                <w:color w:val="auto"/>
                <w:kern w:val="2"/>
                <w:sz w:val="21"/>
                <w:szCs w:val="21"/>
                <w:lang w:val="en-US" w:eastAsia="zh-CN" w:bidi="ar-SA"/>
              </w:rPr>
              <w:t xml:space="preserve">0.0080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砷</w:t>
            </w:r>
          </w:p>
        </w:tc>
        <w:tc>
          <w:tcPr>
            <w:tcW w:w="1445" w:type="dxa"/>
            <w:vAlign w:val="center"/>
          </w:tcPr>
          <w:p>
            <w:pPr>
              <w:pStyle w:val="47"/>
              <w:spacing w:line="240" w:lineRule="auto"/>
              <w:ind w:firstLine="0" w:firstLineChars="0"/>
              <w:rPr>
                <w:color w:val="auto"/>
              </w:rPr>
            </w:pPr>
            <w:r>
              <w:rPr>
                <w:color w:val="auto"/>
              </w:rPr>
              <w:t>mg/kg</w:t>
            </w:r>
          </w:p>
        </w:tc>
        <w:tc>
          <w:tcPr>
            <w:tcW w:w="1596"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eastAsia="华文仿宋"/>
                <w:color w:val="auto"/>
                <w:kern w:val="0"/>
                <w:sz w:val="21"/>
                <w:szCs w:val="21"/>
                <w:lang w:bidi="ar"/>
              </w:rPr>
            </w:pPr>
            <w:r>
              <w:rPr>
                <w:rFonts w:hint="eastAsia" w:ascii="Times New Roman" w:hAnsi="Times New Roman" w:eastAsia="华文仿宋" w:cs="Times New Roman"/>
                <w:color w:val="auto"/>
                <w:kern w:val="2"/>
                <w:sz w:val="21"/>
                <w:szCs w:val="21"/>
                <w:lang w:val="en-US" w:eastAsia="zh-CN" w:bidi="ar-SA"/>
              </w:rPr>
              <w:t>7.62</w:t>
            </w:r>
          </w:p>
        </w:tc>
        <w:tc>
          <w:tcPr>
            <w:tcW w:w="1071" w:type="pct"/>
            <w:vAlign w:val="center"/>
          </w:tcPr>
          <w:p>
            <w:pPr>
              <w:pStyle w:val="47"/>
              <w:spacing w:line="240" w:lineRule="auto"/>
              <w:rPr>
                <w:rFonts w:hint="default" w:eastAsia="宋体"/>
                <w:color w:val="auto"/>
                <w:lang w:val="en-US" w:eastAsia="zh-CN"/>
              </w:rPr>
            </w:pPr>
            <w:r>
              <w:rPr>
                <w:rFonts w:hint="eastAsia"/>
                <w:color w:val="auto"/>
                <w:lang w:val="en-US" w:eastAsia="zh-CN"/>
              </w:rPr>
              <w:t>20</w:t>
            </w:r>
          </w:p>
        </w:tc>
        <w:tc>
          <w:tcPr>
            <w:tcW w:w="146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eastAsia" w:ascii="Times New Roman" w:hAnsi="Times New Roman" w:eastAsia="华文仿宋" w:cs="Times New Roman"/>
                <w:color w:val="auto"/>
                <w:kern w:val="2"/>
                <w:sz w:val="21"/>
                <w:szCs w:val="21"/>
                <w:lang w:val="en-US" w:eastAsia="zh-CN" w:bidi="ar-SA"/>
              </w:rPr>
            </w:pPr>
            <w:r>
              <w:rPr>
                <w:rFonts w:hint="eastAsia" w:ascii="Times New Roman" w:hAnsi="Times New Roman" w:eastAsia="华文仿宋" w:cs="Times New Roman"/>
                <w:color w:val="auto"/>
                <w:kern w:val="2"/>
                <w:sz w:val="21"/>
                <w:szCs w:val="21"/>
                <w:lang w:val="en-US" w:eastAsia="zh-CN" w:bidi="ar-SA"/>
              </w:rPr>
              <w:t xml:space="preserve">0.3810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镉</w:t>
            </w:r>
          </w:p>
        </w:tc>
        <w:tc>
          <w:tcPr>
            <w:tcW w:w="1445" w:type="dxa"/>
            <w:vAlign w:val="center"/>
          </w:tcPr>
          <w:p>
            <w:pPr>
              <w:pStyle w:val="47"/>
              <w:spacing w:line="240" w:lineRule="auto"/>
              <w:ind w:firstLine="0" w:firstLineChars="0"/>
              <w:rPr>
                <w:color w:val="auto"/>
              </w:rPr>
            </w:pPr>
            <w:r>
              <w:rPr>
                <w:color w:val="auto"/>
              </w:rPr>
              <w:t>mg/kg</w:t>
            </w:r>
          </w:p>
        </w:tc>
        <w:tc>
          <w:tcPr>
            <w:tcW w:w="1596"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eastAsia="华文仿宋"/>
                <w:color w:val="auto"/>
                <w:kern w:val="0"/>
                <w:sz w:val="21"/>
                <w:szCs w:val="21"/>
                <w:lang w:bidi="ar"/>
              </w:rPr>
            </w:pPr>
            <w:r>
              <w:rPr>
                <w:rFonts w:hint="eastAsia" w:ascii="Times New Roman" w:hAnsi="Times New Roman" w:eastAsia="华文仿宋" w:cs="Times New Roman"/>
                <w:color w:val="auto"/>
                <w:kern w:val="2"/>
                <w:sz w:val="21"/>
                <w:szCs w:val="21"/>
                <w:lang w:val="en-US" w:eastAsia="zh-CN" w:bidi="ar-SA"/>
              </w:rPr>
              <w:t>0.18</w:t>
            </w:r>
          </w:p>
        </w:tc>
        <w:tc>
          <w:tcPr>
            <w:tcW w:w="1071" w:type="pct"/>
            <w:vAlign w:val="center"/>
          </w:tcPr>
          <w:p>
            <w:pPr>
              <w:pStyle w:val="47"/>
              <w:spacing w:line="240" w:lineRule="auto"/>
              <w:rPr>
                <w:rFonts w:hint="default" w:eastAsia="宋体"/>
                <w:color w:val="auto"/>
                <w:lang w:val="en-US" w:eastAsia="zh-CN"/>
              </w:rPr>
            </w:pPr>
            <w:r>
              <w:rPr>
                <w:rFonts w:hint="eastAsia"/>
                <w:color w:val="auto"/>
                <w:lang w:val="en-US" w:eastAsia="zh-CN"/>
              </w:rPr>
              <w:t>20</w:t>
            </w:r>
          </w:p>
        </w:tc>
        <w:tc>
          <w:tcPr>
            <w:tcW w:w="146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eastAsia" w:ascii="Times New Roman" w:hAnsi="Times New Roman" w:eastAsia="华文仿宋" w:cs="Times New Roman"/>
                <w:color w:val="auto"/>
                <w:kern w:val="2"/>
                <w:sz w:val="21"/>
                <w:szCs w:val="21"/>
                <w:lang w:val="en-US" w:eastAsia="zh-CN" w:bidi="ar-SA"/>
              </w:rPr>
            </w:pPr>
            <w:r>
              <w:rPr>
                <w:rFonts w:hint="eastAsia" w:ascii="Times New Roman" w:hAnsi="Times New Roman" w:eastAsia="华文仿宋" w:cs="Times New Roman"/>
                <w:color w:val="auto"/>
                <w:kern w:val="2"/>
                <w:sz w:val="21"/>
                <w:szCs w:val="21"/>
                <w:lang w:val="en-US" w:eastAsia="zh-CN" w:bidi="ar-SA"/>
              </w:rPr>
              <w:t xml:space="preserve">0.0090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color w:val="auto"/>
              </w:rPr>
            </w:pPr>
          </w:p>
        </w:tc>
        <w:tc>
          <w:tcPr>
            <w:tcW w:w="585"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铜</w:t>
            </w:r>
          </w:p>
        </w:tc>
        <w:tc>
          <w:tcPr>
            <w:tcW w:w="1445" w:type="dxa"/>
            <w:vAlign w:val="center"/>
          </w:tcPr>
          <w:p>
            <w:pPr>
              <w:pStyle w:val="47"/>
              <w:spacing w:line="240" w:lineRule="auto"/>
              <w:ind w:firstLine="0" w:firstLineChars="0"/>
              <w:rPr>
                <w:color w:val="auto"/>
              </w:rPr>
            </w:pPr>
            <w:r>
              <w:rPr>
                <w:color w:val="auto"/>
              </w:rPr>
              <w:t>mg/kg</w:t>
            </w:r>
          </w:p>
        </w:tc>
        <w:tc>
          <w:tcPr>
            <w:tcW w:w="1596"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eastAsia="华文仿宋"/>
                <w:color w:val="auto"/>
                <w:kern w:val="0"/>
                <w:sz w:val="21"/>
                <w:szCs w:val="21"/>
                <w:lang w:bidi="ar"/>
              </w:rPr>
            </w:pPr>
            <w:r>
              <w:rPr>
                <w:rFonts w:hint="eastAsia" w:ascii="Times New Roman" w:hAnsi="Times New Roman" w:eastAsia="华文仿宋" w:cs="Times New Roman"/>
                <w:color w:val="auto"/>
                <w:kern w:val="2"/>
                <w:sz w:val="21"/>
                <w:szCs w:val="21"/>
                <w:lang w:val="en-US" w:eastAsia="zh-CN" w:bidi="ar-SA"/>
              </w:rPr>
              <w:t>19.2</w:t>
            </w:r>
          </w:p>
        </w:tc>
        <w:tc>
          <w:tcPr>
            <w:tcW w:w="1071" w:type="pct"/>
            <w:vAlign w:val="center"/>
          </w:tcPr>
          <w:p>
            <w:pPr>
              <w:pStyle w:val="47"/>
              <w:spacing w:line="240" w:lineRule="auto"/>
              <w:rPr>
                <w:rFonts w:hint="default" w:eastAsia="宋体"/>
                <w:color w:val="auto"/>
                <w:lang w:val="en-US" w:eastAsia="zh-CN"/>
              </w:rPr>
            </w:pPr>
            <w:r>
              <w:rPr>
                <w:rFonts w:hint="eastAsia"/>
                <w:color w:val="auto"/>
                <w:lang w:val="en-US" w:eastAsia="zh-CN"/>
              </w:rPr>
              <w:t>2000</w:t>
            </w:r>
          </w:p>
        </w:tc>
        <w:tc>
          <w:tcPr>
            <w:tcW w:w="146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eastAsia" w:ascii="Times New Roman" w:hAnsi="Times New Roman" w:eastAsia="华文仿宋" w:cs="Times New Roman"/>
                <w:color w:val="auto"/>
                <w:kern w:val="2"/>
                <w:sz w:val="21"/>
                <w:szCs w:val="21"/>
                <w:lang w:val="en-US" w:eastAsia="zh-CN" w:bidi="ar-SA"/>
              </w:rPr>
            </w:pPr>
            <w:r>
              <w:rPr>
                <w:rFonts w:hint="eastAsia" w:ascii="Times New Roman" w:hAnsi="Times New Roman" w:eastAsia="华文仿宋" w:cs="Times New Roman"/>
                <w:color w:val="auto"/>
                <w:kern w:val="2"/>
                <w:sz w:val="21"/>
                <w:szCs w:val="21"/>
                <w:lang w:val="en-US" w:eastAsia="zh-CN" w:bidi="ar-SA"/>
              </w:rPr>
              <w:t xml:space="preserve">0.0096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rFonts w:hint="default" w:eastAsia="宋体"/>
                <w:color w:val="auto"/>
                <w:lang w:val="en-US" w:eastAsia="zh-CN"/>
              </w:rPr>
            </w:pPr>
          </w:p>
        </w:tc>
        <w:tc>
          <w:tcPr>
            <w:tcW w:w="585"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铅</w:t>
            </w:r>
          </w:p>
        </w:tc>
        <w:tc>
          <w:tcPr>
            <w:tcW w:w="1445" w:type="dxa"/>
            <w:vAlign w:val="center"/>
          </w:tcPr>
          <w:p>
            <w:pPr>
              <w:pStyle w:val="47"/>
              <w:spacing w:line="240" w:lineRule="auto"/>
              <w:ind w:firstLine="0" w:firstLineChars="0"/>
              <w:rPr>
                <w:color w:val="auto"/>
              </w:rPr>
            </w:pPr>
            <w:r>
              <w:rPr>
                <w:color w:val="auto"/>
              </w:rPr>
              <w:t>mg/kg</w:t>
            </w:r>
          </w:p>
        </w:tc>
        <w:tc>
          <w:tcPr>
            <w:tcW w:w="1596"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eastAsia="华文仿宋"/>
                <w:color w:val="auto"/>
                <w:kern w:val="0"/>
                <w:sz w:val="21"/>
                <w:szCs w:val="21"/>
                <w:lang w:bidi="ar"/>
              </w:rPr>
            </w:pPr>
            <w:r>
              <w:rPr>
                <w:rFonts w:hint="eastAsia" w:ascii="Times New Roman" w:hAnsi="Times New Roman" w:eastAsia="华文仿宋" w:cs="Times New Roman"/>
                <w:color w:val="auto"/>
                <w:kern w:val="2"/>
                <w:sz w:val="21"/>
                <w:szCs w:val="21"/>
                <w:lang w:val="en-US" w:eastAsia="zh-CN" w:bidi="ar-SA"/>
              </w:rPr>
              <w:t>20.4</w:t>
            </w:r>
          </w:p>
        </w:tc>
        <w:tc>
          <w:tcPr>
            <w:tcW w:w="1071" w:type="pct"/>
            <w:vAlign w:val="center"/>
          </w:tcPr>
          <w:p>
            <w:pPr>
              <w:pStyle w:val="47"/>
              <w:spacing w:line="240" w:lineRule="auto"/>
              <w:rPr>
                <w:rFonts w:hint="default" w:eastAsia="宋体"/>
                <w:color w:val="auto"/>
                <w:lang w:val="en-US" w:eastAsia="zh-CN"/>
              </w:rPr>
            </w:pPr>
            <w:r>
              <w:rPr>
                <w:rFonts w:hint="eastAsia"/>
                <w:color w:val="auto"/>
                <w:lang w:val="en-US" w:eastAsia="zh-CN"/>
              </w:rPr>
              <w:t>400</w:t>
            </w:r>
          </w:p>
        </w:tc>
        <w:tc>
          <w:tcPr>
            <w:tcW w:w="146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eastAsia" w:ascii="Times New Roman" w:hAnsi="Times New Roman" w:eastAsia="华文仿宋" w:cs="Times New Roman"/>
                <w:color w:val="auto"/>
                <w:kern w:val="2"/>
                <w:sz w:val="21"/>
                <w:szCs w:val="21"/>
                <w:lang w:val="en-US" w:eastAsia="zh-CN" w:bidi="ar-SA"/>
              </w:rPr>
            </w:pPr>
            <w:r>
              <w:rPr>
                <w:rFonts w:hint="eastAsia" w:ascii="Times New Roman" w:hAnsi="Times New Roman" w:eastAsia="华文仿宋" w:cs="Times New Roman"/>
                <w:color w:val="auto"/>
                <w:kern w:val="2"/>
                <w:sz w:val="21"/>
                <w:szCs w:val="21"/>
                <w:lang w:val="en-US" w:eastAsia="zh-CN" w:bidi="ar-SA"/>
              </w:rPr>
              <w:t xml:space="preserve">0.0510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rFonts w:hint="eastAsia"/>
                <w:color w:val="auto"/>
                <w:lang w:val="en-US" w:eastAsia="zh-CN"/>
              </w:rPr>
            </w:pPr>
          </w:p>
        </w:tc>
        <w:tc>
          <w:tcPr>
            <w:tcW w:w="585"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镍</w:t>
            </w:r>
          </w:p>
        </w:tc>
        <w:tc>
          <w:tcPr>
            <w:tcW w:w="1445" w:type="dxa"/>
            <w:vAlign w:val="center"/>
          </w:tcPr>
          <w:p>
            <w:pPr>
              <w:pStyle w:val="47"/>
              <w:spacing w:line="240" w:lineRule="auto"/>
              <w:ind w:firstLine="0" w:firstLineChars="0"/>
              <w:rPr>
                <w:color w:val="auto"/>
              </w:rPr>
            </w:pPr>
            <w:r>
              <w:rPr>
                <w:color w:val="auto"/>
              </w:rPr>
              <w:t>mg/kg</w:t>
            </w:r>
          </w:p>
        </w:tc>
        <w:tc>
          <w:tcPr>
            <w:tcW w:w="1596"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eastAsia="华文仿宋"/>
                <w:color w:val="auto"/>
                <w:kern w:val="0"/>
                <w:sz w:val="21"/>
                <w:szCs w:val="21"/>
                <w:lang w:bidi="ar"/>
              </w:rPr>
            </w:pPr>
            <w:r>
              <w:rPr>
                <w:rFonts w:hint="eastAsia" w:ascii="Times New Roman" w:hAnsi="Times New Roman" w:eastAsia="华文仿宋" w:cs="Times New Roman"/>
                <w:color w:val="auto"/>
                <w:kern w:val="2"/>
                <w:sz w:val="21"/>
                <w:szCs w:val="21"/>
                <w:lang w:val="en-US" w:eastAsia="zh-CN" w:bidi="ar-SA"/>
              </w:rPr>
              <w:t>20.2</w:t>
            </w:r>
          </w:p>
        </w:tc>
        <w:tc>
          <w:tcPr>
            <w:tcW w:w="1071" w:type="pct"/>
            <w:vAlign w:val="center"/>
          </w:tcPr>
          <w:p>
            <w:pPr>
              <w:pStyle w:val="47"/>
              <w:spacing w:line="240" w:lineRule="auto"/>
              <w:rPr>
                <w:rFonts w:hint="default" w:eastAsia="宋体"/>
                <w:color w:val="auto"/>
                <w:lang w:val="en-US" w:eastAsia="zh-CN"/>
              </w:rPr>
            </w:pPr>
            <w:r>
              <w:rPr>
                <w:rFonts w:hint="eastAsia"/>
                <w:color w:val="auto"/>
                <w:lang w:val="en-US" w:eastAsia="zh-CN"/>
              </w:rPr>
              <w:t>150</w:t>
            </w:r>
          </w:p>
        </w:tc>
        <w:tc>
          <w:tcPr>
            <w:tcW w:w="146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eastAsia" w:ascii="Times New Roman" w:hAnsi="Times New Roman" w:eastAsia="华文仿宋" w:cs="Times New Roman"/>
                <w:color w:val="auto"/>
                <w:kern w:val="2"/>
                <w:sz w:val="21"/>
                <w:szCs w:val="21"/>
                <w:lang w:val="en-US" w:eastAsia="zh-CN" w:bidi="ar-SA"/>
              </w:rPr>
            </w:pPr>
            <w:r>
              <w:rPr>
                <w:rFonts w:hint="eastAsia" w:ascii="Times New Roman" w:hAnsi="Times New Roman" w:eastAsia="华文仿宋" w:cs="Times New Roman"/>
                <w:color w:val="auto"/>
                <w:kern w:val="2"/>
                <w:sz w:val="21"/>
                <w:szCs w:val="21"/>
                <w:lang w:val="en-US" w:eastAsia="zh-CN" w:bidi="ar-SA"/>
              </w:rPr>
              <w:t xml:space="preserve">0.1347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rFonts w:hint="eastAsia"/>
                <w:color w:val="auto"/>
                <w:lang w:val="en-US" w:eastAsia="zh-CN"/>
              </w:rPr>
            </w:pPr>
          </w:p>
        </w:tc>
        <w:tc>
          <w:tcPr>
            <w:tcW w:w="585"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华文仿宋" w:cs="Times New Roman"/>
                <w:i w:val="0"/>
                <w:iCs w:val="0"/>
                <w:color w:val="auto"/>
                <w:kern w:val="0"/>
                <w:sz w:val="21"/>
                <w:szCs w:val="21"/>
                <w:u w:val="none"/>
                <w:lang w:val="en-US" w:eastAsia="zh-CN" w:bidi="ar"/>
              </w:rPr>
              <w:t>四氯乙烯</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snapToGrid w:val="0"/>
              <w:spacing w:line="312" w:lineRule="exact"/>
              <w:ind w:firstLine="0" w:firstLineChars="0"/>
              <w:jc w:val="center"/>
              <w:textAlignment w:val="center"/>
              <w:rPr>
                <w:rFonts w:hint="default" w:eastAsia="华文仿宋"/>
                <w:color w:val="auto"/>
                <w:kern w:val="0"/>
                <w:sz w:val="21"/>
                <w:szCs w:val="21"/>
                <w:lang w:val="en-US" w:eastAsia="zh-CN" w:bidi="ar"/>
              </w:rPr>
            </w:pPr>
            <w:r>
              <w:rPr>
                <w:rFonts w:hint="eastAsia" w:eastAsia="华文仿宋"/>
                <w:color w:val="auto"/>
                <w:kern w:val="0"/>
                <w:sz w:val="21"/>
                <w:szCs w:val="21"/>
                <w:lang w:val="en-US" w:eastAsia="zh-CN" w:bidi="ar"/>
              </w:rPr>
              <w:t>0.0162</w:t>
            </w:r>
          </w:p>
        </w:tc>
        <w:tc>
          <w:tcPr>
            <w:tcW w:w="1071" w:type="pct"/>
            <w:vAlign w:val="center"/>
          </w:tcPr>
          <w:p>
            <w:pPr>
              <w:pStyle w:val="47"/>
              <w:spacing w:line="240" w:lineRule="auto"/>
              <w:rPr>
                <w:rFonts w:hint="default" w:eastAsia="宋体"/>
                <w:color w:val="auto"/>
                <w:lang w:val="en-US" w:eastAsia="zh-CN"/>
              </w:rPr>
            </w:pPr>
            <w:r>
              <w:rPr>
                <w:rFonts w:hint="eastAsia"/>
                <w:color w:val="auto"/>
                <w:lang w:val="en-US" w:eastAsia="zh-CN"/>
              </w:rPr>
              <w:t>11</w:t>
            </w:r>
          </w:p>
        </w:tc>
        <w:tc>
          <w:tcPr>
            <w:tcW w:w="146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eastAsia" w:ascii="Times New Roman" w:hAnsi="Times New Roman" w:eastAsia="华文仿宋" w:cs="Times New Roman"/>
                <w:color w:val="auto"/>
                <w:kern w:val="2"/>
                <w:sz w:val="21"/>
                <w:szCs w:val="21"/>
                <w:lang w:val="en-US" w:eastAsia="zh-CN" w:bidi="ar-SA"/>
              </w:rPr>
            </w:pPr>
            <w:r>
              <w:rPr>
                <w:rFonts w:hint="eastAsia" w:ascii="Times New Roman" w:hAnsi="Times New Roman" w:eastAsia="华文仿宋" w:cs="Times New Roman"/>
                <w:color w:val="auto"/>
                <w:kern w:val="2"/>
                <w:sz w:val="21"/>
                <w:szCs w:val="21"/>
                <w:lang w:val="en-US" w:eastAsia="zh-CN" w:bidi="ar-SA"/>
              </w:rPr>
              <w:t xml:space="preserve">0.0015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4" w:hRule="atLeast"/>
        </w:trPr>
        <w:tc>
          <w:tcPr>
            <w:tcW w:w="756" w:type="pct"/>
            <w:vMerge w:val="continue"/>
            <w:vAlign w:val="center"/>
          </w:tcPr>
          <w:p>
            <w:pPr>
              <w:pStyle w:val="47"/>
              <w:spacing w:line="240" w:lineRule="auto"/>
              <w:rPr>
                <w:rFonts w:hint="eastAsia"/>
                <w:color w:val="auto"/>
                <w:lang w:val="en-US" w:eastAsia="zh-CN"/>
              </w:rPr>
            </w:pPr>
          </w:p>
        </w:tc>
        <w:tc>
          <w:tcPr>
            <w:tcW w:w="585"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default" w:ascii="Times New Roman" w:hAnsi="Times New Roman" w:eastAsia="华文仿宋" w:cs="Times New Roman"/>
                <w:i w:val="0"/>
                <w:iCs w:val="0"/>
                <w:color w:val="auto"/>
                <w:kern w:val="0"/>
                <w:sz w:val="21"/>
                <w:szCs w:val="21"/>
                <w:u w:val="none"/>
                <w:lang w:val="en-US" w:eastAsia="zh-CN" w:bidi="ar"/>
              </w:rPr>
            </w:pPr>
            <w:r>
              <w:rPr>
                <w:rFonts w:hint="default" w:ascii="Times New Roman" w:hAnsi="Times New Roman" w:eastAsia="华文仿宋" w:cs="Times New Roman"/>
                <w:i w:val="0"/>
                <w:iCs w:val="0"/>
                <w:color w:val="auto"/>
                <w:kern w:val="0"/>
                <w:sz w:val="21"/>
                <w:szCs w:val="21"/>
                <w:u w:val="none"/>
                <w:lang w:val="en-US" w:eastAsia="zh-CN" w:bidi="ar"/>
              </w:rPr>
              <w:t>石油烃C</w:t>
            </w:r>
            <w:r>
              <w:rPr>
                <w:rFonts w:hint="default" w:ascii="Times New Roman" w:hAnsi="Times New Roman" w:eastAsia="华文仿宋" w:cs="Times New Roman"/>
                <w:i w:val="0"/>
                <w:iCs w:val="0"/>
                <w:color w:val="auto"/>
                <w:kern w:val="0"/>
                <w:sz w:val="21"/>
                <w:szCs w:val="21"/>
                <w:u w:val="none"/>
                <w:vertAlign w:val="subscript"/>
                <w:lang w:val="en-US" w:eastAsia="zh-CN" w:bidi="ar"/>
              </w:rPr>
              <w:t>10</w:t>
            </w:r>
            <w:r>
              <w:rPr>
                <w:rFonts w:hint="default" w:ascii="Times New Roman" w:hAnsi="Times New Roman" w:eastAsia="华文仿宋" w:cs="Times New Roman"/>
                <w:i w:val="0"/>
                <w:iCs w:val="0"/>
                <w:color w:val="auto"/>
                <w:kern w:val="0"/>
                <w:sz w:val="21"/>
                <w:szCs w:val="21"/>
                <w:u w:val="none"/>
                <w:lang w:val="en-US" w:eastAsia="zh-CN" w:bidi="ar"/>
              </w:rPr>
              <w:t>-C</w:t>
            </w:r>
            <w:r>
              <w:rPr>
                <w:rFonts w:hint="default" w:ascii="Times New Roman" w:hAnsi="Times New Roman" w:eastAsia="华文仿宋" w:cs="Times New Roman"/>
                <w:i w:val="0"/>
                <w:iCs w:val="0"/>
                <w:color w:val="auto"/>
                <w:kern w:val="0"/>
                <w:sz w:val="21"/>
                <w:szCs w:val="21"/>
                <w:u w:val="none"/>
                <w:vertAlign w:val="subscript"/>
                <w:lang w:val="en-US" w:eastAsia="zh-CN" w:bidi="ar"/>
              </w:rPr>
              <w:t>40</w:t>
            </w:r>
          </w:p>
        </w:tc>
        <w:tc>
          <w:tcPr>
            <w:tcW w:w="828" w:type="pct"/>
            <w:vAlign w:val="center"/>
          </w:tcPr>
          <w:p>
            <w:pPr>
              <w:pStyle w:val="47"/>
              <w:spacing w:line="240" w:lineRule="auto"/>
              <w:rPr>
                <w:color w:val="auto"/>
              </w:rPr>
            </w:pPr>
            <w:r>
              <w:rPr>
                <w:color w:val="auto"/>
              </w:rPr>
              <w:t>mg/kg</w:t>
            </w:r>
          </w:p>
        </w:tc>
        <w:tc>
          <w:tcPr>
            <w:tcW w:w="915" w:type="pct"/>
            <w:vAlign w:val="center"/>
          </w:tcPr>
          <w:p>
            <w:pPr>
              <w:widowControl/>
              <w:snapToGrid w:val="0"/>
              <w:spacing w:line="312" w:lineRule="exact"/>
              <w:ind w:firstLine="0" w:firstLineChars="0"/>
              <w:jc w:val="center"/>
              <w:textAlignment w:val="center"/>
              <w:rPr>
                <w:rFonts w:hint="default" w:eastAsia="华文仿宋"/>
                <w:color w:val="auto"/>
                <w:kern w:val="0"/>
                <w:sz w:val="21"/>
                <w:szCs w:val="21"/>
                <w:lang w:val="en-US" w:eastAsia="zh-CN" w:bidi="ar"/>
              </w:rPr>
            </w:pPr>
            <w:r>
              <w:rPr>
                <w:rFonts w:hint="eastAsia" w:eastAsia="华文仿宋"/>
                <w:color w:val="auto"/>
                <w:kern w:val="0"/>
                <w:sz w:val="21"/>
                <w:szCs w:val="21"/>
                <w:lang w:val="en-US" w:eastAsia="zh-CN" w:bidi="ar"/>
              </w:rPr>
              <w:t>18</w:t>
            </w:r>
          </w:p>
        </w:tc>
        <w:tc>
          <w:tcPr>
            <w:tcW w:w="1071" w:type="pct"/>
            <w:vAlign w:val="center"/>
          </w:tcPr>
          <w:p>
            <w:pPr>
              <w:pStyle w:val="47"/>
              <w:spacing w:line="240" w:lineRule="auto"/>
              <w:rPr>
                <w:rFonts w:hint="default" w:eastAsia="宋体"/>
                <w:color w:val="auto"/>
                <w:lang w:val="en-US" w:eastAsia="zh-CN"/>
              </w:rPr>
            </w:pPr>
            <w:r>
              <w:rPr>
                <w:rFonts w:hint="eastAsia"/>
                <w:color w:val="auto"/>
                <w:lang w:val="en-US" w:eastAsia="zh-CN"/>
              </w:rPr>
              <w:t>826</w:t>
            </w:r>
          </w:p>
        </w:tc>
        <w:tc>
          <w:tcPr>
            <w:tcW w:w="146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312" w:lineRule="atLeast"/>
              <w:ind w:left="0" w:leftChars="0" w:right="0" w:rightChars="0" w:firstLine="0" w:firstLineChars="0"/>
              <w:jc w:val="center"/>
              <w:textAlignment w:val="center"/>
              <w:rPr>
                <w:rFonts w:hint="eastAsia" w:ascii="Times New Roman" w:hAnsi="Times New Roman" w:eastAsia="华文仿宋" w:cs="Times New Roman"/>
                <w:color w:val="auto"/>
                <w:kern w:val="2"/>
                <w:sz w:val="21"/>
                <w:szCs w:val="21"/>
                <w:lang w:val="en-US" w:eastAsia="zh-CN" w:bidi="ar-SA"/>
              </w:rPr>
            </w:pPr>
            <w:r>
              <w:rPr>
                <w:rFonts w:hint="eastAsia" w:ascii="Times New Roman" w:hAnsi="Times New Roman" w:eastAsia="华文仿宋" w:cs="Times New Roman"/>
                <w:color w:val="auto"/>
                <w:kern w:val="2"/>
                <w:sz w:val="21"/>
                <w:szCs w:val="21"/>
                <w:lang w:val="en-US" w:eastAsia="zh-CN" w:bidi="ar-SA"/>
              </w:rPr>
              <w:t xml:space="preserve">0.0218 </w:t>
            </w:r>
          </w:p>
        </w:tc>
      </w:tr>
    </w:tbl>
    <w:p>
      <w:pPr>
        <w:pStyle w:val="2"/>
        <w:spacing w:after="0"/>
        <w:ind w:firstLine="456"/>
        <w:rPr>
          <w:color w:val="auto"/>
          <w:spacing w:val="-6"/>
        </w:rPr>
      </w:pPr>
      <w:r>
        <w:rPr>
          <w:color w:val="auto"/>
          <w:spacing w:val="-6"/>
        </w:rPr>
        <w:t>由评价结果可知，1#～</w:t>
      </w:r>
      <w:r>
        <w:rPr>
          <w:rFonts w:hint="eastAsia"/>
          <w:color w:val="auto"/>
          <w:spacing w:val="-6"/>
        </w:rPr>
        <w:t>5</w:t>
      </w:r>
      <w:r>
        <w:rPr>
          <w:color w:val="auto"/>
          <w:spacing w:val="-6"/>
        </w:rPr>
        <w:t>#所有监测点位检出的各项监测因子均不超标，均满足《土壤环境质量建设用地土壤污染风险管控标准》（GB36600-2018）筛选值第二类用地标准要求</w:t>
      </w:r>
      <w:r>
        <w:rPr>
          <w:rFonts w:hint="eastAsia"/>
          <w:color w:val="auto"/>
          <w:spacing w:val="-6"/>
        </w:rPr>
        <w:t>，</w:t>
      </w:r>
      <w:r>
        <w:rPr>
          <w:color w:val="auto"/>
          <w:spacing w:val="-6"/>
        </w:rPr>
        <w:t>6#</w:t>
      </w:r>
      <w:r>
        <w:rPr>
          <w:rFonts w:hint="eastAsia"/>
          <w:color w:val="auto"/>
          <w:spacing w:val="-6"/>
        </w:rPr>
        <w:t>监测点位</w:t>
      </w:r>
      <w:r>
        <w:rPr>
          <w:color w:val="auto"/>
          <w:spacing w:val="-6"/>
        </w:rPr>
        <w:t>满足《土壤环境质量农用地土壤污染风险管控标准》（试行）（GB15618-2018）表1农用地土壤污染风险筛选值要求</w:t>
      </w:r>
      <w:r>
        <w:rPr>
          <w:rFonts w:hint="eastAsia"/>
          <w:color w:val="auto"/>
          <w:spacing w:val="-6"/>
          <w:lang w:eastAsia="zh-CN"/>
        </w:rPr>
        <w:t>，</w:t>
      </w:r>
      <w:r>
        <w:rPr>
          <w:rFonts w:hint="eastAsia"/>
          <w:color w:val="auto"/>
          <w:spacing w:val="-6"/>
          <w:lang w:val="en-US" w:eastAsia="zh-CN"/>
        </w:rPr>
        <w:t>7#</w:t>
      </w:r>
      <w:r>
        <w:rPr>
          <w:rFonts w:hint="eastAsia"/>
          <w:color w:val="auto"/>
          <w:spacing w:val="-6"/>
        </w:rPr>
        <w:t>监测点位</w:t>
      </w:r>
      <w:r>
        <w:rPr>
          <w:color w:val="auto"/>
          <w:spacing w:val="-6"/>
        </w:rPr>
        <w:t>满足《土壤环境质量建设用地土壤污染风险管控标准》（GB36600-2018）筛选值第</w:t>
      </w:r>
      <w:r>
        <w:rPr>
          <w:rFonts w:hint="eastAsia"/>
          <w:color w:val="auto"/>
          <w:spacing w:val="-6"/>
          <w:lang w:val="en-US" w:eastAsia="zh-CN"/>
        </w:rPr>
        <w:t>一</w:t>
      </w:r>
      <w:r>
        <w:rPr>
          <w:color w:val="auto"/>
          <w:spacing w:val="-6"/>
        </w:rPr>
        <w:t>类用地标准要求。</w:t>
      </w:r>
    </w:p>
    <w:p>
      <w:pPr>
        <w:pStyle w:val="7"/>
        <w:spacing w:before="0" w:beforeLines="0" w:after="0" w:afterLines="0"/>
        <w:rPr>
          <w:rFonts w:cs="Times New Roman"/>
          <w:color w:val="auto"/>
        </w:rPr>
      </w:pPr>
      <w:bookmarkStart w:id="266" w:name="_Toc24099"/>
      <w:bookmarkStart w:id="267" w:name="_Toc18159"/>
      <w:r>
        <w:rPr>
          <w:rFonts w:hint="eastAsia" w:cs="Times New Roman"/>
          <w:color w:val="auto"/>
          <w:lang w:val="en-US"/>
        </w:rPr>
        <w:t>5</w:t>
      </w:r>
      <w:r>
        <w:rPr>
          <w:rFonts w:cs="Times New Roman"/>
          <w:color w:val="auto"/>
        </w:rPr>
        <w:t xml:space="preserve"> 环境影响预测与评价</w:t>
      </w:r>
      <w:bookmarkEnd w:id="266"/>
      <w:bookmarkEnd w:id="267"/>
    </w:p>
    <w:p>
      <w:pPr>
        <w:pStyle w:val="8"/>
        <w:spacing w:before="0" w:beforeLines="0" w:after="0" w:afterLines="0" w:line="360" w:lineRule="auto"/>
        <w:rPr>
          <w:color w:val="auto"/>
        </w:rPr>
      </w:pPr>
      <w:bookmarkStart w:id="268" w:name="_Toc16088"/>
      <w:bookmarkStart w:id="269" w:name="_Toc12164"/>
      <w:r>
        <w:rPr>
          <w:rFonts w:hint="eastAsia"/>
          <w:color w:val="auto"/>
        </w:rPr>
        <w:t>5</w:t>
      </w:r>
      <w:r>
        <w:rPr>
          <w:color w:val="auto"/>
        </w:rPr>
        <w:t>.1 运营期环境空气影响预测与评价</w:t>
      </w:r>
      <w:bookmarkEnd w:id="268"/>
      <w:bookmarkEnd w:id="269"/>
    </w:p>
    <w:p>
      <w:pPr>
        <w:pStyle w:val="9"/>
        <w:spacing w:before="0" w:beforeLines="0" w:after="0" w:afterLines="0" w:line="360" w:lineRule="auto"/>
        <w:rPr>
          <w:color w:val="auto"/>
        </w:rPr>
      </w:pPr>
      <w:r>
        <w:rPr>
          <w:rFonts w:hint="eastAsia"/>
          <w:color w:val="auto"/>
        </w:rPr>
        <w:t>5</w:t>
      </w:r>
      <w:r>
        <w:rPr>
          <w:color w:val="auto"/>
        </w:rPr>
        <w:t>.1.1 评价等级及评价范围</w:t>
      </w:r>
    </w:p>
    <w:p>
      <w:pPr>
        <w:pStyle w:val="10"/>
        <w:spacing w:line="360" w:lineRule="auto"/>
        <w:rPr>
          <w:color w:val="auto"/>
        </w:rPr>
      </w:pPr>
      <w:r>
        <w:rPr>
          <w:rFonts w:hint="eastAsia"/>
          <w:color w:val="auto"/>
        </w:rPr>
        <w:t>5</w:t>
      </w:r>
      <w:r>
        <w:rPr>
          <w:color w:val="auto"/>
        </w:rPr>
        <w:t>.1.1.1评价因子筛选</w:t>
      </w:r>
    </w:p>
    <w:p>
      <w:pPr>
        <w:spacing w:line="360" w:lineRule="auto"/>
        <w:ind w:firstLine="480"/>
        <w:rPr>
          <w:color w:val="auto"/>
        </w:rPr>
      </w:pPr>
      <w:r>
        <w:rPr>
          <w:color w:val="auto"/>
        </w:rPr>
        <w:t>根据本项目排放的废气污染物种类，确定本项目评价因子为颗粒物、VOCs</w:t>
      </w:r>
      <w:r>
        <w:rPr>
          <w:rFonts w:hint="eastAsia"/>
          <w:color w:val="auto"/>
        </w:rPr>
        <w:t>、二氧化硫、二氧化氮、PM</w:t>
      </w:r>
      <w:r>
        <w:rPr>
          <w:rFonts w:hint="eastAsia"/>
          <w:color w:val="auto"/>
          <w:vertAlign w:val="subscript"/>
        </w:rPr>
        <w:t>10</w:t>
      </w:r>
      <w:r>
        <w:rPr>
          <w:rFonts w:hint="eastAsia"/>
          <w:color w:val="auto"/>
        </w:rPr>
        <w:t>、氨、硫化氢</w:t>
      </w:r>
      <w:r>
        <w:rPr>
          <w:color w:val="auto"/>
        </w:rPr>
        <w:t>。</w:t>
      </w:r>
    </w:p>
    <w:p>
      <w:pPr>
        <w:pStyle w:val="10"/>
        <w:spacing w:line="360" w:lineRule="auto"/>
        <w:rPr>
          <w:color w:val="auto"/>
        </w:rPr>
      </w:pPr>
      <w:r>
        <w:rPr>
          <w:rFonts w:hint="eastAsia"/>
          <w:color w:val="auto"/>
        </w:rPr>
        <w:t>5</w:t>
      </w:r>
      <w:r>
        <w:rPr>
          <w:color w:val="auto"/>
        </w:rPr>
        <w:t>.1.1.2 评价等级的确定</w:t>
      </w:r>
    </w:p>
    <w:p>
      <w:pPr>
        <w:spacing w:line="360" w:lineRule="auto"/>
        <w:ind w:firstLine="480"/>
        <w:rPr>
          <w:color w:val="auto"/>
        </w:rPr>
      </w:pPr>
      <w:r>
        <w:rPr>
          <w:color w:val="auto"/>
        </w:rPr>
        <w:t>（1）评价等级</w:t>
      </w:r>
      <w:r>
        <w:rPr>
          <w:rFonts w:hint="eastAsia"/>
          <w:color w:val="auto"/>
        </w:rPr>
        <w:t>判</w:t>
      </w:r>
      <w:r>
        <w:rPr>
          <w:color w:val="auto"/>
        </w:rPr>
        <w:t>定方法</w:t>
      </w:r>
    </w:p>
    <w:p>
      <w:pPr>
        <w:spacing w:line="360" w:lineRule="auto"/>
        <w:ind w:firstLine="480"/>
        <w:rPr>
          <w:bCs/>
          <w:color w:val="auto"/>
          <w:spacing w:val="4"/>
        </w:rPr>
      </w:pPr>
      <w:r>
        <w:rPr>
          <w:color w:val="auto"/>
        </w:rPr>
        <w:t>依据《环境影响评价技术导则-大气环境》（HJ2.2-2018）中5.3节工作等级的确定方法，结合项目工程分析结果，选择正常排放的主要污染物及排放参数，采用附录A推荐模型中的AERSCREEN模式计算项目污染源的最大环境影响，然后按评价工作分级判据进行分级。</w:t>
      </w:r>
    </w:p>
    <w:p>
      <w:pPr>
        <w:ind w:firstLine="480"/>
        <w:rPr>
          <w:bCs/>
          <w:color w:val="auto"/>
          <w:spacing w:val="4"/>
        </w:rPr>
      </w:pPr>
      <w:r>
        <w:rPr>
          <w:color w:val="auto"/>
        </w:rPr>
        <w:t>①P</w:t>
      </w:r>
      <w:r>
        <w:rPr>
          <w:color w:val="auto"/>
          <w:vertAlign w:val="subscript"/>
        </w:rPr>
        <w:t>max</w:t>
      </w:r>
      <w:r>
        <w:rPr>
          <w:color w:val="auto"/>
        </w:rPr>
        <w:t>及D</w:t>
      </w:r>
      <w:r>
        <w:rPr>
          <w:color w:val="auto"/>
          <w:vertAlign w:val="subscript"/>
        </w:rPr>
        <w:t>10%</w:t>
      </w:r>
      <w:r>
        <w:rPr>
          <w:color w:val="auto"/>
        </w:rPr>
        <w:t>的确定</w:t>
      </w:r>
    </w:p>
    <w:p>
      <w:pPr>
        <w:ind w:firstLine="420"/>
        <w:rPr>
          <w:bCs/>
          <w:color w:val="auto"/>
          <w:spacing w:val="4"/>
        </w:rPr>
      </w:pPr>
      <w:r>
        <w:rPr>
          <w:color w:val="auto"/>
          <w:sz w:val="21"/>
        </w:rPr>
        <w:drawing>
          <wp:anchor distT="0" distB="0" distL="114300" distR="114300" simplePos="0" relativeHeight="251701248" behindDoc="0" locked="0" layoutInCell="1" allowOverlap="1">
            <wp:simplePos x="0" y="0"/>
            <wp:positionH relativeFrom="column">
              <wp:posOffset>2459355</wp:posOffset>
            </wp:positionH>
            <wp:positionV relativeFrom="paragraph">
              <wp:posOffset>610870</wp:posOffset>
            </wp:positionV>
            <wp:extent cx="1088390" cy="374015"/>
            <wp:effectExtent l="0" t="0" r="16510" b="6350"/>
            <wp:wrapTopAndBottom/>
            <wp:docPr id="91" name="图片 77"/>
            <wp:cNvGraphicFramePr/>
            <a:graphic xmlns:a="http://schemas.openxmlformats.org/drawingml/2006/main">
              <a:graphicData uri="http://schemas.openxmlformats.org/drawingml/2006/picture">
                <pic:pic xmlns:pic="http://schemas.openxmlformats.org/drawingml/2006/picture">
                  <pic:nvPicPr>
                    <pic:cNvPr id="91" name="图片 77"/>
                    <pic:cNvPicPr/>
                  </pic:nvPicPr>
                  <pic:blipFill>
                    <a:blip r:embed="rId104"/>
                    <a:stretch>
                      <a:fillRect/>
                    </a:stretch>
                  </pic:blipFill>
                  <pic:spPr>
                    <a:xfrm>
                      <a:off x="0" y="0"/>
                      <a:ext cx="1088390" cy="374015"/>
                    </a:xfrm>
                    <a:prstGeom prst="rect">
                      <a:avLst/>
                    </a:prstGeom>
                    <a:noFill/>
                    <a:ln>
                      <a:noFill/>
                    </a:ln>
                  </pic:spPr>
                </pic:pic>
              </a:graphicData>
            </a:graphic>
          </wp:anchor>
        </w:drawing>
      </w:r>
      <w:r>
        <w:rPr>
          <w:color w:val="auto"/>
        </w:rPr>
        <w:t>依据《环境影响评价技术导则 大气环境》（HJ2.2-2018）中最大地面浓度占标率P</w:t>
      </w:r>
      <w:r>
        <w:rPr>
          <w:i/>
          <w:color w:val="auto"/>
        </w:rPr>
        <w:t>i</w:t>
      </w:r>
      <w:r>
        <w:rPr>
          <w:color w:val="auto"/>
        </w:rPr>
        <w:t>定义如下：</w:t>
      </w:r>
    </w:p>
    <w:p>
      <w:pPr>
        <w:spacing w:line="480" w:lineRule="exact"/>
        <w:ind w:firstLine="480"/>
        <w:jc w:val="left"/>
        <w:rPr>
          <w:color w:val="auto"/>
        </w:rPr>
      </w:pPr>
      <w:r>
        <w:rPr>
          <w:color w:val="auto"/>
        </w:rPr>
        <w:drawing>
          <wp:inline distT="0" distB="0" distL="114300" distR="114300">
            <wp:extent cx="400050" cy="304800"/>
            <wp:effectExtent l="0" t="0" r="0" b="0"/>
            <wp:docPr id="92" name="图片 7"/>
            <wp:cNvGraphicFramePr/>
            <a:graphic xmlns:a="http://schemas.openxmlformats.org/drawingml/2006/main">
              <a:graphicData uri="http://schemas.openxmlformats.org/drawingml/2006/picture">
                <pic:pic xmlns:pic="http://schemas.openxmlformats.org/drawingml/2006/picture">
                  <pic:nvPicPr>
                    <pic:cNvPr id="92" name="图片 7"/>
                    <pic:cNvPicPr/>
                  </pic:nvPicPr>
                  <pic:blipFill>
                    <a:blip r:embed="rId105"/>
                    <a:stretch>
                      <a:fillRect/>
                    </a:stretch>
                  </pic:blipFill>
                  <pic:spPr>
                    <a:xfrm>
                      <a:off x="0" y="0"/>
                      <a:ext cx="400050" cy="304800"/>
                    </a:xfrm>
                    <a:prstGeom prst="rect">
                      <a:avLst/>
                    </a:prstGeom>
                    <a:noFill/>
                    <a:ln>
                      <a:noFill/>
                    </a:ln>
                  </pic:spPr>
                </pic:pic>
              </a:graphicData>
            </a:graphic>
          </wp:inline>
        </w:drawing>
      </w:r>
      <w:r>
        <w:rPr>
          <w:color w:val="auto"/>
        </w:rPr>
        <w:t xml:space="preserve"> ——第i个污染物的最大地面空气质量浓度 占标率，%；</w:t>
      </w:r>
    </w:p>
    <w:p>
      <w:pPr>
        <w:spacing w:line="480" w:lineRule="exact"/>
        <w:ind w:firstLine="480"/>
        <w:jc w:val="left"/>
        <w:rPr>
          <w:color w:val="auto"/>
        </w:rPr>
      </w:pPr>
      <w:r>
        <w:rPr>
          <w:color w:val="auto"/>
        </w:rPr>
        <w:drawing>
          <wp:inline distT="0" distB="0" distL="114300" distR="114300">
            <wp:extent cx="400050" cy="304800"/>
            <wp:effectExtent l="0" t="0" r="0" b="0"/>
            <wp:docPr id="93" name="图片 8"/>
            <wp:cNvGraphicFramePr/>
            <a:graphic xmlns:a="http://schemas.openxmlformats.org/drawingml/2006/main">
              <a:graphicData uri="http://schemas.openxmlformats.org/drawingml/2006/picture">
                <pic:pic xmlns:pic="http://schemas.openxmlformats.org/drawingml/2006/picture">
                  <pic:nvPicPr>
                    <pic:cNvPr id="93" name="图片 8"/>
                    <pic:cNvPicPr/>
                  </pic:nvPicPr>
                  <pic:blipFill>
                    <a:blip r:embed="rId106"/>
                    <a:stretch>
                      <a:fillRect/>
                    </a:stretch>
                  </pic:blipFill>
                  <pic:spPr>
                    <a:xfrm>
                      <a:off x="0" y="0"/>
                      <a:ext cx="400050" cy="304800"/>
                    </a:xfrm>
                    <a:prstGeom prst="rect">
                      <a:avLst/>
                    </a:prstGeom>
                    <a:noFill/>
                    <a:ln>
                      <a:noFill/>
                    </a:ln>
                  </pic:spPr>
                </pic:pic>
              </a:graphicData>
            </a:graphic>
          </wp:inline>
        </w:drawing>
      </w:r>
      <w:r>
        <w:rPr>
          <w:color w:val="auto"/>
        </w:rPr>
        <w:t>——采用估算模型计算出的第i个污染物的最大1h地面空气质量浓度，μg/m</w:t>
      </w:r>
      <w:r>
        <w:rPr>
          <w:color w:val="auto"/>
          <w:vertAlign w:val="superscript"/>
        </w:rPr>
        <w:t>3</w:t>
      </w:r>
      <w:r>
        <w:rPr>
          <w:color w:val="auto"/>
        </w:rPr>
        <w:t>；</w:t>
      </w:r>
    </w:p>
    <w:p>
      <w:pPr>
        <w:spacing w:line="480" w:lineRule="exact"/>
        <w:ind w:firstLine="480"/>
        <w:jc w:val="left"/>
        <w:rPr>
          <w:color w:val="auto"/>
        </w:rPr>
      </w:pPr>
      <w:r>
        <w:rPr>
          <w:color w:val="auto"/>
        </w:rPr>
        <w:drawing>
          <wp:inline distT="0" distB="0" distL="114300" distR="114300">
            <wp:extent cx="457200" cy="304800"/>
            <wp:effectExtent l="0" t="0" r="0" b="0"/>
            <wp:docPr id="94" name="图片 9"/>
            <wp:cNvGraphicFramePr/>
            <a:graphic xmlns:a="http://schemas.openxmlformats.org/drawingml/2006/main">
              <a:graphicData uri="http://schemas.openxmlformats.org/drawingml/2006/picture">
                <pic:pic xmlns:pic="http://schemas.openxmlformats.org/drawingml/2006/picture">
                  <pic:nvPicPr>
                    <pic:cNvPr id="94" name="图片 9"/>
                    <pic:cNvPicPr/>
                  </pic:nvPicPr>
                  <pic:blipFill>
                    <a:blip r:embed="rId107"/>
                    <a:stretch>
                      <a:fillRect/>
                    </a:stretch>
                  </pic:blipFill>
                  <pic:spPr>
                    <a:xfrm>
                      <a:off x="0" y="0"/>
                      <a:ext cx="457200" cy="304800"/>
                    </a:xfrm>
                    <a:prstGeom prst="rect">
                      <a:avLst/>
                    </a:prstGeom>
                    <a:noFill/>
                    <a:ln>
                      <a:noFill/>
                    </a:ln>
                  </pic:spPr>
                </pic:pic>
              </a:graphicData>
            </a:graphic>
          </wp:inline>
        </w:drawing>
      </w:r>
      <w:r>
        <w:rPr>
          <w:color w:val="auto"/>
        </w:rPr>
        <w:t>——第i个污染物的环境空气质量浓度标准，μg/m</w:t>
      </w:r>
      <w:r>
        <w:rPr>
          <w:color w:val="auto"/>
          <w:vertAlign w:val="superscript"/>
        </w:rPr>
        <w:t>3</w:t>
      </w:r>
      <w:r>
        <w:rPr>
          <w:color w:val="auto"/>
        </w:rPr>
        <w:t>。</w:t>
      </w:r>
    </w:p>
    <w:p>
      <w:pPr>
        <w:spacing w:line="480" w:lineRule="exact"/>
        <w:ind w:firstLine="480"/>
        <w:jc w:val="left"/>
        <w:rPr>
          <w:color w:val="auto"/>
        </w:rPr>
      </w:pPr>
      <w:r>
        <w:rPr>
          <w:color w:val="auto"/>
        </w:rPr>
        <w:t>②评价等级判别表</w:t>
      </w:r>
    </w:p>
    <w:p>
      <w:pPr>
        <w:spacing w:line="480" w:lineRule="exact"/>
        <w:ind w:firstLine="480"/>
        <w:jc w:val="left"/>
        <w:rPr>
          <w:color w:val="auto"/>
        </w:rPr>
      </w:pPr>
      <w:r>
        <w:rPr>
          <w:color w:val="auto"/>
        </w:rPr>
        <w:t>评价等级按下表的分级判据进行划分。</w:t>
      </w:r>
    </w:p>
    <w:p>
      <w:pPr>
        <w:ind w:firstLine="371" w:firstLineChars="176"/>
        <w:jc w:val="center"/>
        <w:rPr>
          <w:rFonts w:eastAsia="黑体"/>
          <w:b/>
          <w:color w:val="auto"/>
          <w:sz w:val="21"/>
          <w:szCs w:val="21"/>
        </w:rPr>
      </w:pPr>
      <w:r>
        <w:rPr>
          <w:rFonts w:eastAsia="黑体"/>
          <w:b/>
          <w:color w:val="auto"/>
          <w:sz w:val="21"/>
          <w:szCs w:val="21"/>
        </w:rPr>
        <w:t>表</w:t>
      </w:r>
      <w:r>
        <w:rPr>
          <w:rFonts w:hint="eastAsia" w:eastAsia="黑体"/>
          <w:b/>
          <w:color w:val="auto"/>
          <w:sz w:val="21"/>
          <w:szCs w:val="21"/>
        </w:rPr>
        <w:t>5</w:t>
      </w:r>
      <w:r>
        <w:rPr>
          <w:rFonts w:eastAsia="黑体"/>
          <w:b/>
          <w:color w:val="auto"/>
          <w:sz w:val="21"/>
          <w:szCs w:val="21"/>
        </w:rPr>
        <w:t>.1-1  评价等级判别表</w:t>
      </w:r>
    </w:p>
    <w:tbl>
      <w:tblPr>
        <w:tblStyle w:val="22"/>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429"/>
        <w:gridCol w:w="447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29" w:type="dxa"/>
            <w:vAlign w:val="center"/>
          </w:tcPr>
          <w:p>
            <w:pPr>
              <w:spacing w:line="240" w:lineRule="auto"/>
              <w:ind w:firstLine="0" w:firstLineChars="0"/>
              <w:jc w:val="center"/>
              <w:rPr>
                <w:b/>
                <w:color w:val="auto"/>
                <w:sz w:val="21"/>
                <w:szCs w:val="21"/>
              </w:rPr>
            </w:pPr>
            <w:r>
              <w:rPr>
                <w:b/>
                <w:color w:val="auto"/>
                <w:sz w:val="21"/>
                <w:szCs w:val="21"/>
              </w:rPr>
              <w:t>评价工作等级</w:t>
            </w:r>
          </w:p>
        </w:tc>
        <w:tc>
          <w:tcPr>
            <w:tcW w:w="4476" w:type="dxa"/>
            <w:vAlign w:val="center"/>
          </w:tcPr>
          <w:p>
            <w:pPr>
              <w:spacing w:line="240" w:lineRule="auto"/>
              <w:ind w:firstLine="0" w:firstLineChars="0"/>
              <w:jc w:val="center"/>
              <w:rPr>
                <w:b/>
                <w:color w:val="auto"/>
                <w:sz w:val="21"/>
                <w:szCs w:val="21"/>
              </w:rPr>
            </w:pPr>
            <w:r>
              <w:rPr>
                <w:b/>
                <w:color w:val="auto"/>
                <w:sz w:val="21"/>
                <w:szCs w:val="21"/>
              </w:rPr>
              <w:t>评价工作分级判据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29" w:type="dxa"/>
            <w:vAlign w:val="center"/>
          </w:tcPr>
          <w:p>
            <w:pPr>
              <w:spacing w:line="240" w:lineRule="auto"/>
              <w:ind w:firstLine="0" w:firstLineChars="0"/>
              <w:jc w:val="center"/>
              <w:rPr>
                <w:color w:val="auto"/>
                <w:sz w:val="21"/>
                <w:szCs w:val="21"/>
              </w:rPr>
            </w:pPr>
            <w:r>
              <w:rPr>
                <w:color w:val="auto"/>
                <w:sz w:val="21"/>
                <w:szCs w:val="21"/>
              </w:rPr>
              <w:t>一级评价</w:t>
            </w:r>
          </w:p>
        </w:tc>
        <w:tc>
          <w:tcPr>
            <w:tcW w:w="4476" w:type="dxa"/>
            <w:vAlign w:val="center"/>
          </w:tcPr>
          <w:p>
            <w:pPr>
              <w:spacing w:line="240" w:lineRule="auto"/>
              <w:ind w:firstLine="0" w:firstLineChars="0"/>
              <w:jc w:val="center"/>
              <w:rPr>
                <w:color w:val="auto"/>
                <w:sz w:val="21"/>
                <w:szCs w:val="21"/>
              </w:rPr>
            </w:pPr>
            <w:r>
              <w:rPr>
                <w:color w:val="auto"/>
                <w:sz w:val="21"/>
                <w:szCs w:val="21"/>
              </w:rPr>
              <w:t>Pmax≧10%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29" w:type="dxa"/>
            <w:vAlign w:val="center"/>
          </w:tcPr>
          <w:p>
            <w:pPr>
              <w:spacing w:line="240" w:lineRule="auto"/>
              <w:ind w:firstLine="0" w:firstLineChars="0"/>
              <w:jc w:val="center"/>
              <w:rPr>
                <w:color w:val="auto"/>
                <w:sz w:val="21"/>
                <w:szCs w:val="21"/>
              </w:rPr>
            </w:pPr>
            <w:r>
              <w:rPr>
                <w:color w:val="auto"/>
                <w:sz w:val="21"/>
                <w:szCs w:val="21"/>
              </w:rPr>
              <w:t>二级评价</w:t>
            </w:r>
          </w:p>
        </w:tc>
        <w:tc>
          <w:tcPr>
            <w:tcW w:w="4476" w:type="dxa"/>
            <w:vAlign w:val="center"/>
          </w:tcPr>
          <w:p>
            <w:pPr>
              <w:spacing w:line="240" w:lineRule="auto"/>
              <w:ind w:firstLine="0" w:firstLineChars="0"/>
              <w:jc w:val="center"/>
              <w:rPr>
                <w:color w:val="auto"/>
                <w:sz w:val="21"/>
                <w:szCs w:val="21"/>
              </w:rPr>
            </w:pPr>
            <w:r>
              <w:rPr>
                <w:color w:val="auto"/>
                <w:sz w:val="21"/>
                <w:szCs w:val="21"/>
              </w:rPr>
              <w:t>1%≦Pmax&lt;10%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29" w:type="dxa"/>
            <w:vAlign w:val="center"/>
          </w:tcPr>
          <w:p>
            <w:pPr>
              <w:spacing w:line="240" w:lineRule="auto"/>
              <w:ind w:firstLine="0" w:firstLineChars="0"/>
              <w:jc w:val="center"/>
              <w:rPr>
                <w:color w:val="auto"/>
                <w:sz w:val="21"/>
                <w:szCs w:val="21"/>
              </w:rPr>
            </w:pPr>
            <w:r>
              <w:rPr>
                <w:color w:val="auto"/>
                <w:sz w:val="21"/>
                <w:szCs w:val="21"/>
              </w:rPr>
              <w:t>三级评价</w:t>
            </w:r>
          </w:p>
        </w:tc>
        <w:tc>
          <w:tcPr>
            <w:tcW w:w="4476" w:type="dxa"/>
            <w:vAlign w:val="center"/>
          </w:tcPr>
          <w:p>
            <w:pPr>
              <w:spacing w:line="240" w:lineRule="auto"/>
              <w:ind w:firstLine="0" w:firstLineChars="0"/>
              <w:jc w:val="center"/>
              <w:rPr>
                <w:color w:val="auto"/>
                <w:sz w:val="21"/>
                <w:szCs w:val="21"/>
              </w:rPr>
            </w:pPr>
            <w:r>
              <w:rPr>
                <w:color w:val="auto"/>
                <w:sz w:val="21"/>
                <w:szCs w:val="21"/>
              </w:rPr>
              <w:t>Pmax&lt;1%</w:t>
            </w:r>
          </w:p>
        </w:tc>
      </w:tr>
    </w:tbl>
    <w:p>
      <w:pPr>
        <w:ind w:firstLine="422" w:firstLineChars="176"/>
        <w:jc w:val="left"/>
        <w:rPr>
          <w:color w:val="auto"/>
        </w:rPr>
      </w:pPr>
      <w:r>
        <w:rPr>
          <w:color w:val="auto"/>
        </w:rPr>
        <w:t>③污染物评价标准</w:t>
      </w:r>
    </w:p>
    <w:p>
      <w:pPr>
        <w:ind w:firstLine="422" w:firstLineChars="176"/>
        <w:jc w:val="left"/>
        <w:rPr>
          <w:color w:val="auto"/>
        </w:rPr>
      </w:pPr>
      <w:r>
        <w:rPr>
          <w:color w:val="auto"/>
        </w:rPr>
        <w:t>污染物评价标准和来源见下表。</w:t>
      </w:r>
    </w:p>
    <w:p>
      <w:pPr>
        <w:ind w:firstLine="371" w:firstLineChars="176"/>
        <w:jc w:val="center"/>
        <w:rPr>
          <w:rFonts w:eastAsia="黑体"/>
          <w:b/>
          <w:color w:val="auto"/>
          <w:sz w:val="21"/>
          <w:szCs w:val="21"/>
        </w:rPr>
      </w:pPr>
      <w:r>
        <w:rPr>
          <w:rFonts w:eastAsia="黑体"/>
          <w:b/>
          <w:color w:val="auto"/>
          <w:sz w:val="21"/>
          <w:szCs w:val="21"/>
        </w:rPr>
        <w:t>表</w:t>
      </w:r>
      <w:r>
        <w:rPr>
          <w:rFonts w:hint="eastAsia" w:eastAsia="黑体"/>
          <w:b/>
          <w:color w:val="auto"/>
          <w:sz w:val="21"/>
          <w:szCs w:val="21"/>
        </w:rPr>
        <w:t>5</w:t>
      </w:r>
      <w:r>
        <w:rPr>
          <w:rFonts w:eastAsia="黑体"/>
          <w:b/>
          <w:color w:val="auto"/>
          <w:sz w:val="21"/>
          <w:szCs w:val="21"/>
        </w:rPr>
        <w:t>.1-2  污染物评价标准</w:t>
      </w:r>
    </w:p>
    <w:tbl>
      <w:tblPr>
        <w:tblStyle w:val="22"/>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1"/>
        <w:gridCol w:w="1609"/>
        <w:gridCol w:w="1609"/>
        <w:gridCol w:w="1609"/>
        <w:gridCol w:w="26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6" w:type="pct"/>
            <w:vAlign w:val="center"/>
          </w:tcPr>
          <w:p>
            <w:pPr>
              <w:spacing w:line="240" w:lineRule="auto"/>
              <w:ind w:firstLine="0" w:firstLineChars="0"/>
              <w:jc w:val="center"/>
              <w:rPr>
                <w:color w:val="auto"/>
                <w:sz w:val="21"/>
                <w:szCs w:val="21"/>
              </w:rPr>
            </w:pPr>
            <w:r>
              <w:rPr>
                <w:rFonts w:hint="eastAsia"/>
                <w:color w:val="auto"/>
                <w:sz w:val="21"/>
                <w:szCs w:val="21"/>
              </w:rPr>
              <w:t>项目</w:t>
            </w:r>
          </w:p>
        </w:tc>
        <w:tc>
          <w:tcPr>
            <w:tcW w:w="904" w:type="pct"/>
            <w:vAlign w:val="center"/>
          </w:tcPr>
          <w:p>
            <w:pPr>
              <w:spacing w:line="240" w:lineRule="auto"/>
              <w:ind w:firstLine="0" w:firstLineChars="0"/>
              <w:jc w:val="center"/>
              <w:rPr>
                <w:color w:val="auto"/>
                <w:sz w:val="21"/>
              </w:rPr>
            </w:pPr>
            <w:r>
              <w:rPr>
                <w:rFonts w:hint="eastAsia"/>
                <w:color w:val="auto"/>
                <w:sz w:val="21"/>
              </w:rPr>
              <w:t>小时浓度</w:t>
            </w:r>
          </w:p>
          <w:p>
            <w:pPr>
              <w:spacing w:line="240" w:lineRule="auto"/>
              <w:ind w:firstLine="0" w:firstLineChars="0"/>
              <w:jc w:val="center"/>
              <w:rPr>
                <w:color w:val="auto"/>
              </w:rPr>
            </w:pPr>
            <w:r>
              <w:rPr>
                <w:rFonts w:hint="eastAsia"/>
                <w:color w:val="auto"/>
                <w:sz w:val="21"/>
                <w:szCs w:val="21"/>
              </w:rPr>
              <w:t>mg/m</w:t>
            </w:r>
            <w:r>
              <w:rPr>
                <w:rFonts w:hint="eastAsia"/>
                <w:color w:val="auto"/>
                <w:sz w:val="21"/>
                <w:szCs w:val="21"/>
                <w:vertAlign w:val="superscript"/>
              </w:rPr>
              <w:t>3</w:t>
            </w:r>
          </w:p>
        </w:tc>
        <w:tc>
          <w:tcPr>
            <w:tcW w:w="904" w:type="pct"/>
            <w:vAlign w:val="center"/>
          </w:tcPr>
          <w:p>
            <w:pPr>
              <w:spacing w:line="240" w:lineRule="auto"/>
              <w:ind w:firstLine="0" w:firstLineChars="0"/>
              <w:jc w:val="center"/>
              <w:rPr>
                <w:color w:val="auto"/>
                <w:sz w:val="21"/>
              </w:rPr>
            </w:pPr>
            <w:r>
              <w:rPr>
                <w:rFonts w:hint="eastAsia"/>
                <w:color w:val="auto"/>
                <w:sz w:val="21"/>
                <w:szCs w:val="21"/>
              </w:rPr>
              <w:t>日均浓度</w:t>
            </w:r>
          </w:p>
          <w:p>
            <w:pPr>
              <w:spacing w:line="240" w:lineRule="auto"/>
              <w:ind w:firstLine="0" w:firstLineChars="0"/>
              <w:jc w:val="center"/>
              <w:rPr>
                <w:color w:val="auto"/>
                <w:sz w:val="21"/>
                <w:szCs w:val="21"/>
              </w:rPr>
            </w:pPr>
            <w:r>
              <w:rPr>
                <w:rFonts w:hint="eastAsia"/>
                <w:color w:val="auto"/>
                <w:sz w:val="21"/>
                <w:szCs w:val="21"/>
              </w:rPr>
              <w:t>mg/m</w:t>
            </w:r>
            <w:r>
              <w:rPr>
                <w:rFonts w:hint="eastAsia"/>
                <w:color w:val="auto"/>
                <w:sz w:val="21"/>
                <w:szCs w:val="21"/>
                <w:vertAlign w:val="superscript"/>
              </w:rPr>
              <w:t>3</w:t>
            </w:r>
          </w:p>
        </w:tc>
        <w:tc>
          <w:tcPr>
            <w:tcW w:w="904" w:type="pct"/>
            <w:vAlign w:val="center"/>
          </w:tcPr>
          <w:p>
            <w:pPr>
              <w:spacing w:line="240" w:lineRule="auto"/>
              <w:ind w:firstLine="0" w:firstLineChars="0"/>
              <w:jc w:val="center"/>
              <w:rPr>
                <w:color w:val="auto"/>
                <w:sz w:val="21"/>
              </w:rPr>
            </w:pPr>
            <w:r>
              <w:rPr>
                <w:rFonts w:hint="eastAsia"/>
                <w:color w:val="auto"/>
                <w:sz w:val="21"/>
                <w:szCs w:val="21"/>
              </w:rPr>
              <w:t>年均浓度</w:t>
            </w:r>
          </w:p>
          <w:p>
            <w:pPr>
              <w:spacing w:line="240" w:lineRule="auto"/>
              <w:ind w:firstLine="0" w:firstLineChars="0"/>
              <w:jc w:val="center"/>
              <w:rPr>
                <w:color w:val="auto"/>
                <w:sz w:val="21"/>
                <w:szCs w:val="21"/>
              </w:rPr>
            </w:pPr>
            <w:r>
              <w:rPr>
                <w:rFonts w:hint="eastAsia"/>
                <w:color w:val="auto"/>
                <w:sz w:val="21"/>
                <w:szCs w:val="21"/>
              </w:rPr>
              <w:t>mg/m</w:t>
            </w:r>
            <w:r>
              <w:rPr>
                <w:rFonts w:hint="eastAsia"/>
                <w:color w:val="auto"/>
                <w:sz w:val="21"/>
                <w:szCs w:val="21"/>
                <w:vertAlign w:val="superscript"/>
              </w:rPr>
              <w:t>3</w:t>
            </w:r>
          </w:p>
        </w:tc>
        <w:tc>
          <w:tcPr>
            <w:tcW w:w="1509" w:type="pct"/>
            <w:vAlign w:val="center"/>
          </w:tcPr>
          <w:p>
            <w:pPr>
              <w:spacing w:line="240" w:lineRule="auto"/>
              <w:ind w:firstLine="0" w:firstLineChars="0"/>
              <w:jc w:val="center"/>
              <w:rPr>
                <w:color w:val="auto"/>
                <w:sz w:val="21"/>
                <w:szCs w:val="21"/>
              </w:rPr>
            </w:pPr>
            <w:r>
              <w:rPr>
                <w:rFonts w:hint="eastAsia"/>
                <w:color w:val="auto"/>
                <w:sz w:val="21"/>
                <w:szCs w:val="21"/>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6" w:type="pct"/>
            <w:vAlign w:val="center"/>
          </w:tcPr>
          <w:p>
            <w:pPr>
              <w:adjustRightInd w:val="0"/>
              <w:snapToGrid w:val="0"/>
              <w:spacing w:line="240" w:lineRule="auto"/>
              <w:ind w:firstLine="0" w:firstLineChars="0"/>
              <w:jc w:val="center"/>
              <w:rPr>
                <w:color w:val="auto"/>
                <w:sz w:val="21"/>
                <w:szCs w:val="21"/>
              </w:rPr>
            </w:pPr>
            <w:r>
              <w:rPr>
                <w:color w:val="auto"/>
                <w:sz w:val="21"/>
                <w:szCs w:val="21"/>
              </w:rPr>
              <w:t>SO</w:t>
            </w:r>
            <w:r>
              <w:rPr>
                <w:color w:val="auto"/>
                <w:sz w:val="21"/>
                <w:szCs w:val="21"/>
                <w:vertAlign w:val="subscript"/>
              </w:rPr>
              <w:t>2</w:t>
            </w:r>
          </w:p>
        </w:tc>
        <w:tc>
          <w:tcPr>
            <w:tcW w:w="904" w:type="pct"/>
            <w:vAlign w:val="center"/>
          </w:tcPr>
          <w:p>
            <w:pPr>
              <w:spacing w:line="240" w:lineRule="auto"/>
              <w:ind w:firstLine="0" w:firstLineChars="0"/>
              <w:jc w:val="center"/>
              <w:rPr>
                <w:color w:val="auto"/>
                <w:sz w:val="21"/>
                <w:szCs w:val="21"/>
              </w:rPr>
            </w:pPr>
            <w:r>
              <w:rPr>
                <w:rFonts w:hint="eastAsia"/>
                <w:color w:val="auto"/>
                <w:sz w:val="21"/>
                <w:szCs w:val="21"/>
              </w:rPr>
              <w:t>0.50</w:t>
            </w:r>
          </w:p>
        </w:tc>
        <w:tc>
          <w:tcPr>
            <w:tcW w:w="904" w:type="pct"/>
            <w:vAlign w:val="center"/>
          </w:tcPr>
          <w:p>
            <w:pPr>
              <w:spacing w:line="240" w:lineRule="auto"/>
              <w:ind w:firstLine="0" w:firstLineChars="0"/>
              <w:jc w:val="center"/>
              <w:rPr>
                <w:color w:val="auto"/>
                <w:sz w:val="21"/>
                <w:szCs w:val="21"/>
              </w:rPr>
            </w:pPr>
            <w:r>
              <w:rPr>
                <w:rFonts w:hint="eastAsia"/>
                <w:color w:val="auto"/>
                <w:sz w:val="21"/>
                <w:szCs w:val="21"/>
              </w:rPr>
              <w:t>0.15</w:t>
            </w:r>
          </w:p>
        </w:tc>
        <w:tc>
          <w:tcPr>
            <w:tcW w:w="904" w:type="pct"/>
            <w:vAlign w:val="center"/>
          </w:tcPr>
          <w:p>
            <w:pPr>
              <w:spacing w:line="240" w:lineRule="auto"/>
              <w:ind w:firstLine="0" w:firstLineChars="0"/>
              <w:jc w:val="center"/>
              <w:rPr>
                <w:color w:val="auto"/>
                <w:sz w:val="21"/>
                <w:szCs w:val="21"/>
              </w:rPr>
            </w:pPr>
            <w:r>
              <w:rPr>
                <w:rFonts w:hint="eastAsia"/>
                <w:color w:val="auto"/>
                <w:sz w:val="21"/>
                <w:szCs w:val="21"/>
              </w:rPr>
              <w:t>0.06</w:t>
            </w:r>
          </w:p>
        </w:tc>
        <w:tc>
          <w:tcPr>
            <w:tcW w:w="1509" w:type="pct"/>
            <w:vMerge w:val="restart"/>
            <w:vAlign w:val="center"/>
          </w:tcPr>
          <w:p>
            <w:pPr>
              <w:spacing w:line="240" w:lineRule="auto"/>
              <w:ind w:firstLine="0" w:firstLineChars="0"/>
              <w:jc w:val="center"/>
              <w:rPr>
                <w:color w:val="auto"/>
                <w:sz w:val="21"/>
                <w:szCs w:val="21"/>
              </w:rPr>
            </w:pPr>
            <w:r>
              <w:rPr>
                <w:color w:val="auto"/>
                <w:sz w:val="21"/>
                <w:szCs w:val="21"/>
              </w:rPr>
              <w:t>《环境空气质量标准》(GB3095-2012)及其修改单二级标准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6" w:type="pct"/>
            <w:vAlign w:val="center"/>
          </w:tcPr>
          <w:p>
            <w:pPr>
              <w:spacing w:line="240" w:lineRule="auto"/>
              <w:ind w:firstLine="0" w:firstLineChars="0"/>
              <w:jc w:val="center"/>
              <w:rPr>
                <w:color w:val="auto"/>
                <w:sz w:val="21"/>
                <w:szCs w:val="21"/>
              </w:rPr>
            </w:pPr>
            <w:r>
              <w:rPr>
                <w:rFonts w:hint="eastAsia"/>
                <w:color w:val="auto"/>
                <w:sz w:val="21"/>
                <w:szCs w:val="21"/>
              </w:rPr>
              <w:t>NO</w:t>
            </w:r>
            <w:r>
              <w:rPr>
                <w:rFonts w:hint="eastAsia"/>
                <w:color w:val="auto"/>
                <w:sz w:val="21"/>
                <w:szCs w:val="21"/>
                <w:vertAlign w:val="subscript"/>
              </w:rPr>
              <w:t>2</w:t>
            </w:r>
          </w:p>
        </w:tc>
        <w:tc>
          <w:tcPr>
            <w:tcW w:w="904" w:type="pct"/>
            <w:vAlign w:val="center"/>
          </w:tcPr>
          <w:p>
            <w:pPr>
              <w:spacing w:line="240" w:lineRule="auto"/>
              <w:ind w:firstLine="0" w:firstLineChars="0"/>
              <w:jc w:val="center"/>
              <w:rPr>
                <w:color w:val="auto"/>
                <w:sz w:val="21"/>
                <w:szCs w:val="21"/>
              </w:rPr>
            </w:pPr>
            <w:r>
              <w:rPr>
                <w:rFonts w:hint="eastAsia"/>
                <w:color w:val="auto"/>
                <w:sz w:val="21"/>
                <w:szCs w:val="21"/>
              </w:rPr>
              <w:t>0.20</w:t>
            </w:r>
          </w:p>
        </w:tc>
        <w:tc>
          <w:tcPr>
            <w:tcW w:w="904" w:type="pct"/>
            <w:vAlign w:val="center"/>
          </w:tcPr>
          <w:p>
            <w:pPr>
              <w:spacing w:line="240" w:lineRule="auto"/>
              <w:ind w:firstLine="0" w:firstLineChars="0"/>
              <w:jc w:val="center"/>
              <w:rPr>
                <w:color w:val="auto"/>
                <w:sz w:val="21"/>
                <w:szCs w:val="21"/>
              </w:rPr>
            </w:pPr>
            <w:r>
              <w:rPr>
                <w:rFonts w:hint="eastAsia"/>
                <w:color w:val="auto"/>
                <w:sz w:val="21"/>
                <w:szCs w:val="21"/>
              </w:rPr>
              <w:t>0.08</w:t>
            </w:r>
          </w:p>
        </w:tc>
        <w:tc>
          <w:tcPr>
            <w:tcW w:w="904" w:type="pct"/>
            <w:vAlign w:val="center"/>
          </w:tcPr>
          <w:p>
            <w:pPr>
              <w:spacing w:line="240" w:lineRule="auto"/>
              <w:ind w:firstLine="0" w:firstLineChars="0"/>
              <w:jc w:val="center"/>
              <w:rPr>
                <w:color w:val="auto"/>
                <w:sz w:val="21"/>
                <w:szCs w:val="21"/>
              </w:rPr>
            </w:pPr>
            <w:r>
              <w:rPr>
                <w:rFonts w:hint="eastAsia"/>
                <w:color w:val="auto"/>
                <w:sz w:val="21"/>
                <w:szCs w:val="21"/>
              </w:rPr>
              <w:t>0.04</w:t>
            </w:r>
          </w:p>
        </w:tc>
        <w:tc>
          <w:tcPr>
            <w:tcW w:w="1509" w:type="pct"/>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6" w:type="pct"/>
            <w:vAlign w:val="center"/>
          </w:tcPr>
          <w:p>
            <w:pPr>
              <w:spacing w:line="240" w:lineRule="auto"/>
              <w:ind w:firstLine="0" w:firstLineChars="0"/>
              <w:jc w:val="center"/>
              <w:rPr>
                <w:color w:val="auto"/>
                <w:sz w:val="21"/>
                <w:szCs w:val="21"/>
              </w:rPr>
            </w:pPr>
            <w:r>
              <w:rPr>
                <w:rFonts w:hint="eastAsia"/>
                <w:color w:val="auto"/>
                <w:sz w:val="21"/>
                <w:szCs w:val="21"/>
              </w:rPr>
              <w:t>PM</w:t>
            </w:r>
            <w:r>
              <w:rPr>
                <w:rFonts w:hint="eastAsia"/>
                <w:color w:val="auto"/>
                <w:sz w:val="21"/>
                <w:szCs w:val="21"/>
                <w:vertAlign w:val="subscript"/>
              </w:rPr>
              <w:t>10</w:t>
            </w:r>
          </w:p>
        </w:tc>
        <w:tc>
          <w:tcPr>
            <w:tcW w:w="904" w:type="pct"/>
            <w:vAlign w:val="center"/>
          </w:tcPr>
          <w:p>
            <w:pPr>
              <w:spacing w:line="240" w:lineRule="auto"/>
              <w:ind w:firstLine="0" w:firstLineChars="0"/>
              <w:jc w:val="center"/>
              <w:rPr>
                <w:color w:val="auto"/>
                <w:sz w:val="21"/>
                <w:szCs w:val="21"/>
              </w:rPr>
            </w:pPr>
            <w:r>
              <w:rPr>
                <w:rFonts w:hint="eastAsia"/>
                <w:color w:val="auto"/>
                <w:sz w:val="21"/>
                <w:szCs w:val="21"/>
              </w:rPr>
              <w:t>--</w:t>
            </w:r>
          </w:p>
        </w:tc>
        <w:tc>
          <w:tcPr>
            <w:tcW w:w="904" w:type="pct"/>
            <w:vAlign w:val="center"/>
          </w:tcPr>
          <w:p>
            <w:pPr>
              <w:spacing w:line="240" w:lineRule="auto"/>
              <w:ind w:firstLine="0" w:firstLineChars="0"/>
              <w:jc w:val="center"/>
              <w:rPr>
                <w:color w:val="auto"/>
                <w:sz w:val="21"/>
                <w:szCs w:val="21"/>
              </w:rPr>
            </w:pPr>
            <w:r>
              <w:rPr>
                <w:rFonts w:hint="eastAsia"/>
                <w:color w:val="auto"/>
                <w:sz w:val="21"/>
                <w:szCs w:val="21"/>
              </w:rPr>
              <w:t>0.15</w:t>
            </w:r>
          </w:p>
        </w:tc>
        <w:tc>
          <w:tcPr>
            <w:tcW w:w="904" w:type="pct"/>
            <w:vAlign w:val="center"/>
          </w:tcPr>
          <w:p>
            <w:pPr>
              <w:spacing w:line="240" w:lineRule="auto"/>
              <w:ind w:firstLine="0" w:firstLineChars="0"/>
              <w:jc w:val="center"/>
              <w:rPr>
                <w:color w:val="auto"/>
                <w:sz w:val="21"/>
                <w:szCs w:val="21"/>
              </w:rPr>
            </w:pPr>
            <w:r>
              <w:rPr>
                <w:rFonts w:hint="eastAsia"/>
                <w:color w:val="auto"/>
                <w:sz w:val="21"/>
                <w:szCs w:val="21"/>
              </w:rPr>
              <w:t>0.07</w:t>
            </w:r>
          </w:p>
        </w:tc>
        <w:tc>
          <w:tcPr>
            <w:tcW w:w="1509" w:type="pct"/>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6" w:type="pct"/>
            <w:vAlign w:val="center"/>
          </w:tcPr>
          <w:p>
            <w:pPr>
              <w:spacing w:line="240" w:lineRule="auto"/>
              <w:ind w:firstLine="0" w:firstLineChars="0"/>
              <w:jc w:val="center"/>
              <w:rPr>
                <w:color w:val="auto"/>
                <w:sz w:val="21"/>
                <w:szCs w:val="21"/>
              </w:rPr>
            </w:pPr>
            <w:r>
              <w:rPr>
                <w:color w:val="auto"/>
                <w:sz w:val="21"/>
                <w:szCs w:val="21"/>
              </w:rPr>
              <w:t>TSP</w:t>
            </w:r>
          </w:p>
        </w:tc>
        <w:tc>
          <w:tcPr>
            <w:tcW w:w="904" w:type="pct"/>
            <w:vAlign w:val="center"/>
          </w:tcPr>
          <w:p>
            <w:pPr>
              <w:spacing w:line="240" w:lineRule="auto"/>
              <w:ind w:firstLine="0" w:firstLineChars="0"/>
              <w:jc w:val="center"/>
              <w:rPr>
                <w:color w:val="auto"/>
                <w:sz w:val="21"/>
                <w:szCs w:val="21"/>
              </w:rPr>
            </w:pPr>
            <w:r>
              <w:rPr>
                <w:rFonts w:hint="eastAsia"/>
                <w:color w:val="auto"/>
                <w:sz w:val="21"/>
                <w:szCs w:val="21"/>
              </w:rPr>
              <w:t>--</w:t>
            </w:r>
          </w:p>
        </w:tc>
        <w:tc>
          <w:tcPr>
            <w:tcW w:w="904" w:type="pct"/>
            <w:vAlign w:val="center"/>
          </w:tcPr>
          <w:p>
            <w:pPr>
              <w:spacing w:line="240" w:lineRule="auto"/>
              <w:ind w:firstLine="0" w:firstLineChars="0"/>
              <w:jc w:val="center"/>
              <w:rPr>
                <w:color w:val="auto"/>
                <w:sz w:val="21"/>
                <w:szCs w:val="21"/>
              </w:rPr>
            </w:pPr>
            <w:r>
              <w:rPr>
                <w:rFonts w:hint="eastAsia"/>
                <w:color w:val="auto"/>
                <w:sz w:val="21"/>
                <w:szCs w:val="21"/>
              </w:rPr>
              <w:t>0.3</w:t>
            </w:r>
          </w:p>
        </w:tc>
        <w:tc>
          <w:tcPr>
            <w:tcW w:w="904" w:type="pct"/>
            <w:vAlign w:val="center"/>
          </w:tcPr>
          <w:p>
            <w:pPr>
              <w:spacing w:line="240" w:lineRule="auto"/>
              <w:ind w:firstLine="0" w:firstLineChars="0"/>
              <w:jc w:val="center"/>
              <w:rPr>
                <w:color w:val="auto"/>
                <w:sz w:val="21"/>
                <w:szCs w:val="21"/>
              </w:rPr>
            </w:pPr>
            <w:r>
              <w:rPr>
                <w:rFonts w:hint="eastAsia"/>
                <w:color w:val="auto"/>
                <w:sz w:val="21"/>
                <w:szCs w:val="21"/>
              </w:rPr>
              <w:t>0.2</w:t>
            </w:r>
          </w:p>
        </w:tc>
        <w:tc>
          <w:tcPr>
            <w:tcW w:w="1509" w:type="pct"/>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6" w:type="pct"/>
            <w:vAlign w:val="center"/>
          </w:tcPr>
          <w:p>
            <w:pPr>
              <w:spacing w:line="240" w:lineRule="auto"/>
              <w:ind w:firstLine="0" w:firstLineChars="0"/>
              <w:jc w:val="center"/>
              <w:rPr>
                <w:color w:val="auto"/>
                <w:sz w:val="21"/>
                <w:szCs w:val="21"/>
              </w:rPr>
            </w:pPr>
            <w:r>
              <w:rPr>
                <w:color w:val="auto"/>
                <w:sz w:val="21"/>
                <w:szCs w:val="21"/>
              </w:rPr>
              <w:t>VOCs(</w:t>
            </w:r>
            <w:r>
              <w:rPr>
                <w:rFonts w:hint="eastAsia"/>
                <w:color w:val="auto"/>
                <w:sz w:val="21"/>
                <w:szCs w:val="21"/>
              </w:rPr>
              <w:t>以非甲烷总烃计）</w:t>
            </w:r>
          </w:p>
        </w:tc>
        <w:tc>
          <w:tcPr>
            <w:tcW w:w="904" w:type="pct"/>
            <w:vAlign w:val="center"/>
          </w:tcPr>
          <w:p>
            <w:pPr>
              <w:spacing w:line="240" w:lineRule="auto"/>
              <w:ind w:firstLine="0" w:firstLineChars="0"/>
              <w:jc w:val="center"/>
              <w:rPr>
                <w:color w:val="auto"/>
                <w:sz w:val="21"/>
                <w:szCs w:val="21"/>
              </w:rPr>
            </w:pPr>
            <w:r>
              <w:rPr>
                <w:color w:val="auto"/>
                <w:sz w:val="21"/>
                <w:szCs w:val="21"/>
              </w:rPr>
              <w:t>2.0</w:t>
            </w:r>
          </w:p>
        </w:tc>
        <w:tc>
          <w:tcPr>
            <w:tcW w:w="904" w:type="pct"/>
            <w:vAlign w:val="center"/>
          </w:tcPr>
          <w:p>
            <w:pPr>
              <w:spacing w:line="240" w:lineRule="auto"/>
              <w:ind w:firstLine="0" w:firstLineChars="0"/>
              <w:jc w:val="center"/>
              <w:rPr>
                <w:color w:val="auto"/>
                <w:sz w:val="21"/>
                <w:szCs w:val="21"/>
              </w:rPr>
            </w:pPr>
            <w:r>
              <w:rPr>
                <w:color w:val="auto"/>
                <w:sz w:val="21"/>
                <w:szCs w:val="21"/>
              </w:rPr>
              <w:t>/</w:t>
            </w:r>
          </w:p>
        </w:tc>
        <w:tc>
          <w:tcPr>
            <w:tcW w:w="904" w:type="pct"/>
            <w:vAlign w:val="center"/>
          </w:tcPr>
          <w:p>
            <w:pPr>
              <w:spacing w:line="240" w:lineRule="auto"/>
              <w:ind w:firstLine="0" w:firstLineChars="0"/>
              <w:jc w:val="center"/>
              <w:rPr>
                <w:color w:val="auto"/>
                <w:sz w:val="21"/>
                <w:szCs w:val="21"/>
              </w:rPr>
            </w:pPr>
            <w:r>
              <w:rPr>
                <w:rFonts w:hint="eastAsia"/>
                <w:color w:val="auto"/>
                <w:sz w:val="21"/>
                <w:szCs w:val="21"/>
              </w:rPr>
              <w:t>--</w:t>
            </w:r>
          </w:p>
        </w:tc>
        <w:tc>
          <w:tcPr>
            <w:tcW w:w="1509" w:type="pct"/>
            <w:vAlign w:val="center"/>
          </w:tcPr>
          <w:p>
            <w:pPr>
              <w:spacing w:line="240" w:lineRule="auto"/>
              <w:ind w:firstLine="0" w:firstLineChars="0"/>
              <w:jc w:val="center"/>
              <w:rPr>
                <w:color w:val="auto"/>
                <w:sz w:val="21"/>
                <w:szCs w:val="21"/>
              </w:rPr>
            </w:pPr>
            <w:r>
              <w:rPr>
                <w:rFonts w:hint="eastAsia"/>
                <w:color w:val="auto"/>
                <w:sz w:val="21"/>
                <w:szCs w:val="21"/>
              </w:rPr>
              <w:t>《大气污染物综合排放标准》详解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6" w:type="pct"/>
            <w:vAlign w:val="center"/>
          </w:tcPr>
          <w:p>
            <w:pPr>
              <w:spacing w:line="240" w:lineRule="auto"/>
              <w:ind w:firstLine="0" w:firstLineChars="0"/>
              <w:jc w:val="center"/>
              <w:rPr>
                <w:color w:val="auto"/>
                <w:sz w:val="21"/>
                <w:szCs w:val="21"/>
              </w:rPr>
            </w:pPr>
            <w:r>
              <w:rPr>
                <w:rFonts w:hint="eastAsia"/>
                <w:color w:val="auto"/>
                <w:sz w:val="21"/>
                <w:szCs w:val="21"/>
              </w:rPr>
              <w:t>氨</w:t>
            </w:r>
          </w:p>
        </w:tc>
        <w:tc>
          <w:tcPr>
            <w:tcW w:w="904" w:type="pct"/>
            <w:vAlign w:val="center"/>
          </w:tcPr>
          <w:p>
            <w:pPr>
              <w:spacing w:line="240" w:lineRule="auto"/>
              <w:ind w:firstLine="0" w:firstLineChars="0"/>
              <w:jc w:val="center"/>
              <w:rPr>
                <w:color w:val="auto"/>
                <w:sz w:val="21"/>
                <w:szCs w:val="21"/>
              </w:rPr>
            </w:pPr>
            <w:r>
              <w:rPr>
                <w:color w:val="auto"/>
                <w:sz w:val="21"/>
                <w:szCs w:val="21"/>
              </w:rPr>
              <w:t>0.20</w:t>
            </w:r>
          </w:p>
        </w:tc>
        <w:tc>
          <w:tcPr>
            <w:tcW w:w="904" w:type="pct"/>
            <w:vAlign w:val="center"/>
          </w:tcPr>
          <w:p>
            <w:pPr>
              <w:spacing w:line="240" w:lineRule="auto"/>
              <w:ind w:firstLine="0" w:firstLineChars="0"/>
              <w:jc w:val="center"/>
              <w:rPr>
                <w:color w:val="auto"/>
                <w:sz w:val="21"/>
                <w:szCs w:val="21"/>
              </w:rPr>
            </w:pPr>
            <w:r>
              <w:rPr>
                <w:color w:val="auto"/>
                <w:sz w:val="21"/>
                <w:szCs w:val="21"/>
              </w:rPr>
              <w:t>/</w:t>
            </w:r>
          </w:p>
        </w:tc>
        <w:tc>
          <w:tcPr>
            <w:tcW w:w="904" w:type="pct"/>
            <w:vAlign w:val="center"/>
          </w:tcPr>
          <w:p>
            <w:pPr>
              <w:spacing w:line="240" w:lineRule="auto"/>
              <w:ind w:firstLine="0" w:firstLineChars="0"/>
              <w:jc w:val="center"/>
              <w:rPr>
                <w:color w:val="auto"/>
                <w:sz w:val="21"/>
                <w:szCs w:val="21"/>
              </w:rPr>
            </w:pPr>
          </w:p>
        </w:tc>
        <w:tc>
          <w:tcPr>
            <w:tcW w:w="1509" w:type="pct"/>
            <w:vMerge w:val="restart"/>
            <w:vAlign w:val="center"/>
          </w:tcPr>
          <w:p>
            <w:pPr>
              <w:spacing w:line="240" w:lineRule="auto"/>
              <w:ind w:firstLine="0" w:firstLineChars="0"/>
              <w:jc w:val="center"/>
              <w:rPr>
                <w:color w:val="auto"/>
                <w:sz w:val="21"/>
                <w:szCs w:val="21"/>
              </w:rPr>
            </w:pPr>
            <w:r>
              <w:rPr>
                <w:rFonts w:hint="eastAsia"/>
                <w:color w:val="auto"/>
                <w:sz w:val="21"/>
                <w:szCs w:val="21"/>
              </w:rPr>
              <w:t>大气导则附录D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6" w:type="pct"/>
            <w:vAlign w:val="center"/>
          </w:tcPr>
          <w:p>
            <w:pPr>
              <w:adjustRightInd w:val="0"/>
              <w:spacing w:line="240" w:lineRule="auto"/>
              <w:ind w:firstLine="0" w:firstLineChars="0"/>
              <w:jc w:val="center"/>
              <w:rPr>
                <w:color w:val="auto"/>
                <w:sz w:val="21"/>
                <w:szCs w:val="21"/>
              </w:rPr>
            </w:pPr>
            <w:r>
              <w:rPr>
                <w:rFonts w:hint="eastAsia" w:ascii="宋体" w:hAnsi="宋体" w:cs="宋体"/>
                <w:color w:val="auto"/>
                <w:kern w:val="0"/>
                <w:sz w:val="21"/>
                <w:szCs w:val="21"/>
                <w:lang w:bidi="ar"/>
              </w:rPr>
              <w:t>硫化氢</w:t>
            </w:r>
          </w:p>
        </w:tc>
        <w:tc>
          <w:tcPr>
            <w:tcW w:w="904" w:type="pct"/>
            <w:vAlign w:val="center"/>
          </w:tcPr>
          <w:p>
            <w:pPr>
              <w:adjustRightInd w:val="0"/>
              <w:spacing w:line="240" w:lineRule="auto"/>
              <w:ind w:firstLine="0" w:firstLineChars="0"/>
              <w:jc w:val="center"/>
              <w:rPr>
                <w:color w:val="auto"/>
                <w:sz w:val="21"/>
                <w:szCs w:val="21"/>
              </w:rPr>
            </w:pPr>
            <w:r>
              <w:rPr>
                <w:color w:val="auto"/>
                <w:kern w:val="0"/>
                <w:sz w:val="21"/>
                <w:szCs w:val="21"/>
                <w:lang w:bidi="ar"/>
              </w:rPr>
              <w:t>0.01</w:t>
            </w:r>
          </w:p>
        </w:tc>
        <w:tc>
          <w:tcPr>
            <w:tcW w:w="904" w:type="pct"/>
            <w:vAlign w:val="center"/>
          </w:tcPr>
          <w:p>
            <w:pPr>
              <w:adjustRightInd w:val="0"/>
              <w:spacing w:line="240" w:lineRule="auto"/>
              <w:ind w:firstLine="0" w:firstLineChars="0"/>
              <w:jc w:val="center"/>
              <w:rPr>
                <w:color w:val="auto"/>
                <w:sz w:val="21"/>
                <w:szCs w:val="21"/>
              </w:rPr>
            </w:pPr>
            <w:r>
              <w:rPr>
                <w:color w:val="auto"/>
                <w:kern w:val="0"/>
                <w:sz w:val="21"/>
                <w:szCs w:val="21"/>
                <w:lang w:bidi="ar"/>
              </w:rPr>
              <w:t>/</w:t>
            </w:r>
          </w:p>
        </w:tc>
        <w:tc>
          <w:tcPr>
            <w:tcW w:w="904" w:type="pct"/>
            <w:vAlign w:val="center"/>
          </w:tcPr>
          <w:p>
            <w:pPr>
              <w:spacing w:line="240" w:lineRule="auto"/>
              <w:ind w:firstLine="0" w:firstLineChars="0"/>
              <w:jc w:val="center"/>
              <w:rPr>
                <w:color w:val="auto"/>
                <w:sz w:val="21"/>
                <w:szCs w:val="21"/>
              </w:rPr>
            </w:pPr>
            <w:r>
              <w:rPr>
                <w:rFonts w:hint="eastAsia"/>
                <w:color w:val="auto"/>
                <w:sz w:val="21"/>
                <w:szCs w:val="21"/>
              </w:rPr>
              <w:t>—</w:t>
            </w:r>
          </w:p>
        </w:tc>
        <w:tc>
          <w:tcPr>
            <w:tcW w:w="1509" w:type="pct"/>
            <w:vMerge w:val="continue"/>
            <w:vAlign w:val="center"/>
          </w:tcPr>
          <w:p>
            <w:pPr>
              <w:spacing w:line="240" w:lineRule="auto"/>
              <w:ind w:firstLine="0" w:firstLineChars="0"/>
              <w:jc w:val="center"/>
              <w:rPr>
                <w:color w:val="auto"/>
                <w:sz w:val="21"/>
                <w:szCs w:val="21"/>
              </w:rPr>
            </w:pPr>
          </w:p>
        </w:tc>
      </w:tr>
    </w:tbl>
    <w:p>
      <w:pPr>
        <w:ind w:firstLine="480"/>
        <w:rPr>
          <w:color w:val="auto"/>
        </w:rPr>
      </w:pPr>
      <w:r>
        <w:rPr>
          <w:rFonts w:hint="eastAsia"/>
          <w:color w:val="auto"/>
        </w:rPr>
        <w:t>（2）污染源参数</w:t>
      </w:r>
    </w:p>
    <w:p>
      <w:pPr>
        <w:ind w:firstLine="480"/>
        <w:rPr>
          <w:color w:val="auto"/>
        </w:rPr>
        <w:sectPr>
          <w:headerReference r:id="rId35" w:type="default"/>
          <w:pgSz w:w="11906" w:h="16838"/>
          <w:pgMar w:top="1417" w:right="1417" w:bottom="1417" w:left="1800" w:header="851" w:footer="992" w:gutter="0"/>
          <w:pgBorders>
            <w:top w:val="none" w:sz="0" w:space="0"/>
            <w:left w:val="none" w:sz="0" w:space="0"/>
            <w:bottom w:val="none" w:sz="0" w:space="0"/>
            <w:right w:val="none" w:sz="0" w:space="0"/>
          </w:pgBorders>
          <w:cols w:space="425" w:num="1"/>
          <w:docGrid w:type="lines" w:linePitch="312" w:charSpace="0"/>
        </w:sectPr>
      </w:pPr>
      <w:r>
        <w:rPr>
          <w:color w:val="auto"/>
        </w:rPr>
        <w:t>经调查，评价范围内没有与本项目排放污染物有关的在建项目、拟建项目；本项目主要废气污染源排放参数见下表。</w:t>
      </w:r>
    </w:p>
    <w:p>
      <w:pPr>
        <w:ind w:firstLine="0" w:firstLineChars="0"/>
        <w:jc w:val="center"/>
        <w:rPr>
          <w:b/>
          <w:bCs/>
          <w:color w:val="auto"/>
        </w:rPr>
      </w:pPr>
      <w:r>
        <w:rPr>
          <w:rFonts w:eastAsia="黑体"/>
          <w:b/>
          <w:bCs/>
          <w:color w:val="auto"/>
          <w:sz w:val="21"/>
          <w:szCs w:val="21"/>
        </w:rPr>
        <w:t>表</w:t>
      </w:r>
      <w:r>
        <w:rPr>
          <w:rFonts w:hint="eastAsia" w:eastAsia="黑体"/>
          <w:b/>
          <w:bCs/>
          <w:color w:val="auto"/>
          <w:sz w:val="21"/>
          <w:szCs w:val="21"/>
        </w:rPr>
        <w:t>5</w:t>
      </w:r>
      <w:r>
        <w:rPr>
          <w:rFonts w:eastAsia="黑体"/>
          <w:b/>
          <w:bCs/>
          <w:color w:val="auto"/>
          <w:sz w:val="21"/>
          <w:szCs w:val="21"/>
        </w:rPr>
        <w:t>.1-3 点源参数表</w:t>
      </w:r>
    </w:p>
    <w:tbl>
      <w:tblPr>
        <w:tblStyle w:val="22"/>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5" w:type="dxa"/>
          <w:bottom w:w="15" w:type="dxa"/>
          <w:right w:w="15" w:type="dxa"/>
        </w:tblCellMar>
      </w:tblPr>
      <w:tblGrid>
        <w:gridCol w:w="845"/>
        <w:gridCol w:w="912"/>
        <w:gridCol w:w="1402"/>
        <w:gridCol w:w="473"/>
        <w:gridCol w:w="571"/>
        <w:gridCol w:w="733"/>
        <w:gridCol w:w="909"/>
        <w:gridCol w:w="814"/>
        <w:gridCol w:w="929"/>
        <w:gridCol w:w="652"/>
        <w:gridCol w:w="811"/>
        <w:gridCol w:w="806"/>
        <w:gridCol w:w="937"/>
        <w:gridCol w:w="764"/>
        <w:gridCol w:w="842"/>
        <w:gridCol w:w="709"/>
        <w:gridCol w:w="87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976" w:hRule="atLeast"/>
        </w:trPr>
        <w:tc>
          <w:tcPr>
            <w:tcW w:w="302" w:type="pct"/>
            <w:vMerge w:val="restart"/>
            <w:shd w:val="clear" w:color="auto" w:fill="FFFFFF"/>
            <w:vAlign w:val="center"/>
          </w:tcPr>
          <w:p>
            <w:pPr>
              <w:widowControl/>
              <w:spacing w:line="312" w:lineRule="exact"/>
              <w:ind w:firstLine="0" w:firstLineChars="0"/>
              <w:jc w:val="center"/>
              <w:textAlignment w:val="center"/>
              <w:rPr>
                <w:b/>
                <w:bCs/>
                <w:color w:val="auto"/>
                <w:sz w:val="21"/>
                <w:szCs w:val="21"/>
              </w:rPr>
            </w:pPr>
            <w:r>
              <w:rPr>
                <w:b/>
                <w:bCs/>
                <w:color w:val="auto"/>
                <w:kern w:val="0"/>
                <w:sz w:val="21"/>
                <w:szCs w:val="21"/>
                <w:lang w:bidi="ar"/>
              </w:rPr>
              <w:t>编号</w:t>
            </w:r>
          </w:p>
        </w:tc>
        <w:tc>
          <w:tcPr>
            <w:tcW w:w="326" w:type="pct"/>
            <w:vMerge w:val="restart"/>
            <w:shd w:val="clear" w:color="auto" w:fill="FFFFFF"/>
            <w:vAlign w:val="center"/>
          </w:tcPr>
          <w:p>
            <w:pPr>
              <w:widowControl/>
              <w:spacing w:line="312" w:lineRule="exact"/>
              <w:ind w:firstLine="0" w:firstLineChars="0"/>
              <w:jc w:val="center"/>
              <w:textAlignment w:val="center"/>
              <w:rPr>
                <w:b/>
                <w:bCs/>
                <w:color w:val="auto"/>
                <w:sz w:val="21"/>
                <w:szCs w:val="21"/>
              </w:rPr>
            </w:pPr>
            <w:r>
              <w:rPr>
                <w:b/>
                <w:bCs/>
                <w:color w:val="auto"/>
                <w:kern w:val="0"/>
                <w:sz w:val="21"/>
                <w:szCs w:val="21"/>
                <w:lang w:bidi="ar"/>
              </w:rPr>
              <w:t>名称</w:t>
            </w:r>
          </w:p>
        </w:tc>
        <w:tc>
          <w:tcPr>
            <w:tcW w:w="501" w:type="pct"/>
            <w:vMerge w:val="restart"/>
            <w:shd w:val="clear" w:color="auto" w:fill="FFFFFF"/>
            <w:vAlign w:val="center"/>
          </w:tcPr>
          <w:p>
            <w:pPr>
              <w:widowControl/>
              <w:spacing w:line="312" w:lineRule="exact"/>
              <w:ind w:firstLine="0" w:firstLineChars="0"/>
              <w:jc w:val="center"/>
              <w:textAlignment w:val="center"/>
              <w:rPr>
                <w:b/>
                <w:bCs/>
                <w:iCs/>
                <w:color w:val="auto"/>
                <w:sz w:val="21"/>
                <w:szCs w:val="21"/>
              </w:rPr>
            </w:pPr>
            <w:r>
              <w:rPr>
                <w:b/>
                <w:bCs/>
                <w:color w:val="auto"/>
                <w:kern w:val="0"/>
                <w:sz w:val="21"/>
                <w:szCs w:val="21"/>
                <w:lang w:bidi="ar"/>
              </w:rPr>
              <w:t>排气筒底部中心地理坐标</w:t>
            </w:r>
          </w:p>
        </w:tc>
        <w:tc>
          <w:tcPr>
            <w:tcW w:w="169" w:type="pct"/>
            <w:vMerge w:val="restart"/>
            <w:shd w:val="clear" w:color="auto" w:fill="FFFFFF"/>
            <w:vAlign w:val="center"/>
          </w:tcPr>
          <w:p>
            <w:pPr>
              <w:widowControl/>
              <w:spacing w:line="312" w:lineRule="exact"/>
              <w:ind w:firstLine="0" w:firstLineChars="0"/>
              <w:jc w:val="center"/>
              <w:textAlignment w:val="center"/>
              <w:rPr>
                <w:b/>
                <w:bCs/>
                <w:color w:val="auto"/>
                <w:sz w:val="21"/>
                <w:szCs w:val="21"/>
              </w:rPr>
            </w:pPr>
            <w:r>
              <w:rPr>
                <w:b/>
                <w:bCs/>
                <w:color w:val="auto"/>
                <w:kern w:val="0"/>
                <w:sz w:val="21"/>
                <w:szCs w:val="21"/>
                <w:lang w:bidi="ar"/>
              </w:rPr>
              <w:t>排气筒底部海拔高度</w:t>
            </w:r>
            <w:r>
              <w:rPr>
                <w:rFonts w:eastAsia="仿宋_GB2312"/>
                <w:b/>
                <w:bCs/>
                <w:color w:val="auto"/>
                <w:kern w:val="0"/>
                <w:sz w:val="21"/>
                <w:szCs w:val="21"/>
                <w:lang w:bidi="ar"/>
              </w:rPr>
              <w:t>/m</w:t>
            </w:r>
          </w:p>
        </w:tc>
        <w:tc>
          <w:tcPr>
            <w:tcW w:w="204" w:type="pct"/>
            <w:vMerge w:val="restart"/>
            <w:shd w:val="clear" w:color="auto" w:fill="FFFFFF"/>
            <w:vAlign w:val="center"/>
          </w:tcPr>
          <w:p>
            <w:pPr>
              <w:widowControl/>
              <w:spacing w:line="312" w:lineRule="exact"/>
              <w:ind w:firstLine="0" w:firstLineChars="0"/>
              <w:jc w:val="center"/>
              <w:textAlignment w:val="center"/>
              <w:rPr>
                <w:b/>
                <w:bCs/>
                <w:color w:val="auto"/>
                <w:sz w:val="21"/>
                <w:szCs w:val="21"/>
              </w:rPr>
            </w:pPr>
            <w:r>
              <w:rPr>
                <w:b/>
                <w:bCs/>
                <w:color w:val="auto"/>
                <w:kern w:val="0"/>
                <w:sz w:val="21"/>
                <w:szCs w:val="21"/>
                <w:lang w:bidi="ar"/>
              </w:rPr>
              <w:t>排气筒高度</w:t>
            </w:r>
            <w:r>
              <w:rPr>
                <w:rFonts w:eastAsia="仿宋_GB2312"/>
                <w:b/>
                <w:bCs/>
                <w:color w:val="auto"/>
                <w:kern w:val="0"/>
                <w:sz w:val="21"/>
                <w:szCs w:val="21"/>
                <w:lang w:bidi="ar"/>
              </w:rPr>
              <w:t>/m</w:t>
            </w:r>
          </w:p>
        </w:tc>
        <w:tc>
          <w:tcPr>
            <w:tcW w:w="262" w:type="pct"/>
            <w:vMerge w:val="restart"/>
            <w:shd w:val="clear" w:color="auto" w:fill="FFFFFF"/>
            <w:vAlign w:val="center"/>
          </w:tcPr>
          <w:p>
            <w:pPr>
              <w:widowControl/>
              <w:spacing w:line="312" w:lineRule="exact"/>
              <w:ind w:firstLine="0" w:firstLineChars="0"/>
              <w:jc w:val="center"/>
              <w:textAlignment w:val="center"/>
              <w:rPr>
                <w:b/>
                <w:bCs/>
                <w:color w:val="auto"/>
                <w:sz w:val="21"/>
                <w:szCs w:val="21"/>
              </w:rPr>
            </w:pPr>
            <w:r>
              <w:rPr>
                <w:b/>
                <w:bCs/>
                <w:color w:val="auto"/>
                <w:kern w:val="0"/>
                <w:sz w:val="21"/>
                <w:szCs w:val="21"/>
                <w:lang w:bidi="ar"/>
              </w:rPr>
              <w:t>排气筒出口内径</w:t>
            </w:r>
            <w:r>
              <w:rPr>
                <w:rFonts w:eastAsia="仿宋_GB2312"/>
                <w:b/>
                <w:bCs/>
                <w:color w:val="auto"/>
                <w:kern w:val="0"/>
                <w:sz w:val="21"/>
                <w:szCs w:val="21"/>
                <w:lang w:bidi="ar"/>
              </w:rPr>
              <w:t>/m</w:t>
            </w:r>
          </w:p>
        </w:tc>
        <w:tc>
          <w:tcPr>
            <w:tcW w:w="325" w:type="pct"/>
            <w:vMerge w:val="restart"/>
            <w:shd w:val="clear" w:color="auto" w:fill="FFFFFF"/>
            <w:vAlign w:val="center"/>
          </w:tcPr>
          <w:p>
            <w:pPr>
              <w:widowControl/>
              <w:spacing w:line="312" w:lineRule="exact"/>
              <w:ind w:firstLine="0" w:firstLineChars="0"/>
              <w:jc w:val="center"/>
              <w:textAlignment w:val="center"/>
              <w:rPr>
                <w:b/>
                <w:bCs/>
                <w:color w:val="auto"/>
                <w:sz w:val="21"/>
                <w:szCs w:val="21"/>
              </w:rPr>
            </w:pPr>
            <w:r>
              <w:rPr>
                <w:b/>
                <w:bCs/>
                <w:color w:val="auto"/>
                <w:kern w:val="0"/>
                <w:sz w:val="21"/>
                <w:szCs w:val="21"/>
                <w:lang w:bidi="ar"/>
              </w:rPr>
              <w:t>烟气流速</w:t>
            </w:r>
            <w:r>
              <w:rPr>
                <w:rFonts w:eastAsia="仿宋_GB2312"/>
                <w:b/>
                <w:bCs/>
                <w:color w:val="auto"/>
                <w:kern w:val="0"/>
                <w:sz w:val="21"/>
                <w:szCs w:val="21"/>
                <w:lang w:bidi="ar"/>
              </w:rPr>
              <w:t>/（m/s）</w:t>
            </w:r>
          </w:p>
        </w:tc>
        <w:tc>
          <w:tcPr>
            <w:tcW w:w="291" w:type="pct"/>
            <w:vMerge w:val="restart"/>
            <w:shd w:val="clear" w:color="auto" w:fill="FFFFFF"/>
            <w:vAlign w:val="center"/>
          </w:tcPr>
          <w:p>
            <w:pPr>
              <w:widowControl/>
              <w:spacing w:line="312" w:lineRule="exact"/>
              <w:ind w:firstLine="0" w:firstLineChars="0"/>
              <w:jc w:val="center"/>
              <w:textAlignment w:val="center"/>
              <w:rPr>
                <w:b/>
                <w:bCs/>
                <w:color w:val="auto"/>
                <w:sz w:val="21"/>
                <w:szCs w:val="21"/>
              </w:rPr>
            </w:pPr>
            <w:r>
              <w:rPr>
                <w:b/>
                <w:bCs/>
                <w:color w:val="auto"/>
                <w:kern w:val="0"/>
                <w:sz w:val="21"/>
                <w:szCs w:val="21"/>
                <w:lang w:bidi="ar"/>
              </w:rPr>
              <w:t>烟气温度</w:t>
            </w:r>
            <w:r>
              <w:rPr>
                <w:rFonts w:eastAsia="仿宋_GB2312"/>
                <w:b/>
                <w:bCs/>
                <w:color w:val="auto"/>
                <w:kern w:val="0"/>
                <w:sz w:val="21"/>
                <w:szCs w:val="21"/>
                <w:lang w:bidi="ar"/>
              </w:rPr>
              <w:t>/</w:t>
            </w:r>
            <w:r>
              <w:rPr>
                <w:b/>
                <w:bCs/>
                <w:color w:val="auto"/>
                <w:kern w:val="0"/>
                <w:sz w:val="21"/>
                <w:szCs w:val="21"/>
                <w:lang w:bidi="ar"/>
              </w:rPr>
              <w:t>℃</w:t>
            </w:r>
          </w:p>
        </w:tc>
        <w:tc>
          <w:tcPr>
            <w:tcW w:w="332" w:type="pct"/>
            <w:vMerge w:val="restart"/>
            <w:shd w:val="clear" w:color="auto" w:fill="FFFFFF"/>
            <w:vAlign w:val="center"/>
          </w:tcPr>
          <w:p>
            <w:pPr>
              <w:widowControl/>
              <w:spacing w:line="312" w:lineRule="exact"/>
              <w:ind w:firstLine="0" w:firstLineChars="0"/>
              <w:jc w:val="center"/>
              <w:textAlignment w:val="center"/>
              <w:rPr>
                <w:b/>
                <w:bCs/>
                <w:color w:val="auto"/>
                <w:sz w:val="21"/>
                <w:szCs w:val="21"/>
              </w:rPr>
            </w:pPr>
            <w:r>
              <w:rPr>
                <w:b/>
                <w:bCs/>
                <w:color w:val="auto"/>
                <w:kern w:val="0"/>
                <w:sz w:val="21"/>
                <w:szCs w:val="21"/>
                <w:lang w:bidi="ar"/>
              </w:rPr>
              <w:t>年排放小时数</w:t>
            </w:r>
            <w:r>
              <w:rPr>
                <w:rFonts w:eastAsia="仿宋_GB2312"/>
                <w:b/>
                <w:bCs/>
                <w:color w:val="auto"/>
                <w:kern w:val="0"/>
                <w:sz w:val="21"/>
                <w:szCs w:val="21"/>
                <w:lang w:bidi="ar"/>
              </w:rPr>
              <w:t>/h</w:t>
            </w:r>
          </w:p>
        </w:tc>
        <w:tc>
          <w:tcPr>
            <w:tcW w:w="233" w:type="pct"/>
            <w:vMerge w:val="restart"/>
            <w:shd w:val="clear" w:color="auto" w:fill="FFFFFF"/>
            <w:vAlign w:val="center"/>
          </w:tcPr>
          <w:p>
            <w:pPr>
              <w:widowControl/>
              <w:spacing w:line="312" w:lineRule="exact"/>
              <w:ind w:firstLine="0" w:firstLineChars="0"/>
              <w:jc w:val="center"/>
              <w:textAlignment w:val="center"/>
              <w:rPr>
                <w:b/>
                <w:bCs/>
                <w:color w:val="auto"/>
                <w:sz w:val="21"/>
                <w:szCs w:val="21"/>
              </w:rPr>
            </w:pPr>
            <w:r>
              <w:rPr>
                <w:b/>
                <w:bCs/>
                <w:color w:val="auto"/>
                <w:kern w:val="0"/>
                <w:sz w:val="21"/>
                <w:szCs w:val="21"/>
                <w:lang w:bidi="ar"/>
              </w:rPr>
              <w:t>排放工况</w:t>
            </w:r>
          </w:p>
        </w:tc>
        <w:tc>
          <w:tcPr>
            <w:tcW w:w="2051" w:type="pct"/>
            <w:gridSpan w:val="7"/>
            <w:shd w:val="clear" w:color="auto" w:fill="FFFFFF"/>
            <w:vAlign w:val="center"/>
          </w:tcPr>
          <w:p>
            <w:pPr>
              <w:widowControl/>
              <w:spacing w:line="312" w:lineRule="exact"/>
              <w:ind w:firstLine="0" w:firstLineChars="0"/>
              <w:jc w:val="center"/>
              <w:textAlignment w:val="center"/>
              <w:rPr>
                <w:b/>
                <w:bCs/>
                <w:color w:val="auto"/>
                <w:kern w:val="0"/>
                <w:sz w:val="21"/>
                <w:szCs w:val="21"/>
                <w:lang w:bidi="ar"/>
              </w:rPr>
            </w:pPr>
            <w:r>
              <w:rPr>
                <w:b/>
                <w:bCs/>
                <w:color w:val="auto"/>
                <w:kern w:val="0"/>
                <w:sz w:val="21"/>
                <w:szCs w:val="21"/>
                <w:lang w:bidi="ar"/>
              </w:rPr>
              <w:t>污染物排放速率</w:t>
            </w:r>
            <w:r>
              <w:rPr>
                <w:rFonts w:eastAsia="仿宋_GB2312"/>
                <w:b/>
                <w:bCs/>
                <w:color w:val="auto"/>
                <w:kern w:val="0"/>
                <w:sz w:val="21"/>
                <w:szCs w:val="21"/>
                <w:lang w:bidi="ar"/>
              </w:rPr>
              <w:t>/</w:t>
            </w:r>
            <w:r>
              <w:rPr>
                <w:b/>
                <w:bCs/>
                <w:color w:val="auto"/>
                <w:kern w:val="0"/>
                <w:sz w:val="21"/>
                <w:szCs w:val="21"/>
                <w:lang w:bidi="ar"/>
              </w:rPr>
              <w:t>(kg/h)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01" w:hRule="atLeast"/>
        </w:trPr>
        <w:tc>
          <w:tcPr>
            <w:tcW w:w="302" w:type="pct"/>
            <w:vMerge w:val="continue"/>
            <w:shd w:val="clear" w:color="auto" w:fill="FFFFFF"/>
            <w:vAlign w:val="center"/>
          </w:tcPr>
          <w:p>
            <w:pPr>
              <w:widowControl/>
              <w:spacing w:line="312" w:lineRule="exact"/>
              <w:ind w:firstLine="0" w:firstLineChars="0"/>
              <w:jc w:val="center"/>
              <w:rPr>
                <w:b/>
                <w:bCs/>
                <w:color w:val="auto"/>
                <w:sz w:val="21"/>
                <w:szCs w:val="21"/>
              </w:rPr>
            </w:pPr>
          </w:p>
        </w:tc>
        <w:tc>
          <w:tcPr>
            <w:tcW w:w="326" w:type="pct"/>
            <w:vMerge w:val="continue"/>
            <w:shd w:val="clear" w:color="auto" w:fill="FFFFFF"/>
            <w:vAlign w:val="center"/>
          </w:tcPr>
          <w:p>
            <w:pPr>
              <w:widowControl/>
              <w:spacing w:line="312" w:lineRule="exact"/>
              <w:ind w:firstLine="0" w:firstLineChars="0"/>
              <w:jc w:val="center"/>
              <w:rPr>
                <w:b/>
                <w:bCs/>
                <w:color w:val="auto"/>
                <w:sz w:val="21"/>
                <w:szCs w:val="21"/>
              </w:rPr>
            </w:pPr>
          </w:p>
        </w:tc>
        <w:tc>
          <w:tcPr>
            <w:tcW w:w="501" w:type="pct"/>
            <w:vMerge w:val="continue"/>
            <w:shd w:val="clear" w:color="auto" w:fill="FFFFFF"/>
            <w:vAlign w:val="center"/>
          </w:tcPr>
          <w:p>
            <w:pPr>
              <w:widowControl/>
              <w:spacing w:line="312" w:lineRule="exact"/>
              <w:ind w:firstLine="0" w:firstLineChars="0"/>
              <w:jc w:val="center"/>
              <w:textAlignment w:val="center"/>
              <w:rPr>
                <w:b/>
                <w:bCs/>
                <w:iCs/>
                <w:color w:val="auto"/>
                <w:sz w:val="21"/>
                <w:szCs w:val="21"/>
              </w:rPr>
            </w:pPr>
          </w:p>
        </w:tc>
        <w:tc>
          <w:tcPr>
            <w:tcW w:w="169" w:type="pct"/>
            <w:vMerge w:val="continue"/>
            <w:shd w:val="clear" w:color="auto" w:fill="FFFFFF"/>
            <w:vAlign w:val="center"/>
          </w:tcPr>
          <w:p>
            <w:pPr>
              <w:widowControl/>
              <w:spacing w:line="312" w:lineRule="exact"/>
              <w:ind w:firstLine="0" w:firstLineChars="0"/>
              <w:jc w:val="center"/>
              <w:rPr>
                <w:b/>
                <w:bCs/>
                <w:color w:val="auto"/>
                <w:sz w:val="21"/>
                <w:szCs w:val="21"/>
              </w:rPr>
            </w:pPr>
          </w:p>
        </w:tc>
        <w:tc>
          <w:tcPr>
            <w:tcW w:w="204" w:type="pct"/>
            <w:vMerge w:val="continue"/>
            <w:shd w:val="clear" w:color="auto" w:fill="FFFFFF"/>
            <w:vAlign w:val="center"/>
          </w:tcPr>
          <w:p>
            <w:pPr>
              <w:widowControl/>
              <w:spacing w:line="312" w:lineRule="exact"/>
              <w:ind w:firstLine="0" w:firstLineChars="0"/>
              <w:jc w:val="center"/>
              <w:rPr>
                <w:b/>
                <w:bCs/>
                <w:color w:val="auto"/>
                <w:sz w:val="21"/>
                <w:szCs w:val="21"/>
              </w:rPr>
            </w:pPr>
          </w:p>
        </w:tc>
        <w:tc>
          <w:tcPr>
            <w:tcW w:w="262" w:type="pct"/>
            <w:vMerge w:val="continue"/>
            <w:shd w:val="clear" w:color="auto" w:fill="FFFFFF"/>
            <w:vAlign w:val="center"/>
          </w:tcPr>
          <w:p>
            <w:pPr>
              <w:widowControl/>
              <w:spacing w:line="312" w:lineRule="exact"/>
              <w:ind w:firstLine="0" w:firstLineChars="0"/>
              <w:jc w:val="center"/>
              <w:rPr>
                <w:b/>
                <w:bCs/>
                <w:color w:val="auto"/>
                <w:sz w:val="21"/>
                <w:szCs w:val="21"/>
              </w:rPr>
            </w:pPr>
          </w:p>
        </w:tc>
        <w:tc>
          <w:tcPr>
            <w:tcW w:w="325" w:type="pct"/>
            <w:vMerge w:val="continue"/>
            <w:shd w:val="clear" w:color="auto" w:fill="FFFFFF"/>
            <w:vAlign w:val="center"/>
          </w:tcPr>
          <w:p>
            <w:pPr>
              <w:widowControl/>
              <w:spacing w:line="312" w:lineRule="exact"/>
              <w:ind w:firstLine="0" w:firstLineChars="0"/>
              <w:jc w:val="center"/>
              <w:rPr>
                <w:b/>
                <w:bCs/>
                <w:color w:val="auto"/>
                <w:sz w:val="21"/>
                <w:szCs w:val="21"/>
              </w:rPr>
            </w:pPr>
          </w:p>
        </w:tc>
        <w:tc>
          <w:tcPr>
            <w:tcW w:w="291" w:type="pct"/>
            <w:vMerge w:val="continue"/>
            <w:shd w:val="clear" w:color="auto" w:fill="FFFFFF"/>
            <w:vAlign w:val="center"/>
          </w:tcPr>
          <w:p>
            <w:pPr>
              <w:widowControl/>
              <w:spacing w:line="312" w:lineRule="exact"/>
              <w:ind w:firstLine="0" w:firstLineChars="0"/>
              <w:jc w:val="center"/>
              <w:rPr>
                <w:b/>
                <w:bCs/>
                <w:color w:val="auto"/>
                <w:sz w:val="21"/>
                <w:szCs w:val="21"/>
              </w:rPr>
            </w:pPr>
          </w:p>
        </w:tc>
        <w:tc>
          <w:tcPr>
            <w:tcW w:w="332" w:type="pct"/>
            <w:vMerge w:val="continue"/>
            <w:shd w:val="clear" w:color="auto" w:fill="FFFFFF"/>
            <w:vAlign w:val="center"/>
          </w:tcPr>
          <w:p>
            <w:pPr>
              <w:widowControl/>
              <w:spacing w:line="312" w:lineRule="exact"/>
              <w:ind w:firstLine="0" w:firstLineChars="0"/>
              <w:jc w:val="center"/>
              <w:rPr>
                <w:b/>
                <w:bCs/>
                <w:color w:val="auto"/>
                <w:sz w:val="21"/>
                <w:szCs w:val="21"/>
              </w:rPr>
            </w:pPr>
          </w:p>
        </w:tc>
        <w:tc>
          <w:tcPr>
            <w:tcW w:w="233" w:type="pct"/>
            <w:vMerge w:val="continue"/>
            <w:shd w:val="clear" w:color="auto" w:fill="FFFFFF"/>
            <w:vAlign w:val="center"/>
          </w:tcPr>
          <w:p>
            <w:pPr>
              <w:widowControl/>
              <w:spacing w:line="312" w:lineRule="exact"/>
              <w:ind w:firstLine="0" w:firstLineChars="0"/>
              <w:jc w:val="center"/>
              <w:rPr>
                <w:b/>
                <w:bCs/>
                <w:color w:val="auto"/>
                <w:sz w:val="21"/>
                <w:szCs w:val="21"/>
              </w:rPr>
            </w:pPr>
          </w:p>
        </w:tc>
        <w:tc>
          <w:tcPr>
            <w:tcW w:w="290" w:type="pct"/>
            <w:shd w:val="clear" w:color="auto" w:fill="FFFFFF"/>
            <w:vAlign w:val="center"/>
          </w:tcPr>
          <w:p>
            <w:pPr>
              <w:widowControl/>
              <w:spacing w:line="312" w:lineRule="exact"/>
              <w:ind w:firstLine="0" w:firstLineChars="0"/>
              <w:jc w:val="center"/>
              <w:textAlignment w:val="center"/>
              <w:rPr>
                <w:b/>
                <w:bCs/>
                <w:color w:val="auto"/>
                <w:sz w:val="21"/>
                <w:szCs w:val="21"/>
              </w:rPr>
            </w:pPr>
            <w:r>
              <w:rPr>
                <w:b/>
                <w:bCs/>
                <w:color w:val="auto"/>
                <w:sz w:val="21"/>
                <w:szCs w:val="21"/>
              </w:rPr>
              <w:t>VOCs</w:t>
            </w:r>
          </w:p>
        </w:tc>
        <w:tc>
          <w:tcPr>
            <w:tcW w:w="288" w:type="pct"/>
            <w:shd w:val="clear" w:color="auto" w:fill="FFFFFF"/>
            <w:vAlign w:val="center"/>
          </w:tcPr>
          <w:p>
            <w:pPr>
              <w:widowControl/>
              <w:spacing w:line="312" w:lineRule="exact"/>
              <w:ind w:firstLine="0" w:firstLineChars="0"/>
              <w:jc w:val="center"/>
              <w:textAlignment w:val="center"/>
              <w:rPr>
                <w:b/>
                <w:bCs/>
                <w:color w:val="auto"/>
                <w:sz w:val="21"/>
                <w:szCs w:val="21"/>
              </w:rPr>
            </w:pPr>
            <w:r>
              <w:rPr>
                <w:rFonts w:hint="eastAsia"/>
                <w:b/>
                <w:bCs/>
                <w:color w:val="auto"/>
                <w:sz w:val="21"/>
                <w:szCs w:val="21"/>
              </w:rPr>
              <w:t>氨</w:t>
            </w:r>
          </w:p>
        </w:tc>
        <w:tc>
          <w:tcPr>
            <w:tcW w:w="335" w:type="pct"/>
            <w:shd w:val="clear" w:color="auto" w:fill="FFFFFF"/>
            <w:vAlign w:val="center"/>
          </w:tcPr>
          <w:p>
            <w:pPr>
              <w:widowControl/>
              <w:spacing w:line="312" w:lineRule="exact"/>
              <w:ind w:firstLine="0" w:firstLineChars="0"/>
              <w:jc w:val="center"/>
              <w:textAlignment w:val="center"/>
              <w:rPr>
                <w:b/>
                <w:bCs/>
                <w:color w:val="auto"/>
                <w:sz w:val="21"/>
                <w:szCs w:val="21"/>
              </w:rPr>
            </w:pPr>
            <w:r>
              <w:rPr>
                <w:rFonts w:hint="eastAsia"/>
                <w:b/>
                <w:bCs/>
                <w:color w:val="auto"/>
                <w:sz w:val="21"/>
                <w:szCs w:val="21"/>
              </w:rPr>
              <w:t>硫化氢</w:t>
            </w:r>
          </w:p>
        </w:tc>
        <w:tc>
          <w:tcPr>
            <w:tcW w:w="273" w:type="pct"/>
            <w:shd w:val="clear" w:color="auto" w:fill="FFFFFF"/>
            <w:vAlign w:val="center"/>
          </w:tcPr>
          <w:p>
            <w:pPr>
              <w:widowControl/>
              <w:spacing w:line="312" w:lineRule="exact"/>
              <w:ind w:firstLine="0" w:firstLineChars="0"/>
              <w:jc w:val="center"/>
              <w:textAlignment w:val="center"/>
              <w:rPr>
                <w:b/>
                <w:bCs/>
                <w:color w:val="auto"/>
                <w:sz w:val="21"/>
                <w:szCs w:val="21"/>
              </w:rPr>
            </w:pPr>
            <w:r>
              <w:rPr>
                <w:rFonts w:hint="eastAsia"/>
                <w:b/>
                <w:bCs/>
                <w:color w:val="auto"/>
                <w:sz w:val="21"/>
                <w:szCs w:val="21"/>
              </w:rPr>
              <w:t>TSP</w:t>
            </w:r>
          </w:p>
        </w:tc>
        <w:tc>
          <w:tcPr>
            <w:tcW w:w="301" w:type="pct"/>
            <w:shd w:val="clear" w:color="auto" w:fill="FFFFFF"/>
            <w:vAlign w:val="center"/>
          </w:tcPr>
          <w:p>
            <w:pPr>
              <w:widowControl/>
              <w:spacing w:line="312" w:lineRule="exact"/>
              <w:ind w:firstLine="0" w:firstLineChars="0"/>
              <w:jc w:val="center"/>
              <w:textAlignment w:val="center"/>
              <w:rPr>
                <w:b/>
                <w:bCs/>
                <w:color w:val="auto"/>
                <w:sz w:val="21"/>
                <w:szCs w:val="21"/>
              </w:rPr>
            </w:pPr>
            <w:r>
              <w:rPr>
                <w:rFonts w:hint="eastAsia"/>
                <w:b/>
                <w:bCs/>
                <w:color w:val="auto"/>
                <w:sz w:val="21"/>
                <w:szCs w:val="21"/>
              </w:rPr>
              <w:t>SO</w:t>
            </w:r>
            <w:r>
              <w:rPr>
                <w:rFonts w:hint="eastAsia"/>
                <w:b/>
                <w:bCs/>
                <w:color w:val="auto"/>
                <w:sz w:val="21"/>
                <w:szCs w:val="21"/>
                <w:vertAlign w:val="subscript"/>
              </w:rPr>
              <w:t>2</w:t>
            </w:r>
          </w:p>
        </w:tc>
        <w:tc>
          <w:tcPr>
            <w:tcW w:w="253" w:type="pct"/>
            <w:shd w:val="clear" w:color="auto" w:fill="FFFFFF"/>
            <w:vAlign w:val="center"/>
          </w:tcPr>
          <w:p>
            <w:pPr>
              <w:widowControl/>
              <w:spacing w:line="312" w:lineRule="exact"/>
              <w:ind w:firstLine="0" w:firstLineChars="0"/>
              <w:jc w:val="center"/>
              <w:textAlignment w:val="center"/>
              <w:rPr>
                <w:b/>
                <w:bCs/>
                <w:color w:val="auto"/>
                <w:sz w:val="21"/>
                <w:szCs w:val="21"/>
              </w:rPr>
            </w:pPr>
            <w:r>
              <w:rPr>
                <w:rFonts w:hint="eastAsia"/>
                <w:b/>
                <w:bCs/>
                <w:color w:val="auto"/>
                <w:sz w:val="21"/>
                <w:szCs w:val="21"/>
              </w:rPr>
              <w:t>NO</w:t>
            </w:r>
            <w:r>
              <w:rPr>
                <w:rFonts w:hint="eastAsia"/>
                <w:b/>
                <w:bCs/>
                <w:color w:val="auto"/>
                <w:sz w:val="21"/>
                <w:szCs w:val="21"/>
                <w:vertAlign w:val="subscript"/>
              </w:rPr>
              <w:t>2</w:t>
            </w:r>
          </w:p>
        </w:tc>
        <w:tc>
          <w:tcPr>
            <w:tcW w:w="310" w:type="pct"/>
            <w:shd w:val="clear" w:color="auto" w:fill="FFFFFF"/>
            <w:vAlign w:val="center"/>
          </w:tcPr>
          <w:p>
            <w:pPr>
              <w:widowControl/>
              <w:spacing w:line="312" w:lineRule="exact"/>
              <w:ind w:firstLine="0" w:firstLineChars="0"/>
              <w:jc w:val="center"/>
              <w:textAlignment w:val="center"/>
              <w:rPr>
                <w:b/>
                <w:bCs/>
                <w:color w:val="auto"/>
                <w:sz w:val="21"/>
                <w:szCs w:val="21"/>
              </w:rPr>
            </w:pPr>
            <w:r>
              <w:rPr>
                <w:rFonts w:hint="eastAsia"/>
                <w:b/>
                <w:bCs/>
                <w:color w:val="auto"/>
                <w:sz w:val="21"/>
                <w:szCs w:val="21"/>
              </w:rPr>
              <w:t>PM</w:t>
            </w:r>
            <w:r>
              <w:rPr>
                <w:rFonts w:hint="eastAsia"/>
                <w:b/>
                <w:bCs/>
                <w:color w:val="auto"/>
                <w:sz w:val="21"/>
                <w:szCs w:val="21"/>
                <w:vertAlign w:val="subscript"/>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6" w:hRule="atLeast"/>
        </w:trPr>
        <w:tc>
          <w:tcPr>
            <w:tcW w:w="302" w:type="pct"/>
            <w:vAlign w:val="center"/>
          </w:tcPr>
          <w:p>
            <w:pPr>
              <w:widowControl/>
              <w:spacing w:line="312" w:lineRule="exact"/>
              <w:ind w:firstLine="0" w:firstLineChars="0"/>
              <w:jc w:val="center"/>
              <w:rPr>
                <w:color w:val="auto"/>
                <w:sz w:val="21"/>
                <w:szCs w:val="21"/>
              </w:rPr>
            </w:pPr>
            <w:r>
              <w:rPr>
                <w:color w:val="auto"/>
                <w:sz w:val="21"/>
                <w:szCs w:val="21"/>
              </w:rPr>
              <w:t>DA00</w:t>
            </w:r>
            <w:r>
              <w:rPr>
                <w:rFonts w:hint="eastAsia"/>
                <w:color w:val="auto"/>
                <w:sz w:val="21"/>
                <w:szCs w:val="21"/>
              </w:rPr>
              <w:t>1</w:t>
            </w:r>
          </w:p>
        </w:tc>
        <w:tc>
          <w:tcPr>
            <w:tcW w:w="326" w:type="pct"/>
            <w:vAlign w:val="center"/>
          </w:tcPr>
          <w:p>
            <w:pPr>
              <w:spacing w:line="312" w:lineRule="exact"/>
              <w:ind w:firstLine="0" w:firstLineChars="0"/>
              <w:jc w:val="center"/>
              <w:rPr>
                <w:color w:val="auto"/>
                <w:sz w:val="21"/>
                <w:szCs w:val="21"/>
              </w:rPr>
            </w:pPr>
            <w:r>
              <w:rPr>
                <w:rFonts w:hint="eastAsia"/>
                <w:color w:val="auto"/>
                <w:sz w:val="21"/>
                <w:szCs w:val="21"/>
              </w:rPr>
              <w:t>工艺废气</w:t>
            </w:r>
            <w:r>
              <w:rPr>
                <w:color w:val="auto"/>
                <w:sz w:val="21"/>
                <w:szCs w:val="21"/>
              </w:rPr>
              <w:t>排气筒</w:t>
            </w:r>
          </w:p>
        </w:tc>
        <w:tc>
          <w:tcPr>
            <w:tcW w:w="501" w:type="pct"/>
            <w:vAlign w:val="center"/>
          </w:tcPr>
          <w:p>
            <w:pPr>
              <w:widowControl/>
              <w:spacing w:line="312" w:lineRule="exact"/>
              <w:ind w:firstLine="0" w:firstLineChars="0"/>
              <w:jc w:val="center"/>
              <w:rPr>
                <w:color w:val="auto"/>
                <w:sz w:val="21"/>
                <w:szCs w:val="21"/>
              </w:rPr>
            </w:pPr>
            <w:r>
              <w:rPr>
                <w:rFonts w:hint="eastAsia"/>
                <w:color w:val="auto"/>
                <w:sz w:val="21"/>
                <w:szCs w:val="21"/>
              </w:rPr>
              <w:t>（131,102）</w:t>
            </w:r>
          </w:p>
        </w:tc>
        <w:tc>
          <w:tcPr>
            <w:tcW w:w="169"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29</w:t>
            </w:r>
          </w:p>
        </w:tc>
        <w:tc>
          <w:tcPr>
            <w:tcW w:w="204" w:type="pct"/>
            <w:vAlign w:val="center"/>
          </w:tcPr>
          <w:p>
            <w:pPr>
              <w:widowControl/>
              <w:spacing w:line="312" w:lineRule="exact"/>
              <w:ind w:firstLine="0" w:firstLineChars="0"/>
              <w:jc w:val="center"/>
              <w:textAlignment w:val="center"/>
              <w:rPr>
                <w:color w:val="auto"/>
                <w:sz w:val="21"/>
                <w:szCs w:val="21"/>
              </w:rPr>
            </w:pPr>
            <w:r>
              <w:rPr>
                <w:color w:val="auto"/>
                <w:sz w:val="21"/>
                <w:szCs w:val="21"/>
              </w:rPr>
              <w:t>15</w:t>
            </w:r>
          </w:p>
        </w:tc>
        <w:tc>
          <w:tcPr>
            <w:tcW w:w="262"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0.6</w:t>
            </w:r>
          </w:p>
        </w:tc>
        <w:tc>
          <w:tcPr>
            <w:tcW w:w="325"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4.9</w:t>
            </w:r>
          </w:p>
        </w:tc>
        <w:tc>
          <w:tcPr>
            <w:tcW w:w="291" w:type="pct"/>
            <w:vAlign w:val="center"/>
          </w:tcPr>
          <w:p>
            <w:pPr>
              <w:widowControl/>
              <w:spacing w:line="312" w:lineRule="exact"/>
              <w:ind w:firstLine="0" w:firstLineChars="0"/>
              <w:jc w:val="center"/>
              <w:textAlignment w:val="center"/>
              <w:rPr>
                <w:color w:val="auto"/>
                <w:sz w:val="21"/>
                <w:szCs w:val="21"/>
              </w:rPr>
            </w:pPr>
            <w:r>
              <w:rPr>
                <w:color w:val="auto"/>
                <w:sz w:val="21"/>
                <w:szCs w:val="21"/>
              </w:rPr>
              <w:t>30</w:t>
            </w:r>
          </w:p>
        </w:tc>
        <w:tc>
          <w:tcPr>
            <w:tcW w:w="332" w:type="pct"/>
            <w:vAlign w:val="center"/>
          </w:tcPr>
          <w:p>
            <w:pPr>
              <w:widowControl/>
              <w:spacing w:line="312" w:lineRule="exact"/>
              <w:ind w:firstLine="0" w:firstLineChars="0"/>
              <w:jc w:val="center"/>
              <w:rPr>
                <w:color w:val="auto"/>
                <w:sz w:val="21"/>
                <w:szCs w:val="21"/>
              </w:rPr>
            </w:pPr>
            <w:r>
              <w:rPr>
                <w:rFonts w:hint="eastAsia"/>
                <w:color w:val="auto"/>
                <w:sz w:val="21"/>
                <w:szCs w:val="21"/>
              </w:rPr>
              <w:t>7200</w:t>
            </w:r>
          </w:p>
        </w:tc>
        <w:tc>
          <w:tcPr>
            <w:tcW w:w="233" w:type="pct"/>
            <w:vAlign w:val="center"/>
          </w:tcPr>
          <w:p>
            <w:pPr>
              <w:widowControl/>
              <w:spacing w:line="312" w:lineRule="exact"/>
              <w:ind w:firstLine="0" w:firstLineChars="0"/>
              <w:jc w:val="center"/>
              <w:rPr>
                <w:color w:val="auto"/>
                <w:sz w:val="21"/>
                <w:szCs w:val="21"/>
              </w:rPr>
            </w:pPr>
            <w:r>
              <w:rPr>
                <w:color w:val="auto"/>
                <w:sz w:val="21"/>
                <w:szCs w:val="21"/>
              </w:rPr>
              <w:t>正常</w:t>
            </w:r>
          </w:p>
        </w:tc>
        <w:tc>
          <w:tcPr>
            <w:tcW w:w="290" w:type="pct"/>
            <w:vAlign w:val="center"/>
          </w:tcPr>
          <w:p>
            <w:pPr>
              <w:spacing w:line="312" w:lineRule="exact"/>
              <w:ind w:firstLine="0" w:firstLineChars="0"/>
              <w:jc w:val="center"/>
              <w:rPr>
                <w:rFonts w:hint="default" w:eastAsia="宋体"/>
                <w:color w:val="auto"/>
                <w:sz w:val="21"/>
                <w:szCs w:val="21"/>
                <w:lang w:val="en-US" w:eastAsia="zh-CN"/>
              </w:rPr>
            </w:pPr>
            <w:r>
              <w:rPr>
                <w:rFonts w:hint="eastAsia"/>
                <w:color w:val="auto"/>
                <w:sz w:val="21"/>
                <w:szCs w:val="21"/>
              </w:rPr>
              <w:t>0.</w:t>
            </w:r>
            <w:r>
              <w:rPr>
                <w:rFonts w:hint="eastAsia"/>
                <w:color w:val="auto"/>
                <w:sz w:val="21"/>
                <w:szCs w:val="21"/>
                <w:lang w:val="en-US" w:eastAsia="zh-CN"/>
              </w:rPr>
              <w:t>1248</w:t>
            </w:r>
          </w:p>
        </w:tc>
        <w:tc>
          <w:tcPr>
            <w:tcW w:w="288" w:type="pct"/>
            <w:vAlign w:val="center"/>
          </w:tcPr>
          <w:p>
            <w:pPr>
              <w:spacing w:line="312" w:lineRule="exact"/>
              <w:ind w:firstLine="0" w:firstLineChars="0"/>
              <w:jc w:val="center"/>
              <w:rPr>
                <w:color w:val="auto"/>
                <w:sz w:val="21"/>
                <w:szCs w:val="21"/>
              </w:rPr>
            </w:pPr>
            <w:r>
              <w:rPr>
                <w:rFonts w:hint="eastAsia"/>
                <w:color w:val="auto"/>
                <w:sz w:val="21"/>
                <w:szCs w:val="21"/>
              </w:rPr>
              <w:t>0.0004</w:t>
            </w:r>
          </w:p>
        </w:tc>
        <w:tc>
          <w:tcPr>
            <w:tcW w:w="335" w:type="pct"/>
            <w:vAlign w:val="center"/>
          </w:tcPr>
          <w:p>
            <w:pPr>
              <w:spacing w:line="312" w:lineRule="exact"/>
              <w:ind w:firstLine="0" w:firstLineChars="0"/>
              <w:jc w:val="center"/>
              <w:rPr>
                <w:color w:val="auto"/>
                <w:sz w:val="21"/>
                <w:szCs w:val="21"/>
              </w:rPr>
            </w:pPr>
            <w:r>
              <w:rPr>
                <w:rFonts w:hint="eastAsia"/>
                <w:color w:val="auto"/>
                <w:sz w:val="21"/>
                <w:szCs w:val="21"/>
              </w:rPr>
              <w:t>0.00001</w:t>
            </w:r>
          </w:p>
        </w:tc>
        <w:tc>
          <w:tcPr>
            <w:tcW w:w="273" w:type="pct"/>
            <w:vAlign w:val="center"/>
          </w:tcPr>
          <w:p>
            <w:pPr>
              <w:spacing w:line="312" w:lineRule="exact"/>
              <w:ind w:firstLine="0" w:firstLineChars="0"/>
              <w:jc w:val="center"/>
              <w:rPr>
                <w:color w:val="auto"/>
                <w:sz w:val="21"/>
                <w:szCs w:val="21"/>
              </w:rPr>
            </w:pPr>
          </w:p>
        </w:tc>
        <w:tc>
          <w:tcPr>
            <w:tcW w:w="301" w:type="pct"/>
            <w:vAlign w:val="center"/>
          </w:tcPr>
          <w:p>
            <w:pPr>
              <w:spacing w:line="312" w:lineRule="exact"/>
              <w:ind w:firstLine="0" w:firstLineChars="0"/>
              <w:jc w:val="center"/>
              <w:rPr>
                <w:color w:val="auto"/>
                <w:sz w:val="21"/>
                <w:szCs w:val="21"/>
              </w:rPr>
            </w:pPr>
          </w:p>
        </w:tc>
        <w:tc>
          <w:tcPr>
            <w:tcW w:w="253" w:type="pct"/>
            <w:vAlign w:val="center"/>
          </w:tcPr>
          <w:p>
            <w:pPr>
              <w:spacing w:line="312" w:lineRule="exact"/>
              <w:ind w:firstLine="0" w:firstLineChars="0"/>
              <w:jc w:val="center"/>
              <w:rPr>
                <w:color w:val="auto"/>
                <w:sz w:val="21"/>
                <w:szCs w:val="21"/>
              </w:rPr>
            </w:pPr>
          </w:p>
        </w:tc>
        <w:tc>
          <w:tcPr>
            <w:tcW w:w="310" w:type="pct"/>
            <w:vAlign w:val="center"/>
          </w:tcPr>
          <w:p>
            <w:pPr>
              <w:spacing w:line="312" w:lineRule="exact"/>
              <w:ind w:firstLine="0" w:firstLineChars="0"/>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6" w:hRule="atLeast"/>
        </w:trPr>
        <w:tc>
          <w:tcPr>
            <w:tcW w:w="302" w:type="pct"/>
            <w:vAlign w:val="center"/>
          </w:tcPr>
          <w:p>
            <w:pPr>
              <w:widowControl/>
              <w:spacing w:line="312" w:lineRule="exact"/>
              <w:ind w:firstLine="0" w:firstLineChars="0"/>
              <w:jc w:val="center"/>
              <w:rPr>
                <w:rFonts w:hint="eastAsia" w:eastAsia="宋体"/>
                <w:color w:val="auto"/>
                <w:sz w:val="21"/>
                <w:szCs w:val="21"/>
                <w:lang w:eastAsia="zh-CN"/>
              </w:rPr>
            </w:pPr>
            <w:r>
              <w:rPr>
                <w:rFonts w:hint="eastAsia"/>
                <w:color w:val="auto"/>
                <w:sz w:val="21"/>
                <w:szCs w:val="21"/>
              </w:rPr>
              <w:t>DA00</w:t>
            </w:r>
            <w:r>
              <w:rPr>
                <w:rFonts w:hint="eastAsia"/>
                <w:color w:val="auto"/>
                <w:sz w:val="21"/>
                <w:szCs w:val="21"/>
                <w:lang w:val="en-US" w:eastAsia="zh-CN"/>
              </w:rPr>
              <w:t>2</w:t>
            </w:r>
          </w:p>
        </w:tc>
        <w:tc>
          <w:tcPr>
            <w:tcW w:w="326" w:type="pct"/>
            <w:vAlign w:val="center"/>
          </w:tcPr>
          <w:p>
            <w:pPr>
              <w:spacing w:line="312" w:lineRule="exact"/>
              <w:ind w:firstLine="0" w:firstLineChars="0"/>
              <w:jc w:val="center"/>
              <w:rPr>
                <w:color w:val="auto"/>
                <w:sz w:val="21"/>
                <w:szCs w:val="21"/>
              </w:rPr>
            </w:pPr>
            <w:r>
              <w:rPr>
                <w:rFonts w:hint="eastAsia"/>
                <w:color w:val="auto"/>
                <w:sz w:val="21"/>
                <w:szCs w:val="21"/>
              </w:rPr>
              <w:t>锅炉房排气筒</w:t>
            </w:r>
          </w:p>
        </w:tc>
        <w:tc>
          <w:tcPr>
            <w:tcW w:w="501" w:type="pct"/>
            <w:vAlign w:val="center"/>
          </w:tcPr>
          <w:p>
            <w:pPr>
              <w:widowControl/>
              <w:spacing w:line="312" w:lineRule="exact"/>
              <w:ind w:firstLine="0" w:firstLineChars="0"/>
              <w:jc w:val="center"/>
              <w:rPr>
                <w:color w:val="auto"/>
                <w:sz w:val="21"/>
                <w:szCs w:val="21"/>
              </w:rPr>
            </w:pPr>
            <w:r>
              <w:rPr>
                <w:rFonts w:hint="eastAsia"/>
                <w:color w:val="auto"/>
                <w:sz w:val="21"/>
                <w:szCs w:val="21"/>
              </w:rPr>
              <w:t>（92，-10.28）</w:t>
            </w:r>
          </w:p>
        </w:tc>
        <w:tc>
          <w:tcPr>
            <w:tcW w:w="169"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28</w:t>
            </w:r>
          </w:p>
        </w:tc>
        <w:tc>
          <w:tcPr>
            <w:tcW w:w="204" w:type="pct"/>
            <w:vAlign w:val="center"/>
          </w:tcPr>
          <w:p>
            <w:pPr>
              <w:widowControl/>
              <w:spacing w:line="312" w:lineRule="exact"/>
              <w:ind w:firstLine="0" w:firstLineChars="0"/>
              <w:jc w:val="center"/>
              <w:textAlignment w:val="center"/>
              <w:rPr>
                <w:color w:val="auto"/>
                <w:sz w:val="21"/>
                <w:szCs w:val="21"/>
              </w:rPr>
            </w:pPr>
            <w:r>
              <w:rPr>
                <w:color w:val="auto"/>
                <w:sz w:val="21"/>
                <w:szCs w:val="21"/>
              </w:rPr>
              <w:t>15</w:t>
            </w:r>
          </w:p>
        </w:tc>
        <w:tc>
          <w:tcPr>
            <w:tcW w:w="262"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0.38</w:t>
            </w:r>
          </w:p>
        </w:tc>
        <w:tc>
          <w:tcPr>
            <w:tcW w:w="325"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2.4</w:t>
            </w:r>
          </w:p>
        </w:tc>
        <w:tc>
          <w:tcPr>
            <w:tcW w:w="291"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30</w:t>
            </w:r>
          </w:p>
        </w:tc>
        <w:tc>
          <w:tcPr>
            <w:tcW w:w="332" w:type="pct"/>
            <w:vAlign w:val="center"/>
          </w:tcPr>
          <w:p>
            <w:pPr>
              <w:widowControl/>
              <w:spacing w:line="312" w:lineRule="exact"/>
              <w:ind w:firstLine="0" w:firstLineChars="0"/>
              <w:jc w:val="center"/>
              <w:rPr>
                <w:color w:val="auto"/>
                <w:sz w:val="21"/>
                <w:szCs w:val="21"/>
              </w:rPr>
            </w:pPr>
            <w:r>
              <w:rPr>
                <w:rFonts w:hint="eastAsia"/>
                <w:color w:val="auto"/>
                <w:sz w:val="21"/>
                <w:szCs w:val="21"/>
              </w:rPr>
              <w:t>7200</w:t>
            </w:r>
          </w:p>
        </w:tc>
        <w:tc>
          <w:tcPr>
            <w:tcW w:w="233" w:type="pct"/>
            <w:vAlign w:val="center"/>
          </w:tcPr>
          <w:p>
            <w:pPr>
              <w:widowControl/>
              <w:spacing w:line="312" w:lineRule="exact"/>
              <w:ind w:firstLine="0" w:firstLineChars="0"/>
              <w:jc w:val="center"/>
              <w:rPr>
                <w:color w:val="auto"/>
                <w:sz w:val="21"/>
                <w:szCs w:val="21"/>
              </w:rPr>
            </w:pPr>
            <w:r>
              <w:rPr>
                <w:rFonts w:hint="eastAsia"/>
                <w:color w:val="auto"/>
                <w:sz w:val="21"/>
                <w:szCs w:val="21"/>
              </w:rPr>
              <w:t>正常</w:t>
            </w:r>
          </w:p>
        </w:tc>
        <w:tc>
          <w:tcPr>
            <w:tcW w:w="290" w:type="pct"/>
            <w:vAlign w:val="center"/>
          </w:tcPr>
          <w:p>
            <w:pPr>
              <w:spacing w:line="312" w:lineRule="exact"/>
              <w:ind w:firstLine="0" w:firstLineChars="0"/>
              <w:jc w:val="center"/>
              <w:rPr>
                <w:color w:val="auto"/>
                <w:sz w:val="21"/>
                <w:szCs w:val="21"/>
              </w:rPr>
            </w:pPr>
          </w:p>
        </w:tc>
        <w:tc>
          <w:tcPr>
            <w:tcW w:w="288" w:type="pct"/>
            <w:vAlign w:val="center"/>
          </w:tcPr>
          <w:p>
            <w:pPr>
              <w:spacing w:line="312" w:lineRule="exact"/>
              <w:ind w:firstLine="0" w:firstLineChars="0"/>
              <w:jc w:val="center"/>
              <w:rPr>
                <w:color w:val="auto"/>
                <w:sz w:val="21"/>
                <w:szCs w:val="21"/>
              </w:rPr>
            </w:pPr>
          </w:p>
        </w:tc>
        <w:tc>
          <w:tcPr>
            <w:tcW w:w="335" w:type="pct"/>
            <w:vAlign w:val="center"/>
          </w:tcPr>
          <w:p>
            <w:pPr>
              <w:spacing w:line="312" w:lineRule="exact"/>
              <w:ind w:firstLine="0" w:firstLineChars="0"/>
              <w:jc w:val="center"/>
              <w:rPr>
                <w:color w:val="auto"/>
                <w:sz w:val="21"/>
                <w:szCs w:val="21"/>
              </w:rPr>
            </w:pPr>
          </w:p>
        </w:tc>
        <w:tc>
          <w:tcPr>
            <w:tcW w:w="273" w:type="pct"/>
            <w:vAlign w:val="center"/>
          </w:tcPr>
          <w:p>
            <w:pPr>
              <w:spacing w:line="312" w:lineRule="exact"/>
              <w:ind w:firstLine="0" w:firstLineChars="0"/>
              <w:jc w:val="center"/>
              <w:rPr>
                <w:color w:val="auto"/>
                <w:sz w:val="21"/>
                <w:szCs w:val="21"/>
              </w:rPr>
            </w:pPr>
          </w:p>
        </w:tc>
        <w:tc>
          <w:tcPr>
            <w:tcW w:w="301" w:type="pct"/>
            <w:vAlign w:val="center"/>
          </w:tcPr>
          <w:p>
            <w:pPr>
              <w:spacing w:line="312" w:lineRule="exact"/>
              <w:ind w:firstLine="0" w:firstLineChars="0"/>
              <w:jc w:val="center"/>
              <w:rPr>
                <w:rFonts w:hint="default" w:eastAsia="宋体"/>
                <w:color w:val="auto"/>
                <w:sz w:val="21"/>
                <w:szCs w:val="21"/>
                <w:lang w:val="en-US" w:eastAsia="zh-CN"/>
              </w:rPr>
            </w:pPr>
            <w:r>
              <w:rPr>
                <w:rFonts w:hint="eastAsia"/>
                <w:color w:val="auto"/>
                <w:sz w:val="21"/>
                <w:szCs w:val="21"/>
              </w:rPr>
              <w:t>0.</w:t>
            </w:r>
            <w:r>
              <w:rPr>
                <w:rFonts w:hint="eastAsia"/>
                <w:color w:val="auto"/>
                <w:sz w:val="21"/>
                <w:szCs w:val="21"/>
                <w:lang w:val="en-US" w:eastAsia="zh-CN"/>
              </w:rPr>
              <w:t>0625</w:t>
            </w:r>
          </w:p>
        </w:tc>
        <w:tc>
          <w:tcPr>
            <w:tcW w:w="253" w:type="pct"/>
            <w:vAlign w:val="center"/>
          </w:tcPr>
          <w:p>
            <w:pPr>
              <w:spacing w:line="312" w:lineRule="exact"/>
              <w:ind w:firstLine="0" w:firstLineChars="0"/>
              <w:jc w:val="center"/>
              <w:rPr>
                <w:rFonts w:hint="default" w:eastAsia="宋体"/>
                <w:color w:val="auto"/>
                <w:sz w:val="21"/>
                <w:szCs w:val="21"/>
                <w:lang w:val="en-US" w:eastAsia="zh-CN"/>
              </w:rPr>
            </w:pPr>
            <w:r>
              <w:rPr>
                <w:rFonts w:hint="eastAsia"/>
                <w:color w:val="auto"/>
                <w:sz w:val="21"/>
                <w:szCs w:val="21"/>
              </w:rPr>
              <w:t>0.</w:t>
            </w:r>
            <w:r>
              <w:rPr>
                <w:rFonts w:hint="eastAsia"/>
                <w:color w:val="auto"/>
                <w:sz w:val="21"/>
                <w:szCs w:val="21"/>
                <w:lang w:val="en-US" w:eastAsia="zh-CN"/>
              </w:rPr>
              <w:t>194</w:t>
            </w:r>
          </w:p>
        </w:tc>
        <w:tc>
          <w:tcPr>
            <w:tcW w:w="310" w:type="pct"/>
            <w:vAlign w:val="center"/>
          </w:tcPr>
          <w:p>
            <w:pPr>
              <w:spacing w:line="312"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0.022</w:t>
            </w:r>
          </w:p>
        </w:tc>
      </w:tr>
    </w:tbl>
    <w:p>
      <w:pPr>
        <w:ind w:firstLine="0" w:firstLineChars="0"/>
        <w:jc w:val="center"/>
        <w:rPr>
          <w:rFonts w:eastAsia="黑体"/>
          <w:b/>
          <w:bCs/>
          <w:color w:val="auto"/>
          <w:sz w:val="21"/>
          <w:szCs w:val="21"/>
        </w:rPr>
      </w:pPr>
      <w:r>
        <w:rPr>
          <w:rFonts w:eastAsia="黑体"/>
          <w:b/>
          <w:bCs/>
          <w:color w:val="auto"/>
          <w:sz w:val="21"/>
          <w:szCs w:val="21"/>
        </w:rPr>
        <w:t>表</w:t>
      </w:r>
      <w:r>
        <w:rPr>
          <w:rFonts w:hint="eastAsia" w:eastAsia="黑体"/>
          <w:b/>
          <w:bCs/>
          <w:color w:val="auto"/>
          <w:sz w:val="21"/>
          <w:szCs w:val="21"/>
        </w:rPr>
        <w:t>5</w:t>
      </w:r>
      <w:r>
        <w:rPr>
          <w:rFonts w:eastAsia="黑体"/>
          <w:b/>
          <w:bCs/>
          <w:color w:val="auto"/>
          <w:sz w:val="21"/>
          <w:szCs w:val="21"/>
        </w:rPr>
        <w:t>.1-4 矩形面源参数</w:t>
      </w:r>
    </w:p>
    <w:tbl>
      <w:tblPr>
        <w:tblStyle w:val="22"/>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5" w:type="dxa"/>
          <w:bottom w:w="15" w:type="dxa"/>
          <w:right w:w="15" w:type="dxa"/>
        </w:tblCellMar>
      </w:tblPr>
      <w:tblGrid>
        <w:gridCol w:w="478"/>
        <w:gridCol w:w="1035"/>
        <w:gridCol w:w="1851"/>
        <w:gridCol w:w="832"/>
        <w:gridCol w:w="683"/>
        <w:gridCol w:w="739"/>
        <w:gridCol w:w="773"/>
        <w:gridCol w:w="1047"/>
        <w:gridCol w:w="896"/>
        <w:gridCol w:w="577"/>
        <w:gridCol w:w="1196"/>
        <w:gridCol w:w="1383"/>
        <w:gridCol w:w="1142"/>
        <w:gridCol w:w="135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668" w:hRule="atLeast"/>
        </w:trPr>
        <w:tc>
          <w:tcPr>
            <w:tcW w:w="171" w:type="pct"/>
            <w:vMerge w:val="restart"/>
            <w:shd w:val="clear" w:color="auto" w:fill="FFFFFF"/>
            <w:vAlign w:val="center"/>
          </w:tcPr>
          <w:p>
            <w:pPr>
              <w:widowControl/>
              <w:spacing w:line="312" w:lineRule="exact"/>
              <w:ind w:firstLine="0" w:firstLineChars="0"/>
              <w:jc w:val="center"/>
              <w:textAlignment w:val="center"/>
              <w:rPr>
                <w:b/>
                <w:color w:val="auto"/>
                <w:sz w:val="21"/>
                <w:szCs w:val="21"/>
              </w:rPr>
            </w:pPr>
            <w:r>
              <w:rPr>
                <w:b/>
                <w:color w:val="auto"/>
                <w:kern w:val="0"/>
                <w:sz w:val="21"/>
                <w:szCs w:val="21"/>
                <w:lang w:bidi="ar"/>
              </w:rPr>
              <w:t>编号</w:t>
            </w:r>
          </w:p>
        </w:tc>
        <w:tc>
          <w:tcPr>
            <w:tcW w:w="370" w:type="pct"/>
            <w:vMerge w:val="restart"/>
            <w:shd w:val="clear" w:color="auto" w:fill="FFFFFF"/>
            <w:vAlign w:val="center"/>
          </w:tcPr>
          <w:p>
            <w:pPr>
              <w:widowControl/>
              <w:spacing w:line="312" w:lineRule="exact"/>
              <w:ind w:firstLine="0" w:firstLineChars="0"/>
              <w:jc w:val="center"/>
              <w:textAlignment w:val="center"/>
              <w:rPr>
                <w:b/>
                <w:color w:val="auto"/>
                <w:sz w:val="21"/>
                <w:szCs w:val="21"/>
              </w:rPr>
            </w:pPr>
            <w:r>
              <w:rPr>
                <w:b/>
                <w:color w:val="auto"/>
                <w:kern w:val="0"/>
                <w:sz w:val="21"/>
                <w:szCs w:val="21"/>
                <w:lang w:bidi="ar"/>
              </w:rPr>
              <w:t>名称</w:t>
            </w:r>
          </w:p>
        </w:tc>
        <w:tc>
          <w:tcPr>
            <w:tcW w:w="661" w:type="pct"/>
            <w:vMerge w:val="restart"/>
            <w:shd w:val="clear" w:color="auto" w:fill="FFFFFF"/>
            <w:vAlign w:val="center"/>
          </w:tcPr>
          <w:p>
            <w:pPr>
              <w:widowControl/>
              <w:spacing w:line="312" w:lineRule="exact"/>
              <w:ind w:firstLine="0" w:firstLineChars="0"/>
              <w:jc w:val="center"/>
              <w:textAlignment w:val="center"/>
              <w:rPr>
                <w:b/>
                <w:iCs/>
                <w:color w:val="auto"/>
                <w:sz w:val="21"/>
                <w:szCs w:val="21"/>
              </w:rPr>
            </w:pPr>
            <w:r>
              <w:rPr>
                <w:b/>
                <w:color w:val="auto"/>
                <w:kern w:val="0"/>
                <w:sz w:val="21"/>
                <w:szCs w:val="21"/>
                <w:lang w:bidi="ar"/>
              </w:rPr>
              <w:t>面源中心地理坐标</w:t>
            </w:r>
          </w:p>
        </w:tc>
        <w:tc>
          <w:tcPr>
            <w:tcW w:w="297" w:type="pct"/>
            <w:vMerge w:val="restart"/>
            <w:shd w:val="clear" w:color="auto" w:fill="FFFFFF"/>
            <w:vAlign w:val="center"/>
          </w:tcPr>
          <w:p>
            <w:pPr>
              <w:widowControl/>
              <w:spacing w:line="312" w:lineRule="exact"/>
              <w:ind w:firstLine="0" w:firstLineChars="0"/>
              <w:jc w:val="center"/>
              <w:textAlignment w:val="center"/>
              <w:rPr>
                <w:b/>
                <w:color w:val="auto"/>
                <w:sz w:val="21"/>
                <w:szCs w:val="21"/>
              </w:rPr>
            </w:pPr>
            <w:r>
              <w:rPr>
                <w:b/>
                <w:color w:val="auto"/>
                <w:kern w:val="0"/>
                <w:sz w:val="21"/>
                <w:szCs w:val="21"/>
                <w:lang w:bidi="ar"/>
              </w:rPr>
              <w:t>面源海拔高度</w:t>
            </w:r>
            <w:r>
              <w:rPr>
                <w:rFonts w:eastAsia="仿宋_GB2312"/>
                <w:b/>
                <w:color w:val="auto"/>
                <w:kern w:val="0"/>
                <w:sz w:val="21"/>
                <w:szCs w:val="21"/>
                <w:lang w:bidi="ar"/>
              </w:rPr>
              <w:t>/m</w:t>
            </w:r>
          </w:p>
        </w:tc>
        <w:tc>
          <w:tcPr>
            <w:tcW w:w="244" w:type="pct"/>
            <w:vMerge w:val="restart"/>
            <w:shd w:val="clear" w:color="auto" w:fill="FFFFFF"/>
            <w:vAlign w:val="center"/>
          </w:tcPr>
          <w:p>
            <w:pPr>
              <w:widowControl/>
              <w:spacing w:line="312" w:lineRule="exact"/>
              <w:ind w:firstLine="0" w:firstLineChars="0"/>
              <w:jc w:val="center"/>
              <w:textAlignment w:val="center"/>
              <w:rPr>
                <w:b/>
                <w:color w:val="auto"/>
                <w:sz w:val="21"/>
                <w:szCs w:val="21"/>
              </w:rPr>
            </w:pPr>
            <w:r>
              <w:rPr>
                <w:b/>
                <w:color w:val="auto"/>
                <w:kern w:val="0"/>
                <w:sz w:val="21"/>
                <w:szCs w:val="21"/>
                <w:lang w:bidi="ar"/>
              </w:rPr>
              <w:t>面源长度</w:t>
            </w:r>
            <w:r>
              <w:rPr>
                <w:rFonts w:eastAsia="仿宋_GB2312"/>
                <w:b/>
                <w:color w:val="auto"/>
                <w:kern w:val="0"/>
                <w:sz w:val="21"/>
                <w:szCs w:val="21"/>
                <w:lang w:bidi="ar"/>
              </w:rPr>
              <w:t>/m</w:t>
            </w:r>
          </w:p>
        </w:tc>
        <w:tc>
          <w:tcPr>
            <w:tcW w:w="264" w:type="pct"/>
            <w:vMerge w:val="restart"/>
            <w:shd w:val="clear" w:color="auto" w:fill="FFFFFF"/>
            <w:vAlign w:val="center"/>
          </w:tcPr>
          <w:p>
            <w:pPr>
              <w:widowControl/>
              <w:spacing w:line="312" w:lineRule="exact"/>
              <w:ind w:firstLine="0" w:firstLineChars="0"/>
              <w:jc w:val="center"/>
              <w:textAlignment w:val="center"/>
              <w:rPr>
                <w:b/>
                <w:color w:val="auto"/>
                <w:sz w:val="21"/>
                <w:szCs w:val="21"/>
              </w:rPr>
            </w:pPr>
            <w:r>
              <w:rPr>
                <w:b/>
                <w:color w:val="auto"/>
                <w:kern w:val="0"/>
                <w:sz w:val="21"/>
                <w:szCs w:val="21"/>
                <w:lang w:bidi="ar"/>
              </w:rPr>
              <w:t>面源宽度</w:t>
            </w:r>
            <w:r>
              <w:rPr>
                <w:rFonts w:eastAsia="仿宋_GB2312"/>
                <w:b/>
                <w:color w:val="auto"/>
                <w:kern w:val="0"/>
                <w:sz w:val="21"/>
                <w:szCs w:val="21"/>
                <w:lang w:bidi="ar"/>
              </w:rPr>
              <w:t>/m</w:t>
            </w:r>
          </w:p>
        </w:tc>
        <w:tc>
          <w:tcPr>
            <w:tcW w:w="276" w:type="pct"/>
            <w:vMerge w:val="restart"/>
            <w:shd w:val="clear" w:color="auto" w:fill="FFFFFF"/>
            <w:vAlign w:val="center"/>
          </w:tcPr>
          <w:p>
            <w:pPr>
              <w:widowControl/>
              <w:spacing w:line="312" w:lineRule="exact"/>
              <w:ind w:firstLine="0" w:firstLineChars="0"/>
              <w:jc w:val="center"/>
              <w:textAlignment w:val="center"/>
              <w:rPr>
                <w:b/>
                <w:color w:val="auto"/>
                <w:sz w:val="21"/>
                <w:szCs w:val="21"/>
              </w:rPr>
            </w:pPr>
            <w:r>
              <w:rPr>
                <w:b/>
                <w:color w:val="auto"/>
                <w:kern w:val="0"/>
                <w:sz w:val="21"/>
                <w:szCs w:val="21"/>
                <w:lang w:bidi="ar"/>
              </w:rPr>
              <w:t>与正北向夹角</w:t>
            </w:r>
            <w:r>
              <w:rPr>
                <w:rFonts w:eastAsia="仿宋_GB2312"/>
                <w:b/>
                <w:color w:val="auto"/>
                <w:kern w:val="0"/>
                <w:sz w:val="21"/>
                <w:szCs w:val="21"/>
                <w:lang w:bidi="ar"/>
              </w:rPr>
              <w:t>/°</w:t>
            </w:r>
          </w:p>
        </w:tc>
        <w:tc>
          <w:tcPr>
            <w:tcW w:w="374" w:type="pct"/>
            <w:vMerge w:val="restart"/>
            <w:shd w:val="clear" w:color="auto" w:fill="FFFFFF"/>
            <w:vAlign w:val="center"/>
          </w:tcPr>
          <w:p>
            <w:pPr>
              <w:widowControl/>
              <w:spacing w:line="312" w:lineRule="exact"/>
              <w:ind w:firstLine="0" w:firstLineChars="0"/>
              <w:jc w:val="center"/>
              <w:textAlignment w:val="center"/>
              <w:rPr>
                <w:b/>
                <w:color w:val="auto"/>
                <w:sz w:val="21"/>
                <w:szCs w:val="21"/>
              </w:rPr>
            </w:pPr>
            <w:r>
              <w:rPr>
                <w:b/>
                <w:color w:val="auto"/>
                <w:kern w:val="0"/>
                <w:sz w:val="21"/>
                <w:szCs w:val="21"/>
                <w:lang w:bidi="ar"/>
              </w:rPr>
              <w:t>面源有效排放高度</w:t>
            </w:r>
            <w:r>
              <w:rPr>
                <w:rFonts w:eastAsia="仿宋_GB2312"/>
                <w:b/>
                <w:color w:val="auto"/>
                <w:kern w:val="0"/>
                <w:sz w:val="21"/>
                <w:szCs w:val="21"/>
                <w:lang w:bidi="ar"/>
              </w:rPr>
              <w:t>/m</w:t>
            </w:r>
          </w:p>
        </w:tc>
        <w:tc>
          <w:tcPr>
            <w:tcW w:w="320" w:type="pct"/>
            <w:vMerge w:val="restart"/>
            <w:shd w:val="clear" w:color="auto" w:fill="FFFFFF"/>
            <w:vAlign w:val="center"/>
          </w:tcPr>
          <w:p>
            <w:pPr>
              <w:widowControl/>
              <w:spacing w:line="312" w:lineRule="exact"/>
              <w:ind w:firstLine="0" w:firstLineChars="0"/>
              <w:jc w:val="center"/>
              <w:textAlignment w:val="center"/>
              <w:rPr>
                <w:b/>
                <w:color w:val="auto"/>
                <w:sz w:val="21"/>
                <w:szCs w:val="21"/>
              </w:rPr>
            </w:pPr>
            <w:r>
              <w:rPr>
                <w:b/>
                <w:color w:val="auto"/>
                <w:kern w:val="0"/>
                <w:sz w:val="21"/>
                <w:szCs w:val="21"/>
                <w:lang w:bidi="ar"/>
              </w:rPr>
              <w:t>年排放小时数</w:t>
            </w:r>
            <w:r>
              <w:rPr>
                <w:rFonts w:eastAsia="仿宋_GB2312"/>
                <w:b/>
                <w:color w:val="auto"/>
                <w:kern w:val="0"/>
                <w:sz w:val="21"/>
                <w:szCs w:val="21"/>
                <w:lang w:bidi="ar"/>
              </w:rPr>
              <w:t>/h</w:t>
            </w:r>
          </w:p>
        </w:tc>
        <w:tc>
          <w:tcPr>
            <w:tcW w:w="206" w:type="pct"/>
            <w:vMerge w:val="restart"/>
            <w:shd w:val="clear" w:color="auto" w:fill="FFFFFF"/>
            <w:vAlign w:val="center"/>
          </w:tcPr>
          <w:p>
            <w:pPr>
              <w:widowControl/>
              <w:spacing w:line="312" w:lineRule="exact"/>
              <w:ind w:firstLine="0" w:firstLineChars="0"/>
              <w:jc w:val="center"/>
              <w:textAlignment w:val="center"/>
              <w:rPr>
                <w:b/>
                <w:color w:val="auto"/>
                <w:sz w:val="21"/>
                <w:szCs w:val="21"/>
              </w:rPr>
            </w:pPr>
            <w:r>
              <w:rPr>
                <w:b/>
                <w:color w:val="auto"/>
                <w:kern w:val="0"/>
                <w:sz w:val="21"/>
                <w:szCs w:val="21"/>
                <w:lang w:bidi="ar"/>
              </w:rPr>
              <w:t>排放工况</w:t>
            </w:r>
          </w:p>
        </w:tc>
        <w:tc>
          <w:tcPr>
            <w:tcW w:w="1811" w:type="pct"/>
            <w:gridSpan w:val="4"/>
            <w:shd w:val="clear" w:color="auto" w:fill="FFFFFF"/>
            <w:vAlign w:val="center"/>
          </w:tcPr>
          <w:p>
            <w:pPr>
              <w:widowControl/>
              <w:spacing w:line="312" w:lineRule="exact"/>
              <w:ind w:firstLine="0" w:firstLineChars="0"/>
              <w:jc w:val="center"/>
              <w:textAlignment w:val="center"/>
              <w:rPr>
                <w:b/>
                <w:color w:val="auto"/>
                <w:kern w:val="0"/>
                <w:sz w:val="21"/>
                <w:szCs w:val="21"/>
                <w:lang w:bidi="ar"/>
              </w:rPr>
            </w:pPr>
            <w:r>
              <w:rPr>
                <w:b/>
                <w:color w:val="auto"/>
                <w:kern w:val="0"/>
                <w:sz w:val="21"/>
                <w:szCs w:val="21"/>
                <w:lang w:bidi="ar"/>
              </w:rPr>
              <w:t>污染物排放速率</w:t>
            </w:r>
            <w:r>
              <w:rPr>
                <w:rFonts w:eastAsia="仿宋_GB2312"/>
                <w:b/>
                <w:color w:val="auto"/>
                <w:kern w:val="0"/>
                <w:sz w:val="21"/>
                <w:szCs w:val="21"/>
                <w:lang w:bidi="ar"/>
              </w:rPr>
              <w:t>/</w:t>
            </w:r>
            <w:r>
              <w:rPr>
                <w:b/>
                <w:color w:val="auto"/>
                <w:kern w:val="0"/>
                <w:sz w:val="21"/>
                <w:szCs w:val="21"/>
                <w:lang w:bidi="ar"/>
              </w:rPr>
              <w:t>（</w:t>
            </w:r>
            <w:r>
              <w:rPr>
                <w:rFonts w:eastAsia="仿宋_GB2312"/>
                <w:b/>
                <w:color w:val="auto"/>
                <w:kern w:val="0"/>
                <w:sz w:val="21"/>
                <w:szCs w:val="21"/>
                <w:lang w:bidi="ar"/>
              </w:rPr>
              <w:t>kg/h）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12" w:hRule="atLeast"/>
        </w:trPr>
        <w:tc>
          <w:tcPr>
            <w:tcW w:w="171" w:type="pct"/>
            <w:vMerge w:val="continue"/>
            <w:shd w:val="clear" w:color="auto" w:fill="FFFFFF"/>
            <w:vAlign w:val="center"/>
          </w:tcPr>
          <w:p>
            <w:pPr>
              <w:widowControl/>
              <w:spacing w:line="312" w:lineRule="exact"/>
              <w:ind w:firstLine="0" w:firstLineChars="0"/>
              <w:jc w:val="center"/>
              <w:rPr>
                <w:b/>
                <w:color w:val="auto"/>
                <w:sz w:val="21"/>
                <w:szCs w:val="21"/>
              </w:rPr>
            </w:pPr>
          </w:p>
        </w:tc>
        <w:tc>
          <w:tcPr>
            <w:tcW w:w="370" w:type="pct"/>
            <w:vMerge w:val="continue"/>
            <w:shd w:val="clear" w:color="auto" w:fill="FFFFFF"/>
            <w:vAlign w:val="center"/>
          </w:tcPr>
          <w:p>
            <w:pPr>
              <w:widowControl/>
              <w:spacing w:line="312" w:lineRule="exact"/>
              <w:ind w:firstLine="0" w:firstLineChars="0"/>
              <w:jc w:val="center"/>
              <w:rPr>
                <w:b/>
                <w:color w:val="auto"/>
                <w:sz w:val="21"/>
                <w:szCs w:val="21"/>
              </w:rPr>
            </w:pPr>
          </w:p>
        </w:tc>
        <w:tc>
          <w:tcPr>
            <w:tcW w:w="661" w:type="pct"/>
            <w:vMerge w:val="continue"/>
            <w:shd w:val="clear" w:color="auto" w:fill="FFFFFF"/>
            <w:vAlign w:val="center"/>
          </w:tcPr>
          <w:p>
            <w:pPr>
              <w:widowControl/>
              <w:spacing w:line="312" w:lineRule="exact"/>
              <w:ind w:firstLine="0" w:firstLineChars="0"/>
              <w:jc w:val="center"/>
              <w:rPr>
                <w:b/>
                <w:color w:val="auto"/>
                <w:sz w:val="21"/>
                <w:szCs w:val="21"/>
              </w:rPr>
            </w:pPr>
          </w:p>
        </w:tc>
        <w:tc>
          <w:tcPr>
            <w:tcW w:w="297" w:type="pct"/>
            <w:vMerge w:val="continue"/>
            <w:shd w:val="clear" w:color="auto" w:fill="FFFFFF"/>
            <w:vAlign w:val="center"/>
          </w:tcPr>
          <w:p>
            <w:pPr>
              <w:widowControl/>
              <w:spacing w:line="312" w:lineRule="exact"/>
              <w:ind w:firstLine="0" w:firstLineChars="0"/>
              <w:jc w:val="center"/>
              <w:rPr>
                <w:b/>
                <w:color w:val="auto"/>
                <w:sz w:val="21"/>
                <w:szCs w:val="21"/>
              </w:rPr>
            </w:pPr>
          </w:p>
        </w:tc>
        <w:tc>
          <w:tcPr>
            <w:tcW w:w="244" w:type="pct"/>
            <w:vMerge w:val="continue"/>
            <w:shd w:val="clear" w:color="auto" w:fill="FFFFFF"/>
            <w:vAlign w:val="center"/>
          </w:tcPr>
          <w:p>
            <w:pPr>
              <w:widowControl/>
              <w:spacing w:line="312" w:lineRule="exact"/>
              <w:ind w:firstLine="0" w:firstLineChars="0"/>
              <w:jc w:val="center"/>
              <w:rPr>
                <w:b/>
                <w:color w:val="auto"/>
                <w:sz w:val="21"/>
                <w:szCs w:val="21"/>
              </w:rPr>
            </w:pPr>
          </w:p>
        </w:tc>
        <w:tc>
          <w:tcPr>
            <w:tcW w:w="264" w:type="pct"/>
            <w:vMerge w:val="continue"/>
            <w:shd w:val="clear" w:color="auto" w:fill="FFFFFF"/>
            <w:vAlign w:val="center"/>
          </w:tcPr>
          <w:p>
            <w:pPr>
              <w:widowControl/>
              <w:spacing w:line="312" w:lineRule="exact"/>
              <w:ind w:firstLine="0" w:firstLineChars="0"/>
              <w:jc w:val="center"/>
              <w:rPr>
                <w:b/>
                <w:color w:val="auto"/>
                <w:sz w:val="21"/>
                <w:szCs w:val="21"/>
              </w:rPr>
            </w:pPr>
          </w:p>
        </w:tc>
        <w:tc>
          <w:tcPr>
            <w:tcW w:w="276" w:type="pct"/>
            <w:vMerge w:val="continue"/>
            <w:shd w:val="clear" w:color="auto" w:fill="FFFFFF"/>
            <w:vAlign w:val="center"/>
          </w:tcPr>
          <w:p>
            <w:pPr>
              <w:widowControl/>
              <w:spacing w:line="312" w:lineRule="exact"/>
              <w:ind w:firstLine="0" w:firstLineChars="0"/>
              <w:jc w:val="center"/>
              <w:rPr>
                <w:b/>
                <w:color w:val="auto"/>
                <w:sz w:val="21"/>
                <w:szCs w:val="21"/>
              </w:rPr>
            </w:pPr>
          </w:p>
        </w:tc>
        <w:tc>
          <w:tcPr>
            <w:tcW w:w="374" w:type="pct"/>
            <w:vMerge w:val="continue"/>
            <w:shd w:val="clear" w:color="auto" w:fill="FFFFFF"/>
            <w:vAlign w:val="center"/>
          </w:tcPr>
          <w:p>
            <w:pPr>
              <w:widowControl/>
              <w:spacing w:line="312" w:lineRule="exact"/>
              <w:ind w:firstLine="0" w:firstLineChars="0"/>
              <w:jc w:val="center"/>
              <w:rPr>
                <w:b/>
                <w:color w:val="auto"/>
                <w:sz w:val="21"/>
                <w:szCs w:val="21"/>
              </w:rPr>
            </w:pPr>
          </w:p>
        </w:tc>
        <w:tc>
          <w:tcPr>
            <w:tcW w:w="320" w:type="pct"/>
            <w:vMerge w:val="continue"/>
            <w:shd w:val="clear" w:color="auto" w:fill="FFFFFF"/>
            <w:vAlign w:val="center"/>
          </w:tcPr>
          <w:p>
            <w:pPr>
              <w:widowControl/>
              <w:spacing w:line="312" w:lineRule="exact"/>
              <w:ind w:firstLine="0" w:firstLineChars="0"/>
              <w:jc w:val="center"/>
              <w:rPr>
                <w:b/>
                <w:color w:val="auto"/>
                <w:sz w:val="21"/>
                <w:szCs w:val="21"/>
              </w:rPr>
            </w:pPr>
          </w:p>
        </w:tc>
        <w:tc>
          <w:tcPr>
            <w:tcW w:w="206" w:type="pct"/>
            <w:vMerge w:val="continue"/>
            <w:shd w:val="clear" w:color="auto" w:fill="FFFFFF"/>
            <w:vAlign w:val="center"/>
          </w:tcPr>
          <w:p>
            <w:pPr>
              <w:widowControl/>
              <w:spacing w:line="312" w:lineRule="exact"/>
              <w:ind w:firstLine="0" w:firstLineChars="0"/>
              <w:jc w:val="center"/>
              <w:rPr>
                <w:b/>
                <w:color w:val="auto"/>
                <w:sz w:val="21"/>
                <w:szCs w:val="21"/>
              </w:rPr>
            </w:pPr>
          </w:p>
        </w:tc>
        <w:tc>
          <w:tcPr>
            <w:tcW w:w="427" w:type="pct"/>
            <w:shd w:val="clear" w:color="auto" w:fill="FFFFFF"/>
            <w:vAlign w:val="center"/>
          </w:tcPr>
          <w:p>
            <w:pPr>
              <w:widowControl/>
              <w:spacing w:line="312" w:lineRule="exact"/>
              <w:ind w:firstLine="0" w:firstLineChars="0"/>
              <w:jc w:val="center"/>
              <w:textAlignment w:val="center"/>
              <w:rPr>
                <w:b/>
                <w:color w:val="auto"/>
                <w:sz w:val="21"/>
                <w:szCs w:val="21"/>
              </w:rPr>
            </w:pPr>
            <w:r>
              <w:rPr>
                <w:b/>
                <w:color w:val="auto"/>
                <w:sz w:val="21"/>
                <w:szCs w:val="21"/>
              </w:rPr>
              <w:t>颗粒物</w:t>
            </w:r>
          </w:p>
        </w:tc>
        <w:tc>
          <w:tcPr>
            <w:tcW w:w="494" w:type="pct"/>
            <w:shd w:val="clear" w:color="auto" w:fill="FFFFFF"/>
            <w:vAlign w:val="center"/>
          </w:tcPr>
          <w:p>
            <w:pPr>
              <w:widowControl/>
              <w:spacing w:line="312" w:lineRule="exact"/>
              <w:ind w:firstLine="0" w:firstLineChars="0"/>
              <w:jc w:val="center"/>
              <w:textAlignment w:val="center"/>
              <w:rPr>
                <w:color w:val="auto"/>
                <w:sz w:val="21"/>
                <w:szCs w:val="21"/>
              </w:rPr>
            </w:pPr>
            <w:r>
              <w:rPr>
                <w:b/>
                <w:color w:val="auto"/>
                <w:sz w:val="21"/>
                <w:szCs w:val="21"/>
              </w:rPr>
              <w:t>VOCs</w:t>
            </w:r>
          </w:p>
        </w:tc>
        <w:tc>
          <w:tcPr>
            <w:tcW w:w="408" w:type="pct"/>
            <w:shd w:val="clear" w:color="auto" w:fill="FFFFFF"/>
            <w:vAlign w:val="center"/>
          </w:tcPr>
          <w:p>
            <w:pPr>
              <w:widowControl/>
              <w:spacing w:line="312" w:lineRule="exact"/>
              <w:ind w:firstLine="0" w:firstLineChars="0"/>
              <w:jc w:val="center"/>
              <w:textAlignment w:val="center"/>
              <w:rPr>
                <w:b/>
                <w:color w:val="auto"/>
                <w:sz w:val="21"/>
                <w:szCs w:val="21"/>
              </w:rPr>
            </w:pPr>
            <w:r>
              <w:rPr>
                <w:rFonts w:hint="eastAsia"/>
                <w:b/>
                <w:bCs/>
                <w:color w:val="auto"/>
                <w:sz w:val="21"/>
                <w:szCs w:val="21"/>
              </w:rPr>
              <w:t>氨</w:t>
            </w:r>
          </w:p>
        </w:tc>
        <w:tc>
          <w:tcPr>
            <w:tcW w:w="481" w:type="pct"/>
            <w:shd w:val="clear" w:color="auto" w:fill="FFFFFF"/>
            <w:vAlign w:val="center"/>
          </w:tcPr>
          <w:p>
            <w:pPr>
              <w:widowControl/>
              <w:spacing w:line="312" w:lineRule="exact"/>
              <w:ind w:firstLine="0" w:firstLineChars="0"/>
              <w:jc w:val="center"/>
              <w:textAlignment w:val="center"/>
              <w:rPr>
                <w:b/>
                <w:color w:val="auto"/>
                <w:sz w:val="21"/>
                <w:szCs w:val="21"/>
              </w:rPr>
            </w:pPr>
            <w:r>
              <w:rPr>
                <w:rFonts w:hint="eastAsia"/>
                <w:b/>
                <w:bCs/>
                <w:color w:val="auto"/>
                <w:sz w:val="21"/>
                <w:szCs w:val="21"/>
              </w:rPr>
              <w:t>硫化氢</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6" w:hRule="atLeast"/>
        </w:trPr>
        <w:tc>
          <w:tcPr>
            <w:tcW w:w="171" w:type="pct"/>
            <w:vAlign w:val="center"/>
          </w:tcPr>
          <w:p>
            <w:pPr>
              <w:widowControl/>
              <w:spacing w:line="312" w:lineRule="exact"/>
              <w:ind w:firstLine="0" w:firstLineChars="0"/>
              <w:jc w:val="center"/>
              <w:textAlignment w:val="center"/>
              <w:rPr>
                <w:color w:val="auto"/>
                <w:sz w:val="21"/>
                <w:szCs w:val="21"/>
              </w:rPr>
            </w:pPr>
            <w:r>
              <w:rPr>
                <w:color w:val="auto"/>
                <w:kern w:val="0"/>
                <w:sz w:val="21"/>
                <w:szCs w:val="21"/>
                <w:lang w:bidi="ar"/>
              </w:rPr>
              <w:t>A1</w:t>
            </w:r>
          </w:p>
        </w:tc>
        <w:tc>
          <w:tcPr>
            <w:tcW w:w="370" w:type="pct"/>
            <w:vAlign w:val="center"/>
          </w:tcPr>
          <w:p>
            <w:pPr>
              <w:spacing w:line="240" w:lineRule="auto"/>
              <w:ind w:firstLine="0" w:firstLineChars="0"/>
              <w:jc w:val="center"/>
              <w:rPr>
                <w:color w:val="auto"/>
                <w:sz w:val="21"/>
                <w:szCs w:val="21"/>
              </w:rPr>
            </w:pPr>
            <w:r>
              <w:rPr>
                <w:color w:val="auto"/>
                <w:sz w:val="21"/>
                <w:szCs w:val="21"/>
              </w:rPr>
              <w:t>装置区</w:t>
            </w:r>
          </w:p>
        </w:tc>
        <w:tc>
          <w:tcPr>
            <w:tcW w:w="661"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（88,87）</w:t>
            </w:r>
          </w:p>
        </w:tc>
        <w:tc>
          <w:tcPr>
            <w:tcW w:w="297"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w:t>
            </w:r>
          </w:p>
        </w:tc>
        <w:tc>
          <w:tcPr>
            <w:tcW w:w="244"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72</w:t>
            </w:r>
          </w:p>
        </w:tc>
        <w:tc>
          <w:tcPr>
            <w:tcW w:w="264"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28</w:t>
            </w:r>
          </w:p>
        </w:tc>
        <w:tc>
          <w:tcPr>
            <w:tcW w:w="276"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0</w:t>
            </w:r>
          </w:p>
        </w:tc>
        <w:tc>
          <w:tcPr>
            <w:tcW w:w="374"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11.8</w:t>
            </w:r>
          </w:p>
        </w:tc>
        <w:tc>
          <w:tcPr>
            <w:tcW w:w="320" w:type="pct"/>
            <w:vAlign w:val="center"/>
          </w:tcPr>
          <w:p>
            <w:pPr>
              <w:widowControl/>
              <w:spacing w:line="312" w:lineRule="exact"/>
              <w:ind w:firstLine="0" w:firstLineChars="0"/>
              <w:jc w:val="center"/>
              <w:rPr>
                <w:color w:val="auto"/>
                <w:sz w:val="21"/>
                <w:szCs w:val="21"/>
              </w:rPr>
            </w:pPr>
            <w:r>
              <w:rPr>
                <w:rFonts w:hint="eastAsia"/>
                <w:color w:val="auto"/>
                <w:sz w:val="21"/>
                <w:szCs w:val="21"/>
              </w:rPr>
              <w:t>7200</w:t>
            </w:r>
          </w:p>
        </w:tc>
        <w:tc>
          <w:tcPr>
            <w:tcW w:w="206" w:type="pct"/>
            <w:vAlign w:val="center"/>
          </w:tcPr>
          <w:p>
            <w:pPr>
              <w:widowControl/>
              <w:spacing w:line="312" w:lineRule="exact"/>
              <w:ind w:firstLine="0" w:firstLineChars="0"/>
              <w:jc w:val="center"/>
              <w:rPr>
                <w:color w:val="auto"/>
                <w:sz w:val="21"/>
                <w:szCs w:val="21"/>
              </w:rPr>
            </w:pPr>
            <w:r>
              <w:rPr>
                <w:rFonts w:hint="eastAsia"/>
                <w:color w:val="auto"/>
                <w:sz w:val="21"/>
                <w:szCs w:val="21"/>
              </w:rPr>
              <w:t>正常</w:t>
            </w:r>
          </w:p>
        </w:tc>
        <w:tc>
          <w:tcPr>
            <w:tcW w:w="427" w:type="pct"/>
            <w:vAlign w:val="center"/>
          </w:tcPr>
          <w:p>
            <w:pPr>
              <w:widowControl/>
              <w:spacing w:line="312" w:lineRule="exact"/>
              <w:ind w:firstLine="0" w:firstLineChars="0"/>
              <w:jc w:val="center"/>
              <w:textAlignment w:val="center"/>
              <w:rPr>
                <w:color w:val="auto"/>
                <w:sz w:val="21"/>
                <w:szCs w:val="21"/>
              </w:rPr>
            </w:pPr>
          </w:p>
        </w:tc>
        <w:tc>
          <w:tcPr>
            <w:tcW w:w="494"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0.019</w:t>
            </w:r>
          </w:p>
        </w:tc>
        <w:tc>
          <w:tcPr>
            <w:tcW w:w="408" w:type="pct"/>
            <w:vAlign w:val="center"/>
          </w:tcPr>
          <w:p>
            <w:pPr>
              <w:widowControl/>
              <w:spacing w:line="312" w:lineRule="exact"/>
              <w:ind w:firstLine="0" w:firstLineChars="0"/>
              <w:jc w:val="center"/>
              <w:textAlignment w:val="center"/>
              <w:rPr>
                <w:color w:val="auto"/>
                <w:kern w:val="0"/>
                <w:sz w:val="21"/>
                <w:szCs w:val="21"/>
                <w:lang w:bidi="ar"/>
              </w:rPr>
            </w:pPr>
          </w:p>
        </w:tc>
        <w:tc>
          <w:tcPr>
            <w:tcW w:w="481" w:type="pct"/>
            <w:vAlign w:val="center"/>
          </w:tcPr>
          <w:p>
            <w:pPr>
              <w:widowControl/>
              <w:spacing w:line="312" w:lineRule="exact"/>
              <w:ind w:firstLine="0" w:firstLineChars="0"/>
              <w:jc w:val="center"/>
              <w:textAlignment w:val="center"/>
              <w:rPr>
                <w:color w:val="auto"/>
                <w:kern w:val="0"/>
                <w:sz w:val="21"/>
                <w:szCs w:val="21"/>
                <w:lang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6" w:hRule="atLeast"/>
        </w:trPr>
        <w:tc>
          <w:tcPr>
            <w:tcW w:w="171" w:type="pct"/>
            <w:vAlign w:val="center"/>
          </w:tcPr>
          <w:p>
            <w:pPr>
              <w:widowControl/>
              <w:spacing w:line="312" w:lineRule="exact"/>
              <w:ind w:firstLine="0" w:firstLineChars="0"/>
              <w:jc w:val="center"/>
              <w:textAlignment w:val="center"/>
              <w:rPr>
                <w:color w:val="auto"/>
                <w:kern w:val="0"/>
                <w:sz w:val="21"/>
                <w:szCs w:val="21"/>
                <w:lang w:bidi="ar"/>
              </w:rPr>
            </w:pPr>
            <w:r>
              <w:rPr>
                <w:color w:val="auto"/>
                <w:kern w:val="0"/>
                <w:sz w:val="21"/>
                <w:szCs w:val="21"/>
                <w:lang w:bidi="ar"/>
              </w:rPr>
              <w:t>A2</w:t>
            </w:r>
          </w:p>
        </w:tc>
        <w:tc>
          <w:tcPr>
            <w:tcW w:w="370" w:type="pct"/>
            <w:vAlign w:val="center"/>
          </w:tcPr>
          <w:p>
            <w:pPr>
              <w:spacing w:line="240" w:lineRule="auto"/>
              <w:ind w:firstLine="0" w:firstLineChars="0"/>
              <w:jc w:val="center"/>
              <w:rPr>
                <w:color w:val="auto"/>
                <w:kern w:val="0"/>
                <w:sz w:val="21"/>
                <w:szCs w:val="21"/>
                <w:lang w:bidi="ar"/>
              </w:rPr>
            </w:pPr>
            <w:r>
              <w:rPr>
                <w:rFonts w:hint="eastAsia"/>
                <w:color w:val="auto"/>
                <w:kern w:val="0"/>
                <w:sz w:val="21"/>
                <w:szCs w:val="21"/>
                <w:lang w:bidi="ar"/>
              </w:rPr>
              <w:t>生产车间</w:t>
            </w:r>
          </w:p>
        </w:tc>
        <w:tc>
          <w:tcPr>
            <w:tcW w:w="661"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w:t>
            </w:r>
          </w:p>
        </w:tc>
        <w:tc>
          <w:tcPr>
            <w:tcW w:w="297" w:type="pct"/>
            <w:vAlign w:val="center"/>
          </w:tcPr>
          <w:p>
            <w:pPr>
              <w:widowControl/>
              <w:spacing w:line="312" w:lineRule="exact"/>
              <w:ind w:firstLine="0" w:firstLineChars="0"/>
              <w:jc w:val="center"/>
              <w:textAlignment w:val="center"/>
              <w:rPr>
                <w:color w:val="auto"/>
                <w:kern w:val="0"/>
                <w:sz w:val="21"/>
                <w:szCs w:val="21"/>
                <w:lang w:bidi="ar"/>
              </w:rPr>
            </w:pPr>
            <w:r>
              <w:rPr>
                <w:rFonts w:hint="eastAsia"/>
                <w:color w:val="auto"/>
                <w:kern w:val="0"/>
                <w:sz w:val="21"/>
                <w:szCs w:val="21"/>
                <w:lang w:bidi="ar"/>
              </w:rPr>
              <w:t>28</w:t>
            </w:r>
          </w:p>
        </w:tc>
        <w:tc>
          <w:tcPr>
            <w:tcW w:w="244"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w:t>
            </w:r>
          </w:p>
        </w:tc>
        <w:tc>
          <w:tcPr>
            <w:tcW w:w="264"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w:t>
            </w:r>
          </w:p>
        </w:tc>
        <w:tc>
          <w:tcPr>
            <w:tcW w:w="276"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w:t>
            </w:r>
          </w:p>
        </w:tc>
        <w:tc>
          <w:tcPr>
            <w:tcW w:w="374"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6</w:t>
            </w:r>
          </w:p>
        </w:tc>
        <w:tc>
          <w:tcPr>
            <w:tcW w:w="320" w:type="pct"/>
            <w:vAlign w:val="center"/>
          </w:tcPr>
          <w:p>
            <w:pPr>
              <w:widowControl/>
              <w:spacing w:line="312" w:lineRule="exact"/>
              <w:ind w:firstLine="0" w:firstLineChars="0"/>
              <w:jc w:val="center"/>
              <w:rPr>
                <w:color w:val="auto"/>
                <w:sz w:val="21"/>
                <w:szCs w:val="21"/>
              </w:rPr>
            </w:pPr>
            <w:r>
              <w:rPr>
                <w:rFonts w:hint="eastAsia"/>
                <w:color w:val="auto"/>
                <w:sz w:val="21"/>
                <w:szCs w:val="21"/>
              </w:rPr>
              <w:t>600</w:t>
            </w:r>
          </w:p>
        </w:tc>
        <w:tc>
          <w:tcPr>
            <w:tcW w:w="206" w:type="pct"/>
            <w:vAlign w:val="center"/>
          </w:tcPr>
          <w:p>
            <w:pPr>
              <w:widowControl/>
              <w:spacing w:line="312" w:lineRule="exact"/>
              <w:ind w:firstLine="0" w:firstLineChars="0"/>
              <w:jc w:val="center"/>
              <w:rPr>
                <w:color w:val="auto"/>
                <w:sz w:val="21"/>
                <w:szCs w:val="21"/>
              </w:rPr>
            </w:pPr>
            <w:r>
              <w:rPr>
                <w:rFonts w:hint="eastAsia"/>
                <w:color w:val="auto"/>
                <w:sz w:val="21"/>
                <w:szCs w:val="21"/>
              </w:rPr>
              <w:t>正常</w:t>
            </w:r>
          </w:p>
        </w:tc>
        <w:tc>
          <w:tcPr>
            <w:tcW w:w="427"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0.0004</w:t>
            </w:r>
          </w:p>
        </w:tc>
        <w:tc>
          <w:tcPr>
            <w:tcW w:w="494" w:type="pct"/>
            <w:vAlign w:val="center"/>
          </w:tcPr>
          <w:p>
            <w:pPr>
              <w:widowControl/>
              <w:spacing w:line="312" w:lineRule="exact"/>
              <w:ind w:firstLine="0" w:firstLineChars="0"/>
              <w:jc w:val="center"/>
              <w:textAlignment w:val="center"/>
              <w:rPr>
                <w:color w:val="auto"/>
                <w:sz w:val="21"/>
                <w:szCs w:val="21"/>
              </w:rPr>
            </w:pPr>
          </w:p>
        </w:tc>
        <w:tc>
          <w:tcPr>
            <w:tcW w:w="408" w:type="pct"/>
            <w:vAlign w:val="center"/>
          </w:tcPr>
          <w:p>
            <w:pPr>
              <w:widowControl/>
              <w:spacing w:line="312" w:lineRule="exact"/>
              <w:ind w:firstLine="0" w:firstLineChars="0"/>
              <w:jc w:val="center"/>
              <w:textAlignment w:val="center"/>
              <w:rPr>
                <w:color w:val="auto"/>
                <w:kern w:val="0"/>
                <w:sz w:val="21"/>
                <w:szCs w:val="21"/>
                <w:lang w:bidi="ar"/>
              </w:rPr>
            </w:pPr>
          </w:p>
        </w:tc>
        <w:tc>
          <w:tcPr>
            <w:tcW w:w="481" w:type="pct"/>
            <w:vAlign w:val="center"/>
          </w:tcPr>
          <w:p>
            <w:pPr>
              <w:widowControl/>
              <w:spacing w:line="312" w:lineRule="exact"/>
              <w:ind w:firstLine="0" w:firstLineChars="0"/>
              <w:jc w:val="center"/>
              <w:textAlignment w:val="center"/>
              <w:rPr>
                <w:color w:val="auto"/>
                <w:kern w:val="0"/>
                <w:sz w:val="21"/>
                <w:szCs w:val="21"/>
                <w:lang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6" w:hRule="atLeast"/>
        </w:trPr>
        <w:tc>
          <w:tcPr>
            <w:tcW w:w="171" w:type="pct"/>
            <w:vAlign w:val="center"/>
          </w:tcPr>
          <w:p>
            <w:pPr>
              <w:widowControl/>
              <w:spacing w:line="312" w:lineRule="exact"/>
              <w:ind w:firstLine="0" w:firstLineChars="0"/>
              <w:jc w:val="center"/>
              <w:textAlignment w:val="center"/>
              <w:rPr>
                <w:color w:val="auto"/>
                <w:kern w:val="0"/>
                <w:sz w:val="21"/>
                <w:szCs w:val="21"/>
                <w:lang w:bidi="ar"/>
              </w:rPr>
            </w:pPr>
            <w:r>
              <w:rPr>
                <w:color w:val="auto"/>
                <w:kern w:val="0"/>
                <w:sz w:val="21"/>
                <w:szCs w:val="21"/>
                <w:lang w:bidi="ar"/>
              </w:rPr>
              <w:t>A3</w:t>
            </w:r>
          </w:p>
        </w:tc>
        <w:tc>
          <w:tcPr>
            <w:tcW w:w="370" w:type="pct"/>
            <w:vAlign w:val="center"/>
          </w:tcPr>
          <w:p>
            <w:pPr>
              <w:spacing w:line="240" w:lineRule="auto"/>
              <w:ind w:firstLine="0" w:firstLineChars="0"/>
              <w:jc w:val="center"/>
              <w:rPr>
                <w:color w:val="auto"/>
                <w:kern w:val="0"/>
                <w:sz w:val="21"/>
                <w:szCs w:val="21"/>
                <w:lang w:bidi="ar"/>
              </w:rPr>
            </w:pPr>
            <w:r>
              <w:rPr>
                <w:rFonts w:hint="eastAsia"/>
                <w:color w:val="auto"/>
                <w:kern w:val="0"/>
                <w:sz w:val="21"/>
                <w:szCs w:val="21"/>
                <w:lang w:bidi="ar"/>
              </w:rPr>
              <w:t>污水处理站</w:t>
            </w:r>
          </w:p>
        </w:tc>
        <w:tc>
          <w:tcPr>
            <w:tcW w:w="661"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（19,7）</w:t>
            </w:r>
          </w:p>
        </w:tc>
        <w:tc>
          <w:tcPr>
            <w:tcW w:w="297" w:type="pct"/>
            <w:vAlign w:val="center"/>
          </w:tcPr>
          <w:p>
            <w:pPr>
              <w:widowControl/>
              <w:spacing w:line="312" w:lineRule="exact"/>
              <w:ind w:firstLine="0" w:firstLineChars="0"/>
              <w:jc w:val="center"/>
              <w:textAlignment w:val="center"/>
              <w:rPr>
                <w:color w:val="auto"/>
                <w:kern w:val="0"/>
                <w:sz w:val="21"/>
                <w:szCs w:val="21"/>
                <w:lang w:bidi="ar"/>
              </w:rPr>
            </w:pPr>
            <w:r>
              <w:rPr>
                <w:rFonts w:hint="eastAsia"/>
                <w:color w:val="auto"/>
                <w:kern w:val="0"/>
                <w:sz w:val="21"/>
                <w:szCs w:val="21"/>
                <w:lang w:bidi="ar"/>
              </w:rPr>
              <w:t>/</w:t>
            </w:r>
          </w:p>
        </w:tc>
        <w:tc>
          <w:tcPr>
            <w:tcW w:w="244"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4</w:t>
            </w:r>
          </w:p>
        </w:tc>
        <w:tc>
          <w:tcPr>
            <w:tcW w:w="264"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6</w:t>
            </w:r>
          </w:p>
        </w:tc>
        <w:tc>
          <w:tcPr>
            <w:tcW w:w="276"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0</w:t>
            </w:r>
          </w:p>
        </w:tc>
        <w:tc>
          <w:tcPr>
            <w:tcW w:w="374" w:type="pct"/>
            <w:vAlign w:val="center"/>
          </w:tcPr>
          <w:p>
            <w:pPr>
              <w:widowControl/>
              <w:spacing w:line="312" w:lineRule="exact"/>
              <w:ind w:firstLine="0" w:firstLineChars="0"/>
              <w:jc w:val="center"/>
              <w:textAlignment w:val="center"/>
              <w:rPr>
                <w:color w:val="auto"/>
                <w:sz w:val="21"/>
                <w:szCs w:val="21"/>
              </w:rPr>
            </w:pPr>
            <w:r>
              <w:rPr>
                <w:rFonts w:hint="eastAsia"/>
                <w:color w:val="auto"/>
                <w:sz w:val="21"/>
                <w:szCs w:val="21"/>
              </w:rPr>
              <w:t>5</w:t>
            </w:r>
          </w:p>
        </w:tc>
        <w:tc>
          <w:tcPr>
            <w:tcW w:w="320" w:type="pct"/>
            <w:vAlign w:val="center"/>
          </w:tcPr>
          <w:p>
            <w:pPr>
              <w:widowControl/>
              <w:spacing w:line="312" w:lineRule="exact"/>
              <w:ind w:firstLine="0" w:firstLineChars="0"/>
              <w:jc w:val="center"/>
              <w:rPr>
                <w:color w:val="auto"/>
                <w:sz w:val="21"/>
                <w:szCs w:val="21"/>
              </w:rPr>
            </w:pPr>
            <w:r>
              <w:rPr>
                <w:rFonts w:hint="eastAsia"/>
                <w:color w:val="auto"/>
                <w:sz w:val="21"/>
                <w:szCs w:val="21"/>
              </w:rPr>
              <w:t>7200</w:t>
            </w:r>
          </w:p>
        </w:tc>
        <w:tc>
          <w:tcPr>
            <w:tcW w:w="206" w:type="pct"/>
            <w:vAlign w:val="center"/>
          </w:tcPr>
          <w:p>
            <w:pPr>
              <w:widowControl/>
              <w:spacing w:line="312" w:lineRule="exact"/>
              <w:ind w:firstLine="0" w:firstLineChars="0"/>
              <w:jc w:val="center"/>
              <w:rPr>
                <w:color w:val="auto"/>
                <w:sz w:val="21"/>
                <w:szCs w:val="21"/>
              </w:rPr>
            </w:pPr>
            <w:r>
              <w:rPr>
                <w:rFonts w:hint="eastAsia"/>
                <w:color w:val="auto"/>
                <w:sz w:val="21"/>
                <w:szCs w:val="21"/>
              </w:rPr>
              <w:t>正常</w:t>
            </w:r>
          </w:p>
        </w:tc>
        <w:tc>
          <w:tcPr>
            <w:tcW w:w="427" w:type="pct"/>
            <w:vAlign w:val="center"/>
          </w:tcPr>
          <w:p>
            <w:pPr>
              <w:widowControl/>
              <w:spacing w:line="312" w:lineRule="exact"/>
              <w:ind w:firstLine="0" w:firstLineChars="0"/>
              <w:jc w:val="center"/>
              <w:textAlignment w:val="center"/>
              <w:rPr>
                <w:color w:val="auto"/>
                <w:sz w:val="21"/>
                <w:szCs w:val="21"/>
              </w:rPr>
            </w:pPr>
          </w:p>
        </w:tc>
        <w:tc>
          <w:tcPr>
            <w:tcW w:w="494" w:type="pct"/>
            <w:vAlign w:val="center"/>
          </w:tcPr>
          <w:p>
            <w:pPr>
              <w:widowControl/>
              <w:spacing w:line="312" w:lineRule="exact"/>
              <w:ind w:firstLine="0" w:firstLineChars="0"/>
              <w:jc w:val="center"/>
              <w:textAlignment w:val="center"/>
              <w:rPr>
                <w:color w:val="auto"/>
                <w:sz w:val="21"/>
                <w:szCs w:val="21"/>
              </w:rPr>
            </w:pPr>
          </w:p>
        </w:tc>
        <w:tc>
          <w:tcPr>
            <w:tcW w:w="408" w:type="pct"/>
            <w:vAlign w:val="center"/>
          </w:tcPr>
          <w:p>
            <w:pPr>
              <w:widowControl/>
              <w:spacing w:line="312" w:lineRule="exact"/>
              <w:ind w:firstLine="0" w:firstLineChars="0"/>
              <w:jc w:val="center"/>
              <w:textAlignment w:val="center"/>
              <w:rPr>
                <w:color w:val="auto"/>
                <w:kern w:val="0"/>
                <w:sz w:val="21"/>
                <w:szCs w:val="21"/>
                <w:lang w:bidi="ar"/>
              </w:rPr>
            </w:pPr>
            <w:r>
              <w:rPr>
                <w:rFonts w:hint="eastAsia"/>
                <w:color w:val="auto"/>
                <w:kern w:val="0"/>
                <w:sz w:val="21"/>
                <w:szCs w:val="21"/>
                <w:lang w:bidi="ar"/>
              </w:rPr>
              <w:t>0.0029</w:t>
            </w:r>
          </w:p>
        </w:tc>
        <w:tc>
          <w:tcPr>
            <w:tcW w:w="481" w:type="pct"/>
            <w:vAlign w:val="center"/>
          </w:tcPr>
          <w:p>
            <w:pPr>
              <w:widowControl/>
              <w:spacing w:line="312" w:lineRule="exact"/>
              <w:ind w:firstLine="0" w:firstLineChars="0"/>
              <w:jc w:val="center"/>
              <w:textAlignment w:val="center"/>
              <w:rPr>
                <w:color w:val="auto"/>
                <w:kern w:val="0"/>
                <w:sz w:val="21"/>
                <w:szCs w:val="21"/>
                <w:lang w:bidi="ar"/>
              </w:rPr>
            </w:pPr>
            <w:r>
              <w:rPr>
                <w:rFonts w:hint="eastAsia"/>
                <w:color w:val="auto"/>
                <w:kern w:val="0"/>
                <w:sz w:val="21"/>
                <w:szCs w:val="21"/>
                <w:lang w:bidi="ar"/>
              </w:rPr>
              <w:t>0.00007</w:t>
            </w:r>
          </w:p>
        </w:tc>
      </w:tr>
    </w:tbl>
    <w:p>
      <w:pPr>
        <w:ind w:firstLine="480"/>
        <w:rPr>
          <w:color w:val="auto"/>
        </w:rPr>
        <w:sectPr>
          <w:headerReference r:id="rId36" w:type="default"/>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ind w:firstLine="480"/>
        <w:rPr>
          <w:bCs/>
          <w:color w:val="auto"/>
          <w:spacing w:val="4"/>
        </w:rPr>
      </w:pPr>
      <w:r>
        <w:rPr>
          <w:color w:val="auto"/>
        </w:rPr>
        <w:t>（</w:t>
      </w:r>
      <w:r>
        <w:rPr>
          <w:rFonts w:hint="eastAsia"/>
          <w:color w:val="auto"/>
        </w:rPr>
        <w:t>3</w:t>
      </w:r>
      <w:r>
        <w:rPr>
          <w:color w:val="auto"/>
        </w:rPr>
        <w:t>）参数</w:t>
      </w:r>
      <w:r>
        <w:rPr>
          <w:rFonts w:hint="eastAsia"/>
          <w:color w:val="auto"/>
        </w:rPr>
        <w:t>选择</w:t>
      </w:r>
    </w:p>
    <w:p>
      <w:pPr>
        <w:ind w:firstLine="480"/>
        <w:rPr>
          <w:color w:val="auto"/>
          <w:szCs w:val="24"/>
        </w:rPr>
      </w:pPr>
      <w:r>
        <w:rPr>
          <w:color w:val="auto"/>
          <w:szCs w:val="24"/>
        </w:rPr>
        <w:t>采用《环境影响评价技术导则 大气环境》（HJ2.2-2018）中推荐的AERSCREEN估算软件对项目污染物的排放进行评级。</w:t>
      </w:r>
    </w:p>
    <w:p>
      <w:pPr>
        <w:pStyle w:val="3"/>
        <w:spacing w:after="0"/>
        <w:ind w:left="0" w:leftChars="0" w:firstLine="0" w:firstLineChars="0"/>
        <w:jc w:val="center"/>
        <w:rPr>
          <w:rFonts w:eastAsia="黑体"/>
          <w:color w:val="auto"/>
          <w:sz w:val="21"/>
          <w:szCs w:val="21"/>
        </w:rPr>
      </w:pPr>
      <w:r>
        <w:rPr>
          <w:rFonts w:eastAsia="黑体"/>
          <w:color w:val="auto"/>
          <w:sz w:val="21"/>
          <w:szCs w:val="21"/>
        </w:rPr>
        <w:t>表5.1-</w:t>
      </w:r>
      <w:r>
        <w:rPr>
          <w:rFonts w:hint="eastAsia" w:eastAsia="黑体"/>
          <w:color w:val="auto"/>
          <w:sz w:val="21"/>
          <w:szCs w:val="21"/>
        </w:rPr>
        <w:t>5</w:t>
      </w:r>
      <w:r>
        <w:rPr>
          <w:rFonts w:eastAsia="黑体"/>
          <w:color w:val="auto"/>
          <w:sz w:val="21"/>
          <w:szCs w:val="21"/>
        </w:rPr>
        <w:t xml:space="preserve">  估算模型参数</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5"/>
        <w:gridCol w:w="2159"/>
        <w:gridCol w:w="1796"/>
        <w:gridCol w:w="30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72" w:type="pct"/>
            <w:gridSpan w:val="2"/>
            <w:tcBorders>
              <w:tl2br w:val="nil"/>
              <w:tr2bl w:val="nil"/>
            </w:tcBorders>
            <w:vAlign w:val="center"/>
          </w:tcPr>
          <w:p>
            <w:pPr>
              <w:spacing w:line="312" w:lineRule="exact"/>
              <w:ind w:firstLine="0" w:firstLineChars="0"/>
              <w:jc w:val="center"/>
              <w:rPr>
                <w:color w:val="auto"/>
                <w:sz w:val="21"/>
                <w:szCs w:val="21"/>
              </w:rPr>
            </w:pPr>
            <w:r>
              <w:rPr>
                <w:color w:val="auto"/>
                <w:sz w:val="21"/>
                <w:szCs w:val="21"/>
              </w:rPr>
              <w:t>参数</w:t>
            </w:r>
          </w:p>
        </w:tc>
        <w:tc>
          <w:tcPr>
            <w:tcW w:w="105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取值</w:t>
            </w:r>
          </w:p>
        </w:tc>
        <w:tc>
          <w:tcPr>
            <w:tcW w:w="1774"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取值依据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6"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农村/城市选项</w:t>
            </w:r>
          </w:p>
        </w:tc>
        <w:tc>
          <w:tcPr>
            <w:tcW w:w="1265"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城市/农村</w:t>
            </w:r>
          </w:p>
        </w:tc>
        <w:tc>
          <w:tcPr>
            <w:tcW w:w="105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农村</w:t>
            </w:r>
          </w:p>
        </w:tc>
        <w:tc>
          <w:tcPr>
            <w:tcW w:w="1774"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项目周边3km半径范围内一半以上面积不属于城市规划区，选择农村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906" w:type="pct"/>
            <w:vMerge w:val="continue"/>
            <w:tcBorders>
              <w:tl2br w:val="nil"/>
              <w:tr2bl w:val="nil"/>
            </w:tcBorders>
            <w:vAlign w:val="center"/>
          </w:tcPr>
          <w:p>
            <w:pPr>
              <w:spacing w:line="312" w:lineRule="exact"/>
              <w:ind w:firstLine="0" w:firstLineChars="0"/>
              <w:jc w:val="center"/>
              <w:rPr>
                <w:color w:val="auto"/>
                <w:sz w:val="21"/>
                <w:szCs w:val="21"/>
              </w:rPr>
            </w:pPr>
          </w:p>
        </w:tc>
        <w:tc>
          <w:tcPr>
            <w:tcW w:w="1265"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人口数（城市选项时）</w:t>
            </w:r>
          </w:p>
        </w:tc>
        <w:tc>
          <w:tcPr>
            <w:tcW w:w="105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w:t>
            </w:r>
          </w:p>
        </w:tc>
        <w:tc>
          <w:tcPr>
            <w:tcW w:w="1774" w:type="pct"/>
            <w:vMerge w:val="continue"/>
            <w:tcBorders>
              <w:tl2br w:val="nil"/>
              <w:tr2bl w:val="nil"/>
            </w:tcBorders>
            <w:vAlign w:val="center"/>
          </w:tcPr>
          <w:p>
            <w:pPr>
              <w:spacing w:line="312" w:lineRule="exac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72" w:type="pct"/>
            <w:gridSpan w:val="2"/>
            <w:tcBorders>
              <w:tl2br w:val="nil"/>
              <w:tr2bl w:val="nil"/>
            </w:tcBorders>
            <w:vAlign w:val="center"/>
          </w:tcPr>
          <w:p>
            <w:pPr>
              <w:spacing w:line="312" w:lineRule="exact"/>
              <w:ind w:firstLine="0" w:firstLineChars="0"/>
              <w:jc w:val="center"/>
              <w:rPr>
                <w:color w:val="auto"/>
                <w:sz w:val="21"/>
                <w:szCs w:val="21"/>
              </w:rPr>
            </w:pPr>
            <w:r>
              <w:rPr>
                <w:color w:val="auto"/>
                <w:sz w:val="21"/>
                <w:szCs w:val="21"/>
              </w:rPr>
              <w:t>最高环境温度/℃</w:t>
            </w:r>
          </w:p>
        </w:tc>
        <w:tc>
          <w:tcPr>
            <w:tcW w:w="1053" w:type="pct"/>
            <w:tcBorders>
              <w:tl2br w:val="nil"/>
              <w:tr2bl w:val="nil"/>
            </w:tcBorders>
            <w:vAlign w:val="center"/>
          </w:tcPr>
          <w:p>
            <w:pPr>
              <w:spacing w:line="312" w:lineRule="exact"/>
              <w:ind w:firstLine="0" w:firstLineChars="0"/>
              <w:jc w:val="center"/>
              <w:rPr>
                <w:color w:val="auto"/>
                <w:sz w:val="21"/>
                <w:szCs w:val="21"/>
              </w:rPr>
            </w:pPr>
            <w:r>
              <w:rPr>
                <w:rFonts w:hint="eastAsia"/>
                <w:color w:val="auto"/>
                <w:sz w:val="21"/>
                <w:szCs w:val="21"/>
              </w:rPr>
              <w:t>41.6</w:t>
            </w:r>
          </w:p>
        </w:tc>
        <w:tc>
          <w:tcPr>
            <w:tcW w:w="1774"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近20年气象数据统计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72" w:type="pct"/>
            <w:gridSpan w:val="2"/>
            <w:tcBorders>
              <w:tl2br w:val="nil"/>
              <w:tr2bl w:val="nil"/>
            </w:tcBorders>
            <w:vAlign w:val="center"/>
          </w:tcPr>
          <w:p>
            <w:pPr>
              <w:spacing w:line="312" w:lineRule="exact"/>
              <w:ind w:firstLine="0" w:firstLineChars="0"/>
              <w:jc w:val="center"/>
              <w:rPr>
                <w:color w:val="auto"/>
                <w:sz w:val="21"/>
                <w:szCs w:val="21"/>
              </w:rPr>
            </w:pPr>
            <w:r>
              <w:rPr>
                <w:color w:val="auto"/>
                <w:sz w:val="21"/>
                <w:szCs w:val="21"/>
              </w:rPr>
              <w:t>最低环境温度/℃</w:t>
            </w:r>
          </w:p>
        </w:tc>
        <w:tc>
          <w:tcPr>
            <w:tcW w:w="105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w:t>
            </w:r>
            <w:r>
              <w:rPr>
                <w:rFonts w:hint="eastAsia"/>
                <w:color w:val="auto"/>
                <w:sz w:val="21"/>
                <w:szCs w:val="21"/>
              </w:rPr>
              <w:t>16.9</w:t>
            </w:r>
          </w:p>
        </w:tc>
        <w:tc>
          <w:tcPr>
            <w:tcW w:w="1774" w:type="pct"/>
            <w:vMerge w:val="continue"/>
            <w:tcBorders>
              <w:tl2br w:val="nil"/>
              <w:tr2bl w:val="nil"/>
            </w:tcBorders>
            <w:vAlign w:val="center"/>
          </w:tcPr>
          <w:p>
            <w:pPr>
              <w:spacing w:line="312" w:lineRule="exac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72" w:type="pct"/>
            <w:gridSpan w:val="2"/>
            <w:tcBorders>
              <w:tl2br w:val="nil"/>
              <w:tr2bl w:val="nil"/>
            </w:tcBorders>
            <w:vAlign w:val="center"/>
          </w:tcPr>
          <w:p>
            <w:pPr>
              <w:spacing w:line="312" w:lineRule="exact"/>
              <w:ind w:firstLine="0" w:firstLineChars="0"/>
              <w:jc w:val="center"/>
              <w:rPr>
                <w:color w:val="auto"/>
                <w:sz w:val="21"/>
                <w:szCs w:val="21"/>
              </w:rPr>
            </w:pPr>
            <w:r>
              <w:rPr>
                <w:color w:val="auto"/>
                <w:sz w:val="21"/>
                <w:szCs w:val="21"/>
              </w:rPr>
              <w:t>土地利用类型</w:t>
            </w:r>
          </w:p>
        </w:tc>
        <w:tc>
          <w:tcPr>
            <w:tcW w:w="105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农用地</w:t>
            </w:r>
          </w:p>
        </w:tc>
        <w:tc>
          <w:tcPr>
            <w:tcW w:w="1774"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3km半径范围内土地利用状况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72" w:type="pct"/>
            <w:gridSpan w:val="2"/>
            <w:tcBorders>
              <w:tl2br w:val="nil"/>
              <w:tr2bl w:val="nil"/>
            </w:tcBorders>
            <w:vAlign w:val="center"/>
          </w:tcPr>
          <w:p>
            <w:pPr>
              <w:spacing w:line="312" w:lineRule="exact"/>
              <w:ind w:firstLine="0" w:firstLineChars="0"/>
              <w:jc w:val="center"/>
              <w:rPr>
                <w:color w:val="auto"/>
                <w:sz w:val="21"/>
                <w:szCs w:val="21"/>
              </w:rPr>
            </w:pPr>
            <w:r>
              <w:rPr>
                <w:color w:val="auto"/>
                <w:sz w:val="21"/>
                <w:szCs w:val="21"/>
              </w:rPr>
              <w:t>区域湿度条件</w:t>
            </w:r>
          </w:p>
        </w:tc>
        <w:tc>
          <w:tcPr>
            <w:tcW w:w="105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中度湿度</w:t>
            </w:r>
          </w:p>
        </w:tc>
        <w:tc>
          <w:tcPr>
            <w:tcW w:w="1774"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中国干湿状况分布图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6"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是否考虑地形</w:t>
            </w:r>
          </w:p>
        </w:tc>
        <w:tc>
          <w:tcPr>
            <w:tcW w:w="1265"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考虑地形</w:t>
            </w:r>
          </w:p>
        </w:tc>
        <w:tc>
          <w:tcPr>
            <w:tcW w:w="1053" w:type="pct"/>
            <w:tcBorders>
              <w:tl2br w:val="nil"/>
              <w:tr2bl w:val="nil"/>
            </w:tcBorders>
            <w:vAlign w:val="center"/>
          </w:tcPr>
          <w:p>
            <w:pPr>
              <w:overflowPunct w:val="0"/>
              <w:adjustRightInd w:val="0"/>
              <w:spacing w:line="312" w:lineRule="exact"/>
              <w:ind w:firstLine="0" w:firstLineChars="0"/>
              <w:jc w:val="center"/>
              <w:textAlignment w:val="baseline"/>
              <w:rPr>
                <w:color w:val="auto"/>
                <w:sz w:val="21"/>
                <w:szCs w:val="21"/>
              </w:rPr>
            </w:pPr>
            <w:r>
              <w:rPr>
                <w:color w:val="auto"/>
                <w:sz w:val="21"/>
                <w:szCs w:val="21"/>
              </w:rPr>
              <w:sym w:font="Wingdings 2" w:char="0052"/>
            </w:r>
            <w:r>
              <w:rPr>
                <w:color w:val="auto"/>
                <w:sz w:val="21"/>
                <w:szCs w:val="21"/>
              </w:rPr>
              <w:t xml:space="preserve">是 </w:t>
            </w:r>
            <w:r>
              <w:rPr>
                <w:color w:val="auto"/>
                <w:sz w:val="21"/>
                <w:szCs w:val="21"/>
              </w:rPr>
              <w:sym w:font="Wingdings 2" w:char="00A3"/>
            </w:r>
            <w:r>
              <w:rPr>
                <w:color w:val="auto"/>
                <w:sz w:val="21"/>
                <w:szCs w:val="21"/>
              </w:rPr>
              <w:t>否</w:t>
            </w:r>
          </w:p>
        </w:tc>
        <w:tc>
          <w:tcPr>
            <w:tcW w:w="1774"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报告书项目，根据导则要求考虑地形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6" w:type="pct"/>
            <w:vMerge w:val="continue"/>
            <w:tcBorders>
              <w:tl2br w:val="nil"/>
              <w:tr2bl w:val="nil"/>
            </w:tcBorders>
            <w:vAlign w:val="center"/>
          </w:tcPr>
          <w:p>
            <w:pPr>
              <w:spacing w:line="312" w:lineRule="exact"/>
              <w:ind w:firstLine="0" w:firstLineChars="0"/>
              <w:jc w:val="center"/>
              <w:rPr>
                <w:color w:val="auto"/>
                <w:sz w:val="21"/>
                <w:szCs w:val="21"/>
              </w:rPr>
            </w:pPr>
          </w:p>
        </w:tc>
        <w:tc>
          <w:tcPr>
            <w:tcW w:w="1265"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地形数据分辨率/m</w:t>
            </w:r>
          </w:p>
        </w:tc>
        <w:tc>
          <w:tcPr>
            <w:tcW w:w="1053" w:type="pct"/>
            <w:tcBorders>
              <w:tl2br w:val="nil"/>
              <w:tr2bl w:val="nil"/>
            </w:tcBorders>
            <w:vAlign w:val="center"/>
          </w:tcPr>
          <w:p>
            <w:pPr>
              <w:overflowPunct w:val="0"/>
              <w:adjustRightInd w:val="0"/>
              <w:spacing w:line="312" w:lineRule="exact"/>
              <w:ind w:firstLine="0" w:firstLineChars="0"/>
              <w:jc w:val="center"/>
              <w:textAlignment w:val="baseline"/>
              <w:rPr>
                <w:color w:val="auto"/>
                <w:sz w:val="21"/>
                <w:szCs w:val="21"/>
              </w:rPr>
            </w:pPr>
            <w:r>
              <w:rPr>
                <w:color w:val="auto"/>
                <w:sz w:val="21"/>
                <w:szCs w:val="21"/>
              </w:rPr>
              <w:t>90</w:t>
            </w:r>
          </w:p>
        </w:tc>
        <w:tc>
          <w:tcPr>
            <w:tcW w:w="1774"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SRTM DEM UTM90m分辨率数字高程数据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6"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是否考虑岸线熏烟</w:t>
            </w:r>
          </w:p>
        </w:tc>
        <w:tc>
          <w:tcPr>
            <w:tcW w:w="1265"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考虑岸线熏烟</w:t>
            </w:r>
          </w:p>
        </w:tc>
        <w:tc>
          <w:tcPr>
            <w:tcW w:w="1053" w:type="pct"/>
            <w:tcBorders>
              <w:tl2br w:val="nil"/>
              <w:tr2bl w:val="nil"/>
            </w:tcBorders>
            <w:vAlign w:val="center"/>
          </w:tcPr>
          <w:p>
            <w:pPr>
              <w:overflowPunct w:val="0"/>
              <w:adjustRightInd w:val="0"/>
              <w:spacing w:line="312" w:lineRule="exact"/>
              <w:ind w:firstLine="0" w:firstLineChars="0"/>
              <w:jc w:val="center"/>
              <w:textAlignment w:val="baseline"/>
              <w:rPr>
                <w:color w:val="auto"/>
                <w:sz w:val="21"/>
                <w:szCs w:val="21"/>
              </w:rPr>
            </w:pPr>
            <w:r>
              <w:rPr>
                <w:color w:val="auto"/>
                <w:sz w:val="21"/>
                <w:szCs w:val="21"/>
              </w:rPr>
              <w:sym w:font="Wingdings 2" w:char="00A3"/>
            </w:r>
            <w:r>
              <w:rPr>
                <w:color w:val="auto"/>
                <w:sz w:val="21"/>
                <w:szCs w:val="21"/>
              </w:rPr>
              <w:t xml:space="preserve">是 </w:t>
            </w:r>
            <w:r>
              <w:rPr>
                <w:color w:val="auto"/>
                <w:sz w:val="21"/>
                <w:szCs w:val="21"/>
              </w:rPr>
              <w:sym w:font="Wingdings 2" w:char="0052"/>
            </w:r>
            <w:r>
              <w:rPr>
                <w:color w:val="auto"/>
                <w:sz w:val="21"/>
                <w:szCs w:val="21"/>
              </w:rPr>
              <w:t>否</w:t>
            </w:r>
          </w:p>
        </w:tc>
        <w:tc>
          <w:tcPr>
            <w:tcW w:w="1774"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污染源附近3km范围内无大型水体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6" w:type="pct"/>
            <w:vMerge w:val="continue"/>
            <w:tcBorders>
              <w:tl2br w:val="nil"/>
              <w:tr2bl w:val="nil"/>
            </w:tcBorders>
            <w:vAlign w:val="center"/>
          </w:tcPr>
          <w:p>
            <w:pPr>
              <w:spacing w:line="312" w:lineRule="exact"/>
              <w:ind w:firstLine="0" w:firstLineChars="0"/>
              <w:jc w:val="center"/>
              <w:rPr>
                <w:color w:val="auto"/>
                <w:sz w:val="21"/>
                <w:szCs w:val="21"/>
              </w:rPr>
            </w:pPr>
          </w:p>
        </w:tc>
        <w:tc>
          <w:tcPr>
            <w:tcW w:w="1265"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岸线距离/m</w:t>
            </w:r>
          </w:p>
        </w:tc>
        <w:tc>
          <w:tcPr>
            <w:tcW w:w="105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w:t>
            </w:r>
          </w:p>
        </w:tc>
        <w:tc>
          <w:tcPr>
            <w:tcW w:w="1774" w:type="pct"/>
            <w:vMerge w:val="continue"/>
            <w:tcBorders>
              <w:tl2br w:val="nil"/>
              <w:tr2bl w:val="nil"/>
            </w:tcBorders>
            <w:vAlign w:val="center"/>
          </w:tcPr>
          <w:p>
            <w:pPr>
              <w:spacing w:line="312" w:lineRule="exact"/>
              <w:ind w:firstLine="42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6" w:type="pct"/>
            <w:vMerge w:val="continue"/>
            <w:tcBorders>
              <w:tl2br w:val="nil"/>
              <w:tr2bl w:val="nil"/>
            </w:tcBorders>
            <w:vAlign w:val="center"/>
          </w:tcPr>
          <w:p>
            <w:pPr>
              <w:spacing w:line="312" w:lineRule="exact"/>
              <w:ind w:firstLine="0" w:firstLineChars="0"/>
              <w:jc w:val="center"/>
              <w:rPr>
                <w:color w:val="auto"/>
                <w:sz w:val="21"/>
                <w:szCs w:val="21"/>
              </w:rPr>
            </w:pPr>
          </w:p>
        </w:tc>
        <w:tc>
          <w:tcPr>
            <w:tcW w:w="1265"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岸线方向/°</w:t>
            </w:r>
          </w:p>
        </w:tc>
        <w:tc>
          <w:tcPr>
            <w:tcW w:w="1053"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w:t>
            </w:r>
          </w:p>
        </w:tc>
        <w:tc>
          <w:tcPr>
            <w:tcW w:w="1774" w:type="pct"/>
            <w:vMerge w:val="continue"/>
            <w:tcBorders>
              <w:tl2br w:val="nil"/>
              <w:tr2bl w:val="nil"/>
            </w:tcBorders>
            <w:vAlign w:val="center"/>
          </w:tcPr>
          <w:p>
            <w:pPr>
              <w:spacing w:line="312" w:lineRule="exact"/>
              <w:ind w:firstLine="420"/>
              <w:jc w:val="center"/>
              <w:rPr>
                <w:color w:val="auto"/>
                <w:sz w:val="21"/>
                <w:szCs w:val="21"/>
              </w:rPr>
            </w:pPr>
          </w:p>
        </w:tc>
      </w:tr>
    </w:tbl>
    <w:p>
      <w:pPr>
        <w:ind w:firstLine="480"/>
        <w:rPr>
          <w:color w:val="auto"/>
        </w:rPr>
      </w:pPr>
      <w:r>
        <w:rPr>
          <w:rFonts w:hint="eastAsia"/>
          <w:color w:val="auto"/>
        </w:rPr>
        <w:t>（4）AERSCREEN模型计算</w:t>
      </w:r>
    </w:p>
    <w:p>
      <w:pPr>
        <w:pStyle w:val="2"/>
        <w:spacing w:after="0"/>
        <w:ind w:firstLine="480"/>
        <w:rPr>
          <w:rFonts w:eastAsia="黑体"/>
          <w:b/>
          <w:bCs/>
          <w:color w:val="auto"/>
          <w:sz w:val="21"/>
          <w:szCs w:val="21"/>
          <w:lang w:val="zh-CN"/>
        </w:rPr>
      </w:pPr>
      <w:r>
        <w:rPr>
          <w:color w:val="auto"/>
        </w:rPr>
        <w:t>经《环境影响评价技术导则大气环境》（HJ2.2-2018）中推荐的AERSCREEN模型计算，本项目主要污染源估算模型计算结果</w:t>
      </w:r>
      <w:r>
        <w:rPr>
          <w:rFonts w:hint="eastAsia"/>
          <w:color w:val="auto"/>
        </w:rPr>
        <w:t>见下表。</w:t>
      </w:r>
    </w:p>
    <w:p>
      <w:pPr>
        <w:pStyle w:val="57"/>
        <w:rPr>
          <w:color w:val="auto"/>
        </w:rPr>
      </w:pPr>
      <w:r>
        <w:rPr>
          <w:rFonts w:hint="eastAsia"/>
          <w:color w:val="auto"/>
        </w:rPr>
        <w:t>表5.1-12  有组织污染源（排气筒DA001）</w:t>
      </w:r>
      <w:r>
        <w:rPr>
          <w:color w:val="auto"/>
        </w:rPr>
        <w:t>估算模型计算结果表</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972"/>
        <w:gridCol w:w="1474"/>
        <w:gridCol w:w="1124"/>
        <w:gridCol w:w="1434"/>
        <w:gridCol w:w="945"/>
        <w:gridCol w:w="1462"/>
        <w:gridCol w:w="1117"/>
      </w:tblGrid>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000" w:type="pct"/>
            <w:gridSpan w:val="7"/>
            <w:tcBorders>
              <w:tl2br w:val="nil"/>
              <w:tr2bl w:val="nil"/>
            </w:tcBorders>
            <w:vAlign w:val="center"/>
          </w:tcPr>
          <w:p>
            <w:pPr>
              <w:pStyle w:val="45"/>
              <w:rPr>
                <w:color w:val="auto"/>
              </w:rPr>
            </w:pPr>
            <w:r>
              <w:rPr>
                <w:rFonts w:hint="eastAsia"/>
                <w:color w:val="auto"/>
              </w:rPr>
              <w:t>排气筒DA001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vMerge w:val="restart"/>
            <w:tcBorders>
              <w:tl2br w:val="nil"/>
              <w:tr2bl w:val="nil"/>
            </w:tcBorders>
            <w:vAlign w:val="center"/>
          </w:tcPr>
          <w:p>
            <w:pPr>
              <w:pStyle w:val="45"/>
              <w:rPr>
                <w:color w:val="auto"/>
              </w:rPr>
            </w:pPr>
            <w:r>
              <w:rPr>
                <w:rFonts w:hint="eastAsia"/>
                <w:color w:val="auto"/>
              </w:rPr>
              <w:t>下风向距离</w:t>
            </w:r>
          </w:p>
        </w:tc>
        <w:tc>
          <w:tcPr>
            <w:tcW w:w="1523" w:type="pct"/>
            <w:gridSpan w:val="2"/>
            <w:tcBorders>
              <w:tl2br w:val="nil"/>
              <w:tr2bl w:val="nil"/>
            </w:tcBorders>
            <w:vAlign w:val="center"/>
          </w:tcPr>
          <w:p>
            <w:pPr>
              <w:pStyle w:val="45"/>
              <w:rPr>
                <w:color w:val="auto"/>
              </w:rPr>
            </w:pPr>
            <w:r>
              <w:rPr>
                <w:rFonts w:hint="eastAsia"/>
                <w:color w:val="auto"/>
              </w:rPr>
              <w:t>NH</w:t>
            </w:r>
            <w:r>
              <w:rPr>
                <w:rFonts w:hint="eastAsia"/>
                <w:color w:val="auto"/>
                <w:vertAlign w:val="subscript"/>
              </w:rPr>
              <w:t>3</w:t>
            </w:r>
          </w:p>
        </w:tc>
        <w:tc>
          <w:tcPr>
            <w:tcW w:w="1395" w:type="pct"/>
            <w:gridSpan w:val="2"/>
            <w:tcBorders>
              <w:tl2br w:val="nil"/>
              <w:tr2bl w:val="nil"/>
            </w:tcBorders>
            <w:vAlign w:val="center"/>
          </w:tcPr>
          <w:p>
            <w:pPr>
              <w:pStyle w:val="45"/>
              <w:rPr>
                <w:color w:val="auto"/>
              </w:rPr>
            </w:pPr>
            <w:r>
              <w:rPr>
                <w:rFonts w:hint="eastAsia"/>
                <w:color w:val="auto"/>
              </w:rPr>
              <w:t>H</w:t>
            </w:r>
            <w:r>
              <w:rPr>
                <w:rFonts w:hint="eastAsia"/>
                <w:color w:val="auto"/>
                <w:vertAlign w:val="subscript"/>
              </w:rPr>
              <w:t>2</w:t>
            </w:r>
            <w:r>
              <w:rPr>
                <w:rFonts w:hint="eastAsia"/>
                <w:color w:val="auto"/>
              </w:rPr>
              <w:t>S</w:t>
            </w:r>
          </w:p>
        </w:tc>
        <w:tc>
          <w:tcPr>
            <w:tcW w:w="1510" w:type="pct"/>
            <w:gridSpan w:val="2"/>
            <w:tcBorders>
              <w:tl2br w:val="nil"/>
              <w:tr2bl w:val="nil"/>
            </w:tcBorders>
            <w:vAlign w:val="center"/>
          </w:tcPr>
          <w:p>
            <w:pPr>
              <w:pStyle w:val="45"/>
              <w:rPr>
                <w:color w:val="auto"/>
              </w:rPr>
            </w:pPr>
            <w:r>
              <w:rPr>
                <w:rFonts w:hint="eastAsia"/>
                <w:color w:val="auto"/>
              </w:rPr>
              <w:t>VOCs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vMerge w:val="continue"/>
            <w:tcBorders>
              <w:tl2br w:val="nil"/>
              <w:tr2bl w:val="nil"/>
            </w:tcBorders>
            <w:vAlign w:val="center"/>
          </w:tcPr>
          <w:p>
            <w:pPr>
              <w:pStyle w:val="45"/>
              <w:rPr>
                <w:color w:val="auto"/>
              </w:rPr>
            </w:pPr>
          </w:p>
        </w:tc>
        <w:tc>
          <w:tcPr>
            <w:tcW w:w="864" w:type="pct"/>
            <w:tcBorders>
              <w:tl2br w:val="nil"/>
              <w:tr2bl w:val="nil"/>
            </w:tcBorders>
            <w:vAlign w:val="center"/>
          </w:tcPr>
          <w:p>
            <w:pPr>
              <w:pStyle w:val="45"/>
              <w:rPr>
                <w:color w:val="auto"/>
              </w:rPr>
            </w:pPr>
            <w:r>
              <w:rPr>
                <w:color w:val="auto"/>
              </w:rPr>
              <w:t>小时浓度C</w:t>
            </w:r>
          </w:p>
        </w:tc>
        <w:tc>
          <w:tcPr>
            <w:tcW w:w="658" w:type="pct"/>
            <w:tcBorders>
              <w:tl2br w:val="nil"/>
              <w:tr2bl w:val="nil"/>
            </w:tcBorders>
            <w:vAlign w:val="center"/>
          </w:tcPr>
          <w:p>
            <w:pPr>
              <w:pStyle w:val="45"/>
              <w:rPr>
                <w:color w:val="auto"/>
              </w:rPr>
            </w:pPr>
            <w:r>
              <w:rPr>
                <w:color w:val="auto"/>
              </w:rPr>
              <w:t>浓度占标率P</w:t>
            </w:r>
          </w:p>
        </w:tc>
        <w:tc>
          <w:tcPr>
            <w:tcW w:w="841" w:type="pct"/>
            <w:tcBorders>
              <w:tl2br w:val="nil"/>
              <w:tr2bl w:val="nil"/>
            </w:tcBorders>
            <w:vAlign w:val="center"/>
          </w:tcPr>
          <w:p>
            <w:pPr>
              <w:pStyle w:val="45"/>
              <w:rPr>
                <w:color w:val="auto"/>
              </w:rPr>
            </w:pPr>
            <w:r>
              <w:rPr>
                <w:color w:val="auto"/>
              </w:rPr>
              <w:t>小时浓度C</w:t>
            </w:r>
          </w:p>
        </w:tc>
        <w:tc>
          <w:tcPr>
            <w:tcW w:w="553" w:type="pct"/>
            <w:tcBorders>
              <w:tl2br w:val="nil"/>
              <w:tr2bl w:val="nil"/>
            </w:tcBorders>
            <w:vAlign w:val="center"/>
          </w:tcPr>
          <w:p>
            <w:pPr>
              <w:pStyle w:val="45"/>
              <w:rPr>
                <w:color w:val="auto"/>
              </w:rPr>
            </w:pPr>
            <w:r>
              <w:rPr>
                <w:color w:val="auto"/>
              </w:rPr>
              <w:t>浓度占标率P</w:t>
            </w:r>
          </w:p>
        </w:tc>
        <w:tc>
          <w:tcPr>
            <w:tcW w:w="857" w:type="pct"/>
            <w:tcBorders>
              <w:tl2br w:val="nil"/>
              <w:tr2bl w:val="nil"/>
            </w:tcBorders>
            <w:vAlign w:val="center"/>
          </w:tcPr>
          <w:p>
            <w:pPr>
              <w:pStyle w:val="45"/>
              <w:rPr>
                <w:color w:val="auto"/>
                <w:szCs w:val="24"/>
              </w:rPr>
            </w:pPr>
            <w:r>
              <w:rPr>
                <w:color w:val="auto"/>
              </w:rPr>
              <w:t>小时浓度C</w:t>
            </w:r>
          </w:p>
        </w:tc>
        <w:tc>
          <w:tcPr>
            <w:tcW w:w="653" w:type="pct"/>
            <w:tcBorders>
              <w:tl2br w:val="nil"/>
              <w:tr2bl w:val="nil"/>
            </w:tcBorders>
            <w:vAlign w:val="center"/>
          </w:tcPr>
          <w:p>
            <w:pPr>
              <w:pStyle w:val="45"/>
              <w:rPr>
                <w:color w:val="auto"/>
                <w:szCs w:val="24"/>
              </w:rPr>
            </w:pPr>
            <w:r>
              <w:rPr>
                <w:color w:val="auto"/>
              </w:rPr>
              <w:t>浓度占标率P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1" w:hRule="atLeast"/>
          <w:jc w:val="center"/>
        </w:trPr>
        <w:tc>
          <w:tcPr>
            <w:tcW w:w="570" w:type="pct"/>
            <w:tcBorders>
              <w:tl2br w:val="nil"/>
              <w:tr2bl w:val="nil"/>
            </w:tcBorders>
            <w:vAlign w:val="center"/>
          </w:tcPr>
          <w:p>
            <w:pPr>
              <w:pStyle w:val="45"/>
              <w:rPr>
                <w:color w:val="auto"/>
              </w:rPr>
            </w:pPr>
            <w:r>
              <w:rPr>
                <w:rFonts w:hint="eastAsia"/>
                <w:color w:val="auto"/>
              </w:rPr>
              <w:t>m</w:t>
            </w:r>
          </w:p>
        </w:tc>
        <w:tc>
          <w:tcPr>
            <w:tcW w:w="864" w:type="pct"/>
            <w:tcBorders>
              <w:tl2br w:val="nil"/>
              <w:tr2bl w:val="nil"/>
            </w:tcBorders>
            <w:vAlign w:val="center"/>
          </w:tcPr>
          <w:p>
            <w:pPr>
              <w:pStyle w:val="45"/>
              <w:rPr>
                <w:color w:val="auto"/>
              </w:rPr>
            </w:pPr>
            <w:r>
              <w:rPr>
                <w:rFonts w:hint="eastAsia"/>
                <w:color w:val="auto"/>
              </w:rPr>
              <w:t>μ</w:t>
            </w:r>
            <w:r>
              <w:rPr>
                <w:color w:val="auto"/>
              </w:rPr>
              <w:t>g/m</w:t>
            </w:r>
            <w:r>
              <w:rPr>
                <w:color w:val="auto"/>
                <w:vertAlign w:val="superscript"/>
              </w:rPr>
              <w:t>3</w:t>
            </w:r>
          </w:p>
        </w:tc>
        <w:tc>
          <w:tcPr>
            <w:tcW w:w="658" w:type="pct"/>
            <w:tcBorders>
              <w:tl2br w:val="nil"/>
              <w:tr2bl w:val="nil"/>
            </w:tcBorders>
            <w:vAlign w:val="center"/>
          </w:tcPr>
          <w:p>
            <w:pPr>
              <w:pStyle w:val="45"/>
              <w:rPr>
                <w:color w:val="auto"/>
              </w:rPr>
            </w:pPr>
            <w:r>
              <w:rPr>
                <w:color w:val="auto"/>
              </w:rPr>
              <w:t>％</w:t>
            </w:r>
          </w:p>
        </w:tc>
        <w:tc>
          <w:tcPr>
            <w:tcW w:w="841" w:type="pct"/>
            <w:tcBorders>
              <w:tl2br w:val="nil"/>
              <w:tr2bl w:val="nil"/>
            </w:tcBorders>
            <w:vAlign w:val="center"/>
          </w:tcPr>
          <w:p>
            <w:pPr>
              <w:pStyle w:val="45"/>
              <w:rPr>
                <w:color w:val="auto"/>
              </w:rPr>
            </w:pPr>
            <w:r>
              <w:rPr>
                <w:rFonts w:hint="eastAsia"/>
                <w:color w:val="auto"/>
              </w:rPr>
              <w:t>μ</w:t>
            </w:r>
            <w:r>
              <w:rPr>
                <w:color w:val="auto"/>
              </w:rPr>
              <w:t>g/m</w:t>
            </w:r>
            <w:r>
              <w:rPr>
                <w:color w:val="auto"/>
                <w:vertAlign w:val="superscript"/>
              </w:rPr>
              <w:t>3</w:t>
            </w:r>
          </w:p>
        </w:tc>
        <w:tc>
          <w:tcPr>
            <w:tcW w:w="553" w:type="pct"/>
            <w:tcBorders>
              <w:tl2br w:val="nil"/>
              <w:tr2bl w:val="nil"/>
            </w:tcBorders>
            <w:vAlign w:val="center"/>
          </w:tcPr>
          <w:p>
            <w:pPr>
              <w:pStyle w:val="45"/>
              <w:rPr>
                <w:color w:val="auto"/>
              </w:rPr>
            </w:pPr>
            <w:r>
              <w:rPr>
                <w:color w:val="auto"/>
              </w:rPr>
              <w:t>％</w:t>
            </w:r>
          </w:p>
        </w:tc>
        <w:tc>
          <w:tcPr>
            <w:tcW w:w="857" w:type="pct"/>
            <w:tcBorders>
              <w:tl2br w:val="nil"/>
              <w:tr2bl w:val="nil"/>
            </w:tcBorders>
            <w:vAlign w:val="center"/>
          </w:tcPr>
          <w:p>
            <w:pPr>
              <w:pStyle w:val="45"/>
              <w:rPr>
                <w:color w:val="auto"/>
                <w:szCs w:val="24"/>
              </w:rPr>
            </w:pPr>
            <w:r>
              <w:rPr>
                <w:rFonts w:hint="eastAsia"/>
                <w:color w:val="auto"/>
              </w:rPr>
              <w:t>μ</w:t>
            </w:r>
            <w:r>
              <w:rPr>
                <w:color w:val="auto"/>
              </w:rPr>
              <w:t>g/m</w:t>
            </w:r>
            <w:r>
              <w:rPr>
                <w:color w:val="auto"/>
                <w:vertAlign w:val="superscript"/>
              </w:rPr>
              <w:t>3</w:t>
            </w:r>
          </w:p>
        </w:tc>
        <w:tc>
          <w:tcPr>
            <w:tcW w:w="653" w:type="pct"/>
            <w:tcBorders>
              <w:tl2br w:val="nil"/>
              <w:tr2bl w:val="nil"/>
            </w:tcBorders>
            <w:vAlign w:val="center"/>
          </w:tcPr>
          <w:p>
            <w:pPr>
              <w:pStyle w:val="45"/>
              <w:rPr>
                <w:color w:val="auto"/>
                <w:szCs w:val="24"/>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tcBorders>
              <w:tl2br w:val="nil"/>
              <w:tr2bl w:val="nil"/>
            </w:tcBorders>
            <w:vAlign w:val="center"/>
          </w:tcPr>
          <w:p>
            <w:pPr>
              <w:pStyle w:val="45"/>
              <w:rPr>
                <w:color w:val="auto"/>
                <w:szCs w:val="24"/>
              </w:rPr>
            </w:pPr>
            <w:r>
              <w:rPr>
                <w:rFonts w:hint="eastAsia"/>
                <w:color w:val="auto"/>
              </w:rPr>
              <w:t>10</w:t>
            </w:r>
          </w:p>
        </w:tc>
        <w:tc>
          <w:tcPr>
            <w:tcW w:w="864" w:type="pct"/>
            <w:tcBorders>
              <w:tl2br w:val="nil"/>
              <w:tr2bl w:val="nil"/>
            </w:tcBorders>
            <w:vAlign w:val="center"/>
          </w:tcPr>
          <w:p>
            <w:pPr>
              <w:pStyle w:val="45"/>
              <w:rPr>
                <w:color w:val="auto"/>
              </w:rPr>
            </w:pPr>
            <w:r>
              <w:rPr>
                <w:rFonts w:hint="eastAsia"/>
                <w:color w:val="auto"/>
              </w:rPr>
              <w:t>2.88E-04</w:t>
            </w:r>
          </w:p>
        </w:tc>
        <w:tc>
          <w:tcPr>
            <w:tcW w:w="658" w:type="pct"/>
            <w:tcBorders>
              <w:tl2br w:val="nil"/>
              <w:tr2bl w:val="nil"/>
            </w:tcBorders>
            <w:vAlign w:val="center"/>
          </w:tcPr>
          <w:p>
            <w:pPr>
              <w:pStyle w:val="45"/>
              <w:rPr>
                <w:color w:val="auto"/>
              </w:rPr>
            </w:pPr>
            <w:r>
              <w:rPr>
                <w:rFonts w:hint="eastAsia"/>
                <w:color w:val="auto"/>
              </w:rPr>
              <w:t>0.00</w:t>
            </w:r>
          </w:p>
        </w:tc>
        <w:tc>
          <w:tcPr>
            <w:tcW w:w="841" w:type="pct"/>
            <w:tcBorders>
              <w:tl2br w:val="nil"/>
              <w:tr2bl w:val="nil"/>
            </w:tcBorders>
            <w:vAlign w:val="center"/>
          </w:tcPr>
          <w:p>
            <w:pPr>
              <w:pStyle w:val="45"/>
              <w:rPr>
                <w:color w:val="auto"/>
              </w:rPr>
            </w:pPr>
            <w:r>
              <w:rPr>
                <w:rFonts w:hint="eastAsia"/>
                <w:color w:val="auto"/>
              </w:rPr>
              <w:t>7.21E-06</w:t>
            </w:r>
          </w:p>
        </w:tc>
        <w:tc>
          <w:tcPr>
            <w:tcW w:w="553" w:type="pct"/>
            <w:tcBorders>
              <w:tl2br w:val="nil"/>
              <w:tr2bl w:val="nil"/>
            </w:tcBorders>
            <w:vAlign w:val="center"/>
          </w:tcPr>
          <w:p>
            <w:pPr>
              <w:pStyle w:val="45"/>
              <w:rPr>
                <w:color w:val="auto"/>
              </w:rPr>
            </w:pPr>
            <w:r>
              <w:rPr>
                <w:rFonts w:hint="eastAsia"/>
                <w:color w:val="auto"/>
              </w:rPr>
              <w:t>0.00</w:t>
            </w:r>
          </w:p>
        </w:tc>
        <w:tc>
          <w:tcPr>
            <w:tcW w:w="857" w:type="pct"/>
            <w:tcBorders>
              <w:tl2br w:val="nil"/>
              <w:tr2bl w:val="nil"/>
            </w:tcBorders>
            <w:vAlign w:val="center"/>
          </w:tcPr>
          <w:p>
            <w:pPr>
              <w:pStyle w:val="45"/>
              <w:rPr>
                <w:color w:val="auto"/>
              </w:rPr>
            </w:pPr>
            <w:r>
              <w:rPr>
                <w:rFonts w:hint="eastAsia"/>
                <w:color w:val="auto"/>
              </w:rPr>
              <w:t>1.68E-01</w:t>
            </w:r>
          </w:p>
        </w:tc>
        <w:tc>
          <w:tcPr>
            <w:tcW w:w="653" w:type="pct"/>
            <w:tcBorders>
              <w:tl2br w:val="nil"/>
              <w:tr2bl w:val="nil"/>
            </w:tcBorders>
            <w:vAlign w:val="center"/>
          </w:tcPr>
          <w:p>
            <w:pPr>
              <w:pStyle w:val="45"/>
              <w:rPr>
                <w:color w:val="auto"/>
              </w:rPr>
            </w:pPr>
            <w:r>
              <w:rPr>
                <w:rFonts w:hint="eastAsia"/>
                <w:color w:val="auto"/>
              </w:rPr>
              <w:t>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tcBorders>
              <w:tl2br w:val="nil"/>
              <w:tr2bl w:val="nil"/>
            </w:tcBorders>
            <w:vAlign w:val="center"/>
          </w:tcPr>
          <w:p>
            <w:pPr>
              <w:pStyle w:val="45"/>
              <w:rPr>
                <w:color w:val="auto"/>
                <w:szCs w:val="24"/>
              </w:rPr>
            </w:pPr>
            <w:r>
              <w:rPr>
                <w:rFonts w:hint="eastAsia"/>
                <w:color w:val="auto"/>
              </w:rPr>
              <w:t>25</w:t>
            </w:r>
          </w:p>
        </w:tc>
        <w:tc>
          <w:tcPr>
            <w:tcW w:w="864" w:type="pct"/>
            <w:tcBorders>
              <w:tl2br w:val="nil"/>
              <w:tr2bl w:val="nil"/>
            </w:tcBorders>
            <w:vAlign w:val="center"/>
          </w:tcPr>
          <w:p>
            <w:pPr>
              <w:pStyle w:val="45"/>
              <w:rPr>
                <w:color w:val="auto"/>
              </w:rPr>
            </w:pPr>
            <w:r>
              <w:rPr>
                <w:rFonts w:hint="eastAsia"/>
                <w:color w:val="auto"/>
              </w:rPr>
              <w:t>1.05E-02</w:t>
            </w:r>
          </w:p>
        </w:tc>
        <w:tc>
          <w:tcPr>
            <w:tcW w:w="658" w:type="pct"/>
            <w:tcBorders>
              <w:tl2br w:val="nil"/>
              <w:tr2bl w:val="nil"/>
            </w:tcBorders>
            <w:vAlign w:val="center"/>
          </w:tcPr>
          <w:p>
            <w:pPr>
              <w:pStyle w:val="45"/>
              <w:rPr>
                <w:color w:val="auto"/>
              </w:rPr>
            </w:pPr>
            <w:r>
              <w:rPr>
                <w:rFonts w:hint="eastAsia"/>
                <w:color w:val="auto"/>
              </w:rPr>
              <w:t>0.01</w:t>
            </w:r>
          </w:p>
        </w:tc>
        <w:tc>
          <w:tcPr>
            <w:tcW w:w="841" w:type="pct"/>
            <w:tcBorders>
              <w:tl2br w:val="nil"/>
              <w:tr2bl w:val="nil"/>
            </w:tcBorders>
            <w:vAlign w:val="center"/>
          </w:tcPr>
          <w:p>
            <w:pPr>
              <w:pStyle w:val="45"/>
              <w:rPr>
                <w:color w:val="auto"/>
              </w:rPr>
            </w:pPr>
            <w:r>
              <w:rPr>
                <w:rFonts w:hint="eastAsia"/>
                <w:color w:val="auto"/>
              </w:rPr>
              <w:t>2.63E-04</w:t>
            </w:r>
          </w:p>
        </w:tc>
        <w:tc>
          <w:tcPr>
            <w:tcW w:w="553" w:type="pct"/>
            <w:tcBorders>
              <w:tl2br w:val="nil"/>
              <w:tr2bl w:val="nil"/>
            </w:tcBorders>
            <w:vAlign w:val="center"/>
          </w:tcPr>
          <w:p>
            <w:pPr>
              <w:pStyle w:val="45"/>
              <w:rPr>
                <w:color w:val="auto"/>
              </w:rPr>
            </w:pPr>
            <w:r>
              <w:rPr>
                <w:rFonts w:hint="eastAsia"/>
                <w:color w:val="auto"/>
              </w:rPr>
              <w:t>0.00</w:t>
            </w:r>
          </w:p>
        </w:tc>
        <w:tc>
          <w:tcPr>
            <w:tcW w:w="857" w:type="pct"/>
            <w:tcBorders>
              <w:tl2br w:val="nil"/>
              <w:tr2bl w:val="nil"/>
            </w:tcBorders>
            <w:vAlign w:val="center"/>
          </w:tcPr>
          <w:p>
            <w:pPr>
              <w:pStyle w:val="45"/>
              <w:rPr>
                <w:color w:val="auto"/>
              </w:rPr>
            </w:pPr>
            <w:r>
              <w:rPr>
                <w:rFonts w:hint="eastAsia"/>
                <w:color w:val="auto"/>
              </w:rPr>
              <w:t>6.12E+00</w:t>
            </w:r>
          </w:p>
        </w:tc>
        <w:tc>
          <w:tcPr>
            <w:tcW w:w="653" w:type="pct"/>
            <w:tcBorders>
              <w:tl2br w:val="nil"/>
              <w:tr2bl w:val="nil"/>
            </w:tcBorders>
            <w:vAlign w:val="center"/>
          </w:tcPr>
          <w:p>
            <w:pPr>
              <w:pStyle w:val="45"/>
              <w:rPr>
                <w:color w:val="auto"/>
              </w:rPr>
            </w:pPr>
            <w:r>
              <w:rPr>
                <w:rFonts w:hint="eastAsia"/>
                <w:color w:val="auto"/>
              </w:rPr>
              <w:t>0.51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tcBorders>
              <w:tl2br w:val="nil"/>
              <w:tr2bl w:val="nil"/>
            </w:tcBorders>
            <w:vAlign w:val="center"/>
          </w:tcPr>
          <w:p>
            <w:pPr>
              <w:pStyle w:val="45"/>
              <w:rPr>
                <w:color w:val="auto"/>
                <w:szCs w:val="24"/>
              </w:rPr>
            </w:pPr>
            <w:r>
              <w:rPr>
                <w:rFonts w:hint="eastAsia"/>
                <w:color w:val="auto"/>
              </w:rPr>
              <w:t>50</w:t>
            </w:r>
          </w:p>
        </w:tc>
        <w:tc>
          <w:tcPr>
            <w:tcW w:w="864" w:type="pct"/>
            <w:tcBorders>
              <w:tl2br w:val="nil"/>
              <w:tr2bl w:val="nil"/>
            </w:tcBorders>
            <w:vAlign w:val="center"/>
          </w:tcPr>
          <w:p>
            <w:pPr>
              <w:pStyle w:val="45"/>
              <w:rPr>
                <w:color w:val="auto"/>
              </w:rPr>
            </w:pPr>
            <w:r>
              <w:rPr>
                <w:rFonts w:hint="eastAsia"/>
                <w:color w:val="auto"/>
              </w:rPr>
              <w:t>4.01E-02</w:t>
            </w:r>
          </w:p>
        </w:tc>
        <w:tc>
          <w:tcPr>
            <w:tcW w:w="658" w:type="pct"/>
            <w:tcBorders>
              <w:tl2br w:val="nil"/>
              <w:tr2bl w:val="nil"/>
            </w:tcBorders>
            <w:vAlign w:val="center"/>
          </w:tcPr>
          <w:p>
            <w:pPr>
              <w:pStyle w:val="45"/>
              <w:rPr>
                <w:color w:val="auto"/>
              </w:rPr>
            </w:pPr>
            <w:r>
              <w:rPr>
                <w:rFonts w:hint="eastAsia"/>
                <w:color w:val="auto"/>
              </w:rPr>
              <w:t>0.02</w:t>
            </w:r>
          </w:p>
        </w:tc>
        <w:tc>
          <w:tcPr>
            <w:tcW w:w="841" w:type="pct"/>
            <w:tcBorders>
              <w:tl2br w:val="nil"/>
              <w:tr2bl w:val="nil"/>
            </w:tcBorders>
            <w:vAlign w:val="center"/>
          </w:tcPr>
          <w:p>
            <w:pPr>
              <w:pStyle w:val="45"/>
              <w:rPr>
                <w:color w:val="auto"/>
              </w:rPr>
            </w:pPr>
            <w:r>
              <w:rPr>
                <w:rFonts w:hint="eastAsia"/>
                <w:color w:val="auto"/>
              </w:rPr>
              <w:t>1.00E-03</w:t>
            </w:r>
          </w:p>
        </w:tc>
        <w:tc>
          <w:tcPr>
            <w:tcW w:w="553" w:type="pct"/>
            <w:tcBorders>
              <w:tl2br w:val="nil"/>
              <w:tr2bl w:val="nil"/>
            </w:tcBorders>
            <w:vAlign w:val="center"/>
          </w:tcPr>
          <w:p>
            <w:pPr>
              <w:pStyle w:val="45"/>
              <w:rPr>
                <w:color w:val="auto"/>
              </w:rPr>
            </w:pPr>
            <w:r>
              <w:rPr>
                <w:rFonts w:hint="eastAsia"/>
                <w:color w:val="auto"/>
              </w:rPr>
              <w:t>0.01</w:t>
            </w:r>
          </w:p>
        </w:tc>
        <w:tc>
          <w:tcPr>
            <w:tcW w:w="857" w:type="pct"/>
            <w:tcBorders>
              <w:tl2br w:val="nil"/>
              <w:tr2bl w:val="nil"/>
            </w:tcBorders>
            <w:vAlign w:val="center"/>
          </w:tcPr>
          <w:p>
            <w:pPr>
              <w:pStyle w:val="45"/>
              <w:rPr>
                <w:color w:val="auto"/>
              </w:rPr>
            </w:pPr>
            <w:r>
              <w:rPr>
                <w:rFonts w:hint="eastAsia"/>
                <w:color w:val="auto"/>
              </w:rPr>
              <w:t>2.34E+01</w:t>
            </w:r>
          </w:p>
        </w:tc>
        <w:tc>
          <w:tcPr>
            <w:tcW w:w="653" w:type="pct"/>
            <w:tcBorders>
              <w:tl2br w:val="nil"/>
              <w:tr2bl w:val="nil"/>
            </w:tcBorders>
            <w:vAlign w:val="center"/>
          </w:tcPr>
          <w:p>
            <w:pPr>
              <w:pStyle w:val="45"/>
              <w:rPr>
                <w:color w:val="auto"/>
              </w:rPr>
            </w:pPr>
            <w:r>
              <w:rPr>
                <w:rFonts w:hint="eastAsia"/>
                <w:color w:val="auto"/>
              </w:rPr>
              <w:t>1.95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tcBorders>
              <w:tl2br w:val="nil"/>
              <w:tr2bl w:val="nil"/>
            </w:tcBorders>
            <w:vAlign w:val="center"/>
          </w:tcPr>
          <w:p>
            <w:pPr>
              <w:pStyle w:val="45"/>
              <w:rPr>
                <w:color w:val="auto"/>
              </w:rPr>
            </w:pPr>
            <w:r>
              <w:rPr>
                <w:rFonts w:hint="eastAsia"/>
                <w:color w:val="auto"/>
              </w:rPr>
              <w:t>70</w:t>
            </w:r>
          </w:p>
        </w:tc>
        <w:tc>
          <w:tcPr>
            <w:tcW w:w="864" w:type="pct"/>
            <w:tcBorders>
              <w:tl2br w:val="nil"/>
              <w:tr2bl w:val="nil"/>
            </w:tcBorders>
            <w:vAlign w:val="center"/>
          </w:tcPr>
          <w:p>
            <w:pPr>
              <w:pStyle w:val="45"/>
              <w:rPr>
                <w:color w:val="auto"/>
              </w:rPr>
            </w:pPr>
            <w:r>
              <w:rPr>
                <w:rFonts w:hint="eastAsia"/>
                <w:color w:val="auto"/>
              </w:rPr>
              <w:t>4.62E-02</w:t>
            </w:r>
          </w:p>
        </w:tc>
        <w:tc>
          <w:tcPr>
            <w:tcW w:w="658" w:type="pct"/>
            <w:tcBorders>
              <w:tl2br w:val="nil"/>
              <w:tr2bl w:val="nil"/>
            </w:tcBorders>
            <w:vAlign w:val="center"/>
          </w:tcPr>
          <w:p>
            <w:pPr>
              <w:pStyle w:val="45"/>
              <w:rPr>
                <w:color w:val="auto"/>
              </w:rPr>
            </w:pPr>
            <w:r>
              <w:rPr>
                <w:rFonts w:hint="eastAsia"/>
                <w:color w:val="auto"/>
              </w:rPr>
              <w:t>0.02</w:t>
            </w:r>
          </w:p>
        </w:tc>
        <w:tc>
          <w:tcPr>
            <w:tcW w:w="841" w:type="pct"/>
            <w:tcBorders>
              <w:tl2br w:val="nil"/>
              <w:tr2bl w:val="nil"/>
            </w:tcBorders>
            <w:vAlign w:val="center"/>
          </w:tcPr>
          <w:p>
            <w:pPr>
              <w:pStyle w:val="45"/>
              <w:rPr>
                <w:color w:val="auto"/>
              </w:rPr>
            </w:pPr>
            <w:r>
              <w:rPr>
                <w:rFonts w:hint="eastAsia"/>
                <w:color w:val="auto"/>
              </w:rPr>
              <w:t>1.15E-03</w:t>
            </w:r>
          </w:p>
        </w:tc>
        <w:tc>
          <w:tcPr>
            <w:tcW w:w="553" w:type="pct"/>
            <w:tcBorders>
              <w:tl2br w:val="nil"/>
              <w:tr2bl w:val="nil"/>
            </w:tcBorders>
            <w:vAlign w:val="center"/>
          </w:tcPr>
          <w:p>
            <w:pPr>
              <w:pStyle w:val="45"/>
              <w:rPr>
                <w:color w:val="auto"/>
              </w:rPr>
            </w:pPr>
            <w:r>
              <w:rPr>
                <w:rFonts w:hint="eastAsia"/>
                <w:color w:val="auto"/>
              </w:rPr>
              <w:t>0.01</w:t>
            </w:r>
          </w:p>
        </w:tc>
        <w:tc>
          <w:tcPr>
            <w:tcW w:w="857" w:type="pct"/>
            <w:tcBorders>
              <w:tl2br w:val="nil"/>
              <w:tr2bl w:val="nil"/>
            </w:tcBorders>
            <w:vAlign w:val="center"/>
          </w:tcPr>
          <w:p>
            <w:pPr>
              <w:pStyle w:val="45"/>
              <w:rPr>
                <w:color w:val="auto"/>
              </w:rPr>
            </w:pPr>
            <w:r>
              <w:rPr>
                <w:rFonts w:hint="eastAsia"/>
                <w:color w:val="auto"/>
              </w:rPr>
              <w:t>2.69E+01</w:t>
            </w:r>
          </w:p>
        </w:tc>
        <w:tc>
          <w:tcPr>
            <w:tcW w:w="653" w:type="pct"/>
            <w:tcBorders>
              <w:tl2br w:val="nil"/>
              <w:tr2bl w:val="nil"/>
            </w:tcBorders>
            <w:vAlign w:val="center"/>
          </w:tcPr>
          <w:p>
            <w:pPr>
              <w:pStyle w:val="45"/>
              <w:rPr>
                <w:color w:val="auto"/>
              </w:rPr>
            </w:pPr>
            <w:r>
              <w:rPr>
                <w:rFonts w:hint="eastAsia"/>
                <w:color w:val="auto"/>
              </w:rPr>
              <w:t>2.24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tcBorders>
              <w:tl2br w:val="nil"/>
              <w:tr2bl w:val="nil"/>
            </w:tcBorders>
            <w:vAlign w:val="center"/>
          </w:tcPr>
          <w:p>
            <w:pPr>
              <w:pStyle w:val="45"/>
              <w:rPr>
                <w:color w:val="auto"/>
                <w:szCs w:val="24"/>
              </w:rPr>
            </w:pPr>
            <w:r>
              <w:rPr>
                <w:rFonts w:hint="eastAsia"/>
                <w:color w:val="auto"/>
              </w:rPr>
              <w:t>75</w:t>
            </w:r>
          </w:p>
        </w:tc>
        <w:tc>
          <w:tcPr>
            <w:tcW w:w="864" w:type="pct"/>
            <w:tcBorders>
              <w:tl2br w:val="nil"/>
              <w:tr2bl w:val="nil"/>
            </w:tcBorders>
            <w:vAlign w:val="center"/>
          </w:tcPr>
          <w:p>
            <w:pPr>
              <w:pStyle w:val="45"/>
              <w:rPr>
                <w:color w:val="auto"/>
              </w:rPr>
            </w:pPr>
            <w:r>
              <w:rPr>
                <w:rFonts w:hint="eastAsia"/>
                <w:color w:val="auto"/>
              </w:rPr>
              <w:t>4.59E-02</w:t>
            </w:r>
          </w:p>
        </w:tc>
        <w:tc>
          <w:tcPr>
            <w:tcW w:w="658" w:type="pct"/>
            <w:tcBorders>
              <w:tl2br w:val="nil"/>
              <w:tr2bl w:val="nil"/>
            </w:tcBorders>
            <w:vAlign w:val="center"/>
          </w:tcPr>
          <w:p>
            <w:pPr>
              <w:pStyle w:val="45"/>
              <w:rPr>
                <w:color w:val="auto"/>
              </w:rPr>
            </w:pPr>
            <w:r>
              <w:rPr>
                <w:rFonts w:hint="eastAsia"/>
                <w:color w:val="auto"/>
              </w:rPr>
              <w:t>0.02</w:t>
            </w:r>
          </w:p>
        </w:tc>
        <w:tc>
          <w:tcPr>
            <w:tcW w:w="841" w:type="pct"/>
            <w:tcBorders>
              <w:tl2br w:val="nil"/>
              <w:tr2bl w:val="nil"/>
            </w:tcBorders>
            <w:vAlign w:val="center"/>
          </w:tcPr>
          <w:p>
            <w:pPr>
              <w:pStyle w:val="45"/>
              <w:rPr>
                <w:color w:val="auto"/>
              </w:rPr>
            </w:pPr>
            <w:r>
              <w:rPr>
                <w:rFonts w:hint="eastAsia"/>
                <w:color w:val="auto"/>
              </w:rPr>
              <w:t>1.15E-03</w:t>
            </w:r>
          </w:p>
        </w:tc>
        <w:tc>
          <w:tcPr>
            <w:tcW w:w="553" w:type="pct"/>
            <w:tcBorders>
              <w:tl2br w:val="nil"/>
              <w:tr2bl w:val="nil"/>
            </w:tcBorders>
            <w:vAlign w:val="center"/>
          </w:tcPr>
          <w:p>
            <w:pPr>
              <w:pStyle w:val="45"/>
              <w:rPr>
                <w:color w:val="auto"/>
              </w:rPr>
            </w:pPr>
            <w:r>
              <w:rPr>
                <w:rFonts w:hint="eastAsia"/>
                <w:color w:val="auto"/>
              </w:rPr>
              <w:t>0.01</w:t>
            </w:r>
          </w:p>
        </w:tc>
        <w:tc>
          <w:tcPr>
            <w:tcW w:w="857" w:type="pct"/>
            <w:tcBorders>
              <w:tl2br w:val="nil"/>
              <w:tr2bl w:val="nil"/>
            </w:tcBorders>
            <w:vAlign w:val="center"/>
          </w:tcPr>
          <w:p>
            <w:pPr>
              <w:pStyle w:val="45"/>
              <w:rPr>
                <w:color w:val="auto"/>
              </w:rPr>
            </w:pPr>
            <w:r>
              <w:rPr>
                <w:rFonts w:hint="eastAsia"/>
                <w:color w:val="auto"/>
              </w:rPr>
              <w:t>2.67E+01</w:t>
            </w:r>
          </w:p>
        </w:tc>
        <w:tc>
          <w:tcPr>
            <w:tcW w:w="653" w:type="pct"/>
            <w:tcBorders>
              <w:tl2br w:val="nil"/>
              <w:tr2bl w:val="nil"/>
            </w:tcBorders>
            <w:vAlign w:val="center"/>
          </w:tcPr>
          <w:p>
            <w:pPr>
              <w:pStyle w:val="45"/>
              <w:rPr>
                <w:color w:val="auto"/>
              </w:rPr>
            </w:pPr>
            <w:r>
              <w:rPr>
                <w:rFonts w:hint="eastAsia"/>
                <w:color w:val="auto"/>
              </w:rPr>
              <w:t>2.23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tcBorders>
              <w:tl2br w:val="nil"/>
              <w:tr2bl w:val="nil"/>
            </w:tcBorders>
            <w:vAlign w:val="center"/>
          </w:tcPr>
          <w:p>
            <w:pPr>
              <w:pStyle w:val="45"/>
              <w:rPr>
                <w:color w:val="auto"/>
                <w:szCs w:val="24"/>
              </w:rPr>
            </w:pPr>
            <w:r>
              <w:rPr>
                <w:rFonts w:hint="eastAsia"/>
                <w:color w:val="auto"/>
              </w:rPr>
              <w:t>100</w:t>
            </w:r>
          </w:p>
        </w:tc>
        <w:tc>
          <w:tcPr>
            <w:tcW w:w="864" w:type="pct"/>
            <w:tcBorders>
              <w:tl2br w:val="nil"/>
              <w:tr2bl w:val="nil"/>
            </w:tcBorders>
            <w:vAlign w:val="center"/>
          </w:tcPr>
          <w:p>
            <w:pPr>
              <w:pStyle w:val="45"/>
              <w:rPr>
                <w:color w:val="auto"/>
              </w:rPr>
            </w:pPr>
            <w:r>
              <w:rPr>
                <w:rFonts w:hint="eastAsia"/>
                <w:color w:val="auto"/>
              </w:rPr>
              <w:t>4.03E-02</w:t>
            </w:r>
          </w:p>
        </w:tc>
        <w:tc>
          <w:tcPr>
            <w:tcW w:w="658" w:type="pct"/>
            <w:tcBorders>
              <w:tl2br w:val="nil"/>
              <w:tr2bl w:val="nil"/>
            </w:tcBorders>
            <w:vAlign w:val="center"/>
          </w:tcPr>
          <w:p>
            <w:pPr>
              <w:pStyle w:val="45"/>
              <w:rPr>
                <w:color w:val="auto"/>
              </w:rPr>
            </w:pPr>
            <w:r>
              <w:rPr>
                <w:rFonts w:hint="eastAsia"/>
                <w:color w:val="auto"/>
              </w:rPr>
              <w:t>0.02</w:t>
            </w:r>
          </w:p>
        </w:tc>
        <w:tc>
          <w:tcPr>
            <w:tcW w:w="841" w:type="pct"/>
            <w:tcBorders>
              <w:tl2br w:val="nil"/>
              <w:tr2bl w:val="nil"/>
            </w:tcBorders>
            <w:vAlign w:val="center"/>
          </w:tcPr>
          <w:p>
            <w:pPr>
              <w:pStyle w:val="45"/>
              <w:rPr>
                <w:color w:val="auto"/>
              </w:rPr>
            </w:pPr>
            <w:r>
              <w:rPr>
                <w:rFonts w:hint="eastAsia"/>
                <w:color w:val="auto"/>
              </w:rPr>
              <w:t>1.01E-03</w:t>
            </w:r>
          </w:p>
        </w:tc>
        <w:tc>
          <w:tcPr>
            <w:tcW w:w="553" w:type="pct"/>
            <w:tcBorders>
              <w:tl2br w:val="nil"/>
              <w:tr2bl w:val="nil"/>
            </w:tcBorders>
            <w:vAlign w:val="center"/>
          </w:tcPr>
          <w:p>
            <w:pPr>
              <w:pStyle w:val="45"/>
              <w:rPr>
                <w:color w:val="auto"/>
              </w:rPr>
            </w:pPr>
            <w:r>
              <w:rPr>
                <w:rFonts w:hint="eastAsia"/>
                <w:color w:val="auto"/>
              </w:rPr>
              <w:t>0.01</w:t>
            </w:r>
          </w:p>
        </w:tc>
        <w:tc>
          <w:tcPr>
            <w:tcW w:w="857" w:type="pct"/>
            <w:tcBorders>
              <w:tl2br w:val="nil"/>
              <w:tr2bl w:val="nil"/>
            </w:tcBorders>
            <w:vAlign w:val="center"/>
          </w:tcPr>
          <w:p>
            <w:pPr>
              <w:pStyle w:val="45"/>
              <w:rPr>
                <w:color w:val="auto"/>
              </w:rPr>
            </w:pPr>
            <w:r>
              <w:rPr>
                <w:rFonts w:hint="eastAsia"/>
                <w:color w:val="auto"/>
              </w:rPr>
              <w:t>2.35E+01</w:t>
            </w:r>
          </w:p>
        </w:tc>
        <w:tc>
          <w:tcPr>
            <w:tcW w:w="653" w:type="pct"/>
            <w:tcBorders>
              <w:tl2br w:val="nil"/>
              <w:tr2bl w:val="nil"/>
            </w:tcBorders>
            <w:vAlign w:val="center"/>
          </w:tcPr>
          <w:p>
            <w:pPr>
              <w:pStyle w:val="45"/>
              <w:rPr>
                <w:color w:val="auto"/>
              </w:rPr>
            </w:pPr>
            <w:r>
              <w:rPr>
                <w:rFonts w:hint="eastAsia"/>
                <w:color w:val="auto"/>
              </w:rPr>
              <w:t>1.96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tcBorders>
              <w:tl2br w:val="nil"/>
              <w:tr2bl w:val="nil"/>
            </w:tcBorders>
            <w:vAlign w:val="center"/>
          </w:tcPr>
          <w:p>
            <w:pPr>
              <w:pStyle w:val="45"/>
              <w:rPr>
                <w:color w:val="auto"/>
                <w:szCs w:val="24"/>
              </w:rPr>
            </w:pPr>
            <w:r>
              <w:rPr>
                <w:rFonts w:hint="eastAsia"/>
                <w:color w:val="auto"/>
              </w:rPr>
              <w:t>125</w:t>
            </w:r>
          </w:p>
        </w:tc>
        <w:tc>
          <w:tcPr>
            <w:tcW w:w="864" w:type="pct"/>
            <w:tcBorders>
              <w:tl2br w:val="nil"/>
              <w:tr2bl w:val="nil"/>
            </w:tcBorders>
            <w:vAlign w:val="center"/>
          </w:tcPr>
          <w:p>
            <w:pPr>
              <w:pStyle w:val="45"/>
              <w:rPr>
                <w:color w:val="auto"/>
              </w:rPr>
            </w:pPr>
            <w:r>
              <w:rPr>
                <w:rFonts w:hint="eastAsia"/>
                <w:color w:val="auto"/>
              </w:rPr>
              <w:t>3.38E-02</w:t>
            </w:r>
          </w:p>
        </w:tc>
        <w:tc>
          <w:tcPr>
            <w:tcW w:w="658" w:type="pct"/>
            <w:tcBorders>
              <w:tl2br w:val="nil"/>
              <w:tr2bl w:val="nil"/>
            </w:tcBorders>
            <w:vAlign w:val="center"/>
          </w:tcPr>
          <w:p>
            <w:pPr>
              <w:pStyle w:val="45"/>
              <w:rPr>
                <w:color w:val="auto"/>
              </w:rPr>
            </w:pPr>
            <w:r>
              <w:rPr>
                <w:rFonts w:hint="eastAsia"/>
                <w:color w:val="auto"/>
              </w:rPr>
              <w:t>0.02</w:t>
            </w:r>
          </w:p>
        </w:tc>
        <w:tc>
          <w:tcPr>
            <w:tcW w:w="841" w:type="pct"/>
            <w:tcBorders>
              <w:tl2br w:val="nil"/>
              <w:tr2bl w:val="nil"/>
            </w:tcBorders>
            <w:vAlign w:val="center"/>
          </w:tcPr>
          <w:p>
            <w:pPr>
              <w:pStyle w:val="45"/>
              <w:rPr>
                <w:color w:val="auto"/>
              </w:rPr>
            </w:pPr>
            <w:r>
              <w:rPr>
                <w:rFonts w:hint="eastAsia"/>
                <w:color w:val="auto"/>
              </w:rPr>
              <w:t>8.45E-04</w:t>
            </w:r>
          </w:p>
        </w:tc>
        <w:tc>
          <w:tcPr>
            <w:tcW w:w="553" w:type="pct"/>
            <w:tcBorders>
              <w:tl2br w:val="nil"/>
              <w:tr2bl w:val="nil"/>
            </w:tcBorders>
            <w:vAlign w:val="center"/>
          </w:tcPr>
          <w:p>
            <w:pPr>
              <w:pStyle w:val="45"/>
              <w:rPr>
                <w:color w:val="auto"/>
              </w:rPr>
            </w:pPr>
            <w:r>
              <w:rPr>
                <w:rFonts w:hint="eastAsia"/>
                <w:color w:val="auto"/>
              </w:rPr>
              <w:t>0.01</w:t>
            </w:r>
          </w:p>
        </w:tc>
        <w:tc>
          <w:tcPr>
            <w:tcW w:w="857" w:type="pct"/>
            <w:tcBorders>
              <w:tl2br w:val="nil"/>
              <w:tr2bl w:val="nil"/>
            </w:tcBorders>
            <w:vAlign w:val="center"/>
          </w:tcPr>
          <w:p>
            <w:pPr>
              <w:pStyle w:val="45"/>
              <w:rPr>
                <w:color w:val="auto"/>
              </w:rPr>
            </w:pPr>
            <w:r>
              <w:rPr>
                <w:rFonts w:hint="eastAsia"/>
                <w:color w:val="auto"/>
              </w:rPr>
              <w:t>1.97E+01</w:t>
            </w:r>
          </w:p>
        </w:tc>
        <w:tc>
          <w:tcPr>
            <w:tcW w:w="653" w:type="pct"/>
            <w:tcBorders>
              <w:tl2br w:val="nil"/>
              <w:tr2bl w:val="nil"/>
            </w:tcBorders>
            <w:vAlign w:val="center"/>
          </w:tcPr>
          <w:p>
            <w:pPr>
              <w:pStyle w:val="45"/>
              <w:rPr>
                <w:color w:val="auto"/>
              </w:rPr>
            </w:pPr>
            <w:r>
              <w:rPr>
                <w:rFonts w:hint="eastAsia"/>
                <w:color w:val="auto"/>
              </w:rPr>
              <w:t>1.64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tcBorders>
              <w:tl2br w:val="nil"/>
              <w:tr2bl w:val="nil"/>
            </w:tcBorders>
            <w:vAlign w:val="center"/>
          </w:tcPr>
          <w:p>
            <w:pPr>
              <w:pStyle w:val="45"/>
              <w:rPr>
                <w:color w:val="auto"/>
                <w:szCs w:val="24"/>
              </w:rPr>
            </w:pPr>
            <w:r>
              <w:rPr>
                <w:rFonts w:hint="eastAsia"/>
                <w:color w:val="auto"/>
              </w:rPr>
              <w:t>150</w:t>
            </w:r>
          </w:p>
        </w:tc>
        <w:tc>
          <w:tcPr>
            <w:tcW w:w="864" w:type="pct"/>
            <w:tcBorders>
              <w:tl2br w:val="nil"/>
              <w:tr2bl w:val="nil"/>
            </w:tcBorders>
            <w:vAlign w:val="center"/>
          </w:tcPr>
          <w:p>
            <w:pPr>
              <w:pStyle w:val="45"/>
              <w:rPr>
                <w:color w:val="auto"/>
              </w:rPr>
            </w:pPr>
            <w:r>
              <w:rPr>
                <w:rFonts w:hint="eastAsia"/>
                <w:color w:val="auto"/>
              </w:rPr>
              <w:t>2.86E-02</w:t>
            </w:r>
          </w:p>
        </w:tc>
        <w:tc>
          <w:tcPr>
            <w:tcW w:w="658" w:type="pct"/>
            <w:tcBorders>
              <w:tl2br w:val="nil"/>
              <w:tr2bl w:val="nil"/>
            </w:tcBorders>
            <w:vAlign w:val="center"/>
          </w:tcPr>
          <w:p>
            <w:pPr>
              <w:pStyle w:val="45"/>
              <w:rPr>
                <w:color w:val="auto"/>
              </w:rPr>
            </w:pPr>
            <w:r>
              <w:rPr>
                <w:rFonts w:hint="eastAsia"/>
                <w:color w:val="auto"/>
              </w:rPr>
              <w:t>0.01</w:t>
            </w:r>
          </w:p>
        </w:tc>
        <w:tc>
          <w:tcPr>
            <w:tcW w:w="841" w:type="pct"/>
            <w:tcBorders>
              <w:tl2br w:val="nil"/>
              <w:tr2bl w:val="nil"/>
            </w:tcBorders>
            <w:vAlign w:val="center"/>
          </w:tcPr>
          <w:p>
            <w:pPr>
              <w:pStyle w:val="45"/>
              <w:rPr>
                <w:color w:val="auto"/>
              </w:rPr>
            </w:pPr>
            <w:r>
              <w:rPr>
                <w:rFonts w:hint="eastAsia"/>
                <w:color w:val="auto"/>
              </w:rPr>
              <w:t>7.16E-04</w:t>
            </w:r>
          </w:p>
        </w:tc>
        <w:tc>
          <w:tcPr>
            <w:tcW w:w="553" w:type="pct"/>
            <w:tcBorders>
              <w:tl2br w:val="nil"/>
              <w:tr2bl w:val="nil"/>
            </w:tcBorders>
            <w:vAlign w:val="center"/>
          </w:tcPr>
          <w:p>
            <w:pPr>
              <w:pStyle w:val="45"/>
              <w:rPr>
                <w:color w:val="auto"/>
              </w:rPr>
            </w:pPr>
            <w:r>
              <w:rPr>
                <w:rFonts w:hint="eastAsia"/>
                <w:color w:val="auto"/>
              </w:rPr>
              <w:t>0.01</w:t>
            </w:r>
          </w:p>
        </w:tc>
        <w:tc>
          <w:tcPr>
            <w:tcW w:w="857" w:type="pct"/>
            <w:tcBorders>
              <w:tl2br w:val="nil"/>
              <w:tr2bl w:val="nil"/>
            </w:tcBorders>
            <w:vAlign w:val="center"/>
          </w:tcPr>
          <w:p>
            <w:pPr>
              <w:pStyle w:val="45"/>
              <w:rPr>
                <w:color w:val="auto"/>
              </w:rPr>
            </w:pPr>
            <w:r>
              <w:rPr>
                <w:rFonts w:hint="eastAsia"/>
                <w:color w:val="auto"/>
              </w:rPr>
              <w:t>1.67E+01</w:t>
            </w:r>
          </w:p>
        </w:tc>
        <w:tc>
          <w:tcPr>
            <w:tcW w:w="653" w:type="pct"/>
            <w:tcBorders>
              <w:tl2br w:val="nil"/>
              <w:tr2bl w:val="nil"/>
            </w:tcBorders>
            <w:vAlign w:val="center"/>
          </w:tcPr>
          <w:p>
            <w:pPr>
              <w:pStyle w:val="45"/>
              <w:rPr>
                <w:color w:val="auto"/>
              </w:rPr>
            </w:pPr>
            <w:r>
              <w:rPr>
                <w:rFonts w:hint="eastAsia"/>
                <w:color w:val="auto"/>
              </w:rPr>
              <w:t>1.39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tcBorders>
              <w:tl2br w:val="nil"/>
              <w:tr2bl w:val="nil"/>
            </w:tcBorders>
            <w:vAlign w:val="center"/>
          </w:tcPr>
          <w:p>
            <w:pPr>
              <w:pStyle w:val="45"/>
              <w:rPr>
                <w:color w:val="auto"/>
                <w:szCs w:val="24"/>
              </w:rPr>
            </w:pPr>
            <w:r>
              <w:rPr>
                <w:rFonts w:hint="eastAsia"/>
                <w:color w:val="auto"/>
              </w:rPr>
              <w:t>175</w:t>
            </w:r>
          </w:p>
        </w:tc>
        <w:tc>
          <w:tcPr>
            <w:tcW w:w="864" w:type="pct"/>
            <w:tcBorders>
              <w:tl2br w:val="nil"/>
              <w:tr2bl w:val="nil"/>
            </w:tcBorders>
            <w:vAlign w:val="center"/>
          </w:tcPr>
          <w:p>
            <w:pPr>
              <w:pStyle w:val="45"/>
              <w:rPr>
                <w:color w:val="auto"/>
              </w:rPr>
            </w:pPr>
            <w:r>
              <w:rPr>
                <w:rFonts w:hint="eastAsia"/>
                <w:color w:val="auto"/>
              </w:rPr>
              <w:t>2.48E-02</w:t>
            </w:r>
          </w:p>
        </w:tc>
        <w:tc>
          <w:tcPr>
            <w:tcW w:w="658" w:type="pct"/>
            <w:tcBorders>
              <w:tl2br w:val="nil"/>
              <w:tr2bl w:val="nil"/>
            </w:tcBorders>
            <w:vAlign w:val="center"/>
          </w:tcPr>
          <w:p>
            <w:pPr>
              <w:pStyle w:val="45"/>
              <w:rPr>
                <w:color w:val="auto"/>
              </w:rPr>
            </w:pPr>
            <w:r>
              <w:rPr>
                <w:rFonts w:hint="eastAsia"/>
                <w:color w:val="auto"/>
              </w:rPr>
              <w:t>0.01</w:t>
            </w:r>
          </w:p>
        </w:tc>
        <w:tc>
          <w:tcPr>
            <w:tcW w:w="841" w:type="pct"/>
            <w:tcBorders>
              <w:tl2br w:val="nil"/>
              <w:tr2bl w:val="nil"/>
            </w:tcBorders>
            <w:vAlign w:val="center"/>
          </w:tcPr>
          <w:p>
            <w:pPr>
              <w:pStyle w:val="45"/>
              <w:rPr>
                <w:color w:val="auto"/>
              </w:rPr>
            </w:pPr>
            <w:r>
              <w:rPr>
                <w:rFonts w:hint="eastAsia"/>
                <w:color w:val="auto"/>
              </w:rPr>
              <w:t>6.20E-04</w:t>
            </w:r>
          </w:p>
        </w:tc>
        <w:tc>
          <w:tcPr>
            <w:tcW w:w="553" w:type="pct"/>
            <w:tcBorders>
              <w:tl2br w:val="nil"/>
              <w:tr2bl w:val="nil"/>
            </w:tcBorders>
            <w:vAlign w:val="center"/>
          </w:tcPr>
          <w:p>
            <w:pPr>
              <w:pStyle w:val="45"/>
              <w:rPr>
                <w:color w:val="auto"/>
              </w:rPr>
            </w:pPr>
            <w:r>
              <w:rPr>
                <w:rFonts w:hint="eastAsia"/>
                <w:color w:val="auto"/>
              </w:rPr>
              <w:t>0.01</w:t>
            </w:r>
          </w:p>
        </w:tc>
        <w:tc>
          <w:tcPr>
            <w:tcW w:w="857" w:type="pct"/>
            <w:tcBorders>
              <w:tl2br w:val="nil"/>
              <w:tr2bl w:val="nil"/>
            </w:tcBorders>
            <w:vAlign w:val="center"/>
          </w:tcPr>
          <w:p>
            <w:pPr>
              <w:pStyle w:val="45"/>
              <w:rPr>
                <w:color w:val="auto"/>
              </w:rPr>
            </w:pPr>
            <w:r>
              <w:rPr>
                <w:rFonts w:hint="eastAsia"/>
                <w:color w:val="auto"/>
              </w:rPr>
              <w:t>1.45E+01</w:t>
            </w:r>
          </w:p>
        </w:tc>
        <w:tc>
          <w:tcPr>
            <w:tcW w:w="653" w:type="pct"/>
            <w:tcBorders>
              <w:tl2br w:val="nil"/>
              <w:tr2bl w:val="nil"/>
            </w:tcBorders>
            <w:vAlign w:val="center"/>
          </w:tcPr>
          <w:p>
            <w:pPr>
              <w:pStyle w:val="45"/>
              <w:rPr>
                <w:color w:val="auto"/>
              </w:rPr>
            </w:pPr>
            <w:r>
              <w:rPr>
                <w:rFonts w:hint="eastAsia"/>
                <w:color w:val="auto"/>
              </w:rPr>
              <w:t>1.20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tcBorders>
              <w:tl2br w:val="nil"/>
              <w:tr2bl w:val="nil"/>
            </w:tcBorders>
            <w:vAlign w:val="center"/>
          </w:tcPr>
          <w:p>
            <w:pPr>
              <w:pStyle w:val="45"/>
              <w:rPr>
                <w:color w:val="auto"/>
                <w:szCs w:val="24"/>
              </w:rPr>
            </w:pPr>
            <w:r>
              <w:rPr>
                <w:rFonts w:hint="eastAsia"/>
                <w:color w:val="auto"/>
              </w:rPr>
              <w:t>200</w:t>
            </w:r>
          </w:p>
        </w:tc>
        <w:tc>
          <w:tcPr>
            <w:tcW w:w="864" w:type="pct"/>
            <w:tcBorders>
              <w:tl2br w:val="nil"/>
              <w:tr2bl w:val="nil"/>
            </w:tcBorders>
            <w:vAlign w:val="center"/>
          </w:tcPr>
          <w:p>
            <w:pPr>
              <w:pStyle w:val="45"/>
              <w:rPr>
                <w:color w:val="auto"/>
              </w:rPr>
            </w:pPr>
            <w:r>
              <w:rPr>
                <w:rFonts w:hint="eastAsia"/>
                <w:color w:val="auto"/>
              </w:rPr>
              <w:t>2.46E-02</w:t>
            </w:r>
          </w:p>
        </w:tc>
        <w:tc>
          <w:tcPr>
            <w:tcW w:w="658" w:type="pct"/>
            <w:tcBorders>
              <w:tl2br w:val="nil"/>
              <w:tr2bl w:val="nil"/>
            </w:tcBorders>
            <w:vAlign w:val="center"/>
          </w:tcPr>
          <w:p>
            <w:pPr>
              <w:pStyle w:val="45"/>
              <w:rPr>
                <w:color w:val="auto"/>
              </w:rPr>
            </w:pPr>
            <w:r>
              <w:rPr>
                <w:rFonts w:hint="eastAsia"/>
                <w:color w:val="auto"/>
              </w:rPr>
              <w:t>0.01</w:t>
            </w:r>
          </w:p>
        </w:tc>
        <w:tc>
          <w:tcPr>
            <w:tcW w:w="841" w:type="pct"/>
            <w:tcBorders>
              <w:tl2br w:val="nil"/>
              <w:tr2bl w:val="nil"/>
            </w:tcBorders>
            <w:vAlign w:val="center"/>
          </w:tcPr>
          <w:p>
            <w:pPr>
              <w:pStyle w:val="45"/>
              <w:rPr>
                <w:color w:val="auto"/>
              </w:rPr>
            </w:pPr>
            <w:r>
              <w:rPr>
                <w:rFonts w:hint="eastAsia"/>
                <w:color w:val="auto"/>
              </w:rPr>
              <w:t>6.14E-04</w:t>
            </w:r>
          </w:p>
        </w:tc>
        <w:tc>
          <w:tcPr>
            <w:tcW w:w="553" w:type="pct"/>
            <w:tcBorders>
              <w:tl2br w:val="nil"/>
              <w:tr2bl w:val="nil"/>
            </w:tcBorders>
            <w:vAlign w:val="center"/>
          </w:tcPr>
          <w:p>
            <w:pPr>
              <w:pStyle w:val="45"/>
              <w:rPr>
                <w:color w:val="auto"/>
              </w:rPr>
            </w:pPr>
            <w:r>
              <w:rPr>
                <w:rFonts w:hint="eastAsia"/>
                <w:color w:val="auto"/>
              </w:rPr>
              <w:t>0.01</w:t>
            </w:r>
          </w:p>
        </w:tc>
        <w:tc>
          <w:tcPr>
            <w:tcW w:w="857" w:type="pct"/>
            <w:tcBorders>
              <w:tl2br w:val="nil"/>
              <w:tr2bl w:val="nil"/>
            </w:tcBorders>
            <w:vAlign w:val="center"/>
          </w:tcPr>
          <w:p>
            <w:pPr>
              <w:pStyle w:val="45"/>
              <w:rPr>
                <w:color w:val="auto"/>
              </w:rPr>
            </w:pPr>
            <w:r>
              <w:rPr>
                <w:rFonts w:hint="eastAsia"/>
                <w:color w:val="auto"/>
                <w:lang w:eastAsia="zh-CN"/>
              </w:rPr>
              <w:t>4.32</w:t>
            </w:r>
            <w:r>
              <w:rPr>
                <w:rFonts w:hint="eastAsia"/>
                <w:color w:val="auto"/>
              </w:rPr>
              <w:t>E+01</w:t>
            </w:r>
          </w:p>
        </w:tc>
        <w:tc>
          <w:tcPr>
            <w:tcW w:w="653" w:type="pct"/>
            <w:tcBorders>
              <w:tl2br w:val="nil"/>
              <w:tr2bl w:val="nil"/>
            </w:tcBorders>
            <w:vAlign w:val="center"/>
          </w:tcPr>
          <w:p>
            <w:pPr>
              <w:pStyle w:val="45"/>
              <w:rPr>
                <w:color w:val="auto"/>
              </w:rPr>
            </w:pPr>
            <w:r>
              <w:rPr>
                <w:rFonts w:hint="eastAsia"/>
                <w:color w:val="auto"/>
              </w:rPr>
              <w:t>1.19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tcBorders>
              <w:tl2br w:val="nil"/>
              <w:tr2bl w:val="nil"/>
            </w:tcBorders>
            <w:vAlign w:val="center"/>
          </w:tcPr>
          <w:p>
            <w:pPr>
              <w:pStyle w:val="45"/>
              <w:rPr>
                <w:color w:val="auto"/>
                <w:szCs w:val="24"/>
              </w:rPr>
            </w:pPr>
            <w:r>
              <w:rPr>
                <w:rFonts w:hint="eastAsia"/>
                <w:color w:val="auto"/>
              </w:rPr>
              <w:t>225</w:t>
            </w:r>
          </w:p>
        </w:tc>
        <w:tc>
          <w:tcPr>
            <w:tcW w:w="864" w:type="pct"/>
            <w:tcBorders>
              <w:tl2br w:val="nil"/>
              <w:tr2bl w:val="nil"/>
            </w:tcBorders>
            <w:vAlign w:val="center"/>
          </w:tcPr>
          <w:p>
            <w:pPr>
              <w:pStyle w:val="45"/>
              <w:rPr>
                <w:color w:val="auto"/>
              </w:rPr>
            </w:pPr>
            <w:r>
              <w:rPr>
                <w:rFonts w:hint="eastAsia"/>
                <w:color w:val="auto"/>
              </w:rPr>
              <w:t>2.65E-02</w:t>
            </w:r>
          </w:p>
        </w:tc>
        <w:tc>
          <w:tcPr>
            <w:tcW w:w="658" w:type="pct"/>
            <w:tcBorders>
              <w:tl2br w:val="nil"/>
              <w:tr2bl w:val="nil"/>
            </w:tcBorders>
            <w:vAlign w:val="center"/>
          </w:tcPr>
          <w:p>
            <w:pPr>
              <w:pStyle w:val="45"/>
              <w:rPr>
                <w:color w:val="auto"/>
              </w:rPr>
            </w:pPr>
            <w:r>
              <w:rPr>
                <w:rFonts w:hint="eastAsia"/>
                <w:color w:val="auto"/>
              </w:rPr>
              <w:t>0.01</w:t>
            </w:r>
          </w:p>
        </w:tc>
        <w:tc>
          <w:tcPr>
            <w:tcW w:w="841" w:type="pct"/>
            <w:tcBorders>
              <w:tl2br w:val="nil"/>
              <w:tr2bl w:val="nil"/>
            </w:tcBorders>
            <w:vAlign w:val="center"/>
          </w:tcPr>
          <w:p>
            <w:pPr>
              <w:pStyle w:val="45"/>
              <w:rPr>
                <w:color w:val="auto"/>
              </w:rPr>
            </w:pPr>
            <w:r>
              <w:rPr>
                <w:rFonts w:hint="eastAsia"/>
                <w:color w:val="auto"/>
              </w:rPr>
              <w:t>6.62E-04</w:t>
            </w:r>
          </w:p>
        </w:tc>
        <w:tc>
          <w:tcPr>
            <w:tcW w:w="553" w:type="pct"/>
            <w:tcBorders>
              <w:tl2br w:val="nil"/>
              <w:tr2bl w:val="nil"/>
            </w:tcBorders>
            <w:vAlign w:val="center"/>
          </w:tcPr>
          <w:p>
            <w:pPr>
              <w:pStyle w:val="45"/>
              <w:rPr>
                <w:color w:val="auto"/>
              </w:rPr>
            </w:pPr>
            <w:r>
              <w:rPr>
                <w:rFonts w:hint="eastAsia"/>
                <w:color w:val="auto"/>
              </w:rPr>
              <w:t>0.01</w:t>
            </w:r>
          </w:p>
        </w:tc>
        <w:tc>
          <w:tcPr>
            <w:tcW w:w="857" w:type="pct"/>
            <w:tcBorders>
              <w:tl2br w:val="nil"/>
              <w:tr2bl w:val="nil"/>
            </w:tcBorders>
            <w:vAlign w:val="center"/>
          </w:tcPr>
          <w:p>
            <w:pPr>
              <w:pStyle w:val="45"/>
              <w:rPr>
                <w:color w:val="auto"/>
              </w:rPr>
            </w:pPr>
            <w:r>
              <w:rPr>
                <w:rFonts w:hint="eastAsia"/>
                <w:color w:val="auto"/>
              </w:rPr>
              <w:t>1.54E+01</w:t>
            </w:r>
          </w:p>
        </w:tc>
        <w:tc>
          <w:tcPr>
            <w:tcW w:w="653" w:type="pct"/>
            <w:tcBorders>
              <w:tl2br w:val="nil"/>
              <w:tr2bl w:val="nil"/>
            </w:tcBorders>
            <w:vAlign w:val="center"/>
          </w:tcPr>
          <w:p>
            <w:pPr>
              <w:pStyle w:val="45"/>
              <w:rPr>
                <w:color w:val="auto"/>
              </w:rPr>
            </w:pPr>
            <w:r>
              <w:rPr>
                <w:rFonts w:hint="eastAsia"/>
                <w:color w:val="auto"/>
              </w:rPr>
              <w:t>1.29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tcBorders>
              <w:tl2br w:val="nil"/>
              <w:tr2bl w:val="nil"/>
            </w:tcBorders>
            <w:vAlign w:val="center"/>
          </w:tcPr>
          <w:p>
            <w:pPr>
              <w:pStyle w:val="45"/>
              <w:rPr>
                <w:color w:val="auto"/>
                <w:szCs w:val="24"/>
              </w:rPr>
            </w:pPr>
            <w:r>
              <w:rPr>
                <w:rFonts w:hint="eastAsia"/>
                <w:color w:val="auto"/>
              </w:rPr>
              <w:t>250</w:t>
            </w:r>
          </w:p>
        </w:tc>
        <w:tc>
          <w:tcPr>
            <w:tcW w:w="864" w:type="pct"/>
            <w:tcBorders>
              <w:tl2br w:val="nil"/>
              <w:tr2bl w:val="nil"/>
            </w:tcBorders>
            <w:vAlign w:val="center"/>
          </w:tcPr>
          <w:p>
            <w:pPr>
              <w:pStyle w:val="45"/>
              <w:rPr>
                <w:color w:val="auto"/>
              </w:rPr>
            </w:pPr>
            <w:r>
              <w:rPr>
                <w:rFonts w:hint="eastAsia"/>
                <w:color w:val="auto"/>
              </w:rPr>
              <w:t>2.73E-02</w:t>
            </w:r>
          </w:p>
        </w:tc>
        <w:tc>
          <w:tcPr>
            <w:tcW w:w="658" w:type="pct"/>
            <w:tcBorders>
              <w:tl2br w:val="nil"/>
              <w:tr2bl w:val="nil"/>
            </w:tcBorders>
            <w:vAlign w:val="center"/>
          </w:tcPr>
          <w:p>
            <w:pPr>
              <w:pStyle w:val="45"/>
              <w:rPr>
                <w:color w:val="auto"/>
              </w:rPr>
            </w:pPr>
            <w:r>
              <w:rPr>
                <w:rFonts w:hint="eastAsia"/>
                <w:color w:val="auto"/>
              </w:rPr>
              <w:t>0.01</w:t>
            </w:r>
          </w:p>
        </w:tc>
        <w:tc>
          <w:tcPr>
            <w:tcW w:w="841" w:type="pct"/>
            <w:tcBorders>
              <w:tl2br w:val="nil"/>
              <w:tr2bl w:val="nil"/>
            </w:tcBorders>
            <w:vAlign w:val="center"/>
          </w:tcPr>
          <w:p>
            <w:pPr>
              <w:pStyle w:val="45"/>
              <w:rPr>
                <w:color w:val="auto"/>
              </w:rPr>
            </w:pPr>
            <w:r>
              <w:rPr>
                <w:rFonts w:hint="eastAsia"/>
                <w:color w:val="auto"/>
              </w:rPr>
              <w:t>6.83E-04</w:t>
            </w:r>
          </w:p>
        </w:tc>
        <w:tc>
          <w:tcPr>
            <w:tcW w:w="553" w:type="pct"/>
            <w:tcBorders>
              <w:tl2br w:val="nil"/>
              <w:tr2bl w:val="nil"/>
            </w:tcBorders>
            <w:vAlign w:val="center"/>
          </w:tcPr>
          <w:p>
            <w:pPr>
              <w:pStyle w:val="45"/>
              <w:rPr>
                <w:color w:val="auto"/>
              </w:rPr>
            </w:pPr>
            <w:r>
              <w:rPr>
                <w:rFonts w:hint="eastAsia"/>
                <w:color w:val="auto"/>
              </w:rPr>
              <w:t>0.01</w:t>
            </w:r>
          </w:p>
        </w:tc>
        <w:tc>
          <w:tcPr>
            <w:tcW w:w="857" w:type="pct"/>
            <w:tcBorders>
              <w:tl2br w:val="nil"/>
              <w:tr2bl w:val="nil"/>
            </w:tcBorders>
            <w:vAlign w:val="center"/>
          </w:tcPr>
          <w:p>
            <w:pPr>
              <w:pStyle w:val="45"/>
              <w:rPr>
                <w:color w:val="auto"/>
              </w:rPr>
            </w:pPr>
            <w:r>
              <w:rPr>
                <w:rFonts w:hint="eastAsia"/>
                <w:color w:val="auto"/>
              </w:rPr>
              <w:t>1.59E+01</w:t>
            </w:r>
          </w:p>
        </w:tc>
        <w:tc>
          <w:tcPr>
            <w:tcW w:w="653" w:type="pct"/>
            <w:tcBorders>
              <w:tl2br w:val="nil"/>
              <w:tr2bl w:val="nil"/>
            </w:tcBorders>
            <w:vAlign w:val="center"/>
          </w:tcPr>
          <w:p>
            <w:pPr>
              <w:pStyle w:val="45"/>
              <w:rPr>
                <w:color w:val="auto"/>
              </w:rPr>
            </w:pPr>
            <w:r>
              <w:rPr>
                <w:rFonts w:hint="eastAsia"/>
                <w:color w:val="auto"/>
              </w:rPr>
              <w:t>1.33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tcBorders>
              <w:tl2br w:val="nil"/>
              <w:tr2bl w:val="nil"/>
            </w:tcBorders>
            <w:vAlign w:val="center"/>
          </w:tcPr>
          <w:p>
            <w:pPr>
              <w:pStyle w:val="45"/>
              <w:rPr>
                <w:color w:val="auto"/>
                <w:szCs w:val="24"/>
              </w:rPr>
            </w:pPr>
            <w:r>
              <w:rPr>
                <w:rFonts w:hint="eastAsia"/>
                <w:color w:val="auto"/>
              </w:rPr>
              <w:t>275</w:t>
            </w:r>
          </w:p>
        </w:tc>
        <w:tc>
          <w:tcPr>
            <w:tcW w:w="864" w:type="pct"/>
            <w:tcBorders>
              <w:tl2br w:val="nil"/>
              <w:tr2bl w:val="nil"/>
            </w:tcBorders>
            <w:vAlign w:val="center"/>
          </w:tcPr>
          <w:p>
            <w:pPr>
              <w:pStyle w:val="45"/>
              <w:rPr>
                <w:color w:val="auto"/>
              </w:rPr>
            </w:pPr>
            <w:r>
              <w:rPr>
                <w:rFonts w:hint="eastAsia"/>
                <w:color w:val="auto"/>
              </w:rPr>
              <w:t>2.74E-02</w:t>
            </w:r>
          </w:p>
        </w:tc>
        <w:tc>
          <w:tcPr>
            <w:tcW w:w="658" w:type="pct"/>
            <w:tcBorders>
              <w:tl2br w:val="nil"/>
              <w:tr2bl w:val="nil"/>
            </w:tcBorders>
            <w:vAlign w:val="center"/>
          </w:tcPr>
          <w:p>
            <w:pPr>
              <w:pStyle w:val="45"/>
              <w:rPr>
                <w:color w:val="auto"/>
              </w:rPr>
            </w:pPr>
            <w:r>
              <w:rPr>
                <w:rFonts w:hint="eastAsia"/>
                <w:color w:val="auto"/>
              </w:rPr>
              <w:t>0.01</w:t>
            </w:r>
          </w:p>
        </w:tc>
        <w:tc>
          <w:tcPr>
            <w:tcW w:w="841" w:type="pct"/>
            <w:tcBorders>
              <w:tl2br w:val="nil"/>
              <w:tr2bl w:val="nil"/>
            </w:tcBorders>
            <w:vAlign w:val="center"/>
          </w:tcPr>
          <w:p>
            <w:pPr>
              <w:pStyle w:val="45"/>
              <w:rPr>
                <w:color w:val="auto"/>
              </w:rPr>
            </w:pPr>
            <w:r>
              <w:rPr>
                <w:rFonts w:hint="eastAsia"/>
                <w:color w:val="auto"/>
              </w:rPr>
              <w:t>6.86E-04</w:t>
            </w:r>
          </w:p>
        </w:tc>
        <w:tc>
          <w:tcPr>
            <w:tcW w:w="553" w:type="pct"/>
            <w:tcBorders>
              <w:tl2br w:val="nil"/>
              <w:tr2bl w:val="nil"/>
            </w:tcBorders>
            <w:vAlign w:val="center"/>
          </w:tcPr>
          <w:p>
            <w:pPr>
              <w:pStyle w:val="45"/>
              <w:rPr>
                <w:color w:val="auto"/>
              </w:rPr>
            </w:pPr>
            <w:r>
              <w:rPr>
                <w:rFonts w:hint="eastAsia"/>
                <w:color w:val="auto"/>
              </w:rPr>
              <w:t>0.01</w:t>
            </w:r>
          </w:p>
        </w:tc>
        <w:tc>
          <w:tcPr>
            <w:tcW w:w="857" w:type="pct"/>
            <w:tcBorders>
              <w:tl2br w:val="nil"/>
              <w:tr2bl w:val="nil"/>
            </w:tcBorders>
            <w:vAlign w:val="center"/>
          </w:tcPr>
          <w:p>
            <w:pPr>
              <w:pStyle w:val="45"/>
              <w:rPr>
                <w:color w:val="auto"/>
              </w:rPr>
            </w:pPr>
            <w:r>
              <w:rPr>
                <w:rFonts w:hint="eastAsia"/>
                <w:color w:val="auto"/>
              </w:rPr>
              <w:t>1.60E+01</w:t>
            </w:r>
          </w:p>
        </w:tc>
        <w:tc>
          <w:tcPr>
            <w:tcW w:w="653" w:type="pct"/>
            <w:tcBorders>
              <w:tl2br w:val="nil"/>
              <w:tr2bl w:val="nil"/>
            </w:tcBorders>
            <w:vAlign w:val="center"/>
          </w:tcPr>
          <w:p>
            <w:pPr>
              <w:pStyle w:val="45"/>
              <w:rPr>
                <w:color w:val="auto"/>
              </w:rPr>
            </w:pPr>
            <w:r>
              <w:rPr>
                <w:rFonts w:hint="eastAsia"/>
                <w:color w:val="auto"/>
              </w:rPr>
              <w:t>1.33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tcBorders>
              <w:tl2br w:val="nil"/>
              <w:tr2bl w:val="nil"/>
            </w:tcBorders>
            <w:vAlign w:val="center"/>
          </w:tcPr>
          <w:p>
            <w:pPr>
              <w:pStyle w:val="45"/>
              <w:rPr>
                <w:color w:val="auto"/>
                <w:szCs w:val="24"/>
              </w:rPr>
            </w:pPr>
            <w:r>
              <w:rPr>
                <w:rFonts w:hint="eastAsia"/>
                <w:color w:val="auto"/>
              </w:rPr>
              <w:t>300</w:t>
            </w:r>
          </w:p>
        </w:tc>
        <w:tc>
          <w:tcPr>
            <w:tcW w:w="864" w:type="pct"/>
            <w:tcBorders>
              <w:tl2br w:val="nil"/>
              <w:tr2bl w:val="nil"/>
            </w:tcBorders>
            <w:vAlign w:val="center"/>
          </w:tcPr>
          <w:p>
            <w:pPr>
              <w:pStyle w:val="45"/>
              <w:rPr>
                <w:color w:val="auto"/>
              </w:rPr>
            </w:pPr>
            <w:r>
              <w:rPr>
                <w:rFonts w:hint="eastAsia"/>
                <w:color w:val="auto"/>
              </w:rPr>
              <w:t>2.71E-02</w:t>
            </w:r>
          </w:p>
        </w:tc>
        <w:tc>
          <w:tcPr>
            <w:tcW w:w="658" w:type="pct"/>
            <w:tcBorders>
              <w:tl2br w:val="nil"/>
              <w:tr2bl w:val="nil"/>
            </w:tcBorders>
            <w:vAlign w:val="center"/>
          </w:tcPr>
          <w:p>
            <w:pPr>
              <w:pStyle w:val="45"/>
              <w:rPr>
                <w:color w:val="auto"/>
              </w:rPr>
            </w:pPr>
            <w:r>
              <w:rPr>
                <w:rFonts w:hint="eastAsia"/>
                <w:color w:val="auto"/>
              </w:rPr>
              <w:t>0.01</w:t>
            </w:r>
          </w:p>
        </w:tc>
        <w:tc>
          <w:tcPr>
            <w:tcW w:w="841" w:type="pct"/>
            <w:tcBorders>
              <w:tl2br w:val="nil"/>
              <w:tr2bl w:val="nil"/>
            </w:tcBorders>
            <w:vAlign w:val="center"/>
          </w:tcPr>
          <w:p>
            <w:pPr>
              <w:pStyle w:val="45"/>
              <w:rPr>
                <w:color w:val="auto"/>
              </w:rPr>
            </w:pPr>
            <w:r>
              <w:rPr>
                <w:rFonts w:hint="eastAsia"/>
                <w:color w:val="auto"/>
              </w:rPr>
              <w:t>6.76E-04</w:t>
            </w:r>
          </w:p>
        </w:tc>
        <w:tc>
          <w:tcPr>
            <w:tcW w:w="553" w:type="pct"/>
            <w:tcBorders>
              <w:tl2br w:val="nil"/>
              <w:tr2bl w:val="nil"/>
            </w:tcBorders>
            <w:vAlign w:val="center"/>
          </w:tcPr>
          <w:p>
            <w:pPr>
              <w:pStyle w:val="45"/>
              <w:rPr>
                <w:color w:val="auto"/>
              </w:rPr>
            </w:pPr>
            <w:r>
              <w:rPr>
                <w:rFonts w:hint="eastAsia"/>
                <w:color w:val="auto"/>
              </w:rPr>
              <w:t>0.01</w:t>
            </w:r>
          </w:p>
        </w:tc>
        <w:tc>
          <w:tcPr>
            <w:tcW w:w="857" w:type="pct"/>
            <w:tcBorders>
              <w:tl2br w:val="nil"/>
              <w:tr2bl w:val="nil"/>
            </w:tcBorders>
            <w:vAlign w:val="center"/>
          </w:tcPr>
          <w:p>
            <w:pPr>
              <w:pStyle w:val="45"/>
              <w:rPr>
                <w:color w:val="auto"/>
              </w:rPr>
            </w:pPr>
            <w:r>
              <w:rPr>
                <w:rFonts w:hint="eastAsia"/>
                <w:color w:val="auto"/>
              </w:rPr>
              <w:t>1.58E+01</w:t>
            </w:r>
          </w:p>
        </w:tc>
        <w:tc>
          <w:tcPr>
            <w:tcW w:w="653" w:type="pct"/>
            <w:tcBorders>
              <w:tl2br w:val="nil"/>
              <w:tr2bl w:val="nil"/>
            </w:tcBorders>
            <w:vAlign w:val="center"/>
          </w:tcPr>
          <w:p>
            <w:pPr>
              <w:pStyle w:val="45"/>
              <w:rPr>
                <w:color w:val="auto"/>
              </w:rPr>
            </w:pPr>
            <w:r>
              <w:rPr>
                <w:rFonts w:hint="eastAsia"/>
                <w:color w:val="auto"/>
              </w:rPr>
              <w:t>1.31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tcBorders>
              <w:tl2br w:val="nil"/>
              <w:tr2bl w:val="nil"/>
            </w:tcBorders>
            <w:vAlign w:val="center"/>
          </w:tcPr>
          <w:p>
            <w:pPr>
              <w:pStyle w:val="45"/>
              <w:rPr>
                <w:color w:val="auto"/>
                <w:szCs w:val="24"/>
              </w:rPr>
            </w:pPr>
            <w:r>
              <w:rPr>
                <w:rFonts w:hint="eastAsia"/>
                <w:color w:val="auto"/>
              </w:rPr>
              <w:t>325</w:t>
            </w:r>
          </w:p>
        </w:tc>
        <w:tc>
          <w:tcPr>
            <w:tcW w:w="864" w:type="pct"/>
            <w:tcBorders>
              <w:tl2br w:val="nil"/>
              <w:tr2bl w:val="nil"/>
            </w:tcBorders>
            <w:vAlign w:val="center"/>
          </w:tcPr>
          <w:p>
            <w:pPr>
              <w:pStyle w:val="45"/>
              <w:rPr>
                <w:color w:val="auto"/>
              </w:rPr>
            </w:pPr>
            <w:r>
              <w:rPr>
                <w:rFonts w:hint="eastAsia"/>
                <w:color w:val="auto"/>
              </w:rPr>
              <w:t>2.64E-02</w:t>
            </w:r>
          </w:p>
        </w:tc>
        <w:tc>
          <w:tcPr>
            <w:tcW w:w="658" w:type="pct"/>
            <w:tcBorders>
              <w:tl2br w:val="nil"/>
              <w:tr2bl w:val="nil"/>
            </w:tcBorders>
            <w:vAlign w:val="center"/>
          </w:tcPr>
          <w:p>
            <w:pPr>
              <w:pStyle w:val="45"/>
              <w:rPr>
                <w:color w:val="auto"/>
              </w:rPr>
            </w:pPr>
            <w:r>
              <w:rPr>
                <w:rFonts w:hint="eastAsia"/>
                <w:color w:val="auto"/>
              </w:rPr>
              <w:t>0.01</w:t>
            </w:r>
          </w:p>
        </w:tc>
        <w:tc>
          <w:tcPr>
            <w:tcW w:w="841" w:type="pct"/>
            <w:tcBorders>
              <w:tl2br w:val="nil"/>
              <w:tr2bl w:val="nil"/>
            </w:tcBorders>
            <w:vAlign w:val="center"/>
          </w:tcPr>
          <w:p>
            <w:pPr>
              <w:pStyle w:val="45"/>
              <w:rPr>
                <w:color w:val="auto"/>
              </w:rPr>
            </w:pPr>
            <w:r>
              <w:rPr>
                <w:rFonts w:hint="eastAsia"/>
                <w:color w:val="auto"/>
              </w:rPr>
              <w:t>6.59E-04</w:t>
            </w:r>
          </w:p>
        </w:tc>
        <w:tc>
          <w:tcPr>
            <w:tcW w:w="553" w:type="pct"/>
            <w:tcBorders>
              <w:tl2br w:val="nil"/>
              <w:tr2bl w:val="nil"/>
            </w:tcBorders>
            <w:vAlign w:val="center"/>
          </w:tcPr>
          <w:p>
            <w:pPr>
              <w:pStyle w:val="45"/>
              <w:rPr>
                <w:color w:val="auto"/>
              </w:rPr>
            </w:pPr>
            <w:r>
              <w:rPr>
                <w:rFonts w:hint="eastAsia"/>
                <w:color w:val="auto"/>
              </w:rPr>
              <w:t>0.01</w:t>
            </w:r>
          </w:p>
        </w:tc>
        <w:tc>
          <w:tcPr>
            <w:tcW w:w="857" w:type="pct"/>
            <w:tcBorders>
              <w:tl2br w:val="nil"/>
              <w:tr2bl w:val="nil"/>
            </w:tcBorders>
            <w:vAlign w:val="center"/>
          </w:tcPr>
          <w:p>
            <w:pPr>
              <w:pStyle w:val="45"/>
              <w:rPr>
                <w:color w:val="auto"/>
              </w:rPr>
            </w:pPr>
            <w:r>
              <w:rPr>
                <w:rFonts w:hint="eastAsia"/>
                <w:color w:val="auto"/>
              </w:rPr>
              <w:t>1.54E+01</w:t>
            </w:r>
          </w:p>
        </w:tc>
        <w:tc>
          <w:tcPr>
            <w:tcW w:w="653" w:type="pct"/>
            <w:tcBorders>
              <w:tl2br w:val="nil"/>
              <w:tr2bl w:val="nil"/>
            </w:tcBorders>
            <w:vAlign w:val="center"/>
          </w:tcPr>
          <w:p>
            <w:pPr>
              <w:pStyle w:val="45"/>
              <w:rPr>
                <w:color w:val="auto"/>
              </w:rPr>
            </w:pPr>
            <w:r>
              <w:rPr>
                <w:rFonts w:hint="eastAsia"/>
                <w:color w:val="auto"/>
              </w:rPr>
              <w:t>1.28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tcBorders>
              <w:tl2br w:val="nil"/>
              <w:tr2bl w:val="nil"/>
            </w:tcBorders>
            <w:vAlign w:val="center"/>
          </w:tcPr>
          <w:p>
            <w:pPr>
              <w:pStyle w:val="45"/>
              <w:rPr>
                <w:color w:val="auto"/>
                <w:szCs w:val="24"/>
              </w:rPr>
            </w:pPr>
            <w:r>
              <w:rPr>
                <w:rFonts w:hint="eastAsia"/>
                <w:color w:val="auto"/>
              </w:rPr>
              <w:t>350</w:t>
            </w:r>
          </w:p>
        </w:tc>
        <w:tc>
          <w:tcPr>
            <w:tcW w:w="864" w:type="pct"/>
            <w:tcBorders>
              <w:tl2br w:val="nil"/>
              <w:tr2bl w:val="nil"/>
            </w:tcBorders>
            <w:vAlign w:val="center"/>
          </w:tcPr>
          <w:p>
            <w:pPr>
              <w:pStyle w:val="45"/>
              <w:rPr>
                <w:color w:val="auto"/>
              </w:rPr>
            </w:pPr>
            <w:r>
              <w:rPr>
                <w:rFonts w:hint="eastAsia"/>
                <w:color w:val="auto"/>
              </w:rPr>
              <w:t>2.55E-02</w:t>
            </w:r>
          </w:p>
        </w:tc>
        <w:tc>
          <w:tcPr>
            <w:tcW w:w="658" w:type="pct"/>
            <w:tcBorders>
              <w:tl2br w:val="nil"/>
              <w:tr2bl w:val="nil"/>
            </w:tcBorders>
            <w:vAlign w:val="center"/>
          </w:tcPr>
          <w:p>
            <w:pPr>
              <w:pStyle w:val="45"/>
              <w:rPr>
                <w:color w:val="auto"/>
              </w:rPr>
            </w:pPr>
            <w:r>
              <w:rPr>
                <w:rFonts w:hint="eastAsia"/>
                <w:color w:val="auto"/>
              </w:rPr>
              <w:t>0.01</w:t>
            </w:r>
          </w:p>
        </w:tc>
        <w:tc>
          <w:tcPr>
            <w:tcW w:w="841" w:type="pct"/>
            <w:tcBorders>
              <w:tl2br w:val="nil"/>
              <w:tr2bl w:val="nil"/>
            </w:tcBorders>
            <w:vAlign w:val="center"/>
          </w:tcPr>
          <w:p>
            <w:pPr>
              <w:pStyle w:val="45"/>
              <w:rPr>
                <w:color w:val="auto"/>
              </w:rPr>
            </w:pPr>
            <w:r>
              <w:rPr>
                <w:rFonts w:hint="eastAsia"/>
                <w:color w:val="auto"/>
              </w:rPr>
              <w:t>6.38E-04</w:t>
            </w:r>
          </w:p>
        </w:tc>
        <w:tc>
          <w:tcPr>
            <w:tcW w:w="553" w:type="pct"/>
            <w:tcBorders>
              <w:tl2br w:val="nil"/>
              <w:tr2bl w:val="nil"/>
            </w:tcBorders>
            <w:vAlign w:val="center"/>
          </w:tcPr>
          <w:p>
            <w:pPr>
              <w:pStyle w:val="45"/>
              <w:rPr>
                <w:color w:val="auto"/>
              </w:rPr>
            </w:pPr>
            <w:r>
              <w:rPr>
                <w:rFonts w:hint="eastAsia"/>
                <w:color w:val="auto"/>
              </w:rPr>
              <w:t>0.01</w:t>
            </w:r>
          </w:p>
        </w:tc>
        <w:tc>
          <w:tcPr>
            <w:tcW w:w="857" w:type="pct"/>
            <w:tcBorders>
              <w:tl2br w:val="nil"/>
              <w:tr2bl w:val="nil"/>
            </w:tcBorders>
            <w:vAlign w:val="center"/>
          </w:tcPr>
          <w:p>
            <w:pPr>
              <w:pStyle w:val="45"/>
              <w:rPr>
                <w:color w:val="auto"/>
              </w:rPr>
            </w:pPr>
            <w:r>
              <w:rPr>
                <w:rFonts w:hint="eastAsia"/>
                <w:color w:val="auto"/>
              </w:rPr>
              <w:t>1.49E+01</w:t>
            </w:r>
          </w:p>
        </w:tc>
        <w:tc>
          <w:tcPr>
            <w:tcW w:w="653" w:type="pct"/>
            <w:tcBorders>
              <w:tl2br w:val="nil"/>
              <w:tr2bl w:val="nil"/>
            </w:tcBorders>
            <w:vAlign w:val="center"/>
          </w:tcPr>
          <w:p>
            <w:pPr>
              <w:pStyle w:val="45"/>
              <w:rPr>
                <w:color w:val="auto"/>
              </w:rPr>
            </w:pPr>
            <w:r>
              <w:rPr>
                <w:rFonts w:hint="eastAsia"/>
                <w:color w:val="auto"/>
              </w:rPr>
              <w:t>1.24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tcBorders>
              <w:tl2br w:val="nil"/>
              <w:tr2bl w:val="nil"/>
            </w:tcBorders>
            <w:vAlign w:val="center"/>
          </w:tcPr>
          <w:p>
            <w:pPr>
              <w:pStyle w:val="45"/>
              <w:rPr>
                <w:color w:val="auto"/>
                <w:szCs w:val="24"/>
              </w:rPr>
            </w:pPr>
            <w:r>
              <w:rPr>
                <w:rFonts w:hint="eastAsia"/>
                <w:color w:val="auto"/>
              </w:rPr>
              <w:t>375</w:t>
            </w:r>
          </w:p>
        </w:tc>
        <w:tc>
          <w:tcPr>
            <w:tcW w:w="864" w:type="pct"/>
            <w:tcBorders>
              <w:tl2br w:val="nil"/>
              <w:tr2bl w:val="nil"/>
            </w:tcBorders>
            <w:vAlign w:val="center"/>
          </w:tcPr>
          <w:p>
            <w:pPr>
              <w:pStyle w:val="45"/>
              <w:rPr>
                <w:color w:val="auto"/>
              </w:rPr>
            </w:pPr>
            <w:r>
              <w:rPr>
                <w:rFonts w:hint="eastAsia"/>
                <w:color w:val="auto"/>
              </w:rPr>
              <w:t>2.46E-02</w:t>
            </w:r>
          </w:p>
        </w:tc>
        <w:tc>
          <w:tcPr>
            <w:tcW w:w="658" w:type="pct"/>
            <w:tcBorders>
              <w:tl2br w:val="nil"/>
              <w:tr2bl w:val="nil"/>
            </w:tcBorders>
            <w:vAlign w:val="center"/>
          </w:tcPr>
          <w:p>
            <w:pPr>
              <w:pStyle w:val="45"/>
              <w:rPr>
                <w:color w:val="auto"/>
              </w:rPr>
            </w:pPr>
            <w:r>
              <w:rPr>
                <w:rFonts w:hint="eastAsia"/>
                <w:color w:val="auto"/>
              </w:rPr>
              <w:t>0.01</w:t>
            </w:r>
          </w:p>
        </w:tc>
        <w:tc>
          <w:tcPr>
            <w:tcW w:w="841" w:type="pct"/>
            <w:tcBorders>
              <w:tl2br w:val="nil"/>
              <w:tr2bl w:val="nil"/>
            </w:tcBorders>
            <w:vAlign w:val="center"/>
          </w:tcPr>
          <w:p>
            <w:pPr>
              <w:pStyle w:val="45"/>
              <w:rPr>
                <w:color w:val="auto"/>
              </w:rPr>
            </w:pPr>
            <w:r>
              <w:rPr>
                <w:rFonts w:hint="eastAsia"/>
                <w:color w:val="auto"/>
              </w:rPr>
              <w:t>6.14E-04</w:t>
            </w:r>
          </w:p>
        </w:tc>
        <w:tc>
          <w:tcPr>
            <w:tcW w:w="553" w:type="pct"/>
            <w:tcBorders>
              <w:tl2br w:val="nil"/>
              <w:tr2bl w:val="nil"/>
            </w:tcBorders>
            <w:vAlign w:val="center"/>
          </w:tcPr>
          <w:p>
            <w:pPr>
              <w:pStyle w:val="45"/>
              <w:rPr>
                <w:color w:val="auto"/>
              </w:rPr>
            </w:pPr>
            <w:r>
              <w:rPr>
                <w:rFonts w:hint="eastAsia"/>
                <w:color w:val="auto"/>
              </w:rPr>
              <w:t>0.01</w:t>
            </w:r>
          </w:p>
        </w:tc>
        <w:tc>
          <w:tcPr>
            <w:tcW w:w="1461" w:type="dxa"/>
            <w:tcBorders>
              <w:tl2br w:val="nil"/>
              <w:tr2bl w:val="nil"/>
            </w:tcBorders>
            <w:vAlign w:val="center"/>
          </w:tcPr>
          <w:p>
            <w:pPr>
              <w:pStyle w:val="45"/>
              <w:rPr>
                <w:color w:val="auto"/>
              </w:rPr>
            </w:pPr>
            <w:r>
              <w:rPr>
                <w:rFonts w:hint="eastAsia"/>
                <w:color w:val="auto"/>
                <w:lang w:eastAsia="zh-CN"/>
              </w:rPr>
              <w:t>4.32</w:t>
            </w:r>
            <w:r>
              <w:rPr>
                <w:rFonts w:hint="eastAsia"/>
                <w:color w:val="auto"/>
              </w:rPr>
              <w:t>E+01</w:t>
            </w:r>
          </w:p>
        </w:tc>
        <w:tc>
          <w:tcPr>
            <w:tcW w:w="653" w:type="pct"/>
            <w:tcBorders>
              <w:tl2br w:val="nil"/>
              <w:tr2bl w:val="nil"/>
            </w:tcBorders>
            <w:vAlign w:val="center"/>
          </w:tcPr>
          <w:p>
            <w:pPr>
              <w:pStyle w:val="45"/>
              <w:rPr>
                <w:color w:val="auto"/>
              </w:rPr>
            </w:pPr>
            <w:r>
              <w:rPr>
                <w:rFonts w:hint="eastAsia"/>
                <w:color w:val="auto"/>
              </w:rPr>
              <w:t>1.19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tcBorders>
              <w:tl2br w:val="nil"/>
              <w:tr2bl w:val="nil"/>
            </w:tcBorders>
            <w:vAlign w:val="center"/>
          </w:tcPr>
          <w:p>
            <w:pPr>
              <w:pStyle w:val="45"/>
              <w:rPr>
                <w:color w:val="auto"/>
                <w:szCs w:val="24"/>
              </w:rPr>
            </w:pPr>
            <w:r>
              <w:rPr>
                <w:rFonts w:hint="eastAsia"/>
                <w:color w:val="auto"/>
              </w:rPr>
              <w:t>400</w:t>
            </w:r>
          </w:p>
        </w:tc>
        <w:tc>
          <w:tcPr>
            <w:tcW w:w="864" w:type="pct"/>
            <w:tcBorders>
              <w:tl2br w:val="nil"/>
              <w:tr2bl w:val="nil"/>
            </w:tcBorders>
            <w:vAlign w:val="center"/>
          </w:tcPr>
          <w:p>
            <w:pPr>
              <w:pStyle w:val="45"/>
              <w:rPr>
                <w:color w:val="auto"/>
              </w:rPr>
            </w:pPr>
            <w:r>
              <w:rPr>
                <w:rFonts w:hint="eastAsia"/>
                <w:color w:val="auto"/>
              </w:rPr>
              <w:t>2.36E-02</w:t>
            </w:r>
          </w:p>
        </w:tc>
        <w:tc>
          <w:tcPr>
            <w:tcW w:w="658" w:type="pct"/>
            <w:tcBorders>
              <w:tl2br w:val="nil"/>
              <w:tr2bl w:val="nil"/>
            </w:tcBorders>
            <w:vAlign w:val="center"/>
          </w:tcPr>
          <w:p>
            <w:pPr>
              <w:pStyle w:val="45"/>
              <w:rPr>
                <w:color w:val="auto"/>
              </w:rPr>
            </w:pPr>
            <w:r>
              <w:rPr>
                <w:rFonts w:hint="eastAsia"/>
                <w:color w:val="auto"/>
              </w:rPr>
              <w:t>0.01</w:t>
            </w:r>
          </w:p>
        </w:tc>
        <w:tc>
          <w:tcPr>
            <w:tcW w:w="841" w:type="pct"/>
            <w:tcBorders>
              <w:tl2br w:val="nil"/>
              <w:tr2bl w:val="nil"/>
            </w:tcBorders>
            <w:vAlign w:val="center"/>
          </w:tcPr>
          <w:p>
            <w:pPr>
              <w:pStyle w:val="45"/>
              <w:rPr>
                <w:color w:val="auto"/>
              </w:rPr>
            </w:pPr>
            <w:r>
              <w:rPr>
                <w:rFonts w:hint="eastAsia"/>
                <w:color w:val="auto"/>
              </w:rPr>
              <w:t>5.89E-04</w:t>
            </w:r>
          </w:p>
        </w:tc>
        <w:tc>
          <w:tcPr>
            <w:tcW w:w="553" w:type="pct"/>
            <w:tcBorders>
              <w:tl2br w:val="nil"/>
              <w:tr2bl w:val="nil"/>
            </w:tcBorders>
            <w:vAlign w:val="center"/>
          </w:tcPr>
          <w:p>
            <w:pPr>
              <w:pStyle w:val="45"/>
              <w:rPr>
                <w:color w:val="auto"/>
              </w:rPr>
            </w:pPr>
            <w:r>
              <w:rPr>
                <w:rFonts w:hint="eastAsia"/>
                <w:color w:val="auto"/>
              </w:rPr>
              <w:t>0.01</w:t>
            </w:r>
          </w:p>
        </w:tc>
        <w:tc>
          <w:tcPr>
            <w:tcW w:w="1461" w:type="dxa"/>
            <w:tcBorders>
              <w:tl2br w:val="nil"/>
              <w:tr2bl w:val="nil"/>
            </w:tcBorders>
            <w:vAlign w:val="center"/>
          </w:tcPr>
          <w:p>
            <w:pPr>
              <w:pStyle w:val="45"/>
              <w:rPr>
                <w:color w:val="auto"/>
              </w:rPr>
            </w:pPr>
            <w:r>
              <w:rPr>
                <w:rFonts w:hint="eastAsia"/>
                <w:color w:val="auto"/>
              </w:rPr>
              <w:t>1.37E+01</w:t>
            </w:r>
          </w:p>
        </w:tc>
        <w:tc>
          <w:tcPr>
            <w:tcW w:w="653" w:type="pct"/>
            <w:tcBorders>
              <w:tl2br w:val="nil"/>
              <w:tr2bl w:val="nil"/>
            </w:tcBorders>
            <w:vAlign w:val="center"/>
          </w:tcPr>
          <w:p>
            <w:pPr>
              <w:pStyle w:val="45"/>
              <w:rPr>
                <w:color w:val="auto"/>
              </w:rPr>
            </w:pPr>
            <w:r>
              <w:rPr>
                <w:rFonts w:hint="eastAsia"/>
                <w:color w:val="auto"/>
              </w:rPr>
              <w:t>1.14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tcBorders>
              <w:tl2br w:val="nil"/>
              <w:tr2bl w:val="nil"/>
            </w:tcBorders>
            <w:vAlign w:val="center"/>
          </w:tcPr>
          <w:p>
            <w:pPr>
              <w:pStyle w:val="45"/>
              <w:rPr>
                <w:color w:val="auto"/>
                <w:szCs w:val="24"/>
              </w:rPr>
            </w:pPr>
            <w:r>
              <w:rPr>
                <w:rFonts w:hint="eastAsia"/>
                <w:color w:val="auto"/>
              </w:rPr>
              <w:t>425</w:t>
            </w:r>
          </w:p>
        </w:tc>
        <w:tc>
          <w:tcPr>
            <w:tcW w:w="864" w:type="pct"/>
            <w:tcBorders>
              <w:tl2br w:val="nil"/>
              <w:tr2bl w:val="nil"/>
            </w:tcBorders>
            <w:vAlign w:val="center"/>
          </w:tcPr>
          <w:p>
            <w:pPr>
              <w:pStyle w:val="45"/>
              <w:rPr>
                <w:color w:val="auto"/>
              </w:rPr>
            </w:pPr>
            <w:r>
              <w:rPr>
                <w:rFonts w:hint="eastAsia"/>
                <w:color w:val="auto"/>
              </w:rPr>
              <w:t>2.26E-02</w:t>
            </w:r>
          </w:p>
        </w:tc>
        <w:tc>
          <w:tcPr>
            <w:tcW w:w="658" w:type="pct"/>
            <w:tcBorders>
              <w:tl2br w:val="nil"/>
              <w:tr2bl w:val="nil"/>
            </w:tcBorders>
            <w:vAlign w:val="center"/>
          </w:tcPr>
          <w:p>
            <w:pPr>
              <w:pStyle w:val="45"/>
              <w:rPr>
                <w:color w:val="auto"/>
              </w:rPr>
            </w:pPr>
            <w:r>
              <w:rPr>
                <w:rFonts w:hint="eastAsia"/>
                <w:color w:val="auto"/>
              </w:rPr>
              <w:t>0.01</w:t>
            </w:r>
          </w:p>
        </w:tc>
        <w:tc>
          <w:tcPr>
            <w:tcW w:w="841" w:type="pct"/>
            <w:tcBorders>
              <w:tl2br w:val="nil"/>
              <w:tr2bl w:val="nil"/>
            </w:tcBorders>
            <w:vAlign w:val="center"/>
          </w:tcPr>
          <w:p>
            <w:pPr>
              <w:pStyle w:val="45"/>
              <w:rPr>
                <w:color w:val="auto"/>
              </w:rPr>
            </w:pPr>
            <w:r>
              <w:rPr>
                <w:rFonts w:hint="eastAsia"/>
                <w:color w:val="auto"/>
              </w:rPr>
              <w:t>5.64E-04</w:t>
            </w:r>
          </w:p>
        </w:tc>
        <w:tc>
          <w:tcPr>
            <w:tcW w:w="553" w:type="pct"/>
            <w:tcBorders>
              <w:tl2br w:val="nil"/>
              <w:tr2bl w:val="nil"/>
            </w:tcBorders>
            <w:vAlign w:val="center"/>
          </w:tcPr>
          <w:p>
            <w:pPr>
              <w:pStyle w:val="45"/>
              <w:rPr>
                <w:color w:val="auto"/>
              </w:rPr>
            </w:pPr>
            <w:r>
              <w:rPr>
                <w:rFonts w:hint="eastAsia"/>
                <w:color w:val="auto"/>
              </w:rPr>
              <w:t>0.01</w:t>
            </w:r>
          </w:p>
        </w:tc>
        <w:tc>
          <w:tcPr>
            <w:tcW w:w="1461" w:type="dxa"/>
            <w:tcBorders>
              <w:tl2br w:val="nil"/>
              <w:tr2bl w:val="nil"/>
            </w:tcBorders>
            <w:vAlign w:val="center"/>
          </w:tcPr>
          <w:p>
            <w:pPr>
              <w:pStyle w:val="45"/>
              <w:rPr>
                <w:color w:val="auto"/>
              </w:rPr>
            </w:pPr>
            <w:r>
              <w:rPr>
                <w:rFonts w:hint="eastAsia"/>
                <w:color w:val="auto"/>
              </w:rPr>
              <w:t>1.31E+01</w:t>
            </w:r>
          </w:p>
        </w:tc>
        <w:tc>
          <w:tcPr>
            <w:tcW w:w="653" w:type="pct"/>
            <w:tcBorders>
              <w:tl2br w:val="nil"/>
              <w:tr2bl w:val="nil"/>
            </w:tcBorders>
            <w:vAlign w:val="center"/>
          </w:tcPr>
          <w:p>
            <w:pPr>
              <w:pStyle w:val="45"/>
              <w:rPr>
                <w:color w:val="auto"/>
              </w:rPr>
            </w:pPr>
            <w:r>
              <w:rPr>
                <w:rFonts w:hint="eastAsia"/>
                <w:color w:val="auto"/>
              </w:rPr>
              <w:t>1.10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tcBorders>
              <w:tl2br w:val="nil"/>
              <w:tr2bl w:val="nil"/>
            </w:tcBorders>
            <w:vAlign w:val="center"/>
          </w:tcPr>
          <w:p>
            <w:pPr>
              <w:pStyle w:val="45"/>
              <w:rPr>
                <w:color w:val="auto"/>
                <w:szCs w:val="24"/>
              </w:rPr>
            </w:pPr>
            <w:r>
              <w:rPr>
                <w:rFonts w:hint="eastAsia"/>
                <w:color w:val="auto"/>
              </w:rPr>
              <w:t>450</w:t>
            </w:r>
          </w:p>
        </w:tc>
        <w:tc>
          <w:tcPr>
            <w:tcW w:w="864" w:type="pct"/>
            <w:tcBorders>
              <w:tl2br w:val="nil"/>
              <w:tr2bl w:val="nil"/>
            </w:tcBorders>
            <w:vAlign w:val="center"/>
          </w:tcPr>
          <w:p>
            <w:pPr>
              <w:pStyle w:val="45"/>
              <w:rPr>
                <w:color w:val="auto"/>
              </w:rPr>
            </w:pPr>
            <w:r>
              <w:rPr>
                <w:rFonts w:hint="eastAsia"/>
                <w:color w:val="auto"/>
              </w:rPr>
              <w:t>2.16E-02</w:t>
            </w:r>
          </w:p>
        </w:tc>
        <w:tc>
          <w:tcPr>
            <w:tcW w:w="658" w:type="pct"/>
            <w:tcBorders>
              <w:tl2br w:val="nil"/>
              <w:tr2bl w:val="nil"/>
            </w:tcBorders>
            <w:vAlign w:val="center"/>
          </w:tcPr>
          <w:p>
            <w:pPr>
              <w:pStyle w:val="45"/>
              <w:rPr>
                <w:color w:val="auto"/>
              </w:rPr>
            </w:pPr>
            <w:r>
              <w:rPr>
                <w:rFonts w:hint="eastAsia"/>
                <w:color w:val="auto"/>
              </w:rPr>
              <w:t>0.01</w:t>
            </w:r>
          </w:p>
        </w:tc>
        <w:tc>
          <w:tcPr>
            <w:tcW w:w="841" w:type="pct"/>
            <w:tcBorders>
              <w:tl2br w:val="nil"/>
              <w:tr2bl w:val="nil"/>
            </w:tcBorders>
            <w:vAlign w:val="center"/>
          </w:tcPr>
          <w:p>
            <w:pPr>
              <w:pStyle w:val="45"/>
              <w:rPr>
                <w:color w:val="auto"/>
              </w:rPr>
            </w:pPr>
            <w:r>
              <w:rPr>
                <w:rFonts w:hint="eastAsia"/>
                <w:color w:val="auto"/>
              </w:rPr>
              <w:t>5.40E-04</w:t>
            </w:r>
          </w:p>
        </w:tc>
        <w:tc>
          <w:tcPr>
            <w:tcW w:w="553" w:type="pct"/>
            <w:tcBorders>
              <w:tl2br w:val="nil"/>
              <w:tr2bl w:val="nil"/>
            </w:tcBorders>
            <w:vAlign w:val="center"/>
          </w:tcPr>
          <w:p>
            <w:pPr>
              <w:pStyle w:val="45"/>
              <w:rPr>
                <w:color w:val="auto"/>
              </w:rPr>
            </w:pPr>
            <w:r>
              <w:rPr>
                <w:rFonts w:hint="eastAsia"/>
                <w:color w:val="auto"/>
              </w:rPr>
              <w:t>0.01</w:t>
            </w:r>
          </w:p>
        </w:tc>
        <w:tc>
          <w:tcPr>
            <w:tcW w:w="1461" w:type="dxa"/>
            <w:tcBorders>
              <w:tl2br w:val="nil"/>
              <w:tr2bl w:val="nil"/>
            </w:tcBorders>
            <w:vAlign w:val="center"/>
          </w:tcPr>
          <w:p>
            <w:pPr>
              <w:pStyle w:val="45"/>
              <w:rPr>
                <w:color w:val="auto"/>
              </w:rPr>
            </w:pPr>
            <w:r>
              <w:rPr>
                <w:rFonts w:hint="eastAsia"/>
                <w:color w:val="auto"/>
              </w:rPr>
              <w:t>1.26E+01</w:t>
            </w:r>
          </w:p>
        </w:tc>
        <w:tc>
          <w:tcPr>
            <w:tcW w:w="653" w:type="pct"/>
            <w:tcBorders>
              <w:tl2br w:val="nil"/>
              <w:tr2bl w:val="nil"/>
            </w:tcBorders>
            <w:vAlign w:val="center"/>
          </w:tcPr>
          <w:p>
            <w:pPr>
              <w:pStyle w:val="45"/>
              <w:rPr>
                <w:color w:val="auto"/>
              </w:rPr>
            </w:pPr>
            <w:r>
              <w:rPr>
                <w:rFonts w:hint="eastAsia"/>
                <w:color w:val="auto"/>
              </w:rPr>
              <w:t>1.05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tcBorders>
              <w:tl2br w:val="nil"/>
              <w:tr2bl w:val="nil"/>
            </w:tcBorders>
            <w:vAlign w:val="center"/>
          </w:tcPr>
          <w:p>
            <w:pPr>
              <w:pStyle w:val="45"/>
              <w:rPr>
                <w:color w:val="auto"/>
                <w:szCs w:val="24"/>
              </w:rPr>
            </w:pPr>
            <w:r>
              <w:rPr>
                <w:rFonts w:hint="eastAsia"/>
                <w:color w:val="auto"/>
              </w:rPr>
              <w:t>475</w:t>
            </w:r>
          </w:p>
        </w:tc>
        <w:tc>
          <w:tcPr>
            <w:tcW w:w="864" w:type="pct"/>
            <w:tcBorders>
              <w:tl2br w:val="nil"/>
              <w:tr2bl w:val="nil"/>
            </w:tcBorders>
            <w:vAlign w:val="center"/>
          </w:tcPr>
          <w:p>
            <w:pPr>
              <w:pStyle w:val="45"/>
              <w:rPr>
                <w:color w:val="auto"/>
              </w:rPr>
            </w:pPr>
            <w:r>
              <w:rPr>
                <w:rFonts w:hint="eastAsia"/>
                <w:color w:val="auto"/>
              </w:rPr>
              <w:t>2.07E-02</w:t>
            </w:r>
          </w:p>
        </w:tc>
        <w:tc>
          <w:tcPr>
            <w:tcW w:w="658" w:type="pct"/>
            <w:tcBorders>
              <w:tl2br w:val="nil"/>
              <w:tr2bl w:val="nil"/>
            </w:tcBorders>
            <w:vAlign w:val="center"/>
          </w:tcPr>
          <w:p>
            <w:pPr>
              <w:pStyle w:val="45"/>
              <w:rPr>
                <w:color w:val="auto"/>
              </w:rPr>
            </w:pPr>
            <w:r>
              <w:rPr>
                <w:rFonts w:hint="eastAsia"/>
                <w:color w:val="auto"/>
              </w:rPr>
              <w:t>0.01</w:t>
            </w:r>
          </w:p>
        </w:tc>
        <w:tc>
          <w:tcPr>
            <w:tcW w:w="841" w:type="pct"/>
            <w:tcBorders>
              <w:tl2br w:val="nil"/>
              <w:tr2bl w:val="nil"/>
            </w:tcBorders>
            <w:vAlign w:val="center"/>
          </w:tcPr>
          <w:p>
            <w:pPr>
              <w:pStyle w:val="45"/>
              <w:rPr>
                <w:color w:val="auto"/>
              </w:rPr>
            </w:pPr>
            <w:r>
              <w:rPr>
                <w:rFonts w:hint="eastAsia"/>
                <w:color w:val="auto"/>
              </w:rPr>
              <w:t>5.17E-04</w:t>
            </w:r>
          </w:p>
        </w:tc>
        <w:tc>
          <w:tcPr>
            <w:tcW w:w="553" w:type="pct"/>
            <w:tcBorders>
              <w:tl2br w:val="nil"/>
              <w:tr2bl w:val="nil"/>
            </w:tcBorders>
            <w:vAlign w:val="center"/>
          </w:tcPr>
          <w:p>
            <w:pPr>
              <w:pStyle w:val="45"/>
              <w:rPr>
                <w:color w:val="auto"/>
              </w:rPr>
            </w:pPr>
            <w:r>
              <w:rPr>
                <w:rFonts w:hint="eastAsia"/>
                <w:color w:val="auto"/>
              </w:rPr>
              <w:t>0.01</w:t>
            </w:r>
          </w:p>
        </w:tc>
        <w:tc>
          <w:tcPr>
            <w:tcW w:w="1461" w:type="dxa"/>
            <w:tcBorders>
              <w:tl2br w:val="nil"/>
              <w:tr2bl w:val="nil"/>
            </w:tcBorders>
            <w:vAlign w:val="center"/>
          </w:tcPr>
          <w:p>
            <w:pPr>
              <w:pStyle w:val="45"/>
              <w:rPr>
                <w:color w:val="auto"/>
              </w:rPr>
            </w:pPr>
            <w:r>
              <w:rPr>
                <w:rFonts w:hint="eastAsia"/>
                <w:color w:val="auto"/>
              </w:rPr>
              <w:t>1.20E+01</w:t>
            </w:r>
          </w:p>
        </w:tc>
        <w:tc>
          <w:tcPr>
            <w:tcW w:w="653" w:type="pct"/>
            <w:tcBorders>
              <w:tl2br w:val="nil"/>
              <w:tr2bl w:val="nil"/>
            </w:tcBorders>
            <w:vAlign w:val="center"/>
          </w:tcPr>
          <w:p>
            <w:pPr>
              <w:pStyle w:val="45"/>
              <w:rPr>
                <w:color w:val="auto"/>
              </w:rPr>
            </w:pPr>
            <w:r>
              <w:rPr>
                <w:rFonts w:hint="eastAsia"/>
                <w:color w:val="auto"/>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90" w:hRule="atLeast"/>
          <w:jc w:val="center"/>
        </w:trPr>
        <w:tc>
          <w:tcPr>
            <w:tcW w:w="570" w:type="pct"/>
            <w:tcBorders>
              <w:tl2br w:val="nil"/>
              <w:tr2bl w:val="nil"/>
            </w:tcBorders>
            <w:vAlign w:val="center"/>
          </w:tcPr>
          <w:p>
            <w:pPr>
              <w:pStyle w:val="45"/>
              <w:rPr>
                <w:color w:val="auto"/>
                <w:szCs w:val="24"/>
              </w:rPr>
            </w:pPr>
            <w:r>
              <w:rPr>
                <w:rFonts w:hint="eastAsia"/>
                <w:color w:val="auto"/>
              </w:rPr>
              <w:t>500</w:t>
            </w:r>
          </w:p>
        </w:tc>
        <w:tc>
          <w:tcPr>
            <w:tcW w:w="864" w:type="pct"/>
            <w:tcBorders>
              <w:tl2br w:val="nil"/>
              <w:tr2bl w:val="nil"/>
            </w:tcBorders>
            <w:vAlign w:val="center"/>
          </w:tcPr>
          <w:p>
            <w:pPr>
              <w:pStyle w:val="45"/>
              <w:rPr>
                <w:color w:val="auto"/>
              </w:rPr>
            </w:pPr>
            <w:r>
              <w:rPr>
                <w:rFonts w:hint="eastAsia"/>
                <w:color w:val="auto"/>
              </w:rPr>
              <w:t>1.98E-02</w:t>
            </w:r>
          </w:p>
        </w:tc>
        <w:tc>
          <w:tcPr>
            <w:tcW w:w="658" w:type="pct"/>
            <w:tcBorders>
              <w:tl2br w:val="nil"/>
              <w:tr2bl w:val="nil"/>
            </w:tcBorders>
            <w:vAlign w:val="center"/>
          </w:tcPr>
          <w:p>
            <w:pPr>
              <w:pStyle w:val="45"/>
              <w:rPr>
                <w:color w:val="auto"/>
              </w:rPr>
            </w:pPr>
            <w:r>
              <w:rPr>
                <w:rFonts w:hint="eastAsia"/>
                <w:color w:val="auto"/>
              </w:rPr>
              <w:t>0.01</w:t>
            </w:r>
          </w:p>
        </w:tc>
        <w:tc>
          <w:tcPr>
            <w:tcW w:w="841" w:type="pct"/>
            <w:tcBorders>
              <w:tl2br w:val="nil"/>
              <w:tr2bl w:val="nil"/>
            </w:tcBorders>
            <w:vAlign w:val="center"/>
          </w:tcPr>
          <w:p>
            <w:pPr>
              <w:pStyle w:val="45"/>
              <w:rPr>
                <w:color w:val="auto"/>
              </w:rPr>
            </w:pPr>
            <w:r>
              <w:rPr>
                <w:rFonts w:hint="eastAsia"/>
                <w:color w:val="auto"/>
              </w:rPr>
              <w:t>4.94E-04</w:t>
            </w:r>
          </w:p>
        </w:tc>
        <w:tc>
          <w:tcPr>
            <w:tcW w:w="553" w:type="pct"/>
            <w:tcBorders>
              <w:tl2br w:val="nil"/>
              <w:tr2bl w:val="nil"/>
            </w:tcBorders>
            <w:vAlign w:val="center"/>
          </w:tcPr>
          <w:p>
            <w:pPr>
              <w:pStyle w:val="45"/>
              <w:rPr>
                <w:color w:val="auto"/>
              </w:rPr>
            </w:pPr>
            <w:r>
              <w:rPr>
                <w:rFonts w:hint="eastAsia"/>
                <w:color w:val="auto"/>
              </w:rPr>
              <w:t>0.00</w:t>
            </w:r>
          </w:p>
        </w:tc>
        <w:tc>
          <w:tcPr>
            <w:tcW w:w="1461" w:type="dxa"/>
            <w:tcBorders>
              <w:tl2br w:val="nil"/>
              <w:tr2bl w:val="nil"/>
            </w:tcBorders>
            <w:vAlign w:val="center"/>
          </w:tcPr>
          <w:p>
            <w:pPr>
              <w:pStyle w:val="45"/>
              <w:rPr>
                <w:color w:val="auto"/>
              </w:rPr>
            </w:pPr>
            <w:r>
              <w:rPr>
                <w:rFonts w:hint="eastAsia"/>
                <w:color w:val="auto"/>
              </w:rPr>
              <w:t>1.15E+01</w:t>
            </w:r>
          </w:p>
        </w:tc>
        <w:tc>
          <w:tcPr>
            <w:tcW w:w="653" w:type="pct"/>
            <w:tcBorders>
              <w:tl2br w:val="nil"/>
              <w:tr2bl w:val="nil"/>
            </w:tcBorders>
            <w:vAlign w:val="center"/>
          </w:tcPr>
          <w:p>
            <w:pPr>
              <w:pStyle w:val="45"/>
              <w:rPr>
                <w:color w:val="auto"/>
              </w:rPr>
            </w:pPr>
            <w:r>
              <w:rPr>
                <w:rFonts w:hint="eastAsia"/>
                <w:color w:val="auto"/>
              </w:rPr>
              <w:t>0.96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tcBorders>
              <w:tl2br w:val="nil"/>
              <w:tr2bl w:val="nil"/>
            </w:tcBorders>
            <w:vAlign w:val="center"/>
          </w:tcPr>
          <w:p>
            <w:pPr>
              <w:pStyle w:val="45"/>
              <w:rPr>
                <w:color w:val="auto"/>
              </w:rPr>
            </w:pPr>
            <w:r>
              <w:rPr>
                <w:color w:val="auto"/>
              </w:rPr>
              <w:t>下风向最大质量浓度及占标率/%</w:t>
            </w:r>
          </w:p>
        </w:tc>
        <w:tc>
          <w:tcPr>
            <w:tcW w:w="864" w:type="pct"/>
            <w:tcBorders>
              <w:tl2br w:val="nil"/>
              <w:tr2bl w:val="nil"/>
            </w:tcBorders>
            <w:vAlign w:val="center"/>
          </w:tcPr>
          <w:p>
            <w:pPr>
              <w:pStyle w:val="45"/>
              <w:rPr>
                <w:color w:val="auto"/>
              </w:rPr>
            </w:pPr>
            <w:r>
              <w:rPr>
                <w:rFonts w:hint="eastAsia"/>
                <w:color w:val="auto"/>
              </w:rPr>
              <w:t>4.62E-02</w:t>
            </w:r>
          </w:p>
        </w:tc>
        <w:tc>
          <w:tcPr>
            <w:tcW w:w="658" w:type="pct"/>
            <w:tcBorders>
              <w:tl2br w:val="nil"/>
              <w:tr2bl w:val="nil"/>
            </w:tcBorders>
            <w:vAlign w:val="center"/>
          </w:tcPr>
          <w:p>
            <w:pPr>
              <w:pStyle w:val="45"/>
              <w:rPr>
                <w:color w:val="auto"/>
                <w:szCs w:val="24"/>
              </w:rPr>
            </w:pPr>
            <w:r>
              <w:rPr>
                <w:rFonts w:hint="eastAsia"/>
                <w:color w:val="auto"/>
              </w:rPr>
              <w:t>0.02</w:t>
            </w:r>
          </w:p>
        </w:tc>
        <w:tc>
          <w:tcPr>
            <w:tcW w:w="841" w:type="pct"/>
            <w:tcBorders>
              <w:tl2br w:val="nil"/>
              <w:tr2bl w:val="nil"/>
            </w:tcBorders>
            <w:vAlign w:val="center"/>
          </w:tcPr>
          <w:p>
            <w:pPr>
              <w:pStyle w:val="45"/>
              <w:rPr>
                <w:color w:val="auto"/>
              </w:rPr>
            </w:pPr>
            <w:r>
              <w:rPr>
                <w:rFonts w:hint="eastAsia"/>
                <w:color w:val="auto"/>
              </w:rPr>
              <w:t>1.15E-03</w:t>
            </w:r>
          </w:p>
        </w:tc>
        <w:tc>
          <w:tcPr>
            <w:tcW w:w="553" w:type="pct"/>
            <w:tcBorders>
              <w:tl2br w:val="nil"/>
              <w:tr2bl w:val="nil"/>
            </w:tcBorders>
            <w:vAlign w:val="center"/>
          </w:tcPr>
          <w:p>
            <w:pPr>
              <w:pStyle w:val="45"/>
              <w:rPr>
                <w:color w:val="auto"/>
                <w:szCs w:val="24"/>
              </w:rPr>
            </w:pPr>
            <w:r>
              <w:rPr>
                <w:rFonts w:hint="eastAsia"/>
                <w:color w:val="auto"/>
              </w:rPr>
              <w:t>0.01</w:t>
            </w:r>
          </w:p>
        </w:tc>
        <w:tc>
          <w:tcPr>
            <w:tcW w:w="857" w:type="pct"/>
            <w:tcBorders>
              <w:tl2br w:val="nil"/>
              <w:tr2bl w:val="nil"/>
            </w:tcBorders>
            <w:vAlign w:val="center"/>
          </w:tcPr>
          <w:p>
            <w:pPr>
              <w:pStyle w:val="45"/>
              <w:rPr>
                <w:color w:val="auto"/>
                <w:szCs w:val="24"/>
              </w:rPr>
            </w:pPr>
            <w:r>
              <w:rPr>
                <w:rFonts w:hint="eastAsia"/>
                <w:color w:val="auto"/>
              </w:rPr>
              <w:t>2.69E+01</w:t>
            </w:r>
          </w:p>
        </w:tc>
        <w:tc>
          <w:tcPr>
            <w:tcW w:w="653" w:type="pct"/>
            <w:tcBorders>
              <w:tl2br w:val="nil"/>
              <w:tr2bl w:val="nil"/>
            </w:tcBorders>
            <w:vAlign w:val="center"/>
          </w:tcPr>
          <w:p>
            <w:pPr>
              <w:pStyle w:val="45"/>
              <w:rPr>
                <w:color w:val="auto"/>
                <w:szCs w:val="24"/>
              </w:rPr>
            </w:pPr>
            <w:r>
              <w:rPr>
                <w:rFonts w:hint="eastAsia"/>
                <w:color w:val="auto"/>
              </w:rPr>
              <w:t>2.24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570" w:type="pct"/>
            <w:tcBorders>
              <w:tl2br w:val="nil"/>
              <w:tr2bl w:val="nil"/>
            </w:tcBorders>
            <w:vAlign w:val="center"/>
          </w:tcPr>
          <w:p>
            <w:pPr>
              <w:pStyle w:val="45"/>
              <w:rPr>
                <w:color w:val="auto"/>
              </w:rPr>
            </w:pPr>
            <w:r>
              <w:rPr>
                <w:color w:val="auto"/>
              </w:rPr>
              <w:t>D</w:t>
            </w:r>
            <w:r>
              <w:rPr>
                <w:color w:val="auto"/>
                <w:vertAlign w:val="subscript"/>
              </w:rPr>
              <w:t>10%</w:t>
            </w:r>
            <w:r>
              <w:rPr>
                <w:color w:val="auto"/>
              </w:rPr>
              <w:t>最远距离/m</w:t>
            </w:r>
          </w:p>
        </w:tc>
        <w:tc>
          <w:tcPr>
            <w:tcW w:w="1523" w:type="pct"/>
            <w:gridSpan w:val="2"/>
            <w:tcBorders>
              <w:tl2br w:val="nil"/>
              <w:tr2bl w:val="nil"/>
            </w:tcBorders>
            <w:vAlign w:val="center"/>
          </w:tcPr>
          <w:p>
            <w:pPr>
              <w:pStyle w:val="45"/>
              <w:rPr>
                <w:color w:val="auto"/>
              </w:rPr>
            </w:pPr>
            <w:r>
              <w:rPr>
                <w:rFonts w:hint="eastAsia"/>
                <w:color w:val="auto"/>
              </w:rPr>
              <w:t>未出现</w:t>
            </w:r>
          </w:p>
        </w:tc>
        <w:tc>
          <w:tcPr>
            <w:tcW w:w="1395" w:type="pct"/>
            <w:gridSpan w:val="2"/>
            <w:tcBorders>
              <w:tl2br w:val="nil"/>
              <w:tr2bl w:val="nil"/>
            </w:tcBorders>
            <w:vAlign w:val="center"/>
          </w:tcPr>
          <w:p>
            <w:pPr>
              <w:pStyle w:val="45"/>
              <w:rPr>
                <w:color w:val="auto"/>
              </w:rPr>
            </w:pPr>
            <w:r>
              <w:rPr>
                <w:rFonts w:hint="eastAsia"/>
                <w:color w:val="auto"/>
              </w:rPr>
              <w:t>未出现</w:t>
            </w:r>
          </w:p>
        </w:tc>
        <w:tc>
          <w:tcPr>
            <w:tcW w:w="1510" w:type="pct"/>
            <w:gridSpan w:val="2"/>
            <w:tcBorders>
              <w:tl2br w:val="nil"/>
              <w:tr2bl w:val="nil"/>
            </w:tcBorders>
            <w:vAlign w:val="center"/>
          </w:tcPr>
          <w:p>
            <w:pPr>
              <w:pStyle w:val="45"/>
              <w:rPr>
                <w:color w:val="auto"/>
              </w:rPr>
            </w:pPr>
            <w:r>
              <w:rPr>
                <w:rFonts w:hint="eastAsia"/>
                <w:color w:val="auto"/>
              </w:rPr>
              <w:t>未出现</w:t>
            </w:r>
          </w:p>
        </w:tc>
      </w:tr>
    </w:tbl>
    <w:p>
      <w:pPr>
        <w:pStyle w:val="57"/>
        <w:rPr>
          <w:color w:val="auto"/>
        </w:rPr>
      </w:pPr>
      <w:r>
        <w:rPr>
          <w:rFonts w:hint="eastAsia"/>
          <w:color w:val="auto"/>
        </w:rPr>
        <w:t>表5.1-14  有组织污染源（锅炉排气筒DA00</w:t>
      </w:r>
      <w:r>
        <w:rPr>
          <w:rFonts w:hint="eastAsia"/>
          <w:color w:val="auto"/>
          <w:lang w:val="en-US" w:eastAsia="zh-CN"/>
        </w:rPr>
        <w:t>2</w:t>
      </w:r>
      <w:r>
        <w:rPr>
          <w:rFonts w:hint="eastAsia"/>
          <w:color w:val="auto"/>
        </w:rPr>
        <w:t>）</w:t>
      </w:r>
      <w:r>
        <w:rPr>
          <w:color w:val="auto"/>
        </w:rPr>
        <w:t>估算模型计算结果表</w:t>
      </w:r>
    </w:p>
    <w:tbl>
      <w:tblPr>
        <w:tblStyle w:val="22"/>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007"/>
        <w:gridCol w:w="1148"/>
        <w:gridCol w:w="1025"/>
        <w:gridCol w:w="1149"/>
        <w:gridCol w:w="1025"/>
        <w:gridCol w:w="1149"/>
        <w:gridCol w:w="102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gridSpan w:val="7"/>
            <w:tcBorders>
              <w:tl2br w:val="nil"/>
              <w:tr2bl w:val="nil"/>
            </w:tcBorders>
            <w:vAlign w:val="center"/>
          </w:tcPr>
          <w:p>
            <w:pPr>
              <w:pStyle w:val="45"/>
              <w:rPr>
                <w:color w:val="auto"/>
              </w:rPr>
            </w:pPr>
            <w:r>
              <w:rPr>
                <w:rFonts w:hint="eastAsia"/>
                <w:color w:val="auto"/>
              </w:rPr>
              <w:t>锅炉排气筒DA00</w:t>
            </w:r>
            <w:r>
              <w:rPr>
                <w:rFonts w:hint="eastAsia"/>
                <w:color w:val="auto"/>
                <w:lang w:val="en-US" w:eastAsia="zh-CN"/>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vMerge w:val="restart"/>
            <w:tcBorders>
              <w:tl2br w:val="nil"/>
              <w:tr2bl w:val="nil"/>
            </w:tcBorders>
            <w:vAlign w:val="center"/>
          </w:tcPr>
          <w:p>
            <w:pPr>
              <w:pStyle w:val="45"/>
              <w:rPr>
                <w:color w:val="auto"/>
              </w:rPr>
            </w:pPr>
            <w:r>
              <w:rPr>
                <w:rFonts w:hint="eastAsia"/>
                <w:color w:val="auto"/>
              </w:rPr>
              <w:t>下风向距离</w:t>
            </w:r>
          </w:p>
        </w:tc>
        <w:tc>
          <w:tcPr>
            <w:tcW w:w="0" w:type="auto"/>
            <w:gridSpan w:val="2"/>
            <w:tcBorders>
              <w:tl2br w:val="nil"/>
              <w:tr2bl w:val="nil"/>
            </w:tcBorders>
            <w:vAlign w:val="center"/>
          </w:tcPr>
          <w:p>
            <w:pPr>
              <w:pStyle w:val="45"/>
              <w:rPr>
                <w:color w:val="auto"/>
              </w:rPr>
            </w:pPr>
            <w:r>
              <w:rPr>
                <w:rFonts w:hint="eastAsia"/>
                <w:color w:val="auto"/>
              </w:rPr>
              <w:t>SO</w:t>
            </w:r>
            <w:r>
              <w:rPr>
                <w:rFonts w:hint="eastAsia"/>
                <w:color w:val="auto"/>
                <w:vertAlign w:val="subscript"/>
              </w:rPr>
              <w:t>2</w:t>
            </w:r>
          </w:p>
        </w:tc>
        <w:tc>
          <w:tcPr>
            <w:tcW w:w="0" w:type="auto"/>
            <w:gridSpan w:val="2"/>
            <w:tcBorders>
              <w:tl2br w:val="nil"/>
              <w:tr2bl w:val="nil"/>
            </w:tcBorders>
            <w:vAlign w:val="center"/>
          </w:tcPr>
          <w:p>
            <w:pPr>
              <w:pStyle w:val="45"/>
              <w:rPr>
                <w:color w:val="auto"/>
              </w:rPr>
            </w:pPr>
            <w:r>
              <w:rPr>
                <w:rFonts w:hint="eastAsia"/>
                <w:color w:val="auto"/>
              </w:rPr>
              <w:t>NOx</w:t>
            </w:r>
          </w:p>
        </w:tc>
        <w:tc>
          <w:tcPr>
            <w:tcW w:w="0" w:type="auto"/>
            <w:gridSpan w:val="2"/>
            <w:tcBorders>
              <w:tl2br w:val="nil"/>
              <w:tr2bl w:val="nil"/>
            </w:tcBorders>
            <w:vAlign w:val="center"/>
          </w:tcPr>
          <w:p>
            <w:pPr>
              <w:pStyle w:val="45"/>
              <w:rPr>
                <w:color w:val="auto"/>
              </w:rPr>
            </w:pPr>
            <w:r>
              <w:rPr>
                <w:rFonts w:hint="eastAsia"/>
                <w:color w:val="auto"/>
              </w:rPr>
              <w:t>颗粒物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vMerge w:val="continue"/>
            <w:tcBorders>
              <w:tl2br w:val="nil"/>
              <w:tr2bl w:val="nil"/>
            </w:tcBorders>
            <w:vAlign w:val="center"/>
          </w:tcPr>
          <w:p>
            <w:pPr>
              <w:pStyle w:val="45"/>
              <w:rPr>
                <w:color w:val="auto"/>
              </w:rPr>
            </w:pPr>
          </w:p>
        </w:tc>
        <w:tc>
          <w:tcPr>
            <w:tcW w:w="0" w:type="auto"/>
            <w:tcBorders>
              <w:tl2br w:val="nil"/>
              <w:tr2bl w:val="nil"/>
            </w:tcBorders>
            <w:vAlign w:val="center"/>
          </w:tcPr>
          <w:p>
            <w:pPr>
              <w:pStyle w:val="45"/>
              <w:rPr>
                <w:color w:val="auto"/>
              </w:rPr>
            </w:pPr>
            <w:r>
              <w:rPr>
                <w:color w:val="auto"/>
              </w:rPr>
              <w:t>小时浓度C</w:t>
            </w:r>
          </w:p>
        </w:tc>
        <w:tc>
          <w:tcPr>
            <w:tcW w:w="0" w:type="auto"/>
            <w:tcBorders>
              <w:tl2br w:val="nil"/>
              <w:tr2bl w:val="nil"/>
            </w:tcBorders>
            <w:vAlign w:val="center"/>
          </w:tcPr>
          <w:p>
            <w:pPr>
              <w:pStyle w:val="45"/>
              <w:rPr>
                <w:color w:val="auto"/>
              </w:rPr>
            </w:pPr>
            <w:r>
              <w:rPr>
                <w:color w:val="auto"/>
              </w:rPr>
              <w:t>浓度占标率P</w:t>
            </w:r>
          </w:p>
        </w:tc>
        <w:tc>
          <w:tcPr>
            <w:tcW w:w="0" w:type="auto"/>
            <w:tcBorders>
              <w:tl2br w:val="nil"/>
              <w:tr2bl w:val="nil"/>
            </w:tcBorders>
            <w:vAlign w:val="center"/>
          </w:tcPr>
          <w:p>
            <w:pPr>
              <w:pStyle w:val="45"/>
              <w:rPr>
                <w:color w:val="auto"/>
              </w:rPr>
            </w:pPr>
            <w:r>
              <w:rPr>
                <w:color w:val="auto"/>
              </w:rPr>
              <w:t>小时浓度C</w:t>
            </w:r>
          </w:p>
        </w:tc>
        <w:tc>
          <w:tcPr>
            <w:tcW w:w="0" w:type="auto"/>
            <w:tcBorders>
              <w:tl2br w:val="nil"/>
              <w:tr2bl w:val="nil"/>
            </w:tcBorders>
            <w:vAlign w:val="center"/>
          </w:tcPr>
          <w:p>
            <w:pPr>
              <w:pStyle w:val="45"/>
              <w:rPr>
                <w:color w:val="auto"/>
              </w:rPr>
            </w:pPr>
            <w:r>
              <w:rPr>
                <w:color w:val="auto"/>
              </w:rPr>
              <w:t>浓度占标率P</w:t>
            </w:r>
          </w:p>
        </w:tc>
        <w:tc>
          <w:tcPr>
            <w:tcW w:w="0" w:type="auto"/>
            <w:tcBorders>
              <w:tl2br w:val="nil"/>
              <w:tr2bl w:val="nil"/>
            </w:tcBorders>
            <w:vAlign w:val="center"/>
          </w:tcPr>
          <w:p>
            <w:pPr>
              <w:pStyle w:val="45"/>
              <w:rPr>
                <w:color w:val="auto"/>
              </w:rPr>
            </w:pPr>
            <w:r>
              <w:rPr>
                <w:color w:val="auto"/>
              </w:rPr>
              <w:t>小时浓度C</w:t>
            </w:r>
          </w:p>
        </w:tc>
        <w:tc>
          <w:tcPr>
            <w:tcW w:w="0" w:type="auto"/>
            <w:tcBorders>
              <w:tl2br w:val="nil"/>
              <w:tr2bl w:val="nil"/>
            </w:tcBorders>
            <w:vAlign w:val="center"/>
          </w:tcPr>
          <w:p>
            <w:pPr>
              <w:pStyle w:val="45"/>
              <w:rPr>
                <w:color w:val="auto"/>
              </w:rPr>
            </w:pPr>
            <w:r>
              <w:rPr>
                <w:color w:val="auto"/>
              </w:rPr>
              <w:t>浓度占标率P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rFonts w:hint="eastAsia"/>
                <w:color w:val="auto"/>
              </w:rPr>
              <w:t>m</w:t>
            </w:r>
          </w:p>
        </w:tc>
        <w:tc>
          <w:tcPr>
            <w:tcW w:w="0" w:type="auto"/>
            <w:tcBorders>
              <w:tl2br w:val="nil"/>
              <w:tr2bl w:val="nil"/>
            </w:tcBorders>
            <w:vAlign w:val="center"/>
          </w:tcPr>
          <w:p>
            <w:pPr>
              <w:pStyle w:val="45"/>
              <w:rPr>
                <w:color w:val="auto"/>
              </w:rPr>
            </w:pPr>
            <w:r>
              <w:rPr>
                <w:rFonts w:hint="eastAsia"/>
                <w:color w:val="auto"/>
              </w:rPr>
              <w:t>μ</w:t>
            </w:r>
            <w:r>
              <w:rPr>
                <w:color w:val="auto"/>
              </w:rPr>
              <w:t>g/m</w:t>
            </w:r>
            <w:r>
              <w:rPr>
                <w:color w:val="auto"/>
                <w:vertAlign w:val="superscript"/>
              </w:rPr>
              <w:t>3</w:t>
            </w:r>
          </w:p>
        </w:tc>
        <w:tc>
          <w:tcPr>
            <w:tcW w:w="0" w:type="auto"/>
            <w:tcBorders>
              <w:tl2br w:val="nil"/>
              <w:tr2bl w:val="nil"/>
            </w:tcBorders>
            <w:vAlign w:val="center"/>
          </w:tcPr>
          <w:p>
            <w:pPr>
              <w:pStyle w:val="45"/>
              <w:rPr>
                <w:color w:val="auto"/>
              </w:rPr>
            </w:pPr>
            <w:r>
              <w:rPr>
                <w:color w:val="auto"/>
              </w:rPr>
              <w:t>％</w:t>
            </w:r>
          </w:p>
        </w:tc>
        <w:tc>
          <w:tcPr>
            <w:tcW w:w="0" w:type="auto"/>
            <w:tcBorders>
              <w:tl2br w:val="nil"/>
              <w:tr2bl w:val="nil"/>
            </w:tcBorders>
            <w:vAlign w:val="center"/>
          </w:tcPr>
          <w:p>
            <w:pPr>
              <w:pStyle w:val="45"/>
              <w:rPr>
                <w:color w:val="auto"/>
              </w:rPr>
            </w:pPr>
            <w:r>
              <w:rPr>
                <w:rFonts w:hint="eastAsia"/>
                <w:color w:val="auto"/>
              </w:rPr>
              <w:t>μ</w:t>
            </w:r>
            <w:r>
              <w:rPr>
                <w:color w:val="auto"/>
              </w:rPr>
              <w:t>g/m</w:t>
            </w:r>
            <w:r>
              <w:rPr>
                <w:color w:val="auto"/>
                <w:vertAlign w:val="superscript"/>
              </w:rPr>
              <w:t>3</w:t>
            </w:r>
          </w:p>
        </w:tc>
        <w:tc>
          <w:tcPr>
            <w:tcW w:w="0" w:type="auto"/>
            <w:tcBorders>
              <w:tl2br w:val="nil"/>
              <w:tr2bl w:val="nil"/>
            </w:tcBorders>
            <w:vAlign w:val="center"/>
          </w:tcPr>
          <w:p>
            <w:pPr>
              <w:pStyle w:val="45"/>
              <w:rPr>
                <w:color w:val="auto"/>
              </w:rPr>
            </w:pPr>
            <w:r>
              <w:rPr>
                <w:color w:val="auto"/>
              </w:rPr>
              <w:t>％</w:t>
            </w:r>
          </w:p>
        </w:tc>
        <w:tc>
          <w:tcPr>
            <w:tcW w:w="0" w:type="auto"/>
            <w:tcBorders>
              <w:tl2br w:val="nil"/>
              <w:tr2bl w:val="nil"/>
            </w:tcBorders>
            <w:vAlign w:val="center"/>
          </w:tcPr>
          <w:p>
            <w:pPr>
              <w:pStyle w:val="45"/>
              <w:rPr>
                <w:color w:val="auto"/>
              </w:rPr>
            </w:pPr>
            <w:r>
              <w:rPr>
                <w:rFonts w:hint="eastAsia"/>
                <w:color w:val="auto"/>
              </w:rPr>
              <w:t>μ</w:t>
            </w:r>
            <w:r>
              <w:rPr>
                <w:color w:val="auto"/>
              </w:rPr>
              <w:t>g/m</w:t>
            </w:r>
            <w:r>
              <w:rPr>
                <w:color w:val="auto"/>
                <w:vertAlign w:val="superscript"/>
              </w:rPr>
              <w:t>3</w:t>
            </w:r>
          </w:p>
        </w:tc>
        <w:tc>
          <w:tcPr>
            <w:tcW w:w="0" w:type="auto"/>
            <w:tcBorders>
              <w:tl2br w:val="nil"/>
              <w:tr2bl w:val="nil"/>
            </w:tcBorders>
            <w:vAlign w:val="center"/>
          </w:tcPr>
          <w:p>
            <w:pPr>
              <w:pStyle w:val="45"/>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rFonts w:hint="eastAsia"/>
                <w:color w:val="auto"/>
              </w:rPr>
              <w:t>10</w:t>
            </w:r>
          </w:p>
        </w:tc>
        <w:tc>
          <w:tcPr>
            <w:tcW w:w="0" w:type="auto"/>
            <w:tcBorders>
              <w:tl2br w:val="nil"/>
              <w:tr2bl w:val="nil"/>
            </w:tcBorders>
            <w:vAlign w:val="center"/>
          </w:tcPr>
          <w:p>
            <w:pPr>
              <w:pStyle w:val="45"/>
              <w:rPr>
                <w:color w:val="auto"/>
              </w:rPr>
            </w:pPr>
            <w:r>
              <w:rPr>
                <w:rFonts w:hint="eastAsia"/>
                <w:color w:val="auto"/>
              </w:rPr>
              <w:t>2.95E-02</w:t>
            </w:r>
          </w:p>
        </w:tc>
        <w:tc>
          <w:tcPr>
            <w:tcW w:w="0" w:type="auto"/>
            <w:tcBorders>
              <w:tl2br w:val="nil"/>
              <w:tr2bl w:val="nil"/>
            </w:tcBorders>
            <w:vAlign w:val="center"/>
          </w:tcPr>
          <w:p>
            <w:pPr>
              <w:pStyle w:val="45"/>
              <w:rPr>
                <w:color w:val="auto"/>
              </w:rPr>
            </w:pPr>
            <w:r>
              <w:rPr>
                <w:rFonts w:hint="eastAsia"/>
                <w:color w:val="auto"/>
              </w:rPr>
              <w:t>0.01</w:t>
            </w:r>
          </w:p>
        </w:tc>
        <w:tc>
          <w:tcPr>
            <w:tcW w:w="0" w:type="auto"/>
            <w:tcBorders>
              <w:tl2br w:val="nil"/>
              <w:tr2bl w:val="nil"/>
            </w:tcBorders>
            <w:vAlign w:val="center"/>
          </w:tcPr>
          <w:p>
            <w:pPr>
              <w:pStyle w:val="45"/>
              <w:rPr>
                <w:color w:val="auto"/>
              </w:rPr>
            </w:pPr>
            <w:r>
              <w:rPr>
                <w:rFonts w:hint="eastAsia"/>
                <w:color w:val="auto"/>
              </w:rPr>
              <w:t>1.38E-01</w:t>
            </w:r>
          </w:p>
        </w:tc>
        <w:tc>
          <w:tcPr>
            <w:tcW w:w="0" w:type="auto"/>
            <w:tcBorders>
              <w:tl2br w:val="nil"/>
              <w:tr2bl w:val="nil"/>
            </w:tcBorders>
            <w:vAlign w:val="center"/>
          </w:tcPr>
          <w:p>
            <w:pPr>
              <w:pStyle w:val="45"/>
              <w:rPr>
                <w:color w:val="auto"/>
              </w:rPr>
            </w:pPr>
            <w:r>
              <w:rPr>
                <w:rFonts w:hint="eastAsia"/>
                <w:color w:val="auto"/>
              </w:rPr>
              <w:t>0.07</w:t>
            </w:r>
          </w:p>
        </w:tc>
        <w:tc>
          <w:tcPr>
            <w:tcW w:w="0" w:type="auto"/>
            <w:tcBorders>
              <w:tl2br w:val="nil"/>
              <w:tr2bl w:val="nil"/>
            </w:tcBorders>
            <w:vAlign w:val="center"/>
          </w:tcPr>
          <w:p>
            <w:pPr>
              <w:pStyle w:val="45"/>
              <w:rPr>
                <w:color w:val="auto"/>
              </w:rPr>
            </w:pPr>
            <w:r>
              <w:rPr>
                <w:rFonts w:hint="eastAsia"/>
                <w:color w:val="auto"/>
              </w:rPr>
              <w:t>1.64E-02</w:t>
            </w:r>
          </w:p>
        </w:tc>
        <w:tc>
          <w:tcPr>
            <w:tcW w:w="0" w:type="auto"/>
            <w:tcBorders>
              <w:tl2br w:val="nil"/>
              <w:tr2bl w:val="nil"/>
            </w:tcBorders>
            <w:vAlign w:val="center"/>
          </w:tcPr>
          <w:p>
            <w:pPr>
              <w:pStyle w:val="45"/>
              <w:rPr>
                <w:color w:val="auto"/>
              </w:rPr>
            </w:pPr>
            <w:r>
              <w:rPr>
                <w:rFonts w:hint="eastAsia"/>
                <w:color w:val="auto"/>
              </w:rPr>
              <w:t>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rFonts w:hint="eastAsia"/>
                <w:color w:val="auto"/>
              </w:rPr>
              <w:t>25</w:t>
            </w:r>
          </w:p>
        </w:tc>
        <w:tc>
          <w:tcPr>
            <w:tcW w:w="0" w:type="auto"/>
            <w:tcBorders>
              <w:tl2br w:val="nil"/>
              <w:tr2bl w:val="nil"/>
            </w:tcBorders>
            <w:vAlign w:val="center"/>
          </w:tcPr>
          <w:p>
            <w:pPr>
              <w:pStyle w:val="45"/>
              <w:rPr>
                <w:color w:val="auto"/>
              </w:rPr>
            </w:pPr>
            <w:r>
              <w:rPr>
                <w:rFonts w:hint="eastAsia"/>
                <w:color w:val="auto"/>
              </w:rPr>
              <w:t>6.98E-01</w:t>
            </w:r>
          </w:p>
        </w:tc>
        <w:tc>
          <w:tcPr>
            <w:tcW w:w="0" w:type="auto"/>
            <w:tcBorders>
              <w:tl2br w:val="nil"/>
              <w:tr2bl w:val="nil"/>
            </w:tcBorders>
            <w:vAlign w:val="center"/>
          </w:tcPr>
          <w:p>
            <w:pPr>
              <w:pStyle w:val="45"/>
              <w:rPr>
                <w:color w:val="auto"/>
              </w:rPr>
            </w:pPr>
            <w:r>
              <w:rPr>
                <w:rFonts w:hint="eastAsia"/>
                <w:color w:val="auto"/>
              </w:rPr>
              <w:t>0.14</w:t>
            </w:r>
          </w:p>
        </w:tc>
        <w:tc>
          <w:tcPr>
            <w:tcW w:w="0" w:type="auto"/>
            <w:tcBorders>
              <w:tl2br w:val="nil"/>
              <w:tr2bl w:val="nil"/>
            </w:tcBorders>
            <w:vAlign w:val="center"/>
          </w:tcPr>
          <w:p>
            <w:pPr>
              <w:pStyle w:val="45"/>
              <w:rPr>
                <w:color w:val="auto"/>
              </w:rPr>
            </w:pPr>
            <w:r>
              <w:rPr>
                <w:rFonts w:hint="eastAsia"/>
                <w:color w:val="auto"/>
              </w:rPr>
              <w:t>3.26E+00</w:t>
            </w:r>
          </w:p>
        </w:tc>
        <w:tc>
          <w:tcPr>
            <w:tcW w:w="0" w:type="auto"/>
            <w:tcBorders>
              <w:tl2br w:val="nil"/>
              <w:tr2bl w:val="nil"/>
            </w:tcBorders>
            <w:vAlign w:val="center"/>
          </w:tcPr>
          <w:p>
            <w:pPr>
              <w:pStyle w:val="45"/>
              <w:rPr>
                <w:color w:val="auto"/>
              </w:rPr>
            </w:pPr>
            <w:r>
              <w:rPr>
                <w:rFonts w:hint="eastAsia"/>
                <w:color w:val="auto"/>
              </w:rPr>
              <w:t>1.63</w:t>
            </w:r>
          </w:p>
        </w:tc>
        <w:tc>
          <w:tcPr>
            <w:tcW w:w="0" w:type="auto"/>
            <w:tcBorders>
              <w:tl2br w:val="nil"/>
              <w:tr2bl w:val="nil"/>
            </w:tcBorders>
            <w:vAlign w:val="center"/>
          </w:tcPr>
          <w:p>
            <w:pPr>
              <w:pStyle w:val="45"/>
              <w:rPr>
                <w:color w:val="auto"/>
              </w:rPr>
            </w:pPr>
            <w:r>
              <w:rPr>
                <w:rFonts w:hint="eastAsia"/>
                <w:color w:val="auto"/>
              </w:rPr>
              <w:t>3.88E-01</w:t>
            </w:r>
          </w:p>
        </w:tc>
        <w:tc>
          <w:tcPr>
            <w:tcW w:w="0" w:type="auto"/>
            <w:tcBorders>
              <w:tl2br w:val="nil"/>
              <w:tr2bl w:val="nil"/>
            </w:tcBorders>
            <w:vAlign w:val="center"/>
          </w:tcPr>
          <w:p>
            <w:pPr>
              <w:pStyle w:val="45"/>
              <w:rPr>
                <w:color w:val="auto"/>
              </w:rPr>
            </w:pPr>
            <w:r>
              <w:rPr>
                <w:rFonts w:hint="eastAsia"/>
                <w:color w:val="auto"/>
              </w:rPr>
              <w:t>0.09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rFonts w:hint="eastAsia"/>
                <w:color w:val="auto"/>
              </w:rPr>
              <w:t>46</w:t>
            </w:r>
          </w:p>
        </w:tc>
        <w:tc>
          <w:tcPr>
            <w:tcW w:w="0" w:type="auto"/>
            <w:tcBorders>
              <w:tl2br w:val="nil"/>
              <w:tr2bl w:val="nil"/>
            </w:tcBorders>
            <w:vAlign w:val="center"/>
          </w:tcPr>
          <w:p>
            <w:pPr>
              <w:pStyle w:val="45"/>
              <w:rPr>
                <w:color w:val="auto"/>
              </w:rPr>
            </w:pPr>
            <w:r>
              <w:rPr>
                <w:rFonts w:hint="eastAsia"/>
                <w:color w:val="auto"/>
              </w:rPr>
              <w:t>1.86E+00</w:t>
            </w:r>
          </w:p>
        </w:tc>
        <w:tc>
          <w:tcPr>
            <w:tcW w:w="0" w:type="auto"/>
            <w:tcBorders>
              <w:tl2br w:val="nil"/>
              <w:tr2bl w:val="nil"/>
            </w:tcBorders>
            <w:vAlign w:val="center"/>
          </w:tcPr>
          <w:p>
            <w:pPr>
              <w:pStyle w:val="45"/>
              <w:rPr>
                <w:color w:val="auto"/>
              </w:rPr>
            </w:pPr>
            <w:r>
              <w:rPr>
                <w:rFonts w:hint="eastAsia"/>
                <w:color w:val="auto"/>
              </w:rPr>
              <w:t>0.37</w:t>
            </w:r>
          </w:p>
        </w:tc>
        <w:tc>
          <w:tcPr>
            <w:tcW w:w="0" w:type="auto"/>
            <w:tcBorders>
              <w:tl2br w:val="nil"/>
              <w:tr2bl w:val="nil"/>
            </w:tcBorders>
            <w:vAlign w:val="center"/>
          </w:tcPr>
          <w:p>
            <w:pPr>
              <w:pStyle w:val="45"/>
              <w:rPr>
                <w:color w:val="auto"/>
              </w:rPr>
            </w:pPr>
            <w:r>
              <w:rPr>
                <w:rFonts w:hint="eastAsia"/>
                <w:color w:val="auto"/>
              </w:rPr>
              <w:t>8.67E+00</w:t>
            </w:r>
          </w:p>
        </w:tc>
        <w:tc>
          <w:tcPr>
            <w:tcW w:w="0" w:type="auto"/>
            <w:tcBorders>
              <w:tl2br w:val="nil"/>
              <w:tr2bl w:val="nil"/>
            </w:tcBorders>
            <w:vAlign w:val="center"/>
          </w:tcPr>
          <w:p>
            <w:pPr>
              <w:pStyle w:val="45"/>
              <w:rPr>
                <w:color w:val="auto"/>
              </w:rPr>
            </w:pPr>
            <w:r>
              <w:rPr>
                <w:rFonts w:hint="eastAsia"/>
                <w:color w:val="auto"/>
              </w:rPr>
              <w:t>4.34</w:t>
            </w:r>
          </w:p>
        </w:tc>
        <w:tc>
          <w:tcPr>
            <w:tcW w:w="0" w:type="auto"/>
            <w:tcBorders>
              <w:tl2br w:val="nil"/>
              <w:tr2bl w:val="nil"/>
            </w:tcBorders>
            <w:vAlign w:val="center"/>
          </w:tcPr>
          <w:p>
            <w:pPr>
              <w:pStyle w:val="45"/>
              <w:rPr>
                <w:color w:val="auto"/>
              </w:rPr>
            </w:pPr>
            <w:r>
              <w:rPr>
                <w:rFonts w:hint="eastAsia"/>
                <w:color w:val="auto"/>
              </w:rPr>
              <w:t>1.03E+00</w:t>
            </w:r>
          </w:p>
        </w:tc>
        <w:tc>
          <w:tcPr>
            <w:tcW w:w="0" w:type="auto"/>
            <w:tcBorders>
              <w:tl2br w:val="nil"/>
              <w:tr2bl w:val="nil"/>
            </w:tcBorders>
            <w:vAlign w:val="center"/>
          </w:tcPr>
          <w:p>
            <w:pPr>
              <w:pStyle w:val="45"/>
              <w:rPr>
                <w:color w:val="auto"/>
              </w:rPr>
            </w:pPr>
            <w:r>
              <w:rPr>
                <w:rFonts w:hint="eastAsia"/>
                <w:color w:val="auto"/>
              </w:rPr>
              <w:t>0.23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rFonts w:hint="eastAsia"/>
                <w:color w:val="auto"/>
              </w:rPr>
              <w:t>50</w:t>
            </w:r>
          </w:p>
        </w:tc>
        <w:tc>
          <w:tcPr>
            <w:tcW w:w="0" w:type="auto"/>
            <w:tcBorders>
              <w:tl2br w:val="nil"/>
              <w:tr2bl w:val="nil"/>
            </w:tcBorders>
            <w:vAlign w:val="center"/>
          </w:tcPr>
          <w:p>
            <w:pPr>
              <w:pStyle w:val="45"/>
              <w:rPr>
                <w:color w:val="auto"/>
              </w:rPr>
            </w:pPr>
            <w:r>
              <w:rPr>
                <w:rFonts w:hint="eastAsia"/>
                <w:color w:val="auto"/>
              </w:rPr>
              <w:t>1.84E+00</w:t>
            </w:r>
          </w:p>
        </w:tc>
        <w:tc>
          <w:tcPr>
            <w:tcW w:w="0" w:type="auto"/>
            <w:tcBorders>
              <w:tl2br w:val="nil"/>
              <w:tr2bl w:val="nil"/>
            </w:tcBorders>
            <w:vAlign w:val="center"/>
          </w:tcPr>
          <w:p>
            <w:pPr>
              <w:pStyle w:val="45"/>
              <w:rPr>
                <w:color w:val="auto"/>
              </w:rPr>
            </w:pPr>
            <w:r>
              <w:rPr>
                <w:rFonts w:hint="eastAsia"/>
                <w:color w:val="auto"/>
              </w:rPr>
              <w:t>0.37</w:t>
            </w:r>
          </w:p>
        </w:tc>
        <w:tc>
          <w:tcPr>
            <w:tcW w:w="0" w:type="auto"/>
            <w:tcBorders>
              <w:tl2br w:val="nil"/>
              <w:tr2bl w:val="nil"/>
            </w:tcBorders>
            <w:vAlign w:val="center"/>
          </w:tcPr>
          <w:p>
            <w:pPr>
              <w:pStyle w:val="45"/>
              <w:rPr>
                <w:color w:val="auto"/>
              </w:rPr>
            </w:pPr>
            <w:r>
              <w:rPr>
                <w:rFonts w:hint="eastAsia"/>
                <w:color w:val="auto"/>
              </w:rPr>
              <w:t>8.57E+00</w:t>
            </w:r>
          </w:p>
        </w:tc>
        <w:tc>
          <w:tcPr>
            <w:tcW w:w="0" w:type="auto"/>
            <w:tcBorders>
              <w:tl2br w:val="nil"/>
              <w:tr2bl w:val="nil"/>
            </w:tcBorders>
            <w:vAlign w:val="center"/>
          </w:tcPr>
          <w:p>
            <w:pPr>
              <w:pStyle w:val="45"/>
              <w:rPr>
                <w:color w:val="auto"/>
              </w:rPr>
            </w:pPr>
            <w:r>
              <w:rPr>
                <w:rFonts w:hint="eastAsia"/>
                <w:color w:val="auto"/>
              </w:rPr>
              <w:t>4.29</w:t>
            </w:r>
          </w:p>
        </w:tc>
        <w:tc>
          <w:tcPr>
            <w:tcW w:w="0" w:type="auto"/>
            <w:tcBorders>
              <w:tl2br w:val="nil"/>
              <w:tr2bl w:val="nil"/>
            </w:tcBorders>
            <w:vAlign w:val="center"/>
          </w:tcPr>
          <w:p>
            <w:pPr>
              <w:pStyle w:val="45"/>
              <w:rPr>
                <w:color w:val="auto"/>
              </w:rPr>
            </w:pPr>
            <w:r>
              <w:rPr>
                <w:rFonts w:hint="eastAsia"/>
                <w:color w:val="auto"/>
              </w:rPr>
              <w:t>1.02E+00</w:t>
            </w:r>
          </w:p>
        </w:tc>
        <w:tc>
          <w:tcPr>
            <w:tcW w:w="0" w:type="auto"/>
            <w:tcBorders>
              <w:tl2br w:val="nil"/>
              <w:tr2bl w:val="nil"/>
            </w:tcBorders>
            <w:vAlign w:val="center"/>
          </w:tcPr>
          <w:p>
            <w:pPr>
              <w:pStyle w:val="45"/>
              <w:rPr>
                <w:color w:val="auto"/>
              </w:rPr>
            </w:pPr>
            <w:r>
              <w:rPr>
                <w:rFonts w:hint="eastAsia"/>
                <w:color w:val="auto"/>
              </w:rPr>
              <w:t>0.23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rFonts w:hint="eastAsia"/>
                <w:color w:val="auto"/>
              </w:rPr>
              <w:t>75</w:t>
            </w:r>
          </w:p>
        </w:tc>
        <w:tc>
          <w:tcPr>
            <w:tcW w:w="0" w:type="auto"/>
            <w:tcBorders>
              <w:tl2br w:val="nil"/>
              <w:tr2bl w:val="nil"/>
            </w:tcBorders>
            <w:vAlign w:val="center"/>
          </w:tcPr>
          <w:p>
            <w:pPr>
              <w:pStyle w:val="45"/>
              <w:rPr>
                <w:color w:val="auto"/>
              </w:rPr>
            </w:pPr>
            <w:r>
              <w:rPr>
                <w:rFonts w:hint="eastAsia"/>
                <w:color w:val="auto"/>
              </w:rPr>
              <w:t>1.40E+00</w:t>
            </w:r>
          </w:p>
        </w:tc>
        <w:tc>
          <w:tcPr>
            <w:tcW w:w="0" w:type="auto"/>
            <w:tcBorders>
              <w:tl2br w:val="nil"/>
              <w:tr2bl w:val="nil"/>
            </w:tcBorders>
            <w:vAlign w:val="center"/>
          </w:tcPr>
          <w:p>
            <w:pPr>
              <w:pStyle w:val="45"/>
              <w:rPr>
                <w:color w:val="auto"/>
              </w:rPr>
            </w:pPr>
            <w:r>
              <w:rPr>
                <w:rFonts w:hint="eastAsia"/>
                <w:color w:val="auto"/>
              </w:rPr>
              <w:t>0.28</w:t>
            </w:r>
          </w:p>
        </w:tc>
        <w:tc>
          <w:tcPr>
            <w:tcW w:w="0" w:type="auto"/>
            <w:tcBorders>
              <w:tl2br w:val="nil"/>
              <w:tr2bl w:val="nil"/>
            </w:tcBorders>
            <w:vAlign w:val="center"/>
          </w:tcPr>
          <w:p>
            <w:pPr>
              <w:pStyle w:val="45"/>
              <w:rPr>
                <w:color w:val="auto"/>
              </w:rPr>
            </w:pPr>
            <w:r>
              <w:rPr>
                <w:rFonts w:hint="eastAsia"/>
                <w:color w:val="auto"/>
              </w:rPr>
              <w:t>6.55E+00</w:t>
            </w:r>
          </w:p>
        </w:tc>
        <w:tc>
          <w:tcPr>
            <w:tcW w:w="0" w:type="auto"/>
            <w:tcBorders>
              <w:tl2br w:val="nil"/>
              <w:tr2bl w:val="nil"/>
            </w:tcBorders>
            <w:vAlign w:val="center"/>
          </w:tcPr>
          <w:p>
            <w:pPr>
              <w:pStyle w:val="45"/>
              <w:rPr>
                <w:color w:val="auto"/>
              </w:rPr>
            </w:pPr>
            <w:r>
              <w:rPr>
                <w:rFonts w:hint="eastAsia"/>
                <w:color w:val="auto"/>
              </w:rPr>
              <w:t>3.28</w:t>
            </w:r>
          </w:p>
        </w:tc>
        <w:tc>
          <w:tcPr>
            <w:tcW w:w="0" w:type="auto"/>
            <w:tcBorders>
              <w:tl2br w:val="nil"/>
              <w:tr2bl w:val="nil"/>
            </w:tcBorders>
            <w:vAlign w:val="center"/>
          </w:tcPr>
          <w:p>
            <w:pPr>
              <w:pStyle w:val="45"/>
              <w:rPr>
                <w:color w:val="auto"/>
              </w:rPr>
            </w:pPr>
            <w:r>
              <w:rPr>
                <w:rFonts w:hint="eastAsia"/>
                <w:color w:val="auto"/>
              </w:rPr>
              <w:t>7.80E-01</w:t>
            </w:r>
          </w:p>
        </w:tc>
        <w:tc>
          <w:tcPr>
            <w:tcW w:w="0" w:type="auto"/>
            <w:tcBorders>
              <w:tl2br w:val="nil"/>
              <w:tr2bl w:val="nil"/>
            </w:tcBorders>
            <w:vAlign w:val="center"/>
          </w:tcPr>
          <w:p>
            <w:pPr>
              <w:pStyle w:val="45"/>
              <w:rPr>
                <w:color w:val="auto"/>
              </w:rPr>
            </w:pPr>
            <w:r>
              <w:rPr>
                <w:rFonts w:hint="eastAsia"/>
                <w:color w:val="auto"/>
              </w:rPr>
              <w:t>0.17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rFonts w:hint="eastAsia"/>
                <w:color w:val="auto"/>
              </w:rPr>
              <w:t>100</w:t>
            </w:r>
          </w:p>
        </w:tc>
        <w:tc>
          <w:tcPr>
            <w:tcW w:w="0" w:type="auto"/>
            <w:tcBorders>
              <w:tl2br w:val="nil"/>
              <w:tr2bl w:val="nil"/>
            </w:tcBorders>
            <w:vAlign w:val="center"/>
          </w:tcPr>
          <w:p>
            <w:pPr>
              <w:pStyle w:val="45"/>
              <w:rPr>
                <w:color w:val="auto"/>
              </w:rPr>
            </w:pPr>
            <w:r>
              <w:rPr>
                <w:rFonts w:hint="eastAsia"/>
                <w:color w:val="auto"/>
              </w:rPr>
              <w:t>1.08E+00</w:t>
            </w:r>
          </w:p>
        </w:tc>
        <w:tc>
          <w:tcPr>
            <w:tcW w:w="0" w:type="auto"/>
            <w:tcBorders>
              <w:tl2br w:val="nil"/>
              <w:tr2bl w:val="nil"/>
            </w:tcBorders>
            <w:vAlign w:val="center"/>
          </w:tcPr>
          <w:p>
            <w:pPr>
              <w:pStyle w:val="45"/>
              <w:rPr>
                <w:color w:val="auto"/>
              </w:rPr>
            </w:pPr>
            <w:r>
              <w:rPr>
                <w:rFonts w:hint="eastAsia"/>
                <w:color w:val="auto"/>
              </w:rPr>
              <w:t>0.22</w:t>
            </w:r>
          </w:p>
        </w:tc>
        <w:tc>
          <w:tcPr>
            <w:tcW w:w="0" w:type="auto"/>
            <w:tcBorders>
              <w:tl2br w:val="nil"/>
              <w:tr2bl w:val="nil"/>
            </w:tcBorders>
            <w:vAlign w:val="center"/>
          </w:tcPr>
          <w:p>
            <w:pPr>
              <w:pStyle w:val="45"/>
              <w:rPr>
                <w:color w:val="auto"/>
              </w:rPr>
            </w:pPr>
            <w:r>
              <w:rPr>
                <w:rFonts w:hint="eastAsia"/>
                <w:color w:val="auto"/>
              </w:rPr>
              <w:t>5.03E+00</w:t>
            </w:r>
          </w:p>
        </w:tc>
        <w:tc>
          <w:tcPr>
            <w:tcW w:w="0" w:type="auto"/>
            <w:tcBorders>
              <w:tl2br w:val="nil"/>
              <w:tr2bl w:val="nil"/>
            </w:tcBorders>
            <w:vAlign w:val="center"/>
          </w:tcPr>
          <w:p>
            <w:pPr>
              <w:pStyle w:val="45"/>
              <w:rPr>
                <w:color w:val="auto"/>
              </w:rPr>
            </w:pPr>
            <w:r>
              <w:rPr>
                <w:rFonts w:hint="eastAsia"/>
                <w:color w:val="auto"/>
              </w:rPr>
              <w:t>2.51</w:t>
            </w:r>
          </w:p>
        </w:tc>
        <w:tc>
          <w:tcPr>
            <w:tcW w:w="0" w:type="auto"/>
            <w:tcBorders>
              <w:tl2br w:val="nil"/>
              <w:tr2bl w:val="nil"/>
            </w:tcBorders>
            <w:vAlign w:val="center"/>
          </w:tcPr>
          <w:p>
            <w:pPr>
              <w:pStyle w:val="45"/>
              <w:rPr>
                <w:color w:val="auto"/>
              </w:rPr>
            </w:pPr>
            <w:r>
              <w:rPr>
                <w:rFonts w:hint="eastAsia"/>
                <w:color w:val="auto"/>
              </w:rPr>
              <w:t>5.99E-01</w:t>
            </w:r>
          </w:p>
        </w:tc>
        <w:tc>
          <w:tcPr>
            <w:tcW w:w="0" w:type="auto"/>
            <w:tcBorders>
              <w:tl2br w:val="nil"/>
              <w:tr2bl w:val="nil"/>
            </w:tcBorders>
            <w:vAlign w:val="center"/>
          </w:tcPr>
          <w:p>
            <w:pPr>
              <w:pStyle w:val="45"/>
              <w:rPr>
                <w:color w:val="auto"/>
              </w:rPr>
            </w:pPr>
            <w:r>
              <w:rPr>
                <w:rFonts w:hint="eastAsia"/>
                <w:color w:val="auto"/>
              </w:rPr>
              <w:t>0.13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szCs w:val="24"/>
              </w:rPr>
            </w:pPr>
            <w:r>
              <w:rPr>
                <w:rFonts w:hint="eastAsia"/>
                <w:color w:val="auto"/>
              </w:rPr>
              <w:t>125</w:t>
            </w:r>
          </w:p>
        </w:tc>
        <w:tc>
          <w:tcPr>
            <w:tcW w:w="0" w:type="auto"/>
            <w:tcBorders>
              <w:tl2br w:val="nil"/>
              <w:tr2bl w:val="nil"/>
            </w:tcBorders>
            <w:vAlign w:val="center"/>
          </w:tcPr>
          <w:p>
            <w:pPr>
              <w:pStyle w:val="45"/>
              <w:rPr>
                <w:color w:val="auto"/>
              </w:rPr>
            </w:pPr>
            <w:r>
              <w:rPr>
                <w:rFonts w:hint="eastAsia"/>
                <w:color w:val="auto"/>
              </w:rPr>
              <w:t>8.42E-01</w:t>
            </w:r>
          </w:p>
        </w:tc>
        <w:tc>
          <w:tcPr>
            <w:tcW w:w="0" w:type="auto"/>
            <w:tcBorders>
              <w:tl2br w:val="nil"/>
              <w:tr2bl w:val="nil"/>
            </w:tcBorders>
            <w:vAlign w:val="center"/>
          </w:tcPr>
          <w:p>
            <w:pPr>
              <w:pStyle w:val="45"/>
              <w:rPr>
                <w:color w:val="auto"/>
              </w:rPr>
            </w:pPr>
            <w:r>
              <w:rPr>
                <w:rFonts w:hint="eastAsia"/>
                <w:color w:val="auto"/>
              </w:rPr>
              <w:t>0.17</w:t>
            </w:r>
          </w:p>
        </w:tc>
        <w:tc>
          <w:tcPr>
            <w:tcW w:w="0" w:type="auto"/>
            <w:tcBorders>
              <w:tl2br w:val="nil"/>
              <w:tr2bl w:val="nil"/>
            </w:tcBorders>
            <w:vAlign w:val="center"/>
          </w:tcPr>
          <w:p>
            <w:pPr>
              <w:pStyle w:val="45"/>
              <w:rPr>
                <w:color w:val="auto"/>
              </w:rPr>
            </w:pPr>
            <w:r>
              <w:rPr>
                <w:rFonts w:hint="eastAsia"/>
                <w:color w:val="auto"/>
              </w:rPr>
              <w:t>3.93E+00</w:t>
            </w:r>
          </w:p>
        </w:tc>
        <w:tc>
          <w:tcPr>
            <w:tcW w:w="0" w:type="auto"/>
            <w:tcBorders>
              <w:tl2br w:val="nil"/>
              <w:tr2bl w:val="nil"/>
            </w:tcBorders>
            <w:vAlign w:val="center"/>
          </w:tcPr>
          <w:p>
            <w:pPr>
              <w:pStyle w:val="45"/>
              <w:rPr>
                <w:color w:val="auto"/>
              </w:rPr>
            </w:pPr>
            <w:r>
              <w:rPr>
                <w:rFonts w:hint="eastAsia"/>
                <w:color w:val="auto"/>
              </w:rPr>
              <w:t>1.96</w:t>
            </w:r>
          </w:p>
        </w:tc>
        <w:tc>
          <w:tcPr>
            <w:tcW w:w="0" w:type="auto"/>
            <w:tcBorders>
              <w:tl2br w:val="nil"/>
              <w:tr2bl w:val="nil"/>
            </w:tcBorders>
            <w:vAlign w:val="center"/>
          </w:tcPr>
          <w:p>
            <w:pPr>
              <w:pStyle w:val="45"/>
              <w:rPr>
                <w:color w:val="auto"/>
              </w:rPr>
            </w:pPr>
            <w:r>
              <w:rPr>
                <w:rFonts w:hint="eastAsia"/>
                <w:color w:val="auto"/>
              </w:rPr>
              <w:t>4.68E-01</w:t>
            </w:r>
          </w:p>
        </w:tc>
        <w:tc>
          <w:tcPr>
            <w:tcW w:w="0" w:type="auto"/>
            <w:tcBorders>
              <w:tl2br w:val="nil"/>
              <w:tr2bl w:val="nil"/>
            </w:tcBorders>
            <w:vAlign w:val="center"/>
          </w:tcPr>
          <w:p>
            <w:pPr>
              <w:pStyle w:val="45"/>
              <w:rPr>
                <w:color w:val="auto"/>
              </w:rPr>
            </w:pPr>
            <w:r>
              <w:rPr>
                <w:rFonts w:hint="eastAsia"/>
                <w:color w:val="auto"/>
              </w:rPr>
              <w:t>0.10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rFonts w:hint="eastAsia"/>
                <w:color w:val="auto"/>
              </w:rPr>
              <w:t>150</w:t>
            </w:r>
          </w:p>
        </w:tc>
        <w:tc>
          <w:tcPr>
            <w:tcW w:w="0" w:type="auto"/>
            <w:tcBorders>
              <w:tl2br w:val="nil"/>
              <w:tr2bl w:val="nil"/>
            </w:tcBorders>
            <w:vAlign w:val="center"/>
          </w:tcPr>
          <w:p>
            <w:pPr>
              <w:pStyle w:val="45"/>
              <w:rPr>
                <w:color w:val="auto"/>
              </w:rPr>
            </w:pPr>
            <w:r>
              <w:rPr>
                <w:rFonts w:hint="eastAsia"/>
                <w:color w:val="auto"/>
              </w:rPr>
              <w:t>6.60E-01</w:t>
            </w:r>
          </w:p>
        </w:tc>
        <w:tc>
          <w:tcPr>
            <w:tcW w:w="0" w:type="auto"/>
            <w:tcBorders>
              <w:tl2br w:val="nil"/>
              <w:tr2bl w:val="nil"/>
            </w:tcBorders>
            <w:vAlign w:val="center"/>
          </w:tcPr>
          <w:p>
            <w:pPr>
              <w:pStyle w:val="45"/>
              <w:rPr>
                <w:color w:val="auto"/>
              </w:rPr>
            </w:pPr>
            <w:r>
              <w:rPr>
                <w:rFonts w:hint="eastAsia"/>
                <w:color w:val="auto"/>
              </w:rPr>
              <w:t>0.13</w:t>
            </w:r>
          </w:p>
        </w:tc>
        <w:tc>
          <w:tcPr>
            <w:tcW w:w="0" w:type="auto"/>
            <w:tcBorders>
              <w:tl2br w:val="nil"/>
              <w:tr2bl w:val="nil"/>
            </w:tcBorders>
            <w:vAlign w:val="center"/>
          </w:tcPr>
          <w:p>
            <w:pPr>
              <w:pStyle w:val="45"/>
              <w:rPr>
                <w:color w:val="auto"/>
              </w:rPr>
            </w:pPr>
            <w:r>
              <w:rPr>
                <w:rFonts w:hint="eastAsia"/>
                <w:color w:val="auto"/>
              </w:rPr>
              <w:t>3.08E+00</w:t>
            </w:r>
          </w:p>
        </w:tc>
        <w:tc>
          <w:tcPr>
            <w:tcW w:w="0" w:type="auto"/>
            <w:tcBorders>
              <w:tl2br w:val="nil"/>
              <w:tr2bl w:val="nil"/>
            </w:tcBorders>
            <w:vAlign w:val="center"/>
          </w:tcPr>
          <w:p>
            <w:pPr>
              <w:pStyle w:val="45"/>
              <w:rPr>
                <w:color w:val="auto"/>
              </w:rPr>
            </w:pPr>
            <w:r>
              <w:rPr>
                <w:rFonts w:hint="eastAsia"/>
                <w:color w:val="auto"/>
              </w:rPr>
              <w:t>1.54</w:t>
            </w:r>
          </w:p>
        </w:tc>
        <w:tc>
          <w:tcPr>
            <w:tcW w:w="0" w:type="auto"/>
            <w:tcBorders>
              <w:tl2br w:val="nil"/>
              <w:tr2bl w:val="nil"/>
            </w:tcBorders>
            <w:vAlign w:val="center"/>
          </w:tcPr>
          <w:p>
            <w:pPr>
              <w:pStyle w:val="45"/>
              <w:rPr>
                <w:color w:val="auto"/>
              </w:rPr>
            </w:pPr>
            <w:r>
              <w:rPr>
                <w:rFonts w:hint="eastAsia"/>
                <w:color w:val="auto"/>
              </w:rPr>
              <w:t>3.67E-01</w:t>
            </w:r>
          </w:p>
        </w:tc>
        <w:tc>
          <w:tcPr>
            <w:tcW w:w="0" w:type="auto"/>
            <w:tcBorders>
              <w:tl2br w:val="nil"/>
              <w:tr2bl w:val="nil"/>
            </w:tcBorders>
            <w:vAlign w:val="center"/>
          </w:tcPr>
          <w:p>
            <w:pPr>
              <w:pStyle w:val="45"/>
              <w:rPr>
                <w:color w:val="auto"/>
              </w:rPr>
            </w:pPr>
            <w:r>
              <w:rPr>
                <w:rFonts w:hint="eastAsia"/>
                <w:color w:val="auto"/>
              </w:rPr>
              <w:t>0.08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rFonts w:hint="eastAsia"/>
                <w:color w:val="auto"/>
              </w:rPr>
              <w:t>175</w:t>
            </w:r>
          </w:p>
        </w:tc>
        <w:tc>
          <w:tcPr>
            <w:tcW w:w="0" w:type="auto"/>
            <w:tcBorders>
              <w:tl2br w:val="nil"/>
              <w:tr2bl w:val="nil"/>
            </w:tcBorders>
            <w:vAlign w:val="center"/>
          </w:tcPr>
          <w:p>
            <w:pPr>
              <w:pStyle w:val="45"/>
              <w:rPr>
                <w:color w:val="auto"/>
              </w:rPr>
            </w:pPr>
            <w:r>
              <w:rPr>
                <w:rFonts w:hint="eastAsia"/>
                <w:color w:val="auto"/>
              </w:rPr>
              <w:t>5.70E-01</w:t>
            </w:r>
          </w:p>
        </w:tc>
        <w:tc>
          <w:tcPr>
            <w:tcW w:w="0" w:type="auto"/>
            <w:tcBorders>
              <w:tl2br w:val="nil"/>
              <w:tr2bl w:val="nil"/>
            </w:tcBorders>
            <w:vAlign w:val="center"/>
          </w:tcPr>
          <w:p>
            <w:pPr>
              <w:pStyle w:val="45"/>
              <w:rPr>
                <w:color w:val="auto"/>
              </w:rPr>
            </w:pPr>
            <w:r>
              <w:rPr>
                <w:rFonts w:hint="eastAsia"/>
                <w:color w:val="auto"/>
              </w:rPr>
              <w:t>0.11</w:t>
            </w:r>
          </w:p>
        </w:tc>
        <w:tc>
          <w:tcPr>
            <w:tcW w:w="0" w:type="auto"/>
            <w:tcBorders>
              <w:tl2br w:val="nil"/>
              <w:tr2bl w:val="nil"/>
            </w:tcBorders>
            <w:vAlign w:val="center"/>
          </w:tcPr>
          <w:p>
            <w:pPr>
              <w:pStyle w:val="45"/>
              <w:rPr>
                <w:color w:val="auto"/>
              </w:rPr>
            </w:pPr>
            <w:r>
              <w:rPr>
                <w:rFonts w:hint="eastAsia"/>
                <w:color w:val="auto"/>
              </w:rPr>
              <w:t>2.66E+00</w:t>
            </w:r>
          </w:p>
        </w:tc>
        <w:tc>
          <w:tcPr>
            <w:tcW w:w="0" w:type="auto"/>
            <w:tcBorders>
              <w:tl2br w:val="nil"/>
              <w:tr2bl w:val="nil"/>
            </w:tcBorders>
            <w:vAlign w:val="center"/>
          </w:tcPr>
          <w:p>
            <w:pPr>
              <w:pStyle w:val="45"/>
              <w:rPr>
                <w:color w:val="auto"/>
              </w:rPr>
            </w:pPr>
            <w:r>
              <w:rPr>
                <w:rFonts w:hint="eastAsia"/>
                <w:color w:val="auto"/>
              </w:rPr>
              <w:t>1.33</w:t>
            </w:r>
          </w:p>
        </w:tc>
        <w:tc>
          <w:tcPr>
            <w:tcW w:w="0" w:type="auto"/>
            <w:tcBorders>
              <w:tl2br w:val="nil"/>
              <w:tr2bl w:val="nil"/>
            </w:tcBorders>
            <w:vAlign w:val="center"/>
          </w:tcPr>
          <w:p>
            <w:pPr>
              <w:pStyle w:val="45"/>
              <w:rPr>
                <w:color w:val="auto"/>
              </w:rPr>
            </w:pPr>
            <w:r>
              <w:rPr>
                <w:rFonts w:hint="eastAsia"/>
                <w:color w:val="auto"/>
              </w:rPr>
              <w:t>3.17E-01</w:t>
            </w:r>
          </w:p>
        </w:tc>
        <w:tc>
          <w:tcPr>
            <w:tcW w:w="0" w:type="auto"/>
            <w:tcBorders>
              <w:tl2br w:val="nil"/>
              <w:tr2bl w:val="nil"/>
            </w:tcBorders>
            <w:vAlign w:val="center"/>
          </w:tcPr>
          <w:p>
            <w:pPr>
              <w:pStyle w:val="45"/>
              <w:rPr>
                <w:color w:val="auto"/>
              </w:rPr>
            </w:pPr>
            <w:r>
              <w:rPr>
                <w:rFonts w:hint="eastAsia"/>
                <w:color w:val="auto"/>
              </w:rPr>
              <w:t>0.07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rFonts w:hint="eastAsia"/>
                <w:color w:val="auto"/>
              </w:rPr>
              <w:t>200</w:t>
            </w:r>
          </w:p>
        </w:tc>
        <w:tc>
          <w:tcPr>
            <w:tcW w:w="0" w:type="auto"/>
            <w:tcBorders>
              <w:tl2br w:val="nil"/>
              <w:tr2bl w:val="nil"/>
            </w:tcBorders>
            <w:vAlign w:val="center"/>
          </w:tcPr>
          <w:p>
            <w:pPr>
              <w:pStyle w:val="45"/>
              <w:rPr>
                <w:color w:val="auto"/>
              </w:rPr>
            </w:pPr>
            <w:r>
              <w:rPr>
                <w:rFonts w:hint="eastAsia"/>
                <w:color w:val="auto"/>
              </w:rPr>
              <w:t>7.10E-01</w:t>
            </w:r>
          </w:p>
        </w:tc>
        <w:tc>
          <w:tcPr>
            <w:tcW w:w="0" w:type="auto"/>
            <w:tcBorders>
              <w:tl2br w:val="nil"/>
              <w:tr2bl w:val="nil"/>
            </w:tcBorders>
            <w:vAlign w:val="center"/>
          </w:tcPr>
          <w:p>
            <w:pPr>
              <w:pStyle w:val="45"/>
              <w:rPr>
                <w:color w:val="auto"/>
              </w:rPr>
            </w:pPr>
            <w:r>
              <w:rPr>
                <w:rFonts w:hint="eastAsia"/>
                <w:color w:val="auto"/>
              </w:rPr>
              <w:t>0.14</w:t>
            </w:r>
          </w:p>
        </w:tc>
        <w:tc>
          <w:tcPr>
            <w:tcW w:w="0" w:type="auto"/>
            <w:tcBorders>
              <w:tl2br w:val="nil"/>
              <w:tr2bl w:val="nil"/>
            </w:tcBorders>
            <w:vAlign w:val="center"/>
          </w:tcPr>
          <w:p>
            <w:pPr>
              <w:pStyle w:val="45"/>
              <w:rPr>
                <w:color w:val="auto"/>
              </w:rPr>
            </w:pPr>
            <w:r>
              <w:rPr>
                <w:rFonts w:hint="eastAsia"/>
                <w:color w:val="auto"/>
              </w:rPr>
              <w:t>3.31E+00</w:t>
            </w:r>
          </w:p>
        </w:tc>
        <w:tc>
          <w:tcPr>
            <w:tcW w:w="0" w:type="auto"/>
            <w:tcBorders>
              <w:tl2br w:val="nil"/>
              <w:tr2bl w:val="nil"/>
            </w:tcBorders>
            <w:vAlign w:val="center"/>
          </w:tcPr>
          <w:p>
            <w:pPr>
              <w:pStyle w:val="45"/>
              <w:rPr>
                <w:color w:val="auto"/>
              </w:rPr>
            </w:pPr>
            <w:r>
              <w:rPr>
                <w:rFonts w:hint="eastAsia"/>
                <w:color w:val="auto"/>
              </w:rPr>
              <w:t>1.66</w:t>
            </w:r>
          </w:p>
        </w:tc>
        <w:tc>
          <w:tcPr>
            <w:tcW w:w="0" w:type="auto"/>
            <w:tcBorders>
              <w:tl2br w:val="nil"/>
              <w:tr2bl w:val="nil"/>
            </w:tcBorders>
            <w:vAlign w:val="center"/>
          </w:tcPr>
          <w:p>
            <w:pPr>
              <w:pStyle w:val="45"/>
              <w:rPr>
                <w:color w:val="auto"/>
              </w:rPr>
            </w:pPr>
            <w:r>
              <w:rPr>
                <w:rFonts w:hint="eastAsia"/>
                <w:color w:val="auto"/>
              </w:rPr>
              <w:t>3.94E-01</w:t>
            </w:r>
          </w:p>
        </w:tc>
        <w:tc>
          <w:tcPr>
            <w:tcW w:w="0" w:type="auto"/>
            <w:tcBorders>
              <w:tl2br w:val="nil"/>
              <w:tr2bl w:val="nil"/>
            </w:tcBorders>
            <w:vAlign w:val="center"/>
          </w:tcPr>
          <w:p>
            <w:pPr>
              <w:pStyle w:val="45"/>
              <w:rPr>
                <w:color w:val="auto"/>
              </w:rPr>
            </w:pPr>
            <w:r>
              <w:rPr>
                <w:rFonts w:hint="eastAsia"/>
                <w:color w:val="auto"/>
              </w:rPr>
              <w:t>0.09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rFonts w:hint="eastAsia"/>
                <w:color w:val="auto"/>
              </w:rPr>
              <w:t>225</w:t>
            </w:r>
          </w:p>
        </w:tc>
        <w:tc>
          <w:tcPr>
            <w:tcW w:w="0" w:type="auto"/>
            <w:tcBorders>
              <w:tl2br w:val="nil"/>
              <w:tr2bl w:val="nil"/>
            </w:tcBorders>
            <w:vAlign w:val="center"/>
          </w:tcPr>
          <w:p>
            <w:pPr>
              <w:pStyle w:val="45"/>
              <w:rPr>
                <w:color w:val="auto"/>
              </w:rPr>
            </w:pPr>
            <w:r>
              <w:rPr>
                <w:rFonts w:hint="eastAsia"/>
                <w:color w:val="auto"/>
              </w:rPr>
              <w:t>6.50E-01</w:t>
            </w:r>
          </w:p>
        </w:tc>
        <w:tc>
          <w:tcPr>
            <w:tcW w:w="0" w:type="auto"/>
            <w:tcBorders>
              <w:tl2br w:val="nil"/>
              <w:tr2bl w:val="nil"/>
            </w:tcBorders>
            <w:vAlign w:val="center"/>
          </w:tcPr>
          <w:p>
            <w:pPr>
              <w:pStyle w:val="45"/>
              <w:rPr>
                <w:color w:val="auto"/>
              </w:rPr>
            </w:pPr>
            <w:r>
              <w:rPr>
                <w:rFonts w:hint="eastAsia"/>
                <w:color w:val="auto"/>
              </w:rPr>
              <w:t>0.13</w:t>
            </w:r>
          </w:p>
        </w:tc>
        <w:tc>
          <w:tcPr>
            <w:tcW w:w="0" w:type="auto"/>
            <w:tcBorders>
              <w:tl2br w:val="nil"/>
              <w:tr2bl w:val="nil"/>
            </w:tcBorders>
            <w:vAlign w:val="center"/>
          </w:tcPr>
          <w:p>
            <w:pPr>
              <w:pStyle w:val="45"/>
              <w:rPr>
                <w:color w:val="auto"/>
              </w:rPr>
            </w:pPr>
            <w:r>
              <w:rPr>
                <w:rFonts w:hint="eastAsia"/>
                <w:color w:val="auto"/>
              </w:rPr>
              <w:t>3.04E+00</w:t>
            </w:r>
          </w:p>
        </w:tc>
        <w:tc>
          <w:tcPr>
            <w:tcW w:w="0" w:type="auto"/>
            <w:tcBorders>
              <w:tl2br w:val="nil"/>
              <w:tr2bl w:val="nil"/>
            </w:tcBorders>
            <w:vAlign w:val="center"/>
          </w:tcPr>
          <w:p>
            <w:pPr>
              <w:pStyle w:val="45"/>
              <w:rPr>
                <w:color w:val="auto"/>
              </w:rPr>
            </w:pPr>
            <w:r>
              <w:rPr>
                <w:rFonts w:hint="eastAsia"/>
                <w:color w:val="auto"/>
              </w:rPr>
              <w:t>1.52</w:t>
            </w:r>
          </w:p>
        </w:tc>
        <w:tc>
          <w:tcPr>
            <w:tcW w:w="0" w:type="auto"/>
            <w:tcBorders>
              <w:tl2br w:val="nil"/>
              <w:tr2bl w:val="nil"/>
            </w:tcBorders>
            <w:vAlign w:val="center"/>
          </w:tcPr>
          <w:p>
            <w:pPr>
              <w:pStyle w:val="45"/>
              <w:rPr>
                <w:color w:val="auto"/>
              </w:rPr>
            </w:pPr>
            <w:r>
              <w:rPr>
                <w:rFonts w:hint="eastAsia"/>
                <w:color w:val="auto"/>
              </w:rPr>
              <w:t>3.61E-01</w:t>
            </w:r>
          </w:p>
        </w:tc>
        <w:tc>
          <w:tcPr>
            <w:tcW w:w="0" w:type="auto"/>
            <w:tcBorders>
              <w:tl2br w:val="nil"/>
              <w:tr2bl w:val="nil"/>
            </w:tcBorders>
            <w:vAlign w:val="center"/>
          </w:tcPr>
          <w:p>
            <w:pPr>
              <w:pStyle w:val="45"/>
              <w:rPr>
                <w:color w:val="auto"/>
              </w:rPr>
            </w:pPr>
            <w:r>
              <w:rPr>
                <w:rFonts w:hint="eastAsia"/>
                <w:color w:val="auto"/>
              </w:rPr>
              <w:t>0.08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rFonts w:hint="eastAsia"/>
                <w:color w:val="auto"/>
              </w:rPr>
              <w:t>250</w:t>
            </w:r>
          </w:p>
        </w:tc>
        <w:tc>
          <w:tcPr>
            <w:tcW w:w="0" w:type="auto"/>
            <w:tcBorders>
              <w:tl2br w:val="nil"/>
              <w:tr2bl w:val="nil"/>
            </w:tcBorders>
            <w:vAlign w:val="center"/>
          </w:tcPr>
          <w:p>
            <w:pPr>
              <w:pStyle w:val="45"/>
              <w:rPr>
                <w:color w:val="auto"/>
              </w:rPr>
            </w:pPr>
            <w:r>
              <w:rPr>
                <w:rFonts w:hint="eastAsia"/>
                <w:color w:val="auto"/>
              </w:rPr>
              <w:t>6.17E-01</w:t>
            </w:r>
          </w:p>
        </w:tc>
        <w:tc>
          <w:tcPr>
            <w:tcW w:w="0" w:type="auto"/>
            <w:tcBorders>
              <w:tl2br w:val="nil"/>
              <w:tr2bl w:val="nil"/>
            </w:tcBorders>
            <w:vAlign w:val="center"/>
          </w:tcPr>
          <w:p>
            <w:pPr>
              <w:pStyle w:val="45"/>
              <w:rPr>
                <w:color w:val="auto"/>
              </w:rPr>
            </w:pPr>
            <w:r>
              <w:rPr>
                <w:rFonts w:hint="eastAsia"/>
                <w:color w:val="auto"/>
              </w:rPr>
              <w:t>0.12</w:t>
            </w:r>
          </w:p>
        </w:tc>
        <w:tc>
          <w:tcPr>
            <w:tcW w:w="0" w:type="auto"/>
            <w:tcBorders>
              <w:tl2br w:val="nil"/>
              <w:tr2bl w:val="nil"/>
            </w:tcBorders>
            <w:vAlign w:val="center"/>
          </w:tcPr>
          <w:p>
            <w:pPr>
              <w:pStyle w:val="45"/>
              <w:rPr>
                <w:color w:val="auto"/>
              </w:rPr>
            </w:pPr>
            <w:r>
              <w:rPr>
                <w:rFonts w:hint="eastAsia"/>
                <w:color w:val="auto"/>
              </w:rPr>
              <w:t>2.88E+00</w:t>
            </w:r>
          </w:p>
        </w:tc>
        <w:tc>
          <w:tcPr>
            <w:tcW w:w="0" w:type="auto"/>
            <w:tcBorders>
              <w:tl2br w:val="nil"/>
              <w:tr2bl w:val="nil"/>
            </w:tcBorders>
            <w:vAlign w:val="center"/>
          </w:tcPr>
          <w:p>
            <w:pPr>
              <w:pStyle w:val="45"/>
              <w:rPr>
                <w:color w:val="auto"/>
              </w:rPr>
            </w:pPr>
            <w:r>
              <w:rPr>
                <w:rFonts w:hint="eastAsia"/>
                <w:color w:val="auto"/>
              </w:rPr>
              <w:t>1.44</w:t>
            </w:r>
          </w:p>
        </w:tc>
        <w:tc>
          <w:tcPr>
            <w:tcW w:w="0" w:type="auto"/>
            <w:tcBorders>
              <w:tl2br w:val="nil"/>
              <w:tr2bl w:val="nil"/>
            </w:tcBorders>
            <w:vAlign w:val="center"/>
          </w:tcPr>
          <w:p>
            <w:pPr>
              <w:pStyle w:val="45"/>
              <w:rPr>
                <w:color w:val="auto"/>
              </w:rPr>
            </w:pPr>
            <w:r>
              <w:rPr>
                <w:rFonts w:hint="eastAsia"/>
                <w:color w:val="auto"/>
              </w:rPr>
              <w:t>3.43E-01</w:t>
            </w:r>
          </w:p>
        </w:tc>
        <w:tc>
          <w:tcPr>
            <w:tcW w:w="0" w:type="auto"/>
            <w:tcBorders>
              <w:tl2br w:val="nil"/>
              <w:tr2bl w:val="nil"/>
            </w:tcBorders>
            <w:vAlign w:val="center"/>
          </w:tcPr>
          <w:p>
            <w:pPr>
              <w:pStyle w:val="45"/>
              <w:rPr>
                <w:color w:val="auto"/>
              </w:rPr>
            </w:pPr>
            <w:r>
              <w:rPr>
                <w:rFonts w:hint="eastAsia"/>
                <w:color w:val="auto"/>
              </w:rPr>
              <w:t>0.08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rFonts w:hint="eastAsia"/>
                <w:color w:val="auto"/>
              </w:rPr>
              <w:t>275</w:t>
            </w:r>
          </w:p>
        </w:tc>
        <w:tc>
          <w:tcPr>
            <w:tcW w:w="0" w:type="auto"/>
            <w:tcBorders>
              <w:tl2br w:val="nil"/>
              <w:tr2bl w:val="nil"/>
            </w:tcBorders>
            <w:vAlign w:val="center"/>
          </w:tcPr>
          <w:p>
            <w:pPr>
              <w:pStyle w:val="45"/>
              <w:rPr>
                <w:color w:val="auto"/>
              </w:rPr>
            </w:pPr>
            <w:r>
              <w:rPr>
                <w:rFonts w:hint="eastAsia"/>
                <w:color w:val="auto"/>
              </w:rPr>
              <w:t>6.19E-01</w:t>
            </w:r>
          </w:p>
        </w:tc>
        <w:tc>
          <w:tcPr>
            <w:tcW w:w="0" w:type="auto"/>
            <w:tcBorders>
              <w:tl2br w:val="nil"/>
              <w:tr2bl w:val="nil"/>
            </w:tcBorders>
            <w:vAlign w:val="center"/>
          </w:tcPr>
          <w:p>
            <w:pPr>
              <w:pStyle w:val="45"/>
              <w:rPr>
                <w:color w:val="auto"/>
              </w:rPr>
            </w:pPr>
            <w:r>
              <w:rPr>
                <w:rFonts w:hint="eastAsia"/>
                <w:color w:val="auto"/>
              </w:rPr>
              <w:t>0.12</w:t>
            </w:r>
          </w:p>
        </w:tc>
        <w:tc>
          <w:tcPr>
            <w:tcW w:w="0" w:type="auto"/>
            <w:tcBorders>
              <w:tl2br w:val="nil"/>
              <w:tr2bl w:val="nil"/>
            </w:tcBorders>
            <w:vAlign w:val="center"/>
          </w:tcPr>
          <w:p>
            <w:pPr>
              <w:pStyle w:val="45"/>
              <w:rPr>
                <w:color w:val="auto"/>
              </w:rPr>
            </w:pPr>
            <w:r>
              <w:rPr>
                <w:rFonts w:hint="eastAsia"/>
                <w:color w:val="auto"/>
              </w:rPr>
              <w:t>2.89E+00</w:t>
            </w:r>
          </w:p>
        </w:tc>
        <w:tc>
          <w:tcPr>
            <w:tcW w:w="0" w:type="auto"/>
            <w:tcBorders>
              <w:tl2br w:val="nil"/>
              <w:tr2bl w:val="nil"/>
            </w:tcBorders>
            <w:vAlign w:val="center"/>
          </w:tcPr>
          <w:p>
            <w:pPr>
              <w:pStyle w:val="45"/>
              <w:rPr>
                <w:color w:val="auto"/>
              </w:rPr>
            </w:pPr>
            <w:r>
              <w:rPr>
                <w:rFonts w:hint="eastAsia"/>
                <w:color w:val="auto"/>
              </w:rPr>
              <w:t>1.45</w:t>
            </w:r>
          </w:p>
        </w:tc>
        <w:tc>
          <w:tcPr>
            <w:tcW w:w="0" w:type="auto"/>
            <w:tcBorders>
              <w:tl2br w:val="nil"/>
              <w:tr2bl w:val="nil"/>
            </w:tcBorders>
            <w:vAlign w:val="center"/>
          </w:tcPr>
          <w:p>
            <w:pPr>
              <w:pStyle w:val="45"/>
              <w:rPr>
                <w:color w:val="auto"/>
              </w:rPr>
            </w:pPr>
            <w:r>
              <w:rPr>
                <w:rFonts w:hint="eastAsia"/>
                <w:color w:val="auto"/>
              </w:rPr>
              <w:t>3.44E-01</w:t>
            </w:r>
          </w:p>
        </w:tc>
        <w:tc>
          <w:tcPr>
            <w:tcW w:w="0" w:type="auto"/>
            <w:tcBorders>
              <w:tl2br w:val="nil"/>
              <w:tr2bl w:val="nil"/>
            </w:tcBorders>
            <w:vAlign w:val="center"/>
          </w:tcPr>
          <w:p>
            <w:pPr>
              <w:pStyle w:val="45"/>
              <w:rPr>
                <w:color w:val="auto"/>
              </w:rPr>
            </w:pPr>
            <w:r>
              <w:rPr>
                <w:rFonts w:hint="eastAsia"/>
                <w:color w:val="auto"/>
              </w:rPr>
              <w:t>0.08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rFonts w:hint="eastAsia"/>
                <w:color w:val="auto"/>
              </w:rPr>
              <w:t>300</w:t>
            </w:r>
          </w:p>
        </w:tc>
        <w:tc>
          <w:tcPr>
            <w:tcW w:w="0" w:type="auto"/>
            <w:tcBorders>
              <w:tl2br w:val="nil"/>
              <w:tr2bl w:val="nil"/>
            </w:tcBorders>
            <w:vAlign w:val="center"/>
          </w:tcPr>
          <w:p>
            <w:pPr>
              <w:pStyle w:val="45"/>
              <w:rPr>
                <w:color w:val="auto"/>
              </w:rPr>
            </w:pPr>
            <w:r>
              <w:rPr>
                <w:rFonts w:hint="eastAsia"/>
                <w:color w:val="auto"/>
              </w:rPr>
              <w:t>6.11E-01</w:t>
            </w:r>
          </w:p>
        </w:tc>
        <w:tc>
          <w:tcPr>
            <w:tcW w:w="0" w:type="auto"/>
            <w:tcBorders>
              <w:tl2br w:val="nil"/>
              <w:tr2bl w:val="nil"/>
            </w:tcBorders>
            <w:vAlign w:val="center"/>
          </w:tcPr>
          <w:p>
            <w:pPr>
              <w:pStyle w:val="45"/>
              <w:rPr>
                <w:color w:val="auto"/>
              </w:rPr>
            </w:pPr>
            <w:r>
              <w:rPr>
                <w:rFonts w:hint="eastAsia"/>
                <w:color w:val="auto"/>
              </w:rPr>
              <w:t>0.12</w:t>
            </w:r>
          </w:p>
        </w:tc>
        <w:tc>
          <w:tcPr>
            <w:tcW w:w="0" w:type="auto"/>
            <w:tcBorders>
              <w:tl2br w:val="nil"/>
              <w:tr2bl w:val="nil"/>
            </w:tcBorders>
            <w:vAlign w:val="center"/>
          </w:tcPr>
          <w:p>
            <w:pPr>
              <w:pStyle w:val="45"/>
              <w:rPr>
                <w:color w:val="auto"/>
              </w:rPr>
            </w:pPr>
            <w:r>
              <w:rPr>
                <w:rFonts w:hint="eastAsia"/>
                <w:color w:val="auto"/>
              </w:rPr>
              <w:t>2.85E+00</w:t>
            </w:r>
          </w:p>
        </w:tc>
        <w:tc>
          <w:tcPr>
            <w:tcW w:w="0" w:type="auto"/>
            <w:tcBorders>
              <w:tl2br w:val="nil"/>
              <w:tr2bl w:val="nil"/>
            </w:tcBorders>
            <w:vAlign w:val="center"/>
          </w:tcPr>
          <w:p>
            <w:pPr>
              <w:pStyle w:val="45"/>
              <w:rPr>
                <w:color w:val="auto"/>
              </w:rPr>
            </w:pPr>
            <w:r>
              <w:rPr>
                <w:rFonts w:hint="eastAsia"/>
                <w:color w:val="auto"/>
              </w:rPr>
              <w:t>1.42</w:t>
            </w:r>
          </w:p>
        </w:tc>
        <w:tc>
          <w:tcPr>
            <w:tcW w:w="0" w:type="auto"/>
            <w:tcBorders>
              <w:tl2br w:val="nil"/>
              <w:tr2bl w:val="nil"/>
            </w:tcBorders>
            <w:vAlign w:val="center"/>
          </w:tcPr>
          <w:p>
            <w:pPr>
              <w:pStyle w:val="45"/>
              <w:rPr>
                <w:color w:val="auto"/>
              </w:rPr>
            </w:pPr>
            <w:r>
              <w:rPr>
                <w:rFonts w:hint="eastAsia"/>
                <w:color w:val="auto"/>
              </w:rPr>
              <w:t>3.39E-01</w:t>
            </w:r>
          </w:p>
        </w:tc>
        <w:tc>
          <w:tcPr>
            <w:tcW w:w="0" w:type="auto"/>
            <w:tcBorders>
              <w:tl2br w:val="nil"/>
              <w:tr2bl w:val="nil"/>
            </w:tcBorders>
            <w:vAlign w:val="center"/>
          </w:tcPr>
          <w:p>
            <w:pPr>
              <w:pStyle w:val="45"/>
              <w:rPr>
                <w:color w:val="auto"/>
              </w:rPr>
            </w:pPr>
            <w:r>
              <w:rPr>
                <w:rFonts w:hint="eastAsia"/>
                <w:color w:val="auto"/>
              </w:rPr>
              <w:t>0.08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rFonts w:hint="eastAsia"/>
                <w:color w:val="auto"/>
              </w:rPr>
              <w:t>325</w:t>
            </w:r>
          </w:p>
        </w:tc>
        <w:tc>
          <w:tcPr>
            <w:tcW w:w="0" w:type="auto"/>
            <w:tcBorders>
              <w:tl2br w:val="nil"/>
              <w:tr2bl w:val="nil"/>
            </w:tcBorders>
            <w:vAlign w:val="center"/>
          </w:tcPr>
          <w:p>
            <w:pPr>
              <w:pStyle w:val="45"/>
              <w:rPr>
                <w:color w:val="auto"/>
              </w:rPr>
            </w:pPr>
            <w:r>
              <w:rPr>
                <w:rFonts w:hint="eastAsia"/>
                <w:color w:val="auto"/>
              </w:rPr>
              <w:t>5.95E-01</w:t>
            </w:r>
          </w:p>
        </w:tc>
        <w:tc>
          <w:tcPr>
            <w:tcW w:w="0" w:type="auto"/>
            <w:tcBorders>
              <w:tl2br w:val="nil"/>
              <w:tr2bl w:val="nil"/>
            </w:tcBorders>
            <w:vAlign w:val="center"/>
          </w:tcPr>
          <w:p>
            <w:pPr>
              <w:pStyle w:val="45"/>
              <w:rPr>
                <w:color w:val="auto"/>
              </w:rPr>
            </w:pPr>
            <w:r>
              <w:rPr>
                <w:rFonts w:hint="eastAsia"/>
                <w:color w:val="auto"/>
              </w:rPr>
              <w:t>0.12</w:t>
            </w:r>
          </w:p>
        </w:tc>
        <w:tc>
          <w:tcPr>
            <w:tcW w:w="0" w:type="auto"/>
            <w:tcBorders>
              <w:tl2br w:val="nil"/>
              <w:tr2bl w:val="nil"/>
            </w:tcBorders>
            <w:vAlign w:val="center"/>
          </w:tcPr>
          <w:p>
            <w:pPr>
              <w:pStyle w:val="45"/>
              <w:rPr>
                <w:color w:val="auto"/>
              </w:rPr>
            </w:pPr>
            <w:r>
              <w:rPr>
                <w:rFonts w:hint="eastAsia"/>
                <w:color w:val="auto"/>
              </w:rPr>
              <w:t>2.78E+00</w:t>
            </w:r>
          </w:p>
        </w:tc>
        <w:tc>
          <w:tcPr>
            <w:tcW w:w="0" w:type="auto"/>
            <w:tcBorders>
              <w:tl2br w:val="nil"/>
              <w:tr2bl w:val="nil"/>
            </w:tcBorders>
            <w:vAlign w:val="center"/>
          </w:tcPr>
          <w:p>
            <w:pPr>
              <w:pStyle w:val="45"/>
              <w:rPr>
                <w:color w:val="auto"/>
              </w:rPr>
            </w:pPr>
            <w:r>
              <w:rPr>
                <w:rFonts w:hint="eastAsia"/>
                <w:color w:val="auto"/>
              </w:rPr>
              <w:t>1.39</w:t>
            </w:r>
          </w:p>
        </w:tc>
        <w:tc>
          <w:tcPr>
            <w:tcW w:w="0" w:type="auto"/>
            <w:tcBorders>
              <w:tl2br w:val="nil"/>
              <w:tr2bl w:val="nil"/>
            </w:tcBorders>
            <w:vAlign w:val="center"/>
          </w:tcPr>
          <w:p>
            <w:pPr>
              <w:pStyle w:val="45"/>
              <w:rPr>
                <w:color w:val="auto"/>
              </w:rPr>
            </w:pPr>
            <w:r>
              <w:rPr>
                <w:rFonts w:hint="eastAsia"/>
                <w:color w:val="auto"/>
              </w:rPr>
              <w:t>3.31E-01</w:t>
            </w:r>
          </w:p>
        </w:tc>
        <w:tc>
          <w:tcPr>
            <w:tcW w:w="0" w:type="auto"/>
            <w:tcBorders>
              <w:tl2br w:val="nil"/>
              <w:tr2bl w:val="nil"/>
            </w:tcBorders>
            <w:vAlign w:val="center"/>
          </w:tcPr>
          <w:p>
            <w:pPr>
              <w:pStyle w:val="45"/>
              <w:rPr>
                <w:color w:val="auto"/>
              </w:rPr>
            </w:pPr>
            <w:r>
              <w:rPr>
                <w:rFonts w:hint="eastAsia"/>
                <w:color w:val="auto"/>
              </w:rPr>
              <w:t>0.07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rFonts w:hint="eastAsia"/>
                <w:color w:val="auto"/>
              </w:rPr>
              <w:t>350</w:t>
            </w:r>
          </w:p>
        </w:tc>
        <w:tc>
          <w:tcPr>
            <w:tcW w:w="0" w:type="auto"/>
            <w:tcBorders>
              <w:tl2br w:val="nil"/>
              <w:tr2bl w:val="nil"/>
            </w:tcBorders>
            <w:vAlign w:val="center"/>
          </w:tcPr>
          <w:p>
            <w:pPr>
              <w:pStyle w:val="45"/>
              <w:rPr>
                <w:color w:val="auto"/>
              </w:rPr>
            </w:pPr>
            <w:r>
              <w:rPr>
                <w:rFonts w:hint="eastAsia"/>
                <w:color w:val="auto"/>
              </w:rPr>
              <w:t>5.75E-01</w:t>
            </w:r>
          </w:p>
        </w:tc>
        <w:tc>
          <w:tcPr>
            <w:tcW w:w="0" w:type="auto"/>
            <w:tcBorders>
              <w:tl2br w:val="nil"/>
              <w:tr2bl w:val="nil"/>
            </w:tcBorders>
            <w:vAlign w:val="center"/>
          </w:tcPr>
          <w:p>
            <w:pPr>
              <w:pStyle w:val="45"/>
              <w:rPr>
                <w:color w:val="auto"/>
              </w:rPr>
            </w:pPr>
            <w:r>
              <w:rPr>
                <w:rFonts w:hint="eastAsia"/>
                <w:color w:val="auto"/>
              </w:rPr>
              <w:t>0.12</w:t>
            </w:r>
          </w:p>
        </w:tc>
        <w:tc>
          <w:tcPr>
            <w:tcW w:w="0" w:type="auto"/>
            <w:tcBorders>
              <w:tl2br w:val="nil"/>
              <w:tr2bl w:val="nil"/>
            </w:tcBorders>
            <w:vAlign w:val="center"/>
          </w:tcPr>
          <w:p>
            <w:pPr>
              <w:pStyle w:val="45"/>
              <w:rPr>
                <w:color w:val="auto"/>
              </w:rPr>
            </w:pPr>
            <w:r>
              <w:rPr>
                <w:rFonts w:hint="eastAsia"/>
                <w:color w:val="auto"/>
              </w:rPr>
              <w:t>2.68E+00</w:t>
            </w:r>
          </w:p>
        </w:tc>
        <w:tc>
          <w:tcPr>
            <w:tcW w:w="0" w:type="auto"/>
            <w:tcBorders>
              <w:tl2br w:val="nil"/>
              <w:tr2bl w:val="nil"/>
            </w:tcBorders>
            <w:vAlign w:val="center"/>
          </w:tcPr>
          <w:p>
            <w:pPr>
              <w:pStyle w:val="45"/>
              <w:rPr>
                <w:color w:val="auto"/>
              </w:rPr>
            </w:pPr>
            <w:r>
              <w:rPr>
                <w:rFonts w:hint="eastAsia"/>
                <w:color w:val="auto"/>
              </w:rPr>
              <w:t>1.34</w:t>
            </w:r>
          </w:p>
        </w:tc>
        <w:tc>
          <w:tcPr>
            <w:tcW w:w="0" w:type="auto"/>
            <w:tcBorders>
              <w:tl2br w:val="nil"/>
              <w:tr2bl w:val="nil"/>
            </w:tcBorders>
            <w:vAlign w:val="center"/>
          </w:tcPr>
          <w:p>
            <w:pPr>
              <w:pStyle w:val="45"/>
              <w:rPr>
                <w:color w:val="auto"/>
              </w:rPr>
            </w:pPr>
            <w:r>
              <w:rPr>
                <w:rFonts w:hint="eastAsia"/>
                <w:color w:val="auto"/>
              </w:rPr>
              <w:t>3.20E-01</w:t>
            </w:r>
          </w:p>
        </w:tc>
        <w:tc>
          <w:tcPr>
            <w:tcW w:w="0" w:type="auto"/>
            <w:tcBorders>
              <w:tl2br w:val="nil"/>
              <w:tr2bl w:val="nil"/>
            </w:tcBorders>
            <w:vAlign w:val="center"/>
          </w:tcPr>
          <w:p>
            <w:pPr>
              <w:pStyle w:val="45"/>
              <w:rPr>
                <w:color w:val="auto"/>
              </w:rPr>
            </w:pPr>
            <w:r>
              <w:rPr>
                <w:rFonts w:hint="eastAsia"/>
                <w:color w:val="auto"/>
              </w:rPr>
              <w:t>0.07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rFonts w:hint="eastAsia"/>
                <w:color w:val="auto"/>
              </w:rPr>
              <w:t>375</w:t>
            </w:r>
          </w:p>
        </w:tc>
        <w:tc>
          <w:tcPr>
            <w:tcW w:w="0" w:type="auto"/>
            <w:tcBorders>
              <w:tl2br w:val="nil"/>
              <w:tr2bl w:val="nil"/>
            </w:tcBorders>
            <w:vAlign w:val="center"/>
          </w:tcPr>
          <w:p>
            <w:pPr>
              <w:pStyle w:val="45"/>
              <w:rPr>
                <w:color w:val="auto"/>
              </w:rPr>
            </w:pPr>
            <w:r>
              <w:rPr>
                <w:rFonts w:hint="eastAsia"/>
                <w:color w:val="auto"/>
              </w:rPr>
              <w:t>5.54E-01</w:t>
            </w:r>
          </w:p>
        </w:tc>
        <w:tc>
          <w:tcPr>
            <w:tcW w:w="0" w:type="auto"/>
            <w:tcBorders>
              <w:tl2br w:val="nil"/>
              <w:tr2bl w:val="nil"/>
            </w:tcBorders>
            <w:vAlign w:val="center"/>
          </w:tcPr>
          <w:p>
            <w:pPr>
              <w:pStyle w:val="45"/>
              <w:rPr>
                <w:color w:val="auto"/>
              </w:rPr>
            </w:pPr>
            <w:r>
              <w:rPr>
                <w:rFonts w:hint="eastAsia"/>
                <w:color w:val="auto"/>
              </w:rPr>
              <w:t>0.11</w:t>
            </w:r>
          </w:p>
        </w:tc>
        <w:tc>
          <w:tcPr>
            <w:tcW w:w="0" w:type="auto"/>
            <w:tcBorders>
              <w:tl2br w:val="nil"/>
              <w:tr2bl w:val="nil"/>
            </w:tcBorders>
            <w:vAlign w:val="center"/>
          </w:tcPr>
          <w:p>
            <w:pPr>
              <w:pStyle w:val="45"/>
              <w:rPr>
                <w:color w:val="auto"/>
              </w:rPr>
            </w:pPr>
            <w:r>
              <w:rPr>
                <w:rFonts w:hint="eastAsia"/>
                <w:color w:val="auto"/>
              </w:rPr>
              <w:t>2.58E+00</w:t>
            </w:r>
          </w:p>
        </w:tc>
        <w:tc>
          <w:tcPr>
            <w:tcW w:w="0" w:type="auto"/>
            <w:tcBorders>
              <w:tl2br w:val="nil"/>
              <w:tr2bl w:val="nil"/>
            </w:tcBorders>
            <w:vAlign w:val="center"/>
          </w:tcPr>
          <w:p>
            <w:pPr>
              <w:pStyle w:val="45"/>
              <w:rPr>
                <w:color w:val="auto"/>
              </w:rPr>
            </w:pPr>
            <w:r>
              <w:rPr>
                <w:rFonts w:hint="eastAsia"/>
                <w:color w:val="auto"/>
              </w:rPr>
              <w:t>1.29</w:t>
            </w:r>
          </w:p>
        </w:tc>
        <w:tc>
          <w:tcPr>
            <w:tcW w:w="0" w:type="auto"/>
            <w:tcBorders>
              <w:tl2br w:val="nil"/>
              <w:tr2bl w:val="nil"/>
            </w:tcBorders>
            <w:vAlign w:val="center"/>
          </w:tcPr>
          <w:p>
            <w:pPr>
              <w:pStyle w:val="45"/>
              <w:rPr>
                <w:color w:val="auto"/>
              </w:rPr>
            </w:pPr>
            <w:r>
              <w:rPr>
                <w:rFonts w:hint="eastAsia"/>
                <w:color w:val="auto"/>
              </w:rPr>
              <w:t>3.08E-01</w:t>
            </w:r>
          </w:p>
        </w:tc>
        <w:tc>
          <w:tcPr>
            <w:tcW w:w="0" w:type="auto"/>
            <w:tcBorders>
              <w:tl2br w:val="nil"/>
              <w:tr2bl w:val="nil"/>
            </w:tcBorders>
            <w:vAlign w:val="center"/>
          </w:tcPr>
          <w:p>
            <w:pPr>
              <w:pStyle w:val="45"/>
              <w:rPr>
                <w:color w:val="auto"/>
              </w:rPr>
            </w:pPr>
            <w:r>
              <w:rPr>
                <w:rFonts w:hint="eastAsia"/>
                <w:color w:val="auto"/>
              </w:rPr>
              <w:t>0.07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rFonts w:hint="eastAsia"/>
                <w:color w:val="auto"/>
              </w:rPr>
              <w:t>400</w:t>
            </w:r>
          </w:p>
        </w:tc>
        <w:tc>
          <w:tcPr>
            <w:tcW w:w="0" w:type="auto"/>
            <w:tcBorders>
              <w:tl2br w:val="nil"/>
              <w:tr2bl w:val="nil"/>
            </w:tcBorders>
            <w:vAlign w:val="center"/>
          </w:tcPr>
          <w:p>
            <w:pPr>
              <w:pStyle w:val="45"/>
              <w:rPr>
                <w:color w:val="auto"/>
              </w:rPr>
            </w:pPr>
            <w:r>
              <w:rPr>
                <w:rFonts w:hint="eastAsia"/>
                <w:color w:val="auto"/>
              </w:rPr>
              <w:t>5.31E-01</w:t>
            </w:r>
          </w:p>
        </w:tc>
        <w:tc>
          <w:tcPr>
            <w:tcW w:w="0" w:type="auto"/>
            <w:tcBorders>
              <w:tl2br w:val="nil"/>
              <w:tr2bl w:val="nil"/>
            </w:tcBorders>
            <w:vAlign w:val="center"/>
          </w:tcPr>
          <w:p>
            <w:pPr>
              <w:pStyle w:val="45"/>
              <w:rPr>
                <w:color w:val="auto"/>
              </w:rPr>
            </w:pPr>
            <w:r>
              <w:rPr>
                <w:rFonts w:hint="eastAsia"/>
                <w:color w:val="auto"/>
              </w:rPr>
              <w:t>0.11</w:t>
            </w:r>
          </w:p>
        </w:tc>
        <w:tc>
          <w:tcPr>
            <w:tcW w:w="0" w:type="auto"/>
            <w:tcBorders>
              <w:tl2br w:val="nil"/>
              <w:tr2bl w:val="nil"/>
            </w:tcBorders>
            <w:vAlign w:val="center"/>
          </w:tcPr>
          <w:p>
            <w:pPr>
              <w:pStyle w:val="45"/>
              <w:rPr>
                <w:color w:val="auto"/>
              </w:rPr>
            </w:pPr>
            <w:r>
              <w:rPr>
                <w:rFonts w:hint="eastAsia"/>
                <w:color w:val="auto"/>
              </w:rPr>
              <w:t>2.48E+00</w:t>
            </w:r>
          </w:p>
        </w:tc>
        <w:tc>
          <w:tcPr>
            <w:tcW w:w="0" w:type="auto"/>
            <w:tcBorders>
              <w:tl2br w:val="nil"/>
              <w:tr2bl w:val="nil"/>
            </w:tcBorders>
            <w:vAlign w:val="center"/>
          </w:tcPr>
          <w:p>
            <w:pPr>
              <w:pStyle w:val="45"/>
              <w:rPr>
                <w:color w:val="auto"/>
              </w:rPr>
            </w:pPr>
            <w:r>
              <w:rPr>
                <w:rFonts w:hint="eastAsia"/>
                <w:color w:val="auto"/>
              </w:rPr>
              <w:t>1.24</w:t>
            </w:r>
          </w:p>
        </w:tc>
        <w:tc>
          <w:tcPr>
            <w:tcW w:w="0" w:type="auto"/>
            <w:tcBorders>
              <w:tl2br w:val="nil"/>
              <w:tr2bl w:val="nil"/>
            </w:tcBorders>
            <w:vAlign w:val="center"/>
          </w:tcPr>
          <w:p>
            <w:pPr>
              <w:pStyle w:val="45"/>
              <w:rPr>
                <w:color w:val="auto"/>
              </w:rPr>
            </w:pPr>
            <w:r>
              <w:rPr>
                <w:rFonts w:hint="eastAsia"/>
                <w:color w:val="auto"/>
              </w:rPr>
              <w:t>2.95E-01</w:t>
            </w:r>
          </w:p>
        </w:tc>
        <w:tc>
          <w:tcPr>
            <w:tcW w:w="0" w:type="auto"/>
            <w:tcBorders>
              <w:tl2br w:val="nil"/>
              <w:tr2bl w:val="nil"/>
            </w:tcBorders>
            <w:vAlign w:val="center"/>
          </w:tcPr>
          <w:p>
            <w:pPr>
              <w:pStyle w:val="45"/>
              <w:rPr>
                <w:color w:val="auto"/>
              </w:rPr>
            </w:pPr>
            <w:r>
              <w:rPr>
                <w:rFonts w:hint="eastAsia"/>
                <w:color w:val="auto"/>
              </w:rPr>
              <w:t>0.07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rFonts w:hint="eastAsia"/>
                <w:color w:val="auto"/>
              </w:rPr>
              <w:t>425</w:t>
            </w:r>
          </w:p>
        </w:tc>
        <w:tc>
          <w:tcPr>
            <w:tcW w:w="0" w:type="auto"/>
            <w:tcBorders>
              <w:tl2br w:val="nil"/>
              <w:tr2bl w:val="nil"/>
            </w:tcBorders>
            <w:vAlign w:val="center"/>
          </w:tcPr>
          <w:p>
            <w:pPr>
              <w:pStyle w:val="45"/>
              <w:rPr>
                <w:color w:val="auto"/>
              </w:rPr>
            </w:pPr>
            <w:r>
              <w:rPr>
                <w:rFonts w:hint="eastAsia"/>
                <w:color w:val="auto"/>
              </w:rPr>
              <w:t>5.09E-01</w:t>
            </w:r>
          </w:p>
        </w:tc>
        <w:tc>
          <w:tcPr>
            <w:tcW w:w="0" w:type="auto"/>
            <w:tcBorders>
              <w:tl2br w:val="nil"/>
              <w:tr2bl w:val="nil"/>
            </w:tcBorders>
            <w:vAlign w:val="center"/>
          </w:tcPr>
          <w:p>
            <w:pPr>
              <w:pStyle w:val="45"/>
              <w:rPr>
                <w:color w:val="auto"/>
              </w:rPr>
            </w:pPr>
            <w:r>
              <w:rPr>
                <w:rFonts w:hint="eastAsia"/>
                <w:color w:val="auto"/>
              </w:rPr>
              <w:t>0.10</w:t>
            </w:r>
          </w:p>
        </w:tc>
        <w:tc>
          <w:tcPr>
            <w:tcW w:w="0" w:type="auto"/>
            <w:tcBorders>
              <w:tl2br w:val="nil"/>
              <w:tr2bl w:val="nil"/>
            </w:tcBorders>
            <w:vAlign w:val="center"/>
          </w:tcPr>
          <w:p>
            <w:pPr>
              <w:pStyle w:val="45"/>
              <w:rPr>
                <w:color w:val="auto"/>
              </w:rPr>
            </w:pPr>
            <w:r>
              <w:rPr>
                <w:rFonts w:hint="eastAsia"/>
                <w:color w:val="auto"/>
              </w:rPr>
              <w:t>2.37E+00</w:t>
            </w:r>
          </w:p>
        </w:tc>
        <w:tc>
          <w:tcPr>
            <w:tcW w:w="0" w:type="auto"/>
            <w:tcBorders>
              <w:tl2br w:val="nil"/>
              <w:tr2bl w:val="nil"/>
            </w:tcBorders>
            <w:vAlign w:val="center"/>
          </w:tcPr>
          <w:p>
            <w:pPr>
              <w:pStyle w:val="45"/>
              <w:rPr>
                <w:color w:val="auto"/>
              </w:rPr>
            </w:pPr>
            <w:r>
              <w:rPr>
                <w:rFonts w:hint="eastAsia"/>
                <w:color w:val="auto"/>
              </w:rPr>
              <w:t>1.19</w:t>
            </w:r>
          </w:p>
        </w:tc>
        <w:tc>
          <w:tcPr>
            <w:tcW w:w="0" w:type="auto"/>
            <w:tcBorders>
              <w:tl2br w:val="nil"/>
              <w:tr2bl w:val="nil"/>
            </w:tcBorders>
            <w:vAlign w:val="center"/>
          </w:tcPr>
          <w:p>
            <w:pPr>
              <w:pStyle w:val="45"/>
              <w:rPr>
                <w:color w:val="auto"/>
              </w:rPr>
            </w:pPr>
            <w:r>
              <w:rPr>
                <w:rFonts w:hint="eastAsia"/>
                <w:color w:val="auto"/>
              </w:rPr>
              <w:t>2.83E-01</w:t>
            </w:r>
          </w:p>
        </w:tc>
        <w:tc>
          <w:tcPr>
            <w:tcW w:w="0" w:type="auto"/>
            <w:tcBorders>
              <w:tl2br w:val="nil"/>
              <w:tr2bl w:val="nil"/>
            </w:tcBorders>
            <w:vAlign w:val="center"/>
          </w:tcPr>
          <w:p>
            <w:pPr>
              <w:pStyle w:val="45"/>
              <w:rPr>
                <w:color w:val="auto"/>
              </w:rPr>
            </w:pPr>
            <w:r>
              <w:rPr>
                <w:rFonts w:hint="eastAsia"/>
                <w:color w:val="auto"/>
              </w:rPr>
              <w:t>0.06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rFonts w:hint="eastAsia"/>
                <w:color w:val="auto"/>
              </w:rPr>
              <w:t>450</w:t>
            </w:r>
          </w:p>
        </w:tc>
        <w:tc>
          <w:tcPr>
            <w:tcW w:w="0" w:type="auto"/>
            <w:tcBorders>
              <w:tl2br w:val="nil"/>
              <w:tr2bl w:val="nil"/>
            </w:tcBorders>
            <w:vAlign w:val="center"/>
          </w:tcPr>
          <w:p>
            <w:pPr>
              <w:pStyle w:val="45"/>
              <w:rPr>
                <w:color w:val="auto"/>
              </w:rPr>
            </w:pPr>
            <w:r>
              <w:rPr>
                <w:rFonts w:hint="eastAsia"/>
                <w:color w:val="auto"/>
              </w:rPr>
              <w:t>4.87E-01</w:t>
            </w:r>
          </w:p>
        </w:tc>
        <w:tc>
          <w:tcPr>
            <w:tcW w:w="0" w:type="auto"/>
            <w:tcBorders>
              <w:tl2br w:val="nil"/>
              <w:tr2bl w:val="nil"/>
            </w:tcBorders>
            <w:vAlign w:val="center"/>
          </w:tcPr>
          <w:p>
            <w:pPr>
              <w:pStyle w:val="45"/>
              <w:rPr>
                <w:color w:val="auto"/>
              </w:rPr>
            </w:pPr>
            <w:r>
              <w:rPr>
                <w:rFonts w:hint="eastAsia"/>
                <w:color w:val="auto"/>
              </w:rPr>
              <w:t>0.10</w:t>
            </w:r>
          </w:p>
        </w:tc>
        <w:tc>
          <w:tcPr>
            <w:tcW w:w="0" w:type="auto"/>
            <w:tcBorders>
              <w:tl2br w:val="nil"/>
              <w:tr2bl w:val="nil"/>
            </w:tcBorders>
            <w:vAlign w:val="center"/>
          </w:tcPr>
          <w:p>
            <w:pPr>
              <w:pStyle w:val="45"/>
              <w:rPr>
                <w:color w:val="auto"/>
              </w:rPr>
            </w:pPr>
            <w:r>
              <w:rPr>
                <w:rFonts w:hint="eastAsia"/>
                <w:color w:val="auto"/>
              </w:rPr>
              <w:t>2.27E+00</w:t>
            </w:r>
          </w:p>
        </w:tc>
        <w:tc>
          <w:tcPr>
            <w:tcW w:w="0" w:type="auto"/>
            <w:tcBorders>
              <w:tl2br w:val="nil"/>
              <w:tr2bl w:val="nil"/>
            </w:tcBorders>
            <w:vAlign w:val="center"/>
          </w:tcPr>
          <w:p>
            <w:pPr>
              <w:pStyle w:val="45"/>
              <w:rPr>
                <w:color w:val="auto"/>
              </w:rPr>
            </w:pPr>
            <w:r>
              <w:rPr>
                <w:rFonts w:hint="eastAsia"/>
                <w:color w:val="auto"/>
              </w:rPr>
              <w:t>1.14</w:t>
            </w:r>
          </w:p>
        </w:tc>
        <w:tc>
          <w:tcPr>
            <w:tcW w:w="0" w:type="auto"/>
            <w:tcBorders>
              <w:tl2br w:val="nil"/>
              <w:tr2bl w:val="nil"/>
            </w:tcBorders>
            <w:vAlign w:val="center"/>
          </w:tcPr>
          <w:p>
            <w:pPr>
              <w:pStyle w:val="45"/>
              <w:rPr>
                <w:color w:val="auto"/>
              </w:rPr>
            </w:pPr>
            <w:r>
              <w:rPr>
                <w:rFonts w:hint="eastAsia"/>
                <w:color w:val="auto"/>
              </w:rPr>
              <w:t>2.70E-01</w:t>
            </w:r>
          </w:p>
        </w:tc>
        <w:tc>
          <w:tcPr>
            <w:tcW w:w="0" w:type="auto"/>
            <w:tcBorders>
              <w:tl2br w:val="nil"/>
              <w:tr2bl w:val="nil"/>
            </w:tcBorders>
            <w:vAlign w:val="center"/>
          </w:tcPr>
          <w:p>
            <w:pPr>
              <w:pStyle w:val="45"/>
              <w:rPr>
                <w:color w:val="auto"/>
              </w:rPr>
            </w:pPr>
            <w:r>
              <w:rPr>
                <w:rFonts w:hint="eastAsia"/>
                <w:color w:val="auto"/>
              </w:rPr>
              <w:t>0.06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rFonts w:hint="eastAsia"/>
                <w:color w:val="auto"/>
              </w:rPr>
              <w:t>475</w:t>
            </w:r>
          </w:p>
        </w:tc>
        <w:tc>
          <w:tcPr>
            <w:tcW w:w="0" w:type="auto"/>
            <w:tcBorders>
              <w:tl2br w:val="nil"/>
              <w:tr2bl w:val="nil"/>
            </w:tcBorders>
            <w:vAlign w:val="center"/>
          </w:tcPr>
          <w:p>
            <w:pPr>
              <w:pStyle w:val="45"/>
              <w:rPr>
                <w:color w:val="auto"/>
              </w:rPr>
            </w:pPr>
            <w:r>
              <w:rPr>
                <w:rFonts w:hint="eastAsia"/>
                <w:color w:val="auto"/>
              </w:rPr>
              <w:t>4.66E-01</w:t>
            </w:r>
          </w:p>
        </w:tc>
        <w:tc>
          <w:tcPr>
            <w:tcW w:w="0" w:type="auto"/>
            <w:tcBorders>
              <w:tl2br w:val="nil"/>
              <w:tr2bl w:val="nil"/>
            </w:tcBorders>
            <w:vAlign w:val="center"/>
          </w:tcPr>
          <w:p>
            <w:pPr>
              <w:pStyle w:val="45"/>
              <w:rPr>
                <w:color w:val="auto"/>
              </w:rPr>
            </w:pPr>
            <w:r>
              <w:rPr>
                <w:rFonts w:hint="eastAsia"/>
                <w:color w:val="auto"/>
              </w:rPr>
              <w:t>0.09</w:t>
            </w:r>
          </w:p>
        </w:tc>
        <w:tc>
          <w:tcPr>
            <w:tcW w:w="0" w:type="auto"/>
            <w:tcBorders>
              <w:tl2br w:val="nil"/>
              <w:tr2bl w:val="nil"/>
            </w:tcBorders>
            <w:vAlign w:val="center"/>
          </w:tcPr>
          <w:p>
            <w:pPr>
              <w:pStyle w:val="45"/>
              <w:rPr>
                <w:color w:val="auto"/>
              </w:rPr>
            </w:pPr>
            <w:r>
              <w:rPr>
                <w:rFonts w:hint="eastAsia"/>
                <w:color w:val="auto"/>
              </w:rPr>
              <w:t>2.17E+00</w:t>
            </w:r>
          </w:p>
        </w:tc>
        <w:tc>
          <w:tcPr>
            <w:tcW w:w="0" w:type="auto"/>
            <w:tcBorders>
              <w:tl2br w:val="nil"/>
              <w:tr2bl w:val="nil"/>
            </w:tcBorders>
            <w:vAlign w:val="center"/>
          </w:tcPr>
          <w:p>
            <w:pPr>
              <w:pStyle w:val="45"/>
              <w:rPr>
                <w:color w:val="auto"/>
              </w:rPr>
            </w:pPr>
            <w:r>
              <w:rPr>
                <w:rFonts w:hint="eastAsia"/>
                <w:color w:val="auto"/>
              </w:rPr>
              <w:t>1.09</w:t>
            </w:r>
          </w:p>
        </w:tc>
        <w:tc>
          <w:tcPr>
            <w:tcW w:w="0" w:type="auto"/>
            <w:tcBorders>
              <w:tl2br w:val="nil"/>
              <w:tr2bl w:val="nil"/>
            </w:tcBorders>
            <w:vAlign w:val="center"/>
          </w:tcPr>
          <w:p>
            <w:pPr>
              <w:pStyle w:val="45"/>
              <w:rPr>
                <w:color w:val="auto"/>
              </w:rPr>
            </w:pPr>
            <w:r>
              <w:rPr>
                <w:rFonts w:hint="eastAsia"/>
                <w:color w:val="auto"/>
              </w:rPr>
              <w:t>2.59E-01</w:t>
            </w:r>
          </w:p>
        </w:tc>
        <w:tc>
          <w:tcPr>
            <w:tcW w:w="0" w:type="auto"/>
            <w:tcBorders>
              <w:tl2br w:val="nil"/>
              <w:tr2bl w:val="nil"/>
            </w:tcBorders>
            <w:vAlign w:val="center"/>
          </w:tcPr>
          <w:p>
            <w:pPr>
              <w:pStyle w:val="45"/>
              <w:rPr>
                <w:color w:val="auto"/>
              </w:rPr>
            </w:pPr>
            <w:r>
              <w:rPr>
                <w:rFonts w:hint="eastAsia"/>
                <w:color w:val="auto"/>
              </w:rPr>
              <w:t>0.06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rFonts w:hint="eastAsia"/>
                <w:color w:val="auto"/>
              </w:rPr>
              <w:t>500</w:t>
            </w:r>
          </w:p>
        </w:tc>
        <w:tc>
          <w:tcPr>
            <w:tcW w:w="0" w:type="auto"/>
            <w:tcBorders>
              <w:tl2br w:val="nil"/>
              <w:tr2bl w:val="nil"/>
            </w:tcBorders>
            <w:vAlign w:val="center"/>
          </w:tcPr>
          <w:p>
            <w:pPr>
              <w:pStyle w:val="45"/>
              <w:rPr>
                <w:color w:val="auto"/>
              </w:rPr>
            </w:pPr>
            <w:r>
              <w:rPr>
                <w:rFonts w:hint="eastAsia"/>
                <w:color w:val="auto"/>
              </w:rPr>
              <w:t>4.45E-01</w:t>
            </w:r>
          </w:p>
        </w:tc>
        <w:tc>
          <w:tcPr>
            <w:tcW w:w="0" w:type="auto"/>
            <w:tcBorders>
              <w:tl2br w:val="nil"/>
              <w:tr2bl w:val="nil"/>
            </w:tcBorders>
            <w:vAlign w:val="center"/>
          </w:tcPr>
          <w:p>
            <w:pPr>
              <w:pStyle w:val="45"/>
              <w:rPr>
                <w:color w:val="auto"/>
              </w:rPr>
            </w:pPr>
            <w:r>
              <w:rPr>
                <w:rFonts w:hint="eastAsia"/>
                <w:color w:val="auto"/>
              </w:rPr>
              <w:t>0.09</w:t>
            </w:r>
          </w:p>
        </w:tc>
        <w:tc>
          <w:tcPr>
            <w:tcW w:w="0" w:type="auto"/>
            <w:tcBorders>
              <w:tl2br w:val="nil"/>
              <w:tr2bl w:val="nil"/>
            </w:tcBorders>
            <w:vAlign w:val="center"/>
          </w:tcPr>
          <w:p>
            <w:pPr>
              <w:pStyle w:val="45"/>
              <w:rPr>
                <w:color w:val="auto"/>
              </w:rPr>
            </w:pPr>
            <w:r>
              <w:rPr>
                <w:rFonts w:hint="eastAsia"/>
                <w:color w:val="auto"/>
              </w:rPr>
              <w:t>2.08E+00</w:t>
            </w:r>
          </w:p>
        </w:tc>
        <w:tc>
          <w:tcPr>
            <w:tcW w:w="0" w:type="auto"/>
            <w:tcBorders>
              <w:tl2br w:val="nil"/>
              <w:tr2bl w:val="nil"/>
            </w:tcBorders>
            <w:vAlign w:val="center"/>
          </w:tcPr>
          <w:p>
            <w:pPr>
              <w:pStyle w:val="45"/>
              <w:rPr>
                <w:color w:val="auto"/>
              </w:rPr>
            </w:pPr>
            <w:r>
              <w:rPr>
                <w:rFonts w:hint="eastAsia"/>
                <w:color w:val="auto"/>
              </w:rPr>
              <w:t>1.04</w:t>
            </w:r>
          </w:p>
        </w:tc>
        <w:tc>
          <w:tcPr>
            <w:tcW w:w="0" w:type="auto"/>
            <w:tcBorders>
              <w:tl2br w:val="nil"/>
              <w:tr2bl w:val="nil"/>
            </w:tcBorders>
            <w:vAlign w:val="center"/>
          </w:tcPr>
          <w:p>
            <w:pPr>
              <w:pStyle w:val="45"/>
              <w:rPr>
                <w:color w:val="auto"/>
              </w:rPr>
            </w:pPr>
            <w:r>
              <w:rPr>
                <w:rFonts w:hint="eastAsia"/>
                <w:color w:val="auto"/>
              </w:rPr>
              <w:t>2.47E-01</w:t>
            </w:r>
          </w:p>
        </w:tc>
        <w:tc>
          <w:tcPr>
            <w:tcW w:w="0" w:type="auto"/>
            <w:tcBorders>
              <w:tl2br w:val="nil"/>
              <w:tr2bl w:val="nil"/>
            </w:tcBorders>
            <w:vAlign w:val="center"/>
          </w:tcPr>
          <w:p>
            <w:pPr>
              <w:pStyle w:val="45"/>
              <w:rPr>
                <w:color w:val="auto"/>
              </w:rPr>
            </w:pPr>
            <w:r>
              <w:rPr>
                <w:rFonts w:hint="eastAsia"/>
                <w:color w:val="auto"/>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color w:val="auto"/>
              </w:rPr>
              <w:t>下风向最大质量浓度及占标率/%</w:t>
            </w:r>
          </w:p>
        </w:tc>
        <w:tc>
          <w:tcPr>
            <w:tcW w:w="0" w:type="auto"/>
            <w:tcBorders>
              <w:tl2br w:val="nil"/>
              <w:tr2bl w:val="nil"/>
            </w:tcBorders>
            <w:vAlign w:val="center"/>
          </w:tcPr>
          <w:p>
            <w:pPr>
              <w:pStyle w:val="45"/>
              <w:rPr>
                <w:color w:val="auto"/>
              </w:rPr>
            </w:pPr>
            <w:r>
              <w:rPr>
                <w:rFonts w:hint="eastAsia"/>
                <w:color w:val="auto"/>
              </w:rPr>
              <w:t>1.86E+00</w:t>
            </w:r>
          </w:p>
        </w:tc>
        <w:tc>
          <w:tcPr>
            <w:tcW w:w="0" w:type="auto"/>
            <w:tcBorders>
              <w:tl2br w:val="nil"/>
              <w:tr2bl w:val="nil"/>
            </w:tcBorders>
            <w:vAlign w:val="center"/>
          </w:tcPr>
          <w:p>
            <w:pPr>
              <w:pStyle w:val="45"/>
              <w:rPr>
                <w:color w:val="auto"/>
                <w:szCs w:val="24"/>
              </w:rPr>
            </w:pPr>
            <w:r>
              <w:rPr>
                <w:rFonts w:hint="eastAsia"/>
                <w:color w:val="auto"/>
              </w:rPr>
              <w:t>0.37</w:t>
            </w:r>
          </w:p>
        </w:tc>
        <w:tc>
          <w:tcPr>
            <w:tcW w:w="0" w:type="auto"/>
            <w:tcBorders>
              <w:tl2br w:val="nil"/>
              <w:tr2bl w:val="nil"/>
            </w:tcBorders>
            <w:vAlign w:val="center"/>
          </w:tcPr>
          <w:p>
            <w:pPr>
              <w:pStyle w:val="45"/>
              <w:rPr>
                <w:color w:val="auto"/>
                <w:szCs w:val="24"/>
              </w:rPr>
            </w:pPr>
            <w:r>
              <w:rPr>
                <w:rFonts w:hint="eastAsia"/>
                <w:color w:val="auto"/>
              </w:rPr>
              <w:t>8.67E+00</w:t>
            </w:r>
          </w:p>
        </w:tc>
        <w:tc>
          <w:tcPr>
            <w:tcW w:w="0" w:type="auto"/>
            <w:tcBorders>
              <w:tl2br w:val="nil"/>
              <w:tr2bl w:val="nil"/>
            </w:tcBorders>
            <w:vAlign w:val="center"/>
          </w:tcPr>
          <w:p>
            <w:pPr>
              <w:pStyle w:val="45"/>
              <w:rPr>
                <w:color w:val="auto"/>
                <w:szCs w:val="24"/>
              </w:rPr>
            </w:pPr>
            <w:r>
              <w:rPr>
                <w:rFonts w:hint="eastAsia"/>
                <w:color w:val="auto"/>
              </w:rPr>
              <w:t>4.34</w:t>
            </w:r>
          </w:p>
        </w:tc>
        <w:tc>
          <w:tcPr>
            <w:tcW w:w="0" w:type="auto"/>
            <w:tcBorders>
              <w:tl2br w:val="nil"/>
              <w:tr2bl w:val="nil"/>
            </w:tcBorders>
            <w:vAlign w:val="center"/>
          </w:tcPr>
          <w:p>
            <w:pPr>
              <w:pStyle w:val="45"/>
              <w:rPr>
                <w:color w:val="auto"/>
                <w:szCs w:val="24"/>
              </w:rPr>
            </w:pPr>
            <w:r>
              <w:rPr>
                <w:rFonts w:hint="eastAsia"/>
                <w:color w:val="auto"/>
              </w:rPr>
              <w:t>1.03E+00</w:t>
            </w:r>
          </w:p>
        </w:tc>
        <w:tc>
          <w:tcPr>
            <w:tcW w:w="0" w:type="auto"/>
            <w:tcBorders>
              <w:tl2br w:val="nil"/>
              <w:tr2bl w:val="nil"/>
            </w:tcBorders>
            <w:vAlign w:val="center"/>
          </w:tcPr>
          <w:p>
            <w:pPr>
              <w:pStyle w:val="45"/>
              <w:rPr>
                <w:color w:val="auto"/>
                <w:szCs w:val="24"/>
              </w:rPr>
            </w:pPr>
            <w:r>
              <w:rPr>
                <w:rFonts w:hint="eastAsia"/>
                <w:color w:val="auto"/>
              </w:rPr>
              <w:t>0.23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pPr>
              <w:pStyle w:val="45"/>
              <w:rPr>
                <w:color w:val="auto"/>
              </w:rPr>
            </w:pPr>
            <w:r>
              <w:rPr>
                <w:color w:val="auto"/>
              </w:rPr>
              <w:t>D10%最远距离/m</w:t>
            </w:r>
          </w:p>
        </w:tc>
        <w:tc>
          <w:tcPr>
            <w:tcW w:w="0" w:type="auto"/>
            <w:gridSpan w:val="2"/>
            <w:tcBorders>
              <w:tl2br w:val="nil"/>
              <w:tr2bl w:val="nil"/>
            </w:tcBorders>
            <w:vAlign w:val="center"/>
          </w:tcPr>
          <w:p>
            <w:pPr>
              <w:pStyle w:val="45"/>
              <w:rPr>
                <w:color w:val="auto"/>
              </w:rPr>
            </w:pPr>
            <w:r>
              <w:rPr>
                <w:rFonts w:hint="eastAsia"/>
                <w:color w:val="auto"/>
              </w:rPr>
              <w:t>未出现</w:t>
            </w:r>
          </w:p>
        </w:tc>
        <w:tc>
          <w:tcPr>
            <w:tcW w:w="0" w:type="auto"/>
            <w:gridSpan w:val="2"/>
            <w:tcBorders>
              <w:tl2br w:val="nil"/>
              <w:tr2bl w:val="nil"/>
            </w:tcBorders>
            <w:vAlign w:val="center"/>
          </w:tcPr>
          <w:p>
            <w:pPr>
              <w:pStyle w:val="45"/>
              <w:rPr>
                <w:color w:val="auto"/>
              </w:rPr>
            </w:pPr>
            <w:r>
              <w:rPr>
                <w:rFonts w:hint="eastAsia"/>
                <w:color w:val="auto"/>
              </w:rPr>
              <w:t>未出现</w:t>
            </w:r>
          </w:p>
        </w:tc>
        <w:tc>
          <w:tcPr>
            <w:tcW w:w="0" w:type="auto"/>
            <w:gridSpan w:val="2"/>
            <w:tcBorders>
              <w:tl2br w:val="nil"/>
              <w:tr2bl w:val="nil"/>
            </w:tcBorders>
            <w:vAlign w:val="center"/>
          </w:tcPr>
          <w:p>
            <w:pPr>
              <w:pStyle w:val="45"/>
              <w:rPr>
                <w:color w:val="auto"/>
              </w:rPr>
            </w:pPr>
            <w:r>
              <w:rPr>
                <w:rFonts w:hint="eastAsia"/>
                <w:color w:val="auto"/>
              </w:rPr>
              <w:t>未出现</w:t>
            </w:r>
          </w:p>
        </w:tc>
      </w:tr>
    </w:tbl>
    <w:p>
      <w:pPr>
        <w:pStyle w:val="57"/>
        <w:rPr>
          <w:color w:val="auto"/>
        </w:rPr>
      </w:pPr>
      <w:r>
        <w:rPr>
          <w:rFonts w:hint="eastAsia"/>
          <w:color w:val="auto"/>
        </w:rPr>
        <w:t>表5.1-15  拟建项目</w:t>
      </w:r>
      <w:r>
        <w:rPr>
          <w:color w:val="auto"/>
        </w:rPr>
        <w:t>无组织污染源</w:t>
      </w:r>
      <w:r>
        <w:rPr>
          <w:rFonts w:hint="eastAsia"/>
          <w:color w:val="auto"/>
        </w:rPr>
        <w:t>（装置区）</w:t>
      </w:r>
      <w:r>
        <w:rPr>
          <w:color w:val="auto"/>
        </w:rPr>
        <w:t>估算模型计算结果表</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38"/>
        <w:gridCol w:w="2839"/>
        <w:gridCol w:w="28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vMerge w:val="restart"/>
            <w:tcBorders>
              <w:tl2br w:val="nil"/>
              <w:tr2bl w:val="nil"/>
            </w:tcBorders>
            <w:vAlign w:val="center"/>
          </w:tcPr>
          <w:p>
            <w:pPr>
              <w:pStyle w:val="45"/>
              <w:rPr>
                <w:color w:val="auto"/>
                <w:lang w:val="zh-CN"/>
              </w:rPr>
            </w:pPr>
            <w:r>
              <w:rPr>
                <w:rFonts w:hint="eastAsia"/>
                <w:color w:val="auto"/>
              </w:rPr>
              <w:t>下风向距离</w:t>
            </w:r>
            <w:r>
              <w:rPr>
                <w:color w:val="auto"/>
              </w:rPr>
              <w:t>/m</w:t>
            </w:r>
          </w:p>
        </w:tc>
        <w:tc>
          <w:tcPr>
            <w:tcW w:w="3335" w:type="pct"/>
            <w:gridSpan w:val="2"/>
            <w:tcBorders>
              <w:tl2br w:val="nil"/>
              <w:tr2bl w:val="nil"/>
            </w:tcBorders>
            <w:vAlign w:val="center"/>
          </w:tcPr>
          <w:p>
            <w:pPr>
              <w:pStyle w:val="45"/>
              <w:rPr>
                <w:color w:val="auto"/>
              </w:rPr>
            </w:pPr>
            <w:r>
              <w:rPr>
                <w:rFonts w:hint="eastAsia"/>
                <w:color w:val="auto"/>
              </w:rPr>
              <w:t>装置区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vMerge w:val="continue"/>
            <w:tcBorders>
              <w:tl2br w:val="nil"/>
              <w:tr2bl w:val="nil"/>
            </w:tcBorders>
            <w:vAlign w:val="center"/>
          </w:tcPr>
          <w:p>
            <w:pPr>
              <w:pStyle w:val="45"/>
              <w:rPr>
                <w:color w:val="auto"/>
                <w:lang w:val="zh-CN"/>
              </w:rPr>
            </w:pPr>
          </w:p>
        </w:tc>
        <w:tc>
          <w:tcPr>
            <w:tcW w:w="3335" w:type="pct"/>
            <w:gridSpan w:val="2"/>
            <w:tcBorders>
              <w:tl2br w:val="nil"/>
              <w:tr2bl w:val="nil"/>
            </w:tcBorders>
            <w:vAlign w:val="center"/>
          </w:tcPr>
          <w:p>
            <w:pPr>
              <w:pStyle w:val="45"/>
              <w:rPr>
                <w:color w:val="auto"/>
                <w:lang w:val="zh-CN"/>
              </w:rPr>
            </w:pPr>
            <w:r>
              <w:rPr>
                <w:rFonts w:hint="eastAsia"/>
                <w:color w:val="auto"/>
                <w:lang w:val="zh-CN"/>
              </w:rPr>
              <w:t>非甲烷总烃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vMerge w:val="continue"/>
            <w:tcBorders>
              <w:tl2br w:val="nil"/>
              <w:tr2bl w:val="nil"/>
            </w:tcBorders>
            <w:vAlign w:val="center"/>
          </w:tcPr>
          <w:p>
            <w:pPr>
              <w:pStyle w:val="45"/>
              <w:rPr>
                <w:color w:val="auto"/>
                <w:lang w:val="zh-CN"/>
              </w:rPr>
            </w:pPr>
          </w:p>
        </w:tc>
        <w:tc>
          <w:tcPr>
            <w:tcW w:w="1665" w:type="pct"/>
            <w:tcBorders>
              <w:tl2br w:val="nil"/>
              <w:tr2bl w:val="nil"/>
            </w:tcBorders>
            <w:vAlign w:val="center"/>
          </w:tcPr>
          <w:p>
            <w:pPr>
              <w:pStyle w:val="45"/>
              <w:rPr>
                <w:color w:val="auto"/>
                <w:lang w:val="zh-CN"/>
              </w:rPr>
            </w:pPr>
            <w:r>
              <w:rPr>
                <w:color w:val="auto"/>
              </w:rPr>
              <w:t>小时浓度C（</w:t>
            </w:r>
            <w:r>
              <w:rPr>
                <w:rFonts w:hint="eastAsia"/>
                <w:color w:val="auto"/>
              </w:rPr>
              <w:t>μ</w:t>
            </w:r>
            <w:r>
              <w:rPr>
                <w:color w:val="auto"/>
              </w:rPr>
              <w:t>g/m</w:t>
            </w:r>
            <w:r>
              <w:rPr>
                <w:color w:val="auto"/>
                <w:vertAlign w:val="superscript"/>
              </w:rPr>
              <w:t>3</w:t>
            </w:r>
            <w:r>
              <w:rPr>
                <w:color w:val="auto"/>
              </w:rPr>
              <w:t>）</w:t>
            </w:r>
          </w:p>
        </w:tc>
        <w:tc>
          <w:tcPr>
            <w:tcW w:w="1670" w:type="pct"/>
            <w:tcBorders>
              <w:tl2br w:val="nil"/>
              <w:tr2bl w:val="nil"/>
            </w:tcBorders>
            <w:vAlign w:val="center"/>
          </w:tcPr>
          <w:p>
            <w:pPr>
              <w:pStyle w:val="45"/>
              <w:rPr>
                <w:color w:val="auto"/>
                <w:lang w:val="zh-CN"/>
              </w:rPr>
            </w:pPr>
            <w:r>
              <w:rPr>
                <w:color w:val="auto"/>
              </w:rPr>
              <w:t>浓度占标率P（％）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10</w:t>
            </w:r>
          </w:p>
        </w:tc>
        <w:tc>
          <w:tcPr>
            <w:tcW w:w="1665" w:type="pct"/>
            <w:tcBorders>
              <w:tl2br w:val="nil"/>
              <w:tr2bl w:val="nil"/>
            </w:tcBorders>
            <w:vAlign w:val="center"/>
          </w:tcPr>
          <w:p>
            <w:pPr>
              <w:pStyle w:val="45"/>
              <w:rPr>
                <w:color w:val="auto"/>
              </w:rPr>
            </w:pPr>
            <w:r>
              <w:rPr>
                <w:rFonts w:hint="eastAsia"/>
                <w:color w:val="auto"/>
              </w:rPr>
              <w:t>7.67E+00</w:t>
            </w:r>
          </w:p>
        </w:tc>
        <w:tc>
          <w:tcPr>
            <w:tcW w:w="1670" w:type="pct"/>
            <w:tcBorders>
              <w:tl2br w:val="nil"/>
              <w:tr2bl w:val="nil"/>
            </w:tcBorders>
            <w:vAlign w:val="center"/>
          </w:tcPr>
          <w:p>
            <w:pPr>
              <w:pStyle w:val="45"/>
              <w:rPr>
                <w:color w:val="auto"/>
              </w:rPr>
            </w:pPr>
            <w:r>
              <w:rPr>
                <w:rFonts w:hint="eastAsia"/>
                <w:color w:val="auto"/>
              </w:rPr>
              <w:t>0.64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25</w:t>
            </w:r>
          </w:p>
        </w:tc>
        <w:tc>
          <w:tcPr>
            <w:tcW w:w="1665" w:type="pct"/>
            <w:tcBorders>
              <w:tl2br w:val="nil"/>
              <w:tr2bl w:val="nil"/>
            </w:tcBorders>
            <w:vAlign w:val="center"/>
          </w:tcPr>
          <w:p>
            <w:pPr>
              <w:pStyle w:val="45"/>
              <w:rPr>
                <w:color w:val="auto"/>
              </w:rPr>
            </w:pPr>
            <w:r>
              <w:rPr>
                <w:rFonts w:hint="eastAsia"/>
                <w:color w:val="auto"/>
              </w:rPr>
              <w:t>9.58E+00</w:t>
            </w:r>
          </w:p>
        </w:tc>
        <w:tc>
          <w:tcPr>
            <w:tcW w:w="1670" w:type="pct"/>
            <w:tcBorders>
              <w:tl2br w:val="nil"/>
              <w:tr2bl w:val="nil"/>
            </w:tcBorders>
            <w:vAlign w:val="center"/>
          </w:tcPr>
          <w:p>
            <w:pPr>
              <w:pStyle w:val="45"/>
              <w:rPr>
                <w:color w:val="auto"/>
              </w:rPr>
            </w:pPr>
            <w:r>
              <w:rPr>
                <w:rFonts w:hint="eastAsia"/>
                <w:color w:val="auto"/>
              </w:rPr>
              <w:t>0.80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664" w:type="pct"/>
            <w:tcBorders>
              <w:tl2br w:val="nil"/>
              <w:tr2bl w:val="nil"/>
            </w:tcBorders>
            <w:vAlign w:val="center"/>
          </w:tcPr>
          <w:p>
            <w:pPr>
              <w:pStyle w:val="45"/>
              <w:rPr>
                <w:color w:val="auto"/>
              </w:rPr>
            </w:pPr>
            <w:r>
              <w:rPr>
                <w:rFonts w:hint="eastAsia"/>
                <w:color w:val="auto"/>
              </w:rPr>
              <w:t>50</w:t>
            </w:r>
          </w:p>
        </w:tc>
        <w:tc>
          <w:tcPr>
            <w:tcW w:w="1665" w:type="pct"/>
            <w:tcBorders>
              <w:tl2br w:val="nil"/>
              <w:tr2bl w:val="nil"/>
            </w:tcBorders>
            <w:vAlign w:val="center"/>
          </w:tcPr>
          <w:p>
            <w:pPr>
              <w:pStyle w:val="45"/>
              <w:rPr>
                <w:color w:val="auto"/>
              </w:rPr>
            </w:pPr>
            <w:r>
              <w:rPr>
                <w:rFonts w:hint="eastAsia"/>
                <w:color w:val="auto"/>
              </w:rPr>
              <w:t>1.05E+01</w:t>
            </w:r>
          </w:p>
        </w:tc>
        <w:tc>
          <w:tcPr>
            <w:tcW w:w="1670" w:type="pct"/>
            <w:tcBorders>
              <w:tl2br w:val="nil"/>
              <w:tr2bl w:val="nil"/>
            </w:tcBorders>
            <w:vAlign w:val="center"/>
          </w:tcPr>
          <w:p>
            <w:pPr>
              <w:pStyle w:val="45"/>
              <w:rPr>
                <w:color w:val="auto"/>
              </w:rPr>
            </w:pPr>
            <w:r>
              <w:rPr>
                <w:rFonts w:hint="eastAsia"/>
                <w:color w:val="auto"/>
              </w:rPr>
              <w:t>0.88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55</w:t>
            </w:r>
          </w:p>
        </w:tc>
        <w:tc>
          <w:tcPr>
            <w:tcW w:w="1665" w:type="pct"/>
            <w:tcBorders>
              <w:tl2br w:val="nil"/>
              <w:tr2bl w:val="nil"/>
            </w:tcBorders>
            <w:vAlign w:val="center"/>
          </w:tcPr>
          <w:p>
            <w:pPr>
              <w:pStyle w:val="45"/>
              <w:rPr>
                <w:color w:val="auto"/>
              </w:rPr>
            </w:pPr>
            <w:r>
              <w:rPr>
                <w:rFonts w:hint="eastAsia"/>
                <w:color w:val="auto"/>
              </w:rPr>
              <w:t>1.06E+01</w:t>
            </w:r>
          </w:p>
        </w:tc>
        <w:tc>
          <w:tcPr>
            <w:tcW w:w="1670" w:type="pct"/>
            <w:tcBorders>
              <w:tl2br w:val="nil"/>
              <w:tr2bl w:val="nil"/>
            </w:tcBorders>
            <w:vAlign w:val="center"/>
          </w:tcPr>
          <w:p>
            <w:pPr>
              <w:pStyle w:val="45"/>
              <w:rPr>
                <w:color w:val="auto"/>
              </w:rPr>
            </w:pPr>
            <w:r>
              <w:rPr>
                <w:rFonts w:hint="eastAsia"/>
                <w:color w:val="auto"/>
              </w:rPr>
              <w:t>0.88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75</w:t>
            </w:r>
          </w:p>
        </w:tc>
        <w:tc>
          <w:tcPr>
            <w:tcW w:w="1665" w:type="pct"/>
            <w:tcBorders>
              <w:tl2br w:val="nil"/>
              <w:tr2bl w:val="nil"/>
            </w:tcBorders>
            <w:vAlign w:val="center"/>
          </w:tcPr>
          <w:p>
            <w:pPr>
              <w:pStyle w:val="45"/>
              <w:rPr>
                <w:color w:val="auto"/>
              </w:rPr>
            </w:pPr>
            <w:r>
              <w:rPr>
                <w:rFonts w:hint="eastAsia"/>
                <w:color w:val="auto"/>
              </w:rPr>
              <w:t>9.78E+00</w:t>
            </w:r>
          </w:p>
        </w:tc>
        <w:tc>
          <w:tcPr>
            <w:tcW w:w="1670" w:type="pct"/>
            <w:tcBorders>
              <w:tl2br w:val="nil"/>
              <w:tr2bl w:val="nil"/>
            </w:tcBorders>
            <w:vAlign w:val="center"/>
          </w:tcPr>
          <w:p>
            <w:pPr>
              <w:pStyle w:val="45"/>
              <w:rPr>
                <w:color w:val="auto"/>
              </w:rPr>
            </w:pPr>
            <w:r>
              <w:rPr>
                <w:rFonts w:hint="eastAsia"/>
                <w:color w:val="auto"/>
              </w:rPr>
              <w:t>0.82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100</w:t>
            </w:r>
          </w:p>
        </w:tc>
        <w:tc>
          <w:tcPr>
            <w:tcW w:w="1665" w:type="pct"/>
            <w:tcBorders>
              <w:tl2br w:val="nil"/>
              <w:tr2bl w:val="nil"/>
            </w:tcBorders>
            <w:vAlign w:val="center"/>
          </w:tcPr>
          <w:p>
            <w:pPr>
              <w:pStyle w:val="45"/>
              <w:rPr>
                <w:color w:val="auto"/>
              </w:rPr>
            </w:pPr>
            <w:r>
              <w:rPr>
                <w:rFonts w:hint="eastAsia"/>
                <w:color w:val="auto"/>
              </w:rPr>
              <w:t>8.10E+00</w:t>
            </w:r>
          </w:p>
        </w:tc>
        <w:tc>
          <w:tcPr>
            <w:tcW w:w="1670" w:type="pct"/>
            <w:tcBorders>
              <w:tl2br w:val="nil"/>
              <w:tr2bl w:val="nil"/>
            </w:tcBorders>
            <w:vAlign w:val="center"/>
          </w:tcPr>
          <w:p>
            <w:pPr>
              <w:pStyle w:val="45"/>
              <w:rPr>
                <w:color w:val="auto"/>
              </w:rPr>
            </w:pPr>
            <w:r>
              <w:rPr>
                <w:rFonts w:hint="eastAsia"/>
                <w:color w:val="auto"/>
              </w:rPr>
              <w:t>0.68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119</w:t>
            </w:r>
          </w:p>
        </w:tc>
        <w:tc>
          <w:tcPr>
            <w:tcW w:w="1665" w:type="pct"/>
            <w:tcBorders>
              <w:tl2br w:val="nil"/>
              <w:tr2bl w:val="nil"/>
            </w:tcBorders>
            <w:vAlign w:val="center"/>
          </w:tcPr>
          <w:p>
            <w:pPr>
              <w:pStyle w:val="45"/>
              <w:rPr>
                <w:color w:val="auto"/>
              </w:rPr>
            </w:pPr>
            <w:r>
              <w:rPr>
                <w:rFonts w:hint="eastAsia"/>
                <w:color w:val="auto"/>
              </w:rPr>
              <w:t>6.74E+00</w:t>
            </w:r>
          </w:p>
        </w:tc>
        <w:tc>
          <w:tcPr>
            <w:tcW w:w="1670" w:type="pct"/>
            <w:tcBorders>
              <w:tl2br w:val="nil"/>
              <w:tr2bl w:val="nil"/>
            </w:tcBorders>
            <w:vAlign w:val="center"/>
          </w:tcPr>
          <w:p>
            <w:pPr>
              <w:pStyle w:val="45"/>
              <w:rPr>
                <w:color w:val="auto"/>
              </w:rPr>
            </w:pPr>
            <w:r>
              <w:rPr>
                <w:rFonts w:hint="eastAsia"/>
                <w:color w:val="auto"/>
              </w:rPr>
              <w:t>0.56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125</w:t>
            </w:r>
          </w:p>
        </w:tc>
        <w:tc>
          <w:tcPr>
            <w:tcW w:w="1665" w:type="pct"/>
            <w:tcBorders>
              <w:tl2br w:val="nil"/>
              <w:tr2bl w:val="nil"/>
            </w:tcBorders>
            <w:vAlign w:val="center"/>
          </w:tcPr>
          <w:p>
            <w:pPr>
              <w:pStyle w:val="45"/>
              <w:rPr>
                <w:color w:val="auto"/>
              </w:rPr>
            </w:pPr>
            <w:r>
              <w:rPr>
                <w:rFonts w:hint="eastAsia"/>
                <w:color w:val="auto"/>
              </w:rPr>
              <w:t>5.76E+00</w:t>
            </w:r>
          </w:p>
        </w:tc>
        <w:tc>
          <w:tcPr>
            <w:tcW w:w="1670" w:type="pct"/>
            <w:tcBorders>
              <w:tl2br w:val="nil"/>
              <w:tr2bl w:val="nil"/>
            </w:tcBorders>
            <w:vAlign w:val="center"/>
          </w:tcPr>
          <w:p>
            <w:pPr>
              <w:pStyle w:val="45"/>
              <w:rPr>
                <w:color w:val="auto"/>
              </w:rPr>
            </w:pPr>
            <w:r>
              <w:rPr>
                <w:rFonts w:hint="eastAsia"/>
                <w:color w:val="auto"/>
              </w:rPr>
              <w:t>0.48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150</w:t>
            </w:r>
          </w:p>
        </w:tc>
        <w:tc>
          <w:tcPr>
            <w:tcW w:w="1665" w:type="pct"/>
            <w:tcBorders>
              <w:tl2br w:val="nil"/>
              <w:tr2bl w:val="nil"/>
            </w:tcBorders>
            <w:vAlign w:val="center"/>
          </w:tcPr>
          <w:p>
            <w:pPr>
              <w:pStyle w:val="45"/>
              <w:rPr>
                <w:color w:val="auto"/>
              </w:rPr>
            </w:pPr>
            <w:r>
              <w:rPr>
                <w:rFonts w:hint="eastAsia"/>
                <w:color w:val="auto"/>
              </w:rPr>
              <w:t>5.08E+00</w:t>
            </w:r>
          </w:p>
        </w:tc>
        <w:tc>
          <w:tcPr>
            <w:tcW w:w="1670" w:type="pct"/>
            <w:tcBorders>
              <w:tl2br w:val="nil"/>
              <w:tr2bl w:val="nil"/>
            </w:tcBorders>
            <w:vAlign w:val="center"/>
          </w:tcPr>
          <w:p>
            <w:pPr>
              <w:pStyle w:val="45"/>
              <w:rPr>
                <w:color w:val="auto"/>
              </w:rPr>
            </w:pPr>
            <w:r>
              <w:rPr>
                <w:rFonts w:hint="eastAsia"/>
                <w:color w:val="auto"/>
              </w:rPr>
              <w:t>0.42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175</w:t>
            </w:r>
          </w:p>
        </w:tc>
        <w:tc>
          <w:tcPr>
            <w:tcW w:w="1665" w:type="pct"/>
            <w:tcBorders>
              <w:tl2br w:val="nil"/>
              <w:tr2bl w:val="nil"/>
            </w:tcBorders>
            <w:vAlign w:val="center"/>
          </w:tcPr>
          <w:p>
            <w:pPr>
              <w:pStyle w:val="45"/>
              <w:rPr>
                <w:color w:val="auto"/>
              </w:rPr>
            </w:pPr>
            <w:r>
              <w:rPr>
                <w:rFonts w:hint="eastAsia"/>
                <w:color w:val="auto"/>
              </w:rPr>
              <w:t>4.59E+00</w:t>
            </w:r>
          </w:p>
        </w:tc>
        <w:tc>
          <w:tcPr>
            <w:tcW w:w="1670" w:type="pct"/>
            <w:tcBorders>
              <w:tl2br w:val="nil"/>
              <w:tr2bl w:val="nil"/>
            </w:tcBorders>
            <w:vAlign w:val="center"/>
          </w:tcPr>
          <w:p>
            <w:pPr>
              <w:pStyle w:val="45"/>
              <w:rPr>
                <w:color w:val="auto"/>
              </w:rPr>
            </w:pPr>
            <w:r>
              <w:rPr>
                <w:rFonts w:hint="eastAsia"/>
                <w:color w:val="auto"/>
              </w:rPr>
              <w:t>0.38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200</w:t>
            </w:r>
          </w:p>
        </w:tc>
        <w:tc>
          <w:tcPr>
            <w:tcW w:w="1665" w:type="pct"/>
            <w:tcBorders>
              <w:tl2br w:val="nil"/>
              <w:tr2bl w:val="nil"/>
            </w:tcBorders>
            <w:vAlign w:val="center"/>
          </w:tcPr>
          <w:p>
            <w:pPr>
              <w:pStyle w:val="45"/>
              <w:rPr>
                <w:color w:val="auto"/>
              </w:rPr>
            </w:pPr>
            <w:r>
              <w:rPr>
                <w:rFonts w:hint="eastAsia"/>
                <w:color w:val="auto"/>
              </w:rPr>
              <w:t>4.26E+00</w:t>
            </w:r>
          </w:p>
        </w:tc>
        <w:tc>
          <w:tcPr>
            <w:tcW w:w="1670" w:type="pct"/>
            <w:tcBorders>
              <w:tl2br w:val="nil"/>
              <w:tr2bl w:val="nil"/>
            </w:tcBorders>
            <w:vAlign w:val="center"/>
          </w:tcPr>
          <w:p>
            <w:pPr>
              <w:pStyle w:val="45"/>
              <w:rPr>
                <w:color w:val="auto"/>
              </w:rPr>
            </w:pPr>
            <w:r>
              <w:rPr>
                <w:rFonts w:hint="eastAsia"/>
                <w:color w:val="auto"/>
              </w:rPr>
              <w:t>0.36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225</w:t>
            </w:r>
          </w:p>
        </w:tc>
        <w:tc>
          <w:tcPr>
            <w:tcW w:w="1665" w:type="pct"/>
            <w:tcBorders>
              <w:tl2br w:val="nil"/>
              <w:tr2bl w:val="nil"/>
            </w:tcBorders>
            <w:vAlign w:val="center"/>
          </w:tcPr>
          <w:p>
            <w:pPr>
              <w:pStyle w:val="45"/>
              <w:rPr>
                <w:color w:val="auto"/>
              </w:rPr>
            </w:pPr>
            <w:r>
              <w:rPr>
                <w:rFonts w:hint="eastAsia"/>
                <w:color w:val="auto"/>
              </w:rPr>
              <w:t>3.95E+00</w:t>
            </w:r>
          </w:p>
        </w:tc>
        <w:tc>
          <w:tcPr>
            <w:tcW w:w="1670" w:type="pct"/>
            <w:tcBorders>
              <w:tl2br w:val="nil"/>
              <w:tr2bl w:val="nil"/>
            </w:tcBorders>
            <w:vAlign w:val="center"/>
          </w:tcPr>
          <w:p>
            <w:pPr>
              <w:pStyle w:val="45"/>
              <w:rPr>
                <w:color w:val="auto"/>
              </w:rPr>
            </w:pPr>
            <w:r>
              <w:rPr>
                <w:rFonts w:hint="eastAsia"/>
                <w:color w:val="auto"/>
              </w:rPr>
              <w:t>0.33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250</w:t>
            </w:r>
          </w:p>
        </w:tc>
        <w:tc>
          <w:tcPr>
            <w:tcW w:w="1665" w:type="pct"/>
            <w:tcBorders>
              <w:tl2br w:val="nil"/>
              <w:tr2bl w:val="nil"/>
            </w:tcBorders>
            <w:vAlign w:val="center"/>
          </w:tcPr>
          <w:p>
            <w:pPr>
              <w:pStyle w:val="45"/>
              <w:rPr>
                <w:color w:val="auto"/>
              </w:rPr>
            </w:pPr>
            <w:r>
              <w:rPr>
                <w:rFonts w:hint="eastAsia"/>
                <w:color w:val="auto"/>
              </w:rPr>
              <w:t>3.69E+00</w:t>
            </w:r>
          </w:p>
        </w:tc>
        <w:tc>
          <w:tcPr>
            <w:tcW w:w="1670" w:type="pct"/>
            <w:tcBorders>
              <w:tl2br w:val="nil"/>
              <w:tr2bl w:val="nil"/>
            </w:tcBorders>
            <w:vAlign w:val="center"/>
          </w:tcPr>
          <w:p>
            <w:pPr>
              <w:pStyle w:val="45"/>
              <w:rPr>
                <w:color w:val="auto"/>
              </w:rPr>
            </w:pPr>
            <w:r>
              <w:rPr>
                <w:rFonts w:hint="eastAsia"/>
                <w:color w:val="auto"/>
              </w:rPr>
              <w:t>0.31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300</w:t>
            </w:r>
          </w:p>
        </w:tc>
        <w:tc>
          <w:tcPr>
            <w:tcW w:w="1665" w:type="pct"/>
            <w:tcBorders>
              <w:tl2br w:val="nil"/>
              <w:tr2bl w:val="nil"/>
            </w:tcBorders>
            <w:vAlign w:val="center"/>
          </w:tcPr>
          <w:p>
            <w:pPr>
              <w:pStyle w:val="45"/>
              <w:rPr>
                <w:color w:val="auto"/>
              </w:rPr>
            </w:pPr>
            <w:r>
              <w:rPr>
                <w:rFonts w:hint="eastAsia"/>
                <w:color w:val="auto"/>
              </w:rPr>
              <w:t>3.46E+00</w:t>
            </w:r>
          </w:p>
        </w:tc>
        <w:tc>
          <w:tcPr>
            <w:tcW w:w="1670" w:type="pct"/>
            <w:tcBorders>
              <w:tl2br w:val="nil"/>
              <w:tr2bl w:val="nil"/>
            </w:tcBorders>
            <w:vAlign w:val="center"/>
          </w:tcPr>
          <w:p>
            <w:pPr>
              <w:pStyle w:val="45"/>
              <w:rPr>
                <w:color w:val="auto"/>
              </w:rPr>
            </w:pPr>
            <w:r>
              <w:rPr>
                <w:rFonts w:hint="eastAsia"/>
                <w:color w:val="auto"/>
              </w:rPr>
              <w:t>0.29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325</w:t>
            </w:r>
          </w:p>
        </w:tc>
        <w:tc>
          <w:tcPr>
            <w:tcW w:w="1665" w:type="pct"/>
            <w:tcBorders>
              <w:tl2br w:val="nil"/>
              <w:tr2bl w:val="nil"/>
            </w:tcBorders>
            <w:vAlign w:val="center"/>
          </w:tcPr>
          <w:p>
            <w:pPr>
              <w:pStyle w:val="45"/>
              <w:rPr>
                <w:color w:val="auto"/>
              </w:rPr>
            </w:pPr>
            <w:r>
              <w:rPr>
                <w:rFonts w:hint="eastAsia"/>
                <w:color w:val="auto"/>
              </w:rPr>
              <w:t>3.27E+00</w:t>
            </w:r>
          </w:p>
        </w:tc>
        <w:tc>
          <w:tcPr>
            <w:tcW w:w="1670" w:type="pct"/>
            <w:tcBorders>
              <w:tl2br w:val="nil"/>
              <w:tr2bl w:val="nil"/>
            </w:tcBorders>
            <w:vAlign w:val="center"/>
          </w:tcPr>
          <w:p>
            <w:pPr>
              <w:pStyle w:val="45"/>
              <w:rPr>
                <w:color w:val="auto"/>
              </w:rPr>
            </w:pPr>
            <w:r>
              <w:rPr>
                <w:rFonts w:hint="eastAsia"/>
                <w:color w:val="auto"/>
              </w:rPr>
              <w:t>0.27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350</w:t>
            </w:r>
          </w:p>
        </w:tc>
        <w:tc>
          <w:tcPr>
            <w:tcW w:w="1665" w:type="pct"/>
            <w:tcBorders>
              <w:tl2br w:val="nil"/>
              <w:tr2bl w:val="nil"/>
            </w:tcBorders>
            <w:vAlign w:val="center"/>
          </w:tcPr>
          <w:p>
            <w:pPr>
              <w:pStyle w:val="45"/>
              <w:rPr>
                <w:color w:val="auto"/>
              </w:rPr>
            </w:pPr>
            <w:r>
              <w:rPr>
                <w:rFonts w:hint="eastAsia"/>
                <w:color w:val="auto"/>
              </w:rPr>
              <w:t>3.10E+00</w:t>
            </w:r>
          </w:p>
        </w:tc>
        <w:tc>
          <w:tcPr>
            <w:tcW w:w="1670" w:type="pct"/>
            <w:tcBorders>
              <w:tl2br w:val="nil"/>
              <w:tr2bl w:val="nil"/>
            </w:tcBorders>
            <w:vAlign w:val="center"/>
          </w:tcPr>
          <w:p>
            <w:pPr>
              <w:pStyle w:val="45"/>
              <w:rPr>
                <w:color w:val="auto"/>
              </w:rPr>
            </w:pPr>
            <w:r>
              <w:rPr>
                <w:rFonts w:hint="eastAsia"/>
                <w:color w:val="auto"/>
              </w:rPr>
              <w:t>0.26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375</w:t>
            </w:r>
          </w:p>
        </w:tc>
        <w:tc>
          <w:tcPr>
            <w:tcW w:w="1665" w:type="pct"/>
            <w:tcBorders>
              <w:tl2br w:val="nil"/>
              <w:tr2bl w:val="nil"/>
            </w:tcBorders>
            <w:vAlign w:val="center"/>
          </w:tcPr>
          <w:p>
            <w:pPr>
              <w:pStyle w:val="45"/>
              <w:rPr>
                <w:color w:val="auto"/>
              </w:rPr>
            </w:pPr>
            <w:r>
              <w:rPr>
                <w:rFonts w:hint="eastAsia"/>
                <w:color w:val="auto"/>
              </w:rPr>
              <w:t>2.95E+00</w:t>
            </w:r>
          </w:p>
        </w:tc>
        <w:tc>
          <w:tcPr>
            <w:tcW w:w="1670" w:type="pct"/>
            <w:tcBorders>
              <w:tl2br w:val="nil"/>
              <w:tr2bl w:val="nil"/>
            </w:tcBorders>
            <w:vAlign w:val="center"/>
          </w:tcPr>
          <w:p>
            <w:pPr>
              <w:pStyle w:val="45"/>
              <w:rPr>
                <w:color w:val="auto"/>
              </w:rPr>
            </w:pPr>
            <w:r>
              <w:rPr>
                <w:rFonts w:hint="eastAsia"/>
                <w:color w:val="auto"/>
              </w:rPr>
              <w:t>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400</w:t>
            </w:r>
          </w:p>
        </w:tc>
        <w:tc>
          <w:tcPr>
            <w:tcW w:w="1665" w:type="pct"/>
            <w:tcBorders>
              <w:tl2br w:val="nil"/>
              <w:tr2bl w:val="nil"/>
            </w:tcBorders>
            <w:vAlign w:val="center"/>
          </w:tcPr>
          <w:p>
            <w:pPr>
              <w:pStyle w:val="45"/>
              <w:rPr>
                <w:color w:val="auto"/>
              </w:rPr>
            </w:pPr>
            <w:r>
              <w:rPr>
                <w:rFonts w:hint="eastAsia"/>
                <w:color w:val="auto"/>
              </w:rPr>
              <w:t>2.82E+00</w:t>
            </w:r>
          </w:p>
        </w:tc>
        <w:tc>
          <w:tcPr>
            <w:tcW w:w="1670" w:type="pct"/>
            <w:tcBorders>
              <w:tl2br w:val="nil"/>
              <w:tr2bl w:val="nil"/>
            </w:tcBorders>
            <w:vAlign w:val="center"/>
          </w:tcPr>
          <w:p>
            <w:pPr>
              <w:pStyle w:val="45"/>
              <w:rPr>
                <w:color w:val="auto"/>
              </w:rPr>
            </w:pPr>
            <w:r>
              <w:rPr>
                <w:rFonts w:hint="eastAsia"/>
                <w:color w:val="auto"/>
              </w:rPr>
              <w:t>0.24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425</w:t>
            </w:r>
          </w:p>
        </w:tc>
        <w:tc>
          <w:tcPr>
            <w:tcW w:w="1665" w:type="pct"/>
            <w:tcBorders>
              <w:tl2br w:val="nil"/>
              <w:tr2bl w:val="nil"/>
            </w:tcBorders>
            <w:vAlign w:val="center"/>
          </w:tcPr>
          <w:p>
            <w:pPr>
              <w:pStyle w:val="45"/>
              <w:rPr>
                <w:color w:val="auto"/>
              </w:rPr>
            </w:pPr>
            <w:r>
              <w:rPr>
                <w:rFonts w:hint="eastAsia"/>
                <w:color w:val="auto"/>
              </w:rPr>
              <w:t>2.70E+00</w:t>
            </w:r>
          </w:p>
        </w:tc>
        <w:tc>
          <w:tcPr>
            <w:tcW w:w="1670" w:type="pct"/>
            <w:tcBorders>
              <w:tl2br w:val="nil"/>
              <w:tr2bl w:val="nil"/>
            </w:tcBorders>
            <w:vAlign w:val="center"/>
          </w:tcPr>
          <w:p>
            <w:pPr>
              <w:pStyle w:val="45"/>
              <w:rPr>
                <w:color w:val="auto"/>
              </w:rPr>
            </w:pPr>
            <w:r>
              <w:rPr>
                <w:rFonts w:hint="eastAsia"/>
                <w:color w:val="auto"/>
              </w:rPr>
              <w:t>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450</w:t>
            </w:r>
          </w:p>
        </w:tc>
        <w:tc>
          <w:tcPr>
            <w:tcW w:w="1665" w:type="pct"/>
            <w:tcBorders>
              <w:tl2br w:val="nil"/>
              <w:tr2bl w:val="nil"/>
            </w:tcBorders>
            <w:vAlign w:val="center"/>
          </w:tcPr>
          <w:p>
            <w:pPr>
              <w:pStyle w:val="45"/>
              <w:rPr>
                <w:color w:val="auto"/>
              </w:rPr>
            </w:pPr>
            <w:r>
              <w:rPr>
                <w:rFonts w:hint="eastAsia"/>
                <w:color w:val="auto"/>
              </w:rPr>
              <w:t>2.59E+00</w:t>
            </w:r>
          </w:p>
        </w:tc>
        <w:tc>
          <w:tcPr>
            <w:tcW w:w="1670" w:type="pct"/>
            <w:tcBorders>
              <w:tl2br w:val="nil"/>
              <w:tr2bl w:val="nil"/>
            </w:tcBorders>
            <w:vAlign w:val="center"/>
          </w:tcPr>
          <w:p>
            <w:pPr>
              <w:pStyle w:val="45"/>
              <w:rPr>
                <w:color w:val="auto"/>
              </w:rPr>
            </w:pPr>
            <w:r>
              <w:rPr>
                <w:rFonts w:hint="eastAsia"/>
                <w:color w:val="auto"/>
              </w:rPr>
              <w:t>0.22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475</w:t>
            </w:r>
          </w:p>
        </w:tc>
        <w:tc>
          <w:tcPr>
            <w:tcW w:w="1665" w:type="pct"/>
            <w:tcBorders>
              <w:tl2br w:val="nil"/>
              <w:tr2bl w:val="nil"/>
            </w:tcBorders>
            <w:vAlign w:val="center"/>
          </w:tcPr>
          <w:p>
            <w:pPr>
              <w:pStyle w:val="45"/>
              <w:rPr>
                <w:color w:val="auto"/>
              </w:rPr>
            </w:pPr>
            <w:r>
              <w:rPr>
                <w:rFonts w:hint="eastAsia"/>
                <w:color w:val="auto"/>
              </w:rPr>
              <w:t>2.50E+00</w:t>
            </w:r>
          </w:p>
        </w:tc>
        <w:tc>
          <w:tcPr>
            <w:tcW w:w="1670" w:type="pct"/>
            <w:tcBorders>
              <w:tl2br w:val="nil"/>
              <w:tr2bl w:val="nil"/>
            </w:tcBorders>
            <w:vAlign w:val="center"/>
          </w:tcPr>
          <w:p>
            <w:pPr>
              <w:pStyle w:val="45"/>
              <w:rPr>
                <w:color w:val="auto"/>
              </w:rPr>
            </w:pPr>
            <w:r>
              <w:rPr>
                <w:rFonts w:hint="eastAsia"/>
                <w:color w:val="auto"/>
              </w:rPr>
              <w:t>0.21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500</w:t>
            </w:r>
          </w:p>
        </w:tc>
        <w:tc>
          <w:tcPr>
            <w:tcW w:w="1665" w:type="pct"/>
            <w:tcBorders>
              <w:tl2br w:val="nil"/>
              <w:tr2bl w:val="nil"/>
            </w:tcBorders>
            <w:vAlign w:val="center"/>
          </w:tcPr>
          <w:p>
            <w:pPr>
              <w:pStyle w:val="45"/>
              <w:rPr>
                <w:color w:val="auto"/>
              </w:rPr>
            </w:pPr>
            <w:r>
              <w:rPr>
                <w:rFonts w:hint="eastAsia"/>
                <w:color w:val="auto"/>
              </w:rPr>
              <w:t>2.41E+00</w:t>
            </w:r>
          </w:p>
        </w:tc>
        <w:tc>
          <w:tcPr>
            <w:tcW w:w="1670" w:type="pct"/>
            <w:tcBorders>
              <w:tl2br w:val="nil"/>
              <w:tr2bl w:val="nil"/>
            </w:tcBorders>
            <w:vAlign w:val="center"/>
          </w:tcPr>
          <w:p>
            <w:pPr>
              <w:pStyle w:val="45"/>
              <w:rPr>
                <w:color w:val="auto"/>
              </w:rPr>
            </w:pPr>
            <w:r>
              <w:rPr>
                <w:rFonts w:hint="eastAsia"/>
                <w:color w:val="auto"/>
              </w:rPr>
              <w:t>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color w:val="auto"/>
              </w:rPr>
              <w:t>下风向最大质量浓度及占标率/%</w:t>
            </w:r>
          </w:p>
        </w:tc>
        <w:tc>
          <w:tcPr>
            <w:tcW w:w="2837" w:type="dxa"/>
            <w:tcBorders>
              <w:tl2br w:val="nil"/>
              <w:tr2bl w:val="nil"/>
            </w:tcBorders>
            <w:vAlign w:val="center"/>
          </w:tcPr>
          <w:p>
            <w:pPr>
              <w:pStyle w:val="45"/>
              <w:rPr>
                <w:color w:val="auto"/>
              </w:rPr>
            </w:pPr>
            <w:r>
              <w:rPr>
                <w:rFonts w:hint="eastAsia"/>
                <w:color w:val="auto"/>
              </w:rPr>
              <w:t>1.06E+01</w:t>
            </w:r>
          </w:p>
        </w:tc>
        <w:tc>
          <w:tcPr>
            <w:tcW w:w="2846" w:type="dxa"/>
            <w:tcBorders>
              <w:tl2br w:val="nil"/>
              <w:tr2bl w:val="nil"/>
            </w:tcBorders>
            <w:vAlign w:val="center"/>
          </w:tcPr>
          <w:p>
            <w:pPr>
              <w:pStyle w:val="45"/>
              <w:rPr>
                <w:color w:val="auto"/>
              </w:rPr>
            </w:pPr>
            <w:r>
              <w:rPr>
                <w:rFonts w:hint="eastAsia"/>
                <w:color w:val="auto"/>
              </w:rPr>
              <w:t>0.88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color w:val="auto"/>
              </w:rPr>
              <w:t>D10%最远距离/m</w:t>
            </w:r>
          </w:p>
        </w:tc>
        <w:tc>
          <w:tcPr>
            <w:tcW w:w="3335" w:type="pct"/>
            <w:gridSpan w:val="2"/>
            <w:tcBorders>
              <w:tl2br w:val="nil"/>
              <w:tr2bl w:val="nil"/>
            </w:tcBorders>
            <w:vAlign w:val="center"/>
          </w:tcPr>
          <w:p>
            <w:pPr>
              <w:pStyle w:val="45"/>
              <w:rPr>
                <w:color w:val="auto"/>
              </w:rPr>
            </w:pPr>
            <w:r>
              <w:rPr>
                <w:rFonts w:hint="eastAsia"/>
                <w:color w:val="auto"/>
              </w:rPr>
              <w:t>未出现</w:t>
            </w:r>
          </w:p>
        </w:tc>
      </w:tr>
    </w:tbl>
    <w:p>
      <w:pPr>
        <w:pStyle w:val="57"/>
        <w:rPr>
          <w:color w:val="auto"/>
        </w:rPr>
      </w:pPr>
      <w:r>
        <w:rPr>
          <w:rFonts w:hint="eastAsia"/>
          <w:color w:val="auto"/>
        </w:rPr>
        <w:t>表5.1-16  拟建项目</w:t>
      </w:r>
      <w:r>
        <w:rPr>
          <w:color w:val="auto"/>
        </w:rPr>
        <w:t>无组织污染源</w:t>
      </w:r>
      <w:r>
        <w:rPr>
          <w:rFonts w:hint="eastAsia"/>
          <w:color w:val="auto"/>
        </w:rPr>
        <w:t>（生产车间）</w:t>
      </w:r>
      <w:r>
        <w:rPr>
          <w:color w:val="auto"/>
        </w:rPr>
        <w:t>估算模型计算结果表</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38"/>
        <w:gridCol w:w="2839"/>
        <w:gridCol w:w="28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vMerge w:val="restart"/>
            <w:tcBorders>
              <w:tl2br w:val="nil"/>
              <w:tr2bl w:val="nil"/>
            </w:tcBorders>
            <w:vAlign w:val="center"/>
          </w:tcPr>
          <w:p>
            <w:pPr>
              <w:pStyle w:val="45"/>
              <w:rPr>
                <w:color w:val="auto"/>
                <w:lang w:val="zh-CN"/>
              </w:rPr>
            </w:pPr>
            <w:r>
              <w:rPr>
                <w:rFonts w:hint="eastAsia"/>
                <w:color w:val="auto"/>
              </w:rPr>
              <w:t>下风向距离</w:t>
            </w:r>
            <w:r>
              <w:rPr>
                <w:color w:val="auto"/>
              </w:rPr>
              <w:t>/m</w:t>
            </w:r>
          </w:p>
        </w:tc>
        <w:tc>
          <w:tcPr>
            <w:tcW w:w="3335" w:type="pct"/>
            <w:gridSpan w:val="2"/>
            <w:tcBorders>
              <w:tl2br w:val="nil"/>
              <w:tr2bl w:val="nil"/>
            </w:tcBorders>
            <w:vAlign w:val="center"/>
          </w:tcPr>
          <w:p>
            <w:pPr>
              <w:pStyle w:val="45"/>
              <w:rPr>
                <w:color w:val="auto"/>
              </w:rPr>
            </w:pPr>
            <w:r>
              <w:rPr>
                <w:rFonts w:hint="eastAsia"/>
                <w:color w:val="auto"/>
              </w:rPr>
              <w:t>生产车间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vMerge w:val="continue"/>
            <w:tcBorders>
              <w:tl2br w:val="nil"/>
              <w:tr2bl w:val="nil"/>
            </w:tcBorders>
            <w:vAlign w:val="center"/>
          </w:tcPr>
          <w:p>
            <w:pPr>
              <w:pStyle w:val="45"/>
              <w:rPr>
                <w:color w:val="auto"/>
                <w:lang w:val="zh-CN"/>
              </w:rPr>
            </w:pPr>
          </w:p>
        </w:tc>
        <w:tc>
          <w:tcPr>
            <w:tcW w:w="3335" w:type="pct"/>
            <w:gridSpan w:val="2"/>
            <w:tcBorders>
              <w:tl2br w:val="nil"/>
              <w:tr2bl w:val="nil"/>
            </w:tcBorders>
            <w:vAlign w:val="center"/>
          </w:tcPr>
          <w:p>
            <w:pPr>
              <w:pStyle w:val="45"/>
              <w:rPr>
                <w:color w:val="auto"/>
                <w:lang w:val="zh-CN"/>
              </w:rPr>
            </w:pPr>
            <w:r>
              <w:rPr>
                <w:rFonts w:hint="eastAsia"/>
                <w:color w:val="auto"/>
                <w:lang w:val="zh-CN"/>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vMerge w:val="continue"/>
            <w:tcBorders>
              <w:tl2br w:val="nil"/>
              <w:tr2bl w:val="nil"/>
            </w:tcBorders>
            <w:vAlign w:val="center"/>
          </w:tcPr>
          <w:p>
            <w:pPr>
              <w:pStyle w:val="45"/>
              <w:rPr>
                <w:color w:val="auto"/>
                <w:lang w:val="zh-CN"/>
              </w:rPr>
            </w:pPr>
          </w:p>
        </w:tc>
        <w:tc>
          <w:tcPr>
            <w:tcW w:w="1665" w:type="pct"/>
            <w:tcBorders>
              <w:tl2br w:val="nil"/>
              <w:tr2bl w:val="nil"/>
            </w:tcBorders>
            <w:vAlign w:val="center"/>
          </w:tcPr>
          <w:p>
            <w:pPr>
              <w:pStyle w:val="45"/>
              <w:rPr>
                <w:color w:val="auto"/>
                <w:lang w:val="zh-CN"/>
              </w:rPr>
            </w:pPr>
            <w:r>
              <w:rPr>
                <w:color w:val="auto"/>
              </w:rPr>
              <w:t>小时浓度C（</w:t>
            </w:r>
            <w:r>
              <w:rPr>
                <w:rFonts w:hint="eastAsia"/>
                <w:color w:val="auto"/>
              </w:rPr>
              <w:t>μ</w:t>
            </w:r>
            <w:r>
              <w:rPr>
                <w:color w:val="auto"/>
              </w:rPr>
              <w:t>g/m</w:t>
            </w:r>
            <w:r>
              <w:rPr>
                <w:color w:val="auto"/>
                <w:vertAlign w:val="superscript"/>
              </w:rPr>
              <w:t>3</w:t>
            </w:r>
            <w:r>
              <w:rPr>
                <w:color w:val="auto"/>
              </w:rPr>
              <w:t>）</w:t>
            </w:r>
          </w:p>
        </w:tc>
        <w:tc>
          <w:tcPr>
            <w:tcW w:w="1669" w:type="pct"/>
            <w:tcBorders>
              <w:tl2br w:val="nil"/>
              <w:tr2bl w:val="nil"/>
            </w:tcBorders>
            <w:vAlign w:val="center"/>
          </w:tcPr>
          <w:p>
            <w:pPr>
              <w:pStyle w:val="45"/>
              <w:rPr>
                <w:color w:val="auto"/>
                <w:lang w:val="zh-CN"/>
              </w:rPr>
            </w:pPr>
            <w:r>
              <w:rPr>
                <w:color w:val="auto"/>
              </w:rPr>
              <w:t>浓度占标率P（％）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10</w:t>
            </w:r>
          </w:p>
        </w:tc>
        <w:tc>
          <w:tcPr>
            <w:tcW w:w="1665" w:type="pct"/>
            <w:tcBorders>
              <w:tl2br w:val="nil"/>
              <w:tr2bl w:val="nil"/>
            </w:tcBorders>
            <w:vAlign w:val="center"/>
          </w:tcPr>
          <w:p>
            <w:pPr>
              <w:pStyle w:val="45"/>
              <w:rPr>
                <w:color w:val="auto"/>
              </w:rPr>
            </w:pPr>
            <w:r>
              <w:rPr>
                <w:rFonts w:hint="eastAsia"/>
                <w:color w:val="auto"/>
              </w:rPr>
              <w:t>1.32E+00</w:t>
            </w:r>
          </w:p>
        </w:tc>
        <w:tc>
          <w:tcPr>
            <w:tcW w:w="1669" w:type="pct"/>
            <w:tcBorders>
              <w:tl2br w:val="nil"/>
              <w:tr2bl w:val="nil"/>
            </w:tcBorders>
            <w:vAlign w:val="center"/>
          </w:tcPr>
          <w:p>
            <w:pPr>
              <w:pStyle w:val="45"/>
              <w:rPr>
                <w:color w:val="auto"/>
              </w:rPr>
            </w:pPr>
            <w:r>
              <w:rPr>
                <w:rFonts w:hint="eastAsia"/>
                <w:color w:val="auto"/>
              </w:rPr>
              <w:t>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13</w:t>
            </w:r>
          </w:p>
        </w:tc>
        <w:tc>
          <w:tcPr>
            <w:tcW w:w="1665" w:type="pct"/>
            <w:tcBorders>
              <w:tl2br w:val="nil"/>
              <w:tr2bl w:val="nil"/>
            </w:tcBorders>
            <w:vAlign w:val="center"/>
          </w:tcPr>
          <w:p>
            <w:pPr>
              <w:pStyle w:val="45"/>
              <w:rPr>
                <w:color w:val="auto"/>
              </w:rPr>
            </w:pPr>
            <w:r>
              <w:rPr>
                <w:rFonts w:hint="eastAsia"/>
                <w:color w:val="auto"/>
              </w:rPr>
              <w:t>1.35E+00</w:t>
            </w:r>
          </w:p>
        </w:tc>
        <w:tc>
          <w:tcPr>
            <w:tcW w:w="1669" w:type="pct"/>
            <w:tcBorders>
              <w:tl2br w:val="nil"/>
              <w:tr2bl w:val="nil"/>
            </w:tcBorders>
            <w:vAlign w:val="center"/>
          </w:tcPr>
          <w:p>
            <w:pPr>
              <w:pStyle w:val="45"/>
              <w:rPr>
                <w:color w:val="auto"/>
              </w:rPr>
            </w:pPr>
            <w:r>
              <w:rPr>
                <w:rFonts w:hint="eastAsia"/>
                <w:color w:val="auto"/>
              </w:rPr>
              <w:t>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2836" w:type="dxa"/>
            <w:tcBorders>
              <w:tl2br w:val="nil"/>
              <w:tr2bl w:val="nil"/>
            </w:tcBorders>
            <w:vAlign w:val="center"/>
          </w:tcPr>
          <w:p>
            <w:pPr>
              <w:pStyle w:val="45"/>
              <w:rPr>
                <w:color w:val="auto"/>
              </w:rPr>
            </w:pPr>
            <w:r>
              <w:rPr>
                <w:rFonts w:hint="eastAsia"/>
                <w:color w:val="auto"/>
              </w:rPr>
              <w:t>25</w:t>
            </w:r>
          </w:p>
        </w:tc>
        <w:tc>
          <w:tcPr>
            <w:tcW w:w="1665" w:type="pct"/>
            <w:tcBorders>
              <w:tl2br w:val="nil"/>
              <w:tr2bl w:val="nil"/>
            </w:tcBorders>
            <w:vAlign w:val="center"/>
          </w:tcPr>
          <w:p>
            <w:pPr>
              <w:pStyle w:val="45"/>
              <w:rPr>
                <w:color w:val="auto"/>
              </w:rPr>
            </w:pPr>
            <w:r>
              <w:rPr>
                <w:rFonts w:hint="eastAsia"/>
                <w:color w:val="auto"/>
              </w:rPr>
              <w:t>1.04E+00</w:t>
            </w:r>
          </w:p>
        </w:tc>
        <w:tc>
          <w:tcPr>
            <w:tcW w:w="1669" w:type="pct"/>
            <w:tcBorders>
              <w:tl2br w:val="nil"/>
              <w:tr2bl w:val="nil"/>
            </w:tcBorders>
            <w:vAlign w:val="center"/>
          </w:tcPr>
          <w:p>
            <w:pPr>
              <w:pStyle w:val="45"/>
              <w:rPr>
                <w:color w:val="auto"/>
              </w:rPr>
            </w:pPr>
            <w:r>
              <w:rPr>
                <w:rFonts w:hint="eastAsia"/>
                <w:color w:val="auto"/>
              </w:rPr>
              <w:t>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836" w:type="dxa"/>
            <w:tcBorders>
              <w:tl2br w:val="nil"/>
              <w:tr2bl w:val="nil"/>
            </w:tcBorders>
            <w:vAlign w:val="center"/>
          </w:tcPr>
          <w:p>
            <w:pPr>
              <w:pStyle w:val="45"/>
              <w:rPr>
                <w:color w:val="auto"/>
              </w:rPr>
            </w:pPr>
            <w:r>
              <w:rPr>
                <w:rFonts w:hint="eastAsia"/>
                <w:color w:val="auto"/>
              </w:rPr>
              <w:t>50</w:t>
            </w:r>
          </w:p>
        </w:tc>
        <w:tc>
          <w:tcPr>
            <w:tcW w:w="1665" w:type="pct"/>
            <w:tcBorders>
              <w:tl2br w:val="nil"/>
              <w:tr2bl w:val="nil"/>
            </w:tcBorders>
            <w:vAlign w:val="center"/>
          </w:tcPr>
          <w:p>
            <w:pPr>
              <w:pStyle w:val="45"/>
              <w:rPr>
                <w:color w:val="auto"/>
              </w:rPr>
            </w:pPr>
            <w:r>
              <w:rPr>
                <w:rFonts w:hint="eastAsia"/>
                <w:color w:val="auto"/>
              </w:rPr>
              <w:t>5.68E-01</w:t>
            </w:r>
          </w:p>
        </w:tc>
        <w:tc>
          <w:tcPr>
            <w:tcW w:w="1669" w:type="pct"/>
            <w:tcBorders>
              <w:tl2br w:val="nil"/>
              <w:tr2bl w:val="nil"/>
            </w:tcBorders>
            <w:vAlign w:val="center"/>
          </w:tcPr>
          <w:p>
            <w:pPr>
              <w:pStyle w:val="45"/>
              <w:rPr>
                <w:color w:val="auto"/>
              </w:rPr>
            </w:pPr>
            <w:r>
              <w:rPr>
                <w:rFonts w:hint="eastAsia"/>
                <w:color w:val="auto"/>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836" w:type="dxa"/>
            <w:tcBorders>
              <w:tl2br w:val="nil"/>
              <w:tr2bl w:val="nil"/>
            </w:tcBorders>
            <w:vAlign w:val="center"/>
          </w:tcPr>
          <w:p>
            <w:pPr>
              <w:pStyle w:val="45"/>
              <w:rPr>
                <w:color w:val="auto"/>
              </w:rPr>
            </w:pPr>
            <w:r>
              <w:rPr>
                <w:rFonts w:hint="eastAsia"/>
                <w:color w:val="auto"/>
              </w:rPr>
              <w:t>70</w:t>
            </w:r>
          </w:p>
        </w:tc>
        <w:tc>
          <w:tcPr>
            <w:tcW w:w="1665" w:type="pct"/>
            <w:tcBorders>
              <w:tl2br w:val="nil"/>
              <w:tr2bl w:val="nil"/>
            </w:tcBorders>
            <w:vAlign w:val="center"/>
          </w:tcPr>
          <w:p>
            <w:pPr>
              <w:pStyle w:val="45"/>
              <w:rPr>
                <w:color w:val="auto"/>
              </w:rPr>
            </w:pPr>
            <w:r>
              <w:rPr>
                <w:rFonts w:hint="eastAsia"/>
                <w:color w:val="auto"/>
              </w:rPr>
              <w:t>4.11E-01</w:t>
            </w:r>
          </w:p>
        </w:tc>
        <w:tc>
          <w:tcPr>
            <w:tcW w:w="1669" w:type="pct"/>
            <w:tcBorders>
              <w:tl2br w:val="nil"/>
              <w:tr2bl w:val="nil"/>
            </w:tcBorders>
            <w:vAlign w:val="center"/>
          </w:tcPr>
          <w:p>
            <w:pPr>
              <w:pStyle w:val="45"/>
              <w:rPr>
                <w:color w:val="auto"/>
              </w:rPr>
            </w:pPr>
            <w:r>
              <w:rPr>
                <w:rFonts w:hint="eastAsia"/>
                <w:color w:val="auto"/>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836" w:type="dxa"/>
            <w:tcBorders>
              <w:tl2br w:val="nil"/>
              <w:tr2bl w:val="nil"/>
            </w:tcBorders>
            <w:vAlign w:val="center"/>
          </w:tcPr>
          <w:p>
            <w:pPr>
              <w:pStyle w:val="45"/>
              <w:rPr>
                <w:color w:val="auto"/>
              </w:rPr>
            </w:pPr>
            <w:r>
              <w:rPr>
                <w:rFonts w:hint="eastAsia"/>
                <w:color w:val="auto"/>
              </w:rPr>
              <w:t>75</w:t>
            </w:r>
          </w:p>
        </w:tc>
        <w:tc>
          <w:tcPr>
            <w:tcW w:w="1665" w:type="pct"/>
            <w:tcBorders>
              <w:tl2br w:val="nil"/>
              <w:tr2bl w:val="nil"/>
            </w:tcBorders>
            <w:vAlign w:val="center"/>
          </w:tcPr>
          <w:p>
            <w:pPr>
              <w:pStyle w:val="45"/>
              <w:rPr>
                <w:color w:val="auto"/>
              </w:rPr>
            </w:pPr>
            <w:r>
              <w:rPr>
                <w:rFonts w:hint="eastAsia"/>
                <w:color w:val="auto"/>
              </w:rPr>
              <w:t>3.73E-01</w:t>
            </w:r>
          </w:p>
        </w:tc>
        <w:tc>
          <w:tcPr>
            <w:tcW w:w="1669" w:type="pct"/>
            <w:tcBorders>
              <w:tl2br w:val="nil"/>
              <w:tr2bl w:val="nil"/>
            </w:tcBorders>
            <w:vAlign w:val="center"/>
          </w:tcPr>
          <w:p>
            <w:pPr>
              <w:pStyle w:val="45"/>
              <w:rPr>
                <w:color w:val="auto"/>
              </w:rPr>
            </w:pPr>
            <w:r>
              <w:rPr>
                <w:rFonts w:hint="eastAsia"/>
                <w:color w:val="auto"/>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836" w:type="dxa"/>
            <w:tcBorders>
              <w:tl2br w:val="nil"/>
              <w:tr2bl w:val="nil"/>
            </w:tcBorders>
            <w:vAlign w:val="center"/>
          </w:tcPr>
          <w:p>
            <w:pPr>
              <w:pStyle w:val="45"/>
              <w:rPr>
                <w:color w:val="auto"/>
              </w:rPr>
            </w:pPr>
            <w:r>
              <w:rPr>
                <w:rFonts w:hint="eastAsia"/>
                <w:color w:val="auto"/>
              </w:rPr>
              <w:t>100</w:t>
            </w:r>
          </w:p>
        </w:tc>
        <w:tc>
          <w:tcPr>
            <w:tcW w:w="1665" w:type="pct"/>
            <w:tcBorders>
              <w:tl2br w:val="nil"/>
              <w:tr2bl w:val="nil"/>
            </w:tcBorders>
            <w:vAlign w:val="center"/>
          </w:tcPr>
          <w:p>
            <w:pPr>
              <w:pStyle w:val="45"/>
              <w:rPr>
                <w:color w:val="auto"/>
              </w:rPr>
            </w:pPr>
            <w:r>
              <w:rPr>
                <w:rFonts w:hint="eastAsia"/>
                <w:color w:val="auto"/>
              </w:rPr>
              <w:t>3.47E-01</w:t>
            </w:r>
          </w:p>
        </w:tc>
        <w:tc>
          <w:tcPr>
            <w:tcW w:w="1669" w:type="pct"/>
            <w:tcBorders>
              <w:tl2br w:val="nil"/>
              <w:tr2bl w:val="nil"/>
            </w:tcBorders>
            <w:vAlign w:val="center"/>
          </w:tcPr>
          <w:p>
            <w:pPr>
              <w:pStyle w:val="45"/>
              <w:rPr>
                <w:color w:val="auto"/>
              </w:rPr>
            </w:pPr>
            <w:r>
              <w:rPr>
                <w:rFonts w:hint="eastAsia"/>
                <w:color w:val="auto"/>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125</w:t>
            </w:r>
          </w:p>
        </w:tc>
        <w:tc>
          <w:tcPr>
            <w:tcW w:w="1665" w:type="pct"/>
            <w:tcBorders>
              <w:tl2br w:val="nil"/>
              <w:tr2bl w:val="nil"/>
            </w:tcBorders>
            <w:vAlign w:val="center"/>
          </w:tcPr>
          <w:p>
            <w:pPr>
              <w:pStyle w:val="45"/>
              <w:rPr>
                <w:color w:val="auto"/>
              </w:rPr>
            </w:pPr>
            <w:r>
              <w:rPr>
                <w:rFonts w:hint="eastAsia"/>
                <w:color w:val="auto"/>
              </w:rPr>
              <w:t>3.27E-01</w:t>
            </w:r>
          </w:p>
        </w:tc>
        <w:tc>
          <w:tcPr>
            <w:tcW w:w="1669" w:type="pct"/>
            <w:tcBorders>
              <w:tl2br w:val="nil"/>
              <w:tr2bl w:val="nil"/>
            </w:tcBorders>
            <w:vAlign w:val="center"/>
          </w:tcPr>
          <w:p>
            <w:pPr>
              <w:pStyle w:val="45"/>
              <w:rPr>
                <w:color w:val="auto"/>
              </w:rPr>
            </w:pPr>
            <w:r>
              <w:rPr>
                <w:rFonts w:hint="eastAsia"/>
                <w:color w:val="auto"/>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150</w:t>
            </w:r>
          </w:p>
        </w:tc>
        <w:tc>
          <w:tcPr>
            <w:tcW w:w="1665" w:type="pct"/>
            <w:tcBorders>
              <w:tl2br w:val="nil"/>
              <w:tr2bl w:val="nil"/>
            </w:tcBorders>
            <w:vAlign w:val="center"/>
          </w:tcPr>
          <w:p>
            <w:pPr>
              <w:pStyle w:val="45"/>
              <w:rPr>
                <w:color w:val="auto"/>
              </w:rPr>
            </w:pPr>
            <w:r>
              <w:rPr>
                <w:rFonts w:hint="eastAsia"/>
                <w:color w:val="auto"/>
              </w:rPr>
              <w:t>3.11E-01</w:t>
            </w:r>
          </w:p>
        </w:tc>
        <w:tc>
          <w:tcPr>
            <w:tcW w:w="1669" w:type="pct"/>
            <w:tcBorders>
              <w:tl2br w:val="nil"/>
              <w:tr2bl w:val="nil"/>
            </w:tcBorders>
            <w:vAlign w:val="center"/>
          </w:tcPr>
          <w:p>
            <w:pPr>
              <w:pStyle w:val="45"/>
              <w:rPr>
                <w:color w:val="auto"/>
              </w:rPr>
            </w:pPr>
            <w:r>
              <w:rPr>
                <w:rFonts w:hint="eastAsia"/>
                <w:color w:val="auto"/>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175</w:t>
            </w:r>
          </w:p>
        </w:tc>
        <w:tc>
          <w:tcPr>
            <w:tcW w:w="1665" w:type="pct"/>
            <w:tcBorders>
              <w:tl2br w:val="nil"/>
              <w:tr2bl w:val="nil"/>
            </w:tcBorders>
            <w:vAlign w:val="center"/>
          </w:tcPr>
          <w:p>
            <w:pPr>
              <w:pStyle w:val="45"/>
              <w:rPr>
                <w:color w:val="auto"/>
              </w:rPr>
            </w:pPr>
            <w:r>
              <w:rPr>
                <w:rFonts w:hint="eastAsia"/>
                <w:color w:val="auto"/>
              </w:rPr>
              <w:t>2.97E-01</w:t>
            </w:r>
          </w:p>
        </w:tc>
        <w:tc>
          <w:tcPr>
            <w:tcW w:w="1669" w:type="pct"/>
            <w:tcBorders>
              <w:tl2br w:val="nil"/>
              <w:tr2bl w:val="nil"/>
            </w:tcBorders>
            <w:vAlign w:val="center"/>
          </w:tcPr>
          <w:p>
            <w:pPr>
              <w:pStyle w:val="45"/>
              <w:rPr>
                <w:color w:val="auto"/>
              </w:rPr>
            </w:pPr>
            <w:r>
              <w:rPr>
                <w:rFonts w:hint="eastAsia"/>
                <w:color w:val="auto"/>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200</w:t>
            </w:r>
          </w:p>
        </w:tc>
        <w:tc>
          <w:tcPr>
            <w:tcW w:w="1665" w:type="pct"/>
            <w:tcBorders>
              <w:tl2br w:val="nil"/>
              <w:tr2bl w:val="nil"/>
            </w:tcBorders>
            <w:vAlign w:val="center"/>
          </w:tcPr>
          <w:p>
            <w:pPr>
              <w:pStyle w:val="45"/>
              <w:rPr>
                <w:color w:val="auto"/>
              </w:rPr>
            </w:pPr>
            <w:r>
              <w:rPr>
                <w:rFonts w:hint="eastAsia"/>
                <w:color w:val="auto"/>
              </w:rPr>
              <w:t>2.85E-01</w:t>
            </w:r>
          </w:p>
        </w:tc>
        <w:tc>
          <w:tcPr>
            <w:tcW w:w="1669" w:type="pct"/>
            <w:tcBorders>
              <w:tl2br w:val="nil"/>
              <w:tr2bl w:val="nil"/>
            </w:tcBorders>
            <w:vAlign w:val="center"/>
          </w:tcPr>
          <w:p>
            <w:pPr>
              <w:pStyle w:val="45"/>
              <w:rPr>
                <w:color w:val="auto"/>
              </w:rPr>
            </w:pPr>
            <w:r>
              <w:rPr>
                <w:rFonts w:hint="eastAsia"/>
                <w:color w:val="auto"/>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225</w:t>
            </w:r>
          </w:p>
        </w:tc>
        <w:tc>
          <w:tcPr>
            <w:tcW w:w="1665" w:type="pct"/>
            <w:tcBorders>
              <w:tl2br w:val="nil"/>
              <w:tr2bl w:val="nil"/>
            </w:tcBorders>
            <w:vAlign w:val="center"/>
          </w:tcPr>
          <w:p>
            <w:pPr>
              <w:pStyle w:val="45"/>
              <w:rPr>
                <w:color w:val="auto"/>
              </w:rPr>
            </w:pPr>
            <w:r>
              <w:rPr>
                <w:rFonts w:hint="eastAsia"/>
                <w:color w:val="auto"/>
              </w:rPr>
              <w:t>2.74E-01</w:t>
            </w:r>
          </w:p>
        </w:tc>
        <w:tc>
          <w:tcPr>
            <w:tcW w:w="1669" w:type="pct"/>
            <w:tcBorders>
              <w:tl2br w:val="nil"/>
              <w:tr2bl w:val="nil"/>
            </w:tcBorders>
            <w:vAlign w:val="center"/>
          </w:tcPr>
          <w:p>
            <w:pPr>
              <w:pStyle w:val="45"/>
              <w:rPr>
                <w:color w:val="auto"/>
              </w:rPr>
            </w:pPr>
            <w:r>
              <w:rPr>
                <w:rFonts w:hint="eastAsia"/>
                <w:color w:val="auto"/>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250</w:t>
            </w:r>
          </w:p>
        </w:tc>
        <w:tc>
          <w:tcPr>
            <w:tcW w:w="1665" w:type="pct"/>
            <w:tcBorders>
              <w:tl2br w:val="nil"/>
              <w:tr2bl w:val="nil"/>
            </w:tcBorders>
            <w:vAlign w:val="center"/>
          </w:tcPr>
          <w:p>
            <w:pPr>
              <w:pStyle w:val="45"/>
              <w:rPr>
                <w:color w:val="auto"/>
              </w:rPr>
            </w:pPr>
            <w:r>
              <w:rPr>
                <w:rFonts w:hint="eastAsia"/>
                <w:color w:val="auto"/>
              </w:rPr>
              <w:t>2.64E-01</w:t>
            </w:r>
          </w:p>
        </w:tc>
        <w:tc>
          <w:tcPr>
            <w:tcW w:w="1669" w:type="pct"/>
            <w:tcBorders>
              <w:tl2br w:val="nil"/>
              <w:tr2bl w:val="nil"/>
            </w:tcBorders>
            <w:vAlign w:val="center"/>
          </w:tcPr>
          <w:p>
            <w:pPr>
              <w:pStyle w:val="45"/>
              <w:rPr>
                <w:color w:val="auto"/>
              </w:rPr>
            </w:pPr>
            <w:r>
              <w:rPr>
                <w:rFonts w:hint="eastAsia"/>
                <w:color w:val="auto"/>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300</w:t>
            </w:r>
          </w:p>
        </w:tc>
        <w:tc>
          <w:tcPr>
            <w:tcW w:w="1665" w:type="pct"/>
            <w:tcBorders>
              <w:tl2br w:val="nil"/>
              <w:tr2bl w:val="nil"/>
            </w:tcBorders>
            <w:vAlign w:val="center"/>
          </w:tcPr>
          <w:p>
            <w:pPr>
              <w:pStyle w:val="45"/>
              <w:rPr>
                <w:color w:val="auto"/>
              </w:rPr>
            </w:pPr>
            <w:r>
              <w:rPr>
                <w:rFonts w:hint="eastAsia"/>
                <w:color w:val="auto"/>
              </w:rPr>
              <w:t>2.56E-01</w:t>
            </w:r>
          </w:p>
        </w:tc>
        <w:tc>
          <w:tcPr>
            <w:tcW w:w="1669" w:type="pct"/>
            <w:tcBorders>
              <w:tl2br w:val="nil"/>
              <w:tr2bl w:val="nil"/>
            </w:tcBorders>
            <w:vAlign w:val="center"/>
          </w:tcPr>
          <w:p>
            <w:pPr>
              <w:pStyle w:val="45"/>
              <w:rPr>
                <w:color w:val="auto"/>
              </w:rPr>
            </w:pPr>
            <w:r>
              <w:rPr>
                <w:rFonts w:hint="eastAsia"/>
                <w:color w:val="auto"/>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325</w:t>
            </w:r>
          </w:p>
        </w:tc>
        <w:tc>
          <w:tcPr>
            <w:tcW w:w="1665" w:type="pct"/>
            <w:tcBorders>
              <w:tl2br w:val="nil"/>
              <w:tr2bl w:val="nil"/>
            </w:tcBorders>
            <w:vAlign w:val="center"/>
          </w:tcPr>
          <w:p>
            <w:pPr>
              <w:pStyle w:val="45"/>
              <w:rPr>
                <w:color w:val="auto"/>
              </w:rPr>
            </w:pPr>
            <w:r>
              <w:rPr>
                <w:rFonts w:hint="eastAsia"/>
                <w:color w:val="auto"/>
              </w:rPr>
              <w:t>2.47E-01</w:t>
            </w:r>
          </w:p>
        </w:tc>
        <w:tc>
          <w:tcPr>
            <w:tcW w:w="1669" w:type="pct"/>
            <w:tcBorders>
              <w:tl2br w:val="nil"/>
              <w:tr2bl w:val="nil"/>
            </w:tcBorders>
            <w:vAlign w:val="center"/>
          </w:tcPr>
          <w:p>
            <w:pPr>
              <w:pStyle w:val="45"/>
              <w:rPr>
                <w:color w:val="auto"/>
              </w:rPr>
            </w:pPr>
            <w:r>
              <w:rPr>
                <w:rFonts w:hint="eastAsia"/>
                <w:color w:val="auto"/>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350</w:t>
            </w:r>
          </w:p>
        </w:tc>
        <w:tc>
          <w:tcPr>
            <w:tcW w:w="1665" w:type="pct"/>
            <w:tcBorders>
              <w:tl2br w:val="nil"/>
              <w:tr2bl w:val="nil"/>
            </w:tcBorders>
            <w:vAlign w:val="center"/>
          </w:tcPr>
          <w:p>
            <w:pPr>
              <w:pStyle w:val="45"/>
              <w:rPr>
                <w:color w:val="auto"/>
              </w:rPr>
            </w:pPr>
            <w:r>
              <w:rPr>
                <w:rFonts w:hint="eastAsia"/>
                <w:color w:val="auto"/>
              </w:rPr>
              <w:t>2.39E-01</w:t>
            </w:r>
          </w:p>
        </w:tc>
        <w:tc>
          <w:tcPr>
            <w:tcW w:w="1669" w:type="pct"/>
            <w:tcBorders>
              <w:tl2br w:val="nil"/>
              <w:tr2bl w:val="nil"/>
            </w:tcBorders>
            <w:vAlign w:val="center"/>
          </w:tcPr>
          <w:p>
            <w:pPr>
              <w:pStyle w:val="45"/>
              <w:rPr>
                <w:color w:val="auto"/>
              </w:rPr>
            </w:pPr>
            <w:r>
              <w:rPr>
                <w:rFonts w:hint="eastAsia"/>
                <w:color w:val="auto"/>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375</w:t>
            </w:r>
          </w:p>
        </w:tc>
        <w:tc>
          <w:tcPr>
            <w:tcW w:w="1665" w:type="pct"/>
            <w:tcBorders>
              <w:tl2br w:val="nil"/>
              <w:tr2bl w:val="nil"/>
            </w:tcBorders>
            <w:vAlign w:val="center"/>
          </w:tcPr>
          <w:p>
            <w:pPr>
              <w:pStyle w:val="45"/>
              <w:rPr>
                <w:color w:val="auto"/>
              </w:rPr>
            </w:pPr>
            <w:r>
              <w:rPr>
                <w:rFonts w:hint="eastAsia"/>
                <w:color w:val="auto"/>
              </w:rPr>
              <w:t>2.32E-01</w:t>
            </w:r>
          </w:p>
        </w:tc>
        <w:tc>
          <w:tcPr>
            <w:tcW w:w="1669" w:type="pct"/>
            <w:tcBorders>
              <w:tl2br w:val="nil"/>
              <w:tr2bl w:val="nil"/>
            </w:tcBorders>
            <w:vAlign w:val="center"/>
          </w:tcPr>
          <w:p>
            <w:pPr>
              <w:pStyle w:val="45"/>
              <w:rPr>
                <w:color w:val="auto"/>
              </w:rPr>
            </w:pPr>
            <w:r>
              <w:rPr>
                <w:rFonts w:hint="eastAsia"/>
                <w:color w:val="auto"/>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400</w:t>
            </w:r>
          </w:p>
        </w:tc>
        <w:tc>
          <w:tcPr>
            <w:tcW w:w="1665" w:type="pct"/>
            <w:tcBorders>
              <w:tl2br w:val="nil"/>
              <w:tr2bl w:val="nil"/>
            </w:tcBorders>
            <w:vAlign w:val="center"/>
          </w:tcPr>
          <w:p>
            <w:pPr>
              <w:pStyle w:val="45"/>
              <w:rPr>
                <w:color w:val="auto"/>
              </w:rPr>
            </w:pPr>
            <w:r>
              <w:rPr>
                <w:rFonts w:hint="eastAsia"/>
                <w:color w:val="auto"/>
              </w:rPr>
              <w:t>2.25E-01</w:t>
            </w:r>
          </w:p>
        </w:tc>
        <w:tc>
          <w:tcPr>
            <w:tcW w:w="1669" w:type="pct"/>
            <w:tcBorders>
              <w:tl2br w:val="nil"/>
              <w:tr2bl w:val="nil"/>
            </w:tcBorders>
            <w:vAlign w:val="center"/>
          </w:tcPr>
          <w:p>
            <w:pPr>
              <w:pStyle w:val="45"/>
              <w:rPr>
                <w:color w:val="auto"/>
              </w:rPr>
            </w:pPr>
            <w:r>
              <w:rPr>
                <w:rFonts w:hint="eastAsia"/>
                <w:color w:val="auto"/>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425</w:t>
            </w:r>
          </w:p>
        </w:tc>
        <w:tc>
          <w:tcPr>
            <w:tcW w:w="1665" w:type="pct"/>
            <w:tcBorders>
              <w:tl2br w:val="nil"/>
              <w:tr2bl w:val="nil"/>
            </w:tcBorders>
            <w:vAlign w:val="center"/>
          </w:tcPr>
          <w:p>
            <w:pPr>
              <w:pStyle w:val="45"/>
              <w:rPr>
                <w:color w:val="auto"/>
              </w:rPr>
            </w:pPr>
            <w:r>
              <w:rPr>
                <w:rFonts w:hint="eastAsia"/>
                <w:color w:val="auto"/>
              </w:rPr>
              <w:t>2.18E-01</w:t>
            </w:r>
          </w:p>
        </w:tc>
        <w:tc>
          <w:tcPr>
            <w:tcW w:w="1669" w:type="pct"/>
            <w:tcBorders>
              <w:tl2br w:val="nil"/>
              <w:tr2bl w:val="nil"/>
            </w:tcBorders>
            <w:vAlign w:val="center"/>
          </w:tcPr>
          <w:p>
            <w:pPr>
              <w:pStyle w:val="45"/>
              <w:rPr>
                <w:color w:val="auto"/>
              </w:rPr>
            </w:pPr>
            <w:r>
              <w:rPr>
                <w:rFonts w:hint="eastAsia"/>
                <w:color w:val="auto"/>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450</w:t>
            </w:r>
          </w:p>
        </w:tc>
        <w:tc>
          <w:tcPr>
            <w:tcW w:w="1665" w:type="pct"/>
            <w:tcBorders>
              <w:tl2br w:val="nil"/>
              <w:tr2bl w:val="nil"/>
            </w:tcBorders>
            <w:vAlign w:val="center"/>
          </w:tcPr>
          <w:p>
            <w:pPr>
              <w:pStyle w:val="45"/>
              <w:rPr>
                <w:color w:val="auto"/>
              </w:rPr>
            </w:pPr>
            <w:r>
              <w:rPr>
                <w:rFonts w:hint="eastAsia"/>
                <w:color w:val="auto"/>
              </w:rPr>
              <w:t>2.12E-01</w:t>
            </w:r>
          </w:p>
        </w:tc>
        <w:tc>
          <w:tcPr>
            <w:tcW w:w="1669" w:type="pct"/>
            <w:tcBorders>
              <w:tl2br w:val="nil"/>
              <w:tr2bl w:val="nil"/>
            </w:tcBorders>
            <w:vAlign w:val="center"/>
          </w:tcPr>
          <w:p>
            <w:pPr>
              <w:pStyle w:val="45"/>
              <w:rPr>
                <w:color w:val="auto"/>
              </w:rPr>
            </w:pPr>
            <w:r>
              <w:rPr>
                <w:rFonts w:hint="eastAsia"/>
                <w:color w:val="auto"/>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475</w:t>
            </w:r>
          </w:p>
        </w:tc>
        <w:tc>
          <w:tcPr>
            <w:tcW w:w="1665" w:type="pct"/>
            <w:tcBorders>
              <w:tl2br w:val="nil"/>
              <w:tr2bl w:val="nil"/>
            </w:tcBorders>
            <w:vAlign w:val="center"/>
          </w:tcPr>
          <w:p>
            <w:pPr>
              <w:pStyle w:val="45"/>
              <w:rPr>
                <w:color w:val="auto"/>
              </w:rPr>
            </w:pPr>
            <w:r>
              <w:rPr>
                <w:rFonts w:hint="eastAsia"/>
                <w:color w:val="auto"/>
              </w:rPr>
              <w:t>2.06E-01</w:t>
            </w:r>
          </w:p>
        </w:tc>
        <w:tc>
          <w:tcPr>
            <w:tcW w:w="1669" w:type="pct"/>
            <w:tcBorders>
              <w:tl2br w:val="nil"/>
              <w:tr2bl w:val="nil"/>
            </w:tcBorders>
            <w:vAlign w:val="center"/>
          </w:tcPr>
          <w:p>
            <w:pPr>
              <w:pStyle w:val="45"/>
              <w:rPr>
                <w:color w:val="auto"/>
              </w:rPr>
            </w:pPr>
            <w:r>
              <w:rPr>
                <w:rFonts w:hint="eastAsia"/>
                <w:color w:val="auto"/>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rFonts w:hint="eastAsia"/>
                <w:color w:val="auto"/>
              </w:rPr>
              <w:t>500</w:t>
            </w:r>
          </w:p>
        </w:tc>
        <w:tc>
          <w:tcPr>
            <w:tcW w:w="1665" w:type="pct"/>
            <w:tcBorders>
              <w:tl2br w:val="nil"/>
              <w:tr2bl w:val="nil"/>
            </w:tcBorders>
            <w:vAlign w:val="center"/>
          </w:tcPr>
          <w:p>
            <w:pPr>
              <w:pStyle w:val="45"/>
              <w:rPr>
                <w:color w:val="auto"/>
              </w:rPr>
            </w:pPr>
            <w:r>
              <w:rPr>
                <w:rFonts w:hint="eastAsia"/>
                <w:color w:val="auto"/>
              </w:rPr>
              <w:t>2.00E-01</w:t>
            </w:r>
          </w:p>
        </w:tc>
        <w:tc>
          <w:tcPr>
            <w:tcW w:w="1669" w:type="pct"/>
            <w:tcBorders>
              <w:tl2br w:val="nil"/>
              <w:tr2bl w:val="nil"/>
            </w:tcBorders>
            <w:vAlign w:val="center"/>
          </w:tcPr>
          <w:p>
            <w:pPr>
              <w:pStyle w:val="45"/>
              <w:rPr>
                <w:color w:val="auto"/>
              </w:rPr>
            </w:pPr>
            <w:r>
              <w:rPr>
                <w:rFonts w:hint="eastAsia"/>
                <w:color w:val="auto"/>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color w:val="auto"/>
              </w:rPr>
              <w:t>下风向最大质量浓度及占标率/%</w:t>
            </w:r>
          </w:p>
        </w:tc>
        <w:tc>
          <w:tcPr>
            <w:tcW w:w="2840" w:type="dxa"/>
            <w:tcBorders>
              <w:tl2br w:val="nil"/>
              <w:tr2bl w:val="nil"/>
            </w:tcBorders>
            <w:vAlign w:val="center"/>
          </w:tcPr>
          <w:p>
            <w:pPr>
              <w:pStyle w:val="45"/>
              <w:rPr>
                <w:color w:val="auto"/>
              </w:rPr>
            </w:pPr>
            <w:r>
              <w:rPr>
                <w:rFonts w:hint="eastAsia"/>
                <w:color w:val="auto"/>
              </w:rPr>
              <w:t>1.35E+00</w:t>
            </w:r>
          </w:p>
        </w:tc>
        <w:tc>
          <w:tcPr>
            <w:tcW w:w="2843" w:type="dxa"/>
            <w:tcBorders>
              <w:tl2br w:val="nil"/>
              <w:tr2bl w:val="nil"/>
            </w:tcBorders>
            <w:vAlign w:val="center"/>
          </w:tcPr>
          <w:p>
            <w:pPr>
              <w:pStyle w:val="45"/>
              <w:rPr>
                <w:color w:val="auto"/>
              </w:rPr>
            </w:pPr>
            <w:r>
              <w:rPr>
                <w:rFonts w:hint="eastAsia"/>
                <w:color w:val="auto"/>
              </w:rPr>
              <w:t>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64" w:type="pct"/>
            <w:tcBorders>
              <w:tl2br w:val="nil"/>
              <w:tr2bl w:val="nil"/>
            </w:tcBorders>
            <w:vAlign w:val="center"/>
          </w:tcPr>
          <w:p>
            <w:pPr>
              <w:pStyle w:val="45"/>
              <w:rPr>
                <w:color w:val="auto"/>
              </w:rPr>
            </w:pPr>
            <w:r>
              <w:rPr>
                <w:color w:val="auto"/>
              </w:rPr>
              <w:t>D10%最远距离/m</w:t>
            </w:r>
          </w:p>
        </w:tc>
        <w:tc>
          <w:tcPr>
            <w:tcW w:w="1665" w:type="pct"/>
            <w:tcBorders>
              <w:tl2br w:val="nil"/>
              <w:tr2bl w:val="nil"/>
            </w:tcBorders>
            <w:vAlign w:val="center"/>
          </w:tcPr>
          <w:p>
            <w:pPr>
              <w:pStyle w:val="45"/>
              <w:rPr>
                <w:rFonts w:hint="eastAsia"/>
                <w:color w:val="auto"/>
              </w:rPr>
            </w:pPr>
            <w:r>
              <w:rPr>
                <w:rFonts w:hint="eastAsia"/>
                <w:color w:val="auto"/>
              </w:rPr>
              <w:t>未出现</w:t>
            </w:r>
          </w:p>
        </w:tc>
        <w:tc>
          <w:tcPr>
            <w:tcW w:w="1669" w:type="pct"/>
            <w:tcBorders>
              <w:tl2br w:val="nil"/>
              <w:tr2bl w:val="nil"/>
            </w:tcBorders>
            <w:vAlign w:val="center"/>
          </w:tcPr>
          <w:p>
            <w:pPr>
              <w:pStyle w:val="45"/>
              <w:rPr>
                <w:rFonts w:hint="eastAsia"/>
                <w:color w:val="auto"/>
              </w:rPr>
            </w:pPr>
            <w:r>
              <w:rPr>
                <w:rFonts w:hint="eastAsia"/>
                <w:color w:val="auto"/>
              </w:rPr>
              <w:t>未出现</w:t>
            </w:r>
          </w:p>
        </w:tc>
      </w:tr>
    </w:tbl>
    <w:p>
      <w:pPr>
        <w:pStyle w:val="57"/>
        <w:rPr>
          <w:color w:val="auto"/>
        </w:rPr>
      </w:pPr>
      <w:r>
        <w:rPr>
          <w:rFonts w:hint="eastAsia"/>
          <w:color w:val="auto"/>
        </w:rPr>
        <w:t>表5.1-17  拟建项目</w:t>
      </w:r>
      <w:r>
        <w:rPr>
          <w:color w:val="auto"/>
        </w:rPr>
        <w:t>无组织污染源</w:t>
      </w:r>
      <w:r>
        <w:rPr>
          <w:rFonts w:hint="eastAsia"/>
          <w:color w:val="auto"/>
        </w:rPr>
        <w:t>（污水处理站）</w:t>
      </w:r>
      <w:r>
        <w:rPr>
          <w:color w:val="auto"/>
        </w:rPr>
        <w:t>估算模型计算结果表</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17"/>
        <w:gridCol w:w="1625"/>
        <w:gridCol w:w="1627"/>
        <w:gridCol w:w="1625"/>
        <w:gridCol w:w="16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vMerge w:val="restart"/>
            <w:tcBorders>
              <w:tl2br w:val="nil"/>
              <w:tr2bl w:val="nil"/>
            </w:tcBorders>
            <w:vAlign w:val="center"/>
          </w:tcPr>
          <w:p>
            <w:pPr>
              <w:pStyle w:val="45"/>
              <w:rPr>
                <w:color w:val="auto"/>
                <w:lang w:val="zh-CN"/>
              </w:rPr>
            </w:pPr>
            <w:r>
              <w:rPr>
                <w:rFonts w:hint="eastAsia"/>
                <w:color w:val="auto"/>
              </w:rPr>
              <w:t>下风向距离</w:t>
            </w:r>
            <w:r>
              <w:rPr>
                <w:color w:val="auto"/>
              </w:rPr>
              <w:t>/m</w:t>
            </w:r>
          </w:p>
        </w:tc>
        <w:tc>
          <w:tcPr>
            <w:tcW w:w="3816" w:type="pct"/>
            <w:gridSpan w:val="4"/>
            <w:tcBorders>
              <w:tl2br w:val="nil"/>
              <w:tr2bl w:val="nil"/>
            </w:tcBorders>
            <w:vAlign w:val="center"/>
          </w:tcPr>
          <w:p>
            <w:pPr>
              <w:pStyle w:val="45"/>
              <w:rPr>
                <w:color w:val="auto"/>
              </w:rPr>
            </w:pPr>
            <w:r>
              <w:rPr>
                <w:rFonts w:hint="eastAsia"/>
                <w:color w:val="auto"/>
              </w:rPr>
              <w:t>污水处理站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vMerge w:val="continue"/>
            <w:tcBorders>
              <w:tl2br w:val="nil"/>
              <w:tr2bl w:val="nil"/>
            </w:tcBorders>
            <w:vAlign w:val="center"/>
          </w:tcPr>
          <w:p>
            <w:pPr>
              <w:pStyle w:val="45"/>
              <w:rPr>
                <w:color w:val="auto"/>
                <w:lang w:val="zh-CN"/>
              </w:rPr>
            </w:pPr>
          </w:p>
        </w:tc>
        <w:tc>
          <w:tcPr>
            <w:tcW w:w="1907" w:type="pct"/>
            <w:gridSpan w:val="2"/>
            <w:tcBorders>
              <w:tl2br w:val="nil"/>
              <w:tr2bl w:val="nil"/>
            </w:tcBorders>
            <w:vAlign w:val="center"/>
          </w:tcPr>
          <w:p>
            <w:pPr>
              <w:pStyle w:val="45"/>
              <w:rPr>
                <w:color w:val="auto"/>
              </w:rPr>
            </w:pPr>
            <w:r>
              <w:rPr>
                <w:rFonts w:hint="eastAsia"/>
                <w:color w:val="auto"/>
              </w:rPr>
              <w:t>HN</w:t>
            </w:r>
            <w:r>
              <w:rPr>
                <w:rFonts w:hint="eastAsia"/>
                <w:color w:val="auto"/>
                <w:vertAlign w:val="subscript"/>
              </w:rPr>
              <w:t>3</w:t>
            </w:r>
          </w:p>
        </w:tc>
        <w:tc>
          <w:tcPr>
            <w:tcW w:w="1909" w:type="pct"/>
            <w:gridSpan w:val="2"/>
            <w:tcBorders>
              <w:tl2br w:val="nil"/>
              <w:tr2bl w:val="nil"/>
            </w:tcBorders>
            <w:vAlign w:val="center"/>
          </w:tcPr>
          <w:p>
            <w:pPr>
              <w:pStyle w:val="45"/>
              <w:rPr>
                <w:color w:val="auto"/>
              </w:rPr>
            </w:pPr>
            <w:r>
              <w:rPr>
                <w:rFonts w:hint="eastAsia"/>
                <w:color w:val="auto"/>
              </w:rPr>
              <w:t>H</w:t>
            </w:r>
            <w:r>
              <w:rPr>
                <w:rFonts w:hint="eastAsia"/>
                <w:color w:val="auto"/>
                <w:vertAlign w:val="subscript"/>
              </w:rPr>
              <w:t>2</w:t>
            </w:r>
            <w:r>
              <w:rPr>
                <w:rFonts w:hint="eastAsia"/>
                <w:color w:val="auto"/>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vMerge w:val="continue"/>
            <w:tcBorders>
              <w:tl2br w:val="nil"/>
              <w:tr2bl w:val="nil"/>
            </w:tcBorders>
            <w:vAlign w:val="center"/>
          </w:tcPr>
          <w:p>
            <w:pPr>
              <w:pStyle w:val="45"/>
              <w:rPr>
                <w:color w:val="auto"/>
                <w:lang w:val="zh-CN"/>
              </w:rPr>
            </w:pPr>
          </w:p>
        </w:tc>
        <w:tc>
          <w:tcPr>
            <w:tcW w:w="953" w:type="pct"/>
            <w:tcBorders>
              <w:tl2br w:val="nil"/>
              <w:tr2bl w:val="nil"/>
            </w:tcBorders>
            <w:vAlign w:val="center"/>
          </w:tcPr>
          <w:p>
            <w:pPr>
              <w:pStyle w:val="45"/>
              <w:rPr>
                <w:color w:val="auto"/>
                <w:lang w:val="zh-CN"/>
              </w:rPr>
            </w:pPr>
            <w:r>
              <w:rPr>
                <w:color w:val="auto"/>
              </w:rPr>
              <w:t>小时浓度C（</w:t>
            </w:r>
            <w:r>
              <w:rPr>
                <w:rFonts w:hint="eastAsia"/>
                <w:color w:val="auto"/>
              </w:rPr>
              <w:t>μ</w:t>
            </w:r>
            <w:r>
              <w:rPr>
                <w:color w:val="auto"/>
              </w:rPr>
              <w:t>g/m</w:t>
            </w:r>
            <w:r>
              <w:rPr>
                <w:color w:val="auto"/>
                <w:vertAlign w:val="superscript"/>
              </w:rPr>
              <w:t>3</w:t>
            </w:r>
            <w:r>
              <w:rPr>
                <w:color w:val="auto"/>
              </w:rPr>
              <w:t>）</w:t>
            </w:r>
          </w:p>
        </w:tc>
        <w:tc>
          <w:tcPr>
            <w:tcW w:w="954" w:type="pct"/>
            <w:tcBorders>
              <w:tl2br w:val="nil"/>
              <w:tr2bl w:val="nil"/>
            </w:tcBorders>
            <w:vAlign w:val="center"/>
          </w:tcPr>
          <w:p>
            <w:pPr>
              <w:pStyle w:val="45"/>
              <w:rPr>
                <w:color w:val="auto"/>
                <w:lang w:val="zh-CN"/>
              </w:rPr>
            </w:pPr>
            <w:r>
              <w:rPr>
                <w:color w:val="auto"/>
              </w:rPr>
              <w:t>浓度占标率P（％）</w:t>
            </w:r>
          </w:p>
        </w:tc>
        <w:tc>
          <w:tcPr>
            <w:tcW w:w="953" w:type="pct"/>
            <w:tcBorders>
              <w:tl2br w:val="nil"/>
              <w:tr2bl w:val="nil"/>
            </w:tcBorders>
            <w:vAlign w:val="center"/>
          </w:tcPr>
          <w:p>
            <w:pPr>
              <w:pStyle w:val="45"/>
              <w:rPr>
                <w:color w:val="auto"/>
                <w:lang w:val="zh-CN"/>
              </w:rPr>
            </w:pPr>
            <w:r>
              <w:rPr>
                <w:color w:val="auto"/>
              </w:rPr>
              <w:t>小时浓度C（</w:t>
            </w:r>
            <w:r>
              <w:rPr>
                <w:rFonts w:hint="eastAsia"/>
                <w:color w:val="auto"/>
              </w:rPr>
              <w:t>μ</w:t>
            </w:r>
            <w:r>
              <w:rPr>
                <w:color w:val="auto"/>
              </w:rPr>
              <w:t>g/m</w:t>
            </w:r>
            <w:r>
              <w:rPr>
                <w:color w:val="auto"/>
                <w:vertAlign w:val="superscript"/>
              </w:rPr>
              <w:t>3</w:t>
            </w:r>
            <w:r>
              <w:rPr>
                <w:color w:val="auto"/>
              </w:rPr>
              <w:t>）</w:t>
            </w:r>
          </w:p>
        </w:tc>
        <w:tc>
          <w:tcPr>
            <w:tcW w:w="956" w:type="pct"/>
            <w:tcBorders>
              <w:tl2br w:val="nil"/>
              <w:tr2bl w:val="nil"/>
            </w:tcBorders>
            <w:vAlign w:val="center"/>
          </w:tcPr>
          <w:p>
            <w:pPr>
              <w:pStyle w:val="45"/>
              <w:rPr>
                <w:color w:val="auto"/>
                <w:lang w:val="zh-CN"/>
              </w:rPr>
            </w:pPr>
            <w:r>
              <w:rPr>
                <w:color w:val="auto"/>
              </w:rPr>
              <w:t>浓度占标率P（％）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tcBorders>
              <w:tl2br w:val="nil"/>
              <w:tr2bl w:val="nil"/>
            </w:tcBorders>
            <w:vAlign w:val="center"/>
          </w:tcPr>
          <w:p>
            <w:pPr>
              <w:pStyle w:val="45"/>
              <w:rPr>
                <w:color w:val="auto"/>
              </w:rPr>
            </w:pPr>
            <w:r>
              <w:rPr>
                <w:rFonts w:hint="eastAsia"/>
                <w:color w:val="auto"/>
              </w:rPr>
              <w:t>10</w:t>
            </w:r>
          </w:p>
        </w:tc>
        <w:tc>
          <w:tcPr>
            <w:tcW w:w="953" w:type="pct"/>
            <w:tcBorders>
              <w:tl2br w:val="nil"/>
              <w:tr2bl w:val="nil"/>
            </w:tcBorders>
            <w:vAlign w:val="center"/>
          </w:tcPr>
          <w:p>
            <w:pPr>
              <w:pStyle w:val="45"/>
              <w:rPr>
                <w:color w:val="auto"/>
                <w:lang w:val="zh-CN"/>
              </w:rPr>
            </w:pPr>
            <w:r>
              <w:rPr>
                <w:rFonts w:hint="eastAsia"/>
                <w:color w:val="auto"/>
              </w:rPr>
              <w:t>1.80E+01</w:t>
            </w:r>
          </w:p>
        </w:tc>
        <w:tc>
          <w:tcPr>
            <w:tcW w:w="954" w:type="pct"/>
            <w:tcBorders>
              <w:tl2br w:val="nil"/>
              <w:tr2bl w:val="nil"/>
            </w:tcBorders>
            <w:vAlign w:val="center"/>
          </w:tcPr>
          <w:p>
            <w:pPr>
              <w:pStyle w:val="45"/>
              <w:rPr>
                <w:color w:val="auto"/>
                <w:lang w:val="zh-CN"/>
              </w:rPr>
            </w:pPr>
            <w:r>
              <w:rPr>
                <w:rFonts w:hint="eastAsia"/>
                <w:color w:val="auto"/>
              </w:rPr>
              <w:t>9.00</w:t>
            </w:r>
          </w:p>
        </w:tc>
        <w:tc>
          <w:tcPr>
            <w:tcW w:w="953" w:type="pct"/>
            <w:tcBorders>
              <w:tl2br w:val="nil"/>
              <w:tr2bl w:val="nil"/>
            </w:tcBorders>
            <w:vAlign w:val="center"/>
          </w:tcPr>
          <w:p>
            <w:pPr>
              <w:pStyle w:val="45"/>
              <w:rPr>
                <w:color w:val="auto"/>
              </w:rPr>
            </w:pPr>
            <w:r>
              <w:rPr>
                <w:rFonts w:hint="eastAsia"/>
                <w:color w:val="auto"/>
              </w:rPr>
              <w:t>4.34E-01</w:t>
            </w:r>
          </w:p>
        </w:tc>
        <w:tc>
          <w:tcPr>
            <w:tcW w:w="956" w:type="pct"/>
            <w:tcBorders>
              <w:tl2br w:val="nil"/>
              <w:tr2bl w:val="nil"/>
            </w:tcBorders>
            <w:vAlign w:val="center"/>
          </w:tcPr>
          <w:p>
            <w:pPr>
              <w:pStyle w:val="45"/>
              <w:rPr>
                <w:color w:val="auto"/>
              </w:rPr>
            </w:pPr>
            <w:r>
              <w:rPr>
                <w:rFonts w:hint="eastAsia"/>
                <w:color w:val="auto"/>
              </w:rPr>
              <w:t>4.34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tcBorders>
              <w:tl2br w:val="nil"/>
              <w:tr2bl w:val="nil"/>
            </w:tcBorders>
            <w:vAlign w:val="center"/>
          </w:tcPr>
          <w:p>
            <w:pPr>
              <w:pStyle w:val="45"/>
              <w:rPr>
                <w:color w:val="auto"/>
              </w:rPr>
            </w:pPr>
            <w:r>
              <w:rPr>
                <w:rFonts w:hint="eastAsia"/>
                <w:color w:val="auto"/>
              </w:rPr>
              <w:t>25</w:t>
            </w:r>
          </w:p>
        </w:tc>
        <w:tc>
          <w:tcPr>
            <w:tcW w:w="953" w:type="pct"/>
            <w:tcBorders>
              <w:tl2br w:val="nil"/>
              <w:tr2bl w:val="nil"/>
            </w:tcBorders>
            <w:vAlign w:val="center"/>
          </w:tcPr>
          <w:p>
            <w:pPr>
              <w:pStyle w:val="45"/>
              <w:rPr>
                <w:color w:val="auto"/>
                <w:lang w:val="zh-CN"/>
              </w:rPr>
            </w:pPr>
            <w:r>
              <w:rPr>
                <w:rFonts w:hint="eastAsia"/>
                <w:color w:val="auto"/>
              </w:rPr>
              <w:t>1.05E+01</w:t>
            </w:r>
          </w:p>
        </w:tc>
        <w:tc>
          <w:tcPr>
            <w:tcW w:w="954" w:type="pct"/>
            <w:tcBorders>
              <w:tl2br w:val="nil"/>
              <w:tr2bl w:val="nil"/>
            </w:tcBorders>
            <w:vAlign w:val="center"/>
          </w:tcPr>
          <w:p>
            <w:pPr>
              <w:pStyle w:val="45"/>
              <w:rPr>
                <w:color w:val="auto"/>
              </w:rPr>
            </w:pPr>
            <w:r>
              <w:rPr>
                <w:rFonts w:hint="eastAsia"/>
                <w:color w:val="auto"/>
              </w:rPr>
              <w:t>5.23</w:t>
            </w:r>
          </w:p>
        </w:tc>
        <w:tc>
          <w:tcPr>
            <w:tcW w:w="953" w:type="pct"/>
            <w:tcBorders>
              <w:tl2br w:val="nil"/>
              <w:tr2bl w:val="nil"/>
            </w:tcBorders>
            <w:vAlign w:val="center"/>
          </w:tcPr>
          <w:p>
            <w:pPr>
              <w:pStyle w:val="45"/>
              <w:rPr>
                <w:color w:val="auto"/>
              </w:rPr>
            </w:pPr>
            <w:r>
              <w:rPr>
                <w:rFonts w:hint="eastAsia"/>
                <w:color w:val="auto"/>
              </w:rPr>
              <w:t>2.52E-01</w:t>
            </w:r>
          </w:p>
        </w:tc>
        <w:tc>
          <w:tcPr>
            <w:tcW w:w="956" w:type="pct"/>
            <w:tcBorders>
              <w:tl2br w:val="nil"/>
              <w:tr2bl w:val="nil"/>
            </w:tcBorders>
            <w:vAlign w:val="center"/>
          </w:tcPr>
          <w:p>
            <w:pPr>
              <w:pStyle w:val="45"/>
              <w:rPr>
                <w:color w:val="auto"/>
              </w:rPr>
            </w:pPr>
            <w:r>
              <w:rPr>
                <w:rFonts w:hint="eastAsia"/>
                <w:color w:val="auto"/>
              </w:rPr>
              <w:t>2.52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183" w:type="pct"/>
            <w:tcBorders>
              <w:tl2br w:val="nil"/>
              <w:tr2bl w:val="nil"/>
            </w:tcBorders>
            <w:vAlign w:val="center"/>
          </w:tcPr>
          <w:p>
            <w:pPr>
              <w:pStyle w:val="45"/>
              <w:rPr>
                <w:color w:val="auto"/>
              </w:rPr>
            </w:pPr>
            <w:r>
              <w:rPr>
                <w:rFonts w:hint="eastAsia"/>
                <w:color w:val="auto"/>
              </w:rPr>
              <w:t>50</w:t>
            </w:r>
          </w:p>
        </w:tc>
        <w:tc>
          <w:tcPr>
            <w:tcW w:w="953" w:type="pct"/>
            <w:tcBorders>
              <w:tl2br w:val="nil"/>
              <w:tr2bl w:val="nil"/>
            </w:tcBorders>
            <w:vAlign w:val="center"/>
          </w:tcPr>
          <w:p>
            <w:pPr>
              <w:pStyle w:val="45"/>
              <w:rPr>
                <w:color w:val="auto"/>
                <w:lang w:val="zh-CN"/>
              </w:rPr>
            </w:pPr>
            <w:r>
              <w:rPr>
                <w:rFonts w:hint="eastAsia"/>
                <w:color w:val="auto"/>
              </w:rPr>
              <w:t>5.03E+00</w:t>
            </w:r>
          </w:p>
        </w:tc>
        <w:tc>
          <w:tcPr>
            <w:tcW w:w="954" w:type="pct"/>
            <w:tcBorders>
              <w:tl2br w:val="nil"/>
              <w:tr2bl w:val="nil"/>
            </w:tcBorders>
            <w:vAlign w:val="center"/>
          </w:tcPr>
          <w:p>
            <w:pPr>
              <w:pStyle w:val="45"/>
              <w:rPr>
                <w:color w:val="auto"/>
              </w:rPr>
            </w:pPr>
            <w:r>
              <w:rPr>
                <w:rFonts w:hint="eastAsia"/>
                <w:color w:val="auto"/>
              </w:rPr>
              <w:t>2.51</w:t>
            </w:r>
          </w:p>
        </w:tc>
        <w:tc>
          <w:tcPr>
            <w:tcW w:w="953" w:type="pct"/>
            <w:tcBorders>
              <w:tl2br w:val="nil"/>
              <w:tr2bl w:val="nil"/>
            </w:tcBorders>
            <w:vAlign w:val="center"/>
          </w:tcPr>
          <w:p>
            <w:pPr>
              <w:pStyle w:val="45"/>
              <w:rPr>
                <w:color w:val="auto"/>
              </w:rPr>
            </w:pPr>
            <w:r>
              <w:rPr>
                <w:rFonts w:hint="eastAsia"/>
                <w:color w:val="auto"/>
              </w:rPr>
              <w:t>1.21E-01</w:t>
            </w:r>
          </w:p>
        </w:tc>
        <w:tc>
          <w:tcPr>
            <w:tcW w:w="956" w:type="pct"/>
            <w:tcBorders>
              <w:tl2br w:val="nil"/>
              <w:tr2bl w:val="nil"/>
            </w:tcBorders>
            <w:vAlign w:val="center"/>
          </w:tcPr>
          <w:p>
            <w:pPr>
              <w:pStyle w:val="45"/>
              <w:rPr>
                <w:color w:val="auto"/>
              </w:rPr>
            </w:pPr>
            <w:r>
              <w:rPr>
                <w:rFonts w:hint="eastAsia"/>
                <w:color w:val="auto"/>
              </w:rPr>
              <w:t>1.21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tcBorders>
              <w:tl2br w:val="nil"/>
              <w:tr2bl w:val="nil"/>
            </w:tcBorders>
            <w:vAlign w:val="center"/>
          </w:tcPr>
          <w:p>
            <w:pPr>
              <w:pStyle w:val="45"/>
              <w:rPr>
                <w:color w:val="auto"/>
              </w:rPr>
            </w:pPr>
            <w:r>
              <w:rPr>
                <w:rFonts w:hint="eastAsia"/>
                <w:color w:val="auto"/>
              </w:rPr>
              <w:t>75</w:t>
            </w:r>
          </w:p>
        </w:tc>
        <w:tc>
          <w:tcPr>
            <w:tcW w:w="953" w:type="pct"/>
            <w:tcBorders>
              <w:tl2br w:val="nil"/>
              <w:tr2bl w:val="nil"/>
            </w:tcBorders>
            <w:vAlign w:val="center"/>
          </w:tcPr>
          <w:p>
            <w:pPr>
              <w:pStyle w:val="45"/>
              <w:rPr>
                <w:color w:val="auto"/>
                <w:lang w:val="zh-CN"/>
              </w:rPr>
            </w:pPr>
            <w:r>
              <w:rPr>
                <w:rFonts w:hint="eastAsia"/>
                <w:color w:val="auto"/>
              </w:rPr>
              <w:t>4.40E+00</w:t>
            </w:r>
          </w:p>
        </w:tc>
        <w:tc>
          <w:tcPr>
            <w:tcW w:w="954" w:type="pct"/>
            <w:tcBorders>
              <w:tl2br w:val="nil"/>
              <w:tr2bl w:val="nil"/>
            </w:tcBorders>
            <w:vAlign w:val="center"/>
          </w:tcPr>
          <w:p>
            <w:pPr>
              <w:pStyle w:val="45"/>
              <w:rPr>
                <w:color w:val="auto"/>
              </w:rPr>
            </w:pPr>
            <w:r>
              <w:rPr>
                <w:rFonts w:hint="eastAsia"/>
                <w:color w:val="auto"/>
              </w:rPr>
              <w:t>2.20</w:t>
            </w:r>
          </w:p>
        </w:tc>
        <w:tc>
          <w:tcPr>
            <w:tcW w:w="953" w:type="pct"/>
            <w:tcBorders>
              <w:tl2br w:val="nil"/>
              <w:tr2bl w:val="nil"/>
            </w:tcBorders>
            <w:vAlign w:val="center"/>
          </w:tcPr>
          <w:p>
            <w:pPr>
              <w:pStyle w:val="45"/>
              <w:rPr>
                <w:color w:val="auto"/>
              </w:rPr>
            </w:pPr>
            <w:r>
              <w:rPr>
                <w:rFonts w:hint="eastAsia"/>
                <w:color w:val="auto"/>
              </w:rPr>
              <w:t>1.06E-01</w:t>
            </w:r>
          </w:p>
        </w:tc>
        <w:tc>
          <w:tcPr>
            <w:tcW w:w="956" w:type="pct"/>
            <w:tcBorders>
              <w:tl2br w:val="nil"/>
              <w:tr2bl w:val="nil"/>
            </w:tcBorders>
            <w:vAlign w:val="center"/>
          </w:tcPr>
          <w:p>
            <w:pPr>
              <w:pStyle w:val="45"/>
              <w:rPr>
                <w:color w:val="auto"/>
              </w:rPr>
            </w:pPr>
            <w:r>
              <w:rPr>
                <w:rFonts w:hint="eastAsia"/>
                <w:color w:val="auto"/>
              </w:rPr>
              <w:t>1.06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tcBorders>
              <w:tl2br w:val="nil"/>
              <w:tr2bl w:val="nil"/>
            </w:tcBorders>
            <w:vAlign w:val="center"/>
          </w:tcPr>
          <w:p>
            <w:pPr>
              <w:pStyle w:val="45"/>
              <w:rPr>
                <w:color w:val="auto"/>
              </w:rPr>
            </w:pPr>
            <w:r>
              <w:rPr>
                <w:rFonts w:hint="eastAsia"/>
                <w:color w:val="auto"/>
              </w:rPr>
              <w:t>100</w:t>
            </w:r>
          </w:p>
        </w:tc>
        <w:tc>
          <w:tcPr>
            <w:tcW w:w="953" w:type="pct"/>
            <w:tcBorders>
              <w:tl2br w:val="nil"/>
              <w:tr2bl w:val="nil"/>
            </w:tcBorders>
            <w:vAlign w:val="center"/>
          </w:tcPr>
          <w:p>
            <w:pPr>
              <w:pStyle w:val="45"/>
              <w:rPr>
                <w:color w:val="auto"/>
                <w:lang w:val="zh-CN"/>
              </w:rPr>
            </w:pPr>
            <w:r>
              <w:rPr>
                <w:rFonts w:hint="eastAsia"/>
                <w:color w:val="auto"/>
              </w:rPr>
              <w:t>4.04E+00</w:t>
            </w:r>
          </w:p>
        </w:tc>
        <w:tc>
          <w:tcPr>
            <w:tcW w:w="954" w:type="pct"/>
            <w:tcBorders>
              <w:tl2br w:val="nil"/>
              <w:tr2bl w:val="nil"/>
            </w:tcBorders>
            <w:vAlign w:val="center"/>
          </w:tcPr>
          <w:p>
            <w:pPr>
              <w:pStyle w:val="45"/>
              <w:rPr>
                <w:color w:val="auto"/>
              </w:rPr>
            </w:pPr>
            <w:r>
              <w:rPr>
                <w:rFonts w:hint="eastAsia"/>
                <w:color w:val="auto"/>
              </w:rPr>
              <w:t>2.02</w:t>
            </w:r>
          </w:p>
        </w:tc>
        <w:tc>
          <w:tcPr>
            <w:tcW w:w="953" w:type="pct"/>
            <w:tcBorders>
              <w:tl2br w:val="nil"/>
              <w:tr2bl w:val="nil"/>
            </w:tcBorders>
            <w:vAlign w:val="center"/>
          </w:tcPr>
          <w:p>
            <w:pPr>
              <w:pStyle w:val="45"/>
              <w:rPr>
                <w:color w:val="auto"/>
              </w:rPr>
            </w:pPr>
            <w:r>
              <w:rPr>
                <w:rFonts w:hint="eastAsia"/>
                <w:color w:val="auto"/>
              </w:rPr>
              <w:t>9.74E-02</w:t>
            </w:r>
          </w:p>
        </w:tc>
        <w:tc>
          <w:tcPr>
            <w:tcW w:w="956" w:type="pct"/>
            <w:tcBorders>
              <w:tl2br w:val="nil"/>
              <w:tr2bl w:val="nil"/>
            </w:tcBorders>
            <w:vAlign w:val="center"/>
          </w:tcPr>
          <w:p>
            <w:pPr>
              <w:pStyle w:val="45"/>
              <w:rPr>
                <w:color w:val="auto"/>
              </w:rPr>
            </w:pPr>
            <w:r>
              <w:rPr>
                <w:rFonts w:hint="eastAsia"/>
                <w:color w:val="auto"/>
              </w:rPr>
              <w:t>0.97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tcBorders>
              <w:tl2br w:val="nil"/>
              <w:tr2bl w:val="nil"/>
            </w:tcBorders>
            <w:vAlign w:val="center"/>
          </w:tcPr>
          <w:p>
            <w:pPr>
              <w:pStyle w:val="45"/>
              <w:rPr>
                <w:color w:val="auto"/>
              </w:rPr>
            </w:pPr>
            <w:r>
              <w:rPr>
                <w:rFonts w:hint="eastAsia"/>
                <w:color w:val="auto"/>
              </w:rPr>
              <w:t>119</w:t>
            </w:r>
          </w:p>
        </w:tc>
        <w:tc>
          <w:tcPr>
            <w:tcW w:w="953" w:type="pct"/>
            <w:tcBorders>
              <w:tl2br w:val="nil"/>
              <w:tr2bl w:val="nil"/>
            </w:tcBorders>
            <w:vAlign w:val="center"/>
          </w:tcPr>
          <w:p>
            <w:pPr>
              <w:pStyle w:val="45"/>
              <w:rPr>
                <w:color w:val="auto"/>
                <w:lang w:val="zh-CN"/>
              </w:rPr>
            </w:pPr>
            <w:r>
              <w:rPr>
                <w:rFonts w:hint="eastAsia"/>
                <w:color w:val="auto"/>
              </w:rPr>
              <w:t>3.78E+00</w:t>
            </w:r>
          </w:p>
        </w:tc>
        <w:tc>
          <w:tcPr>
            <w:tcW w:w="954" w:type="pct"/>
            <w:tcBorders>
              <w:tl2br w:val="nil"/>
              <w:tr2bl w:val="nil"/>
            </w:tcBorders>
            <w:vAlign w:val="center"/>
          </w:tcPr>
          <w:p>
            <w:pPr>
              <w:pStyle w:val="45"/>
              <w:rPr>
                <w:color w:val="auto"/>
              </w:rPr>
            </w:pPr>
            <w:r>
              <w:rPr>
                <w:rFonts w:hint="eastAsia"/>
                <w:color w:val="auto"/>
              </w:rPr>
              <w:t>1.89</w:t>
            </w:r>
          </w:p>
        </w:tc>
        <w:tc>
          <w:tcPr>
            <w:tcW w:w="953" w:type="pct"/>
            <w:tcBorders>
              <w:tl2br w:val="nil"/>
              <w:tr2bl w:val="nil"/>
            </w:tcBorders>
            <w:vAlign w:val="center"/>
          </w:tcPr>
          <w:p>
            <w:pPr>
              <w:pStyle w:val="45"/>
              <w:rPr>
                <w:color w:val="auto"/>
              </w:rPr>
            </w:pPr>
            <w:r>
              <w:rPr>
                <w:rFonts w:hint="eastAsia"/>
                <w:color w:val="auto"/>
                <w:lang w:eastAsia="zh-CN"/>
              </w:rPr>
              <w:t>8.64</w:t>
            </w:r>
            <w:r>
              <w:rPr>
                <w:rFonts w:hint="eastAsia"/>
                <w:color w:val="auto"/>
              </w:rPr>
              <w:t>E-02</w:t>
            </w:r>
          </w:p>
        </w:tc>
        <w:tc>
          <w:tcPr>
            <w:tcW w:w="956" w:type="pct"/>
            <w:tcBorders>
              <w:tl2br w:val="nil"/>
              <w:tr2bl w:val="nil"/>
            </w:tcBorders>
            <w:vAlign w:val="center"/>
          </w:tcPr>
          <w:p>
            <w:pPr>
              <w:pStyle w:val="45"/>
              <w:rPr>
                <w:color w:val="auto"/>
              </w:rPr>
            </w:pPr>
            <w:r>
              <w:rPr>
                <w:rFonts w:hint="eastAsia"/>
                <w:color w:val="auto"/>
              </w:rPr>
              <w:t>0.91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tcBorders>
              <w:tl2br w:val="nil"/>
              <w:tr2bl w:val="nil"/>
            </w:tcBorders>
            <w:vAlign w:val="center"/>
          </w:tcPr>
          <w:p>
            <w:pPr>
              <w:pStyle w:val="45"/>
              <w:rPr>
                <w:color w:val="auto"/>
              </w:rPr>
            </w:pPr>
            <w:r>
              <w:rPr>
                <w:rFonts w:hint="eastAsia"/>
                <w:color w:val="auto"/>
              </w:rPr>
              <w:t>125</w:t>
            </w:r>
          </w:p>
        </w:tc>
        <w:tc>
          <w:tcPr>
            <w:tcW w:w="953" w:type="pct"/>
            <w:tcBorders>
              <w:tl2br w:val="nil"/>
              <w:tr2bl w:val="nil"/>
            </w:tcBorders>
            <w:vAlign w:val="center"/>
          </w:tcPr>
          <w:p>
            <w:pPr>
              <w:pStyle w:val="45"/>
              <w:rPr>
                <w:color w:val="auto"/>
                <w:lang w:val="zh-CN"/>
              </w:rPr>
            </w:pPr>
            <w:r>
              <w:rPr>
                <w:rFonts w:hint="eastAsia"/>
                <w:color w:val="auto"/>
              </w:rPr>
              <w:t>3.56E+00</w:t>
            </w:r>
          </w:p>
        </w:tc>
        <w:tc>
          <w:tcPr>
            <w:tcW w:w="954" w:type="pct"/>
            <w:tcBorders>
              <w:tl2br w:val="nil"/>
              <w:tr2bl w:val="nil"/>
            </w:tcBorders>
            <w:vAlign w:val="center"/>
          </w:tcPr>
          <w:p>
            <w:pPr>
              <w:pStyle w:val="45"/>
              <w:rPr>
                <w:color w:val="auto"/>
              </w:rPr>
            </w:pPr>
            <w:r>
              <w:rPr>
                <w:rFonts w:hint="eastAsia"/>
                <w:color w:val="auto"/>
              </w:rPr>
              <w:t>1.78</w:t>
            </w:r>
          </w:p>
        </w:tc>
        <w:tc>
          <w:tcPr>
            <w:tcW w:w="953" w:type="pct"/>
            <w:tcBorders>
              <w:tl2br w:val="nil"/>
              <w:tr2bl w:val="nil"/>
            </w:tcBorders>
            <w:vAlign w:val="center"/>
          </w:tcPr>
          <w:p>
            <w:pPr>
              <w:pStyle w:val="45"/>
              <w:rPr>
                <w:color w:val="auto"/>
              </w:rPr>
            </w:pPr>
            <w:r>
              <w:rPr>
                <w:rFonts w:hint="eastAsia"/>
                <w:color w:val="auto"/>
              </w:rPr>
              <w:t>8.59E-02</w:t>
            </w:r>
          </w:p>
        </w:tc>
        <w:tc>
          <w:tcPr>
            <w:tcW w:w="956" w:type="pct"/>
            <w:tcBorders>
              <w:tl2br w:val="nil"/>
              <w:tr2bl w:val="nil"/>
            </w:tcBorders>
            <w:vAlign w:val="center"/>
          </w:tcPr>
          <w:p>
            <w:pPr>
              <w:pStyle w:val="45"/>
              <w:rPr>
                <w:color w:val="auto"/>
              </w:rPr>
            </w:pPr>
            <w:r>
              <w:rPr>
                <w:rFonts w:hint="eastAsia"/>
                <w:color w:val="auto"/>
              </w:rPr>
              <w:t>0.86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tcBorders>
              <w:tl2br w:val="nil"/>
              <w:tr2bl w:val="nil"/>
            </w:tcBorders>
            <w:vAlign w:val="center"/>
          </w:tcPr>
          <w:p>
            <w:pPr>
              <w:pStyle w:val="45"/>
              <w:rPr>
                <w:color w:val="auto"/>
              </w:rPr>
            </w:pPr>
            <w:r>
              <w:rPr>
                <w:rFonts w:hint="eastAsia"/>
                <w:color w:val="auto"/>
              </w:rPr>
              <w:t>150</w:t>
            </w:r>
          </w:p>
        </w:tc>
        <w:tc>
          <w:tcPr>
            <w:tcW w:w="953" w:type="pct"/>
            <w:tcBorders>
              <w:tl2br w:val="nil"/>
              <w:tr2bl w:val="nil"/>
            </w:tcBorders>
            <w:vAlign w:val="center"/>
          </w:tcPr>
          <w:p>
            <w:pPr>
              <w:pStyle w:val="45"/>
              <w:rPr>
                <w:color w:val="auto"/>
                <w:lang w:val="zh-CN"/>
              </w:rPr>
            </w:pPr>
            <w:r>
              <w:rPr>
                <w:rFonts w:hint="eastAsia"/>
                <w:color w:val="auto"/>
              </w:rPr>
              <w:t>3.37E+00</w:t>
            </w:r>
          </w:p>
        </w:tc>
        <w:tc>
          <w:tcPr>
            <w:tcW w:w="954" w:type="pct"/>
            <w:tcBorders>
              <w:tl2br w:val="nil"/>
              <w:tr2bl w:val="nil"/>
            </w:tcBorders>
            <w:vAlign w:val="center"/>
          </w:tcPr>
          <w:p>
            <w:pPr>
              <w:pStyle w:val="45"/>
              <w:rPr>
                <w:color w:val="auto"/>
                <w:lang w:val="zh-CN"/>
              </w:rPr>
            </w:pPr>
            <w:r>
              <w:rPr>
                <w:rFonts w:hint="eastAsia"/>
                <w:color w:val="auto"/>
              </w:rPr>
              <w:t>1.68</w:t>
            </w:r>
          </w:p>
        </w:tc>
        <w:tc>
          <w:tcPr>
            <w:tcW w:w="953" w:type="pct"/>
            <w:tcBorders>
              <w:tl2br w:val="nil"/>
              <w:tr2bl w:val="nil"/>
            </w:tcBorders>
            <w:vAlign w:val="center"/>
          </w:tcPr>
          <w:p>
            <w:pPr>
              <w:pStyle w:val="45"/>
              <w:rPr>
                <w:color w:val="auto"/>
              </w:rPr>
            </w:pPr>
            <w:r>
              <w:rPr>
                <w:rFonts w:hint="eastAsia"/>
                <w:color w:val="auto"/>
              </w:rPr>
              <w:t>8.12E-02</w:t>
            </w:r>
          </w:p>
        </w:tc>
        <w:tc>
          <w:tcPr>
            <w:tcW w:w="956" w:type="pct"/>
            <w:tcBorders>
              <w:tl2br w:val="nil"/>
              <w:tr2bl w:val="nil"/>
            </w:tcBorders>
            <w:vAlign w:val="center"/>
          </w:tcPr>
          <w:p>
            <w:pPr>
              <w:pStyle w:val="45"/>
              <w:rPr>
                <w:color w:val="auto"/>
              </w:rPr>
            </w:pPr>
            <w:r>
              <w:rPr>
                <w:rFonts w:hint="eastAsia"/>
                <w:color w:val="auto"/>
              </w:rPr>
              <w:t>0.81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tcBorders>
              <w:tl2br w:val="nil"/>
              <w:tr2bl w:val="nil"/>
            </w:tcBorders>
            <w:vAlign w:val="center"/>
          </w:tcPr>
          <w:p>
            <w:pPr>
              <w:pStyle w:val="45"/>
              <w:rPr>
                <w:color w:val="auto"/>
              </w:rPr>
            </w:pPr>
            <w:r>
              <w:rPr>
                <w:rFonts w:hint="eastAsia"/>
                <w:color w:val="auto"/>
              </w:rPr>
              <w:t>175</w:t>
            </w:r>
          </w:p>
        </w:tc>
        <w:tc>
          <w:tcPr>
            <w:tcW w:w="953" w:type="pct"/>
            <w:tcBorders>
              <w:tl2br w:val="nil"/>
              <w:tr2bl w:val="nil"/>
            </w:tcBorders>
            <w:vAlign w:val="center"/>
          </w:tcPr>
          <w:p>
            <w:pPr>
              <w:pStyle w:val="45"/>
              <w:rPr>
                <w:color w:val="auto"/>
                <w:lang w:val="zh-CN"/>
              </w:rPr>
            </w:pPr>
            <w:r>
              <w:rPr>
                <w:rFonts w:hint="eastAsia"/>
                <w:color w:val="auto"/>
              </w:rPr>
              <w:t>3.19E+00</w:t>
            </w:r>
          </w:p>
        </w:tc>
        <w:tc>
          <w:tcPr>
            <w:tcW w:w="954" w:type="pct"/>
            <w:tcBorders>
              <w:tl2br w:val="nil"/>
              <w:tr2bl w:val="nil"/>
            </w:tcBorders>
            <w:vAlign w:val="center"/>
          </w:tcPr>
          <w:p>
            <w:pPr>
              <w:pStyle w:val="45"/>
              <w:rPr>
                <w:color w:val="auto"/>
                <w:lang w:val="zh-CN"/>
              </w:rPr>
            </w:pPr>
            <w:r>
              <w:rPr>
                <w:rFonts w:hint="eastAsia"/>
                <w:color w:val="auto"/>
              </w:rPr>
              <w:t>1.60</w:t>
            </w:r>
          </w:p>
        </w:tc>
        <w:tc>
          <w:tcPr>
            <w:tcW w:w="953" w:type="pct"/>
            <w:tcBorders>
              <w:tl2br w:val="nil"/>
              <w:tr2bl w:val="nil"/>
            </w:tcBorders>
            <w:vAlign w:val="center"/>
          </w:tcPr>
          <w:p>
            <w:pPr>
              <w:pStyle w:val="45"/>
              <w:rPr>
                <w:color w:val="auto"/>
              </w:rPr>
            </w:pPr>
            <w:r>
              <w:rPr>
                <w:rFonts w:hint="eastAsia"/>
                <w:color w:val="auto"/>
              </w:rPr>
              <w:t>7.71E-02</w:t>
            </w:r>
          </w:p>
        </w:tc>
        <w:tc>
          <w:tcPr>
            <w:tcW w:w="956" w:type="pct"/>
            <w:tcBorders>
              <w:tl2br w:val="nil"/>
              <w:tr2bl w:val="nil"/>
            </w:tcBorders>
            <w:vAlign w:val="center"/>
          </w:tcPr>
          <w:p>
            <w:pPr>
              <w:pStyle w:val="45"/>
              <w:rPr>
                <w:color w:val="auto"/>
              </w:rPr>
            </w:pPr>
            <w:r>
              <w:rPr>
                <w:rFonts w:hint="eastAsia"/>
                <w:color w:val="auto"/>
              </w:rPr>
              <w:t>0.77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tcBorders>
              <w:tl2br w:val="nil"/>
              <w:tr2bl w:val="nil"/>
            </w:tcBorders>
            <w:vAlign w:val="center"/>
          </w:tcPr>
          <w:p>
            <w:pPr>
              <w:pStyle w:val="45"/>
              <w:rPr>
                <w:color w:val="auto"/>
              </w:rPr>
            </w:pPr>
            <w:r>
              <w:rPr>
                <w:rFonts w:hint="eastAsia"/>
                <w:color w:val="auto"/>
              </w:rPr>
              <w:t>200</w:t>
            </w:r>
          </w:p>
        </w:tc>
        <w:tc>
          <w:tcPr>
            <w:tcW w:w="953" w:type="pct"/>
            <w:tcBorders>
              <w:tl2br w:val="nil"/>
              <w:tr2bl w:val="nil"/>
            </w:tcBorders>
            <w:vAlign w:val="center"/>
          </w:tcPr>
          <w:p>
            <w:pPr>
              <w:pStyle w:val="45"/>
              <w:rPr>
                <w:color w:val="auto"/>
                <w:lang w:val="zh-CN"/>
              </w:rPr>
            </w:pPr>
            <w:r>
              <w:rPr>
                <w:rFonts w:hint="eastAsia"/>
                <w:color w:val="auto"/>
              </w:rPr>
              <w:t>3.04E+00</w:t>
            </w:r>
          </w:p>
        </w:tc>
        <w:tc>
          <w:tcPr>
            <w:tcW w:w="954" w:type="pct"/>
            <w:tcBorders>
              <w:tl2br w:val="nil"/>
              <w:tr2bl w:val="nil"/>
            </w:tcBorders>
            <w:vAlign w:val="center"/>
          </w:tcPr>
          <w:p>
            <w:pPr>
              <w:pStyle w:val="45"/>
              <w:rPr>
                <w:color w:val="auto"/>
                <w:lang w:val="zh-CN"/>
              </w:rPr>
            </w:pPr>
            <w:r>
              <w:rPr>
                <w:rFonts w:hint="eastAsia"/>
                <w:color w:val="auto"/>
              </w:rPr>
              <w:t>1.52</w:t>
            </w:r>
          </w:p>
        </w:tc>
        <w:tc>
          <w:tcPr>
            <w:tcW w:w="953" w:type="pct"/>
            <w:tcBorders>
              <w:tl2br w:val="nil"/>
              <w:tr2bl w:val="nil"/>
            </w:tcBorders>
            <w:vAlign w:val="center"/>
          </w:tcPr>
          <w:p>
            <w:pPr>
              <w:pStyle w:val="45"/>
              <w:rPr>
                <w:color w:val="auto"/>
              </w:rPr>
            </w:pPr>
            <w:r>
              <w:rPr>
                <w:rFonts w:hint="eastAsia"/>
                <w:color w:val="auto"/>
              </w:rPr>
              <w:t>7.33E-02</w:t>
            </w:r>
          </w:p>
        </w:tc>
        <w:tc>
          <w:tcPr>
            <w:tcW w:w="956" w:type="pct"/>
            <w:tcBorders>
              <w:tl2br w:val="nil"/>
              <w:tr2bl w:val="nil"/>
            </w:tcBorders>
            <w:vAlign w:val="center"/>
          </w:tcPr>
          <w:p>
            <w:pPr>
              <w:pStyle w:val="45"/>
              <w:rPr>
                <w:color w:val="auto"/>
              </w:rPr>
            </w:pPr>
            <w:r>
              <w:rPr>
                <w:rFonts w:hint="eastAsia"/>
                <w:color w:val="auto"/>
              </w:rPr>
              <w:t>0.73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tcBorders>
              <w:tl2br w:val="nil"/>
              <w:tr2bl w:val="nil"/>
            </w:tcBorders>
            <w:vAlign w:val="center"/>
          </w:tcPr>
          <w:p>
            <w:pPr>
              <w:pStyle w:val="45"/>
              <w:rPr>
                <w:color w:val="auto"/>
              </w:rPr>
            </w:pPr>
            <w:r>
              <w:rPr>
                <w:rFonts w:hint="eastAsia"/>
                <w:color w:val="auto"/>
              </w:rPr>
              <w:t>225</w:t>
            </w:r>
          </w:p>
        </w:tc>
        <w:tc>
          <w:tcPr>
            <w:tcW w:w="953" w:type="pct"/>
            <w:tcBorders>
              <w:tl2br w:val="nil"/>
              <w:tr2bl w:val="nil"/>
            </w:tcBorders>
            <w:vAlign w:val="center"/>
          </w:tcPr>
          <w:p>
            <w:pPr>
              <w:pStyle w:val="45"/>
              <w:rPr>
                <w:color w:val="auto"/>
                <w:lang w:val="zh-CN"/>
              </w:rPr>
            </w:pPr>
            <w:r>
              <w:rPr>
                <w:rFonts w:hint="eastAsia"/>
                <w:color w:val="auto"/>
              </w:rPr>
              <w:t>2.89E+00</w:t>
            </w:r>
          </w:p>
        </w:tc>
        <w:tc>
          <w:tcPr>
            <w:tcW w:w="954" w:type="pct"/>
            <w:tcBorders>
              <w:tl2br w:val="nil"/>
              <w:tr2bl w:val="nil"/>
            </w:tcBorders>
            <w:vAlign w:val="center"/>
          </w:tcPr>
          <w:p>
            <w:pPr>
              <w:pStyle w:val="45"/>
              <w:rPr>
                <w:color w:val="auto"/>
                <w:lang w:val="zh-CN"/>
              </w:rPr>
            </w:pPr>
            <w:r>
              <w:rPr>
                <w:rFonts w:hint="eastAsia"/>
                <w:color w:val="auto"/>
              </w:rPr>
              <w:t>1.45</w:t>
            </w:r>
          </w:p>
        </w:tc>
        <w:tc>
          <w:tcPr>
            <w:tcW w:w="953" w:type="pct"/>
            <w:tcBorders>
              <w:tl2br w:val="nil"/>
              <w:tr2bl w:val="nil"/>
            </w:tcBorders>
            <w:vAlign w:val="center"/>
          </w:tcPr>
          <w:p>
            <w:pPr>
              <w:pStyle w:val="45"/>
              <w:rPr>
                <w:color w:val="auto"/>
              </w:rPr>
            </w:pPr>
            <w:r>
              <w:rPr>
                <w:rFonts w:hint="eastAsia"/>
                <w:color w:val="auto"/>
              </w:rPr>
              <w:t>6.98E-02</w:t>
            </w:r>
          </w:p>
        </w:tc>
        <w:tc>
          <w:tcPr>
            <w:tcW w:w="956" w:type="pct"/>
            <w:tcBorders>
              <w:tl2br w:val="nil"/>
              <w:tr2bl w:val="nil"/>
            </w:tcBorders>
            <w:vAlign w:val="center"/>
          </w:tcPr>
          <w:p>
            <w:pPr>
              <w:pStyle w:val="45"/>
              <w:rPr>
                <w:color w:val="auto"/>
              </w:rPr>
            </w:pPr>
            <w:r>
              <w:rPr>
                <w:rFonts w:hint="eastAsia"/>
                <w:color w:val="auto"/>
              </w:rPr>
              <w:t>0.70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tcBorders>
              <w:tl2br w:val="nil"/>
              <w:tr2bl w:val="nil"/>
            </w:tcBorders>
            <w:vAlign w:val="center"/>
          </w:tcPr>
          <w:p>
            <w:pPr>
              <w:pStyle w:val="45"/>
              <w:rPr>
                <w:color w:val="auto"/>
              </w:rPr>
            </w:pPr>
            <w:r>
              <w:rPr>
                <w:rFonts w:hint="eastAsia"/>
                <w:color w:val="auto"/>
              </w:rPr>
              <w:t>250</w:t>
            </w:r>
          </w:p>
        </w:tc>
        <w:tc>
          <w:tcPr>
            <w:tcW w:w="953" w:type="pct"/>
            <w:tcBorders>
              <w:tl2br w:val="nil"/>
              <w:tr2bl w:val="nil"/>
            </w:tcBorders>
            <w:vAlign w:val="center"/>
          </w:tcPr>
          <w:p>
            <w:pPr>
              <w:pStyle w:val="45"/>
              <w:rPr>
                <w:color w:val="auto"/>
                <w:lang w:val="zh-CN"/>
              </w:rPr>
            </w:pPr>
            <w:r>
              <w:rPr>
                <w:rFonts w:hint="eastAsia"/>
                <w:color w:val="auto"/>
              </w:rPr>
              <w:t>2.76E+00</w:t>
            </w:r>
          </w:p>
        </w:tc>
        <w:tc>
          <w:tcPr>
            <w:tcW w:w="954" w:type="pct"/>
            <w:tcBorders>
              <w:tl2br w:val="nil"/>
              <w:tr2bl w:val="nil"/>
            </w:tcBorders>
            <w:vAlign w:val="center"/>
          </w:tcPr>
          <w:p>
            <w:pPr>
              <w:pStyle w:val="45"/>
              <w:rPr>
                <w:color w:val="auto"/>
                <w:lang w:val="zh-CN"/>
              </w:rPr>
            </w:pPr>
            <w:r>
              <w:rPr>
                <w:rFonts w:hint="eastAsia"/>
                <w:color w:val="auto"/>
              </w:rPr>
              <w:t>1.38</w:t>
            </w:r>
          </w:p>
        </w:tc>
        <w:tc>
          <w:tcPr>
            <w:tcW w:w="953" w:type="pct"/>
            <w:tcBorders>
              <w:tl2br w:val="nil"/>
              <w:tr2bl w:val="nil"/>
            </w:tcBorders>
            <w:vAlign w:val="center"/>
          </w:tcPr>
          <w:p>
            <w:pPr>
              <w:pStyle w:val="45"/>
              <w:rPr>
                <w:color w:val="auto"/>
              </w:rPr>
            </w:pPr>
            <w:r>
              <w:rPr>
                <w:rFonts w:hint="eastAsia"/>
                <w:color w:val="auto"/>
              </w:rPr>
              <w:t>6.66E-02</w:t>
            </w:r>
          </w:p>
        </w:tc>
        <w:tc>
          <w:tcPr>
            <w:tcW w:w="956" w:type="pct"/>
            <w:tcBorders>
              <w:tl2br w:val="nil"/>
              <w:tr2bl w:val="nil"/>
            </w:tcBorders>
            <w:vAlign w:val="center"/>
          </w:tcPr>
          <w:p>
            <w:pPr>
              <w:pStyle w:val="45"/>
              <w:rPr>
                <w:color w:val="auto"/>
              </w:rPr>
            </w:pPr>
            <w:r>
              <w:rPr>
                <w:rFonts w:hint="eastAsia"/>
                <w:color w:val="auto"/>
              </w:rPr>
              <w:t>0.67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tcBorders>
              <w:tl2br w:val="nil"/>
              <w:tr2bl w:val="nil"/>
            </w:tcBorders>
            <w:vAlign w:val="center"/>
          </w:tcPr>
          <w:p>
            <w:pPr>
              <w:pStyle w:val="45"/>
              <w:rPr>
                <w:color w:val="auto"/>
              </w:rPr>
            </w:pPr>
            <w:r>
              <w:rPr>
                <w:rFonts w:hint="eastAsia"/>
                <w:color w:val="auto"/>
              </w:rPr>
              <w:t>300</w:t>
            </w:r>
          </w:p>
        </w:tc>
        <w:tc>
          <w:tcPr>
            <w:tcW w:w="953" w:type="pct"/>
            <w:tcBorders>
              <w:tl2br w:val="nil"/>
              <w:tr2bl w:val="nil"/>
            </w:tcBorders>
            <w:vAlign w:val="center"/>
          </w:tcPr>
          <w:p>
            <w:pPr>
              <w:pStyle w:val="45"/>
              <w:rPr>
                <w:color w:val="auto"/>
                <w:lang w:val="zh-CN"/>
              </w:rPr>
            </w:pPr>
            <w:r>
              <w:rPr>
                <w:rFonts w:hint="eastAsia"/>
                <w:color w:val="auto"/>
              </w:rPr>
              <w:t>2.64E+00</w:t>
            </w:r>
          </w:p>
        </w:tc>
        <w:tc>
          <w:tcPr>
            <w:tcW w:w="954" w:type="pct"/>
            <w:tcBorders>
              <w:tl2br w:val="nil"/>
              <w:tr2bl w:val="nil"/>
            </w:tcBorders>
            <w:vAlign w:val="center"/>
          </w:tcPr>
          <w:p>
            <w:pPr>
              <w:pStyle w:val="45"/>
              <w:rPr>
                <w:color w:val="auto"/>
                <w:lang w:val="zh-CN"/>
              </w:rPr>
            </w:pPr>
            <w:r>
              <w:rPr>
                <w:rFonts w:hint="eastAsia"/>
                <w:color w:val="auto"/>
              </w:rPr>
              <w:t>1.32</w:t>
            </w:r>
          </w:p>
        </w:tc>
        <w:tc>
          <w:tcPr>
            <w:tcW w:w="953" w:type="pct"/>
            <w:tcBorders>
              <w:tl2br w:val="nil"/>
              <w:tr2bl w:val="nil"/>
            </w:tcBorders>
            <w:vAlign w:val="center"/>
          </w:tcPr>
          <w:p>
            <w:pPr>
              <w:pStyle w:val="45"/>
              <w:rPr>
                <w:color w:val="auto"/>
              </w:rPr>
            </w:pPr>
            <w:r>
              <w:rPr>
                <w:rFonts w:hint="eastAsia"/>
                <w:color w:val="auto"/>
              </w:rPr>
              <w:t>6.37E-02</w:t>
            </w:r>
          </w:p>
        </w:tc>
        <w:tc>
          <w:tcPr>
            <w:tcW w:w="956" w:type="pct"/>
            <w:tcBorders>
              <w:tl2br w:val="nil"/>
              <w:tr2bl w:val="nil"/>
            </w:tcBorders>
            <w:vAlign w:val="center"/>
          </w:tcPr>
          <w:p>
            <w:pPr>
              <w:pStyle w:val="45"/>
              <w:rPr>
                <w:color w:val="auto"/>
              </w:rPr>
            </w:pPr>
            <w:r>
              <w:rPr>
                <w:rFonts w:hint="eastAsia"/>
                <w:color w:val="auto"/>
              </w:rPr>
              <w:t>0.64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tcBorders>
              <w:tl2br w:val="nil"/>
              <w:tr2bl w:val="nil"/>
            </w:tcBorders>
            <w:vAlign w:val="center"/>
          </w:tcPr>
          <w:p>
            <w:pPr>
              <w:pStyle w:val="45"/>
              <w:rPr>
                <w:color w:val="auto"/>
              </w:rPr>
            </w:pPr>
            <w:r>
              <w:rPr>
                <w:rFonts w:hint="eastAsia"/>
                <w:color w:val="auto"/>
              </w:rPr>
              <w:t>325</w:t>
            </w:r>
          </w:p>
        </w:tc>
        <w:tc>
          <w:tcPr>
            <w:tcW w:w="953" w:type="pct"/>
            <w:tcBorders>
              <w:tl2br w:val="nil"/>
              <w:tr2bl w:val="nil"/>
            </w:tcBorders>
            <w:vAlign w:val="center"/>
          </w:tcPr>
          <w:p>
            <w:pPr>
              <w:pStyle w:val="45"/>
              <w:rPr>
                <w:color w:val="auto"/>
                <w:lang w:val="zh-CN"/>
              </w:rPr>
            </w:pPr>
            <w:r>
              <w:rPr>
                <w:rFonts w:hint="eastAsia"/>
                <w:color w:val="auto"/>
              </w:rPr>
              <w:t>2.52E+00</w:t>
            </w:r>
          </w:p>
        </w:tc>
        <w:tc>
          <w:tcPr>
            <w:tcW w:w="954" w:type="pct"/>
            <w:tcBorders>
              <w:tl2br w:val="nil"/>
              <w:tr2bl w:val="nil"/>
            </w:tcBorders>
            <w:vAlign w:val="center"/>
          </w:tcPr>
          <w:p>
            <w:pPr>
              <w:pStyle w:val="45"/>
              <w:rPr>
                <w:color w:val="auto"/>
                <w:lang w:val="zh-CN"/>
              </w:rPr>
            </w:pPr>
            <w:r>
              <w:rPr>
                <w:rFonts w:hint="eastAsia"/>
                <w:color w:val="auto"/>
              </w:rPr>
              <w:t>1.26</w:t>
            </w:r>
          </w:p>
        </w:tc>
        <w:tc>
          <w:tcPr>
            <w:tcW w:w="953" w:type="pct"/>
            <w:tcBorders>
              <w:tl2br w:val="nil"/>
              <w:tr2bl w:val="nil"/>
            </w:tcBorders>
            <w:vAlign w:val="center"/>
          </w:tcPr>
          <w:p>
            <w:pPr>
              <w:pStyle w:val="45"/>
              <w:rPr>
                <w:color w:val="auto"/>
              </w:rPr>
            </w:pPr>
            <w:r>
              <w:rPr>
                <w:rFonts w:hint="eastAsia"/>
                <w:color w:val="auto"/>
              </w:rPr>
              <w:t>6.09E-02</w:t>
            </w:r>
          </w:p>
        </w:tc>
        <w:tc>
          <w:tcPr>
            <w:tcW w:w="956" w:type="pct"/>
            <w:tcBorders>
              <w:tl2br w:val="nil"/>
              <w:tr2bl w:val="nil"/>
            </w:tcBorders>
            <w:vAlign w:val="center"/>
          </w:tcPr>
          <w:p>
            <w:pPr>
              <w:pStyle w:val="45"/>
              <w:rPr>
                <w:color w:val="auto"/>
              </w:rPr>
            </w:pPr>
            <w:r>
              <w:rPr>
                <w:rFonts w:hint="eastAsia"/>
                <w:color w:val="auto"/>
              </w:rPr>
              <w:t>0.61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tcBorders>
              <w:tl2br w:val="nil"/>
              <w:tr2bl w:val="nil"/>
            </w:tcBorders>
            <w:vAlign w:val="center"/>
          </w:tcPr>
          <w:p>
            <w:pPr>
              <w:pStyle w:val="45"/>
              <w:rPr>
                <w:color w:val="auto"/>
              </w:rPr>
            </w:pPr>
            <w:r>
              <w:rPr>
                <w:rFonts w:hint="eastAsia"/>
                <w:color w:val="auto"/>
              </w:rPr>
              <w:t>350</w:t>
            </w:r>
          </w:p>
        </w:tc>
        <w:tc>
          <w:tcPr>
            <w:tcW w:w="953" w:type="pct"/>
            <w:tcBorders>
              <w:tl2br w:val="nil"/>
              <w:tr2bl w:val="nil"/>
            </w:tcBorders>
            <w:vAlign w:val="center"/>
          </w:tcPr>
          <w:p>
            <w:pPr>
              <w:pStyle w:val="45"/>
              <w:rPr>
                <w:color w:val="auto"/>
                <w:lang w:val="zh-CN"/>
              </w:rPr>
            </w:pPr>
            <w:r>
              <w:rPr>
                <w:rFonts w:hint="eastAsia"/>
                <w:color w:val="auto"/>
              </w:rPr>
              <w:t>2.42E+00</w:t>
            </w:r>
          </w:p>
        </w:tc>
        <w:tc>
          <w:tcPr>
            <w:tcW w:w="954" w:type="pct"/>
            <w:tcBorders>
              <w:tl2br w:val="nil"/>
              <w:tr2bl w:val="nil"/>
            </w:tcBorders>
            <w:vAlign w:val="center"/>
          </w:tcPr>
          <w:p>
            <w:pPr>
              <w:pStyle w:val="45"/>
              <w:rPr>
                <w:color w:val="auto"/>
                <w:lang w:val="zh-CN"/>
              </w:rPr>
            </w:pPr>
            <w:r>
              <w:rPr>
                <w:rFonts w:hint="eastAsia"/>
                <w:color w:val="auto"/>
              </w:rPr>
              <w:t>1.21</w:t>
            </w:r>
          </w:p>
        </w:tc>
        <w:tc>
          <w:tcPr>
            <w:tcW w:w="953" w:type="pct"/>
            <w:tcBorders>
              <w:tl2br w:val="nil"/>
              <w:tr2bl w:val="nil"/>
            </w:tcBorders>
            <w:vAlign w:val="center"/>
          </w:tcPr>
          <w:p>
            <w:pPr>
              <w:pStyle w:val="45"/>
              <w:rPr>
                <w:color w:val="auto"/>
              </w:rPr>
            </w:pPr>
            <w:r>
              <w:rPr>
                <w:rFonts w:hint="eastAsia"/>
                <w:color w:val="auto"/>
              </w:rPr>
              <w:t>5.83E-02</w:t>
            </w:r>
          </w:p>
        </w:tc>
        <w:tc>
          <w:tcPr>
            <w:tcW w:w="956" w:type="pct"/>
            <w:tcBorders>
              <w:tl2br w:val="nil"/>
              <w:tr2bl w:val="nil"/>
            </w:tcBorders>
            <w:vAlign w:val="center"/>
          </w:tcPr>
          <w:p>
            <w:pPr>
              <w:pStyle w:val="45"/>
              <w:rPr>
                <w:color w:val="auto"/>
              </w:rPr>
            </w:pPr>
            <w:r>
              <w:rPr>
                <w:rFonts w:hint="eastAsia"/>
                <w:color w:val="auto"/>
              </w:rPr>
              <w:t>0.58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tcBorders>
              <w:tl2br w:val="nil"/>
              <w:tr2bl w:val="nil"/>
            </w:tcBorders>
            <w:vAlign w:val="center"/>
          </w:tcPr>
          <w:p>
            <w:pPr>
              <w:pStyle w:val="45"/>
              <w:rPr>
                <w:color w:val="auto"/>
              </w:rPr>
            </w:pPr>
            <w:r>
              <w:rPr>
                <w:rFonts w:hint="eastAsia"/>
                <w:color w:val="auto"/>
              </w:rPr>
              <w:t>375</w:t>
            </w:r>
          </w:p>
        </w:tc>
        <w:tc>
          <w:tcPr>
            <w:tcW w:w="953" w:type="pct"/>
            <w:tcBorders>
              <w:tl2br w:val="nil"/>
              <w:tr2bl w:val="nil"/>
            </w:tcBorders>
            <w:vAlign w:val="center"/>
          </w:tcPr>
          <w:p>
            <w:pPr>
              <w:pStyle w:val="45"/>
              <w:rPr>
                <w:color w:val="auto"/>
                <w:lang w:val="zh-CN"/>
              </w:rPr>
            </w:pPr>
            <w:r>
              <w:rPr>
                <w:rFonts w:hint="eastAsia"/>
                <w:color w:val="auto"/>
              </w:rPr>
              <w:t>2.32E+00</w:t>
            </w:r>
          </w:p>
        </w:tc>
        <w:tc>
          <w:tcPr>
            <w:tcW w:w="954" w:type="pct"/>
            <w:tcBorders>
              <w:tl2br w:val="nil"/>
              <w:tr2bl w:val="nil"/>
            </w:tcBorders>
            <w:vAlign w:val="center"/>
          </w:tcPr>
          <w:p>
            <w:pPr>
              <w:pStyle w:val="45"/>
              <w:rPr>
                <w:color w:val="auto"/>
                <w:lang w:val="zh-CN"/>
              </w:rPr>
            </w:pPr>
            <w:r>
              <w:rPr>
                <w:rFonts w:hint="eastAsia"/>
                <w:color w:val="auto"/>
              </w:rPr>
              <w:t>1.16</w:t>
            </w:r>
          </w:p>
        </w:tc>
        <w:tc>
          <w:tcPr>
            <w:tcW w:w="953" w:type="pct"/>
            <w:tcBorders>
              <w:tl2br w:val="nil"/>
              <w:tr2bl w:val="nil"/>
            </w:tcBorders>
            <w:vAlign w:val="center"/>
          </w:tcPr>
          <w:p>
            <w:pPr>
              <w:pStyle w:val="45"/>
              <w:rPr>
                <w:color w:val="auto"/>
              </w:rPr>
            </w:pPr>
            <w:r>
              <w:rPr>
                <w:rFonts w:hint="eastAsia"/>
                <w:color w:val="auto"/>
              </w:rPr>
              <w:t>5.59E-02</w:t>
            </w:r>
          </w:p>
        </w:tc>
        <w:tc>
          <w:tcPr>
            <w:tcW w:w="956" w:type="pct"/>
            <w:tcBorders>
              <w:tl2br w:val="nil"/>
              <w:tr2bl w:val="nil"/>
            </w:tcBorders>
            <w:vAlign w:val="center"/>
          </w:tcPr>
          <w:p>
            <w:pPr>
              <w:pStyle w:val="45"/>
              <w:rPr>
                <w:color w:val="auto"/>
              </w:rPr>
            </w:pPr>
            <w:r>
              <w:rPr>
                <w:rFonts w:hint="eastAsia"/>
                <w:color w:val="auto"/>
              </w:rPr>
              <w:t>0.56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tcBorders>
              <w:tl2br w:val="nil"/>
              <w:tr2bl w:val="nil"/>
            </w:tcBorders>
            <w:vAlign w:val="center"/>
          </w:tcPr>
          <w:p>
            <w:pPr>
              <w:pStyle w:val="45"/>
              <w:rPr>
                <w:color w:val="auto"/>
              </w:rPr>
            </w:pPr>
            <w:r>
              <w:rPr>
                <w:rFonts w:hint="eastAsia"/>
                <w:color w:val="auto"/>
              </w:rPr>
              <w:t>400</w:t>
            </w:r>
          </w:p>
        </w:tc>
        <w:tc>
          <w:tcPr>
            <w:tcW w:w="953" w:type="pct"/>
            <w:tcBorders>
              <w:tl2br w:val="nil"/>
              <w:tr2bl w:val="nil"/>
            </w:tcBorders>
            <w:vAlign w:val="center"/>
          </w:tcPr>
          <w:p>
            <w:pPr>
              <w:pStyle w:val="45"/>
              <w:rPr>
                <w:color w:val="auto"/>
                <w:lang w:val="zh-CN"/>
              </w:rPr>
            </w:pPr>
            <w:r>
              <w:rPr>
                <w:rFonts w:hint="eastAsia"/>
                <w:color w:val="auto"/>
              </w:rPr>
              <w:t>2.22E+00</w:t>
            </w:r>
          </w:p>
        </w:tc>
        <w:tc>
          <w:tcPr>
            <w:tcW w:w="954" w:type="pct"/>
            <w:tcBorders>
              <w:tl2br w:val="nil"/>
              <w:tr2bl w:val="nil"/>
            </w:tcBorders>
            <w:vAlign w:val="center"/>
          </w:tcPr>
          <w:p>
            <w:pPr>
              <w:pStyle w:val="45"/>
              <w:rPr>
                <w:color w:val="auto"/>
                <w:lang w:val="zh-CN"/>
              </w:rPr>
            </w:pPr>
            <w:r>
              <w:rPr>
                <w:rFonts w:hint="eastAsia"/>
                <w:color w:val="auto"/>
              </w:rPr>
              <w:t>1.11</w:t>
            </w:r>
          </w:p>
        </w:tc>
        <w:tc>
          <w:tcPr>
            <w:tcW w:w="953" w:type="pct"/>
            <w:tcBorders>
              <w:tl2br w:val="nil"/>
              <w:tr2bl w:val="nil"/>
            </w:tcBorders>
            <w:vAlign w:val="center"/>
          </w:tcPr>
          <w:p>
            <w:pPr>
              <w:pStyle w:val="45"/>
              <w:rPr>
                <w:color w:val="auto"/>
              </w:rPr>
            </w:pPr>
            <w:r>
              <w:rPr>
                <w:rFonts w:hint="eastAsia"/>
                <w:color w:val="auto"/>
              </w:rPr>
              <w:t>5.37E-02</w:t>
            </w:r>
          </w:p>
        </w:tc>
        <w:tc>
          <w:tcPr>
            <w:tcW w:w="956" w:type="pct"/>
            <w:tcBorders>
              <w:tl2br w:val="nil"/>
              <w:tr2bl w:val="nil"/>
            </w:tcBorders>
            <w:vAlign w:val="center"/>
          </w:tcPr>
          <w:p>
            <w:pPr>
              <w:pStyle w:val="45"/>
              <w:rPr>
                <w:color w:val="auto"/>
              </w:rPr>
            </w:pPr>
            <w:r>
              <w:rPr>
                <w:rFonts w:hint="eastAsia"/>
                <w:color w:val="auto"/>
              </w:rPr>
              <w:t>0.54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tcBorders>
              <w:tl2br w:val="nil"/>
              <w:tr2bl w:val="nil"/>
            </w:tcBorders>
            <w:vAlign w:val="center"/>
          </w:tcPr>
          <w:p>
            <w:pPr>
              <w:pStyle w:val="45"/>
              <w:rPr>
                <w:color w:val="auto"/>
              </w:rPr>
            </w:pPr>
            <w:r>
              <w:rPr>
                <w:rFonts w:hint="eastAsia"/>
                <w:color w:val="auto"/>
              </w:rPr>
              <w:t>425</w:t>
            </w:r>
          </w:p>
        </w:tc>
        <w:tc>
          <w:tcPr>
            <w:tcW w:w="953" w:type="pct"/>
            <w:tcBorders>
              <w:tl2br w:val="nil"/>
              <w:tr2bl w:val="nil"/>
            </w:tcBorders>
            <w:vAlign w:val="center"/>
          </w:tcPr>
          <w:p>
            <w:pPr>
              <w:pStyle w:val="45"/>
              <w:rPr>
                <w:color w:val="auto"/>
                <w:lang w:val="zh-CN"/>
              </w:rPr>
            </w:pPr>
            <w:r>
              <w:rPr>
                <w:rFonts w:hint="eastAsia"/>
                <w:color w:val="auto"/>
              </w:rPr>
              <w:t>2.14E+00</w:t>
            </w:r>
          </w:p>
        </w:tc>
        <w:tc>
          <w:tcPr>
            <w:tcW w:w="954" w:type="pct"/>
            <w:tcBorders>
              <w:tl2br w:val="nil"/>
              <w:tr2bl w:val="nil"/>
            </w:tcBorders>
            <w:vAlign w:val="center"/>
          </w:tcPr>
          <w:p>
            <w:pPr>
              <w:pStyle w:val="45"/>
              <w:rPr>
                <w:color w:val="auto"/>
                <w:lang w:val="zh-CN"/>
              </w:rPr>
            </w:pPr>
            <w:r>
              <w:rPr>
                <w:rFonts w:hint="eastAsia"/>
                <w:color w:val="auto"/>
              </w:rPr>
              <w:t>1.07</w:t>
            </w:r>
          </w:p>
        </w:tc>
        <w:tc>
          <w:tcPr>
            <w:tcW w:w="953" w:type="pct"/>
            <w:tcBorders>
              <w:tl2br w:val="nil"/>
              <w:tr2bl w:val="nil"/>
            </w:tcBorders>
            <w:vAlign w:val="center"/>
          </w:tcPr>
          <w:p>
            <w:pPr>
              <w:pStyle w:val="45"/>
              <w:rPr>
                <w:color w:val="auto"/>
              </w:rPr>
            </w:pPr>
            <w:r>
              <w:rPr>
                <w:rFonts w:hint="eastAsia"/>
                <w:color w:val="auto"/>
              </w:rPr>
              <w:t>5.16E-02</w:t>
            </w:r>
          </w:p>
        </w:tc>
        <w:tc>
          <w:tcPr>
            <w:tcW w:w="956" w:type="pct"/>
            <w:tcBorders>
              <w:tl2br w:val="nil"/>
              <w:tr2bl w:val="nil"/>
            </w:tcBorders>
            <w:vAlign w:val="center"/>
          </w:tcPr>
          <w:p>
            <w:pPr>
              <w:pStyle w:val="45"/>
              <w:rPr>
                <w:color w:val="auto"/>
              </w:rPr>
            </w:pPr>
            <w:r>
              <w:rPr>
                <w:rFonts w:hint="eastAsia"/>
                <w:color w:val="auto"/>
              </w:rPr>
              <w:t>0.52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tcBorders>
              <w:tl2br w:val="nil"/>
              <w:tr2bl w:val="nil"/>
            </w:tcBorders>
            <w:vAlign w:val="center"/>
          </w:tcPr>
          <w:p>
            <w:pPr>
              <w:pStyle w:val="45"/>
              <w:rPr>
                <w:color w:val="auto"/>
              </w:rPr>
            </w:pPr>
            <w:r>
              <w:rPr>
                <w:rFonts w:hint="eastAsia"/>
                <w:color w:val="auto"/>
              </w:rPr>
              <w:t>450</w:t>
            </w:r>
          </w:p>
        </w:tc>
        <w:tc>
          <w:tcPr>
            <w:tcW w:w="953" w:type="pct"/>
            <w:tcBorders>
              <w:tl2br w:val="nil"/>
              <w:tr2bl w:val="nil"/>
            </w:tcBorders>
            <w:vAlign w:val="center"/>
          </w:tcPr>
          <w:p>
            <w:pPr>
              <w:pStyle w:val="45"/>
              <w:rPr>
                <w:color w:val="auto"/>
                <w:lang w:val="zh-CN"/>
              </w:rPr>
            </w:pPr>
            <w:r>
              <w:rPr>
                <w:rFonts w:hint="eastAsia"/>
                <w:color w:val="auto"/>
              </w:rPr>
              <w:t>2.06E+00</w:t>
            </w:r>
          </w:p>
        </w:tc>
        <w:tc>
          <w:tcPr>
            <w:tcW w:w="954" w:type="pct"/>
            <w:tcBorders>
              <w:tl2br w:val="nil"/>
              <w:tr2bl w:val="nil"/>
            </w:tcBorders>
            <w:vAlign w:val="center"/>
          </w:tcPr>
          <w:p>
            <w:pPr>
              <w:pStyle w:val="45"/>
              <w:rPr>
                <w:color w:val="auto"/>
                <w:lang w:val="zh-CN"/>
              </w:rPr>
            </w:pPr>
            <w:r>
              <w:rPr>
                <w:rFonts w:hint="eastAsia"/>
                <w:color w:val="auto"/>
              </w:rPr>
              <w:t>1.03</w:t>
            </w:r>
          </w:p>
        </w:tc>
        <w:tc>
          <w:tcPr>
            <w:tcW w:w="953" w:type="pct"/>
            <w:tcBorders>
              <w:tl2br w:val="nil"/>
              <w:tr2bl w:val="nil"/>
            </w:tcBorders>
            <w:vAlign w:val="center"/>
          </w:tcPr>
          <w:p>
            <w:pPr>
              <w:pStyle w:val="45"/>
              <w:rPr>
                <w:color w:val="auto"/>
              </w:rPr>
            </w:pPr>
            <w:r>
              <w:rPr>
                <w:rFonts w:hint="eastAsia"/>
                <w:color w:val="auto"/>
              </w:rPr>
              <w:t>4.96E-02</w:t>
            </w:r>
          </w:p>
        </w:tc>
        <w:tc>
          <w:tcPr>
            <w:tcW w:w="956" w:type="pct"/>
            <w:tcBorders>
              <w:tl2br w:val="nil"/>
              <w:tr2bl w:val="nil"/>
            </w:tcBorders>
            <w:vAlign w:val="center"/>
          </w:tcPr>
          <w:p>
            <w:pPr>
              <w:pStyle w:val="45"/>
              <w:rPr>
                <w:color w:val="auto"/>
              </w:rPr>
            </w:pPr>
            <w:r>
              <w:rPr>
                <w:rFonts w:hint="eastAsia"/>
                <w:color w:val="auto"/>
              </w:rPr>
              <w:t>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tcBorders>
              <w:tl2br w:val="nil"/>
              <w:tr2bl w:val="nil"/>
            </w:tcBorders>
            <w:vAlign w:val="center"/>
          </w:tcPr>
          <w:p>
            <w:pPr>
              <w:pStyle w:val="45"/>
              <w:rPr>
                <w:color w:val="auto"/>
              </w:rPr>
            </w:pPr>
            <w:r>
              <w:rPr>
                <w:rFonts w:hint="eastAsia"/>
                <w:color w:val="auto"/>
              </w:rPr>
              <w:t>475</w:t>
            </w:r>
          </w:p>
        </w:tc>
        <w:tc>
          <w:tcPr>
            <w:tcW w:w="953" w:type="pct"/>
            <w:tcBorders>
              <w:tl2br w:val="nil"/>
              <w:tr2bl w:val="nil"/>
            </w:tcBorders>
            <w:vAlign w:val="center"/>
          </w:tcPr>
          <w:p>
            <w:pPr>
              <w:pStyle w:val="45"/>
              <w:rPr>
                <w:color w:val="auto"/>
                <w:lang w:val="zh-CN"/>
              </w:rPr>
            </w:pPr>
            <w:r>
              <w:rPr>
                <w:rFonts w:hint="eastAsia"/>
                <w:color w:val="auto"/>
              </w:rPr>
              <w:t>1.98E+00</w:t>
            </w:r>
          </w:p>
        </w:tc>
        <w:tc>
          <w:tcPr>
            <w:tcW w:w="954" w:type="pct"/>
            <w:tcBorders>
              <w:tl2br w:val="nil"/>
              <w:tr2bl w:val="nil"/>
            </w:tcBorders>
            <w:vAlign w:val="center"/>
          </w:tcPr>
          <w:p>
            <w:pPr>
              <w:pStyle w:val="45"/>
              <w:rPr>
                <w:color w:val="auto"/>
                <w:lang w:val="zh-CN"/>
              </w:rPr>
            </w:pPr>
            <w:r>
              <w:rPr>
                <w:rFonts w:hint="eastAsia"/>
                <w:color w:val="auto"/>
              </w:rPr>
              <w:t>0.99</w:t>
            </w:r>
          </w:p>
        </w:tc>
        <w:tc>
          <w:tcPr>
            <w:tcW w:w="953" w:type="pct"/>
            <w:tcBorders>
              <w:tl2br w:val="nil"/>
              <w:tr2bl w:val="nil"/>
            </w:tcBorders>
            <w:vAlign w:val="center"/>
          </w:tcPr>
          <w:p>
            <w:pPr>
              <w:pStyle w:val="45"/>
              <w:rPr>
                <w:color w:val="auto"/>
              </w:rPr>
            </w:pPr>
            <w:r>
              <w:rPr>
                <w:rFonts w:hint="eastAsia"/>
                <w:color w:val="auto"/>
              </w:rPr>
              <w:t>4.78E-02</w:t>
            </w:r>
          </w:p>
        </w:tc>
        <w:tc>
          <w:tcPr>
            <w:tcW w:w="956" w:type="pct"/>
            <w:tcBorders>
              <w:tl2br w:val="nil"/>
              <w:tr2bl w:val="nil"/>
            </w:tcBorders>
            <w:vAlign w:val="center"/>
          </w:tcPr>
          <w:p>
            <w:pPr>
              <w:pStyle w:val="45"/>
              <w:rPr>
                <w:color w:val="auto"/>
              </w:rPr>
            </w:pPr>
            <w:r>
              <w:rPr>
                <w:rFonts w:hint="eastAsia"/>
                <w:color w:val="auto"/>
              </w:rPr>
              <w:t>0.48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tcBorders>
              <w:tl2br w:val="nil"/>
              <w:tr2bl w:val="nil"/>
            </w:tcBorders>
            <w:vAlign w:val="center"/>
          </w:tcPr>
          <w:p>
            <w:pPr>
              <w:pStyle w:val="45"/>
              <w:rPr>
                <w:color w:val="auto"/>
              </w:rPr>
            </w:pPr>
            <w:r>
              <w:rPr>
                <w:rFonts w:hint="eastAsia"/>
                <w:color w:val="auto"/>
              </w:rPr>
              <w:t>500</w:t>
            </w:r>
          </w:p>
        </w:tc>
        <w:tc>
          <w:tcPr>
            <w:tcW w:w="953" w:type="pct"/>
            <w:tcBorders>
              <w:tl2br w:val="nil"/>
              <w:tr2bl w:val="nil"/>
            </w:tcBorders>
            <w:vAlign w:val="center"/>
          </w:tcPr>
          <w:p>
            <w:pPr>
              <w:pStyle w:val="45"/>
              <w:rPr>
                <w:color w:val="auto"/>
                <w:lang w:val="zh-CN"/>
              </w:rPr>
            </w:pPr>
            <w:r>
              <w:rPr>
                <w:rFonts w:hint="eastAsia"/>
                <w:color w:val="auto"/>
              </w:rPr>
              <w:t>1.91E+00</w:t>
            </w:r>
          </w:p>
        </w:tc>
        <w:tc>
          <w:tcPr>
            <w:tcW w:w="954" w:type="pct"/>
            <w:tcBorders>
              <w:tl2br w:val="nil"/>
              <w:tr2bl w:val="nil"/>
            </w:tcBorders>
            <w:vAlign w:val="center"/>
          </w:tcPr>
          <w:p>
            <w:pPr>
              <w:pStyle w:val="45"/>
              <w:rPr>
                <w:color w:val="auto"/>
                <w:lang w:val="zh-CN"/>
              </w:rPr>
            </w:pPr>
            <w:r>
              <w:rPr>
                <w:rFonts w:hint="eastAsia"/>
                <w:color w:val="auto"/>
              </w:rPr>
              <w:t>0.95</w:t>
            </w:r>
          </w:p>
        </w:tc>
        <w:tc>
          <w:tcPr>
            <w:tcW w:w="953" w:type="pct"/>
            <w:tcBorders>
              <w:tl2br w:val="nil"/>
              <w:tr2bl w:val="nil"/>
            </w:tcBorders>
            <w:vAlign w:val="center"/>
          </w:tcPr>
          <w:p>
            <w:pPr>
              <w:pStyle w:val="45"/>
              <w:rPr>
                <w:color w:val="auto"/>
              </w:rPr>
            </w:pPr>
            <w:r>
              <w:rPr>
                <w:rFonts w:hint="eastAsia"/>
                <w:color w:val="auto"/>
              </w:rPr>
              <w:t>4.60E-02</w:t>
            </w:r>
          </w:p>
        </w:tc>
        <w:tc>
          <w:tcPr>
            <w:tcW w:w="956" w:type="pct"/>
            <w:tcBorders>
              <w:tl2br w:val="nil"/>
              <w:tr2bl w:val="nil"/>
            </w:tcBorders>
            <w:vAlign w:val="center"/>
          </w:tcPr>
          <w:p>
            <w:pPr>
              <w:pStyle w:val="45"/>
              <w:rPr>
                <w:color w:val="auto"/>
              </w:rPr>
            </w:pPr>
            <w:r>
              <w:rPr>
                <w:rFonts w:hint="eastAsia"/>
                <w:color w:val="auto"/>
              </w:rPr>
              <w:t>0.46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tcBorders>
              <w:tl2br w:val="nil"/>
              <w:tr2bl w:val="nil"/>
            </w:tcBorders>
            <w:vAlign w:val="center"/>
          </w:tcPr>
          <w:p>
            <w:pPr>
              <w:pStyle w:val="45"/>
              <w:rPr>
                <w:color w:val="auto"/>
              </w:rPr>
            </w:pPr>
            <w:r>
              <w:rPr>
                <w:color w:val="auto"/>
              </w:rPr>
              <w:t>下风向最大质量浓度及占标率/%</w:t>
            </w:r>
          </w:p>
        </w:tc>
        <w:tc>
          <w:tcPr>
            <w:tcW w:w="1638" w:type="dxa"/>
            <w:tcBorders>
              <w:tl2br w:val="nil"/>
              <w:tr2bl w:val="nil"/>
            </w:tcBorders>
            <w:vAlign w:val="center"/>
          </w:tcPr>
          <w:p>
            <w:pPr>
              <w:pStyle w:val="45"/>
              <w:rPr>
                <w:color w:val="auto"/>
                <w:lang w:val="zh-CN"/>
              </w:rPr>
            </w:pPr>
            <w:r>
              <w:rPr>
                <w:rFonts w:hint="eastAsia"/>
                <w:color w:val="auto"/>
              </w:rPr>
              <w:t>1.80E+01</w:t>
            </w:r>
          </w:p>
        </w:tc>
        <w:tc>
          <w:tcPr>
            <w:tcW w:w="1622" w:type="dxa"/>
            <w:tcBorders>
              <w:tl2br w:val="nil"/>
              <w:tr2bl w:val="nil"/>
            </w:tcBorders>
            <w:vAlign w:val="center"/>
          </w:tcPr>
          <w:p>
            <w:pPr>
              <w:pStyle w:val="45"/>
              <w:rPr>
                <w:color w:val="auto"/>
              </w:rPr>
            </w:pPr>
            <w:r>
              <w:rPr>
                <w:rFonts w:hint="eastAsia"/>
                <w:color w:val="auto"/>
              </w:rPr>
              <w:t>9.00</w:t>
            </w:r>
          </w:p>
        </w:tc>
        <w:tc>
          <w:tcPr>
            <w:tcW w:w="1624" w:type="dxa"/>
            <w:tcBorders>
              <w:tl2br w:val="nil"/>
              <w:tr2bl w:val="nil"/>
            </w:tcBorders>
            <w:vAlign w:val="center"/>
          </w:tcPr>
          <w:p>
            <w:pPr>
              <w:pStyle w:val="45"/>
              <w:rPr>
                <w:color w:val="auto"/>
                <w:szCs w:val="24"/>
              </w:rPr>
            </w:pPr>
            <w:r>
              <w:rPr>
                <w:rFonts w:hint="eastAsia"/>
                <w:color w:val="auto"/>
              </w:rPr>
              <w:t>4.34E-01</w:t>
            </w:r>
          </w:p>
        </w:tc>
        <w:tc>
          <w:tcPr>
            <w:tcW w:w="1629" w:type="dxa"/>
            <w:tcBorders>
              <w:tl2br w:val="nil"/>
              <w:tr2bl w:val="nil"/>
            </w:tcBorders>
            <w:vAlign w:val="center"/>
          </w:tcPr>
          <w:p>
            <w:pPr>
              <w:pStyle w:val="45"/>
              <w:rPr>
                <w:color w:val="auto"/>
                <w:szCs w:val="24"/>
              </w:rPr>
            </w:pPr>
            <w:r>
              <w:rPr>
                <w:rFonts w:hint="eastAsia"/>
                <w:color w:val="auto"/>
              </w:rPr>
              <w:t>4.34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83" w:type="pct"/>
            <w:tcBorders>
              <w:tl2br w:val="nil"/>
              <w:tr2bl w:val="nil"/>
            </w:tcBorders>
            <w:vAlign w:val="center"/>
          </w:tcPr>
          <w:p>
            <w:pPr>
              <w:pStyle w:val="45"/>
              <w:rPr>
                <w:color w:val="auto"/>
              </w:rPr>
            </w:pPr>
            <w:r>
              <w:rPr>
                <w:color w:val="auto"/>
              </w:rPr>
              <w:t>D10%最远距离/m</w:t>
            </w:r>
          </w:p>
        </w:tc>
        <w:tc>
          <w:tcPr>
            <w:tcW w:w="1907" w:type="pct"/>
            <w:gridSpan w:val="2"/>
            <w:tcBorders>
              <w:tl2br w:val="nil"/>
              <w:tr2bl w:val="nil"/>
            </w:tcBorders>
            <w:vAlign w:val="center"/>
          </w:tcPr>
          <w:p>
            <w:pPr>
              <w:pStyle w:val="45"/>
              <w:rPr>
                <w:color w:val="auto"/>
              </w:rPr>
            </w:pPr>
            <w:r>
              <w:rPr>
                <w:rFonts w:hint="eastAsia"/>
                <w:color w:val="auto"/>
              </w:rPr>
              <w:t>未出现</w:t>
            </w:r>
          </w:p>
        </w:tc>
        <w:tc>
          <w:tcPr>
            <w:tcW w:w="1909" w:type="pct"/>
            <w:gridSpan w:val="2"/>
            <w:tcBorders>
              <w:tl2br w:val="nil"/>
              <w:tr2bl w:val="nil"/>
            </w:tcBorders>
            <w:vAlign w:val="center"/>
          </w:tcPr>
          <w:p>
            <w:pPr>
              <w:pStyle w:val="45"/>
              <w:rPr>
                <w:color w:val="auto"/>
              </w:rPr>
            </w:pPr>
            <w:r>
              <w:rPr>
                <w:rFonts w:hint="eastAsia"/>
                <w:color w:val="auto"/>
              </w:rPr>
              <w:t>未出现</w:t>
            </w:r>
          </w:p>
        </w:tc>
      </w:tr>
    </w:tbl>
    <w:p>
      <w:pPr>
        <w:spacing w:line="240" w:lineRule="auto"/>
        <w:ind w:firstLine="0" w:firstLineChars="0"/>
        <w:jc w:val="center"/>
        <w:rPr>
          <w:rFonts w:eastAsia="黑体"/>
          <w:b w:val="0"/>
          <w:bCs w:val="0"/>
          <w:color w:val="auto"/>
          <w:sz w:val="21"/>
          <w:szCs w:val="21"/>
        </w:rPr>
      </w:pPr>
      <w:r>
        <w:rPr>
          <w:rFonts w:eastAsia="黑体"/>
          <w:b w:val="0"/>
          <w:bCs w:val="0"/>
          <w:color w:val="auto"/>
          <w:sz w:val="21"/>
          <w:szCs w:val="21"/>
          <w:lang w:val="zh-CN"/>
        </w:rPr>
        <w:t>表</w:t>
      </w:r>
      <w:r>
        <w:rPr>
          <w:rFonts w:eastAsia="黑体"/>
          <w:b w:val="0"/>
          <w:bCs w:val="0"/>
          <w:color w:val="auto"/>
          <w:sz w:val="21"/>
          <w:szCs w:val="21"/>
        </w:rPr>
        <w:t>5.1-</w:t>
      </w:r>
      <w:r>
        <w:rPr>
          <w:rFonts w:hint="eastAsia" w:eastAsia="黑体"/>
          <w:b w:val="0"/>
          <w:bCs w:val="0"/>
          <w:color w:val="auto"/>
          <w:sz w:val="21"/>
          <w:szCs w:val="21"/>
        </w:rPr>
        <w:t>6 拟建</w:t>
      </w:r>
      <w:r>
        <w:rPr>
          <w:rFonts w:eastAsia="黑体"/>
          <w:b w:val="0"/>
          <w:bCs w:val="0"/>
          <w:color w:val="auto"/>
          <w:sz w:val="21"/>
          <w:szCs w:val="21"/>
        </w:rPr>
        <w:t>项目污染源估算模型计算结果表</w:t>
      </w:r>
    </w:p>
    <w:tbl>
      <w:tblPr>
        <w:tblStyle w:val="23"/>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84"/>
        <w:gridCol w:w="1389"/>
        <w:gridCol w:w="1333"/>
        <w:gridCol w:w="1471"/>
        <w:gridCol w:w="1220"/>
        <w:gridCol w:w="867"/>
        <w:gridCol w:w="9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3" w:type="pct"/>
            <w:tcBorders>
              <w:tl2br w:val="nil"/>
              <w:tr2bl w:val="nil"/>
            </w:tcBorders>
            <w:vAlign w:val="center"/>
          </w:tcPr>
          <w:p>
            <w:pPr>
              <w:spacing w:line="240" w:lineRule="auto"/>
              <w:ind w:firstLine="0" w:firstLineChars="0"/>
              <w:jc w:val="center"/>
              <w:rPr>
                <w:b/>
                <w:bCs/>
                <w:color w:val="auto"/>
                <w:sz w:val="21"/>
                <w:szCs w:val="21"/>
              </w:rPr>
            </w:pPr>
            <w:r>
              <w:rPr>
                <w:b/>
                <w:bCs/>
                <w:color w:val="auto"/>
                <w:sz w:val="21"/>
                <w:szCs w:val="21"/>
              </w:rPr>
              <w:t>污染源</w:t>
            </w:r>
          </w:p>
        </w:tc>
        <w:tc>
          <w:tcPr>
            <w:tcW w:w="814" w:type="pct"/>
            <w:tcBorders>
              <w:tl2br w:val="nil"/>
              <w:tr2bl w:val="nil"/>
            </w:tcBorders>
            <w:vAlign w:val="center"/>
          </w:tcPr>
          <w:p>
            <w:pPr>
              <w:spacing w:line="240" w:lineRule="auto"/>
              <w:ind w:firstLine="0" w:firstLineChars="0"/>
              <w:jc w:val="center"/>
              <w:rPr>
                <w:b/>
                <w:bCs/>
                <w:color w:val="auto"/>
                <w:sz w:val="21"/>
                <w:szCs w:val="21"/>
              </w:rPr>
            </w:pPr>
            <w:r>
              <w:rPr>
                <w:b/>
                <w:bCs/>
                <w:color w:val="auto"/>
                <w:sz w:val="21"/>
                <w:szCs w:val="21"/>
              </w:rPr>
              <w:t>污染物</w:t>
            </w:r>
          </w:p>
        </w:tc>
        <w:tc>
          <w:tcPr>
            <w:tcW w:w="781" w:type="pct"/>
            <w:tcBorders>
              <w:tl2br w:val="nil"/>
              <w:tr2bl w:val="nil"/>
            </w:tcBorders>
            <w:vAlign w:val="center"/>
          </w:tcPr>
          <w:p>
            <w:pPr>
              <w:spacing w:line="240" w:lineRule="auto"/>
              <w:ind w:firstLine="0" w:firstLineChars="0"/>
              <w:jc w:val="center"/>
              <w:rPr>
                <w:b/>
                <w:bCs/>
                <w:color w:val="auto"/>
                <w:sz w:val="21"/>
                <w:szCs w:val="21"/>
              </w:rPr>
            </w:pPr>
            <w:r>
              <w:rPr>
                <w:b/>
                <w:bCs/>
                <w:color w:val="auto"/>
                <w:sz w:val="21"/>
                <w:szCs w:val="21"/>
              </w:rPr>
              <w:t>最大落地浓度（</w:t>
            </w:r>
            <w:r>
              <w:rPr>
                <w:rFonts w:hint="eastAsia"/>
                <w:b/>
                <w:bCs/>
                <w:color w:val="auto"/>
                <w:sz w:val="21"/>
                <w:szCs w:val="21"/>
              </w:rPr>
              <w:t>u</w:t>
            </w:r>
            <w:r>
              <w:rPr>
                <w:b/>
                <w:bCs/>
                <w:color w:val="auto"/>
                <w:sz w:val="21"/>
                <w:szCs w:val="21"/>
              </w:rPr>
              <w:t>g/m</w:t>
            </w:r>
            <w:r>
              <w:rPr>
                <w:b/>
                <w:bCs/>
                <w:color w:val="auto"/>
                <w:sz w:val="21"/>
                <w:szCs w:val="21"/>
                <w:vertAlign w:val="superscript"/>
              </w:rPr>
              <w:t>3</w:t>
            </w:r>
            <w:r>
              <w:rPr>
                <w:b/>
                <w:bCs/>
                <w:color w:val="auto"/>
                <w:sz w:val="21"/>
                <w:szCs w:val="21"/>
              </w:rPr>
              <w:t>）</w:t>
            </w:r>
          </w:p>
        </w:tc>
        <w:tc>
          <w:tcPr>
            <w:tcW w:w="862" w:type="pct"/>
            <w:tcBorders>
              <w:tl2br w:val="nil"/>
              <w:tr2bl w:val="nil"/>
            </w:tcBorders>
            <w:vAlign w:val="center"/>
          </w:tcPr>
          <w:p>
            <w:pPr>
              <w:spacing w:line="240" w:lineRule="auto"/>
              <w:ind w:firstLine="0" w:firstLineChars="0"/>
              <w:jc w:val="center"/>
              <w:rPr>
                <w:b/>
                <w:bCs/>
                <w:color w:val="auto"/>
                <w:sz w:val="21"/>
                <w:szCs w:val="21"/>
              </w:rPr>
            </w:pPr>
            <w:r>
              <w:rPr>
                <w:b/>
                <w:bCs/>
                <w:color w:val="auto"/>
                <w:sz w:val="21"/>
                <w:szCs w:val="21"/>
              </w:rPr>
              <w:t>最大落地浓度出现距离（m）</w:t>
            </w:r>
          </w:p>
        </w:tc>
        <w:tc>
          <w:tcPr>
            <w:tcW w:w="715" w:type="pct"/>
            <w:tcBorders>
              <w:tl2br w:val="nil"/>
              <w:tr2bl w:val="nil"/>
            </w:tcBorders>
            <w:vAlign w:val="center"/>
          </w:tcPr>
          <w:p>
            <w:pPr>
              <w:spacing w:line="240" w:lineRule="auto"/>
              <w:ind w:firstLine="0" w:firstLineChars="0"/>
              <w:jc w:val="center"/>
              <w:rPr>
                <w:b/>
                <w:bCs/>
                <w:color w:val="auto"/>
                <w:sz w:val="21"/>
                <w:szCs w:val="21"/>
              </w:rPr>
            </w:pPr>
            <w:r>
              <w:rPr>
                <w:b/>
                <w:bCs/>
                <w:color w:val="auto"/>
                <w:sz w:val="21"/>
                <w:szCs w:val="21"/>
              </w:rPr>
              <w:t>标准值（mg/m</w:t>
            </w:r>
            <w:r>
              <w:rPr>
                <w:b/>
                <w:bCs/>
                <w:color w:val="auto"/>
                <w:sz w:val="21"/>
                <w:szCs w:val="21"/>
                <w:vertAlign w:val="superscript"/>
              </w:rPr>
              <w:t>3</w:t>
            </w:r>
            <w:r>
              <w:rPr>
                <w:b/>
                <w:bCs/>
                <w:color w:val="auto"/>
                <w:sz w:val="21"/>
                <w:szCs w:val="21"/>
              </w:rPr>
              <w:t>）</w:t>
            </w:r>
          </w:p>
        </w:tc>
        <w:tc>
          <w:tcPr>
            <w:tcW w:w="508" w:type="pct"/>
            <w:tcBorders>
              <w:tl2br w:val="nil"/>
              <w:tr2bl w:val="nil"/>
            </w:tcBorders>
            <w:vAlign w:val="center"/>
          </w:tcPr>
          <w:p>
            <w:pPr>
              <w:spacing w:line="240" w:lineRule="auto"/>
              <w:ind w:firstLine="0" w:firstLineChars="0"/>
              <w:jc w:val="center"/>
              <w:rPr>
                <w:b/>
                <w:bCs/>
                <w:color w:val="auto"/>
                <w:sz w:val="21"/>
                <w:szCs w:val="21"/>
              </w:rPr>
            </w:pPr>
            <w:r>
              <w:rPr>
                <w:b/>
                <w:bCs/>
                <w:color w:val="auto"/>
                <w:sz w:val="21"/>
                <w:szCs w:val="21"/>
              </w:rPr>
              <w:t>占标率（%）</w:t>
            </w:r>
          </w:p>
        </w:tc>
        <w:tc>
          <w:tcPr>
            <w:tcW w:w="562" w:type="pct"/>
            <w:tcBorders>
              <w:tl2br w:val="nil"/>
              <w:tr2bl w:val="nil"/>
            </w:tcBorders>
            <w:vAlign w:val="center"/>
          </w:tcPr>
          <w:p>
            <w:pPr>
              <w:spacing w:line="240" w:lineRule="auto"/>
              <w:ind w:firstLine="0" w:firstLineChars="0"/>
              <w:jc w:val="center"/>
              <w:rPr>
                <w:b/>
                <w:bCs/>
                <w:color w:val="auto"/>
                <w:sz w:val="21"/>
                <w:szCs w:val="21"/>
                <w:vertAlign w:val="subscript"/>
              </w:rPr>
            </w:pPr>
            <w:r>
              <w:rPr>
                <w:b/>
                <w:bCs/>
                <w:color w:val="auto"/>
                <w:sz w:val="21"/>
                <w:szCs w:val="21"/>
              </w:rPr>
              <w:t>D</w:t>
            </w:r>
            <w:r>
              <w:rPr>
                <w:b/>
                <w:bCs/>
                <w:color w:val="auto"/>
                <w:sz w:val="21"/>
                <w:szCs w:val="21"/>
                <w:vertAlign w:val="subscript"/>
              </w:rPr>
              <w:t>10%</w:t>
            </w:r>
          </w:p>
          <w:p>
            <w:pPr>
              <w:spacing w:line="240" w:lineRule="auto"/>
              <w:ind w:firstLine="0" w:firstLineChars="0"/>
              <w:jc w:val="center"/>
              <w:rPr>
                <w:b/>
                <w:bCs/>
                <w:color w:val="auto"/>
                <w:sz w:val="21"/>
                <w:szCs w:val="21"/>
              </w:rPr>
            </w:pPr>
            <w:r>
              <w:rPr>
                <w:b/>
                <w:bCs/>
                <w:color w:val="auto"/>
                <w:sz w:val="21"/>
                <w:szCs w:val="21"/>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3"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工艺及污水处理站废气</w:t>
            </w:r>
            <w:r>
              <w:rPr>
                <w:color w:val="auto"/>
                <w:sz w:val="21"/>
                <w:szCs w:val="21"/>
              </w:rPr>
              <w:t>DA001</w:t>
            </w:r>
          </w:p>
        </w:tc>
        <w:tc>
          <w:tcPr>
            <w:tcW w:w="81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lang w:bidi="ar"/>
              </w:rPr>
              <w:t>VOCs</w:t>
            </w:r>
            <w:r>
              <w:rPr>
                <w:rFonts w:hint="eastAsia" w:ascii="宋体" w:hAnsi="宋体" w:cs="宋体"/>
                <w:color w:val="auto"/>
                <w:sz w:val="21"/>
                <w:szCs w:val="21"/>
                <w:lang w:bidi="ar"/>
              </w:rPr>
              <w:t>（以非甲烷总烃计）</w:t>
            </w:r>
          </w:p>
        </w:tc>
        <w:tc>
          <w:tcPr>
            <w:tcW w:w="78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0.269</w:t>
            </w:r>
          </w:p>
        </w:tc>
        <w:tc>
          <w:tcPr>
            <w:tcW w:w="86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70</w:t>
            </w:r>
          </w:p>
        </w:tc>
        <w:tc>
          <w:tcPr>
            <w:tcW w:w="715"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2.0</w:t>
            </w:r>
          </w:p>
        </w:tc>
        <w:tc>
          <w:tcPr>
            <w:tcW w:w="50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2.24</w:t>
            </w:r>
          </w:p>
        </w:tc>
        <w:tc>
          <w:tcPr>
            <w:tcW w:w="56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未出现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3" w:type="pct"/>
            <w:vMerge w:val="continue"/>
            <w:tcBorders>
              <w:tl2br w:val="nil"/>
              <w:tr2bl w:val="nil"/>
            </w:tcBorders>
            <w:vAlign w:val="center"/>
          </w:tcPr>
          <w:p>
            <w:pPr>
              <w:spacing w:line="240" w:lineRule="auto"/>
              <w:ind w:firstLine="0" w:firstLineChars="0"/>
              <w:jc w:val="center"/>
              <w:rPr>
                <w:color w:val="auto"/>
                <w:sz w:val="21"/>
                <w:szCs w:val="21"/>
              </w:rPr>
            </w:pPr>
          </w:p>
        </w:tc>
        <w:tc>
          <w:tcPr>
            <w:tcW w:w="814" w:type="pct"/>
            <w:tcBorders>
              <w:tl2br w:val="nil"/>
              <w:tr2bl w:val="nil"/>
            </w:tcBorders>
            <w:vAlign w:val="center"/>
          </w:tcPr>
          <w:p>
            <w:pPr>
              <w:spacing w:line="240" w:lineRule="auto"/>
              <w:ind w:firstLine="0" w:firstLineChars="0"/>
              <w:jc w:val="center"/>
              <w:rPr>
                <w:color w:val="auto"/>
                <w:sz w:val="21"/>
                <w:szCs w:val="21"/>
              </w:rPr>
            </w:pPr>
            <w:r>
              <w:rPr>
                <w:rFonts w:hint="eastAsia" w:ascii="宋体" w:hAnsi="宋体" w:cs="宋体"/>
                <w:color w:val="auto"/>
                <w:sz w:val="21"/>
                <w:szCs w:val="21"/>
                <w:lang w:bidi="ar"/>
              </w:rPr>
              <w:t>氨</w:t>
            </w:r>
          </w:p>
        </w:tc>
        <w:tc>
          <w:tcPr>
            <w:tcW w:w="78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0.046</w:t>
            </w:r>
          </w:p>
        </w:tc>
        <w:tc>
          <w:tcPr>
            <w:tcW w:w="86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70</w:t>
            </w:r>
          </w:p>
        </w:tc>
        <w:tc>
          <w:tcPr>
            <w:tcW w:w="715"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0.20</w:t>
            </w:r>
          </w:p>
        </w:tc>
        <w:tc>
          <w:tcPr>
            <w:tcW w:w="50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0.02</w:t>
            </w:r>
          </w:p>
        </w:tc>
        <w:tc>
          <w:tcPr>
            <w:tcW w:w="56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未出现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3" w:type="pct"/>
            <w:vMerge w:val="continue"/>
            <w:tcBorders>
              <w:tl2br w:val="nil"/>
              <w:tr2bl w:val="nil"/>
            </w:tcBorders>
            <w:vAlign w:val="center"/>
          </w:tcPr>
          <w:p>
            <w:pPr>
              <w:spacing w:line="240" w:lineRule="auto"/>
              <w:ind w:firstLine="0" w:firstLineChars="0"/>
              <w:jc w:val="center"/>
              <w:rPr>
                <w:color w:val="auto"/>
              </w:rPr>
            </w:pPr>
          </w:p>
        </w:tc>
        <w:tc>
          <w:tcPr>
            <w:tcW w:w="814" w:type="pct"/>
            <w:tcBorders>
              <w:tl2br w:val="nil"/>
              <w:tr2bl w:val="nil"/>
            </w:tcBorders>
            <w:vAlign w:val="center"/>
          </w:tcPr>
          <w:p>
            <w:pPr>
              <w:spacing w:line="240" w:lineRule="auto"/>
              <w:ind w:firstLine="0" w:firstLineChars="0"/>
              <w:jc w:val="center"/>
              <w:rPr>
                <w:color w:val="auto"/>
                <w:sz w:val="21"/>
                <w:szCs w:val="21"/>
              </w:rPr>
            </w:pPr>
            <w:r>
              <w:rPr>
                <w:rFonts w:hint="eastAsia" w:ascii="宋体" w:hAnsi="宋体" w:cs="宋体"/>
                <w:color w:val="auto"/>
                <w:sz w:val="21"/>
                <w:szCs w:val="21"/>
                <w:lang w:bidi="ar"/>
              </w:rPr>
              <w:t>硫化氢</w:t>
            </w:r>
          </w:p>
        </w:tc>
        <w:tc>
          <w:tcPr>
            <w:tcW w:w="78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0.001</w:t>
            </w:r>
          </w:p>
        </w:tc>
        <w:tc>
          <w:tcPr>
            <w:tcW w:w="86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70</w:t>
            </w:r>
          </w:p>
        </w:tc>
        <w:tc>
          <w:tcPr>
            <w:tcW w:w="715"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0.01</w:t>
            </w:r>
          </w:p>
        </w:tc>
        <w:tc>
          <w:tcPr>
            <w:tcW w:w="50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0.01</w:t>
            </w:r>
          </w:p>
        </w:tc>
        <w:tc>
          <w:tcPr>
            <w:tcW w:w="56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未出现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753" w:type="pct"/>
            <w:vMerge w:val="restart"/>
            <w:tcBorders>
              <w:tl2br w:val="nil"/>
              <w:tr2bl w:val="nil"/>
            </w:tcBorders>
            <w:vAlign w:val="center"/>
          </w:tcPr>
          <w:p>
            <w:pPr>
              <w:autoSpaceDE w:val="0"/>
              <w:snapToGrid w:val="0"/>
              <w:spacing w:line="240" w:lineRule="auto"/>
              <w:ind w:firstLine="0" w:firstLineChars="0"/>
              <w:jc w:val="center"/>
              <w:rPr>
                <w:rFonts w:hint="eastAsia" w:eastAsia="宋体"/>
                <w:color w:val="auto"/>
                <w:sz w:val="21"/>
                <w:szCs w:val="21"/>
                <w:lang w:eastAsia="zh-CN"/>
              </w:rPr>
            </w:pPr>
            <w:r>
              <w:rPr>
                <w:rFonts w:hint="eastAsia"/>
                <w:color w:val="auto"/>
                <w:sz w:val="21"/>
                <w:szCs w:val="21"/>
              </w:rPr>
              <w:t>锅炉废气DA00</w:t>
            </w:r>
            <w:r>
              <w:rPr>
                <w:rFonts w:hint="eastAsia"/>
                <w:color w:val="auto"/>
                <w:sz w:val="21"/>
                <w:szCs w:val="21"/>
                <w:lang w:val="en-US" w:eastAsia="zh-CN"/>
              </w:rPr>
              <w:t>2</w:t>
            </w:r>
          </w:p>
        </w:tc>
        <w:tc>
          <w:tcPr>
            <w:tcW w:w="81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PM</w:t>
            </w:r>
            <w:r>
              <w:rPr>
                <w:rFonts w:hint="eastAsia"/>
                <w:color w:val="auto"/>
                <w:sz w:val="21"/>
                <w:szCs w:val="21"/>
                <w:vertAlign w:val="subscript"/>
              </w:rPr>
              <w:t>10</w:t>
            </w:r>
          </w:p>
        </w:tc>
        <w:tc>
          <w:tcPr>
            <w:tcW w:w="78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1.03</w:t>
            </w:r>
          </w:p>
        </w:tc>
        <w:tc>
          <w:tcPr>
            <w:tcW w:w="86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46</w:t>
            </w:r>
          </w:p>
        </w:tc>
        <w:tc>
          <w:tcPr>
            <w:tcW w:w="715"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0.3</w:t>
            </w:r>
          </w:p>
        </w:tc>
        <w:tc>
          <w:tcPr>
            <w:tcW w:w="50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0.23</w:t>
            </w:r>
          </w:p>
        </w:tc>
        <w:tc>
          <w:tcPr>
            <w:tcW w:w="56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未出现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3" w:type="pct"/>
            <w:vMerge w:val="continue"/>
            <w:tcBorders>
              <w:tl2br w:val="nil"/>
              <w:tr2bl w:val="nil"/>
            </w:tcBorders>
            <w:vAlign w:val="center"/>
          </w:tcPr>
          <w:p>
            <w:pPr>
              <w:autoSpaceDE w:val="0"/>
              <w:snapToGrid w:val="0"/>
              <w:spacing w:line="240" w:lineRule="auto"/>
              <w:ind w:firstLine="0" w:firstLineChars="0"/>
              <w:jc w:val="center"/>
              <w:rPr>
                <w:rFonts w:ascii="宋体" w:hAnsi="宋体" w:cs="宋体"/>
                <w:color w:val="auto"/>
                <w:sz w:val="21"/>
                <w:szCs w:val="21"/>
                <w:lang w:bidi="ar"/>
              </w:rPr>
            </w:pPr>
          </w:p>
        </w:tc>
        <w:tc>
          <w:tcPr>
            <w:tcW w:w="81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二氧化硫</w:t>
            </w:r>
          </w:p>
        </w:tc>
        <w:tc>
          <w:tcPr>
            <w:tcW w:w="78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1.86</w:t>
            </w:r>
          </w:p>
        </w:tc>
        <w:tc>
          <w:tcPr>
            <w:tcW w:w="86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46</w:t>
            </w:r>
          </w:p>
        </w:tc>
        <w:tc>
          <w:tcPr>
            <w:tcW w:w="715"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0.5</w:t>
            </w:r>
          </w:p>
        </w:tc>
        <w:tc>
          <w:tcPr>
            <w:tcW w:w="50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0.37</w:t>
            </w:r>
          </w:p>
        </w:tc>
        <w:tc>
          <w:tcPr>
            <w:tcW w:w="56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未出现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3" w:type="pct"/>
            <w:vMerge w:val="continue"/>
            <w:tcBorders>
              <w:tl2br w:val="nil"/>
              <w:tr2bl w:val="nil"/>
            </w:tcBorders>
            <w:vAlign w:val="center"/>
          </w:tcPr>
          <w:p>
            <w:pPr>
              <w:autoSpaceDE w:val="0"/>
              <w:snapToGrid w:val="0"/>
              <w:spacing w:line="240" w:lineRule="auto"/>
              <w:ind w:firstLine="0" w:firstLineChars="0"/>
              <w:jc w:val="center"/>
              <w:rPr>
                <w:rFonts w:ascii="宋体" w:hAnsi="宋体" w:cs="宋体"/>
                <w:color w:val="auto"/>
                <w:sz w:val="21"/>
                <w:szCs w:val="21"/>
                <w:lang w:bidi="ar"/>
              </w:rPr>
            </w:pPr>
          </w:p>
        </w:tc>
        <w:tc>
          <w:tcPr>
            <w:tcW w:w="81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二氧化氮</w:t>
            </w:r>
          </w:p>
        </w:tc>
        <w:tc>
          <w:tcPr>
            <w:tcW w:w="78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8.67</w:t>
            </w:r>
          </w:p>
        </w:tc>
        <w:tc>
          <w:tcPr>
            <w:tcW w:w="86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46</w:t>
            </w:r>
          </w:p>
        </w:tc>
        <w:tc>
          <w:tcPr>
            <w:tcW w:w="715"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0.2</w:t>
            </w:r>
          </w:p>
        </w:tc>
        <w:tc>
          <w:tcPr>
            <w:tcW w:w="50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4.34</w:t>
            </w:r>
          </w:p>
        </w:tc>
        <w:tc>
          <w:tcPr>
            <w:tcW w:w="56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未出现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3" w:type="pct"/>
            <w:tcBorders>
              <w:tl2br w:val="nil"/>
              <w:tr2bl w:val="nil"/>
            </w:tcBorders>
            <w:vAlign w:val="center"/>
          </w:tcPr>
          <w:p>
            <w:pPr>
              <w:autoSpaceDE w:val="0"/>
              <w:snapToGrid w:val="0"/>
              <w:spacing w:line="240" w:lineRule="auto"/>
              <w:ind w:firstLine="0" w:firstLineChars="0"/>
              <w:jc w:val="center"/>
              <w:rPr>
                <w:color w:val="auto"/>
                <w:sz w:val="21"/>
                <w:szCs w:val="21"/>
              </w:rPr>
            </w:pPr>
            <w:r>
              <w:rPr>
                <w:rFonts w:hint="eastAsia"/>
                <w:color w:val="auto"/>
                <w:sz w:val="21"/>
                <w:szCs w:val="21"/>
              </w:rPr>
              <w:t>聚乳酸生产装置废气</w:t>
            </w:r>
          </w:p>
        </w:tc>
        <w:tc>
          <w:tcPr>
            <w:tcW w:w="81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VOCs（以非甲烷总烃计）</w:t>
            </w:r>
          </w:p>
        </w:tc>
        <w:tc>
          <w:tcPr>
            <w:tcW w:w="78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0.106</w:t>
            </w:r>
          </w:p>
        </w:tc>
        <w:tc>
          <w:tcPr>
            <w:tcW w:w="86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55</w:t>
            </w:r>
          </w:p>
        </w:tc>
        <w:tc>
          <w:tcPr>
            <w:tcW w:w="715"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2.0</w:t>
            </w:r>
          </w:p>
        </w:tc>
        <w:tc>
          <w:tcPr>
            <w:tcW w:w="50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0.88</w:t>
            </w:r>
          </w:p>
        </w:tc>
        <w:tc>
          <w:tcPr>
            <w:tcW w:w="56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未出现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3" w:type="pct"/>
            <w:tcBorders>
              <w:tl2br w:val="nil"/>
              <w:tr2bl w:val="nil"/>
            </w:tcBorders>
            <w:vAlign w:val="center"/>
          </w:tcPr>
          <w:p>
            <w:pPr>
              <w:autoSpaceDE w:val="0"/>
              <w:snapToGrid w:val="0"/>
              <w:spacing w:line="240" w:lineRule="auto"/>
              <w:ind w:firstLine="0" w:firstLineChars="0"/>
              <w:jc w:val="center"/>
              <w:rPr>
                <w:color w:val="auto"/>
                <w:sz w:val="21"/>
                <w:szCs w:val="21"/>
              </w:rPr>
            </w:pPr>
            <w:r>
              <w:rPr>
                <w:rFonts w:hint="eastAsia" w:ascii="宋体" w:hAnsi="宋体" w:cs="宋体"/>
                <w:color w:val="auto"/>
                <w:sz w:val="21"/>
                <w:szCs w:val="21"/>
                <w:lang w:bidi="ar"/>
              </w:rPr>
              <w:t>催化剂配置、投料废气</w:t>
            </w:r>
          </w:p>
        </w:tc>
        <w:tc>
          <w:tcPr>
            <w:tcW w:w="81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颗粒物</w:t>
            </w:r>
          </w:p>
        </w:tc>
        <w:tc>
          <w:tcPr>
            <w:tcW w:w="78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1.35</w:t>
            </w:r>
          </w:p>
        </w:tc>
        <w:tc>
          <w:tcPr>
            <w:tcW w:w="86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13</w:t>
            </w:r>
          </w:p>
        </w:tc>
        <w:tc>
          <w:tcPr>
            <w:tcW w:w="715"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0.3</w:t>
            </w:r>
          </w:p>
        </w:tc>
        <w:tc>
          <w:tcPr>
            <w:tcW w:w="50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0.15</w:t>
            </w:r>
          </w:p>
        </w:tc>
        <w:tc>
          <w:tcPr>
            <w:tcW w:w="56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未出现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3"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污水处理站</w:t>
            </w:r>
            <w:r>
              <w:rPr>
                <w:rFonts w:hint="eastAsia"/>
                <w:color w:val="auto"/>
                <w:sz w:val="21"/>
                <w:szCs w:val="21"/>
              </w:rPr>
              <w:t>未收集</w:t>
            </w:r>
            <w:r>
              <w:rPr>
                <w:color w:val="auto"/>
                <w:sz w:val="21"/>
                <w:szCs w:val="21"/>
              </w:rPr>
              <w:t>废气</w:t>
            </w:r>
          </w:p>
        </w:tc>
        <w:tc>
          <w:tcPr>
            <w:tcW w:w="81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氨</w:t>
            </w:r>
          </w:p>
        </w:tc>
        <w:tc>
          <w:tcPr>
            <w:tcW w:w="78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0.18</w:t>
            </w:r>
          </w:p>
        </w:tc>
        <w:tc>
          <w:tcPr>
            <w:tcW w:w="86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10</w:t>
            </w:r>
          </w:p>
        </w:tc>
        <w:tc>
          <w:tcPr>
            <w:tcW w:w="715"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0.2</w:t>
            </w:r>
          </w:p>
        </w:tc>
        <w:tc>
          <w:tcPr>
            <w:tcW w:w="508" w:type="pct"/>
            <w:tcBorders>
              <w:tl2br w:val="nil"/>
              <w:tr2bl w:val="nil"/>
            </w:tcBorders>
            <w:vAlign w:val="center"/>
          </w:tcPr>
          <w:p>
            <w:pPr>
              <w:spacing w:line="240" w:lineRule="auto"/>
              <w:ind w:firstLine="0" w:firstLineChars="0"/>
              <w:jc w:val="center"/>
              <w:rPr>
                <w:color w:val="auto"/>
                <w:sz w:val="21"/>
                <w:szCs w:val="21"/>
              </w:rPr>
            </w:pPr>
            <w:r>
              <w:rPr>
                <w:rFonts w:hint="eastAsia"/>
                <w:b/>
                <w:bCs/>
                <w:color w:val="auto"/>
                <w:sz w:val="21"/>
                <w:szCs w:val="21"/>
              </w:rPr>
              <w:t>9.00</w:t>
            </w:r>
          </w:p>
        </w:tc>
        <w:tc>
          <w:tcPr>
            <w:tcW w:w="56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未出现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3" w:type="pct"/>
            <w:vMerge w:val="continue"/>
            <w:tcBorders>
              <w:tl2br w:val="nil"/>
              <w:tr2bl w:val="nil"/>
            </w:tcBorders>
            <w:vAlign w:val="center"/>
          </w:tcPr>
          <w:p>
            <w:pPr>
              <w:spacing w:line="240" w:lineRule="auto"/>
              <w:ind w:firstLine="0" w:firstLineChars="0"/>
              <w:jc w:val="center"/>
              <w:rPr>
                <w:color w:val="auto"/>
                <w:sz w:val="21"/>
                <w:szCs w:val="21"/>
              </w:rPr>
            </w:pPr>
          </w:p>
        </w:tc>
        <w:tc>
          <w:tcPr>
            <w:tcW w:w="81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硫化氢</w:t>
            </w:r>
          </w:p>
        </w:tc>
        <w:tc>
          <w:tcPr>
            <w:tcW w:w="78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0.434</w:t>
            </w:r>
          </w:p>
        </w:tc>
        <w:tc>
          <w:tcPr>
            <w:tcW w:w="86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10</w:t>
            </w:r>
          </w:p>
        </w:tc>
        <w:tc>
          <w:tcPr>
            <w:tcW w:w="715"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0.01</w:t>
            </w:r>
          </w:p>
        </w:tc>
        <w:tc>
          <w:tcPr>
            <w:tcW w:w="50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4.34</w:t>
            </w:r>
          </w:p>
        </w:tc>
        <w:tc>
          <w:tcPr>
            <w:tcW w:w="56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未出现</w:t>
            </w:r>
          </w:p>
        </w:tc>
      </w:tr>
    </w:tbl>
    <w:p>
      <w:pPr>
        <w:ind w:firstLine="480"/>
        <w:rPr>
          <w:color w:val="auto"/>
        </w:rPr>
      </w:pPr>
      <w:r>
        <w:rPr>
          <w:color w:val="auto"/>
        </w:rPr>
        <w:t>根据估算结果，</w:t>
      </w:r>
      <w:r>
        <w:rPr>
          <w:rFonts w:hint="eastAsia"/>
          <w:color w:val="auto"/>
        </w:rPr>
        <w:t>污水处理站无组织氨</w:t>
      </w:r>
      <w:r>
        <w:rPr>
          <w:color w:val="auto"/>
        </w:rPr>
        <w:t>占标率</w:t>
      </w:r>
      <w:r>
        <w:rPr>
          <w:rFonts w:hint="eastAsia"/>
          <w:color w:val="auto"/>
        </w:rPr>
        <w:t>最大，1%</w:t>
      </w:r>
      <w:r>
        <w:rPr>
          <w:color w:val="auto"/>
        </w:rPr>
        <w:t>＜P</w:t>
      </w:r>
      <w:r>
        <w:rPr>
          <w:rFonts w:hint="eastAsia"/>
          <w:color w:val="auto"/>
        </w:rPr>
        <w:t>max</w:t>
      </w:r>
      <w:r>
        <w:rPr>
          <w:color w:val="auto"/>
        </w:rPr>
        <w:t>=</w:t>
      </w:r>
      <w:r>
        <w:rPr>
          <w:rFonts w:hint="eastAsia"/>
          <w:color w:val="auto"/>
        </w:rPr>
        <w:t>9.00%</w:t>
      </w:r>
      <w:r>
        <w:rPr>
          <w:color w:val="auto"/>
        </w:rPr>
        <w:t>＜1</w:t>
      </w:r>
      <w:r>
        <w:rPr>
          <w:rFonts w:hint="eastAsia"/>
          <w:color w:val="auto"/>
        </w:rPr>
        <w:t>0</w:t>
      </w:r>
      <w:r>
        <w:rPr>
          <w:color w:val="auto"/>
        </w:rPr>
        <w:t>%，下风向最大落地浓度为</w:t>
      </w:r>
      <w:r>
        <w:rPr>
          <w:rFonts w:hint="eastAsia"/>
          <w:color w:val="auto"/>
        </w:rPr>
        <w:t>0.18μg/m</w:t>
      </w:r>
      <w:r>
        <w:rPr>
          <w:rFonts w:hint="eastAsia"/>
          <w:color w:val="auto"/>
          <w:vertAlign w:val="superscript"/>
        </w:rPr>
        <w:t>3</w:t>
      </w:r>
      <w:r>
        <w:rPr>
          <w:color w:val="auto"/>
        </w:rPr>
        <w:t>，距污染源中心距离为</w:t>
      </w:r>
      <w:r>
        <w:rPr>
          <w:rFonts w:hint="eastAsia"/>
          <w:color w:val="auto"/>
        </w:rPr>
        <w:t>10</w:t>
      </w:r>
      <w:r>
        <w:rPr>
          <w:color w:val="auto"/>
        </w:rPr>
        <w:t>m。根据《环境影响评价技术导则  大气环境》（</w:t>
      </w:r>
      <w:r>
        <w:rPr>
          <w:rFonts w:hint="eastAsia"/>
          <w:color w:val="auto"/>
        </w:rPr>
        <w:t>HJ2.2-2018</w:t>
      </w:r>
      <w:r>
        <w:rPr>
          <w:color w:val="auto"/>
        </w:rPr>
        <w:t>），本次大气环境影响评价工作等级为</w:t>
      </w:r>
      <w:r>
        <w:rPr>
          <w:rFonts w:hint="eastAsia"/>
          <w:color w:val="auto"/>
        </w:rPr>
        <w:t>二</w:t>
      </w:r>
      <w:r>
        <w:rPr>
          <w:color w:val="auto"/>
        </w:rPr>
        <w:t>级。</w:t>
      </w:r>
    </w:p>
    <w:p>
      <w:pPr>
        <w:pStyle w:val="10"/>
        <w:ind w:firstLine="482"/>
        <w:rPr>
          <w:color w:val="auto"/>
        </w:rPr>
      </w:pPr>
      <w:r>
        <w:rPr>
          <w:rFonts w:hint="eastAsia"/>
          <w:color w:val="auto"/>
        </w:rPr>
        <w:t>5.1.1.3评价范围确定</w:t>
      </w:r>
    </w:p>
    <w:p>
      <w:pPr>
        <w:ind w:firstLine="480"/>
        <w:rPr>
          <w:color w:val="auto"/>
        </w:rPr>
        <w:sectPr>
          <w:headerReference r:id="rId37" w:type="default"/>
          <w:pgSz w:w="11906" w:h="16838"/>
          <w:pgMar w:top="1701" w:right="1797" w:bottom="1984" w:left="1797" w:header="851" w:footer="992" w:gutter="0"/>
          <w:pgBorders>
            <w:top w:val="none" w:sz="0" w:space="0"/>
            <w:left w:val="none" w:sz="0" w:space="0"/>
            <w:bottom w:val="none" w:sz="0" w:space="0"/>
            <w:right w:val="none" w:sz="0" w:space="0"/>
          </w:pgBorders>
          <w:cols w:space="0" w:num="1"/>
          <w:docGrid w:type="lines" w:linePitch="337" w:charSpace="0"/>
        </w:sectPr>
      </w:pPr>
      <w:r>
        <w:rPr>
          <w:rFonts w:hint="eastAsia"/>
          <w:color w:val="auto"/>
        </w:rPr>
        <w:t>拟建项目</w:t>
      </w:r>
      <w:r>
        <w:rPr>
          <w:color w:val="auto"/>
        </w:rPr>
        <w:t>环境空气影响评价等级确定为</w:t>
      </w:r>
      <w:r>
        <w:rPr>
          <w:rFonts w:hint="eastAsia"/>
          <w:color w:val="auto"/>
        </w:rPr>
        <w:t>二</w:t>
      </w:r>
      <w:r>
        <w:rPr>
          <w:color w:val="auto"/>
        </w:rPr>
        <w:t>级评价，根据《环境影响评价技术导则</w:t>
      </w:r>
      <w:r>
        <w:rPr>
          <w:rFonts w:hint="eastAsia"/>
          <w:color w:val="auto"/>
        </w:rPr>
        <w:t>-</w:t>
      </w:r>
      <w:r>
        <w:rPr>
          <w:color w:val="auto"/>
        </w:rPr>
        <w:t>大气环境》（HJ2.2-2018）中</w:t>
      </w:r>
      <w:r>
        <w:rPr>
          <w:rFonts w:hint="eastAsia"/>
          <w:color w:val="auto"/>
        </w:rPr>
        <w:t>“</w:t>
      </w:r>
      <w:r>
        <w:rPr>
          <w:color w:val="auto"/>
        </w:rPr>
        <w:t>5.4 评价范围确定</w:t>
      </w:r>
      <w:r>
        <w:rPr>
          <w:rFonts w:hint="eastAsia"/>
          <w:color w:val="auto"/>
        </w:rPr>
        <w:t>”</w:t>
      </w:r>
      <w:r>
        <w:rPr>
          <w:color w:val="auto"/>
        </w:rPr>
        <w:t>中的相关规定，大气环境影响评价范围边长取5km。</w:t>
      </w:r>
      <w:r>
        <w:rPr>
          <w:rFonts w:hint="eastAsia"/>
          <w:color w:val="auto"/>
        </w:rPr>
        <w:t>大气影响评价范围见图5.1-1。</w:t>
      </w:r>
    </w:p>
    <w:p>
      <w:pPr>
        <w:pStyle w:val="14"/>
        <w:spacing w:after="0"/>
        <w:ind w:firstLine="0" w:firstLineChars="0"/>
        <w:rPr>
          <w:color w:val="auto"/>
        </w:rPr>
        <w:sectPr>
          <w:headerReference r:id="rId38" w:type="default"/>
          <w:pgSz w:w="16838" w:h="11906" w:orient="landscape"/>
          <w:pgMar w:top="1797" w:right="1701" w:bottom="1797" w:left="1984" w:header="851" w:footer="992" w:gutter="0"/>
          <w:pgBorders>
            <w:top w:val="none" w:sz="0" w:space="0"/>
            <w:left w:val="none" w:sz="0" w:space="0"/>
            <w:bottom w:val="none" w:sz="0" w:space="0"/>
            <w:right w:val="none" w:sz="0" w:space="0"/>
          </w:pgBorders>
          <w:cols w:space="0" w:num="1"/>
          <w:docGrid w:type="lines" w:linePitch="337" w:charSpace="0"/>
        </w:sectPr>
      </w:pPr>
      <w:r>
        <w:rPr>
          <w:color w:val="auto"/>
        </w:rPr>
        <mc:AlternateContent>
          <mc:Choice Requires="wps">
            <w:drawing>
              <wp:anchor distT="0" distB="0" distL="114300" distR="114300" simplePos="0" relativeHeight="251716608" behindDoc="0" locked="0" layoutInCell="1" allowOverlap="1">
                <wp:simplePos x="0" y="0"/>
                <wp:positionH relativeFrom="column">
                  <wp:posOffset>494665</wp:posOffset>
                </wp:positionH>
                <wp:positionV relativeFrom="paragraph">
                  <wp:posOffset>4669790</wp:posOffset>
                </wp:positionV>
                <wp:extent cx="269875" cy="142875"/>
                <wp:effectExtent l="6350" t="6350" r="9525" b="22225"/>
                <wp:wrapNone/>
                <wp:docPr id="97" name="矩形 97"/>
                <wp:cNvGraphicFramePr/>
                <a:graphic xmlns:a="http://schemas.openxmlformats.org/drawingml/2006/main">
                  <a:graphicData uri="http://schemas.microsoft.com/office/word/2010/wordprocessingShape">
                    <wps:wsp>
                      <wps:cNvSpPr/>
                      <wps:spPr>
                        <a:xfrm>
                          <a:off x="1731010" y="5810885"/>
                          <a:ext cx="269875" cy="142875"/>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95pt;margin-top:367.7pt;height:11.25pt;width:21.25pt;z-index:251716608;v-text-anchor:middle;mso-width-relative:page;mso-height-relative:page;" filled="f" stroked="t" coordsize="21600,21600" o:gfxdata="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MabMpvYAAAACgEAAA8AAAAAAAAAAQAgAAAAIgAAAGRy&#10;cy9kb3ducmV2LnhtbFBLAQIUABQAAAAIAIdO4kA4QpiwdwIAANgEAAAOAAAAAAAAAAEAIAAAACcB&#10;AABkcnMvZTJvRG9jLnhtbFBLBQYAAAAABgAGAFkBAAAQBgAAAAA=&#10;">
                <v:fill on="f" focussize="0,0"/>
                <v:stroke weight="1pt" color="#FFC000 [3204]" miterlimit="8" joinstyle="miter"/>
                <v:imagedata o:title=""/>
                <o:lock v:ext="edit" aspectratio="f"/>
              </v:rect>
            </w:pict>
          </mc:Fallback>
        </mc:AlternateContent>
      </w:r>
      <w:r>
        <w:rPr>
          <w:color w:val="auto"/>
        </w:rPr>
        <mc:AlternateContent>
          <mc:Choice Requires="wps">
            <w:drawing>
              <wp:anchor distT="0" distB="0" distL="114300" distR="114300" simplePos="0" relativeHeight="251714560" behindDoc="0" locked="0" layoutInCell="1" allowOverlap="1">
                <wp:simplePos x="0" y="0"/>
                <wp:positionH relativeFrom="column">
                  <wp:posOffset>492760</wp:posOffset>
                </wp:positionH>
                <wp:positionV relativeFrom="paragraph">
                  <wp:posOffset>3755390</wp:posOffset>
                </wp:positionV>
                <wp:extent cx="269875" cy="142875"/>
                <wp:effectExtent l="6350" t="6350" r="9525" b="22225"/>
                <wp:wrapNone/>
                <wp:docPr id="98" name="矩形 98"/>
                <wp:cNvGraphicFramePr/>
                <a:graphic xmlns:a="http://schemas.openxmlformats.org/drawingml/2006/main">
                  <a:graphicData uri="http://schemas.microsoft.com/office/word/2010/wordprocessingShape">
                    <wps:wsp>
                      <wps:cNvSpPr/>
                      <wps:spPr>
                        <a:xfrm>
                          <a:off x="1760855" y="4896485"/>
                          <a:ext cx="269875" cy="142875"/>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8pt;margin-top:295.7pt;height:11.25pt;width:21.25pt;z-index:251714560;v-text-anchor:middle;mso-width-relative:page;mso-height-relative:page;" filled="f" stroked="t" coordsize="21600,21600" o:gfxdata="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&#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C1bIn2QAAAAoBAAAPAAAAAAAAAAEAIAAAACIAAABk&#10;cnMvZG93bnJldi54bWxQSwECFAAUAAAACACHTuJABvkIVncCAADYBAAADgAAAAAAAAABACAAAAAo&#10;AQAAZHJzL2Uyb0RvYy54bWxQSwUGAAAAAAYABgBZAQAAEQYAAAAA&#10;">
                <v:fill on="f" focussize="0,0"/>
                <v:stroke weight="1pt" color="#00B050 [3204]" miterlimit="8" joinstyle="miter"/>
                <v:imagedata o:title=""/>
                <o:lock v:ext="edit" aspectratio="f"/>
              </v:rect>
            </w:pict>
          </mc:Fallback>
        </mc:AlternateContent>
      </w:r>
      <w:r>
        <w:rPr>
          <w:color w:val="auto"/>
        </w:rPr>
        <w:drawing>
          <wp:anchor distT="0" distB="0" distL="114300" distR="114300" simplePos="0" relativeHeight="251711488" behindDoc="0" locked="0" layoutInCell="1" allowOverlap="1">
            <wp:simplePos x="0" y="0"/>
            <wp:positionH relativeFrom="column">
              <wp:posOffset>397510</wp:posOffset>
            </wp:positionH>
            <wp:positionV relativeFrom="paragraph">
              <wp:posOffset>34290</wp:posOffset>
            </wp:positionV>
            <wp:extent cx="7510145" cy="4864100"/>
            <wp:effectExtent l="0" t="0" r="14605" b="12700"/>
            <wp:wrapTopAndBottom/>
            <wp:docPr id="101" name="图片 101" descr="996b458be50e24e7aed04ca49bad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996b458be50e24e7aed04ca49bad275"/>
                    <pic:cNvPicPr>
                      <a:picLocks noChangeAspect="1"/>
                    </pic:cNvPicPr>
                  </pic:nvPicPr>
                  <pic:blipFill>
                    <a:blip r:embed="rId108"/>
                    <a:stretch>
                      <a:fillRect/>
                    </a:stretch>
                  </pic:blipFill>
                  <pic:spPr>
                    <a:xfrm>
                      <a:off x="0" y="0"/>
                      <a:ext cx="7510145" cy="4864100"/>
                    </a:xfrm>
                    <a:prstGeom prst="rect">
                      <a:avLst/>
                    </a:prstGeom>
                  </pic:spPr>
                </pic:pic>
              </a:graphicData>
            </a:graphic>
          </wp:anchor>
        </w:drawing>
      </w:r>
      <w:r>
        <w:rPr>
          <w:color w:val="auto"/>
        </w:rPr>
        <mc:AlternateContent>
          <mc:Choice Requires="wps">
            <w:drawing>
              <wp:anchor distT="0" distB="0" distL="114300" distR="114300" simplePos="0" relativeHeight="251715584" behindDoc="0" locked="0" layoutInCell="1" allowOverlap="1">
                <wp:simplePos x="0" y="0"/>
                <wp:positionH relativeFrom="column">
                  <wp:posOffset>487045</wp:posOffset>
                </wp:positionH>
                <wp:positionV relativeFrom="paragraph">
                  <wp:posOffset>4044950</wp:posOffset>
                </wp:positionV>
                <wp:extent cx="262255" cy="142875"/>
                <wp:effectExtent l="6350" t="6350" r="17145" b="22225"/>
                <wp:wrapNone/>
                <wp:docPr id="102" name="矩形 102"/>
                <wp:cNvGraphicFramePr/>
                <a:graphic xmlns:a="http://schemas.openxmlformats.org/drawingml/2006/main">
                  <a:graphicData uri="http://schemas.microsoft.com/office/word/2010/wordprocessingShape">
                    <wps:wsp>
                      <wps:cNvSpPr/>
                      <wps:spPr>
                        <a:xfrm>
                          <a:off x="1746885" y="5186045"/>
                          <a:ext cx="262255" cy="142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35pt;margin-top:318.5pt;height:11.25pt;width:20.65pt;z-index:251715584;v-text-anchor:middle;mso-width-relative:page;mso-height-relative:page;" filled="f" stroked="t" coordsize="21600,21600" o:gfxdata="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D9M8ldcAAAAKAQAADwAAAAAAAAABACAAAAAiAAAAZHJz&#10;L2Rvd25yZXYueG1sUEsBAhQAFAAAAAgAh07iQC+GJj93AgAA2gQAAA4AAAAAAAAAAQAgAAAAJgEA&#10;AGRycy9lMm9Eb2MueG1sUEsFBgAAAAAGAAYAWQEAAA8GAAAAAA==&#10;">
                <v:fill on="f" focussize="0,0"/>
                <v:stroke weight="1pt" color="#FF0000 [3204]" miterlimit="8" joinstyle="miter"/>
                <v:imagedata o:title=""/>
                <o:lock v:ext="edit" aspectratio="f"/>
              </v:rect>
            </w:pict>
          </mc:Fallback>
        </mc:AlternateContent>
      </w:r>
      <w:r>
        <w:rPr>
          <w:color w:val="auto"/>
        </w:rPr>
        <mc:AlternateContent>
          <mc:Choice Requires="wps">
            <w:drawing>
              <wp:anchor distT="0" distB="0" distL="114300" distR="114300" simplePos="0" relativeHeight="251713536" behindDoc="0" locked="0" layoutInCell="1" allowOverlap="1">
                <wp:simplePos x="0" y="0"/>
                <wp:positionH relativeFrom="column">
                  <wp:posOffset>420370</wp:posOffset>
                </wp:positionH>
                <wp:positionV relativeFrom="paragraph">
                  <wp:posOffset>3455670</wp:posOffset>
                </wp:positionV>
                <wp:extent cx="1540510" cy="1442720"/>
                <wp:effectExtent l="6350" t="6350" r="15240" b="17780"/>
                <wp:wrapNone/>
                <wp:docPr id="103" name="文本框 103"/>
                <wp:cNvGraphicFramePr/>
                <a:graphic xmlns:a="http://schemas.openxmlformats.org/drawingml/2006/main">
                  <a:graphicData uri="http://schemas.microsoft.com/office/word/2010/wordprocessingShape">
                    <wps:wsp>
                      <wps:cNvSpPr txBox="1"/>
                      <wps:spPr>
                        <a:xfrm>
                          <a:off x="1767205" y="4658360"/>
                          <a:ext cx="1540510" cy="1442720"/>
                        </a:xfrm>
                        <a:prstGeom prst="rect">
                          <a:avLst/>
                        </a:prstGeom>
                        <a:solidFill>
                          <a:schemeClr val="lt1"/>
                        </a:solid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pPr>
                            <w:r>
                              <w:rPr>
                                <w:rFonts w:hint="eastAsia"/>
                              </w:rPr>
                              <w:t>图例：</w:t>
                            </w:r>
                          </w:p>
                          <w:p>
                            <w:pPr>
                              <w:pStyle w:val="14"/>
                              <w:spacing w:line="240" w:lineRule="auto"/>
                              <w:ind w:firstLine="480"/>
                            </w:pPr>
                            <w:r>
                              <w:rPr>
                                <w:rFonts w:hint="eastAsia"/>
                              </w:rPr>
                              <w:t>厂界轮廓线</w:t>
                            </w:r>
                          </w:p>
                          <w:p>
                            <w:pPr>
                              <w:pStyle w:val="14"/>
                              <w:spacing w:after="0" w:line="240" w:lineRule="auto"/>
                              <w:ind w:firstLine="480"/>
                            </w:pPr>
                            <w:r>
                              <w:rPr>
                                <w:rFonts w:hint="eastAsia"/>
                              </w:rPr>
                              <w:t>敏感目标</w:t>
                            </w:r>
                          </w:p>
                          <w:p>
                            <w:pPr>
                              <w:pStyle w:val="14"/>
                              <w:spacing w:after="0" w:line="240" w:lineRule="auto"/>
                              <w:ind w:firstLine="0" w:firstLineChars="0"/>
                            </w:pPr>
                            <w:r>
                              <w:rPr>
                                <w:rFonts w:hint="eastAsia"/>
                              </w:rPr>
                              <w:drawing>
                                <wp:inline distT="0" distB="0" distL="114300" distR="114300">
                                  <wp:extent cx="229235" cy="249555"/>
                                  <wp:effectExtent l="0" t="0" r="18415" b="17145"/>
                                  <wp:docPr id="106" name="图片 106" descr="a72ea9abd90eb39919f226429146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a72ea9abd90eb39919f226429146251"/>
                                          <pic:cNvPicPr>
                                            <a:picLocks noChangeAspect="1"/>
                                          </pic:cNvPicPr>
                                        </pic:nvPicPr>
                                        <pic:blipFill>
                                          <a:blip r:embed="rId109"/>
                                          <a:stretch>
                                            <a:fillRect/>
                                          </a:stretch>
                                        </pic:blipFill>
                                        <pic:spPr>
                                          <a:xfrm>
                                            <a:off x="0" y="0"/>
                                            <a:ext cx="229235" cy="249555"/>
                                          </a:xfrm>
                                          <a:prstGeom prst="rect">
                                            <a:avLst/>
                                          </a:prstGeom>
                                        </pic:spPr>
                                      </pic:pic>
                                    </a:graphicData>
                                  </a:graphic>
                                </wp:inline>
                              </w:drawing>
                            </w:r>
                            <w:r>
                              <w:rPr>
                                <w:rFonts w:hint="eastAsia"/>
                              </w:rPr>
                              <w:t xml:space="preserve"> 敏感目标</w:t>
                            </w:r>
                          </w:p>
                          <w:p>
                            <w:pPr>
                              <w:pStyle w:val="14"/>
                              <w:spacing w:line="240" w:lineRule="auto"/>
                              <w:ind w:firstLine="480"/>
                            </w:pPr>
                            <w:r>
                              <w:rPr>
                                <w:rFonts w:hint="eastAsia"/>
                              </w:rPr>
                              <w:t>大气评价范围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1pt;margin-top:272.1pt;height:113.6pt;width:121.3pt;z-index:251713536;mso-width-relative:page;mso-height-relative:page;" fillcolor="#FFFFFF [3201]" filled="t" stroked="t" coordsize="21600,21600" o:gfxdata="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W3EsMtwAAAAKAQAADwAAAAAAAAABACAAAAAiAAAAZHJzL2Rvd25yZXYueG1sUEsBAhQA&#10;FAAAAAgAh07iQK8Tri5gAgAAygQAAA4AAAAAAAAAAQAgAAAAKwEAAGRycy9lMm9Eb2MueG1sUEsF&#10;BgAAAAAGAAYAWQEAAP0FAAAAAA==&#10;">
                <v:fill on="t" focussize="0,0"/>
                <v:stroke weight="1pt" color="#000000 [3213]" joinstyle="round"/>
                <v:imagedata o:title=""/>
                <o:lock v:ext="edit" aspectratio="f"/>
                <v:textbox>
                  <w:txbxContent>
                    <w:p>
                      <w:pPr>
                        <w:spacing w:line="240" w:lineRule="auto"/>
                        <w:ind w:firstLine="0" w:firstLineChars="0"/>
                      </w:pPr>
                      <w:r>
                        <w:rPr>
                          <w:rFonts w:hint="eastAsia"/>
                        </w:rPr>
                        <w:t>图例：</w:t>
                      </w:r>
                    </w:p>
                    <w:p>
                      <w:pPr>
                        <w:pStyle w:val="14"/>
                        <w:spacing w:line="240" w:lineRule="auto"/>
                        <w:ind w:firstLine="480"/>
                      </w:pPr>
                      <w:r>
                        <w:rPr>
                          <w:rFonts w:hint="eastAsia"/>
                        </w:rPr>
                        <w:t>厂界轮廓线</w:t>
                      </w:r>
                    </w:p>
                    <w:p>
                      <w:pPr>
                        <w:pStyle w:val="14"/>
                        <w:spacing w:after="0" w:line="240" w:lineRule="auto"/>
                        <w:ind w:firstLine="480"/>
                      </w:pPr>
                      <w:r>
                        <w:rPr>
                          <w:rFonts w:hint="eastAsia"/>
                        </w:rPr>
                        <w:t>敏感目标</w:t>
                      </w:r>
                    </w:p>
                    <w:p>
                      <w:pPr>
                        <w:pStyle w:val="14"/>
                        <w:spacing w:after="0" w:line="240" w:lineRule="auto"/>
                        <w:ind w:firstLine="0" w:firstLineChars="0"/>
                      </w:pPr>
                      <w:r>
                        <w:rPr>
                          <w:rFonts w:hint="eastAsia"/>
                        </w:rPr>
                        <w:drawing>
                          <wp:inline distT="0" distB="0" distL="114300" distR="114300">
                            <wp:extent cx="229235" cy="249555"/>
                            <wp:effectExtent l="0" t="0" r="18415" b="17145"/>
                            <wp:docPr id="106" name="图片 106" descr="a72ea9abd90eb39919f226429146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a72ea9abd90eb39919f226429146251"/>
                                    <pic:cNvPicPr>
                                      <a:picLocks noChangeAspect="1"/>
                                    </pic:cNvPicPr>
                                  </pic:nvPicPr>
                                  <pic:blipFill>
                                    <a:blip r:embed="rId109"/>
                                    <a:stretch>
                                      <a:fillRect/>
                                    </a:stretch>
                                  </pic:blipFill>
                                  <pic:spPr>
                                    <a:xfrm>
                                      <a:off x="0" y="0"/>
                                      <a:ext cx="229235" cy="249555"/>
                                    </a:xfrm>
                                    <a:prstGeom prst="rect">
                                      <a:avLst/>
                                    </a:prstGeom>
                                  </pic:spPr>
                                </pic:pic>
                              </a:graphicData>
                            </a:graphic>
                          </wp:inline>
                        </w:drawing>
                      </w:r>
                      <w:r>
                        <w:rPr>
                          <w:rFonts w:hint="eastAsia"/>
                        </w:rPr>
                        <w:t xml:space="preserve"> 敏感目标</w:t>
                      </w:r>
                    </w:p>
                    <w:p>
                      <w:pPr>
                        <w:pStyle w:val="14"/>
                        <w:spacing w:line="240" w:lineRule="auto"/>
                        <w:ind w:firstLine="480"/>
                      </w:pPr>
                      <w:r>
                        <w:rPr>
                          <w:rFonts w:hint="eastAsia"/>
                        </w:rPr>
                        <w:t>大气评价范围</w:t>
                      </w:r>
                    </w:p>
                  </w:txbxContent>
                </v:textbox>
              </v:shape>
            </w:pict>
          </mc:Fallback>
        </mc:AlternateContent>
      </w:r>
      <w:r>
        <w:rPr>
          <w:rFonts w:hint="eastAsia" w:eastAsia="黑体"/>
          <w:b/>
          <w:bCs/>
          <w:color w:val="auto"/>
          <w:szCs w:val="24"/>
        </w:rPr>
        <w:drawing>
          <wp:anchor distT="0" distB="0" distL="114300" distR="114300" simplePos="0" relativeHeight="251712512" behindDoc="0" locked="0" layoutInCell="1" allowOverlap="1">
            <wp:simplePos x="0" y="0"/>
            <wp:positionH relativeFrom="column">
              <wp:posOffset>7112000</wp:posOffset>
            </wp:positionH>
            <wp:positionV relativeFrom="paragraph">
              <wp:posOffset>54610</wp:posOffset>
            </wp:positionV>
            <wp:extent cx="775970" cy="807720"/>
            <wp:effectExtent l="0" t="0" r="5080" b="11430"/>
            <wp:wrapNone/>
            <wp:docPr id="107" name="图片 107" descr="9231966187c51f82577e5b8e845b6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9231966187c51f82577e5b8e845b6da"/>
                    <pic:cNvPicPr>
                      <a:picLocks noChangeAspect="1"/>
                    </pic:cNvPicPr>
                  </pic:nvPicPr>
                  <pic:blipFill>
                    <a:blip r:embed="rId54"/>
                    <a:stretch>
                      <a:fillRect/>
                    </a:stretch>
                  </pic:blipFill>
                  <pic:spPr>
                    <a:xfrm>
                      <a:off x="0" y="0"/>
                      <a:ext cx="775970" cy="807720"/>
                    </a:xfrm>
                    <a:prstGeom prst="rect">
                      <a:avLst/>
                    </a:prstGeom>
                  </pic:spPr>
                </pic:pic>
              </a:graphicData>
            </a:graphic>
          </wp:anchor>
        </w:drawing>
      </w:r>
    </w:p>
    <w:p>
      <w:pPr>
        <w:pStyle w:val="10"/>
        <w:ind w:firstLine="482"/>
        <w:rPr>
          <w:color w:val="auto"/>
        </w:rPr>
      </w:pPr>
      <w:r>
        <w:rPr>
          <w:rFonts w:hint="eastAsia"/>
          <w:color w:val="auto"/>
        </w:rPr>
        <w:t>5.1.1.5环境空气保护目标调查</w:t>
      </w:r>
    </w:p>
    <w:p>
      <w:pPr>
        <w:ind w:firstLine="480"/>
        <w:rPr>
          <w:color w:val="auto"/>
        </w:rPr>
      </w:pPr>
      <w:r>
        <w:rPr>
          <w:color w:val="auto"/>
        </w:rPr>
        <w:t>环境空气保护目标见表</w:t>
      </w:r>
      <w:r>
        <w:rPr>
          <w:rFonts w:hint="eastAsia"/>
          <w:color w:val="auto"/>
        </w:rPr>
        <w:t>5</w:t>
      </w:r>
      <w:r>
        <w:rPr>
          <w:color w:val="auto"/>
        </w:rPr>
        <w:t>.1-</w:t>
      </w:r>
      <w:r>
        <w:rPr>
          <w:rFonts w:hint="eastAsia"/>
          <w:color w:val="auto"/>
        </w:rPr>
        <w:t>7</w:t>
      </w:r>
      <w:r>
        <w:rPr>
          <w:color w:val="auto"/>
        </w:rPr>
        <w:t>及图</w:t>
      </w:r>
      <w:r>
        <w:rPr>
          <w:rFonts w:hint="eastAsia"/>
          <w:color w:val="auto"/>
        </w:rPr>
        <w:t>5.1-1</w:t>
      </w:r>
      <w:r>
        <w:rPr>
          <w:color w:val="auto"/>
        </w:rPr>
        <w:t>。</w:t>
      </w:r>
    </w:p>
    <w:p>
      <w:pPr>
        <w:pStyle w:val="57"/>
        <w:rPr>
          <w:color w:val="auto"/>
        </w:rPr>
      </w:pPr>
      <w:r>
        <w:rPr>
          <w:color w:val="auto"/>
        </w:rPr>
        <w:t>表</w:t>
      </w:r>
      <w:r>
        <w:rPr>
          <w:rFonts w:hint="eastAsia"/>
          <w:color w:val="auto"/>
        </w:rPr>
        <w:t>5.1-7</w:t>
      </w:r>
      <w:r>
        <w:rPr>
          <w:color w:val="auto"/>
        </w:rPr>
        <w:t xml:space="preserve"> 主要环境空气保护目标一览表</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6"/>
        <w:gridCol w:w="1562"/>
        <w:gridCol w:w="779"/>
        <w:gridCol w:w="750"/>
        <w:gridCol w:w="777"/>
        <w:gridCol w:w="1124"/>
        <w:gridCol w:w="958"/>
        <w:gridCol w:w="914"/>
        <w:gridCol w:w="11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vMerge w:val="restart"/>
            <w:tcBorders>
              <w:tl2br w:val="nil"/>
              <w:tr2bl w:val="nil"/>
            </w:tcBorders>
            <w:vAlign w:val="center"/>
          </w:tcPr>
          <w:p>
            <w:pPr>
              <w:pStyle w:val="45"/>
              <w:rPr>
                <w:color w:val="auto"/>
              </w:rPr>
            </w:pPr>
            <w:r>
              <w:rPr>
                <w:rFonts w:hint="eastAsia"/>
                <w:color w:val="auto"/>
              </w:rPr>
              <w:t>序号</w:t>
            </w:r>
          </w:p>
        </w:tc>
        <w:tc>
          <w:tcPr>
            <w:tcW w:w="916" w:type="pct"/>
            <w:vMerge w:val="restart"/>
            <w:tcBorders>
              <w:tl2br w:val="nil"/>
              <w:tr2bl w:val="nil"/>
            </w:tcBorders>
            <w:vAlign w:val="center"/>
          </w:tcPr>
          <w:p>
            <w:pPr>
              <w:pStyle w:val="45"/>
              <w:rPr>
                <w:color w:val="auto"/>
              </w:rPr>
            </w:pPr>
            <w:r>
              <w:rPr>
                <w:rFonts w:hint="eastAsia"/>
                <w:color w:val="auto"/>
              </w:rPr>
              <w:t>名称</w:t>
            </w:r>
          </w:p>
        </w:tc>
        <w:tc>
          <w:tcPr>
            <w:tcW w:w="897" w:type="pct"/>
            <w:gridSpan w:val="2"/>
            <w:tcBorders>
              <w:tl2br w:val="nil"/>
              <w:tr2bl w:val="nil"/>
            </w:tcBorders>
            <w:vAlign w:val="center"/>
          </w:tcPr>
          <w:p>
            <w:pPr>
              <w:pStyle w:val="45"/>
              <w:rPr>
                <w:color w:val="auto"/>
              </w:rPr>
            </w:pPr>
            <w:r>
              <w:rPr>
                <w:color w:val="auto"/>
              </w:rPr>
              <w:t>坐标/m</w:t>
            </w:r>
          </w:p>
        </w:tc>
        <w:tc>
          <w:tcPr>
            <w:tcW w:w="456" w:type="pct"/>
            <w:vMerge w:val="restart"/>
            <w:tcBorders>
              <w:tl2br w:val="nil"/>
              <w:tr2bl w:val="nil"/>
            </w:tcBorders>
            <w:vAlign w:val="center"/>
          </w:tcPr>
          <w:p>
            <w:pPr>
              <w:pStyle w:val="45"/>
              <w:rPr>
                <w:color w:val="auto"/>
              </w:rPr>
            </w:pPr>
            <w:r>
              <w:rPr>
                <w:color w:val="auto"/>
              </w:rPr>
              <w:t>保护对象</w:t>
            </w:r>
          </w:p>
        </w:tc>
        <w:tc>
          <w:tcPr>
            <w:tcW w:w="659" w:type="pct"/>
            <w:vMerge w:val="restart"/>
            <w:tcBorders>
              <w:tl2br w:val="nil"/>
              <w:tr2bl w:val="nil"/>
            </w:tcBorders>
            <w:vAlign w:val="center"/>
          </w:tcPr>
          <w:p>
            <w:pPr>
              <w:pStyle w:val="45"/>
              <w:rPr>
                <w:color w:val="auto"/>
              </w:rPr>
            </w:pPr>
            <w:r>
              <w:rPr>
                <w:color w:val="auto"/>
              </w:rPr>
              <w:t>保护内容</w:t>
            </w:r>
          </w:p>
        </w:tc>
        <w:tc>
          <w:tcPr>
            <w:tcW w:w="562" w:type="pct"/>
            <w:vMerge w:val="restart"/>
            <w:tcBorders>
              <w:tl2br w:val="nil"/>
              <w:tr2bl w:val="nil"/>
            </w:tcBorders>
            <w:vAlign w:val="center"/>
          </w:tcPr>
          <w:p>
            <w:pPr>
              <w:pStyle w:val="45"/>
              <w:rPr>
                <w:color w:val="auto"/>
              </w:rPr>
            </w:pPr>
            <w:r>
              <w:rPr>
                <w:color w:val="auto"/>
              </w:rPr>
              <w:t>环境功能区</w:t>
            </w:r>
          </w:p>
        </w:tc>
        <w:tc>
          <w:tcPr>
            <w:tcW w:w="536" w:type="pct"/>
            <w:vMerge w:val="restart"/>
            <w:tcBorders>
              <w:tl2br w:val="nil"/>
              <w:tr2bl w:val="nil"/>
            </w:tcBorders>
            <w:vAlign w:val="center"/>
          </w:tcPr>
          <w:p>
            <w:pPr>
              <w:pStyle w:val="45"/>
              <w:rPr>
                <w:color w:val="auto"/>
              </w:rPr>
            </w:pPr>
            <w:r>
              <w:rPr>
                <w:color w:val="auto"/>
              </w:rPr>
              <w:t>相对厂址方位</w:t>
            </w:r>
          </w:p>
        </w:tc>
        <w:tc>
          <w:tcPr>
            <w:tcW w:w="679" w:type="pct"/>
            <w:vMerge w:val="restart"/>
            <w:tcBorders>
              <w:tl2br w:val="nil"/>
              <w:tr2bl w:val="nil"/>
            </w:tcBorders>
            <w:vAlign w:val="center"/>
          </w:tcPr>
          <w:p>
            <w:pPr>
              <w:pStyle w:val="45"/>
              <w:rPr>
                <w:color w:val="auto"/>
              </w:rPr>
            </w:pPr>
            <w:r>
              <w:rPr>
                <w:color w:val="auto"/>
              </w:rPr>
              <w:t>相对厂界距离/m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vMerge w:val="continue"/>
            <w:tcBorders>
              <w:tl2br w:val="nil"/>
              <w:tr2bl w:val="nil"/>
            </w:tcBorders>
            <w:vAlign w:val="center"/>
          </w:tcPr>
          <w:p>
            <w:pPr>
              <w:pStyle w:val="45"/>
              <w:rPr>
                <w:color w:val="auto"/>
              </w:rPr>
            </w:pPr>
          </w:p>
        </w:tc>
        <w:tc>
          <w:tcPr>
            <w:tcW w:w="916" w:type="pct"/>
            <w:vMerge w:val="continue"/>
            <w:tcBorders>
              <w:tl2br w:val="nil"/>
              <w:tr2bl w:val="nil"/>
            </w:tcBorders>
            <w:vAlign w:val="center"/>
          </w:tcPr>
          <w:p>
            <w:pPr>
              <w:pStyle w:val="45"/>
              <w:rPr>
                <w:color w:val="auto"/>
              </w:rPr>
            </w:pPr>
          </w:p>
        </w:tc>
        <w:tc>
          <w:tcPr>
            <w:tcW w:w="457" w:type="pct"/>
            <w:tcBorders>
              <w:tl2br w:val="nil"/>
              <w:tr2bl w:val="nil"/>
            </w:tcBorders>
            <w:vAlign w:val="center"/>
          </w:tcPr>
          <w:p>
            <w:pPr>
              <w:pStyle w:val="45"/>
              <w:rPr>
                <w:color w:val="auto"/>
              </w:rPr>
            </w:pPr>
            <w:r>
              <w:rPr>
                <w:color w:val="auto"/>
              </w:rPr>
              <w:t>X</w:t>
            </w:r>
          </w:p>
        </w:tc>
        <w:tc>
          <w:tcPr>
            <w:tcW w:w="439" w:type="pct"/>
            <w:tcBorders>
              <w:tl2br w:val="nil"/>
              <w:tr2bl w:val="nil"/>
            </w:tcBorders>
            <w:vAlign w:val="center"/>
          </w:tcPr>
          <w:p>
            <w:pPr>
              <w:pStyle w:val="45"/>
              <w:rPr>
                <w:color w:val="auto"/>
              </w:rPr>
            </w:pPr>
            <w:r>
              <w:rPr>
                <w:color w:val="auto"/>
              </w:rPr>
              <w:t>Y</w:t>
            </w:r>
          </w:p>
        </w:tc>
        <w:tc>
          <w:tcPr>
            <w:tcW w:w="456" w:type="pct"/>
            <w:vMerge w:val="continue"/>
            <w:tcBorders>
              <w:tl2br w:val="nil"/>
              <w:tr2bl w:val="nil"/>
            </w:tcBorders>
            <w:vAlign w:val="center"/>
          </w:tcPr>
          <w:p>
            <w:pPr>
              <w:pStyle w:val="45"/>
              <w:rPr>
                <w:color w:val="auto"/>
              </w:rPr>
            </w:pPr>
          </w:p>
        </w:tc>
        <w:tc>
          <w:tcPr>
            <w:tcW w:w="659" w:type="pct"/>
            <w:vMerge w:val="continue"/>
            <w:tcBorders>
              <w:tl2br w:val="nil"/>
              <w:tr2bl w:val="nil"/>
            </w:tcBorders>
            <w:vAlign w:val="center"/>
          </w:tcPr>
          <w:p>
            <w:pPr>
              <w:pStyle w:val="45"/>
              <w:rPr>
                <w:color w:val="auto"/>
              </w:rPr>
            </w:pPr>
          </w:p>
        </w:tc>
        <w:tc>
          <w:tcPr>
            <w:tcW w:w="562" w:type="pct"/>
            <w:vMerge w:val="continue"/>
            <w:tcBorders>
              <w:tl2br w:val="nil"/>
              <w:tr2bl w:val="nil"/>
            </w:tcBorders>
            <w:vAlign w:val="center"/>
          </w:tcPr>
          <w:p>
            <w:pPr>
              <w:pStyle w:val="45"/>
              <w:rPr>
                <w:color w:val="auto"/>
              </w:rPr>
            </w:pPr>
          </w:p>
        </w:tc>
        <w:tc>
          <w:tcPr>
            <w:tcW w:w="536" w:type="pct"/>
            <w:vMerge w:val="continue"/>
            <w:tcBorders>
              <w:tl2br w:val="nil"/>
              <w:tr2bl w:val="nil"/>
            </w:tcBorders>
            <w:vAlign w:val="center"/>
          </w:tcPr>
          <w:p>
            <w:pPr>
              <w:pStyle w:val="45"/>
              <w:rPr>
                <w:color w:val="auto"/>
              </w:rPr>
            </w:pPr>
          </w:p>
        </w:tc>
        <w:tc>
          <w:tcPr>
            <w:tcW w:w="679" w:type="pct"/>
            <w:vMerge w:val="continue"/>
            <w:tcBorders>
              <w:tl2br w:val="nil"/>
              <w:tr2bl w:val="nil"/>
            </w:tcBorders>
            <w:vAlign w:val="center"/>
          </w:tcPr>
          <w:p>
            <w:pPr>
              <w:pStyle w:val="45"/>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Borders>
              <w:tl2br w:val="nil"/>
              <w:tr2bl w:val="nil"/>
            </w:tcBorders>
            <w:vAlign w:val="center"/>
          </w:tcPr>
          <w:p>
            <w:pPr>
              <w:pStyle w:val="45"/>
              <w:rPr>
                <w:color w:val="auto"/>
              </w:rPr>
            </w:pPr>
            <w:r>
              <w:rPr>
                <w:color w:val="auto"/>
              </w:rPr>
              <w:t>1</w:t>
            </w:r>
          </w:p>
        </w:tc>
        <w:tc>
          <w:tcPr>
            <w:tcW w:w="916" w:type="pct"/>
            <w:tcBorders>
              <w:tl2br w:val="nil"/>
              <w:tr2bl w:val="nil"/>
            </w:tcBorders>
            <w:vAlign w:val="center"/>
          </w:tcPr>
          <w:p>
            <w:pPr>
              <w:pStyle w:val="47"/>
              <w:rPr>
                <w:color w:val="auto"/>
              </w:rPr>
            </w:pPr>
            <w:r>
              <w:rPr>
                <w:color w:val="auto"/>
                <w:szCs w:val="24"/>
              </w:rPr>
              <w:t>解营村</w:t>
            </w:r>
          </w:p>
        </w:tc>
        <w:tc>
          <w:tcPr>
            <w:tcW w:w="457" w:type="pct"/>
            <w:tcBorders>
              <w:tl2br w:val="nil"/>
              <w:tr2bl w:val="nil"/>
            </w:tcBorders>
            <w:vAlign w:val="center"/>
          </w:tcPr>
          <w:p>
            <w:pPr>
              <w:pStyle w:val="45"/>
              <w:rPr>
                <w:color w:val="auto"/>
              </w:rPr>
            </w:pPr>
            <w:r>
              <w:rPr>
                <w:rFonts w:hint="eastAsia"/>
                <w:color w:val="auto"/>
              </w:rPr>
              <w:t>-308</w:t>
            </w:r>
          </w:p>
        </w:tc>
        <w:tc>
          <w:tcPr>
            <w:tcW w:w="439" w:type="pct"/>
            <w:tcBorders>
              <w:tl2br w:val="nil"/>
              <w:tr2bl w:val="nil"/>
            </w:tcBorders>
            <w:vAlign w:val="center"/>
          </w:tcPr>
          <w:p>
            <w:pPr>
              <w:pStyle w:val="45"/>
              <w:rPr>
                <w:color w:val="auto"/>
              </w:rPr>
            </w:pPr>
            <w:r>
              <w:rPr>
                <w:rFonts w:hint="eastAsia"/>
                <w:color w:val="auto"/>
              </w:rPr>
              <w:t>315</w:t>
            </w:r>
          </w:p>
        </w:tc>
        <w:tc>
          <w:tcPr>
            <w:tcW w:w="456" w:type="pct"/>
            <w:tcBorders>
              <w:tl2br w:val="nil"/>
              <w:tr2bl w:val="nil"/>
            </w:tcBorders>
            <w:vAlign w:val="center"/>
          </w:tcPr>
          <w:p>
            <w:pPr>
              <w:pStyle w:val="45"/>
              <w:rPr>
                <w:color w:val="auto"/>
              </w:rPr>
            </w:pPr>
            <w:r>
              <w:rPr>
                <w:rFonts w:hint="eastAsia"/>
                <w:color w:val="auto"/>
              </w:rPr>
              <w:t>人群</w:t>
            </w:r>
          </w:p>
        </w:tc>
        <w:tc>
          <w:tcPr>
            <w:tcW w:w="659" w:type="pct"/>
            <w:tcBorders>
              <w:tl2br w:val="nil"/>
              <w:tr2bl w:val="nil"/>
            </w:tcBorders>
            <w:vAlign w:val="center"/>
          </w:tcPr>
          <w:p>
            <w:pPr>
              <w:pStyle w:val="45"/>
              <w:rPr>
                <w:color w:val="auto"/>
              </w:rPr>
            </w:pPr>
            <w:r>
              <w:rPr>
                <w:rFonts w:hint="eastAsia"/>
                <w:color w:val="auto"/>
              </w:rPr>
              <w:t>大气环境</w:t>
            </w:r>
          </w:p>
        </w:tc>
        <w:tc>
          <w:tcPr>
            <w:tcW w:w="562" w:type="pct"/>
            <w:tcBorders>
              <w:tl2br w:val="nil"/>
              <w:tr2bl w:val="nil"/>
            </w:tcBorders>
            <w:vAlign w:val="center"/>
          </w:tcPr>
          <w:p>
            <w:pPr>
              <w:pStyle w:val="45"/>
              <w:rPr>
                <w:color w:val="auto"/>
              </w:rPr>
            </w:pPr>
            <w:r>
              <w:rPr>
                <w:rFonts w:hint="eastAsia"/>
                <w:color w:val="auto"/>
              </w:rPr>
              <w:t>二类区</w:t>
            </w:r>
          </w:p>
        </w:tc>
        <w:tc>
          <w:tcPr>
            <w:tcW w:w="536" w:type="pct"/>
            <w:tcBorders>
              <w:tl2br w:val="nil"/>
              <w:tr2bl w:val="nil"/>
            </w:tcBorders>
            <w:vAlign w:val="center"/>
          </w:tcPr>
          <w:p>
            <w:pPr>
              <w:pStyle w:val="47"/>
              <w:rPr>
                <w:color w:val="auto"/>
              </w:rPr>
            </w:pPr>
            <w:r>
              <w:rPr>
                <w:color w:val="auto"/>
              </w:rPr>
              <w:t>N</w:t>
            </w:r>
            <w:r>
              <w:rPr>
                <w:rFonts w:hint="eastAsia"/>
                <w:color w:val="auto"/>
              </w:rPr>
              <w:t>W</w:t>
            </w:r>
          </w:p>
        </w:tc>
        <w:tc>
          <w:tcPr>
            <w:tcW w:w="679" w:type="pct"/>
            <w:tcBorders>
              <w:tl2br w:val="nil"/>
              <w:tr2bl w:val="nil"/>
            </w:tcBorders>
            <w:vAlign w:val="center"/>
          </w:tcPr>
          <w:p>
            <w:pPr>
              <w:pStyle w:val="47"/>
              <w:rPr>
                <w:color w:val="auto"/>
              </w:rPr>
            </w:pPr>
            <w:r>
              <w:rPr>
                <w:rFonts w:hint="eastAsia"/>
                <w:color w:val="auto"/>
              </w:rPr>
              <w:t>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Borders>
              <w:tl2br w:val="nil"/>
              <w:tr2bl w:val="nil"/>
            </w:tcBorders>
            <w:vAlign w:val="center"/>
          </w:tcPr>
          <w:p>
            <w:pPr>
              <w:pStyle w:val="45"/>
              <w:rPr>
                <w:color w:val="auto"/>
              </w:rPr>
            </w:pPr>
            <w:r>
              <w:rPr>
                <w:rFonts w:hint="eastAsia"/>
                <w:color w:val="auto"/>
              </w:rPr>
              <w:t>2</w:t>
            </w:r>
          </w:p>
        </w:tc>
        <w:tc>
          <w:tcPr>
            <w:tcW w:w="916" w:type="pct"/>
            <w:tcBorders>
              <w:tl2br w:val="nil"/>
              <w:tr2bl w:val="nil"/>
            </w:tcBorders>
            <w:vAlign w:val="center"/>
          </w:tcPr>
          <w:p>
            <w:pPr>
              <w:pStyle w:val="47"/>
              <w:rPr>
                <w:color w:val="auto"/>
              </w:rPr>
            </w:pPr>
            <w:r>
              <w:rPr>
                <w:color w:val="auto"/>
                <w:szCs w:val="24"/>
              </w:rPr>
              <w:t xml:space="preserve">曹营村 </w:t>
            </w:r>
          </w:p>
        </w:tc>
        <w:tc>
          <w:tcPr>
            <w:tcW w:w="457" w:type="pct"/>
            <w:tcBorders>
              <w:tl2br w:val="nil"/>
              <w:tr2bl w:val="nil"/>
            </w:tcBorders>
            <w:vAlign w:val="center"/>
          </w:tcPr>
          <w:p>
            <w:pPr>
              <w:pStyle w:val="45"/>
              <w:rPr>
                <w:color w:val="auto"/>
              </w:rPr>
            </w:pPr>
            <w:r>
              <w:rPr>
                <w:rFonts w:hint="eastAsia"/>
                <w:color w:val="auto"/>
              </w:rPr>
              <w:t>68</w:t>
            </w:r>
          </w:p>
        </w:tc>
        <w:tc>
          <w:tcPr>
            <w:tcW w:w="439" w:type="pct"/>
            <w:tcBorders>
              <w:tl2br w:val="nil"/>
              <w:tr2bl w:val="nil"/>
            </w:tcBorders>
            <w:vAlign w:val="center"/>
          </w:tcPr>
          <w:p>
            <w:pPr>
              <w:pStyle w:val="45"/>
              <w:rPr>
                <w:color w:val="auto"/>
              </w:rPr>
            </w:pPr>
            <w:r>
              <w:rPr>
                <w:rFonts w:hint="eastAsia"/>
                <w:color w:val="auto"/>
              </w:rPr>
              <w:t>1130</w:t>
            </w:r>
          </w:p>
        </w:tc>
        <w:tc>
          <w:tcPr>
            <w:tcW w:w="456" w:type="pct"/>
            <w:tcBorders>
              <w:tl2br w:val="nil"/>
              <w:tr2bl w:val="nil"/>
            </w:tcBorders>
            <w:vAlign w:val="center"/>
          </w:tcPr>
          <w:p>
            <w:pPr>
              <w:pStyle w:val="45"/>
              <w:rPr>
                <w:color w:val="auto"/>
              </w:rPr>
            </w:pPr>
            <w:r>
              <w:rPr>
                <w:rFonts w:hint="eastAsia"/>
                <w:color w:val="auto"/>
              </w:rPr>
              <w:t>人群</w:t>
            </w:r>
          </w:p>
        </w:tc>
        <w:tc>
          <w:tcPr>
            <w:tcW w:w="659" w:type="pct"/>
            <w:tcBorders>
              <w:tl2br w:val="nil"/>
              <w:tr2bl w:val="nil"/>
            </w:tcBorders>
            <w:vAlign w:val="center"/>
          </w:tcPr>
          <w:p>
            <w:pPr>
              <w:pStyle w:val="45"/>
              <w:rPr>
                <w:color w:val="auto"/>
              </w:rPr>
            </w:pPr>
            <w:r>
              <w:rPr>
                <w:rFonts w:hint="eastAsia"/>
                <w:color w:val="auto"/>
              </w:rPr>
              <w:t>大气环境</w:t>
            </w:r>
          </w:p>
        </w:tc>
        <w:tc>
          <w:tcPr>
            <w:tcW w:w="562" w:type="pct"/>
            <w:tcBorders>
              <w:tl2br w:val="nil"/>
              <w:tr2bl w:val="nil"/>
            </w:tcBorders>
            <w:vAlign w:val="center"/>
          </w:tcPr>
          <w:p>
            <w:pPr>
              <w:pStyle w:val="45"/>
              <w:rPr>
                <w:color w:val="auto"/>
              </w:rPr>
            </w:pPr>
            <w:r>
              <w:rPr>
                <w:rFonts w:hint="eastAsia"/>
                <w:color w:val="auto"/>
              </w:rPr>
              <w:t>二类区</w:t>
            </w:r>
          </w:p>
        </w:tc>
        <w:tc>
          <w:tcPr>
            <w:tcW w:w="536" w:type="pct"/>
            <w:tcBorders>
              <w:tl2br w:val="nil"/>
              <w:tr2bl w:val="nil"/>
            </w:tcBorders>
            <w:vAlign w:val="center"/>
          </w:tcPr>
          <w:p>
            <w:pPr>
              <w:pStyle w:val="47"/>
              <w:rPr>
                <w:color w:val="auto"/>
              </w:rPr>
            </w:pPr>
            <w:r>
              <w:rPr>
                <w:color w:val="auto"/>
              </w:rPr>
              <w:t>N</w:t>
            </w:r>
          </w:p>
        </w:tc>
        <w:tc>
          <w:tcPr>
            <w:tcW w:w="679" w:type="pct"/>
            <w:tcBorders>
              <w:tl2br w:val="nil"/>
              <w:tr2bl w:val="nil"/>
            </w:tcBorders>
            <w:vAlign w:val="center"/>
          </w:tcPr>
          <w:p>
            <w:pPr>
              <w:pStyle w:val="47"/>
              <w:rPr>
                <w:color w:val="auto"/>
              </w:rPr>
            </w:pPr>
            <w:r>
              <w:rPr>
                <w:rFonts w:hint="eastAsia"/>
                <w:color w:val="auto"/>
              </w:rPr>
              <w:t>880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Borders>
              <w:tl2br w:val="nil"/>
              <w:tr2bl w:val="nil"/>
            </w:tcBorders>
            <w:vAlign w:val="center"/>
          </w:tcPr>
          <w:p>
            <w:pPr>
              <w:pStyle w:val="45"/>
              <w:rPr>
                <w:color w:val="auto"/>
              </w:rPr>
            </w:pPr>
            <w:r>
              <w:rPr>
                <w:rFonts w:hint="eastAsia"/>
                <w:color w:val="auto"/>
              </w:rPr>
              <w:t>3</w:t>
            </w:r>
          </w:p>
        </w:tc>
        <w:tc>
          <w:tcPr>
            <w:tcW w:w="916" w:type="pct"/>
            <w:tcBorders>
              <w:tl2br w:val="nil"/>
              <w:tr2bl w:val="nil"/>
            </w:tcBorders>
            <w:vAlign w:val="center"/>
          </w:tcPr>
          <w:p>
            <w:pPr>
              <w:pStyle w:val="47"/>
              <w:rPr>
                <w:color w:val="auto"/>
              </w:rPr>
            </w:pPr>
            <w:r>
              <w:rPr>
                <w:color w:val="auto"/>
                <w:szCs w:val="24"/>
              </w:rPr>
              <w:t>庆隆幼儿园</w:t>
            </w:r>
          </w:p>
        </w:tc>
        <w:tc>
          <w:tcPr>
            <w:tcW w:w="457" w:type="pct"/>
            <w:tcBorders>
              <w:tl2br w:val="nil"/>
              <w:tr2bl w:val="nil"/>
            </w:tcBorders>
            <w:vAlign w:val="center"/>
          </w:tcPr>
          <w:p>
            <w:pPr>
              <w:pStyle w:val="45"/>
              <w:rPr>
                <w:color w:val="auto"/>
              </w:rPr>
            </w:pPr>
            <w:r>
              <w:rPr>
                <w:rFonts w:hint="eastAsia"/>
                <w:color w:val="auto"/>
              </w:rPr>
              <w:t>306</w:t>
            </w:r>
          </w:p>
        </w:tc>
        <w:tc>
          <w:tcPr>
            <w:tcW w:w="439" w:type="pct"/>
            <w:tcBorders>
              <w:tl2br w:val="nil"/>
              <w:tr2bl w:val="nil"/>
            </w:tcBorders>
            <w:vAlign w:val="center"/>
          </w:tcPr>
          <w:p>
            <w:pPr>
              <w:pStyle w:val="45"/>
              <w:rPr>
                <w:color w:val="auto"/>
              </w:rPr>
            </w:pPr>
            <w:r>
              <w:rPr>
                <w:rFonts w:hint="eastAsia"/>
                <w:color w:val="auto"/>
              </w:rPr>
              <w:t>770</w:t>
            </w:r>
          </w:p>
        </w:tc>
        <w:tc>
          <w:tcPr>
            <w:tcW w:w="456" w:type="pct"/>
            <w:tcBorders>
              <w:tl2br w:val="nil"/>
              <w:tr2bl w:val="nil"/>
            </w:tcBorders>
            <w:vAlign w:val="center"/>
          </w:tcPr>
          <w:p>
            <w:pPr>
              <w:pStyle w:val="45"/>
              <w:rPr>
                <w:color w:val="auto"/>
              </w:rPr>
            </w:pPr>
            <w:r>
              <w:rPr>
                <w:rFonts w:hint="eastAsia"/>
                <w:color w:val="auto"/>
              </w:rPr>
              <w:t>人群</w:t>
            </w:r>
          </w:p>
        </w:tc>
        <w:tc>
          <w:tcPr>
            <w:tcW w:w="659" w:type="pct"/>
            <w:tcBorders>
              <w:tl2br w:val="nil"/>
              <w:tr2bl w:val="nil"/>
            </w:tcBorders>
            <w:vAlign w:val="center"/>
          </w:tcPr>
          <w:p>
            <w:pPr>
              <w:pStyle w:val="45"/>
              <w:rPr>
                <w:color w:val="auto"/>
              </w:rPr>
            </w:pPr>
            <w:r>
              <w:rPr>
                <w:rFonts w:hint="eastAsia"/>
                <w:color w:val="auto"/>
              </w:rPr>
              <w:t>大气环境</w:t>
            </w:r>
          </w:p>
        </w:tc>
        <w:tc>
          <w:tcPr>
            <w:tcW w:w="562" w:type="pct"/>
            <w:tcBorders>
              <w:tl2br w:val="nil"/>
              <w:tr2bl w:val="nil"/>
            </w:tcBorders>
            <w:vAlign w:val="center"/>
          </w:tcPr>
          <w:p>
            <w:pPr>
              <w:pStyle w:val="45"/>
              <w:rPr>
                <w:color w:val="auto"/>
              </w:rPr>
            </w:pPr>
            <w:r>
              <w:rPr>
                <w:rFonts w:hint="eastAsia"/>
                <w:color w:val="auto"/>
              </w:rPr>
              <w:t>二类区</w:t>
            </w:r>
          </w:p>
        </w:tc>
        <w:tc>
          <w:tcPr>
            <w:tcW w:w="536" w:type="pct"/>
            <w:tcBorders>
              <w:tl2br w:val="nil"/>
              <w:tr2bl w:val="nil"/>
            </w:tcBorders>
            <w:vAlign w:val="center"/>
          </w:tcPr>
          <w:p>
            <w:pPr>
              <w:pStyle w:val="47"/>
              <w:rPr>
                <w:color w:val="auto"/>
              </w:rPr>
            </w:pPr>
            <w:r>
              <w:rPr>
                <w:color w:val="auto"/>
              </w:rPr>
              <w:t>NE</w:t>
            </w:r>
          </w:p>
        </w:tc>
        <w:tc>
          <w:tcPr>
            <w:tcW w:w="679" w:type="pct"/>
            <w:tcBorders>
              <w:tl2br w:val="nil"/>
              <w:tr2bl w:val="nil"/>
            </w:tcBorders>
            <w:vAlign w:val="center"/>
          </w:tcPr>
          <w:p>
            <w:pPr>
              <w:pStyle w:val="47"/>
              <w:rPr>
                <w:color w:val="auto"/>
              </w:rPr>
            </w:pPr>
            <w:r>
              <w:rPr>
                <w:rFonts w:hint="eastAsia"/>
                <w:color w:val="auto"/>
              </w:rPr>
              <w:t>730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Borders>
              <w:tl2br w:val="nil"/>
              <w:tr2bl w:val="nil"/>
            </w:tcBorders>
            <w:vAlign w:val="center"/>
          </w:tcPr>
          <w:p>
            <w:pPr>
              <w:pStyle w:val="45"/>
              <w:rPr>
                <w:color w:val="auto"/>
              </w:rPr>
            </w:pPr>
            <w:r>
              <w:rPr>
                <w:rFonts w:hint="eastAsia"/>
                <w:color w:val="auto"/>
              </w:rPr>
              <w:t>4</w:t>
            </w:r>
          </w:p>
        </w:tc>
        <w:tc>
          <w:tcPr>
            <w:tcW w:w="916" w:type="pct"/>
            <w:tcBorders>
              <w:tl2br w:val="nil"/>
              <w:tr2bl w:val="nil"/>
            </w:tcBorders>
            <w:vAlign w:val="center"/>
          </w:tcPr>
          <w:p>
            <w:pPr>
              <w:pStyle w:val="47"/>
              <w:rPr>
                <w:color w:val="auto"/>
              </w:rPr>
            </w:pPr>
            <w:r>
              <w:rPr>
                <w:color w:val="auto"/>
                <w:szCs w:val="24"/>
              </w:rPr>
              <w:t>西吕村</w:t>
            </w:r>
          </w:p>
        </w:tc>
        <w:tc>
          <w:tcPr>
            <w:tcW w:w="457" w:type="pct"/>
            <w:tcBorders>
              <w:tl2br w:val="nil"/>
              <w:tr2bl w:val="nil"/>
            </w:tcBorders>
            <w:vAlign w:val="center"/>
          </w:tcPr>
          <w:p>
            <w:pPr>
              <w:pStyle w:val="45"/>
              <w:rPr>
                <w:color w:val="auto"/>
              </w:rPr>
            </w:pPr>
            <w:r>
              <w:rPr>
                <w:rFonts w:hint="eastAsia"/>
                <w:color w:val="auto"/>
              </w:rPr>
              <w:t>-1270</w:t>
            </w:r>
          </w:p>
        </w:tc>
        <w:tc>
          <w:tcPr>
            <w:tcW w:w="439" w:type="pct"/>
            <w:tcBorders>
              <w:tl2br w:val="nil"/>
              <w:tr2bl w:val="nil"/>
            </w:tcBorders>
            <w:vAlign w:val="center"/>
          </w:tcPr>
          <w:p>
            <w:pPr>
              <w:pStyle w:val="45"/>
              <w:rPr>
                <w:color w:val="auto"/>
              </w:rPr>
            </w:pPr>
            <w:r>
              <w:rPr>
                <w:rFonts w:hint="eastAsia"/>
                <w:color w:val="auto"/>
              </w:rPr>
              <w:t>1476</w:t>
            </w:r>
          </w:p>
        </w:tc>
        <w:tc>
          <w:tcPr>
            <w:tcW w:w="456" w:type="pct"/>
            <w:tcBorders>
              <w:tl2br w:val="nil"/>
              <w:tr2bl w:val="nil"/>
            </w:tcBorders>
            <w:vAlign w:val="center"/>
          </w:tcPr>
          <w:p>
            <w:pPr>
              <w:pStyle w:val="45"/>
              <w:rPr>
                <w:color w:val="auto"/>
              </w:rPr>
            </w:pPr>
            <w:r>
              <w:rPr>
                <w:rFonts w:hint="eastAsia"/>
                <w:color w:val="auto"/>
              </w:rPr>
              <w:t>人群</w:t>
            </w:r>
          </w:p>
        </w:tc>
        <w:tc>
          <w:tcPr>
            <w:tcW w:w="659" w:type="pct"/>
            <w:tcBorders>
              <w:tl2br w:val="nil"/>
              <w:tr2bl w:val="nil"/>
            </w:tcBorders>
            <w:vAlign w:val="center"/>
          </w:tcPr>
          <w:p>
            <w:pPr>
              <w:pStyle w:val="45"/>
              <w:rPr>
                <w:color w:val="auto"/>
              </w:rPr>
            </w:pPr>
            <w:r>
              <w:rPr>
                <w:rFonts w:hint="eastAsia"/>
                <w:color w:val="auto"/>
              </w:rPr>
              <w:t>大气环境</w:t>
            </w:r>
          </w:p>
        </w:tc>
        <w:tc>
          <w:tcPr>
            <w:tcW w:w="562" w:type="pct"/>
            <w:tcBorders>
              <w:tl2br w:val="nil"/>
              <w:tr2bl w:val="nil"/>
            </w:tcBorders>
            <w:vAlign w:val="center"/>
          </w:tcPr>
          <w:p>
            <w:pPr>
              <w:pStyle w:val="45"/>
              <w:rPr>
                <w:color w:val="auto"/>
              </w:rPr>
            </w:pPr>
            <w:r>
              <w:rPr>
                <w:rFonts w:hint="eastAsia"/>
                <w:color w:val="auto"/>
              </w:rPr>
              <w:t>二类区</w:t>
            </w:r>
          </w:p>
        </w:tc>
        <w:tc>
          <w:tcPr>
            <w:tcW w:w="536" w:type="pct"/>
            <w:tcBorders>
              <w:tl2br w:val="nil"/>
              <w:tr2bl w:val="nil"/>
            </w:tcBorders>
            <w:vAlign w:val="center"/>
          </w:tcPr>
          <w:p>
            <w:pPr>
              <w:pStyle w:val="47"/>
              <w:rPr>
                <w:color w:val="auto"/>
              </w:rPr>
            </w:pPr>
            <w:r>
              <w:rPr>
                <w:color w:val="auto"/>
              </w:rPr>
              <w:t>N</w:t>
            </w:r>
            <w:r>
              <w:rPr>
                <w:rFonts w:hint="eastAsia"/>
                <w:color w:val="auto"/>
              </w:rPr>
              <w:t>W</w:t>
            </w:r>
          </w:p>
        </w:tc>
        <w:tc>
          <w:tcPr>
            <w:tcW w:w="679" w:type="pct"/>
            <w:tcBorders>
              <w:tl2br w:val="nil"/>
              <w:tr2bl w:val="nil"/>
            </w:tcBorders>
            <w:vAlign w:val="center"/>
          </w:tcPr>
          <w:p>
            <w:pPr>
              <w:pStyle w:val="47"/>
              <w:rPr>
                <w:color w:val="auto"/>
              </w:rPr>
            </w:pPr>
            <w:r>
              <w:rPr>
                <w:rFonts w:hint="eastAsia"/>
                <w:color w:val="auto"/>
              </w:rPr>
              <w:t>1640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Pr>
          <w:p>
            <w:pPr>
              <w:pStyle w:val="45"/>
              <w:rPr>
                <w:color w:val="auto"/>
              </w:rPr>
            </w:pPr>
            <w:r>
              <w:rPr>
                <w:rFonts w:hint="eastAsia"/>
                <w:color w:val="auto"/>
              </w:rPr>
              <w:t>5</w:t>
            </w:r>
          </w:p>
        </w:tc>
        <w:tc>
          <w:tcPr>
            <w:tcW w:w="916" w:type="pct"/>
            <w:vAlign w:val="center"/>
          </w:tcPr>
          <w:p>
            <w:pPr>
              <w:pStyle w:val="47"/>
              <w:rPr>
                <w:color w:val="auto"/>
              </w:rPr>
            </w:pPr>
            <w:r>
              <w:rPr>
                <w:rFonts w:hint="eastAsia"/>
                <w:color w:val="auto"/>
                <w:szCs w:val="24"/>
              </w:rPr>
              <w:t>碧桂园中房天玺</w:t>
            </w:r>
          </w:p>
        </w:tc>
        <w:tc>
          <w:tcPr>
            <w:tcW w:w="457" w:type="pct"/>
            <w:vAlign w:val="center"/>
          </w:tcPr>
          <w:p>
            <w:pPr>
              <w:pStyle w:val="45"/>
              <w:rPr>
                <w:color w:val="auto"/>
              </w:rPr>
            </w:pPr>
            <w:r>
              <w:rPr>
                <w:rFonts w:hint="eastAsia"/>
                <w:color w:val="auto"/>
              </w:rPr>
              <w:t>-422</w:t>
            </w:r>
          </w:p>
        </w:tc>
        <w:tc>
          <w:tcPr>
            <w:tcW w:w="439" w:type="pct"/>
            <w:vAlign w:val="center"/>
          </w:tcPr>
          <w:p>
            <w:pPr>
              <w:pStyle w:val="45"/>
              <w:rPr>
                <w:color w:val="auto"/>
              </w:rPr>
            </w:pPr>
            <w:r>
              <w:rPr>
                <w:rFonts w:hint="eastAsia"/>
                <w:color w:val="auto"/>
              </w:rPr>
              <w:t>545</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color w:val="auto"/>
              </w:rPr>
              <w:t>N</w:t>
            </w:r>
            <w:r>
              <w:rPr>
                <w:rFonts w:hint="eastAsia"/>
                <w:color w:val="auto"/>
              </w:rPr>
              <w:t>W</w:t>
            </w:r>
          </w:p>
        </w:tc>
        <w:tc>
          <w:tcPr>
            <w:tcW w:w="679" w:type="pct"/>
            <w:vAlign w:val="center"/>
          </w:tcPr>
          <w:p>
            <w:pPr>
              <w:pStyle w:val="47"/>
              <w:rPr>
                <w:color w:val="auto"/>
              </w:rPr>
            </w:pPr>
            <w:r>
              <w:rPr>
                <w:color w:val="auto"/>
              </w:rPr>
              <w:t>370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Pr>
          <w:p>
            <w:pPr>
              <w:pStyle w:val="45"/>
              <w:rPr>
                <w:color w:val="auto"/>
              </w:rPr>
            </w:pPr>
            <w:r>
              <w:rPr>
                <w:rFonts w:hint="eastAsia"/>
                <w:color w:val="auto"/>
              </w:rPr>
              <w:t>6</w:t>
            </w:r>
          </w:p>
        </w:tc>
        <w:tc>
          <w:tcPr>
            <w:tcW w:w="916" w:type="pct"/>
            <w:vAlign w:val="center"/>
          </w:tcPr>
          <w:p>
            <w:pPr>
              <w:pStyle w:val="47"/>
              <w:rPr>
                <w:color w:val="auto"/>
              </w:rPr>
            </w:pPr>
            <w:r>
              <w:rPr>
                <w:color w:val="auto"/>
                <w:szCs w:val="24"/>
              </w:rPr>
              <w:t>于营村</w:t>
            </w:r>
          </w:p>
        </w:tc>
        <w:tc>
          <w:tcPr>
            <w:tcW w:w="457" w:type="pct"/>
            <w:vAlign w:val="center"/>
          </w:tcPr>
          <w:p>
            <w:pPr>
              <w:pStyle w:val="45"/>
              <w:rPr>
                <w:color w:val="auto"/>
              </w:rPr>
            </w:pPr>
            <w:r>
              <w:rPr>
                <w:rFonts w:hint="eastAsia"/>
                <w:color w:val="auto"/>
              </w:rPr>
              <w:t>-1916</w:t>
            </w:r>
          </w:p>
        </w:tc>
        <w:tc>
          <w:tcPr>
            <w:tcW w:w="439" w:type="pct"/>
            <w:vAlign w:val="center"/>
          </w:tcPr>
          <w:p>
            <w:pPr>
              <w:pStyle w:val="45"/>
              <w:rPr>
                <w:color w:val="auto"/>
              </w:rPr>
            </w:pPr>
            <w:r>
              <w:rPr>
                <w:rFonts w:hint="eastAsia"/>
                <w:color w:val="auto"/>
              </w:rPr>
              <w:t>482</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color w:val="auto"/>
              </w:rPr>
              <w:t>N</w:t>
            </w:r>
            <w:r>
              <w:rPr>
                <w:rFonts w:hint="eastAsia"/>
                <w:color w:val="auto"/>
              </w:rPr>
              <w:t>W</w:t>
            </w:r>
          </w:p>
        </w:tc>
        <w:tc>
          <w:tcPr>
            <w:tcW w:w="679" w:type="pct"/>
            <w:vAlign w:val="center"/>
          </w:tcPr>
          <w:p>
            <w:pPr>
              <w:pStyle w:val="47"/>
              <w:rPr>
                <w:color w:val="auto"/>
              </w:rPr>
            </w:pPr>
            <w:r>
              <w:rPr>
                <w:rFonts w:hint="eastAsia"/>
                <w:color w:val="auto"/>
              </w:rPr>
              <w:t>1660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Pr>
          <w:p>
            <w:pPr>
              <w:pStyle w:val="45"/>
              <w:rPr>
                <w:color w:val="auto"/>
              </w:rPr>
            </w:pPr>
            <w:r>
              <w:rPr>
                <w:rFonts w:hint="eastAsia"/>
                <w:color w:val="auto"/>
              </w:rPr>
              <w:t>7</w:t>
            </w:r>
          </w:p>
        </w:tc>
        <w:tc>
          <w:tcPr>
            <w:tcW w:w="916" w:type="pct"/>
            <w:vAlign w:val="center"/>
          </w:tcPr>
          <w:p>
            <w:pPr>
              <w:pStyle w:val="47"/>
              <w:rPr>
                <w:color w:val="auto"/>
              </w:rPr>
            </w:pPr>
            <w:r>
              <w:rPr>
                <w:rFonts w:hint="eastAsia"/>
                <w:color w:val="auto"/>
                <w:szCs w:val="24"/>
              </w:rPr>
              <w:t>幸福家园</w:t>
            </w:r>
            <w:r>
              <w:rPr>
                <w:color w:val="auto"/>
                <w:szCs w:val="24"/>
              </w:rPr>
              <w:t xml:space="preserve"> </w:t>
            </w:r>
          </w:p>
        </w:tc>
        <w:tc>
          <w:tcPr>
            <w:tcW w:w="457" w:type="pct"/>
            <w:vAlign w:val="center"/>
          </w:tcPr>
          <w:p>
            <w:pPr>
              <w:pStyle w:val="45"/>
              <w:rPr>
                <w:color w:val="auto"/>
              </w:rPr>
            </w:pPr>
            <w:r>
              <w:rPr>
                <w:rFonts w:hint="eastAsia"/>
                <w:color w:val="auto"/>
              </w:rPr>
              <w:t>-2300</w:t>
            </w:r>
          </w:p>
        </w:tc>
        <w:tc>
          <w:tcPr>
            <w:tcW w:w="439" w:type="pct"/>
            <w:vAlign w:val="center"/>
          </w:tcPr>
          <w:p>
            <w:pPr>
              <w:pStyle w:val="45"/>
              <w:rPr>
                <w:color w:val="auto"/>
              </w:rPr>
            </w:pPr>
            <w:r>
              <w:rPr>
                <w:rFonts w:hint="eastAsia"/>
                <w:color w:val="auto"/>
              </w:rPr>
              <w:t>1274</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color w:val="auto"/>
              </w:rPr>
              <w:t>N</w:t>
            </w:r>
            <w:r>
              <w:rPr>
                <w:rFonts w:hint="eastAsia"/>
                <w:color w:val="auto"/>
              </w:rPr>
              <w:t>W</w:t>
            </w:r>
          </w:p>
        </w:tc>
        <w:tc>
          <w:tcPr>
            <w:tcW w:w="679" w:type="pct"/>
            <w:vAlign w:val="center"/>
          </w:tcPr>
          <w:p>
            <w:pPr>
              <w:pStyle w:val="47"/>
              <w:rPr>
                <w:color w:val="auto"/>
              </w:rPr>
            </w:pPr>
            <w:r>
              <w:rPr>
                <w:rFonts w:hint="eastAsia"/>
                <w:color w:val="auto"/>
              </w:rPr>
              <w:t>2330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Pr>
          <w:p>
            <w:pPr>
              <w:pStyle w:val="45"/>
              <w:rPr>
                <w:color w:val="auto"/>
              </w:rPr>
            </w:pPr>
            <w:r>
              <w:rPr>
                <w:rFonts w:hint="eastAsia"/>
                <w:color w:val="auto"/>
              </w:rPr>
              <w:t>8</w:t>
            </w:r>
          </w:p>
        </w:tc>
        <w:tc>
          <w:tcPr>
            <w:tcW w:w="916" w:type="pct"/>
            <w:vAlign w:val="center"/>
          </w:tcPr>
          <w:p>
            <w:pPr>
              <w:pStyle w:val="47"/>
              <w:rPr>
                <w:color w:val="auto"/>
                <w:szCs w:val="24"/>
              </w:rPr>
            </w:pPr>
            <w:r>
              <w:rPr>
                <w:rFonts w:hint="eastAsia"/>
                <w:color w:val="auto"/>
                <w:szCs w:val="24"/>
              </w:rPr>
              <w:t>香溪新城</w:t>
            </w:r>
          </w:p>
        </w:tc>
        <w:tc>
          <w:tcPr>
            <w:tcW w:w="457" w:type="pct"/>
            <w:vAlign w:val="center"/>
          </w:tcPr>
          <w:p>
            <w:pPr>
              <w:pStyle w:val="45"/>
              <w:rPr>
                <w:color w:val="auto"/>
              </w:rPr>
            </w:pPr>
            <w:r>
              <w:rPr>
                <w:rFonts w:hint="eastAsia"/>
                <w:color w:val="auto"/>
              </w:rPr>
              <w:t>1184</w:t>
            </w:r>
          </w:p>
        </w:tc>
        <w:tc>
          <w:tcPr>
            <w:tcW w:w="439" w:type="pct"/>
            <w:vAlign w:val="center"/>
          </w:tcPr>
          <w:p>
            <w:pPr>
              <w:pStyle w:val="45"/>
              <w:rPr>
                <w:color w:val="auto"/>
              </w:rPr>
            </w:pPr>
            <w:r>
              <w:rPr>
                <w:rFonts w:hint="eastAsia"/>
                <w:color w:val="auto"/>
              </w:rPr>
              <w:t>510</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color w:val="auto"/>
              </w:rPr>
              <w:t>NE</w:t>
            </w:r>
          </w:p>
        </w:tc>
        <w:tc>
          <w:tcPr>
            <w:tcW w:w="679" w:type="pct"/>
            <w:vAlign w:val="center"/>
          </w:tcPr>
          <w:p>
            <w:pPr>
              <w:pStyle w:val="47"/>
              <w:rPr>
                <w:color w:val="auto"/>
              </w:rPr>
            </w:pPr>
            <w:r>
              <w:rPr>
                <w:rFonts w:hint="eastAsia"/>
                <w:color w:val="auto"/>
              </w:rPr>
              <w:t>810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Pr>
          <w:p>
            <w:pPr>
              <w:pStyle w:val="45"/>
              <w:rPr>
                <w:color w:val="auto"/>
              </w:rPr>
            </w:pPr>
            <w:r>
              <w:rPr>
                <w:rFonts w:hint="eastAsia"/>
                <w:color w:val="auto"/>
              </w:rPr>
              <w:t>9</w:t>
            </w:r>
          </w:p>
        </w:tc>
        <w:tc>
          <w:tcPr>
            <w:tcW w:w="916" w:type="pct"/>
            <w:vAlign w:val="center"/>
          </w:tcPr>
          <w:p>
            <w:pPr>
              <w:pStyle w:val="47"/>
              <w:rPr>
                <w:color w:val="auto"/>
                <w:szCs w:val="24"/>
              </w:rPr>
            </w:pPr>
            <w:r>
              <w:rPr>
                <w:rFonts w:hint="eastAsia"/>
                <w:color w:val="auto"/>
                <w:szCs w:val="24"/>
              </w:rPr>
              <w:t>恒大林溪郡</w:t>
            </w:r>
          </w:p>
        </w:tc>
        <w:tc>
          <w:tcPr>
            <w:tcW w:w="457" w:type="pct"/>
            <w:vAlign w:val="center"/>
          </w:tcPr>
          <w:p>
            <w:pPr>
              <w:pStyle w:val="45"/>
              <w:rPr>
                <w:color w:val="auto"/>
              </w:rPr>
            </w:pPr>
            <w:r>
              <w:rPr>
                <w:rFonts w:hint="eastAsia"/>
                <w:color w:val="auto"/>
              </w:rPr>
              <w:t>1845</w:t>
            </w:r>
          </w:p>
        </w:tc>
        <w:tc>
          <w:tcPr>
            <w:tcW w:w="439" w:type="pct"/>
            <w:vAlign w:val="center"/>
          </w:tcPr>
          <w:p>
            <w:pPr>
              <w:pStyle w:val="45"/>
              <w:rPr>
                <w:color w:val="auto"/>
              </w:rPr>
            </w:pPr>
            <w:r>
              <w:rPr>
                <w:rFonts w:hint="eastAsia"/>
                <w:color w:val="auto"/>
              </w:rPr>
              <w:t>519</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color w:val="auto"/>
              </w:rPr>
              <w:t>NE</w:t>
            </w:r>
          </w:p>
        </w:tc>
        <w:tc>
          <w:tcPr>
            <w:tcW w:w="679" w:type="pct"/>
            <w:vAlign w:val="center"/>
          </w:tcPr>
          <w:p>
            <w:pPr>
              <w:pStyle w:val="47"/>
              <w:rPr>
                <w:color w:val="auto"/>
              </w:rPr>
            </w:pPr>
            <w:r>
              <w:rPr>
                <w:rFonts w:hint="eastAsia"/>
                <w:color w:val="auto"/>
              </w:rPr>
              <w:t>1180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Pr>
          <w:p>
            <w:pPr>
              <w:pStyle w:val="45"/>
              <w:rPr>
                <w:color w:val="auto"/>
              </w:rPr>
            </w:pPr>
            <w:r>
              <w:rPr>
                <w:rFonts w:hint="eastAsia"/>
                <w:color w:val="auto"/>
              </w:rPr>
              <w:t>10</w:t>
            </w:r>
          </w:p>
        </w:tc>
        <w:tc>
          <w:tcPr>
            <w:tcW w:w="916" w:type="pct"/>
            <w:vAlign w:val="center"/>
          </w:tcPr>
          <w:p>
            <w:pPr>
              <w:pStyle w:val="47"/>
              <w:rPr>
                <w:color w:val="auto"/>
                <w:szCs w:val="24"/>
              </w:rPr>
            </w:pPr>
            <w:r>
              <w:rPr>
                <w:rFonts w:hint="eastAsia"/>
                <w:color w:val="auto"/>
                <w:szCs w:val="24"/>
              </w:rPr>
              <w:t>恒大正承世家</w:t>
            </w:r>
          </w:p>
        </w:tc>
        <w:tc>
          <w:tcPr>
            <w:tcW w:w="457" w:type="pct"/>
            <w:vAlign w:val="center"/>
          </w:tcPr>
          <w:p>
            <w:pPr>
              <w:pStyle w:val="45"/>
              <w:rPr>
                <w:color w:val="auto"/>
              </w:rPr>
            </w:pPr>
            <w:r>
              <w:rPr>
                <w:rFonts w:hint="eastAsia"/>
                <w:color w:val="auto"/>
              </w:rPr>
              <w:t>2094</w:t>
            </w:r>
          </w:p>
        </w:tc>
        <w:tc>
          <w:tcPr>
            <w:tcW w:w="439" w:type="pct"/>
            <w:vAlign w:val="center"/>
          </w:tcPr>
          <w:p>
            <w:pPr>
              <w:pStyle w:val="45"/>
              <w:rPr>
                <w:color w:val="auto"/>
              </w:rPr>
            </w:pPr>
            <w:r>
              <w:rPr>
                <w:rFonts w:hint="eastAsia"/>
                <w:color w:val="auto"/>
              </w:rPr>
              <w:t>259</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color w:val="auto"/>
              </w:rPr>
              <w:t>NE</w:t>
            </w:r>
          </w:p>
        </w:tc>
        <w:tc>
          <w:tcPr>
            <w:tcW w:w="679" w:type="pct"/>
            <w:vAlign w:val="center"/>
          </w:tcPr>
          <w:p>
            <w:pPr>
              <w:pStyle w:val="47"/>
              <w:rPr>
                <w:color w:val="auto"/>
              </w:rPr>
            </w:pPr>
            <w:r>
              <w:rPr>
                <w:rFonts w:hint="eastAsia"/>
                <w:color w:val="auto"/>
              </w:rPr>
              <w:t>1580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Pr>
          <w:p>
            <w:pPr>
              <w:pStyle w:val="45"/>
              <w:rPr>
                <w:color w:val="auto"/>
              </w:rPr>
            </w:pPr>
            <w:r>
              <w:rPr>
                <w:rFonts w:hint="eastAsia"/>
                <w:color w:val="auto"/>
              </w:rPr>
              <w:t>11</w:t>
            </w:r>
          </w:p>
        </w:tc>
        <w:tc>
          <w:tcPr>
            <w:tcW w:w="916" w:type="pct"/>
            <w:vAlign w:val="center"/>
          </w:tcPr>
          <w:p>
            <w:pPr>
              <w:pStyle w:val="47"/>
              <w:rPr>
                <w:color w:val="auto"/>
                <w:szCs w:val="24"/>
              </w:rPr>
            </w:pPr>
            <w:r>
              <w:rPr>
                <w:rFonts w:hint="eastAsia"/>
                <w:color w:val="auto"/>
                <w:szCs w:val="24"/>
              </w:rPr>
              <w:t>国信国际公馆</w:t>
            </w:r>
          </w:p>
        </w:tc>
        <w:tc>
          <w:tcPr>
            <w:tcW w:w="457" w:type="pct"/>
            <w:vAlign w:val="center"/>
          </w:tcPr>
          <w:p>
            <w:pPr>
              <w:pStyle w:val="45"/>
              <w:rPr>
                <w:color w:val="auto"/>
              </w:rPr>
            </w:pPr>
            <w:r>
              <w:rPr>
                <w:rFonts w:hint="eastAsia"/>
                <w:color w:val="auto"/>
              </w:rPr>
              <w:t>1673</w:t>
            </w:r>
          </w:p>
        </w:tc>
        <w:tc>
          <w:tcPr>
            <w:tcW w:w="439" w:type="pct"/>
            <w:vAlign w:val="center"/>
          </w:tcPr>
          <w:p>
            <w:pPr>
              <w:pStyle w:val="45"/>
              <w:rPr>
                <w:color w:val="auto"/>
              </w:rPr>
            </w:pPr>
            <w:r>
              <w:rPr>
                <w:rFonts w:hint="eastAsia"/>
                <w:color w:val="auto"/>
              </w:rPr>
              <w:t>793</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color w:val="auto"/>
              </w:rPr>
              <w:t>NE</w:t>
            </w:r>
          </w:p>
        </w:tc>
        <w:tc>
          <w:tcPr>
            <w:tcW w:w="679" w:type="pct"/>
            <w:vAlign w:val="center"/>
          </w:tcPr>
          <w:p>
            <w:pPr>
              <w:pStyle w:val="47"/>
              <w:rPr>
                <w:color w:val="auto"/>
              </w:rPr>
            </w:pPr>
            <w:r>
              <w:rPr>
                <w:rFonts w:hint="eastAsia"/>
                <w:color w:val="auto"/>
              </w:rPr>
              <w:t>1310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Pr>
          <w:p>
            <w:pPr>
              <w:pStyle w:val="45"/>
              <w:rPr>
                <w:color w:val="auto"/>
              </w:rPr>
            </w:pPr>
            <w:r>
              <w:rPr>
                <w:rFonts w:hint="eastAsia"/>
                <w:color w:val="auto"/>
              </w:rPr>
              <w:t>12</w:t>
            </w:r>
          </w:p>
        </w:tc>
        <w:tc>
          <w:tcPr>
            <w:tcW w:w="916" w:type="pct"/>
            <w:vAlign w:val="center"/>
          </w:tcPr>
          <w:p>
            <w:pPr>
              <w:pStyle w:val="47"/>
              <w:rPr>
                <w:color w:val="auto"/>
                <w:szCs w:val="24"/>
              </w:rPr>
            </w:pPr>
            <w:r>
              <w:rPr>
                <w:rFonts w:hint="eastAsia"/>
                <w:color w:val="auto"/>
                <w:szCs w:val="24"/>
              </w:rPr>
              <w:t>王埠村</w:t>
            </w:r>
          </w:p>
        </w:tc>
        <w:tc>
          <w:tcPr>
            <w:tcW w:w="457" w:type="pct"/>
            <w:vAlign w:val="center"/>
          </w:tcPr>
          <w:p>
            <w:pPr>
              <w:pStyle w:val="45"/>
              <w:rPr>
                <w:color w:val="auto"/>
              </w:rPr>
            </w:pPr>
            <w:r>
              <w:rPr>
                <w:rFonts w:hint="eastAsia"/>
                <w:color w:val="auto"/>
              </w:rPr>
              <w:t>1886</w:t>
            </w:r>
          </w:p>
        </w:tc>
        <w:tc>
          <w:tcPr>
            <w:tcW w:w="439" w:type="pct"/>
            <w:vAlign w:val="center"/>
          </w:tcPr>
          <w:p>
            <w:pPr>
              <w:pStyle w:val="45"/>
              <w:rPr>
                <w:color w:val="auto"/>
              </w:rPr>
            </w:pPr>
            <w:r>
              <w:rPr>
                <w:rFonts w:hint="eastAsia"/>
                <w:color w:val="auto"/>
              </w:rPr>
              <w:t>1535</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rFonts w:hint="eastAsia"/>
                <w:color w:val="auto"/>
              </w:rPr>
              <w:t>N</w:t>
            </w:r>
            <w:r>
              <w:rPr>
                <w:color w:val="auto"/>
              </w:rPr>
              <w:t>E</w:t>
            </w:r>
          </w:p>
        </w:tc>
        <w:tc>
          <w:tcPr>
            <w:tcW w:w="679" w:type="pct"/>
            <w:vAlign w:val="center"/>
          </w:tcPr>
          <w:p>
            <w:pPr>
              <w:pStyle w:val="47"/>
              <w:rPr>
                <w:color w:val="auto"/>
              </w:rPr>
            </w:pPr>
            <w:r>
              <w:rPr>
                <w:rFonts w:hint="eastAsia"/>
                <w:color w:val="auto"/>
              </w:rPr>
              <w:t>2100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Pr>
          <w:p>
            <w:pPr>
              <w:pStyle w:val="45"/>
              <w:rPr>
                <w:color w:val="auto"/>
              </w:rPr>
            </w:pPr>
            <w:r>
              <w:rPr>
                <w:rFonts w:hint="eastAsia"/>
                <w:color w:val="auto"/>
              </w:rPr>
              <w:t>13</w:t>
            </w:r>
          </w:p>
        </w:tc>
        <w:tc>
          <w:tcPr>
            <w:tcW w:w="916" w:type="pct"/>
            <w:vAlign w:val="center"/>
          </w:tcPr>
          <w:p>
            <w:pPr>
              <w:pStyle w:val="47"/>
              <w:rPr>
                <w:color w:val="auto"/>
                <w:szCs w:val="24"/>
              </w:rPr>
            </w:pPr>
            <w:r>
              <w:rPr>
                <w:rFonts w:hint="eastAsia"/>
                <w:color w:val="auto"/>
                <w:szCs w:val="24"/>
              </w:rPr>
              <w:t>安居花园</w:t>
            </w:r>
          </w:p>
        </w:tc>
        <w:tc>
          <w:tcPr>
            <w:tcW w:w="457" w:type="pct"/>
            <w:vAlign w:val="center"/>
          </w:tcPr>
          <w:p>
            <w:pPr>
              <w:pStyle w:val="45"/>
              <w:rPr>
                <w:color w:val="auto"/>
              </w:rPr>
            </w:pPr>
            <w:r>
              <w:rPr>
                <w:rFonts w:hint="eastAsia"/>
                <w:color w:val="auto"/>
              </w:rPr>
              <w:t>2444</w:t>
            </w:r>
          </w:p>
        </w:tc>
        <w:tc>
          <w:tcPr>
            <w:tcW w:w="439" w:type="pct"/>
            <w:vAlign w:val="center"/>
          </w:tcPr>
          <w:p>
            <w:pPr>
              <w:pStyle w:val="45"/>
              <w:rPr>
                <w:color w:val="auto"/>
              </w:rPr>
            </w:pPr>
            <w:r>
              <w:rPr>
                <w:rFonts w:hint="eastAsia"/>
                <w:color w:val="auto"/>
              </w:rPr>
              <w:t>680</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rFonts w:hint="eastAsia"/>
                <w:color w:val="auto"/>
              </w:rPr>
              <w:t>N</w:t>
            </w:r>
            <w:r>
              <w:rPr>
                <w:color w:val="auto"/>
              </w:rPr>
              <w:t>E</w:t>
            </w:r>
          </w:p>
        </w:tc>
        <w:tc>
          <w:tcPr>
            <w:tcW w:w="679" w:type="pct"/>
            <w:vAlign w:val="center"/>
          </w:tcPr>
          <w:p>
            <w:pPr>
              <w:pStyle w:val="47"/>
              <w:rPr>
                <w:color w:val="auto"/>
              </w:rPr>
            </w:pPr>
            <w:r>
              <w:rPr>
                <w:rFonts w:hint="eastAsia"/>
                <w:color w:val="auto"/>
              </w:rPr>
              <w:t>2080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Pr>
          <w:p>
            <w:pPr>
              <w:pStyle w:val="45"/>
              <w:rPr>
                <w:color w:val="auto"/>
              </w:rPr>
            </w:pPr>
            <w:r>
              <w:rPr>
                <w:rFonts w:hint="eastAsia"/>
                <w:color w:val="auto"/>
              </w:rPr>
              <w:t>14</w:t>
            </w:r>
          </w:p>
        </w:tc>
        <w:tc>
          <w:tcPr>
            <w:tcW w:w="916" w:type="pct"/>
            <w:vAlign w:val="center"/>
          </w:tcPr>
          <w:p>
            <w:pPr>
              <w:pStyle w:val="47"/>
              <w:rPr>
                <w:color w:val="auto"/>
                <w:szCs w:val="24"/>
              </w:rPr>
            </w:pPr>
            <w:r>
              <w:rPr>
                <w:rFonts w:hint="eastAsia"/>
                <w:color w:val="auto"/>
              </w:rPr>
              <w:t>石榴苑</w:t>
            </w:r>
          </w:p>
        </w:tc>
        <w:tc>
          <w:tcPr>
            <w:tcW w:w="457" w:type="pct"/>
            <w:vAlign w:val="center"/>
          </w:tcPr>
          <w:p>
            <w:pPr>
              <w:pStyle w:val="45"/>
              <w:rPr>
                <w:color w:val="auto"/>
              </w:rPr>
            </w:pPr>
            <w:r>
              <w:rPr>
                <w:rFonts w:hint="eastAsia"/>
                <w:color w:val="auto"/>
              </w:rPr>
              <w:t>2570</w:t>
            </w:r>
          </w:p>
        </w:tc>
        <w:tc>
          <w:tcPr>
            <w:tcW w:w="439" w:type="pct"/>
            <w:vAlign w:val="center"/>
          </w:tcPr>
          <w:p>
            <w:pPr>
              <w:pStyle w:val="45"/>
              <w:rPr>
                <w:color w:val="auto"/>
              </w:rPr>
            </w:pPr>
            <w:r>
              <w:rPr>
                <w:rFonts w:hint="eastAsia"/>
                <w:color w:val="auto"/>
              </w:rPr>
              <w:t>684</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rFonts w:hint="eastAsia"/>
                <w:color w:val="auto"/>
              </w:rPr>
              <w:t>N</w:t>
            </w:r>
            <w:r>
              <w:rPr>
                <w:color w:val="auto"/>
              </w:rPr>
              <w:t>E</w:t>
            </w:r>
          </w:p>
        </w:tc>
        <w:tc>
          <w:tcPr>
            <w:tcW w:w="679" w:type="pct"/>
            <w:vAlign w:val="center"/>
          </w:tcPr>
          <w:p>
            <w:pPr>
              <w:pStyle w:val="47"/>
              <w:rPr>
                <w:color w:val="auto"/>
              </w:rPr>
            </w:pPr>
            <w:r>
              <w:rPr>
                <w:rFonts w:hint="eastAsia"/>
                <w:color w:val="auto"/>
              </w:rPr>
              <w:t>2200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291" w:type="pct"/>
          </w:tcPr>
          <w:p>
            <w:pPr>
              <w:pStyle w:val="45"/>
              <w:rPr>
                <w:color w:val="auto"/>
              </w:rPr>
            </w:pPr>
            <w:r>
              <w:rPr>
                <w:rFonts w:hint="eastAsia"/>
                <w:color w:val="auto"/>
              </w:rPr>
              <w:t>15</w:t>
            </w:r>
          </w:p>
        </w:tc>
        <w:tc>
          <w:tcPr>
            <w:tcW w:w="916" w:type="pct"/>
            <w:vAlign w:val="center"/>
          </w:tcPr>
          <w:p>
            <w:pPr>
              <w:pStyle w:val="47"/>
              <w:rPr>
                <w:color w:val="auto"/>
                <w:szCs w:val="24"/>
              </w:rPr>
            </w:pPr>
            <w:r>
              <w:rPr>
                <w:rFonts w:hint="eastAsia"/>
                <w:color w:val="auto"/>
                <w:szCs w:val="24"/>
              </w:rPr>
              <w:t>淄博高新区第三小学</w:t>
            </w:r>
          </w:p>
        </w:tc>
        <w:tc>
          <w:tcPr>
            <w:tcW w:w="457" w:type="pct"/>
            <w:vAlign w:val="center"/>
          </w:tcPr>
          <w:p>
            <w:pPr>
              <w:pStyle w:val="45"/>
              <w:rPr>
                <w:color w:val="auto"/>
              </w:rPr>
            </w:pPr>
            <w:r>
              <w:rPr>
                <w:rFonts w:hint="eastAsia"/>
                <w:color w:val="auto"/>
              </w:rPr>
              <w:t>2476</w:t>
            </w:r>
          </w:p>
        </w:tc>
        <w:tc>
          <w:tcPr>
            <w:tcW w:w="439" w:type="pct"/>
            <w:vAlign w:val="center"/>
          </w:tcPr>
          <w:p>
            <w:pPr>
              <w:pStyle w:val="45"/>
              <w:rPr>
                <w:color w:val="auto"/>
              </w:rPr>
            </w:pPr>
            <w:r>
              <w:rPr>
                <w:rFonts w:hint="eastAsia"/>
                <w:color w:val="auto"/>
              </w:rPr>
              <w:t>793</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rFonts w:hint="eastAsia"/>
                <w:color w:val="auto"/>
              </w:rPr>
              <w:t>N</w:t>
            </w:r>
            <w:r>
              <w:rPr>
                <w:color w:val="auto"/>
              </w:rPr>
              <w:t>E</w:t>
            </w:r>
          </w:p>
        </w:tc>
        <w:tc>
          <w:tcPr>
            <w:tcW w:w="679" w:type="pct"/>
            <w:vAlign w:val="center"/>
          </w:tcPr>
          <w:p>
            <w:pPr>
              <w:pStyle w:val="47"/>
              <w:rPr>
                <w:color w:val="auto"/>
              </w:rPr>
            </w:pPr>
            <w:r>
              <w:rPr>
                <w:rFonts w:hint="eastAsia"/>
                <w:color w:val="auto"/>
              </w:rPr>
              <w:t>2160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Pr>
          <w:p>
            <w:pPr>
              <w:pStyle w:val="45"/>
              <w:rPr>
                <w:color w:val="auto"/>
              </w:rPr>
            </w:pPr>
            <w:r>
              <w:rPr>
                <w:rFonts w:hint="eastAsia"/>
                <w:color w:val="auto"/>
              </w:rPr>
              <w:t>16</w:t>
            </w:r>
          </w:p>
        </w:tc>
        <w:tc>
          <w:tcPr>
            <w:tcW w:w="916" w:type="pct"/>
            <w:vAlign w:val="center"/>
          </w:tcPr>
          <w:p>
            <w:pPr>
              <w:pStyle w:val="47"/>
              <w:rPr>
                <w:color w:val="auto"/>
                <w:szCs w:val="24"/>
              </w:rPr>
            </w:pPr>
            <w:r>
              <w:rPr>
                <w:rFonts w:hint="eastAsia"/>
                <w:color w:val="auto"/>
                <w:szCs w:val="24"/>
              </w:rPr>
              <w:t>祥和苑</w:t>
            </w:r>
          </w:p>
        </w:tc>
        <w:tc>
          <w:tcPr>
            <w:tcW w:w="457" w:type="pct"/>
            <w:vAlign w:val="center"/>
          </w:tcPr>
          <w:p>
            <w:pPr>
              <w:pStyle w:val="45"/>
              <w:rPr>
                <w:color w:val="auto"/>
              </w:rPr>
            </w:pPr>
            <w:r>
              <w:rPr>
                <w:rFonts w:hint="eastAsia"/>
                <w:color w:val="auto"/>
              </w:rPr>
              <w:t>2628</w:t>
            </w:r>
          </w:p>
        </w:tc>
        <w:tc>
          <w:tcPr>
            <w:tcW w:w="439" w:type="pct"/>
            <w:vAlign w:val="center"/>
          </w:tcPr>
          <w:p>
            <w:pPr>
              <w:pStyle w:val="45"/>
              <w:rPr>
                <w:color w:val="auto"/>
              </w:rPr>
            </w:pPr>
            <w:r>
              <w:rPr>
                <w:rFonts w:hint="eastAsia"/>
                <w:color w:val="auto"/>
              </w:rPr>
              <w:t>1255</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rFonts w:hint="eastAsia"/>
                <w:color w:val="auto"/>
              </w:rPr>
              <w:t>N</w:t>
            </w:r>
            <w:r>
              <w:rPr>
                <w:color w:val="auto"/>
              </w:rPr>
              <w:t>E</w:t>
            </w:r>
          </w:p>
        </w:tc>
        <w:tc>
          <w:tcPr>
            <w:tcW w:w="679" w:type="pct"/>
            <w:vAlign w:val="center"/>
          </w:tcPr>
          <w:p>
            <w:pPr>
              <w:pStyle w:val="47"/>
              <w:rPr>
                <w:color w:val="auto"/>
              </w:rPr>
            </w:pPr>
            <w:r>
              <w:rPr>
                <w:rFonts w:hint="eastAsia"/>
                <w:color w:val="auto"/>
              </w:rPr>
              <w:t>2255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Pr>
          <w:p>
            <w:pPr>
              <w:pStyle w:val="45"/>
              <w:rPr>
                <w:color w:val="auto"/>
              </w:rPr>
            </w:pPr>
            <w:r>
              <w:rPr>
                <w:rFonts w:hint="eastAsia"/>
                <w:color w:val="auto"/>
              </w:rPr>
              <w:t>17</w:t>
            </w:r>
          </w:p>
        </w:tc>
        <w:tc>
          <w:tcPr>
            <w:tcW w:w="916" w:type="pct"/>
            <w:vAlign w:val="center"/>
          </w:tcPr>
          <w:p>
            <w:pPr>
              <w:pStyle w:val="47"/>
              <w:rPr>
                <w:color w:val="auto"/>
                <w:szCs w:val="24"/>
              </w:rPr>
            </w:pPr>
            <w:r>
              <w:rPr>
                <w:rFonts w:hint="eastAsia"/>
                <w:color w:val="auto"/>
                <w:szCs w:val="24"/>
              </w:rPr>
              <w:t>南石社区</w:t>
            </w:r>
          </w:p>
        </w:tc>
        <w:tc>
          <w:tcPr>
            <w:tcW w:w="457" w:type="pct"/>
            <w:vAlign w:val="center"/>
          </w:tcPr>
          <w:p>
            <w:pPr>
              <w:pStyle w:val="45"/>
              <w:rPr>
                <w:color w:val="auto"/>
              </w:rPr>
            </w:pPr>
            <w:r>
              <w:rPr>
                <w:rFonts w:hint="eastAsia"/>
                <w:color w:val="auto"/>
              </w:rPr>
              <w:t>2530</w:t>
            </w:r>
          </w:p>
        </w:tc>
        <w:tc>
          <w:tcPr>
            <w:tcW w:w="439" w:type="pct"/>
            <w:vAlign w:val="center"/>
          </w:tcPr>
          <w:p>
            <w:pPr>
              <w:pStyle w:val="45"/>
              <w:rPr>
                <w:color w:val="auto"/>
              </w:rPr>
            </w:pPr>
            <w:r>
              <w:rPr>
                <w:rFonts w:hint="eastAsia"/>
                <w:color w:val="auto"/>
              </w:rPr>
              <w:t>362</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rFonts w:hint="eastAsia"/>
                <w:color w:val="auto"/>
              </w:rPr>
              <w:t>N</w:t>
            </w:r>
            <w:r>
              <w:rPr>
                <w:color w:val="auto"/>
              </w:rPr>
              <w:t>E</w:t>
            </w:r>
          </w:p>
        </w:tc>
        <w:tc>
          <w:tcPr>
            <w:tcW w:w="679" w:type="pct"/>
            <w:vAlign w:val="center"/>
          </w:tcPr>
          <w:p>
            <w:pPr>
              <w:pStyle w:val="47"/>
              <w:rPr>
                <w:color w:val="auto"/>
              </w:rPr>
            </w:pPr>
            <w:r>
              <w:rPr>
                <w:rFonts w:hint="eastAsia"/>
                <w:color w:val="auto"/>
              </w:rPr>
              <w:t>1950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Pr>
          <w:p>
            <w:pPr>
              <w:pStyle w:val="45"/>
              <w:rPr>
                <w:color w:val="auto"/>
              </w:rPr>
            </w:pPr>
            <w:r>
              <w:rPr>
                <w:rFonts w:hint="eastAsia"/>
                <w:color w:val="auto"/>
              </w:rPr>
              <w:t>18</w:t>
            </w:r>
          </w:p>
        </w:tc>
        <w:tc>
          <w:tcPr>
            <w:tcW w:w="916" w:type="pct"/>
            <w:vAlign w:val="center"/>
          </w:tcPr>
          <w:p>
            <w:pPr>
              <w:pStyle w:val="47"/>
              <w:rPr>
                <w:color w:val="auto"/>
                <w:szCs w:val="24"/>
              </w:rPr>
            </w:pPr>
            <w:r>
              <w:rPr>
                <w:rFonts w:hint="eastAsia"/>
                <w:color w:val="auto"/>
                <w:szCs w:val="24"/>
              </w:rPr>
              <w:t>金贝儿幼儿园</w:t>
            </w:r>
          </w:p>
        </w:tc>
        <w:tc>
          <w:tcPr>
            <w:tcW w:w="457" w:type="pct"/>
            <w:vAlign w:val="center"/>
          </w:tcPr>
          <w:p>
            <w:pPr>
              <w:pStyle w:val="45"/>
              <w:rPr>
                <w:color w:val="auto"/>
              </w:rPr>
            </w:pPr>
            <w:r>
              <w:rPr>
                <w:rFonts w:hint="eastAsia"/>
                <w:color w:val="auto"/>
              </w:rPr>
              <w:t>2733</w:t>
            </w:r>
          </w:p>
        </w:tc>
        <w:tc>
          <w:tcPr>
            <w:tcW w:w="439" w:type="pct"/>
            <w:vAlign w:val="center"/>
          </w:tcPr>
          <w:p>
            <w:pPr>
              <w:pStyle w:val="45"/>
              <w:rPr>
                <w:color w:val="auto"/>
              </w:rPr>
            </w:pPr>
            <w:r>
              <w:rPr>
                <w:rFonts w:hint="eastAsia"/>
                <w:color w:val="auto"/>
              </w:rPr>
              <w:t>362</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rFonts w:hint="eastAsia"/>
                <w:color w:val="auto"/>
              </w:rPr>
              <w:t>N</w:t>
            </w:r>
            <w:r>
              <w:rPr>
                <w:color w:val="auto"/>
              </w:rPr>
              <w:t>E</w:t>
            </w:r>
          </w:p>
        </w:tc>
        <w:tc>
          <w:tcPr>
            <w:tcW w:w="679" w:type="pct"/>
            <w:vAlign w:val="center"/>
          </w:tcPr>
          <w:p>
            <w:pPr>
              <w:pStyle w:val="47"/>
              <w:rPr>
                <w:color w:val="auto"/>
              </w:rPr>
            </w:pPr>
            <w:r>
              <w:rPr>
                <w:rFonts w:hint="eastAsia"/>
                <w:color w:val="auto"/>
              </w:rPr>
              <w:t>2100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Pr>
          <w:p>
            <w:pPr>
              <w:pStyle w:val="45"/>
              <w:rPr>
                <w:color w:val="auto"/>
              </w:rPr>
            </w:pPr>
            <w:r>
              <w:rPr>
                <w:rFonts w:hint="eastAsia"/>
                <w:color w:val="auto"/>
              </w:rPr>
              <w:t>19</w:t>
            </w:r>
          </w:p>
        </w:tc>
        <w:tc>
          <w:tcPr>
            <w:tcW w:w="916" w:type="pct"/>
            <w:vAlign w:val="center"/>
          </w:tcPr>
          <w:p>
            <w:pPr>
              <w:pStyle w:val="47"/>
              <w:rPr>
                <w:color w:val="auto"/>
                <w:szCs w:val="24"/>
              </w:rPr>
            </w:pPr>
            <w:r>
              <w:rPr>
                <w:rFonts w:hint="eastAsia"/>
                <w:color w:val="auto"/>
                <w:szCs w:val="24"/>
              </w:rPr>
              <w:t>汇景苑</w:t>
            </w:r>
          </w:p>
        </w:tc>
        <w:tc>
          <w:tcPr>
            <w:tcW w:w="457" w:type="pct"/>
            <w:vAlign w:val="center"/>
          </w:tcPr>
          <w:p>
            <w:pPr>
              <w:pStyle w:val="45"/>
              <w:rPr>
                <w:color w:val="auto"/>
              </w:rPr>
            </w:pPr>
            <w:r>
              <w:rPr>
                <w:rFonts w:hint="eastAsia"/>
                <w:color w:val="auto"/>
              </w:rPr>
              <w:t>2832</w:t>
            </w:r>
          </w:p>
        </w:tc>
        <w:tc>
          <w:tcPr>
            <w:tcW w:w="439" w:type="pct"/>
            <w:vAlign w:val="center"/>
          </w:tcPr>
          <w:p>
            <w:pPr>
              <w:pStyle w:val="45"/>
              <w:rPr>
                <w:color w:val="auto"/>
              </w:rPr>
            </w:pPr>
            <w:r>
              <w:rPr>
                <w:rFonts w:hint="eastAsia"/>
                <w:color w:val="auto"/>
              </w:rPr>
              <w:t>257</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color w:val="auto"/>
              </w:rPr>
              <w:t>E</w:t>
            </w:r>
          </w:p>
        </w:tc>
        <w:tc>
          <w:tcPr>
            <w:tcW w:w="679" w:type="pct"/>
            <w:vAlign w:val="center"/>
          </w:tcPr>
          <w:p>
            <w:pPr>
              <w:pStyle w:val="47"/>
              <w:rPr>
                <w:color w:val="auto"/>
              </w:rPr>
            </w:pPr>
            <w:r>
              <w:rPr>
                <w:rFonts w:hint="eastAsia"/>
                <w:color w:val="auto"/>
              </w:rPr>
              <w:t>2260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Pr>
          <w:p>
            <w:pPr>
              <w:pStyle w:val="45"/>
              <w:rPr>
                <w:color w:val="auto"/>
              </w:rPr>
            </w:pPr>
            <w:r>
              <w:rPr>
                <w:rFonts w:hint="eastAsia"/>
                <w:color w:val="auto"/>
              </w:rPr>
              <w:t>20</w:t>
            </w:r>
          </w:p>
        </w:tc>
        <w:tc>
          <w:tcPr>
            <w:tcW w:w="916" w:type="pct"/>
            <w:vAlign w:val="center"/>
          </w:tcPr>
          <w:p>
            <w:pPr>
              <w:pStyle w:val="47"/>
              <w:rPr>
                <w:color w:val="auto"/>
                <w:szCs w:val="24"/>
              </w:rPr>
            </w:pPr>
            <w:r>
              <w:rPr>
                <w:rFonts w:hint="eastAsia"/>
                <w:color w:val="auto"/>
                <w:szCs w:val="24"/>
              </w:rPr>
              <w:t>董家村</w:t>
            </w:r>
          </w:p>
        </w:tc>
        <w:tc>
          <w:tcPr>
            <w:tcW w:w="457" w:type="pct"/>
            <w:vAlign w:val="center"/>
          </w:tcPr>
          <w:p>
            <w:pPr>
              <w:pStyle w:val="45"/>
              <w:rPr>
                <w:color w:val="auto"/>
              </w:rPr>
            </w:pPr>
            <w:r>
              <w:rPr>
                <w:rFonts w:hint="eastAsia"/>
                <w:color w:val="auto"/>
              </w:rPr>
              <w:t>-1630</w:t>
            </w:r>
          </w:p>
        </w:tc>
        <w:tc>
          <w:tcPr>
            <w:tcW w:w="439" w:type="pct"/>
            <w:vAlign w:val="center"/>
          </w:tcPr>
          <w:p>
            <w:pPr>
              <w:pStyle w:val="45"/>
              <w:rPr>
                <w:color w:val="auto"/>
              </w:rPr>
            </w:pPr>
            <w:r>
              <w:rPr>
                <w:rFonts w:hint="eastAsia"/>
                <w:color w:val="auto"/>
              </w:rPr>
              <w:t>-405</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color w:val="auto"/>
              </w:rPr>
              <w:t>S</w:t>
            </w:r>
            <w:r>
              <w:rPr>
                <w:rFonts w:hint="eastAsia"/>
                <w:color w:val="auto"/>
              </w:rPr>
              <w:t>W</w:t>
            </w:r>
          </w:p>
        </w:tc>
        <w:tc>
          <w:tcPr>
            <w:tcW w:w="679" w:type="pct"/>
            <w:vAlign w:val="center"/>
          </w:tcPr>
          <w:p>
            <w:pPr>
              <w:pStyle w:val="47"/>
              <w:rPr>
                <w:color w:val="auto"/>
              </w:rPr>
            </w:pPr>
            <w:r>
              <w:rPr>
                <w:rFonts w:hint="eastAsia"/>
                <w:color w:val="auto"/>
              </w:rPr>
              <w:t>1170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Pr>
          <w:p>
            <w:pPr>
              <w:pStyle w:val="45"/>
              <w:rPr>
                <w:color w:val="auto"/>
              </w:rPr>
            </w:pPr>
            <w:r>
              <w:rPr>
                <w:rFonts w:hint="eastAsia"/>
                <w:color w:val="auto"/>
              </w:rPr>
              <w:t>21</w:t>
            </w:r>
          </w:p>
        </w:tc>
        <w:tc>
          <w:tcPr>
            <w:tcW w:w="916" w:type="pct"/>
            <w:vAlign w:val="center"/>
          </w:tcPr>
          <w:p>
            <w:pPr>
              <w:pStyle w:val="47"/>
              <w:rPr>
                <w:color w:val="auto"/>
                <w:szCs w:val="24"/>
              </w:rPr>
            </w:pPr>
            <w:r>
              <w:rPr>
                <w:rFonts w:hint="eastAsia"/>
                <w:color w:val="auto"/>
                <w:szCs w:val="24"/>
              </w:rPr>
              <w:t>大张社区</w:t>
            </w:r>
          </w:p>
        </w:tc>
        <w:tc>
          <w:tcPr>
            <w:tcW w:w="457" w:type="pct"/>
            <w:vAlign w:val="center"/>
          </w:tcPr>
          <w:p>
            <w:pPr>
              <w:pStyle w:val="45"/>
              <w:rPr>
                <w:color w:val="auto"/>
              </w:rPr>
            </w:pPr>
            <w:r>
              <w:rPr>
                <w:rFonts w:hint="eastAsia"/>
                <w:color w:val="auto"/>
              </w:rPr>
              <w:t>1004</w:t>
            </w:r>
          </w:p>
        </w:tc>
        <w:tc>
          <w:tcPr>
            <w:tcW w:w="439" w:type="pct"/>
            <w:vAlign w:val="center"/>
          </w:tcPr>
          <w:p>
            <w:pPr>
              <w:pStyle w:val="45"/>
              <w:rPr>
                <w:color w:val="auto"/>
              </w:rPr>
            </w:pPr>
            <w:r>
              <w:rPr>
                <w:rFonts w:hint="eastAsia"/>
                <w:color w:val="auto"/>
              </w:rPr>
              <w:t>-980</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color w:val="auto"/>
              </w:rPr>
              <w:t>SE</w:t>
            </w:r>
          </w:p>
        </w:tc>
        <w:tc>
          <w:tcPr>
            <w:tcW w:w="679" w:type="pct"/>
            <w:vAlign w:val="center"/>
          </w:tcPr>
          <w:p>
            <w:pPr>
              <w:pStyle w:val="47"/>
              <w:rPr>
                <w:color w:val="auto"/>
              </w:rPr>
            </w:pPr>
            <w:r>
              <w:rPr>
                <w:rFonts w:hint="eastAsia"/>
                <w:color w:val="auto"/>
              </w:rPr>
              <w:t>1120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291" w:type="pct"/>
          </w:tcPr>
          <w:p>
            <w:pPr>
              <w:pStyle w:val="45"/>
              <w:rPr>
                <w:color w:val="auto"/>
              </w:rPr>
            </w:pPr>
            <w:r>
              <w:rPr>
                <w:rFonts w:hint="eastAsia"/>
                <w:color w:val="auto"/>
              </w:rPr>
              <w:t>22</w:t>
            </w:r>
          </w:p>
        </w:tc>
        <w:tc>
          <w:tcPr>
            <w:tcW w:w="916" w:type="pct"/>
            <w:vAlign w:val="center"/>
          </w:tcPr>
          <w:p>
            <w:pPr>
              <w:pStyle w:val="47"/>
              <w:rPr>
                <w:color w:val="auto"/>
                <w:szCs w:val="24"/>
              </w:rPr>
            </w:pPr>
            <w:r>
              <w:rPr>
                <w:rFonts w:hint="eastAsia"/>
                <w:color w:val="auto"/>
                <w:szCs w:val="24"/>
              </w:rPr>
              <w:t>高新区第一中学</w:t>
            </w:r>
          </w:p>
        </w:tc>
        <w:tc>
          <w:tcPr>
            <w:tcW w:w="457" w:type="pct"/>
            <w:vAlign w:val="center"/>
          </w:tcPr>
          <w:p>
            <w:pPr>
              <w:pStyle w:val="45"/>
              <w:rPr>
                <w:color w:val="auto"/>
              </w:rPr>
            </w:pPr>
            <w:r>
              <w:rPr>
                <w:rFonts w:hint="eastAsia"/>
                <w:color w:val="auto"/>
              </w:rPr>
              <w:t>2838</w:t>
            </w:r>
          </w:p>
        </w:tc>
        <w:tc>
          <w:tcPr>
            <w:tcW w:w="439" w:type="pct"/>
            <w:vAlign w:val="center"/>
          </w:tcPr>
          <w:p>
            <w:pPr>
              <w:pStyle w:val="45"/>
              <w:rPr>
                <w:color w:val="auto"/>
              </w:rPr>
            </w:pPr>
            <w:r>
              <w:rPr>
                <w:rFonts w:hint="eastAsia"/>
                <w:color w:val="auto"/>
              </w:rPr>
              <w:t>-452</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color w:val="auto"/>
              </w:rPr>
              <w:t>SE</w:t>
            </w:r>
          </w:p>
        </w:tc>
        <w:tc>
          <w:tcPr>
            <w:tcW w:w="679" w:type="pct"/>
            <w:vAlign w:val="center"/>
          </w:tcPr>
          <w:p>
            <w:pPr>
              <w:pStyle w:val="47"/>
              <w:rPr>
                <w:color w:val="auto"/>
              </w:rPr>
            </w:pPr>
            <w:r>
              <w:rPr>
                <w:rFonts w:hint="eastAsia"/>
                <w:color w:val="auto"/>
              </w:rPr>
              <w:t>2409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Pr>
          <w:p>
            <w:pPr>
              <w:pStyle w:val="45"/>
              <w:rPr>
                <w:color w:val="auto"/>
              </w:rPr>
            </w:pPr>
            <w:r>
              <w:rPr>
                <w:rFonts w:hint="eastAsia"/>
                <w:color w:val="auto"/>
              </w:rPr>
              <w:t>23</w:t>
            </w:r>
          </w:p>
        </w:tc>
        <w:tc>
          <w:tcPr>
            <w:tcW w:w="916" w:type="pct"/>
            <w:vAlign w:val="center"/>
          </w:tcPr>
          <w:p>
            <w:pPr>
              <w:pStyle w:val="47"/>
              <w:rPr>
                <w:color w:val="auto"/>
                <w:szCs w:val="24"/>
              </w:rPr>
            </w:pPr>
            <w:r>
              <w:rPr>
                <w:rFonts w:hint="eastAsia"/>
                <w:color w:val="auto"/>
                <w:szCs w:val="24"/>
              </w:rPr>
              <w:t>金润香榭居</w:t>
            </w:r>
          </w:p>
        </w:tc>
        <w:tc>
          <w:tcPr>
            <w:tcW w:w="457" w:type="pct"/>
            <w:vAlign w:val="center"/>
          </w:tcPr>
          <w:p>
            <w:pPr>
              <w:pStyle w:val="45"/>
              <w:rPr>
                <w:color w:val="auto"/>
              </w:rPr>
            </w:pPr>
            <w:r>
              <w:rPr>
                <w:rFonts w:hint="eastAsia"/>
                <w:color w:val="auto"/>
              </w:rPr>
              <w:t>2428</w:t>
            </w:r>
          </w:p>
        </w:tc>
        <w:tc>
          <w:tcPr>
            <w:tcW w:w="439" w:type="pct"/>
            <w:vAlign w:val="center"/>
          </w:tcPr>
          <w:p>
            <w:pPr>
              <w:pStyle w:val="45"/>
              <w:rPr>
                <w:color w:val="auto"/>
              </w:rPr>
            </w:pPr>
            <w:r>
              <w:rPr>
                <w:rFonts w:hint="eastAsia"/>
                <w:color w:val="auto"/>
              </w:rPr>
              <w:t>-746</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color w:val="auto"/>
              </w:rPr>
              <w:t>SE</w:t>
            </w:r>
          </w:p>
        </w:tc>
        <w:tc>
          <w:tcPr>
            <w:tcW w:w="679" w:type="pct"/>
            <w:vAlign w:val="center"/>
          </w:tcPr>
          <w:p>
            <w:pPr>
              <w:pStyle w:val="47"/>
              <w:rPr>
                <w:color w:val="auto"/>
              </w:rPr>
            </w:pPr>
            <w:r>
              <w:rPr>
                <w:rFonts w:hint="eastAsia"/>
                <w:color w:val="auto"/>
              </w:rPr>
              <w:t>2161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Pr>
          <w:p>
            <w:pPr>
              <w:pStyle w:val="45"/>
              <w:rPr>
                <w:color w:val="auto"/>
              </w:rPr>
            </w:pPr>
            <w:r>
              <w:rPr>
                <w:rFonts w:hint="eastAsia"/>
                <w:color w:val="auto"/>
              </w:rPr>
              <w:t>24</w:t>
            </w:r>
          </w:p>
        </w:tc>
        <w:tc>
          <w:tcPr>
            <w:tcW w:w="916" w:type="pct"/>
            <w:vAlign w:val="center"/>
          </w:tcPr>
          <w:p>
            <w:pPr>
              <w:pStyle w:val="47"/>
              <w:rPr>
                <w:color w:val="auto"/>
                <w:szCs w:val="24"/>
              </w:rPr>
            </w:pPr>
            <w:r>
              <w:rPr>
                <w:color w:val="auto"/>
                <w:szCs w:val="24"/>
              </w:rPr>
              <w:t xml:space="preserve"> </w:t>
            </w:r>
            <w:r>
              <w:rPr>
                <w:rFonts w:hint="eastAsia"/>
                <w:color w:val="auto"/>
                <w:szCs w:val="24"/>
              </w:rPr>
              <w:t>名尚国际</w:t>
            </w:r>
          </w:p>
        </w:tc>
        <w:tc>
          <w:tcPr>
            <w:tcW w:w="457" w:type="pct"/>
            <w:vAlign w:val="center"/>
          </w:tcPr>
          <w:p>
            <w:pPr>
              <w:pStyle w:val="45"/>
              <w:rPr>
                <w:color w:val="auto"/>
              </w:rPr>
            </w:pPr>
            <w:r>
              <w:rPr>
                <w:rFonts w:hint="eastAsia"/>
                <w:color w:val="auto"/>
              </w:rPr>
              <w:t>2742</w:t>
            </w:r>
          </w:p>
        </w:tc>
        <w:tc>
          <w:tcPr>
            <w:tcW w:w="439" w:type="pct"/>
            <w:vAlign w:val="center"/>
          </w:tcPr>
          <w:p>
            <w:pPr>
              <w:pStyle w:val="45"/>
              <w:rPr>
                <w:color w:val="auto"/>
              </w:rPr>
            </w:pPr>
            <w:r>
              <w:rPr>
                <w:rFonts w:hint="eastAsia"/>
                <w:color w:val="auto"/>
              </w:rPr>
              <w:t>-800</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color w:val="auto"/>
              </w:rPr>
              <w:t>SE</w:t>
            </w:r>
          </w:p>
        </w:tc>
        <w:tc>
          <w:tcPr>
            <w:tcW w:w="679" w:type="pct"/>
            <w:vAlign w:val="center"/>
          </w:tcPr>
          <w:p>
            <w:pPr>
              <w:pStyle w:val="47"/>
              <w:rPr>
                <w:color w:val="auto"/>
              </w:rPr>
            </w:pPr>
            <w:r>
              <w:rPr>
                <w:rFonts w:hint="eastAsia"/>
                <w:color w:val="auto"/>
              </w:rPr>
              <w:t>2315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Pr>
          <w:p>
            <w:pPr>
              <w:pStyle w:val="45"/>
              <w:rPr>
                <w:color w:val="auto"/>
              </w:rPr>
            </w:pPr>
            <w:r>
              <w:rPr>
                <w:rFonts w:hint="eastAsia"/>
                <w:color w:val="auto"/>
              </w:rPr>
              <w:t>25</w:t>
            </w:r>
          </w:p>
        </w:tc>
        <w:tc>
          <w:tcPr>
            <w:tcW w:w="916" w:type="pct"/>
            <w:vAlign w:val="center"/>
          </w:tcPr>
          <w:p>
            <w:pPr>
              <w:pStyle w:val="47"/>
              <w:rPr>
                <w:color w:val="auto"/>
                <w:szCs w:val="24"/>
              </w:rPr>
            </w:pPr>
            <w:r>
              <w:rPr>
                <w:rFonts w:hint="eastAsia"/>
                <w:color w:val="auto"/>
                <w:szCs w:val="24"/>
              </w:rPr>
              <w:t>淄博高新区华侨城小学</w:t>
            </w:r>
          </w:p>
        </w:tc>
        <w:tc>
          <w:tcPr>
            <w:tcW w:w="457" w:type="pct"/>
            <w:vAlign w:val="center"/>
          </w:tcPr>
          <w:p>
            <w:pPr>
              <w:pStyle w:val="45"/>
              <w:rPr>
                <w:color w:val="auto"/>
              </w:rPr>
            </w:pPr>
            <w:r>
              <w:rPr>
                <w:rFonts w:hint="eastAsia"/>
                <w:color w:val="auto"/>
              </w:rPr>
              <w:t>2785</w:t>
            </w:r>
          </w:p>
        </w:tc>
        <w:tc>
          <w:tcPr>
            <w:tcW w:w="439" w:type="pct"/>
            <w:vAlign w:val="center"/>
          </w:tcPr>
          <w:p>
            <w:pPr>
              <w:pStyle w:val="45"/>
              <w:rPr>
                <w:color w:val="auto"/>
              </w:rPr>
            </w:pPr>
            <w:r>
              <w:rPr>
                <w:rFonts w:hint="eastAsia"/>
                <w:color w:val="auto"/>
              </w:rPr>
              <w:t>-2047</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color w:val="auto"/>
              </w:rPr>
              <w:t>SE</w:t>
            </w:r>
          </w:p>
        </w:tc>
        <w:tc>
          <w:tcPr>
            <w:tcW w:w="679" w:type="pct"/>
            <w:vAlign w:val="center"/>
          </w:tcPr>
          <w:p>
            <w:pPr>
              <w:pStyle w:val="47"/>
              <w:rPr>
                <w:color w:val="auto"/>
              </w:rPr>
            </w:pPr>
            <w:r>
              <w:rPr>
                <w:rFonts w:hint="eastAsia"/>
                <w:color w:val="auto"/>
              </w:rPr>
              <w:t>3100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Pr>
          <w:p>
            <w:pPr>
              <w:pStyle w:val="45"/>
              <w:rPr>
                <w:color w:val="auto"/>
              </w:rPr>
            </w:pPr>
            <w:r>
              <w:rPr>
                <w:rFonts w:hint="eastAsia"/>
                <w:color w:val="auto"/>
              </w:rPr>
              <w:t>26</w:t>
            </w:r>
          </w:p>
        </w:tc>
        <w:tc>
          <w:tcPr>
            <w:tcW w:w="916" w:type="pct"/>
            <w:vAlign w:val="center"/>
          </w:tcPr>
          <w:p>
            <w:pPr>
              <w:pStyle w:val="47"/>
              <w:rPr>
                <w:color w:val="auto"/>
                <w:szCs w:val="24"/>
              </w:rPr>
            </w:pPr>
            <w:r>
              <w:rPr>
                <w:rFonts w:hint="eastAsia"/>
                <w:color w:val="auto"/>
                <w:szCs w:val="24"/>
              </w:rPr>
              <w:t>中育海嘉华侨城幼儿园</w:t>
            </w:r>
          </w:p>
        </w:tc>
        <w:tc>
          <w:tcPr>
            <w:tcW w:w="457" w:type="pct"/>
            <w:vAlign w:val="center"/>
          </w:tcPr>
          <w:p>
            <w:pPr>
              <w:pStyle w:val="45"/>
              <w:rPr>
                <w:color w:val="auto"/>
              </w:rPr>
            </w:pPr>
            <w:r>
              <w:rPr>
                <w:rFonts w:hint="eastAsia"/>
                <w:color w:val="auto"/>
              </w:rPr>
              <w:t>2124</w:t>
            </w:r>
          </w:p>
        </w:tc>
        <w:tc>
          <w:tcPr>
            <w:tcW w:w="439" w:type="pct"/>
            <w:vAlign w:val="center"/>
          </w:tcPr>
          <w:p>
            <w:pPr>
              <w:pStyle w:val="45"/>
              <w:rPr>
                <w:color w:val="auto"/>
              </w:rPr>
            </w:pPr>
            <w:r>
              <w:rPr>
                <w:rFonts w:hint="eastAsia"/>
                <w:color w:val="auto"/>
              </w:rPr>
              <w:t>-1739</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color w:val="auto"/>
              </w:rPr>
              <w:t>SE</w:t>
            </w:r>
          </w:p>
        </w:tc>
        <w:tc>
          <w:tcPr>
            <w:tcW w:w="679" w:type="pct"/>
            <w:vAlign w:val="center"/>
          </w:tcPr>
          <w:p>
            <w:pPr>
              <w:pStyle w:val="47"/>
              <w:rPr>
                <w:color w:val="auto"/>
              </w:rPr>
            </w:pPr>
            <w:r>
              <w:rPr>
                <w:rFonts w:hint="eastAsia"/>
                <w:color w:val="auto"/>
              </w:rPr>
              <w:t>2562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Pr>
          <w:p>
            <w:pPr>
              <w:pStyle w:val="45"/>
              <w:rPr>
                <w:color w:val="auto"/>
              </w:rPr>
            </w:pPr>
            <w:r>
              <w:rPr>
                <w:rFonts w:hint="eastAsia"/>
                <w:color w:val="auto"/>
              </w:rPr>
              <w:t>27</w:t>
            </w:r>
          </w:p>
        </w:tc>
        <w:tc>
          <w:tcPr>
            <w:tcW w:w="916" w:type="pct"/>
            <w:vAlign w:val="center"/>
          </w:tcPr>
          <w:p>
            <w:pPr>
              <w:pStyle w:val="47"/>
              <w:rPr>
                <w:color w:val="auto"/>
                <w:szCs w:val="24"/>
              </w:rPr>
            </w:pPr>
            <w:r>
              <w:rPr>
                <w:rFonts w:hint="eastAsia"/>
                <w:color w:val="auto"/>
                <w:szCs w:val="24"/>
              </w:rPr>
              <w:t>张店区重庆路小学</w:t>
            </w:r>
          </w:p>
        </w:tc>
        <w:tc>
          <w:tcPr>
            <w:tcW w:w="457" w:type="pct"/>
            <w:vAlign w:val="center"/>
          </w:tcPr>
          <w:p>
            <w:pPr>
              <w:pStyle w:val="45"/>
              <w:rPr>
                <w:color w:val="auto"/>
              </w:rPr>
            </w:pPr>
            <w:r>
              <w:rPr>
                <w:rFonts w:hint="eastAsia"/>
                <w:color w:val="auto"/>
              </w:rPr>
              <w:t>-103</w:t>
            </w:r>
          </w:p>
        </w:tc>
        <w:tc>
          <w:tcPr>
            <w:tcW w:w="439" w:type="pct"/>
            <w:vAlign w:val="center"/>
          </w:tcPr>
          <w:p>
            <w:pPr>
              <w:pStyle w:val="45"/>
              <w:rPr>
                <w:color w:val="auto"/>
              </w:rPr>
            </w:pPr>
            <w:r>
              <w:rPr>
                <w:rFonts w:hint="eastAsia"/>
                <w:color w:val="auto"/>
              </w:rPr>
              <w:t>-1711</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color w:val="auto"/>
              </w:rPr>
              <w:t>S</w:t>
            </w:r>
          </w:p>
        </w:tc>
        <w:tc>
          <w:tcPr>
            <w:tcW w:w="679" w:type="pct"/>
            <w:vAlign w:val="center"/>
          </w:tcPr>
          <w:p>
            <w:pPr>
              <w:pStyle w:val="47"/>
              <w:rPr>
                <w:color w:val="auto"/>
              </w:rPr>
            </w:pPr>
            <w:r>
              <w:rPr>
                <w:rFonts w:hint="eastAsia"/>
                <w:color w:val="auto"/>
              </w:rPr>
              <w:t>1847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1" w:type="pct"/>
          </w:tcPr>
          <w:p>
            <w:pPr>
              <w:pStyle w:val="45"/>
              <w:rPr>
                <w:color w:val="auto"/>
              </w:rPr>
            </w:pPr>
            <w:r>
              <w:rPr>
                <w:rFonts w:hint="eastAsia"/>
                <w:color w:val="auto"/>
              </w:rPr>
              <w:t>28</w:t>
            </w:r>
          </w:p>
        </w:tc>
        <w:tc>
          <w:tcPr>
            <w:tcW w:w="916" w:type="pct"/>
            <w:vAlign w:val="center"/>
          </w:tcPr>
          <w:p>
            <w:pPr>
              <w:pStyle w:val="47"/>
              <w:rPr>
                <w:color w:val="auto"/>
                <w:szCs w:val="24"/>
              </w:rPr>
            </w:pPr>
            <w:r>
              <w:rPr>
                <w:rFonts w:hint="eastAsia"/>
                <w:color w:val="auto"/>
                <w:szCs w:val="24"/>
              </w:rPr>
              <w:t>张店城区</w:t>
            </w:r>
          </w:p>
        </w:tc>
        <w:tc>
          <w:tcPr>
            <w:tcW w:w="457" w:type="pct"/>
            <w:vAlign w:val="center"/>
          </w:tcPr>
          <w:p>
            <w:pPr>
              <w:pStyle w:val="45"/>
              <w:rPr>
                <w:color w:val="auto"/>
              </w:rPr>
            </w:pPr>
            <w:r>
              <w:rPr>
                <w:rFonts w:hint="eastAsia"/>
                <w:color w:val="auto"/>
              </w:rPr>
              <w:t>793</w:t>
            </w:r>
          </w:p>
        </w:tc>
        <w:tc>
          <w:tcPr>
            <w:tcW w:w="439" w:type="pct"/>
            <w:vAlign w:val="center"/>
          </w:tcPr>
          <w:p>
            <w:pPr>
              <w:pStyle w:val="45"/>
              <w:rPr>
                <w:color w:val="auto"/>
              </w:rPr>
            </w:pPr>
            <w:r>
              <w:rPr>
                <w:rFonts w:hint="eastAsia"/>
                <w:color w:val="auto"/>
              </w:rPr>
              <w:t>-1758</w:t>
            </w:r>
          </w:p>
        </w:tc>
        <w:tc>
          <w:tcPr>
            <w:tcW w:w="456" w:type="pct"/>
            <w:vAlign w:val="center"/>
          </w:tcPr>
          <w:p>
            <w:pPr>
              <w:pStyle w:val="45"/>
              <w:rPr>
                <w:color w:val="auto"/>
              </w:rPr>
            </w:pPr>
            <w:r>
              <w:rPr>
                <w:rFonts w:hint="eastAsia"/>
                <w:color w:val="auto"/>
              </w:rPr>
              <w:t>人群</w:t>
            </w:r>
          </w:p>
        </w:tc>
        <w:tc>
          <w:tcPr>
            <w:tcW w:w="659" w:type="pct"/>
            <w:vAlign w:val="center"/>
          </w:tcPr>
          <w:p>
            <w:pPr>
              <w:pStyle w:val="45"/>
              <w:rPr>
                <w:color w:val="auto"/>
              </w:rPr>
            </w:pPr>
            <w:r>
              <w:rPr>
                <w:rFonts w:hint="eastAsia"/>
                <w:color w:val="auto"/>
              </w:rPr>
              <w:t>大气环境</w:t>
            </w:r>
          </w:p>
        </w:tc>
        <w:tc>
          <w:tcPr>
            <w:tcW w:w="562" w:type="pct"/>
            <w:vAlign w:val="center"/>
          </w:tcPr>
          <w:p>
            <w:pPr>
              <w:pStyle w:val="45"/>
              <w:rPr>
                <w:color w:val="auto"/>
              </w:rPr>
            </w:pPr>
            <w:r>
              <w:rPr>
                <w:rFonts w:hint="eastAsia"/>
                <w:color w:val="auto"/>
              </w:rPr>
              <w:t>二类区</w:t>
            </w:r>
          </w:p>
        </w:tc>
        <w:tc>
          <w:tcPr>
            <w:tcW w:w="536" w:type="pct"/>
            <w:vAlign w:val="center"/>
          </w:tcPr>
          <w:p>
            <w:pPr>
              <w:pStyle w:val="47"/>
              <w:rPr>
                <w:color w:val="auto"/>
              </w:rPr>
            </w:pPr>
            <w:r>
              <w:rPr>
                <w:color w:val="auto"/>
              </w:rPr>
              <w:t>S</w:t>
            </w:r>
          </w:p>
        </w:tc>
        <w:tc>
          <w:tcPr>
            <w:tcW w:w="679" w:type="pct"/>
            <w:vAlign w:val="center"/>
          </w:tcPr>
          <w:p>
            <w:pPr>
              <w:pStyle w:val="47"/>
              <w:rPr>
                <w:color w:val="auto"/>
              </w:rPr>
            </w:pPr>
            <w:r>
              <w:rPr>
                <w:rFonts w:hint="eastAsia"/>
                <w:color w:val="auto"/>
              </w:rPr>
              <w:t>1186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0" w:type="pct"/>
            <w:gridSpan w:val="9"/>
          </w:tcPr>
          <w:p>
            <w:pPr>
              <w:pStyle w:val="45"/>
              <w:rPr>
                <w:color w:val="auto"/>
              </w:rPr>
            </w:pPr>
            <w:r>
              <w:rPr>
                <w:color w:val="auto"/>
              </w:rPr>
              <w:t>注：X、Y取值为UTM坐标（根据谷歌地球获取）；</w:t>
            </w:r>
          </w:p>
          <w:p>
            <w:pPr>
              <w:pStyle w:val="45"/>
              <w:ind w:firstLine="420" w:firstLineChars="200"/>
              <w:rPr>
                <w:color w:val="auto"/>
              </w:rPr>
            </w:pPr>
            <w:r>
              <w:rPr>
                <w:color w:val="auto"/>
              </w:rPr>
              <w:t>网格坐标中规定（0</w:t>
            </w:r>
            <w:r>
              <w:rPr>
                <w:rFonts w:hint="eastAsia"/>
                <w:color w:val="auto"/>
              </w:rPr>
              <w:t>，</w:t>
            </w:r>
            <w:r>
              <w:rPr>
                <w:color w:val="auto"/>
              </w:rPr>
              <w:t>0）坐标的经纬度为（</w:t>
            </w:r>
            <w:r>
              <w:rPr>
                <w:rFonts w:hint="eastAsia"/>
                <w:color w:val="auto"/>
              </w:rPr>
              <w:t>E118.001747°，N36.859398°</w:t>
            </w:r>
            <w:r>
              <w:rPr>
                <w:color w:val="auto"/>
              </w:rPr>
              <w:t>）</w:t>
            </w:r>
          </w:p>
        </w:tc>
      </w:tr>
    </w:tbl>
    <w:p>
      <w:pPr>
        <w:ind w:left="0" w:leftChars="0" w:firstLine="0" w:firstLineChars="0"/>
        <w:rPr>
          <w:b/>
          <w:bCs/>
          <w:color w:val="auto"/>
        </w:rPr>
      </w:pPr>
      <w:r>
        <w:rPr>
          <w:rFonts w:hint="eastAsia"/>
          <w:color w:val="auto"/>
        </w:rPr>
        <w:t>5.1.1.</w:t>
      </w:r>
      <w:r>
        <w:rPr>
          <w:rFonts w:hint="eastAsia"/>
          <w:color w:val="auto"/>
          <w:lang w:val="en-US" w:eastAsia="zh-CN"/>
        </w:rPr>
        <w:t>6</w:t>
      </w:r>
      <w:r>
        <w:rPr>
          <w:b/>
          <w:bCs/>
          <w:color w:val="auto"/>
        </w:rPr>
        <w:t>气象参数</w:t>
      </w:r>
    </w:p>
    <w:p>
      <w:pPr>
        <w:ind w:firstLine="480"/>
        <w:rPr>
          <w:color w:val="auto"/>
        </w:rPr>
      </w:pPr>
      <w:r>
        <w:rPr>
          <w:color w:val="auto"/>
        </w:rPr>
        <w:t>（1）地面气象参数</w:t>
      </w:r>
    </w:p>
    <w:p>
      <w:pPr>
        <w:ind w:firstLine="480"/>
        <w:rPr>
          <w:color w:val="auto"/>
        </w:rPr>
      </w:pPr>
      <w:r>
        <w:rPr>
          <w:color w:val="auto"/>
        </w:rPr>
        <w:t>本次评价长期气候资料采用山东省气象局审查提供的</w:t>
      </w:r>
      <w:r>
        <w:rPr>
          <w:rFonts w:hint="eastAsia"/>
          <w:color w:val="auto"/>
          <w:lang w:eastAsia="zh-CN"/>
        </w:rPr>
        <w:t>张店</w:t>
      </w:r>
      <w:r>
        <w:rPr>
          <w:color w:val="auto"/>
        </w:rPr>
        <w:t>气象站20年（</w:t>
      </w:r>
      <w:r>
        <w:rPr>
          <w:rFonts w:hint="eastAsia"/>
          <w:color w:val="auto"/>
          <w:lang w:val="en-US" w:eastAsia="zh-CN"/>
        </w:rPr>
        <w:t>1999</w:t>
      </w:r>
      <w:r>
        <w:rPr>
          <w:color w:val="auto"/>
        </w:rPr>
        <w:t>～20</w:t>
      </w:r>
      <w:r>
        <w:rPr>
          <w:rFonts w:hint="eastAsia"/>
          <w:color w:val="auto"/>
          <w:lang w:val="en-US" w:eastAsia="zh-CN"/>
        </w:rPr>
        <w:t>19</w:t>
      </w:r>
      <w:r>
        <w:rPr>
          <w:color w:val="auto"/>
        </w:rPr>
        <w:t>）主要地面气候资料统计结果，地面气象资料采用</w:t>
      </w:r>
      <w:r>
        <w:rPr>
          <w:rFonts w:hint="eastAsia"/>
          <w:color w:val="auto"/>
          <w:lang w:eastAsia="zh-CN"/>
        </w:rPr>
        <w:t>张店</w:t>
      </w:r>
      <w:r>
        <w:rPr>
          <w:color w:val="auto"/>
        </w:rPr>
        <w:t>气象站201</w:t>
      </w:r>
      <w:r>
        <w:rPr>
          <w:rFonts w:hint="eastAsia"/>
          <w:color w:val="auto"/>
          <w:lang w:val="en-US" w:eastAsia="zh-CN"/>
        </w:rPr>
        <w:t>9</w:t>
      </w:r>
      <w:r>
        <w:rPr>
          <w:color w:val="auto"/>
        </w:rPr>
        <w:t>年地面逐日逐时气象资料统计结果。</w:t>
      </w:r>
    </w:p>
    <w:p>
      <w:pPr>
        <w:ind w:firstLine="480"/>
        <w:rPr>
          <w:color w:val="auto"/>
        </w:rPr>
      </w:pPr>
      <w:r>
        <w:rPr>
          <w:rFonts w:hint="eastAsia"/>
          <w:color w:val="auto"/>
          <w:lang w:eastAsia="zh-CN"/>
        </w:rPr>
        <w:t>张店</w:t>
      </w:r>
      <w:r>
        <w:rPr>
          <w:color w:val="auto"/>
        </w:rPr>
        <w:t>气象站位于118°</w:t>
      </w:r>
      <w:r>
        <w:rPr>
          <w:rFonts w:hint="eastAsia"/>
          <w:color w:val="auto"/>
          <w:lang w:val="en-US" w:eastAsia="zh-CN"/>
        </w:rPr>
        <w:t>00</w:t>
      </w:r>
      <w:r>
        <w:rPr>
          <w:color w:val="auto"/>
        </w:rPr>
        <w:t>′E，36°50′N，台站类别属一般站。据调查，该气象站周围地理环境与气候条件与拟建项目周围基本一致，且气象站距离拟建项目较近，该气象站气象资料具有较好的适用性。</w:t>
      </w:r>
      <w:r>
        <w:rPr>
          <w:rFonts w:hint="eastAsia"/>
          <w:color w:val="auto"/>
          <w:lang w:eastAsia="zh-CN"/>
        </w:rPr>
        <w:t>张店</w:t>
      </w:r>
      <w:r>
        <w:rPr>
          <w:color w:val="auto"/>
        </w:rPr>
        <w:t>近20年（199</w:t>
      </w:r>
      <w:r>
        <w:rPr>
          <w:rFonts w:hint="eastAsia"/>
          <w:color w:val="auto"/>
          <w:lang w:val="en-US" w:eastAsia="zh-CN"/>
        </w:rPr>
        <w:t>9</w:t>
      </w:r>
      <w:r>
        <w:rPr>
          <w:color w:val="auto"/>
        </w:rPr>
        <w:t>～201</w:t>
      </w:r>
      <w:r>
        <w:rPr>
          <w:rFonts w:hint="eastAsia"/>
          <w:color w:val="auto"/>
          <w:lang w:val="en-US" w:eastAsia="zh-CN"/>
        </w:rPr>
        <w:t>9</w:t>
      </w:r>
      <w:r>
        <w:rPr>
          <w:color w:val="auto"/>
        </w:rPr>
        <w:t>年）年最大风速为14.6m/s（2009年），极端最高气温和极端最低气温分别为41.7℃（2009年）和-15.1℃（2008年），年最大降水量为930.8mm（2004年）；近20年其它主要气候统计资料见表6.1-1</w:t>
      </w:r>
      <w:r>
        <w:rPr>
          <w:rFonts w:hint="eastAsia"/>
          <w:color w:val="auto"/>
        </w:rPr>
        <w:t>7</w:t>
      </w:r>
      <w:r>
        <w:rPr>
          <w:color w:val="auto"/>
        </w:rPr>
        <w:t>，</w:t>
      </w:r>
      <w:r>
        <w:rPr>
          <w:rFonts w:hint="eastAsia"/>
          <w:color w:val="auto"/>
          <w:lang w:eastAsia="zh-CN"/>
        </w:rPr>
        <w:t>张店</w:t>
      </w:r>
      <w:r>
        <w:rPr>
          <w:color w:val="auto"/>
        </w:rPr>
        <w:t>近20年各风向频率见表6.1-1</w:t>
      </w:r>
      <w:r>
        <w:rPr>
          <w:rFonts w:hint="eastAsia"/>
          <w:color w:val="auto"/>
        </w:rPr>
        <w:t>8</w:t>
      </w:r>
      <w:r>
        <w:rPr>
          <w:color w:val="auto"/>
        </w:rPr>
        <w:t>，图6.1-1为</w:t>
      </w:r>
      <w:r>
        <w:rPr>
          <w:rFonts w:hint="eastAsia"/>
          <w:color w:val="auto"/>
          <w:lang w:eastAsia="zh-CN"/>
        </w:rPr>
        <w:t>张店</w:t>
      </w:r>
      <w:r>
        <w:rPr>
          <w:color w:val="auto"/>
        </w:rPr>
        <w:t>近20年风向频率玫瑰图。</w:t>
      </w:r>
    </w:p>
    <w:p>
      <w:pPr>
        <w:spacing w:line="360" w:lineRule="auto"/>
        <w:ind w:firstLine="480"/>
        <w:jc w:val="center"/>
        <w:rPr>
          <w:color w:val="auto"/>
          <w:szCs w:val="21"/>
        </w:rPr>
      </w:pPr>
      <w:r>
        <w:rPr>
          <w:rFonts w:hint="eastAsia" w:eastAsia="黑体"/>
          <w:b/>
          <w:bCs/>
          <w:color w:val="auto"/>
          <w:szCs w:val="24"/>
        </w:rPr>
        <w:drawing>
          <wp:anchor distT="0" distB="0" distL="114300" distR="114300" simplePos="0" relativeHeight="251821056" behindDoc="0" locked="0" layoutInCell="1" allowOverlap="1">
            <wp:simplePos x="0" y="0"/>
            <wp:positionH relativeFrom="column">
              <wp:posOffset>1792605</wp:posOffset>
            </wp:positionH>
            <wp:positionV relativeFrom="paragraph">
              <wp:posOffset>22860</wp:posOffset>
            </wp:positionV>
            <wp:extent cx="2250440" cy="2342515"/>
            <wp:effectExtent l="0" t="0" r="16510" b="635"/>
            <wp:wrapNone/>
            <wp:docPr id="135" name="图片 135" descr="9231966187c51f82577e5b8e845b6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9231966187c51f82577e5b8e845b6da"/>
                    <pic:cNvPicPr>
                      <a:picLocks noChangeAspect="1"/>
                    </pic:cNvPicPr>
                  </pic:nvPicPr>
                  <pic:blipFill>
                    <a:blip r:embed="rId54"/>
                    <a:stretch>
                      <a:fillRect/>
                    </a:stretch>
                  </pic:blipFill>
                  <pic:spPr>
                    <a:xfrm>
                      <a:off x="0" y="0"/>
                      <a:ext cx="2250440" cy="2342515"/>
                    </a:xfrm>
                    <a:prstGeom prst="rect">
                      <a:avLst/>
                    </a:prstGeom>
                  </pic:spPr>
                </pic:pic>
              </a:graphicData>
            </a:graphic>
          </wp:anchor>
        </w:drawing>
      </w:r>
    </w:p>
    <w:p>
      <w:pPr>
        <w:spacing w:line="360" w:lineRule="auto"/>
        <w:ind w:firstLine="369" w:firstLineChars="176"/>
        <w:jc w:val="center"/>
        <w:rPr>
          <w:rFonts w:eastAsia="黑体"/>
          <w:bCs/>
          <w:color w:val="auto"/>
          <w:sz w:val="21"/>
          <w:szCs w:val="22"/>
        </w:rPr>
      </w:pPr>
    </w:p>
    <w:p>
      <w:pPr>
        <w:spacing w:line="360" w:lineRule="auto"/>
        <w:ind w:firstLine="369" w:firstLineChars="176"/>
        <w:jc w:val="center"/>
        <w:rPr>
          <w:rFonts w:eastAsia="黑体"/>
          <w:bCs/>
          <w:color w:val="auto"/>
          <w:sz w:val="21"/>
          <w:szCs w:val="22"/>
        </w:rPr>
      </w:pPr>
    </w:p>
    <w:p>
      <w:pPr>
        <w:spacing w:line="360" w:lineRule="auto"/>
        <w:ind w:firstLine="369" w:firstLineChars="176"/>
        <w:jc w:val="center"/>
        <w:rPr>
          <w:rFonts w:eastAsia="黑体"/>
          <w:bCs/>
          <w:color w:val="auto"/>
          <w:sz w:val="21"/>
          <w:szCs w:val="22"/>
        </w:rPr>
      </w:pPr>
    </w:p>
    <w:p>
      <w:pPr>
        <w:spacing w:line="360" w:lineRule="auto"/>
        <w:ind w:firstLine="369" w:firstLineChars="176"/>
        <w:jc w:val="center"/>
        <w:rPr>
          <w:rFonts w:eastAsia="黑体"/>
          <w:bCs/>
          <w:color w:val="auto"/>
          <w:sz w:val="21"/>
          <w:szCs w:val="22"/>
        </w:rPr>
      </w:pPr>
    </w:p>
    <w:p>
      <w:pPr>
        <w:spacing w:line="360" w:lineRule="auto"/>
        <w:ind w:firstLine="369" w:firstLineChars="176"/>
        <w:jc w:val="center"/>
        <w:rPr>
          <w:rFonts w:eastAsia="黑体"/>
          <w:bCs/>
          <w:color w:val="auto"/>
          <w:sz w:val="21"/>
          <w:szCs w:val="22"/>
        </w:rPr>
      </w:pPr>
    </w:p>
    <w:p>
      <w:pPr>
        <w:spacing w:line="360" w:lineRule="auto"/>
        <w:ind w:firstLine="369" w:firstLineChars="176"/>
        <w:jc w:val="center"/>
        <w:rPr>
          <w:rFonts w:eastAsia="黑体"/>
          <w:bCs/>
          <w:color w:val="auto"/>
          <w:sz w:val="21"/>
          <w:szCs w:val="22"/>
        </w:rPr>
      </w:pPr>
    </w:p>
    <w:p>
      <w:pPr>
        <w:spacing w:line="360" w:lineRule="auto"/>
        <w:ind w:firstLine="369" w:firstLineChars="176"/>
        <w:jc w:val="center"/>
        <w:rPr>
          <w:rFonts w:eastAsia="黑体"/>
          <w:bCs/>
          <w:color w:val="auto"/>
          <w:sz w:val="21"/>
          <w:szCs w:val="22"/>
        </w:rPr>
      </w:pPr>
    </w:p>
    <w:p>
      <w:pPr>
        <w:spacing w:line="360" w:lineRule="auto"/>
        <w:ind w:firstLine="369" w:firstLineChars="176"/>
        <w:jc w:val="center"/>
        <w:rPr>
          <w:rFonts w:eastAsia="黑体"/>
          <w:bCs/>
          <w:color w:val="auto"/>
          <w:sz w:val="21"/>
          <w:szCs w:val="22"/>
        </w:rPr>
      </w:pPr>
    </w:p>
    <w:p>
      <w:pPr>
        <w:spacing w:line="360" w:lineRule="auto"/>
        <w:ind w:firstLine="369" w:firstLineChars="176"/>
        <w:jc w:val="center"/>
        <w:rPr>
          <w:rFonts w:eastAsia="黑体"/>
          <w:bCs/>
          <w:color w:val="auto"/>
          <w:sz w:val="21"/>
          <w:szCs w:val="22"/>
        </w:rPr>
      </w:pPr>
    </w:p>
    <w:p>
      <w:pPr>
        <w:spacing w:line="360" w:lineRule="auto"/>
        <w:ind w:firstLine="369" w:firstLineChars="176"/>
        <w:jc w:val="center"/>
        <w:rPr>
          <w:rFonts w:eastAsia="黑体"/>
          <w:bCs/>
          <w:color w:val="auto"/>
          <w:sz w:val="21"/>
          <w:szCs w:val="22"/>
        </w:rPr>
      </w:pPr>
    </w:p>
    <w:p>
      <w:pPr>
        <w:spacing w:line="360" w:lineRule="auto"/>
        <w:ind w:firstLine="369" w:firstLineChars="176"/>
        <w:jc w:val="center"/>
        <w:rPr>
          <w:rFonts w:eastAsia="黑体"/>
          <w:bCs/>
          <w:color w:val="auto"/>
          <w:sz w:val="21"/>
          <w:szCs w:val="22"/>
        </w:rPr>
      </w:pPr>
      <w:r>
        <w:rPr>
          <w:rFonts w:eastAsia="黑体"/>
          <w:bCs/>
          <w:color w:val="auto"/>
          <w:sz w:val="21"/>
          <w:szCs w:val="22"/>
        </w:rPr>
        <w:t>图</w:t>
      </w:r>
      <w:r>
        <w:rPr>
          <w:rFonts w:hint="eastAsia" w:eastAsia="黑体"/>
          <w:bCs/>
          <w:color w:val="auto"/>
          <w:sz w:val="21"/>
          <w:szCs w:val="22"/>
          <w:lang w:val="en-US" w:eastAsia="zh-CN"/>
        </w:rPr>
        <w:t>5</w:t>
      </w:r>
      <w:r>
        <w:rPr>
          <w:rFonts w:eastAsia="黑体"/>
          <w:bCs/>
          <w:color w:val="auto"/>
          <w:sz w:val="21"/>
          <w:szCs w:val="22"/>
        </w:rPr>
        <w:t>.1-</w:t>
      </w:r>
      <w:r>
        <w:rPr>
          <w:rFonts w:hint="eastAsia" w:eastAsia="黑体"/>
          <w:bCs/>
          <w:color w:val="auto"/>
          <w:sz w:val="21"/>
          <w:szCs w:val="22"/>
          <w:lang w:val="en-US" w:eastAsia="zh-CN"/>
        </w:rPr>
        <w:t>2</w:t>
      </w:r>
      <w:r>
        <w:rPr>
          <w:rFonts w:eastAsia="黑体"/>
          <w:bCs/>
          <w:color w:val="auto"/>
          <w:sz w:val="21"/>
          <w:szCs w:val="22"/>
        </w:rPr>
        <w:t xml:space="preserve">  </w:t>
      </w:r>
      <w:r>
        <w:rPr>
          <w:rFonts w:hint="eastAsia" w:eastAsia="黑体"/>
          <w:bCs/>
          <w:color w:val="auto"/>
          <w:sz w:val="21"/>
          <w:szCs w:val="22"/>
          <w:lang w:eastAsia="zh-CN"/>
        </w:rPr>
        <w:t>张店</w:t>
      </w:r>
      <w:r>
        <w:rPr>
          <w:rFonts w:eastAsia="黑体"/>
          <w:bCs/>
          <w:color w:val="auto"/>
          <w:sz w:val="21"/>
          <w:szCs w:val="22"/>
        </w:rPr>
        <w:t>近20年（</w:t>
      </w:r>
      <w:r>
        <w:rPr>
          <w:rFonts w:hint="eastAsia" w:eastAsia="黑体"/>
          <w:bCs/>
          <w:color w:val="auto"/>
          <w:sz w:val="21"/>
          <w:szCs w:val="22"/>
          <w:lang w:val="en-US" w:eastAsia="zh-CN"/>
        </w:rPr>
        <w:t>1999</w:t>
      </w:r>
      <w:r>
        <w:rPr>
          <w:rFonts w:eastAsia="黑体"/>
          <w:bCs/>
          <w:color w:val="auto"/>
          <w:sz w:val="21"/>
          <w:szCs w:val="22"/>
        </w:rPr>
        <w:t>～201</w:t>
      </w:r>
      <w:r>
        <w:rPr>
          <w:rFonts w:hint="eastAsia" w:eastAsia="黑体"/>
          <w:bCs/>
          <w:color w:val="auto"/>
          <w:sz w:val="21"/>
          <w:szCs w:val="22"/>
          <w:lang w:val="en-US" w:eastAsia="zh-CN"/>
        </w:rPr>
        <w:t>9</w:t>
      </w:r>
      <w:r>
        <w:rPr>
          <w:rFonts w:eastAsia="黑体"/>
          <w:bCs/>
          <w:color w:val="auto"/>
          <w:sz w:val="21"/>
          <w:szCs w:val="22"/>
        </w:rPr>
        <w:t>年）风向频率玫瑰图</w:t>
      </w:r>
    </w:p>
    <w:p>
      <w:pPr>
        <w:ind w:firstLine="480"/>
        <w:jc w:val="center"/>
        <w:rPr>
          <w:color w:val="auto"/>
          <w:szCs w:val="21"/>
        </w:rPr>
      </w:pPr>
    </w:p>
    <w:p>
      <w:pPr>
        <w:snapToGrid w:val="0"/>
        <w:spacing w:before="120" w:line="360" w:lineRule="auto"/>
        <w:ind w:firstLine="480"/>
        <w:rPr>
          <w:color w:val="auto"/>
          <w:szCs w:val="24"/>
        </w:rPr>
        <w:sectPr>
          <w:footerReference r:id="rId39" w:type="default"/>
          <w:pgSz w:w="11906" w:h="16838"/>
          <w:pgMar w:top="1701" w:right="1797" w:bottom="1984" w:left="1797" w:header="992" w:footer="992" w:gutter="0"/>
          <w:pgBorders>
            <w:top w:val="none" w:sz="0" w:space="0"/>
            <w:left w:val="none" w:sz="0" w:space="0"/>
            <w:bottom w:val="none" w:sz="0" w:space="0"/>
            <w:right w:val="none" w:sz="0" w:space="0"/>
          </w:pgBorders>
          <w:cols w:space="720" w:num="1"/>
          <w:docGrid w:linePitch="312" w:charSpace="0"/>
        </w:sectPr>
      </w:pPr>
    </w:p>
    <w:p>
      <w:pPr>
        <w:snapToGrid w:val="0"/>
        <w:spacing w:beforeLines="50"/>
        <w:ind w:firstLine="420"/>
        <w:jc w:val="center"/>
        <w:rPr>
          <w:rFonts w:eastAsia="黑体"/>
          <w:bCs/>
          <w:color w:val="auto"/>
          <w:szCs w:val="21"/>
        </w:rPr>
      </w:pPr>
      <w:r>
        <w:rPr>
          <w:rFonts w:eastAsia="黑体"/>
          <w:bCs/>
          <w:color w:val="auto"/>
          <w:sz w:val="21"/>
          <w:szCs w:val="22"/>
        </w:rPr>
        <w:t>表</w:t>
      </w:r>
      <w:r>
        <w:rPr>
          <w:rFonts w:hint="eastAsia" w:eastAsia="黑体"/>
          <w:bCs/>
          <w:color w:val="auto"/>
          <w:sz w:val="21"/>
          <w:szCs w:val="22"/>
          <w:lang w:val="en-US" w:eastAsia="zh-CN"/>
        </w:rPr>
        <w:t>5</w:t>
      </w:r>
      <w:r>
        <w:rPr>
          <w:rFonts w:eastAsia="黑体"/>
          <w:bCs/>
          <w:color w:val="auto"/>
          <w:sz w:val="21"/>
          <w:szCs w:val="22"/>
        </w:rPr>
        <w:t>.1-</w:t>
      </w:r>
      <w:r>
        <w:rPr>
          <w:rFonts w:hint="eastAsia" w:eastAsia="黑体"/>
          <w:bCs/>
          <w:color w:val="auto"/>
          <w:sz w:val="21"/>
          <w:szCs w:val="22"/>
          <w:lang w:val="en-US" w:eastAsia="zh-CN"/>
        </w:rPr>
        <w:t>8</w:t>
      </w:r>
      <w:r>
        <w:rPr>
          <w:rFonts w:eastAsia="黑体"/>
          <w:bCs/>
          <w:color w:val="auto"/>
          <w:sz w:val="21"/>
          <w:szCs w:val="22"/>
        </w:rPr>
        <w:t xml:space="preserve">  </w:t>
      </w:r>
      <w:r>
        <w:rPr>
          <w:rFonts w:hint="eastAsia" w:eastAsia="黑体"/>
          <w:bCs/>
          <w:color w:val="auto"/>
          <w:sz w:val="21"/>
          <w:szCs w:val="22"/>
          <w:lang w:eastAsia="zh-CN"/>
        </w:rPr>
        <w:t>张店</w:t>
      </w:r>
      <w:r>
        <w:rPr>
          <w:rFonts w:eastAsia="黑体"/>
          <w:bCs/>
          <w:color w:val="auto"/>
          <w:sz w:val="21"/>
          <w:szCs w:val="22"/>
        </w:rPr>
        <w:t>气象站近20年（</w:t>
      </w:r>
      <w:r>
        <w:rPr>
          <w:rFonts w:hint="eastAsia" w:eastAsia="黑体"/>
          <w:bCs/>
          <w:color w:val="auto"/>
          <w:sz w:val="21"/>
          <w:szCs w:val="22"/>
          <w:lang w:val="en-US" w:eastAsia="zh-CN"/>
        </w:rPr>
        <w:t>1999</w:t>
      </w:r>
      <w:r>
        <w:rPr>
          <w:rFonts w:eastAsia="黑体"/>
          <w:bCs/>
          <w:color w:val="auto"/>
          <w:sz w:val="21"/>
          <w:szCs w:val="22"/>
        </w:rPr>
        <w:t>～201</w:t>
      </w:r>
      <w:r>
        <w:rPr>
          <w:rFonts w:hint="eastAsia" w:eastAsia="黑体"/>
          <w:bCs/>
          <w:color w:val="auto"/>
          <w:sz w:val="21"/>
          <w:szCs w:val="22"/>
          <w:lang w:val="en-US" w:eastAsia="zh-CN"/>
        </w:rPr>
        <w:t>9</w:t>
      </w:r>
      <w:r>
        <w:rPr>
          <w:rFonts w:eastAsia="黑体"/>
          <w:bCs/>
          <w:color w:val="auto"/>
          <w:sz w:val="21"/>
          <w:szCs w:val="22"/>
        </w:rPr>
        <w:t>年）主要气候要素统计</w:t>
      </w:r>
    </w:p>
    <w:tbl>
      <w:tblPr>
        <w:tblStyle w:val="22"/>
        <w:tblW w:w="142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34"/>
        <w:gridCol w:w="925"/>
        <w:gridCol w:w="924"/>
        <w:gridCol w:w="924"/>
        <w:gridCol w:w="924"/>
        <w:gridCol w:w="924"/>
        <w:gridCol w:w="924"/>
        <w:gridCol w:w="978"/>
        <w:gridCol w:w="924"/>
        <w:gridCol w:w="924"/>
        <w:gridCol w:w="924"/>
        <w:gridCol w:w="924"/>
        <w:gridCol w:w="924"/>
        <w:gridCol w:w="10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34" w:type="dxa"/>
            <w:vAlign w:val="center"/>
          </w:tcPr>
          <w:p>
            <w:pPr>
              <w:snapToGrid w:val="0"/>
              <w:spacing w:line="312" w:lineRule="exact"/>
              <w:ind w:firstLine="0" w:firstLineChars="0"/>
              <w:jc w:val="center"/>
              <w:rPr>
                <w:bCs/>
                <w:color w:val="auto"/>
                <w:sz w:val="21"/>
                <w:szCs w:val="21"/>
              </w:rPr>
            </w:pPr>
            <w:r>
              <w:rPr>
                <w:bCs/>
                <w:color w:val="auto"/>
                <w:sz w:val="21"/>
                <w:szCs w:val="21"/>
              </w:rPr>
              <w:t>月份</w:t>
            </w:r>
          </w:p>
          <w:p>
            <w:pPr>
              <w:snapToGrid w:val="0"/>
              <w:spacing w:line="312" w:lineRule="exact"/>
              <w:ind w:firstLine="0" w:firstLineChars="0"/>
              <w:jc w:val="center"/>
              <w:rPr>
                <w:bCs/>
                <w:color w:val="auto"/>
                <w:sz w:val="21"/>
                <w:szCs w:val="21"/>
              </w:rPr>
            </w:pPr>
            <w:r>
              <w:rPr>
                <w:bCs/>
                <w:color w:val="auto"/>
                <w:sz w:val="21"/>
                <w:szCs w:val="21"/>
              </w:rPr>
              <w:t>项目</w:t>
            </w:r>
          </w:p>
        </w:tc>
        <w:tc>
          <w:tcPr>
            <w:tcW w:w="925" w:type="dxa"/>
            <w:vAlign w:val="center"/>
          </w:tcPr>
          <w:p>
            <w:pPr>
              <w:snapToGrid w:val="0"/>
              <w:spacing w:line="312" w:lineRule="exact"/>
              <w:ind w:firstLine="0" w:firstLineChars="0"/>
              <w:jc w:val="center"/>
              <w:rPr>
                <w:bCs/>
                <w:color w:val="auto"/>
                <w:sz w:val="21"/>
                <w:szCs w:val="21"/>
              </w:rPr>
            </w:pPr>
            <w:r>
              <w:rPr>
                <w:bCs/>
                <w:color w:val="auto"/>
                <w:sz w:val="21"/>
                <w:szCs w:val="21"/>
              </w:rPr>
              <w:t>1月</w:t>
            </w:r>
          </w:p>
        </w:tc>
        <w:tc>
          <w:tcPr>
            <w:tcW w:w="924" w:type="dxa"/>
            <w:vAlign w:val="center"/>
          </w:tcPr>
          <w:p>
            <w:pPr>
              <w:snapToGrid w:val="0"/>
              <w:spacing w:line="312" w:lineRule="exact"/>
              <w:ind w:firstLine="0" w:firstLineChars="0"/>
              <w:jc w:val="center"/>
              <w:rPr>
                <w:bCs/>
                <w:color w:val="auto"/>
                <w:sz w:val="21"/>
                <w:szCs w:val="21"/>
              </w:rPr>
            </w:pPr>
            <w:r>
              <w:rPr>
                <w:bCs/>
                <w:color w:val="auto"/>
                <w:sz w:val="21"/>
                <w:szCs w:val="21"/>
              </w:rPr>
              <w:t>2月</w:t>
            </w:r>
          </w:p>
        </w:tc>
        <w:tc>
          <w:tcPr>
            <w:tcW w:w="924" w:type="dxa"/>
            <w:vAlign w:val="center"/>
          </w:tcPr>
          <w:p>
            <w:pPr>
              <w:snapToGrid w:val="0"/>
              <w:spacing w:line="312" w:lineRule="exact"/>
              <w:ind w:firstLine="0" w:firstLineChars="0"/>
              <w:jc w:val="center"/>
              <w:rPr>
                <w:bCs/>
                <w:color w:val="auto"/>
                <w:sz w:val="21"/>
                <w:szCs w:val="21"/>
              </w:rPr>
            </w:pPr>
            <w:r>
              <w:rPr>
                <w:bCs/>
                <w:color w:val="auto"/>
                <w:sz w:val="21"/>
                <w:szCs w:val="21"/>
              </w:rPr>
              <w:t>3月</w:t>
            </w:r>
          </w:p>
        </w:tc>
        <w:tc>
          <w:tcPr>
            <w:tcW w:w="924" w:type="dxa"/>
            <w:vAlign w:val="center"/>
          </w:tcPr>
          <w:p>
            <w:pPr>
              <w:snapToGrid w:val="0"/>
              <w:spacing w:line="312" w:lineRule="exact"/>
              <w:ind w:firstLine="0" w:firstLineChars="0"/>
              <w:jc w:val="center"/>
              <w:rPr>
                <w:bCs/>
                <w:color w:val="auto"/>
                <w:sz w:val="21"/>
                <w:szCs w:val="21"/>
              </w:rPr>
            </w:pPr>
            <w:r>
              <w:rPr>
                <w:bCs/>
                <w:color w:val="auto"/>
                <w:sz w:val="21"/>
                <w:szCs w:val="21"/>
              </w:rPr>
              <w:t>4月</w:t>
            </w:r>
          </w:p>
        </w:tc>
        <w:tc>
          <w:tcPr>
            <w:tcW w:w="924" w:type="dxa"/>
            <w:vAlign w:val="center"/>
          </w:tcPr>
          <w:p>
            <w:pPr>
              <w:snapToGrid w:val="0"/>
              <w:spacing w:line="312" w:lineRule="exact"/>
              <w:ind w:firstLine="0" w:firstLineChars="0"/>
              <w:jc w:val="center"/>
              <w:rPr>
                <w:bCs/>
                <w:color w:val="auto"/>
                <w:sz w:val="21"/>
                <w:szCs w:val="21"/>
              </w:rPr>
            </w:pPr>
            <w:r>
              <w:rPr>
                <w:bCs/>
                <w:color w:val="auto"/>
                <w:sz w:val="21"/>
                <w:szCs w:val="21"/>
              </w:rPr>
              <w:t>5月</w:t>
            </w:r>
          </w:p>
        </w:tc>
        <w:tc>
          <w:tcPr>
            <w:tcW w:w="924" w:type="dxa"/>
            <w:vAlign w:val="center"/>
          </w:tcPr>
          <w:p>
            <w:pPr>
              <w:snapToGrid w:val="0"/>
              <w:spacing w:line="312" w:lineRule="exact"/>
              <w:ind w:firstLine="0" w:firstLineChars="0"/>
              <w:jc w:val="center"/>
              <w:rPr>
                <w:bCs/>
                <w:color w:val="auto"/>
                <w:sz w:val="21"/>
                <w:szCs w:val="21"/>
              </w:rPr>
            </w:pPr>
            <w:r>
              <w:rPr>
                <w:bCs/>
                <w:color w:val="auto"/>
                <w:sz w:val="21"/>
                <w:szCs w:val="21"/>
              </w:rPr>
              <w:t>6月</w:t>
            </w:r>
          </w:p>
        </w:tc>
        <w:tc>
          <w:tcPr>
            <w:tcW w:w="978" w:type="dxa"/>
            <w:vAlign w:val="center"/>
          </w:tcPr>
          <w:p>
            <w:pPr>
              <w:snapToGrid w:val="0"/>
              <w:spacing w:line="312" w:lineRule="exact"/>
              <w:ind w:firstLine="0" w:firstLineChars="0"/>
              <w:jc w:val="center"/>
              <w:rPr>
                <w:bCs/>
                <w:color w:val="auto"/>
                <w:sz w:val="21"/>
                <w:szCs w:val="21"/>
              </w:rPr>
            </w:pPr>
            <w:r>
              <w:rPr>
                <w:bCs/>
                <w:color w:val="auto"/>
                <w:sz w:val="21"/>
                <w:szCs w:val="21"/>
              </w:rPr>
              <w:t>7月</w:t>
            </w:r>
          </w:p>
        </w:tc>
        <w:tc>
          <w:tcPr>
            <w:tcW w:w="924" w:type="dxa"/>
            <w:vAlign w:val="center"/>
          </w:tcPr>
          <w:p>
            <w:pPr>
              <w:snapToGrid w:val="0"/>
              <w:spacing w:line="312" w:lineRule="exact"/>
              <w:ind w:firstLine="0" w:firstLineChars="0"/>
              <w:jc w:val="center"/>
              <w:rPr>
                <w:bCs/>
                <w:color w:val="auto"/>
                <w:sz w:val="21"/>
                <w:szCs w:val="21"/>
              </w:rPr>
            </w:pPr>
            <w:r>
              <w:rPr>
                <w:bCs/>
                <w:color w:val="auto"/>
                <w:sz w:val="21"/>
                <w:szCs w:val="21"/>
              </w:rPr>
              <w:t>8月</w:t>
            </w:r>
          </w:p>
        </w:tc>
        <w:tc>
          <w:tcPr>
            <w:tcW w:w="924" w:type="dxa"/>
            <w:vAlign w:val="center"/>
          </w:tcPr>
          <w:p>
            <w:pPr>
              <w:snapToGrid w:val="0"/>
              <w:spacing w:line="312" w:lineRule="exact"/>
              <w:ind w:firstLine="0" w:firstLineChars="0"/>
              <w:jc w:val="center"/>
              <w:rPr>
                <w:bCs/>
                <w:color w:val="auto"/>
                <w:sz w:val="21"/>
                <w:szCs w:val="21"/>
              </w:rPr>
            </w:pPr>
            <w:r>
              <w:rPr>
                <w:bCs/>
                <w:color w:val="auto"/>
                <w:sz w:val="21"/>
                <w:szCs w:val="21"/>
              </w:rPr>
              <w:t>9月</w:t>
            </w:r>
          </w:p>
        </w:tc>
        <w:tc>
          <w:tcPr>
            <w:tcW w:w="924" w:type="dxa"/>
            <w:vAlign w:val="center"/>
          </w:tcPr>
          <w:p>
            <w:pPr>
              <w:snapToGrid w:val="0"/>
              <w:spacing w:line="312" w:lineRule="exact"/>
              <w:ind w:firstLine="0" w:firstLineChars="0"/>
              <w:jc w:val="center"/>
              <w:rPr>
                <w:bCs/>
                <w:color w:val="auto"/>
                <w:sz w:val="21"/>
                <w:szCs w:val="21"/>
              </w:rPr>
            </w:pPr>
            <w:r>
              <w:rPr>
                <w:bCs/>
                <w:color w:val="auto"/>
                <w:sz w:val="21"/>
                <w:szCs w:val="21"/>
              </w:rPr>
              <w:t>10月</w:t>
            </w:r>
          </w:p>
        </w:tc>
        <w:tc>
          <w:tcPr>
            <w:tcW w:w="924" w:type="dxa"/>
            <w:vAlign w:val="center"/>
          </w:tcPr>
          <w:p>
            <w:pPr>
              <w:snapToGrid w:val="0"/>
              <w:spacing w:line="312" w:lineRule="exact"/>
              <w:ind w:firstLine="0" w:firstLineChars="0"/>
              <w:jc w:val="center"/>
              <w:rPr>
                <w:bCs/>
                <w:color w:val="auto"/>
                <w:sz w:val="21"/>
                <w:szCs w:val="21"/>
              </w:rPr>
            </w:pPr>
            <w:r>
              <w:rPr>
                <w:bCs/>
                <w:color w:val="auto"/>
                <w:sz w:val="21"/>
                <w:szCs w:val="21"/>
              </w:rPr>
              <w:t>11月</w:t>
            </w:r>
          </w:p>
        </w:tc>
        <w:tc>
          <w:tcPr>
            <w:tcW w:w="924" w:type="dxa"/>
            <w:vAlign w:val="center"/>
          </w:tcPr>
          <w:p>
            <w:pPr>
              <w:snapToGrid w:val="0"/>
              <w:spacing w:line="312" w:lineRule="exact"/>
              <w:ind w:firstLine="0" w:firstLineChars="0"/>
              <w:jc w:val="center"/>
              <w:rPr>
                <w:bCs/>
                <w:color w:val="auto"/>
                <w:sz w:val="21"/>
                <w:szCs w:val="21"/>
              </w:rPr>
            </w:pPr>
            <w:r>
              <w:rPr>
                <w:bCs/>
                <w:color w:val="auto"/>
                <w:sz w:val="21"/>
                <w:szCs w:val="21"/>
              </w:rPr>
              <w:t>12月</w:t>
            </w:r>
          </w:p>
        </w:tc>
        <w:tc>
          <w:tcPr>
            <w:tcW w:w="1041" w:type="dxa"/>
            <w:vAlign w:val="center"/>
          </w:tcPr>
          <w:p>
            <w:pPr>
              <w:snapToGrid w:val="0"/>
              <w:spacing w:line="312" w:lineRule="exact"/>
              <w:ind w:firstLine="0" w:firstLineChars="0"/>
              <w:jc w:val="center"/>
              <w:rPr>
                <w:bCs/>
                <w:color w:val="auto"/>
                <w:sz w:val="21"/>
                <w:szCs w:val="21"/>
              </w:rPr>
            </w:pPr>
            <w:r>
              <w:rPr>
                <w:bCs/>
                <w:color w:val="auto"/>
                <w:sz w:val="21"/>
                <w:szCs w:val="21"/>
              </w:rPr>
              <w:t>全年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34" w:type="dxa"/>
            <w:vAlign w:val="center"/>
          </w:tcPr>
          <w:p>
            <w:pPr>
              <w:snapToGrid w:val="0"/>
              <w:spacing w:line="312" w:lineRule="exact"/>
              <w:ind w:firstLine="0" w:firstLineChars="0"/>
              <w:jc w:val="center"/>
              <w:rPr>
                <w:bCs/>
                <w:color w:val="auto"/>
                <w:sz w:val="21"/>
                <w:szCs w:val="21"/>
              </w:rPr>
            </w:pPr>
            <w:r>
              <w:rPr>
                <w:bCs/>
                <w:color w:val="auto"/>
                <w:sz w:val="21"/>
                <w:szCs w:val="21"/>
              </w:rPr>
              <w:t>平均风速</w:t>
            </w:r>
            <w:r>
              <w:rPr>
                <w:rFonts w:hint="eastAsia"/>
                <w:bCs/>
                <w:color w:val="auto"/>
                <w:sz w:val="21"/>
                <w:szCs w:val="21"/>
              </w:rPr>
              <w:t>（</w:t>
            </w:r>
            <w:r>
              <w:rPr>
                <w:bCs/>
                <w:color w:val="auto"/>
                <w:sz w:val="21"/>
                <w:szCs w:val="21"/>
              </w:rPr>
              <w:t>m/s</w:t>
            </w:r>
            <w:r>
              <w:rPr>
                <w:rFonts w:hint="eastAsia"/>
                <w:bCs/>
                <w:color w:val="auto"/>
                <w:sz w:val="21"/>
                <w:szCs w:val="21"/>
              </w:rPr>
              <w:t>）</w:t>
            </w:r>
          </w:p>
        </w:tc>
        <w:tc>
          <w:tcPr>
            <w:tcW w:w="925" w:type="dxa"/>
          </w:tcPr>
          <w:p>
            <w:pPr>
              <w:spacing w:line="312" w:lineRule="exact"/>
              <w:ind w:firstLine="0" w:firstLineChars="0"/>
              <w:jc w:val="center"/>
              <w:rPr>
                <w:bCs/>
                <w:color w:val="auto"/>
                <w:sz w:val="21"/>
                <w:szCs w:val="21"/>
              </w:rPr>
            </w:pPr>
            <w:r>
              <w:rPr>
                <w:bCs/>
                <w:color w:val="auto"/>
                <w:sz w:val="21"/>
                <w:szCs w:val="21"/>
              </w:rPr>
              <w:t xml:space="preserve">2.0 </w:t>
            </w:r>
          </w:p>
        </w:tc>
        <w:tc>
          <w:tcPr>
            <w:tcW w:w="924" w:type="dxa"/>
          </w:tcPr>
          <w:p>
            <w:pPr>
              <w:spacing w:line="312" w:lineRule="exact"/>
              <w:ind w:firstLine="0" w:firstLineChars="0"/>
              <w:jc w:val="center"/>
              <w:rPr>
                <w:bCs/>
                <w:color w:val="auto"/>
                <w:sz w:val="21"/>
                <w:szCs w:val="21"/>
              </w:rPr>
            </w:pPr>
            <w:r>
              <w:rPr>
                <w:bCs/>
                <w:color w:val="auto"/>
                <w:sz w:val="21"/>
                <w:szCs w:val="21"/>
              </w:rPr>
              <w:t xml:space="preserve">2.3 </w:t>
            </w:r>
          </w:p>
        </w:tc>
        <w:tc>
          <w:tcPr>
            <w:tcW w:w="924" w:type="dxa"/>
          </w:tcPr>
          <w:p>
            <w:pPr>
              <w:spacing w:line="312" w:lineRule="exact"/>
              <w:ind w:firstLine="0" w:firstLineChars="0"/>
              <w:jc w:val="center"/>
              <w:rPr>
                <w:bCs/>
                <w:color w:val="auto"/>
                <w:sz w:val="21"/>
                <w:szCs w:val="21"/>
              </w:rPr>
            </w:pPr>
            <w:r>
              <w:rPr>
                <w:bCs/>
                <w:color w:val="auto"/>
                <w:sz w:val="21"/>
                <w:szCs w:val="21"/>
              </w:rPr>
              <w:t xml:space="preserve">2.7 </w:t>
            </w:r>
          </w:p>
        </w:tc>
        <w:tc>
          <w:tcPr>
            <w:tcW w:w="924" w:type="dxa"/>
          </w:tcPr>
          <w:p>
            <w:pPr>
              <w:spacing w:line="312" w:lineRule="exact"/>
              <w:ind w:firstLine="0" w:firstLineChars="0"/>
              <w:jc w:val="center"/>
              <w:rPr>
                <w:bCs/>
                <w:color w:val="auto"/>
                <w:sz w:val="21"/>
                <w:szCs w:val="21"/>
              </w:rPr>
            </w:pPr>
            <w:r>
              <w:rPr>
                <w:bCs/>
                <w:color w:val="auto"/>
                <w:sz w:val="21"/>
                <w:szCs w:val="21"/>
              </w:rPr>
              <w:t xml:space="preserve">2.7 </w:t>
            </w:r>
          </w:p>
        </w:tc>
        <w:tc>
          <w:tcPr>
            <w:tcW w:w="924" w:type="dxa"/>
          </w:tcPr>
          <w:p>
            <w:pPr>
              <w:spacing w:line="312" w:lineRule="exact"/>
              <w:ind w:firstLine="0" w:firstLineChars="0"/>
              <w:jc w:val="center"/>
              <w:rPr>
                <w:bCs/>
                <w:color w:val="auto"/>
                <w:sz w:val="21"/>
                <w:szCs w:val="21"/>
              </w:rPr>
            </w:pPr>
            <w:r>
              <w:rPr>
                <w:bCs/>
                <w:color w:val="auto"/>
                <w:sz w:val="21"/>
                <w:szCs w:val="21"/>
              </w:rPr>
              <w:t xml:space="preserve">2.3 </w:t>
            </w:r>
          </w:p>
        </w:tc>
        <w:tc>
          <w:tcPr>
            <w:tcW w:w="924" w:type="dxa"/>
          </w:tcPr>
          <w:p>
            <w:pPr>
              <w:spacing w:line="312" w:lineRule="exact"/>
              <w:ind w:firstLine="0" w:firstLineChars="0"/>
              <w:jc w:val="center"/>
              <w:rPr>
                <w:bCs/>
                <w:color w:val="auto"/>
                <w:sz w:val="21"/>
                <w:szCs w:val="21"/>
              </w:rPr>
            </w:pPr>
            <w:r>
              <w:rPr>
                <w:bCs/>
                <w:color w:val="auto"/>
                <w:sz w:val="21"/>
                <w:szCs w:val="21"/>
              </w:rPr>
              <w:t xml:space="preserve">2.1 </w:t>
            </w:r>
          </w:p>
        </w:tc>
        <w:tc>
          <w:tcPr>
            <w:tcW w:w="978" w:type="dxa"/>
          </w:tcPr>
          <w:p>
            <w:pPr>
              <w:spacing w:line="312" w:lineRule="exact"/>
              <w:ind w:firstLine="0" w:firstLineChars="0"/>
              <w:jc w:val="center"/>
              <w:rPr>
                <w:bCs/>
                <w:color w:val="auto"/>
                <w:sz w:val="21"/>
                <w:szCs w:val="21"/>
              </w:rPr>
            </w:pPr>
            <w:r>
              <w:rPr>
                <w:bCs/>
                <w:color w:val="auto"/>
                <w:sz w:val="21"/>
                <w:szCs w:val="21"/>
              </w:rPr>
              <w:t xml:space="preserve">1.8 </w:t>
            </w:r>
          </w:p>
        </w:tc>
        <w:tc>
          <w:tcPr>
            <w:tcW w:w="924" w:type="dxa"/>
          </w:tcPr>
          <w:p>
            <w:pPr>
              <w:spacing w:line="312" w:lineRule="exact"/>
              <w:ind w:firstLine="0" w:firstLineChars="0"/>
              <w:jc w:val="center"/>
              <w:rPr>
                <w:bCs/>
                <w:color w:val="auto"/>
                <w:sz w:val="21"/>
                <w:szCs w:val="21"/>
              </w:rPr>
            </w:pPr>
            <w:r>
              <w:rPr>
                <w:bCs/>
                <w:color w:val="auto"/>
                <w:sz w:val="21"/>
                <w:szCs w:val="21"/>
              </w:rPr>
              <w:t xml:space="preserve">1.5 </w:t>
            </w:r>
          </w:p>
        </w:tc>
        <w:tc>
          <w:tcPr>
            <w:tcW w:w="924" w:type="dxa"/>
          </w:tcPr>
          <w:p>
            <w:pPr>
              <w:spacing w:line="312" w:lineRule="exact"/>
              <w:ind w:firstLine="0" w:firstLineChars="0"/>
              <w:jc w:val="center"/>
              <w:rPr>
                <w:bCs/>
                <w:color w:val="auto"/>
                <w:sz w:val="21"/>
                <w:szCs w:val="21"/>
              </w:rPr>
            </w:pPr>
            <w:r>
              <w:rPr>
                <w:bCs/>
                <w:color w:val="auto"/>
                <w:sz w:val="21"/>
                <w:szCs w:val="21"/>
              </w:rPr>
              <w:t xml:space="preserve">1.5 </w:t>
            </w:r>
          </w:p>
        </w:tc>
        <w:tc>
          <w:tcPr>
            <w:tcW w:w="924" w:type="dxa"/>
          </w:tcPr>
          <w:p>
            <w:pPr>
              <w:spacing w:line="312" w:lineRule="exact"/>
              <w:ind w:firstLine="0" w:firstLineChars="0"/>
              <w:jc w:val="center"/>
              <w:rPr>
                <w:bCs/>
                <w:color w:val="auto"/>
                <w:sz w:val="21"/>
                <w:szCs w:val="21"/>
              </w:rPr>
            </w:pPr>
            <w:r>
              <w:rPr>
                <w:bCs/>
                <w:color w:val="auto"/>
                <w:sz w:val="21"/>
                <w:szCs w:val="21"/>
              </w:rPr>
              <w:t xml:space="preserve">1.7 </w:t>
            </w:r>
          </w:p>
        </w:tc>
        <w:tc>
          <w:tcPr>
            <w:tcW w:w="924" w:type="dxa"/>
          </w:tcPr>
          <w:p>
            <w:pPr>
              <w:spacing w:line="312" w:lineRule="exact"/>
              <w:ind w:firstLine="0" w:firstLineChars="0"/>
              <w:jc w:val="center"/>
              <w:rPr>
                <w:bCs/>
                <w:color w:val="auto"/>
                <w:sz w:val="21"/>
                <w:szCs w:val="21"/>
              </w:rPr>
            </w:pPr>
            <w:r>
              <w:rPr>
                <w:bCs/>
                <w:color w:val="auto"/>
                <w:sz w:val="21"/>
                <w:szCs w:val="21"/>
              </w:rPr>
              <w:t xml:space="preserve">1.9 </w:t>
            </w:r>
          </w:p>
        </w:tc>
        <w:tc>
          <w:tcPr>
            <w:tcW w:w="924" w:type="dxa"/>
          </w:tcPr>
          <w:p>
            <w:pPr>
              <w:spacing w:line="312" w:lineRule="exact"/>
              <w:ind w:firstLine="0" w:firstLineChars="0"/>
              <w:jc w:val="center"/>
              <w:rPr>
                <w:bCs/>
                <w:color w:val="auto"/>
                <w:sz w:val="21"/>
                <w:szCs w:val="21"/>
              </w:rPr>
            </w:pPr>
            <w:r>
              <w:rPr>
                <w:bCs/>
                <w:color w:val="auto"/>
                <w:sz w:val="21"/>
                <w:szCs w:val="21"/>
              </w:rPr>
              <w:t xml:space="preserve">2.0 </w:t>
            </w:r>
          </w:p>
        </w:tc>
        <w:tc>
          <w:tcPr>
            <w:tcW w:w="1041" w:type="dxa"/>
          </w:tcPr>
          <w:p>
            <w:pPr>
              <w:spacing w:line="312" w:lineRule="exact"/>
              <w:ind w:firstLine="0" w:firstLineChars="0"/>
              <w:jc w:val="center"/>
              <w:rPr>
                <w:bCs/>
                <w:color w:val="auto"/>
                <w:sz w:val="21"/>
                <w:szCs w:val="21"/>
              </w:rPr>
            </w:pPr>
            <w:r>
              <w:rPr>
                <w:bCs/>
                <w:color w:val="auto"/>
                <w:sz w:val="21"/>
                <w:szCs w:val="21"/>
              </w:rPr>
              <w:t xml:space="preserve">2.0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34" w:type="dxa"/>
            <w:vAlign w:val="center"/>
          </w:tcPr>
          <w:p>
            <w:pPr>
              <w:snapToGrid w:val="0"/>
              <w:spacing w:line="312" w:lineRule="exact"/>
              <w:ind w:firstLine="0" w:firstLineChars="0"/>
              <w:jc w:val="center"/>
              <w:rPr>
                <w:bCs/>
                <w:color w:val="auto"/>
                <w:sz w:val="21"/>
                <w:szCs w:val="21"/>
              </w:rPr>
            </w:pPr>
            <w:r>
              <w:rPr>
                <w:bCs/>
                <w:color w:val="auto"/>
                <w:sz w:val="21"/>
                <w:szCs w:val="21"/>
              </w:rPr>
              <w:t>平均气温</w:t>
            </w:r>
            <w:r>
              <w:rPr>
                <w:rFonts w:hint="eastAsia"/>
                <w:bCs/>
                <w:color w:val="auto"/>
                <w:sz w:val="21"/>
                <w:szCs w:val="21"/>
              </w:rPr>
              <w:t>（</w:t>
            </w:r>
            <w:r>
              <w:rPr>
                <w:bCs/>
                <w:color w:val="auto"/>
                <w:sz w:val="21"/>
                <w:szCs w:val="21"/>
              </w:rPr>
              <w:t>℃</w:t>
            </w:r>
            <w:r>
              <w:rPr>
                <w:rFonts w:hint="eastAsia"/>
                <w:bCs/>
                <w:color w:val="auto"/>
                <w:sz w:val="21"/>
                <w:szCs w:val="21"/>
              </w:rPr>
              <w:t>）</w:t>
            </w:r>
          </w:p>
        </w:tc>
        <w:tc>
          <w:tcPr>
            <w:tcW w:w="925" w:type="dxa"/>
          </w:tcPr>
          <w:p>
            <w:pPr>
              <w:spacing w:line="312" w:lineRule="exact"/>
              <w:ind w:firstLine="0" w:firstLineChars="0"/>
              <w:jc w:val="center"/>
              <w:rPr>
                <w:bCs/>
                <w:color w:val="auto"/>
                <w:sz w:val="21"/>
                <w:szCs w:val="21"/>
              </w:rPr>
            </w:pPr>
            <w:r>
              <w:rPr>
                <w:bCs/>
                <w:color w:val="auto"/>
                <w:sz w:val="21"/>
                <w:szCs w:val="21"/>
              </w:rPr>
              <w:t xml:space="preserve">-1.8 </w:t>
            </w:r>
          </w:p>
        </w:tc>
        <w:tc>
          <w:tcPr>
            <w:tcW w:w="924" w:type="dxa"/>
          </w:tcPr>
          <w:p>
            <w:pPr>
              <w:spacing w:line="312" w:lineRule="exact"/>
              <w:ind w:firstLine="0" w:firstLineChars="0"/>
              <w:jc w:val="center"/>
              <w:rPr>
                <w:bCs/>
                <w:color w:val="auto"/>
                <w:sz w:val="21"/>
                <w:szCs w:val="21"/>
              </w:rPr>
            </w:pPr>
            <w:r>
              <w:rPr>
                <w:bCs/>
                <w:color w:val="auto"/>
                <w:sz w:val="21"/>
                <w:szCs w:val="21"/>
              </w:rPr>
              <w:t xml:space="preserve">2.3 </w:t>
            </w:r>
          </w:p>
        </w:tc>
        <w:tc>
          <w:tcPr>
            <w:tcW w:w="924" w:type="dxa"/>
          </w:tcPr>
          <w:p>
            <w:pPr>
              <w:spacing w:line="312" w:lineRule="exact"/>
              <w:ind w:firstLine="0" w:firstLineChars="0"/>
              <w:jc w:val="center"/>
              <w:rPr>
                <w:bCs/>
                <w:color w:val="auto"/>
                <w:sz w:val="21"/>
                <w:szCs w:val="21"/>
              </w:rPr>
            </w:pPr>
            <w:r>
              <w:rPr>
                <w:bCs/>
                <w:color w:val="auto"/>
                <w:sz w:val="21"/>
                <w:szCs w:val="21"/>
              </w:rPr>
              <w:t xml:space="preserve">7.9 </w:t>
            </w:r>
          </w:p>
        </w:tc>
        <w:tc>
          <w:tcPr>
            <w:tcW w:w="924" w:type="dxa"/>
          </w:tcPr>
          <w:p>
            <w:pPr>
              <w:spacing w:line="312" w:lineRule="exact"/>
              <w:ind w:firstLine="0" w:firstLineChars="0"/>
              <w:jc w:val="center"/>
              <w:rPr>
                <w:bCs/>
                <w:color w:val="auto"/>
                <w:sz w:val="21"/>
                <w:szCs w:val="21"/>
              </w:rPr>
            </w:pPr>
            <w:r>
              <w:rPr>
                <w:bCs/>
                <w:color w:val="auto"/>
                <w:sz w:val="21"/>
                <w:szCs w:val="21"/>
              </w:rPr>
              <w:t xml:space="preserve">14.8 </w:t>
            </w:r>
          </w:p>
        </w:tc>
        <w:tc>
          <w:tcPr>
            <w:tcW w:w="924" w:type="dxa"/>
          </w:tcPr>
          <w:p>
            <w:pPr>
              <w:spacing w:line="312" w:lineRule="exact"/>
              <w:ind w:firstLine="0" w:firstLineChars="0"/>
              <w:jc w:val="center"/>
              <w:rPr>
                <w:bCs/>
                <w:color w:val="auto"/>
                <w:sz w:val="21"/>
                <w:szCs w:val="21"/>
              </w:rPr>
            </w:pPr>
            <w:r>
              <w:rPr>
                <w:bCs/>
                <w:color w:val="auto"/>
                <w:sz w:val="21"/>
                <w:szCs w:val="21"/>
              </w:rPr>
              <w:t xml:space="preserve">21.1 </w:t>
            </w:r>
          </w:p>
        </w:tc>
        <w:tc>
          <w:tcPr>
            <w:tcW w:w="924" w:type="dxa"/>
          </w:tcPr>
          <w:p>
            <w:pPr>
              <w:spacing w:line="312" w:lineRule="exact"/>
              <w:ind w:firstLine="0" w:firstLineChars="0"/>
              <w:jc w:val="center"/>
              <w:rPr>
                <w:bCs/>
                <w:color w:val="auto"/>
                <w:sz w:val="21"/>
                <w:szCs w:val="21"/>
              </w:rPr>
            </w:pPr>
            <w:r>
              <w:rPr>
                <w:bCs/>
                <w:color w:val="auto"/>
                <w:sz w:val="21"/>
                <w:szCs w:val="21"/>
              </w:rPr>
              <w:t xml:space="preserve">25.3 </w:t>
            </w:r>
          </w:p>
        </w:tc>
        <w:tc>
          <w:tcPr>
            <w:tcW w:w="978" w:type="dxa"/>
          </w:tcPr>
          <w:p>
            <w:pPr>
              <w:spacing w:line="312" w:lineRule="exact"/>
              <w:ind w:firstLine="0" w:firstLineChars="0"/>
              <w:jc w:val="center"/>
              <w:rPr>
                <w:bCs/>
                <w:color w:val="auto"/>
                <w:sz w:val="21"/>
                <w:szCs w:val="21"/>
              </w:rPr>
            </w:pPr>
            <w:r>
              <w:rPr>
                <w:bCs/>
                <w:color w:val="auto"/>
                <w:sz w:val="21"/>
                <w:szCs w:val="21"/>
              </w:rPr>
              <w:t xml:space="preserve">26.7 </w:t>
            </w:r>
          </w:p>
        </w:tc>
        <w:tc>
          <w:tcPr>
            <w:tcW w:w="924" w:type="dxa"/>
          </w:tcPr>
          <w:p>
            <w:pPr>
              <w:spacing w:line="312" w:lineRule="exact"/>
              <w:ind w:firstLine="0" w:firstLineChars="0"/>
              <w:jc w:val="center"/>
              <w:rPr>
                <w:bCs/>
                <w:color w:val="auto"/>
                <w:sz w:val="21"/>
                <w:szCs w:val="21"/>
              </w:rPr>
            </w:pPr>
            <w:r>
              <w:rPr>
                <w:bCs/>
                <w:color w:val="auto"/>
                <w:sz w:val="21"/>
                <w:szCs w:val="21"/>
              </w:rPr>
              <w:t xml:space="preserve">25.4 </w:t>
            </w:r>
          </w:p>
        </w:tc>
        <w:tc>
          <w:tcPr>
            <w:tcW w:w="924" w:type="dxa"/>
          </w:tcPr>
          <w:p>
            <w:pPr>
              <w:spacing w:line="312" w:lineRule="exact"/>
              <w:ind w:firstLine="0" w:firstLineChars="0"/>
              <w:jc w:val="center"/>
              <w:rPr>
                <w:bCs/>
                <w:color w:val="auto"/>
                <w:sz w:val="21"/>
                <w:szCs w:val="21"/>
              </w:rPr>
            </w:pPr>
            <w:r>
              <w:rPr>
                <w:bCs/>
                <w:color w:val="auto"/>
                <w:sz w:val="21"/>
                <w:szCs w:val="21"/>
              </w:rPr>
              <w:t xml:space="preserve">21.1 </w:t>
            </w:r>
          </w:p>
        </w:tc>
        <w:tc>
          <w:tcPr>
            <w:tcW w:w="924" w:type="dxa"/>
          </w:tcPr>
          <w:p>
            <w:pPr>
              <w:spacing w:line="312" w:lineRule="exact"/>
              <w:ind w:firstLine="0" w:firstLineChars="0"/>
              <w:jc w:val="center"/>
              <w:rPr>
                <w:bCs/>
                <w:color w:val="auto"/>
                <w:sz w:val="21"/>
                <w:szCs w:val="21"/>
              </w:rPr>
            </w:pPr>
            <w:r>
              <w:rPr>
                <w:bCs/>
                <w:color w:val="auto"/>
                <w:sz w:val="21"/>
                <w:szCs w:val="21"/>
              </w:rPr>
              <w:t xml:space="preserve">15.1 </w:t>
            </w:r>
          </w:p>
        </w:tc>
        <w:tc>
          <w:tcPr>
            <w:tcW w:w="924" w:type="dxa"/>
          </w:tcPr>
          <w:p>
            <w:pPr>
              <w:spacing w:line="312" w:lineRule="exact"/>
              <w:ind w:firstLine="0" w:firstLineChars="0"/>
              <w:jc w:val="center"/>
              <w:rPr>
                <w:bCs/>
                <w:color w:val="auto"/>
                <w:sz w:val="21"/>
                <w:szCs w:val="21"/>
              </w:rPr>
            </w:pPr>
            <w:r>
              <w:rPr>
                <w:bCs/>
                <w:color w:val="auto"/>
                <w:sz w:val="21"/>
                <w:szCs w:val="21"/>
              </w:rPr>
              <w:t xml:space="preserve">6.8 </w:t>
            </w:r>
          </w:p>
        </w:tc>
        <w:tc>
          <w:tcPr>
            <w:tcW w:w="924" w:type="dxa"/>
          </w:tcPr>
          <w:p>
            <w:pPr>
              <w:spacing w:line="312" w:lineRule="exact"/>
              <w:ind w:firstLine="0" w:firstLineChars="0"/>
              <w:jc w:val="center"/>
              <w:rPr>
                <w:bCs/>
                <w:color w:val="auto"/>
                <w:sz w:val="21"/>
                <w:szCs w:val="21"/>
              </w:rPr>
            </w:pPr>
            <w:r>
              <w:rPr>
                <w:bCs/>
                <w:color w:val="auto"/>
                <w:sz w:val="21"/>
                <w:szCs w:val="21"/>
              </w:rPr>
              <w:t xml:space="preserve">0.6 </w:t>
            </w:r>
          </w:p>
        </w:tc>
        <w:tc>
          <w:tcPr>
            <w:tcW w:w="1041" w:type="dxa"/>
          </w:tcPr>
          <w:p>
            <w:pPr>
              <w:spacing w:line="312" w:lineRule="exact"/>
              <w:ind w:firstLine="0" w:firstLineChars="0"/>
              <w:jc w:val="center"/>
              <w:rPr>
                <w:bCs/>
                <w:color w:val="auto"/>
                <w:sz w:val="21"/>
                <w:szCs w:val="21"/>
              </w:rPr>
            </w:pPr>
            <w:r>
              <w:rPr>
                <w:bCs/>
                <w:color w:val="auto"/>
                <w:sz w:val="21"/>
                <w:szCs w:val="21"/>
              </w:rPr>
              <w:t xml:space="preserve">13.8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34" w:type="dxa"/>
            <w:vAlign w:val="center"/>
          </w:tcPr>
          <w:p>
            <w:pPr>
              <w:snapToGrid w:val="0"/>
              <w:spacing w:line="312" w:lineRule="exact"/>
              <w:ind w:firstLine="0" w:firstLineChars="0"/>
              <w:jc w:val="center"/>
              <w:rPr>
                <w:bCs/>
                <w:color w:val="auto"/>
                <w:sz w:val="21"/>
                <w:szCs w:val="21"/>
              </w:rPr>
            </w:pPr>
            <w:r>
              <w:rPr>
                <w:bCs/>
                <w:color w:val="auto"/>
                <w:sz w:val="21"/>
                <w:szCs w:val="21"/>
              </w:rPr>
              <w:t>平均相对湿度</w:t>
            </w:r>
            <w:r>
              <w:rPr>
                <w:rFonts w:hint="eastAsia"/>
                <w:bCs/>
                <w:color w:val="auto"/>
                <w:sz w:val="21"/>
                <w:szCs w:val="21"/>
              </w:rPr>
              <w:t>（</w:t>
            </w:r>
            <w:r>
              <w:rPr>
                <w:bCs/>
                <w:color w:val="auto"/>
                <w:sz w:val="21"/>
                <w:szCs w:val="21"/>
              </w:rPr>
              <w:t>%</w:t>
            </w:r>
            <w:r>
              <w:rPr>
                <w:rFonts w:hint="eastAsia"/>
                <w:bCs/>
                <w:color w:val="auto"/>
                <w:sz w:val="21"/>
                <w:szCs w:val="21"/>
              </w:rPr>
              <w:t>）</w:t>
            </w:r>
          </w:p>
        </w:tc>
        <w:tc>
          <w:tcPr>
            <w:tcW w:w="925" w:type="dxa"/>
          </w:tcPr>
          <w:p>
            <w:pPr>
              <w:spacing w:line="312" w:lineRule="exact"/>
              <w:ind w:firstLine="0" w:firstLineChars="0"/>
              <w:jc w:val="center"/>
              <w:rPr>
                <w:bCs/>
                <w:color w:val="auto"/>
                <w:sz w:val="21"/>
                <w:szCs w:val="21"/>
              </w:rPr>
            </w:pPr>
            <w:r>
              <w:rPr>
                <w:bCs/>
                <w:color w:val="auto"/>
                <w:sz w:val="21"/>
                <w:szCs w:val="21"/>
              </w:rPr>
              <w:t xml:space="preserve">57 </w:t>
            </w:r>
          </w:p>
        </w:tc>
        <w:tc>
          <w:tcPr>
            <w:tcW w:w="924" w:type="dxa"/>
          </w:tcPr>
          <w:p>
            <w:pPr>
              <w:spacing w:line="312" w:lineRule="exact"/>
              <w:ind w:firstLine="0" w:firstLineChars="0"/>
              <w:jc w:val="center"/>
              <w:rPr>
                <w:bCs/>
                <w:color w:val="auto"/>
                <w:sz w:val="21"/>
                <w:szCs w:val="21"/>
              </w:rPr>
            </w:pPr>
            <w:r>
              <w:rPr>
                <w:bCs/>
                <w:color w:val="auto"/>
                <w:sz w:val="21"/>
                <w:szCs w:val="21"/>
              </w:rPr>
              <w:t xml:space="preserve">56 </w:t>
            </w:r>
          </w:p>
        </w:tc>
        <w:tc>
          <w:tcPr>
            <w:tcW w:w="924" w:type="dxa"/>
          </w:tcPr>
          <w:p>
            <w:pPr>
              <w:spacing w:line="312" w:lineRule="exact"/>
              <w:ind w:firstLine="0" w:firstLineChars="0"/>
              <w:jc w:val="center"/>
              <w:rPr>
                <w:bCs/>
                <w:color w:val="auto"/>
                <w:sz w:val="21"/>
                <w:szCs w:val="21"/>
              </w:rPr>
            </w:pPr>
            <w:r>
              <w:rPr>
                <w:bCs/>
                <w:color w:val="auto"/>
                <w:sz w:val="21"/>
                <w:szCs w:val="21"/>
              </w:rPr>
              <w:t xml:space="preserve">50 </w:t>
            </w:r>
          </w:p>
        </w:tc>
        <w:tc>
          <w:tcPr>
            <w:tcW w:w="924" w:type="dxa"/>
          </w:tcPr>
          <w:p>
            <w:pPr>
              <w:spacing w:line="312" w:lineRule="exact"/>
              <w:ind w:firstLine="0" w:firstLineChars="0"/>
              <w:jc w:val="center"/>
              <w:rPr>
                <w:bCs/>
                <w:color w:val="auto"/>
                <w:sz w:val="21"/>
                <w:szCs w:val="21"/>
              </w:rPr>
            </w:pPr>
            <w:r>
              <w:rPr>
                <w:bCs/>
                <w:color w:val="auto"/>
                <w:sz w:val="21"/>
                <w:szCs w:val="21"/>
              </w:rPr>
              <w:t xml:space="preserve">52 </w:t>
            </w:r>
          </w:p>
        </w:tc>
        <w:tc>
          <w:tcPr>
            <w:tcW w:w="924" w:type="dxa"/>
          </w:tcPr>
          <w:p>
            <w:pPr>
              <w:spacing w:line="312" w:lineRule="exact"/>
              <w:ind w:firstLine="0" w:firstLineChars="0"/>
              <w:jc w:val="center"/>
              <w:rPr>
                <w:bCs/>
                <w:color w:val="auto"/>
                <w:sz w:val="21"/>
                <w:szCs w:val="21"/>
              </w:rPr>
            </w:pPr>
            <w:r>
              <w:rPr>
                <w:bCs/>
                <w:color w:val="auto"/>
                <w:sz w:val="21"/>
                <w:szCs w:val="21"/>
              </w:rPr>
              <w:t xml:space="preserve">72 </w:t>
            </w:r>
          </w:p>
        </w:tc>
        <w:tc>
          <w:tcPr>
            <w:tcW w:w="924" w:type="dxa"/>
          </w:tcPr>
          <w:p>
            <w:pPr>
              <w:spacing w:line="312" w:lineRule="exact"/>
              <w:ind w:firstLine="0" w:firstLineChars="0"/>
              <w:jc w:val="center"/>
              <w:rPr>
                <w:bCs/>
                <w:color w:val="auto"/>
                <w:sz w:val="21"/>
                <w:szCs w:val="21"/>
              </w:rPr>
            </w:pPr>
            <w:r>
              <w:rPr>
                <w:bCs/>
                <w:color w:val="auto"/>
                <w:sz w:val="21"/>
                <w:szCs w:val="21"/>
              </w:rPr>
              <w:t xml:space="preserve">61 </w:t>
            </w:r>
          </w:p>
        </w:tc>
        <w:tc>
          <w:tcPr>
            <w:tcW w:w="978" w:type="dxa"/>
          </w:tcPr>
          <w:p>
            <w:pPr>
              <w:spacing w:line="312" w:lineRule="exact"/>
              <w:ind w:firstLine="0" w:firstLineChars="0"/>
              <w:jc w:val="center"/>
              <w:rPr>
                <w:bCs/>
                <w:color w:val="auto"/>
                <w:sz w:val="21"/>
                <w:szCs w:val="21"/>
              </w:rPr>
            </w:pPr>
            <w:r>
              <w:rPr>
                <w:bCs/>
                <w:color w:val="auto"/>
                <w:sz w:val="21"/>
                <w:szCs w:val="21"/>
              </w:rPr>
              <w:t xml:space="preserve">75 </w:t>
            </w:r>
          </w:p>
        </w:tc>
        <w:tc>
          <w:tcPr>
            <w:tcW w:w="924" w:type="dxa"/>
          </w:tcPr>
          <w:p>
            <w:pPr>
              <w:spacing w:line="312" w:lineRule="exact"/>
              <w:ind w:firstLine="0" w:firstLineChars="0"/>
              <w:jc w:val="center"/>
              <w:rPr>
                <w:bCs/>
                <w:color w:val="auto"/>
                <w:sz w:val="21"/>
                <w:szCs w:val="21"/>
              </w:rPr>
            </w:pPr>
            <w:r>
              <w:rPr>
                <w:bCs/>
                <w:color w:val="auto"/>
                <w:sz w:val="21"/>
                <w:szCs w:val="21"/>
              </w:rPr>
              <w:t xml:space="preserve">79 </w:t>
            </w:r>
          </w:p>
        </w:tc>
        <w:tc>
          <w:tcPr>
            <w:tcW w:w="924" w:type="dxa"/>
          </w:tcPr>
          <w:p>
            <w:pPr>
              <w:spacing w:line="312" w:lineRule="exact"/>
              <w:ind w:firstLine="0" w:firstLineChars="0"/>
              <w:jc w:val="center"/>
              <w:rPr>
                <w:bCs/>
                <w:color w:val="auto"/>
                <w:sz w:val="21"/>
                <w:szCs w:val="21"/>
              </w:rPr>
            </w:pPr>
            <w:r>
              <w:rPr>
                <w:bCs/>
                <w:color w:val="auto"/>
                <w:sz w:val="21"/>
                <w:szCs w:val="21"/>
              </w:rPr>
              <w:t xml:space="preserve">74 </w:t>
            </w:r>
          </w:p>
        </w:tc>
        <w:tc>
          <w:tcPr>
            <w:tcW w:w="924" w:type="dxa"/>
          </w:tcPr>
          <w:p>
            <w:pPr>
              <w:spacing w:line="312" w:lineRule="exact"/>
              <w:ind w:firstLine="0" w:firstLineChars="0"/>
              <w:jc w:val="center"/>
              <w:rPr>
                <w:bCs/>
                <w:color w:val="auto"/>
                <w:sz w:val="21"/>
                <w:szCs w:val="21"/>
              </w:rPr>
            </w:pPr>
            <w:r>
              <w:rPr>
                <w:bCs/>
                <w:color w:val="auto"/>
                <w:sz w:val="21"/>
                <w:szCs w:val="21"/>
              </w:rPr>
              <w:t xml:space="preserve">67 </w:t>
            </w:r>
          </w:p>
        </w:tc>
        <w:tc>
          <w:tcPr>
            <w:tcW w:w="924" w:type="dxa"/>
          </w:tcPr>
          <w:p>
            <w:pPr>
              <w:spacing w:line="312" w:lineRule="exact"/>
              <w:ind w:firstLine="0" w:firstLineChars="0"/>
              <w:jc w:val="center"/>
              <w:rPr>
                <w:bCs/>
                <w:color w:val="auto"/>
                <w:sz w:val="21"/>
                <w:szCs w:val="21"/>
              </w:rPr>
            </w:pPr>
            <w:r>
              <w:rPr>
                <w:bCs/>
                <w:color w:val="auto"/>
                <w:sz w:val="21"/>
                <w:szCs w:val="21"/>
              </w:rPr>
              <w:t xml:space="preserve">62 </w:t>
            </w:r>
          </w:p>
        </w:tc>
        <w:tc>
          <w:tcPr>
            <w:tcW w:w="924" w:type="dxa"/>
          </w:tcPr>
          <w:p>
            <w:pPr>
              <w:spacing w:line="312" w:lineRule="exact"/>
              <w:ind w:firstLine="0" w:firstLineChars="0"/>
              <w:jc w:val="center"/>
              <w:rPr>
                <w:bCs/>
                <w:color w:val="auto"/>
                <w:sz w:val="21"/>
                <w:szCs w:val="21"/>
              </w:rPr>
            </w:pPr>
            <w:r>
              <w:rPr>
                <w:bCs/>
                <w:color w:val="auto"/>
                <w:sz w:val="21"/>
                <w:szCs w:val="21"/>
              </w:rPr>
              <w:t xml:space="preserve">59 </w:t>
            </w:r>
          </w:p>
        </w:tc>
        <w:tc>
          <w:tcPr>
            <w:tcW w:w="1041" w:type="dxa"/>
          </w:tcPr>
          <w:p>
            <w:pPr>
              <w:spacing w:line="312" w:lineRule="exact"/>
              <w:ind w:firstLine="0" w:firstLineChars="0"/>
              <w:jc w:val="center"/>
              <w:rPr>
                <w:bCs/>
                <w:color w:val="auto"/>
                <w:sz w:val="21"/>
                <w:szCs w:val="21"/>
              </w:rPr>
            </w:pPr>
            <w:r>
              <w:rPr>
                <w:bCs/>
                <w:color w:val="auto"/>
                <w:sz w:val="21"/>
                <w:szCs w:val="21"/>
              </w:rPr>
              <w:t xml:space="preserve">64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34" w:type="dxa"/>
            <w:vAlign w:val="center"/>
          </w:tcPr>
          <w:p>
            <w:pPr>
              <w:snapToGrid w:val="0"/>
              <w:spacing w:line="312" w:lineRule="exact"/>
              <w:ind w:firstLine="0" w:firstLineChars="0"/>
              <w:jc w:val="center"/>
              <w:rPr>
                <w:bCs/>
                <w:color w:val="auto"/>
                <w:sz w:val="21"/>
                <w:szCs w:val="21"/>
              </w:rPr>
            </w:pPr>
            <w:r>
              <w:rPr>
                <w:bCs/>
                <w:color w:val="auto"/>
                <w:sz w:val="21"/>
                <w:szCs w:val="21"/>
              </w:rPr>
              <w:t>降水量</w:t>
            </w:r>
            <w:r>
              <w:rPr>
                <w:rFonts w:hint="eastAsia"/>
                <w:bCs/>
                <w:color w:val="auto"/>
                <w:sz w:val="21"/>
                <w:szCs w:val="21"/>
              </w:rPr>
              <w:t>（</w:t>
            </w:r>
            <w:r>
              <w:rPr>
                <w:bCs/>
                <w:color w:val="auto"/>
                <w:sz w:val="21"/>
                <w:szCs w:val="21"/>
              </w:rPr>
              <w:t>mm</w:t>
            </w:r>
            <w:r>
              <w:rPr>
                <w:rFonts w:hint="eastAsia"/>
                <w:bCs/>
                <w:color w:val="auto"/>
                <w:sz w:val="21"/>
                <w:szCs w:val="21"/>
              </w:rPr>
              <w:t>）</w:t>
            </w:r>
          </w:p>
        </w:tc>
        <w:tc>
          <w:tcPr>
            <w:tcW w:w="925" w:type="dxa"/>
          </w:tcPr>
          <w:p>
            <w:pPr>
              <w:spacing w:line="312" w:lineRule="exact"/>
              <w:ind w:firstLine="0" w:firstLineChars="0"/>
              <w:jc w:val="center"/>
              <w:rPr>
                <w:bCs/>
                <w:color w:val="auto"/>
                <w:sz w:val="21"/>
                <w:szCs w:val="21"/>
              </w:rPr>
            </w:pPr>
            <w:r>
              <w:rPr>
                <w:bCs/>
                <w:color w:val="auto"/>
                <w:sz w:val="21"/>
                <w:szCs w:val="21"/>
              </w:rPr>
              <w:t xml:space="preserve">6.2 </w:t>
            </w:r>
          </w:p>
        </w:tc>
        <w:tc>
          <w:tcPr>
            <w:tcW w:w="924" w:type="dxa"/>
          </w:tcPr>
          <w:p>
            <w:pPr>
              <w:spacing w:line="312" w:lineRule="exact"/>
              <w:ind w:firstLine="0" w:firstLineChars="0"/>
              <w:jc w:val="center"/>
              <w:rPr>
                <w:bCs/>
                <w:color w:val="auto"/>
                <w:sz w:val="21"/>
                <w:szCs w:val="21"/>
              </w:rPr>
            </w:pPr>
            <w:r>
              <w:rPr>
                <w:bCs/>
                <w:color w:val="auto"/>
                <w:sz w:val="21"/>
                <w:szCs w:val="21"/>
              </w:rPr>
              <w:t xml:space="preserve">13.1 </w:t>
            </w:r>
          </w:p>
        </w:tc>
        <w:tc>
          <w:tcPr>
            <w:tcW w:w="924" w:type="dxa"/>
          </w:tcPr>
          <w:p>
            <w:pPr>
              <w:spacing w:line="312" w:lineRule="exact"/>
              <w:ind w:firstLine="0" w:firstLineChars="0"/>
              <w:jc w:val="center"/>
              <w:rPr>
                <w:bCs/>
                <w:color w:val="auto"/>
                <w:sz w:val="21"/>
                <w:szCs w:val="21"/>
              </w:rPr>
            </w:pPr>
            <w:r>
              <w:rPr>
                <w:bCs/>
                <w:color w:val="auto"/>
                <w:sz w:val="21"/>
                <w:szCs w:val="21"/>
              </w:rPr>
              <w:t xml:space="preserve">16.8 </w:t>
            </w:r>
          </w:p>
        </w:tc>
        <w:tc>
          <w:tcPr>
            <w:tcW w:w="924" w:type="dxa"/>
          </w:tcPr>
          <w:p>
            <w:pPr>
              <w:spacing w:line="312" w:lineRule="exact"/>
              <w:ind w:firstLine="0" w:firstLineChars="0"/>
              <w:jc w:val="center"/>
              <w:rPr>
                <w:bCs/>
                <w:color w:val="auto"/>
                <w:sz w:val="21"/>
                <w:szCs w:val="21"/>
              </w:rPr>
            </w:pPr>
            <w:r>
              <w:rPr>
                <w:bCs/>
                <w:color w:val="auto"/>
                <w:sz w:val="21"/>
                <w:szCs w:val="21"/>
              </w:rPr>
              <w:t xml:space="preserve">33.4 </w:t>
            </w:r>
          </w:p>
        </w:tc>
        <w:tc>
          <w:tcPr>
            <w:tcW w:w="924" w:type="dxa"/>
          </w:tcPr>
          <w:p>
            <w:pPr>
              <w:spacing w:line="312" w:lineRule="exact"/>
              <w:ind w:firstLine="0" w:firstLineChars="0"/>
              <w:jc w:val="center"/>
              <w:rPr>
                <w:bCs/>
                <w:color w:val="auto"/>
                <w:sz w:val="21"/>
                <w:szCs w:val="21"/>
              </w:rPr>
            </w:pPr>
            <w:r>
              <w:rPr>
                <w:bCs/>
                <w:color w:val="auto"/>
                <w:sz w:val="21"/>
                <w:szCs w:val="21"/>
              </w:rPr>
              <w:t xml:space="preserve">66.4 </w:t>
            </w:r>
          </w:p>
        </w:tc>
        <w:tc>
          <w:tcPr>
            <w:tcW w:w="924" w:type="dxa"/>
          </w:tcPr>
          <w:p>
            <w:pPr>
              <w:spacing w:line="312" w:lineRule="exact"/>
              <w:ind w:firstLine="0" w:firstLineChars="0"/>
              <w:jc w:val="center"/>
              <w:rPr>
                <w:bCs/>
                <w:color w:val="auto"/>
                <w:sz w:val="21"/>
                <w:szCs w:val="21"/>
              </w:rPr>
            </w:pPr>
            <w:r>
              <w:rPr>
                <w:bCs/>
                <w:color w:val="auto"/>
                <w:sz w:val="21"/>
                <w:szCs w:val="21"/>
              </w:rPr>
              <w:t xml:space="preserve">74.7 </w:t>
            </w:r>
          </w:p>
        </w:tc>
        <w:tc>
          <w:tcPr>
            <w:tcW w:w="978" w:type="dxa"/>
          </w:tcPr>
          <w:p>
            <w:pPr>
              <w:spacing w:line="312" w:lineRule="exact"/>
              <w:ind w:firstLine="0" w:firstLineChars="0"/>
              <w:jc w:val="center"/>
              <w:rPr>
                <w:bCs/>
                <w:color w:val="auto"/>
                <w:sz w:val="21"/>
                <w:szCs w:val="21"/>
              </w:rPr>
            </w:pPr>
            <w:r>
              <w:rPr>
                <w:bCs/>
                <w:color w:val="auto"/>
                <w:sz w:val="21"/>
                <w:szCs w:val="21"/>
              </w:rPr>
              <w:t xml:space="preserve">146.9 </w:t>
            </w:r>
          </w:p>
        </w:tc>
        <w:tc>
          <w:tcPr>
            <w:tcW w:w="924" w:type="dxa"/>
          </w:tcPr>
          <w:p>
            <w:pPr>
              <w:spacing w:line="312" w:lineRule="exact"/>
              <w:ind w:firstLine="0" w:firstLineChars="0"/>
              <w:jc w:val="center"/>
              <w:rPr>
                <w:bCs/>
                <w:color w:val="auto"/>
                <w:sz w:val="21"/>
                <w:szCs w:val="21"/>
              </w:rPr>
            </w:pPr>
            <w:r>
              <w:rPr>
                <w:bCs/>
                <w:color w:val="auto"/>
                <w:sz w:val="21"/>
                <w:szCs w:val="21"/>
              </w:rPr>
              <w:t xml:space="preserve">159.9 </w:t>
            </w:r>
          </w:p>
        </w:tc>
        <w:tc>
          <w:tcPr>
            <w:tcW w:w="924" w:type="dxa"/>
          </w:tcPr>
          <w:p>
            <w:pPr>
              <w:spacing w:line="312" w:lineRule="exact"/>
              <w:ind w:firstLine="0" w:firstLineChars="0"/>
              <w:jc w:val="center"/>
              <w:rPr>
                <w:bCs/>
                <w:color w:val="auto"/>
                <w:sz w:val="21"/>
                <w:szCs w:val="21"/>
              </w:rPr>
            </w:pPr>
            <w:r>
              <w:rPr>
                <w:bCs/>
                <w:color w:val="auto"/>
                <w:sz w:val="21"/>
                <w:szCs w:val="21"/>
              </w:rPr>
              <w:t xml:space="preserve">52.5 </w:t>
            </w:r>
          </w:p>
        </w:tc>
        <w:tc>
          <w:tcPr>
            <w:tcW w:w="924" w:type="dxa"/>
          </w:tcPr>
          <w:p>
            <w:pPr>
              <w:spacing w:line="312" w:lineRule="exact"/>
              <w:ind w:firstLine="0" w:firstLineChars="0"/>
              <w:jc w:val="center"/>
              <w:rPr>
                <w:bCs/>
                <w:color w:val="auto"/>
                <w:sz w:val="21"/>
                <w:szCs w:val="21"/>
              </w:rPr>
            </w:pPr>
            <w:r>
              <w:rPr>
                <w:bCs/>
                <w:color w:val="auto"/>
                <w:sz w:val="21"/>
                <w:szCs w:val="21"/>
              </w:rPr>
              <w:t xml:space="preserve">26.8 </w:t>
            </w:r>
          </w:p>
        </w:tc>
        <w:tc>
          <w:tcPr>
            <w:tcW w:w="924" w:type="dxa"/>
          </w:tcPr>
          <w:p>
            <w:pPr>
              <w:spacing w:line="312" w:lineRule="exact"/>
              <w:ind w:firstLine="0" w:firstLineChars="0"/>
              <w:jc w:val="center"/>
              <w:rPr>
                <w:bCs/>
                <w:color w:val="auto"/>
                <w:sz w:val="21"/>
                <w:szCs w:val="21"/>
              </w:rPr>
            </w:pPr>
            <w:r>
              <w:rPr>
                <w:bCs/>
                <w:color w:val="auto"/>
                <w:sz w:val="21"/>
                <w:szCs w:val="21"/>
              </w:rPr>
              <w:t xml:space="preserve">11.0 </w:t>
            </w:r>
          </w:p>
        </w:tc>
        <w:tc>
          <w:tcPr>
            <w:tcW w:w="924" w:type="dxa"/>
          </w:tcPr>
          <w:p>
            <w:pPr>
              <w:spacing w:line="312" w:lineRule="exact"/>
              <w:ind w:firstLine="0" w:firstLineChars="0"/>
              <w:jc w:val="center"/>
              <w:rPr>
                <w:bCs/>
                <w:color w:val="auto"/>
                <w:sz w:val="21"/>
                <w:szCs w:val="21"/>
              </w:rPr>
            </w:pPr>
            <w:r>
              <w:rPr>
                <w:bCs/>
                <w:color w:val="auto"/>
                <w:sz w:val="21"/>
                <w:szCs w:val="21"/>
              </w:rPr>
              <w:t xml:space="preserve">7.1 </w:t>
            </w:r>
          </w:p>
        </w:tc>
        <w:tc>
          <w:tcPr>
            <w:tcW w:w="1041" w:type="dxa"/>
          </w:tcPr>
          <w:p>
            <w:pPr>
              <w:spacing w:line="312" w:lineRule="exact"/>
              <w:ind w:firstLine="0" w:firstLineChars="0"/>
              <w:jc w:val="center"/>
              <w:rPr>
                <w:bCs/>
                <w:color w:val="auto"/>
                <w:sz w:val="21"/>
                <w:szCs w:val="21"/>
              </w:rPr>
            </w:pPr>
            <w:r>
              <w:rPr>
                <w:bCs/>
                <w:color w:val="auto"/>
                <w:sz w:val="21"/>
                <w:szCs w:val="21"/>
              </w:rPr>
              <w:t xml:space="preserve">614.9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34" w:type="dxa"/>
            <w:vAlign w:val="center"/>
          </w:tcPr>
          <w:p>
            <w:pPr>
              <w:snapToGrid w:val="0"/>
              <w:spacing w:line="312" w:lineRule="exact"/>
              <w:ind w:firstLine="0" w:firstLineChars="0"/>
              <w:jc w:val="center"/>
              <w:rPr>
                <w:bCs/>
                <w:color w:val="auto"/>
                <w:sz w:val="21"/>
                <w:szCs w:val="21"/>
              </w:rPr>
            </w:pPr>
            <w:r>
              <w:rPr>
                <w:bCs/>
                <w:color w:val="auto"/>
                <w:sz w:val="21"/>
                <w:szCs w:val="21"/>
              </w:rPr>
              <w:t>日照时数</w:t>
            </w:r>
            <w:r>
              <w:rPr>
                <w:rFonts w:hint="eastAsia"/>
                <w:bCs/>
                <w:color w:val="auto"/>
                <w:sz w:val="21"/>
                <w:szCs w:val="21"/>
              </w:rPr>
              <w:t>（</w:t>
            </w:r>
            <w:r>
              <w:rPr>
                <w:bCs/>
                <w:color w:val="auto"/>
                <w:sz w:val="21"/>
                <w:szCs w:val="21"/>
              </w:rPr>
              <w:t>h</w:t>
            </w:r>
            <w:r>
              <w:rPr>
                <w:rFonts w:hint="eastAsia"/>
                <w:bCs/>
                <w:color w:val="auto"/>
                <w:sz w:val="21"/>
                <w:szCs w:val="21"/>
              </w:rPr>
              <w:t>）</w:t>
            </w:r>
          </w:p>
        </w:tc>
        <w:tc>
          <w:tcPr>
            <w:tcW w:w="925" w:type="dxa"/>
          </w:tcPr>
          <w:p>
            <w:pPr>
              <w:spacing w:line="312" w:lineRule="exact"/>
              <w:ind w:firstLine="0" w:firstLineChars="0"/>
              <w:jc w:val="center"/>
              <w:rPr>
                <w:bCs/>
                <w:color w:val="auto"/>
                <w:sz w:val="21"/>
                <w:szCs w:val="21"/>
              </w:rPr>
            </w:pPr>
            <w:r>
              <w:rPr>
                <w:bCs/>
                <w:color w:val="auto"/>
                <w:sz w:val="21"/>
                <w:szCs w:val="21"/>
              </w:rPr>
              <w:t xml:space="preserve">174.7 </w:t>
            </w:r>
          </w:p>
        </w:tc>
        <w:tc>
          <w:tcPr>
            <w:tcW w:w="924" w:type="dxa"/>
          </w:tcPr>
          <w:p>
            <w:pPr>
              <w:spacing w:line="312" w:lineRule="exact"/>
              <w:ind w:firstLine="0" w:firstLineChars="0"/>
              <w:jc w:val="center"/>
              <w:rPr>
                <w:bCs/>
                <w:color w:val="auto"/>
                <w:sz w:val="21"/>
                <w:szCs w:val="21"/>
              </w:rPr>
            </w:pPr>
            <w:r>
              <w:rPr>
                <w:bCs/>
                <w:color w:val="auto"/>
                <w:sz w:val="21"/>
                <w:szCs w:val="21"/>
              </w:rPr>
              <w:t xml:space="preserve">166.5 </w:t>
            </w:r>
          </w:p>
        </w:tc>
        <w:tc>
          <w:tcPr>
            <w:tcW w:w="924" w:type="dxa"/>
          </w:tcPr>
          <w:p>
            <w:pPr>
              <w:spacing w:line="312" w:lineRule="exact"/>
              <w:ind w:firstLine="0" w:firstLineChars="0"/>
              <w:jc w:val="center"/>
              <w:rPr>
                <w:bCs/>
                <w:color w:val="auto"/>
                <w:sz w:val="21"/>
                <w:szCs w:val="21"/>
              </w:rPr>
            </w:pPr>
            <w:r>
              <w:rPr>
                <w:bCs/>
                <w:color w:val="auto"/>
                <w:sz w:val="21"/>
                <w:szCs w:val="21"/>
              </w:rPr>
              <w:t xml:space="preserve">210.8 </w:t>
            </w:r>
          </w:p>
        </w:tc>
        <w:tc>
          <w:tcPr>
            <w:tcW w:w="924" w:type="dxa"/>
          </w:tcPr>
          <w:p>
            <w:pPr>
              <w:spacing w:line="312" w:lineRule="exact"/>
              <w:ind w:firstLine="0" w:firstLineChars="0"/>
              <w:jc w:val="center"/>
              <w:rPr>
                <w:bCs/>
                <w:color w:val="auto"/>
                <w:sz w:val="21"/>
                <w:szCs w:val="21"/>
              </w:rPr>
            </w:pPr>
            <w:r>
              <w:rPr>
                <w:bCs/>
                <w:color w:val="auto"/>
                <w:sz w:val="21"/>
                <w:szCs w:val="21"/>
              </w:rPr>
              <w:t xml:space="preserve">235.7 </w:t>
            </w:r>
          </w:p>
        </w:tc>
        <w:tc>
          <w:tcPr>
            <w:tcW w:w="924" w:type="dxa"/>
          </w:tcPr>
          <w:p>
            <w:pPr>
              <w:spacing w:line="312" w:lineRule="exact"/>
              <w:ind w:firstLine="0" w:firstLineChars="0"/>
              <w:jc w:val="center"/>
              <w:rPr>
                <w:bCs/>
                <w:color w:val="auto"/>
                <w:sz w:val="21"/>
                <w:szCs w:val="21"/>
              </w:rPr>
            </w:pPr>
            <w:r>
              <w:rPr>
                <w:bCs/>
                <w:color w:val="auto"/>
                <w:sz w:val="21"/>
                <w:szCs w:val="21"/>
              </w:rPr>
              <w:t xml:space="preserve">251.3 </w:t>
            </w:r>
          </w:p>
        </w:tc>
        <w:tc>
          <w:tcPr>
            <w:tcW w:w="924" w:type="dxa"/>
          </w:tcPr>
          <w:p>
            <w:pPr>
              <w:spacing w:line="312" w:lineRule="exact"/>
              <w:ind w:firstLine="0" w:firstLineChars="0"/>
              <w:jc w:val="center"/>
              <w:rPr>
                <w:bCs/>
                <w:color w:val="auto"/>
                <w:sz w:val="21"/>
                <w:szCs w:val="21"/>
              </w:rPr>
            </w:pPr>
            <w:r>
              <w:rPr>
                <w:bCs/>
                <w:color w:val="auto"/>
                <w:sz w:val="21"/>
                <w:szCs w:val="21"/>
              </w:rPr>
              <w:t xml:space="preserve">225.6 </w:t>
            </w:r>
          </w:p>
        </w:tc>
        <w:tc>
          <w:tcPr>
            <w:tcW w:w="978" w:type="dxa"/>
          </w:tcPr>
          <w:p>
            <w:pPr>
              <w:spacing w:line="312" w:lineRule="exact"/>
              <w:ind w:firstLine="0" w:firstLineChars="0"/>
              <w:jc w:val="center"/>
              <w:rPr>
                <w:bCs/>
                <w:color w:val="auto"/>
                <w:sz w:val="21"/>
                <w:szCs w:val="21"/>
              </w:rPr>
            </w:pPr>
            <w:r>
              <w:rPr>
                <w:bCs/>
                <w:color w:val="auto"/>
                <w:sz w:val="21"/>
                <w:szCs w:val="21"/>
              </w:rPr>
              <w:t xml:space="preserve">183.2 </w:t>
            </w:r>
          </w:p>
        </w:tc>
        <w:tc>
          <w:tcPr>
            <w:tcW w:w="924" w:type="dxa"/>
          </w:tcPr>
          <w:p>
            <w:pPr>
              <w:spacing w:line="312" w:lineRule="exact"/>
              <w:ind w:firstLine="0" w:firstLineChars="0"/>
              <w:jc w:val="center"/>
              <w:rPr>
                <w:bCs/>
                <w:color w:val="auto"/>
                <w:sz w:val="21"/>
                <w:szCs w:val="21"/>
              </w:rPr>
            </w:pPr>
            <w:r>
              <w:rPr>
                <w:bCs/>
                <w:color w:val="auto"/>
                <w:sz w:val="21"/>
                <w:szCs w:val="21"/>
              </w:rPr>
              <w:t xml:space="preserve">173.4 </w:t>
            </w:r>
          </w:p>
        </w:tc>
        <w:tc>
          <w:tcPr>
            <w:tcW w:w="924" w:type="dxa"/>
          </w:tcPr>
          <w:p>
            <w:pPr>
              <w:spacing w:line="312" w:lineRule="exact"/>
              <w:ind w:firstLine="0" w:firstLineChars="0"/>
              <w:jc w:val="center"/>
              <w:rPr>
                <w:bCs/>
                <w:color w:val="auto"/>
                <w:sz w:val="21"/>
                <w:szCs w:val="21"/>
              </w:rPr>
            </w:pPr>
            <w:r>
              <w:rPr>
                <w:bCs/>
                <w:color w:val="auto"/>
                <w:sz w:val="21"/>
                <w:szCs w:val="21"/>
              </w:rPr>
              <w:t xml:space="preserve">171.5 </w:t>
            </w:r>
          </w:p>
        </w:tc>
        <w:tc>
          <w:tcPr>
            <w:tcW w:w="924" w:type="dxa"/>
          </w:tcPr>
          <w:p>
            <w:pPr>
              <w:spacing w:line="312" w:lineRule="exact"/>
              <w:ind w:firstLine="0" w:firstLineChars="0"/>
              <w:jc w:val="center"/>
              <w:rPr>
                <w:bCs/>
                <w:color w:val="auto"/>
                <w:sz w:val="21"/>
                <w:szCs w:val="21"/>
              </w:rPr>
            </w:pPr>
            <w:r>
              <w:rPr>
                <w:bCs/>
                <w:color w:val="auto"/>
                <w:sz w:val="21"/>
                <w:szCs w:val="21"/>
              </w:rPr>
              <w:t xml:space="preserve">185.9 </w:t>
            </w:r>
          </w:p>
        </w:tc>
        <w:tc>
          <w:tcPr>
            <w:tcW w:w="924" w:type="dxa"/>
          </w:tcPr>
          <w:p>
            <w:pPr>
              <w:spacing w:line="312" w:lineRule="exact"/>
              <w:ind w:firstLine="0" w:firstLineChars="0"/>
              <w:jc w:val="center"/>
              <w:rPr>
                <w:bCs/>
                <w:color w:val="auto"/>
                <w:sz w:val="21"/>
                <w:szCs w:val="21"/>
              </w:rPr>
            </w:pPr>
            <w:r>
              <w:rPr>
                <w:bCs/>
                <w:color w:val="auto"/>
                <w:sz w:val="21"/>
                <w:szCs w:val="21"/>
              </w:rPr>
              <w:t xml:space="preserve">184.1 </w:t>
            </w:r>
          </w:p>
        </w:tc>
        <w:tc>
          <w:tcPr>
            <w:tcW w:w="924" w:type="dxa"/>
          </w:tcPr>
          <w:p>
            <w:pPr>
              <w:spacing w:line="312" w:lineRule="exact"/>
              <w:ind w:firstLine="0" w:firstLineChars="0"/>
              <w:jc w:val="center"/>
              <w:rPr>
                <w:bCs/>
                <w:color w:val="auto"/>
                <w:sz w:val="21"/>
                <w:szCs w:val="21"/>
              </w:rPr>
            </w:pPr>
            <w:r>
              <w:rPr>
                <w:bCs/>
                <w:color w:val="auto"/>
                <w:sz w:val="21"/>
                <w:szCs w:val="21"/>
              </w:rPr>
              <w:t xml:space="preserve">172.8 </w:t>
            </w:r>
          </w:p>
        </w:tc>
        <w:tc>
          <w:tcPr>
            <w:tcW w:w="1041" w:type="dxa"/>
          </w:tcPr>
          <w:p>
            <w:pPr>
              <w:spacing w:line="312" w:lineRule="exact"/>
              <w:ind w:firstLine="0" w:firstLineChars="0"/>
              <w:jc w:val="center"/>
              <w:rPr>
                <w:bCs/>
                <w:color w:val="auto"/>
                <w:sz w:val="21"/>
                <w:szCs w:val="21"/>
              </w:rPr>
            </w:pPr>
            <w:r>
              <w:rPr>
                <w:bCs/>
                <w:color w:val="auto"/>
                <w:sz w:val="21"/>
                <w:szCs w:val="21"/>
              </w:rPr>
              <w:t xml:space="preserve">2335.5 </w:t>
            </w:r>
          </w:p>
        </w:tc>
      </w:tr>
    </w:tbl>
    <w:p>
      <w:pPr>
        <w:snapToGrid w:val="0"/>
        <w:spacing w:beforeLines="50"/>
        <w:ind w:firstLine="420"/>
        <w:jc w:val="center"/>
        <w:rPr>
          <w:rFonts w:eastAsia="黑体"/>
          <w:bCs/>
          <w:color w:val="auto"/>
          <w:sz w:val="21"/>
          <w:szCs w:val="22"/>
        </w:rPr>
      </w:pPr>
      <w:r>
        <w:rPr>
          <w:rFonts w:eastAsia="黑体"/>
          <w:bCs/>
          <w:color w:val="auto"/>
          <w:sz w:val="21"/>
          <w:szCs w:val="22"/>
        </w:rPr>
        <w:t>表</w:t>
      </w:r>
      <w:r>
        <w:rPr>
          <w:rFonts w:hint="eastAsia" w:eastAsia="黑体"/>
          <w:bCs/>
          <w:color w:val="auto"/>
          <w:sz w:val="21"/>
          <w:szCs w:val="22"/>
          <w:lang w:val="en-US" w:eastAsia="zh-CN"/>
        </w:rPr>
        <w:t>5</w:t>
      </w:r>
      <w:r>
        <w:rPr>
          <w:rFonts w:eastAsia="黑体"/>
          <w:bCs/>
          <w:color w:val="auto"/>
          <w:sz w:val="21"/>
          <w:szCs w:val="22"/>
        </w:rPr>
        <w:t>.1-</w:t>
      </w:r>
      <w:r>
        <w:rPr>
          <w:rFonts w:hint="eastAsia" w:eastAsia="黑体"/>
          <w:bCs/>
          <w:color w:val="auto"/>
          <w:sz w:val="21"/>
          <w:szCs w:val="22"/>
          <w:lang w:val="en-US" w:eastAsia="zh-CN"/>
        </w:rPr>
        <w:t>9</w:t>
      </w:r>
      <w:r>
        <w:rPr>
          <w:rFonts w:eastAsia="黑体"/>
          <w:bCs/>
          <w:color w:val="auto"/>
          <w:sz w:val="21"/>
          <w:szCs w:val="22"/>
        </w:rPr>
        <w:t xml:space="preserve">  </w:t>
      </w:r>
      <w:r>
        <w:rPr>
          <w:rFonts w:hint="eastAsia" w:eastAsia="黑体"/>
          <w:bCs/>
          <w:color w:val="auto"/>
          <w:sz w:val="21"/>
          <w:szCs w:val="22"/>
          <w:lang w:eastAsia="zh-CN"/>
        </w:rPr>
        <w:t>张店</w:t>
      </w:r>
      <w:r>
        <w:rPr>
          <w:rFonts w:eastAsia="黑体"/>
          <w:bCs/>
          <w:color w:val="auto"/>
          <w:sz w:val="21"/>
          <w:szCs w:val="22"/>
        </w:rPr>
        <w:t>气象站近20年（</w:t>
      </w:r>
      <w:r>
        <w:rPr>
          <w:rFonts w:hint="eastAsia" w:eastAsia="黑体"/>
          <w:bCs/>
          <w:color w:val="auto"/>
          <w:sz w:val="21"/>
          <w:szCs w:val="22"/>
          <w:lang w:val="en-US" w:eastAsia="zh-CN"/>
        </w:rPr>
        <w:t>1999</w:t>
      </w:r>
      <w:r>
        <w:rPr>
          <w:rFonts w:eastAsia="黑体"/>
          <w:bCs/>
          <w:color w:val="auto"/>
          <w:sz w:val="21"/>
          <w:szCs w:val="22"/>
        </w:rPr>
        <w:t>～201</w:t>
      </w:r>
      <w:r>
        <w:rPr>
          <w:rFonts w:hint="eastAsia" w:eastAsia="黑体"/>
          <w:bCs/>
          <w:color w:val="auto"/>
          <w:sz w:val="21"/>
          <w:szCs w:val="22"/>
          <w:lang w:val="en-US" w:eastAsia="zh-CN"/>
        </w:rPr>
        <w:t>9</w:t>
      </w:r>
      <w:r>
        <w:rPr>
          <w:rFonts w:eastAsia="黑体"/>
          <w:bCs/>
          <w:color w:val="auto"/>
          <w:sz w:val="21"/>
          <w:szCs w:val="22"/>
        </w:rPr>
        <w:t>年）各风向频率</w:t>
      </w:r>
    </w:p>
    <w:tbl>
      <w:tblPr>
        <w:tblStyle w:val="22"/>
        <w:tblW w:w="1421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6"/>
        <w:gridCol w:w="637"/>
        <w:gridCol w:w="879"/>
        <w:gridCol w:w="677"/>
        <w:gridCol w:w="862"/>
        <w:gridCol w:w="637"/>
        <w:gridCol w:w="816"/>
        <w:gridCol w:w="637"/>
        <w:gridCol w:w="785"/>
        <w:gridCol w:w="637"/>
        <w:gridCol w:w="879"/>
        <w:gridCol w:w="722"/>
        <w:gridCol w:w="1001"/>
        <w:gridCol w:w="637"/>
        <w:gridCol w:w="1049"/>
        <w:gridCol w:w="768"/>
        <w:gridCol w:w="973"/>
        <w:gridCol w:w="7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snapToGrid w:val="0"/>
              <w:spacing w:line="312" w:lineRule="exact"/>
              <w:ind w:firstLine="0" w:firstLineChars="0"/>
              <w:jc w:val="center"/>
              <w:rPr>
                <w:bCs/>
                <w:color w:val="auto"/>
                <w:sz w:val="21"/>
                <w:szCs w:val="21"/>
              </w:rPr>
            </w:pPr>
          </w:p>
        </w:tc>
        <w:tc>
          <w:tcPr>
            <w:tcW w:w="637" w:type="dxa"/>
            <w:vAlign w:val="center"/>
          </w:tcPr>
          <w:p>
            <w:pPr>
              <w:snapToGrid w:val="0"/>
              <w:spacing w:line="312" w:lineRule="exact"/>
              <w:ind w:firstLine="0" w:firstLineChars="0"/>
              <w:jc w:val="center"/>
              <w:rPr>
                <w:bCs/>
                <w:color w:val="auto"/>
                <w:sz w:val="21"/>
                <w:szCs w:val="21"/>
              </w:rPr>
            </w:pPr>
            <w:r>
              <w:rPr>
                <w:bCs/>
                <w:color w:val="auto"/>
                <w:sz w:val="21"/>
                <w:szCs w:val="21"/>
              </w:rPr>
              <w:t>N</w:t>
            </w:r>
          </w:p>
        </w:tc>
        <w:tc>
          <w:tcPr>
            <w:tcW w:w="879" w:type="dxa"/>
            <w:vAlign w:val="center"/>
          </w:tcPr>
          <w:p>
            <w:pPr>
              <w:snapToGrid w:val="0"/>
              <w:spacing w:line="312" w:lineRule="exact"/>
              <w:ind w:firstLine="0" w:firstLineChars="0"/>
              <w:jc w:val="center"/>
              <w:rPr>
                <w:bCs/>
                <w:color w:val="auto"/>
                <w:sz w:val="21"/>
                <w:szCs w:val="21"/>
              </w:rPr>
            </w:pPr>
            <w:r>
              <w:rPr>
                <w:bCs/>
                <w:color w:val="auto"/>
                <w:sz w:val="21"/>
                <w:szCs w:val="21"/>
              </w:rPr>
              <w:t>NNE</w:t>
            </w:r>
          </w:p>
        </w:tc>
        <w:tc>
          <w:tcPr>
            <w:tcW w:w="677" w:type="dxa"/>
            <w:vAlign w:val="center"/>
          </w:tcPr>
          <w:p>
            <w:pPr>
              <w:snapToGrid w:val="0"/>
              <w:spacing w:line="312" w:lineRule="exact"/>
              <w:ind w:firstLine="0" w:firstLineChars="0"/>
              <w:jc w:val="center"/>
              <w:rPr>
                <w:bCs/>
                <w:color w:val="auto"/>
                <w:sz w:val="21"/>
                <w:szCs w:val="21"/>
              </w:rPr>
            </w:pPr>
            <w:r>
              <w:rPr>
                <w:bCs/>
                <w:color w:val="auto"/>
                <w:sz w:val="21"/>
                <w:szCs w:val="21"/>
              </w:rPr>
              <w:t>NE</w:t>
            </w:r>
          </w:p>
        </w:tc>
        <w:tc>
          <w:tcPr>
            <w:tcW w:w="862" w:type="dxa"/>
            <w:vAlign w:val="center"/>
          </w:tcPr>
          <w:p>
            <w:pPr>
              <w:snapToGrid w:val="0"/>
              <w:spacing w:line="312" w:lineRule="exact"/>
              <w:ind w:firstLine="0" w:firstLineChars="0"/>
              <w:jc w:val="center"/>
              <w:rPr>
                <w:bCs/>
                <w:color w:val="auto"/>
                <w:sz w:val="21"/>
                <w:szCs w:val="21"/>
              </w:rPr>
            </w:pPr>
            <w:r>
              <w:rPr>
                <w:bCs/>
                <w:color w:val="auto"/>
                <w:sz w:val="21"/>
                <w:szCs w:val="21"/>
              </w:rPr>
              <w:t>ENE</w:t>
            </w:r>
          </w:p>
        </w:tc>
        <w:tc>
          <w:tcPr>
            <w:tcW w:w="637" w:type="dxa"/>
            <w:vAlign w:val="center"/>
          </w:tcPr>
          <w:p>
            <w:pPr>
              <w:snapToGrid w:val="0"/>
              <w:spacing w:line="312" w:lineRule="exact"/>
              <w:ind w:firstLine="0" w:firstLineChars="0"/>
              <w:jc w:val="center"/>
              <w:rPr>
                <w:bCs/>
                <w:color w:val="auto"/>
                <w:sz w:val="21"/>
                <w:szCs w:val="21"/>
              </w:rPr>
            </w:pPr>
            <w:r>
              <w:rPr>
                <w:bCs/>
                <w:color w:val="auto"/>
                <w:sz w:val="21"/>
                <w:szCs w:val="21"/>
              </w:rPr>
              <w:t>E</w:t>
            </w:r>
          </w:p>
        </w:tc>
        <w:tc>
          <w:tcPr>
            <w:tcW w:w="816" w:type="dxa"/>
            <w:vAlign w:val="center"/>
          </w:tcPr>
          <w:p>
            <w:pPr>
              <w:snapToGrid w:val="0"/>
              <w:spacing w:line="312" w:lineRule="exact"/>
              <w:ind w:firstLine="0" w:firstLineChars="0"/>
              <w:jc w:val="center"/>
              <w:rPr>
                <w:bCs/>
                <w:color w:val="auto"/>
                <w:sz w:val="21"/>
                <w:szCs w:val="21"/>
              </w:rPr>
            </w:pPr>
            <w:r>
              <w:rPr>
                <w:bCs/>
                <w:color w:val="auto"/>
                <w:sz w:val="21"/>
                <w:szCs w:val="21"/>
              </w:rPr>
              <w:t>ESE</w:t>
            </w:r>
          </w:p>
        </w:tc>
        <w:tc>
          <w:tcPr>
            <w:tcW w:w="637" w:type="dxa"/>
            <w:vAlign w:val="center"/>
          </w:tcPr>
          <w:p>
            <w:pPr>
              <w:snapToGrid w:val="0"/>
              <w:spacing w:line="312" w:lineRule="exact"/>
              <w:ind w:firstLine="0" w:firstLineChars="0"/>
              <w:jc w:val="center"/>
              <w:rPr>
                <w:bCs/>
                <w:color w:val="auto"/>
                <w:sz w:val="21"/>
                <w:szCs w:val="21"/>
              </w:rPr>
            </w:pPr>
            <w:r>
              <w:rPr>
                <w:bCs/>
                <w:color w:val="auto"/>
                <w:sz w:val="21"/>
                <w:szCs w:val="21"/>
              </w:rPr>
              <w:t>SE</w:t>
            </w:r>
          </w:p>
        </w:tc>
        <w:tc>
          <w:tcPr>
            <w:tcW w:w="785" w:type="dxa"/>
            <w:vAlign w:val="center"/>
          </w:tcPr>
          <w:p>
            <w:pPr>
              <w:snapToGrid w:val="0"/>
              <w:spacing w:line="312" w:lineRule="exact"/>
              <w:ind w:firstLine="0" w:firstLineChars="0"/>
              <w:jc w:val="center"/>
              <w:rPr>
                <w:bCs/>
                <w:color w:val="auto"/>
                <w:sz w:val="21"/>
                <w:szCs w:val="21"/>
              </w:rPr>
            </w:pPr>
            <w:r>
              <w:rPr>
                <w:bCs/>
                <w:color w:val="auto"/>
                <w:sz w:val="21"/>
                <w:szCs w:val="21"/>
              </w:rPr>
              <w:t>SSE</w:t>
            </w:r>
          </w:p>
        </w:tc>
        <w:tc>
          <w:tcPr>
            <w:tcW w:w="637" w:type="dxa"/>
            <w:vAlign w:val="center"/>
          </w:tcPr>
          <w:p>
            <w:pPr>
              <w:snapToGrid w:val="0"/>
              <w:spacing w:line="312" w:lineRule="exact"/>
              <w:ind w:firstLine="0" w:firstLineChars="0"/>
              <w:jc w:val="center"/>
              <w:rPr>
                <w:bCs/>
                <w:color w:val="auto"/>
                <w:sz w:val="21"/>
                <w:szCs w:val="21"/>
              </w:rPr>
            </w:pPr>
            <w:r>
              <w:rPr>
                <w:bCs/>
                <w:color w:val="auto"/>
                <w:sz w:val="21"/>
                <w:szCs w:val="21"/>
              </w:rPr>
              <w:t>S</w:t>
            </w:r>
          </w:p>
        </w:tc>
        <w:tc>
          <w:tcPr>
            <w:tcW w:w="879" w:type="dxa"/>
            <w:vAlign w:val="center"/>
          </w:tcPr>
          <w:p>
            <w:pPr>
              <w:snapToGrid w:val="0"/>
              <w:spacing w:line="312" w:lineRule="exact"/>
              <w:ind w:firstLine="0" w:firstLineChars="0"/>
              <w:jc w:val="center"/>
              <w:rPr>
                <w:bCs/>
                <w:color w:val="auto"/>
                <w:sz w:val="21"/>
                <w:szCs w:val="21"/>
              </w:rPr>
            </w:pPr>
            <w:r>
              <w:rPr>
                <w:bCs/>
                <w:color w:val="auto"/>
                <w:sz w:val="21"/>
                <w:szCs w:val="21"/>
              </w:rPr>
              <w:t>SSW</w:t>
            </w:r>
          </w:p>
        </w:tc>
        <w:tc>
          <w:tcPr>
            <w:tcW w:w="722" w:type="dxa"/>
            <w:vAlign w:val="center"/>
          </w:tcPr>
          <w:p>
            <w:pPr>
              <w:snapToGrid w:val="0"/>
              <w:spacing w:line="312" w:lineRule="exact"/>
              <w:ind w:firstLine="0" w:firstLineChars="0"/>
              <w:jc w:val="center"/>
              <w:rPr>
                <w:bCs/>
                <w:color w:val="auto"/>
                <w:sz w:val="21"/>
                <w:szCs w:val="21"/>
              </w:rPr>
            </w:pPr>
            <w:r>
              <w:rPr>
                <w:bCs/>
                <w:color w:val="auto"/>
                <w:sz w:val="21"/>
                <w:szCs w:val="21"/>
              </w:rPr>
              <w:t>SW</w:t>
            </w:r>
          </w:p>
        </w:tc>
        <w:tc>
          <w:tcPr>
            <w:tcW w:w="1001" w:type="dxa"/>
            <w:vAlign w:val="center"/>
          </w:tcPr>
          <w:p>
            <w:pPr>
              <w:snapToGrid w:val="0"/>
              <w:spacing w:line="312" w:lineRule="exact"/>
              <w:ind w:firstLine="0" w:firstLineChars="0"/>
              <w:jc w:val="center"/>
              <w:rPr>
                <w:bCs/>
                <w:color w:val="auto"/>
                <w:sz w:val="21"/>
                <w:szCs w:val="21"/>
              </w:rPr>
            </w:pPr>
            <w:r>
              <w:rPr>
                <w:bCs/>
                <w:color w:val="auto"/>
                <w:sz w:val="21"/>
                <w:szCs w:val="21"/>
              </w:rPr>
              <w:t>WSW</w:t>
            </w:r>
          </w:p>
        </w:tc>
        <w:tc>
          <w:tcPr>
            <w:tcW w:w="637" w:type="dxa"/>
            <w:vAlign w:val="center"/>
          </w:tcPr>
          <w:p>
            <w:pPr>
              <w:snapToGrid w:val="0"/>
              <w:spacing w:line="312" w:lineRule="exact"/>
              <w:ind w:firstLine="0" w:firstLineChars="0"/>
              <w:jc w:val="center"/>
              <w:rPr>
                <w:bCs/>
                <w:color w:val="auto"/>
                <w:sz w:val="21"/>
                <w:szCs w:val="21"/>
              </w:rPr>
            </w:pPr>
            <w:r>
              <w:rPr>
                <w:bCs/>
                <w:color w:val="auto"/>
                <w:sz w:val="21"/>
                <w:szCs w:val="21"/>
              </w:rPr>
              <w:t>W</w:t>
            </w:r>
          </w:p>
        </w:tc>
        <w:tc>
          <w:tcPr>
            <w:tcW w:w="1049" w:type="dxa"/>
            <w:vAlign w:val="center"/>
          </w:tcPr>
          <w:p>
            <w:pPr>
              <w:snapToGrid w:val="0"/>
              <w:spacing w:line="312" w:lineRule="exact"/>
              <w:ind w:firstLine="0" w:firstLineChars="0"/>
              <w:jc w:val="center"/>
              <w:rPr>
                <w:bCs/>
                <w:color w:val="auto"/>
                <w:sz w:val="21"/>
                <w:szCs w:val="21"/>
              </w:rPr>
            </w:pPr>
            <w:r>
              <w:rPr>
                <w:bCs/>
                <w:color w:val="auto"/>
                <w:sz w:val="21"/>
                <w:szCs w:val="21"/>
              </w:rPr>
              <w:t>WNW</w:t>
            </w:r>
          </w:p>
        </w:tc>
        <w:tc>
          <w:tcPr>
            <w:tcW w:w="768" w:type="dxa"/>
            <w:vAlign w:val="center"/>
          </w:tcPr>
          <w:p>
            <w:pPr>
              <w:snapToGrid w:val="0"/>
              <w:spacing w:line="312" w:lineRule="exact"/>
              <w:ind w:firstLine="0" w:firstLineChars="0"/>
              <w:jc w:val="center"/>
              <w:rPr>
                <w:bCs/>
                <w:color w:val="auto"/>
                <w:sz w:val="21"/>
                <w:szCs w:val="21"/>
              </w:rPr>
            </w:pPr>
            <w:r>
              <w:rPr>
                <w:bCs/>
                <w:color w:val="auto"/>
                <w:sz w:val="21"/>
                <w:szCs w:val="21"/>
              </w:rPr>
              <w:t>NW</w:t>
            </w:r>
          </w:p>
        </w:tc>
        <w:tc>
          <w:tcPr>
            <w:tcW w:w="973" w:type="dxa"/>
            <w:vAlign w:val="center"/>
          </w:tcPr>
          <w:p>
            <w:pPr>
              <w:snapToGrid w:val="0"/>
              <w:spacing w:line="312" w:lineRule="exact"/>
              <w:ind w:firstLine="0" w:firstLineChars="0"/>
              <w:jc w:val="center"/>
              <w:rPr>
                <w:bCs/>
                <w:color w:val="auto"/>
                <w:sz w:val="21"/>
                <w:szCs w:val="21"/>
              </w:rPr>
            </w:pPr>
            <w:r>
              <w:rPr>
                <w:bCs/>
                <w:color w:val="auto"/>
                <w:sz w:val="21"/>
                <w:szCs w:val="21"/>
              </w:rPr>
              <w:t>NNW</w:t>
            </w:r>
          </w:p>
        </w:tc>
        <w:tc>
          <w:tcPr>
            <w:tcW w:w="776" w:type="dxa"/>
            <w:vAlign w:val="center"/>
          </w:tcPr>
          <w:p>
            <w:pPr>
              <w:snapToGrid w:val="0"/>
              <w:spacing w:line="312" w:lineRule="exact"/>
              <w:ind w:firstLine="0" w:firstLineChars="0"/>
              <w:jc w:val="center"/>
              <w:rPr>
                <w:bCs/>
                <w:color w:val="auto"/>
                <w:sz w:val="21"/>
                <w:szCs w:val="21"/>
              </w:rPr>
            </w:pPr>
            <w:r>
              <w:rPr>
                <w:bCs/>
                <w:color w:val="auto"/>
                <w:sz w:val="21"/>
                <w:szCs w:val="21"/>
              </w:rPr>
              <w:t>C</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snapToGrid w:val="0"/>
              <w:spacing w:line="312" w:lineRule="exact"/>
              <w:ind w:firstLine="0" w:firstLineChars="0"/>
              <w:jc w:val="center"/>
              <w:rPr>
                <w:bCs/>
                <w:color w:val="auto"/>
                <w:sz w:val="21"/>
                <w:szCs w:val="21"/>
              </w:rPr>
            </w:pPr>
            <w:r>
              <w:rPr>
                <w:bCs/>
                <w:color w:val="auto"/>
                <w:sz w:val="21"/>
                <w:szCs w:val="21"/>
              </w:rPr>
              <w:t>平均</w:t>
            </w:r>
          </w:p>
        </w:tc>
        <w:tc>
          <w:tcPr>
            <w:tcW w:w="637" w:type="dxa"/>
            <w:vAlign w:val="center"/>
          </w:tcPr>
          <w:p>
            <w:pPr>
              <w:widowControl/>
              <w:spacing w:line="312" w:lineRule="exact"/>
              <w:ind w:firstLine="0" w:firstLineChars="0"/>
              <w:jc w:val="center"/>
              <w:rPr>
                <w:bCs/>
                <w:color w:val="auto"/>
                <w:sz w:val="21"/>
                <w:szCs w:val="21"/>
              </w:rPr>
            </w:pPr>
            <w:r>
              <w:rPr>
                <w:bCs/>
                <w:color w:val="auto"/>
                <w:sz w:val="21"/>
                <w:szCs w:val="21"/>
              </w:rPr>
              <w:t xml:space="preserve">3.3 </w:t>
            </w:r>
          </w:p>
        </w:tc>
        <w:tc>
          <w:tcPr>
            <w:tcW w:w="879" w:type="dxa"/>
            <w:vAlign w:val="center"/>
          </w:tcPr>
          <w:p>
            <w:pPr>
              <w:spacing w:line="312" w:lineRule="exact"/>
              <w:ind w:firstLine="0" w:firstLineChars="0"/>
              <w:jc w:val="center"/>
              <w:rPr>
                <w:bCs/>
                <w:color w:val="auto"/>
                <w:sz w:val="21"/>
                <w:szCs w:val="21"/>
              </w:rPr>
            </w:pPr>
            <w:r>
              <w:rPr>
                <w:bCs/>
                <w:color w:val="auto"/>
                <w:sz w:val="21"/>
                <w:szCs w:val="21"/>
              </w:rPr>
              <w:t xml:space="preserve">3.3 </w:t>
            </w:r>
          </w:p>
        </w:tc>
        <w:tc>
          <w:tcPr>
            <w:tcW w:w="677" w:type="dxa"/>
            <w:vAlign w:val="center"/>
          </w:tcPr>
          <w:p>
            <w:pPr>
              <w:spacing w:line="312" w:lineRule="exact"/>
              <w:ind w:firstLine="0" w:firstLineChars="0"/>
              <w:jc w:val="center"/>
              <w:rPr>
                <w:bCs/>
                <w:color w:val="auto"/>
                <w:sz w:val="21"/>
                <w:szCs w:val="21"/>
              </w:rPr>
            </w:pPr>
            <w:r>
              <w:rPr>
                <w:bCs/>
                <w:color w:val="auto"/>
                <w:sz w:val="21"/>
                <w:szCs w:val="21"/>
              </w:rPr>
              <w:t xml:space="preserve">4.7 </w:t>
            </w:r>
          </w:p>
        </w:tc>
        <w:tc>
          <w:tcPr>
            <w:tcW w:w="862" w:type="dxa"/>
            <w:vAlign w:val="center"/>
          </w:tcPr>
          <w:p>
            <w:pPr>
              <w:spacing w:line="312" w:lineRule="exact"/>
              <w:ind w:firstLine="0" w:firstLineChars="0"/>
              <w:jc w:val="center"/>
              <w:rPr>
                <w:bCs/>
                <w:color w:val="auto"/>
                <w:sz w:val="21"/>
                <w:szCs w:val="21"/>
              </w:rPr>
            </w:pPr>
            <w:r>
              <w:rPr>
                <w:bCs/>
                <w:color w:val="auto"/>
                <w:sz w:val="21"/>
                <w:szCs w:val="21"/>
              </w:rPr>
              <w:t xml:space="preserve">5.9 </w:t>
            </w:r>
          </w:p>
        </w:tc>
        <w:tc>
          <w:tcPr>
            <w:tcW w:w="637" w:type="dxa"/>
            <w:vAlign w:val="center"/>
          </w:tcPr>
          <w:p>
            <w:pPr>
              <w:spacing w:line="312" w:lineRule="exact"/>
              <w:ind w:firstLine="0" w:firstLineChars="0"/>
              <w:jc w:val="center"/>
              <w:rPr>
                <w:bCs/>
                <w:color w:val="auto"/>
                <w:sz w:val="21"/>
                <w:szCs w:val="21"/>
              </w:rPr>
            </w:pPr>
            <w:r>
              <w:rPr>
                <w:bCs/>
                <w:color w:val="auto"/>
                <w:sz w:val="21"/>
                <w:szCs w:val="21"/>
              </w:rPr>
              <w:t xml:space="preserve">8.3 </w:t>
            </w:r>
          </w:p>
        </w:tc>
        <w:tc>
          <w:tcPr>
            <w:tcW w:w="816" w:type="dxa"/>
            <w:vAlign w:val="center"/>
          </w:tcPr>
          <w:p>
            <w:pPr>
              <w:spacing w:line="312" w:lineRule="exact"/>
              <w:ind w:firstLine="0" w:firstLineChars="0"/>
              <w:jc w:val="center"/>
              <w:rPr>
                <w:bCs/>
                <w:color w:val="auto"/>
                <w:sz w:val="21"/>
                <w:szCs w:val="21"/>
              </w:rPr>
            </w:pPr>
            <w:r>
              <w:rPr>
                <w:bCs/>
                <w:color w:val="auto"/>
                <w:sz w:val="21"/>
                <w:szCs w:val="21"/>
              </w:rPr>
              <w:t xml:space="preserve">10.0 </w:t>
            </w:r>
          </w:p>
        </w:tc>
        <w:tc>
          <w:tcPr>
            <w:tcW w:w="637" w:type="dxa"/>
            <w:vAlign w:val="center"/>
          </w:tcPr>
          <w:p>
            <w:pPr>
              <w:spacing w:line="312" w:lineRule="exact"/>
              <w:ind w:firstLine="0" w:firstLineChars="0"/>
              <w:jc w:val="center"/>
              <w:rPr>
                <w:bCs/>
                <w:color w:val="auto"/>
                <w:sz w:val="21"/>
                <w:szCs w:val="21"/>
              </w:rPr>
            </w:pPr>
            <w:r>
              <w:rPr>
                <w:bCs/>
                <w:color w:val="auto"/>
                <w:sz w:val="21"/>
                <w:szCs w:val="21"/>
              </w:rPr>
              <w:t xml:space="preserve">4.7 </w:t>
            </w:r>
          </w:p>
        </w:tc>
        <w:tc>
          <w:tcPr>
            <w:tcW w:w="785" w:type="dxa"/>
            <w:vAlign w:val="center"/>
          </w:tcPr>
          <w:p>
            <w:pPr>
              <w:spacing w:line="312" w:lineRule="exact"/>
              <w:ind w:firstLine="0" w:firstLineChars="0"/>
              <w:jc w:val="center"/>
              <w:rPr>
                <w:bCs/>
                <w:color w:val="auto"/>
                <w:sz w:val="21"/>
                <w:szCs w:val="21"/>
              </w:rPr>
            </w:pPr>
            <w:r>
              <w:rPr>
                <w:bCs/>
                <w:color w:val="auto"/>
                <w:sz w:val="21"/>
                <w:szCs w:val="21"/>
              </w:rPr>
              <w:t xml:space="preserve">3.4 </w:t>
            </w:r>
          </w:p>
        </w:tc>
        <w:tc>
          <w:tcPr>
            <w:tcW w:w="637" w:type="dxa"/>
            <w:vAlign w:val="center"/>
          </w:tcPr>
          <w:p>
            <w:pPr>
              <w:spacing w:line="312" w:lineRule="exact"/>
              <w:ind w:firstLine="0" w:firstLineChars="0"/>
              <w:jc w:val="center"/>
              <w:rPr>
                <w:bCs/>
                <w:color w:val="auto"/>
                <w:sz w:val="21"/>
                <w:szCs w:val="21"/>
              </w:rPr>
            </w:pPr>
            <w:r>
              <w:rPr>
                <w:bCs/>
                <w:color w:val="auto"/>
                <w:sz w:val="21"/>
                <w:szCs w:val="21"/>
              </w:rPr>
              <w:t xml:space="preserve">4.0 </w:t>
            </w:r>
          </w:p>
        </w:tc>
        <w:tc>
          <w:tcPr>
            <w:tcW w:w="879" w:type="dxa"/>
            <w:vAlign w:val="center"/>
          </w:tcPr>
          <w:p>
            <w:pPr>
              <w:spacing w:line="312" w:lineRule="exact"/>
              <w:ind w:firstLine="0" w:firstLineChars="0"/>
              <w:jc w:val="center"/>
              <w:rPr>
                <w:bCs/>
                <w:color w:val="auto"/>
                <w:sz w:val="21"/>
                <w:szCs w:val="21"/>
              </w:rPr>
            </w:pPr>
            <w:r>
              <w:rPr>
                <w:bCs/>
                <w:color w:val="auto"/>
                <w:sz w:val="21"/>
                <w:szCs w:val="21"/>
              </w:rPr>
              <w:t xml:space="preserve">8.4 </w:t>
            </w:r>
          </w:p>
        </w:tc>
        <w:tc>
          <w:tcPr>
            <w:tcW w:w="722" w:type="dxa"/>
            <w:vAlign w:val="center"/>
          </w:tcPr>
          <w:p>
            <w:pPr>
              <w:spacing w:line="312" w:lineRule="exact"/>
              <w:ind w:firstLine="0" w:firstLineChars="0"/>
              <w:jc w:val="center"/>
              <w:rPr>
                <w:bCs/>
                <w:color w:val="auto"/>
                <w:sz w:val="21"/>
                <w:szCs w:val="21"/>
              </w:rPr>
            </w:pPr>
            <w:r>
              <w:rPr>
                <w:bCs/>
                <w:color w:val="auto"/>
                <w:sz w:val="21"/>
                <w:szCs w:val="21"/>
              </w:rPr>
              <w:t xml:space="preserve">6.4 </w:t>
            </w:r>
          </w:p>
        </w:tc>
        <w:tc>
          <w:tcPr>
            <w:tcW w:w="1001" w:type="dxa"/>
            <w:vAlign w:val="center"/>
          </w:tcPr>
          <w:p>
            <w:pPr>
              <w:spacing w:line="312" w:lineRule="exact"/>
              <w:ind w:firstLine="0" w:firstLineChars="0"/>
              <w:jc w:val="center"/>
              <w:rPr>
                <w:bCs/>
                <w:color w:val="auto"/>
                <w:sz w:val="21"/>
                <w:szCs w:val="21"/>
              </w:rPr>
            </w:pPr>
            <w:r>
              <w:rPr>
                <w:bCs/>
                <w:color w:val="auto"/>
                <w:sz w:val="21"/>
                <w:szCs w:val="21"/>
              </w:rPr>
              <w:t xml:space="preserve">7.6 </w:t>
            </w:r>
          </w:p>
        </w:tc>
        <w:tc>
          <w:tcPr>
            <w:tcW w:w="637" w:type="dxa"/>
            <w:vAlign w:val="center"/>
          </w:tcPr>
          <w:p>
            <w:pPr>
              <w:spacing w:line="312" w:lineRule="exact"/>
              <w:ind w:firstLine="0" w:firstLineChars="0"/>
              <w:jc w:val="center"/>
              <w:rPr>
                <w:bCs/>
                <w:color w:val="auto"/>
                <w:sz w:val="21"/>
                <w:szCs w:val="21"/>
              </w:rPr>
            </w:pPr>
            <w:r>
              <w:rPr>
                <w:bCs/>
                <w:color w:val="auto"/>
                <w:sz w:val="21"/>
                <w:szCs w:val="21"/>
              </w:rPr>
              <w:t xml:space="preserve">5.4 </w:t>
            </w:r>
          </w:p>
        </w:tc>
        <w:tc>
          <w:tcPr>
            <w:tcW w:w="1049" w:type="dxa"/>
            <w:vAlign w:val="center"/>
          </w:tcPr>
          <w:p>
            <w:pPr>
              <w:spacing w:line="312" w:lineRule="exact"/>
              <w:ind w:firstLine="0" w:firstLineChars="0"/>
              <w:jc w:val="center"/>
              <w:rPr>
                <w:bCs/>
                <w:color w:val="auto"/>
                <w:sz w:val="21"/>
                <w:szCs w:val="21"/>
              </w:rPr>
            </w:pPr>
            <w:r>
              <w:rPr>
                <w:bCs/>
                <w:color w:val="auto"/>
                <w:sz w:val="21"/>
                <w:szCs w:val="21"/>
              </w:rPr>
              <w:t xml:space="preserve">6.2 </w:t>
            </w:r>
          </w:p>
        </w:tc>
        <w:tc>
          <w:tcPr>
            <w:tcW w:w="768" w:type="dxa"/>
            <w:vAlign w:val="center"/>
          </w:tcPr>
          <w:p>
            <w:pPr>
              <w:spacing w:line="312" w:lineRule="exact"/>
              <w:ind w:firstLine="0" w:firstLineChars="0"/>
              <w:jc w:val="center"/>
              <w:rPr>
                <w:bCs/>
                <w:color w:val="auto"/>
                <w:sz w:val="21"/>
                <w:szCs w:val="21"/>
              </w:rPr>
            </w:pPr>
            <w:r>
              <w:rPr>
                <w:bCs/>
                <w:color w:val="auto"/>
                <w:sz w:val="21"/>
                <w:szCs w:val="21"/>
              </w:rPr>
              <w:t xml:space="preserve">4.6 </w:t>
            </w:r>
          </w:p>
        </w:tc>
        <w:tc>
          <w:tcPr>
            <w:tcW w:w="973" w:type="dxa"/>
            <w:vAlign w:val="center"/>
          </w:tcPr>
          <w:p>
            <w:pPr>
              <w:spacing w:line="312" w:lineRule="exact"/>
              <w:ind w:firstLine="0" w:firstLineChars="0"/>
              <w:jc w:val="center"/>
              <w:rPr>
                <w:bCs/>
                <w:color w:val="auto"/>
                <w:sz w:val="21"/>
                <w:szCs w:val="21"/>
              </w:rPr>
            </w:pPr>
            <w:r>
              <w:rPr>
                <w:bCs/>
                <w:color w:val="auto"/>
                <w:sz w:val="21"/>
                <w:szCs w:val="21"/>
              </w:rPr>
              <w:t xml:space="preserve">3.9 </w:t>
            </w:r>
          </w:p>
        </w:tc>
        <w:tc>
          <w:tcPr>
            <w:tcW w:w="776" w:type="dxa"/>
            <w:vAlign w:val="center"/>
          </w:tcPr>
          <w:p>
            <w:pPr>
              <w:spacing w:line="312" w:lineRule="exact"/>
              <w:ind w:firstLine="0" w:firstLineChars="0"/>
              <w:jc w:val="center"/>
              <w:rPr>
                <w:bCs/>
                <w:color w:val="auto"/>
                <w:sz w:val="21"/>
                <w:szCs w:val="21"/>
              </w:rPr>
            </w:pPr>
            <w:r>
              <w:rPr>
                <w:bCs/>
                <w:color w:val="auto"/>
                <w:sz w:val="21"/>
                <w:szCs w:val="21"/>
              </w:rPr>
              <w:t xml:space="preserve">9.8 </w:t>
            </w:r>
          </w:p>
        </w:tc>
      </w:tr>
    </w:tbl>
    <w:p>
      <w:pPr>
        <w:ind w:firstLine="480"/>
        <w:rPr>
          <w:color w:val="auto"/>
        </w:rPr>
        <w:sectPr>
          <w:pgSz w:w="16838" w:h="11906" w:orient="landscape"/>
          <w:pgMar w:top="1418" w:right="1418" w:bottom="1418" w:left="1418" w:header="992" w:footer="992" w:gutter="0"/>
          <w:pgBorders>
            <w:top w:val="none" w:sz="0" w:space="0"/>
            <w:left w:val="none" w:sz="0" w:space="0"/>
            <w:bottom w:val="none" w:sz="0" w:space="0"/>
            <w:right w:val="none" w:sz="0" w:space="0"/>
          </w:pgBorders>
          <w:cols w:space="720" w:num="1"/>
          <w:docGrid w:linePitch="312" w:charSpace="0"/>
        </w:sectPr>
      </w:pPr>
    </w:p>
    <w:p>
      <w:pPr>
        <w:ind w:firstLine="480"/>
        <w:rPr>
          <w:color w:val="auto"/>
        </w:rPr>
      </w:pPr>
      <w:r>
        <w:rPr>
          <w:color w:val="auto"/>
          <w:szCs w:val="22"/>
        </w:rPr>
        <w:t>（</w:t>
      </w:r>
      <w:r>
        <w:rPr>
          <w:color w:val="auto"/>
        </w:rPr>
        <w:t>2）地面气象参数收集与统计</w:t>
      </w:r>
    </w:p>
    <w:p>
      <w:pPr>
        <w:ind w:firstLine="480"/>
        <w:rPr>
          <w:color w:val="auto"/>
        </w:rPr>
      </w:pPr>
      <w:r>
        <w:rPr>
          <w:color w:val="auto"/>
        </w:rPr>
        <w:t>按《环境影响评价技术导则</w:t>
      </w:r>
      <w:r>
        <w:rPr>
          <w:rFonts w:hint="eastAsia"/>
          <w:color w:val="auto"/>
        </w:rPr>
        <w:t xml:space="preserve"> </w:t>
      </w:r>
      <w:r>
        <w:rPr>
          <w:color w:val="auto"/>
        </w:rPr>
        <w:t>大气环境》</w:t>
      </w:r>
      <w:r>
        <w:rPr>
          <w:rFonts w:hint="eastAsia"/>
          <w:color w:val="auto"/>
        </w:rPr>
        <w:t>（</w:t>
      </w:r>
      <w:r>
        <w:rPr>
          <w:color w:val="auto"/>
        </w:rPr>
        <w:t>HJ 2.2-2008</w:t>
      </w:r>
      <w:r>
        <w:rPr>
          <w:rFonts w:hint="eastAsia"/>
          <w:color w:val="auto"/>
        </w:rPr>
        <w:t>）</w:t>
      </w:r>
      <w:r>
        <w:rPr>
          <w:color w:val="auto"/>
        </w:rPr>
        <w:t>要求分析常规地面气象资料统计特征量。工程地面气象参数采用当地201</w:t>
      </w:r>
      <w:r>
        <w:rPr>
          <w:rFonts w:hint="eastAsia"/>
          <w:color w:val="auto"/>
          <w:lang w:val="en-US" w:eastAsia="zh-CN"/>
        </w:rPr>
        <w:t>9</w:t>
      </w:r>
      <w:r>
        <w:rPr>
          <w:color w:val="auto"/>
        </w:rPr>
        <w:t>年逐时24次地面观测数据，云量采用线性差值，其余均为实测数据。地面气象数据项目包括：风向、风速、总云量、低云量、干球温度、站点处大气压，均为模式必需参数。以下为地面气象观测数据的统计分析。</w:t>
      </w:r>
    </w:p>
    <w:p>
      <w:pPr>
        <w:ind w:firstLine="480"/>
        <w:rPr>
          <w:color w:val="auto"/>
        </w:rPr>
      </w:pPr>
      <w:r>
        <w:rPr>
          <w:color w:val="auto"/>
        </w:rPr>
        <w:fldChar w:fldCharType="begin"/>
      </w:r>
      <w:r>
        <w:rPr>
          <w:color w:val="auto"/>
        </w:rPr>
        <w:instrText xml:space="preserve"> = 1 \* GB3 \* MERGEFORMAT </w:instrText>
      </w:r>
      <w:r>
        <w:rPr>
          <w:color w:val="auto"/>
        </w:rPr>
        <w:fldChar w:fldCharType="separate"/>
      </w:r>
      <w:r>
        <w:rPr>
          <w:color w:val="auto"/>
        </w:rPr>
        <w:t>①</w:t>
      </w:r>
      <w:r>
        <w:rPr>
          <w:color w:val="auto"/>
        </w:rPr>
        <w:fldChar w:fldCharType="end"/>
      </w:r>
      <w:r>
        <w:rPr>
          <w:color w:val="auto"/>
        </w:rPr>
        <w:t>近地面风场基本特征</w:t>
      </w:r>
    </w:p>
    <w:p>
      <w:pPr>
        <w:ind w:firstLine="480"/>
        <w:rPr>
          <w:color w:val="auto"/>
        </w:rPr>
      </w:pPr>
      <w:r>
        <w:rPr>
          <w:color w:val="auto"/>
        </w:rPr>
        <w:t>风是影响大气污染物扩散、稀释的最重要的一个因子，风速的大小决定着污染物的扩散速率，而风向则决定着污染物的落区。用</w:t>
      </w:r>
      <w:r>
        <w:rPr>
          <w:rFonts w:hint="eastAsia"/>
          <w:color w:val="auto"/>
          <w:lang w:eastAsia="zh-CN"/>
        </w:rPr>
        <w:t>张店</w:t>
      </w:r>
      <w:r>
        <w:rPr>
          <w:color w:val="auto"/>
        </w:rPr>
        <w:t>气象站201</w:t>
      </w:r>
      <w:r>
        <w:rPr>
          <w:rFonts w:hint="eastAsia"/>
          <w:color w:val="auto"/>
          <w:lang w:val="en-US" w:eastAsia="zh-CN"/>
        </w:rPr>
        <w:t>9</w:t>
      </w:r>
      <w:r>
        <w:rPr>
          <w:color w:val="auto"/>
        </w:rPr>
        <w:t>年逐时观测资料分析该区域的近地面风场特征。</w:t>
      </w:r>
    </w:p>
    <w:p>
      <w:pPr>
        <w:ind w:firstLine="480"/>
        <w:rPr>
          <w:color w:val="auto"/>
        </w:rPr>
      </w:pPr>
      <w:r>
        <w:rPr>
          <w:color w:val="auto"/>
        </w:rPr>
        <w:fldChar w:fldCharType="begin"/>
      </w:r>
      <w:r>
        <w:rPr>
          <w:color w:val="auto"/>
        </w:rPr>
        <w:instrText xml:space="preserve"> = 1 \* ROMAN \* MERGEFORMAT </w:instrText>
      </w:r>
      <w:r>
        <w:rPr>
          <w:color w:val="auto"/>
        </w:rPr>
        <w:fldChar w:fldCharType="separate"/>
      </w:r>
      <w:r>
        <w:rPr>
          <w:color w:val="auto"/>
        </w:rPr>
        <w:t>I</w:t>
      </w:r>
      <w:r>
        <w:rPr>
          <w:color w:val="auto"/>
        </w:rPr>
        <w:fldChar w:fldCharType="end"/>
      </w:r>
      <w:r>
        <w:rPr>
          <w:color w:val="auto"/>
        </w:rPr>
        <w:t>风速</w:t>
      </w:r>
    </w:p>
    <w:p>
      <w:pPr>
        <w:ind w:firstLine="480"/>
        <w:rPr>
          <w:color w:val="auto"/>
        </w:rPr>
      </w:pPr>
      <w:r>
        <w:rPr>
          <w:color w:val="auto"/>
        </w:rPr>
        <w:t>从</w:t>
      </w:r>
      <w:r>
        <w:rPr>
          <w:rFonts w:hint="eastAsia"/>
          <w:color w:val="auto"/>
          <w:lang w:eastAsia="zh-CN"/>
        </w:rPr>
        <w:t>张店</w:t>
      </w:r>
      <w:r>
        <w:rPr>
          <w:color w:val="auto"/>
        </w:rPr>
        <w:t>201</w:t>
      </w:r>
      <w:r>
        <w:rPr>
          <w:rFonts w:hint="eastAsia"/>
          <w:color w:val="auto"/>
          <w:lang w:val="en-US" w:eastAsia="zh-CN"/>
        </w:rPr>
        <w:t>9</w:t>
      </w:r>
      <w:r>
        <w:rPr>
          <w:color w:val="auto"/>
        </w:rPr>
        <w:t>年各月及年平均风速表6.1-1</w:t>
      </w:r>
      <w:r>
        <w:rPr>
          <w:rFonts w:hint="eastAsia"/>
          <w:color w:val="auto"/>
          <w:lang w:val="en-US" w:eastAsia="zh-CN"/>
        </w:rPr>
        <w:t>8</w:t>
      </w:r>
      <w:r>
        <w:rPr>
          <w:color w:val="auto"/>
        </w:rPr>
        <w:t>和</w:t>
      </w:r>
      <w:r>
        <w:rPr>
          <w:rFonts w:hint="eastAsia"/>
          <w:color w:val="auto"/>
          <w:lang w:eastAsia="zh-CN"/>
        </w:rPr>
        <w:t>张店</w:t>
      </w:r>
      <w:r>
        <w:rPr>
          <w:color w:val="auto"/>
        </w:rPr>
        <w:t>月平均风速变化曲线图6.1-2可以看出：201</w:t>
      </w:r>
      <w:r>
        <w:rPr>
          <w:rFonts w:hint="eastAsia"/>
          <w:color w:val="auto"/>
          <w:lang w:val="en-US" w:eastAsia="zh-CN"/>
        </w:rPr>
        <w:t>9</w:t>
      </w:r>
      <w:r>
        <w:rPr>
          <w:color w:val="auto"/>
        </w:rPr>
        <w:t>年春季风速较大，其中以3月份风速最大为2.85m/s；8月份风速最小为1.29m/s。</w:t>
      </w:r>
    </w:p>
    <w:p>
      <w:pPr>
        <w:pStyle w:val="64"/>
        <w:bidi w:val="0"/>
        <w:rPr>
          <w:color w:val="auto"/>
        </w:rPr>
      </w:pPr>
      <w:r>
        <w:rPr>
          <w:color w:val="auto"/>
        </w:rPr>
        <w:t>表</w:t>
      </w:r>
      <w:r>
        <w:rPr>
          <w:rFonts w:hint="eastAsia"/>
          <w:color w:val="auto"/>
          <w:lang w:val="en-US" w:eastAsia="zh-CN"/>
        </w:rPr>
        <w:t>5</w:t>
      </w:r>
      <w:r>
        <w:rPr>
          <w:color w:val="auto"/>
        </w:rPr>
        <w:t>.1-1</w:t>
      </w:r>
      <w:r>
        <w:rPr>
          <w:rFonts w:hint="eastAsia"/>
          <w:color w:val="auto"/>
          <w:lang w:val="en-US" w:eastAsia="zh-CN"/>
        </w:rPr>
        <w:t>0</w:t>
      </w:r>
      <w:r>
        <w:rPr>
          <w:color w:val="auto"/>
        </w:rPr>
        <w:t xml:space="preserve">  </w:t>
      </w:r>
      <w:r>
        <w:rPr>
          <w:rFonts w:hint="eastAsia"/>
          <w:color w:val="auto"/>
          <w:lang w:eastAsia="zh-CN"/>
        </w:rPr>
        <w:t>张店</w:t>
      </w:r>
      <w:r>
        <w:rPr>
          <w:color w:val="auto"/>
        </w:rPr>
        <w:t>气象站201</w:t>
      </w:r>
      <w:r>
        <w:rPr>
          <w:rFonts w:hint="eastAsia"/>
          <w:color w:val="auto"/>
          <w:lang w:val="en-US" w:eastAsia="zh-CN"/>
        </w:rPr>
        <w:t>9</w:t>
      </w:r>
      <w:r>
        <w:rPr>
          <w:color w:val="auto"/>
        </w:rPr>
        <w:t>年各月及年平均风速（单位：m/s）</w:t>
      </w:r>
    </w:p>
    <w:tbl>
      <w:tblPr>
        <w:tblStyle w:val="22"/>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7"/>
        <w:gridCol w:w="600"/>
        <w:gridCol w:w="600"/>
        <w:gridCol w:w="600"/>
        <w:gridCol w:w="602"/>
        <w:gridCol w:w="602"/>
        <w:gridCol w:w="602"/>
        <w:gridCol w:w="602"/>
        <w:gridCol w:w="600"/>
        <w:gridCol w:w="600"/>
        <w:gridCol w:w="600"/>
        <w:gridCol w:w="600"/>
        <w:gridCol w:w="601"/>
        <w:gridCol w:w="6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5" w:type="pct"/>
            <w:vAlign w:val="center"/>
          </w:tcPr>
          <w:p>
            <w:pPr>
              <w:snapToGrid w:val="0"/>
              <w:spacing w:line="312" w:lineRule="exact"/>
              <w:ind w:firstLine="0" w:firstLineChars="0"/>
              <w:jc w:val="center"/>
              <w:rPr>
                <w:bCs/>
                <w:color w:val="auto"/>
                <w:sz w:val="21"/>
                <w:szCs w:val="21"/>
              </w:rPr>
            </w:pPr>
            <w:r>
              <w:rPr>
                <w:bCs/>
                <w:color w:val="auto"/>
                <w:sz w:val="21"/>
                <w:szCs w:val="21"/>
              </w:rPr>
              <w:t>月份</w:t>
            </w:r>
          </w:p>
        </w:tc>
        <w:tc>
          <w:tcPr>
            <w:tcW w:w="352" w:type="pct"/>
            <w:vAlign w:val="center"/>
          </w:tcPr>
          <w:p>
            <w:pPr>
              <w:snapToGrid w:val="0"/>
              <w:spacing w:line="312" w:lineRule="exact"/>
              <w:ind w:firstLine="0" w:firstLineChars="0"/>
              <w:jc w:val="center"/>
              <w:rPr>
                <w:bCs/>
                <w:color w:val="auto"/>
                <w:sz w:val="21"/>
                <w:szCs w:val="21"/>
              </w:rPr>
            </w:pPr>
            <w:r>
              <w:rPr>
                <w:bCs/>
                <w:color w:val="auto"/>
                <w:sz w:val="21"/>
                <w:szCs w:val="21"/>
              </w:rPr>
              <w:t>1</w:t>
            </w:r>
          </w:p>
        </w:tc>
        <w:tc>
          <w:tcPr>
            <w:tcW w:w="352" w:type="pct"/>
            <w:vAlign w:val="center"/>
          </w:tcPr>
          <w:p>
            <w:pPr>
              <w:snapToGrid w:val="0"/>
              <w:spacing w:line="312" w:lineRule="exact"/>
              <w:ind w:firstLine="0" w:firstLineChars="0"/>
              <w:jc w:val="center"/>
              <w:rPr>
                <w:bCs/>
                <w:color w:val="auto"/>
                <w:sz w:val="21"/>
                <w:szCs w:val="21"/>
              </w:rPr>
            </w:pPr>
            <w:r>
              <w:rPr>
                <w:bCs/>
                <w:color w:val="auto"/>
                <w:sz w:val="21"/>
                <w:szCs w:val="21"/>
              </w:rPr>
              <w:t>2</w:t>
            </w:r>
          </w:p>
        </w:tc>
        <w:tc>
          <w:tcPr>
            <w:tcW w:w="352" w:type="pct"/>
            <w:vAlign w:val="center"/>
          </w:tcPr>
          <w:p>
            <w:pPr>
              <w:snapToGrid w:val="0"/>
              <w:spacing w:line="312" w:lineRule="exact"/>
              <w:ind w:firstLine="0" w:firstLineChars="0"/>
              <w:jc w:val="center"/>
              <w:rPr>
                <w:bCs/>
                <w:color w:val="auto"/>
                <w:sz w:val="21"/>
                <w:szCs w:val="21"/>
              </w:rPr>
            </w:pPr>
            <w:r>
              <w:rPr>
                <w:bCs/>
                <w:color w:val="auto"/>
                <w:sz w:val="21"/>
                <w:szCs w:val="21"/>
              </w:rPr>
              <w:t>3</w:t>
            </w:r>
          </w:p>
        </w:tc>
        <w:tc>
          <w:tcPr>
            <w:tcW w:w="353" w:type="pct"/>
            <w:vAlign w:val="center"/>
          </w:tcPr>
          <w:p>
            <w:pPr>
              <w:snapToGrid w:val="0"/>
              <w:spacing w:line="312" w:lineRule="exact"/>
              <w:ind w:firstLine="0" w:firstLineChars="0"/>
              <w:jc w:val="center"/>
              <w:rPr>
                <w:bCs/>
                <w:color w:val="auto"/>
                <w:sz w:val="21"/>
                <w:szCs w:val="21"/>
              </w:rPr>
            </w:pPr>
            <w:r>
              <w:rPr>
                <w:bCs/>
                <w:color w:val="auto"/>
                <w:sz w:val="21"/>
                <w:szCs w:val="21"/>
              </w:rPr>
              <w:t>4</w:t>
            </w:r>
          </w:p>
        </w:tc>
        <w:tc>
          <w:tcPr>
            <w:tcW w:w="353" w:type="pct"/>
            <w:vAlign w:val="center"/>
          </w:tcPr>
          <w:p>
            <w:pPr>
              <w:snapToGrid w:val="0"/>
              <w:spacing w:line="312" w:lineRule="exact"/>
              <w:ind w:firstLine="0" w:firstLineChars="0"/>
              <w:jc w:val="center"/>
              <w:rPr>
                <w:bCs/>
                <w:color w:val="auto"/>
                <w:sz w:val="21"/>
                <w:szCs w:val="21"/>
              </w:rPr>
            </w:pPr>
            <w:r>
              <w:rPr>
                <w:bCs/>
                <w:color w:val="auto"/>
                <w:sz w:val="21"/>
                <w:szCs w:val="21"/>
              </w:rPr>
              <w:t>5</w:t>
            </w:r>
          </w:p>
        </w:tc>
        <w:tc>
          <w:tcPr>
            <w:tcW w:w="353" w:type="pct"/>
            <w:vAlign w:val="center"/>
          </w:tcPr>
          <w:p>
            <w:pPr>
              <w:snapToGrid w:val="0"/>
              <w:spacing w:line="312" w:lineRule="exact"/>
              <w:ind w:firstLine="0" w:firstLineChars="0"/>
              <w:jc w:val="center"/>
              <w:rPr>
                <w:bCs/>
                <w:color w:val="auto"/>
                <w:sz w:val="21"/>
                <w:szCs w:val="21"/>
              </w:rPr>
            </w:pPr>
            <w:r>
              <w:rPr>
                <w:bCs/>
                <w:color w:val="auto"/>
                <w:sz w:val="21"/>
                <w:szCs w:val="21"/>
              </w:rPr>
              <w:t>6</w:t>
            </w:r>
          </w:p>
        </w:tc>
        <w:tc>
          <w:tcPr>
            <w:tcW w:w="353" w:type="pct"/>
            <w:vAlign w:val="center"/>
          </w:tcPr>
          <w:p>
            <w:pPr>
              <w:snapToGrid w:val="0"/>
              <w:spacing w:line="312" w:lineRule="exact"/>
              <w:ind w:firstLine="0" w:firstLineChars="0"/>
              <w:jc w:val="center"/>
              <w:rPr>
                <w:bCs/>
                <w:color w:val="auto"/>
                <w:sz w:val="21"/>
                <w:szCs w:val="21"/>
              </w:rPr>
            </w:pPr>
            <w:r>
              <w:rPr>
                <w:bCs/>
                <w:color w:val="auto"/>
                <w:sz w:val="21"/>
                <w:szCs w:val="21"/>
              </w:rPr>
              <w:t>7</w:t>
            </w:r>
          </w:p>
        </w:tc>
        <w:tc>
          <w:tcPr>
            <w:tcW w:w="352" w:type="pct"/>
            <w:vAlign w:val="center"/>
          </w:tcPr>
          <w:p>
            <w:pPr>
              <w:snapToGrid w:val="0"/>
              <w:spacing w:line="312" w:lineRule="exact"/>
              <w:ind w:firstLine="0" w:firstLineChars="0"/>
              <w:jc w:val="center"/>
              <w:rPr>
                <w:bCs/>
                <w:color w:val="auto"/>
                <w:sz w:val="21"/>
                <w:szCs w:val="21"/>
              </w:rPr>
            </w:pPr>
            <w:r>
              <w:rPr>
                <w:bCs/>
                <w:color w:val="auto"/>
                <w:sz w:val="21"/>
                <w:szCs w:val="21"/>
              </w:rPr>
              <w:t>8</w:t>
            </w:r>
          </w:p>
        </w:tc>
        <w:tc>
          <w:tcPr>
            <w:tcW w:w="352" w:type="pct"/>
            <w:vAlign w:val="center"/>
          </w:tcPr>
          <w:p>
            <w:pPr>
              <w:snapToGrid w:val="0"/>
              <w:spacing w:line="312" w:lineRule="exact"/>
              <w:ind w:firstLine="0" w:firstLineChars="0"/>
              <w:jc w:val="center"/>
              <w:rPr>
                <w:bCs/>
                <w:color w:val="auto"/>
                <w:sz w:val="21"/>
                <w:szCs w:val="21"/>
              </w:rPr>
            </w:pPr>
            <w:r>
              <w:rPr>
                <w:bCs/>
                <w:color w:val="auto"/>
                <w:sz w:val="21"/>
                <w:szCs w:val="21"/>
              </w:rPr>
              <w:t>9</w:t>
            </w:r>
          </w:p>
        </w:tc>
        <w:tc>
          <w:tcPr>
            <w:tcW w:w="352" w:type="pct"/>
            <w:vAlign w:val="center"/>
          </w:tcPr>
          <w:p>
            <w:pPr>
              <w:snapToGrid w:val="0"/>
              <w:spacing w:line="312" w:lineRule="exact"/>
              <w:ind w:firstLine="0" w:firstLineChars="0"/>
              <w:jc w:val="center"/>
              <w:rPr>
                <w:bCs/>
                <w:color w:val="auto"/>
                <w:sz w:val="21"/>
                <w:szCs w:val="21"/>
              </w:rPr>
            </w:pPr>
            <w:r>
              <w:rPr>
                <w:bCs/>
                <w:color w:val="auto"/>
                <w:sz w:val="21"/>
                <w:szCs w:val="21"/>
              </w:rPr>
              <w:t>10</w:t>
            </w:r>
          </w:p>
        </w:tc>
        <w:tc>
          <w:tcPr>
            <w:tcW w:w="352" w:type="pct"/>
            <w:vAlign w:val="center"/>
          </w:tcPr>
          <w:p>
            <w:pPr>
              <w:snapToGrid w:val="0"/>
              <w:spacing w:line="312" w:lineRule="exact"/>
              <w:ind w:firstLine="0" w:firstLineChars="0"/>
              <w:jc w:val="center"/>
              <w:rPr>
                <w:bCs/>
                <w:color w:val="auto"/>
                <w:sz w:val="21"/>
                <w:szCs w:val="21"/>
              </w:rPr>
            </w:pPr>
            <w:r>
              <w:rPr>
                <w:bCs/>
                <w:color w:val="auto"/>
                <w:sz w:val="21"/>
                <w:szCs w:val="21"/>
              </w:rPr>
              <w:t>11</w:t>
            </w:r>
          </w:p>
        </w:tc>
        <w:tc>
          <w:tcPr>
            <w:tcW w:w="352" w:type="pct"/>
            <w:vAlign w:val="center"/>
          </w:tcPr>
          <w:p>
            <w:pPr>
              <w:snapToGrid w:val="0"/>
              <w:spacing w:line="312" w:lineRule="exact"/>
              <w:ind w:firstLine="0" w:firstLineChars="0"/>
              <w:jc w:val="center"/>
              <w:rPr>
                <w:bCs/>
                <w:color w:val="auto"/>
                <w:sz w:val="21"/>
                <w:szCs w:val="21"/>
              </w:rPr>
            </w:pPr>
            <w:r>
              <w:rPr>
                <w:bCs/>
                <w:color w:val="auto"/>
                <w:sz w:val="21"/>
                <w:szCs w:val="21"/>
              </w:rPr>
              <w:t>12</w:t>
            </w:r>
          </w:p>
        </w:tc>
        <w:tc>
          <w:tcPr>
            <w:tcW w:w="382" w:type="pct"/>
            <w:vAlign w:val="center"/>
          </w:tcPr>
          <w:p>
            <w:pPr>
              <w:snapToGrid w:val="0"/>
              <w:spacing w:line="312" w:lineRule="exact"/>
              <w:ind w:firstLine="0" w:firstLineChars="0"/>
              <w:jc w:val="center"/>
              <w:rPr>
                <w:bCs/>
                <w:color w:val="auto"/>
                <w:sz w:val="21"/>
                <w:szCs w:val="21"/>
              </w:rPr>
            </w:pPr>
            <w:r>
              <w:rPr>
                <w:bCs/>
                <w:color w:val="auto"/>
                <w:sz w:val="21"/>
                <w:szCs w:val="21"/>
              </w:rPr>
              <w:t>平均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5" w:type="pct"/>
            <w:vAlign w:val="center"/>
          </w:tcPr>
          <w:p>
            <w:pPr>
              <w:snapToGrid w:val="0"/>
              <w:spacing w:line="312" w:lineRule="exact"/>
              <w:ind w:firstLine="0" w:firstLineChars="0"/>
              <w:jc w:val="center"/>
              <w:rPr>
                <w:bCs/>
                <w:color w:val="auto"/>
                <w:sz w:val="21"/>
                <w:szCs w:val="21"/>
              </w:rPr>
            </w:pPr>
            <w:r>
              <w:rPr>
                <w:bCs/>
                <w:color w:val="auto"/>
                <w:sz w:val="21"/>
                <w:szCs w:val="21"/>
              </w:rPr>
              <w:t>风速</w:t>
            </w:r>
          </w:p>
        </w:tc>
        <w:tc>
          <w:tcPr>
            <w:tcW w:w="352" w:type="pct"/>
            <w:vAlign w:val="bottom"/>
          </w:tcPr>
          <w:p>
            <w:pPr>
              <w:spacing w:line="312" w:lineRule="exact"/>
              <w:ind w:firstLine="0" w:firstLineChars="0"/>
              <w:jc w:val="center"/>
              <w:rPr>
                <w:bCs/>
                <w:color w:val="auto"/>
                <w:sz w:val="21"/>
                <w:szCs w:val="21"/>
              </w:rPr>
            </w:pPr>
            <w:r>
              <w:rPr>
                <w:bCs/>
                <w:color w:val="auto"/>
                <w:sz w:val="21"/>
                <w:szCs w:val="21"/>
              </w:rPr>
              <w:t xml:space="preserve">2.08 </w:t>
            </w:r>
          </w:p>
        </w:tc>
        <w:tc>
          <w:tcPr>
            <w:tcW w:w="352" w:type="pct"/>
            <w:vAlign w:val="bottom"/>
          </w:tcPr>
          <w:p>
            <w:pPr>
              <w:spacing w:line="312" w:lineRule="exact"/>
              <w:ind w:firstLine="0" w:firstLineChars="0"/>
              <w:jc w:val="center"/>
              <w:rPr>
                <w:bCs/>
                <w:color w:val="auto"/>
                <w:sz w:val="21"/>
                <w:szCs w:val="21"/>
              </w:rPr>
            </w:pPr>
            <w:r>
              <w:rPr>
                <w:bCs/>
                <w:color w:val="auto"/>
                <w:sz w:val="21"/>
                <w:szCs w:val="21"/>
              </w:rPr>
              <w:t xml:space="preserve">2.16 </w:t>
            </w:r>
          </w:p>
        </w:tc>
        <w:tc>
          <w:tcPr>
            <w:tcW w:w="352" w:type="pct"/>
            <w:vAlign w:val="bottom"/>
          </w:tcPr>
          <w:p>
            <w:pPr>
              <w:spacing w:line="312" w:lineRule="exact"/>
              <w:ind w:firstLine="0" w:firstLineChars="0"/>
              <w:jc w:val="center"/>
              <w:rPr>
                <w:bCs/>
                <w:color w:val="auto"/>
                <w:sz w:val="21"/>
                <w:szCs w:val="21"/>
              </w:rPr>
            </w:pPr>
            <w:r>
              <w:rPr>
                <w:bCs/>
                <w:color w:val="auto"/>
                <w:sz w:val="21"/>
                <w:szCs w:val="21"/>
              </w:rPr>
              <w:t xml:space="preserve">2.85 </w:t>
            </w:r>
          </w:p>
        </w:tc>
        <w:tc>
          <w:tcPr>
            <w:tcW w:w="353" w:type="pct"/>
            <w:vAlign w:val="bottom"/>
          </w:tcPr>
          <w:p>
            <w:pPr>
              <w:spacing w:line="312" w:lineRule="exact"/>
              <w:ind w:firstLine="0" w:firstLineChars="0"/>
              <w:jc w:val="center"/>
              <w:rPr>
                <w:bCs/>
                <w:color w:val="auto"/>
                <w:sz w:val="21"/>
                <w:szCs w:val="21"/>
              </w:rPr>
            </w:pPr>
            <w:r>
              <w:rPr>
                <w:bCs/>
                <w:color w:val="auto"/>
                <w:sz w:val="21"/>
                <w:szCs w:val="21"/>
              </w:rPr>
              <w:t xml:space="preserve">2.77 </w:t>
            </w:r>
          </w:p>
        </w:tc>
        <w:tc>
          <w:tcPr>
            <w:tcW w:w="353" w:type="pct"/>
            <w:vAlign w:val="bottom"/>
          </w:tcPr>
          <w:p>
            <w:pPr>
              <w:spacing w:line="312" w:lineRule="exact"/>
              <w:ind w:firstLine="0" w:firstLineChars="0"/>
              <w:jc w:val="center"/>
              <w:rPr>
                <w:bCs/>
                <w:color w:val="auto"/>
                <w:sz w:val="21"/>
                <w:szCs w:val="21"/>
              </w:rPr>
            </w:pPr>
            <w:r>
              <w:rPr>
                <w:bCs/>
                <w:color w:val="auto"/>
                <w:sz w:val="21"/>
                <w:szCs w:val="21"/>
              </w:rPr>
              <w:t xml:space="preserve">2.28 </w:t>
            </w:r>
          </w:p>
        </w:tc>
        <w:tc>
          <w:tcPr>
            <w:tcW w:w="353" w:type="pct"/>
            <w:vAlign w:val="bottom"/>
          </w:tcPr>
          <w:p>
            <w:pPr>
              <w:spacing w:line="312" w:lineRule="exact"/>
              <w:ind w:firstLine="0" w:firstLineChars="0"/>
              <w:jc w:val="center"/>
              <w:rPr>
                <w:bCs/>
                <w:color w:val="auto"/>
                <w:sz w:val="21"/>
                <w:szCs w:val="21"/>
              </w:rPr>
            </w:pPr>
            <w:r>
              <w:rPr>
                <w:bCs/>
                <w:color w:val="auto"/>
                <w:sz w:val="21"/>
                <w:szCs w:val="21"/>
              </w:rPr>
              <w:t xml:space="preserve">2.12 </w:t>
            </w:r>
          </w:p>
        </w:tc>
        <w:tc>
          <w:tcPr>
            <w:tcW w:w="353" w:type="pct"/>
            <w:vAlign w:val="bottom"/>
          </w:tcPr>
          <w:p>
            <w:pPr>
              <w:spacing w:line="312" w:lineRule="exact"/>
              <w:ind w:firstLine="0" w:firstLineChars="0"/>
              <w:jc w:val="center"/>
              <w:rPr>
                <w:bCs/>
                <w:color w:val="auto"/>
                <w:sz w:val="21"/>
                <w:szCs w:val="21"/>
              </w:rPr>
            </w:pPr>
            <w:r>
              <w:rPr>
                <w:bCs/>
                <w:color w:val="auto"/>
                <w:sz w:val="21"/>
                <w:szCs w:val="21"/>
              </w:rPr>
              <w:t xml:space="preserve">1.51 </w:t>
            </w:r>
          </w:p>
        </w:tc>
        <w:tc>
          <w:tcPr>
            <w:tcW w:w="352" w:type="pct"/>
            <w:vAlign w:val="bottom"/>
          </w:tcPr>
          <w:p>
            <w:pPr>
              <w:spacing w:line="312" w:lineRule="exact"/>
              <w:ind w:firstLine="0" w:firstLineChars="0"/>
              <w:jc w:val="center"/>
              <w:rPr>
                <w:bCs/>
                <w:color w:val="auto"/>
                <w:sz w:val="21"/>
                <w:szCs w:val="21"/>
              </w:rPr>
            </w:pPr>
            <w:r>
              <w:rPr>
                <w:bCs/>
                <w:color w:val="auto"/>
                <w:sz w:val="21"/>
                <w:szCs w:val="21"/>
              </w:rPr>
              <w:t xml:space="preserve">1.29 </w:t>
            </w:r>
          </w:p>
        </w:tc>
        <w:tc>
          <w:tcPr>
            <w:tcW w:w="352" w:type="pct"/>
            <w:vAlign w:val="bottom"/>
          </w:tcPr>
          <w:p>
            <w:pPr>
              <w:spacing w:line="312" w:lineRule="exact"/>
              <w:ind w:firstLine="0" w:firstLineChars="0"/>
              <w:jc w:val="center"/>
              <w:rPr>
                <w:bCs/>
                <w:color w:val="auto"/>
                <w:sz w:val="21"/>
                <w:szCs w:val="21"/>
              </w:rPr>
            </w:pPr>
            <w:r>
              <w:rPr>
                <w:bCs/>
                <w:color w:val="auto"/>
                <w:sz w:val="21"/>
                <w:szCs w:val="21"/>
              </w:rPr>
              <w:t xml:space="preserve">1.50 </w:t>
            </w:r>
          </w:p>
        </w:tc>
        <w:tc>
          <w:tcPr>
            <w:tcW w:w="352" w:type="pct"/>
            <w:vAlign w:val="bottom"/>
          </w:tcPr>
          <w:p>
            <w:pPr>
              <w:spacing w:line="312" w:lineRule="exact"/>
              <w:ind w:firstLine="0" w:firstLineChars="0"/>
              <w:jc w:val="center"/>
              <w:rPr>
                <w:bCs/>
                <w:color w:val="auto"/>
                <w:sz w:val="21"/>
                <w:szCs w:val="21"/>
              </w:rPr>
            </w:pPr>
            <w:r>
              <w:rPr>
                <w:bCs/>
                <w:color w:val="auto"/>
                <w:sz w:val="21"/>
                <w:szCs w:val="21"/>
              </w:rPr>
              <w:t xml:space="preserve">1.55 </w:t>
            </w:r>
          </w:p>
        </w:tc>
        <w:tc>
          <w:tcPr>
            <w:tcW w:w="352" w:type="pct"/>
            <w:vAlign w:val="bottom"/>
          </w:tcPr>
          <w:p>
            <w:pPr>
              <w:spacing w:line="312" w:lineRule="exact"/>
              <w:ind w:firstLine="0" w:firstLineChars="0"/>
              <w:jc w:val="center"/>
              <w:rPr>
                <w:bCs/>
                <w:color w:val="auto"/>
                <w:sz w:val="21"/>
                <w:szCs w:val="21"/>
              </w:rPr>
            </w:pPr>
            <w:r>
              <w:rPr>
                <w:bCs/>
                <w:color w:val="auto"/>
                <w:sz w:val="21"/>
                <w:szCs w:val="21"/>
              </w:rPr>
              <w:t xml:space="preserve">1.75 </w:t>
            </w:r>
          </w:p>
        </w:tc>
        <w:tc>
          <w:tcPr>
            <w:tcW w:w="352" w:type="pct"/>
            <w:vAlign w:val="bottom"/>
          </w:tcPr>
          <w:p>
            <w:pPr>
              <w:spacing w:line="312" w:lineRule="exact"/>
              <w:ind w:firstLine="0" w:firstLineChars="0"/>
              <w:jc w:val="center"/>
              <w:rPr>
                <w:bCs/>
                <w:color w:val="auto"/>
                <w:sz w:val="21"/>
                <w:szCs w:val="21"/>
              </w:rPr>
            </w:pPr>
            <w:r>
              <w:rPr>
                <w:bCs/>
                <w:color w:val="auto"/>
                <w:sz w:val="21"/>
                <w:szCs w:val="21"/>
              </w:rPr>
              <w:t xml:space="preserve">1.89 </w:t>
            </w:r>
          </w:p>
        </w:tc>
        <w:tc>
          <w:tcPr>
            <w:tcW w:w="382" w:type="pct"/>
            <w:vAlign w:val="bottom"/>
          </w:tcPr>
          <w:p>
            <w:pPr>
              <w:spacing w:line="312" w:lineRule="exact"/>
              <w:ind w:firstLine="0" w:firstLineChars="0"/>
              <w:jc w:val="center"/>
              <w:rPr>
                <w:bCs/>
                <w:color w:val="auto"/>
                <w:sz w:val="21"/>
                <w:szCs w:val="21"/>
              </w:rPr>
            </w:pPr>
            <w:r>
              <w:rPr>
                <w:bCs/>
                <w:color w:val="auto"/>
                <w:sz w:val="21"/>
                <w:szCs w:val="21"/>
              </w:rPr>
              <w:t xml:space="preserve">2.08 </w:t>
            </w:r>
          </w:p>
        </w:tc>
      </w:tr>
    </w:tbl>
    <w:p>
      <w:pPr>
        <w:spacing w:line="360" w:lineRule="auto"/>
        <w:ind w:left="0" w:leftChars="0" w:firstLine="0" w:firstLineChars="0"/>
        <w:jc w:val="both"/>
        <w:rPr>
          <w:color w:val="auto"/>
          <w:szCs w:val="24"/>
        </w:rPr>
      </w:pPr>
      <w:r>
        <w:rPr>
          <w:color w:val="auto"/>
          <w:szCs w:val="24"/>
        </w:rPr>
        <w:drawing>
          <wp:inline distT="0" distB="0" distL="114300" distR="114300">
            <wp:extent cx="5368925" cy="2105660"/>
            <wp:effectExtent l="0" t="0" r="3175" b="8890"/>
            <wp:docPr id="1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7"/>
                    <pic:cNvPicPr>
                      <a:picLocks noChangeAspect="1"/>
                    </pic:cNvPicPr>
                  </pic:nvPicPr>
                  <pic:blipFill>
                    <a:blip r:embed="rId110" cstate="print"/>
                    <a:stretch>
                      <a:fillRect/>
                    </a:stretch>
                  </pic:blipFill>
                  <pic:spPr>
                    <a:xfrm>
                      <a:off x="0" y="0"/>
                      <a:ext cx="5368925" cy="2105660"/>
                    </a:xfrm>
                    <a:prstGeom prst="rect">
                      <a:avLst/>
                    </a:prstGeom>
                    <a:noFill/>
                    <a:ln w="9525">
                      <a:noFill/>
                    </a:ln>
                  </pic:spPr>
                </pic:pic>
              </a:graphicData>
            </a:graphic>
          </wp:inline>
        </w:drawing>
      </w:r>
    </w:p>
    <w:p>
      <w:pPr>
        <w:pStyle w:val="48"/>
        <w:bidi w:val="0"/>
        <w:rPr>
          <w:color w:val="auto"/>
        </w:rPr>
      </w:pPr>
      <w:r>
        <w:rPr>
          <w:color w:val="auto"/>
        </w:rPr>
        <w:t>图</w:t>
      </w:r>
      <w:r>
        <w:rPr>
          <w:rFonts w:hint="eastAsia"/>
          <w:color w:val="auto"/>
          <w:lang w:val="en-US" w:eastAsia="zh-CN"/>
        </w:rPr>
        <w:t>5</w:t>
      </w:r>
      <w:r>
        <w:rPr>
          <w:color w:val="auto"/>
        </w:rPr>
        <w:t>.1-</w:t>
      </w:r>
      <w:r>
        <w:rPr>
          <w:rFonts w:hint="eastAsia"/>
          <w:color w:val="auto"/>
          <w:lang w:val="en-US" w:eastAsia="zh-CN"/>
        </w:rPr>
        <w:t>3</w:t>
      </w:r>
      <w:r>
        <w:rPr>
          <w:color w:val="auto"/>
        </w:rPr>
        <w:t xml:space="preserve">  </w:t>
      </w:r>
      <w:r>
        <w:rPr>
          <w:rFonts w:hint="eastAsia"/>
          <w:color w:val="auto"/>
          <w:lang w:eastAsia="zh-CN"/>
        </w:rPr>
        <w:t>张店</w:t>
      </w:r>
      <w:r>
        <w:rPr>
          <w:color w:val="auto"/>
        </w:rPr>
        <w:t>年平均风速月变化曲线</w:t>
      </w:r>
    </w:p>
    <w:p>
      <w:pPr>
        <w:spacing w:line="360" w:lineRule="auto"/>
        <w:ind w:firstLine="480"/>
        <w:rPr>
          <w:color w:val="auto"/>
          <w:szCs w:val="24"/>
        </w:rPr>
      </w:pPr>
      <w:r>
        <w:rPr>
          <w:color w:val="auto"/>
          <w:szCs w:val="24"/>
        </w:rPr>
        <w:t>从</w:t>
      </w:r>
      <w:r>
        <w:rPr>
          <w:rFonts w:hint="eastAsia"/>
          <w:color w:val="auto"/>
          <w:szCs w:val="24"/>
          <w:lang w:eastAsia="zh-CN"/>
        </w:rPr>
        <w:t>张店</w:t>
      </w:r>
      <w:r>
        <w:rPr>
          <w:color w:val="auto"/>
          <w:szCs w:val="24"/>
        </w:rPr>
        <w:t>201</w:t>
      </w:r>
      <w:r>
        <w:rPr>
          <w:rFonts w:hint="eastAsia"/>
          <w:color w:val="auto"/>
          <w:szCs w:val="24"/>
          <w:lang w:val="en-US" w:eastAsia="zh-CN"/>
        </w:rPr>
        <w:t>9</w:t>
      </w:r>
      <w:r>
        <w:rPr>
          <w:color w:val="auto"/>
          <w:szCs w:val="24"/>
        </w:rPr>
        <w:t>年各月及年平均风速表</w:t>
      </w:r>
      <w:r>
        <w:rPr>
          <w:rFonts w:hint="eastAsia"/>
          <w:color w:val="auto"/>
          <w:szCs w:val="24"/>
          <w:lang w:val="en-US" w:eastAsia="zh-CN"/>
        </w:rPr>
        <w:t>5</w:t>
      </w:r>
      <w:r>
        <w:rPr>
          <w:color w:val="auto"/>
          <w:szCs w:val="24"/>
        </w:rPr>
        <w:t>.1-</w:t>
      </w:r>
      <w:r>
        <w:rPr>
          <w:rFonts w:hint="eastAsia"/>
          <w:color w:val="auto"/>
          <w:szCs w:val="24"/>
          <w:lang w:val="en-US" w:eastAsia="zh-CN"/>
        </w:rPr>
        <w:t>10</w:t>
      </w:r>
      <w:r>
        <w:rPr>
          <w:color w:val="auto"/>
          <w:szCs w:val="24"/>
        </w:rPr>
        <w:t>和</w:t>
      </w:r>
      <w:r>
        <w:rPr>
          <w:rFonts w:hint="eastAsia"/>
          <w:color w:val="auto"/>
          <w:szCs w:val="24"/>
          <w:lang w:eastAsia="zh-CN"/>
        </w:rPr>
        <w:t>张店</w:t>
      </w:r>
      <w:r>
        <w:rPr>
          <w:color w:val="auto"/>
          <w:szCs w:val="24"/>
        </w:rPr>
        <w:t>季小时平均风速日变化曲线图</w:t>
      </w:r>
      <w:r>
        <w:rPr>
          <w:rFonts w:hint="eastAsia"/>
          <w:color w:val="auto"/>
          <w:szCs w:val="24"/>
          <w:lang w:val="en-US" w:eastAsia="zh-CN"/>
        </w:rPr>
        <w:t>5</w:t>
      </w:r>
      <w:r>
        <w:rPr>
          <w:color w:val="auto"/>
          <w:szCs w:val="24"/>
        </w:rPr>
        <w:t>.1-3可以看出：季小时平均日风速呈强弱的周期性变化：夜间风速较小，午后较大。风速日变化与温度的周期性日变化趋于一致。统计分析表明，该地区地面风速四季变化趋势一致，比较稳定，春季风速略大些。</w:t>
      </w:r>
    </w:p>
    <w:p>
      <w:pPr>
        <w:pStyle w:val="48"/>
        <w:bidi w:val="0"/>
        <w:rPr>
          <w:color w:val="auto"/>
        </w:rPr>
      </w:pPr>
      <w:r>
        <w:rPr>
          <w:color w:val="auto"/>
        </w:rPr>
        <w:t>表</w:t>
      </w:r>
      <w:r>
        <w:rPr>
          <w:rFonts w:hint="eastAsia"/>
          <w:color w:val="auto"/>
          <w:lang w:val="en-US" w:eastAsia="zh-CN"/>
        </w:rPr>
        <w:t>5</w:t>
      </w:r>
      <w:r>
        <w:rPr>
          <w:color w:val="auto"/>
        </w:rPr>
        <w:t>.1-</w:t>
      </w:r>
      <w:r>
        <w:rPr>
          <w:rFonts w:hint="eastAsia"/>
          <w:color w:val="auto"/>
          <w:lang w:val="en-US" w:eastAsia="zh-CN"/>
        </w:rPr>
        <w:t>11</w:t>
      </w:r>
      <w:r>
        <w:rPr>
          <w:color w:val="auto"/>
        </w:rPr>
        <w:t xml:space="preserve">  </w:t>
      </w:r>
      <w:r>
        <w:rPr>
          <w:rFonts w:hint="eastAsia"/>
          <w:color w:val="auto"/>
          <w:lang w:eastAsia="zh-CN"/>
        </w:rPr>
        <w:t>张店</w:t>
      </w:r>
      <w:r>
        <w:rPr>
          <w:color w:val="auto"/>
        </w:rPr>
        <w:t>201</w:t>
      </w:r>
      <w:r>
        <w:rPr>
          <w:rFonts w:hint="eastAsia"/>
          <w:color w:val="auto"/>
          <w:lang w:val="en-US" w:eastAsia="zh-CN"/>
        </w:rPr>
        <w:t>9</w:t>
      </w:r>
      <w:r>
        <w:rPr>
          <w:color w:val="auto"/>
        </w:rPr>
        <w:t>年季小时平均风速的日变化</w:t>
      </w:r>
    </w:p>
    <w:tbl>
      <w:tblPr>
        <w:tblStyle w:val="22"/>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21"/>
        <w:gridCol w:w="617"/>
        <w:gridCol w:w="618"/>
        <w:gridCol w:w="618"/>
        <w:gridCol w:w="617"/>
        <w:gridCol w:w="617"/>
        <w:gridCol w:w="617"/>
        <w:gridCol w:w="617"/>
        <w:gridCol w:w="617"/>
        <w:gridCol w:w="617"/>
        <w:gridCol w:w="617"/>
        <w:gridCol w:w="617"/>
        <w:gridCol w:w="61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vAlign w:val="center"/>
          </w:tcPr>
          <w:p>
            <w:pPr>
              <w:spacing w:line="312" w:lineRule="exact"/>
              <w:ind w:firstLine="0" w:firstLineChars="0"/>
              <w:jc w:val="center"/>
              <w:rPr>
                <w:bCs/>
                <w:color w:val="auto"/>
                <w:sz w:val="21"/>
                <w:szCs w:val="21"/>
              </w:rPr>
            </w:pPr>
            <w:r>
              <w:rPr>
                <w:bCs/>
                <w:color w:val="auto"/>
                <w:sz w:val="21"/>
                <w:szCs w:val="21"/>
              </w:rPr>
              <w:t>小时风速</w:t>
            </w:r>
          </w:p>
        </w:tc>
        <w:tc>
          <w:tcPr>
            <w:tcW w:w="362" w:type="pct"/>
            <w:vAlign w:val="center"/>
          </w:tcPr>
          <w:p>
            <w:pPr>
              <w:spacing w:line="312" w:lineRule="exact"/>
              <w:ind w:firstLine="0" w:firstLineChars="0"/>
              <w:jc w:val="center"/>
              <w:rPr>
                <w:bCs/>
                <w:color w:val="auto"/>
                <w:sz w:val="21"/>
                <w:szCs w:val="21"/>
              </w:rPr>
            </w:pPr>
            <w:r>
              <w:rPr>
                <w:bCs/>
                <w:color w:val="auto"/>
                <w:sz w:val="21"/>
                <w:szCs w:val="21"/>
              </w:rPr>
              <w:t>1</w:t>
            </w:r>
          </w:p>
        </w:tc>
        <w:tc>
          <w:tcPr>
            <w:tcW w:w="362" w:type="pct"/>
            <w:vAlign w:val="center"/>
          </w:tcPr>
          <w:p>
            <w:pPr>
              <w:spacing w:line="312" w:lineRule="exact"/>
              <w:ind w:firstLine="0" w:firstLineChars="0"/>
              <w:jc w:val="center"/>
              <w:rPr>
                <w:bCs/>
                <w:color w:val="auto"/>
                <w:sz w:val="21"/>
                <w:szCs w:val="21"/>
              </w:rPr>
            </w:pPr>
            <w:r>
              <w:rPr>
                <w:bCs/>
                <w:color w:val="auto"/>
                <w:sz w:val="21"/>
                <w:szCs w:val="21"/>
              </w:rPr>
              <w:t>2</w:t>
            </w:r>
          </w:p>
        </w:tc>
        <w:tc>
          <w:tcPr>
            <w:tcW w:w="362" w:type="pct"/>
            <w:vAlign w:val="center"/>
          </w:tcPr>
          <w:p>
            <w:pPr>
              <w:spacing w:line="312" w:lineRule="exact"/>
              <w:ind w:firstLine="0" w:firstLineChars="0"/>
              <w:jc w:val="center"/>
              <w:rPr>
                <w:bCs/>
                <w:color w:val="auto"/>
                <w:sz w:val="21"/>
                <w:szCs w:val="21"/>
              </w:rPr>
            </w:pPr>
            <w:r>
              <w:rPr>
                <w:bCs/>
                <w:color w:val="auto"/>
                <w:sz w:val="21"/>
                <w:szCs w:val="21"/>
              </w:rPr>
              <w:t>3</w:t>
            </w:r>
          </w:p>
        </w:tc>
        <w:tc>
          <w:tcPr>
            <w:tcW w:w="361" w:type="pct"/>
            <w:vAlign w:val="center"/>
          </w:tcPr>
          <w:p>
            <w:pPr>
              <w:spacing w:line="312" w:lineRule="exact"/>
              <w:ind w:firstLine="0" w:firstLineChars="0"/>
              <w:jc w:val="center"/>
              <w:rPr>
                <w:bCs/>
                <w:color w:val="auto"/>
                <w:sz w:val="21"/>
                <w:szCs w:val="21"/>
              </w:rPr>
            </w:pPr>
            <w:r>
              <w:rPr>
                <w:bCs/>
                <w:color w:val="auto"/>
                <w:sz w:val="21"/>
                <w:szCs w:val="21"/>
              </w:rPr>
              <w:t>4</w:t>
            </w:r>
          </w:p>
        </w:tc>
        <w:tc>
          <w:tcPr>
            <w:tcW w:w="361" w:type="pct"/>
            <w:vAlign w:val="center"/>
          </w:tcPr>
          <w:p>
            <w:pPr>
              <w:spacing w:line="312" w:lineRule="exact"/>
              <w:ind w:firstLine="0" w:firstLineChars="0"/>
              <w:jc w:val="center"/>
              <w:rPr>
                <w:bCs/>
                <w:color w:val="auto"/>
                <w:sz w:val="21"/>
                <w:szCs w:val="21"/>
              </w:rPr>
            </w:pPr>
            <w:r>
              <w:rPr>
                <w:bCs/>
                <w:color w:val="auto"/>
                <w:sz w:val="21"/>
                <w:szCs w:val="21"/>
              </w:rPr>
              <w:t>5</w:t>
            </w:r>
          </w:p>
        </w:tc>
        <w:tc>
          <w:tcPr>
            <w:tcW w:w="361" w:type="pct"/>
            <w:vAlign w:val="center"/>
          </w:tcPr>
          <w:p>
            <w:pPr>
              <w:spacing w:line="312" w:lineRule="exact"/>
              <w:ind w:firstLine="0" w:firstLineChars="0"/>
              <w:jc w:val="center"/>
              <w:rPr>
                <w:bCs/>
                <w:color w:val="auto"/>
                <w:sz w:val="21"/>
                <w:szCs w:val="21"/>
              </w:rPr>
            </w:pPr>
            <w:r>
              <w:rPr>
                <w:bCs/>
                <w:color w:val="auto"/>
                <w:sz w:val="21"/>
                <w:szCs w:val="21"/>
              </w:rPr>
              <w:t>6</w:t>
            </w:r>
          </w:p>
        </w:tc>
        <w:tc>
          <w:tcPr>
            <w:tcW w:w="361" w:type="pct"/>
            <w:vAlign w:val="center"/>
          </w:tcPr>
          <w:p>
            <w:pPr>
              <w:spacing w:line="312" w:lineRule="exact"/>
              <w:ind w:firstLine="0" w:firstLineChars="0"/>
              <w:jc w:val="center"/>
              <w:rPr>
                <w:bCs/>
                <w:color w:val="auto"/>
                <w:sz w:val="21"/>
                <w:szCs w:val="21"/>
              </w:rPr>
            </w:pPr>
            <w:r>
              <w:rPr>
                <w:bCs/>
                <w:color w:val="auto"/>
                <w:sz w:val="21"/>
                <w:szCs w:val="21"/>
              </w:rPr>
              <w:t>7</w:t>
            </w:r>
          </w:p>
        </w:tc>
        <w:tc>
          <w:tcPr>
            <w:tcW w:w="361" w:type="pct"/>
            <w:vAlign w:val="center"/>
          </w:tcPr>
          <w:p>
            <w:pPr>
              <w:spacing w:line="312" w:lineRule="exact"/>
              <w:ind w:firstLine="0" w:firstLineChars="0"/>
              <w:jc w:val="center"/>
              <w:rPr>
                <w:bCs/>
                <w:color w:val="auto"/>
                <w:sz w:val="21"/>
                <w:szCs w:val="21"/>
              </w:rPr>
            </w:pPr>
            <w:r>
              <w:rPr>
                <w:bCs/>
                <w:color w:val="auto"/>
                <w:sz w:val="21"/>
                <w:szCs w:val="21"/>
              </w:rPr>
              <w:t>8</w:t>
            </w:r>
          </w:p>
        </w:tc>
        <w:tc>
          <w:tcPr>
            <w:tcW w:w="361" w:type="pct"/>
            <w:vAlign w:val="center"/>
          </w:tcPr>
          <w:p>
            <w:pPr>
              <w:spacing w:line="312" w:lineRule="exact"/>
              <w:ind w:firstLine="0" w:firstLineChars="0"/>
              <w:jc w:val="center"/>
              <w:rPr>
                <w:bCs/>
                <w:color w:val="auto"/>
                <w:sz w:val="21"/>
                <w:szCs w:val="21"/>
              </w:rPr>
            </w:pPr>
            <w:r>
              <w:rPr>
                <w:bCs/>
                <w:color w:val="auto"/>
                <w:sz w:val="21"/>
                <w:szCs w:val="21"/>
              </w:rPr>
              <w:t>9</w:t>
            </w:r>
          </w:p>
        </w:tc>
        <w:tc>
          <w:tcPr>
            <w:tcW w:w="361" w:type="pct"/>
            <w:vAlign w:val="center"/>
          </w:tcPr>
          <w:p>
            <w:pPr>
              <w:spacing w:line="312" w:lineRule="exact"/>
              <w:ind w:firstLine="0" w:firstLineChars="0"/>
              <w:jc w:val="center"/>
              <w:rPr>
                <w:bCs/>
                <w:color w:val="auto"/>
                <w:sz w:val="21"/>
                <w:szCs w:val="21"/>
              </w:rPr>
            </w:pPr>
            <w:r>
              <w:rPr>
                <w:bCs/>
                <w:color w:val="auto"/>
                <w:sz w:val="21"/>
                <w:szCs w:val="21"/>
              </w:rPr>
              <w:t>10</w:t>
            </w:r>
          </w:p>
        </w:tc>
        <w:tc>
          <w:tcPr>
            <w:tcW w:w="361" w:type="pct"/>
            <w:vAlign w:val="center"/>
          </w:tcPr>
          <w:p>
            <w:pPr>
              <w:spacing w:line="312" w:lineRule="exact"/>
              <w:ind w:firstLine="0" w:firstLineChars="0"/>
              <w:jc w:val="center"/>
              <w:rPr>
                <w:bCs/>
                <w:color w:val="auto"/>
                <w:sz w:val="21"/>
                <w:szCs w:val="21"/>
              </w:rPr>
            </w:pPr>
            <w:r>
              <w:rPr>
                <w:bCs/>
                <w:color w:val="auto"/>
                <w:sz w:val="21"/>
                <w:szCs w:val="21"/>
              </w:rPr>
              <w:t>11</w:t>
            </w:r>
          </w:p>
        </w:tc>
        <w:tc>
          <w:tcPr>
            <w:tcW w:w="360" w:type="pct"/>
            <w:vAlign w:val="center"/>
          </w:tcPr>
          <w:p>
            <w:pPr>
              <w:spacing w:line="312" w:lineRule="exact"/>
              <w:ind w:firstLine="0" w:firstLineChars="0"/>
              <w:jc w:val="center"/>
              <w:rPr>
                <w:bCs/>
                <w:color w:val="auto"/>
                <w:sz w:val="21"/>
                <w:szCs w:val="21"/>
              </w:rPr>
            </w:pPr>
            <w:r>
              <w:rPr>
                <w:bCs/>
                <w:color w:val="auto"/>
                <w:sz w:val="21"/>
                <w:szCs w:val="21"/>
              </w:rPr>
              <w:t>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vAlign w:val="center"/>
          </w:tcPr>
          <w:p>
            <w:pPr>
              <w:spacing w:line="312" w:lineRule="exact"/>
              <w:ind w:firstLine="0" w:firstLineChars="0"/>
              <w:jc w:val="center"/>
              <w:rPr>
                <w:bCs/>
                <w:color w:val="auto"/>
                <w:sz w:val="21"/>
                <w:szCs w:val="21"/>
              </w:rPr>
            </w:pPr>
            <w:r>
              <w:rPr>
                <w:bCs/>
                <w:color w:val="auto"/>
                <w:sz w:val="21"/>
                <w:szCs w:val="21"/>
              </w:rPr>
              <w:t>春季</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1.83 </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2.03 </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1.89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1.93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1.92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2.04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2.21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2.57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3.13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3.38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3.67 </w:t>
            </w:r>
          </w:p>
        </w:tc>
        <w:tc>
          <w:tcPr>
            <w:tcW w:w="360" w:type="pct"/>
            <w:vAlign w:val="bottom"/>
          </w:tcPr>
          <w:p>
            <w:pPr>
              <w:spacing w:line="312" w:lineRule="exact"/>
              <w:ind w:firstLine="0" w:firstLineChars="0"/>
              <w:jc w:val="center"/>
              <w:rPr>
                <w:bCs/>
                <w:color w:val="auto"/>
                <w:sz w:val="21"/>
                <w:szCs w:val="21"/>
              </w:rPr>
            </w:pPr>
            <w:r>
              <w:rPr>
                <w:bCs/>
                <w:color w:val="auto"/>
                <w:sz w:val="21"/>
                <w:szCs w:val="21"/>
              </w:rPr>
              <w:t xml:space="preserve">3.85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vAlign w:val="center"/>
          </w:tcPr>
          <w:p>
            <w:pPr>
              <w:spacing w:line="312" w:lineRule="exact"/>
              <w:ind w:firstLine="0" w:firstLineChars="0"/>
              <w:jc w:val="center"/>
              <w:rPr>
                <w:bCs/>
                <w:color w:val="auto"/>
                <w:sz w:val="21"/>
                <w:szCs w:val="21"/>
              </w:rPr>
            </w:pPr>
            <w:r>
              <w:rPr>
                <w:bCs/>
                <w:color w:val="auto"/>
                <w:sz w:val="21"/>
                <w:szCs w:val="21"/>
              </w:rPr>
              <w:t>夏季</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1.06 </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0.99 </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1.11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1.07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1.03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1.16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1.25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1.57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1.85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1.99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2.10 </w:t>
            </w:r>
          </w:p>
        </w:tc>
        <w:tc>
          <w:tcPr>
            <w:tcW w:w="360" w:type="pct"/>
            <w:vAlign w:val="bottom"/>
          </w:tcPr>
          <w:p>
            <w:pPr>
              <w:spacing w:line="312" w:lineRule="exact"/>
              <w:ind w:firstLine="0" w:firstLineChars="0"/>
              <w:jc w:val="center"/>
              <w:rPr>
                <w:bCs/>
                <w:color w:val="auto"/>
                <w:sz w:val="21"/>
                <w:szCs w:val="21"/>
              </w:rPr>
            </w:pPr>
            <w:r>
              <w:rPr>
                <w:bCs/>
                <w:color w:val="auto"/>
                <w:sz w:val="21"/>
                <w:szCs w:val="21"/>
              </w:rPr>
              <w:t xml:space="preserve">2.16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vAlign w:val="center"/>
          </w:tcPr>
          <w:p>
            <w:pPr>
              <w:spacing w:line="312" w:lineRule="exact"/>
              <w:ind w:firstLine="0" w:firstLineChars="0"/>
              <w:jc w:val="center"/>
              <w:rPr>
                <w:bCs/>
                <w:color w:val="auto"/>
                <w:sz w:val="21"/>
                <w:szCs w:val="21"/>
              </w:rPr>
            </w:pPr>
            <w:r>
              <w:rPr>
                <w:bCs/>
                <w:color w:val="auto"/>
                <w:sz w:val="21"/>
                <w:szCs w:val="21"/>
              </w:rPr>
              <w:t>秋季</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1.16 </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1.16 </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1.22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1.23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1.19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1.25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1.33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1.46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1.68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2.02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2.27 </w:t>
            </w:r>
          </w:p>
        </w:tc>
        <w:tc>
          <w:tcPr>
            <w:tcW w:w="360" w:type="pct"/>
            <w:vAlign w:val="bottom"/>
          </w:tcPr>
          <w:p>
            <w:pPr>
              <w:spacing w:line="312" w:lineRule="exact"/>
              <w:ind w:firstLine="0" w:firstLineChars="0"/>
              <w:jc w:val="center"/>
              <w:rPr>
                <w:bCs/>
                <w:color w:val="auto"/>
                <w:sz w:val="21"/>
                <w:szCs w:val="21"/>
              </w:rPr>
            </w:pPr>
            <w:r>
              <w:rPr>
                <w:bCs/>
                <w:color w:val="auto"/>
                <w:sz w:val="21"/>
                <w:szCs w:val="21"/>
              </w:rPr>
              <w:t xml:space="preserve">2.35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vAlign w:val="center"/>
          </w:tcPr>
          <w:p>
            <w:pPr>
              <w:spacing w:line="312" w:lineRule="exact"/>
              <w:ind w:firstLine="0" w:firstLineChars="0"/>
              <w:jc w:val="center"/>
              <w:rPr>
                <w:bCs/>
                <w:color w:val="auto"/>
                <w:sz w:val="21"/>
                <w:szCs w:val="21"/>
              </w:rPr>
            </w:pPr>
            <w:r>
              <w:rPr>
                <w:bCs/>
                <w:color w:val="auto"/>
                <w:sz w:val="21"/>
                <w:szCs w:val="21"/>
              </w:rPr>
              <w:t>冬季</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1.74 </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1.76 </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1.67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1.66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1.73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1.61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1.71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1.67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1.94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2.33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2.69 </w:t>
            </w:r>
          </w:p>
        </w:tc>
        <w:tc>
          <w:tcPr>
            <w:tcW w:w="360" w:type="pct"/>
            <w:vAlign w:val="bottom"/>
          </w:tcPr>
          <w:p>
            <w:pPr>
              <w:spacing w:line="312" w:lineRule="exact"/>
              <w:ind w:firstLine="0" w:firstLineChars="0"/>
              <w:jc w:val="center"/>
              <w:rPr>
                <w:bCs/>
                <w:color w:val="auto"/>
                <w:sz w:val="21"/>
                <w:szCs w:val="21"/>
              </w:rPr>
            </w:pPr>
            <w:r>
              <w:rPr>
                <w:bCs/>
                <w:color w:val="auto"/>
                <w:sz w:val="21"/>
                <w:szCs w:val="21"/>
              </w:rPr>
              <w:t xml:space="preserve">2.84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vAlign w:val="center"/>
          </w:tcPr>
          <w:p>
            <w:pPr>
              <w:spacing w:line="312" w:lineRule="exact"/>
              <w:ind w:firstLine="0" w:firstLineChars="0"/>
              <w:jc w:val="center"/>
              <w:rPr>
                <w:bCs/>
                <w:color w:val="auto"/>
                <w:sz w:val="21"/>
                <w:szCs w:val="21"/>
              </w:rPr>
            </w:pPr>
            <w:r>
              <w:rPr>
                <w:bCs/>
                <w:color w:val="auto"/>
                <w:sz w:val="21"/>
                <w:szCs w:val="21"/>
              </w:rPr>
              <w:t>小时风速</w:t>
            </w:r>
          </w:p>
        </w:tc>
        <w:tc>
          <w:tcPr>
            <w:tcW w:w="362" w:type="pct"/>
            <w:vAlign w:val="center"/>
          </w:tcPr>
          <w:p>
            <w:pPr>
              <w:spacing w:line="312" w:lineRule="exact"/>
              <w:ind w:firstLine="0" w:firstLineChars="0"/>
              <w:jc w:val="center"/>
              <w:rPr>
                <w:bCs/>
                <w:color w:val="auto"/>
                <w:sz w:val="21"/>
                <w:szCs w:val="21"/>
              </w:rPr>
            </w:pPr>
            <w:r>
              <w:rPr>
                <w:bCs/>
                <w:color w:val="auto"/>
                <w:sz w:val="21"/>
                <w:szCs w:val="21"/>
              </w:rPr>
              <w:t>13</w:t>
            </w:r>
          </w:p>
        </w:tc>
        <w:tc>
          <w:tcPr>
            <w:tcW w:w="362" w:type="pct"/>
            <w:vAlign w:val="center"/>
          </w:tcPr>
          <w:p>
            <w:pPr>
              <w:spacing w:line="312" w:lineRule="exact"/>
              <w:ind w:firstLine="0" w:firstLineChars="0"/>
              <w:jc w:val="center"/>
              <w:rPr>
                <w:bCs/>
                <w:color w:val="auto"/>
                <w:sz w:val="21"/>
                <w:szCs w:val="21"/>
              </w:rPr>
            </w:pPr>
            <w:r>
              <w:rPr>
                <w:bCs/>
                <w:color w:val="auto"/>
                <w:sz w:val="21"/>
                <w:szCs w:val="21"/>
              </w:rPr>
              <w:t>14</w:t>
            </w:r>
          </w:p>
        </w:tc>
        <w:tc>
          <w:tcPr>
            <w:tcW w:w="362" w:type="pct"/>
            <w:vAlign w:val="center"/>
          </w:tcPr>
          <w:p>
            <w:pPr>
              <w:spacing w:line="312" w:lineRule="exact"/>
              <w:ind w:firstLine="0" w:firstLineChars="0"/>
              <w:jc w:val="center"/>
              <w:rPr>
                <w:bCs/>
                <w:color w:val="auto"/>
                <w:sz w:val="21"/>
                <w:szCs w:val="21"/>
              </w:rPr>
            </w:pPr>
            <w:r>
              <w:rPr>
                <w:bCs/>
                <w:color w:val="auto"/>
                <w:sz w:val="21"/>
                <w:szCs w:val="21"/>
              </w:rPr>
              <w:t>15</w:t>
            </w:r>
          </w:p>
        </w:tc>
        <w:tc>
          <w:tcPr>
            <w:tcW w:w="361" w:type="pct"/>
            <w:vAlign w:val="center"/>
          </w:tcPr>
          <w:p>
            <w:pPr>
              <w:spacing w:line="312" w:lineRule="exact"/>
              <w:ind w:firstLine="0" w:firstLineChars="0"/>
              <w:jc w:val="center"/>
              <w:rPr>
                <w:bCs/>
                <w:color w:val="auto"/>
                <w:sz w:val="21"/>
                <w:szCs w:val="21"/>
              </w:rPr>
            </w:pPr>
            <w:r>
              <w:rPr>
                <w:bCs/>
                <w:color w:val="auto"/>
                <w:sz w:val="21"/>
                <w:szCs w:val="21"/>
              </w:rPr>
              <w:t>16</w:t>
            </w:r>
          </w:p>
        </w:tc>
        <w:tc>
          <w:tcPr>
            <w:tcW w:w="361" w:type="pct"/>
            <w:vAlign w:val="center"/>
          </w:tcPr>
          <w:p>
            <w:pPr>
              <w:spacing w:line="312" w:lineRule="exact"/>
              <w:ind w:firstLine="0" w:firstLineChars="0"/>
              <w:jc w:val="center"/>
              <w:rPr>
                <w:bCs/>
                <w:color w:val="auto"/>
                <w:sz w:val="21"/>
                <w:szCs w:val="21"/>
              </w:rPr>
            </w:pPr>
            <w:r>
              <w:rPr>
                <w:bCs/>
                <w:color w:val="auto"/>
                <w:sz w:val="21"/>
                <w:szCs w:val="21"/>
              </w:rPr>
              <w:t>17</w:t>
            </w:r>
          </w:p>
        </w:tc>
        <w:tc>
          <w:tcPr>
            <w:tcW w:w="361" w:type="pct"/>
            <w:vAlign w:val="center"/>
          </w:tcPr>
          <w:p>
            <w:pPr>
              <w:spacing w:line="312" w:lineRule="exact"/>
              <w:ind w:firstLine="0" w:firstLineChars="0"/>
              <w:jc w:val="center"/>
              <w:rPr>
                <w:bCs/>
                <w:color w:val="auto"/>
                <w:sz w:val="21"/>
                <w:szCs w:val="21"/>
              </w:rPr>
            </w:pPr>
            <w:r>
              <w:rPr>
                <w:bCs/>
                <w:color w:val="auto"/>
                <w:sz w:val="21"/>
                <w:szCs w:val="21"/>
              </w:rPr>
              <w:t>18</w:t>
            </w:r>
          </w:p>
        </w:tc>
        <w:tc>
          <w:tcPr>
            <w:tcW w:w="361" w:type="pct"/>
            <w:vAlign w:val="center"/>
          </w:tcPr>
          <w:p>
            <w:pPr>
              <w:spacing w:line="312" w:lineRule="exact"/>
              <w:ind w:firstLine="0" w:firstLineChars="0"/>
              <w:jc w:val="center"/>
              <w:rPr>
                <w:bCs/>
                <w:color w:val="auto"/>
                <w:sz w:val="21"/>
                <w:szCs w:val="21"/>
              </w:rPr>
            </w:pPr>
            <w:r>
              <w:rPr>
                <w:bCs/>
                <w:color w:val="auto"/>
                <w:sz w:val="21"/>
                <w:szCs w:val="21"/>
              </w:rPr>
              <w:t>19</w:t>
            </w:r>
          </w:p>
        </w:tc>
        <w:tc>
          <w:tcPr>
            <w:tcW w:w="361" w:type="pct"/>
            <w:vAlign w:val="center"/>
          </w:tcPr>
          <w:p>
            <w:pPr>
              <w:spacing w:line="312" w:lineRule="exact"/>
              <w:ind w:firstLine="0" w:firstLineChars="0"/>
              <w:jc w:val="center"/>
              <w:rPr>
                <w:bCs/>
                <w:color w:val="auto"/>
                <w:sz w:val="21"/>
                <w:szCs w:val="21"/>
              </w:rPr>
            </w:pPr>
            <w:r>
              <w:rPr>
                <w:bCs/>
                <w:color w:val="auto"/>
                <w:sz w:val="21"/>
                <w:szCs w:val="21"/>
              </w:rPr>
              <w:t>20</w:t>
            </w:r>
          </w:p>
        </w:tc>
        <w:tc>
          <w:tcPr>
            <w:tcW w:w="361" w:type="pct"/>
            <w:vAlign w:val="center"/>
          </w:tcPr>
          <w:p>
            <w:pPr>
              <w:spacing w:line="312" w:lineRule="exact"/>
              <w:ind w:firstLine="0" w:firstLineChars="0"/>
              <w:jc w:val="center"/>
              <w:rPr>
                <w:bCs/>
                <w:color w:val="auto"/>
                <w:sz w:val="21"/>
                <w:szCs w:val="21"/>
              </w:rPr>
            </w:pPr>
            <w:r>
              <w:rPr>
                <w:bCs/>
                <w:color w:val="auto"/>
                <w:sz w:val="21"/>
                <w:szCs w:val="21"/>
              </w:rPr>
              <w:t>21</w:t>
            </w:r>
          </w:p>
        </w:tc>
        <w:tc>
          <w:tcPr>
            <w:tcW w:w="361" w:type="pct"/>
            <w:vAlign w:val="center"/>
          </w:tcPr>
          <w:p>
            <w:pPr>
              <w:spacing w:line="312" w:lineRule="exact"/>
              <w:ind w:firstLine="0" w:firstLineChars="0"/>
              <w:jc w:val="center"/>
              <w:rPr>
                <w:bCs/>
                <w:color w:val="auto"/>
                <w:sz w:val="21"/>
                <w:szCs w:val="21"/>
              </w:rPr>
            </w:pPr>
            <w:r>
              <w:rPr>
                <w:bCs/>
                <w:color w:val="auto"/>
                <w:sz w:val="21"/>
                <w:szCs w:val="21"/>
              </w:rPr>
              <w:t>22</w:t>
            </w:r>
          </w:p>
        </w:tc>
        <w:tc>
          <w:tcPr>
            <w:tcW w:w="361" w:type="pct"/>
            <w:vAlign w:val="center"/>
          </w:tcPr>
          <w:p>
            <w:pPr>
              <w:spacing w:line="312" w:lineRule="exact"/>
              <w:ind w:firstLine="0" w:firstLineChars="0"/>
              <w:jc w:val="center"/>
              <w:rPr>
                <w:bCs/>
                <w:color w:val="auto"/>
                <w:sz w:val="21"/>
                <w:szCs w:val="21"/>
              </w:rPr>
            </w:pPr>
            <w:r>
              <w:rPr>
                <w:bCs/>
                <w:color w:val="auto"/>
                <w:sz w:val="21"/>
                <w:szCs w:val="21"/>
              </w:rPr>
              <w:t>23</w:t>
            </w:r>
          </w:p>
        </w:tc>
        <w:tc>
          <w:tcPr>
            <w:tcW w:w="360" w:type="pct"/>
            <w:vAlign w:val="center"/>
          </w:tcPr>
          <w:p>
            <w:pPr>
              <w:spacing w:line="312" w:lineRule="exact"/>
              <w:ind w:firstLine="0" w:firstLineChars="0"/>
              <w:jc w:val="center"/>
              <w:rPr>
                <w:bCs/>
                <w:color w:val="auto"/>
                <w:sz w:val="21"/>
                <w:szCs w:val="21"/>
              </w:rPr>
            </w:pPr>
            <w:r>
              <w:rPr>
                <w:bCs/>
                <w:color w:val="auto"/>
                <w:sz w:val="21"/>
                <w:szCs w:val="21"/>
              </w:rPr>
              <w:t>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vAlign w:val="center"/>
          </w:tcPr>
          <w:p>
            <w:pPr>
              <w:spacing w:line="312" w:lineRule="exact"/>
              <w:ind w:firstLine="0" w:firstLineChars="0"/>
              <w:jc w:val="center"/>
              <w:rPr>
                <w:bCs/>
                <w:color w:val="auto"/>
                <w:sz w:val="21"/>
                <w:szCs w:val="21"/>
              </w:rPr>
            </w:pPr>
            <w:r>
              <w:rPr>
                <w:bCs/>
                <w:color w:val="auto"/>
                <w:sz w:val="21"/>
                <w:szCs w:val="21"/>
              </w:rPr>
              <w:t>春季</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4.03 </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4.15 </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4.02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3.69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3.37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2.56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2.05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1.92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1.83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1.73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1.74 </w:t>
            </w:r>
          </w:p>
        </w:tc>
        <w:tc>
          <w:tcPr>
            <w:tcW w:w="360" w:type="pct"/>
            <w:vAlign w:val="bottom"/>
          </w:tcPr>
          <w:p>
            <w:pPr>
              <w:spacing w:line="312" w:lineRule="exact"/>
              <w:ind w:firstLine="0" w:firstLineChars="0"/>
              <w:jc w:val="center"/>
              <w:rPr>
                <w:bCs/>
                <w:color w:val="auto"/>
                <w:sz w:val="21"/>
                <w:szCs w:val="21"/>
              </w:rPr>
            </w:pPr>
            <w:r>
              <w:rPr>
                <w:bCs/>
                <w:color w:val="auto"/>
                <w:sz w:val="21"/>
                <w:szCs w:val="21"/>
              </w:rPr>
              <w:t xml:space="preserve">1.70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vAlign w:val="center"/>
          </w:tcPr>
          <w:p>
            <w:pPr>
              <w:spacing w:line="312" w:lineRule="exact"/>
              <w:ind w:firstLine="0" w:firstLineChars="0"/>
              <w:jc w:val="center"/>
              <w:rPr>
                <w:bCs/>
                <w:color w:val="auto"/>
                <w:sz w:val="21"/>
                <w:szCs w:val="21"/>
              </w:rPr>
            </w:pPr>
            <w:r>
              <w:rPr>
                <w:bCs/>
                <w:color w:val="auto"/>
                <w:sz w:val="21"/>
                <w:szCs w:val="21"/>
              </w:rPr>
              <w:t>夏季</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2.15 </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2.23 </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2.30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2.35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2.31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2.08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1.82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1.59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1.44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1.36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1.21 </w:t>
            </w:r>
          </w:p>
        </w:tc>
        <w:tc>
          <w:tcPr>
            <w:tcW w:w="360" w:type="pct"/>
            <w:vAlign w:val="bottom"/>
          </w:tcPr>
          <w:p>
            <w:pPr>
              <w:spacing w:line="312" w:lineRule="exact"/>
              <w:ind w:firstLine="0" w:firstLineChars="0"/>
              <w:jc w:val="center"/>
              <w:rPr>
                <w:bCs/>
                <w:color w:val="auto"/>
                <w:sz w:val="21"/>
                <w:szCs w:val="21"/>
              </w:rPr>
            </w:pPr>
            <w:r>
              <w:rPr>
                <w:bCs/>
                <w:color w:val="auto"/>
                <w:sz w:val="21"/>
                <w:szCs w:val="21"/>
              </w:rPr>
              <w:t xml:space="preserve">1.09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vAlign w:val="center"/>
          </w:tcPr>
          <w:p>
            <w:pPr>
              <w:spacing w:line="312" w:lineRule="exact"/>
              <w:ind w:firstLine="0" w:firstLineChars="0"/>
              <w:jc w:val="center"/>
              <w:rPr>
                <w:bCs/>
                <w:color w:val="auto"/>
                <w:sz w:val="21"/>
                <w:szCs w:val="21"/>
              </w:rPr>
            </w:pPr>
            <w:r>
              <w:rPr>
                <w:bCs/>
                <w:color w:val="auto"/>
                <w:sz w:val="21"/>
                <w:szCs w:val="21"/>
              </w:rPr>
              <w:t>秋季</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2.28 </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2.33 </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2.30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2.18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1.84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1.45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1.42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1.30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1.18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1.27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1.31 </w:t>
            </w:r>
          </w:p>
        </w:tc>
        <w:tc>
          <w:tcPr>
            <w:tcW w:w="360" w:type="pct"/>
            <w:vAlign w:val="bottom"/>
          </w:tcPr>
          <w:p>
            <w:pPr>
              <w:spacing w:line="312" w:lineRule="exact"/>
              <w:ind w:firstLine="0" w:firstLineChars="0"/>
              <w:jc w:val="center"/>
              <w:rPr>
                <w:bCs/>
                <w:color w:val="auto"/>
                <w:sz w:val="21"/>
                <w:szCs w:val="21"/>
              </w:rPr>
            </w:pPr>
            <w:r>
              <w:rPr>
                <w:bCs/>
                <w:color w:val="auto"/>
                <w:sz w:val="21"/>
                <w:szCs w:val="21"/>
              </w:rPr>
              <w:t xml:space="preserve">1.28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vAlign w:val="center"/>
          </w:tcPr>
          <w:p>
            <w:pPr>
              <w:spacing w:line="312" w:lineRule="exact"/>
              <w:ind w:firstLine="0" w:firstLineChars="0"/>
              <w:jc w:val="center"/>
              <w:rPr>
                <w:bCs/>
                <w:color w:val="auto"/>
                <w:sz w:val="21"/>
                <w:szCs w:val="21"/>
              </w:rPr>
            </w:pPr>
            <w:r>
              <w:rPr>
                <w:bCs/>
                <w:color w:val="auto"/>
                <w:sz w:val="21"/>
                <w:szCs w:val="21"/>
              </w:rPr>
              <w:t>冬季</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3.04 </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3.12 </w:t>
            </w:r>
          </w:p>
        </w:tc>
        <w:tc>
          <w:tcPr>
            <w:tcW w:w="362" w:type="pct"/>
            <w:vAlign w:val="bottom"/>
          </w:tcPr>
          <w:p>
            <w:pPr>
              <w:spacing w:line="312" w:lineRule="exact"/>
              <w:ind w:firstLine="0" w:firstLineChars="0"/>
              <w:jc w:val="center"/>
              <w:rPr>
                <w:bCs/>
                <w:color w:val="auto"/>
                <w:sz w:val="21"/>
                <w:szCs w:val="21"/>
              </w:rPr>
            </w:pPr>
            <w:r>
              <w:rPr>
                <w:bCs/>
                <w:color w:val="auto"/>
                <w:sz w:val="21"/>
                <w:szCs w:val="21"/>
              </w:rPr>
              <w:t xml:space="preserve">2.98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2.72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2.18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1.86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1.72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1.61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1.56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1.60 </w:t>
            </w:r>
          </w:p>
        </w:tc>
        <w:tc>
          <w:tcPr>
            <w:tcW w:w="361" w:type="pct"/>
            <w:vAlign w:val="bottom"/>
          </w:tcPr>
          <w:p>
            <w:pPr>
              <w:spacing w:line="312" w:lineRule="exact"/>
              <w:ind w:firstLine="0" w:firstLineChars="0"/>
              <w:jc w:val="center"/>
              <w:rPr>
                <w:bCs/>
                <w:color w:val="auto"/>
                <w:sz w:val="21"/>
                <w:szCs w:val="21"/>
              </w:rPr>
            </w:pPr>
            <w:r>
              <w:rPr>
                <w:bCs/>
                <w:color w:val="auto"/>
                <w:sz w:val="21"/>
                <w:szCs w:val="21"/>
              </w:rPr>
              <w:t xml:space="preserve">1.58 </w:t>
            </w:r>
          </w:p>
        </w:tc>
        <w:tc>
          <w:tcPr>
            <w:tcW w:w="360" w:type="pct"/>
            <w:vAlign w:val="bottom"/>
          </w:tcPr>
          <w:p>
            <w:pPr>
              <w:spacing w:line="312" w:lineRule="exact"/>
              <w:ind w:firstLine="0" w:firstLineChars="0"/>
              <w:jc w:val="center"/>
              <w:rPr>
                <w:bCs/>
                <w:color w:val="auto"/>
                <w:sz w:val="21"/>
                <w:szCs w:val="21"/>
              </w:rPr>
            </w:pPr>
            <w:r>
              <w:rPr>
                <w:bCs/>
                <w:color w:val="auto"/>
                <w:sz w:val="21"/>
                <w:szCs w:val="21"/>
              </w:rPr>
              <w:t xml:space="preserve">1.61 </w:t>
            </w:r>
          </w:p>
        </w:tc>
      </w:tr>
    </w:tbl>
    <w:p>
      <w:pPr>
        <w:spacing w:line="360" w:lineRule="auto"/>
        <w:ind w:left="0" w:leftChars="0" w:firstLine="0" w:firstLineChars="0"/>
        <w:jc w:val="both"/>
        <w:rPr>
          <w:color w:val="auto"/>
          <w:szCs w:val="24"/>
        </w:rPr>
      </w:pPr>
      <w:r>
        <w:rPr>
          <w:color w:val="auto"/>
          <w:szCs w:val="24"/>
        </w:rPr>
        <w:drawing>
          <wp:inline distT="0" distB="0" distL="114300" distR="114300">
            <wp:extent cx="5370195" cy="2332355"/>
            <wp:effectExtent l="0" t="0" r="1905" b="10795"/>
            <wp:docPr id="3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8"/>
                    <pic:cNvPicPr>
                      <a:picLocks noChangeAspect="1"/>
                    </pic:cNvPicPr>
                  </pic:nvPicPr>
                  <pic:blipFill>
                    <a:blip r:embed="rId111" cstate="print"/>
                    <a:stretch>
                      <a:fillRect/>
                    </a:stretch>
                  </pic:blipFill>
                  <pic:spPr>
                    <a:xfrm>
                      <a:off x="0" y="0"/>
                      <a:ext cx="5370195" cy="2332355"/>
                    </a:xfrm>
                    <a:prstGeom prst="rect">
                      <a:avLst/>
                    </a:prstGeom>
                    <a:noFill/>
                    <a:ln w="9525">
                      <a:noFill/>
                    </a:ln>
                  </pic:spPr>
                </pic:pic>
              </a:graphicData>
            </a:graphic>
          </wp:inline>
        </w:drawing>
      </w:r>
    </w:p>
    <w:p>
      <w:pPr>
        <w:snapToGrid w:val="0"/>
        <w:spacing w:beforeLines="50"/>
        <w:ind w:firstLine="420"/>
        <w:jc w:val="center"/>
        <w:rPr>
          <w:rFonts w:eastAsia="黑体"/>
          <w:b/>
          <w:color w:val="auto"/>
          <w:sz w:val="21"/>
          <w:szCs w:val="22"/>
        </w:rPr>
      </w:pPr>
      <w:r>
        <w:rPr>
          <w:rFonts w:eastAsia="黑体"/>
          <w:bCs/>
          <w:color w:val="auto"/>
          <w:sz w:val="21"/>
          <w:szCs w:val="22"/>
        </w:rPr>
        <w:t>图</w:t>
      </w:r>
      <w:r>
        <w:rPr>
          <w:rFonts w:hint="eastAsia" w:eastAsia="黑体"/>
          <w:bCs/>
          <w:color w:val="auto"/>
          <w:sz w:val="21"/>
          <w:szCs w:val="22"/>
          <w:lang w:val="en-US" w:eastAsia="zh-CN"/>
        </w:rPr>
        <w:t>5</w:t>
      </w:r>
      <w:r>
        <w:rPr>
          <w:rFonts w:eastAsia="黑体"/>
          <w:bCs/>
          <w:color w:val="auto"/>
          <w:sz w:val="21"/>
          <w:szCs w:val="22"/>
        </w:rPr>
        <w:t>.1-3  201</w:t>
      </w:r>
      <w:r>
        <w:rPr>
          <w:rFonts w:hint="eastAsia" w:eastAsia="黑体"/>
          <w:bCs/>
          <w:color w:val="auto"/>
          <w:sz w:val="21"/>
          <w:szCs w:val="22"/>
          <w:lang w:val="en-US" w:eastAsia="zh-CN"/>
        </w:rPr>
        <w:t>9</w:t>
      </w:r>
      <w:r>
        <w:rPr>
          <w:rFonts w:eastAsia="黑体"/>
          <w:bCs/>
          <w:color w:val="auto"/>
          <w:sz w:val="21"/>
          <w:szCs w:val="22"/>
        </w:rPr>
        <w:t>年</w:t>
      </w:r>
      <w:r>
        <w:rPr>
          <w:rFonts w:hint="eastAsia" w:eastAsia="黑体"/>
          <w:bCs/>
          <w:color w:val="auto"/>
          <w:sz w:val="21"/>
          <w:szCs w:val="22"/>
          <w:lang w:eastAsia="zh-CN"/>
        </w:rPr>
        <w:t>张店</w:t>
      </w:r>
      <w:r>
        <w:rPr>
          <w:rFonts w:eastAsia="黑体"/>
          <w:bCs/>
          <w:color w:val="auto"/>
          <w:sz w:val="21"/>
          <w:szCs w:val="22"/>
        </w:rPr>
        <w:t>季小时平均风速日变化曲线</w:t>
      </w:r>
    </w:p>
    <w:p>
      <w:pPr>
        <w:spacing w:line="360" w:lineRule="auto"/>
        <w:ind w:firstLine="480"/>
        <w:rPr>
          <w:color w:val="auto"/>
          <w:szCs w:val="24"/>
        </w:rPr>
      </w:pPr>
      <w:r>
        <w:rPr>
          <w:color w:val="auto"/>
          <w:szCs w:val="24"/>
        </w:rPr>
        <w:fldChar w:fldCharType="begin"/>
      </w:r>
      <w:r>
        <w:rPr>
          <w:color w:val="auto"/>
          <w:szCs w:val="24"/>
        </w:rPr>
        <w:instrText xml:space="preserve"> = 2 \* ROMAN \* MERGEFORMAT </w:instrText>
      </w:r>
      <w:r>
        <w:rPr>
          <w:color w:val="auto"/>
          <w:szCs w:val="24"/>
        </w:rPr>
        <w:fldChar w:fldCharType="separate"/>
      </w:r>
      <w:r>
        <w:rPr>
          <w:color w:val="auto"/>
        </w:rPr>
        <w:t>II</w:t>
      </w:r>
      <w:r>
        <w:rPr>
          <w:color w:val="auto"/>
          <w:szCs w:val="24"/>
        </w:rPr>
        <w:fldChar w:fldCharType="end"/>
      </w:r>
      <w:r>
        <w:rPr>
          <w:color w:val="auto"/>
          <w:szCs w:val="24"/>
        </w:rPr>
        <w:t>风向、风频</w:t>
      </w:r>
    </w:p>
    <w:p>
      <w:pPr>
        <w:spacing w:line="360" w:lineRule="auto"/>
        <w:ind w:firstLine="480"/>
        <w:rPr>
          <w:color w:val="auto"/>
          <w:szCs w:val="24"/>
        </w:rPr>
        <w:sectPr>
          <w:headerReference r:id="rId40" w:type="default"/>
          <w:pgSz w:w="11906" w:h="16838"/>
          <w:pgMar w:top="1701" w:right="1797" w:bottom="1984" w:left="1797" w:header="992" w:footer="992" w:gutter="0"/>
          <w:pgBorders>
            <w:top w:val="none" w:sz="0" w:space="0"/>
            <w:left w:val="none" w:sz="0" w:space="0"/>
            <w:bottom w:val="none" w:sz="0" w:space="0"/>
            <w:right w:val="none" w:sz="0" w:space="0"/>
          </w:pgBorders>
          <w:cols w:space="720" w:num="1"/>
          <w:docGrid w:linePitch="312" w:charSpace="0"/>
        </w:sectPr>
      </w:pPr>
      <w:r>
        <w:rPr>
          <w:color w:val="auto"/>
          <w:szCs w:val="24"/>
        </w:rPr>
        <w:t>表</w:t>
      </w:r>
      <w:r>
        <w:rPr>
          <w:rFonts w:hint="eastAsia"/>
          <w:color w:val="auto"/>
          <w:szCs w:val="24"/>
          <w:lang w:val="en-US" w:eastAsia="zh-CN"/>
        </w:rPr>
        <w:t>5</w:t>
      </w:r>
      <w:r>
        <w:rPr>
          <w:color w:val="auto"/>
          <w:szCs w:val="24"/>
        </w:rPr>
        <w:t>.1-</w:t>
      </w:r>
      <w:r>
        <w:rPr>
          <w:rFonts w:hint="eastAsia"/>
          <w:color w:val="auto"/>
          <w:szCs w:val="24"/>
          <w:lang w:val="en-US" w:eastAsia="zh-CN"/>
        </w:rPr>
        <w:t>11</w:t>
      </w:r>
      <w:r>
        <w:rPr>
          <w:color w:val="auto"/>
          <w:szCs w:val="24"/>
        </w:rPr>
        <w:t>为</w:t>
      </w:r>
      <w:r>
        <w:rPr>
          <w:rFonts w:hint="eastAsia"/>
          <w:color w:val="auto"/>
          <w:szCs w:val="24"/>
          <w:lang w:eastAsia="zh-CN"/>
        </w:rPr>
        <w:t>张店</w:t>
      </w:r>
      <w:r>
        <w:rPr>
          <w:color w:val="auto"/>
          <w:szCs w:val="24"/>
        </w:rPr>
        <w:t>201</w:t>
      </w:r>
      <w:r>
        <w:rPr>
          <w:rFonts w:hint="eastAsia"/>
          <w:color w:val="auto"/>
          <w:szCs w:val="24"/>
          <w:lang w:val="en-US" w:eastAsia="zh-CN"/>
        </w:rPr>
        <w:t>9</w:t>
      </w:r>
      <w:r>
        <w:rPr>
          <w:color w:val="auto"/>
          <w:szCs w:val="24"/>
        </w:rPr>
        <w:t>年各月、各季及全年各风向出现频率，图</w:t>
      </w:r>
      <w:r>
        <w:rPr>
          <w:rFonts w:hint="eastAsia"/>
          <w:color w:val="auto"/>
          <w:szCs w:val="24"/>
          <w:lang w:val="en-US" w:eastAsia="zh-CN"/>
        </w:rPr>
        <w:t>5</w:t>
      </w:r>
      <w:r>
        <w:rPr>
          <w:color w:val="auto"/>
          <w:szCs w:val="24"/>
        </w:rPr>
        <w:t>.1-4为</w:t>
      </w:r>
      <w:r>
        <w:rPr>
          <w:rFonts w:hint="eastAsia"/>
          <w:color w:val="auto"/>
          <w:szCs w:val="24"/>
          <w:lang w:eastAsia="zh-CN"/>
        </w:rPr>
        <w:t>张店</w:t>
      </w:r>
      <w:r>
        <w:rPr>
          <w:color w:val="auto"/>
          <w:szCs w:val="24"/>
        </w:rPr>
        <w:t>201</w:t>
      </w:r>
      <w:r>
        <w:rPr>
          <w:rFonts w:hint="eastAsia"/>
          <w:color w:val="auto"/>
          <w:szCs w:val="24"/>
          <w:lang w:val="en-US" w:eastAsia="zh-CN"/>
        </w:rPr>
        <w:t>9</w:t>
      </w:r>
      <w:r>
        <w:rPr>
          <w:color w:val="auto"/>
          <w:szCs w:val="24"/>
        </w:rPr>
        <w:t>年个月、各季与年的风向频率玫瑰图。由表和图可以看出，该区域全年静风频率平均为4.58%。除静风天气外，该地区201</w:t>
      </w:r>
      <w:r>
        <w:rPr>
          <w:rFonts w:hint="eastAsia"/>
          <w:color w:val="auto"/>
          <w:szCs w:val="24"/>
          <w:lang w:val="en-US" w:eastAsia="zh-CN"/>
        </w:rPr>
        <w:t>9</w:t>
      </w:r>
      <w:r>
        <w:rPr>
          <w:color w:val="auto"/>
          <w:szCs w:val="24"/>
        </w:rPr>
        <w:t>年全年区域主导风向不明显，监测季冬季主导风向不明显。</w:t>
      </w:r>
    </w:p>
    <w:p>
      <w:pPr>
        <w:snapToGrid w:val="0"/>
        <w:spacing w:beforeLines="50"/>
        <w:ind w:firstLine="420"/>
        <w:jc w:val="center"/>
        <w:rPr>
          <w:rFonts w:eastAsia="黑体"/>
          <w:bCs/>
          <w:color w:val="auto"/>
          <w:sz w:val="21"/>
          <w:szCs w:val="22"/>
        </w:rPr>
      </w:pPr>
      <w:r>
        <w:rPr>
          <w:rFonts w:eastAsia="黑体"/>
          <w:bCs/>
          <w:color w:val="auto"/>
          <w:sz w:val="21"/>
          <w:szCs w:val="22"/>
        </w:rPr>
        <w:t>表</w:t>
      </w:r>
      <w:r>
        <w:rPr>
          <w:rFonts w:hint="eastAsia" w:eastAsia="黑体"/>
          <w:bCs/>
          <w:color w:val="auto"/>
          <w:sz w:val="21"/>
          <w:szCs w:val="22"/>
          <w:lang w:val="en-US" w:eastAsia="zh-CN"/>
        </w:rPr>
        <w:t>5</w:t>
      </w:r>
      <w:r>
        <w:rPr>
          <w:rFonts w:eastAsia="黑体"/>
          <w:bCs/>
          <w:color w:val="auto"/>
          <w:sz w:val="21"/>
          <w:szCs w:val="22"/>
        </w:rPr>
        <w:t>.1-</w:t>
      </w:r>
      <w:r>
        <w:rPr>
          <w:rFonts w:hint="eastAsia" w:eastAsia="黑体"/>
          <w:bCs/>
          <w:color w:val="auto"/>
          <w:sz w:val="21"/>
          <w:szCs w:val="22"/>
          <w:lang w:val="en-US" w:eastAsia="zh-CN"/>
        </w:rPr>
        <w:t>12</w:t>
      </w:r>
      <w:r>
        <w:rPr>
          <w:rFonts w:eastAsia="黑体"/>
          <w:bCs/>
          <w:color w:val="auto"/>
          <w:sz w:val="21"/>
          <w:szCs w:val="22"/>
        </w:rPr>
        <w:t xml:space="preserve">  </w:t>
      </w:r>
      <w:r>
        <w:rPr>
          <w:rFonts w:hint="eastAsia" w:eastAsia="黑体"/>
          <w:bCs/>
          <w:color w:val="auto"/>
          <w:sz w:val="21"/>
          <w:szCs w:val="22"/>
          <w:lang w:eastAsia="zh-CN"/>
        </w:rPr>
        <w:t>张店</w:t>
      </w:r>
      <w:r>
        <w:rPr>
          <w:rFonts w:eastAsia="黑体"/>
          <w:bCs/>
          <w:color w:val="auto"/>
          <w:sz w:val="21"/>
          <w:szCs w:val="22"/>
        </w:rPr>
        <w:t>201</w:t>
      </w:r>
      <w:r>
        <w:rPr>
          <w:rFonts w:hint="eastAsia" w:eastAsia="黑体"/>
          <w:bCs/>
          <w:color w:val="auto"/>
          <w:sz w:val="21"/>
          <w:szCs w:val="22"/>
          <w:lang w:val="en-US" w:eastAsia="zh-CN"/>
        </w:rPr>
        <w:t>9</w:t>
      </w:r>
      <w:r>
        <w:rPr>
          <w:rFonts w:eastAsia="黑体"/>
          <w:bCs/>
          <w:color w:val="auto"/>
          <w:sz w:val="21"/>
          <w:szCs w:val="22"/>
        </w:rPr>
        <w:t>年各月、各季、全年各风向出现频率（%）</w:t>
      </w:r>
    </w:p>
    <w:tbl>
      <w:tblPr>
        <w:tblStyle w:val="22"/>
        <w:tblW w:w="14218"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17"/>
        <w:gridCol w:w="691"/>
        <w:gridCol w:w="782"/>
        <w:gridCol w:w="816"/>
        <w:gridCol w:w="768"/>
        <w:gridCol w:w="816"/>
        <w:gridCol w:w="816"/>
        <w:gridCol w:w="816"/>
        <w:gridCol w:w="697"/>
        <w:gridCol w:w="691"/>
        <w:gridCol w:w="816"/>
        <w:gridCol w:w="816"/>
        <w:gridCol w:w="890"/>
        <w:gridCol w:w="691"/>
        <w:gridCol w:w="933"/>
        <w:gridCol w:w="816"/>
        <w:gridCol w:w="864"/>
        <w:gridCol w:w="68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spacing w:line="312" w:lineRule="exact"/>
              <w:ind w:firstLine="0" w:firstLineChars="0"/>
              <w:jc w:val="center"/>
              <w:rPr>
                <w:bCs/>
                <w:color w:val="auto"/>
                <w:sz w:val="21"/>
                <w:szCs w:val="21"/>
              </w:rPr>
            </w:pPr>
            <w:r>
              <w:rPr>
                <w:bCs/>
                <w:color w:val="auto"/>
                <w:sz w:val="21"/>
                <w:szCs w:val="21"/>
              </w:rPr>
              <w:t>风向</w:t>
            </w:r>
          </w:p>
        </w:tc>
        <w:tc>
          <w:tcPr>
            <w:tcW w:w="691" w:type="dxa"/>
            <w:vAlign w:val="center"/>
          </w:tcPr>
          <w:p>
            <w:pPr>
              <w:snapToGrid w:val="0"/>
              <w:spacing w:line="312" w:lineRule="exact"/>
              <w:ind w:firstLine="0" w:firstLineChars="0"/>
              <w:jc w:val="center"/>
              <w:rPr>
                <w:bCs/>
                <w:color w:val="auto"/>
                <w:sz w:val="21"/>
                <w:szCs w:val="21"/>
              </w:rPr>
            </w:pPr>
            <w:r>
              <w:rPr>
                <w:bCs/>
                <w:color w:val="auto"/>
                <w:sz w:val="21"/>
                <w:szCs w:val="21"/>
              </w:rPr>
              <w:t>N</w:t>
            </w:r>
          </w:p>
        </w:tc>
        <w:tc>
          <w:tcPr>
            <w:tcW w:w="782" w:type="dxa"/>
            <w:vAlign w:val="center"/>
          </w:tcPr>
          <w:p>
            <w:pPr>
              <w:snapToGrid w:val="0"/>
              <w:spacing w:line="312" w:lineRule="exact"/>
              <w:ind w:firstLine="0" w:firstLineChars="0"/>
              <w:jc w:val="center"/>
              <w:rPr>
                <w:bCs/>
                <w:color w:val="auto"/>
                <w:sz w:val="21"/>
                <w:szCs w:val="21"/>
              </w:rPr>
            </w:pPr>
            <w:r>
              <w:rPr>
                <w:bCs/>
                <w:color w:val="auto"/>
                <w:sz w:val="21"/>
                <w:szCs w:val="21"/>
              </w:rPr>
              <w:t>NNE</w:t>
            </w:r>
          </w:p>
        </w:tc>
        <w:tc>
          <w:tcPr>
            <w:tcW w:w="816" w:type="dxa"/>
            <w:vAlign w:val="center"/>
          </w:tcPr>
          <w:p>
            <w:pPr>
              <w:snapToGrid w:val="0"/>
              <w:spacing w:line="312" w:lineRule="exact"/>
              <w:ind w:firstLine="0" w:firstLineChars="0"/>
              <w:jc w:val="center"/>
              <w:rPr>
                <w:bCs/>
                <w:color w:val="auto"/>
                <w:sz w:val="21"/>
                <w:szCs w:val="21"/>
              </w:rPr>
            </w:pPr>
            <w:r>
              <w:rPr>
                <w:bCs/>
                <w:color w:val="auto"/>
                <w:sz w:val="21"/>
                <w:szCs w:val="21"/>
              </w:rPr>
              <w:t>NE</w:t>
            </w:r>
          </w:p>
        </w:tc>
        <w:tc>
          <w:tcPr>
            <w:tcW w:w="768" w:type="dxa"/>
            <w:vAlign w:val="center"/>
          </w:tcPr>
          <w:p>
            <w:pPr>
              <w:snapToGrid w:val="0"/>
              <w:spacing w:line="312" w:lineRule="exact"/>
              <w:ind w:firstLine="0" w:firstLineChars="0"/>
              <w:jc w:val="center"/>
              <w:rPr>
                <w:bCs/>
                <w:color w:val="auto"/>
                <w:sz w:val="21"/>
                <w:szCs w:val="21"/>
              </w:rPr>
            </w:pPr>
            <w:r>
              <w:rPr>
                <w:bCs/>
                <w:color w:val="auto"/>
                <w:sz w:val="21"/>
                <w:szCs w:val="21"/>
              </w:rPr>
              <w:t>ENE</w:t>
            </w:r>
          </w:p>
        </w:tc>
        <w:tc>
          <w:tcPr>
            <w:tcW w:w="816" w:type="dxa"/>
            <w:vAlign w:val="center"/>
          </w:tcPr>
          <w:p>
            <w:pPr>
              <w:snapToGrid w:val="0"/>
              <w:spacing w:line="312" w:lineRule="exact"/>
              <w:ind w:firstLine="0" w:firstLineChars="0"/>
              <w:jc w:val="center"/>
              <w:rPr>
                <w:bCs/>
                <w:color w:val="auto"/>
                <w:sz w:val="21"/>
                <w:szCs w:val="21"/>
              </w:rPr>
            </w:pPr>
            <w:r>
              <w:rPr>
                <w:bCs/>
                <w:color w:val="auto"/>
                <w:sz w:val="21"/>
                <w:szCs w:val="21"/>
              </w:rPr>
              <w:t>E</w:t>
            </w:r>
          </w:p>
        </w:tc>
        <w:tc>
          <w:tcPr>
            <w:tcW w:w="816" w:type="dxa"/>
            <w:vAlign w:val="center"/>
          </w:tcPr>
          <w:p>
            <w:pPr>
              <w:snapToGrid w:val="0"/>
              <w:spacing w:line="312" w:lineRule="exact"/>
              <w:ind w:firstLine="0" w:firstLineChars="0"/>
              <w:jc w:val="center"/>
              <w:rPr>
                <w:bCs/>
                <w:color w:val="auto"/>
                <w:sz w:val="21"/>
                <w:szCs w:val="21"/>
              </w:rPr>
            </w:pPr>
            <w:r>
              <w:rPr>
                <w:bCs/>
                <w:color w:val="auto"/>
                <w:sz w:val="21"/>
                <w:szCs w:val="21"/>
              </w:rPr>
              <w:t>ESE</w:t>
            </w:r>
          </w:p>
        </w:tc>
        <w:tc>
          <w:tcPr>
            <w:tcW w:w="816" w:type="dxa"/>
            <w:vAlign w:val="center"/>
          </w:tcPr>
          <w:p>
            <w:pPr>
              <w:snapToGrid w:val="0"/>
              <w:spacing w:line="312" w:lineRule="exact"/>
              <w:ind w:firstLine="0" w:firstLineChars="0"/>
              <w:jc w:val="center"/>
              <w:rPr>
                <w:bCs/>
                <w:color w:val="auto"/>
                <w:sz w:val="21"/>
                <w:szCs w:val="21"/>
              </w:rPr>
            </w:pPr>
            <w:r>
              <w:rPr>
                <w:bCs/>
                <w:color w:val="auto"/>
                <w:sz w:val="21"/>
                <w:szCs w:val="21"/>
              </w:rPr>
              <w:t>SE</w:t>
            </w:r>
          </w:p>
        </w:tc>
        <w:tc>
          <w:tcPr>
            <w:tcW w:w="697" w:type="dxa"/>
            <w:vAlign w:val="center"/>
          </w:tcPr>
          <w:p>
            <w:pPr>
              <w:snapToGrid w:val="0"/>
              <w:spacing w:line="312" w:lineRule="exact"/>
              <w:ind w:firstLine="0" w:firstLineChars="0"/>
              <w:jc w:val="center"/>
              <w:rPr>
                <w:bCs/>
                <w:color w:val="auto"/>
                <w:sz w:val="21"/>
                <w:szCs w:val="21"/>
              </w:rPr>
            </w:pPr>
            <w:r>
              <w:rPr>
                <w:bCs/>
                <w:color w:val="auto"/>
                <w:sz w:val="21"/>
                <w:szCs w:val="21"/>
              </w:rPr>
              <w:t>SSE</w:t>
            </w:r>
          </w:p>
        </w:tc>
        <w:tc>
          <w:tcPr>
            <w:tcW w:w="691" w:type="dxa"/>
            <w:vAlign w:val="center"/>
          </w:tcPr>
          <w:p>
            <w:pPr>
              <w:snapToGrid w:val="0"/>
              <w:spacing w:line="312" w:lineRule="exact"/>
              <w:ind w:firstLine="0" w:firstLineChars="0"/>
              <w:jc w:val="center"/>
              <w:rPr>
                <w:bCs/>
                <w:color w:val="auto"/>
                <w:sz w:val="21"/>
                <w:szCs w:val="21"/>
              </w:rPr>
            </w:pPr>
            <w:r>
              <w:rPr>
                <w:bCs/>
                <w:color w:val="auto"/>
                <w:sz w:val="21"/>
                <w:szCs w:val="21"/>
              </w:rPr>
              <w:t>S</w:t>
            </w:r>
          </w:p>
        </w:tc>
        <w:tc>
          <w:tcPr>
            <w:tcW w:w="816" w:type="dxa"/>
            <w:vAlign w:val="center"/>
          </w:tcPr>
          <w:p>
            <w:pPr>
              <w:snapToGrid w:val="0"/>
              <w:spacing w:line="312" w:lineRule="exact"/>
              <w:ind w:firstLine="0" w:firstLineChars="0"/>
              <w:jc w:val="center"/>
              <w:rPr>
                <w:bCs/>
                <w:color w:val="auto"/>
                <w:sz w:val="21"/>
                <w:szCs w:val="21"/>
              </w:rPr>
            </w:pPr>
            <w:r>
              <w:rPr>
                <w:bCs/>
                <w:color w:val="auto"/>
                <w:sz w:val="21"/>
                <w:szCs w:val="21"/>
              </w:rPr>
              <w:t>SSW</w:t>
            </w:r>
          </w:p>
        </w:tc>
        <w:tc>
          <w:tcPr>
            <w:tcW w:w="816" w:type="dxa"/>
            <w:vAlign w:val="center"/>
          </w:tcPr>
          <w:p>
            <w:pPr>
              <w:snapToGrid w:val="0"/>
              <w:spacing w:line="312" w:lineRule="exact"/>
              <w:ind w:firstLine="0" w:firstLineChars="0"/>
              <w:jc w:val="center"/>
              <w:rPr>
                <w:bCs/>
                <w:color w:val="auto"/>
                <w:sz w:val="21"/>
                <w:szCs w:val="21"/>
              </w:rPr>
            </w:pPr>
            <w:r>
              <w:rPr>
                <w:bCs/>
                <w:color w:val="auto"/>
                <w:sz w:val="21"/>
                <w:szCs w:val="21"/>
              </w:rPr>
              <w:t>SW</w:t>
            </w:r>
          </w:p>
        </w:tc>
        <w:tc>
          <w:tcPr>
            <w:tcW w:w="890" w:type="dxa"/>
            <w:vAlign w:val="center"/>
          </w:tcPr>
          <w:p>
            <w:pPr>
              <w:snapToGrid w:val="0"/>
              <w:spacing w:line="312" w:lineRule="exact"/>
              <w:ind w:firstLine="0" w:firstLineChars="0"/>
              <w:jc w:val="center"/>
              <w:rPr>
                <w:bCs/>
                <w:color w:val="auto"/>
                <w:sz w:val="21"/>
                <w:szCs w:val="21"/>
              </w:rPr>
            </w:pPr>
            <w:r>
              <w:rPr>
                <w:bCs/>
                <w:color w:val="auto"/>
                <w:sz w:val="21"/>
                <w:szCs w:val="21"/>
              </w:rPr>
              <w:t>WSW</w:t>
            </w:r>
          </w:p>
        </w:tc>
        <w:tc>
          <w:tcPr>
            <w:tcW w:w="691" w:type="dxa"/>
            <w:vAlign w:val="center"/>
          </w:tcPr>
          <w:p>
            <w:pPr>
              <w:snapToGrid w:val="0"/>
              <w:spacing w:line="312" w:lineRule="exact"/>
              <w:ind w:firstLine="0" w:firstLineChars="0"/>
              <w:jc w:val="center"/>
              <w:rPr>
                <w:bCs/>
                <w:color w:val="auto"/>
                <w:sz w:val="21"/>
                <w:szCs w:val="21"/>
              </w:rPr>
            </w:pPr>
            <w:r>
              <w:rPr>
                <w:bCs/>
                <w:color w:val="auto"/>
                <w:sz w:val="21"/>
                <w:szCs w:val="21"/>
              </w:rPr>
              <w:t>W</w:t>
            </w:r>
          </w:p>
        </w:tc>
        <w:tc>
          <w:tcPr>
            <w:tcW w:w="933" w:type="dxa"/>
            <w:vAlign w:val="center"/>
          </w:tcPr>
          <w:p>
            <w:pPr>
              <w:snapToGrid w:val="0"/>
              <w:spacing w:line="312" w:lineRule="exact"/>
              <w:ind w:firstLine="0" w:firstLineChars="0"/>
              <w:jc w:val="center"/>
              <w:rPr>
                <w:bCs/>
                <w:color w:val="auto"/>
                <w:sz w:val="21"/>
                <w:szCs w:val="21"/>
              </w:rPr>
            </w:pPr>
            <w:r>
              <w:rPr>
                <w:bCs/>
                <w:color w:val="auto"/>
                <w:sz w:val="21"/>
                <w:szCs w:val="21"/>
              </w:rPr>
              <w:t>WNW</w:t>
            </w:r>
          </w:p>
        </w:tc>
        <w:tc>
          <w:tcPr>
            <w:tcW w:w="816" w:type="dxa"/>
            <w:vAlign w:val="center"/>
          </w:tcPr>
          <w:p>
            <w:pPr>
              <w:snapToGrid w:val="0"/>
              <w:spacing w:line="312" w:lineRule="exact"/>
              <w:ind w:firstLine="0" w:firstLineChars="0"/>
              <w:jc w:val="center"/>
              <w:rPr>
                <w:bCs/>
                <w:color w:val="auto"/>
                <w:sz w:val="21"/>
                <w:szCs w:val="21"/>
              </w:rPr>
            </w:pPr>
            <w:r>
              <w:rPr>
                <w:bCs/>
                <w:color w:val="auto"/>
                <w:sz w:val="21"/>
                <w:szCs w:val="21"/>
              </w:rPr>
              <w:t>NW</w:t>
            </w:r>
          </w:p>
        </w:tc>
        <w:tc>
          <w:tcPr>
            <w:tcW w:w="864" w:type="dxa"/>
            <w:vAlign w:val="center"/>
          </w:tcPr>
          <w:p>
            <w:pPr>
              <w:snapToGrid w:val="0"/>
              <w:spacing w:line="312" w:lineRule="exact"/>
              <w:ind w:firstLine="0" w:firstLineChars="0"/>
              <w:jc w:val="center"/>
              <w:rPr>
                <w:bCs/>
                <w:color w:val="auto"/>
                <w:sz w:val="21"/>
                <w:szCs w:val="21"/>
              </w:rPr>
            </w:pPr>
            <w:r>
              <w:rPr>
                <w:bCs/>
                <w:color w:val="auto"/>
                <w:sz w:val="21"/>
                <w:szCs w:val="21"/>
              </w:rPr>
              <w:t>NNW</w:t>
            </w:r>
          </w:p>
        </w:tc>
        <w:tc>
          <w:tcPr>
            <w:tcW w:w="682" w:type="dxa"/>
            <w:vAlign w:val="center"/>
          </w:tcPr>
          <w:p>
            <w:pPr>
              <w:snapToGrid w:val="0"/>
              <w:spacing w:line="312" w:lineRule="exact"/>
              <w:ind w:firstLine="0" w:firstLineChars="0"/>
              <w:jc w:val="center"/>
              <w:rPr>
                <w:bCs/>
                <w:color w:val="auto"/>
                <w:sz w:val="21"/>
                <w:szCs w:val="21"/>
              </w:rPr>
            </w:pPr>
            <w:r>
              <w:rPr>
                <w:bCs/>
                <w:color w:val="auto"/>
                <w:sz w:val="21"/>
                <w:szCs w:val="21"/>
              </w:rPr>
              <w:t>C</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spacing w:line="312" w:lineRule="exact"/>
              <w:ind w:firstLine="0" w:firstLineChars="0"/>
              <w:jc w:val="center"/>
              <w:rPr>
                <w:bCs/>
                <w:color w:val="auto"/>
                <w:sz w:val="21"/>
                <w:szCs w:val="21"/>
              </w:rPr>
            </w:pPr>
            <w:r>
              <w:rPr>
                <w:bCs/>
                <w:color w:val="auto"/>
                <w:sz w:val="21"/>
                <w:szCs w:val="21"/>
              </w:rPr>
              <w:t>1月</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3.76 </w:t>
            </w:r>
          </w:p>
        </w:tc>
        <w:tc>
          <w:tcPr>
            <w:tcW w:w="782" w:type="dxa"/>
            <w:vAlign w:val="bottom"/>
          </w:tcPr>
          <w:p>
            <w:pPr>
              <w:spacing w:line="312" w:lineRule="exact"/>
              <w:ind w:firstLine="0" w:firstLineChars="0"/>
              <w:jc w:val="center"/>
              <w:rPr>
                <w:bCs/>
                <w:color w:val="auto"/>
                <w:sz w:val="21"/>
                <w:szCs w:val="21"/>
              </w:rPr>
            </w:pPr>
            <w:r>
              <w:rPr>
                <w:bCs/>
                <w:color w:val="auto"/>
                <w:sz w:val="21"/>
                <w:szCs w:val="21"/>
              </w:rPr>
              <w:t xml:space="preserve">3.09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1.08 </w:t>
            </w:r>
          </w:p>
        </w:tc>
        <w:tc>
          <w:tcPr>
            <w:tcW w:w="768" w:type="dxa"/>
            <w:vAlign w:val="bottom"/>
          </w:tcPr>
          <w:p>
            <w:pPr>
              <w:spacing w:line="312" w:lineRule="exact"/>
              <w:ind w:firstLine="0" w:firstLineChars="0"/>
              <w:jc w:val="center"/>
              <w:rPr>
                <w:bCs/>
                <w:color w:val="auto"/>
                <w:sz w:val="21"/>
                <w:szCs w:val="21"/>
              </w:rPr>
            </w:pPr>
            <w:r>
              <w:rPr>
                <w:bCs/>
                <w:color w:val="auto"/>
                <w:sz w:val="21"/>
                <w:szCs w:val="21"/>
              </w:rPr>
              <w:t xml:space="preserve">2.15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4.84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4.97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2.96 </w:t>
            </w:r>
          </w:p>
        </w:tc>
        <w:tc>
          <w:tcPr>
            <w:tcW w:w="697" w:type="dxa"/>
            <w:vAlign w:val="bottom"/>
          </w:tcPr>
          <w:p>
            <w:pPr>
              <w:spacing w:line="312" w:lineRule="exact"/>
              <w:ind w:firstLine="0" w:firstLineChars="0"/>
              <w:jc w:val="center"/>
              <w:rPr>
                <w:bCs/>
                <w:color w:val="auto"/>
                <w:sz w:val="21"/>
                <w:szCs w:val="21"/>
              </w:rPr>
            </w:pPr>
            <w:r>
              <w:rPr>
                <w:bCs/>
                <w:color w:val="auto"/>
                <w:sz w:val="21"/>
                <w:szCs w:val="21"/>
              </w:rPr>
              <w:t xml:space="preserve">2.02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3.76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5.24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6.85 </w:t>
            </w:r>
          </w:p>
        </w:tc>
        <w:tc>
          <w:tcPr>
            <w:tcW w:w="890" w:type="dxa"/>
            <w:vAlign w:val="bottom"/>
          </w:tcPr>
          <w:p>
            <w:pPr>
              <w:spacing w:line="312" w:lineRule="exact"/>
              <w:ind w:firstLine="0" w:firstLineChars="0"/>
              <w:jc w:val="center"/>
              <w:rPr>
                <w:bCs/>
                <w:color w:val="auto"/>
                <w:sz w:val="21"/>
                <w:szCs w:val="21"/>
              </w:rPr>
            </w:pPr>
            <w:r>
              <w:rPr>
                <w:bCs/>
                <w:color w:val="auto"/>
                <w:sz w:val="21"/>
                <w:szCs w:val="21"/>
              </w:rPr>
              <w:t xml:space="preserve">16.26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8.74 </w:t>
            </w:r>
          </w:p>
        </w:tc>
        <w:tc>
          <w:tcPr>
            <w:tcW w:w="933" w:type="dxa"/>
            <w:vAlign w:val="bottom"/>
          </w:tcPr>
          <w:p>
            <w:pPr>
              <w:spacing w:line="312" w:lineRule="exact"/>
              <w:ind w:firstLine="0" w:firstLineChars="0"/>
              <w:jc w:val="center"/>
              <w:rPr>
                <w:bCs/>
                <w:color w:val="auto"/>
                <w:sz w:val="21"/>
                <w:szCs w:val="21"/>
              </w:rPr>
            </w:pPr>
            <w:r>
              <w:rPr>
                <w:bCs/>
                <w:color w:val="auto"/>
                <w:sz w:val="21"/>
                <w:szCs w:val="21"/>
              </w:rPr>
              <w:t xml:space="preserve">9.95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12.10 </w:t>
            </w:r>
          </w:p>
        </w:tc>
        <w:tc>
          <w:tcPr>
            <w:tcW w:w="864" w:type="dxa"/>
            <w:vAlign w:val="bottom"/>
          </w:tcPr>
          <w:p>
            <w:pPr>
              <w:spacing w:line="312" w:lineRule="exact"/>
              <w:ind w:firstLine="0" w:firstLineChars="0"/>
              <w:jc w:val="center"/>
              <w:rPr>
                <w:bCs/>
                <w:color w:val="auto"/>
                <w:sz w:val="21"/>
                <w:szCs w:val="21"/>
              </w:rPr>
            </w:pPr>
            <w:r>
              <w:rPr>
                <w:bCs/>
                <w:color w:val="auto"/>
                <w:sz w:val="21"/>
                <w:szCs w:val="21"/>
              </w:rPr>
              <w:t xml:space="preserve">8.74 </w:t>
            </w:r>
          </w:p>
        </w:tc>
        <w:tc>
          <w:tcPr>
            <w:tcW w:w="682" w:type="dxa"/>
            <w:vAlign w:val="bottom"/>
          </w:tcPr>
          <w:p>
            <w:pPr>
              <w:spacing w:line="312" w:lineRule="exact"/>
              <w:ind w:firstLine="0" w:firstLineChars="0"/>
              <w:jc w:val="center"/>
              <w:rPr>
                <w:bCs/>
                <w:color w:val="auto"/>
                <w:sz w:val="21"/>
                <w:szCs w:val="21"/>
              </w:rPr>
            </w:pPr>
            <w:r>
              <w:rPr>
                <w:bCs/>
                <w:color w:val="auto"/>
                <w:sz w:val="21"/>
                <w:szCs w:val="21"/>
              </w:rPr>
              <w:t xml:space="preserve">3.49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spacing w:line="312" w:lineRule="exact"/>
              <w:ind w:firstLine="0" w:firstLineChars="0"/>
              <w:jc w:val="center"/>
              <w:rPr>
                <w:bCs/>
                <w:color w:val="auto"/>
                <w:sz w:val="21"/>
                <w:szCs w:val="21"/>
              </w:rPr>
            </w:pPr>
            <w:r>
              <w:rPr>
                <w:bCs/>
                <w:color w:val="auto"/>
                <w:sz w:val="21"/>
                <w:szCs w:val="21"/>
              </w:rPr>
              <w:t>2月</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3.01 </w:t>
            </w:r>
          </w:p>
        </w:tc>
        <w:tc>
          <w:tcPr>
            <w:tcW w:w="782" w:type="dxa"/>
            <w:vAlign w:val="bottom"/>
          </w:tcPr>
          <w:p>
            <w:pPr>
              <w:spacing w:line="312" w:lineRule="exact"/>
              <w:ind w:firstLine="0" w:firstLineChars="0"/>
              <w:jc w:val="center"/>
              <w:rPr>
                <w:bCs/>
                <w:color w:val="auto"/>
                <w:sz w:val="21"/>
                <w:szCs w:val="21"/>
              </w:rPr>
            </w:pPr>
            <w:r>
              <w:rPr>
                <w:bCs/>
                <w:color w:val="auto"/>
                <w:sz w:val="21"/>
                <w:szCs w:val="21"/>
              </w:rPr>
              <w:t xml:space="preserve">3.76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5.56 </w:t>
            </w:r>
          </w:p>
        </w:tc>
        <w:tc>
          <w:tcPr>
            <w:tcW w:w="768" w:type="dxa"/>
            <w:vAlign w:val="bottom"/>
          </w:tcPr>
          <w:p>
            <w:pPr>
              <w:spacing w:line="312" w:lineRule="exact"/>
              <w:ind w:firstLine="0" w:firstLineChars="0"/>
              <w:jc w:val="center"/>
              <w:rPr>
                <w:bCs/>
                <w:color w:val="auto"/>
                <w:sz w:val="21"/>
                <w:szCs w:val="21"/>
              </w:rPr>
            </w:pPr>
            <w:r>
              <w:rPr>
                <w:bCs/>
                <w:color w:val="auto"/>
                <w:sz w:val="21"/>
                <w:szCs w:val="21"/>
              </w:rPr>
              <w:t xml:space="preserve">8.87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12.48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16.24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5.41 </w:t>
            </w:r>
          </w:p>
        </w:tc>
        <w:tc>
          <w:tcPr>
            <w:tcW w:w="697" w:type="dxa"/>
            <w:vAlign w:val="bottom"/>
          </w:tcPr>
          <w:p>
            <w:pPr>
              <w:spacing w:line="312" w:lineRule="exact"/>
              <w:ind w:firstLine="0" w:firstLineChars="0"/>
              <w:jc w:val="center"/>
              <w:rPr>
                <w:bCs/>
                <w:color w:val="auto"/>
                <w:sz w:val="21"/>
                <w:szCs w:val="21"/>
              </w:rPr>
            </w:pPr>
            <w:r>
              <w:rPr>
                <w:bCs/>
                <w:color w:val="auto"/>
                <w:sz w:val="21"/>
                <w:szCs w:val="21"/>
              </w:rPr>
              <w:t xml:space="preserve">2.41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4.21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6.32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4.06 </w:t>
            </w:r>
          </w:p>
        </w:tc>
        <w:tc>
          <w:tcPr>
            <w:tcW w:w="890" w:type="dxa"/>
            <w:vAlign w:val="bottom"/>
          </w:tcPr>
          <w:p>
            <w:pPr>
              <w:spacing w:line="312" w:lineRule="exact"/>
              <w:ind w:firstLine="0" w:firstLineChars="0"/>
              <w:jc w:val="center"/>
              <w:rPr>
                <w:bCs/>
                <w:color w:val="auto"/>
                <w:sz w:val="21"/>
                <w:szCs w:val="21"/>
              </w:rPr>
            </w:pPr>
            <w:r>
              <w:rPr>
                <w:bCs/>
                <w:color w:val="auto"/>
                <w:sz w:val="21"/>
                <w:szCs w:val="21"/>
              </w:rPr>
              <w:t xml:space="preserve">6.92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5.56 </w:t>
            </w:r>
          </w:p>
        </w:tc>
        <w:tc>
          <w:tcPr>
            <w:tcW w:w="933" w:type="dxa"/>
            <w:vAlign w:val="bottom"/>
          </w:tcPr>
          <w:p>
            <w:pPr>
              <w:spacing w:line="312" w:lineRule="exact"/>
              <w:ind w:firstLine="0" w:firstLineChars="0"/>
              <w:jc w:val="center"/>
              <w:rPr>
                <w:bCs/>
                <w:color w:val="auto"/>
                <w:sz w:val="21"/>
                <w:szCs w:val="21"/>
              </w:rPr>
            </w:pPr>
            <w:r>
              <w:rPr>
                <w:bCs/>
                <w:color w:val="auto"/>
                <w:sz w:val="21"/>
                <w:szCs w:val="21"/>
              </w:rPr>
              <w:t xml:space="preserve">4.66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3.61 </w:t>
            </w:r>
          </w:p>
        </w:tc>
        <w:tc>
          <w:tcPr>
            <w:tcW w:w="864" w:type="dxa"/>
            <w:vAlign w:val="bottom"/>
          </w:tcPr>
          <w:p>
            <w:pPr>
              <w:spacing w:line="312" w:lineRule="exact"/>
              <w:ind w:firstLine="0" w:firstLineChars="0"/>
              <w:jc w:val="center"/>
              <w:rPr>
                <w:bCs/>
                <w:color w:val="auto"/>
                <w:sz w:val="21"/>
                <w:szCs w:val="21"/>
              </w:rPr>
            </w:pPr>
            <w:r>
              <w:rPr>
                <w:bCs/>
                <w:color w:val="auto"/>
                <w:sz w:val="21"/>
                <w:szCs w:val="21"/>
              </w:rPr>
              <w:t xml:space="preserve">2.71 </w:t>
            </w:r>
          </w:p>
        </w:tc>
        <w:tc>
          <w:tcPr>
            <w:tcW w:w="682" w:type="dxa"/>
            <w:vAlign w:val="bottom"/>
          </w:tcPr>
          <w:p>
            <w:pPr>
              <w:spacing w:line="312" w:lineRule="exact"/>
              <w:ind w:firstLine="0" w:firstLineChars="0"/>
              <w:jc w:val="center"/>
              <w:rPr>
                <w:bCs/>
                <w:color w:val="auto"/>
                <w:sz w:val="21"/>
                <w:szCs w:val="21"/>
              </w:rPr>
            </w:pPr>
            <w:r>
              <w:rPr>
                <w:bCs/>
                <w:color w:val="auto"/>
                <w:sz w:val="21"/>
                <w:szCs w:val="21"/>
              </w:rPr>
              <w:t xml:space="preserve">4.21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spacing w:line="312" w:lineRule="exact"/>
              <w:ind w:firstLine="0" w:firstLineChars="0"/>
              <w:jc w:val="center"/>
              <w:rPr>
                <w:bCs/>
                <w:color w:val="auto"/>
                <w:sz w:val="21"/>
                <w:szCs w:val="21"/>
              </w:rPr>
            </w:pPr>
            <w:r>
              <w:rPr>
                <w:bCs/>
                <w:color w:val="auto"/>
                <w:sz w:val="21"/>
                <w:szCs w:val="21"/>
              </w:rPr>
              <w:t>3月</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3.23 </w:t>
            </w:r>
          </w:p>
        </w:tc>
        <w:tc>
          <w:tcPr>
            <w:tcW w:w="782" w:type="dxa"/>
            <w:vAlign w:val="bottom"/>
          </w:tcPr>
          <w:p>
            <w:pPr>
              <w:spacing w:line="312" w:lineRule="exact"/>
              <w:ind w:firstLine="0" w:firstLineChars="0"/>
              <w:jc w:val="center"/>
              <w:rPr>
                <w:bCs/>
                <w:color w:val="auto"/>
                <w:sz w:val="21"/>
                <w:szCs w:val="21"/>
              </w:rPr>
            </w:pPr>
            <w:r>
              <w:rPr>
                <w:bCs/>
                <w:color w:val="auto"/>
                <w:sz w:val="21"/>
                <w:szCs w:val="21"/>
              </w:rPr>
              <w:t xml:space="preserve">1.08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3.90 </w:t>
            </w:r>
          </w:p>
        </w:tc>
        <w:tc>
          <w:tcPr>
            <w:tcW w:w="768" w:type="dxa"/>
            <w:vAlign w:val="bottom"/>
          </w:tcPr>
          <w:p>
            <w:pPr>
              <w:spacing w:line="312" w:lineRule="exact"/>
              <w:ind w:firstLine="0" w:firstLineChars="0"/>
              <w:jc w:val="center"/>
              <w:rPr>
                <w:bCs/>
                <w:color w:val="auto"/>
                <w:sz w:val="21"/>
                <w:szCs w:val="21"/>
              </w:rPr>
            </w:pPr>
            <w:r>
              <w:rPr>
                <w:bCs/>
                <w:color w:val="auto"/>
                <w:sz w:val="21"/>
                <w:szCs w:val="21"/>
              </w:rPr>
              <w:t xml:space="preserve">2.82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2.82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4.97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6.85 </w:t>
            </w:r>
          </w:p>
        </w:tc>
        <w:tc>
          <w:tcPr>
            <w:tcW w:w="697" w:type="dxa"/>
            <w:vAlign w:val="bottom"/>
          </w:tcPr>
          <w:p>
            <w:pPr>
              <w:spacing w:line="312" w:lineRule="exact"/>
              <w:ind w:firstLine="0" w:firstLineChars="0"/>
              <w:jc w:val="center"/>
              <w:rPr>
                <w:bCs/>
                <w:color w:val="auto"/>
                <w:sz w:val="21"/>
                <w:szCs w:val="21"/>
              </w:rPr>
            </w:pPr>
            <w:r>
              <w:rPr>
                <w:bCs/>
                <w:color w:val="auto"/>
                <w:sz w:val="21"/>
                <w:szCs w:val="21"/>
              </w:rPr>
              <w:t xml:space="preserve">2.82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3.76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8.06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11.29 </w:t>
            </w:r>
          </w:p>
        </w:tc>
        <w:tc>
          <w:tcPr>
            <w:tcW w:w="890" w:type="dxa"/>
            <w:vAlign w:val="bottom"/>
          </w:tcPr>
          <w:p>
            <w:pPr>
              <w:spacing w:line="312" w:lineRule="exact"/>
              <w:ind w:firstLine="0" w:firstLineChars="0"/>
              <w:jc w:val="center"/>
              <w:rPr>
                <w:bCs/>
                <w:color w:val="auto"/>
                <w:sz w:val="21"/>
                <w:szCs w:val="21"/>
              </w:rPr>
            </w:pPr>
            <w:r>
              <w:rPr>
                <w:bCs/>
                <w:color w:val="auto"/>
                <w:sz w:val="21"/>
                <w:szCs w:val="21"/>
              </w:rPr>
              <w:t xml:space="preserve">15.19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8.47 </w:t>
            </w:r>
          </w:p>
        </w:tc>
        <w:tc>
          <w:tcPr>
            <w:tcW w:w="933" w:type="dxa"/>
            <w:vAlign w:val="bottom"/>
          </w:tcPr>
          <w:p>
            <w:pPr>
              <w:spacing w:line="312" w:lineRule="exact"/>
              <w:ind w:firstLine="0" w:firstLineChars="0"/>
              <w:jc w:val="center"/>
              <w:rPr>
                <w:bCs/>
                <w:color w:val="auto"/>
                <w:sz w:val="21"/>
                <w:szCs w:val="21"/>
              </w:rPr>
            </w:pPr>
            <w:r>
              <w:rPr>
                <w:bCs/>
                <w:color w:val="auto"/>
                <w:sz w:val="21"/>
                <w:szCs w:val="21"/>
              </w:rPr>
              <w:t xml:space="preserve">8.60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9.95 </w:t>
            </w:r>
          </w:p>
        </w:tc>
        <w:tc>
          <w:tcPr>
            <w:tcW w:w="864" w:type="dxa"/>
            <w:vAlign w:val="bottom"/>
          </w:tcPr>
          <w:p>
            <w:pPr>
              <w:spacing w:line="312" w:lineRule="exact"/>
              <w:ind w:firstLine="0" w:firstLineChars="0"/>
              <w:jc w:val="center"/>
              <w:rPr>
                <w:bCs/>
                <w:color w:val="auto"/>
                <w:sz w:val="21"/>
                <w:szCs w:val="21"/>
              </w:rPr>
            </w:pPr>
            <w:r>
              <w:rPr>
                <w:bCs/>
                <w:color w:val="auto"/>
                <w:sz w:val="21"/>
                <w:szCs w:val="21"/>
              </w:rPr>
              <w:t xml:space="preserve">5.24 </w:t>
            </w:r>
          </w:p>
        </w:tc>
        <w:tc>
          <w:tcPr>
            <w:tcW w:w="682" w:type="dxa"/>
            <w:vAlign w:val="bottom"/>
          </w:tcPr>
          <w:p>
            <w:pPr>
              <w:spacing w:line="312" w:lineRule="exact"/>
              <w:ind w:firstLine="0" w:firstLineChars="0"/>
              <w:jc w:val="center"/>
              <w:rPr>
                <w:bCs/>
                <w:color w:val="auto"/>
                <w:sz w:val="21"/>
                <w:szCs w:val="21"/>
              </w:rPr>
            </w:pPr>
            <w:r>
              <w:rPr>
                <w:bCs/>
                <w:color w:val="auto"/>
                <w:sz w:val="21"/>
                <w:szCs w:val="21"/>
              </w:rPr>
              <w:t xml:space="preserve">0.94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spacing w:line="312" w:lineRule="exact"/>
              <w:ind w:firstLine="0" w:firstLineChars="0"/>
              <w:jc w:val="center"/>
              <w:rPr>
                <w:bCs/>
                <w:color w:val="auto"/>
                <w:sz w:val="21"/>
                <w:szCs w:val="21"/>
              </w:rPr>
            </w:pPr>
            <w:r>
              <w:rPr>
                <w:bCs/>
                <w:color w:val="auto"/>
                <w:sz w:val="21"/>
                <w:szCs w:val="21"/>
              </w:rPr>
              <w:t>4月</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4.72 </w:t>
            </w:r>
          </w:p>
        </w:tc>
        <w:tc>
          <w:tcPr>
            <w:tcW w:w="782" w:type="dxa"/>
            <w:vAlign w:val="bottom"/>
          </w:tcPr>
          <w:p>
            <w:pPr>
              <w:spacing w:line="312" w:lineRule="exact"/>
              <w:ind w:firstLine="0" w:firstLineChars="0"/>
              <w:jc w:val="center"/>
              <w:rPr>
                <w:bCs/>
                <w:color w:val="auto"/>
                <w:sz w:val="21"/>
                <w:szCs w:val="21"/>
              </w:rPr>
            </w:pPr>
            <w:r>
              <w:rPr>
                <w:bCs/>
                <w:color w:val="auto"/>
                <w:sz w:val="21"/>
                <w:szCs w:val="21"/>
              </w:rPr>
              <w:t xml:space="preserve">3.61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7.78 </w:t>
            </w:r>
          </w:p>
        </w:tc>
        <w:tc>
          <w:tcPr>
            <w:tcW w:w="768" w:type="dxa"/>
            <w:vAlign w:val="bottom"/>
          </w:tcPr>
          <w:p>
            <w:pPr>
              <w:spacing w:line="312" w:lineRule="exact"/>
              <w:ind w:firstLine="0" w:firstLineChars="0"/>
              <w:jc w:val="center"/>
              <w:rPr>
                <w:bCs/>
                <w:color w:val="auto"/>
                <w:sz w:val="21"/>
                <w:szCs w:val="21"/>
              </w:rPr>
            </w:pPr>
            <w:r>
              <w:rPr>
                <w:bCs/>
                <w:color w:val="auto"/>
                <w:sz w:val="21"/>
                <w:szCs w:val="21"/>
              </w:rPr>
              <w:t xml:space="preserve">5.97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4.58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6.53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5.83 </w:t>
            </w:r>
          </w:p>
        </w:tc>
        <w:tc>
          <w:tcPr>
            <w:tcW w:w="697" w:type="dxa"/>
            <w:vAlign w:val="bottom"/>
          </w:tcPr>
          <w:p>
            <w:pPr>
              <w:spacing w:line="312" w:lineRule="exact"/>
              <w:ind w:firstLine="0" w:firstLineChars="0"/>
              <w:jc w:val="center"/>
              <w:rPr>
                <w:bCs/>
                <w:color w:val="auto"/>
                <w:sz w:val="21"/>
                <w:szCs w:val="21"/>
              </w:rPr>
            </w:pPr>
            <w:r>
              <w:rPr>
                <w:bCs/>
                <w:color w:val="auto"/>
                <w:sz w:val="21"/>
                <w:szCs w:val="21"/>
              </w:rPr>
              <w:t xml:space="preserve">2.08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2.36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5.00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11.39 </w:t>
            </w:r>
          </w:p>
        </w:tc>
        <w:tc>
          <w:tcPr>
            <w:tcW w:w="890" w:type="dxa"/>
            <w:vAlign w:val="bottom"/>
          </w:tcPr>
          <w:p>
            <w:pPr>
              <w:spacing w:line="312" w:lineRule="exact"/>
              <w:ind w:firstLine="0" w:firstLineChars="0"/>
              <w:jc w:val="center"/>
              <w:rPr>
                <w:bCs/>
                <w:color w:val="auto"/>
                <w:sz w:val="21"/>
                <w:szCs w:val="21"/>
              </w:rPr>
            </w:pPr>
            <w:r>
              <w:rPr>
                <w:bCs/>
                <w:color w:val="auto"/>
                <w:sz w:val="21"/>
                <w:szCs w:val="21"/>
              </w:rPr>
              <w:t xml:space="preserve">13.75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4.86 </w:t>
            </w:r>
          </w:p>
        </w:tc>
        <w:tc>
          <w:tcPr>
            <w:tcW w:w="933" w:type="dxa"/>
            <w:vAlign w:val="bottom"/>
          </w:tcPr>
          <w:p>
            <w:pPr>
              <w:spacing w:line="312" w:lineRule="exact"/>
              <w:ind w:firstLine="0" w:firstLineChars="0"/>
              <w:jc w:val="center"/>
              <w:rPr>
                <w:bCs/>
                <w:color w:val="auto"/>
                <w:sz w:val="21"/>
                <w:szCs w:val="21"/>
              </w:rPr>
            </w:pPr>
            <w:r>
              <w:rPr>
                <w:bCs/>
                <w:color w:val="auto"/>
                <w:sz w:val="21"/>
                <w:szCs w:val="21"/>
              </w:rPr>
              <w:t xml:space="preserve">7.64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8.47 </w:t>
            </w:r>
          </w:p>
        </w:tc>
        <w:tc>
          <w:tcPr>
            <w:tcW w:w="864" w:type="dxa"/>
            <w:vAlign w:val="bottom"/>
          </w:tcPr>
          <w:p>
            <w:pPr>
              <w:spacing w:line="312" w:lineRule="exact"/>
              <w:ind w:firstLine="0" w:firstLineChars="0"/>
              <w:jc w:val="center"/>
              <w:rPr>
                <w:bCs/>
                <w:color w:val="auto"/>
                <w:sz w:val="21"/>
                <w:szCs w:val="21"/>
              </w:rPr>
            </w:pPr>
            <w:r>
              <w:rPr>
                <w:bCs/>
                <w:color w:val="auto"/>
                <w:sz w:val="21"/>
                <w:szCs w:val="21"/>
              </w:rPr>
              <w:t xml:space="preserve">4.03 </w:t>
            </w:r>
          </w:p>
        </w:tc>
        <w:tc>
          <w:tcPr>
            <w:tcW w:w="682" w:type="dxa"/>
            <w:vAlign w:val="bottom"/>
          </w:tcPr>
          <w:p>
            <w:pPr>
              <w:spacing w:line="312" w:lineRule="exact"/>
              <w:ind w:firstLine="0" w:firstLineChars="0"/>
              <w:jc w:val="center"/>
              <w:rPr>
                <w:bCs/>
                <w:color w:val="auto"/>
                <w:sz w:val="21"/>
                <w:szCs w:val="21"/>
              </w:rPr>
            </w:pPr>
            <w:r>
              <w:rPr>
                <w:bCs/>
                <w:color w:val="auto"/>
                <w:sz w:val="21"/>
                <w:szCs w:val="21"/>
              </w:rPr>
              <w:t xml:space="preserve">1.39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spacing w:line="312" w:lineRule="exact"/>
              <w:ind w:firstLine="0" w:firstLineChars="0"/>
              <w:jc w:val="center"/>
              <w:rPr>
                <w:bCs/>
                <w:color w:val="auto"/>
                <w:sz w:val="21"/>
                <w:szCs w:val="21"/>
              </w:rPr>
            </w:pPr>
            <w:r>
              <w:rPr>
                <w:bCs/>
                <w:color w:val="auto"/>
                <w:sz w:val="21"/>
                <w:szCs w:val="21"/>
              </w:rPr>
              <w:t>5月</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4.44 </w:t>
            </w:r>
          </w:p>
        </w:tc>
        <w:tc>
          <w:tcPr>
            <w:tcW w:w="782" w:type="dxa"/>
            <w:vAlign w:val="bottom"/>
          </w:tcPr>
          <w:p>
            <w:pPr>
              <w:spacing w:line="312" w:lineRule="exact"/>
              <w:ind w:firstLine="0" w:firstLineChars="0"/>
              <w:jc w:val="center"/>
              <w:rPr>
                <w:bCs/>
                <w:color w:val="auto"/>
                <w:sz w:val="21"/>
                <w:szCs w:val="21"/>
              </w:rPr>
            </w:pPr>
            <w:r>
              <w:rPr>
                <w:bCs/>
                <w:color w:val="auto"/>
                <w:sz w:val="21"/>
                <w:szCs w:val="21"/>
              </w:rPr>
              <w:t xml:space="preserve">3.76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5.78 </w:t>
            </w:r>
          </w:p>
        </w:tc>
        <w:tc>
          <w:tcPr>
            <w:tcW w:w="768" w:type="dxa"/>
            <w:vAlign w:val="bottom"/>
          </w:tcPr>
          <w:p>
            <w:pPr>
              <w:spacing w:line="312" w:lineRule="exact"/>
              <w:ind w:firstLine="0" w:firstLineChars="0"/>
              <w:jc w:val="center"/>
              <w:rPr>
                <w:bCs/>
                <w:color w:val="auto"/>
                <w:sz w:val="21"/>
                <w:szCs w:val="21"/>
              </w:rPr>
            </w:pPr>
            <w:r>
              <w:rPr>
                <w:bCs/>
                <w:color w:val="auto"/>
                <w:sz w:val="21"/>
                <w:szCs w:val="21"/>
              </w:rPr>
              <w:t xml:space="preserve">3.76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4.70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8.74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6.99 </w:t>
            </w:r>
          </w:p>
        </w:tc>
        <w:tc>
          <w:tcPr>
            <w:tcW w:w="697" w:type="dxa"/>
            <w:vAlign w:val="bottom"/>
          </w:tcPr>
          <w:p>
            <w:pPr>
              <w:spacing w:line="312" w:lineRule="exact"/>
              <w:ind w:firstLine="0" w:firstLineChars="0"/>
              <w:jc w:val="center"/>
              <w:rPr>
                <w:bCs/>
                <w:color w:val="auto"/>
                <w:sz w:val="21"/>
                <w:szCs w:val="21"/>
              </w:rPr>
            </w:pPr>
            <w:r>
              <w:rPr>
                <w:bCs/>
                <w:color w:val="auto"/>
                <w:sz w:val="21"/>
                <w:szCs w:val="21"/>
              </w:rPr>
              <w:t xml:space="preserve">2.82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2.82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6.05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8.06 </w:t>
            </w:r>
          </w:p>
        </w:tc>
        <w:tc>
          <w:tcPr>
            <w:tcW w:w="890" w:type="dxa"/>
            <w:vAlign w:val="bottom"/>
          </w:tcPr>
          <w:p>
            <w:pPr>
              <w:spacing w:line="312" w:lineRule="exact"/>
              <w:ind w:firstLine="0" w:firstLineChars="0"/>
              <w:jc w:val="center"/>
              <w:rPr>
                <w:bCs/>
                <w:color w:val="auto"/>
                <w:sz w:val="21"/>
                <w:szCs w:val="21"/>
              </w:rPr>
            </w:pPr>
            <w:r>
              <w:rPr>
                <w:bCs/>
                <w:color w:val="auto"/>
                <w:sz w:val="21"/>
                <w:szCs w:val="21"/>
              </w:rPr>
              <w:t xml:space="preserve">13.71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8.33 </w:t>
            </w:r>
          </w:p>
        </w:tc>
        <w:tc>
          <w:tcPr>
            <w:tcW w:w="933" w:type="dxa"/>
            <w:vAlign w:val="bottom"/>
          </w:tcPr>
          <w:p>
            <w:pPr>
              <w:spacing w:line="312" w:lineRule="exact"/>
              <w:ind w:firstLine="0" w:firstLineChars="0"/>
              <w:jc w:val="center"/>
              <w:rPr>
                <w:bCs/>
                <w:color w:val="auto"/>
                <w:sz w:val="21"/>
                <w:szCs w:val="21"/>
              </w:rPr>
            </w:pPr>
            <w:r>
              <w:rPr>
                <w:bCs/>
                <w:color w:val="auto"/>
                <w:sz w:val="21"/>
                <w:szCs w:val="21"/>
              </w:rPr>
              <w:t xml:space="preserve">8.33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6.72 </w:t>
            </w:r>
          </w:p>
        </w:tc>
        <w:tc>
          <w:tcPr>
            <w:tcW w:w="864" w:type="dxa"/>
            <w:vAlign w:val="bottom"/>
          </w:tcPr>
          <w:p>
            <w:pPr>
              <w:spacing w:line="312" w:lineRule="exact"/>
              <w:ind w:firstLine="0" w:firstLineChars="0"/>
              <w:jc w:val="center"/>
              <w:rPr>
                <w:bCs/>
                <w:color w:val="auto"/>
                <w:sz w:val="21"/>
                <w:szCs w:val="21"/>
              </w:rPr>
            </w:pPr>
            <w:r>
              <w:rPr>
                <w:bCs/>
                <w:color w:val="auto"/>
                <w:sz w:val="21"/>
                <w:szCs w:val="21"/>
              </w:rPr>
              <w:t xml:space="preserve">3.09 </w:t>
            </w:r>
          </w:p>
        </w:tc>
        <w:tc>
          <w:tcPr>
            <w:tcW w:w="682" w:type="dxa"/>
            <w:vAlign w:val="bottom"/>
          </w:tcPr>
          <w:p>
            <w:pPr>
              <w:spacing w:line="312" w:lineRule="exact"/>
              <w:ind w:firstLine="0" w:firstLineChars="0"/>
              <w:jc w:val="center"/>
              <w:rPr>
                <w:bCs/>
                <w:color w:val="auto"/>
                <w:sz w:val="21"/>
                <w:szCs w:val="21"/>
              </w:rPr>
            </w:pPr>
            <w:r>
              <w:rPr>
                <w:bCs/>
                <w:color w:val="auto"/>
                <w:sz w:val="21"/>
                <w:szCs w:val="21"/>
              </w:rPr>
              <w:t xml:space="preserve">1.88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spacing w:line="312" w:lineRule="exact"/>
              <w:ind w:firstLine="0" w:firstLineChars="0"/>
              <w:jc w:val="center"/>
              <w:rPr>
                <w:bCs/>
                <w:color w:val="auto"/>
                <w:sz w:val="21"/>
                <w:szCs w:val="21"/>
              </w:rPr>
            </w:pPr>
            <w:r>
              <w:rPr>
                <w:bCs/>
                <w:color w:val="auto"/>
                <w:sz w:val="21"/>
                <w:szCs w:val="21"/>
              </w:rPr>
              <w:t>6月</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2.92 </w:t>
            </w:r>
          </w:p>
        </w:tc>
        <w:tc>
          <w:tcPr>
            <w:tcW w:w="782" w:type="dxa"/>
            <w:vAlign w:val="bottom"/>
          </w:tcPr>
          <w:p>
            <w:pPr>
              <w:spacing w:line="312" w:lineRule="exact"/>
              <w:ind w:firstLine="0" w:firstLineChars="0"/>
              <w:jc w:val="center"/>
              <w:rPr>
                <w:bCs/>
                <w:color w:val="auto"/>
                <w:sz w:val="21"/>
                <w:szCs w:val="21"/>
              </w:rPr>
            </w:pPr>
            <w:r>
              <w:rPr>
                <w:bCs/>
                <w:color w:val="auto"/>
                <w:sz w:val="21"/>
                <w:szCs w:val="21"/>
              </w:rPr>
              <w:t xml:space="preserve">2.92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6.25 </w:t>
            </w:r>
          </w:p>
        </w:tc>
        <w:tc>
          <w:tcPr>
            <w:tcW w:w="768" w:type="dxa"/>
            <w:vAlign w:val="bottom"/>
          </w:tcPr>
          <w:p>
            <w:pPr>
              <w:spacing w:line="312" w:lineRule="exact"/>
              <w:ind w:firstLine="0" w:firstLineChars="0"/>
              <w:jc w:val="center"/>
              <w:rPr>
                <w:bCs/>
                <w:color w:val="auto"/>
                <w:sz w:val="21"/>
                <w:szCs w:val="21"/>
              </w:rPr>
            </w:pPr>
            <w:r>
              <w:rPr>
                <w:bCs/>
                <w:color w:val="auto"/>
                <w:sz w:val="21"/>
                <w:szCs w:val="21"/>
              </w:rPr>
              <w:t xml:space="preserve">6.67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6.53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12.36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12.92 </w:t>
            </w:r>
          </w:p>
        </w:tc>
        <w:tc>
          <w:tcPr>
            <w:tcW w:w="697" w:type="dxa"/>
            <w:vAlign w:val="bottom"/>
          </w:tcPr>
          <w:p>
            <w:pPr>
              <w:spacing w:line="312" w:lineRule="exact"/>
              <w:ind w:firstLine="0" w:firstLineChars="0"/>
              <w:jc w:val="center"/>
              <w:rPr>
                <w:bCs/>
                <w:color w:val="auto"/>
                <w:sz w:val="21"/>
                <w:szCs w:val="21"/>
              </w:rPr>
            </w:pPr>
            <w:r>
              <w:rPr>
                <w:bCs/>
                <w:color w:val="auto"/>
                <w:sz w:val="21"/>
                <w:szCs w:val="21"/>
              </w:rPr>
              <w:t xml:space="preserve">4.86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4.03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5.56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7.08 </w:t>
            </w:r>
          </w:p>
        </w:tc>
        <w:tc>
          <w:tcPr>
            <w:tcW w:w="890" w:type="dxa"/>
            <w:vAlign w:val="bottom"/>
          </w:tcPr>
          <w:p>
            <w:pPr>
              <w:spacing w:line="312" w:lineRule="exact"/>
              <w:ind w:firstLine="0" w:firstLineChars="0"/>
              <w:jc w:val="center"/>
              <w:rPr>
                <w:bCs/>
                <w:color w:val="auto"/>
                <w:sz w:val="21"/>
                <w:szCs w:val="21"/>
              </w:rPr>
            </w:pPr>
            <w:r>
              <w:rPr>
                <w:bCs/>
                <w:color w:val="auto"/>
                <w:sz w:val="21"/>
                <w:szCs w:val="21"/>
              </w:rPr>
              <w:t xml:space="preserve">9.17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4.86 </w:t>
            </w:r>
          </w:p>
        </w:tc>
        <w:tc>
          <w:tcPr>
            <w:tcW w:w="933" w:type="dxa"/>
            <w:vAlign w:val="bottom"/>
          </w:tcPr>
          <w:p>
            <w:pPr>
              <w:spacing w:line="312" w:lineRule="exact"/>
              <w:ind w:firstLine="0" w:firstLineChars="0"/>
              <w:jc w:val="center"/>
              <w:rPr>
                <w:bCs/>
                <w:color w:val="auto"/>
                <w:sz w:val="21"/>
                <w:szCs w:val="21"/>
              </w:rPr>
            </w:pPr>
            <w:r>
              <w:rPr>
                <w:bCs/>
                <w:color w:val="auto"/>
                <w:sz w:val="21"/>
                <w:szCs w:val="21"/>
              </w:rPr>
              <w:t xml:space="preserve">2.36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3.19 </w:t>
            </w:r>
          </w:p>
        </w:tc>
        <w:tc>
          <w:tcPr>
            <w:tcW w:w="864" w:type="dxa"/>
            <w:vAlign w:val="bottom"/>
          </w:tcPr>
          <w:p>
            <w:pPr>
              <w:spacing w:line="312" w:lineRule="exact"/>
              <w:ind w:firstLine="0" w:firstLineChars="0"/>
              <w:jc w:val="center"/>
              <w:rPr>
                <w:bCs/>
                <w:color w:val="auto"/>
                <w:sz w:val="21"/>
                <w:szCs w:val="21"/>
              </w:rPr>
            </w:pPr>
            <w:r>
              <w:rPr>
                <w:bCs/>
                <w:color w:val="auto"/>
                <w:sz w:val="21"/>
                <w:szCs w:val="21"/>
              </w:rPr>
              <w:t xml:space="preserve">5.00 </w:t>
            </w:r>
          </w:p>
        </w:tc>
        <w:tc>
          <w:tcPr>
            <w:tcW w:w="682" w:type="dxa"/>
            <w:vAlign w:val="bottom"/>
          </w:tcPr>
          <w:p>
            <w:pPr>
              <w:spacing w:line="312" w:lineRule="exact"/>
              <w:ind w:firstLine="0" w:firstLineChars="0"/>
              <w:jc w:val="center"/>
              <w:rPr>
                <w:bCs/>
                <w:color w:val="auto"/>
                <w:sz w:val="21"/>
                <w:szCs w:val="21"/>
              </w:rPr>
            </w:pPr>
            <w:r>
              <w:rPr>
                <w:bCs/>
                <w:color w:val="auto"/>
                <w:sz w:val="21"/>
                <w:szCs w:val="21"/>
              </w:rPr>
              <w:t xml:space="preserve">3.33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spacing w:line="312" w:lineRule="exact"/>
              <w:ind w:firstLine="0" w:firstLineChars="0"/>
              <w:jc w:val="center"/>
              <w:rPr>
                <w:bCs/>
                <w:color w:val="auto"/>
                <w:sz w:val="21"/>
                <w:szCs w:val="21"/>
              </w:rPr>
            </w:pPr>
            <w:r>
              <w:rPr>
                <w:bCs/>
                <w:color w:val="auto"/>
                <w:sz w:val="21"/>
                <w:szCs w:val="21"/>
              </w:rPr>
              <w:t>7月</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3.23 </w:t>
            </w:r>
          </w:p>
        </w:tc>
        <w:tc>
          <w:tcPr>
            <w:tcW w:w="782" w:type="dxa"/>
            <w:vAlign w:val="bottom"/>
          </w:tcPr>
          <w:p>
            <w:pPr>
              <w:spacing w:line="312" w:lineRule="exact"/>
              <w:ind w:firstLine="0" w:firstLineChars="0"/>
              <w:jc w:val="center"/>
              <w:rPr>
                <w:bCs/>
                <w:color w:val="auto"/>
                <w:sz w:val="21"/>
                <w:szCs w:val="21"/>
              </w:rPr>
            </w:pPr>
            <w:r>
              <w:rPr>
                <w:bCs/>
                <w:color w:val="auto"/>
                <w:sz w:val="21"/>
                <w:szCs w:val="21"/>
              </w:rPr>
              <w:t xml:space="preserve">3.49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6.32 </w:t>
            </w:r>
          </w:p>
        </w:tc>
        <w:tc>
          <w:tcPr>
            <w:tcW w:w="768" w:type="dxa"/>
            <w:vAlign w:val="bottom"/>
          </w:tcPr>
          <w:p>
            <w:pPr>
              <w:spacing w:line="312" w:lineRule="exact"/>
              <w:ind w:firstLine="0" w:firstLineChars="0"/>
              <w:jc w:val="center"/>
              <w:rPr>
                <w:bCs/>
                <w:color w:val="auto"/>
                <w:sz w:val="21"/>
                <w:szCs w:val="21"/>
              </w:rPr>
            </w:pPr>
            <w:r>
              <w:rPr>
                <w:bCs/>
                <w:color w:val="auto"/>
                <w:sz w:val="21"/>
                <w:szCs w:val="21"/>
              </w:rPr>
              <w:t xml:space="preserve">8.20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6.18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15.05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13.31 </w:t>
            </w:r>
          </w:p>
        </w:tc>
        <w:tc>
          <w:tcPr>
            <w:tcW w:w="697" w:type="dxa"/>
            <w:vAlign w:val="bottom"/>
          </w:tcPr>
          <w:p>
            <w:pPr>
              <w:spacing w:line="312" w:lineRule="exact"/>
              <w:ind w:firstLine="0" w:firstLineChars="0"/>
              <w:jc w:val="center"/>
              <w:rPr>
                <w:bCs/>
                <w:color w:val="auto"/>
                <w:sz w:val="21"/>
                <w:szCs w:val="21"/>
              </w:rPr>
            </w:pPr>
            <w:r>
              <w:rPr>
                <w:bCs/>
                <w:color w:val="auto"/>
                <w:sz w:val="21"/>
                <w:szCs w:val="21"/>
              </w:rPr>
              <w:t xml:space="preserve">4.97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4.44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5.78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4.03 </w:t>
            </w:r>
          </w:p>
        </w:tc>
        <w:tc>
          <w:tcPr>
            <w:tcW w:w="890" w:type="dxa"/>
            <w:vAlign w:val="bottom"/>
          </w:tcPr>
          <w:p>
            <w:pPr>
              <w:spacing w:line="312" w:lineRule="exact"/>
              <w:ind w:firstLine="0" w:firstLineChars="0"/>
              <w:jc w:val="center"/>
              <w:rPr>
                <w:bCs/>
                <w:color w:val="auto"/>
                <w:sz w:val="21"/>
                <w:szCs w:val="21"/>
              </w:rPr>
            </w:pPr>
            <w:r>
              <w:rPr>
                <w:bCs/>
                <w:color w:val="auto"/>
                <w:sz w:val="21"/>
                <w:szCs w:val="21"/>
              </w:rPr>
              <w:t xml:space="preserve">4.70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5.24 </w:t>
            </w:r>
          </w:p>
        </w:tc>
        <w:tc>
          <w:tcPr>
            <w:tcW w:w="933" w:type="dxa"/>
            <w:vAlign w:val="bottom"/>
          </w:tcPr>
          <w:p>
            <w:pPr>
              <w:spacing w:line="312" w:lineRule="exact"/>
              <w:ind w:firstLine="0" w:firstLineChars="0"/>
              <w:jc w:val="center"/>
              <w:rPr>
                <w:bCs/>
                <w:color w:val="auto"/>
                <w:sz w:val="21"/>
                <w:szCs w:val="21"/>
              </w:rPr>
            </w:pPr>
            <w:r>
              <w:rPr>
                <w:bCs/>
                <w:color w:val="auto"/>
                <w:sz w:val="21"/>
                <w:szCs w:val="21"/>
              </w:rPr>
              <w:t xml:space="preserve">3.09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2.42 </w:t>
            </w:r>
          </w:p>
        </w:tc>
        <w:tc>
          <w:tcPr>
            <w:tcW w:w="864" w:type="dxa"/>
            <w:vAlign w:val="bottom"/>
          </w:tcPr>
          <w:p>
            <w:pPr>
              <w:spacing w:line="312" w:lineRule="exact"/>
              <w:ind w:firstLine="0" w:firstLineChars="0"/>
              <w:jc w:val="center"/>
              <w:rPr>
                <w:bCs/>
                <w:color w:val="auto"/>
                <w:sz w:val="21"/>
                <w:szCs w:val="21"/>
              </w:rPr>
            </w:pPr>
            <w:r>
              <w:rPr>
                <w:bCs/>
                <w:color w:val="auto"/>
                <w:sz w:val="21"/>
                <w:szCs w:val="21"/>
              </w:rPr>
              <w:t xml:space="preserve">2.55 </w:t>
            </w:r>
          </w:p>
        </w:tc>
        <w:tc>
          <w:tcPr>
            <w:tcW w:w="682" w:type="dxa"/>
            <w:vAlign w:val="bottom"/>
          </w:tcPr>
          <w:p>
            <w:pPr>
              <w:spacing w:line="312" w:lineRule="exact"/>
              <w:ind w:firstLine="0" w:firstLineChars="0"/>
              <w:jc w:val="center"/>
              <w:rPr>
                <w:bCs/>
                <w:color w:val="auto"/>
                <w:sz w:val="21"/>
                <w:szCs w:val="21"/>
              </w:rPr>
            </w:pPr>
            <w:r>
              <w:rPr>
                <w:bCs/>
                <w:color w:val="auto"/>
                <w:sz w:val="21"/>
                <w:szCs w:val="21"/>
              </w:rPr>
              <w:t xml:space="preserve">6.99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spacing w:line="312" w:lineRule="exact"/>
              <w:ind w:firstLine="0" w:firstLineChars="0"/>
              <w:jc w:val="center"/>
              <w:rPr>
                <w:bCs/>
                <w:color w:val="auto"/>
                <w:sz w:val="21"/>
                <w:szCs w:val="21"/>
              </w:rPr>
            </w:pPr>
            <w:r>
              <w:rPr>
                <w:bCs/>
                <w:color w:val="auto"/>
                <w:sz w:val="21"/>
                <w:szCs w:val="21"/>
              </w:rPr>
              <w:t>8月</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5.24 </w:t>
            </w:r>
          </w:p>
        </w:tc>
        <w:tc>
          <w:tcPr>
            <w:tcW w:w="782" w:type="dxa"/>
            <w:vAlign w:val="bottom"/>
          </w:tcPr>
          <w:p>
            <w:pPr>
              <w:spacing w:line="312" w:lineRule="exact"/>
              <w:ind w:firstLine="0" w:firstLineChars="0"/>
              <w:jc w:val="center"/>
              <w:rPr>
                <w:bCs/>
                <w:color w:val="auto"/>
                <w:sz w:val="21"/>
                <w:szCs w:val="21"/>
              </w:rPr>
            </w:pPr>
            <w:r>
              <w:rPr>
                <w:bCs/>
                <w:color w:val="auto"/>
                <w:sz w:val="21"/>
                <w:szCs w:val="21"/>
              </w:rPr>
              <w:t xml:space="preserve">4.17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7.53 </w:t>
            </w:r>
          </w:p>
        </w:tc>
        <w:tc>
          <w:tcPr>
            <w:tcW w:w="768" w:type="dxa"/>
            <w:vAlign w:val="bottom"/>
          </w:tcPr>
          <w:p>
            <w:pPr>
              <w:spacing w:line="312" w:lineRule="exact"/>
              <w:ind w:firstLine="0" w:firstLineChars="0"/>
              <w:jc w:val="center"/>
              <w:rPr>
                <w:bCs/>
                <w:color w:val="auto"/>
                <w:sz w:val="21"/>
                <w:szCs w:val="21"/>
              </w:rPr>
            </w:pPr>
            <w:r>
              <w:rPr>
                <w:bCs/>
                <w:color w:val="auto"/>
                <w:sz w:val="21"/>
                <w:szCs w:val="21"/>
              </w:rPr>
              <w:t xml:space="preserve">6.72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10.48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14.92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9.27 </w:t>
            </w:r>
          </w:p>
        </w:tc>
        <w:tc>
          <w:tcPr>
            <w:tcW w:w="697" w:type="dxa"/>
            <w:vAlign w:val="bottom"/>
          </w:tcPr>
          <w:p>
            <w:pPr>
              <w:spacing w:line="312" w:lineRule="exact"/>
              <w:ind w:firstLine="0" w:firstLineChars="0"/>
              <w:jc w:val="center"/>
              <w:rPr>
                <w:bCs/>
                <w:color w:val="auto"/>
                <w:sz w:val="21"/>
                <w:szCs w:val="21"/>
              </w:rPr>
            </w:pPr>
            <w:r>
              <w:rPr>
                <w:bCs/>
                <w:color w:val="auto"/>
                <w:sz w:val="21"/>
                <w:szCs w:val="21"/>
              </w:rPr>
              <w:t xml:space="preserve">2.28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2.96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4.30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2.02 </w:t>
            </w:r>
          </w:p>
        </w:tc>
        <w:tc>
          <w:tcPr>
            <w:tcW w:w="890" w:type="dxa"/>
            <w:vAlign w:val="bottom"/>
          </w:tcPr>
          <w:p>
            <w:pPr>
              <w:spacing w:line="312" w:lineRule="exact"/>
              <w:ind w:firstLine="0" w:firstLineChars="0"/>
              <w:jc w:val="center"/>
              <w:rPr>
                <w:bCs/>
                <w:color w:val="auto"/>
                <w:sz w:val="21"/>
                <w:szCs w:val="21"/>
              </w:rPr>
            </w:pPr>
            <w:r>
              <w:rPr>
                <w:bCs/>
                <w:color w:val="auto"/>
                <w:sz w:val="21"/>
                <w:szCs w:val="21"/>
              </w:rPr>
              <w:t xml:space="preserve">3.36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3.90 </w:t>
            </w:r>
          </w:p>
        </w:tc>
        <w:tc>
          <w:tcPr>
            <w:tcW w:w="933" w:type="dxa"/>
            <w:vAlign w:val="bottom"/>
          </w:tcPr>
          <w:p>
            <w:pPr>
              <w:spacing w:line="312" w:lineRule="exact"/>
              <w:ind w:firstLine="0" w:firstLineChars="0"/>
              <w:jc w:val="center"/>
              <w:rPr>
                <w:bCs/>
                <w:color w:val="auto"/>
                <w:sz w:val="21"/>
                <w:szCs w:val="21"/>
              </w:rPr>
            </w:pPr>
            <w:r>
              <w:rPr>
                <w:bCs/>
                <w:color w:val="auto"/>
                <w:sz w:val="21"/>
                <w:szCs w:val="21"/>
              </w:rPr>
              <w:t xml:space="preserve">5.24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4.44 </w:t>
            </w:r>
          </w:p>
        </w:tc>
        <w:tc>
          <w:tcPr>
            <w:tcW w:w="864" w:type="dxa"/>
            <w:vAlign w:val="bottom"/>
          </w:tcPr>
          <w:p>
            <w:pPr>
              <w:spacing w:line="312" w:lineRule="exact"/>
              <w:ind w:firstLine="0" w:firstLineChars="0"/>
              <w:jc w:val="center"/>
              <w:rPr>
                <w:bCs/>
                <w:color w:val="auto"/>
                <w:sz w:val="21"/>
                <w:szCs w:val="21"/>
              </w:rPr>
            </w:pPr>
            <w:r>
              <w:rPr>
                <w:bCs/>
                <w:color w:val="auto"/>
                <w:sz w:val="21"/>
                <w:szCs w:val="21"/>
              </w:rPr>
              <w:t xml:space="preserve">4.84 </w:t>
            </w:r>
          </w:p>
        </w:tc>
        <w:tc>
          <w:tcPr>
            <w:tcW w:w="682" w:type="dxa"/>
            <w:vAlign w:val="bottom"/>
          </w:tcPr>
          <w:p>
            <w:pPr>
              <w:spacing w:line="312" w:lineRule="exact"/>
              <w:ind w:firstLine="0" w:firstLineChars="0"/>
              <w:jc w:val="center"/>
              <w:rPr>
                <w:bCs/>
                <w:color w:val="auto"/>
                <w:sz w:val="21"/>
                <w:szCs w:val="21"/>
              </w:rPr>
            </w:pPr>
            <w:r>
              <w:rPr>
                <w:bCs/>
                <w:color w:val="auto"/>
                <w:sz w:val="21"/>
                <w:szCs w:val="21"/>
              </w:rPr>
              <w:t xml:space="preserve">8.33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spacing w:line="312" w:lineRule="exact"/>
              <w:ind w:firstLine="0" w:firstLineChars="0"/>
              <w:jc w:val="center"/>
              <w:rPr>
                <w:bCs/>
                <w:color w:val="auto"/>
                <w:sz w:val="21"/>
                <w:szCs w:val="21"/>
              </w:rPr>
            </w:pPr>
            <w:r>
              <w:rPr>
                <w:bCs/>
                <w:color w:val="auto"/>
                <w:sz w:val="21"/>
                <w:szCs w:val="21"/>
              </w:rPr>
              <w:t>9月</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6.81 </w:t>
            </w:r>
          </w:p>
        </w:tc>
        <w:tc>
          <w:tcPr>
            <w:tcW w:w="782" w:type="dxa"/>
            <w:vAlign w:val="bottom"/>
          </w:tcPr>
          <w:p>
            <w:pPr>
              <w:spacing w:line="312" w:lineRule="exact"/>
              <w:ind w:firstLine="0" w:firstLineChars="0"/>
              <w:jc w:val="center"/>
              <w:rPr>
                <w:bCs/>
                <w:color w:val="auto"/>
                <w:sz w:val="21"/>
                <w:szCs w:val="21"/>
              </w:rPr>
            </w:pPr>
            <w:r>
              <w:rPr>
                <w:bCs/>
                <w:color w:val="auto"/>
                <w:sz w:val="21"/>
                <w:szCs w:val="21"/>
              </w:rPr>
              <w:t xml:space="preserve">7.08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10.14 </w:t>
            </w:r>
          </w:p>
        </w:tc>
        <w:tc>
          <w:tcPr>
            <w:tcW w:w="768" w:type="dxa"/>
            <w:vAlign w:val="bottom"/>
          </w:tcPr>
          <w:p>
            <w:pPr>
              <w:spacing w:line="312" w:lineRule="exact"/>
              <w:ind w:firstLine="0" w:firstLineChars="0"/>
              <w:jc w:val="center"/>
              <w:rPr>
                <w:bCs/>
                <w:color w:val="auto"/>
                <w:sz w:val="21"/>
                <w:szCs w:val="21"/>
              </w:rPr>
            </w:pPr>
            <w:r>
              <w:rPr>
                <w:bCs/>
                <w:color w:val="auto"/>
                <w:sz w:val="21"/>
                <w:szCs w:val="21"/>
              </w:rPr>
              <w:t xml:space="preserve">5.56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6.53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8.75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5.69 </w:t>
            </w:r>
          </w:p>
        </w:tc>
        <w:tc>
          <w:tcPr>
            <w:tcW w:w="697" w:type="dxa"/>
            <w:vAlign w:val="bottom"/>
          </w:tcPr>
          <w:p>
            <w:pPr>
              <w:spacing w:line="312" w:lineRule="exact"/>
              <w:ind w:firstLine="0" w:firstLineChars="0"/>
              <w:jc w:val="center"/>
              <w:rPr>
                <w:bCs/>
                <w:color w:val="auto"/>
                <w:sz w:val="21"/>
                <w:szCs w:val="21"/>
              </w:rPr>
            </w:pPr>
            <w:r>
              <w:rPr>
                <w:bCs/>
                <w:color w:val="auto"/>
                <w:sz w:val="21"/>
                <w:szCs w:val="21"/>
              </w:rPr>
              <w:t xml:space="preserve">2.50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3.06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4.44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5.28 </w:t>
            </w:r>
          </w:p>
        </w:tc>
        <w:tc>
          <w:tcPr>
            <w:tcW w:w="890" w:type="dxa"/>
            <w:vAlign w:val="bottom"/>
          </w:tcPr>
          <w:p>
            <w:pPr>
              <w:spacing w:line="312" w:lineRule="exact"/>
              <w:ind w:firstLine="0" w:firstLineChars="0"/>
              <w:jc w:val="center"/>
              <w:rPr>
                <w:bCs/>
                <w:color w:val="auto"/>
                <w:sz w:val="21"/>
                <w:szCs w:val="21"/>
              </w:rPr>
            </w:pPr>
            <w:r>
              <w:rPr>
                <w:bCs/>
                <w:color w:val="auto"/>
                <w:sz w:val="21"/>
                <w:szCs w:val="21"/>
              </w:rPr>
              <w:t xml:space="preserve">5.69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8.47 </w:t>
            </w:r>
          </w:p>
        </w:tc>
        <w:tc>
          <w:tcPr>
            <w:tcW w:w="933" w:type="dxa"/>
            <w:vAlign w:val="bottom"/>
          </w:tcPr>
          <w:p>
            <w:pPr>
              <w:spacing w:line="312" w:lineRule="exact"/>
              <w:ind w:firstLine="0" w:firstLineChars="0"/>
              <w:jc w:val="center"/>
              <w:rPr>
                <w:bCs/>
                <w:color w:val="auto"/>
                <w:sz w:val="21"/>
                <w:szCs w:val="21"/>
              </w:rPr>
            </w:pPr>
            <w:r>
              <w:rPr>
                <w:bCs/>
                <w:color w:val="auto"/>
                <w:sz w:val="21"/>
                <w:szCs w:val="21"/>
              </w:rPr>
              <w:t xml:space="preserve">5.14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5.14 </w:t>
            </w:r>
          </w:p>
        </w:tc>
        <w:tc>
          <w:tcPr>
            <w:tcW w:w="864" w:type="dxa"/>
            <w:vAlign w:val="bottom"/>
          </w:tcPr>
          <w:p>
            <w:pPr>
              <w:spacing w:line="312" w:lineRule="exact"/>
              <w:ind w:firstLine="0" w:firstLineChars="0"/>
              <w:jc w:val="center"/>
              <w:rPr>
                <w:bCs/>
                <w:color w:val="auto"/>
                <w:sz w:val="21"/>
                <w:szCs w:val="21"/>
              </w:rPr>
            </w:pPr>
            <w:r>
              <w:rPr>
                <w:bCs/>
                <w:color w:val="auto"/>
                <w:sz w:val="21"/>
                <w:szCs w:val="21"/>
              </w:rPr>
              <w:t xml:space="preserve">2.92 </w:t>
            </w:r>
          </w:p>
        </w:tc>
        <w:tc>
          <w:tcPr>
            <w:tcW w:w="682" w:type="dxa"/>
            <w:vAlign w:val="bottom"/>
          </w:tcPr>
          <w:p>
            <w:pPr>
              <w:spacing w:line="312" w:lineRule="exact"/>
              <w:ind w:firstLine="0" w:firstLineChars="0"/>
              <w:jc w:val="center"/>
              <w:rPr>
                <w:bCs/>
                <w:color w:val="auto"/>
                <w:sz w:val="21"/>
                <w:szCs w:val="21"/>
              </w:rPr>
            </w:pPr>
            <w:r>
              <w:rPr>
                <w:bCs/>
                <w:color w:val="auto"/>
                <w:sz w:val="21"/>
                <w:szCs w:val="21"/>
              </w:rPr>
              <w:t xml:space="preserve">6.81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spacing w:line="312" w:lineRule="exact"/>
              <w:ind w:firstLine="0" w:firstLineChars="0"/>
              <w:jc w:val="center"/>
              <w:rPr>
                <w:bCs/>
                <w:color w:val="auto"/>
                <w:sz w:val="21"/>
                <w:szCs w:val="21"/>
              </w:rPr>
            </w:pPr>
            <w:r>
              <w:rPr>
                <w:bCs/>
                <w:color w:val="auto"/>
                <w:sz w:val="21"/>
                <w:szCs w:val="21"/>
              </w:rPr>
              <w:t>10月</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2.82 </w:t>
            </w:r>
          </w:p>
        </w:tc>
        <w:tc>
          <w:tcPr>
            <w:tcW w:w="782" w:type="dxa"/>
            <w:vAlign w:val="bottom"/>
          </w:tcPr>
          <w:p>
            <w:pPr>
              <w:spacing w:line="312" w:lineRule="exact"/>
              <w:ind w:firstLine="0" w:firstLineChars="0"/>
              <w:jc w:val="center"/>
              <w:rPr>
                <w:bCs/>
                <w:color w:val="auto"/>
                <w:sz w:val="21"/>
                <w:szCs w:val="21"/>
              </w:rPr>
            </w:pPr>
            <w:r>
              <w:rPr>
                <w:bCs/>
                <w:color w:val="auto"/>
                <w:sz w:val="21"/>
                <w:szCs w:val="21"/>
              </w:rPr>
              <w:t xml:space="preserve">2.82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4.30 </w:t>
            </w:r>
          </w:p>
        </w:tc>
        <w:tc>
          <w:tcPr>
            <w:tcW w:w="768" w:type="dxa"/>
            <w:vAlign w:val="bottom"/>
          </w:tcPr>
          <w:p>
            <w:pPr>
              <w:spacing w:line="312" w:lineRule="exact"/>
              <w:ind w:firstLine="0" w:firstLineChars="0"/>
              <w:jc w:val="center"/>
              <w:rPr>
                <w:bCs/>
                <w:color w:val="auto"/>
                <w:sz w:val="21"/>
                <w:szCs w:val="21"/>
              </w:rPr>
            </w:pPr>
            <w:r>
              <w:rPr>
                <w:bCs/>
                <w:color w:val="auto"/>
                <w:sz w:val="21"/>
                <w:szCs w:val="21"/>
              </w:rPr>
              <w:t xml:space="preserve">5.51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5.24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13.04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8.47 </w:t>
            </w:r>
          </w:p>
        </w:tc>
        <w:tc>
          <w:tcPr>
            <w:tcW w:w="697" w:type="dxa"/>
            <w:vAlign w:val="bottom"/>
          </w:tcPr>
          <w:p>
            <w:pPr>
              <w:spacing w:line="312" w:lineRule="exact"/>
              <w:ind w:firstLine="0" w:firstLineChars="0"/>
              <w:jc w:val="center"/>
              <w:rPr>
                <w:bCs/>
                <w:color w:val="auto"/>
                <w:sz w:val="21"/>
                <w:szCs w:val="21"/>
              </w:rPr>
            </w:pPr>
            <w:r>
              <w:rPr>
                <w:bCs/>
                <w:color w:val="auto"/>
                <w:sz w:val="21"/>
                <w:szCs w:val="21"/>
              </w:rPr>
              <w:t xml:space="preserve">5.11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6.32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10.22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8.06 </w:t>
            </w:r>
          </w:p>
        </w:tc>
        <w:tc>
          <w:tcPr>
            <w:tcW w:w="890" w:type="dxa"/>
            <w:vAlign w:val="bottom"/>
          </w:tcPr>
          <w:p>
            <w:pPr>
              <w:spacing w:line="312" w:lineRule="exact"/>
              <w:ind w:firstLine="0" w:firstLineChars="0"/>
              <w:jc w:val="center"/>
              <w:rPr>
                <w:bCs/>
                <w:color w:val="auto"/>
                <w:sz w:val="21"/>
                <w:szCs w:val="21"/>
              </w:rPr>
            </w:pPr>
            <w:r>
              <w:rPr>
                <w:bCs/>
                <w:color w:val="auto"/>
                <w:sz w:val="21"/>
                <w:szCs w:val="21"/>
              </w:rPr>
              <w:t xml:space="preserve">9.68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4.17 </w:t>
            </w:r>
          </w:p>
        </w:tc>
        <w:tc>
          <w:tcPr>
            <w:tcW w:w="933" w:type="dxa"/>
            <w:vAlign w:val="bottom"/>
          </w:tcPr>
          <w:p>
            <w:pPr>
              <w:spacing w:line="312" w:lineRule="exact"/>
              <w:ind w:firstLine="0" w:firstLineChars="0"/>
              <w:jc w:val="center"/>
              <w:rPr>
                <w:bCs/>
                <w:color w:val="auto"/>
                <w:sz w:val="21"/>
                <w:szCs w:val="21"/>
              </w:rPr>
            </w:pPr>
            <w:r>
              <w:rPr>
                <w:bCs/>
                <w:color w:val="auto"/>
                <w:sz w:val="21"/>
                <w:szCs w:val="21"/>
              </w:rPr>
              <w:t xml:space="preserve">2.15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2.82 </w:t>
            </w:r>
          </w:p>
        </w:tc>
        <w:tc>
          <w:tcPr>
            <w:tcW w:w="864" w:type="dxa"/>
            <w:vAlign w:val="bottom"/>
          </w:tcPr>
          <w:p>
            <w:pPr>
              <w:spacing w:line="312" w:lineRule="exact"/>
              <w:ind w:firstLine="0" w:firstLineChars="0"/>
              <w:jc w:val="center"/>
              <w:rPr>
                <w:bCs/>
                <w:color w:val="auto"/>
                <w:sz w:val="21"/>
                <w:szCs w:val="21"/>
              </w:rPr>
            </w:pPr>
            <w:r>
              <w:rPr>
                <w:bCs/>
                <w:color w:val="auto"/>
                <w:sz w:val="21"/>
                <w:szCs w:val="21"/>
              </w:rPr>
              <w:t xml:space="preserve">2.96 </w:t>
            </w:r>
          </w:p>
        </w:tc>
        <w:tc>
          <w:tcPr>
            <w:tcW w:w="682" w:type="dxa"/>
            <w:vAlign w:val="bottom"/>
          </w:tcPr>
          <w:p>
            <w:pPr>
              <w:spacing w:line="312" w:lineRule="exact"/>
              <w:ind w:firstLine="0" w:firstLineChars="0"/>
              <w:jc w:val="center"/>
              <w:rPr>
                <w:bCs/>
                <w:color w:val="auto"/>
                <w:sz w:val="21"/>
                <w:szCs w:val="21"/>
              </w:rPr>
            </w:pPr>
            <w:r>
              <w:rPr>
                <w:bCs/>
                <w:color w:val="auto"/>
                <w:sz w:val="21"/>
                <w:szCs w:val="21"/>
              </w:rPr>
              <w:t xml:space="preserve">6.32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spacing w:line="312" w:lineRule="exact"/>
              <w:ind w:firstLine="0" w:firstLineChars="0"/>
              <w:jc w:val="center"/>
              <w:rPr>
                <w:bCs/>
                <w:color w:val="auto"/>
                <w:sz w:val="21"/>
                <w:szCs w:val="21"/>
              </w:rPr>
            </w:pPr>
            <w:r>
              <w:rPr>
                <w:bCs/>
                <w:color w:val="auto"/>
                <w:sz w:val="21"/>
                <w:szCs w:val="21"/>
              </w:rPr>
              <w:t>11月</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7.50 </w:t>
            </w:r>
          </w:p>
        </w:tc>
        <w:tc>
          <w:tcPr>
            <w:tcW w:w="782" w:type="dxa"/>
            <w:vAlign w:val="bottom"/>
          </w:tcPr>
          <w:p>
            <w:pPr>
              <w:spacing w:line="312" w:lineRule="exact"/>
              <w:ind w:firstLine="0" w:firstLineChars="0"/>
              <w:jc w:val="center"/>
              <w:rPr>
                <w:bCs/>
                <w:color w:val="auto"/>
                <w:sz w:val="21"/>
                <w:szCs w:val="21"/>
              </w:rPr>
            </w:pPr>
            <w:r>
              <w:rPr>
                <w:bCs/>
                <w:color w:val="auto"/>
                <w:sz w:val="21"/>
                <w:szCs w:val="21"/>
              </w:rPr>
              <w:t xml:space="preserve">7.92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9.17 </w:t>
            </w:r>
          </w:p>
        </w:tc>
        <w:tc>
          <w:tcPr>
            <w:tcW w:w="768" w:type="dxa"/>
            <w:vAlign w:val="bottom"/>
          </w:tcPr>
          <w:p>
            <w:pPr>
              <w:spacing w:line="312" w:lineRule="exact"/>
              <w:ind w:firstLine="0" w:firstLineChars="0"/>
              <w:jc w:val="center"/>
              <w:rPr>
                <w:bCs/>
                <w:color w:val="auto"/>
                <w:sz w:val="21"/>
                <w:szCs w:val="21"/>
              </w:rPr>
            </w:pPr>
            <w:r>
              <w:rPr>
                <w:bCs/>
                <w:color w:val="auto"/>
                <w:sz w:val="21"/>
                <w:szCs w:val="21"/>
              </w:rPr>
              <w:t xml:space="preserve">6.94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6.39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9.17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5.14 </w:t>
            </w:r>
          </w:p>
        </w:tc>
        <w:tc>
          <w:tcPr>
            <w:tcW w:w="697" w:type="dxa"/>
            <w:vAlign w:val="bottom"/>
          </w:tcPr>
          <w:p>
            <w:pPr>
              <w:spacing w:line="312" w:lineRule="exact"/>
              <w:ind w:firstLine="0" w:firstLineChars="0"/>
              <w:jc w:val="center"/>
              <w:rPr>
                <w:bCs/>
                <w:color w:val="auto"/>
                <w:sz w:val="21"/>
                <w:szCs w:val="21"/>
              </w:rPr>
            </w:pPr>
            <w:r>
              <w:rPr>
                <w:bCs/>
                <w:color w:val="auto"/>
                <w:sz w:val="21"/>
                <w:szCs w:val="21"/>
              </w:rPr>
              <w:t xml:space="preserve">4.03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5.00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3.75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4.17 </w:t>
            </w:r>
          </w:p>
        </w:tc>
        <w:tc>
          <w:tcPr>
            <w:tcW w:w="890" w:type="dxa"/>
            <w:vAlign w:val="bottom"/>
          </w:tcPr>
          <w:p>
            <w:pPr>
              <w:spacing w:line="312" w:lineRule="exact"/>
              <w:ind w:firstLine="0" w:firstLineChars="0"/>
              <w:jc w:val="center"/>
              <w:rPr>
                <w:bCs/>
                <w:color w:val="auto"/>
                <w:sz w:val="21"/>
                <w:szCs w:val="21"/>
              </w:rPr>
            </w:pPr>
            <w:r>
              <w:rPr>
                <w:bCs/>
                <w:color w:val="auto"/>
                <w:sz w:val="21"/>
                <w:szCs w:val="21"/>
              </w:rPr>
              <w:t xml:space="preserve">5.56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2.78 </w:t>
            </w:r>
          </w:p>
        </w:tc>
        <w:tc>
          <w:tcPr>
            <w:tcW w:w="933" w:type="dxa"/>
            <w:vAlign w:val="bottom"/>
          </w:tcPr>
          <w:p>
            <w:pPr>
              <w:spacing w:line="312" w:lineRule="exact"/>
              <w:ind w:firstLine="0" w:firstLineChars="0"/>
              <w:jc w:val="center"/>
              <w:rPr>
                <w:bCs/>
                <w:color w:val="auto"/>
                <w:sz w:val="21"/>
                <w:szCs w:val="21"/>
              </w:rPr>
            </w:pPr>
            <w:r>
              <w:rPr>
                <w:bCs/>
                <w:color w:val="auto"/>
                <w:sz w:val="21"/>
                <w:szCs w:val="21"/>
              </w:rPr>
              <w:t xml:space="preserve">5.00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5.28 </w:t>
            </w:r>
          </w:p>
        </w:tc>
        <w:tc>
          <w:tcPr>
            <w:tcW w:w="864" w:type="dxa"/>
            <w:vAlign w:val="bottom"/>
          </w:tcPr>
          <w:p>
            <w:pPr>
              <w:spacing w:line="312" w:lineRule="exact"/>
              <w:ind w:firstLine="0" w:firstLineChars="0"/>
              <w:jc w:val="center"/>
              <w:rPr>
                <w:bCs/>
                <w:color w:val="auto"/>
                <w:sz w:val="21"/>
                <w:szCs w:val="21"/>
              </w:rPr>
            </w:pPr>
            <w:r>
              <w:rPr>
                <w:bCs/>
                <w:color w:val="auto"/>
                <w:sz w:val="21"/>
                <w:szCs w:val="21"/>
              </w:rPr>
              <w:t xml:space="preserve">5.97 </w:t>
            </w:r>
          </w:p>
        </w:tc>
        <w:tc>
          <w:tcPr>
            <w:tcW w:w="682" w:type="dxa"/>
            <w:vAlign w:val="bottom"/>
          </w:tcPr>
          <w:p>
            <w:pPr>
              <w:spacing w:line="312" w:lineRule="exact"/>
              <w:ind w:firstLine="0" w:firstLineChars="0"/>
              <w:jc w:val="center"/>
              <w:rPr>
                <w:bCs/>
                <w:color w:val="auto"/>
                <w:sz w:val="21"/>
                <w:szCs w:val="21"/>
              </w:rPr>
            </w:pPr>
            <w:r>
              <w:rPr>
                <w:bCs/>
                <w:color w:val="auto"/>
                <w:sz w:val="21"/>
                <w:szCs w:val="21"/>
              </w:rPr>
              <w:t xml:space="preserve">6.25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spacing w:line="312" w:lineRule="exact"/>
              <w:ind w:firstLine="0" w:firstLineChars="0"/>
              <w:jc w:val="center"/>
              <w:rPr>
                <w:bCs/>
                <w:color w:val="auto"/>
                <w:sz w:val="21"/>
                <w:szCs w:val="21"/>
              </w:rPr>
            </w:pPr>
            <w:r>
              <w:rPr>
                <w:bCs/>
                <w:color w:val="auto"/>
                <w:sz w:val="21"/>
                <w:szCs w:val="21"/>
              </w:rPr>
              <w:t>12月</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1.88 </w:t>
            </w:r>
          </w:p>
        </w:tc>
        <w:tc>
          <w:tcPr>
            <w:tcW w:w="782" w:type="dxa"/>
            <w:vAlign w:val="bottom"/>
          </w:tcPr>
          <w:p>
            <w:pPr>
              <w:spacing w:line="312" w:lineRule="exact"/>
              <w:ind w:firstLine="0" w:firstLineChars="0"/>
              <w:jc w:val="center"/>
              <w:rPr>
                <w:bCs/>
                <w:color w:val="auto"/>
                <w:sz w:val="21"/>
                <w:szCs w:val="21"/>
              </w:rPr>
            </w:pPr>
            <w:r>
              <w:rPr>
                <w:bCs/>
                <w:color w:val="auto"/>
                <w:sz w:val="21"/>
                <w:szCs w:val="21"/>
              </w:rPr>
              <w:t xml:space="preserve">2.15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2.02 </w:t>
            </w:r>
          </w:p>
        </w:tc>
        <w:tc>
          <w:tcPr>
            <w:tcW w:w="768" w:type="dxa"/>
            <w:vAlign w:val="bottom"/>
          </w:tcPr>
          <w:p>
            <w:pPr>
              <w:spacing w:line="312" w:lineRule="exact"/>
              <w:ind w:firstLine="0" w:firstLineChars="0"/>
              <w:jc w:val="center"/>
              <w:rPr>
                <w:bCs/>
                <w:color w:val="auto"/>
                <w:sz w:val="21"/>
                <w:szCs w:val="21"/>
              </w:rPr>
            </w:pPr>
            <w:r>
              <w:rPr>
                <w:bCs/>
                <w:color w:val="auto"/>
                <w:sz w:val="21"/>
                <w:szCs w:val="21"/>
              </w:rPr>
              <w:t xml:space="preserve">3.63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9.68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7.66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3.90 </w:t>
            </w:r>
          </w:p>
        </w:tc>
        <w:tc>
          <w:tcPr>
            <w:tcW w:w="697" w:type="dxa"/>
            <w:vAlign w:val="bottom"/>
          </w:tcPr>
          <w:p>
            <w:pPr>
              <w:spacing w:line="312" w:lineRule="exact"/>
              <w:ind w:firstLine="0" w:firstLineChars="0"/>
              <w:jc w:val="center"/>
              <w:rPr>
                <w:bCs/>
                <w:color w:val="auto"/>
                <w:sz w:val="21"/>
                <w:szCs w:val="21"/>
              </w:rPr>
            </w:pPr>
            <w:r>
              <w:rPr>
                <w:bCs/>
                <w:color w:val="auto"/>
                <w:sz w:val="21"/>
                <w:szCs w:val="21"/>
              </w:rPr>
              <w:t xml:space="preserve">2.55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3.09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4.70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4.84 </w:t>
            </w:r>
          </w:p>
        </w:tc>
        <w:tc>
          <w:tcPr>
            <w:tcW w:w="890" w:type="dxa"/>
            <w:vAlign w:val="bottom"/>
          </w:tcPr>
          <w:p>
            <w:pPr>
              <w:spacing w:line="312" w:lineRule="exact"/>
              <w:ind w:firstLine="0" w:firstLineChars="0"/>
              <w:jc w:val="center"/>
              <w:rPr>
                <w:bCs/>
                <w:color w:val="auto"/>
                <w:sz w:val="21"/>
                <w:szCs w:val="21"/>
              </w:rPr>
            </w:pPr>
            <w:r>
              <w:rPr>
                <w:bCs/>
                <w:color w:val="auto"/>
                <w:sz w:val="21"/>
                <w:szCs w:val="21"/>
              </w:rPr>
              <w:t xml:space="preserve">11.29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9.27 </w:t>
            </w:r>
          </w:p>
        </w:tc>
        <w:tc>
          <w:tcPr>
            <w:tcW w:w="933" w:type="dxa"/>
            <w:vAlign w:val="bottom"/>
          </w:tcPr>
          <w:p>
            <w:pPr>
              <w:spacing w:line="312" w:lineRule="exact"/>
              <w:ind w:firstLine="0" w:firstLineChars="0"/>
              <w:jc w:val="center"/>
              <w:rPr>
                <w:bCs/>
                <w:color w:val="auto"/>
                <w:sz w:val="21"/>
                <w:szCs w:val="21"/>
              </w:rPr>
            </w:pPr>
            <w:r>
              <w:rPr>
                <w:bCs/>
                <w:color w:val="auto"/>
                <w:sz w:val="21"/>
                <w:szCs w:val="21"/>
              </w:rPr>
              <w:t xml:space="preserve">10.89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10.89 </w:t>
            </w:r>
          </w:p>
        </w:tc>
        <w:tc>
          <w:tcPr>
            <w:tcW w:w="864" w:type="dxa"/>
            <w:vAlign w:val="bottom"/>
          </w:tcPr>
          <w:p>
            <w:pPr>
              <w:spacing w:line="312" w:lineRule="exact"/>
              <w:ind w:firstLine="0" w:firstLineChars="0"/>
              <w:jc w:val="center"/>
              <w:rPr>
                <w:bCs/>
                <w:color w:val="auto"/>
                <w:sz w:val="21"/>
                <w:szCs w:val="21"/>
              </w:rPr>
            </w:pPr>
            <w:r>
              <w:rPr>
                <w:bCs/>
                <w:color w:val="auto"/>
                <w:sz w:val="21"/>
                <w:szCs w:val="21"/>
              </w:rPr>
              <w:t xml:space="preserve">6.59 </w:t>
            </w:r>
          </w:p>
        </w:tc>
        <w:tc>
          <w:tcPr>
            <w:tcW w:w="682" w:type="dxa"/>
            <w:vAlign w:val="bottom"/>
          </w:tcPr>
          <w:p>
            <w:pPr>
              <w:spacing w:line="312" w:lineRule="exact"/>
              <w:ind w:firstLine="0" w:firstLineChars="0"/>
              <w:jc w:val="center"/>
              <w:rPr>
                <w:bCs/>
                <w:color w:val="auto"/>
                <w:sz w:val="21"/>
                <w:szCs w:val="21"/>
              </w:rPr>
            </w:pPr>
            <w:r>
              <w:rPr>
                <w:bCs/>
                <w:color w:val="auto"/>
                <w:sz w:val="21"/>
                <w:szCs w:val="21"/>
              </w:rPr>
              <w:t xml:space="preserve">4.97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spacing w:line="312" w:lineRule="exact"/>
              <w:ind w:firstLine="0" w:firstLineChars="0"/>
              <w:jc w:val="center"/>
              <w:rPr>
                <w:bCs/>
                <w:color w:val="auto"/>
                <w:sz w:val="21"/>
                <w:szCs w:val="21"/>
              </w:rPr>
            </w:pPr>
            <w:r>
              <w:rPr>
                <w:bCs/>
                <w:color w:val="auto"/>
                <w:sz w:val="21"/>
                <w:szCs w:val="21"/>
              </w:rPr>
              <w:t>春季</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4.12 </w:t>
            </w:r>
          </w:p>
        </w:tc>
        <w:tc>
          <w:tcPr>
            <w:tcW w:w="782" w:type="dxa"/>
            <w:vAlign w:val="bottom"/>
          </w:tcPr>
          <w:p>
            <w:pPr>
              <w:spacing w:line="312" w:lineRule="exact"/>
              <w:ind w:firstLine="0" w:firstLineChars="0"/>
              <w:jc w:val="center"/>
              <w:rPr>
                <w:bCs/>
                <w:color w:val="auto"/>
                <w:sz w:val="21"/>
                <w:szCs w:val="21"/>
              </w:rPr>
            </w:pPr>
            <w:r>
              <w:rPr>
                <w:bCs/>
                <w:color w:val="auto"/>
                <w:sz w:val="21"/>
                <w:szCs w:val="21"/>
              </w:rPr>
              <w:t xml:space="preserve">2.81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5.80 </w:t>
            </w:r>
          </w:p>
        </w:tc>
        <w:tc>
          <w:tcPr>
            <w:tcW w:w="768" w:type="dxa"/>
            <w:vAlign w:val="bottom"/>
          </w:tcPr>
          <w:p>
            <w:pPr>
              <w:spacing w:line="312" w:lineRule="exact"/>
              <w:ind w:firstLine="0" w:firstLineChars="0"/>
              <w:jc w:val="center"/>
              <w:rPr>
                <w:bCs/>
                <w:color w:val="auto"/>
                <w:sz w:val="21"/>
                <w:szCs w:val="21"/>
              </w:rPr>
            </w:pPr>
            <w:r>
              <w:rPr>
                <w:bCs/>
                <w:color w:val="auto"/>
                <w:sz w:val="21"/>
                <w:szCs w:val="21"/>
              </w:rPr>
              <w:t xml:space="preserve">4.17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4.03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6.75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6.57 </w:t>
            </w:r>
          </w:p>
        </w:tc>
        <w:tc>
          <w:tcPr>
            <w:tcW w:w="697" w:type="dxa"/>
            <w:vAlign w:val="bottom"/>
          </w:tcPr>
          <w:p>
            <w:pPr>
              <w:spacing w:line="312" w:lineRule="exact"/>
              <w:ind w:firstLine="0" w:firstLineChars="0"/>
              <w:jc w:val="center"/>
              <w:rPr>
                <w:bCs/>
                <w:color w:val="auto"/>
                <w:sz w:val="21"/>
                <w:szCs w:val="21"/>
              </w:rPr>
            </w:pPr>
            <w:r>
              <w:rPr>
                <w:bCs/>
                <w:color w:val="auto"/>
                <w:sz w:val="21"/>
                <w:szCs w:val="21"/>
              </w:rPr>
              <w:t xml:space="preserve">2.58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2.99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6.39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10.24 </w:t>
            </w:r>
          </w:p>
        </w:tc>
        <w:tc>
          <w:tcPr>
            <w:tcW w:w="890" w:type="dxa"/>
            <w:vAlign w:val="bottom"/>
          </w:tcPr>
          <w:p>
            <w:pPr>
              <w:spacing w:line="312" w:lineRule="exact"/>
              <w:ind w:firstLine="0" w:firstLineChars="0"/>
              <w:jc w:val="center"/>
              <w:rPr>
                <w:bCs/>
                <w:color w:val="auto"/>
                <w:sz w:val="21"/>
                <w:szCs w:val="21"/>
              </w:rPr>
            </w:pPr>
            <w:r>
              <w:rPr>
                <w:bCs/>
                <w:color w:val="auto"/>
                <w:sz w:val="21"/>
                <w:szCs w:val="21"/>
              </w:rPr>
              <w:t xml:space="preserve">14.22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7.25 </w:t>
            </w:r>
          </w:p>
        </w:tc>
        <w:tc>
          <w:tcPr>
            <w:tcW w:w="933" w:type="dxa"/>
            <w:vAlign w:val="bottom"/>
          </w:tcPr>
          <w:p>
            <w:pPr>
              <w:spacing w:line="312" w:lineRule="exact"/>
              <w:ind w:firstLine="0" w:firstLineChars="0"/>
              <w:jc w:val="center"/>
              <w:rPr>
                <w:bCs/>
                <w:color w:val="auto"/>
                <w:sz w:val="21"/>
                <w:szCs w:val="21"/>
              </w:rPr>
            </w:pPr>
            <w:r>
              <w:rPr>
                <w:bCs/>
                <w:color w:val="auto"/>
                <w:sz w:val="21"/>
                <w:szCs w:val="21"/>
              </w:rPr>
              <w:t xml:space="preserve">8.20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8.38 </w:t>
            </w:r>
          </w:p>
        </w:tc>
        <w:tc>
          <w:tcPr>
            <w:tcW w:w="864" w:type="dxa"/>
            <w:vAlign w:val="bottom"/>
          </w:tcPr>
          <w:p>
            <w:pPr>
              <w:spacing w:line="312" w:lineRule="exact"/>
              <w:ind w:firstLine="0" w:firstLineChars="0"/>
              <w:jc w:val="center"/>
              <w:rPr>
                <w:bCs/>
                <w:color w:val="auto"/>
                <w:sz w:val="21"/>
                <w:szCs w:val="21"/>
              </w:rPr>
            </w:pPr>
            <w:r>
              <w:rPr>
                <w:bCs/>
                <w:color w:val="auto"/>
                <w:sz w:val="21"/>
                <w:szCs w:val="21"/>
              </w:rPr>
              <w:t xml:space="preserve">4.12 </w:t>
            </w:r>
          </w:p>
        </w:tc>
        <w:tc>
          <w:tcPr>
            <w:tcW w:w="682" w:type="dxa"/>
            <w:vAlign w:val="bottom"/>
          </w:tcPr>
          <w:p>
            <w:pPr>
              <w:spacing w:line="312" w:lineRule="exact"/>
              <w:ind w:firstLine="0" w:firstLineChars="0"/>
              <w:jc w:val="center"/>
              <w:rPr>
                <w:bCs/>
                <w:color w:val="auto"/>
                <w:sz w:val="21"/>
                <w:szCs w:val="21"/>
              </w:rPr>
            </w:pPr>
            <w:r>
              <w:rPr>
                <w:bCs/>
                <w:color w:val="auto"/>
                <w:sz w:val="21"/>
                <w:szCs w:val="21"/>
              </w:rPr>
              <w:t xml:space="preserve">1.40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spacing w:line="312" w:lineRule="exact"/>
              <w:ind w:firstLine="0" w:firstLineChars="0"/>
              <w:jc w:val="center"/>
              <w:rPr>
                <w:bCs/>
                <w:color w:val="auto"/>
                <w:sz w:val="21"/>
                <w:szCs w:val="21"/>
              </w:rPr>
            </w:pPr>
            <w:r>
              <w:rPr>
                <w:bCs/>
                <w:color w:val="auto"/>
                <w:sz w:val="21"/>
                <w:szCs w:val="21"/>
              </w:rPr>
              <w:t>夏季</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3.80 </w:t>
            </w:r>
          </w:p>
        </w:tc>
        <w:tc>
          <w:tcPr>
            <w:tcW w:w="782" w:type="dxa"/>
            <w:vAlign w:val="bottom"/>
          </w:tcPr>
          <w:p>
            <w:pPr>
              <w:spacing w:line="312" w:lineRule="exact"/>
              <w:ind w:firstLine="0" w:firstLineChars="0"/>
              <w:jc w:val="center"/>
              <w:rPr>
                <w:bCs/>
                <w:color w:val="auto"/>
                <w:sz w:val="21"/>
                <w:szCs w:val="21"/>
              </w:rPr>
            </w:pPr>
            <w:r>
              <w:rPr>
                <w:bCs/>
                <w:color w:val="auto"/>
                <w:sz w:val="21"/>
                <w:szCs w:val="21"/>
              </w:rPr>
              <w:t xml:space="preserve">3.53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6.70 </w:t>
            </w:r>
          </w:p>
        </w:tc>
        <w:tc>
          <w:tcPr>
            <w:tcW w:w="768" w:type="dxa"/>
            <w:vAlign w:val="bottom"/>
          </w:tcPr>
          <w:p>
            <w:pPr>
              <w:spacing w:line="312" w:lineRule="exact"/>
              <w:ind w:firstLine="0" w:firstLineChars="0"/>
              <w:jc w:val="center"/>
              <w:rPr>
                <w:bCs/>
                <w:color w:val="auto"/>
                <w:sz w:val="21"/>
                <w:szCs w:val="21"/>
              </w:rPr>
            </w:pPr>
            <w:r>
              <w:rPr>
                <w:bCs/>
                <w:color w:val="auto"/>
                <w:sz w:val="21"/>
                <w:szCs w:val="21"/>
              </w:rPr>
              <w:t xml:space="preserve">7.20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7.74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14.13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11.82 </w:t>
            </w:r>
          </w:p>
        </w:tc>
        <w:tc>
          <w:tcPr>
            <w:tcW w:w="697" w:type="dxa"/>
            <w:vAlign w:val="bottom"/>
          </w:tcPr>
          <w:p>
            <w:pPr>
              <w:spacing w:line="312" w:lineRule="exact"/>
              <w:ind w:firstLine="0" w:firstLineChars="0"/>
              <w:jc w:val="center"/>
              <w:rPr>
                <w:bCs/>
                <w:color w:val="auto"/>
                <w:sz w:val="21"/>
                <w:szCs w:val="21"/>
              </w:rPr>
            </w:pPr>
            <w:r>
              <w:rPr>
                <w:bCs/>
                <w:color w:val="auto"/>
                <w:sz w:val="21"/>
                <w:szCs w:val="21"/>
              </w:rPr>
              <w:t xml:space="preserve">4.03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3.80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5.21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4.35 </w:t>
            </w:r>
          </w:p>
        </w:tc>
        <w:tc>
          <w:tcPr>
            <w:tcW w:w="890" w:type="dxa"/>
            <w:vAlign w:val="bottom"/>
          </w:tcPr>
          <w:p>
            <w:pPr>
              <w:spacing w:line="312" w:lineRule="exact"/>
              <w:ind w:firstLine="0" w:firstLineChars="0"/>
              <w:jc w:val="center"/>
              <w:rPr>
                <w:bCs/>
                <w:color w:val="auto"/>
                <w:sz w:val="21"/>
                <w:szCs w:val="21"/>
              </w:rPr>
            </w:pPr>
            <w:r>
              <w:rPr>
                <w:bCs/>
                <w:color w:val="auto"/>
                <w:sz w:val="21"/>
                <w:szCs w:val="21"/>
              </w:rPr>
              <w:t xml:space="preserve">5.71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4.66 </w:t>
            </w:r>
          </w:p>
        </w:tc>
        <w:tc>
          <w:tcPr>
            <w:tcW w:w="933" w:type="dxa"/>
            <w:vAlign w:val="bottom"/>
          </w:tcPr>
          <w:p>
            <w:pPr>
              <w:spacing w:line="312" w:lineRule="exact"/>
              <w:ind w:firstLine="0" w:firstLineChars="0"/>
              <w:jc w:val="center"/>
              <w:rPr>
                <w:bCs/>
                <w:color w:val="auto"/>
                <w:sz w:val="21"/>
                <w:szCs w:val="21"/>
              </w:rPr>
            </w:pPr>
            <w:r>
              <w:rPr>
                <w:bCs/>
                <w:color w:val="auto"/>
                <w:sz w:val="21"/>
                <w:szCs w:val="21"/>
              </w:rPr>
              <w:t xml:space="preserve">3.58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3.35 </w:t>
            </w:r>
          </w:p>
        </w:tc>
        <w:tc>
          <w:tcPr>
            <w:tcW w:w="864" w:type="dxa"/>
            <w:vAlign w:val="bottom"/>
          </w:tcPr>
          <w:p>
            <w:pPr>
              <w:spacing w:line="312" w:lineRule="exact"/>
              <w:ind w:firstLine="0" w:firstLineChars="0"/>
              <w:jc w:val="center"/>
              <w:rPr>
                <w:bCs/>
                <w:color w:val="auto"/>
                <w:sz w:val="21"/>
                <w:szCs w:val="21"/>
              </w:rPr>
            </w:pPr>
            <w:r>
              <w:rPr>
                <w:bCs/>
                <w:color w:val="auto"/>
                <w:sz w:val="21"/>
                <w:szCs w:val="21"/>
              </w:rPr>
              <w:t xml:space="preserve">4.12 </w:t>
            </w:r>
          </w:p>
        </w:tc>
        <w:tc>
          <w:tcPr>
            <w:tcW w:w="682" w:type="dxa"/>
            <w:vAlign w:val="bottom"/>
          </w:tcPr>
          <w:p>
            <w:pPr>
              <w:spacing w:line="312" w:lineRule="exact"/>
              <w:ind w:firstLine="0" w:firstLineChars="0"/>
              <w:jc w:val="center"/>
              <w:rPr>
                <w:bCs/>
                <w:color w:val="auto"/>
                <w:sz w:val="21"/>
                <w:szCs w:val="21"/>
              </w:rPr>
            </w:pPr>
            <w:r>
              <w:rPr>
                <w:bCs/>
                <w:color w:val="auto"/>
                <w:sz w:val="21"/>
                <w:szCs w:val="21"/>
              </w:rPr>
              <w:t xml:space="preserve">6.25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spacing w:line="312" w:lineRule="exact"/>
              <w:ind w:firstLine="0" w:firstLineChars="0"/>
              <w:jc w:val="center"/>
              <w:rPr>
                <w:bCs/>
                <w:color w:val="auto"/>
                <w:sz w:val="21"/>
                <w:szCs w:val="21"/>
              </w:rPr>
            </w:pPr>
            <w:r>
              <w:rPr>
                <w:bCs/>
                <w:color w:val="auto"/>
                <w:sz w:val="21"/>
                <w:szCs w:val="21"/>
              </w:rPr>
              <w:t>秋季</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5.68 </w:t>
            </w:r>
          </w:p>
        </w:tc>
        <w:tc>
          <w:tcPr>
            <w:tcW w:w="782" w:type="dxa"/>
            <w:vAlign w:val="bottom"/>
          </w:tcPr>
          <w:p>
            <w:pPr>
              <w:spacing w:line="312" w:lineRule="exact"/>
              <w:ind w:firstLine="0" w:firstLineChars="0"/>
              <w:jc w:val="center"/>
              <w:rPr>
                <w:bCs/>
                <w:color w:val="auto"/>
                <w:sz w:val="21"/>
                <w:szCs w:val="21"/>
              </w:rPr>
            </w:pPr>
            <w:r>
              <w:rPr>
                <w:bCs/>
                <w:color w:val="auto"/>
                <w:sz w:val="21"/>
                <w:szCs w:val="21"/>
              </w:rPr>
              <w:t xml:space="preserve">5.91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7.83 </w:t>
            </w:r>
          </w:p>
        </w:tc>
        <w:tc>
          <w:tcPr>
            <w:tcW w:w="768" w:type="dxa"/>
            <w:vAlign w:val="bottom"/>
          </w:tcPr>
          <w:p>
            <w:pPr>
              <w:spacing w:line="312" w:lineRule="exact"/>
              <w:ind w:firstLine="0" w:firstLineChars="0"/>
              <w:jc w:val="center"/>
              <w:rPr>
                <w:bCs/>
                <w:color w:val="auto"/>
                <w:sz w:val="21"/>
                <w:szCs w:val="21"/>
              </w:rPr>
            </w:pPr>
            <w:r>
              <w:rPr>
                <w:bCs/>
                <w:color w:val="auto"/>
                <w:sz w:val="21"/>
                <w:szCs w:val="21"/>
              </w:rPr>
              <w:t xml:space="preserve">6.00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6.04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10.35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6.46 </w:t>
            </w:r>
          </w:p>
        </w:tc>
        <w:tc>
          <w:tcPr>
            <w:tcW w:w="697" w:type="dxa"/>
            <w:vAlign w:val="bottom"/>
          </w:tcPr>
          <w:p>
            <w:pPr>
              <w:spacing w:line="312" w:lineRule="exact"/>
              <w:ind w:firstLine="0" w:firstLineChars="0"/>
              <w:jc w:val="center"/>
              <w:rPr>
                <w:bCs/>
                <w:color w:val="auto"/>
                <w:sz w:val="21"/>
                <w:szCs w:val="21"/>
              </w:rPr>
            </w:pPr>
            <w:r>
              <w:rPr>
                <w:bCs/>
                <w:color w:val="auto"/>
                <w:sz w:val="21"/>
                <w:szCs w:val="21"/>
              </w:rPr>
              <w:t xml:space="preserve">3.89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4.81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6.18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5.86 </w:t>
            </w:r>
          </w:p>
        </w:tc>
        <w:tc>
          <w:tcPr>
            <w:tcW w:w="890" w:type="dxa"/>
            <w:vAlign w:val="bottom"/>
          </w:tcPr>
          <w:p>
            <w:pPr>
              <w:spacing w:line="312" w:lineRule="exact"/>
              <w:ind w:firstLine="0" w:firstLineChars="0"/>
              <w:jc w:val="center"/>
              <w:rPr>
                <w:bCs/>
                <w:color w:val="auto"/>
                <w:sz w:val="21"/>
                <w:szCs w:val="21"/>
              </w:rPr>
            </w:pPr>
            <w:r>
              <w:rPr>
                <w:bCs/>
                <w:color w:val="auto"/>
                <w:sz w:val="21"/>
                <w:szCs w:val="21"/>
              </w:rPr>
              <w:t xml:space="preserve">7.01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5.13 </w:t>
            </w:r>
          </w:p>
        </w:tc>
        <w:tc>
          <w:tcPr>
            <w:tcW w:w="933" w:type="dxa"/>
            <w:vAlign w:val="bottom"/>
          </w:tcPr>
          <w:p>
            <w:pPr>
              <w:spacing w:line="312" w:lineRule="exact"/>
              <w:ind w:firstLine="0" w:firstLineChars="0"/>
              <w:jc w:val="center"/>
              <w:rPr>
                <w:bCs/>
                <w:color w:val="auto"/>
                <w:sz w:val="21"/>
                <w:szCs w:val="21"/>
              </w:rPr>
            </w:pPr>
            <w:r>
              <w:rPr>
                <w:bCs/>
                <w:color w:val="auto"/>
                <w:sz w:val="21"/>
                <w:szCs w:val="21"/>
              </w:rPr>
              <w:t xml:space="preserve">4.08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4.40 </w:t>
            </w:r>
          </w:p>
        </w:tc>
        <w:tc>
          <w:tcPr>
            <w:tcW w:w="864" w:type="dxa"/>
            <w:vAlign w:val="bottom"/>
          </w:tcPr>
          <w:p>
            <w:pPr>
              <w:spacing w:line="312" w:lineRule="exact"/>
              <w:ind w:firstLine="0" w:firstLineChars="0"/>
              <w:jc w:val="center"/>
              <w:rPr>
                <w:bCs/>
                <w:color w:val="auto"/>
                <w:sz w:val="21"/>
                <w:szCs w:val="21"/>
              </w:rPr>
            </w:pPr>
            <w:r>
              <w:rPr>
                <w:bCs/>
                <w:color w:val="auto"/>
                <w:sz w:val="21"/>
                <w:szCs w:val="21"/>
              </w:rPr>
              <w:t xml:space="preserve">3.94 </w:t>
            </w:r>
          </w:p>
        </w:tc>
        <w:tc>
          <w:tcPr>
            <w:tcW w:w="682" w:type="dxa"/>
            <w:vAlign w:val="bottom"/>
          </w:tcPr>
          <w:p>
            <w:pPr>
              <w:spacing w:line="312" w:lineRule="exact"/>
              <w:ind w:firstLine="0" w:firstLineChars="0"/>
              <w:jc w:val="center"/>
              <w:rPr>
                <w:bCs/>
                <w:color w:val="auto"/>
                <w:sz w:val="21"/>
                <w:szCs w:val="21"/>
              </w:rPr>
            </w:pPr>
            <w:r>
              <w:rPr>
                <w:bCs/>
                <w:color w:val="auto"/>
                <w:sz w:val="21"/>
                <w:szCs w:val="21"/>
              </w:rPr>
              <w:t xml:space="preserve">6.46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spacing w:line="312" w:lineRule="exact"/>
              <w:ind w:firstLine="0" w:firstLineChars="0"/>
              <w:jc w:val="center"/>
              <w:rPr>
                <w:bCs/>
                <w:color w:val="auto"/>
                <w:sz w:val="21"/>
                <w:szCs w:val="21"/>
              </w:rPr>
            </w:pPr>
            <w:r>
              <w:rPr>
                <w:bCs/>
                <w:color w:val="auto"/>
                <w:sz w:val="21"/>
                <w:szCs w:val="21"/>
              </w:rPr>
              <w:t>冬季</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2.88 </w:t>
            </w:r>
          </w:p>
        </w:tc>
        <w:tc>
          <w:tcPr>
            <w:tcW w:w="782" w:type="dxa"/>
            <w:vAlign w:val="bottom"/>
          </w:tcPr>
          <w:p>
            <w:pPr>
              <w:spacing w:line="312" w:lineRule="exact"/>
              <w:ind w:firstLine="0" w:firstLineChars="0"/>
              <w:jc w:val="center"/>
              <w:rPr>
                <w:bCs/>
                <w:color w:val="auto"/>
                <w:sz w:val="21"/>
                <w:szCs w:val="21"/>
              </w:rPr>
            </w:pPr>
            <w:r>
              <w:rPr>
                <w:bCs/>
                <w:color w:val="auto"/>
                <w:sz w:val="21"/>
                <w:szCs w:val="21"/>
              </w:rPr>
              <w:t xml:space="preserve">2.97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2.79 </w:t>
            </w:r>
          </w:p>
        </w:tc>
        <w:tc>
          <w:tcPr>
            <w:tcW w:w="768" w:type="dxa"/>
            <w:vAlign w:val="bottom"/>
          </w:tcPr>
          <w:p>
            <w:pPr>
              <w:spacing w:line="312" w:lineRule="exact"/>
              <w:ind w:firstLine="0" w:firstLineChars="0"/>
              <w:jc w:val="center"/>
              <w:rPr>
                <w:bCs/>
                <w:color w:val="auto"/>
                <w:sz w:val="21"/>
                <w:szCs w:val="21"/>
              </w:rPr>
            </w:pPr>
            <w:r>
              <w:rPr>
                <w:bCs/>
                <w:color w:val="auto"/>
                <w:sz w:val="21"/>
                <w:szCs w:val="21"/>
              </w:rPr>
              <w:t xml:space="preserve">4.74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8.87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9.38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4.04 </w:t>
            </w:r>
          </w:p>
        </w:tc>
        <w:tc>
          <w:tcPr>
            <w:tcW w:w="697" w:type="dxa"/>
            <w:vAlign w:val="bottom"/>
          </w:tcPr>
          <w:p>
            <w:pPr>
              <w:spacing w:line="312" w:lineRule="exact"/>
              <w:ind w:firstLine="0" w:firstLineChars="0"/>
              <w:jc w:val="center"/>
              <w:rPr>
                <w:bCs/>
                <w:color w:val="auto"/>
                <w:sz w:val="21"/>
                <w:szCs w:val="21"/>
              </w:rPr>
            </w:pPr>
            <w:r>
              <w:rPr>
                <w:bCs/>
                <w:color w:val="auto"/>
                <w:sz w:val="21"/>
                <w:szCs w:val="21"/>
              </w:rPr>
              <w:t xml:space="preserve">2.32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3.67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5.39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5.29 </w:t>
            </w:r>
          </w:p>
        </w:tc>
        <w:tc>
          <w:tcPr>
            <w:tcW w:w="890" w:type="dxa"/>
            <w:vAlign w:val="bottom"/>
          </w:tcPr>
          <w:p>
            <w:pPr>
              <w:spacing w:line="312" w:lineRule="exact"/>
              <w:ind w:firstLine="0" w:firstLineChars="0"/>
              <w:jc w:val="center"/>
              <w:rPr>
                <w:bCs/>
                <w:color w:val="auto"/>
                <w:sz w:val="21"/>
                <w:szCs w:val="21"/>
              </w:rPr>
            </w:pPr>
            <w:r>
              <w:rPr>
                <w:bCs/>
                <w:color w:val="auto"/>
                <w:sz w:val="21"/>
                <w:szCs w:val="21"/>
              </w:rPr>
              <w:t xml:space="preserve">11.66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7.94 </w:t>
            </w:r>
          </w:p>
        </w:tc>
        <w:tc>
          <w:tcPr>
            <w:tcW w:w="933" w:type="dxa"/>
            <w:vAlign w:val="bottom"/>
          </w:tcPr>
          <w:p>
            <w:pPr>
              <w:spacing w:line="312" w:lineRule="exact"/>
              <w:ind w:firstLine="0" w:firstLineChars="0"/>
              <w:jc w:val="center"/>
              <w:rPr>
                <w:bCs/>
                <w:color w:val="auto"/>
                <w:sz w:val="21"/>
                <w:szCs w:val="21"/>
              </w:rPr>
            </w:pPr>
            <w:r>
              <w:rPr>
                <w:bCs/>
                <w:color w:val="auto"/>
                <w:sz w:val="21"/>
                <w:szCs w:val="21"/>
              </w:rPr>
              <w:t xml:space="preserve">8.64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9.06 </w:t>
            </w:r>
          </w:p>
        </w:tc>
        <w:tc>
          <w:tcPr>
            <w:tcW w:w="864" w:type="dxa"/>
            <w:vAlign w:val="bottom"/>
          </w:tcPr>
          <w:p>
            <w:pPr>
              <w:spacing w:line="312" w:lineRule="exact"/>
              <w:ind w:firstLine="0" w:firstLineChars="0"/>
              <w:jc w:val="center"/>
              <w:rPr>
                <w:bCs/>
                <w:color w:val="auto"/>
                <w:sz w:val="21"/>
                <w:szCs w:val="21"/>
              </w:rPr>
            </w:pPr>
            <w:r>
              <w:rPr>
                <w:bCs/>
                <w:color w:val="auto"/>
                <w:sz w:val="21"/>
                <w:szCs w:val="21"/>
              </w:rPr>
              <w:t xml:space="preserve">6.13 </w:t>
            </w:r>
          </w:p>
        </w:tc>
        <w:tc>
          <w:tcPr>
            <w:tcW w:w="682" w:type="dxa"/>
            <w:vAlign w:val="bottom"/>
          </w:tcPr>
          <w:p>
            <w:pPr>
              <w:spacing w:line="312" w:lineRule="exact"/>
              <w:ind w:firstLine="0" w:firstLineChars="0"/>
              <w:jc w:val="center"/>
              <w:rPr>
                <w:bCs/>
                <w:color w:val="auto"/>
                <w:sz w:val="21"/>
                <w:szCs w:val="21"/>
              </w:rPr>
            </w:pPr>
            <w:r>
              <w:rPr>
                <w:bCs/>
                <w:color w:val="auto"/>
                <w:sz w:val="21"/>
                <w:szCs w:val="21"/>
              </w:rPr>
              <w:t xml:space="preserve">4.23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spacing w:line="312" w:lineRule="exact"/>
              <w:ind w:firstLine="0" w:firstLineChars="0"/>
              <w:jc w:val="center"/>
              <w:rPr>
                <w:bCs/>
                <w:color w:val="auto"/>
                <w:sz w:val="21"/>
                <w:szCs w:val="21"/>
              </w:rPr>
            </w:pPr>
            <w:r>
              <w:rPr>
                <w:bCs/>
                <w:color w:val="auto"/>
                <w:sz w:val="21"/>
                <w:szCs w:val="21"/>
              </w:rPr>
              <w:t>全年</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4.12 </w:t>
            </w:r>
          </w:p>
        </w:tc>
        <w:tc>
          <w:tcPr>
            <w:tcW w:w="782" w:type="dxa"/>
            <w:vAlign w:val="bottom"/>
          </w:tcPr>
          <w:p>
            <w:pPr>
              <w:spacing w:line="312" w:lineRule="exact"/>
              <w:ind w:firstLine="0" w:firstLineChars="0"/>
              <w:jc w:val="center"/>
              <w:rPr>
                <w:bCs/>
                <w:color w:val="auto"/>
                <w:sz w:val="21"/>
                <w:szCs w:val="21"/>
              </w:rPr>
            </w:pPr>
            <w:r>
              <w:rPr>
                <w:bCs/>
                <w:color w:val="auto"/>
                <w:sz w:val="21"/>
                <w:szCs w:val="21"/>
              </w:rPr>
              <w:t xml:space="preserve">3.80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5.79 </w:t>
            </w:r>
          </w:p>
        </w:tc>
        <w:tc>
          <w:tcPr>
            <w:tcW w:w="768" w:type="dxa"/>
            <w:vAlign w:val="bottom"/>
          </w:tcPr>
          <w:p>
            <w:pPr>
              <w:spacing w:line="312" w:lineRule="exact"/>
              <w:ind w:firstLine="0" w:firstLineChars="0"/>
              <w:jc w:val="center"/>
              <w:rPr>
                <w:bCs/>
                <w:color w:val="auto"/>
                <w:sz w:val="21"/>
                <w:szCs w:val="21"/>
              </w:rPr>
            </w:pPr>
            <w:r>
              <w:rPr>
                <w:bCs/>
                <w:color w:val="auto"/>
                <w:sz w:val="21"/>
                <w:szCs w:val="21"/>
              </w:rPr>
              <w:t xml:space="preserve">5.53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6.66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10.16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7.24 </w:t>
            </w:r>
          </w:p>
        </w:tc>
        <w:tc>
          <w:tcPr>
            <w:tcW w:w="697" w:type="dxa"/>
            <w:vAlign w:val="bottom"/>
          </w:tcPr>
          <w:p>
            <w:pPr>
              <w:spacing w:line="312" w:lineRule="exact"/>
              <w:ind w:firstLine="0" w:firstLineChars="0"/>
              <w:jc w:val="center"/>
              <w:rPr>
                <w:bCs/>
                <w:color w:val="auto"/>
                <w:sz w:val="21"/>
                <w:szCs w:val="21"/>
              </w:rPr>
            </w:pPr>
            <w:r>
              <w:rPr>
                <w:bCs/>
                <w:color w:val="auto"/>
                <w:sz w:val="21"/>
                <w:szCs w:val="21"/>
              </w:rPr>
              <w:t xml:space="preserve">3.21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3.82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5.79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6.44 </w:t>
            </w:r>
          </w:p>
        </w:tc>
        <w:tc>
          <w:tcPr>
            <w:tcW w:w="890" w:type="dxa"/>
            <w:vAlign w:val="bottom"/>
          </w:tcPr>
          <w:p>
            <w:pPr>
              <w:spacing w:line="312" w:lineRule="exact"/>
              <w:ind w:firstLine="0" w:firstLineChars="0"/>
              <w:jc w:val="center"/>
              <w:rPr>
                <w:bCs/>
                <w:color w:val="auto"/>
                <w:sz w:val="21"/>
                <w:szCs w:val="21"/>
              </w:rPr>
            </w:pPr>
            <w:r>
              <w:rPr>
                <w:bCs/>
                <w:color w:val="auto"/>
                <w:sz w:val="21"/>
                <w:szCs w:val="21"/>
              </w:rPr>
              <w:t xml:space="preserve">9.64 </w:t>
            </w:r>
          </w:p>
        </w:tc>
        <w:tc>
          <w:tcPr>
            <w:tcW w:w="691" w:type="dxa"/>
            <w:vAlign w:val="bottom"/>
          </w:tcPr>
          <w:p>
            <w:pPr>
              <w:spacing w:line="312" w:lineRule="exact"/>
              <w:ind w:firstLine="0" w:firstLineChars="0"/>
              <w:jc w:val="center"/>
              <w:rPr>
                <w:bCs/>
                <w:color w:val="auto"/>
                <w:sz w:val="21"/>
                <w:szCs w:val="21"/>
              </w:rPr>
            </w:pPr>
            <w:r>
              <w:rPr>
                <w:bCs/>
                <w:color w:val="auto"/>
                <w:sz w:val="21"/>
                <w:szCs w:val="21"/>
              </w:rPr>
              <w:t xml:space="preserve">6.24 </w:t>
            </w:r>
          </w:p>
        </w:tc>
        <w:tc>
          <w:tcPr>
            <w:tcW w:w="933" w:type="dxa"/>
            <w:vAlign w:val="bottom"/>
          </w:tcPr>
          <w:p>
            <w:pPr>
              <w:spacing w:line="312" w:lineRule="exact"/>
              <w:ind w:firstLine="0" w:firstLineChars="0"/>
              <w:jc w:val="center"/>
              <w:rPr>
                <w:bCs/>
                <w:color w:val="auto"/>
                <w:sz w:val="21"/>
                <w:szCs w:val="21"/>
              </w:rPr>
            </w:pPr>
            <w:r>
              <w:rPr>
                <w:bCs/>
                <w:color w:val="auto"/>
                <w:sz w:val="21"/>
                <w:szCs w:val="21"/>
              </w:rPr>
              <w:t xml:space="preserve">6.11 </w:t>
            </w:r>
          </w:p>
        </w:tc>
        <w:tc>
          <w:tcPr>
            <w:tcW w:w="816" w:type="dxa"/>
            <w:vAlign w:val="bottom"/>
          </w:tcPr>
          <w:p>
            <w:pPr>
              <w:spacing w:line="312" w:lineRule="exact"/>
              <w:ind w:firstLine="0" w:firstLineChars="0"/>
              <w:jc w:val="center"/>
              <w:rPr>
                <w:bCs/>
                <w:color w:val="auto"/>
                <w:sz w:val="21"/>
                <w:szCs w:val="21"/>
              </w:rPr>
            </w:pPr>
            <w:r>
              <w:rPr>
                <w:bCs/>
                <w:color w:val="auto"/>
                <w:sz w:val="21"/>
                <w:szCs w:val="21"/>
              </w:rPr>
              <w:t xml:space="preserve">6.28 </w:t>
            </w:r>
          </w:p>
        </w:tc>
        <w:tc>
          <w:tcPr>
            <w:tcW w:w="864" w:type="dxa"/>
            <w:vAlign w:val="bottom"/>
          </w:tcPr>
          <w:p>
            <w:pPr>
              <w:spacing w:line="312" w:lineRule="exact"/>
              <w:ind w:firstLine="0" w:firstLineChars="0"/>
              <w:jc w:val="center"/>
              <w:rPr>
                <w:bCs/>
                <w:color w:val="auto"/>
                <w:sz w:val="21"/>
                <w:szCs w:val="21"/>
              </w:rPr>
            </w:pPr>
            <w:r>
              <w:rPr>
                <w:bCs/>
                <w:color w:val="auto"/>
                <w:sz w:val="21"/>
                <w:szCs w:val="21"/>
              </w:rPr>
              <w:t xml:space="preserve">4.57 </w:t>
            </w:r>
          </w:p>
        </w:tc>
        <w:tc>
          <w:tcPr>
            <w:tcW w:w="682" w:type="dxa"/>
            <w:vAlign w:val="bottom"/>
          </w:tcPr>
          <w:p>
            <w:pPr>
              <w:spacing w:line="312" w:lineRule="exact"/>
              <w:ind w:firstLine="0" w:firstLineChars="0"/>
              <w:jc w:val="center"/>
              <w:rPr>
                <w:bCs/>
                <w:color w:val="auto"/>
                <w:sz w:val="21"/>
                <w:szCs w:val="21"/>
              </w:rPr>
            </w:pPr>
            <w:r>
              <w:rPr>
                <w:bCs/>
                <w:color w:val="auto"/>
                <w:sz w:val="21"/>
                <w:szCs w:val="21"/>
              </w:rPr>
              <w:t xml:space="preserve">4.58 </w:t>
            </w:r>
          </w:p>
        </w:tc>
      </w:tr>
    </w:tbl>
    <w:p>
      <w:pPr>
        <w:spacing w:line="360" w:lineRule="auto"/>
        <w:ind w:firstLine="480"/>
        <w:jc w:val="center"/>
        <w:rPr>
          <w:bCs/>
          <w:color w:val="auto"/>
          <w:szCs w:val="24"/>
        </w:rPr>
        <w:sectPr>
          <w:pgSz w:w="16838" w:h="11906" w:orient="landscape"/>
          <w:pgMar w:top="1418" w:right="1418" w:bottom="1418" w:left="1418" w:header="992" w:footer="992" w:gutter="0"/>
          <w:pgBorders>
            <w:top w:val="none" w:sz="0" w:space="0"/>
            <w:left w:val="none" w:sz="0" w:space="0"/>
            <w:bottom w:val="none" w:sz="0" w:space="0"/>
            <w:right w:val="none" w:sz="0" w:space="0"/>
          </w:pgBorders>
          <w:cols w:space="720" w:num="1"/>
          <w:docGrid w:linePitch="312" w:charSpace="0"/>
        </w:sectPr>
      </w:pPr>
    </w:p>
    <w:p>
      <w:pPr>
        <w:spacing w:line="360" w:lineRule="auto"/>
        <w:ind w:firstLine="0" w:firstLineChars="0"/>
        <w:jc w:val="center"/>
        <w:rPr>
          <w:color w:val="auto"/>
          <w:szCs w:val="24"/>
        </w:rPr>
      </w:pPr>
      <w:r>
        <w:rPr>
          <w:color w:val="auto"/>
        </w:rPr>
        <w:drawing>
          <wp:inline distT="0" distB="0" distL="114300" distR="114300">
            <wp:extent cx="5343525" cy="7524750"/>
            <wp:effectExtent l="0" t="0" r="9525" b="0"/>
            <wp:docPr id="1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
                    <pic:cNvPicPr>
                      <a:picLocks noChangeAspect="1"/>
                    </pic:cNvPicPr>
                  </pic:nvPicPr>
                  <pic:blipFill>
                    <a:blip r:embed="rId112"/>
                    <a:stretch>
                      <a:fillRect/>
                    </a:stretch>
                  </pic:blipFill>
                  <pic:spPr>
                    <a:xfrm>
                      <a:off x="0" y="0"/>
                      <a:ext cx="5343525" cy="7524750"/>
                    </a:xfrm>
                    <a:prstGeom prst="rect">
                      <a:avLst/>
                    </a:prstGeom>
                    <a:noFill/>
                    <a:ln>
                      <a:noFill/>
                    </a:ln>
                  </pic:spPr>
                </pic:pic>
              </a:graphicData>
            </a:graphic>
          </wp:inline>
        </w:drawing>
      </w:r>
    </w:p>
    <w:p>
      <w:pPr>
        <w:snapToGrid w:val="0"/>
        <w:spacing w:beforeLines="50"/>
        <w:ind w:firstLine="420"/>
        <w:jc w:val="center"/>
        <w:rPr>
          <w:rFonts w:eastAsia="黑体"/>
          <w:bCs/>
          <w:color w:val="auto"/>
          <w:sz w:val="21"/>
          <w:szCs w:val="22"/>
        </w:rPr>
      </w:pPr>
      <w:r>
        <w:rPr>
          <w:rFonts w:eastAsia="黑体"/>
          <w:bCs/>
          <w:color w:val="auto"/>
          <w:sz w:val="21"/>
          <w:szCs w:val="22"/>
        </w:rPr>
        <w:t xml:space="preserve">图6.1-4  </w:t>
      </w:r>
      <w:r>
        <w:rPr>
          <w:rFonts w:hint="eastAsia" w:eastAsia="黑体"/>
          <w:bCs/>
          <w:color w:val="auto"/>
          <w:sz w:val="21"/>
          <w:szCs w:val="22"/>
          <w:lang w:eastAsia="zh-CN"/>
        </w:rPr>
        <w:t>张店</w:t>
      </w:r>
      <w:r>
        <w:rPr>
          <w:rFonts w:eastAsia="黑体"/>
          <w:bCs/>
          <w:color w:val="auto"/>
          <w:sz w:val="21"/>
          <w:szCs w:val="22"/>
        </w:rPr>
        <w:t>201</w:t>
      </w:r>
      <w:r>
        <w:rPr>
          <w:rFonts w:hint="eastAsia" w:eastAsia="黑体"/>
          <w:bCs/>
          <w:color w:val="auto"/>
          <w:sz w:val="21"/>
          <w:szCs w:val="22"/>
          <w:lang w:val="en-US" w:eastAsia="zh-CN"/>
        </w:rPr>
        <w:t>9</w:t>
      </w:r>
      <w:r>
        <w:rPr>
          <w:rFonts w:eastAsia="黑体"/>
          <w:bCs/>
          <w:color w:val="auto"/>
          <w:sz w:val="21"/>
          <w:szCs w:val="22"/>
        </w:rPr>
        <w:t>年各月、各季与年的风向频率玫瑰图</w:t>
      </w:r>
    </w:p>
    <w:p>
      <w:pPr>
        <w:ind w:firstLine="480"/>
        <w:rPr>
          <w:color w:val="auto"/>
        </w:rPr>
      </w:pPr>
      <w:r>
        <w:rPr>
          <w:color w:val="auto"/>
        </w:rPr>
        <w:fldChar w:fldCharType="begin"/>
      </w:r>
      <w:r>
        <w:rPr>
          <w:color w:val="auto"/>
        </w:rPr>
        <w:instrText xml:space="preserve"> = 2 \* GB3 \* MERGEFORMAT </w:instrText>
      </w:r>
      <w:r>
        <w:rPr>
          <w:color w:val="auto"/>
        </w:rPr>
        <w:fldChar w:fldCharType="separate"/>
      </w:r>
      <w:r>
        <w:rPr>
          <w:color w:val="auto"/>
        </w:rPr>
        <w:t>②</w:t>
      </w:r>
      <w:r>
        <w:rPr>
          <w:color w:val="auto"/>
        </w:rPr>
        <w:fldChar w:fldCharType="end"/>
      </w:r>
      <w:r>
        <w:rPr>
          <w:color w:val="auto"/>
        </w:rPr>
        <w:t>近地面温度基本特征</w:t>
      </w:r>
    </w:p>
    <w:p>
      <w:pPr>
        <w:ind w:firstLine="480"/>
        <w:rPr>
          <w:color w:val="auto"/>
          <w:szCs w:val="24"/>
        </w:rPr>
      </w:pPr>
      <w:r>
        <w:rPr>
          <w:color w:val="auto"/>
        </w:rPr>
        <w:t>根据201</w:t>
      </w:r>
      <w:r>
        <w:rPr>
          <w:rFonts w:hint="eastAsia"/>
          <w:color w:val="auto"/>
          <w:lang w:val="en-US" w:eastAsia="zh-CN"/>
        </w:rPr>
        <w:t>9</w:t>
      </w:r>
      <w:r>
        <w:rPr>
          <w:color w:val="auto"/>
        </w:rPr>
        <w:t>年地面气象资料中每月平均温度的变化情况表</w:t>
      </w:r>
      <w:r>
        <w:rPr>
          <w:rFonts w:hint="eastAsia"/>
          <w:color w:val="auto"/>
          <w:lang w:val="en-US" w:eastAsia="zh-CN"/>
        </w:rPr>
        <w:t>5</w:t>
      </w:r>
      <w:r>
        <w:rPr>
          <w:color w:val="auto"/>
        </w:rPr>
        <w:t>.1-</w:t>
      </w:r>
      <w:r>
        <w:rPr>
          <w:rFonts w:hint="eastAsia"/>
          <w:color w:val="auto"/>
          <w:lang w:val="en-US" w:eastAsia="zh-CN"/>
        </w:rPr>
        <w:t>13</w:t>
      </w:r>
      <w:r>
        <w:rPr>
          <w:color w:val="auto"/>
        </w:rPr>
        <w:t>和年平均温度月变化曲线图</w:t>
      </w:r>
      <w:r>
        <w:rPr>
          <w:rFonts w:hint="eastAsia"/>
          <w:color w:val="auto"/>
          <w:lang w:val="en-US" w:eastAsia="zh-CN"/>
        </w:rPr>
        <w:t>5</w:t>
      </w:r>
      <w:r>
        <w:rPr>
          <w:color w:val="auto"/>
        </w:rPr>
        <w:t>.1-5知：区域全年月平均气温最高为27.05℃，出现在7月，最低为-4.49℃出现在1月。</w:t>
      </w:r>
    </w:p>
    <w:p>
      <w:pPr>
        <w:snapToGrid w:val="0"/>
        <w:spacing w:before="120"/>
        <w:ind w:firstLine="420"/>
        <w:jc w:val="center"/>
        <w:rPr>
          <w:rFonts w:eastAsia="黑体"/>
          <w:bCs/>
          <w:color w:val="auto"/>
          <w:sz w:val="21"/>
          <w:szCs w:val="22"/>
        </w:rPr>
      </w:pPr>
      <w:r>
        <w:rPr>
          <w:rFonts w:eastAsia="黑体"/>
          <w:bCs/>
          <w:color w:val="auto"/>
          <w:sz w:val="21"/>
          <w:szCs w:val="22"/>
        </w:rPr>
        <w:t>表</w:t>
      </w:r>
      <w:r>
        <w:rPr>
          <w:rFonts w:hint="eastAsia" w:eastAsia="黑体"/>
          <w:bCs/>
          <w:color w:val="auto"/>
          <w:sz w:val="21"/>
          <w:szCs w:val="22"/>
          <w:lang w:val="en-US" w:eastAsia="zh-CN"/>
        </w:rPr>
        <w:t>5</w:t>
      </w:r>
      <w:r>
        <w:rPr>
          <w:rFonts w:eastAsia="黑体"/>
          <w:bCs/>
          <w:color w:val="auto"/>
          <w:sz w:val="21"/>
          <w:szCs w:val="22"/>
        </w:rPr>
        <w:t>.1-</w:t>
      </w:r>
      <w:r>
        <w:rPr>
          <w:rFonts w:hint="eastAsia" w:eastAsia="黑体"/>
          <w:bCs/>
          <w:color w:val="auto"/>
          <w:sz w:val="21"/>
          <w:szCs w:val="22"/>
          <w:lang w:val="en-US" w:eastAsia="zh-CN"/>
        </w:rPr>
        <w:t>13</w:t>
      </w:r>
      <w:r>
        <w:rPr>
          <w:rFonts w:eastAsia="黑体"/>
          <w:bCs/>
          <w:color w:val="auto"/>
          <w:sz w:val="21"/>
          <w:szCs w:val="22"/>
        </w:rPr>
        <w:t xml:space="preserve">  </w:t>
      </w:r>
      <w:r>
        <w:rPr>
          <w:rFonts w:hint="eastAsia" w:eastAsia="黑体"/>
          <w:bCs/>
          <w:color w:val="auto"/>
          <w:sz w:val="21"/>
          <w:szCs w:val="22"/>
          <w:lang w:eastAsia="zh-CN"/>
        </w:rPr>
        <w:t>张店</w:t>
      </w:r>
      <w:r>
        <w:rPr>
          <w:rFonts w:eastAsia="黑体"/>
          <w:bCs/>
          <w:color w:val="auto"/>
          <w:sz w:val="21"/>
          <w:szCs w:val="22"/>
        </w:rPr>
        <w:t>201</w:t>
      </w:r>
      <w:r>
        <w:rPr>
          <w:rFonts w:hint="eastAsia" w:eastAsia="黑体"/>
          <w:bCs/>
          <w:color w:val="auto"/>
          <w:sz w:val="21"/>
          <w:szCs w:val="22"/>
          <w:lang w:val="en-US" w:eastAsia="zh-CN"/>
        </w:rPr>
        <w:t>9</w:t>
      </w:r>
      <w:r>
        <w:rPr>
          <w:rFonts w:eastAsia="黑体"/>
          <w:bCs/>
          <w:color w:val="auto"/>
          <w:sz w:val="21"/>
          <w:szCs w:val="22"/>
        </w:rPr>
        <w:t>年各月平均温度（单位：℃）</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5"/>
        <w:gridCol w:w="702"/>
        <w:gridCol w:w="654"/>
        <w:gridCol w:w="654"/>
        <w:gridCol w:w="743"/>
        <w:gridCol w:w="743"/>
        <w:gridCol w:w="743"/>
        <w:gridCol w:w="743"/>
        <w:gridCol w:w="741"/>
        <w:gridCol w:w="743"/>
        <w:gridCol w:w="743"/>
        <w:gridCol w:w="655"/>
        <w:gridCol w:w="7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5" w:type="pct"/>
            <w:vAlign w:val="center"/>
          </w:tcPr>
          <w:p>
            <w:pPr>
              <w:snapToGrid w:val="0"/>
              <w:spacing w:line="312" w:lineRule="exact"/>
              <w:ind w:firstLine="0" w:firstLineChars="0"/>
              <w:jc w:val="center"/>
              <w:rPr>
                <w:bCs/>
                <w:color w:val="auto"/>
                <w:sz w:val="21"/>
                <w:szCs w:val="21"/>
              </w:rPr>
            </w:pPr>
            <w:r>
              <w:rPr>
                <w:bCs/>
                <w:color w:val="auto"/>
                <w:sz w:val="21"/>
                <w:szCs w:val="21"/>
              </w:rPr>
              <w:t>月份</w:t>
            </w:r>
          </w:p>
        </w:tc>
        <w:tc>
          <w:tcPr>
            <w:tcW w:w="378" w:type="pct"/>
            <w:vAlign w:val="center"/>
          </w:tcPr>
          <w:p>
            <w:pPr>
              <w:snapToGrid w:val="0"/>
              <w:spacing w:line="312" w:lineRule="exact"/>
              <w:ind w:firstLine="0" w:firstLineChars="0"/>
              <w:jc w:val="center"/>
              <w:rPr>
                <w:bCs/>
                <w:color w:val="auto"/>
                <w:sz w:val="21"/>
                <w:szCs w:val="21"/>
              </w:rPr>
            </w:pPr>
            <w:r>
              <w:rPr>
                <w:bCs/>
                <w:color w:val="auto"/>
                <w:sz w:val="21"/>
                <w:szCs w:val="21"/>
              </w:rPr>
              <w:t>1</w:t>
            </w:r>
          </w:p>
        </w:tc>
        <w:tc>
          <w:tcPr>
            <w:tcW w:w="352" w:type="pct"/>
            <w:vAlign w:val="center"/>
          </w:tcPr>
          <w:p>
            <w:pPr>
              <w:snapToGrid w:val="0"/>
              <w:spacing w:line="312" w:lineRule="exact"/>
              <w:ind w:firstLine="0" w:firstLineChars="0"/>
              <w:jc w:val="center"/>
              <w:rPr>
                <w:bCs/>
                <w:color w:val="auto"/>
                <w:sz w:val="21"/>
                <w:szCs w:val="21"/>
              </w:rPr>
            </w:pPr>
            <w:r>
              <w:rPr>
                <w:bCs/>
                <w:color w:val="auto"/>
                <w:sz w:val="21"/>
                <w:szCs w:val="21"/>
              </w:rPr>
              <w:t>2</w:t>
            </w:r>
          </w:p>
        </w:tc>
        <w:tc>
          <w:tcPr>
            <w:tcW w:w="352" w:type="pct"/>
            <w:vAlign w:val="center"/>
          </w:tcPr>
          <w:p>
            <w:pPr>
              <w:snapToGrid w:val="0"/>
              <w:spacing w:line="312" w:lineRule="exact"/>
              <w:ind w:firstLine="0" w:firstLineChars="0"/>
              <w:jc w:val="center"/>
              <w:rPr>
                <w:bCs/>
                <w:color w:val="auto"/>
                <w:sz w:val="21"/>
                <w:szCs w:val="21"/>
              </w:rPr>
            </w:pPr>
            <w:r>
              <w:rPr>
                <w:bCs/>
                <w:color w:val="auto"/>
                <w:sz w:val="21"/>
                <w:szCs w:val="21"/>
              </w:rPr>
              <w:t>3</w:t>
            </w:r>
          </w:p>
        </w:tc>
        <w:tc>
          <w:tcPr>
            <w:tcW w:w="400" w:type="pct"/>
            <w:vAlign w:val="center"/>
          </w:tcPr>
          <w:p>
            <w:pPr>
              <w:snapToGrid w:val="0"/>
              <w:spacing w:line="312" w:lineRule="exact"/>
              <w:ind w:firstLine="0" w:firstLineChars="0"/>
              <w:jc w:val="center"/>
              <w:rPr>
                <w:bCs/>
                <w:color w:val="auto"/>
                <w:sz w:val="21"/>
                <w:szCs w:val="21"/>
              </w:rPr>
            </w:pPr>
            <w:r>
              <w:rPr>
                <w:bCs/>
                <w:color w:val="auto"/>
                <w:sz w:val="21"/>
                <w:szCs w:val="21"/>
              </w:rPr>
              <w:t>4</w:t>
            </w:r>
          </w:p>
        </w:tc>
        <w:tc>
          <w:tcPr>
            <w:tcW w:w="400" w:type="pct"/>
            <w:vAlign w:val="center"/>
          </w:tcPr>
          <w:p>
            <w:pPr>
              <w:snapToGrid w:val="0"/>
              <w:spacing w:line="312" w:lineRule="exact"/>
              <w:ind w:firstLine="0" w:firstLineChars="0"/>
              <w:jc w:val="center"/>
              <w:rPr>
                <w:bCs/>
                <w:color w:val="auto"/>
                <w:sz w:val="21"/>
                <w:szCs w:val="21"/>
              </w:rPr>
            </w:pPr>
            <w:r>
              <w:rPr>
                <w:bCs/>
                <w:color w:val="auto"/>
                <w:sz w:val="21"/>
                <w:szCs w:val="21"/>
              </w:rPr>
              <w:t>5</w:t>
            </w:r>
          </w:p>
        </w:tc>
        <w:tc>
          <w:tcPr>
            <w:tcW w:w="400" w:type="pct"/>
            <w:vAlign w:val="center"/>
          </w:tcPr>
          <w:p>
            <w:pPr>
              <w:snapToGrid w:val="0"/>
              <w:spacing w:line="312" w:lineRule="exact"/>
              <w:ind w:firstLine="0" w:firstLineChars="0"/>
              <w:jc w:val="center"/>
              <w:rPr>
                <w:bCs/>
                <w:color w:val="auto"/>
                <w:sz w:val="21"/>
                <w:szCs w:val="21"/>
              </w:rPr>
            </w:pPr>
            <w:r>
              <w:rPr>
                <w:bCs/>
                <w:color w:val="auto"/>
                <w:sz w:val="21"/>
                <w:szCs w:val="21"/>
              </w:rPr>
              <w:t>6</w:t>
            </w:r>
          </w:p>
        </w:tc>
        <w:tc>
          <w:tcPr>
            <w:tcW w:w="400" w:type="pct"/>
            <w:vAlign w:val="center"/>
          </w:tcPr>
          <w:p>
            <w:pPr>
              <w:snapToGrid w:val="0"/>
              <w:spacing w:line="312" w:lineRule="exact"/>
              <w:ind w:firstLine="0" w:firstLineChars="0"/>
              <w:jc w:val="center"/>
              <w:rPr>
                <w:bCs/>
                <w:color w:val="auto"/>
                <w:sz w:val="21"/>
                <w:szCs w:val="21"/>
              </w:rPr>
            </w:pPr>
            <w:r>
              <w:rPr>
                <w:bCs/>
                <w:color w:val="auto"/>
                <w:sz w:val="21"/>
                <w:szCs w:val="21"/>
              </w:rPr>
              <w:t>7</w:t>
            </w:r>
          </w:p>
        </w:tc>
        <w:tc>
          <w:tcPr>
            <w:tcW w:w="399" w:type="pct"/>
            <w:vAlign w:val="center"/>
          </w:tcPr>
          <w:p>
            <w:pPr>
              <w:snapToGrid w:val="0"/>
              <w:spacing w:line="312" w:lineRule="exact"/>
              <w:ind w:firstLine="0" w:firstLineChars="0"/>
              <w:jc w:val="center"/>
              <w:rPr>
                <w:bCs/>
                <w:color w:val="auto"/>
                <w:sz w:val="21"/>
                <w:szCs w:val="21"/>
              </w:rPr>
            </w:pPr>
            <w:r>
              <w:rPr>
                <w:bCs/>
                <w:color w:val="auto"/>
                <w:sz w:val="21"/>
                <w:szCs w:val="21"/>
              </w:rPr>
              <w:t>8</w:t>
            </w:r>
          </w:p>
        </w:tc>
        <w:tc>
          <w:tcPr>
            <w:tcW w:w="400" w:type="pct"/>
            <w:vAlign w:val="center"/>
          </w:tcPr>
          <w:p>
            <w:pPr>
              <w:snapToGrid w:val="0"/>
              <w:spacing w:line="312" w:lineRule="exact"/>
              <w:ind w:firstLine="0" w:firstLineChars="0"/>
              <w:jc w:val="center"/>
              <w:rPr>
                <w:bCs/>
                <w:color w:val="auto"/>
                <w:sz w:val="21"/>
                <w:szCs w:val="21"/>
              </w:rPr>
            </w:pPr>
            <w:r>
              <w:rPr>
                <w:bCs/>
                <w:color w:val="auto"/>
                <w:sz w:val="21"/>
                <w:szCs w:val="21"/>
              </w:rPr>
              <w:t>9</w:t>
            </w:r>
          </w:p>
        </w:tc>
        <w:tc>
          <w:tcPr>
            <w:tcW w:w="400" w:type="pct"/>
            <w:vAlign w:val="center"/>
          </w:tcPr>
          <w:p>
            <w:pPr>
              <w:snapToGrid w:val="0"/>
              <w:spacing w:line="312" w:lineRule="exact"/>
              <w:ind w:firstLine="0" w:firstLineChars="0"/>
              <w:jc w:val="center"/>
              <w:rPr>
                <w:bCs/>
                <w:color w:val="auto"/>
                <w:sz w:val="21"/>
                <w:szCs w:val="21"/>
              </w:rPr>
            </w:pPr>
            <w:r>
              <w:rPr>
                <w:bCs/>
                <w:color w:val="auto"/>
                <w:sz w:val="21"/>
                <w:szCs w:val="21"/>
              </w:rPr>
              <w:t>10</w:t>
            </w:r>
          </w:p>
        </w:tc>
        <w:tc>
          <w:tcPr>
            <w:tcW w:w="352" w:type="pct"/>
            <w:vAlign w:val="center"/>
          </w:tcPr>
          <w:p>
            <w:pPr>
              <w:snapToGrid w:val="0"/>
              <w:spacing w:line="312" w:lineRule="exact"/>
              <w:ind w:firstLine="0" w:firstLineChars="0"/>
              <w:jc w:val="center"/>
              <w:rPr>
                <w:bCs/>
                <w:color w:val="auto"/>
                <w:sz w:val="21"/>
                <w:szCs w:val="21"/>
              </w:rPr>
            </w:pPr>
            <w:r>
              <w:rPr>
                <w:bCs/>
                <w:color w:val="auto"/>
                <w:sz w:val="21"/>
                <w:szCs w:val="21"/>
              </w:rPr>
              <w:t>11</w:t>
            </w:r>
          </w:p>
        </w:tc>
        <w:tc>
          <w:tcPr>
            <w:tcW w:w="379" w:type="pct"/>
            <w:vAlign w:val="center"/>
          </w:tcPr>
          <w:p>
            <w:pPr>
              <w:snapToGrid w:val="0"/>
              <w:spacing w:line="312" w:lineRule="exact"/>
              <w:ind w:firstLine="0" w:firstLineChars="0"/>
              <w:jc w:val="center"/>
              <w:rPr>
                <w:bCs/>
                <w:color w:val="auto"/>
                <w:sz w:val="21"/>
                <w:szCs w:val="21"/>
              </w:rPr>
            </w:pPr>
            <w:r>
              <w:rPr>
                <w:bCs/>
                <w:color w:val="auto"/>
                <w:sz w:val="21"/>
                <w:szCs w:val="21"/>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5" w:type="pct"/>
            <w:vAlign w:val="center"/>
          </w:tcPr>
          <w:p>
            <w:pPr>
              <w:snapToGrid w:val="0"/>
              <w:spacing w:line="312" w:lineRule="exact"/>
              <w:ind w:firstLine="0" w:firstLineChars="0"/>
              <w:jc w:val="center"/>
              <w:rPr>
                <w:bCs/>
                <w:color w:val="auto"/>
                <w:sz w:val="21"/>
                <w:szCs w:val="21"/>
              </w:rPr>
            </w:pPr>
            <w:r>
              <w:rPr>
                <w:bCs/>
                <w:color w:val="auto"/>
                <w:sz w:val="21"/>
                <w:szCs w:val="21"/>
              </w:rPr>
              <w:t>温度</w:t>
            </w:r>
          </w:p>
        </w:tc>
        <w:tc>
          <w:tcPr>
            <w:tcW w:w="378" w:type="pct"/>
            <w:vAlign w:val="bottom"/>
          </w:tcPr>
          <w:p>
            <w:pPr>
              <w:spacing w:line="312" w:lineRule="exact"/>
              <w:ind w:firstLine="0" w:firstLineChars="0"/>
              <w:jc w:val="center"/>
              <w:rPr>
                <w:bCs/>
                <w:color w:val="auto"/>
                <w:sz w:val="21"/>
                <w:szCs w:val="21"/>
              </w:rPr>
            </w:pPr>
            <w:r>
              <w:rPr>
                <w:bCs/>
                <w:color w:val="auto"/>
                <w:sz w:val="21"/>
                <w:szCs w:val="21"/>
              </w:rPr>
              <w:t xml:space="preserve">-4.49 </w:t>
            </w:r>
          </w:p>
        </w:tc>
        <w:tc>
          <w:tcPr>
            <w:tcW w:w="352" w:type="pct"/>
            <w:vAlign w:val="bottom"/>
          </w:tcPr>
          <w:p>
            <w:pPr>
              <w:spacing w:line="312" w:lineRule="exact"/>
              <w:ind w:firstLine="0" w:firstLineChars="0"/>
              <w:jc w:val="center"/>
              <w:rPr>
                <w:bCs/>
                <w:color w:val="auto"/>
                <w:sz w:val="21"/>
                <w:szCs w:val="21"/>
              </w:rPr>
            </w:pPr>
            <w:r>
              <w:rPr>
                <w:bCs/>
                <w:color w:val="auto"/>
                <w:sz w:val="21"/>
                <w:szCs w:val="21"/>
              </w:rPr>
              <w:t xml:space="preserve">0.88 </w:t>
            </w:r>
          </w:p>
        </w:tc>
        <w:tc>
          <w:tcPr>
            <w:tcW w:w="352" w:type="pct"/>
            <w:vAlign w:val="bottom"/>
          </w:tcPr>
          <w:p>
            <w:pPr>
              <w:spacing w:line="312" w:lineRule="exact"/>
              <w:ind w:firstLine="0" w:firstLineChars="0"/>
              <w:jc w:val="center"/>
              <w:rPr>
                <w:bCs/>
                <w:color w:val="auto"/>
                <w:sz w:val="21"/>
                <w:szCs w:val="21"/>
              </w:rPr>
            </w:pPr>
            <w:r>
              <w:rPr>
                <w:bCs/>
                <w:color w:val="auto"/>
                <w:sz w:val="21"/>
                <w:szCs w:val="21"/>
              </w:rPr>
              <w:t xml:space="preserve">8.14 </w:t>
            </w:r>
          </w:p>
        </w:tc>
        <w:tc>
          <w:tcPr>
            <w:tcW w:w="400" w:type="pct"/>
            <w:vAlign w:val="bottom"/>
          </w:tcPr>
          <w:p>
            <w:pPr>
              <w:spacing w:line="312" w:lineRule="exact"/>
              <w:ind w:firstLine="0" w:firstLineChars="0"/>
              <w:jc w:val="center"/>
              <w:rPr>
                <w:bCs/>
                <w:color w:val="auto"/>
                <w:sz w:val="21"/>
                <w:szCs w:val="21"/>
              </w:rPr>
            </w:pPr>
            <w:r>
              <w:rPr>
                <w:bCs/>
                <w:color w:val="auto"/>
                <w:sz w:val="21"/>
                <w:szCs w:val="21"/>
              </w:rPr>
              <w:t xml:space="preserve">14.36 </w:t>
            </w:r>
          </w:p>
        </w:tc>
        <w:tc>
          <w:tcPr>
            <w:tcW w:w="400" w:type="pct"/>
            <w:vAlign w:val="bottom"/>
          </w:tcPr>
          <w:p>
            <w:pPr>
              <w:spacing w:line="312" w:lineRule="exact"/>
              <w:ind w:firstLine="0" w:firstLineChars="0"/>
              <w:jc w:val="center"/>
              <w:rPr>
                <w:bCs/>
                <w:color w:val="auto"/>
                <w:sz w:val="21"/>
                <w:szCs w:val="21"/>
              </w:rPr>
            </w:pPr>
            <w:r>
              <w:rPr>
                <w:bCs/>
                <w:color w:val="auto"/>
                <w:sz w:val="21"/>
                <w:szCs w:val="21"/>
              </w:rPr>
              <w:t xml:space="preserve">20.32 </w:t>
            </w:r>
          </w:p>
        </w:tc>
        <w:tc>
          <w:tcPr>
            <w:tcW w:w="400" w:type="pct"/>
            <w:vAlign w:val="bottom"/>
          </w:tcPr>
          <w:p>
            <w:pPr>
              <w:spacing w:line="312" w:lineRule="exact"/>
              <w:ind w:firstLine="0" w:firstLineChars="0"/>
              <w:jc w:val="center"/>
              <w:rPr>
                <w:bCs/>
                <w:color w:val="auto"/>
                <w:sz w:val="21"/>
                <w:szCs w:val="21"/>
              </w:rPr>
            </w:pPr>
            <w:r>
              <w:rPr>
                <w:bCs/>
                <w:color w:val="auto"/>
                <w:sz w:val="21"/>
                <w:szCs w:val="21"/>
              </w:rPr>
              <w:t xml:space="preserve">26.06 </w:t>
            </w:r>
          </w:p>
        </w:tc>
        <w:tc>
          <w:tcPr>
            <w:tcW w:w="400" w:type="pct"/>
            <w:vAlign w:val="bottom"/>
          </w:tcPr>
          <w:p>
            <w:pPr>
              <w:spacing w:line="312" w:lineRule="exact"/>
              <w:ind w:firstLine="0" w:firstLineChars="0"/>
              <w:jc w:val="center"/>
              <w:rPr>
                <w:bCs/>
                <w:color w:val="auto"/>
                <w:sz w:val="21"/>
                <w:szCs w:val="21"/>
              </w:rPr>
            </w:pPr>
            <w:r>
              <w:rPr>
                <w:bCs/>
                <w:color w:val="auto"/>
                <w:sz w:val="21"/>
                <w:szCs w:val="21"/>
              </w:rPr>
              <w:t xml:space="preserve">27.05 </w:t>
            </w:r>
          </w:p>
        </w:tc>
        <w:tc>
          <w:tcPr>
            <w:tcW w:w="399" w:type="pct"/>
            <w:vAlign w:val="bottom"/>
          </w:tcPr>
          <w:p>
            <w:pPr>
              <w:spacing w:line="312" w:lineRule="exact"/>
              <w:ind w:firstLine="0" w:firstLineChars="0"/>
              <w:jc w:val="center"/>
              <w:rPr>
                <w:bCs/>
                <w:color w:val="auto"/>
                <w:sz w:val="21"/>
                <w:szCs w:val="21"/>
              </w:rPr>
            </w:pPr>
            <w:r>
              <w:rPr>
                <w:bCs/>
                <w:color w:val="auto"/>
                <w:sz w:val="21"/>
                <w:szCs w:val="21"/>
              </w:rPr>
              <w:t xml:space="preserve">25.09 </w:t>
            </w:r>
          </w:p>
        </w:tc>
        <w:tc>
          <w:tcPr>
            <w:tcW w:w="400" w:type="pct"/>
            <w:vAlign w:val="bottom"/>
          </w:tcPr>
          <w:p>
            <w:pPr>
              <w:spacing w:line="312" w:lineRule="exact"/>
              <w:ind w:firstLine="0" w:firstLineChars="0"/>
              <w:jc w:val="center"/>
              <w:rPr>
                <w:bCs/>
                <w:color w:val="auto"/>
                <w:sz w:val="21"/>
                <w:szCs w:val="21"/>
              </w:rPr>
            </w:pPr>
            <w:r>
              <w:rPr>
                <w:bCs/>
                <w:color w:val="auto"/>
                <w:sz w:val="21"/>
                <w:szCs w:val="21"/>
              </w:rPr>
              <w:t xml:space="preserve">19.40 </w:t>
            </w:r>
          </w:p>
        </w:tc>
        <w:tc>
          <w:tcPr>
            <w:tcW w:w="400" w:type="pct"/>
            <w:vAlign w:val="bottom"/>
          </w:tcPr>
          <w:p>
            <w:pPr>
              <w:spacing w:line="312" w:lineRule="exact"/>
              <w:ind w:firstLine="0" w:firstLineChars="0"/>
              <w:jc w:val="center"/>
              <w:rPr>
                <w:bCs/>
                <w:color w:val="auto"/>
                <w:sz w:val="21"/>
                <w:szCs w:val="21"/>
              </w:rPr>
            </w:pPr>
            <w:r>
              <w:rPr>
                <w:bCs/>
                <w:color w:val="auto"/>
                <w:sz w:val="21"/>
                <w:szCs w:val="21"/>
              </w:rPr>
              <w:t xml:space="preserve">14.66 </w:t>
            </w:r>
          </w:p>
        </w:tc>
        <w:tc>
          <w:tcPr>
            <w:tcW w:w="352" w:type="pct"/>
            <w:vAlign w:val="bottom"/>
          </w:tcPr>
          <w:p>
            <w:pPr>
              <w:spacing w:line="312" w:lineRule="exact"/>
              <w:ind w:firstLine="0" w:firstLineChars="0"/>
              <w:jc w:val="center"/>
              <w:rPr>
                <w:bCs/>
                <w:color w:val="auto"/>
                <w:sz w:val="21"/>
                <w:szCs w:val="21"/>
              </w:rPr>
            </w:pPr>
            <w:r>
              <w:rPr>
                <w:bCs/>
                <w:color w:val="auto"/>
                <w:sz w:val="21"/>
                <w:szCs w:val="21"/>
              </w:rPr>
              <w:t xml:space="preserve">8.69 </w:t>
            </w:r>
          </w:p>
        </w:tc>
        <w:tc>
          <w:tcPr>
            <w:tcW w:w="379" w:type="pct"/>
            <w:vAlign w:val="bottom"/>
          </w:tcPr>
          <w:p>
            <w:pPr>
              <w:spacing w:line="312" w:lineRule="exact"/>
              <w:ind w:firstLine="0" w:firstLineChars="0"/>
              <w:jc w:val="center"/>
              <w:rPr>
                <w:bCs/>
                <w:color w:val="auto"/>
                <w:sz w:val="21"/>
                <w:szCs w:val="21"/>
              </w:rPr>
            </w:pPr>
            <w:r>
              <w:rPr>
                <w:bCs/>
                <w:color w:val="auto"/>
                <w:sz w:val="21"/>
                <w:szCs w:val="21"/>
              </w:rPr>
              <w:t xml:space="preserve">-0.30 </w:t>
            </w:r>
          </w:p>
        </w:tc>
      </w:tr>
    </w:tbl>
    <w:p>
      <w:pPr>
        <w:spacing w:line="360" w:lineRule="auto"/>
        <w:ind w:left="0" w:leftChars="0" w:firstLine="0" w:firstLineChars="0"/>
        <w:jc w:val="center"/>
        <w:rPr>
          <w:bCs/>
          <w:color w:val="auto"/>
          <w:szCs w:val="24"/>
        </w:rPr>
      </w:pPr>
      <w:r>
        <w:rPr>
          <w:bCs/>
          <w:color w:val="auto"/>
          <w:szCs w:val="24"/>
        </w:rPr>
        <w:drawing>
          <wp:inline distT="0" distB="0" distL="114300" distR="114300">
            <wp:extent cx="5194300" cy="2039620"/>
            <wp:effectExtent l="0" t="0" r="6350" b="17780"/>
            <wp:docPr id="25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30"/>
                    <pic:cNvPicPr>
                      <a:picLocks noChangeAspect="1"/>
                    </pic:cNvPicPr>
                  </pic:nvPicPr>
                  <pic:blipFill>
                    <a:blip r:embed="rId113" cstate="print"/>
                    <a:stretch>
                      <a:fillRect/>
                    </a:stretch>
                  </pic:blipFill>
                  <pic:spPr>
                    <a:xfrm>
                      <a:off x="0" y="0"/>
                      <a:ext cx="5194300" cy="2039620"/>
                    </a:xfrm>
                    <a:prstGeom prst="rect">
                      <a:avLst/>
                    </a:prstGeom>
                    <a:noFill/>
                    <a:ln w="9525">
                      <a:noFill/>
                    </a:ln>
                  </pic:spPr>
                </pic:pic>
              </a:graphicData>
            </a:graphic>
          </wp:inline>
        </w:drawing>
      </w:r>
    </w:p>
    <w:p>
      <w:pPr>
        <w:spacing w:line="360" w:lineRule="auto"/>
        <w:ind w:firstLine="420"/>
        <w:jc w:val="center"/>
        <w:rPr>
          <w:rFonts w:eastAsia="黑体"/>
          <w:bCs/>
          <w:color w:val="auto"/>
          <w:szCs w:val="21"/>
        </w:rPr>
      </w:pPr>
      <w:r>
        <w:rPr>
          <w:rFonts w:eastAsia="黑体"/>
          <w:bCs/>
          <w:color w:val="auto"/>
          <w:sz w:val="21"/>
          <w:szCs w:val="22"/>
        </w:rPr>
        <w:t>图6.1-5  201</w:t>
      </w:r>
      <w:r>
        <w:rPr>
          <w:rFonts w:hint="eastAsia" w:eastAsia="黑体"/>
          <w:bCs/>
          <w:color w:val="auto"/>
          <w:sz w:val="21"/>
          <w:szCs w:val="22"/>
          <w:lang w:val="en-US" w:eastAsia="zh-CN"/>
        </w:rPr>
        <w:t>9</w:t>
      </w:r>
      <w:r>
        <w:rPr>
          <w:rFonts w:eastAsia="黑体"/>
          <w:bCs/>
          <w:color w:val="auto"/>
          <w:sz w:val="21"/>
          <w:szCs w:val="22"/>
        </w:rPr>
        <w:t>年</w:t>
      </w:r>
      <w:r>
        <w:rPr>
          <w:rFonts w:hint="eastAsia" w:eastAsia="黑体"/>
          <w:bCs/>
          <w:color w:val="auto"/>
          <w:sz w:val="21"/>
          <w:szCs w:val="22"/>
          <w:lang w:eastAsia="zh-CN"/>
        </w:rPr>
        <w:t>张店</w:t>
      </w:r>
      <w:r>
        <w:rPr>
          <w:rFonts w:eastAsia="黑体"/>
          <w:bCs/>
          <w:color w:val="auto"/>
          <w:sz w:val="21"/>
          <w:szCs w:val="22"/>
        </w:rPr>
        <w:t>年平均温度月变化曲线</w:t>
      </w:r>
    </w:p>
    <w:p>
      <w:pPr>
        <w:ind w:firstLine="482"/>
        <w:rPr>
          <w:b/>
          <w:bCs/>
          <w:color w:val="auto"/>
        </w:rPr>
      </w:pPr>
      <w:r>
        <w:rPr>
          <w:b/>
          <w:bCs/>
          <w:color w:val="auto"/>
        </w:rPr>
        <w:t>2、高空气象参数</w:t>
      </w:r>
    </w:p>
    <w:p>
      <w:pPr>
        <w:ind w:firstLine="480"/>
        <w:rPr>
          <w:color w:val="auto"/>
        </w:rPr>
      </w:pPr>
      <w:r>
        <w:rPr>
          <w:color w:val="auto"/>
        </w:rPr>
        <w:t>本次预测采用的探空气象资料由mm5v3中尺度数值模拟格点数据提取而来。客观分析订正采用中国气象局MICAPS3.0格式地面和高空资料。垂直方向上共50层，其中5000m下23层，近地面1700m下17层，包括各层温度、风向及风速等数据。高空气象模拟数据由中国气象局下发各省局mm5v3系统提供。WRF系统原始气象数据采用美国国家环境预报中心的NCEP/NCAR的再分析数据并用2017年全国MICAPS格式地面站和高空站观测资料订正。</w:t>
      </w:r>
    </w:p>
    <w:p>
      <w:pPr>
        <w:ind w:firstLine="480"/>
        <w:rPr>
          <w:color w:val="auto"/>
        </w:rPr>
      </w:pPr>
      <w:r>
        <w:rPr>
          <w:color w:val="auto"/>
        </w:rPr>
        <w:t>网格嵌套方案—mm5v3模式四层嵌套</w:t>
      </w:r>
      <w:r>
        <w:rPr>
          <w:rFonts w:hint="eastAsia"/>
          <w:color w:val="auto"/>
        </w:rPr>
        <w:t>（</w:t>
      </w:r>
      <w:r>
        <w:rPr>
          <w:color w:val="auto"/>
        </w:rPr>
        <w:t>外层81km、最内层3km</w:t>
      </w:r>
      <w:r>
        <w:rPr>
          <w:rFonts w:hint="eastAsia"/>
          <w:color w:val="auto"/>
        </w:rPr>
        <w:t>）</w:t>
      </w:r>
      <w:r>
        <w:rPr>
          <w:color w:val="auto"/>
        </w:rPr>
        <w:t>。其中mm5物理过程选项—湿微物理过程参数化，边界层物理过程参数化。其中边界层物理过程参数化使用Mellor&amp;Yamada的level 2.5闭合方案和MRF方案。水平分辨率达到或超过10km的外重嵌套网格，必选积云参数化；水平分辨率小于10km的网格，不选积云参数化方案。物理过程参数化：云辐射参数化，陆面过程，浅对流，土壤温度模式等等。</w:t>
      </w:r>
    </w:p>
    <w:p>
      <w:pPr>
        <w:ind w:firstLine="480"/>
        <w:rPr>
          <w:color w:val="auto"/>
        </w:rPr>
      </w:pPr>
      <w:r>
        <w:rPr>
          <w:color w:val="auto"/>
        </w:rPr>
        <w:t>每次模拟36h的数据，输出每小时的数据文件，取13-36h的数据作为当天的高空数据文件，并把数据处理为国家评估中心要求的mm5v3的气象预处理程序AERMET可用的美国气象观测站通用RAO格式的文件。主要包含的项目有时间、探空数据层数、气压、高度、干球温度、露点温度、风速、风向等。</w:t>
      </w:r>
    </w:p>
    <w:p>
      <w:pPr>
        <w:ind w:firstLine="482"/>
        <w:rPr>
          <w:b/>
          <w:bCs/>
          <w:color w:val="auto"/>
        </w:rPr>
      </w:pPr>
      <w:r>
        <w:rPr>
          <w:b/>
          <w:bCs/>
          <w:color w:val="auto"/>
        </w:rPr>
        <w:t>3、地形参数</w:t>
      </w:r>
    </w:p>
    <w:p>
      <w:pPr>
        <w:ind w:firstLine="480"/>
        <w:rPr>
          <w:color w:val="auto"/>
        </w:rPr>
      </w:pPr>
      <w:r>
        <w:rPr>
          <w:color w:val="auto"/>
        </w:rPr>
        <w:t>根据导则要求，本次预测计算考虑输入区域地形数据，所用地形数据为SRTM DEM UTM90m分辨率数字高程数据。本次预测地形高程数据采用软件所需的数字高程（DEM）文件，覆盖范围包含本次评价范围。</w:t>
      </w:r>
    </w:p>
    <w:p>
      <w:pPr>
        <w:ind w:firstLine="482"/>
        <w:rPr>
          <w:b/>
          <w:bCs/>
          <w:color w:val="auto"/>
        </w:rPr>
      </w:pPr>
      <w:r>
        <w:rPr>
          <w:b/>
          <w:bCs/>
          <w:color w:val="auto"/>
        </w:rPr>
        <w:t>4、地表参数</w:t>
      </w:r>
    </w:p>
    <w:p>
      <w:pPr>
        <w:ind w:firstLine="480"/>
        <w:rPr>
          <w:rFonts w:eastAsia="黑体"/>
          <w:color w:val="auto"/>
          <w:sz w:val="21"/>
          <w:szCs w:val="16"/>
        </w:rPr>
      </w:pPr>
      <w:r>
        <w:rPr>
          <w:color w:val="auto"/>
        </w:rPr>
        <w:t>根据中国干湿地区划分，项目所在属于半湿润地区。本次预测采用AERSURFACE直接读取可识别的土地利用数据文件。</w:t>
      </w:r>
    </w:p>
    <w:p>
      <w:pPr>
        <w:ind w:firstLine="0" w:firstLineChars="0"/>
        <w:jc w:val="center"/>
        <w:rPr>
          <w:rFonts w:eastAsia="黑体"/>
          <w:color w:val="auto"/>
          <w:sz w:val="21"/>
          <w:szCs w:val="16"/>
        </w:rPr>
      </w:pPr>
      <w:r>
        <w:rPr>
          <w:rFonts w:eastAsia="黑体"/>
          <w:color w:val="auto"/>
          <w:sz w:val="21"/>
          <w:szCs w:val="16"/>
        </w:rPr>
        <w:t>表</w:t>
      </w:r>
      <w:r>
        <w:rPr>
          <w:rFonts w:hint="eastAsia" w:eastAsia="黑体"/>
          <w:color w:val="auto"/>
          <w:sz w:val="21"/>
          <w:szCs w:val="16"/>
          <w:lang w:val="en-US" w:eastAsia="zh-CN"/>
        </w:rPr>
        <w:t>5</w:t>
      </w:r>
      <w:r>
        <w:rPr>
          <w:rFonts w:eastAsia="黑体"/>
          <w:color w:val="auto"/>
          <w:sz w:val="21"/>
          <w:szCs w:val="16"/>
        </w:rPr>
        <w:t>.1-</w:t>
      </w:r>
      <w:r>
        <w:rPr>
          <w:rFonts w:hint="eastAsia" w:eastAsia="黑体"/>
          <w:color w:val="auto"/>
          <w:sz w:val="21"/>
          <w:szCs w:val="16"/>
        </w:rPr>
        <w:t>2</w:t>
      </w:r>
      <w:r>
        <w:rPr>
          <w:rFonts w:hint="eastAsia" w:eastAsia="黑体"/>
          <w:color w:val="auto"/>
          <w:sz w:val="21"/>
          <w:szCs w:val="16"/>
          <w:lang w:val="en-US" w:eastAsia="zh-CN"/>
        </w:rPr>
        <w:t>2</w:t>
      </w:r>
      <w:r>
        <w:rPr>
          <w:rFonts w:eastAsia="黑体"/>
          <w:color w:val="auto"/>
          <w:sz w:val="21"/>
          <w:szCs w:val="16"/>
        </w:rPr>
        <w:t xml:space="preserve">  模式参数选择</w:t>
      </w:r>
    </w:p>
    <w:tbl>
      <w:tblPr>
        <w:tblStyle w:val="2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16"/>
        <w:gridCol w:w="819"/>
        <w:gridCol w:w="2313"/>
        <w:gridCol w:w="1473"/>
        <w:gridCol w:w="1488"/>
        <w:gridCol w:w="14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4" w:type="pct"/>
            <w:vAlign w:val="center"/>
          </w:tcPr>
          <w:p>
            <w:pPr>
              <w:spacing w:line="312" w:lineRule="exact"/>
              <w:ind w:firstLine="0" w:firstLineChars="0"/>
              <w:jc w:val="center"/>
              <w:rPr>
                <w:color w:val="auto"/>
                <w:sz w:val="21"/>
                <w:szCs w:val="21"/>
              </w:rPr>
            </w:pPr>
            <w:r>
              <w:rPr>
                <w:color w:val="auto"/>
                <w:sz w:val="21"/>
                <w:szCs w:val="21"/>
              </w:rPr>
              <w:t>地面特征参数</w:t>
            </w:r>
          </w:p>
        </w:tc>
        <w:tc>
          <w:tcPr>
            <w:tcW w:w="441" w:type="pct"/>
            <w:vAlign w:val="center"/>
          </w:tcPr>
          <w:p>
            <w:pPr>
              <w:spacing w:line="312" w:lineRule="exact"/>
              <w:ind w:firstLine="0" w:firstLineChars="0"/>
              <w:jc w:val="center"/>
              <w:rPr>
                <w:color w:val="auto"/>
                <w:sz w:val="21"/>
                <w:szCs w:val="21"/>
              </w:rPr>
            </w:pPr>
            <w:r>
              <w:rPr>
                <w:color w:val="auto"/>
                <w:sz w:val="21"/>
                <w:szCs w:val="21"/>
              </w:rPr>
              <w:t>扇形</w:t>
            </w:r>
          </w:p>
        </w:tc>
        <w:tc>
          <w:tcPr>
            <w:tcW w:w="1245" w:type="pct"/>
            <w:vAlign w:val="center"/>
          </w:tcPr>
          <w:p>
            <w:pPr>
              <w:spacing w:line="312" w:lineRule="exact"/>
              <w:ind w:firstLine="0" w:firstLineChars="0"/>
              <w:jc w:val="center"/>
              <w:rPr>
                <w:color w:val="auto"/>
                <w:sz w:val="21"/>
                <w:szCs w:val="21"/>
              </w:rPr>
            </w:pPr>
            <w:r>
              <w:rPr>
                <w:color w:val="auto"/>
                <w:sz w:val="21"/>
                <w:szCs w:val="21"/>
              </w:rPr>
              <w:t>时段</w:t>
            </w:r>
          </w:p>
        </w:tc>
        <w:tc>
          <w:tcPr>
            <w:tcW w:w="793" w:type="pct"/>
            <w:vAlign w:val="center"/>
          </w:tcPr>
          <w:p>
            <w:pPr>
              <w:spacing w:line="312" w:lineRule="exact"/>
              <w:ind w:firstLine="0" w:firstLineChars="0"/>
              <w:jc w:val="center"/>
              <w:rPr>
                <w:color w:val="auto"/>
                <w:sz w:val="21"/>
                <w:szCs w:val="21"/>
              </w:rPr>
            </w:pPr>
            <w:r>
              <w:rPr>
                <w:color w:val="auto"/>
                <w:sz w:val="21"/>
                <w:szCs w:val="21"/>
              </w:rPr>
              <w:t>地表反照率</w:t>
            </w:r>
          </w:p>
        </w:tc>
        <w:tc>
          <w:tcPr>
            <w:tcW w:w="801" w:type="pct"/>
            <w:vAlign w:val="center"/>
          </w:tcPr>
          <w:p>
            <w:pPr>
              <w:spacing w:line="312" w:lineRule="exact"/>
              <w:ind w:firstLine="0" w:firstLineChars="0"/>
              <w:jc w:val="center"/>
              <w:rPr>
                <w:color w:val="auto"/>
                <w:sz w:val="21"/>
                <w:szCs w:val="21"/>
              </w:rPr>
            </w:pPr>
            <w:r>
              <w:rPr>
                <w:color w:val="auto"/>
                <w:sz w:val="21"/>
                <w:szCs w:val="21"/>
              </w:rPr>
              <w:t>BOWEN率</w:t>
            </w:r>
          </w:p>
        </w:tc>
        <w:tc>
          <w:tcPr>
            <w:tcW w:w="793" w:type="pct"/>
            <w:vAlign w:val="center"/>
          </w:tcPr>
          <w:p>
            <w:pPr>
              <w:spacing w:line="312" w:lineRule="exact"/>
              <w:ind w:firstLine="0" w:firstLineChars="0"/>
              <w:jc w:val="center"/>
              <w:rPr>
                <w:color w:val="auto"/>
                <w:sz w:val="21"/>
                <w:szCs w:val="21"/>
              </w:rPr>
            </w:pPr>
            <w:r>
              <w:rPr>
                <w:color w:val="auto"/>
                <w:sz w:val="21"/>
                <w:szCs w:val="21"/>
              </w:rPr>
              <w:t>地表粗糙度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4" w:type="pct"/>
            <w:vMerge w:val="restart"/>
            <w:vAlign w:val="center"/>
          </w:tcPr>
          <w:p>
            <w:pPr>
              <w:spacing w:line="312" w:lineRule="exact"/>
              <w:ind w:firstLine="0" w:firstLineChars="0"/>
              <w:jc w:val="center"/>
              <w:rPr>
                <w:color w:val="auto"/>
                <w:sz w:val="21"/>
                <w:szCs w:val="21"/>
              </w:rPr>
            </w:pPr>
            <w:r>
              <w:rPr>
                <w:color w:val="auto"/>
                <w:sz w:val="21"/>
                <w:szCs w:val="21"/>
              </w:rPr>
              <w:t>数值</w:t>
            </w:r>
          </w:p>
        </w:tc>
        <w:tc>
          <w:tcPr>
            <w:tcW w:w="441" w:type="pct"/>
            <w:vAlign w:val="center"/>
          </w:tcPr>
          <w:p>
            <w:pPr>
              <w:spacing w:line="312" w:lineRule="exact"/>
              <w:ind w:firstLine="0" w:firstLineChars="0"/>
              <w:jc w:val="center"/>
              <w:rPr>
                <w:color w:val="auto"/>
                <w:sz w:val="21"/>
                <w:szCs w:val="21"/>
              </w:rPr>
            </w:pPr>
            <w:r>
              <w:rPr>
                <w:color w:val="auto"/>
                <w:sz w:val="21"/>
                <w:szCs w:val="21"/>
              </w:rPr>
              <w:t>0-360</w:t>
            </w:r>
          </w:p>
        </w:tc>
        <w:tc>
          <w:tcPr>
            <w:tcW w:w="1245" w:type="pct"/>
            <w:vAlign w:val="center"/>
          </w:tcPr>
          <w:p>
            <w:pPr>
              <w:spacing w:line="312" w:lineRule="exact"/>
              <w:ind w:firstLine="0" w:firstLineChars="0"/>
              <w:jc w:val="center"/>
              <w:rPr>
                <w:color w:val="auto"/>
                <w:sz w:val="21"/>
                <w:szCs w:val="21"/>
              </w:rPr>
            </w:pPr>
            <w:r>
              <w:rPr>
                <w:color w:val="auto"/>
                <w:sz w:val="21"/>
                <w:szCs w:val="21"/>
              </w:rPr>
              <w:t>冬季（12、1、2）</w:t>
            </w:r>
          </w:p>
        </w:tc>
        <w:tc>
          <w:tcPr>
            <w:tcW w:w="793" w:type="pct"/>
            <w:vAlign w:val="center"/>
          </w:tcPr>
          <w:p>
            <w:pPr>
              <w:spacing w:line="312" w:lineRule="exact"/>
              <w:ind w:firstLine="0" w:firstLineChars="0"/>
              <w:jc w:val="center"/>
              <w:rPr>
                <w:color w:val="auto"/>
                <w:sz w:val="21"/>
                <w:szCs w:val="21"/>
              </w:rPr>
            </w:pPr>
            <w:r>
              <w:rPr>
                <w:color w:val="auto"/>
                <w:sz w:val="21"/>
                <w:szCs w:val="21"/>
              </w:rPr>
              <w:t>0.6</w:t>
            </w:r>
          </w:p>
        </w:tc>
        <w:tc>
          <w:tcPr>
            <w:tcW w:w="801" w:type="pct"/>
            <w:vAlign w:val="center"/>
          </w:tcPr>
          <w:p>
            <w:pPr>
              <w:spacing w:line="312" w:lineRule="exact"/>
              <w:ind w:firstLine="0" w:firstLineChars="0"/>
              <w:jc w:val="center"/>
              <w:rPr>
                <w:color w:val="auto"/>
                <w:sz w:val="21"/>
                <w:szCs w:val="21"/>
              </w:rPr>
            </w:pPr>
            <w:r>
              <w:rPr>
                <w:color w:val="auto"/>
                <w:sz w:val="21"/>
                <w:szCs w:val="21"/>
              </w:rPr>
              <w:t>1.5</w:t>
            </w:r>
          </w:p>
        </w:tc>
        <w:tc>
          <w:tcPr>
            <w:tcW w:w="793" w:type="pct"/>
            <w:vAlign w:val="center"/>
          </w:tcPr>
          <w:p>
            <w:pPr>
              <w:spacing w:line="312" w:lineRule="exact"/>
              <w:ind w:firstLine="0" w:firstLineChars="0"/>
              <w:jc w:val="center"/>
              <w:rPr>
                <w:color w:val="auto"/>
                <w:sz w:val="21"/>
                <w:szCs w:val="21"/>
              </w:rPr>
            </w:pPr>
            <w:r>
              <w:rPr>
                <w:color w:val="auto"/>
                <w:sz w:val="21"/>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4" w:type="pct"/>
            <w:vMerge w:val="continue"/>
            <w:vAlign w:val="center"/>
          </w:tcPr>
          <w:p>
            <w:pPr>
              <w:spacing w:line="312" w:lineRule="exact"/>
              <w:ind w:firstLine="0" w:firstLineChars="0"/>
              <w:jc w:val="center"/>
              <w:rPr>
                <w:color w:val="auto"/>
                <w:sz w:val="21"/>
                <w:szCs w:val="21"/>
              </w:rPr>
            </w:pPr>
          </w:p>
        </w:tc>
        <w:tc>
          <w:tcPr>
            <w:tcW w:w="441" w:type="pct"/>
            <w:vAlign w:val="center"/>
          </w:tcPr>
          <w:p>
            <w:pPr>
              <w:spacing w:line="312" w:lineRule="exact"/>
              <w:ind w:firstLine="0" w:firstLineChars="0"/>
              <w:jc w:val="center"/>
              <w:rPr>
                <w:color w:val="auto"/>
                <w:sz w:val="21"/>
                <w:szCs w:val="21"/>
              </w:rPr>
            </w:pPr>
            <w:r>
              <w:rPr>
                <w:color w:val="auto"/>
                <w:sz w:val="21"/>
                <w:szCs w:val="21"/>
              </w:rPr>
              <w:t>0-360</w:t>
            </w:r>
          </w:p>
        </w:tc>
        <w:tc>
          <w:tcPr>
            <w:tcW w:w="1245" w:type="pct"/>
            <w:vAlign w:val="center"/>
          </w:tcPr>
          <w:p>
            <w:pPr>
              <w:spacing w:line="312" w:lineRule="exact"/>
              <w:ind w:firstLine="0" w:firstLineChars="0"/>
              <w:jc w:val="center"/>
              <w:rPr>
                <w:color w:val="auto"/>
                <w:sz w:val="21"/>
                <w:szCs w:val="21"/>
              </w:rPr>
            </w:pPr>
            <w:r>
              <w:rPr>
                <w:color w:val="auto"/>
                <w:sz w:val="21"/>
                <w:szCs w:val="21"/>
              </w:rPr>
              <w:t>春季（3、4、5）</w:t>
            </w:r>
          </w:p>
        </w:tc>
        <w:tc>
          <w:tcPr>
            <w:tcW w:w="793" w:type="pct"/>
            <w:vAlign w:val="center"/>
          </w:tcPr>
          <w:p>
            <w:pPr>
              <w:spacing w:line="312" w:lineRule="exact"/>
              <w:ind w:firstLine="0" w:firstLineChars="0"/>
              <w:jc w:val="center"/>
              <w:rPr>
                <w:color w:val="auto"/>
                <w:sz w:val="21"/>
                <w:szCs w:val="21"/>
              </w:rPr>
            </w:pPr>
            <w:r>
              <w:rPr>
                <w:color w:val="auto"/>
                <w:sz w:val="21"/>
                <w:szCs w:val="21"/>
              </w:rPr>
              <w:t>0.14</w:t>
            </w:r>
          </w:p>
        </w:tc>
        <w:tc>
          <w:tcPr>
            <w:tcW w:w="801" w:type="pct"/>
            <w:vAlign w:val="center"/>
          </w:tcPr>
          <w:p>
            <w:pPr>
              <w:spacing w:line="312" w:lineRule="exact"/>
              <w:ind w:firstLine="0" w:firstLineChars="0"/>
              <w:jc w:val="center"/>
              <w:rPr>
                <w:color w:val="auto"/>
                <w:sz w:val="21"/>
                <w:szCs w:val="21"/>
              </w:rPr>
            </w:pPr>
            <w:r>
              <w:rPr>
                <w:color w:val="auto"/>
                <w:sz w:val="21"/>
                <w:szCs w:val="21"/>
              </w:rPr>
              <w:t>0.3</w:t>
            </w:r>
          </w:p>
        </w:tc>
        <w:tc>
          <w:tcPr>
            <w:tcW w:w="793" w:type="pct"/>
            <w:vAlign w:val="center"/>
          </w:tcPr>
          <w:p>
            <w:pPr>
              <w:spacing w:line="312" w:lineRule="exact"/>
              <w:ind w:firstLine="0" w:firstLineChars="0"/>
              <w:jc w:val="center"/>
              <w:rPr>
                <w:color w:val="auto"/>
                <w:sz w:val="21"/>
                <w:szCs w:val="21"/>
              </w:rPr>
            </w:pPr>
            <w:r>
              <w:rPr>
                <w:color w:val="auto"/>
                <w:sz w:val="21"/>
                <w:szCs w:val="21"/>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4" w:type="pct"/>
            <w:vMerge w:val="continue"/>
            <w:vAlign w:val="center"/>
          </w:tcPr>
          <w:p>
            <w:pPr>
              <w:spacing w:line="312" w:lineRule="exact"/>
              <w:ind w:firstLine="0" w:firstLineChars="0"/>
              <w:jc w:val="center"/>
              <w:rPr>
                <w:color w:val="auto"/>
                <w:sz w:val="21"/>
                <w:szCs w:val="21"/>
              </w:rPr>
            </w:pPr>
          </w:p>
        </w:tc>
        <w:tc>
          <w:tcPr>
            <w:tcW w:w="441" w:type="pct"/>
            <w:vAlign w:val="center"/>
          </w:tcPr>
          <w:p>
            <w:pPr>
              <w:spacing w:line="312" w:lineRule="exact"/>
              <w:ind w:firstLine="0" w:firstLineChars="0"/>
              <w:jc w:val="center"/>
              <w:rPr>
                <w:color w:val="auto"/>
                <w:sz w:val="21"/>
                <w:szCs w:val="21"/>
              </w:rPr>
            </w:pPr>
            <w:r>
              <w:rPr>
                <w:color w:val="auto"/>
                <w:sz w:val="21"/>
                <w:szCs w:val="21"/>
              </w:rPr>
              <w:t>0-360</w:t>
            </w:r>
          </w:p>
        </w:tc>
        <w:tc>
          <w:tcPr>
            <w:tcW w:w="1245" w:type="pct"/>
            <w:vAlign w:val="center"/>
          </w:tcPr>
          <w:p>
            <w:pPr>
              <w:spacing w:line="312" w:lineRule="exact"/>
              <w:ind w:firstLine="0" w:firstLineChars="0"/>
              <w:jc w:val="center"/>
              <w:rPr>
                <w:color w:val="auto"/>
                <w:sz w:val="21"/>
                <w:szCs w:val="21"/>
              </w:rPr>
            </w:pPr>
            <w:r>
              <w:rPr>
                <w:color w:val="auto"/>
                <w:sz w:val="21"/>
                <w:szCs w:val="21"/>
              </w:rPr>
              <w:t>夏季（6、7、8）</w:t>
            </w:r>
          </w:p>
        </w:tc>
        <w:tc>
          <w:tcPr>
            <w:tcW w:w="793" w:type="pct"/>
            <w:vAlign w:val="center"/>
          </w:tcPr>
          <w:p>
            <w:pPr>
              <w:spacing w:line="312" w:lineRule="exact"/>
              <w:ind w:firstLine="0" w:firstLineChars="0"/>
              <w:jc w:val="center"/>
              <w:rPr>
                <w:color w:val="auto"/>
                <w:sz w:val="21"/>
                <w:szCs w:val="21"/>
              </w:rPr>
            </w:pPr>
            <w:r>
              <w:rPr>
                <w:color w:val="auto"/>
                <w:sz w:val="21"/>
                <w:szCs w:val="21"/>
              </w:rPr>
              <w:t>0.2</w:t>
            </w:r>
          </w:p>
        </w:tc>
        <w:tc>
          <w:tcPr>
            <w:tcW w:w="801" w:type="pct"/>
            <w:vAlign w:val="center"/>
          </w:tcPr>
          <w:p>
            <w:pPr>
              <w:spacing w:line="312" w:lineRule="exact"/>
              <w:ind w:firstLine="0" w:firstLineChars="0"/>
              <w:jc w:val="center"/>
              <w:rPr>
                <w:color w:val="auto"/>
                <w:sz w:val="21"/>
                <w:szCs w:val="21"/>
              </w:rPr>
            </w:pPr>
            <w:r>
              <w:rPr>
                <w:color w:val="auto"/>
                <w:sz w:val="21"/>
                <w:szCs w:val="21"/>
              </w:rPr>
              <w:t>0.5</w:t>
            </w:r>
          </w:p>
        </w:tc>
        <w:tc>
          <w:tcPr>
            <w:tcW w:w="793" w:type="pct"/>
            <w:vAlign w:val="center"/>
          </w:tcPr>
          <w:p>
            <w:pPr>
              <w:spacing w:line="312" w:lineRule="exact"/>
              <w:ind w:firstLine="0" w:firstLineChars="0"/>
              <w:jc w:val="center"/>
              <w:rPr>
                <w:color w:val="auto"/>
                <w:sz w:val="21"/>
                <w:szCs w:val="21"/>
              </w:rPr>
            </w:pPr>
            <w:r>
              <w:rPr>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4" w:type="pct"/>
            <w:vMerge w:val="continue"/>
            <w:vAlign w:val="center"/>
          </w:tcPr>
          <w:p>
            <w:pPr>
              <w:spacing w:line="312" w:lineRule="exact"/>
              <w:ind w:firstLine="0" w:firstLineChars="0"/>
              <w:jc w:val="center"/>
              <w:rPr>
                <w:color w:val="auto"/>
                <w:sz w:val="21"/>
                <w:szCs w:val="21"/>
              </w:rPr>
            </w:pPr>
          </w:p>
        </w:tc>
        <w:tc>
          <w:tcPr>
            <w:tcW w:w="441" w:type="pct"/>
            <w:vAlign w:val="center"/>
          </w:tcPr>
          <w:p>
            <w:pPr>
              <w:spacing w:line="312" w:lineRule="exact"/>
              <w:ind w:firstLine="0" w:firstLineChars="0"/>
              <w:jc w:val="center"/>
              <w:rPr>
                <w:color w:val="auto"/>
                <w:sz w:val="21"/>
                <w:szCs w:val="21"/>
              </w:rPr>
            </w:pPr>
            <w:r>
              <w:rPr>
                <w:color w:val="auto"/>
                <w:sz w:val="21"/>
                <w:szCs w:val="21"/>
              </w:rPr>
              <w:t>0-360</w:t>
            </w:r>
          </w:p>
        </w:tc>
        <w:tc>
          <w:tcPr>
            <w:tcW w:w="1245" w:type="pct"/>
            <w:vAlign w:val="center"/>
          </w:tcPr>
          <w:p>
            <w:pPr>
              <w:spacing w:line="312" w:lineRule="exact"/>
              <w:ind w:firstLine="0" w:firstLineChars="0"/>
              <w:jc w:val="center"/>
              <w:rPr>
                <w:color w:val="auto"/>
                <w:sz w:val="21"/>
                <w:szCs w:val="21"/>
              </w:rPr>
            </w:pPr>
            <w:r>
              <w:rPr>
                <w:color w:val="auto"/>
                <w:sz w:val="21"/>
                <w:szCs w:val="21"/>
              </w:rPr>
              <w:t>秋季（9、10、11）</w:t>
            </w:r>
          </w:p>
        </w:tc>
        <w:tc>
          <w:tcPr>
            <w:tcW w:w="793" w:type="pct"/>
            <w:vAlign w:val="center"/>
          </w:tcPr>
          <w:p>
            <w:pPr>
              <w:spacing w:line="312" w:lineRule="exact"/>
              <w:ind w:firstLine="0" w:firstLineChars="0"/>
              <w:jc w:val="center"/>
              <w:rPr>
                <w:color w:val="auto"/>
                <w:sz w:val="21"/>
                <w:szCs w:val="21"/>
              </w:rPr>
            </w:pPr>
            <w:r>
              <w:rPr>
                <w:color w:val="auto"/>
                <w:sz w:val="21"/>
                <w:szCs w:val="21"/>
              </w:rPr>
              <w:t>0.18</w:t>
            </w:r>
          </w:p>
        </w:tc>
        <w:tc>
          <w:tcPr>
            <w:tcW w:w="801" w:type="pct"/>
            <w:vAlign w:val="center"/>
          </w:tcPr>
          <w:p>
            <w:pPr>
              <w:spacing w:line="312" w:lineRule="exact"/>
              <w:ind w:firstLine="0" w:firstLineChars="0"/>
              <w:jc w:val="center"/>
              <w:rPr>
                <w:color w:val="auto"/>
                <w:sz w:val="21"/>
                <w:szCs w:val="21"/>
              </w:rPr>
            </w:pPr>
            <w:r>
              <w:rPr>
                <w:color w:val="auto"/>
                <w:sz w:val="21"/>
                <w:szCs w:val="21"/>
              </w:rPr>
              <w:t>0.7</w:t>
            </w:r>
          </w:p>
        </w:tc>
        <w:tc>
          <w:tcPr>
            <w:tcW w:w="793" w:type="pct"/>
            <w:vAlign w:val="center"/>
          </w:tcPr>
          <w:p>
            <w:pPr>
              <w:spacing w:line="312" w:lineRule="exact"/>
              <w:ind w:firstLine="0" w:firstLineChars="0"/>
              <w:jc w:val="center"/>
              <w:rPr>
                <w:color w:val="auto"/>
                <w:sz w:val="21"/>
                <w:szCs w:val="21"/>
              </w:rPr>
            </w:pPr>
            <w:r>
              <w:rPr>
                <w:color w:val="auto"/>
                <w:sz w:val="21"/>
                <w:szCs w:val="21"/>
              </w:rPr>
              <w:t>0.05</w:t>
            </w:r>
          </w:p>
        </w:tc>
      </w:tr>
    </w:tbl>
    <w:p>
      <w:pPr>
        <w:pStyle w:val="10"/>
        <w:rPr>
          <w:color w:val="auto"/>
        </w:rPr>
      </w:pPr>
      <w:r>
        <w:rPr>
          <w:rFonts w:hint="eastAsia"/>
          <w:color w:val="auto"/>
        </w:rPr>
        <w:t>5.1.1.</w:t>
      </w:r>
      <w:r>
        <w:rPr>
          <w:rFonts w:hint="eastAsia"/>
          <w:color w:val="auto"/>
          <w:lang w:val="en-US" w:eastAsia="zh-CN"/>
        </w:rPr>
        <w:t>7</w:t>
      </w:r>
      <w:r>
        <w:rPr>
          <w:rFonts w:hint="eastAsia"/>
          <w:color w:val="auto"/>
        </w:rPr>
        <w:t>污染物排放量核算</w:t>
      </w:r>
    </w:p>
    <w:p>
      <w:pPr>
        <w:ind w:firstLine="480"/>
        <w:rPr>
          <w:color w:val="auto"/>
        </w:rPr>
      </w:pPr>
      <w:r>
        <w:rPr>
          <w:rFonts w:hint="eastAsia"/>
          <w:color w:val="auto"/>
        </w:rPr>
        <w:t>拟建项目有组织污染物排放量核算见下表：</w:t>
      </w:r>
    </w:p>
    <w:p>
      <w:pPr>
        <w:pStyle w:val="57"/>
        <w:rPr>
          <w:color w:val="auto"/>
        </w:rPr>
      </w:pPr>
      <w:r>
        <w:rPr>
          <w:rFonts w:hint="eastAsia"/>
          <w:color w:val="auto"/>
        </w:rPr>
        <w:t>表5.1-8  大气污染物有组织排放量核算表</w:t>
      </w:r>
    </w:p>
    <w:tbl>
      <w:tblPr>
        <w:tblStyle w:val="23"/>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2"/>
        <w:gridCol w:w="1316"/>
        <w:gridCol w:w="1854"/>
        <w:gridCol w:w="1854"/>
        <w:gridCol w:w="1858"/>
        <w:gridCol w:w="19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49" w:type="pct"/>
            <w:tcBorders>
              <w:tl2br w:val="nil"/>
              <w:tr2bl w:val="nil"/>
            </w:tcBorders>
            <w:vAlign w:val="center"/>
          </w:tcPr>
          <w:p>
            <w:pPr>
              <w:pStyle w:val="45"/>
              <w:rPr>
                <w:color w:val="auto"/>
              </w:rPr>
            </w:pPr>
            <w:r>
              <w:rPr>
                <w:color w:val="auto"/>
              </w:rPr>
              <w:t>序号</w:t>
            </w:r>
          </w:p>
        </w:tc>
        <w:tc>
          <w:tcPr>
            <w:tcW w:w="708" w:type="pct"/>
            <w:tcBorders>
              <w:tl2br w:val="nil"/>
              <w:tr2bl w:val="nil"/>
            </w:tcBorders>
            <w:vAlign w:val="center"/>
          </w:tcPr>
          <w:p>
            <w:pPr>
              <w:pStyle w:val="45"/>
              <w:rPr>
                <w:color w:val="auto"/>
              </w:rPr>
            </w:pPr>
            <w:r>
              <w:rPr>
                <w:color w:val="auto"/>
              </w:rPr>
              <w:t>排放口编号</w:t>
            </w:r>
          </w:p>
        </w:tc>
        <w:tc>
          <w:tcPr>
            <w:tcW w:w="999" w:type="pct"/>
            <w:tcBorders>
              <w:tl2br w:val="nil"/>
              <w:tr2bl w:val="nil"/>
            </w:tcBorders>
            <w:vAlign w:val="center"/>
          </w:tcPr>
          <w:p>
            <w:pPr>
              <w:pStyle w:val="45"/>
              <w:rPr>
                <w:color w:val="auto"/>
              </w:rPr>
            </w:pPr>
            <w:r>
              <w:rPr>
                <w:color w:val="auto"/>
              </w:rPr>
              <w:t>污染物</w:t>
            </w:r>
          </w:p>
        </w:tc>
        <w:tc>
          <w:tcPr>
            <w:tcW w:w="999" w:type="pct"/>
            <w:tcBorders>
              <w:tl2br w:val="nil"/>
              <w:tr2bl w:val="nil"/>
            </w:tcBorders>
            <w:vAlign w:val="center"/>
          </w:tcPr>
          <w:p>
            <w:pPr>
              <w:pStyle w:val="45"/>
              <w:rPr>
                <w:color w:val="auto"/>
              </w:rPr>
            </w:pPr>
            <w:r>
              <w:rPr>
                <w:color w:val="auto"/>
              </w:rPr>
              <w:t>核算排放浓度/(</w:t>
            </w:r>
            <w:r>
              <w:rPr>
                <w:rFonts w:hint="eastAsia"/>
                <w:color w:val="auto"/>
              </w:rPr>
              <w:t>μ</w:t>
            </w:r>
            <w:r>
              <w:rPr>
                <w:color w:val="auto"/>
              </w:rPr>
              <w:t>g/m</w:t>
            </w:r>
            <w:r>
              <w:rPr>
                <w:color w:val="auto"/>
                <w:vertAlign w:val="superscript"/>
              </w:rPr>
              <w:t>3</w:t>
            </w:r>
            <w:r>
              <w:rPr>
                <w:color w:val="auto"/>
              </w:rPr>
              <w:t>)</w:t>
            </w:r>
          </w:p>
        </w:tc>
        <w:tc>
          <w:tcPr>
            <w:tcW w:w="999" w:type="pct"/>
            <w:tcBorders>
              <w:tl2br w:val="nil"/>
              <w:tr2bl w:val="nil"/>
            </w:tcBorders>
            <w:vAlign w:val="center"/>
          </w:tcPr>
          <w:p>
            <w:pPr>
              <w:pStyle w:val="45"/>
              <w:rPr>
                <w:color w:val="auto"/>
              </w:rPr>
            </w:pPr>
            <w:r>
              <w:rPr>
                <w:color w:val="auto"/>
              </w:rPr>
              <w:t>核算排放速率/(kg/h)</w:t>
            </w:r>
          </w:p>
        </w:tc>
        <w:tc>
          <w:tcPr>
            <w:tcW w:w="1041" w:type="pct"/>
            <w:tcBorders>
              <w:tl2br w:val="nil"/>
              <w:tr2bl w:val="nil"/>
            </w:tcBorders>
            <w:vAlign w:val="center"/>
          </w:tcPr>
          <w:p>
            <w:pPr>
              <w:pStyle w:val="45"/>
              <w:rPr>
                <w:color w:val="auto"/>
              </w:rPr>
            </w:pPr>
            <w:r>
              <w:rPr>
                <w:color w:val="auto"/>
              </w:rPr>
              <w:t>核算年排放量/(t/a)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0" w:type="pct"/>
            <w:gridSpan w:val="6"/>
            <w:tcBorders>
              <w:tl2br w:val="nil"/>
              <w:tr2bl w:val="nil"/>
            </w:tcBorders>
            <w:vAlign w:val="center"/>
          </w:tcPr>
          <w:p>
            <w:pPr>
              <w:pStyle w:val="45"/>
              <w:rPr>
                <w:color w:val="auto"/>
              </w:rPr>
            </w:pPr>
            <w:r>
              <w:rPr>
                <w:color w:val="auto"/>
              </w:rPr>
              <w:t>主要排放口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49" w:type="pct"/>
            <w:vMerge w:val="restart"/>
            <w:tcBorders>
              <w:tl2br w:val="nil"/>
              <w:tr2bl w:val="nil"/>
            </w:tcBorders>
            <w:vAlign w:val="center"/>
          </w:tcPr>
          <w:p>
            <w:pPr>
              <w:pStyle w:val="45"/>
              <w:rPr>
                <w:color w:val="auto"/>
              </w:rPr>
            </w:pPr>
            <w:r>
              <w:rPr>
                <w:color w:val="auto"/>
              </w:rPr>
              <w:t>1</w:t>
            </w:r>
          </w:p>
        </w:tc>
        <w:tc>
          <w:tcPr>
            <w:tcW w:w="708" w:type="pct"/>
            <w:vMerge w:val="restart"/>
            <w:tcBorders>
              <w:tl2br w:val="nil"/>
              <w:tr2bl w:val="nil"/>
            </w:tcBorders>
            <w:vAlign w:val="center"/>
          </w:tcPr>
          <w:p>
            <w:pPr>
              <w:pStyle w:val="45"/>
              <w:rPr>
                <w:color w:val="auto"/>
              </w:rPr>
            </w:pPr>
            <w:r>
              <w:rPr>
                <w:rFonts w:hint="eastAsia"/>
                <w:color w:val="auto"/>
              </w:rPr>
              <w:t>DA00</w:t>
            </w:r>
            <w:r>
              <w:rPr>
                <w:color w:val="auto"/>
              </w:rPr>
              <w:t>1</w:t>
            </w:r>
          </w:p>
        </w:tc>
        <w:tc>
          <w:tcPr>
            <w:tcW w:w="999" w:type="pct"/>
            <w:tcBorders>
              <w:tl2br w:val="nil"/>
              <w:tr2bl w:val="nil"/>
            </w:tcBorders>
            <w:vAlign w:val="center"/>
          </w:tcPr>
          <w:p>
            <w:pPr>
              <w:pStyle w:val="45"/>
              <w:rPr>
                <w:color w:val="auto"/>
              </w:rPr>
            </w:pPr>
            <w:r>
              <w:rPr>
                <w:color w:val="auto"/>
                <w:szCs w:val="21"/>
              </w:rPr>
              <w:t>VOCs</w:t>
            </w:r>
          </w:p>
        </w:tc>
        <w:tc>
          <w:tcPr>
            <w:tcW w:w="999" w:type="pct"/>
            <w:tcBorders>
              <w:tl2br w:val="nil"/>
              <w:tr2bl w:val="nil"/>
            </w:tcBorders>
            <w:vAlign w:val="center"/>
          </w:tcPr>
          <w:p>
            <w:pPr>
              <w:pStyle w:val="45"/>
              <w:rPr>
                <w:color w:val="auto"/>
              </w:rPr>
            </w:pPr>
            <w:r>
              <w:rPr>
                <w:rFonts w:hint="eastAsia"/>
                <w:color w:val="auto"/>
                <w:lang w:val="en-US" w:eastAsia="zh-CN"/>
              </w:rPr>
              <w:t>2496</w:t>
            </w:r>
            <w:r>
              <w:rPr>
                <w:rFonts w:hint="eastAsia"/>
                <w:color w:val="auto"/>
              </w:rPr>
              <w:t>0</w:t>
            </w:r>
          </w:p>
        </w:tc>
        <w:tc>
          <w:tcPr>
            <w:tcW w:w="999" w:type="pct"/>
            <w:tcBorders>
              <w:tl2br w:val="nil"/>
              <w:tr2bl w:val="nil"/>
            </w:tcBorders>
            <w:vAlign w:val="center"/>
          </w:tcPr>
          <w:p>
            <w:pPr>
              <w:pStyle w:val="45"/>
              <w:rPr>
                <w:rFonts w:hint="default" w:eastAsia="宋体"/>
                <w:color w:val="auto"/>
                <w:lang w:val="en-US" w:eastAsia="zh-CN"/>
              </w:rPr>
            </w:pPr>
            <w:r>
              <w:rPr>
                <w:rFonts w:hint="eastAsia"/>
                <w:color w:val="auto"/>
              </w:rPr>
              <w:t>0.</w:t>
            </w:r>
            <w:r>
              <w:rPr>
                <w:rFonts w:hint="eastAsia"/>
                <w:color w:val="auto"/>
                <w:lang w:val="en-US" w:eastAsia="zh-CN"/>
              </w:rPr>
              <w:t>1248</w:t>
            </w:r>
          </w:p>
        </w:tc>
        <w:tc>
          <w:tcPr>
            <w:tcW w:w="1041" w:type="pct"/>
            <w:tcBorders>
              <w:tl2br w:val="nil"/>
              <w:tr2bl w:val="nil"/>
            </w:tcBorders>
            <w:vAlign w:val="center"/>
          </w:tcPr>
          <w:p>
            <w:pPr>
              <w:pStyle w:val="45"/>
              <w:rPr>
                <w:rFonts w:hint="default" w:eastAsia="宋体"/>
                <w:color w:val="auto"/>
                <w:szCs w:val="24"/>
                <w:lang w:val="en-US" w:eastAsia="zh-CN"/>
              </w:rPr>
            </w:pPr>
            <w:r>
              <w:rPr>
                <w:rFonts w:hint="eastAsia"/>
                <w:color w:val="auto"/>
                <w:szCs w:val="24"/>
                <w:lang w:val="en-US" w:eastAsia="zh-CN"/>
              </w:rPr>
              <w:t>0.899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49" w:type="pct"/>
            <w:vMerge w:val="continue"/>
            <w:tcBorders>
              <w:tl2br w:val="nil"/>
              <w:tr2bl w:val="nil"/>
            </w:tcBorders>
            <w:vAlign w:val="center"/>
          </w:tcPr>
          <w:p>
            <w:pPr>
              <w:pStyle w:val="45"/>
              <w:rPr>
                <w:color w:val="auto"/>
              </w:rPr>
            </w:pPr>
          </w:p>
        </w:tc>
        <w:tc>
          <w:tcPr>
            <w:tcW w:w="708" w:type="pct"/>
            <w:vMerge w:val="continue"/>
            <w:tcBorders>
              <w:tl2br w:val="nil"/>
              <w:tr2bl w:val="nil"/>
            </w:tcBorders>
            <w:vAlign w:val="center"/>
          </w:tcPr>
          <w:p>
            <w:pPr>
              <w:pStyle w:val="45"/>
              <w:rPr>
                <w:color w:val="auto"/>
              </w:rPr>
            </w:pPr>
          </w:p>
        </w:tc>
        <w:tc>
          <w:tcPr>
            <w:tcW w:w="999" w:type="pct"/>
            <w:tcBorders>
              <w:tl2br w:val="nil"/>
              <w:tr2bl w:val="nil"/>
            </w:tcBorders>
            <w:vAlign w:val="center"/>
          </w:tcPr>
          <w:p>
            <w:pPr>
              <w:snapToGrid w:val="0"/>
              <w:spacing w:line="340" w:lineRule="exact"/>
              <w:ind w:firstLine="0" w:firstLineChars="0"/>
              <w:jc w:val="center"/>
              <w:rPr>
                <w:color w:val="auto"/>
              </w:rPr>
            </w:pPr>
            <w:r>
              <w:rPr>
                <w:rFonts w:hint="eastAsia"/>
                <w:color w:val="auto"/>
                <w:sz w:val="21"/>
                <w:szCs w:val="21"/>
              </w:rPr>
              <w:t>氨</w:t>
            </w:r>
          </w:p>
        </w:tc>
        <w:tc>
          <w:tcPr>
            <w:tcW w:w="999" w:type="pct"/>
            <w:tcBorders>
              <w:tl2br w:val="nil"/>
              <w:tr2bl w:val="nil"/>
            </w:tcBorders>
            <w:vAlign w:val="center"/>
          </w:tcPr>
          <w:p>
            <w:pPr>
              <w:pStyle w:val="45"/>
              <w:rPr>
                <w:color w:val="auto"/>
                <w:szCs w:val="24"/>
              </w:rPr>
            </w:pPr>
            <w:r>
              <w:rPr>
                <w:rFonts w:hint="eastAsia"/>
                <w:color w:val="auto"/>
                <w:szCs w:val="24"/>
              </w:rPr>
              <w:t>0.4</w:t>
            </w:r>
          </w:p>
        </w:tc>
        <w:tc>
          <w:tcPr>
            <w:tcW w:w="999" w:type="pct"/>
            <w:tcBorders>
              <w:tl2br w:val="nil"/>
              <w:tr2bl w:val="nil"/>
            </w:tcBorders>
            <w:vAlign w:val="center"/>
          </w:tcPr>
          <w:p>
            <w:pPr>
              <w:pStyle w:val="45"/>
              <w:rPr>
                <w:color w:val="auto"/>
                <w:szCs w:val="24"/>
              </w:rPr>
            </w:pPr>
            <w:r>
              <w:rPr>
                <w:rFonts w:hint="eastAsia"/>
                <w:color w:val="auto"/>
              </w:rPr>
              <w:t>0.0004</w:t>
            </w:r>
          </w:p>
        </w:tc>
        <w:tc>
          <w:tcPr>
            <w:tcW w:w="1041" w:type="pct"/>
            <w:tcBorders>
              <w:tl2br w:val="nil"/>
              <w:tr2bl w:val="nil"/>
            </w:tcBorders>
            <w:vAlign w:val="center"/>
          </w:tcPr>
          <w:p>
            <w:pPr>
              <w:pStyle w:val="45"/>
              <w:rPr>
                <w:color w:val="auto"/>
                <w:szCs w:val="24"/>
              </w:rPr>
            </w:pPr>
            <w:r>
              <w:rPr>
                <w:rFonts w:hint="eastAsia"/>
                <w:color w:val="auto"/>
                <w:szCs w:val="24"/>
              </w:rPr>
              <w:t>0.0032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49" w:type="pct"/>
            <w:vMerge w:val="continue"/>
            <w:tcBorders>
              <w:tl2br w:val="nil"/>
              <w:tr2bl w:val="nil"/>
            </w:tcBorders>
            <w:vAlign w:val="center"/>
          </w:tcPr>
          <w:p>
            <w:pPr>
              <w:pStyle w:val="45"/>
              <w:rPr>
                <w:color w:val="auto"/>
              </w:rPr>
            </w:pPr>
          </w:p>
        </w:tc>
        <w:tc>
          <w:tcPr>
            <w:tcW w:w="708" w:type="pct"/>
            <w:vMerge w:val="continue"/>
            <w:tcBorders>
              <w:tl2br w:val="nil"/>
              <w:tr2bl w:val="nil"/>
            </w:tcBorders>
            <w:vAlign w:val="center"/>
          </w:tcPr>
          <w:p>
            <w:pPr>
              <w:pStyle w:val="45"/>
              <w:rPr>
                <w:color w:val="auto"/>
              </w:rPr>
            </w:pPr>
          </w:p>
        </w:tc>
        <w:tc>
          <w:tcPr>
            <w:tcW w:w="999" w:type="pct"/>
            <w:tcBorders>
              <w:tl2br w:val="nil"/>
              <w:tr2bl w:val="nil"/>
            </w:tcBorders>
            <w:vAlign w:val="center"/>
          </w:tcPr>
          <w:p>
            <w:pPr>
              <w:widowControl/>
              <w:adjustRightInd w:val="0"/>
              <w:snapToGrid w:val="0"/>
              <w:spacing w:line="240" w:lineRule="auto"/>
              <w:ind w:firstLine="0" w:firstLineChars="0"/>
              <w:jc w:val="center"/>
              <w:rPr>
                <w:color w:val="auto"/>
              </w:rPr>
            </w:pPr>
            <w:r>
              <w:rPr>
                <w:rFonts w:hint="eastAsia"/>
                <w:color w:val="auto"/>
                <w:sz w:val="21"/>
                <w:szCs w:val="21"/>
              </w:rPr>
              <w:t>硫化氢</w:t>
            </w:r>
          </w:p>
        </w:tc>
        <w:tc>
          <w:tcPr>
            <w:tcW w:w="999" w:type="pct"/>
            <w:tcBorders>
              <w:tl2br w:val="nil"/>
              <w:tr2bl w:val="nil"/>
            </w:tcBorders>
            <w:vAlign w:val="center"/>
          </w:tcPr>
          <w:p>
            <w:pPr>
              <w:pStyle w:val="45"/>
              <w:rPr>
                <w:color w:val="auto"/>
                <w:szCs w:val="24"/>
              </w:rPr>
            </w:pPr>
            <w:r>
              <w:rPr>
                <w:rFonts w:hint="eastAsia"/>
                <w:color w:val="auto"/>
              </w:rPr>
              <w:t>0.01</w:t>
            </w:r>
          </w:p>
        </w:tc>
        <w:tc>
          <w:tcPr>
            <w:tcW w:w="999" w:type="pct"/>
            <w:tcBorders>
              <w:tl2br w:val="nil"/>
              <w:tr2bl w:val="nil"/>
            </w:tcBorders>
            <w:vAlign w:val="center"/>
          </w:tcPr>
          <w:p>
            <w:pPr>
              <w:pStyle w:val="45"/>
              <w:rPr>
                <w:color w:val="auto"/>
                <w:szCs w:val="24"/>
              </w:rPr>
            </w:pPr>
            <w:r>
              <w:rPr>
                <w:rFonts w:hint="eastAsia"/>
                <w:color w:val="auto"/>
              </w:rPr>
              <w:t>0.00001</w:t>
            </w:r>
          </w:p>
        </w:tc>
        <w:tc>
          <w:tcPr>
            <w:tcW w:w="1041" w:type="pct"/>
            <w:tcBorders>
              <w:tl2br w:val="nil"/>
              <w:tr2bl w:val="nil"/>
            </w:tcBorders>
            <w:vAlign w:val="center"/>
          </w:tcPr>
          <w:p>
            <w:pPr>
              <w:pStyle w:val="45"/>
              <w:rPr>
                <w:color w:val="auto"/>
                <w:szCs w:val="24"/>
              </w:rPr>
            </w:pPr>
            <w:r>
              <w:rPr>
                <w:rFonts w:hint="eastAsia"/>
                <w:color w:val="auto"/>
                <w:szCs w:val="24"/>
              </w:rPr>
              <w:t>0.00008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58" w:type="pct"/>
            <w:gridSpan w:val="2"/>
            <w:vMerge w:val="restart"/>
            <w:tcBorders>
              <w:tl2br w:val="nil"/>
              <w:tr2bl w:val="nil"/>
            </w:tcBorders>
            <w:vAlign w:val="center"/>
          </w:tcPr>
          <w:p>
            <w:pPr>
              <w:pStyle w:val="45"/>
              <w:rPr>
                <w:color w:val="auto"/>
              </w:rPr>
            </w:pPr>
            <w:r>
              <w:rPr>
                <w:rFonts w:hint="eastAsia"/>
                <w:color w:val="auto"/>
              </w:rPr>
              <w:t>主要排放口合计</w:t>
            </w:r>
          </w:p>
        </w:tc>
        <w:tc>
          <w:tcPr>
            <w:tcW w:w="2999" w:type="pct"/>
            <w:gridSpan w:val="3"/>
            <w:tcBorders>
              <w:tl2br w:val="nil"/>
              <w:tr2bl w:val="nil"/>
            </w:tcBorders>
            <w:vAlign w:val="center"/>
          </w:tcPr>
          <w:p>
            <w:pPr>
              <w:pStyle w:val="45"/>
              <w:rPr>
                <w:color w:val="auto"/>
              </w:rPr>
            </w:pPr>
            <w:r>
              <w:rPr>
                <w:color w:val="auto"/>
                <w:szCs w:val="21"/>
              </w:rPr>
              <w:t>VOCs</w:t>
            </w:r>
          </w:p>
        </w:tc>
        <w:tc>
          <w:tcPr>
            <w:tcW w:w="1041" w:type="pct"/>
            <w:tcBorders>
              <w:tl2br w:val="nil"/>
              <w:tr2bl w:val="nil"/>
            </w:tcBorders>
            <w:vAlign w:val="center"/>
          </w:tcPr>
          <w:p>
            <w:pPr>
              <w:pStyle w:val="45"/>
              <w:rPr>
                <w:rFonts w:hint="default" w:eastAsia="宋体"/>
                <w:color w:val="auto"/>
                <w:lang w:val="en-US" w:eastAsia="zh-CN"/>
              </w:rPr>
            </w:pPr>
            <w:r>
              <w:rPr>
                <w:rFonts w:hint="eastAsia"/>
                <w:color w:val="auto"/>
                <w:lang w:val="en-US" w:eastAsia="zh-CN"/>
              </w:rPr>
              <w:t>0.899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58" w:type="pct"/>
            <w:gridSpan w:val="2"/>
            <w:vMerge w:val="continue"/>
            <w:tcBorders>
              <w:tl2br w:val="nil"/>
              <w:tr2bl w:val="nil"/>
            </w:tcBorders>
            <w:vAlign w:val="center"/>
          </w:tcPr>
          <w:p>
            <w:pPr>
              <w:pStyle w:val="45"/>
              <w:rPr>
                <w:color w:val="auto"/>
              </w:rPr>
            </w:pPr>
          </w:p>
        </w:tc>
        <w:tc>
          <w:tcPr>
            <w:tcW w:w="2999" w:type="pct"/>
            <w:gridSpan w:val="3"/>
            <w:tcBorders>
              <w:tl2br w:val="nil"/>
              <w:tr2bl w:val="nil"/>
            </w:tcBorders>
            <w:vAlign w:val="center"/>
          </w:tcPr>
          <w:p>
            <w:pPr>
              <w:snapToGrid w:val="0"/>
              <w:spacing w:line="340" w:lineRule="exact"/>
              <w:ind w:firstLine="0" w:firstLineChars="0"/>
              <w:jc w:val="center"/>
              <w:rPr>
                <w:color w:val="auto"/>
              </w:rPr>
            </w:pPr>
            <w:r>
              <w:rPr>
                <w:rFonts w:hint="eastAsia"/>
                <w:color w:val="auto"/>
                <w:sz w:val="21"/>
                <w:szCs w:val="21"/>
              </w:rPr>
              <w:t>氨</w:t>
            </w:r>
          </w:p>
        </w:tc>
        <w:tc>
          <w:tcPr>
            <w:tcW w:w="1041" w:type="pct"/>
            <w:tcBorders>
              <w:tl2br w:val="nil"/>
              <w:tr2bl w:val="nil"/>
            </w:tcBorders>
            <w:vAlign w:val="center"/>
          </w:tcPr>
          <w:p>
            <w:pPr>
              <w:pStyle w:val="45"/>
              <w:rPr>
                <w:color w:val="auto"/>
              </w:rPr>
            </w:pPr>
            <w:r>
              <w:rPr>
                <w:rFonts w:hint="eastAsia"/>
                <w:color w:val="auto"/>
              </w:rPr>
              <w:t>0.0004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58" w:type="pct"/>
            <w:gridSpan w:val="2"/>
            <w:vMerge w:val="continue"/>
            <w:tcBorders>
              <w:tl2br w:val="nil"/>
              <w:tr2bl w:val="nil"/>
            </w:tcBorders>
            <w:vAlign w:val="center"/>
          </w:tcPr>
          <w:p>
            <w:pPr>
              <w:pStyle w:val="45"/>
              <w:rPr>
                <w:color w:val="auto"/>
              </w:rPr>
            </w:pPr>
          </w:p>
        </w:tc>
        <w:tc>
          <w:tcPr>
            <w:tcW w:w="2999" w:type="pct"/>
            <w:gridSpan w:val="3"/>
            <w:tcBorders>
              <w:tl2br w:val="nil"/>
              <w:tr2bl w:val="nil"/>
            </w:tcBorders>
            <w:vAlign w:val="center"/>
          </w:tcPr>
          <w:p>
            <w:pPr>
              <w:widowControl/>
              <w:adjustRightInd w:val="0"/>
              <w:snapToGrid w:val="0"/>
              <w:spacing w:line="240" w:lineRule="auto"/>
              <w:ind w:firstLine="0" w:firstLineChars="0"/>
              <w:jc w:val="center"/>
              <w:rPr>
                <w:color w:val="auto"/>
              </w:rPr>
            </w:pPr>
            <w:r>
              <w:rPr>
                <w:rFonts w:hint="eastAsia"/>
                <w:color w:val="auto"/>
                <w:sz w:val="21"/>
                <w:szCs w:val="21"/>
              </w:rPr>
              <w:t>硫化氢</w:t>
            </w:r>
          </w:p>
        </w:tc>
        <w:tc>
          <w:tcPr>
            <w:tcW w:w="1041" w:type="pct"/>
            <w:tcBorders>
              <w:tl2br w:val="nil"/>
              <w:tr2bl w:val="nil"/>
            </w:tcBorders>
            <w:vAlign w:val="center"/>
          </w:tcPr>
          <w:p>
            <w:pPr>
              <w:pStyle w:val="45"/>
              <w:rPr>
                <w:color w:val="auto"/>
              </w:rPr>
            </w:pPr>
            <w:r>
              <w:rPr>
                <w:rFonts w:hint="eastAsia"/>
                <w:color w:val="auto"/>
              </w:rPr>
              <w:t>0.00001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0" w:type="pct"/>
            <w:gridSpan w:val="6"/>
            <w:tcBorders>
              <w:tl2br w:val="nil"/>
              <w:tr2bl w:val="nil"/>
            </w:tcBorders>
            <w:vAlign w:val="center"/>
          </w:tcPr>
          <w:p>
            <w:pPr>
              <w:pStyle w:val="45"/>
              <w:rPr>
                <w:color w:val="auto"/>
              </w:rPr>
            </w:pPr>
            <w:r>
              <w:rPr>
                <w:rFonts w:hint="eastAsia"/>
                <w:color w:val="auto"/>
              </w:rPr>
              <w:t>一般排放口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49" w:type="pct"/>
            <w:vMerge w:val="restart"/>
            <w:tcBorders>
              <w:tl2br w:val="nil"/>
              <w:tr2bl w:val="nil"/>
            </w:tcBorders>
            <w:vAlign w:val="center"/>
          </w:tcPr>
          <w:p>
            <w:pPr>
              <w:pStyle w:val="45"/>
              <w:rPr>
                <w:color w:val="auto"/>
              </w:rPr>
            </w:pPr>
            <w:r>
              <w:rPr>
                <w:rFonts w:hint="eastAsia"/>
                <w:color w:val="auto"/>
              </w:rPr>
              <w:t>2</w:t>
            </w:r>
          </w:p>
        </w:tc>
        <w:tc>
          <w:tcPr>
            <w:tcW w:w="708" w:type="pct"/>
            <w:vMerge w:val="restart"/>
            <w:tcBorders>
              <w:tl2br w:val="nil"/>
              <w:tr2bl w:val="nil"/>
            </w:tcBorders>
            <w:vAlign w:val="center"/>
          </w:tcPr>
          <w:p>
            <w:pPr>
              <w:pStyle w:val="45"/>
              <w:rPr>
                <w:rFonts w:hint="eastAsia" w:eastAsia="宋体"/>
                <w:color w:val="auto"/>
                <w:lang w:eastAsia="zh-CN"/>
              </w:rPr>
            </w:pPr>
            <w:r>
              <w:rPr>
                <w:rFonts w:hint="eastAsia"/>
                <w:color w:val="auto"/>
                <w:szCs w:val="21"/>
              </w:rPr>
              <w:t>DA00</w:t>
            </w:r>
            <w:r>
              <w:rPr>
                <w:rFonts w:hint="eastAsia"/>
                <w:color w:val="auto"/>
                <w:szCs w:val="21"/>
                <w:lang w:val="en-US" w:eastAsia="zh-CN"/>
              </w:rPr>
              <w:t>2</w:t>
            </w:r>
          </w:p>
        </w:tc>
        <w:tc>
          <w:tcPr>
            <w:tcW w:w="999" w:type="pct"/>
            <w:tcBorders>
              <w:tl2br w:val="nil"/>
              <w:tr2bl w:val="nil"/>
            </w:tcBorders>
            <w:vAlign w:val="center"/>
          </w:tcPr>
          <w:p>
            <w:pPr>
              <w:pStyle w:val="45"/>
              <w:rPr>
                <w:color w:val="auto"/>
              </w:rPr>
            </w:pPr>
            <w:r>
              <w:rPr>
                <w:rFonts w:hint="eastAsia"/>
                <w:color w:val="auto"/>
              </w:rPr>
              <w:t>SO</w:t>
            </w:r>
            <w:r>
              <w:rPr>
                <w:rFonts w:hint="eastAsia"/>
                <w:color w:val="auto"/>
                <w:vertAlign w:val="subscript"/>
              </w:rPr>
              <w:t>2</w:t>
            </w:r>
          </w:p>
        </w:tc>
        <w:tc>
          <w:tcPr>
            <w:tcW w:w="999" w:type="pct"/>
            <w:tcBorders>
              <w:tl2br w:val="nil"/>
              <w:tr2bl w:val="nil"/>
            </w:tcBorders>
            <w:vAlign w:val="center"/>
          </w:tcPr>
          <w:p>
            <w:pPr>
              <w:pStyle w:val="45"/>
              <w:rPr>
                <w:rFonts w:hint="default" w:eastAsia="宋体"/>
                <w:color w:val="auto"/>
                <w:lang w:val="en-US" w:eastAsia="zh-CN"/>
              </w:rPr>
            </w:pPr>
            <w:r>
              <w:rPr>
                <w:rFonts w:hint="eastAsia"/>
                <w:color w:val="auto"/>
                <w:lang w:val="en-US" w:eastAsia="zh-CN"/>
              </w:rPr>
              <w:t>22060</w:t>
            </w:r>
          </w:p>
        </w:tc>
        <w:tc>
          <w:tcPr>
            <w:tcW w:w="999" w:type="pct"/>
            <w:tcBorders>
              <w:tl2br w:val="nil"/>
              <w:tr2bl w:val="nil"/>
            </w:tcBorders>
            <w:vAlign w:val="center"/>
          </w:tcPr>
          <w:p>
            <w:pPr>
              <w:pStyle w:val="45"/>
              <w:rPr>
                <w:rFonts w:hint="default" w:eastAsia="宋体"/>
                <w:color w:val="auto"/>
                <w:lang w:val="en-US" w:eastAsia="zh-CN"/>
              </w:rPr>
            </w:pPr>
            <w:r>
              <w:rPr>
                <w:rFonts w:hint="eastAsia"/>
                <w:color w:val="auto"/>
                <w:lang w:val="en-US" w:eastAsia="zh-CN"/>
              </w:rPr>
              <w:t>0.0625</w:t>
            </w:r>
          </w:p>
        </w:tc>
        <w:tc>
          <w:tcPr>
            <w:tcW w:w="1041" w:type="pct"/>
            <w:tcBorders>
              <w:tl2br w:val="nil"/>
              <w:tr2bl w:val="nil"/>
            </w:tcBorders>
            <w:vAlign w:val="center"/>
          </w:tcPr>
          <w:p>
            <w:pPr>
              <w:pStyle w:val="45"/>
              <w:rPr>
                <w:rFonts w:hint="default" w:eastAsia="宋体"/>
                <w:color w:val="auto"/>
                <w:lang w:val="en-US" w:eastAsia="zh-CN"/>
              </w:rPr>
            </w:pPr>
            <w:r>
              <w:rPr>
                <w:rFonts w:hint="eastAsia"/>
                <w:color w:val="auto"/>
                <w:lang w:val="en-US" w:eastAsia="zh-CN"/>
              </w:rPr>
              <w:t>0.45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249" w:type="pct"/>
            <w:vMerge w:val="continue"/>
            <w:tcBorders>
              <w:tl2br w:val="nil"/>
              <w:tr2bl w:val="nil"/>
            </w:tcBorders>
            <w:vAlign w:val="center"/>
          </w:tcPr>
          <w:p>
            <w:pPr>
              <w:pStyle w:val="45"/>
              <w:rPr>
                <w:color w:val="auto"/>
              </w:rPr>
            </w:pPr>
          </w:p>
        </w:tc>
        <w:tc>
          <w:tcPr>
            <w:tcW w:w="708" w:type="pct"/>
            <w:vMerge w:val="continue"/>
            <w:tcBorders>
              <w:tl2br w:val="nil"/>
              <w:tr2bl w:val="nil"/>
            </w:tcBorders>
            <w:vAlign w:val="center"/>
          </w:tcPr>
          <w:p>
            <w:pPr>
              <w:pStyle w:val="45"/>
              <w:rPr>
                <w:color w:val="auto"/>
              </w:rPr>
            </w:pPr>
          </w:p>
        </w:tc>
        <w:tc>
          <w:tcPr>
            <w:tcW w:w="999" w:type="pct"/>
            <w:tcBorders>
              <w:tl2br w:val="nil"/>
              <w:tr2bl w:val="nil"/>
            </w:tcBorders>
            <w:vAlign w:val="center"/>
          </w:tcPr>
          <w:p>
            <w:pPr>
              <w:pStyle w:val="45"/>
              <w:rPr>
                <w:color w:val="auto"/>
              </w:rPr>
            </w:pPr>
            <w:r>
              <w:rPr>
                <w:rFonts w:hint="eastAsia"/>
                <w:color w:val="auto"/>
              </w:rPr>
              <w:t>NOx</w:t>
            </w:r>
          </w:p>
        </w:tc>
        <w:tc>
          <w:tcPr>
            <w:tcW w:w="999" w:type="pct"/>
            <w:tcBorders>
              <w:tl2br w:val="nil"/>
              <w:tr2bl w:val="nil"/>
            </w:tcBorders>
            <w:vAlign w:val="center"/>
          </w:tcPr>
          <w:p>
            <w:pPr>
              <w:pStyle w:val="45"/>
              <w:rPr>
                <w:rFonts w:hint="default" w:eastAsia="宋体"/>
                <w:color w:val="auto"/>
                <w:lang w:val="en-US" w:eastAsia="zh-CN"/>
              </w:rPr>
            </w:pPr>
            <w:r>
              <w:rPr>
                <w:rFonts w:hint="eastAsia"/>
                <w:color w:val="auto"/>
                <w:lang w:val="en-US" w:eastAsia="zh-CN"/>
              </w:rPr>
              <w:t>137270</w:t>
            </w:r>
          </w:p>
        </w:tc>
        <w:tc>
          <w:tcPr>
            <w:tcW w:w="999" w:type="pct"/>
            <w:tcBorders>
              <w:tl2br w:val="nil"/>
              <w:tr2bl w:val="nil"/>
            </w:tcBorders>
            <w:vAlign w:val="center"/>
          </w:tcPr>
          <w:p>
            <w:pPr>
              <w:pStyle w:val="45"/>
              <w:rPr>
                <w:rFonts w:hint="default" w:eastAsia="宋体"/>
                <w:color w:val="auto"/>
                <w:lang w:val="en-US" w:eastAsia="zh-CN"/>
              </w:rPr>
            </w:pPr>
            <w:r>
              <w:rPr>
                <w:rFonts w:hint="eastAsia"/>
                <w:color w:val="auto"/>
              </w:rPr>
              <w:t>0.</w:t>
            </w:r>
            <w:r>
              <w:rPr>
                <w:rFonts w:hint="eastAsia"/>
                <w:color w:val="auto"/>
                <w:lang w:val="en-US" w:eastAsia="zh-CN"/>
              </w:rPr>
              <w:t>194</w:t>
            </w:r>
          </w:p>
        </w:tc>
        <w:tc>
          <w:tcPr>
            <w:tcW w:w="1041" w:type="pct"/>
            <w:tcBorders>
              <w:tl2br w:val="nil"/>
              <w:tr2bl w:val="nil"/>
            </w:tcBorders>
            <w:vAlign w:val="center"/>
          </w:tcPr>
          <w:p>
            <w:pPr>
              <w:pStyle w:val="45"/>
              <w:rPr>
                <w:rFonts w:hint="default" w:eastAsia="宋体"/>
                <w:color w:val="auto"/>
                <w:lang w:val="en-US" w:eastAsia="zh-CN"/>
              </w:rPr>
            </w:pPr>
            <w:r>
              <w:rPr>
                <w:rFonts w:hint="eastAsia"/>
                <w:color w:val="auto"/>
                <w:lang w:val="en-US" w:eastAsia="zh-CN"/>
              </w:rPr>
              <w:t>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49" w:type="pct"/>
            <w:vMerge w:val="continue"/>
            <w:tcBorders>
              <w:tl2br w:val="nil"/>
              <w:tr2bl w:val="nil"/>
            </w:tcBorders>
            <w:vAlign w:val="center"/>
          </w:tcPr>
          <w:p>
            <w:pPr>
              <w:pStyle w:val="45"/>
              <w:rPr>
                <w:color w:val="auto"/>
              </w:rPr>
            </w:pPr>
          </w:p>
        </w:tc>
        <w:tc>
          <w:tcPr>
            <w:tcW w:w="708" w:type="pct"/>
            <w:vMerge w:val="continue"/>
            <w:tcBorders>
              <w:tl2br w:val="nil"/>
              <w:tr2bl w:val="nil"/>
            </w:tcBorders>
            <w:vAlign w:val="center"/>
          </w:tcPr>
          <w:p>
            <w:pPr>
              <w:pStyle w:val="45"/>
              <w:rPr>
                <w:color w:val="auto"/>
              </w:rPr>
            </w:pPr>
          </w:p>
        </w:tc>
        <w:tc>
          <w:tcPr>
            <w:tcW w:w="999" w:type="pct"/>
            <w:tcBorders>
              <w:tl2br w:val="nil"/>
              <w:tr2bl w:val="nil"/>
            </w:tcBorders>
            <w:vAlign w:val="center"/>
          </w:tcPr>
          <w:p>
            <w:pPr>
              <w:pStyle w:val="45"/>
              <w:rPr>
                <w:color w:val="auto"/>
              </w:rPr>
            </w:pPr>
            <w:r>
              <w:rPr>
                <w:rFonts w:hint="eastAsia"/>
                <w:color w:val="auto"/>
              </w:rPr>
              <w:t>颗粒物</w:t>
            </w:r>
          </w:p>
        </w:tc>
        <w:tc>
          <w:tcPr>
            <w:tcW w:w="999" w:type="pct"/>
            <w:tcBorders>
              <w:tl2br w:val="nil"/>
              <w:tr2bl w:val="nil"/>
            </w:tcBorders>
            <w:vAlign w:val="center"/>
          </w:tcPr>
          <w:p>
            <w:pPr>
              <w:pStyle w:val="45"/>
              <w:rPr>
                <w:rFonts w:hint="default" w:eastAsia="宋体"/>
                <w:color w:val="auto"/>
                <w:lang w:val="en-US" w:eastAsia="zh-CN"/>
              </w:rPr>
            </w:pPr>
            <w:r>
              <w:rPr>
                <w:rFonts w:hint="eastAsia"/>
                <w:color w:val="auto"/>
                <w:lang w:val="en-US" w:eastAsia="zh-CN"/>
              </w:rPr>
              <w:t>7840</w:t>
            </w:r>
          </w:p>
        </w:tc>
        <w:tc>
          <w:tcPr>
            <w:tcW w:w="999" w:type="pct"/>
            <w:tcBorders>
              <w:tl2br w:val="nil"/>
              <w:tr2bl w:val="nil"/>
            </w:tcBorders>
            <w:vAlign w:val="center"/>
          </w:tcPr>
          <w:p>
            <w:pPr>
              <w:pStyle w:val="45"/>
              <w:rPr>
                <w:rFonts w:hint="default" w:eastAsia="宋体"/>
                <w:color w:val="auto"/>
                <w:lang w:val="en-US" w:eastAsia="zh-CN"/>
              </w:rPr>
            </w:pPr>
            <w:r>
              <w:rPr>
                <w:rFonts w:hint="eastAsia"/>
                <w:color w:val="auto"/>
              </w:rPr>
              <w:t>0.0</w:t>
            </w:r>
            <w:r>
              <w:rPr>
                <w:rFonts w:hint="eastAsia"/>
                <w:color w:val="auto"/>
                <w:lang w:val="en-US" w:eastAsia="zh-CN"/>
              </w:rPr>
              <w:t>22</w:t>
            </w:r>
          </w:p>
        </w:tc>
        <w:tc>
          <w:tcPr>
            <w:tcW w:w="1041" w:type="pct"/>
            <w:tcBorders>
              <w:tl2br w:val="nil"/>
              <w:tr2bl w:val="nil"/>
            </w:tcBorders>
            <w:vAlign w:val="center"/>
          </w:tcPr>
          <w:p>
            <w:pPr>
              <w:pStyle w:val="45"/>
              <w:rPr>
                <w:rFonts w:hint="default" w:eastAsia="宋体"/>
                <w:color w:val="auto"/>
                <w:lang w:val="en-US" w:eastAsia="zh-CN"/>
              </w:rPr>
            </w:pPr>
            <w:r>
              <w:rPr>
                <w:rFonts w:hint="eastAsia"/>
                <w:color w:val="auto"/>
                <w:lang w:val="en-US" w:eastAsia="zh-CN"/>
              </w:rPr>
              <w:t>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58" w:type="pct"/>
            <w:gridSpan w:val="2"/>
            <w:vMerge w:val="restart"/>
            <w:tcBorders>
              <w:tl2br w:val="nil"/>
              <w:tr2bl w:val="nil"/>
            </w:tcBorders>
            <w:vAlign w:val="center"/>
          </w:tcPr>
          <w:p>
            <w:pPr>
              <w:pStyle w:val="45"/>
              <w:rPr>
                <w:color w:val="auto"/>
              </w:rPr>
            </w:pPr>
            <w:r>
              <w:rPr>
                <w:rFonts w:hint="eastAsia"/>
                <w:color w:val="auto"/>
              </w:rPr>
              <w:t>一般排放口合计</w:t>
            </w:r>
          </w:p>
        </w:tc>
        <w:tc>
          <w:tcPr>
            <w:tcW w:w="2999" w:type="pct"/>
            <w:gridSpan w:val="3"/>
            <w:tcBorders>
              <w:tl2br w:val="nil"/>
              <w:tr2bl w:val="nil"/>
            </w:tcBorders>
            <w:vAlign w:val="center"/>
          </w:tcPr>
          <w:p>
            <w:pPr>
              <w:pStyle w:val="45"/>
              <w:rPr>
                <w:color w:val="auto"/>
              </w:rPr>
            </w:pPr>
            <w:r>
              <w:rPr>
                <w:rFonts w:hint="eastAsia"/>
                <w:color w:val="auto"/>
              </w:rPr>
              <w:t>SO</w:t>
            </w:r>
            <w:r>
              <w:rPr>
                <w:rFonts w:hint="eastAsia"/>
                <w:color w:val="auto"/>
                <w:vertAlign w:val="subscript"/>
              </w:rPr>
              <w:t>2</w:t>
            </w:r>
          </w:p>
        </w:tc>
        <w:tc>
          <w:tcPr>
            <w:tcW w:w="1937" w:type="dxa"/>
            <w:tcBorders>
              <w:tl2br w:val="nil"/>
              <w:tr2bl w:val="nil"/>
            </w:tcBorders>
            <w:vAlign w:val="center"/>
          </w:tcPr>
          <w:p>
            <w:pPr>
              <w:pStyle w:val="45"/>
              <w:ind w:firstLine="0" w:firstLineChars="0"/>
              <w:rPr>
                <w:color w:val="auto"/>
                <w:szCs w:val="24"/>
              </w:rPr>
            </w:pPr>
            <w:r>
              <w:rPr>
                <w:rFonts w:hint="eastAsia"/>
                <w:color w:val="auto"/>
                <w:lang w:val="en-US" w:eastAsia="zh-CN"/>
              </w:rPr>
              <w:t>0.45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58" w:type="pct"/>
            <w:gridSpan w:val="2"/>
            <w:vMerge w:val="continue"/>
            <w:tcBorders>
              <w:tl2br w:val="nil"/>
              <w:tr2bl w:val="nil"/>
            </w:tcBorders>
            <w:vAlign w:val="center"/>
          </w:tcPr>
          <w:p>
            <w:pPr>
              <w:pStyle w:val="45"/>
              <w:rPr>
                <w:color w:val="auto"/>
              </w:rPr>
            </w:pPr>
          </w:p>
        </w:tc>
        <w:tc>
          <w:tcPr>
            <w:tcW w:w="2999" w:type="pct"/>
            <w:gridSpan w:val="3"/>
            <w:tcBorders>
              <w:tl2br w:val="nil"/>
              <w:tr2bl w:val="nil"/>
            </w:tcBorders>
            <w:vAlign w:val="center"/>
          </w:tcPr>
          <w:p>
            <w:pPr>
              <w:pStyle w:val="45"/>
              <w:rPr>
                <w:color w:val="auto"/>
              </w:rPr>
            </w:pPr>
            <w:r>
              <w:rPr>
                <w:rFonts w:hint="eastAsia"/>
                <w:color w:val="auto"/>
              </w:rPr>
              <w:t>NOx</w:t>
            </w:r>
          </w:p>
        </w:tc>
        <w:tc>
          <w:tcPr>
            <w:tcW w:w="1937" w:type="dxa"/>
            <w:tcBorders>
              <w:tl2br w:val="nil"/>
              <w:tr2bl w:val="nil"/>
            </w:tcBorders>
            <w:vAlign w:val="center"/>
          </w:tcPr>
          <w:p>
            <w:pPr>
              <w:pStyle w:val="45"/>
              <w:ind w:firstLine="0" w:firstLineChars="0"/>
              <w:rPr>
                <w:color w:val="auto"/>
                <w:szCs w:val="24"/>
              </w:rPr>
            </w:pPr>
            <w:r>
              <w:rPr>
                <w:rFonts w:hint="eastAsia"/>
                <w:color w:val="auto"/>
                <w:lang w:val="en-US" w:eastAsia="zh-CN"/>
              </w:rPr>
              <w:t>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58" w:type="pct"/>
            <w:gridSpan w:val="2"/>
            <w:vMerge w:val="continue"/>
            <w:tcBorders>
              <w:tl2br w:val="nil"/>
              <w:tr2bl w:val="nil"/>
            </w:tcBorders>
            <w:vAlign w:val="center"/>
          </w:tcPr>
          <w:p>
            <w:pPr>
              <w:pStyle w:val="45"/>
              <w:rPr>
                <w:color w:val="auto"/>
              </w:rPr>
            </w:pPr>
          </w:p>
        </w:tc>
        <w:tc>
          <w:tcPr>
            <w:tcW w:w="2999" w:type="pct"/>
            <w:gridSpan w:val="3"/>
            <w:tcBorders>
              <w:tl2br w:val="nil"/>
              <w:tr2bl w:val="nil"/>
            </w:tcBorders>
            <w:vAlign w:val="center"/>
          </w:tcPr>
          <w:p>
            <w:pPr>
              <w:pStyle w:val="45"/>
              <w:rPr>
                <w:color w:val="auto"/>
              </w:rPr>
            </w:pPr>
            <w:r>
              <w:rPr>
                <w:rFonts w:hint="eastAsia"/>
                <w:color w:val="auto"/>
              </w:rPr>
              <w:t>颗粒物</w:t>
            </w:r>
          </w:p>
        </w:tc>
        <w:tc>
          <w:tcPr>
            <w:tcW w:w="1937" w:type="dxa"/>
            <w:tcBorders>
              <w:tl2br w:val="nil"/>
              <w:tr2bl w:val="nil"/>
            </w:tcBorders>
            <w:vAlign w:val="center"/>
          </w:tcPr>
          <w:p>
            <w:pPr>
              <w:pStyle w:val="45"/>
              <w:ind w:firstLine="0" w:firstLineChars="0"/>
              <w:rPr>
                <w:color w:val="auto"/>
                <w:szCs w:val="24"/>
              </w:rPr>
            </w:pPr>
            <w:r>
              <w:rPr>
                <w:rFonts w:hint="eastAsia"/>
                <w:color w:val="auto"/>
                <w:lang w:val="en-US" w:eastAsia="zh-CN"/>
              </w:rPr>
              <w:t>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0" w:type="pct"/>
            <w:gridSpan w:val="6"/>
            <w:tcBorders>
              <w:tl2br w:val="nil"/>
              <w:tr2bl w:val="nil"/>
            </w:tcBorders>
            <w:vAlign w:val="center"/>
          </w:tcPr>
          <w:p>
            <w:pPr>
              <w:pStyle w:val="45"/>
              <w:rPr>
                <w:color w:val="auto"/>
              </w:rPr>
            </w:pPr>
            <w:r>
              <w:rPr>
                <w:rFonts w:hint="eastAsia"/>
                <w:color w:val="auto"/>
              </w:rPr>
              <w:t>有组织排放总计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58" w:type="pct"/>
            <w:gridSpan w:val="2"/>
            <w:vMerge w:val="restart"/>
            <w:tcBorders>
              <w:tl2br w:val="nil"/>
              <w:tr2bl w:val="nil"/>
            </w:tcBorders>
            <w:vAlign w:val="center"/>
          </w:tcPr>
          <w:p>
            <w:pPr>
              <w:pStyle w:val="45"/>
              <w:rPr>
                <w:color w:val="auto"/>
              </w:rPr>
            </w:pPr>
            <w:r>
              <w:rPr>
                <w:rFonts w:hint="eastAsia"/>
                <w:color w:val="auto"/>
              </w:rPr>
              <w:t>有组织排放总计</w:t>
            </w:r>
          </w:p>
        </w:tc>
        <w:tc>
          <w:tcPr>
            <w:tcW w:w="2999" w:type="pct"/>
            <w:gridSpan w:val="3"/>
            <w:tcBorders>
              <w:tl2br w:val="nil"/>
              <w:tr2bl w:val="nil"/>
            </w:tcBorders>
            <w:vAlign w:val="center"/>
          </w:tcPr>
          <w:p>
            <w:pPr>
              <w:pStyle w:val="45"/>
              <w:rPr>
                <w:color w:val="auto"/>
              </w:rPr>
            </w:pPr>
            <w:r>
              <w:rPr>
                <w:color w:val="auto"/>
                <w:szCs w:val="21"/>
              </w:rPr>
              <w:t>VOCs</w:t>
            </w:r>
          </w:p>
        </w:tc>
        <w:tc>
          <w:tcPr>
            <w:tcW w:w="1041" w:type="pct"/>
            <w:tcBorders>
              <w:tl2br w:val="nil"/>
              <w:tr2bl w:val="nil"/>
            </w:tcBorders>
            <w:vAlign w:val="center"/>
          </w:tcPr>
          <w:p>
            <w:pPr>
              <w:pStyle w:val="45"/>
              <w:rPr>
                <w:rFonts w:hint="default" w:eastAsia="宋体"/>
                <w:color w:val="auto"/>
                <w:szCs w:val="24"/>
                <w:lang w:val="en-US" w:eastAsia="zh-CN"/>
              </w:rPr>
            </w:pPr>
            <w:r>
              <w:rPr>
                <w:rFonts w:hint="eastAsia"/>
                <w:color w:val="auto"/>
                <w:lang w:val="en-US" w:eastAsia="zh-CN"/>
              </w:rPr>
              <w:t>0.899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58" w:type="pct"/>
            <w:gridSpan w:val="2"/>
            <w:vMerge w:val="continue"/>
            <w:tcBorders>
              <w:tl2br w:val="nil"/>
              <w:tr2bl w:val="nil"/>
            </w:tcBorders>
            <w:vAlign w:val="center"/>
          </w:tcPr>
          <w:p>
            <w:pPr>
              <w:pStyle w:val="45"/>
              <w:rPr>
                <w:color w:val="auto"/>
              </w:rPr>
            </w:pPr>
          </w:p>
        </w:tc>
        <w:tc>
          <w:tcPr>
            <w:tcW w:w="2999" w:type="pct"/>
            <w:gridSpan w:val="3"/>
            <w:tcBorders>
              <w:tl2br w:val="nil"/>
              <w:tr2bl w:val="nil"/>
            </w:tcBorders>
            <w:vAlign w:val="center"/>
          </w:tcPr>
          <w:p>
            <w:pPr>
              <w:snapToGrid w:val="0"/>
              <w:spacing w:line="340" w:lineRule="exact"/>
              <w:ind w:firstLine="0" w:firstLineChars="0"/>
              <w:jc w:val="center"/>
              <w:rPr>
                <w:color w:val="auto"/>
              </w:rPr>
            </w:pPr>
            <w:r>
              <w:rPr>
                <w:rFonts w:hint="eastAsia"/>
                <w:color w:val="auto"/>
                <w:sz w:val="21"/>
                <w:szCs w:val="21"/>
              </w:rPr>
              <w:t>氨</w:t>
            </w:r>
          </w:p>
        </w:tc>
        <w:tc>
          <w:tcPr>
            <w:tcW w:w="1041" w:type="pct"/>
            <w:tcBorders>
              <w:tl2br w:val="nil"/>
              <w:tr2bl w:val="nil"/>
            </w:tcBorders>
            <w:vAlign w:val="center"/>
          </w:tcPr>
          <w:p>
            <w:pPr>
              <w:pStyle w:val="45"/>
              <w:rPr>
                <w:color w:val="auto"/>
                <w:szCs w:val="24"/>
              </w:rPr>
            </w:pPr>
            <w:r>
              <w:rPr>
                <w:rFonts w:hint="eastAsia"/>
                <w:color w:val="auto"/>
              </w:rPr>
              <w:t>0.0004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58" w:type="pct"/>
            <w:gridSpan w:val="2"/>
            <w:vMerge w:val="continue"/>
            <w:tcBorders>
              <w:tl2br w:val="nil"/>
              <w:tr2bl w:val="nil"/>
            </w:tcBorders>
            <w:vAlign w:val="center"/>
          </w:tcPr>
          <w:p>
            <w:pPr>
              <w:pStyle w:val="45"/>
              <w:rPr>
                <w:color w:val="auto"/>
              </w:rPr>
            </w:pPr>
          </w:p>
        </w:tc>
        <w:tc>
          <w:tcPr>
            <w:tcW w:w="2999" w:type="pct"/>
            <w:gridSpan w:val="3"/>
            <w:tcBorders>
              <w:tl2br w:val="nil"/>
              <w:tr2bl w:val="nil"/>
            </w:tcBorders>
            <w:vAlign w:val="center"/>
          </w:tcPr>
          <w:p>
            <w:pPr>
              <w:widowControl/>
              <w:adjustRightInd w:val="0"/>
              <w:snapToGrid w:val="0"/>
              <w:spacing w:line="240" w:lineRule="auto"/>
              <w:ind w:firstLine="0" w:firstLineChars="0"/>
              <w:jc w:val="center"/>
              <w:rPr>
                <w:color w:val="auto"/>
              </w:rPr>
            </w:pPr>
            <w:r>
              <w:rPr>
                <w:rFonts w:hint="eastAsia"/>
                <w:color w:val="auto"/>
                <w:sz w:val="21"/>
                <w:szCs w:val="21"/>
              </w:rPr>
              <w:t>硫化氢</w:t>
            </w:r>
          </w:p>
        </w:tc>
        <w:tc>
          <w:tcPr>
            <w:tcW w:w="1041" w:type="pct"/>
            <w:tcBorders>
              <w:tl2br w:val="nil"/>
              <w:tr2bl w:val="nil"/>
            </w:tcBorders>
            <w:vAlign w:val="center"/>
          </w:tcPr>
          <w:p>
            <w:pPr>
              <w:pStyle w:val="45"/>
              <w:rPr>
                <w:color w:val="auto"/>
              </w:rPr>
            </w:pPr>
            <w:r>
              <w:rPr>
                <w:rFonts w:hint="eastAsia"/>
                <w:color w:val="auto"/>
              </w:rPr>
              <w:t>0.00001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58" w:type="pct"/>
            <w:gridSpan w:val="2"/>
            <w:vMerge w:val="continue"/>
            <w:tcBorders>
              <w:tl2br w:val="nil"/>
              <w:tr2bl w:val="nil"/>
            </w:tcBorders>
            <w:vAlign w:val="center"/>
          </w:tcPr>
          <w:p>
            <w:pPr>
              <w:pStyle w:val="45"/>
              <w:rPr>
                <w:color w:val="auto"/>
              </w:rPr>
            </w:pPr>
          </w:p>
        </w:tc>
        <w:tc>
          <w:tcPr>
            <w:tcW w:w="2999" w:type="pct"/>
            <w:gridSpan w:val="3"/>
            <w:tcBorders>
              <w:tl2br w:val="nil"/>
              <w:tr2bl w:val="nil"/>
            </w:tcBorders>
            <w:vAlign w:val="center"/>
          </w:tcPr>
          <w:p>
            <w:pPr>
              <w:pStyle w:val="45"/>
              <w:rPr>
                <w:color w:val="auto"/>
              </w:rPr>
            </w:pPr>
            <w:r>
              <w:rPr>
                <w:rFonts w:hint="eastAsia"/>
                <w:color w:val="auto"/>
              </w:rPr>
              <w:t>SO</w:t>
            </w:r>
            <w:r>
              <w:rPr>
                <w:rFonts w:hint="eastAsia"/>
                <w:color w:val="auto"/>
                <w:vertAlign w:val="subscript"/>
              </w:rPr>
              <w:t>2</w:t>
            </w:r>
          </w:p>
        </w:tc>
        <w:tc>
          <w:tcPr>
            <w:tcW w:w="1937" w:type="dxa"/>
            <w:tcBorders>
              <w:tl2br w:val="nil"/>
              <w:tr2bl w:val="nil"/>
            </w:tcBorders>
            <w:vAlign w:val="center"/>
          </w:tcPr>
          <w:p>
            <w:pPr>
              <w:pStyle w:val="45"/>
              <w:ind w:firstLine="0" w:firstLineChars="0"/>
              <w:rPr>
                <w:color w:val="auto"/>
              </w:rPr>
            </w:pPr>
            <w:r>
              <w:rPr>
                <w:rFonts w:hint="eastAsia"/>
                <w:color w:val="auto"/>
                <w:lang w:val="en-US" w:eastAsia="zh-CN"/>
              </w:rPr>
              <w:t>0.45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58" w:type="pct"/>
            <w:gridSpan w:val="2"/>
            <w:vMerge w:val="continue"/>
            <w:tcBorders>
              <w:tl2br w:val="nil"/>
              <w:tr2bl w:val="nil"/>
            </w:tcBorders>
            <w:vAlign w:val="center"/>
          </w:tcPr>
          <w:p>
            <w:pPr>
              <w:pStyle w:val="45"/>
              <w:rPr>
                <w:color w:val="auto"/>
              </w:rPr>
            </w:pPr>
          </w:p>
        </w:tc>
        <w:tc>
          <w:tcPr>
            <w:tcW w:w="2999" w:type="pct"/>
            <w:gridSpan w:val="3"/>
            <w:tcBorders>
              <w:tl2br w:val="nil"/>
              <w:tr2bl w:val="nil"/>
            </w:tcBorders>
            <w:vAlign w:val="center"/>
          </w:tcPr>
          <w:p>
            <w:pPr>
              <w:pStyle w:val="45"/>
              <w:rPr>
                <w:color w:val="auto"/>
              </w:rPr>
            </w:pPr>
            <w:r>
              <w:rPr>
                <w:rFonts w:hint="eastAsia"/>
                <w:color w:val="auto"/>
              </w:rPr>
              <w:t>NOx</w:t>
            </w:r>
          </w:p>
        </w:tc>
        <w:tc>
          <w:tcPr>
            <w:tcW w:w="1937" w:type="dxa"/>
            <w:tcBorders>
              <w:tl2br w:val="nil"/>
              <w:tr2bl w:val="nil"/>
            </w:tcBorders>
            <w:vAlign w:val="center"/>
          </w:tcPr>
          <w:p>
            <w:pPr>
              <w:pStyle w:val="45"/>
              <w:ind w:firstLine="0" w:firstLineChars="0"/>
              <w:rPr>
                <w:color w:val="auto"/>
              </w:rPr>
            </w:pPr>
            <w:r>
              <w:rPr>
                <w:rFonts w:hint="eastAsia"/>
                <w:color w:val="auto"/>
                <w:lang w:val="en-US" w:eastAsia="zh-CN"/>
              </w:rPr>
              <w:t>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58" w:type="pct"/>
            <w:gridSpan w:val="2"/>
            <w:vMerge w:val="continue"/>
            <w:tcBorders>
              <w:tl2br w:val="nil"/>
              <w:tr2bl w:val="nil"/>
            </w:tcBorders>
            <w:vAlign w:val="center"/>
          </w:tcPr>
          <w:p>
            <w:pPr>
              <w:pStyle w:val="45"/>
              <w:rPr>
                <w:color w:val="auto"/>
              </w:rPr>
            </w:pPr>
          </w:p>
        </w:tc>
        <w:tc>
          <w:tcPr>
            <w:tcW w:w="2999" w:type="pct"/>
            <w:gridSpan w:val="3"/>
            <w:tcBorders>
              <w:tl2br w:val="nil"/>
              <w:tr2bl w:val="nil"/>
            </w:tcBorders>
            <w:vAlign w:val="center"/>
          </w:tcPr>
          <w:p>
            <w:pPr>
              <w:pStyle w:val="45"/>
              <w:rPr>
                <w:color w:val="auto"/>
              </w:rPr>
            </w:pPr>
            <w:r>
              <w:rPr>
                <w:rFonts w:hint="eastAsia"/>
                <w:color w:val="auto"/>
              </w:rPr>
              <w:t>颗粒物</w:t>
            </w:r>
          </w:p>
        </w:tc>
        <w:tc>
          <w:tcPr>
            <w:tcW w:w="1041" w:type="pct"/>
            <w:tcBorders>
              <w:tl2br w:val="nil"/>
              <w:tr2bl w:val="nil"/>
            </w:tcBorders>
            <w:vAlign w:val="center"/>
          </w:tcPr>
          <w:p>
            <w:pPr>
              <w:pStyle w:val="45"/>
              <w:rPr>
                <w:rFonts w:hint="default"/>
                <w:color w:val="auto"/>
                <w:lang w:val="en-US"/>
              </w:rPr>
            </w:pPr>
            <w:r>
              <w:rPr>
                <w:rFonts w:hint="eastAsia"/>
                <w:color w:val="auto"/>
              </w:rPr>
              <w:t>0.</w:t>
            </w:r>
            <w:r>
              <w:rPr>
                <w:rFonts w:hint="eastAsia"/>
                <w:color w:val="auto"/>
                <w:lang w:val="en-US" w:eastAsia="zh-CN"/>
              </w:rPr>
              <w:t>16</w:t>
            </w:r>
          </w:p>
        </w:tc>
      </w:tr>
    </w:tbl>
    <w:p>
      <w:pPr>
        <w:ind w:firstLine="480"/>
        <w:rPr>
          <w:rFonts w:hint="eastAsia"/>
          <w:color w:val="auto"/>
        </w:rPr>
      </w:pPr>
      <w:r>
        <w:rPr>
          <w:rFonts w:hint="eastAsia"/>
          <w:color w:val="auto"/>
        </w:rPr>
        <w:t>拟建项目无组织污染物排放量核算见下表：</w:t>
      </w:r>
    </w:p>
    <w:p>
      <w:pPr>
        <w:pStyle w:val="57"/>
        <w:rPr>
          <w:color w:val="auto"/>
        </w:rPr>
      </w:pPr>
      <w:r>
        <w:rPr>
          <w:rFonts w:hint="eastAsia"/>
          <w:color w:val="auto"/>
        </w:rPr>
        <w:t>表5.1-9  大气污染物无组织排放量核算表</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15"/>
        <w:gridCol w:w="382"/>
        <w:gridCol w:w="794"/>
        <w:gridCol w:w="808"/>
        <w:gridCol w:w="732"/>
        <w:gridCol w:w="4364"/>
        <w:gridCol w:w="1040"/>
        <w:gridCol w:w="7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118" w:type="pct"/>
            <w:vMerge w:val="restart"/>
            <w:tcBorders>
              <w:tl2br w:val="nil"/>
              <w:tr2bl w:val="nil"/>
            </w:tcBorders>
            <w:vAlign w:val="center"/>
          </w:tcPr>
          <w:p>
            <w:pPr>
              <w:pStyle w:val="45"/>
              <w:rPr>
                <w:color w:val="auto"/>
              </w:rPr>
            </w:pPr>
            <w:r>
              <w:rPr>
                <w:color w:val="auto"/>
              </w:rPr>
              <w:t>序号</w:t>
            </w:r>
          </w:p>
        </w:tc>
        <w:tc>
          <w:tcPr>
            <w:tcW w:w="211" w:type="pct"/>
            <w:vMerge w:val="restart"/>
            <w:tcBorders>
              <w:tl2br w:val="nil"/>
              <w:tr2bl w:val="nil"/>
            </w:tcBorders>
            <w:vAlign w:val="center"/>
          </w:tcPr>
          <w:p>
            <w:pPr>
              <w:pStyle w:val="45"/>
              <w:rPr>
                <w:color w:val="auto"/>
              </w:rPr>
            </w:pPr>
            <w:r>
              <w:rPr>
                <w:color w:val="auto"/>
              </w:rPr>
              <w:t>排放口编号</w:t>
            </w:r>
          </w:p>
        </w:tc>
        <w:tc>
          <w:tcPr>
            <w:tcW w:w="437" w:type="pct"/>
            <w:vMerge w:val="restart"/>
            <w:tcBorders>
              <w:tl2br w:val="nil"/>
              <w:tr2bl w:val="nil"/>
            </w:tcBorders>
            <w:vAlign w:val="center"/>
          </w:tcPr>
          <w:p>
            <w:pPr>
              <w:pStyle w:val="45"/>
              <w:rPr>
                <w:color w:val="auto"/>
              </w:rPr>
            </w:pPr>
            <w:r>
              <w:rPr>
                <w:color w:val="auto"/>
              </w:rPr>
              <w:t>产污环节</w:t>
            </w:r>
          </w:p>
        </w:tc>
        <w:tc>
          <w:tcPr>
            <w:tcW w:w="445" w:type="pct"/>
            <w:vMerge w:val="restart"/>
            <w:tcBorders>
              <w:tl2br w:val="nil"/>
              <w:tr2bl w:val="nil"/>
            </w:tcBorders>
            <w:vAlign w:val="center"/>
          </w:tcPr>
          <w:p>
            <w:pPr>
              <w:pStyle w:val="45"/>
              <w:rPr>
                <w:color w:val="auto"/>
              </w:rPr>
            </w:pPr>
            <w:r>
              <w:rPr>
                <w:color w:val="auto"/>
              </w:rPr>
              <w:t>污染物</w:t>
            </w:r>
          </w:p>
        </w:tc>
        <w:tc>
          <w:tcPr>
            <w:tcW w:w="403" w:type="pct"/>
            <w:vMerge w:val="restart"/>
            <w:tcBorders>
              <w:tl2br w:val="nil"/>
              <w:tr2bl w:val="nil"/>
            </w:tcBorders>
            <w:vAlign w:val="center"/>
          </w:tcPr>
          <w:p>
            <w:pPr>
              <w:pStyle w:val="45"/>
              <w:rPr>
                <w:color w:val="auto"/>
              </w:rPr>
            </w:pPr>
            <w:r>
              <w:rPr>
                <w:color w:val="auto"/>
              </w:rPr>
              <w:t>主要污染防治措施</w:t>
            </w:r>
          </w:p>
        </w:tc>
        <w:tc>
          <w:tcPr>
            <w:tcW w:w="2977" w:type="pct"/>
            <w:gridSpan w:val="2"/>
            <w:tcBorders>
              <w:tl2br w:val="nil"/>
              <w:tr2bl w:val="nil"/>
            </w:tcBorders>
            <w:vAlign w:val="center"/>
          </w:tcPr>
          <w:p>
            <w:pPr>
              <w:pStyle w:val="45"/>
              <w:rPr>
                <w:color w:val="auto"/>
              </w:rPr>
            </w:pPr>
            <w:r>
              <w:rPr>
                <w:color w:val="auto"/>
              </w:rPr>
              <w:t>污染物排放标准</w:t>
            </w:r>
          </w:p>
        </w:tc>
        <w:tc>
          <w:tcPr>
            <w:tcW w:w="406" w:type="pct"/>
            <w:vMerge w:val="restart"/>
            <w:tcBorders>
              <w:tl2br w:val="nil"/>
              <w:tr2bl w:val="nil"/>
            </w:tcBorders>
            <w:vAlign w:val="center"/>
          </w:tcPr>
          <w:p>
            <w:pPr>
              <w:pStyle w:val="45"/>
              <w:rPr>
                <w:color w:val="auto"/>
              </w:rPr>
            </w:pPr>
            <w:r>
              <w:rPr>
                <w:color w:val="auto"/>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118" w:type="pct"/>
            <w:vMerge w:val="continue"/>
            <w:tcBorders>
              <w:tl2br w:val="nil"/>
              <w:tr2bl w:val="nil"/>
            </w:tcBorders>
            <w:vAlign w:val="center"/>
          </w:tcPr>
          <w:p>
            <w:pPr>
              <w:pStyle w:val="45"/>
              <w:rPr>
                <w:color w:val="auto"/>
              </w:rPr>
            </w:pPr>
          </w:p>
        </w:tc>
        <w:tc>
          <w:tcPr>
            <w:tcW w:w="211" w:type="pct"/>
            <w:vMerge w:val="continue"/>
            <w:tcBorders>
              <w:tl2br w:val="nil"/>
              <w:tr2bl w:val="nil"/>
            </w:tcBorders>
            <w:vAlign w:val="center"/>
          </w:tcPr>
          <w:p>
            <w:pPr>
              <w:pStyle w:val="45"/>
              <w:rPr>
                <w:color w:val="auto"/>
              </w:rPr>
            </w:pPr>
          </w:p>
        </w:tc>
        <w:tc>
          <w:tcPr>
            <w:tcW w:w="437" w:type="pct"/>
            <w:vMerge w:val="continue"/>
            <w:tcBorders>
              <w:tl2br w:val="nil"/>
              <w:tr2bl w:val="nil"/>
            </w:tcBorders>
            <w:vAlign w:val="center"/>
          </w:tcPr>
          <w:p>
            <w:pPr>
              <w:pStyle w:val="45"/>
              <w:rPr>
                <w:color w:val="auto"/>
              </w:rPr>
            </w:pPr>
          </w:p>
        </w:tc>
        <w:tc>
          <w:tcPr>
            <w:tcW w:w="445" w:type="pct"/>
            <w:vMerge w:val="continue"/>
            <w:tcBorders>
              <w:tl2br w:val="nil"/>
              <w:tr2bl w:val="nil"/>
            </w:tcBorders>
            <w:vAlign w:val="center"/>
          </w:tcPr>
          <w:p>
            <w:pPr>
              <w:pStyle w:val="45"/>
              <w:rPr>
                <w:color w:val="auto"/>
              </w:rPr>
            </w:pPr>
          </w:p>
        </w:tc>
        <w:tc>
          <w:tcPr>
            <w:tcW w:w="403" w:type="pct"/>
            <w:vMerge w:val="continue"/>
            <w:tcBorders>
              <w:tl2br w:val="nil"/>
              <w:tr2bl w:val="nil"/>
            </w:tcBorders>
            <w:vAlign w:val="center"/>
          </w:tcPr>
          <w:p>
            <w:pPr>
              <w:pStyle w:val="45"/>
              <w:rPr>
                <w:color w:val="auto"/>
              </w:rPr>
            </w:pPr>
          </w:p>
        </w:tc>
        <w:tc>
          <w:tcPr>
            <w:tcW w:w="2404" w:type="pct"/>
            <w:tcBorders>
              <w:tl2br w:val="nil"/>
              <w:tr2bl w:val="nil"/>
            </w:tcBorders>
            <w:vAlign w:val="center"/>
          </w:tcPr>
          <w:p>
            <w:pPr>
              <w:pStyle w:val="45"/>
              <w:rPr>
                <w:color w:val="auto"/>
              </w:rPr>
            </w:pPr>
            <w:r>
              <w:rPr>
                <w:color w:val="auto"/>
              </w:rPr>
              <w:t>标准名称</w:t>
            </w:r>
          </w:p>
        </w:tc>
        <w:tc>
          <w:tcPr>
            <w:tcW w:w="573" w:type="pct"/>
            <w:tcBorders>
              <w:tl2br w:val="nil"/>
              <w:tr2bl w:val="nil"/>
            </w:tcBorders>
            <w:vAlign w:val="center"/>
          </w:tcPr>
          <w:p>
            <w:pPr>
              <w:pStyle w:val="45"/>
              <w:rPr>
                <w:color w:val="auto"/>
              </w:rPr>
            </w:pPr>
            <w:r>
              <w:rPr>
                <w:color w:val="auto"/>
              </w:rPr>
              <w:t>浓度限值（μg/m</w:t>
            </w:r>
            <w:r>
              <w:rPr>
                <w:color w:val="auto"/>
                <w:vertAlign w:val="superscript"/>
              </w:rPr>
              <w:t>3</w:t>
            </w:r>
            <w:r>
              <w:rPr>
                <w:color w:val="auto"/>
              </w:rPr>
              <w:t>）</w:t>
            </w:r>
          </w:p>
        </w:tc>
        <w:tc>
          <w:tcPr>
            <w:tcW w:w="406" w:type="pct"/>
            <w:vMerge w:val="continue"/>
            <w:tcBorders>
              <w:tl2br w:val="nil"/>
              <w:tr2bl w:val="nil"/>
            </w:tcBorders>
            <w:vAlign w:val="center"/>
          </w:tcPr>
          <w:p>
            <w:pPr>
              <w:pStyle w:val="45"/>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118" w:type="pct"/>
            <w:tcBorders>
              <w:tl2br w:val="nil"/>
              <w:tr2bl w:val="nil"/>
            </w:tcBorders>
            <w:vAlign w:val="center"/>
          </w:tcPr>
          <w:p>
            <w:pPr>
              <w:pStyle w:val="45"/>
              <w:rPr>
                <w:color w:val="auto"/>
              </w:rPr>
            </w:pPr>
            <w:r>
              <w:rPr>
                <w:rFonts w:hint="eastAsia"/>
                <w:color w:val="auto"/>
              </w:rPr>
              <w:t>1</w:t>
            </w:r>
          </w:p>
        </w:tc>
        <w:tc>
          <w:tcPr>
            <w:tcW w:w="211" w:type="pct"/>
            <w:tcBorders>
              <w:tl2br w:val="nil"/>
              <w:tr2bl w:val="nil"/>
            </w:tcBorders>
            <w:vAlign w:val="center"/>
          </w:tcPr>
          <w:p>
            <w:pPr>
              <w:widowControl/>
              <w:spacing w:line="312" w:lineRule="exact"/>
              <w:ind w:firstLine="0" w:firstLineChars="0"/>
              <w:jc w:val="center"/>
              <w:textAlignment w:val="center"/>
              <w:rPr>
                <w:color w:val="auto"/>
              </w:rPr>
            </w:pPr>
            <w:r>
              <w:rPr>
                <w:color w:val="auto"/>
                <w:kern w:val="0"/>
                <w:sz w:val="21"/>
                <w:szCs w:val="21"/>
                <w:lang w:bidi="ar"/>
              </w:rPr>
              <w:t>A1</w:t>
            </w:r>
          </w:p>
        </w:tc>
        <w:tc>
          <w:tcPr>
            <w:tcW w:w="437" w:type="pct"/>
            <w:tcBorders>
              <w:tl2br w:val="nil"/>
              <w:tr2bl w:val="nil"/>
            </w:tcBorders>
            <w:vAlign w:val="center"/>
          </w:tcPr>
          <w:p>
            <w:pPr>
              <w:spacing w:line="240" w:lineRule="auto"/>
              <w:ind w:firstLine="0" w:firstLineChars="0"/>
              <w:jc w:val="center"/>
              <w:rPr>
                <w:color w:val="auto"/>
              </w:rPr>
            </w:pPr>
            <w:r>
              <w:rPr>
                <w:color w:val="auto"/>
                <w:sz w:val="21"/>
                <w:szCs w:val="21"/>
              </w:rPr>
              <w:t>装置区</w:t>
            </w:r>
          </w:p>
        </w:tc>
        <w:tc>
          <w:tcPr>
            <w:tcW w:w="445" w:type="pct"/>
            <w:tcBorders>
              <w:tl2br w:val="nil"/>
              <w:tr2bl w:val="nil"/>
            </w:tcBorders>
            <w:vAlign w:val="center"/>
          </w:tcPr>
          <w:p>
            <w:pPr>
              <w:pStyle w:val="49"/>
              <w:rPr>
                <w:color w:val="auto"/>
              </w:rPr>
            </w:pPr>
            <w:r>
              <w:rPr>
                <w:color w:val="auto"/>
                <w:sz w:val="21"/>
                <w:szCs w:val="21"/>
              </w:rPr>
              <w:t>VOCs</w:t>
            </w:r>
          </w:p>
        </w:tc>
        <w:tc>
          <w:tcPr>
            <w:tcW w:w="403" w:type="pct"/>
            <w:tcBorders>
              <w:tl2br w:val="nil"/>
              <w:tr2bl w:val="nil"/>
            </w:tcBorders>
            <w:vAlign w:val="center"/>
          </w:tcPr>
          <w:p>
            <w:pPr>
              <w:pStyle w:val="45"/>
              <w:rPr>
                <w:color w:val="auto"/>
              </w:rPr>
            </w:pPr>
            <w:r>
              <w:rPr>
                <w:rFonts w:hint="eastAsia"/>
                <w:color w:val="auto"/>
              </w:rPr>
              <w:t>车间封闭，保持微负压等</w:t>
            </w:r>
          </w:p>
        </w:tc>
        <w:tc>
          <w:tcPr>
            <w:tcW w:w="2404" w:type="pct"/>
            <w:tcBorders>
              <w:tl2br w:val="nil"/>
              <w:tr2bl w:val="nil"/>
            </w:tcBorders>
            <w:vAlign w:val="center"/>
          </w:tcPr>
          <w:p>
            <w:pPr>
              <w:pStyle w:val="45"/>
              <w:rPr>
                <w:color w:val="auto"/>
              </w:rPr>
            </w:pPr>
            <w:r>
              <w:rPr>
                <w:color w:val="auto"/>
              </w:rPr>
              <w:t>《挥发性有机物排放标准 第6部分：有机化工行业》（DB37/2801.6-2018）</w:t>
            </w:r>
          </w:p>
        </w:tc>
        <w:tc>
          <w:tcPr>
            <w:tcW w:w="573" w:type="pct"/>
            <w:tcBorders>
              <w:tl2br w:val="nil"/>
              <w:tr2bl w:val="nil"/>
            </w:tcBorders>
            <w:vAlign w:val="center"/>
          </w:tcPr>
          <w:p>
            <w:pPr>
              <w:pStyle w:val="45"/>
              <w:rPr>
                <w:color w:val="auto"/>
              </w:rPr>
            </w:pPr>
            <w:r>
              <w:rPr>
                <w:rFonts w:hint="eastAsia"/>
                <w:color w:val="auto"/>
              </w:rPr>
              <w:t>2000</w:t>
            </w:r>
          </w:p>
        </w:tc>
        <w:tc>
          <w:tcPr>
            <w:tcW w:w="406" w:type="pct"/>
            <w:tcBorders>
              <w:tl2br w:val="nil"/>
              <w:tr2bl w:val="nil"/>
            </w:tcBorders>
            <w:vAlign w:val="center"/>
          </w:tcPr>
          <w:p>
            <w:pPr>
              <w:pStyle w:val="45"/>
              <w:rPr>
                <w:color w:val="auto"/>
              </w:rPr>
            </w:pPr>
            <w:r>
              <w:rPr>
                <w:rFonts w:hint="eastAsia"/>
                <w:color w:val="auto"/>
              </w:rPr>
              <w:t>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118" w:type="pct"/>
            <w:tcBorders>
              <w:tl2br w:val="nil"/>
              <w:tr2bl w:val="nil"/>
            </w:tcBorders>
            <w:vAlign w:val="center"/>
          </w:tcPr>
          <w:p>
            <w:pPr>
              <w:pStyle w:val="45"/>
              <w:rPr>
                <w:color w:val="auto"/>
              </w:rPr>
            </w:pPr>
            <w:r>
              <w:rPr>
                <w:rFonts w:hint="eastAsia"/>
                <w:color w:val="auto"/>
              </w:rPr>
              <w:t>2</w:t>
            </w:r>
          </w:p>
        </w:tc>
        <w:tc>
          <w:tcPr>
            <w:tcW w:w="211" w:type="pct"/>
            <w:tcBorders>
              <w:tl2br w:val="nil"/>
              <w:tr2bl w:val="nil"/>
            </w:tcBorders>
            <w:vAlign w:val="center"/>
          </w:tcPr>
          <w:p>
            <w:pPr>
              <w:widowControl/>
              <w:spacing w:line="312" w:lineRule="exact"/>
              <w:ind w:firstLine="0" w:firstLineChars="0"/>
              <w:jc w:val="center"/>
              <w:textAlignment w:val="center"/>
              <w:rPr>
                <w:color w:val="auto"/>
              </w:rPr>
            </w:pPr>
            <w:r>
              <w:rPr>
                <w:color w:val="auto"/>
                <w:kern w:val="0"/>
                <w:sz w:val="21"/>
                <w:szCs w:val="21"/>
                <w:lang w:bidi="ar"/>
              </w:rPr>
              <w:t>A2</w:t>
            </w:r>
          </w:p>
        </w:tc>
        <w:tc>
          <w:tcPr>
            <w:tcW w:w="437" w:type="pct"/>
            <w:tcBorders>
              <w:tl2br w:val="nil"/>
              <w:tr2bl w:val="nil"/>
            </w:tcBorders>
            <w:vAlign w:val="center"/>
          </w:tcPr>
          <w:p>
            <w:pPr>
              <w:spacing w:line="240" w:lineRule="auto"/>
              <w:ind w:firstLine="0" w:firstLineChars="0"/>
              <w:jc w:val="center"/>
              <w:rPr>
                <w:color w:val="auto"/>
              </w:rPr>
            </w:pPr>
            <w:r>
              <w:rPr>
                <w:rFonts w:hint="eastAsia"/>
                <w:color w:val="auto"/>
                <w:kern w:val="0"/>
                <w:sz w:val="21"/>
                <w:szCs w:val="21"/>
                <w:lang w:bidi="ar"/>
              </w:rPr>
              <w:t>生产车间</w:t>
            </w:r>
          </w:p>
        </w:tc>
        <w:tc>
          <w:tcPr>
            <w:tcW w:w="445" w:type="pct"/>
            <w:tcBorders>
              <w:tl2br w:val="nil"/>
              <w:tr2bl w:val="nil"/>
            </w:tcBorders>
            <w:vAlign w:val="center"/>
          </w:tcPr>
          <w:p>
            <w:pPr>
              <w:pStyle w:val="49"/>
              <w:rPr>
                <w:color w:val="auto"/>
              </w:rPr>
            </w:pPr>
            <w:r>
              <w:rPr>
                <w:rFonts w:hint="eastAsia"/>
                <w:color w:val="auto"/>
              </w:rPr>
              <w:t>颗粒物</w:t>
            </w:r>
          </w:p>
        </w:tc>
        <w:tc>
          <w:tcPr>
            <w:tcW w:w="403" w:type="pct"/>
            <w:tcBorders>
              <w:tl2br w:val="nil"/>
              <w:tr2bl w:val="nil"/>
            </w:tcBorders>
            <w:vAlign w:val="center"/>
          </w:tcPr>
          <w:p>
            <w:pPr>
              <w:pStyle w:val="45"/>
              <w:rPr>
                <w:color w:val="auto"/>
              </w:rPr>
            </w:pPr>
            <w:r>
              <w:rPr>
                <w:rFonts w:hint="eastAsia"/>
                <w:color w:val="auto"/>
              </w:rPr>
              <w:t>车间封闭，保持微负压等</w:t>
            </w:r>
          </w:p>
        </w:tc>
        <w:tc>
          <w:tcPr>
            <w:tcW w:w="2404" w:type="pct"/>
            <w:tcBorders>
              <w:tl2br w:val="nil"/>
              <w:tr2bl w:val="nil"/>
            </w:tcBorders>
            <w:vAlign w:val="center"/>
          </w:tcPr>
          <w:p>
            <w:pPr>
              <w:pStyle w:val="45"/>
              <w:rPr>
                <w:color w:val="auto"/>
              </w:rPr>
            </w:pPr>
            <w:r>
              <w:rPr>
                <w:color w:val="auto"/>
                <w:szCs w:val="21"/>
              </w:rPr>
              <w:t>《大气污染物综合排放标准》（GB16297-1996）</w:t>
            </w:r>
          </w:p>
        </w:tc>
        <w:tc>
          <w:tcPr>
            <w:tcW w:w="573" w:type="pct"/>
            <w:tcBorders>
              <w:tl2br w:val="nil"/>
              <w:tr2bl w:val="nil"/>
            </w:tcBorders>
            <w:vAlign w:val="center"/>
          </w:tcPr>
          <w:p>
            <w:pPr>
              <w:pStyle w:val="45"/>
              <w:rPr>
                <w:color w:val="auto"/>
              </w:rPr>
            </w:pPr>
            <w:r>
              <w:rPr>
                <w:rFonts w:hint="eastAsia"/>
                <w:color w:val="auto"/>
              </w:rPr>
              <w:t>1000</w:t>
            </w:r>
          </w:p>
        </w:tc>
        <w:tc>
          <w:tcPr>
            <w:tcW w:w="406" w:type="pct"/>
            <w:tcBorders>
              <w:tl2br w:val="nil"/>
              <w:tr2bl w:val="nil"/>
            </w:tcBorders>
            <w:vAlign w:val="center"/>
          </w:tcPr>
          <w:p>
            <w:pPr>
              <w:pStyle w:val="45"/>
              <w:rPr>
                <w:color w:val="auto"/>
              </w:rPr>
            </w:pPr>
            <w:r>
              <w:rPr>
                <w:rFonts w:hint="eastAsia"/>
                <w:color w:val="auto"/>
              </w:rPr>
              <w:t>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18" w:type="pct"/>
            <w:vMerge w:val="restart"/>
            <w:tcBorders>
              <w:tl2br w:val="nil"/>
              <w:tr2bl w:val="nil"/>
            </w:tcBorders>
            <w:vAlign w:val="center"/>
          </w:tcPr>
          <w:p>
            <w:pPr>
              <w:pStyle w:val="45"/>
              <w:rPr>
                <w:color w:val="auto"/>
              </w:rPr>
            </w:pPr>
            <w:r>
              <w:rPr>
                <w:rFonts w:hint="eastAsia"/>
                <w:color w:val="auto"/>
              </w:rPr>
              <w:t>3</w:t>
            </w:r>
          </w:p>
        </w:tc>
        <w:tc>
          <w:tcPr>
            <w:tcW w:w="211" w:type="pct"/>
            <w:vMerge w:val="restart"/>
            <w:tcBorders>
              <w:tl2br w:val="nil"/>
              <w:tr2bl w:val="nil"/>
            </w:tcBorders>
            <w:vAlign w:val="center"/>
          </w:tcPr>
          <w:p>
            <w:pPr>
              <w:widowControl/>
              <w:spacing w:line="312" w:lineRule="exact"/>
              <w:ind w:firstLine="0" w:firstLineChars="0"/>
              <w:jc w:val="center"/>
              <w:textAlignment w:val="center"/>
              <w:rPr>
                <w:color w:val="auto"/>
              </w:rPr>
            </w:pPr>
            <w:r>
              <w:rPr>
                <w:color w:val="auto"/>
                <w:kern w:val="0"/>
                <w:sz w:val="21"/>
                <w:szCs w:val="21"/>
                <w:lang w:bidi="ar"/>
              </w:rPr>
              <w:t>A3</w:t>
            </w:r>
          </w:p>
        </w:tc>
        <w:tc>
          <w:tcPr>
            <w:tcW w:w="437" w:type="pct"/>
            <w:vMerge w:val="restart"/>
            <w:tcBorders>
              <w:tl2br w:val="nil"/>
              <w:tr2bl w:val="nil"/>
            </w:tcBorders>
            <w:vAlign w:val="center"/>
          </w:tcPr>
          <w:p>
            <w:pPr>
              <w:spacing w:line="240" w:lineRule="auto"/>
              <w:ind w:firstLine="0" w:firstLineChars="0"/>
              <w:jc w:val="center"/>
              <w:rPr>
                <w:color w:val="auto"/>
              </w:rPr>
            </w:pPr>
            <w:r>
              <w:rPr>
                <w:rFonts w:hint="eastAsia"/>
                <w:color w:val="auto"/>
                <w:kern w:val="0"/>
                <w:sz w:val="21"/>
                <w:szCs w:val="21"/>
                <w:lang w:bidi="ar"/>
              </w:rPr>
              <w:t>污水处理站</w:t>
            </w:r>
          </w:p>
        </w:tc>
        <w:tc>
          <w:tcPr>
            <w:tcW w:w="445" w:type="pct"/>
            <w:tcBorders>
              <w:tl2br w:val="nil"/>
              <w:tr2bl w:val="nil"/>
            </w:tcBorders>
            <w:vAlign w:val="center"/>
          </w:tcPr>
          <w:p>
            <w:pPr>
              <w:pStyle w:val="49"/>
              <w:rPr>
                <w:color w:val="auto"/>
              </w:rPr>
            </w:pPr>
            <w:r>
              <w:rPr>
                <w:rFonts w:hint="eastAsia"/>
                <w:color w:val="auto"/>
              </w:rPr>
              <w:t>氨</w:t>
            </w:r>
          </w:p>
        </w:tc>
        <w:tc>
          <w:tcPr>
            <w:tcW w:w="403" w:type="pct"/>
            <w:vMerge w:val="restart"/>
            <w:tcBorders>
              <w:tl2br w:val="nil"/>
              <w:tr2bl w:val="nil"/>
            </w:tcBorders>
            <w:vAlign w:val="center"/>
          </w:tcPr>
          <w:p>
            <w:pPr>
              <w:pStyle w:val="45"/>
              <w:rPr>
                <w:color w:val="auto"/>
              </w:rPr>
            </w:pPr>
            <w:r>
              <w:rPr>
                <w:rFonts w:hint="eastAsia"/>
                <w:color w:val="auto"/>
              </w:rPr>
              <w:t>加盖密封，增加绿化</w:t>
            </w:r>
          </w:p>
        </w:tc>
        <w:tc>
          <w:tcPr>
            <w:tcW w:w="2404" w:type="pct"/>
            <w:vMerge w:val="restart"/>
            <w:tcBorders>
              <w:tl2br w:val="nil"/>
              <w:tr2bl w:val="nil"/>
            </w:tcBorders>
            <w:vAlign w:val="center"/>
          </w:tcPr>
          <w:p>
            <w:pPr>
              <w:pStyle w:val="45"/>
              <w:rPr>
                <w:color w:val="auto"/>
              </w:rPr>
            </w:pPr>
            <w:r>
              <w:rPr>
                <w:rFonts w:hint="eastAsia"/>
                <w:color w:val="auto"/>
                <w:szCs w:val="21"/>
              </w:rPr>
              <w:t>《有机化工企业污水处理厂（站）挥发性有机物及恶臭污染物排放标准》（DB37/3161-2018）</w:t>
            </w:r>
          </w:p>
        </w:tc>
        <w:tc>
          <w:tcPr>
            <w:tcW w:w="573" w:type="pct"/>
            <w:tcBorders>
              <w:tl2br w:val="nil"/>
              <w:tr2bl w:val="nil"/>
            </w:tcBorders>
            <w:vAlign w:val="center"/>
          </w:tcPr>
          <w:p>
            <w:pPr>
              <w:pStyle w:val="45"/>
              <w:rPr>
                <w:color w:val="auto"/>
              </w:rPr>
            </w:pPr>
            <w:r>
              <w:rPr>
                <w:rFonts w:hint="eastAsia"/>
                <w:color w:val="auto"/>
              </w:rPr>
              <w:t>1000</w:t>
            </w:r>
          </w:p>
        </w:tc>
        <w:tc>
          <w:tcPr>
            <w:tcW w:w="406" w:type="pct"/>
            <w:tcBorders>
              <w:tl2br w:val="nil"/>
              <w:tr2bl w:val="nil"/>
            </w:tcBorders>
            <w:vAlign w:val="center"/>
          </w:tcPr>
          <w:p>
            <w:pPr>
              <w:pStyle w:val="45"/>
              <w:rPr>
                <w:color w:val="auto"/>
              </w:rPr>
            </w:pPr>
            <w:r>
              <w:rPr>
                <w:rFonts w:hint="eastAsia"/>
                <w:color w:val="auto"/>
              </w:rPr>
              <w:t>0.021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18" w:type="pct"/>
            <w:vMerge w:val="continue"/>
            <w:tcBorders>
              <w:tl2br w:val="nil"/>
              <w:tr2bl w:val="nil"/>
            </w:tcBorders>
            <w:vAlign w:val="center"/>
          </w:tcPr>
          <w:p>
            <w:pPr>
              <w:pStyle w:val="49"/>
              <w:rPr>
                <w:color w:val="auto"/>
              </w:rPr>
            </w:pPr>
          </w:p>
        </w:tc>
        <w:tc>
          <w:tcPr>
            <w:tcW w:w="211" w:type="pct"/>
            <w:vMerge w:val="continue"/>
            <w:tcBorders>
              <w:tl2br w:val="nil"/>
              <w:tr2bl w:val="nil"/>
            </w:tcBorders>
            <w:vAlign w:val="center"/>
          </w:tcPr>
          <w:p>
            <w:pPr>
              <w:pStyle w:val="49"/>
              <w:rPr>
                <w:color w:val="auto"/>
              </w:rPr>
            </w:pPr>
          </w:p>
        </w:tc>
        <w:tc>
          <w:tcPr>
            <w:tcW w:w="437" w:type="pct"/>
            <w:vMerge w:val="continue"/>
            <w:tcBorders>
              <w:tl2br w:val="nil"/>
              <w:tr2bl w:val="nil"/>
            </w:tcBorders>
            <w:vAlign w:val="center"/>
          </w:tcPr>
          <w:p>
            <w:pPr>
              <w:pStyle w:val="49"/>
              <w:rPr>
                <w:color w:val="auto"/>
              </w:rPr>
            </w:pPr>
          </w:p>
        </w:tc>
        <w:tc>
          <w:tcPr>
            <w:tcW w:w="445" w:type="pct"/>
            <w:tcBorders>
              <w:tl2br w:val="nil"/>
              <w:tr2bl w:val="nil"/>
            </w:tcBorders>
            <w:vAlign w:val="center"/>
          </w:tcPr>
          <w:p>
            <w:pPr>
              <w:pStyle w:val="49"/>
              <w:rPr>
                <w:color w:val="auto"/>
              </w:rPr>
            </w:pPr>
            <w:r>
              <w:rPr>
                <w:rFonts w:hint="eastAsia"/>
                <w:color w:val="auto"/>
              </w:rPr>
              <w:t>硫化氢</w:t>
            </w:r>
          </w:p>
        </w:tc>
        <w:tc>
          <w:tcPr>
            <w:tcW w:w="403" w:type="pct"/>
            <w:vMerge w:val="continue"/>
            <w:tcBorders>
              <w:tl2br w:val="nil"/>
              <w:tr2bl w:val="nil"/>
            </w:tcBorders>
            <w:vAlign w:val="center"/>
          </w:tcPr>
          <w:p>
            <w:pPr>
              <w:pStyle w:val="49"/>
              <w:rPr>
                <w:color w:val="auto"/>
              </w:rPr>
            </w:pPr>
          </w:p>
        </w:tc>
        <w:tc>
          <w:tcPr>
            <w:tcW w:w="2404" w:type="pct"/>
            <w:vMerge w:val="continue"/>
            <w:tcBorders>
              <w:tl2br w:val="nil"/>
              <w:tr2bl w:val="nil"/>
            </w:tcBorders>
            <w:vAlign w:val="center"/>
          </w:tcPr>
          <w:p>
            <w:pPr>
              <w:pStyle w:val="49"/>
              <w:rPr>
                <w:color w:val="auto"/>
              </w:rPr>
            </w:pPr>
          </w:p>
        </w:tc>
        <w:tc>
          <w:tcPr>
            <w:tcW w:w="573" w:type="pct"/>
            <w:tcBorders>
              <w:tl2br w:val="nil"/>
              <w:tr2bl w:val="nil"/>
            </w:tcBorders>
            <w:vAlign w:val="center"/>
          </w:tcPr>
          <w:p>
            <w:pPr>
              <w:pStyle w:val="49"/>
              <w:rPr>
                <w:color w:val="auto"/>
              </w:rPr>
            </w:pPr>
            <w:r>
              <w:rPr>
                <w:rFonts w:hint="eastAsia"/>
                <w:color w:val="auto"/>
              </w:rPr>
              <w:t>30</w:t>
            </w:r>
          </w:p>
        </w:tc>
        <w:tc>
          <w:tcPr>
            <w:tcW w:w="406" w:type="pct"/>
            <w:tcBorders>
              <w:tl2br w:val="nil"/>
              <w:tr2bl w:val="nil"/>
            </w:tcBorders>
            <w:vAlign w:val="center"/>
          </w:tcPr>
          <w:p>
            <w:pPr>
              <w:pStyle w:val="49"/>
              <w:rPr>
                <w:color w:val="auto"/>
              </w:rPr>
            </w:pPr>
            <w:r>
              <w:rPr>
                <w:rFonts w:hint="eastAsia"/>
                <w:color w:val="auto"/>
              </w:rPr>
              <w:t>0.0005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767" w:type="pct"/>
            <w:gridSpan w:val="3"/>
            <w:vMerge w:val="restart"/>
            <w:tcBorders>
              <w:tl2br w:val="nil"/>
              <w:tr2bl w:val="nil"/>
            </w:tcBorders>
            <w:vAlign w:val="center"/>
          </w:tcPr>
          <w:p>
            <w:pPr>
              <w:pStyle w:val="49"/>
              <w:rPr>
                <w:color w:val="auto"/>
              </w:rPr>
            </w:pPr>
            <w:r>
              <w:rPr>
                <w:rFonts w:hint="eastAsia"/>
                <w:color w:val="auto"/>
              </w:rPr>
              <w:t>无组织排放总计</w:t>
            </w:r>
          </w:p>
        </w:tc>
        <w:tc>
          <w:tcPr>
            <w:tcW w:w="3252" w:type="pct"/>
            <w:gridSpan w:val="3"/>
            <w:tcBorders>
              <w:tl2br w:val="nil"/>
              <w:tr2bl w:val="nil"/>
            </w:tcBorders>
            <w:vAlign w:val="center"/>
          </w:tcPr>
          <w:p>
            <w:pPr>
              <w:spacing w:line="240" w:lineRule="auto"/>
              <w:ind w:firstLine="0" w:firstLineChars="0"/>
              <w:jc w:val="center"/>
              <w:rPr>
                <w:color w:val="auto"/>
              </w:rPr>
            </w:pPr>
            <w:r>
              <w:rPr>
                <w:rFonts w:hint="eastAsia"/>
                <w:color w:val="auto"/>
                <w:sz w:val="21"/>
                <w:szCs w:val="21"/>
              </w:rPr>
              <w:t>颗粒物</w:t>
            </w:r>
          </w:p>
        </w:tc>
        <w:tc>
          <w:tcPr>
            <w:tcW w:w="979" w:type="pct"/>
            <w:gridSpan w:val="2"/>
            <w:tcBorders>
              <w:tl2br w:val="nil"/>
              <w:tr2bl w:val="nil"/>
            </w:tcBorders>
            <w:vAlign w:val="center"/>
          </w:tcPr>
          <w:p>
            <w:pPr>
              <w:pStyle w:val="2"/>
              <w:spacing w:after="0" w:line="240" w:lineRule="auto"/>
              <w:ind w:firstLine="0" w:firstLineChars="0"/>
              <w:jc w:val="center"/>
              <w:rPr>
                <w:rFonts w:hint="eastAsia" w:eastAsia="宋体"/>
                <w:color w:val="auto"/>
                <w:lang w:eastAsia="zh-CN"/>
              </w:rPr>
            </w:pPr>
            <w:r>
              <w:rPr>
                <w:rFonts w:hint="eastAsia"/>
                <w:bCs/>
                <w:color w:val="auto"/>
                <w:sz w:val="21"/>
                <w:szCs w:val="21"/>
              </w:rPr>
              <w:t>0.00</w:t>
            </w:r>
            <w:r>
              <w:rPr>
                <w:rFonts w:hint="eastAsia"/>
                <w:bCs/>
                <w:color w:val="auto"/>
                <w:sz w:val="21"/>
                <w:szCs w:val="21"/>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767" w:type="pct"/>
            <w:gridSpan w:val="3"/>
            <w:vMerge w:val="continue"/>
            <w:tcBorders>
              <w:tl2br w:val="nil"/>
              <w:tr2bl w:val="nil"/>
            </w:tcBorders>
            <w:vAlign w:val="center"/>
          </w:tcPr>
          <w:p>
            <w:pPr>
              <w:pStyle w:val="49"/>
              <w:rPr>
                <w:color w:val="auto"/>
              </w:rPr>
            </w:pPr>
          </w:p>
        </w:tc>
        <w:tc>
          <w:tcPr>
            <w:tcW w:w="3252" w:type="pct"/>
            <w:gridSpan w:val="3"/>
            <w:tcBorders>
              <w:tl2br w:val="nil"/>
              <w:tr2bl w:val="nil"/>
            </w:tcBorders>
            <w:vAlign w:val="center"/>
          </w:tcPr>
          <w:p>
            <w:pPr>
              <w:pStyle w:val="2"/>
              <w:spacing w:after="0" w:line="240" w:lineRule="auto"/>
              <w:ind w:firstLine="0" w:firstLineChars="0"/>
              <w:jc w:val="center"/>
              <w:rPr>
                <w:color w:val="auto"/>
              </w:rPr>
            </w:pPr>
            <w:r>
              <w:rPr>
                <w:color w:val="auto"/>
                <w:sz w:val="21"/>
                <w:szCs w:val="21"/>
              </w:rPr>
              <w:t>VOCs</w:t>
            </w:r>
          </w:p>
        </w:tc>
        <w:tc>
          <w:tcPr>
            <w:tcW w:w="979" w:type="pct"/>
            <w:gridSpan w:val="2"/>
            <w:tcBorders>
              <w:tl2br w:val="nil"/>
              <w:tr2bl w:val="nil"/>
            </w:tcBorders>
            <w:vAlign w:val="center"/>
          </w:tcPr>
          <w:p>
            <w:pPr>
              <w:pStyle w:val="2"/>
              <w:spacing w:after="0" w:line="240" w:lineRule="auto"/>
              <w:ind w:firstLine="0" w:firstLineChars="0"/>
              <w:jc w:val="center"/>
              <w:rPr>
                <w:rFonts w:hint="default" w:eastAsia="宋体"/>
                <w:color w:val="auto"/>
                <w:lang w:val="en-US" w:eastAsia="zh-CN"/>
              </w:rPr>
            </w:pPr>
            <w:r>
              <w:rPr>
                <w:rFonts w:hint="eastAsia"/>
                <w:bCs/>
                <w:color w:val="auto"/>
                <w:sz w:val="21"/>
                <w:szCs w:val="21"/>
              </w:rPr>
              <w:t>0.</w:t>
            </w:r>
            <w:r>
              <w:rPr>
                <w:rFonts w:hint="eastAsia"/>
                <w:bCs/>
                <w:color w:val="auto"/>
                <w:sz w:val="21"/>
                <w:szCs w:val="21"/>
                <w:lang w:val="en-US" w:eastAsia="zh-CN"/>
              </w:rPr>
              <w:t>152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767" w:type="pct"/>
            <w:gridSpan w:val="3"/>
            <w:vMerge w:val="continue"/>
            <w:tcBorders>
              <w:tl2br w:val="nil"/>
              <w:tr2bl w:val="nil"/>
            </w:tcBorders>
            <w:vAlign w:val="center"/>
          </w:tcPr>
          <w:p>
            <w:pPr>
              <w:pStyle w:val="49"/>
              <w:rPr>
                <w:color w:val="auto"/>
              </w:rPr>
            </w:pPr>
          </w:p>
        </w:tc>
        <w:tc>
          <w:tcPr>
            <w:tcW w:w="3252" w:type="pct"/>
            <w:gridSpan w:val="3"/>
            <w:tcBorders>
              <w:tl2br w:val="nil"/>
              <w:tr2bl w:val="nil"/>
            </w:tcBorders>
            <w:vAlign w:val="center"/>
          </w:tcPr>
          <w:p>
            <w:pPr>
              <w:widowControl/>
              <w:adjustRightInd w:val="0"/>
              <w:snapToGrid w:val="0"/>
              <w:spacing w:line="240" w:lineRule="auto"/>
              <w:ind w:firstLine="0" w:firstLineChars="0"/>
              <w:jc w:val="center"/>
              <w:rPr>
                <w:color w:val="auto"/>
              </w:rPr>
            </w:pPr>
            <w:r>
              <w:rPr>
                <w:rFonts w:hint="eastAsia"/>
                <w:color w:val="auto"/>
                <w:sz w:val="21"/>
                <w:szCs w:val="21"/>
              </w:rPr>
              <w:t>氨</w:t>
            </w:r>
          </w:p>
        </w:tc>
        <w:tc>
          <w:tcPr>
            <w:tcW w:w="979" w:type="pct"/>
            <w:gridSpan w:val="2"/>
            <w:tcBorders>
              <w:tl2br w:val="nil"/>
              <w:tr2bl w:val="nil"/>
            </w:tcBorders>
            <w:vAlign w:val="center"/>
          </w:tcPr>
          <w:p>
            <w:pPr>
              <w:pStyle w:val="2"/>
              <w:spacing w:after="0" w:line="240" w:lineRule="auto"/>
              <w:ind w:firstLine="0" w:firstLineChars="0"/>
              <w:jc w:val="center"/>
              <w:rPr>
                <w:color w:val="auto"/>
              </w:rPr>
            </w:pPr>
            <w:r>
              <w:rPr>
                <w:rFonts w:hint="eastAsia"/>
                <w:bCs/>
                <w:color w:val="auto"/>
                <w:sz w:val="21"/>
                <w:szCs w:val="21"/>
              </w:rPr>
              <w:t>0.021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767" w:type="pct"/>
            <w:gridSpan w:val="3"/>
            <w:vMerge w:val="continue"/>
            <w:tcBorders>
              <w:tl2br w:val="nil"/>
              <w:tr2bl w:val="nil"/>
            </w:tcBorders>
            <w:vAlign w:val="center"/>
          </w:tcPr>
          <w:p>
            <w:pPr>
              <w:pStyle w:val="49"/>
              <w:rPr>
                <w:color w:val="auto"/>
              </w:rPr>
            </w:pPr>
          </w:p>
        </w:tc>
        <w:tc>
          <w:tcPr>
            <w:tcW w:w="3252" w:type="pct"/>
            <w:gridSpan w:val="3"/>
            <w:tcBorders>
              <w:tl2br w:val="nil"/>
              <w:tr2bl w:val="nil"/>
            </w:tcBorders>
            <w:vAlign w:val="center"/>
          </w:tcPr>
          <w:p>
            <w:pPr>
              <w:widowControl/>
              <w:adjustRightInd w:val="0"/>
              <w:snapToGrid w:val="0"/>
              <w:spacing w:line="240" w:lineRule="auto"/>
              <w:ind w:firstLine="0" w:firstLineChars="0"/>
              <w:jc w:val="center"/>
              <w:rPr>
                <w:color w:val="auto"/>
              </w:rPr>
            </w:pPr>
            <w:r>
              <w:rPr>
                <w:rFonts w:hint="eastAsia"/>
                <w:color w:val="auto"/>
                <w:sz w:val="21"/>
                <w:szCs w:val="21"/>
              </w:rPr>
              <w:t>硫化氢</w:t>
            </w:r>
          </w:p>
        </w:tc>
        <w:tc>
          <w:tcPr>
            <w:tcW w:w="979" w:type="pct"/>
            <w:gridSpan w:val="2"/>
            <w:tcBorders>
              <w:tl2br w:val="nil"/>
              <w:tr2bl w:val="nil"/>
            </w:tcBorders>
            <w:vAlign w:val="center"/>
          </w:tcPr>
          <w:p>
            <w:pPr>
              <w:pStyle w:val="2"/>
              <w:spacing w:after="0" w:line="240" w:lineRule="auto"/>
              <w:ind w:firstLine="0" w:firstLineChars="0"/>
              <w:jc w:val="center"/>
              <w:rPr>
                <w:color w:val="auto"/>
              </w:rPr>
            </w:pPr>
            <w:r>
              <w:rPr>
                <w:rFonts w:hint="eastAsia"/>
                <w:bCs/>
                <w:color w:val="auto"/>
                <w:sz w:val="21"/>
                <w:szCs w:val="21"/>
              </w:rPr>
              <w:t>0.0005</w:t>
            </w:r>
          </w:p>
        </w:tc>
      </w:tr>
    </w:tbl>
    <w:p>
      <w:pPr>
        <w:pStyle w:val="57"/>
        <w:rPr>
          <w:color w:val="auto"/>
        </w:rPr>
      </w:pPr>
      <w:r>
        <w:rPr>
          <w:rFonts w:hint="eastAsia"/>
          <w:color w:val="auto"/>
        </w:rPr>
        <w:t>表5.1-10  大气污染年排放量核算表</w:t>
      </w:r>
    </w:p>
    <w:tbl>
      <w:tblPr>
        <w:tblStyle w:val="2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65"/>
        <w:gridCol w:w="4025"/>
        <w:gridCol w:w="30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66" w:type="pct"/>
            <w:tcBorders>
              <w:tl2br w:val="nil"/>
              <w:tr2bl w:val="nil"/>
            </w:tcBorders>
            <w:vAlign w:val="center"/>
          </w:tcPr>
          <w:p>
            <w:pPr>
              <w:pStyle w:val="45"/>
              <w:rPr>
                <w:color w:val="auto"/>
              </w:rPr>
            </w:pPr>
            <w:r>
              <w:rPr>
                <w:color w:val="auto"/>
              </w:rPr>
              <w:t>序号</w:t>
            </w:r>
          </w:p>
        </w:tc>
        <w:tc>
          <w:tcPr>
            <w:tcW w:w="2167" w:type="pct"/>
            <w:tcBorders>
              <w:tl2br w:val="nil"/>
              <w:tr2bl w:val="nil"/>
            </w:tcBorders>
            <w:vAlign w:val="center"/>
          </w:tcPr>
          <w:p>
            <w:pPr>
              <w:pStyle w:val="45"/>
              <w:rPr>
                <w:color w:val="auto"/>
              </w:rPr>
            </w:pPr>
            <w:r>
              <w:rPr>
                <w:color w:val="auto"/>
              </w:rPr>
              <w:t>污染物</w:t>
            </w:r>
          </w:p>
        </w:tc>
        <w:tc>
          <w:tcPr>
            <w:tcW w:w="1666" w:type="pct"/>
            <w:tcBorders>
              <w:tl2br w:val="nil"/>
              <w:tr2bl w:val="nil"/>
            </w:tcBorders>
            <w:vAlign w:val="center"/>
          </w:tcPr>
          <w:p>
            <w:pPr>
              <w:pStyle w:val="45"/>
              <w:rPr>
                <w:color w:val="auto"/>
              </w:rPr>
            </w:pPr>
            <w:r>
              <w:rPr>
                <w:color w:val="auto"/>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66" w:type="pct"/>
            <w:tcBorders>
              <w:tl2br w:val="nil"/>
              <w:tr2bl w:val="nil"/>
            </w:tcBorders>
            <w:vAlign w:val="center"/>
          </w:tcPr>
          <w:p>
            <w:pPr>
              <w:pStyle w:val="45"/>
              <w:rPr>
                <w:color w:val="auto"/>
              </w:rPr>
            </w:pPr>
            <w:r>
              <w:rPr>
                <w:rFonts w:hint="eastAsia"/>
                <w:color w:val="auto"/>
              </w:rPr>
              <w:t>1</w:t>
            </w:r>
          </w:p>
        </w:tc>
        <w:tc>
          <w:tcPr>
            <w:tcW w:w="2167" w:type="pct"/>
            <w:tcBorders>
              <w:tl2br w:val="nil"/>
              <w:tr2bl w:val="nil"/>
            </w:tcBorders>
            <w:vAlign w:val="center"/>
          </w:tcPr>
          <w:p>
            <w:pPr>
              <w:widowControl/>
              <w:adjustRightInd w:val="0"/>
              <w:snapToGrid w:val="0"/>
              <w:spacing w:line="240" w:lineRule="auto"/>
              <w:ind w:firstLine="0" w:firstLineChars="0"/>
              <w:jc w:val="center"/>
              <w:rPr>
                <w:color w:val="auto"/>
              </w:rPr>
            </w:pPr>
            <w:r>
              <w:rPr>
                <w:color w:val="auto"/>
                <w:sz w:val="21"/>
                <w:szCs w:val="21"/>
              </w:rPr>
              <w:t>VOCs</w:t>
            </w:r>
          </w:p>
        </w:tc>
        <w:tc>
          <w:tcPr>
            <w:tcW w:w="1666" w:type="pct"/>
            <w:tcBorders>
              <w:tl2br w:val="nil"/>
              <w:tr2bl w:val="nil"/>
            </w:tcBorders>
            <w:vAlign w:val="center"/>
          </w:tcPr>
          <w:p>
            <w:pPr>
              <w:pStyle w:val="2"/>
              <w:spacing w:after="0" w:line="240" w:lineRule="auto"/>
              <w:ind w:firstLine="0" w:firstLineChars="0"/>
              <w:jc w:val="center"/>
              <w:rPr>
                <w:rFonts w:hint="default" w:eastAsia="宋体"/>
                <w:color w:val="auto"/>
                <w:sz w:val="21"/>
                <w:lang w:val="en-US" w:eastAsia="zh-CN"/>
              </w:rPr>
            </w:pPr>
            <w:r>
              <w:rPr>
                <w:rFonts w:hint="eastAsia"/>
                <w:bCs/>
                <w:color w:val="auto"/>
                <w:sz w:val="21"/>
                <w:szCs w:val="21"/>
                <w:lang w:val="en-US" w:eastAsia="zh-CN"/>
              </w:rPr>
              <w:t>1.051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66" w:type="pct"/>
            <w:tcBorders>
              <w:tl2br w:val="nil"/>
              <w:tr2bl w:val="nil"/>
            </w:tcBorders>
            <w:vAlign w:val="center"/>
          </w:tcPr>
          <w:p>
            <w:pPr>
              <w:pStyle w:val="45"/>
              <w:rPr>
                <w:color w:val="auto"/>
              </w:rPr>
            </w:pPr>
            <w:r>
              <w:rPr>
                <w:rFonts w:hint="eastAsia"/>
                <w:color w:val="auto"/>
              </w:rPr>
              <w:t>2</w:t>
            </w:r>
          </w:p>
        </w:tc>
        <w:tc>
          <w:tcPr>
            <w:tcW w:w="2167" w:type="pct"/>
            <w:tcBorders>
              <w:tl2br w:val="nil"/>
              <w:tr2bl w:val="nil"/>
            </w:tcBorders>
            <w:vAlign w:val="center"/>
          </w:tcPr>
          <w:p>
            <w:pPr>
              <w:widowControl/>
              <w:adjustRightInd w:val="0"/>
              <w:snapToGrid w:val="0"/>
              <w:spacing w:line="240" w:lineRule="auto"/>
              <w:ind w:firstLine="0" w:firstLineChars="0"/>
              <w:jc w:val="center"/>
              <w:rPr>
                <w:color w:val="auto"/>
              </w:rPr>
            </w:pPr>
            <w:r>
              <w:rPr>
                <w:rFonts w:hint="eastAsia"/>
                <w:color w:val="auto"/>
                <w:sz w:val="21"/>
                <w:szCs w:val="21"/>
              </w:rPr>
              <w:t>颗粒物</w:t>
            </w:r>
          </w:p>
        </w:tc>
        <w:tc>
          <w:tcPr>
            <w:tcW w:w="1666" w:type="pct"/>
            <w:tcBorders>
              <w:tl2br w:val="nil"/>
              <w:tr2bl w:val="nil"/>
            </w:tcBorders>
            <w:vAlign w:val="center"/>
          </w:tcPr>
          <w:p>
            <w:pPr>
              <w:pStyle w:val="2"/>
              <w:spacing w:after="0" w:line="240" w:lineRule="auto"/>
              <w:ind w:firstLine="0" w:firstLineChars="0"/>
              <w:jc w:val="center"/>
              <w:rPr>
                <w:rFonts w:hint="default" w:eastAsia="宋体"/>
                <w:color w:val="auto"/>
                <w:sz w:val="21"/>
                <w:lang w:val="en-US" w:eastAsia="zh-CN"/>
              </w:rPr>
            </w:pPr>
            <w:r>
              <w:rPr>
                <w:rFonts w:hint="eastAsia"/>
                <w:bCs/>
                <w:color w:val="auto"/>
                <w:sz w:val="21"/>
                <w:szCs w:val="21"/>
                <w:lang w:val="en-US" w:eastAsia="zh-CN"/>
              </w:rPr>
              <w:t>0.168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66" w:type="pct"/>
            <w:tcBorders>
              <w:tl2br w:val="nil"/>
              <w:tr2bl w:val="nil"/>
            </w:tcBorders>
            <w:vAlign w:val="center"/>
          </w:tcPr>
          <w:p>
            <w:pPr>
              <w:pStyle w:val="45"/>
              <w:rPr>
                <w:color w:val="auto"/>
              </w:rPr>
            </w:pPr>
            <w:r>
              <w:rPr>
                <w:rFonts w:hint="eastAsia"/>
                <w:color w:val="auto"/>
              </w:rPr>
              <w:t>3</w:t>
            </w:r>
          </w:p>
        </w:tc>
        <w:tc>
          <w:tcPr>
            <w:tcW w:w="2167" w:type="pct"/>
            <w:tcBorders>
              <w:tl2br w:val="nil"/>
              <w:tr2bl w:val="nil"/>
            </w:tcBorders>
            <w:vAlign w:val="center"/>
          </w:tcPr>
          <w:p>
            <w:pPr>
              <w:pStyle w:val="45"/>
              <w:rPr>
                <w:color w:val="auto"/>
              </w:rPr>
            </w:pPr>
            <w:r>
              <w:rPr>
                <w:rFonts w:hint="eastAsia"/>
                <w:color w:val="auto"/>
              </w:rPr>
              <w:t>SO</w:t>
            </w:r>
            <w:r>
              <w:rPr>
                <w:rFonts w:hint="eastAsia"/>
                <w:color w:val="auto"/>
                <w:vertAlign w:val="subscript"/>
              </w:rPr>
              <w:t>2</w:t>
            </w:r>
          </w:p>
        </w:tc>
        <w:tc>
          <w:tcPr>
            <w:tcW w:w="3094" w:type="dxa"/>
            <w:tcBorders>
              <w:tl2br w:val="nil"/>
              <w:tr2bl w:val="nil"/>
            </w:tcBorders>
            <w:vAlign w:val="center"/>
          </w:tcPr>
          <w:p>
            <w:pPr>
              <w:pStyle w:val="45"/>
              <w:ind w:firstLine="0" w:firstLineChars="0"/>
              <w:rPr>
                <w:color w:val="auto"/>
              </w:rPr>
            </w:pPr>
            <w:r>
              <w:rPr>
                <w:rFonts w:hint="eastAsia"/>
                <w:color w:val="auto"/>
                <w:lang w:val="en-US" w:eastAsia="zh-CN"/>
              </w:rPr>
              <w:t>0.45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66" w:type="pct"/>
            <w:tcBorders>
              <w:tl2br w:val="nil"/>
              <w:tr2bl w:val="nil"/>
            </w:tcBorders>
            <w:vAlign w:val="center"/>
          </w:tcPr>
          <w:p>
            <w:pPr>
              <w:pStyle w:val="45"/>
              <w:rPr>
                <w:color w:val="auto"/>
              </w:rPr>
            </w:pPr>
            <w:r>
              <w:rPr>
                <w:rFonts w:hint="eastAsia"/>
                <w:color w:val="auto"/>
              </w:rPr>
              <w:t>4</w:t>
            </w:r>
          </w:p>
        </w:tc>
        <w:tc>
          <w:tcPr>
            <w:tcW w:w="2167" w:type="pct"/>
            <w:tcBorders>
              <w:tl2br w:val="nil"/>
              <w:tr2bl w:val="nil"/>
            </w:tcBorders>
            <w:vAlign w:val="center"/>
          </w:tcPr>
          <w:p>
            <w:pPr>
              <w:pStyle w:val="45"/>
              <w:rPr>
                <w:color w:val="auto"/>
              </w:rPr>
            </w:pPr>
            <w:r>
              <w:rPr>
                <w:rFonts w:hint="eastAsia"/>
                <w:color w:val="auto"/>
              </w:rPr>
              <w:t>NOx</w:t>
            </w:r>
          </w:p>
        </w:tc>
        <w:tc>
          <w:tcPr>
            <w:tcW w:w="3094" w:type="dxa"/>
            <w:tcBorders>
              <w:tl2br w:val="nil"/>
              <w:tr2bl w:val="nil"/>
            </w:tcBorders>
            <w:vAlign w:val="center"/>
          </w:tcPr>
          <w:p>
            <w:pPr>
              <w:pStyle w:val="45"/>
              <w:ind w:firstLine="0" w:firstLineChars="0"/>
              <w:rPr>
                <w:color w:val="auto"/>
              </w:rPr>
            </w:pPr>
            <w:r>
              <w:rPr>
                <w:rFonts w:hint="eastAsia"/>
                <w:color w:val="auto"/>
                <w:lang w:val="en-US" w:eastAsia="zh-CN"/>
              </w:rPr>
              <w:t>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66" w:type="pct"/>
            <w:tcBorders>
              <w:tl2br w:val="nil"/>
              <w:tr2bl w:val="nil"/>
            </w:tcBorders>
            <w:vAlign w:val="center"/>
          </w:tcPr>
          <w:p>
            <w:pPr>
              <w:pStyle w:val="45"/>
              <w:rPr>
                <w:color w:val="auto"/>
              </w:rPr>
            </w:pPr>
            <w:r>
              <w:rPr>
                <w:rFonts w:hint="eastAsia"/>
                <w:color w:val="auto"/>
              </w:rPr>
              <w:t>5</w:t>
            </w:r>
          </w:p>
        </w:tc>
        <w:tc>
          <w:tcPr>
            <w:tcW w:w="2167" w:type="pct"/>
            <w:tcBorders>
              <w:tl2br w:val="nil"/>
              <w:tr2bl w:val="nil"/>
            </w:tcBorders>
            <w:vAlign w:val="center"/>
          </w:tcPr>
          <w:p>
            <w:pPr>
              <w:widowControl/>
              <w:adjustRightInd w:val="0"/>
              <w:snapToGrid w:val="0"/>
              <w:spacing w:line="240" w:lineRule="auto"/>
              <w:ind w:firstLine="0" w:firstLineChars="0"/>
              <w:jc w:val="center"/>
              <w:rPr>
                <w:color w:val="auto"/>
              </w:rPr>
            </w:pPr>
            <w:r>
              <w:rPr>
                <w:rFonts w:hint="eastAsia"/>
                <w:color w:val="auto"/>
                <w:sz w:val="21"/>
                <w:szCs w:val="21"/>
              </w:rPr>
              <w:t>氨</w:t>
            </w:r>
          </w:p>
        </w:tc>
        <w:tc>
          <w:tcPr>
            <w:tcW w:w="1666" w:type="pct"/>
            <w:tcBorders>
              <w:tl2br w:val="nil"/>
              <w:tr2bl w:val="nil"/>
            </w:tcBorders>
            <w:vAlign w:val="center"/>
          </w:tcPr>
          <w:p>
            <w:pPr>
              <w:pStyle w:val="2"/>
              <w:spacing w:after="0" w:line="240" w:lineRule="auto"/>
              <w:ind w:firstLine="0" w:firstLineChars="0"/>
              <w:jc w:val="center"/>
              <w:rPr>
                <w:color w:val="auto"/>
              </w:rPr>
            </w:pPr>
            <w:r>
              <w:rPr>
                <w:rFonts w:hint="eastAsia"/>
                <w:bCs/>
                <w:color w:val="auto"/>
                <w:sz w:val="21"/>
                <w:szCs w:val="21"/>
              </w:rPr>
              <w:t>0.0242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66" w:type="pct"/>
            <w:tcBorders>
              <w:tl2br w:val="nil"/>
              <w:tr2bl w:val="nil"/>
            </w:tcBorders>
            <w:vAlign w:val="center"/>
          </w:tcPr>
          <w:p>
            <w:pPr>
              <w:pStyle w:val="45"/>
              <w:rPr>
                <w:color w:val="auto"/>
              </w:rPr>
            </w:pPr>
            <w:r>
              <w:rPr>
                <w:rFonts w:hint="eastAsia"/>
                <w:color w:val="auto"/>
              </w:rPr>
              <w:t>6</w:t>
            </w:r>
          </w:p>
        </w:tc>
        <w:tc>
          <w:tcPr>
            <w:tcW w:w="2167" w:type="pct"/>
            <w:tcBorders>
              <w:tl2br w:val="nil"/>
              <w:tr2bl w:val="nil"/>
            </w:tcBorders>
            <w:vAlign w:val="center"/>
          </w:tcPr>
          <w:p>
            <w:pPr>
              <w:widowControl/>
              <w:adjustRightInd w:val="0"/>
              <w:snapToGrid w:val="0"/>
              <w:spacing w:line="240" w:lineRule="auto"/>
              <w:ind w:firstLine="0" w:firstLineChars="0"/>
              <w:jc w:val="center"/>
              <w:rPr>
                <w:color w:val="auto"/>
              </w:rPr>
            </w:pPr>
            <w:r>
              <w:rPr>
                <w:rFonts w:hint="eastAsia"/>
                <w:color w:val="auto"/>
                <w:sz w:val="21"/>
                <w:szCs w:val="21"/>
              </w:rPr>
              <w:t>硫化氢</w:t>
            </w:r>
          </w:p>
        </w:tc>
        <w:tc>
          <w:tcPr>
            <w:tcW w:w="1666" w:type="pct"/>
            <w:tcBorders>
              <w:tl2br w:val="nil"/>
              <w:tr2bl w:val="nil"/>
            </w:tcBorders>
            <w:vAlign w:val="center"/>
          </w:tcPr>
          <w:p>
            <w:pPr>
              <w:pStyle w:val="2"/>
              <w:spacing w:after="0" w:line="240" w:lineRule="auto"/>
              <w:ind w:firstLine="0" w:firstLineChars="0"/>
              <w:jc w:val="center"/>
              <w:rPr>
                <w:color w:val="auto"/>
              </w:rPr>
            </w:pPr>
            <w:r>
              <w:rPr>
                <w:rFonts w:hint="eastAsia"/>
                <w:bCs/>
                <w:color w:val="auto"/>
                <w:sz w:val="21"/>
                <w:szCs w:val="21"/>
              </w:rPr>
              <w:t>0.0008</w:t>
            </w:r>
          </w:p>
        </w:tc>
      </w:tr>
    </w:tbl>
    <w:p>
      <w:pPr>
        <w:pStyle w:val="10"/>
        <w:rPr>
          <w:rFonts w:hint="eastAsia" w:eastAsia="宋体"/>
          <w:color w:val="auto"/>
          <w:lang w:eastAsia="zh-CN"/>
        </w:rPr>
      </w:pPr>
    </w:p>
    <w:p>
      <w:pPr>
        <w:rPr>
          <w:rFonts w:hint="eastAsia"/>
          <w:lang w:eastAsia="zh-CN"/>
        </w:rPr>
      </w:pPr>
    </w:p>
    <w:p>
      <w:pPr>
        <w:pStyle w:val="10"/>
        <w:ind w:firstLine="482"/>
        <w:rPr>
          <w:color w:val="auto"/>
        </w:rPr>
      </w:pPr>
      <w:r>
        <w:rPr>
          <w:rFonts w:hint="eastAsia"/>
          <w:color w:val="auto"/>
        </w:rPr>
        <w:t>5.1.1.7非正常排放量核算</w:t>
      </w:r>
    </w:p>
    <w:p>
      <w:pPr>
        <w:pStyle w:val="57"/>
        <w:rPr>
          <w:color w:val="auto"/>
        </w:rPr>
      </w:pPr>
      <w:r>
        <w:rPr>
          <w:rFonts w:hint="eastAsia"/>
          <w:color w:val="auto"/>
        </w:rPr>
        <w:t>表5.1-11  污染源非正常排放量核算</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28"/>
        <w:gridCol w:w="1184"/>
        <w:gridCol w:w="1511"/>
        <w:gridCol w:w="1403"/>
        <w:gridCol w:w="1177"/>
        <w:gridCol w:w="850"/>
        <w:gridCol w:w="775"/>
        <w:gridCol w:w="146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69" w:hRule="atLeast"/>
          <w:jc w:val="center"/>
        </w:trPr>
        <w:tc>
          <w:tcPr>
            <w:tcW w:w="499" w:type="pct"/>
            <w:vAlign w:val="center"/>
          </w:tcPr>
          <w:p>
            <w:pPr>
              <w:pStyle w:val="45"/>
              <w:rPr>
                <w:color w:val="auto"/>
              </w:rPr>
            </w:pPr>
            <w:r>
              <w:rPr>
                <w:rFonts w:hint="eastAsia"/>
                <w:color w:val="auto"/>
              </w:rPr>
              <w:t>污染</w:t>
            </w:r>
            <w:r>
              <w:rPr>
                <w:color w:val="auto"/>
              </w:rPr>
              <w:t>源</w:t>
            </w:r>
          </w:p>
        </w:tc>
        <w:tc>
          <w:tcPr>
            <w:tcW w:w="637" w:type="pct"/>
            <w:vAlign w:val="center"/>
          </w:tcPr>
          <w:p>
            <w:pPr>
              <w:pStyle w:val="45"/>
              <w:rPr>
                <w:color w:val="auto"/>
              </w:rPr>
            </w:pPr>
            <w:r>
              <w:rPr>
                <w:rFonts w:hint="eastAsia"/>
                <w:color w:val="auto"/>
              </w:rPr>
              <w:t>非正常排放原因</w:t>
            </w:r>
          </w:p>
        </w:tc>
        <w:tc>
          <w:tcPr>
            <w:tcW w:w="813" w:type="pct"/>
            <w:vAlign w:val="center"/>
          </w:tcPr>
          <w:p>
            <w:pPr>
              <w:pStyle w:val="45"/>
              <w:rPr>
                <w:color w:val="auto"/>
              </w:rPr>
            </w:pPr>
            <w:r>
              <w:rPr>
                <w:color w:val="auto"/>
              </w:rPr>
              <w:t>污染物</w:t>
            </w:r>
          </w:p>
        </w:tc>
        <w:tc>
          <w:tcPr>
            <w:tcW w:w="755" w:type="pct"/>
            <w:vAlign w:val="center"/>
          </w:tcPr>
          <w:p>
            <w:pPr>
              <w:pStyle w:val="45"/>
              <w:rPr>
                <w:color w:val="auto"/>
              </w:rPr>
            </w:pPr>
            <w:r>
              <w:rPr>
                <w:rFonts w:hint="eastAsia"/>
                <w:color w:val="auto"/>
              </w:rPr>
              <w:t>非正常</w:t>
            </w:r>
            <w:r>
              <w:rPr>
                <w:color w:val="auto"/>
              </w:rPr>
              <w:t>排放</w:t>
            </w:r>
            <w:r>
              <w:rPr>
                <w:rFonts w:hint="eastAsia"/>
                <w:color w:val="auto"/>
              </w:rPr>
              <w:t>浓度（</w:t>
            </w:r>
            <w:r>
              <w:rPr>
                <w:color w:val="auto"/>
              </w:rPr>
              <w:t>m</w:t>
            </w:r>
            <w:r>
              <w:rPr>
                <w:rFonts w:hint="eastAsia"/>
                <w:color w:val="auto"/>
              </w:rPr>
              <w:t>g/m</w:t>
            </w:r>
            <w:r>
              <w:rPr>
                <w:rFonts w:hint="eastAsia"/>
                <w:color w:val="auto"/>
                <w:vertAlign w:val="superscript"/>
              </w:rPr>
              <w:t>3</w:t>
            </w:r>
            <w:r>
              <w:rPr>
                <w:rFonts w:hint="eastAsia"/>
                <w:color w:val="auto"/>
              </w:rPr>
              <w:t>）</w:t>
            </w:r>
          </w:p>
        </w:tc>
        <w:tc>
          <w:tcPr>
            <w:tcW w:w="633" w:type="pct"/>
            <w:vAlign w:val="center"/>
          </w:tcPr>
          <w:p>
            <w:pPr>
              <w:pStyle w:val="45"/>
              <w:rPr>
                <w:color w:val="auto"/>
              </w:rPr>
            </w:pPr>
            <w:r>
              <w:rPr>
                <w:rFonts w:hint="eastAsia"/>
                <w:color w:val="auto"/>
              </w:rPr>
              <w:t>非正常</w:t>
            </w:r>
            <w:r>
              <w:rPr>
                <w:color w:val="auto"/>
              </w:rPr>
              <w:t>排放速率（kg/h）</w:t>
            </w:r>
          </w:p>
        </w:tc>
        <w:tc>
          <w:tcPr>
            <w:tcW w:w="457" w:type="pct"/>
            <w:vAlign w:val="center"/>
          </w:tcPr>
          <w:p>
            <w:pPr>
              <w:pStyle w:val="45"/>
              <w:rPr>
                <w:color w:val="auto"/>
              </w:rPr>
            </w:pPr>
            <w:r>
              <w:rPr>
                <w:rFonts w:hint="eastAsia"/>
                <w:color w:val="auto"/>
              </w:rPr>
              <w:t>单次持续时间/h</w:t>
            </w:r>
          </w:p>
        </w:tc>
        <w:tc>
          <w:tcPr>
            <w:tcW w:w="417" w:type="pct"/>
            <w:vAlign w:val="center"/>
          </w:tcPr>
          <w:p>
            <w:pPr>
              <w:pStyle w:val="45"/>
              <w:rPr>
                <w:color w:val="auto"/>
              </w:rPr>
            </w:pPr>
            <w:r>
              <w:rPr>
                <w:rFonts w:hint="eastAsia"/>
                <w:color w:val="auto"/>
              </w:rPr>
              <w:t>年发生频次/次</w:t>
            </w:r>
          </w:p>
        </w:tc>
        <w:tc>
          <w:tcPr>
            <w:tcW w:w="785" w:type="pct"/>
            <w:vAlign w:val="center"/>
          </w:tcPr>
          <w:p>
            <w:pPr>
              <w:pStyle w:val="45"/>
              <w:rPr>
                <w:color w:val="auto"/>
              </w:rPr>
            </w:pPr>
            <w:r>
              <w:rPr>
                <w:rFonts w:hint="eastAsia"/>
                <w:color w:val="auto"/>
              </w:rPr>
              <w:t>应对措施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499" w:type="pct"/>
            <w:vMerge w:val="restart"/>
            <w:vAlign w:val="center"/>
          </w:tcPr>
          <w:p>
            <w:pPr>
              <w:pStyle w:val="45"/>
              <w:rPr>
                <w:color w:val="auto"/>
              </w:rPr>
            </w:pPr>
            <w:r>
              <w:rPr>
                <w:rFonts w:hint="eastAsia"/>
                <w:color w:val="auto"/>
              </w:rPr>
              <w:t>排气筒DA001</w:t>
            </w:r>
          </w:p>
        </w:tc>
        <w:tc>
          <w:tcPr>
            <w:tcW w:w="637" w:type="pct"/>
            <w:vMerge w:val="restart"/>
            <w:vAlign w:val="center"/>
          </w:tcPr>
          <w:p>
            <w:pPr>
              <w:pStyle w:val="45"/>
              <w:rPr>
                <w:color w:val="auto"/>
              </w:rPr>
            </w:pPr>
            <w:r>
              <w:rPr>
                <w:rFonts w:hint="eastAsia"/>
                <w:color w:val="auto"/>
              </w:rPr>
              <w:t>废气处理系统失效、设备故障等</w:t>
            </w:r>
          </w:p>
        </w:tc>
        <w:tc>
          <w:tcPr>
            <w:tcW w:w="813" w:type="pct"/>
            <w:vAlign w:val="center"/>
          </w:tcPr>
          <w:p>
            <w:pPr>
              <w:pStyle w:val="45"/>
              <w:rPr>
                <w:color w:val="auto"/>
              </w:rPr>
            </w:pPr>
            <w:r>
              <w:rPr>
                <w:color w:val="auto"/>
                <w:szCs w:val="21"/>
              </w:rPr>
              <w:t>VOCs</w:t>
            </w:r>
          </w:p>
        </w:tc>
        <w:tc>
          <w:tcPr>
            <w:tcW w:w="755" w:type="pct"/>
            <w:vAlign w:val="center"/>
          </w:tcPr>
          <w:p>
            <w:pPr>
              <w:pStyle w:val="45"/>
              <w:rPr>
                <w:rFonts w:hint="default" w:eastAsia="宋体"/>
                <w:color w:val="auto"/>
                <w:lang w:val="en-US" w:eastAsia="zh-CN"/>
              </w:rPr>
            </w:pPr>
            <w:r>
              <w:rPr>
                <w:rFonts w:hint="eastAsia"/>
                <w:color w:val="auto"/>
                <w:lang w:val="en-US" w:eastAsia="zh-CN"/>
              </w:rPr>
              <w:t>124.8</w:t>
            </w:r>
          </w:p>
        </w:tc>
        <w:tc>
          <w:tcPr>
            <w:tcW w:w="633" w:type="pct"/>
            <w:vAlign w:val="center"/>
          </w:tcPr>
          <w:p>
            <w:pPr>
              <w:pStyle w:val="45"/>
              <w:rPr>
                <w:rFonts w:hint="default" w:eastAsia="宋体"/>
                <w:color w:val="auto"/>
                <w:lang w:val="en-US" w:eastAsia="zh-CN"/>
              </w:rPr>
            </w:pPr>
            <w:r>
              <w:rPr>
                <w:rFonts w:hint="eastAsia"/>
                <w:color w:val="auto"/>
                <w:lang w:val="en-US" w:eastAsia="zh-CN"/>
              </w:rPr>
              <w:t>0.624</w:t>
            </w:r>
          </w:p>
        </w:tc>
        <w:tc>
          <w:tcPr>
            <w:tcW w:w="457" w:type="pct"/>
            <w:vMerge w:val="restart"/>
            <w:shd w:val="clear" w:color="auto" w:fill="auto"/>
            <w:vAlign w:val="center"/>
          </w:tcPr>
          <w:p>
            <w:pPr>
              <w:pStyle w:val="45"/>
              <w:rPr>
                <w:color w:val="auto"/>
              </w:rPr>
            </w:pPr>
            <w:r>
              <w:rPr>
                <w:rFonts w:hint="eastAsia"/>
                <w:color w:val="auto"/>
              </w:rPr>
              <w:t>0.5</w:t>
            </w:r>
          </w:p>
        </w:tc>
        <w:tc>
          <w:tcPr>
            <w:tcW w:w="417" w:type="pct"/>
            <w:vMerge w:val="restart"/>
            <w:shd w:val="clear" w:color="auto" w:fill="auto"/>
            <w:vAlign w:val="center"/>
          </w:tcPr>
          <w:p>
            <w:pPr>
              <w:pStyle w:val="45"/>
              <w:rPr>
                <w:color w:val="auto"/>
              </w:rPr>
            </w:pPr>
            <w:r>
              <w:rPr>
                <w:rFonts w:hint="eastAsia"/>
                <w:color w:val="auto"/>
              </w:rPr>
              <w:t>1</w:t>
            </w:r>
          </w:p>
        </w:tc>
        <w:tc>
          <w:tcPr>
            <w:tcW w:w="785" w:type="pct"/>
            <w:vMerge w:val="restart"/>
            <w:vAlign w:val="center"/>
          </w:tcPr>
          <w:p>
            <w:pPr>
              <w:pStyle w:val="45"/>
              <w:rPr>
                <w:color w:val="auto"/>
              </w:rPr>
            </w:pPr>
            <w:r>
              <w:rPr>
                <w:rFonts w:hint="eastAsia"/>
                <w:color w:val="auto"/>
              </w:rPr>
              <w:t>加强运行维护管理，确保治理效率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499" w:type="pct"/>
            <w:vMerge w:val="continue"/>
            <w:vAlign w:val="center"/>
          </w:tcPr>
          <w:p>
            <w:pPr>
              <w:pStyle w:val="45"/>
              <w:rPr>
                <w:color w:val="auto"/>
              </w:rPr>
            </w:pPr>
          </w:p>
        </w:tc>
        <w:tc>
          <w:tcPr>
            <w:tcW w:w="637" w:type="pct"/>
            <w:vMerge w:val="continue"/>
            <w:vAlign w:val="center"/>
          </w:tcPr>
          <w:p>
            <w:pPr>
              <w:pStyle w:val="45"/>
              <w:rPr>
                <w:color w:val="auto"/>
              </w:rPr>
            </w:pPr>
          </w:p>
        </w:tc>
        <w:tc>
          <w:tcPr>
            <w:tcW w:w="813" w:type="pct"/>
            <w:vAlign w:val="center"/>
          </w:tcPr>
          <w:p>
            <w:pPr>
              <w:snapToGrid w:val="0"/>
              <w:spacing w:line="340" w:lineRule="exact"/>
              <w:ind w:firstLine="0" w:firstLineChars="0"/>
              <w:jc w:val="center"/>
              <w:rPr>
                <w:color w:val="auto"/>
              </w:rPr>
            </w:pPr>
            <w:r>
              <w:rPr>
                <w:rFonts w:hint="eastAsia"/>
                <w:color w:val="auto"/>
                <w:sz w:val="21"/>
                <w:szCs w:val="21"/>
              </w:rPr>
              <w:t>氨</w:t>
            </w:r>
          </w:p>
        </w:tc>
        <w:tc>
          <w:tcPr>
            <w:tcW w:w="755" w:type="pct"/>
            <w:vAlign w:val="center"/>
          </w:tcPr>
          <w:p>
            <w:pPr>
              <w:pStyle w:val="45"/>
              <w:rPr>
                <w:color w:val="auto"/>
              </w:rPr>
            </w:pPr>
            <w:r>
              <w:rPr>
                <w:rFonts w:hint="eastAsia"/>
                <w:color w:val="auto"/>
              </w:rPr>
              <w:t>0.4</w:t>
            </w:r>
          </w:p>
        </w:tc>
        <w:tc>
          <w:tcPr>
            <w:tcW w:w="633" w:type="pct"/>
            <w:vAlign w:val="center"/>
          </w:tcPr>
          <w:p>
            <w:pPr>
              <w:pStyle w:val="45"/>
              <w:rPr>
                <w:color w:val="auto"/>
              </w:rPr>
            </w:pPr>
            <w:r>
              <w:rPr>
                <w:rFonts w:hint="eastAsia"/>
                <w:color w:val="auto"/>
              </w:rPr>
              <w:t>0.002</w:t>
            </w:r>
          </w:p>
        </w:tc>
        <w:tc>
          <w:tcPr>
            <w:tcW w:w="457" w:type="pct"/>
            <w:vMerge w:val="continue"/>
            <w:shd w:val="clear" w:color="auto" w:fill="auto"/>
            <w:vAlign w:val="center"/>
          </w:tcPr>
          <w:p>
            <w:pPr>
              <w:pStyle w:val="45"/>
              <w:rPr>
                <w:color w:val="auto"/>
              </w:rPr>
            </w:pPr>
          </w:p>
        </w:tc>
        <w:tc>
          <w:tcPr>
            <w:tcW w:w="417" w:type="pct"/>
            <w:vMerge w:val="continue"/>
            <w:shd w:val="clear" w:color="auto" w:fill="auto"/>
            <w:vAlign w:val="center"/>
          </w:tcPr>
          <w:p>
            <w:pPr>
              <w:pStyle w:val="45"/>
              <w:rPr>
                <w:color w:val="auto"/>
              </w:rPr>
            </w:pPr>
          </w:p>
        </w:tc>
        <w:tc>
          <w:tcPr>
            <w:tcW w:w="785" w:type="pct"/>
            <w:vMerge w:val="continue"/>
            <w:vAlign w:val="center"/>
          </w:tcPr>
          <w:p>
            <w:pPr>
              <w:pStyle w:val="45"/>
              <w:rPr>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499" w:type="pct"/>
            <w:vMerge w:val="continue"/>
            <w:vAlign w:val="center"/>
          </w:tcPr>
          <w:p>
            <w:pPr>
              <w:pStyle w:val="45"/>
              <w:rPr>
                <w:color w:val="auto"/>
              </w:rPr>
            </w:pPr>
          </w:p>
        </w:tc>
        <w:tc>
          <w:tcPr>
            <w:tcW w:w="637" w:type="pct"/>
            <w:vMerge w:val="continue"/>
            <w:vAlign w:val="center"/>
          </w:tcPr>
          <w:p>
            <w:pPr>
              <w:pStyle w:val="45"/>
              <w:rPr>
                <w:color w:val="auto"/>
              </w:rPr>
            </w:pPr>
          </w:p>
        </w:tc>
        <w:tc>
          <w:tcPr>
            <w:tcW w:w="813" w:type="pct"/>
            <w:vAlign w:val="center"/>
          </w:tcPr>
          <w:p>
            <w:pPr>
              <w:widowControl/>
              <w:adjustRightInd w:val="0"/>
              <w:snapToGrid w:val="0"/>
              <w:spacing w:line="240" w:lineRule="auto"/>
              <w:ind w:firstLine="0" w:firstLineChars="0"/>
              <w:jc w:val="center"/>
              <w:rPr>
                <w:color w:val="auto"/>
              </w:rPr>
            </w:pPr>
            <w:r>
              <w:rPr>
                <w:rFonts w:hint="eastAsia"/>
                <w:color w:val="auto"/>
                <w:sz w:val="21"/>
                <w:szCs w:val="21"/>
              </w:rPr>
              <w:t>硫化氢</w:t>
            </w:r>
          </w:p>
        </w:tc>
        <w:tc>
          <w:tcPr>
            <w:tcW w:w="755" w:type="pct"/>
            <w:vAlign w:val="center"/>
          </w:tcPr>
          <w:p>
            <w:pPr>
              <w:pStyle w:val="45"/>
              <w:rPr>
                <w:color w:val="auto"/>
              </w:rPr>
            </w:pPr>
            <w:r>
              <w:rPr>
                <w:rFonts w:hint="eastAsia"/>
                <w:color w:val="auto"/>
              </w:rPr>
              <w:t>0.01</w:t>
            </w:r>
          </w:p>
        </w:tc>
        <w:tc>
          <w:tcPr>
            <w:tcW w:w="633" w:type="pct"/>
            <w:vAlign w:val="center"/>
          </w:tcPr>
          <w:p>
            <w:pPr>
              <w:pStyle w:val="45"/>
              <w:rPr>
                <w:color w:val="auto"/>
              </w:rPr>
            </w:pPr>
            <w:r>
              <w:rPr>
                <w:rFonts w:hint="eastAsia"/>
                <w:color w:val="auto"/>
              </w:rPr>
              <w:t>0.00005</w:t>
            </w:r>
          </w:p>
        </w:tc>
        <w:tc>
          <w:tcPr>
            <w:tcW w:w="457" w:type="pct"/>
            <w:vMerge w:val="continue"/>
            <w:shd w:val="clear" w:color="auto" w:fill="auto"/>
            <w:vAlign w:val="center"/>
          </w:tcPr>
          <w:p>
            <w:pPr>
              <w:pStyle w:val="45"/>
              <w:rPr>
                <w:color w:val="auto"/>
              </w:rPr>
            </w:pPr>
          </w:p>
        </w:tc>
        <w:tc>
          <w:tcPr>
            <w:tcW w:w="417" w:type="pct"/>
            <w:vMerge w:val="continue"/>
            <w:shd w:val="clear" w:color="auto" w:fill="auto"/>
            <w:vAlign w:val="center"/>
          </w:tcPr>
          <w:p>
            <w:pPr>
              <w:pStyle w:val="45"/>
              <w:rPr>
                <w:color w:val="auto"/>
              </w:rPr>
            </w:pPr>
          </w:p>
        </w:tc>
        <w:tc>
          <w:tcPr>
            <w:tcW w:w="785" w:type="pct"/>
            <w:vMerge w:val="continue"/>
            <w:vAlign w:val="center"/>
          </w:tcPr>
          <w:p>
            <w:pPr>
              <w:pStyle w:val="45"/>
              <w:rPr>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499" w:type="pct"/>
            <w:vMerge w:val="restart"/>
            <w:vAlign w:val="center"/>
          </w:tcPr>
          <w:p>
            <w:pPr>
              <w:pStyle w:val="45"/>
              <w:rPr>
                <w:rFonts w:hint="eastAsia" w:eastAsia="宋体"/>
                <w:color w:val="auto"/>
                <w:lang w:eastAsia="zh-CN"/>
              </w:rPr>
            </w:pPr>
            <w:r>
              <w:rPr>
                <w:rFonts w:hint="eastAsia"/>
                <w:color w:val="auto"/>
              </w:rPr>
              <w:t>排气筒DA00</w:t>
            </w:r>
            <w:r>
              <w:rPr>
                <w:rFonts w:hint="eastAsia"/>
                <w:color w:val="auto"/>
                <w:lang w:val="en-US" w:eastAsia="zh-CN"/>
              </w:rPr>
              <w:t>2</w:t>
            </w:r>
          </w:p>
        </w:tc>
        <w:tc>
          <w:tcPr>
            <w:tcW w:w="637" w:type="pct"/>
            <w:vMerge w:val="restart"/>
            <w:vAlign w:val="center"/>
          </w:tcPr>
          <w:p>
            <w:pPr>
              <w:pStyle w:val="45"/>
              <w:rPr>
                <w:color w:val="auto"/>
              </w:rPr>
            </w:pPr>
            <w:r>
              <w:rPr>
                <w:rFonts w:hint="eastAsia"/>
                <w:color w:val="auto"/>
              </w:rPr>
              <w:t>废气处理系统失效、设备故障等</w:t>
            </w:r>
          </w:p>
        </w:tc>
        <w:tc>
          <w:tcPr>
            <w:tcW w:w="813" w:type="pct"/>
            <w:vAlign w:val="center"/>
          </w:tcPr>
          <w:p>
            <w:pPr>
              <w:pStyle w:val="45"/>
              <w:rPr>
                <w:color w:val="auto"/>
              </w:rPr>
            </w:pPr>
            <w:r>
              <w:rPr>
                <w:rFonts w:hint="eastAsia"/>
                <w:color w:val="auto"/>
              </w:rPr>
              <w:t>SO</w:t>
            </w:r>
            <w:r>
              <w:rPr>
                <w:rFonts w:hint="eastAsia"/>
                <w:color w:val="auto"/>
                <w:vertAlign w:val="subscript"/>
              </w:rPr>
              <w:t>2</w:t>
            </w:r>
          </w:p>
        </w:tc>
        <w:tc>
          <w:tcPr>
            <w:tcW w:w="755" w:type="pct"/>
            <w:vAlign w:val="center"/>
          </w:tcPr>
          <w:p>
            <w:pPr>
              <w:widowControl/>
              <w:adjustRightInd w:val="0"/>
              <w:snapToGrid w:val="0"/>
              <w:spacing w:line="240" w:lineRule="auto"/>
              <w:ind w:firstLine="0" w:firstLineChars="0"/>
              <w:jc w:val="center"/>
              <w:rPr>
                <w:rFonts w:hint="default" w:eastAsia="宋体"/>
                <w:color w:val="auto"/>
                <w:lang w:val="en-US" w:eastAsia="zh-CN"/>
              </w:rPr>
            </w:pPr>
            <w:r>
              <w:rPr>
                <w:rFonts w:hint="eastAsia"/>
                <w:color w:val="auto"/>
                <w:sz w:val="21"/>
                <w:szCs w:val="21"/>
                <w:lang w:val="en-US" w:eastAsia="zh-CN"/>
              </w:rPr>
              <w:t>22.3</w:t>
            </w:r>
          </w:p>
        </w:tc>
        <w:tc>
          <w:tcPr>
            <w:tcW w:w="633" w:type="pct"/>
            <w:vAlign w:val="center"/>
          </w:tcPr>
          <w:p>
            <w:pPr>
              <w:adjustRightInd w:val="0"/>
              <w:snapToGrid w:val="0"/>
              <w:spacing w:line="240" w:lineRule="auto"/>
              <w:ind w:firstLine="0" w:firstLineChars="0"/>
              <w:jc w:val="center"/>
              <w:rPr>
                <w:rFonts w:hint="default" w:eastAsia="宋体"/>
                <w:color w:val="auto"/>
                <w:lang w:val="en-US" w:eastAsia="zh-CN"/>
              </w:rPr>
            </w:pPr>
            <w:r>
              <w:rPr>
                <w:rFonts w:hint="eastAsia"/>
                <w:color w:val="auto"/>
                <w:sz w:val="21"/>
                <w:szCs w:val="21"/>
              </w:rPr>
              <w:t>0.0</w:t>
            </w:r>
            <w:r>
              <w:rPr>
                <w:rFonts w:hint="eastAsia"/>
                <w:color w:val="auto"/>
                <w:sz w:val="21"/>
                <w:szCs w:val="21"/>
                <w:lang w:val="en-US" w:eastAsia="zh-CN"/>
              </w:rPr>
              <w:t>625</w:t>
            </w:r>
          </w:p>
        </w:tc>
        <w:tc>
          <w:tcPr>
            <w:tcW w:w="457" w:type="pct"/>
            <w:vMerge w:val="restart"/>
            <w:shd w:val="clear" w:color="auto" w:fill="auto"/>
            <w:vAlign w:val="center"/>
          </w:tcPr>
          <w:p>
            <w:pPr>
              <w:pStyle w:val="45"/>
              <w:rPr>
                <w:color w:val="auto"/>
              </w:rPr>
            </w:pPr>
            <w:r>
              <w:rPr>
                <w:rFonts w:hint="eastAsia"/>
                <w:color w:val="auto"/>
              </w:rPr>
              <w:t>0.5</w:t>
            </w:r>
          </w:p>
        </w:tc>
        <w:tc>
          <w:tcPr>
            <w:tcW w:w="417" w:type="pct"/>
            <w:vMerge w:val="restart"/>
            <w:shd w:val="clear" w:color="auto" w:fill="auto"/>
            <w:vAlign w:val="center"/>
          </w:tcPr>
          <w:p>
            <w:pPr>
              <w:pStyle w:val="45"/>
              <w:rPr>
                <w:color w:val="auto"/>
              </w:rPr>
            </w:pPr>
            <w:r>
              <w:rPr>
                <w:rFonts w:hint="eastAsia"/>
                <w:color w:val="auto"/>
              </w:rPr>
              <w:t>1</w:t>
            </w:r>
          </w:p>
        </w:tc>
        <w:tc>
          <w:tcPr>
            <w:tcW w:w="785" w:type="pct"/>
            <w:vMerge w:val="continue"/>
            <w:vAlign w:val="center"/>
          </w:tcPr>
          <w:p>
            <w:pPr>
              <w:pStyle w:val="45"/>
              <w:rPr>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69" w:hRule="atLeast"/>
          <w:jc w:val="center"/>
        </w:trPr>
        <w:tc>
          <w:tcPr>
            <w:tcW w:w="499" w:type="pct"/>
            <w:vMerge w:val="continue"/>
            <w:vAlign w:val="center"/>
          </w:tcPr>
          <w:p>
            <w:pPr>
              <w:pStyle w:val="45"/>
              <w:rPr>
                <w:color w:val="auto"/>
              </w:rPr>
            </w:pPr>
          </w:p>
        </w:tc>
        <w:tc>
          <w:tcPr>
            <w:tcW w:w="637" w:type="pct"/>
            <w:vMerge w:val="continue"/>
            <w:vAlign w:val="center"/>
          </w:tcPr>
          <w:p>
            <w:pPr>
              <w:pStyle w:val="45"/>
              <w:rPr>
                <w:color w:val="auto"/>
              </w:rPr>
            </w:pPr>
          </w:p>
        </w:tc>
        <w:tc>
          <w:tcPr>
            <w:tcW w:w="813" w:type="pct"/>
            <w:vAlign w:val="center"/>
          </w:tcPr>
          <w:p>
            <w:pPr>
              <w:pStyle w:val="45"/>
              <w:rPr>
                <w:color w:val="auto"/>
              </w:rPr>
            </w:pPr>
            <w:r>
              <w:rPr>
                <w:rFonts w:hint="eastAsia"/>
                <w:color w:val="auto"/>
              </w:rPr>
              <w:t>NOx</w:t>
            </w:r>
          </w:p>
        </w:tc>
        <w:tc>
          <w:tcPr>
            <w:tcW w:w="755" w:type="pct"/>
            <w:vAlign w:val="center"/>
          </w:tcPr>
          <w:p>
            <w:pPr>
              <w:widowControl/>
              <w:adjustRightInd w:val="0"/>
              <w:snapToGrid w:val="0"/>
              <w:spacing w:line="240" w:lineRule="auto"/>
              <w:ind w:firstLine="0" w:firstLineChars="0"/>
              <w:jc w:val="center"/>
              <w:rPr>
                <w:rFonts w:hint="default" w:eastAsia="宋体"/>
                <w:color w:val="auto"/>
                <w:lang w:val="en-US" w:eastAsia="zh-CN"/>
              </w:rPr>
            </w:pPr>
            <w:r>
              <w:rPr>
                <w:rFonts w:hint="eastAsia"/>
                <w:color w:val="auto"/>
                <w:sz w:val="21"/>
                <w:szCs w:val="21"/>
                <w:lang w:val="en-US" w:eastAsia="zh-CN"/>
              </w:rPr>
              <w:t>69.3</w:t>
            </w:r>
          </w:p>
        </w:tc>
        <w:tc>
          <w:tcPr>
            <w:tcW w:w="633" w:type="pct"/>
            <w:vAlign w:val="center"/>
          </w:tcPr>
          <w:p>
            <w:pPr>
              <w:adjustRightInd w:val="0"/>
              <w:snapToGrid w:val="0"/>
              <w:spacing w:line="240" w:lineRule="auto"/>
              <w:ind w:firstLine="0" w:firstLineChars="0"/>
              <w:jc w:val="center"/>
              <w:rPr>
                <w:rFonts w:hint="default" w:eastAsia="宋体"/>
                <w:color w:val="auto"/>
                <w:lang w:val="en-US" w:eastAsia="zh-CN"/>
              </w:rPr>
            </w:pPr>
            <w:r>
              <w:rPr>
                <w:rFonts w:hint="eastAsia"/>
                <w:color w:val="auto"/>
                <w:sz w:val="21"/>
                <w:szCs w:val="21"/>
              </w:rPr>
              <w:t>0.</w:t>
            </w:r>
            <w:r>
              <w:rPr>
                <w:rFonts w:hint="eastAsia"/>
                <w:color w:val="auto"/>
                <w:sz w:val="21"/>
                <w:szCs w:val="21"/>
                <w:lang w:val="en-US" w:eastAsia="zh-CN"/>
              </w:rPr>
              <w:t>194</w:t>
            </w:r>
          </w:p>
        </w:tc>
        <w:tc>
          <w:tcPr>
            <w:tcW w:w="457" w:type="pct"/>
            <w:vMerge w:val="continue"/>
            <w:shd w:val="clear" w:color="auto" w:fill="auto"/>
            <w:vAlign w:val="center"/>
          </w:tcPr>
          <w:p>
            <w:pPr>
              <w:pStyle w:val="45"/>
              <w:rPr>
                <w:color w:val="auto"/>
              </w:rPr>
            </w:pPr>
          </w:p>
        </w:tc>
        <w:tc>
          <w:tcPr>
            <w:tcW w:w="417" w:type="pct"/>
            <w:vMerge w:val="continue"/>
            <w:shd w:val="clear" w:color="auto" w:fill="auto"/>
            <w:vAlign w:val="center"/>
          </w:tcPr>
          <w:p>
            <w:pPr>
              <w:pStyle w:val="45"/>
              <w:rPr>
                <w:color w:val="auto"/>
              </w:rPr>
            </w:pPr>
          </w:p>
        </w:tc>
        <w:tc>
          <w:tcPr>
            <w:tcW w:w="785" w:type="pct"/>
            <w:vMerge w:val="continue"/>
            <w:vAlign w:val="center"/>
          </w:tcPr>
          <w:p>
            <w:pPr>
              <w:pStyle w:val="45"/>
              <w:rPr>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499" w:type="pct"/>
            <w:vMerge w:val="continue"/>
            <w:vAlign w:val="center"/>
          </w:tcPr>
          <w:p>
            <w:pPr>
              <w:pStyle w:val="45"/>
              <w:rPr>
                <w:color w:val="auto"/>
              </w:rPr>
            </w:pPr>
          </w:p>
        </w:tc>
        <w:tc>
          <w:tcPr>
            <w:tcW w:w="637" w:type="pct"/>
            <w:vMerge w:val="continue"/>
            <w:vAlign w:val="center"/>
          </w:tcPr>
          <w:p>
            <w:pPr>
              <w:pStyle w:val="45"/>
              <w:rPr>
                <w:color w:val="auto"/>
              </w:rPr>
            </w:pPr>
          </w:p>
        </w:tc>
        <w:tc>
          <w:tcPr>
            <w:tcW w:w="813" w:type="pct"/>
            <w:vAlign w:val="center"/>
          </w:tcPr>
          <w:p>
            <w:pPr>
              <w:pStyle w:val="45"/>
              <w:rPr>
                <w:color w:val="auto"/>
              </w:rPr>
            </w:pPr>
            <w:r>
              <w:rPr>
                <w:rFonts w:hint="eastAsia"/>
                <w:color w:val="auto"/>
              </w:rPr>
              <w:t>颗粒物</w:t>
            </w:r>
          </w:p>
        </w:tc>
        <w:tc>
          <w:tcPr>
            <w:tcW w:w="755" w:type="pct"/>
            <w:vAlign w:val="center"/>
          </w:tcPr>
          <w:p>
            <w:pPr>
              <w:widowControl/>
              <w:adjustRightInd w:val="0"/>
              <w:snapToGrid w:val="0"/>
              <w:spacing w:line="240" w:lineRule="auto"/>
              <w:ind w:firstLine="0" w:firstLineChars="0"/>
              <w:jc w:val="center"/>
              <w:rPr>
                <w:rFonts w:hint="default" w:eastAsia="宋体"/>
                <w:color w:val="auto"/>
                <w:lang w:val="en-US" w:eastAsia="zh-CN"/>
              </w:rPr>
            </w:pPr>
            <w:r>
              <w:rPr>
                <w:rFonts w:hint="eastAsia"/>
                <w:color w:val="auto"/>
                <w:sz w:val="21"/>
                <w:szCs w:val="21"/>
                <w:lang w:val="en-US" w:eastAsia="zh-CN"/>
              </w:rPr>
              <w:t>7.8</w:t>
            </w:r>
          </w:p>
        </w:tc>
        <w:tc>
          <w:tcPr>
            <w:tcW w:w="633" w:type="pct"/>
            <w:vAlign w:val="center"/>
          </w:tcPr>
          <w:p>
            <w:pPr>
              <w:adjustRightInd w:val="0"/>
              <w:snapToGrid w:val="0"/>
              <w:spacing w:line="240" w:lineRule="auto"/>
              <w:ind w:firstLine="0" w:firstLineChars="0"/>
              <w:jc w:val="center"/>
              <w:rPr>
                <w:rFonts w:hint="default" w:eastAsia="宋体"/>
                <w:color w:val="auto"/>
                <w:lang w:val="en-US" w:eastAsia="zh-CN"/>
              </w:rPr>
            </w:pPr>
            <w:r>
              <w:rPr>
                <w:rFonts w:hint="eastAsia"/>
                <w:color w:val="auto"/>
                <w:sz w:val="21"/>
                <w:szCs w:val="21"/>
              </w:rPr>
              <w:t>0.0</w:t>
            </w:r>
            <w:r>
              <w:rPr>
                <w:rFonts w:hint="eastAsia"/>
                <w:color w:val="auto"/>
                <w:sz w:val="21"/>
                <w:szCs w:val="21"/>
                <w:lang w:val="en-US" w:eastAsia="zh-CN"/>
              </w:rPr>
              <w:t>22</w:t>
            </w:r>
          </w:p>
        </w:tc>
        <w:tc>
          <w:tcPr>
            <w:tcW w:w="457" w:type="pct"/>
            <w:vMerge w:val="continue"/>
            <w:shd w:val="clear" w:color="auto" w:fill="auto"/>
            <w:vAlign w:val="center"/>
          </w:tcPr>
          <w:p>
            <w:pPr>
              <w:pStyle w:val="45"/>
              <w:rPr>
                <w:color w:val="auto"/>
              </w:rPr>
            </w:pPr>
          </w:p>
        </w:tc>
        <w:tc>
          <w:tcPr>
            <w:tcW w:w="417" w:type="pct"/>
            <w:vMerge w:val="continue"/>
            <w:shd w:val="clear" w:color="auto" w:fill="auto"/>
            <w:vAlign w:val="center"/>
          </w:tcPr>
          <w:p>
            <w:pPr>
              <w:pStyle w:val="45"/>
              <w:rPr>
                <w:color w:val="auto"/>
              </w:rPr>
            </w:pPr>
          </w:p>
        </w:tc>
        <w:tc>
          <w:tcPr>
            <w:tcW w:w="785" w:type="pct"/>
            <w:vMerge w:val="continue"/>
            <w:vAlign w:val="center"/>
          </w:tcPr>
          <w:p>
            <w:pPr>
              <w:pStyle w:val="45"/>
              <w:rPr>
                <w:color w:val="auto"/>
              </w:rPr>
            </w:pPr>
          </w:p>
        </w:tc>
      </w:tr>
    </w:tbl>
    <w:p>
      <w:pPr>
        <w:pStyle w:val="9"/>
        <w:tabs>
          <w:tab w:val="left" w:pos="6685"/>
        </w:tabs>
        <w:spacing w:before="0" w:beforeLines="0" w:after="0" w:afterLines="0"/>
        <w:rPr>
          <w:color w:val="auto"/>
        </w:rPr>
      </w:pPr>
      <w:bookmarkStart w:id="270" w:name="_Toc26841"/>
      <w:bookmarkStart w:id="271" w:name="_Toc12176"/>
      <w:r>
        <w:rPr>
          <w:rFonts w:hint="eastAsia"/>
          <w:color w:val="auto"/>
        </w:rPr>
        <w:t>5.1.2大气环境防护距离</w:t>
      </w:r>
      <w:r>
        <w:rPr>
          <w:color w:val="auto"/>
        </w:rPr>
        <w:t>确定</w:t>
      </w:r>
      <w:bookmarkEnd w:id="270"/>
      <w:bookmarkEnd w:id="271"/>
    </w:p>
    <w:p>
      <w:pPr>
        <w:ind w:firstLine="480"/>
        <w:rPr>
          <w:color w:val="auto"/>
        </w:rPr>
      </w:pPr>
      <w:r>
        <w:rPr>
          <w:color w:val="auto"/>
        </w:rPr>
        <w:t>根据《环境影响评价技术导则 大气环境》（HJ2.2-2018），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p>
    <w:p>
      <w:pPr>
        <w:ind w:firstLine="480"/>
        <w:rPr>
          <w:color w:val="auto"/>
        </w:rPr>
      </w:pPr>
      <w:r>
        <w:rPr>
          <w:color w:val="auto"/>
        </w:rPr>
        <w:t>根据大气环境防护距离估算模式，</w:t>
      </w:r>
      <w:r>
        <w:rPr>
          <w:rFonts w:hint="eastAsia"/>
          <w:color w:val="auto"/>
        </w:rPr>
        <w:t>拟建项目</w:t>
      </w:r>
      <w:r>
        <w:rPr>
          <w:color w:val="auto"/>
        </w:rPr>
        <w:t>评价等级为</w:t>
      </w:r>
      <w:r>
        <w:rPr>
          <w:rFonts w:hint="eastAsia"/>
          <w:color w:val="auto"/>
        </w:rPr>
        <w:t>二级</w:t>
      </w:r>
      <w:r>
        <w:rPr>
          <w:color w:val="auto"/>
        </w:rPr>
        <w:t>，不需要进一步预测，因此项目不需设置大气环境防护距离。</w:t>
      </w:r>
    </w:p>
    <w:p>
      <w:pPr>
        <w:pStyle w:val="9"/>
        <w:tabs>
          <w:tab w:val="left" w:pos="6685"/>
        </w:tabs>
        <w:spacing w:before="0" w:beforeLines="0" w:after="0" w:afterLines="0"/>
        <w:rPr>
          <w:color w:val="auto"/>
        </w:rPr>
      </w:pPr>
      <w:bookmarkStart w:id="272" w:name="_Toc21169"/>
      <w:r>
        <w:rPr>
          <w:rFonts w:hint="eastAsia"/>
          <w:color w:val="auto"/>
        </w:rPr>
        <w:t>5.1.</w:t>
      </w:r>
      <w:r>
        <w:rPr>
          <w:rFonts w:hint="eastAsia"/>
          <w:color w:val="auto"/>
          <w:lang w:val="en-US" w:eastAsia="zh-CN"/>
        </w:rPr>
        <w:t>3</w:t>
      </w:r>
      <w:r>
        <w:rPr>
          <w:color w:val="auto"/>
        </w:rPr>
        <w:t>环境监测计划</w:t>
      </w:r>
      <w:bookmarkEnd w:id="272"/>
    </w:p>
    <w:p>
      <w:pPr>
        <w:ind w:firstLine="480"/>
        <w:rPr>
          <w:color w:val="auto"/>
        </w:rPr>
      </w:pPr>
      <w:r>
        <w:rPr>
          <w:rFonts w:hint="eastAsia"/>
          <w:color w:val="auto"/>
        </w:rPr>
        <w:t>拟建设项目</w:t>
      </w:r>
      <w:r>
        <w:rPr>
          <w:color w:val="auto"/>
        </w:rPr>
        <w:t>大气评价等级为</w:t>
      </w:r>
      <w:r>
        <w:rPr>
          <w:rFonts w:hint="eastAsia"/>
          <w:color w:val="auto"/>
        </w:rPr>
        <w:t>二</w:t>
      </w:r>
      <w:r>
        <w:rPr>
          <w:color w:val="auto"/>
        </w:rPr>
        <w:t>级，只需提出项目在生产运行阶段的污染源监测计划。具体污染源监测计划参照《</w:t>
      </w:r>
      <w:r>
        <w:rPr>
          <w:color w:val="auto"/>
        </w:rPr>
        <w:fldChar w:fldCharType="begin"/>
      </w:r>
      <w:r>
        <w:rPr>
          <w:color w:val="auto"/>
        </w:rPr>
        <w:instrText xml:space="preserve"> HYPERLINK "https://www.baidu.com/link?url=g8KWqiB9N08IRKs8M6QbLzXN-qFpBvbVGxYSLvQu4apZrXz3iPaqW7lRpTleWbiSl4zGnHLculglcGZoGYavsdOWCD3UcHtGKG51PecTAZKAdvco7Bcmdn6E5kw5gfv4&amp;wd=&amp;eqid=867f444a000088d7000000025bff52b5" \t "https://www.baidu.com/_blank" </w:instrText>
      </w:r>
      <w:r>
        <w:rPr>
          <w:color w:val="auto"/>
        </w:rPr>
        <w:fldChar w:fldCharType="separate"/>
      </w:r>
      <w:r>
        <w:rPr>
          <w:color w:val="auto"/>
        </w:rPr>
        <w:t>排污单位自行监测技术指南</w:t>
      </w:r>
      <w:r>
        <w:rPr>
          <w:rFonts w:hint="eastAsia"/>
          <w:color w:val="auto"/>
        </w:rPr>
        <w:t xml:space="preserve"> </w:t>
      </w:r>
      <w:r>
        <w:rPr>
          <w:color w:val="auto"/>
        </w:rPr>
        <w:t>总则</w:t>
      </w:r>
      <w:r>
        <w:rPr>
          <w:color w:val="auto"/>
        </w:rPr>
        <w:fldChar w:fldCharType="end"/>
      </w:r>
      <w:r>
        <w:rPr>
          <w:color w:val="auto"/>
        </w:rPr>
        <w:t>》（HJ 819</w:t>
      </w:r>
      <w:r>
        <w:rPr>
          <w:rFonts w:hint="eastAsia"/>
          <w:color w:val="auto"/>
        </w:rPr>
        <w:t>-</w:t>
      </w:r>
      <w:r>
        <w:rPr>
          <w:color w:val="auto"/>
        </w:rPr>
        <w:t>2017）</w:t>
      </w:r>
      <w:r>
        <w:rPr>
          <w:rFonts w:hint="eastAsia"/>
          <w:color w:val="auto"/>
        </w:rPr>
        <w:t>以及《排污单位自行监测技术指南  化学纤维制造业》（HJ986-2018），锅炉参照《排污单位自行监测技术指南 火力发电及锅炉》（HJ 820-2017）执行。拟建设项目环境监测计划见下表。</w:t>
      </w:r>
    </w:p>
    <w:p>
      <w:pPr>
        <w:pStyle w:val="57"/>
        <w:rPr>
          <w:color w:val="auto"/>
        </w:rPr>
      </w:pPr>
      <w:r>
        <w:rPr>
          <w:rFonts w:hint="eastAsia"/>
          <w:color w:val="auto"/>
        </w:rPr>
        <w:t>表5.1-18  拟建设项目环境监测计划一览表</w:t>
      </w:r>
    </w:p>
    <w:tbl>
      <w:tblPr>
        <w:tblStyle w:val="23"/>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76"/>
        <w:gridCol w:w="2313"/>
        <w:gridCol w:w="2313"/>
        <w:gridCol w:w="23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26" w:type="pct"/>
            <w:tcBorders>
              <w:tl2br w:val="nil"/>
              <w:tr2bl w:val="nil"/>
            </w:tcBorders>
            <w:vAlign w:val="center"/>
          </w:tcPr>
          <w:p>
            <w:pPr>
              <w:pStyle w:val="45"/>
              <w:rPr>
                <w:color w:val="auto"/>
              </w:rPr>
            </w:pPr>
            <w:r>
              <w:rPr>
                <w:rFonts w:hint="eastAsia"/>
                <w:color w:val="auto"/>
              </w:rPr>
              <w:t>监测点位</w:t>
            </w:r>
          </w:p>
        </w:tc>
        <w:tc>
          <w:tcPr>
            <w:tcW w:w="1246" w:type="pct"/>
            <w:tcBorders>
              <w:tl2br w:val="nil"/>
              <w:tr2bl w:val="nil"/>
            </w:tcBorders>
            <w:vAlign w:val="center"/>
          </w:tcPr>
          <w:p>
            <w:pPr>
              <w:pStyle w:val="45"/>
              <w:rPr>
                <w:color w:val="auto"/>
              </w:rPr>
            </w:pPr>
            <w:r>
              <w:rPr>
                <w:rFonts w:hint="eastAsia"/>
                <w:color w:val="auto"/>
              </w:rPr>
              <w:t>监测指标</w:t>
            </w:r>
          </w:p>
        </w:tc>
        <w:tc>
          <w:tcPr>
            <w:tcW w:w="1246" w:type="pct"/>
            <w:tcBorders>
              <w:tl2br w:val="nil"/>
              <w:tr2bl w:val="nil"/>
            </w:tcBorders>
            <w:vAlign w:val="center"/>
          </w:tcPr>
          <w:p>
            <w:pPr>
              <w:pStyle w:val="45"/>
              <w:rPr>
                <w:color w:val="auto"/>
              </w:rPr>
            </w:pPr>
            <w:r>
              <w:rPr>
                <w:rFonts w:hint="eastAsia"/>
                <w:color w:val="auto"/>
              </w:rPr>
              <w:t>监测频次</w:t>
            </w:r>
          </w:p>
        </w:tc>
        <w:tc>
          <w:tcPr>
            <w:tcW w:w="1279" w:type="pct"/>
            <w:tcBorders>
              <w:tl2br w:val="nil"/>
              <w:tr2bl w:val="nil"/>
            </w:tcBorders>
            <w:vAlign w:val="center"/>
          </w:tcPr>
          <w:p>
            <w:pPr>
              <w:pStyle w:val="45"/>
              <w:rPr>
                <w:color w:val="auto"/>
              </w:rPr>
            </w:pPr>
            <w:r>
              <w:rPr>
                <w:rFonts w:hint="eastAsia"/>
                <w:color w:val="auto"/>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000" w:type="pct"/>
            <w:gridSpan w:val="4"/>
            <w:tcBorders>
              <w:tl2br w:val="nil"/>
              <w:tr2bl w:val="nil"/>
            </w:tcBorders>
            <w:vAlign w:val="center"/>
          </w:tcPr>
          <w:p>
            <w:pPr>
              <w:pStyle w:val="45"/>
              <w:rPr>
                <w:color w:val="auto"/>
              </w:rPr>
            </w:pPr>
            <w:r>
              <w:rPr>
                <w:rFonts w:hint="eastAsia"/>
                <w:color w:val="auto"/>
              </w:rPr>
              <w:t>有组织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26" w:type="pct"/>
            <w:vMerge w:val="restart"/>
            <w:tcBorders>
              <w:tl2br w:val="nil"/>
              <w:tr2bl w:val="nil"/>
            </w:tcBorders>
            <w:vAlign w:val="center"/>
          </w:tcPr>
          <w:p>
            <w:pPr>
              <w:pStyle w:val="45"/>
              <w:rPr>
                <w:color w:val="auto"/>
              </w:rPr>
            </w:pPr>
            <w:r>
              <w:rPr>
                <w:rFonts w:hint="eastAsia"/>
                <w:color w:val="auto"/>
              </w:rPr>
              <w:t>排气筒DA001</w:t>
            </w:r>
          </w:p>
        </w:tc>
        <w:tc>
          <w:tcPr>
            <w:tcW w:w="1246" w:type="pct"/>
            <w:tcBorders>
              <w:tl2br w:val="nil"/>
              <w:tr2bl w:val="nil"/>
            </w:tcBorders>
            <w:vAlign w:val="center"/>
          </w:tcPr>
          <w:p>
            <w:pPr>
              <w:pStyle w:val="45"/>
              <w:rPr>
                <w:rFonts w:hint="default"/>
                <w:color w:val="auto"/>
                <w:lang w:val="en-US"/>
              </w:rPr>
            </w:pPr>
            <w:r>
              <w:rPr>
                <w:rFonts w:hint="eastAsia"/>
                <w:color w:val="auto"/>
                <w:lang w:val="en-US" w:eastAsia="zh-CN"/>
              </w:rPr>
              <w:t>VOCs</w:t>
            </w:r>
          </w:p>
        </w:tc>
        <w:tc>
          <w:tcPr>
            <w:tcW w:w="1246" w:type="pct"/>
            <w:tcBorders>
              <w:tl2br w:val="nil"/>
              <w:tr2bl w:val="nil"/>
            </w:tcBorders>
            <w:vAlign w:val="center"/>
          </w:tcPr>
          <w:p>
            <w:pPr>
              <w:pStyle w:val="45"/>
              <w:rPr>
                <w:color w:val="auto"/>
              </w:rPr>
            </w:pPr>
            <w:r>
              <w:rPr>
                <w:rFonts w:hint="eastAsia"/>
                <w:color w:val="auto"/>
              </w:rPr>
              <w:t>1次/月</w:t>
            </w:r>
          </w:p>
        </w:tc>
        <w:tc>
          <w:tcPr>
            <w:tcW w:w="1279" w:type="pct"/>
            <w:vMerge w:val="restart"/>
            <w:tcBorders>
              <w:tl2br w:val="nil"/>
              <w:tr2bl w:val="nil"/>
            </w:tcBorders>
            <w:vAlign w:val="center"/>
          </w:tcPr>
          <w:p>
            <w:pPr>
              <w:pStyle w:val="45"/>
              <w:rPr>
                <w:color w:val="auto"/>
              </w:rPr>
            </w:pPr>
            <w:r>
              <w:rPr>
                <w:rFonts w:hint="eastAsia"/>
                <w:color w:val="auto"/>
              </w:rPr>
              <w:t>HJ1139-2020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26" w:type="pct"/>
            <w:vMerge w:val="continue"/>
            <w:tcBorders>
              <w:tl2br w:val="nil"/>
              <w:tr2bl w:val="nil"/>
            </w:tcBorders>
            <w:vAlign w:val="center"/>
          </w:tcPr>
          <w:p>
            <w:pPr>
              <w:pStyle w:val="45"/>
              <w:rPr>
                <w:color w:val="auto"/>
              </w:rPr>
            </w:pPr>
          </w:p>
        </w:tc>
        <w:tc>
          <w:tcPr>
            <w:tcW w:w="1246" w:type="pct"/>
            <w:tcBorders>
              <w:tl2br w:val="nil"/>
              <w:tr2bl w:val="nil"/>
            </w:tcBorders>
            <w:vAlign w:val="center"/>
          </w:tcPr>
          <w:p>
            <w:pPr>
              <w:pStyle w:val="45"/>
              <w:rPr>
                <w:color w:val="auto"/>
              </w:rPr>
            </w:pPr>
            <w:r>
              <w:rPr>
                <w:rFonts w:hint="eastAsia"/>
                <w:color w:val="auto"/>
              </w:rPr>
              <w:t>硫化氢、氨</w:t>
            </w:r>
          </w:p>
        </w:tc>
        <w:tc>
          <w:tcPr>
            <w:tcW w:w="1246" w:type="pct"/>
            <w:tcBorders>
              <w:tl2br w:val="nil"/>
              <w:tr2bl w:val="nil"/>
            </w:tcBorders>
            <w:vAlign w:val="center"/>
          </w:tcPr>
          <w:p>
            <w:pPr>
              <w:pStyle w:val="45"/>
              <w:rPr>
                <w:color w:val="auto"/>
              </w:rPr>
            </w:pPr>
            <w:r>
              <w:rPr>
                <w:rFonts w:hint="eastAsia"/>
                <w:color w:val="auto"/>
              </w:rPr>
              <w:t>1次/半年</w:t>
            </w:r>
          </w:p>
        </w:tc>
        <w:tc>
          <w:tcPr>
            <w:tcW w:w="1279" w:type="pct"/>
            <w:vMerge w:val="continue"/>
            <w:tcBorders>
              <w:tl2br w:val="nil"/>
              <w:tr2bl w:val="nil"/>
            </w:tcBorders>
            <w:vAlign w:val="center"/>
          </w:tcPr>
          <w:p>
            <w:pPr>
              <w:pStyle w:val="45"/>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7" w:hRule="atLeast"/>
        </w:trPr>
        <w:tc>
          <w:tcPr>
            <w:tcW w:w="1226" w:type="pct"/>
            <w:vMerge w:val="restart"/>
            <w:tcBorders>
              <w:tl2br w:val="nil"/>
              <w:tr2bl w:val="nil"/>
            </w:tcBorders>
            <w:vAlign w:val="center"/>
          </w:tcPr>
          <w:p>
            <w:pPr>
              <w:pStyle w:val="45"/>
              <w:rPr>
                <w:rFonts w:hint="eastAsia" w:eastAsia="宋体"/>
                <w:color w:val="auto"/>
                <w:lang w:eastAsia="zh-CN"/>
              </w:rPr>
            </w:pPr>
            <w:r>
              <w:rPr>
                <w:rFonts w:hint="eastAsia"/>
                <w:color w:val="auto"/>
              </w:rPr>
              <w:t>锅炉排气筒DA00</w:t>
            </w:r>
            <w:r>
              <w:rPr>
                <w:rFonts w:hint="eastAsia"/>
                <w:color w:val="auto"/>
                <w:lang w:val="en-US" w:eastAsia="zh-CN"/>
              </w:rPr>
              <w:t>2</w:t>
            </w:r>
          </w:p>
        </w:tc>
        <w:tc>
          <w:tcPr>
            <w:tcW w:w="1246" w:type="pct"/>
            <w:tcBorders>
              <w:tl2br w:val="nil"/>
              <w:tr2bl w:val="nil"/>
            </w:tcBorders>
            <w:vAlign w:val="center"/>
          </w:tcPr>
          <w:p>
            <w:pPr>
              <w:pStyle w:val="45"/>
              <w:rPr>
                <w:color w:val="auto"/>
              </w:rPr>
            </w:pPr>
            <w:r>
              <w:rPr>
                <w:color w:val="auto"/>
              </w:rPr>
              <w:t>氮氧化物</w:t>
            </w:r>
          </w:p>
        </w:tc>
        <w:tc>
          <w:tcPr>
            <w:tcW w:w="1246" w:type="pct"/>
            <w:tcBorders>
              <w:tl2br w:val="nil"/>
              <w:tr2bl w:val="nil"/>
            </w:tcBorders>
            <w:vAlign w:val="center"/>
          </w:tcPr>
          <w:p>
            <w:pPr>
              <w:pStyle w:val="45"/>
              <w:rPr>
                <w:color w:val="auto"/>
              </w:rPr>
            </w:pPr>
            <w:r>
              <w:rPr>
                <w:rFonts w:hint="eastAsia"/>
                <w:color w:val="auto"/>
              </w:rPr>
              <w:t>1次/月</w:t>
            </w:r>
          </w:p>
        </w:tc>
        <w:tc>
          <w:tcPr>
            <w:tcW w:w="1279" w:type="pct"/>
            <w:vMerge w:val="restart"/>
            <w:tcBorders>
              <w:tl2br w:val="nil"/>
              <w:tr2bl w:val="nil"/>
            </w:tcBorders>
            <w:vAlign w:val="center"/>
          </w:tcPr>
          <w:p>
            <w:pPr>
              <w:pStyle w:val="45"/>
              <w:rPr>
                <w:color w:val="auto"/>
              </w:rPr>
            </w:pPr>
            <w:r>
              <w:rPr>
                <w:rFonts w:hint="eastAsia"/>
                <w:color w:val="auto"/>
              </w:rPr>
              <w:t>HJ820-2017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7" w:hRule="atLeast"/>
        </w:trPr>
        <w:tc>
          <w:tcPr>
            <w:tcW w:w="1226" w:type="pct"/>
            <w:vMerge w:val="continue"/>
            <w:tcBorders>
              <w:tl2br w:val="nil"/>
              <w:tr2bl w:val="nil"/>
            </w:tcBorders>
            <w:vAlign w:val="center"/>
          </w:tcPr>
          <w:p>
            <w:pPr>
              <w:pStyle w:val="45"/>
              <w:rPr>
                <w:color w:val="auto"/>
              </w:rPr>
            </w:pPr>
          </w:p>
        </w:tc>
        <w:tc>
          <w:tcPr>
            <w:tcW w:w="1246" w:type="pct"/>
            <w:tcBorders>
              <w:tl2br w:val="nil"/>
              <w:tr2bl w:val="nil"/>
            </w:tcBorders>
            <w:vAlign w:val="center"/>
          </w:tcPr>
          <w:p>
            <w:pPr>
              <w:pStyle w:val="45"/>
              <w:rPr>
                <w:color w:val="auto"/>
              </w:rPr>
            </w:pPr>
            <w:r>
              <w:rPr>
                <w:color w:val="auto"/>
              </w:rPr>
              <w:t>颗粒物、二氧化硫</w:t>
            </w:r>
            <w:r>
              <w:rPr>
                <w:rFonts w:hint="eastAsia"/>
                <w:color w:val="auto"/>
              </w:rPr>
              <w:t>、林格曼黑度</w:t>
            </w:r>
          </w:p>
        </w:tc>
        <w:tc>
          <w:tcPr>
            <w:tcW w:w="1246" w:type="pct"/>
            <w:tcBorders>
              <w:tl2br w:val="nil"/>
              <w:tr2bl w:val="nil"/>
            </w:tcBorders>
            <w:vAlign w:val="center"/>
          </w:tcPr>
          <w:p>
            <w:pPr>
              <w:pStyle w:val="45"/>
              <w:rPr>
                <w:color w:val="auto"/>
              </w:rPr>
            </w:pPr>
            <w:r>
              <w:rPr>
                <w:rFonts w:hint="eastAsia"/>
                <w:color w:val="auto"/>
              </w:rPr>
              <w:t>1次/年</w:t>
            </w:r>
          </w:p>
        </w:tc>
        <w:tc>
          <w:tcPr>
            <w:tcW w:w="1279" w:type="pct"/>
            <w:vMerge w:val="continue"/>
            <w:tcBorders>
              <w:tl2br w:val="nil"/>
              <w:tr2bl w:val="nil"/>
            </w:tcBorders>
            <w:vAlign w:val="center"/>
          </w:tcPr>
          <w:p>
            <w:pPr>
              <w:pStyle w:val="45"/>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000" w:type="pct"/>
            <w:gridSpan w:val="4"/>
            <w:tcBorders>
              <w:tl2br w:val="nil"/>
              <w:tr2bl w:val="nil"/>
            </w:tcBorders>
            <w:vAlign w:val="center"/>
          </w:tcPr>
          <w:p>
            <w:pPr>
              <w:pStyle w:val="45"/>
              <w:rPr>
                <w:color w:val="auto"/>
              </w:rPr>
            </w:pPr>
            <w:r>
              <w:rPr>
                <w:rFonts w:hint="eastAsia"/>
                <w:color w:val="auto"/>
              </w:rPr>
              <w:t>无组织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26" w:type="pct"/>
            <w:vMerge w:val="restart"/>
            <w:tcBorders>
              <w:tl2br w:val="nil"/>
              <w:tr2bl w:val="nil"/>
            </w:tcBorders>
            <w:vAlign w:val="center"/>
          </w:tcPr>
          <w:p>
            <w:pPr>
              <w:pStyle w:val="45"/>
              <w:rPr>
                <w:color w:val="auto"/>
              </w:rPr>
            </w:pPr>
            <w:r>
              <w:rPr>
                <w:rFonts w:hint="eastAsia"/>
                <w:color w:val="auto"/>
              </w:rPr>
              <w:t>厂界</w:t>
            </w:r>
          </w:p>
        </w:tc>
        <w:tc>
          <w:tcPr>
            <w:tcW w:w="1246" w:type="pct"/>
            <w:tcBorders>
              <w:tl2br w:val="nil"/>
              <w:tr2bl w:val="nil"/>
            </w:tcBorders>
            <w:vAlign w:val="center"/>
          </w:tcPr>
          <w:p>
            <w:pPr>
              <w:pStyle w:val="45"/>
              <w:rPr>
                <w:color w:val="auto"/>
              </w:rPr>
            </w:pPr>
            <w:r>
              <w:rPr>
                <w:rFonts w:hint="eastAsia"/>
                <w:color w:val="auto"/>
              </w:rPr>
              <w:t>颗粒物</w:t>
            </w:r>
          </w:p>
        </w:tc>
        <w:tc>
          <w:tcPr>
            <w:tcW w:w="1246" w:type="pct"/>
            <w:tcBorders>
              <w:tl2br w:val="nil"/>
              <w:tr2bl w:val="nil"/>
            </w:tcBorders>
            <w:vAlign w:val="center"/>
          </w:tcPr>
          <w:p>
            <w:pPr>
              <w:pStyle w:val="45"/>
              <w:rPr>
                <w:color w:val="auto"/>
              </w:rPr>
            </w:pPr>
            <w:r>
              <w:rPr>
                <w:rFonts w:hint="eastAsia"/>
                <w:color w:val="auto"/>
              </w:rPr>
              <w:t>季度</w:t>
            </w:r>
          </w:p>
        </w:tc>
        <w:tc>
          <w:tcPr>
            <w:tcW w:w="1279" w:type="pct"/>
            <w:vMerge w:val="restart"/>
            <w:tcBorders>
              <w:tl2br w:val="nil"/>
              <w:tr2bl w:val="nil"/>
            </w:tcBorders>
            <w:vAlign w:val="center"/>
          </w:tcPr>
          <w:p>
            <w:pPr>
              <w:pStyle w:val="45"/>
              <w:rPr>
                <w:color w:val="auto"/>
              </w:rPr>
            </w:pPr>
            <w:r>
              <w:rPr>
                <w:rFonts w:hint="eastAsia"/>
                <w:color w:val="auto"/>
              </w:rPr>
              <w:t>HJ1139-2020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26" w:type="pct"/>
            <w:vMerge w:val="continue"/>
            <w:tcBorders>
              <w:tl2br w:val="nil"/>
              <w:tr2bl w:val="nil"/>
            </w:tcBorders>
            <w:vAlign w:val="center"/>
          </w:tcPr>
          <w:p>
            <w:pPr>
              <w:pStyle w:val="45"/>
              <w:rPr>
                <w:color w:val="auto"/>
              </w:rPr>
            </w:pPr>
          </w:p>
        </w:tc>
        <w:tc>
          <w:tcPr>
            <w:tcW w:w="1246" w:type="pct"/>
            <w:tcBorders>
              <w:tl2br w:val="nil"/>
              <w:tr2bl w:val="nil"/>
            </w:tcBorders>
            <w:vAlign w:val="center"/>
          </w:tcPr>
          <w:p>
            <w:pPr>
              <w:pStyle w:val="45"/>
              <w:rPr>
                <w:color w:val="auto"/>
              </w:rPr>
            </w:pPr>
            <w:r>
              <w:rPr>
                <w:rFonts w:hint="eastAsia"/>
                <w:color w:val="auto"/>
                <w:lang w:val="en-US" w:eastAsia="zh-CN"/>
              </w:rPr>
              <w:t>VOCs</w:t>
            </w:r>
          </w:p>
        </w:tc>
        <w:tc>
          <w:tcPr>
            <w:tcW w:w="1246" w:type="pct"/>
            <w:tcBorders>
              <w:tl2br w:val="nil"/>
              <w:tr2bl w:val="nil"/>
            </w:tcBorders>
            <w:vAlign w:val="center"/>
          </w:tcPr>
          <w:p>
            <w:pPr>
              <w:pStyle w:val="45"/>
              <w:rPr>
                <w:color w:val="auto"/>
              </w:rPr>
            </w:pPr>
            <w:r>
              <w:rPr>
                <w:rFonts w:hint="eastAsia"/>
                <w:color w:val="auto"/>
              </w:rPr>
              <w:t>季度</w:t>
            </w:r>
          </w:p>
        </w:tc>
        <w:tc>
          <w:tcPr>
            <w:tcW w:w="1279" w:type="pct"/>
            <w:vMerge w:val="continue"/>
            <w:tcBorders>
              <w:tl2br w:val="nil"/>
              <w:tr2bl w:val="nil"/>
            </w:tcBorders>
            <w:vAlign w:val="center"/>
          </w:tcPr>
          <w:p>
            <w:pPr>
              <w:pStyle w:val="45"/>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26" w:type="pct"/>
            <w:vMerge w:val="continue"/>
            <w:tcBorders>
              <w:tl2br w:val="nil"/>
              <w:tr2bl w:val="nil"/>
            </w:tcBorders>
            <w:vAlign w:val="center"/>
          </w:tcPr>
          <w:p>
            <w:pPr>
              <w:pStyle w:val="45"/>
              <w:rPr>
                <w:color w:val="auto"/>
              </w:rPr>
            </w:pPr>
          </w:p>
        </w:tc>
        <w:tc>
          <w:tcPr>
            <w:tcW w:w="1246" w:type="pct"/>
            <w:tcBorders>
              <w:tl2br w:val="nil"/>
              <w:tr2bl w:val="nil"/>
            </w:tcBorders>
            <w:vAlign w:val="center"/>
          </w:tcPr>
          <w:p>
            <w:pPr>
              <w:pStyle w:val="45"/>
              <w:rPr>
                <w:color w:val="auto"/>
              </w:rPr>
            </w:pPr>
            <w:r>
              <w:rPr>
                <w:rFonts w:hint="eastAsia"/>
                <w:color w:val="auto"/>
              </w:rPr>
              <w:t>硫化氢</w:t>
            </w:r>
          </w:p>
        </w:tc>
        <w:tc>
          <w:tcPr>
            <w:tcW w:w="1246" w:type="pct"/>
            <w:tcBorders>
              <w:tl2br w:val="nil"/>
              <w:tr2bl w:val="nil"/>
            </w:tcBorders>
            <w:vAlign w:val="center"/>
          </w:tcPr>
          <w:p>
            <w:pPr>
              <w:pStyle w:val="45"/>
              <w:rPr>
                <w:color w:val="auto"/>
              </w:rPr>
            </w:pPr>
            <w:r>
              <w:rPr>
                <w:rFonts w:hint="eastAsia"/>
                <w:color w:val="auto"/>
              </w:rPr>
              <w:t>半年</w:t>
            </w:r>
          </w:p>
        </w:tc>
        <w:tc>
          <w:tcPr>
            <w:tcW w:w="1279" w:type="pct"/>
            <w:vMerge w:val="continue"/>
            <w:tcBorders>
              <w:tl2br w:val="nil"/>
              <w:tr2bl w:val="nil"/>
            </w:tcBorders>
            <w:vAlign w:val="center"/>
          </w:tcPr>
          <w:p>
            <w:pPr>
              <w:pStyle w:val="45"/>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26" w:type="pct"/>
            <w:vMerge w:val="continue"/>
            <w:tcBorders>
              <w:tl2br w:val="nil"/>
              <w:tr2bl w:val="nil"/>
            </w:tcBorders>
            <w:vAlign w:val="center"/>
          </w:tcPr>
          <w:p>
            <w:pPr>
              <w:pStyle w:val="45"/>
              <w:rPr>
                <w:color w:val="auto"/>
              </w:rPr>
            </w:pPr>
          </w:p>
        </w:tc>
        <w:tc>
          <w:tcPr>
            <w:tcW w:w="1246" w:type="pct"/>
            <w:tcBorders>
              <w:tl2br w:val="nil"/>
              <w:tr2bl w:val="nil"/>
            </w:tcBorders>
            <w:vAlign w:val="center"/>
          </w:tcPr>
          <w:p>
            <w:pPr>
              <w:pStyle w:val="45"/>
              <w:rPr>
                <w:color w:val="auto"/>
              </w:rPr>
            </w:pPr>
            <w:r>
              <w:rPr>
                <w:rFonts w:hint="eastAsia"/>
                <w:color w:val="auto"/>
              </w:rPr>
              <w:t>氨</w:t>
            </w:r>
          </w:p>
        </w:tc>
        <w:tc>
          <w:tcPr>
            <w:tcW w:w="1246" w:type="pct"/>
            <w:tcBorders>
              <w:tl2br w:val="nil"/>
              <w:tr2bl w:val="nil"/>
            </w:tcBorders>
            <w:vAlign w:val="center"/>
          </w:tcPr>
          <w:p>
            <w:pPr>
              <w:pStyle w:val="45"/>
              <w:rPr>
                <w:color w:val="auto"/>
              </w:rPr>
            </w:pPr>
            <w:r>
              <w:rPr>
                <w:rFonts w:hint="eastAsia"/>
                <w:color w:val="auto"/>
              </w:rPr>
              <w:t>半年</w:t>
            </w:r>
          </w:p>
        </w:tc>
        <w:tc>
          <w:tcPr>
            <w:tcW w:w="1279" w:type="pct"/>
            <w:vMerge w:val="continue"/>
            <w:tcBorders>
              <w:tl2br w:val="nil"/>
              <w:tr2bl w:val="nil"/>
            </w:tcBorders>
            <w:vAlign w:val="center"/>
          </w:tcPr>
          <w:p>
            <w:pPr>
              <w:pStyle w:val="45"/>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000" w:type="pct"/>
            <w:gridSpan w:val="4"/>
            <w:tcBorders>
              <w:tl2br w:val="nil"/>
              <w:tr2bl w:val="nil"/>
            </w:tcBorders>
            <w:vAlign w:val="center"/>
          </w:tcPr>
          <w:p>
            <w:pPr>
              <w:pStyle w:val="45"/>
              <w:rPr>
                <w:color w:val="auto"/>
              </w:rPr>
            </w:pPr>
            <w:r>
              <w:rPr>
                <w:rFonts w:hint="eastAsia"/>
                <w:color w:val="auto"/>
              </w:rPr>
              <w:t>注：废气监测须按照相应监测分析方法、技术规范同步监测烟气参数；</w:t>
            </w:r>
            <w:r>
              <w:rPr>
                <w:color w:val="auto"/>
              </w:rPr>
              <w:t>无组织废气监测须同步监测气象因子</w:t>
            </w:r>
          </w:p>
        </w:tc>
      </w:tr>
    </w:tbl>
    <w:p>
      <w:pPr>
        <w:pStyle w:val="9"/>
        <w:tabs>
          <w:tab w:val="left" w:pos="6685"/>
        </w:tabs>
        <w:spacing w:before="0" w:beforeLines="0" w:after="0" w:afterLines="0"/>
        <w:rPr>
          <w:color w:val="auto"/>
        </w:rPr>
      </w:pPr>
      <w:bookmarkStart w:id="273" w:name="_Toc11975"/>
      <w:r>
        <w:rPr>
          <w:rFonts w:hint="eastAsia"/>
          <w:color w:val="auto"/>
        </w:rPr>
        <w:t>5.1.5</w:t>
      </w:r>
      <w:r>
        <w:rPr>
          <w:color w:val="auto"/>
        </w:rPr>
        <w:t>污染控制措施可行性</w:t>
      </w:r>
      <w:r>
        <w:rPr>
          <w:rFonts w:hint="eastAsia"/>
          <w:color w:val="auto"/>
        </w:rPr>
        <w:t>论证</w:t>
      </w:r>
      <w:bookmarkEnd w:id="273"/>
    </w:p>
    <w:p>
      <w:pPr>
        <w:pStyle w:val="14"/>
        <w:spacing w:after="0"/>
        <w:ind w:firstLine="480"/>
        <w:rPr>
          <w:color w:val="auto"/>
        </w:rPr>
      </w:pPr>
      <w:r>
        <w:rPr>
          <w:rFonts w:hint="eastAsia"/>
          <w:color w:val="auto"/>
        </w:rPr>
        <w:t>根据《排污许可证申请与核发技术规范  化学纤维制造业》（HJ1102-2020）附录A化学纤维制造业排污单位废气治理可行性技术进行判断。本项目有机废气采用</w:t>
      </w:r>
      <w:r>
        <w:rPr>
          <w:rFonts w:hint="eastAsia"/>
          <w:color w:val="auto"/>
          <w:lang w:eastAsia="zh-CN"/>
        </w:rPr>
        <w:t>碱喷淋</w:t>
      </w:r>
      <w:r>
        <w:rPr>
          <w:rFonts w:hint="eastAsia"/>
          <w:color w:val="auto"/>
        </w:rPr>
        <w:t>+活性炭吸附的处理方式是可行的，颗粒物采用旋风除尘器处理较为先进，处理效率较高，属于可行性技术。</w:t>
      </w:r>
    </w:p>
    <w:p>
      <w:pPr>
        <w:pStyle w:val="9"/>
        <w:tabs>
          <w:tab w:val="left" w:pos="6685"/>
        </w:tabs>
        <w:spacing w:before="0" w:beforeLines="0" w:after="0" w:afterLines="0"/>
        <w:rPr>
          <w:color w:val="auto"/>
        </w:rPr>
      </w:pPr>
      <w:bookmarkStart w:id="274" w:name="_Toc30913"/>
      <w:r>
        <w:rPr>
          <w:rFonts w:hint="eastAsia"/>
          <w:color w:val="auto"/>
        </w:rPr>
        <w:t>5.1.6</w:t>
      </w:r>
      <w:r>
        <w:rPr>
          <w:color w:val="auto"/>
        </w:rPr>
        <w:t>大气环境影响评价结论与建议</w:t>
      </w:r>
      <w:bookmarkEnd w:id="274"/>
    </w:p>
    <w:p>
      <w:pPr>
        <w:spacing w:line="360" w:lineRule="auto"/>
        <w:ind w:firstLine="480"/>
        <w:rPr>
          <w:color w:val="auto"/>
        </w:rPr>
      </w:pPr>
      <w:r>
        <w:rPr>
          <w:rFonts w:hint="eastAsia"/>
          <w:color w:val="auto"/>
          <w:szCs w:val="24"/>
        </w:rPr>
        <w:t>根据核算及预测，</w:t>
      </w:r>
      <w:r>
        <w:rPr>
          <w:color w:val="auto"/>
          <w:szCs w:val="24"/>
        </w:rPr>
        <w:t>项目污染物通过收集治理均可达标排放。</w:t>
      </w:r>
      <w:r>
        <w:rPr>
          <w:rFonts w:hint="eastAsia"/>
          <w:color w:val="auto"/>
          <w:szCs w:val="24"/>
        </w:rPr>
        <w:t>项目</w:t>
      </w:r>
      <w:r>
        <w:rPr>
          <w:color w:val="auto"/>
          <w:szCs w:val="24"/>
        </w:rPr>
        <w:t>污染源正常排放下各污染物的短期浓度贡献值的最大浓度占标率均＜100%，占标率</w:t>
      </w:r>
      <w:r>
        <w:rPr>
          <w:rFonts w:hint="eastAsia"/>
          <w:color w:val="auto"/>
          <w:szCs w:val="24"/>
        </w:rPr>
        <w:t>1%＜</w:t>
      </w:r>
      <w:r>
        <w:rPr>
          <w:color w:val="auto"/>
        </w:rPr>
        <w:t>Pmax=</w:t>
      </w:r>
      <w:r>
        <w:rPr>
          <w:rFonts w:hint="eastAsia"/>
          <w:color w:val="auto"/>
        </w:rPr>
        <w:t>9.00%</w:t>
      </w:r>
      <w:r>
        <w:rPr>
          <w:rFonts w:hint="eastAsia"/>
          <w:color w:val="auto"/>
          <w:szCs w:val="24"/>
        </w:rPr>
        <w:t>＜</w:t>
      </w:r>
      <w:r>
        <w:rPr>
          <w:color w:val="auto"/>
        </w:rPr>
        <w:t>1</w:t>
      </w:r>
      <w:r>
        <w:rPr>
          <w:rFonts w:hint="eastAsia"/>
          <w:color w:val="auto"/>
        </w:rPr>
        <w:t>0</w:t>
      </w:r>
      <w:r>
        <w:rPr>
          <w:color w:val="auto"/>
        </w:rPr>
        <w:t>%</w:t>
      </w:r>
      <w:r>
        <w:rPr>
          <w:rFonts w:hint="eastAsia"/>
          <w:color w:val="auto"/>
        </w:rPr>
        <w:t>，为二级评价。</w:t>
      </w:r>
    </w:p>
    <w:p>
      <w:pPr>
        <w:pStyle w:val="10"/>
        <w:ind w:firstLine="482"/>
        <w:rPr>
          <w:color w:val="auto"/>
        </w:rPr>
      </w:pPr>
      <w:r>
        <w:rPr>
          <w:rFonts w:hint="eastAsia"/>
          <w:color w:val="auto"/>
        </w:rPr>
        <w:t>5.1.6.1污染防治措施可行性结论</w:t>
      </w:r>
    </w:p>
    <w:p>
      <w:pPr>
        <w:ind w:firstLine="480"/>
        <w:rPr>
          <w:color w:val="auto"/>
        </w:rPr>
      </w:pPr>
      <w:r>
        <w:rPr>
          <w:rFonts w:hint="eastAsia"/>
          <w:color w:val="auto"/>
        </w:rPr>
        <w:t>根据《排污许可证申请与核发技术规范  化学纤维制造业》（HJ1102-2020）推荐污染防治措施分析，拟建项目污染防治措施可行，经核算及预测，各污染物污染物均能达标排放。</w:t>
      </w:r>
    </w:p>
    <w:p>
      <w:pPr>
        <w:pStyle w:val="10"/>
        <w:ind w:firstLine="482"/>
        <w:rPr>
          <w:color w:val="auto"/>
        </w:rPr>
      </w:pPr>
      <w:r>
        <w:rPr>
          <w:rFonts w:hint="eastAsia"/>
          <w:color w:val="auto"/>
        </w:rPr>
        <w:t>5.1.6.2</w:t>
      </w:r>
      <w:r>
        <w:rPr>
          <w:color w:val="auto"/>
        </w:rPr>
        <w:t>大气环境</w:t>
      </w:r>
      <w:r>
        <w:rPr>
          <w:rFonts w:hint="eastAsia"/>
          <w:color w:val="auto"/>
        </w:rPr>
        <w:t>防护</w:t>
      </w:r>
      <w:r>
        <w:rPr>
          <w:color w:val="auto"/>
        </w:rPr>
        <w:t>距离</w:t>
      </w:r>
      <w:r>
        <w:rPr>
          <w:rFonts w:hint="eastAsia"/>
          <w:color w:val="auto"/>
        </w:rPr>
        <w:t>结论</w:t>
      </w:r>
    </w:p>
    <w:p>
      <w:pPr>
        <w:ind w:firstLine="480"/>
        <w:rPr>
          <w:color w:val="auto"/>
        </w:rPr>
      </w:pPr>
      <w:r>
        <w:rPr>
          <w:rFonts w:hint="eastAsia"/>
          <w:color w:val="auto"/>
        </w:rPr>
        <w:t>拟建项目为二级评价项目，</w:t>
      </w:r>
      <w:r>
        <w:rPr>
          <w:color w:val="auto"/>
        </w:rPr>
        <w:t>项目不需设置大气环境防护距离</w:t>
      </w:r>
      <w:r>
        <w:rPr>
          <w:rFonts w:hint="eastAsia"/>
          <w:color w:val="auto"/>
        </w:rPr>
        <w:t>。</w:t>
      </w:r>
    </w:p>
    <w:p>
      <w:pPr>
        <w:pStyle w:val="10"/>
        <w:ind w:firstLine="482"/>
        <w:rPr>
          <w:color w:val="auto"/>
        </w:rPr>
      </w:pPr>
      <w:r>
        <w:rPr>
          <w:rFonts w:hint="eastAsia"/>
          <w:color w:val="auto"/>
        </w:rPr>
        <w:t>5.1.6.</w:t>
      </w:r>
      <w:r>
        <w:rPr>
          <w:rFonts w:hint="eastAsia"/>
          <w:color w:val="auto"/>
          <w:lang w:val="en-US" w:eastAsia="zh-CN"/>
        </w:rPr>
        <w:t>3</w:t>
      </w:r>
      <w:r>
        <w:rPr>
          <w:color w:val="auto"/>
        </w:rPr>
        <w:t>大气环境影响评价自查表</w:t>
      </w:r>
    </w:p>
    <w:p>
      <w:pPr>
        <w:spacing w:line="360" w:lineRule="auto"/>
        <w:ind w:firstLine="480"/>
        <w:rPr>
          <w:color w:val="auto"/>
          <w:szCs w:val="24"/>
        </w:rPr>
      </w:pPr>
      <w:r>
        <w:rPr>
          <w:rFonts w:hint="eastAsia"/>
          <w:color w:val="auto"/>
          <w:szCs w:val="24"/>
        </w:rPr>
        <w:t>拟建设项目</w:t>
      </w:r>
      <w:r>
        <w:rPr>
          <w:color w:val="auto"/>
          <w:szCs w:val="24"/>
        </w:rPr>
        <w:t>大气环境影响评价自查表见表</w:t>
      </w:r>
      <w:r>
        <w:rPr>
          <w:rFonts w:hint="eastAsia"/>
          <w:color w:val="auto"/>
          <w:szCs w:val="24"/>
        </w:rPr>
        <w:t>5.1-20。</w:t>
      </w:r>
    </w:p>
    <w:p>
      <w:pPr>
        <w:pStyle w:val="57"/>
        <w:rPr>
          <w:color w:val="auto"/>
        </w:rPr>
      </w:pPr>
      <w:r>
        <w:rPr>
          <w:color w:val="auto"/>
        </w:rPr>
        <w:t>表</w:t>
      </w:r>
      <w:r>
        <w:rPr>
          <w:rFonts w:hint="eastAsia"/>
          <w:color w:val="auto"/>
        </w:rPr>
        <w:t>5.1-20</w:t>
      </w:r>
      <w:r>
        <w:rPr>
          <w:color w:val="auto"/>
        </w:rPr>
        <w:t xml:space="preserve">  </w:t>
      </w:r>
      <w:r>
        <w:rPr>
          <w:rFonts w:hint="eastAsia"/>
          <w:color w:val="auto"/>
        </w:rPr>
        <w:t>拟建设项目</w:t>
      </w:r>
      <w:r>
        <w:rPr>
          <w:color w:val="auto"/>
        </w:rPr>
        <w:t>大气环境影响评价自查表</w:t>
      </w:r>
    </w:p>
    <w:tbl>
      <w:tblPr>
        <w:tblStyle w:val="23"/>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0"/>
        <w:gridCol w:w="1058"/>
        <w:gridCol w:w="1286"/>
        <w:gridCol w:w="12"/>
        <w:gridCol w:w="815"/>
        <w:gridCol w:w="163"/>
        <w:gridCol w:w="654"/>
        <w:gridCol w:w="842"/>
        <w:gridCol w:w="730"/>
        <w:gridCol w:w="375"/>
        <w:gridCol w:w="466"/>
        <w:gridCol w:w="656"/>
        <w:gridCol w:w="642"/>
        <w:gridCol w:w="78"/>
        <w:gridCol w:w="561"/>
        <w:gridCol w:w="5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500" w:type="pct"/>
            <w:gridSpan w:val="2"/>
            <w:tcBorders>
              <w:tl2br w:val="nil"/>
              <w:tr2bl w:val="nil"/>
            </w:tcBorders>
            <w:vAlign w:val="center"/>
          </w:tcPr>
          <w:p>
            <w:pPr>
              <w:pStyle w:val="45"/>
              <w:rPr>
                <w:color w:val="auto"/>
              </w:rPr>
            </w:pPr>
            <w:r>
              <w:rPr>
                <w:color w:val="auto"/>
              </w:rPr>
              <w:t>工作内容</w:t>
            </w:r>
          </w:p>
        </w:tc>
        <w:tc>
          <w:tcPr>
            <w:tcW w:w="3499" w:type="pct"/>
            <w:gridSpan w:val="14"/>
            <w:tcBorders>
              <w:tl2br w:val="nil"/>
              <w:tr2bl w:val="nil"/>
            </w:tcBorders>
            <w:vAlign w:val="center"/>
          </w:tcPr>
          <w:p>
            <w:pPr>
              <w:pStyle w:val="45"/>
              <w:rPr>
                <w:color w:val="auto"/>
              </w:rPr>
            </w:pPr>
            <w:r>
              <w:rPr>
                <w:color w:val="auto"/>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7" w:type="pct"/>
            <w:vMerge w:val="restart"/>
            <w:tcBorders>
              <w:tl2br w:val="nil"/>
              <w:tr2bl w:val="nil"/>
            </w:tcBorders>
            <w:vAlign w:val="center"/>
          </w:tcPr>
          <w:p>
            <w:pPr>
              <w:pStyle w:val="45"/>
              <w:rPr>
                <w:color w:val="auto"/>
              </w:rPr>
            </w:pPr>
            <w:r>
              <w:rPr>
                <w:color w:val="auto"/>
              </w:rPr>
              <w:t>评级等级与范围</w:t>
            </w:r>
          </w:p>
        </w:tc>
        <w:tc>
          <w:tcPr>
            <w:tcW w:w="872" w:type="pct"/>
            <w:tcBorders>
              <w:tl2br w:val="nil"/>
              <w:tr2bl w:val="nil"/>
            </w:tcBorders>
            <w:vAlign w:val="center"/>
          </w:tcPr>
          <w:p>
            <w:pPr>
              <w:pStyle w:val="45"/>
              <w:rPr>
                <w:color w:val="auto"/>
              </w:rPr>
            </w:pPr>
            <w:r>
              <w:rPr>
                <w:color w:val="auto"/>
              </w:rPr>
              <w:t>评级等级</w:t>
            </w:r>
          </w:p>
        </w:tc>
        <w:tc>
          <w:tcPr>
            <w:tcW w:w="1118" w:type="pct"/>
            <w:gridSpan w:val="5"/>
            <w:tcBorders>
              <w:tl2br w:val="nil"/>
              <w:tr2bl w:val="nil"/>
            </w:tcBorders>
            <w:vAlign w:val="center"/>
          </w:tcPr>
          <w:p>
            <w:pPr>
              <w:pStyle w:val="45"/>
              <w:rPr>
                <w:color w:val="auto"/>
              </w:rPr>
            </w:pPr>
            <w:r>
              <w:rPr>
                <w:color w:val="auto"/>
              </w:rPr>
              <w:t>一级</w:t>
            </w:r>
            <w:r>
              <w:rPr>
                <w:color w:val="auto"/>
              </w:rPr>
              <w:sym w:font="Wingdings" w:char="00A8"/>
            </w:r>
          </w:p>
        </w:tc>
        <w:tc>
          <w:tcPr>
            <w:tcW w:w="1195" w:type="pct"/>
            <w:gridSpan w:val="5"/>
            <w:tcBorders>
              <w:tl2br w:val="nil"/>
              <w:tr2bl w:val="nil"/>
            </w:tcBorders>
            <w:vAlign w:val="center"/>
          </w:tcPr>
          <w:p>
            <w:pPr>
              <w:pStyle w:val="45"/>
              <w:rPr>
                <w:color w:val="auto"/>
              </w:rPr>
            </w:pPr>
            <w:r>
              <w:rPr>
                <w:color w:val="auto"/>
              </w:rPr>
              <w:t>二级</w:t>
            </w:r>
            <w:r>
              <w:rPr>
                <w:color w:val="auto"/>
              </w:rPr>
              <w:sym w:font="Wingdings" w:char="00FE"/>
            </w:r>
          </w:p>
        </w:tc>
        <w:tc>
          <w:tcPr>
            <w:tcW w:w="1184" w:type="pct"/>
            <w:gridSpan w:val="4"/>
            <w:tcBorders>
              <w:tl2br w:val="nil"/>
              <w:tr2bl w:val="nil"/>
            </w:tcBorders>
            <w:vAlign w:val="center"/>
          </w:tcPr>
          <w:p>
            <w:pPr>
              <w:pStyle w:val="45"/>
              <w:rPr>
                <w:color w:val="auto"/>
              </w:rPr>
            </w:pPr>
            <w:r>
              <w:rPr>
                <w:color w:val="auto"/>
              </w:rPr>
              <w:t>三级</w:t>
            </w:r>
            <w:r>
              <w:rPr>
                <w:color w:val="auto"/>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7" w:type="pct"/>
            <w:vMerge w:val="continue"/>
            <w:tcBorders>
              <w:tl2br w:val="nil"/>
              <w:tr2bl w:val="nil"/>
            </w:tcBorders>
            <w:vAlign w:val="center"/>
          </w:tcPr>
          <w:p>
            <w:pPr>
              <w:pStyle w:val="45"/>
              <w:rPr>
                <w:color w:val="auto"/>
              </w:rPr>
            </w:pPr>
          </w:p>
        </w:tc>
        <w:tc>
          <w:tcPr>
            <w:tcW w:w="872" w:type="pct"/>
            <w:tcBorders>
              <w:tl2br w:val="nil"/>
              <w:tr2bl w:val="nil"/>
            </w:tcBorders>
            <w:vAlign w:val="center"/>
          </w:tcPr>
          <w:p>
            <w:pPr>
              <w:pStyle w:val="45"/>
              <w:rPr>
                <w:color w:val="auto"/>
              </w:rPr>
            </w:pPr>
            <w:r>
              <w:rPr>
                <w:color w:val="auto"/>
              </w:rPr>
              <w:t>评价范围</w:t>
            </w:r>
          </w:p>
        </w:tc>
        <w:tc>
          <w:tcPr>
            <w:tcW w:w="1118" w:type="pct"/>
            <w:gridSpan w:val="5"/>
            <w:tcBorders>
              <w:tl2br w:val="nil"/>
              <w:tr2bl w:val="nil"/>
            </w:tcBorders>
            <w:vAlign w:val="center"/>
          </w:tcPr>
          <w:p>
            <w:pPr>
              <w:pStyle w:val="45"/>
              <w:rPr>
                <w:color w:val="auto"/>
              </w:rPr>
            </w:pPr>
            <w:r>
              <w:rPr>
                <w:color w:val="auto"/>
              </w:rPr>
              <w:t>边长=50km</w:t>
            </w:r>
            <w:r>
              <w:rPr>
                <w:color w:val="auto"/>
              </w:rPr>
              <w:sym w:font="Wingdings" w:char="00A8"/>
            </w:r>
          </w:p>
        </w:tc>
        <w:tc>
          <w:tcPr>
            <w:tcW w:w="1195" w:type="pct"/>
            <w:gridSpan w:val="5"/>
            <w:tcBorders>
              <w:tl2br w:val="nil"/>
              <w:tr2bl w:val="nil"/>
            </w:tcBorders>
            <w:vAlign w:val="center"/>
          </w:tcPr>
          <w:p>
            <w:pPr>
              <w:pStyle w:val="45"/>
              <w:rPr>
                <w:color w:val="auto"/>
              </w:rPr>
            </w:pPr>
            <w:r>
              <w:rPr>
                <w:color w:val="auto"/>
              </w:rPr>
              <w:t>边长5~50km</w:t>
            </w:r>
            <w:r>
              <w:rPr>
                <w:color w:val="auto"/>
              </w:rPr>
              <w:sym w:font="Wingdings" w:char="00A8"/>
            </w:r>
          </w:p>
        </w:tc>
        <w:tc>
          <w:tcPr>
            <w:tcW w:w="1184" w:type="pct"/>
            <w:gridSpan w:val="4"/>
            <w:tcBorders>
              <w:tl2br w:val="nil"/>
              <w:tr2bl w:val="nil"/>
            </w:tcBorders>
            <w:vAlign w:val="center"/>
          </w:tcPr>
          <w:p>
            <w:pPr>
              <w:pStyle w:val="45"/>
              <w:rPr>
                <w:color w:val="auto"/>
              </w:rPr>
            </w:pPr>
            <w:r>
              <w:rPr>
                <w:color w:val="auto"/>
              </w:rPr>
              <w:t>边长=5km</w:t>
            </w:r>
            <w:r>
              <w:rPr>
                <w:color w:val="auto"/>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7" w:type="pct"/>
            <w:vMerge w:val="restart"/>
            <w:tcBorders>
              <w:tl2br w:val="nil"/>
              <w:tr2bl w:val="nil"/>
            </w:tcBorders>
            <w:vAlign w:val="center"/>
          </w:tcPr>
          <w:p>
            <w:pPr>
              <w:pStyle w:val="45"/>
              <w:rPr>
                <w:color w:val="auto"/>
              </w:rPr>
            </w:pPr>
            <w:r>
              <w:rPr>
                <w:color w:val="auto"/>
              </w:rPr>
              <w:t>评价因子</w:t>
            </w:r>
          </w:p>
        </w:tc>
        <w:tc>
          <w:tcPr>
            <w:tcW w:w="872" w:type="pct"/>
            <w:tcBorders>
              <w:tl2br w:val="nil"/>
              <w:tr2bl w:val="nil"/>
            </w:tcBorders>
            <w:vAlign w:val="center"/>
          </w:tcPr>
          <w:p>
            <w:pPr>
              <w:pStyle w:val="45"/>
              <w:rPr>
                <w:color w:val="auto"/>
              </w:rPr>
            </w:pPr>
            <w:r>
              <w:rPr>
                <w:color w:val="auto"/>
              </w:rPr>
              <w:t>SO</w:t>
            </w:r>
            <w:r>
              <w:rPr>
                <w:color w:val="auto"/>
                <w:vertAlign w:val="subscript"/>
              </w:rPr>
              <w:t>2</w:t>
            </w:r>
            <w:r>
              <w:rPr>
                <w:color w:val="auto"/>
              </w:rPr>
              <w:t>+NO</w:t>
            </w:r>
            <w:r>
              <w:rPr>
                <w:rFonts w:hint="eastAsia"/>
                <w:color w:val="auto"/>
              </w:rPr>
              <w:t>x</w:t>
            </w:r>
            <w:r>
              <w:rPr>
                <w:color w:val="auto"/>
              </w:rPr>
              <w:t>排放量</w:t>
            </w:r>
          </w:p>
        </w:tc>
        <w:tc>
          <w:tcPr>
            <w:tcW w:w="1118" w:type="pct"/>
            <w:gridSpan w:val="5"/>
            <w:tcBorders>
              <w:tl2br w:val="nil"/>
              <w:tr2bl w:val="nil"/>
            </w:tcBorders>
            <w:vAlign w:val="center"/>
          </w:tcPr>
          <w:p>
            <w:pPr>
              <w:pStyle w:val="45"/>
              <w:rPr>
                <w:color w:val="auto"/>
              </w:rPr>
            </w:pPr>
            <w:r>
              <w:rPr>
                <w:color w:val="auto"/>
              </w:rPr>
              <w:t>≥2000t/a</w:t>
            </w:r>
            <w:r>
              <w:rPr>
                <w:color w:val="auto"/>
              </w:rPr>
              <w:sym w:font="Wingdings" w:char="00A8"/>
            </w:r>
          </w:p>
        </w:tc>
        <w:tc>
          <w:tcPr>
            <w:tcW w:w="1195" w:type="pct"/>
            <w:gridSpan w:val="5"/>
            <w:tcBorders>
              <w:tl2br w:val="nil"/>
              <w:tr2bl w:val="nil"/>
            </w:tcBorders>
            <w:vAlign w:val="center"/>
          </w:tcPr>
          <w:p>
            <w:pPr>
              <w:pStyle w:val="45"/>
              <w:rPr>
                <w:color w:val="auto"/>
              </w:rPr>
            </w:pPr>
            <w:r>
              <w:rPr>
                <w:color w:val="auto"/>
              </w:rPr>
              <w:t>500~2000t/a</w:t>
            </w:r>
            <w:r>
              <w:rPr>
                <w:color w:val="auto"/>
              </w:rPr>
              <w:sym w:font="Wingdings" w:char="00A8"/>
            </w:r>
          </w:p>
        </w:tc>
        <w:tc>
          <w:tcPr>
            <w:tcW w:w="1184" w:type="pct"/>
            <w:gridSpan w:val="4"/>
            <w:tcBorders>
              <w:tl2br w:val="nil"/>
              <w:tr2bl w:val="nil"/>
            </w:tcBorders>
            <w:vAlign w:val="center"/>
          </w:tcPr>
          <w:p>
            <w:pPr>
              <w:pStyle w:val="45"/>
              <w:rPr>
                <w:color w:val="auto"/>
              </w:rPr>
            </w:pPr>
            <w:r>
              <w:rPr>
                <w:color w:val="auto"/>
              </w:rPr>
              <w:t>&lt;500t/a</w:t>
            </w:r>
            <w:r>
              <w:rPr>
                <w:color w:val="auto"/>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7" w:type="pct"/>
            <w:vMerge w:val="continue"/>
            <w:tcBorders>
              <w:tl2br w:val="nil"/>
              <w:tr2bl w:val="nil"/>
            </w:tcBorders>
            <w:vAlign w:val="center"/>
          </w:tcPr>
          <w:p>
            <w:pPr>
              <w:pStyle w:val="45"/>
              <w:rPr>
                <w:color w:val="auto"/>
              </w:rPr>
            </w:pPr>
          </w:p>
        </w:tc>
        <w:tc>
          <w:tcPr>
            <w:tcW w:w="872" w:type="pct"/>
            <w:tcBorders>
              <w:tl2br w:val="nil"/>
              <w:tr2bl w:val="nil"/>
            </w:tcBorders>
            <w:vAlign w:val="center"/>
          </w:tcPr>
          <w:p>
            <w:pPr>
              <w:pStyle w:val="45"/>
              <w:rPr>
                <w:color w:val="auto"/>
              </w:rPr>
            </w:pPr>
            <w:r>
              <w:rPr>
                <w:color w:val="auto"/>
              </w:rPr>
              <w:t>评价因子</w:t>
            </w:r>
          </w:p>
        </w:tc>
        <w:tc>
          <w:tcPr>
            <w:tcW w:w="1725" w:type="pct"/>
            <w:gridSpan w:val="7"/>
            <w:tcBorders>
              <w:tl2br w:val="nil"/>
              <w:tr2bl w:val="nil"/>
            </w:tcBorders>
            <w:vAlign w:val="center"/>
          </w:tcPr>
          <w:p>
            <w:pPr>
              <w:pStyle w:val="45"/>
              <w:rPr>
                <w:color w:val="auto"/>
              </w:rPr>
            </w:pPr>
            <w:r>
              <w:rPr>
                <w:color w:val="auto"/>
              </w:rPr>
              <w:t>基本污染物（</w:t>
            </w:r>
            <w:r>
              <w:rPr>
                <w:rFonts w:hint="eastAsia"/>
                <w:color w:val="auto"/>
              </w:rPr>
              <w:t>SO</w:t>
            </w:r>
            <w:r>
              <w:rPr>
                <w:rFonts w:hint="eastAsia"/>
                <w:color w:val="auto"/>
                <w:vertAlign w:val="subscript"/>
              </w:rPr>
              <w:t>2</w:t>
            </w:r>
            <w:r>
              <w:rPr>
                <w:rFonts w:hint="eastAsia"/>
                <w:color w:val="auto"/>
              </w:rPr>
              <w:t>、NOx、颗粒物</w:t>
            </w:r>
            <w:r>
              <w:rPr>
                <w:color w:val="auto"/>
              </w:rPr>
              <w:t>）</w:t>
            </w:r>
          </w:p>
          <w:p>
            <w:pPr>
              <w:pStyle w:val="45"/>
              <w:rPr>
                <w:color w:val="auto"/>
              </w:rPr>
            </w:pPr>
            <w:r>
              <w:rPr>
                <w:color w:val="auto"/>
              </w:rPr>
              <w:t>其他污染物（NH</w:t>
            </w:r>
            <w:r>
              <w:rPr>
                <w:color w:val="auto"/>
                <w:vertAlign w:val="subscript"/>
              </w:rPr>
              <w:t>3</w:t>
            </w:r>
            <w:r>
              <w:rPr>
                <w:rFonts w:hint="eastAsia"/>
                <w:color w:val="auto"/>
              </w:rPr>
              <w:t>、H</w:t>
            </w:r>
            <w:r>
              <w:rPr>
                <w:rFonts w:hint="eastAsia"/>
                <w:color w:val="auto"/>
                <w:vertAlign w:val="subscript"/>
              </w:rPr>
              <w:t>2</w:t>
            </w:r>
            <w:r>
              <w:rPr>
                <w:rFonts w:hint="eastAsia"/>
                <w:color w:val="auto"/>
              </w:rPr>
              <w:t>S、非甲烷总烃</w:t>
            </w:r>
            <w:r>
              <w:rPr>
                <w:color w:val="auto"/>
              </w:rPr>
              <w:t>）</w:t>
            </w:r>
          </w:p>
        </w:tc>
        <w:tc>
          <w:tcPr>
            <w:tcW w:w="1773" w:type="pct"/>
            <w:gridSpan w:val="7"/>
            <w:tcBorders>
              <w:tl2br w:val="nil"/>
              <w:tr2bl w:val="nil"/>
            </w:tcBorders>
            <w:vAlign w:val="center"/>
          </w:tcPr>
          <w:p>
            <w:pPr>
              <w:pStyle w:val="45"/>
              <w:rPr>
                <w:color w:val="auto"/>
              </w:rPr>
            </w:pPr>
            <w:r>
              <w:rPr>
                <w:color w:val="auto"/>
              </w:rPr>
              <w:t>包括二次PM2.5</w:t>
            </w:r>
            <w:r>
              <w:rPr>
                <w:color w:val="auto"/>
              </w:rPr>
              <w:sym w:font="Wingdings" w:char="00A8"/>
            </w:r>
          </w:p>
          <w:p>
            <w:pPr>
              <w:pStyle w:val="45"/>
              <w:rPr>
                <w:color w:val="auto"/>
              </w:rPr>
            </w:pPr>
            <w:r>
              <w:rPr>
                <w:color w:val="auto"/>
              </w:rPr>
              <w:t>不包括二次PM2.5</w:t>
            </w:r>
            <w:r>
              <w:rPr>
                <w:color w:val="auto"/>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7" w:type="pct"/>
            <w:tcBorders>
              <w:tl2br w:val="nil"/>
              <w:tr2bl w:val="nil"/>
            </w:tcBorders>
            <w:vAlign w:val="center"/>
          </w:tcPr>
          <w:p>
            <w:pPr>
              <w:pStyle w:val="45"/>
              <w:rPr>
                <w:color w:val="auto"/>
              </w:rPr>
            </w:pPr>
            <w:r>
              <w:rPr>
                <w:color w:val="auto"/>
              </w:rPr>
              <w:t>评价标准</w:t>
            </w:r>
          </w:p>
        </w:tc>
        <w:tc>
          <w:tcPr>
            <w:tcW w:w="872" w:type="pct"/>
            <w:tcBorders>
              <w:tl2br w:val="nil"/>
              <w:tr2bl w:val="nil"/>
            </w:tcBorders>
            <w:vAlign w:val="center"/>
          </w:tcPr>
          <w:p>
            <w:pPr>
              <w:pStyle w:val="45"/>
              <w:rPr>
                <w:color w:val="auto"/>
              </w:rPr>
            </w:pPr>
            <w:r>
              <w:rPr>
                <w:color w:val="auto"/>
              </w:rPr>
              <w:t>评价标准</w:t>
            </w:r>
          </w:p>
        </w:tc>
        <w:tc>
          <w:tcPr>
            <w:tcW w:w="872" w:type="pct"/>
            <w:gridSpan w:val="4"/>
            <w:tcBorders>
              <w:tl2br w:val="nil"/>
              <w:tr2bl w:val="nil"/>
            </w:tcBorders>
            <w:vAlign w:val="center"/>
          </w:tcPr>
          <w:p>
            <w:pPr>
              <w:pStyle w:val="45"/>
              <w:rPr>
                <w:color w:val="auto"/>
              </w:rPr>
            </w:pPr>
            <w:r>
              <w:rPr>
                <w:color w:val="auto"/>
              </w:rPr>
              <w:t>国家标准</w:t>
            </w:r>
            <w:r>
              <w:rPr>
                <w:color w:val="auto"/>
              </w:rPr>
              <w:sym w:font="Wingdings" w:char="00FE"/>
            </w:r>
          </w:p>
        </w:tc>
        <w:tc>
          <w:tcPr>
            <w:tcW w:w="853" w:type="pct"/>
            <w:gridSpan w:val="3"/>
            <w:tcBorders>
              <w:tl2br w:val="nil"/>
              <w:tr2bl w:val="nil"/>
            </w:tcBorders>
            <w:vAlign w:val="center"/>
          </w:tcPr>
          <w:p>
            <w:pPr>
              <w:pStyle w:val="45"/>
              <w:rPr>
                <w:color w:val="auto"/>
              </w:rPr>
            </w:pPr>
            <w:r>
              <w:rPr>
                <w:color w:val="auto"/>
              </w:rPr>
              <w:t>地方标准</w:t>
            </w:r>
            <w:r>
              <w:rPr>
                <w:color w:val="auto"/>
              </w:rPr>
              <w:sym w:font="Wingdings" w:char="00A8"/>
            </w:r>
          </w:p>
        </w:tc>
        <w:tc>
          <w:tcPr>
            <w:tcW w:w="926" w:type="pct"/>
            <w:gridSpan w:val="5"/>
            <w:tcBorders>
              <w:tl2br w:val="nil"/>
              <w:tr2bl w:val="nil"/>
            </w:tcBorders>
            <w:vAlign w:val="center"/>
          </w:tcPr>
          <w:p>
            <w:pPr>
              <w:pStyle w:val="45"/>
              <w:rPr>
                <w:color w:val="auto"/>
              </w:rPr>
            </w:pPr>
            <w:r>
              <w:rPr>
                <w:color w:val="auto"/>
              </w:rPr>
              <w:t>附录D</w:t>
            </w:r>
            <w:r>
              <w:rPr>
                <w:color w:val="auto"/>
              </w:rPr>
              <w:sym w:font="Wingdings" w:char="00FE"/>
            </w:r>
          </w:p>
        </w:tc>
        <w:tc>
          <w:tcPr>
            <w:tcW w:w="847" w:type="pct"/>
            <w:gridSpan w:val="2"/>
            <w:tcBorders>
              <w:tl2br w:val="nil"/>
              <w:tr2bl w:val="nil"/>
            </w:tcBorders>
            <w:vAlign w:val="center"/>
          </w:tcPr>
          <w:p>
            <w:pPr>
              <w:pStyle w:val="45"/>
              <w:rPr>
                <w:color w:val="auto"/>
              </w:rPr>
            </w:pPr>
            <w:r>
              <w:rPr>
                <w:color w:val="auto"/>
              </w:rPr>
              <w:t>其他标准</w:t>
            </w:r>
            <w:r>
              <w:rPr>
                <w:color w:val="auto"/>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7" w:type="pct"/>
            <w:vMerge w:val="restart"/>
            <w:tcBorders>
              <w:tl2br w:val="nil"/>
              <w:tr2bl w:val="nil"/>
            </w:tcBorders>
            <w:vAlign w:val="center"/>
          </w:tcPr>
          <w:p>
            <w:pPr>
              <w:pStyle w:val="45"/>
              <w:rPr>
                <w:color w:val="auto"/>
              </w:rPr>
            </w:pPr>
            <w:r>
              <w:rPr>
                <w:color w:val="auto"/>
              </w:rPr>
              <w:t>现状评价</w:t>
            </w:r>
          </w:p>
        </w:tc>
        <w:tc>
          <w:tcPr>
            <w:tcW w:w="872" w:type="pct"/>
            <w:tcBorders>
              <w:tl2br w:val="nil"/>
              <w:tr2bl w:val="nil"/>
            </w:tcBorders>
            <w:vAlign w:val="center"/>
          </w:tcPr>
          <w:p>
            <w:pPr>
              <w:pStyle w:val="45"/>
              <w:rPr>
                <w:color w:val="auto"/>
              </w:rPr>
            </w:pPr>
            <w:r>
              <w:rPr>
                <w:color w:val="auto"/>
              </w:rPr>
              <w:t>环境功能区</w:t>
            </w:r>
          </w:p>
        </w:tc>
        <w:tc>
          <w:tcPr>
            <w:tcW w:w="1118" w:type="pct"/>
            <w:gridSpan w:val="5"/>
            <w:tcBorders>
              <w:tl2br w:val="nil"/>
              <w:tr2bl w:val="nil"/>
            </w:tcBorders>
            <w:vAlign w:val="center"/>
          </w:tcPr>
          <w:p>
            <w:pPr>
              <w:pStyle w:val="45"/>
              <w:rPr>
                <w:color w:val="auto"/>
              </w:rPr>
            </w:pPr>
            <w:r>
              <w:rPr>
                <w:color w:val="auto"/>
              </w:rPr>
              <w:t>一类区</w:t>
            </w:r>
            <w:r>
              <w:rPr>
                <w:color w:val="auto"/>
              </w:rPr>
              <w:sym w:font="Wingdings" w:char="00A8"/>
            </w:r>
          </w:p>
        </w:tc>
        <w:tc>
          <w:tcPr>
            <w:tcW w:w="1195" w:type="pct"/>
            <w:gridSpan w:val="5"/>
            <w:tcBorders>
              <w:tl2br w:val="nil"/>
              <w:tr2bl w:val="nil"/>
            </w:tcBorders>
            <w:vAlign w:val="center"/>
          </w:tcPr>
          <w:p>
            <w:pPr>
              <w:pStyle w:val="45"/>
              <w:rPr>
                <w:color w:val="auto"/>
              </w:rPr>
            </w:pPr>
            <w:r>
              <w:rPr>
                <w:color w:val="auto"/>
              </w:rPr>
              <w:t>二类区</w:t>
            </w:r>
            <w:r>
              <w:rPr>
                <w:color w:val="auto"/>
              </w:rPr>
              <w:sym w:font="Wingdings" w:char="00FE"/>
            </w:r>
          </w:p>
        </w:tc>
        <w:tc>
          <w:tcPr>
            <w:tcW w:w="1184" w:type="pct"/>
            <w:gridSpan w:val="4"/>
            <w:tcBorders>
              <w:tl2br w:val="nil"/>
              <w:tr2bl w:val="nil"/>
            </w:tcBorders>
            <w:vAlign w:val="center"/>
          </w:tcPr>
          <w:p>
            <w:pPr>
              <w:pStyle w:val="45"/>
              <w:rPr>
                <w:color w:val="auto"/>
              </w:rPr>
            </w:pPr>
            <w:r>
              <w:rPr>
                <w:color w:val="auto"/>
              </w:rPr>
              <w:t>一类区和二类区</w:t>
            </w:r>
            <w:r>
              <w:rPr>
                <w:color w:val="auto"/>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7" w:type="pct"/>
            <w:vMerge w:val="continue"/>
            <w:tcBorders>
              <w:tl2br w:val="nil"/>
              <w:tr2bl w:val="nil"/>
            </w:tcBorders>
            <w:vAlign w:val="center"/>
          </w:tcPr>
          <w:p>
            <w:pPr>
              <w:pStyle w:val="45"/>
              <w:rPr>
                <w:color w:val="auto"/>
              </w:rPr>
            </w:pPr>
          </w:p>
        </w:tc>
        <w:tc>
          <w:tcPr>
            <w:tcW w:w="872" w:type="pct"/>
            <w:tcBorders>
              <w:tl2br w:val="nil"/>
              <w:tr2bl w:val="nil"/>
            </w:tcBorders>
            <w:vAlign w:val="center"/>
          </w:tcPr>
          <w:p>
            <w:pPr>
              <w:pStyle w:val="45"/>
              <w:rPr>
                <w:color w:val="auto"/>
              </w:rPr>
            </w:pPr>
            <w:r>
              <w:rPr>
                <w:color w:val="auto"/>
              </w:rPr>
              <w:t>评价基准年</w:t>
            </w:r>
          </w:p>
        </w:tc>
        <w:tc>
          <w:tcPr>
            <w:tcW w:w="3499" w:type="pct"/>
            <w:gridSpan w:val="14"/>
            <w:tcBorders>
              <w:tl2br w:val="nil"/>
              <w:tr2bl w:val="nil"/>
            </w:tcBorders>
            <w:vAlign w:val="center"/>
          </w:tcPr>
          <w:p>
            <w:pPr>
              <w:pStyle w:val="45"/>
              <w:rPr>
                <w:color w:val="auto"/>
              </w:rPr>
            </w:pPr>
            <w:r>
              <w:rPr>
                <w:color w:val="auto"/>
              </w:rPr>
              <w:t>（</w:t>
            </w:r>
            <w:r>
              <w:rPr>
                <w:rFonts w:hint="eastAsia"/>
                <w:color w:val="auto"/>
              </w:rPr>
              <w:t>20</w:t>
            </w:r>
            <w:r>
              <w:rPr>
                <w:rFonts w:hint="eastAsia"/>
                <w:color w:val="auto"/>
                <w:lang w:val="en-US" w:eastAsia="zh-CN"/>
              </w:rPr>
              <w:t>19</w:t>
            </w:r>
            <w:r>
              <w:rPr>
                <w:color w:val="auto"/>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7" w:type="pct"/>
            <w:vMerge w:val="continue"/>
            <w:tcBorders>
              <w:tl2br w:val="nil"/>
              <w:tr2bl w:val="nil"/>
            </w:tcBorders>
            <w:vAlign w:val="center"/>
          </w:tcPr>
          <w:p>
            <w:pPr>
              <w:pStyle w:val="45"/>
              <w:rPr>
                <w:color w:val="auto"/>
              </w:rPr>
            </w:pPr>
          </w:p>
        </w:tc>
        <w:tc>
          <w:tcPr>
            <w:tcW w:w="872" w:type="pct"/>
            <w:tcBorders>
              <w:tl2br w:val="nil"/>
              <w:tr2bl w:val="nil"/>
            </w:tcBorders>
            <w:vAlign w:val="center"/>
          </w:tcPr>
          <w:p>
            <w:pPr>
              <w:pStyle w:val="45"/>
              <w:rPr>
                <w:color w:val="auto"/>
              </w:rPr>
            </w:pPr>
            <w:r>
              <w:rPr>
                <w:color w:val="auto"/>
              </w:rPr>
              <w:t>环境空气质量现状调查数据来源</w:t>
            </w:r>
          </w:p>
        </w:tc>
        <w:tc>
          <w:tcPr>
            <w:tcW w:w="1118" w:type="pct"/>
            <w:gridSpan w:val="5"/>
            <w:tcBorders>
              <w:tl2br w:val="nil"/>
              <w:tr2bl w:val="nil"/>
            </w:tcBorders>
            <w:vAlign w:val="center"/>
          </w:tcPr>
          <w:p>
            <w:pPr>
              <w:pStyle w:val="45"/>
              <w:rPr>
                <w:color w:val="auto"/>
              </w:rPr>
            </w:pPr>
            <w:r>
              <w:rPr>
                <w:color w:val="auto"/>
              </w:rPr>
              <w:t>长期例行监测数据</w:t>
            </w:r>
            <w:r>
              <w:rPr>
                <w:color w:val="auto"/>
              </w:rPr>
              <w:sym w:font="Wingdings" w:char="00A8"/>
            </w:r>
          </w:p>
        </w:tc>
        <w:tc>
          <w:tcPr>
            <w:tcW w:w="1195" w:type="pct"/>
            <w:gridSpan w:val="5"/>
            <w:tcBorders>
              <w:tl2br w:val="nil"/>
              <w:tr2bl w:val="nil"/>
            </w:tcBorders>
            <w:vAlign w:val="center"/>
          </w:tcPr>
          <w:p>
            <w:pPr>
              <w:pStyle w:val="45"/>
              <w:rPr>
                <w:color w:val="auto"/>
              </w:rPr>
            </w:pPr>
            <w:r>
              <w:rPr>
                <w:color w:val="auto"/>
              </w:rPr>
              <w:t>主管部门发布的数据</w:t>
            </w:r>
            <w:r>
              <w:rPr>
                <w:color w:val="auto"/>
              </w:rPr>
              <w:sym w:font="Wingdings" w:char="00FE"/>
            </w:r>
          </w:p>
        </w:tc>
        <w:tc>
          <w:tcPr>
            <w:tcW w:w="1184" w:type="pct"/>
            <w:gridSpan w:val="4"/>
            <w:tcBorders>
              <w:tl2br w:val="nil"/>
              <w:tr2bl w:val="nil"/>
            </w:tcBorders>
            <w:vAlign w:val="center"/>
          </w:tcPr>
          <w:p>
            <w:pPr>
              <w:pStyle w:val="45"/>
              <w:rPr>
                <w:color w:val="auto"/>
              </w:rPr>
            </w:pPr>
            <w:r>
              <w:rPr>
                <w:color w:val="auto"/>
              </w:rPr>
              <w:t>现状补充监测</w:t>
            </w:r>
            <w:r>
              <w:rPr>
                <w:color w:val="auto"/>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7" w:type="pct"/>
            <w:vMerge w:val="continue"/>
            <w:tcBorders>
              <w:tl2br w:val="nil"/>
              <w:tr2bl w:val="nil"/>
            </w:tcBorders>
            <w:vAlign w:val="center"/>
          </w:tcPr>
          <w:p>
            <w:pPr>
              <w:pStyle w:val="45"/>
              <w:rPr>
                <w:color w:val="auto"/>
              </w:rPr>
            </w:pPr>
          </w:p>
        </w:tc>
        <w:tc>
          <w:tcPr>
            <w:tcW w:w="872" w:type="pct"/>
            <w:tcBorders>
              <w:tl2br w:val="nil"/>
              <w:tr2bl w:val="nil"/>
            </w:tcBorders>
            <w:vAlign w:val="center"/>
          </w:tcPr>
          <w:p>
            <w:pPr>
              <w:pStyle w:val="45"/>
              <w:rPr>
                <w:color w:val="auto"/>
              </w:rPr>
            </w:pPr>
            <w:r>
              <w:rPr>
                <w:color w:val="auto"/>
              </w:rPr>
              <w:t>现状评价</w:t>
            </w:r>
          </w:p>
        </w:tc>
        <w:tc>
          <w:tcPr>
            <w:tcW w:w="1118" w:type="pct"/>
            <w:gridSpan w:val="5"/>
            <w:tcBorders>
              <w:tl2br w:val="nil"/>
              <w:tr2bl w:val="nil"/>
            </w:tcBorders>
            <w:vAlign w:val="center"/>
          </w:tcPr>
          <w:p>
            <w:pPr>
              <w:pStyle w:val="45"/>
              <w:rPr>
                <w:color w:val="auto"/>
              </w:rPr>
            </w:pPr>
            <w:r>
              <w:rPr>
                <w:color w:val="auto"/>
              </w:rPr>
              <w:t>达标区</w:t>
            </w:r>
            <w:r>
              <w:rPr>
                <w:color w:val="auto"/>
              </w:rPr>
              <w:sym w:font="Wingdings" w:char="00A8"/>
            </w:r>
          </w:p>
        </w:tc>
        <w:tc>
          <w:tcPr>
            <w:tcW w:w="2380" w:type="pct"/>
            <w:gridSpan w:val="9"/>
            <w:tcBorders>
              <w:tl2br w:val="nil"/>
              <w:tr2bl w:val="nil"/>
            </w:tcBorders>
            <w:vAlign w:val="center"/>
          </w:tcPr>
          <w:p>
            <w:pPr>
              <w:pStyle w:val="45"/>
              <w:rPr>
                <w:color w:val="auto"/>
              </w:rPr>
            </w:pPr>
            <w:r>
              <w:rPr>
                <w:color w:val="auto"/>
              </w:rPr>
              <w:t>不达标区</w:t>
            </w:r>
            <w:r>
              <w:rPr>
                <w:color w:val="auto"/>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627" w:type="pct"/>
            <w:tcBorders>
              <w:tl2br w:val="nil"/>
              <w:tr2bl w:val="nil"/>
            </w:tcBorders>
            <w:vAlign w:val="center"/>
          </w:tcPr>
          <w:p>
            <w:pPr>
              <w:pStyle w:val="45"/>
              <w:rPr>
                <w:color w:val="auto"/>
              </w:rPr>
            </w:pPr>
            <w:r>
              <w:rPr>
                <w:color w:val="auto"/>
              </w:rPr>
              <w:t>污染源调查</w:t>
            </w:r>
          </w:p>
        </w:tc>
        <w:tc>
          <w:tcPr>
            <w:tcW w:w="872" w:type="pct"/>
            <w:tcBorders>
              <w:tl2br w:val="nil"/>
              <w:tr2bl w:val="nil"/>
            </w:tcBorders>
            <w:vAlign w:val="center"/>
          </w:tcPr>
          <w:p>
            <w:pPr>
              <w:pStyle w:val="45"/>
              <w:rPr>
                <w:color w:val="auto"/>
              </w:rPr>
            </w:pPr>
            <w:r>
              <w:rPr>
                <w:color w:val="auto"/>
              </w:rPr>
              <w:t>调查内容</w:t>
            </w:r>
          </w:p>
        </w:tc>
        <w:tc>
          <w:tcPr>
            <w:tcW w:w="1435" w:type="pct"/>
            <w:gridSpan w:val="6"/>
            <w:tcBorders>
              <w:tl2br w:val="nil"/>
              <w:tr2bl w:val="nil"/>
            </w:tcBorders>
            <w:vAlign w:val="center"/>
          </w:tcPr>
          <w:p>
            <w:pPr>
              <w:pStyle w:val="45"/>
              <w:rPr>
                <w:color w:val="auto"/>
              </w:rPr>
            </w:pPr>
            <w:r>
              <w:rPr>
                <w:rFonts w:hint="eastAsia"/>
                <w:color w:val="auto"/>
              </w:rPr>
              <w:t>拟建项目</w:t>
            </w:r>
            <w:r>
              <w:rPr>
                <w:color w:val="auto"/>
              </w:rPr>
              <w:t>正常排放源</w:t>
            </w:r>
            <w:r>
              <w:rPr>
                <w:color w:val="auto"/>
              </w:rPr>
              <w:sym w:font="Wingdings" w:char="00FE"/>
            </w:r>
          </w:p>
          <w:p>
            <w:pPr>
              <w:pStyle w:val="45"/>
              <w:rPr>
                <w:color w:val="auto"/>
              </w:rPr>
            </w:pPr>
            <w:r>
              <w:rPr>
                <w:rFonts w:hint="eastAsia"/>
                <w:color w:val="auto"/>
              </w:rPr>
              <w:t>拟建项目</w:t>
            </w:r>
            <w:r>
              <w:rPr>
                <w:color w:val="auto"/>
              </w:rPr>
              <w:t>非正常排放源</w:t>
            </w:r>
            <w:r>
              <w:rPr>
                <w:color w:val="auto"/>
              </w:rPr>
              <w:sym w:font="Wingdings" w:char="00FE"/>
            </w:r>
          </w:p>
          <w:p>
            <w:pPr>
              <w:pStyle w:val="45"/>
              <w:rPr>
                <w:color w:val="auto"/>
              </w:rPr>
            </w:pPr>
            <w:r>
              <w:rPr>
                <w:color w:val="auto"/>
              </w:rPr>
              <w:t>现有污染源</w:t>
            </w:r>
            <w:r>
              <w:rPr>
                <w:color w:val="auto"/>
              </w:rPr>
              <w:sym w:font="Wingdings" w:char="00A8"/>
            </w:r>
          </w:p>
        </w:tc>
        <w:tc>
          <w:tcPr>
            <w:tcW w:w="439" w:type="pct"/>
            <w:gridSpan w:val="2"/>
            <w:tcBorders>
              <w:tl2br w:val="nil"/>
              <w:tr2bl w:val="nil"/>
            </w:tcBorders>
            <w:vAlign w:val="center"/>
          </w:tcPr>
          <w:p>
            <w:pPr>
              <w:pStyle w:val="45"/>
              <w:rPr>
                <w:color w:val="auto"/>
              </w:rPr>
            </w:pPr>
            <w:r>
              <w:rPr>
                <w:color w:val="auto"/>
              </w:rPr>
              <w:t>拟替代的污染源</w:t>
            </w:r>
            <w:r>
              <w:rPr>
                <w:color w:val="auto"/>
              </w:rPr>
              <w:sym w:font="Wingdings" w:char="00A8"/>
            </w:r>
          </w:p>
        </w:tc>
        <w:tc>
          <w:tcPr>
            <w:tcW w:w="776" w:type="pct"/>
            <w:gridSpan w:val="4"/>
            <w:tcBorders>
              <w:tl2br w:val="nil"/>
              <w:tr2bl w:val="nil"/>
            </w:tcBorders>
            <w:vAlign w:val="center"/>
          </w:tcPr>
          <w:p>
            <w:pPr>
              <w:pStyle w:val="45"/>
              <w:rPr>
                <w:color w:val="auto"/>
              </w:rPr>
            </w:pPr>
            <w:r>
              <w:rPr>
                <w:color w:val="auto"/>
              </w:rPr>
              <w:t>其他在建、</w:t>
            </w:r>
            <w:r>
              <w:rPr>
                <w:rFonts w:hint="eastAsia"/>
                <w:color w:val="auto"/>
              </w:rPr>
              <w:t>拟建项目</w:t>
            </w:r>
            <w:r>
              <w:rPr>
                <w:color w:val="auto"/>
              </w:rPr>
              <w:t>污染源</w:t>
            </w:r>
            <w:r>
              <w:rPr>
                <w:color w:val="auto"/>
              </w:rPr>
              <w:sym w:font="Wingdings" w:char="00A8"/>
            </w:r>
          </w:p>
        </w:tc>
        <w:tc>
          <w:tcPr>
            <w:tcW w:w="847" w:type="pct"/>
            <w:gridSpan w:val="2"/>
            <w:tcBorders>
              <w:tl2br w:val="nil"/>
              <w:tr2bl w:val="nil"/>
            </w:tcBorders>
            <w:vAlign w:val="center"/>
          </w:tcPr>
          <w:p>
            <w:pPr>
              <w:pStyle w:val="45"/>
              <w:rPr>
                <w:color w:val="auto"/>
              </w:rPr>
            </w:pPr>
            <w:r>
              <w:rPr>
                <w:color w:val="auto"/>
              </w:rPr>
              <w:t>区域污染源</w:t>
            </w:r>
            <w:r>
              <w:rPr>
                <w:color w:val="auto"/>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7" w:type="pct"/>
            <w:vMerge w:val="restart"/>
            <w:tcBorders>
              <w:tl2br w:val="nil"/>
              <w:tr2bl w:val="nil"/>
            </w:tcBorders>
            <w:vAlign w:val="center"/>
          </w:tcPr>
          <w:p>
            <w:pPr>
              <w:pStyle w:val="45"/>
              <w:rPr>
                <w:color w:val="auto"/>
              </w:rPr>
            </w:pPr>
            <w:r>
              <w:rPr>
                <w:color w:val="auto"/>
              </w:rPr>
              <w:t>大气环境影响预测与评价</w:t>
            </w:r>
          </w:p>
        </w:tc>
        <w:tc>
          <w:tcPr>
            <w:tcW w:w="872" w:type="pct"/>
            <w:tcBorders>
              <w:tl2br w:val="nil"/>
              <w:tr2bl w:val="nil"/>
            </w:tcBorders>
            <w:vAlign w:val="center"/>
          </w:tcPr>
          <w:p>
            <w:pPr>
              <w:pStyle w:val="45"/>
              <w:rPr>
                <w:color w:val="auto"/>
              </w:rPr>
            </w:pPr>
            <w:r>
              <w:rPr>
                <w:color w:val="auto"/>
              </w:rPr>
              <w:t>预测模型</w:t>
            </w:r>
          </w:p>
        </w:tc>
        <w:tc>
          <w:tcPr>
            <w:tcW w:w="453" w:type="pct"/>
            <w:tcBorders>
              <w:tl2br w:val="nil"/>
              <w:tr2bl w:val="nil"/>
            </w:tcBorders>
            <w:vAlign w:val="center"/>
          </w:tcPr>
          <w:p>
            <w:pPr>
              <w:pStyle w:val="45"/>
              <w:rPr>
                <w:color w:val="auto"/>
              </w:rPr>
            </w:pPr>
            <w:r>
              <w:rPr>
                <w:color w:val="auto"/>
              </w:rPr>
              <w:t>AERMOD</w:t>
            </w:r>
            <w:r>
              <w:rPr>
                <w:color w:val="auto"/>
              </w:rPr>
              <w:sym w:font="Wingdings" w:char="00A8"/>
            </w:r>
          </w:p>
        </w:tc>
        <w:tc>
          <w:tcPr>
            <w:tcW w:w="418" w:type="pct"/>
            <w:gridSpan w:val="3"/>
            <w:tcBorders>
              <w:tl2br w:val="nil"/>
              <w:tr2bl w:val="nil"/>
            </w:tcBorders>
            <w:vAlign w:val="center"/>
          </w:tcPr>
          <w:p>
            <w:pPr>
              <w:pStyle w:val="45"/>
              <w:rPr>
                <w:color w:val="auto"/>
              </w:rPr>
            </w:pPr>
            <w:r>
              <w:rPr>
                <w:color w:val="auto"/>
              </w:rPr>
              <w:t>ADMS</w:t>
            </w:r>
            <w:r>
              <w:rPr>
                <w:color w:val="auto"/>
              </w:rPr>
              <w:sym w:font="Wingdings" w:char="00A8"/>
            </w:r>
          </w:p>
        </w:tc>
        <w:tc>
          <w:tcPr>
            <w:tcW w:w="563" w:type="pct"/>
            <w:gridSpan w:val="2"/>
            <w:tcBorders>
              <w:tl2br w:val="nil"/>
              <w:tr2bl w:val="nil"/>
            </w:tcBorders>
            <w:vAlign w:val="center"/>
          </w:tcPr>
          <w:p>
            <w:pPr>
              <w:pStyle w:val="45"/>
              <w:rPr>
                <w:color w:val="auto"/>
              </w:rPr>
            </w:pPr>
            <w:r>
              <w:rPr>
                <w:color w:val="auto"/>
              </w:rPr>
              <w:t>AUSTAL200</w:t>
            </w:r>
            <w:r>
              <w:rPr>
                <w:color w:val="auto"/>
              </w:rPr>
              <w:sym w:font="Wingdings" w:char="00A8"/>
            </w:r>
          </w:p>
        </w:tc>
        <w:tc>
          <w:tcPr>
            <w:tcW w:w="625" w:type="pct"/>
            <w:gridSpan w:val="3"/>
            <w:tcBorders>
              <w:tl2br w:val="nil"/>
              <w:tr2bl w:val="nil"/>
            </w:tcBorders>
            <w:vAlign w:val="center"/>
          </w:tcPr>
          <w:p>
            <w:pPr>
              <w:pStyle w:val="45"/>
              <w:rPr>
                <w:color w:val="auto"/>
              </w:rPr>
            </w:pPr>
            <w:r>
              <w:rPr>
                <w:color w:val="auto"/>
              </w:rPr>
              <w:t>EDMS/AEDT</w:t>
            </w:r>
            <w:r>
              <w:rPr>
                <w:color w:val="auto"/>
              </w:rPr>
              <w:sym w:font="Wingdings" w:char="00A8"/>
            </w:r>
          </w:p>
        </w:tc>
        <w:tc>
          <w:tcPr>
            <w:tcW w:w="501" w:type="pct"/>
            <w:gridSpan w:val="2"/>
            <w:tcBorders>
              <w:tl2br w:val="nil"/>
              <w:tr2bl w:val="nil"/>
            </w:tcBorders>
            <w:vAlign w:val="center"/>
          </w:tcPr>
          <w:p>
            <w:pPr>
              <w:pStyle w:val="45"/>
              <w:rPr>
                <w:color w:val="auto"/>
              </w:rPr>
            </w:pPr>
            <w:r>
              <w:rPr>
                <w:color w:val="auto"/>
              </w:rPr>
              <w:t>CALPUFF</w:t>
            </w:r>
            <w:r>
              <w:rPr>
                <w:color w:val="auto"/>
              </w:rPr>
              <w:sym w:font="Wingdings" w:char="00A8"/>
            </w:r>
          </w:p>
        </w:tc>
        <w:tc>
          <w:tcPr>
            <w:tcW w:w="527" w:type="pct"/>
            <w:gridSpan w:val="2"/>
            <w:tcBorders>
              <w:tl2br w:val="nil"/>
              <w:tr2bl w:val="nil"/>
            </w:tcBorders>
            <w:vAlign w:val="center"/>
          </w:tcPr>
          <w:p>
            <w:pPr>
              <w:pStyle w:val="45"/>
              <w:rPr>
                <w:color w:val="auto"/>
              </w:rPr>
            </w:pPr>
            <w:r>
              <w:rPr>
                <w:color w:val="auto"/>
              </w:rPr>
              <w:t>网络模型</w:t>
            </w:r>
            <w:r>
              <w:rPr>
                <w:color w:val="auto"/>
              </w:rPr>
              <w:sym w:font="Wingdings" w:char="00A8"/>
            </w:r>
          </w:p>
        </w:tc>
        <w:tc>
          <w:tcPr>
            <w:tcW w:w="409" w:type="pct"/>
            <w:tcBorders>
              <w:tl2br w:val="nil"/>
              <w:tr2bl w:val="nil"/>
            </w:tcBorders>
            <w:vAlign w:val="center"/>
          </w:tcPr>
          <w:p>
            <w:pPr>
              <w:pStyle w:val="45"/>
              <w:rPr>
                <w:color w:val="auto"/>
              </w:rPr>
            </w:pPr>
            <w:r>
              <w:rPr>
                <w:color w:val="auto"/>
              </w:rPr>
              <w:t>其他</w:t>
            </w:r>
            <w:r>
              <w:rPr>
                <w:color w:val="auto"/>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7" w:type="pct"/>
            <w:vMerge w:val="continue"/>
            <w:tcBorders>
              <w:tl2br w:val="nil"/>
              <w:tr2bl w:val="nil"/>
            </w:tcBorders>
            <w:vAlign w:val="center"/>
          </w:tcPr>
          <w:p>
            <w:pPr>
              <w:pStyle w:val="45"/>
              <w:rPr>
                <w:color w:val="auto"/>
              </w:rPr>
            </w:pPr>
          </w:p>
        </w:tc>
        <w:tc>
          <w:tcPr>
            <w:tcW w:w="872" w:type="pct"/>
            <w:tcBorders>
              <w:tl2br w:val="nil"/>
              <w:tr2bl w:val="nil"/>
            </w:tcBorders>
            <w:vAlign w:val="center"/>
          </w:tcPr>
          <w:p>
            <w:pPr>
              <w:pStyle w:val="45"/>
              <w:rPr>
                <w:color w:val="auto"/>
              </w:rPr>
            </w:pPr>
            <w:r>
              <w:rPr>
                <w:color w:val="auto"/>
              </w:rPr>
              <w:t>预测范围</w:t>
            </w:r>
          </w:p>
        </w:tc>
        <w:tc>
          <w:tcPr>
            <w:tcW w:w="1118" w:type="pct"/>
            <w:gridSpan w:val="5"/>
            <w:tcBorders>
              <w:tl2br w:val="nil"/>
              <w:tr2bl w:val="nil"/>
            </w:tcBorders>
            <w:vAlign w:val="center"/>
          </w:tcPr>
          <w:p>
            <w:pPr>
              <w:pStyle w:val="45"/>
              <w:rPr>
                <w:color w:val="auto"/>
              </w:rPr>
            </w:pPr>
            <w:r>
              <w:rPr>
                <w:color w:val="auto"/>
              </w:rPr>
              <w:t>边长≥50km</w:t>
            </w:r>
            <w:r>
              <w:rPr>
                <w:color w:val="auto"/>
              </w:rPr>
              <w:sym w:font="Wingdings" w:char="00A8"/>
            </w:r>
          </w:p>
        </w:tc>
        <w:tc>
          <w:tcPr>
            <w:tcW w:w="1195" w:type="pct"/>
            <w:gridSpan w:val="5"/>
            <w:tcBorders>
              <w:tl2br w:val="nil"/>
              <w:tr2bl w:val="nil"/>
            </w:tcBorders>
            <w:vAlign w:val="center"/>
          </w:tcPr>
          <w:p>
            <w:pPr>
              <w:pStyle w:val="45"/>
              <w:rPr>
                <w:color w:val="auto"/>
              </w:rPr>
            </w:pPr>
            <w:r>
              <w:rPr>
                <w:color w:val="auto"/>
              </w:rPr>
              <w:t>边长5~50km</w:t>
            </w:r>
            <w:r>
              <w:rPr>
                <w:color w:val="auto"/>
              </w:rPr>
              <w:sym w:font="Wingdings" w:char="00A8"/>
            </w:r>
          </w:p>
        </w:tc>
        <w:tc>
          <w:tcPr>
            <w:tcW w:w="1184" w:type="pct"/>
            <w:gridSpan w:val="4"/>
            <w:tcBorders>
              <w:tl2br w:val="nil"/>
              <w:tr2bl w:val="nil"/>
            </w:tcBorders>
            <w:vAlign w:val="center"/>
          </w:tcPr>
          <w:p>
            <w:pPr>
              <w:pStyle w:val="45"/>
              <w:rPr>
                <w:color w:val="auto"/>
              </w:rPr>
            </w:pPr>
            <w:r>
              <w:rPr>
                <w:color w:val="auto"/>
              </w:rPr>
              <w:t>边长=5km</w:t>
            </w:r>
            <w:r>
              <w:rPr>
                <w:color w:val="auto"/>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7" w:type="pct"/>
            <w:vMerge w:val="continue"/>
            <w:tcBorders>
              <w:tl2br w:val="nil"/>
              <w:tr2bl w:val="nil"/>
            </w:tcBorders>
            <w:vAlign w:val="center"/>
          </w:tcPr>
          <w:p>
            <w:pPr>
              <w:pStyle w:val="45"/>
              <w:rPr>
                <w:color w:val="auto"/>
              </w:rPr>
            </w:pPr>
          </w:p>
        </w:tc>
        <w:tc>
          <w:tcPr>
            <w:tcW w:w="872" w:type="pct"/>
            <w:tcBorders>
              <w:tl2br w:val="nil"/>
              <w:tr2bl w:val="nil"/>
            </w:tcBorders>
            <w:vAlign w:val="center"/>
          </w:tcPr>
          <w:p>
            <w:pPr>
              <w:pStyle w:val="45"/>
              <w:rPr>
                <w:color w:val="auto"/>
              </w:rPr>
            </w:pPr>
            <w:r>
              <w:rPr>
                <w:color w:val="auto"/>
              </w:rPr>
              <w:t>预测因子</w:t>
            </w:r>
          </w:p>
        </w:tc>
        <w:tc>
          <w:tcPr>
            <w:tcW w:w="1725" w:type="pct"/>
            <w:gridSpan w:val="7"/>
            <w:tcBorders>
              <w:tl2br w:val="nil"/>
              <w:tr2bl w:val="nil"/>
            </w:tcBorders>
            <w:vAlign w:val="center"/>
          </w:tcPr>
          <w:p>
            <w:pPr>
              <w:pStyle w:val="45"/>
              <w:rPr>
                <w:color w:val="auto"/>
              </w:rPr>
            </w:pPr>
            <w:r>
              <w:rPr>
                <w:color w:val="auto"/>
              </w:rPr>
              <w:t>预测因子（）</w:t>
            </w:r>
          </w:p>
        </w:tc>
        <w:tc>
          <w:tcPr>
            <w:tcW w:w="1773" w:type="pct"/>
            <w:gridSpan w:val="7"/>
            <w:tcBorders>
              <w:tl2br w:val="nil"/>
              <w:tr2bl w:val="nil"/>
            </w:tcBorders>
            <w:vAlign w:val="center"/>
          </w:tcPr>
          <w:p>
            <w:pPr>
              <w:pStyle w:val="45"/>
              <w:rPr>
                <w:color w:val="auto"/>
              </w:rPr>
            </w:pPr>
            <w:r>
              <w:rPr>
                <w:color w:val="auto"/>
              </w:rPr>
              <w:t>包括二次PM2.5</w:t>
            </w:r>
            <w:r>
              <w:rPr>
                <w:color w:val="auto"/>
              </w:rPr>
              <w:sym w:font="Wingdings" w:char="00A8"/>
            </w:r>
          </w:p>
          <w:p>
            <w:pPr>
              <w:pStyle w:val="45"/>
              <w:rPr>
                <w:color w:val="auto"/>
              </w:rPr>
            </w:pPr>
            <w:r>
              <w:rPr>
                <w:color w:val="auto"/>
              </w:rPr>
              <w:t>不包括二次PM2.5</w:t>
            </w:r>
            <w:r>
              <w:rPr>
                <w:color w:val="auto"/>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7" w:type="pct"/>
            <w:vMerge w:val="continue"/>
            <w:tcBorders>
              <w:tl2br w:val="nil"/>
              <w:tr2bl w:val="nil"/>
            </w:tcBorders>
            <w:vAlign w:val="center"/>
          </w:tcPr>
          <w:p>
            <w:pPr>
              <w:pStyle w:val="45"/>
              <w:rPr>
                <w:color w:val="auto"/>
              </w:rPr>
            </w:pPr>
          </w:p>
        </w:tc>
        <w:tc>
          <w:tcPr>
            <w:tcW w:w="872" w:type="pct"/>
            <w:tcBorders>
              <w:tl2br w:val="nil"/>
              <w:tr2bl w:val="nil"/>
            </w:tcBorders>
            <w:vAlign w:val="center"/>
          </w:tcPr>
          <w:p>
            <w:pPr>
              <w:pStyle w:val="45"/>
              <w:rPr>
                <w:color w:val="auto"/>
              </w:rPr>
            </w:pPr>
            <w:r>
              <w:rPr>
                <w:color w:val="auto"/>
              </w:rPr>
              <w:t>正常排放短期浓度贡献值</w:t>
            </w:r>
          </w:p>
        </w:tc>
        <w:tc>
          <w:tcPr>
            <w:tcW w:w="1725" w:type="pct"/>
            <w:gridSpan w:val="7"/>
            <w:tcBorders>
              <w:tl2br w:val="nil"/>
              <w:tr2bl w:val="nil"/>
            </w:tcBorders>
            <w:vAlign w:val="center"/>
          </w:tcPr>
          <w:p>
            <w:pPr>
              <w:pStyle w:val="45"/>
              <w:rPr>
                <w:color w:val="auto"/>
              </w:rPr>
            </w:pPr>
            <w:r>
              <w:rPr>
                <w:color w:val="auto"/>
              </w:rPr>
              <w:t>Ｃ</w:t>
            </w:r>
            <w:r>
              <w:rPr>
                <w:rFonts w:hint="eastAsia"/>
                <w:color w:val="auto"/>
              </w:rPr>
              <w:t>拟建项目</w:t>
            </w:r>
            <w:r>
              <w:rPr>
                <w:color w:val="auto"/>
              </w:rPr>
              <w:t>最大占标率≤100%</w:t>
            </w:r>
            <w:r>
              <w:rPr>
                <w:color w:val="auto"/>
              </w:rPr>
              <w:sym w:font="Wingdings" w:char="00A8"/>
            </w:r>
          </w:p>
        </w:tc>
        <w:tc>
          <w:tcPr>
            <w:tcW w:w="1773" w:type="pct"/>
            <w:gridSpan w:val="7"/>
            <w:tcBorders>
              <w:tl2br w:val="nil"/>
              <w:tr2bl w:val="nil"/>
            </w:tcBorders>
            <w:vAlign w:val="center"/>
          </w:tcPr>
          <w:p>
            <w:pPr>
              <w:pStyle w:val="45"/>
              <w:rPr>
                <w:color w:val="auto"/>
              </w:rPr>
            </w:pPr>
            <w:r>
              <w:rPr>
                <w:color w:val="auto"/>
              </w:rPr>
              <w:t>Ｃ</w:t>
            </w:r>
            <w:r>
              <w:rPr>
                <w:rFonts w:hint="eastAsia"/>
                <w:color w:val="auto"/>
              </w:rPr>
              <w:t>拟建项目</w:t>
            </w:r>
            <w:r>
              <w:rPr>
                <w:color w:val="auto"/>
              </w:rPr>
              <w:t>最大占标率&gt;100%</w:t>
            </w:r>
            <w:r>
              <w:rPr>
                <w:color w:val="auto"/>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7" w:type="pct"/>
            <w:vMerge w:val="continue"/>
            <w:tcBorders>
              <w:tl2br w:val="nil"/>
              <w:tr2bl w:val="nil"/>
            </w:tcBorders>
            <w:vAlign w:val="center"/>
          </w:tcPr>
          <w:p>
            <w:pPr>
              <w:pStyle w:val="45"/>
              <w:rPr>
                <w:color w:val="auto"/>
              </w:rPr>
            </w:pPr>
          </w:p>
        </w:tc>
        <w:tc>
          <w:tcPr>
            <w:tcW w:w="872" w:type="pct"/>
            <w:vMerge w:val="restart"/>
            <w:tcBorders>
              <w:tl2br w:val="nil"/>
              <w:tr2bl w:val="nil"/>
            </w:tcBorders>
            <w:vAlign w:val="center"/>
          </w:tcPr>
          <w:p>
            <w:pPr>
              <w:pStyle w:val="45"/>
              <w:rPr>
                <w:color w:val="auto"/>
              </w:rPr>
            </w:pPr>
            <w:r>
              <w:rPr>
                <w:color w:val="auto"/>
              </w:rPr>
              <w:t>正常排放年均浓度贡献值</w:t>
            </w:r>
          </w:p>
        </w:tc>
        <w:tc>
          <w:tcPr>
            <w:tcW w:w="458" w:type="pct"/>
            <w:gridSpan w:val="2"/>
            <w:tcBorders>
              <w:tl2br w:val="nil"/>
              <w:tr2bl w:val="nil"/>
            </w:tcBorders>
            <w:vAlign w:val="center"/>
          </w:tcPr>
          <w:p>
            <w:pPr>
              <w:pStyle w:val="45"/>
              <w:rPr>
                <w:color w:val="auto"/>
              </w:rPr>
            </w:pPr>
            <w:r>
              <w:rPr>
                <w:color w:val="auto"/>
              </w:rPr>
              <w:t>一类区</w:t>
            </w:r>
          </w:p>
        </w:tc>
        <w:tc>
          <w:tcPr>
            <w:tcW w:w="1855" w:type="pct"/>
            <w:gridSpan w:val="8"/>
            <w:tcBorders>
              <w:tl2br w:val="nil"/>
              <w:tr2bl w:val="nil"/>
            </w:tcBorders>
            <w:vAlign w:val="center"/>
          </w:tcPr>
          <w:p>
            <w:pPr>
              <w:pStyle w:val="45"/>
              <w:rPr>
                <w:color w:val="auto"/>
              </w:rPr>
            </w:pPr>
            <w:r>
              <w:rPr>
                <w:color w:val="auto"/>
              </w:rPr>
              <w:t>Ｃ</w:t>
            </w:r>
            <w:r>
              <w:rPr>
                <w:rFonts w:hint="eastAsia"/>
                <w:color w:val="auto"/>
              </w:rPr>
              <w:t>拟建项目</w:t>
            </w:r>
            <w:r>
              <w:rPr>
                <w:color w:val="auto"/>
              </w:rPr>
              <w:t>最大占标率≤10%</w:t>
            </w:r>
            <w:r>
              <w:rPr>
                <w:color w:val="auto"/>
              </w:rPr>
              <w:sym w:font="Wingdings" w:char="00A8"/>
            </w:r>
          </w:p>
        </w:tc>
        <w:tc>
          <w:tcPr>
            <w:tcW w:w="1184" w:type="pct"/>
            <w:gridSpan w:val="4"/>
            <w:tcBorders>
              <w:tl2br w:val="nil"/>
              <w:tr2bl w:val="nil"/>
            </w:tcBorders>
            <w:vAlign w:val="center"/>
          </w:tcPr>
          <w:p>
            <w:pPr>
              <w:pStyle w:val="45"/>
              <w:rPr>
                <w:color w:val="auto"/>
              </w:rPr>
            </w:pPr>
            <w:r>
              <w:rPr>
                <w:color w:val="auto"/>
              </w:rPr>
              <w:t>Ｃ</w:t>
            </w:r>
            <w:r>
              <w:rPr>
                <w:rFonts w:hint="eastAsia"/>
                <w:color w:val="auto"/>
              </w:rPr>
              <w:t>拟建项目</w:t>
            </w:r>
            <w:r>
              <w:rPr>
                <w:color w:val="auto"/>
              </w:rPr>
              <w:t>最大占标率&gt;10%</w:t>
            </w:r>
            <w:r>
              <w:rPr>
                <w:color w:val="auto"/>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7" w:type="pct"/>
            <w:vMerge w:val="continue"/>
            <w:tcBorders>
              <w:tl2br w:val="nil"/>
              <w:tr2bl w:val="nil"/>
            </w:tcBorders>
            <w:vAlign w:val="center"/>
          </w:tcPr>
          <w:p>
            <w:pPr>
              <w:pStyle w:val="45"/>
              <w:rPr>
                <w:color w:val="auto"/>
              </w:rPr>
            </w:pPr>
          </w:p>
        </w:tc>
        <w:tc>
          <w:tcPr>
            <w:tcW w:w="872" w:type="pct"/>
            <w:vMerge w:val="continue"/>
            <w:tcBorders>
              <w:tl2br w:val="nil"/>
              <w:tr2bl w:val="nil"/>
            </w:tcBorders>
            <w:vAlign w:val="center"/>
          </w:tcPr>
          <w:p>
            <w:pPr>
              <w:pStyle w:val="45"/>
              <w:rPr>
                <w:color w:val="auto"/>
              </w:rPr>
            </w:pPr>
          </w:p>
        </w:tc>
        <w:tc>
          <w:tcPr>
            <w:tcW w:w="458" w:type="pct"/>
            <w:gridSpan w:val="2"/>
            <w:tcBorders>
              <w:tl2br w:val="nil"/>
              <w:tr2bl w:val="nil"/>
            </w:tcBorders>
            <w:vAlign w:val="center"/>
          </w:tcPr>
          <w:p>
            <w:pPr>
              <w:pStyle w:val="45"/>
              <w:rPr>
                <w:color w:val="auto"/>
              </w:rPr>
            </w:pPr>
            <w:r>
              <w:rPr>
                <w:color w:val="auto"/>
              </w:rPr>
              <w:t>二类区</w:t>
            </w:r>
          </w:p>
        </w:tc>
        <w:tc>
          <w:tcPr>
            <w:tcW w:w="1855" w:type="pct"/>
            <w:gridSpan w:val="8"/>
            <w:tcBorders>
              <w:tl2br w:val="nil"/>
              <w:tr2bl w:val="nil"/>
            </w:tcBorders>
            <w:vAlign w:val="center"/>
          </w:tcPr>
          <w:p>
            <w:pPr>
              <w:pStyle w:val="45"/>
              <w:rPr>
                <w:color w:val="auto"/>
              </w:rPr>
            </w:pPr>
            <w:r>
              <w:rPr>
                <w:color w:val="auto"/>
              </w:rPr>
              <w:t>Ｃ</w:t>
            </w:r>
            <w:r>
              <w:rPr>
                <w:rFonts w:hint="eastAsia"/>
                <w:color w:val="auto"/>
              </w:rPr>
              <w:t>拟建项目</w:t>
            </w:r>
            <w:r>
              <w:rPr>
                <w:color w:val="auto"/>
              </w:rPr>
              <w:t>最大占标率≤30%</w:t>
            </w:r>
            <w:r>
              <w:rPr>
                <w:color w:val="auto"/>
              </w:rPr>
              <w:sym w:font="Wingdings" w:char="00A8"/>
            </w:r>
          </w:p>
        </w:tc>
        <w:tc>
          <w:tcPr>
            <w:tcW w:w="1184" w:type="pct"/>
            <w:gridSpan w:val="4"/>
            <w:tcBorders>
              <w:tl2br w:val="nil"/>
              <w:tr2bl w:val="nil"/>
            </w:tcBorders>
            <w:vAlign w:val="center"/>
          </w:tcPr>
          <w:p>
            <w:pPr>
              <w:pStyle w:val="45"/>
              <w:rPr>
                <w:color w:val="auto"/>
              </w:rPr>
            </w:pPr>
            <w:r>
              <w:rPr>
                <w:color w:val="auto"/>
              </w:rPr>
              <w:t>Ｃ</w:t>
            </w:r>
            <w:r>
              <w:rPr>
                <w:rFonts w:hint="eastAsia"/>
                <w:color w:val="auto"/>
              </w:rPr>
              <w:t>拟建项目</w:t>
            </w:r>
            <w:r>
              <w:rPr>
                <w:color w:val="auto"/>
              </w:rPr>
              <w:t>最大占标率&gt;30%</w:t>
            </w:r>
            <w:r>
              <w:rPr>
                <w:color w:val="auto"/>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7" w:type="pct"/>
            <w:vMerge w:val="continue"/>
            <w:tcBorders>
              <w:tl2br w:val="nil"/>
              <w:tr2bl w:val="nil"/>
            </w:tcBorders>
            <w:vAlign w:val="center"/>
          </w:tcPr>
          <w:p>
            <w:pPr>
              <w:pStyle w:val="45"/>
              <w:rPr>
                <w:color w:val="auto"/>
              </w:rPr>
            </w:pPr>
          </w:p>
        </w:tc>
        <w:tc>
          <w:tcPr>
            <w:tcW w:w="872" w:type="pct"/>
            <w:tcBorders>
              <w:tl2br w:val="nil"/>
              <w:tr2bl w:val="nil"/>
            </w:tcBorders>
            <w:vAlign w:val="center"/>
          </w:tcPr>
          <w:p>
            <w:pPr>
              <w:pStyle w:val="45"/>
              <w:rPr>
                <w:color w:val="auto"/>
              </w:rPr>
            </w:pPr>
            <w:r>
              <w:rPr>
                <w:color w:val="auto"/>
              </w:rPr>
              <w:t>非正常排放1h浓度贡献值</w:t>
            </w:r>
          </w:p>
        </w:tc>
        <w:tc>
          <w:tcPr>
            <w:tcW w:w="1118" w:type="pct"/>
            <w:gridSpan w:val="5"/>
            <w:tcBorders>
              <w:tl2br w:val="nil"/>
              <w:tr2bl w:val="nil"/>
            </w:tcBorders>
            <w:vAlign w:val="center"/>
          </w:tcPr>
          <w:p>
            <w:pPr>
              <w:pStyle w:val="45"/>
              <w:rPr>
                <w:color w:val="auto"/>
              </w:rPr>
            </w:pPr>
            <w:r>
              <w:rPr>
                <w:color w:val="auto"/>
              </w:rPr>
              <w:t>非正常持续</w:t>
            </w:r>
          </w:p>
          <w:p>
            <w:pPr>
              <w:pStyle w:val="45"/>
              <w:rPr>
                <w:color w:val="auto"/>
              </w:rPr>
            </w:pPr>
            <w:r>
              <w:rPr>
                <w:color w:val="auto"/>
              </w:rPr>
              <w:t>时长（ ）h</w:t>
            </w:r>
          </w:p>
        </w:tc>
        <w:tc>
          <w:tcPr>
            <w:tcW w:w="1195" w:type="pct"/>
            <w:gridSpan w:val="5"/>
            <w:tcBorders>
              <w:tl2br w:val="nil"/>
              <w:tr2bl w:val="nil"/>
            </w:tcBorders>
            <w:vAlign w:val="center"/>
          </w:tcPr>
          <w:p>
            <w:pPr>
              <w:pStyle w:val="45"/>
              <w:rPr>
                <w:color w:val="auto"/>
              </w:rPr>
            </w:pPr>
            <w:r>
              <w:rPr>
                <w:color w:val="auto"/>
              </w:rPr>
              <w:t>Ｃ非正常占标率≤100%</w:t>
            </w:r>
            <w:r>
              <w:rPr>
                <w:color w:val="auto"/>
              </w:rPr>
              <w:sym w:font="Wingdings" w:char="00A8"/>
            </w:r>
          </w:p>
        </w:tc>
        <w:tc>
          <w:tcPr>
            <w:tcW w:w="1184" w:type="pct"/>
            <w:gridSpan w:val="4"/>
            <w:tcBorders>
              <w:tl2br w:val="nil"/>
              <w:tr2bl w:val="nil"/>
            </w:tcBorders>
            <w:vAlign w:val="center"/>
          </w:tcPr>
          <w:p>
            <w:pPr>
              <w:pStyle w:val="45"/>
              <w:rPr>
                <w:color w:val="auto"/>
              </w:rPr>
            </w:pPr>
            <w:r>
              <w:rPr>
                <w:color w:val="auto"/>
              </w:rPr>
              <w:t>Ｃ非正常占标率&gt;100%</w:t>
            </w:r>
            <w:r>
              <w:rPr>
                <w:color w:val="auto"/>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7" w:type="pct"/>
            <w:vMerge w:val="continue"/>
            <w:tcBorders>
              <w:tl2br w:val="nil"/>
              <w:tr2bl w:val="nil"/>
            </w:tcBorders>
            <w:vAlign w:val="center"/>
          </w:tcPr>
          <w:p>
            <w:pPr>
              <w:pStyle w:val="45"/>
              <w:rPr>
                <w:color w:val="auto"/>
              </w:rPr>
            </w:pPr>
          </w:p>
        </w:tc>
        <w:tc>
          <w:tcPr>
            <w:tcW w:w="872" w:type="pct"/>
            <w:tcBorders>
              <w:tl2br w:val="nil"/>
              <w:tr2bl w:val="nil"/>
            </w:tcBorders>
            <w:vAlign w:val="center"/>
          </w:tcPr>
          <w:p>
            <w:pPr>
              <w:pStyle w:val="45"/>
              <w:rPr>
                <w:color w:val="auto"/>
              </w:rPr>
            </w:pPr>
            <w:r>
              <w:rPr>
                <w:color w:val="auto"/>
              </w:rPr>
              <w:t>保证率日平均浓度和年平均浓度叠加值</w:t>
            </w:r>
          </w:p>
        </w:tc>
        <w:tc>
          <w:tcPr>
            <w:tcW w:w="1725" w:type="pct"/>
            <w:gridSpan w:val="7"/>
            <w:tcBorders>
              <w:tl2br w:val="nil"/>
              <w:tr2bl w:val="nil"/>
            </w:tcBorders>
            <w:vAlign w:val="center"/>
          </w:tcPr>
          <w:p>
            <w:pPr>
              <w:pStyle w:val="45"/>
              <w:rPr>
                <w:color w:val="auto"/>
              </w:rPr>
            </w:pPr>
            <w:r>
              <w:rPr>
                <w:color w:val="auto"/>
              </w:rPr>
              <w:t>Ｃ叠加达标</w:t>
            </w:r>
            <w:r>
              <w:rPr>
                <w:color w:val="auto"/>
              </w:rPr>
              <w:sym w:font="Wingdings" w:char="00A8"/>
            </w:r>
          </w:p>
        </w:tc>
        <w:tc>
          <w:tcPr>
            <w:tcW w:w="1773" w:type="pct"/>
            <w:gridSpan w:val="7"/>
            <w:tcBorders>
              <w:tl2br w:val="nil"/>
              <w:tr2bl w:val="nil"/>
            </w:tcBorders>
            <w:vAlign w:val="center"/>
          </w:tcPr>
          <w:p>
            <w:pPr>
              <w:pStyle w:val="45"/>
              <w:rPr>
                <w:color w:val="auto"/>
              </w:rPr>
            </w:pPr>
            <w:r>
              <w:rPr>
                <w:color w:val="auto"/>
              </w:rPr>
              <w:t>Ｃ叠加不达标</w:t>
            </w:r>
            <w:r>
              <w:rPr>
                <w:color w:val="auto"/>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7" w:type="pct"/>
            <w:vMerge w:val="continue"/>
            <w:tcBorders>
              <w:tl2br w:val="nil"/>
              <w:tr2bl w:val="nil"/>
            </w:tcBorders>
            <w:vAlign w:val="center"/>
          </w:tcPr>
          <w:p>
            <w:pPr>
              <w:pStyle w:val="45"/>
              <w:rPr>
                <w:color w:val="auto"/>
              </w:rPr>
            </w:pPr>
          </w:p>
        </w:tc>
        <w:tc>
          <w:tcPr>
            <w:tcW w:w="872" w:type="pct"/>
            <w:tcBorders>
              <w:tl2br w:val="nil"/>
              <w:tr2bl w:val="nil"/>
            </w:tcBorders>
            <w:vAlign w:val="center"/>
          </w:tcPr>
          <w:p>
            <w:pPr>
              <w:pStyle w:val="45"/>
              <w:rPr>
                <w:color w:val="auto"/>
              </w:rPr>
            </w:pPr>
            <w:r>
              <w:rPr>
                <w:color w:val="auto"/>
              </w:rPr>
              <w:t>区域环境质量的整体变化情况</w:t>
            </w:r>
          </w:p>
        </w:tc>
        <w:tc>
          <w:tcPr>
            <w:tcW w:w="1725" w:type="pct"/>
            <w:gridSpan w:val="7"/>
            <w:tcBorders>
              <w:tl2br w:val="nil"/>
              <w:tr2bl w:val="nil"/>
            </w:tcBorders>
            <w:vAlign w:val="center"/>
          </w:tcPr>
          <w:p>
            <w:pPr>
              <w:pStyle w:val="45"/>
              <w:rPr>
                <w:color w:val="auto"/>
              </w:rPr>
            </w:pPr>
            <w:r>
              <w:rPr>
                <w:color w:val="auto"/>
              </w:rPr>
              <w:t>k≤-20%</w:t>
            </w:r>
            <w:r>
              <w:rPr>
                <w:color w:val="auto"/>
              </w:rPr>
              <w:sym w:font="Wingdings" w:char="00A8"/>
            </w:r>
          </w:p>
        </w:tc>
        <w:tc>
          <w:tcPr>
            <w:tcW w:w="1773" w:type="pct"/>
            <w:gridSpan w:val="7"/>
            <w:tcBorders>
              <w:tl2br w:val="nil"/>
              <w:tr2bl w:val="nil"/>
            </w:tcBorders>
            <w:vAlign w:val="center"/>
          </w:tcPr>
          <w:p>
            <w:pPr>
              <w:pStyle w:val="45"/>
              <w:rPr>
                <w:color w:val="auto"/>
              </w:rPr>
            </w:pPr>
            <w:r>
              <w:rPr>
                <w:color w:val="auto"/>
              </w:rPr>
              <w:t>k&gt;-20%</w:t>
            </w:r>
            <w:r>
              <w:rPr>
                <w:color w:val="auto"/>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7" w:type="pct"/>
            <w:vMerge w:val="restart"/>
            <w:tcBorders>
              <w:tl2br w:val="nil"/>
              <w:tr2bl w:val="nil"/>
            </w:tcBorders>
            <w:vAlign w:val="center"/>
          </w:tcPr>
          <w:p>
            <w:pPr>
              <w:pStyle w:val="45"/>
              <w:rPr>
                <w:color w:val="auto"/>
              </w:rPr>
            </w:pPr>
            <w:r>
              <w:rPr>
                <w:color w:val="auto"/>
              </w:rPr>
              <w:t>环境监测计划</w:t>
            </w:r>
          </w:p>
        </w:tc>
        <w:tc>
          <w:tcPr>
            <w:tcW w:w="872" w:type="pct"/>
            <w:tcBorders>
              <w:tl2br w:val="nil"/>
              <w:tr2bl w:val="nil"/>
            </w:tcBorders>
            <w:vAlign w:val="center"/>
          </w:tcPr>
          <w:p>
            <w:pPr>
              <w:pStyle w:val="45"/>
              <w:rPr>
                <w:color w:val="auto"/>
              </w:rPr>
            </w:pPr>
            <w:r>
              <w:rPr>
                <w:color w:val="auto"/>
              </w:rPr>
              <w:t>污染源监测</w:t>
            </w:r>
          </w:p>
        </w:tc>
        <w:tc>
          <w:tcPr>
            <w:tcW w:w="1118" w:type="pct"/>
            <w:gridSpan w:val="5"/>
            <w:tcBorders>
              <w:tl2br w:val="nil"/>
              <w:tr2bl w:val="nil"/>
            </w:tcBorders>
            <w:vAlign w:val="center"/>
          </w:tcPr>
          <w:p>
            <w:pPr>
              <w:pStyle w:val="45"/>
              <w:rPr>
                <w:color w:val="auto"/>
              </w:rPr>
            </w:pPr>
            <w:r>
              <w:rPr>
                <w:color w:val="auto"/>
              </w:rPr>
              <w:t>监测因子：（</w:t>
            </w:r>
            <w:r>
              <w:rPr>
                <w:rFonts w:hint="eastAsia"/>
                <w:color w:val="auto"/>
              </w:rPr>
              <w:t>SO</w:t>
            </w:r>
            <w:r>
              <w:rPr>
                <w:rFonts w:hint="eastAsia"/>
                <w:color w:val="auto"/>
                <w:vertAlign w:val="subscript"/>
              </w:rPr>
              <w:t>2</w:t>
            </w:r>
            <w:r>
              <w:rPr>
                <w:rFonts w:hint="eastAsia"/>
                <w:color w:val="auto"/>
              </w:rPr>
              <w:t>、NOx、颗粒物、H</w:t>
            </w:r>
            <w:r>
              <w:rPr>
                <w:rFonts w:hint="eastAsia"/>
                <w:color w:val="auto"/>
                <w:vertAlign w:val="subscript"/>
              </w:rPr>
              <w:t>2</w:t>
            </w:r>
            <w:r>
              <w:rPr>
                <w:rFonts w:hint="eastAsia"/>
                <w:color w:val="auto"/>
              </w:rPr>
              <w:t>S、NH</w:t>
            </w:r>
            <w:r>
              <w:rPr>
                <w:rFonts w:hint="eastAsia"/>
                <w:color w:val="auto"/>
                <w:vertAlign w:val="subscript"/>
              </w:rPr>
              <w:t>3</w:t>
            </w:r>
            <w:r>
              <w:rPr>
                <w:rFonts w:hint="eastAsia"/>
                <w:color w:val="auto"/>
              </w:rPr>
              <w:t>、非甲烷总烃、臭气浓度</w:t>
            </w:r>
            <w:r>
              <w:rPr>
                <w:color w:val="auto"/>
              </w:rPr>
              <w:t>）</w:t>
            </w:r>
          </w:p>
        </w:tc>
        <w:tc>
          <w:tcPr>
            <w:tcW w:w="1195" w:type="pct"/>
            <w:gridSpan w:val="5"/>
            <w:tcBorders>
              <w:tl2br w:val="nil"/>
              <w:tr2bl w:val="nil"/>
            </w:tcBorders>
            <w:vAlign w:val="center"/>
          </w:tcPr>
          <w:p>
            <w:pPr>
              <w:pStyle w:val="45"/>
              <w:rPr>
                <w:color w:val="auto"/>
              </w:rPr>
            </w:pPr>
            <w:r>
              <w:rPr>
                <w:color w:val="auto"/>
              </w:rPr>
              <w:t>有组织废气监测</w:t>
            </w:r>
            <w:r>
              <w:rPr>
                <w:color w:val="auto"/>
              </w:rPr>
              <w:sym w:font="Wingdings" w:char="00FE"/>
            </w:r>
          </w:p>
          <w:p>
            <w:pPr>
              <w:pStyle w:val="45"/>
              <w:rPr>
                <w:color w:val="auto"/>
              </w:rPr>
            </w:pPr>
            <w:r>
              <w:rPr>
                <w:color w:val="auto"/>
              </w:rPr>
              <w:t>无组织废气监测</w:t>
            </w:r>
            <w:r>
              <w:rPr>
                <w:color w:val="auto"/>
              </w:rPr>
              <w:sym w:font="Wingdings" w:char="00FE"/>
            </w:r>
          </w:p>
        </w:tc>
        <w:tc>
          <w:tcPr>
            <w:tcW w:w="1184" w:type="pct"/>
            <w:gridSpan w:val="4"/>
            <w:tcBorders>
              <w:tl2br w:val="nil"/>
              <w:tr2bl w:val="nil"/>
            </w:tcBorders>
            <w:vAlign w:val="center"/>
          </w:tcPr>
          <w:p>
            <w:pPr>
              <w:pStyle w:val="45"/>
              <w:rPr>
                <w:color w:val="auto"/>
              </w:rPr>
            </w:pPr>
            <w:r>
              <w:rPr>
                <w:color w:val="auto"/>
              </w:rPr>
              <w:t>无监测</w:t>
            </w:r>
            <w:r>
              <w:rPr>
                <w:color w:val="auto"/>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7" w:type="pct"/>
            <w:vMerge w:val="continue"/>
            <w:tcBorders>
              <w:tl2br w:val="nil"/>
              <w:tr2bl w:val="nil"/>
            </w:tcBorders>
            <w:vAlign w:val="center"/>
          </w:tcPr>
          <w:p>
            <w:pPr>
              <w:pStyle w:val="45"/>
              <w:rPr>
                <w:color w:val="auto"/>
              </w:rPr>
            </w:pPr>
          </w:p>
        </w:tc>
        <w:tc>
          <w:tcPr>
            <w:tcW w:w="872" w:type="pct"/>
            <w:tcBorders>
              <w:tl2br w:val="nil"/>
              <w:tr2bl w:val="nil"/>
            </w:tcBorders>
            <w:vAlign w:val="center"/>
          </w:tcPr>
          <w:p>
            <w:pPr>
              <w:pStyle w:val="45"/>
              <w:rPr>
                <w:color w:val="auto"/>
              </w:rPr>
            </w:pPr>
            <w:r>
              <w:rPr>
                <w:color w:val="auto"/>
              </w:rPr>
              <w:t>环境质量监测</w:t>
            </w:r>
          </w:p>
        </w:tc>
        <w:tc>
          <w:tcPr>
            <w:tcW w:w="1118" w:type="pct"/>
            <w:gridSpan w:val="5"/>
            <w:tcBorders>
              <w:tl2br w:val="nil"/>
              <w:tr2bl w:val="nil"/>
            </w:tcBorders>
            <w:vAlign w:val="center"/>
          </w:tcPr>
          <w:p>
            <w:pPr>
              <w:pStyle w:val="45"/>
              <w:rPr>
                <w:color w:val="auto"/>
              </w:rPr>
            </w:pPr>
            <w:r>
              <w:rPr>
                <w:color w:val="auto"/>
              </w:rPr>
              <w:t>监测因子：（）</w:t>
            </w:r>
          </w:p>
        </w:tc>
        <w:tc>
          <w:tcPr>
            <w:tcW w:w="1195" w:type="pct"/>
            <w:gridSpan w:val="5"/>
            <w:tcBorders>
              <w:tl2br w:val="nil"/>
              <w:tr2bl w:val="nil"/>
            </w:tcBorders>
            <w:vAlign w:val="center"/>
          </w:tcPr>
          <w:p>
            <w:pPr>
              <w:pStyle w:val="45"/>
              <w:rPr>
                <w:color w:val="auto"/>
              </w:rPr>
            </w:pPr>
            <w:r>
              <w:rPr>
                <w:color w:val="auto"/>
              </w:rPr>
              <w:t>监测点位数（）</w:t>
            </w:r>
          </w:p>
        </w:tc>
        <w:tc>
          <w:tcPr>
            <w:tcW w:w="1184" w:type="pct"/>
            <w:gridSpan w:val="4"/>
            <w:tcBorders>
              <w:tl2br w:val="nil"/>
              <w:tr2bl w:val="nil"/>
            </w:tcBorders>
            <w:vAlign w:val="center"/>
          </w:tcPr>
          <w:p>
            <w:pPr>
              <w:pStyle w:val="45"/>
              <w:rPr>
                <w:color w:val="auto"/>
              </w:rPr>
            </w:pPr>
            <w:r>
              <w:rPr>
                <w:color w:val="auto"/>
              </w:rPr>
              <w:t>无监测</w:t>
            </w:r>
            <w:r>
              <w:rPr>
                <w:color w:val="auto"/>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7" w:type="pct"/>
            <w:vMerge w:val="restart"/>
            <w:tcBorders>
              <w:tl2br w:val="nil"/>
              <w:tr2bl w:val="nil"/>
            </w:tcBorders>
            <w:vAlign w:val="center"/>
          </w:tcPr>
          <w:p>
            <w:pPr>
              <w:pStyle w:val="45"/>
              <w:rPr>
                <w:color w:val="auto"/>
              </w:rPr>
            </w:pPr>
            <w:r>
              <w:rPr>
                <w:color w:val="auto"/>
              </w:rPr>
              <w:t>评级结论</w:t>
            </w:r>
          </w:p>
        </w:tc>
        <w:tc>
          <w:tcPr>
            <w:tcW w:w="872" w:type="pct"/>
            <w:tcBorders>
              <w:tl2br w:val="nil"/>
              <w:tr2bl w:val="nil"/>
            </w:tcBorders>
            <w:vAlign w:val="center"/>
          </w:tcPr>
          <w:p>
            <w:pPr>
              <w:pStyle w:val="45"/>
              <w:rPr>
                <w:color w:val="auto"/>
              </w:rPr>
            </w:pPr>
            <w:r>
              <w:rPr>
                <w:color w:val="auto"/>
              </w:rPr>
              <w:t>环境影响</w:t>
            </w:r>
          </w:p>
        </w:tc>
        <w:tc>
          <w:tcPr>
            <w:tcW w:w="3499" w:type="pct"/>
            <w:gridSpan w:val="14"/>
            <w:tcBorders>
              <w:tl2br w:val="nil"/>
              <w:tr2bl w:val="nil"/>
            </w:tcBorders>
            <w:vAlign w:val="center"/>
          </w:tcPr>
          <w:p>
            <w:pPr>
              <w:pStyle w:val="45"/>
              <w:rPr>
                <w:color w:val="auto"/>
              </w:rPr>
            </w:pPr>
            <w:r>
              <w:rPr>
                <w:color w:val="auto"/>
              </w:rPr>
              <w:t>可以接受</w:t>
            </w:r>
            <w:r>
              <w:rPr>
                <w:color w:val="auto"/>
              </w:rPr>
              <w:sym w:font="Wingdings" w:char="00FE"/>
            </w:r>
            <w:r>
              <w:rPr>
                <w:color w:val="auto"/>
              </w:rPr>
              <w:t xml:space="preserve">              不可以接受</w:t>
            </w:r>
            <w:r>
              <w:rPr>
                <w:color w:val="auto"/>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7" w:type="pct"/>
            <w:vMerge w:val="continue"/>
            <w:tcBorders>
              <w:tl2br w:val="nil"/>
              <w:tr2bl w:val="nil"/>
            </w:tcBorders>
            <w:vAlign w:val="center"/>
          </w:tcPr>
          <w:p>
            <w:pPr>
              <w:pStyle w:val="45"/>
              <w:rPr>
                <w:color w:val="auto"/>
              </w:rPr>
            </w:pPr>
          </w:p>
        </w:tc>
        <w:tc>
          <w:tcPr>
            <w:tcW w:w="872" w:type="pct"/>
            <w:tcBorders>
              <w:tl2br w:val="nil"/>
              <w:tr2bl w:val="nil"/>
            </w:tcBorders>
            <w:vAlign w:val="center"/>
          </w:tcPr>
          <w:p>
            <w:pPr>
              <w:pStyle w:val="45"/>
              <w:rPr>
                <w:color w:val="auto"/>
              </w:rPr>
            </w:pPr>
            <w:r>
              <w:rPr>
                <w:color w:val="auto"/>
              </w:rPr>
              <w:t>大气环境防护距离</w:t>
            </w:r>
          </w:p>
        </w:tc>
        <w:tc>
          <w:tcPr>
            <w:tcW w:w="3499" w:type="pct"/>
            <w:gridSpan w:val="14"/>
            <w:tcBorders>
              <w:tl2br w:val="nil"/>
              <w:tr2bl w:val="nil"/>
            </w:tcBorders>
            <w:vAlign w:val="center"/>
          </w:tcPr>
          <w:p>
            <w:pPr>
              <w:pStyle w:val="45"/>
              <w:rPr>
                <w:color w:val="auto"/>
              </w:rPr>
            </w:pPr>
            <w:r>
              <w:rPr>
                <w:color w:val="auto"/>
              </w:rPr>
              <w:t>距（  ）厂界最远（  ）m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7" w:type="pct"/>
            <w:vMerge w:val="continue"/>
            <w:tcBorders>
              <w:tl2br w:val="nil"/>
              <w:tr2bl w:val="nil"/>
            </w:tcBorders>
            <w:vAlign w:val="center"/>
          </w:tcPr>
          <w:p>
            <w:pPr>
              <w:pStyle w:val="45"/>
              <w:rPr>
                <w:color w:val="auto"/>
              </w:rPr>
            </w:pPr>
          </w:p>
        </w:tc>
        <w:tc>
          <w:tcPr>
            <w:tcW w:w="872" w:type="pct"/>
            <w:tcBorders>
              <w:tl2br w:val="nil"/>
              <w:tr2bl w:val="nil"/>
            </w:tcBorders>
            <w:vAlign w:val="center"/>
          </w:tcPr>
          <w:p>
            <w:pPr>
              <w:pStyle w:val="45"/>
              <w:rPr>
                <w:color w:val="auto"/>
              </w:rPr>
            </w:pPr>
            <w:r>
              <w:rPr>
                <w:color w:val="auto"/>
              </w:rPr>
              <w:t>污染源年排放量</w:t>
            </w:r>
          </w:p>
        </w:tc>
        <w:tc>
          <w:tcPr>
            <w:tcW w:w="803" w:type="pct"/>
            <w:gridSpan w:val="3"/>
            <w:tcBorders>
              <w:tl2br w:val="nil"/>
              <w:tr2bl w:val="nil"/>
            </w:tcBorders>
            <w:vAlign w:val="center"/>
          </w:tcPr>
          <w:p>
            <w:pPr>
              <w:pStyle w:val="45"/>
              <w:rPr>
                <w:color w:val="auto"/>
              </w:rPr>
            </w:pPr>
            <w:r>
              <w:rPr>
                <w:color w:val="auto"/>
              </w:rPr>
              <w:t>SO</w:t>
            </w:r>
            <w:r>
              <w:rPr>
                <w:color w:val="auto"/>
                <w:vertAlign w:val="subscript"/>
              </w:rPr>
              <w:t>2</w:t>
            </w:r>
            <w:r>
              <w:rPr>
                <w:color w:val="auto"/>
              </w:rPr>
              <w:t>：</w:t>
            </w:r>
          </w:p>
          <w:p>
            <w:pPr>
              <w:pStyle w:val="45"/>
              <w:rPr>
                <w:color w:val="auto"/>
              </w:rPr>
            </w:pPr>
            <w:r>
              <w:rPr>
                <w:color w:val="auto"/>
              </w:rPr>
              <w:t>（</w:t>
            </w:r>
            <w:r>
              <w:rPr>
                <w:rFonts w:hint="eastAsia"/>
                <w:color w:val="auto"/>
              </w:rPr>
              <w:t>0.064</w:t>
            </w:r>
            <w:r>
              <w:rPr>
                <w:color w:val="auto"/>
              </w:rPr>
              <w:t>）t/a</w:t>
            </w:r>
          </w:p>
        </w:tc>
        <w:tc>
          <w:tcPr>
            <w:tcW w:w="921" w:type="pct"/>
            <w:gridSpan w:val="4"/>
            <w:tcBorders>
              <w:tl2br w:val="nil"/>
              <w:tr2bl w:val="nil"/>
            </w:tcBorders>
            <w:vAlign w:val="center"/>
          </w:tcPr>
          <w:p>
            <w:pPr>
              <w:pStyle w:val="45"/>
              <w:rPr>
                <w:color w:val="auto"/>
              </w:rPr>
            </w:pPr>
            <w:r>
              <w:rPr>
                <w:color w:val="auto"/>
              </w:rPr>
              <w:t>NO</w:t>
            </w:r>
            <w:r>
              <w:rPr>
                <w:rFonts w:hint="eastAsia"/>
                <w:color w:val="auto"/>
              </w:rPr>
              <w:t>x</w:t>
            </w:r>
            <w:r>
              <w:rPr>
                <w:color w:val="auto"/>
              </w:rPr>
              <w:t>：</w:t>
            </w:r>
          </w:p>
          <w:p>
            <w:pPr>
              <w:pStyle w:val="45"/>
              <w:rPr>
                <w:color w:val="auto"/>
              </w:rPr>
            </w:pPr>
            <w:r>
              <w:rPr>
                <w:color w:val="auto"/>
              </w:rPr>
              <w:t>（</w:t>
            </w:r>
            <w:r>
              <w:rPr>
                <w:rFonts w:hint="eastAsia"/>
                <w:color w:val="auto"/>
              </w:rPr>
              <w:t>0.3</w:t>
            </w:r>
            <w:r>
              <w:rPr>
                <w:color w:val="auto"/>
              </w:rPr>
              <w:t>）t/a</w:t>
            </w:r>
          </w:p>
        </w:tc>
        <w:tc>
          <w:tcPr>
            <w:tcW w:w="926" w:type="pct"/>
            <w:gridSpan w:val="5"/>
            <w:tcBorders>
              <w:tl2br w:val="nil"/>
              <w:tr2bl w:val="nil"/>
            </w:tcBorders>
            <w:vAlign w:val="center"/>
          </w:tcPr>
          <w:p>
            <w:pPr>
              <w:pStyle w:val="45"/>
              <w:rPr>
                <w:color w:val="auto"/>
              </w:rPr>
            </w:pPr>
            <w:r>
              <w:rPr>
                <w:color w:val="auto"/>
              </w:rPr>
              <w:t>颗粒物：（</w:t>
            </w:r>
            <w:r>
              <w:rPr>
                <w:rFonts w:hint="eastAsia"/>
                <w:color w:val="auto"/>
              </w:rPr>
              <w:t>0.103</w:t>
            </w:r>
            <w:r>
              <w:rPr>
                <w:color w:val="auto"/>
              </w:rPr>
              <w:t>）t/a</w:t>
            </w:r>
          </w:p>
        </w:tc>
        <w:tc>
          <w:tcPr>
            <w:tcW w:w="847" w:type="pct"/>
            <w:gridSpan w:val="2"/>
            <w:tcBorders>
              <w:tl2br w:val="nil"/>
              <w:tr2bl w:val="nil"/>
            </w:tcBorders>
            <w:vAlign w:val="center"/>
          </w:tcPr>
          <w:p>
            <w:pPr>
              <w:pStyle w:val="45"/>
              <w:rPr>
                <w:color w:val="auto"/>
              </w:rPr>
            </w:pPr>
            <w:r>
              <w:rPr>
                <w:color w:val="auto"/>
              </w:rPr>
              <w:t>VOCs：（</w:t>
            </w:r>
            <w:r>
              <w:rPr>
                <w:rFonts w:hint="eastAsia"/>
                <w:color w:val="auto"/>
              </w:rPr>
              <w:t>1.828</w:t>
            </w:r>
            <w:r>
              <w:rPr>
                <w:color w:val="auto"/>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0" w:type="pct"/>
            <w:gridSpan w:val="16"/>
            <w:tcBorders>
              <w:tl2br w:val="nil"/>
              <w:tr2bl w:val="nil"/>
            </w:tcBorders>
            <w:vAlign w:val="center"/>
          </w:tcPr>
          <w:p>
            <w:pPr>
              <w:pStyle w:val="45"/>
              <w:rPr>
                <w:color w:val="auto"/>
              </w:rPr>
            </w:pPr>
            <w:r>
              <w:rPr>
                <w:color w:val="auto"/>
              </w:rPr>
              <w:t>注：</w:t>
            </w:r>
            <w:r>
              <w:rPr>
                <w:rFonts w:hint="eastAsia"/>
                <w:color w:val="auto"/>
              </w:rPr>
              <w:t>“</w:t>
            </w:r>
            <w:r>
              <w:rPr>
                <w:color w:val="auto"/>
              </w:rPr>
              <w:sym w:font="Wingdings" w:char="00A8"/>
            </w:r>
            <w:r>
              <w:rPr>
                <w:rFonts w:hint="eastAsia"/>
                <w:color w:val="auto"/>
              </w:rPr>
              <w:t>”</w:t>
            </w:r>
            <w:r>
              <w:rPr>
                <w:color w:val="auto"/>
              </w:rPr>
              <w:t>为勾选项，填</w:t>
            </w:r>
            <w:r>
              <w:rPr>
                <w:rFonts w:hint="eastAsia"/>
                <w:color w:val="auto"/>
              </w:rPr>
              <w:t>“</w:t>
            </w:r>
            <w:r>
              <w:rPr>
                <w:color w:val="auto"/>
              </w:rPr>
              <w:t>√</w:t>
            </w:r>
            <w:r>
              <w:rPr>
                <w:rFonts w:hint="eastAsia"/>
                <w:color w:val="auto"/>
              </w:rPr>
              <w:t>”</w:t>
            </w:r>
            <w:r>
              <w:rPr>
                <w:color w:val="auto"/>
              </w:rPr>
              <w:t>；</w:t>
            </w:r>
            <w:r>
              <w:rPr>
                <w:rFonts w:hint="eastAsia"/>
                <w:color w:val="auto"/>
              </w:rPr>
              <w:t>“</w:t>
            </w:r>
            <w:r>
              <w:rPr>
                <w:color w:val="auto"/>
              </w:rPr>
              <w:t>（  ）</w:t>
            </w:r>
            <w:r>
              <w:rPr>
                <w:rFonts w:hint="eastAsia"/>
                <w:color w:val="auto"/>
              </w:rPr>
              <w:t>”</w:t>
            </w:r>
            <w:r>
              <w:rPr>
                <w:color w:val="auto"/>
              </w:rPr>
              <w:t>为内容填写项</w:t>
            </w:r>
          </w:p>
        </w:tc>
      </w:tr>
    </w:tbl>
    <w:p>
      <w:pPr>
        <w:ind w:firstLine="480"/>
        <w:rPr>
          <w:color w:val="auto"/>
        </w:rPr>
      </w:pPr>
      <w:r>
        <w:rPr>
          <w:color w:val="auto"/>
        </w:rPr>
        <w:br w:type="page"/>
      </w:r>
    </w:p>
    <w:p>
      <w:pPr>
        <w:pStyle w:val="8"/>
        <w:spacing w:before="0" w:beforeLines="0" w:after="0" w:afterLines="0" w:line="360" w:lineRule="auto"/>
        <w:rPr>
          <w:color w:val="auto"/>
        </w:rPr>
      </w:pPr>
      <w:bookmarkStart w:id="275" w:name="_Toc17145"/>
      <w:bookmarkStart w:id="276" w:name="_Toc3470"/>
      <w:r>
        <w:rPr>
          <w:rFonts w:hint="eastAsia"/>
          <w:color w:val="auto"/>
        </w:rPr>
        <w:t>5</w:t>
      </w:r>
      <w:r>
        <w:rPr>
          <w:color w:val="auto"/>
        </w:rPr>
        <w:t>.2 运营期地表水环境影响分析</w:t>
      </w:r>
      <w:bookmarkEnd w:id="275"/>
      <w:bookmarkEnd w:id="276"/>
    </w:p>
    <w:p>
      <w:pPr>
        <w:pStyle w:val="9"/>
        <w:spacing w:before="0" w:beforeLines="0" w:after="0" w:afterLines="0" w:line="360" w:lineRule="auto"/>
        <w:rPr>
          <w:color w:val="auto"/>
        </w:rPr>
      </w:pPr>
      <w:r>
        <w:rPr>
          <w:rFonts w:hint="eastAsia"/>
          <w:color w:val="auto"/>
        </w:rPr>
        <w:t>5</w:t>
      </w:r>
      <w:r>
        <w:rPr>
          <w:color w:val="auto"/>
        </w:rPr>
        <w:t>.2.1 评价工作等级及范围确定</w:t>
      </w:r>
    </w:p>
    <w:p>
      <w:pPr>
        <w:ind w:firstLine="480"/>
        <w:rPr>
          <w:color w:val="auto"/>
        </w:rPr>
      </w:pPr>
      <w:r>
        <w:rPr>
          <w:color w:val="auto"/>
        </w:rPr>
        <w:t>根据《环境影响评价技术导则 地表水环境》（HJ2.3-2018)，评价工作等级划分依据见下表。</w:t>
      </w:r>
    </w:p>
    <w:p>
      <w:pPr>
        <w:pStyle w:val="48"/>
        <w:spacing w:line="360" w:lineRule="auto"/>
        <w:rPr>
          <w:b/>
          <w:color w:val="auto"/>
        </w:rPr>
      </w:pPr>
      <w:r>
        <w:rPr>
          <w:b/>
          <w:color w:val="auto"/>
        </w:rPr>
        <w:t>表</w:t>
      </w:r>
      <w:r>
        <w:rPr>
          <w:rFonts w:hint="eastAsia"/>
          <w:b/>
          <w:color w:val="auto"/>
        </w:rPr>
        <w:t>5</w:t>
      </w:r>
      <w:r>
        <w:rPr>
          <w:b/>
          <w:color w:val="auto"/>
        </w:rPr>
        <w:t>.2-1  水污染影响型建设项目评价等级判定</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43"/>
        <w:gridCol w:w="2554"/>
        <w:gridCol w:w="48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2" w:type="pct"/>
            <w:vMerge w:val="restart"/>
          </w:tcPr>
          <w:p>
            <w:pPr>
              <w:pStyle w:val="47"/>
              <w:rPr>
                <w:color w:val="auto"/>
              </w:rPr>
            </w:pPr>
            <w:r>
              <w:rPr>
                <w:color w:val="auto"/>
              </w:rPr>
              <w:t>评价等级</w:t>
            </w:r>
          </w:p>
        </w:tc>
        <w:tc>
          <w:tcPr>
            <w:tcW w:w="4008" w:type="pct"/>
            <w:gridSpan w:val="2"/>
          </w:tcPr>
          <w:p>
            <w:pPr>
              <w:pStyle w:val="47"/>
              <w:rPr>
                <w:color w:val="auto"/>
              </w:rPr>
            </w:pPr>
            <w:r>
              <w:rPr>
                <w:color w:val="auto"/>
              </w:rPr>
              <w:t>判定依据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2" w:type="pct"/>
            <w:vMerge w:val="continue"/>
          </w:tcPr>
          <w:p>
            <w:pPr>
              <w:pStyle w:val="47"/>
              <w:rPr>
                <w:color w:val="auto"/>
              </w:rPr>
            </w:pPr>
          </w:p>
        </w:tc>
        <w:tc>
          <w:tcPr>
            <w:tcW w:w="1375" w:type="pct"/>
            <w:vAlign w:val="center"/>
          </w:tcPr>
          <w:p>
            <w:pPr>
              <w:pStyle w:val="47"/>
              <w:rPr>
                <w:color w:val="auto"/>
              </w:rPr>
            </w:pPr>
            <w:r>
              <w:rPr>
                <w:color w:val="auto"/>
              </w:rPr>
              <w:t>排放方式</w:t>
            </w:r>
          </w:p>
        </w:tc>
        <w:tc>
          <w:tcPr>
            <w:tcW w:w="2633" w:type="pct"/>
          </w:tcPr>
          <w:p>
            <w:pPr>
              <w:pStyle w:val="47"/>
              <w:rPr>
                <w:color w:val="auto"/>
              </w:rPr>
            </w:pPr>
            <w:r>
              <w:rPr>
                <w:color w:val="auto"/>
              </w:rPr>
              <w:t>废水排放量Q/（m</w:t>
            </w:r>
            <w:r>
              <w:rPr>
                <w:color w:val="auto"/>
                <w:vertAlign w:val="superscript"/>
              </w:rPr>
              <w:t>3</w:t>
            </w:r>
            <w:r>
              <w:rPr>
                <w:color w:val="auto"/>
              </w:rPr>
              <w:t>/d）</w:t>
            </w:r>
          </w:p>
          <w:p>
            <w:pPr>
              <w:pStyle w:val="47"/>
              <w:rPr>
                <w:color w:val="auto"/>
              </w:rPr>
            </w:pPr>
            <w:r>
              <w:rPr>
                <w:color w:val="auto"/>
              </w:rPr>
              <w:t>水污染物当量数W/（无量纲）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2" w:type="pct"/>
          </w:tcPr>
          <w:p>
            <w:pPr>
              <w:pStyle w:val="47"/>
              <w:rPr>
                <w:color w:val="auto"/>
              </w:rPr>
            </w:pPr>
            <w:r>
              <w:rPr>
                <w:color w:val="auto"/>
              </w:rPr>
              <w:t>一级</w:t>
            </w:r>
          </w:p>
        </w:tc>
        <w:tc>
          <w:tcPr>
            <w:tcW w:w="1375" w:type="pct"/>
          </w:tcPr>
          <w:p>
            <w:pPr>
              <w:pStyle w:val="47"/>
              <w:rPr>
                <w:color w:val="auto"/>
              </w:rPr>
            </w:pPr>
            <w:r>
              <w:rPr>
                <w:color w:val="auto"/>
              </w:rPr>
              <w:t>直接排放</w:t>
            </w:r>
          </w:p>
        </w:tc>
        <w:tc>
          <w:tcPr>
            <w:tcW w:w="2633" w:type="pct"/>
          </w:tcPr>
          <w:p>
            <w:pPr>
              <w:pStyle w:val="47"/>
              <w:rPr>
                <w:color w:val="auto"/>
              </w:rPr>
            </w:pPr>
            <w:r>
              <w:rPr>
                <w:color w:val="auto"/>
              </w:rPr>
              <w:t>Q≥20000或W≥600000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2" w:type="pct"/>
          </w:tcPr>
          <w:p>
            <w:pPr>
              <w:pStyle w:val="47"/>
              <w:rPr>
                <w:color w:val="auto"/>
              </w:rPr>
            </w:pPr>
            <w:r>
              <w:rPr>
                <w:color w:val="auto"/>
              </w:rPr>
              <w:t>二级</w:t>
            </w:r>
          </w:p>
        </w:tc>
        <w:tc>
          <w:tcPr>
            <w:tcW w:w="1375" w:type="pct"/>
          </w:tcPr>
          <w:p>
            <w:pPr>
              <w:pStyle w:val="47"/>
              <w:rPr>
                <w:color w:val="auto"/>
              </w:rPr>
            </w:pPr>
            <w:r>
              <w:rPr>
                <w:color w:val="auto"/>
              </w:rPr>
              <w:t>直接排放</w:t>
            </w:r>
          </w:p>
        </w:tc>
        <w:tc>
          <w:tcPr>
            <w:tcW w:w="2633" w:type="pct"/>
          </w:tcPr>
          <w:p>
            <w:pPr>
              <w:pStyle w:val="47"/>
              <w:rPr>
                <w:color w:val="auto"/>
              </w:rPr>
            </w:pPr>
            <w:r>
              <w:rPr>
                <w:color w:val="auto"/>
              </w:rPr>
              <w:t>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2" w:type="pct"/>
          </w:tcPr>
          <w:p>
            <w:pPr>
              <w:pStyle w:val="47"/>
              <w:rPr>
                <w:color w:val="auto"/>
              </w:rPr>
            </w:pPr>
            <w:r>
              <w:rPr>
                <w:color w:val="auto"/>
              </w:rPr>
              <w:t>三级A</w:t>
            </w:r>
          </w:p>
        </w:tc>
        <w:tc>
          <w:tcPr>
            <w:tcW w:w="1375" w:type="pct"/>
          </w:tcPr>
          <w:p>
            <w:pPr>
              <w:pStyle w:val="47"/>
              <w:rPr>
                <w:color w:val="auto"/>
              </w:rPr>
            </w:pPr>
            <w:r>
              <w:rPr>
                <w:color w:val="auto"/>
              </w:rPr>
              <w:t>直接排放</w:t>
            </w:r>
          </w:p>
        </w:tc>
        <w:tc>
          <w:tcPr>
            <w:tcW w:w="2633" w:type="pct"/>
          </w:tcPr>
          <w:p>
            <w:pPr>
              <w:pStyle w:val="47"/>
              <w:rPr>
                <w:color w:val="auto"/>
              </w:rPr>
            </w:pPr>
            <w:r>
              <w:rPr>
                <w:color w:val="auto"/>
              </w:rPr>
              <w:t>Q＜200且W＜6000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2" w:type="pct"/>
          </w:tcPr>
          <w:p>
            <w:pPr>
              <w:pStyle w:val="47"/>
              <w:rPr>
                <w:color w:val="auto"/>
              </w:rPr>
            </w:pPr>
            <w:r>
              <w:rPr>
                <w:color w:val="auto"/>
              </w:rPr>
              <w:t>三级B</w:t>
            </w:r>
          </w:p>
        </w:tc>
        <w:tc>
          <w:tcPr>
            <w:tcW w:w="1375" w:type="pct"/>
          </w:tcPr>
          <w:p>
            <w:pPr>
              <w:pStyle w:val="47"/>
              <w:rPr>
                <w:color w:val="auto"/>
              </w:rPr>
            </w:pPr>
            <w:r>
              <w:rPr>
                <w:color w:val="auto"/>
              </w:rPr>
              <w:t>间接排放</w:t>
            </w:r>
          </w:p>
        </w:tc>
        <w:tc>
          <w:tcPr>
            <w:tcW w:w="2633" w:type="pct"/>
          </w:tcPr>
          <w:p>
            <w:pPr>
              <w:pStyle w:val="47"/>
              <w:rPr>
                <w:color w:val="auto"/>
              </w:rPr>
            </w:pPr>
            <w:r>
              <w:rPr>
                <w:color w:val="auto"/>
              </w:rPr>
              <w:t>——</w:t>
            </w:r>
          </w:p>
        </w:tc>
      </w:tr>
    </w:tbl>
    <w:p>
      <w:pPr>
        <w:ind w:firstLine="480"/>
        <w:rPr>
          <w:color w:val="auto"/>
        </w:rPr>
      </w:pPr>
      <w:r>
        <w:rPr>
          <w:color w:val="auto"/>
        </w:rPr>
        <w:t>本项目废水</w:t>
      </w:r>
      <w:r>
        <w:rPr>
          <w:rFonts w:hint="eastAsia"/>
          <w:color w:val="auto"/>
        </w:rPr>
        <w:t>经</w:t>
      </w:r>
      <w:r>
        <w:rPr>
          <w:color w:val="auto"/>
        </w:rPr>
        <w:t>厂区污水站处理后</w:t>
      </w:r>
      <w:r>
        <w:rPr>
          <w:rFonts w:hint="eastAsia"/>
          <w:color w:val="auto"/>
        </w:rPr>
        <w:t>排入光大水务（淄博）有限公司水质净化</w:t>
      </w:r>
      <w:r>
        <w:rPr>
          <w:rFonts w:hint="eastAsia"/>
          <w:color w:val="auto"/>
          <w:lang w:eastAsia="zh-CN"/>
        </w:rPr>
        <w:t>三分厂</w:t>
      </w:r>
      <w:r>
        <w:rPr>
          <w:rFonts w:hint="eastAsia"/>
          <w:color w:val="auto"/>
        </w:rPr>
        <w:t>处理达标排入猪龙河</w:t>
      </w:r>
      <w:r>
        <w:rPr>
          <w:color w:val="auto"/>
        </w:rPr>
        <w:t>，属于间接排放。根据《环境影响评价技术导则 地表水环境》（HJ2.3-2018)，地表水环境影响评价等级确定为三级B</w:t>
      </w:r>
      <w:r>
        <w:rPr>
          <w:rFonts w:hint="eastAsia"/>
          <w:color w:val="auto"/>
        </w:rPr>
        <w:t>，</w:t>
      </w:r>
      <w:r>
        <w:rPr>
          <w:color w:val="auto"/>
          <w:szCs w:val="24"/>
        </w:rPr>
        <w:t>三级B可不进行水环境影响预测</w:t>
      </w:r>
      <w:r>
        <w:rPr>
          <w:color w:val="auto"/>
        </w:rPr>
        <w:t>。评价范围为</w:t>
      </w:r>
      <w:r>
        <w:rPr>
          <w:rFonts w:hint="eastAsia"/>
          <w:color w:val="auto"/>
        </w:rPr>
        <w:t>猪龙河</w:t>
      </w:r>
      <w:r>
        <w:rPr>
          <w:color w:val="auto"/>
        </w:rPr>
        <w:t>。</w:t>
      </w:r>
    </w:p>
    <w:p>
      <w:pPr>
        <w:pStyle w:val="9"/>
        <w:spacing w:before="0" w:beforeLines="0" w:after="0" w:afterLines="0"/>
        <w:rPr>
          <w:color w:val="auto"/>
        </w:rPr>
      </w:pPr>
      <w:r>
        <w:rPr>
          <w:rFonts w:hint="eastAsia"/>
          <w:color w:val="auto"/>
        </w:rPr>
        <w:t>5</w:t>
      </w:r>
      <w:r>
        <w:rPr>
          <w:color w:val="auto"/>
        </w:rPr>
        <w:t>.2.2地表水环境影响评价</w:t>
      </w:r>
    </w:p>
    <w:p>
      <w:pPr>
        <w:ind w:firstLine="480"/>
        <w:rPr>
          <w:color w:val="auto"/>
        </w:rPr>
      </w:pPr>
      <w:r>
        <w:rPr>
          <w:color w:val="auto"/>
        </w:rPr>
        <w:t>1、项目排水对</w:t>
      </w:r>
      <w:r>
        <w:rPr>
          <w:rFonts w:hint="eastAsia"/>
          <w:color w:val="auto"/>
        </w:rPr>
        <w:t>光大水务（淄博）有限公司水质净化</w:t>
      </w:r>
      <w:r>
        <w:rPr>
          <w:rFonts w:hint="eastAsia"/>
          <w:color w:val="auto"/>
          <w:lang w:eastAsia="zh-CN"/>
        </w:rPr>
        <w:t>三分厂</w:t>
      </w:r>
      <w:r>
        <w:rPr>
          <w:color w:val="auto"/>
        </w:rPr>
        <w:t>的影响</w:t>
      </w:r>
    </w:p>
    <w:p>
      <w:pPr>
        <w:pStyle w:val="2"/>
        <w:spacing w:after="0"/>
        <w:ind w:firstLine="480"/>
        <w:rPr>
          <w:color w:val="auto"/>
        </w:rPr>
      </w:pPr>
      <w:r>
        <w:rPr>
          <w:rFonts w:hint="default" w:ascii="Times New Roman" w:hAnsi="Times New Roman" w:cs="Times New Roman"/>
          <w:color w:val="auto"/>
          <w:kern w:val="0"/>
          <w:sz w:val="24"/>
          <w:szCs w:val="24"/>
        </w:rPr>
        <w:t>光大水务（淄博）水质净化三分厂位于淄博市高新技术产业开发区北侧，果里镇韩庙村东北约150m处，西侧靠近猪龙河，</w:t>
      </w:r>
      <w:r>
        <w:rPr>
          <w:rFonts w:hint="default" w:ascii="Times New Roman" w:hAnsi="Times New Roman" w:cs="Times New Roman"/>
          <w:color w:val="auto"/>
          <w:kern w:val="0"/>
          <w:sz w:val="24"/>
          <w:szCs w:val="24"/>
          <w:lang w:eastAsia="zh-CN"/>
        </w:rPr>
        <w:t>厂区</w:t>
      </w:r>
      <w:r>
        <w:rPr>
          <w:rFonts w:hint="default" w:ascii="Times New Roman" w:hAnsi="Times New Roman" w:cs="Times New Roman"/>
          <w:color w:val="auto"/>
          <w:kern w:val="0"/>
          <w:sz w:val="24"/>
          <w:szCs w:val="24"/>
        </w:rPr>
        <w:t>占地150亩</w:t>
      </w:r>
      <w:r>
        <w:rPr>
          <w:rFonts w:hint="default" w:ascii="Times New Roman" w:hAnsi="Times New Roman" w:cs="Times New Roman"/>
          <w:color w:val="auto"/>
          <w:kern w:val="0"/>
          <w:sz w:val="24"/>
          <w:szCs w:val="24"/>
          <w:lang w:eastAsia="zh-CN"/>
        </w:rPr>
        <w:t>，</w:t>
      </w:r>
      <w:r>
        <w:rPr>
          <w:rFonts w:hint="default" w:ascii="Times New Roman" w:hAnsi="Times New Roman" w:cs="Times New Roman"/>
          <w:bCs/>
          <w:color w:val="auto"/>
          <w:sz w:val="24"/>
        </w:rPr>
        <w:t>服务面积</w:t>
      </w:r>
      <w:r>
        <w:rPr>
          <w:rFonts w:hint="default" w:ascii="Times New Roman" w:hAnsi="Times New Roman" w:cs="Times New Roman"/>
          <w:bCs/>
          <w:color w:val="auto"/>
          <w:sz w:val="24"/>
          <w:lang w:val="en-US" w:eastAsia="zh-CN"/>
        </w:rPr>
        <w:t>100余</w:t>
      </w:r>
      <w:r>
        <w:rPr>
          <w:rFonts w:hint="default" w:ascii="Times New Roman" w:hAnsi="Times New Roman" w:cs="Times New Roman"/>
          <w:bCs/>
          <w:color w:val="auto"/>
          <w:sz w:val="24"/>
        </w:rPr>
        <w:t>平方公里，服务人口16万人，</w:t>
      </w:r>
      <w:r>
        <w:rPr>
          <w:rFonts w:hint="default" w:ascii="Times New Roman" w:hAnsi="Times New Roman" w:cs="Times New Roman"/>
          <w:color w:val="auto"/>
          <w:kern w:val="0"/>
          <w:sz w:val="24"/>
          <w:szCs w:val="24"/>
        </w:rPr>
        <w:t>主要处理淄博高新区北部工业区、张店东部化工区、民营工业园区、傅山工业园等</w:t>
      </w:r>
      <w:r>
        <w:rPr>
          <w:rFonts w:hint="default" w:ascii="Times New Roman" w:hAnsi="Times New Roman" w:cs="Times New Roman"/>
          <w:color w:val="auto"/>
          <w:kern w:val="0"/>
          <w:sz w:val="24"/>
          <w:szCs w:val="24"/>
          <w:lang w:eastAsia="zh-CN"/>
        </w:rPr>
        <w:t>区域产生的工业废水、生活污水；</w:t>
      </w:r>
      <w:r>
        <w:rPr>
          <w:rFonts w:hint="default" w:ascii="Times New Roman" w:hAnsi="Times New Roman" w:cs="Times New Roman"/>
          <w:color w:val="auto"/>
          <w:kern w:val="0"/>
          <w:sz w:val="24"/>
          <w:szCs w:val="24"/>
        </w:rPr>
        <w:t>该工程于2006年10月开工建设，2008年2月18日投入试运行，设计处理污水规模10万m</w:t>
      </w:r>
      <w:r>
        <w:rPr>
          <w:rFonts w:hint="default" w:ascii="Times New Roman" w:hAnsi="Times New Roman" w:cs="Times New Roman"/>
          <w:color w:val="auto"/>
          <w:kern w:val="0"/>
          <w:sz w:val="24"/>
          <w:szCs w:val="24"/>
          <w:vertAlign w:val="superscript"/>
        </w:rPr>
        <w:t>3</w:t>
      </w:r>
      <w:r>
        <w:rPr>
          <w:rFonts w:hint="default" w:ascii="Times New Roman" w:hAnsi="Times New Roman" w:cs="Times New Roman"/>
          <w:color w:val="auto"/>
          <w:kern w:val="0"/>
          <w:sz w:val="24"/>
          <w:szCs w:val="24"/>
        </w:rPr>
        <w:t>/d，采用</w:t>
      </w:r>
      <w:r>
        <w:rPr>
          <w:rFonts w:hint="default" w:ascii="Times New Roman" w:hAnsi="Times New Roman" w:cs="Times New Roman"/>
          <w:color w:val="auto"/>
          <w:kern w:val="0"/>
          <w:sz w:val="24"/>
          <w:szCs w:val="24"/>
          <w:lang w:eastAsia="zh-CN"/>
        </w:rPr>
        <w:t>“</w:t>
      </w:r>
      <w:r>
        <w:rPr>
          <w:rFonts w:hint="default" w:ascii="Times New Roman" w:hAnsi="Times New Roman" w:cs="Times New Roman"/>
          <w:color w:val="auto"/>
          <w:kern w:val="0"/>
          <w:sz w:val="24"/>
          <w:szCs w:val="24"/>
        </w:rPr>
        <w:t>初沉池+A</w:t>
      </w:r>
      <w:r>
        <w:rPr>
          <w:rFonts w:hint="default" w:ascii="Times New Roman" w:hAnsi="Times New Roman" w:cs="Times New Roman"/>
          <w:color w:val="auto"/>
          <w:kern w:val="0"/>
          <w:sz w:val="24"/>
          <w:szCs w:val="24"/>
          <w:vertAlign w:val="superscript"/>
        </w:rPr>
        <w:t>2</w:t>
      </w:r>
      <w:r>
        <w:rPr>
          <w:rFonts w:hint="default" w:ascii="Times New Roman" w:hAnsi="Times New Roman" w:cs="Times New Roman"/>
          <w:color w:val="auto"/>
          <w:kern w:val="0"/>
          <w:sz w:val="24"/>
          <w:szCs w:val="24"/>
        </w:rPr>
        <w:t>O生化池+深度处理</w:t>
      </w:r>
      <w:r>
        <w:rPr>
          <w:rFonts w:hint="default" w:ascii="Times New Roman" w:hAnsi="Times New Roman" w:cs="Times New Roman"/>
          <w:color w:val="auto"/>
          <w:kern w:val="0"/>
          <w:sz w:val="24"/>
          <w:szCs w:val="24"/>
          <w:lang w:eastAsia="zh-CN"/>
        </w:rPr>
        <w:t>”</w:t>
      </w:r>
      <w:r>
        <w:rPr>
          <w:rFonts w:hint="default" w:ascii="Times New Roman" w:hAnsi="Times New Roman" w:cs="Times New Roman"/>
          <w:color w:val="auto"/>
          <w:kern w:val="0"/>
          <w:sz w:val="24"/>
          <w:szCs w:val="24"/>
        </w:rPr>
        <w:t>工艺，2008年4月22日通过环保验收，总出水达到《城镇污水处理厂污染物排放标准》（ GB18918</w:t>
      </w:r>
      <w:r>
        <w:rPr>
          <w:rFonts w:hint="default" w:ascii="Times New Roman" w:hAnsi="Times New Roman" w:cs="Times New Roman"/>
          <w:color w:val="auto"/>
          <w:kern w:val="0"/>
          <w:sz w:val="24"/>
          <w:szCs w:val="24"/>
          <w:lang w:val="en-US" w:eastAsia="zh-CN"/>
        </w:rPr>
        <w:t>-</w:t>
      </w:r>
      <w:r>
        <w:rPr>
          <w:rFonts w:hint="default" w:ascii="Times New Roman" w:hAnsi="Times New Roman" w:cs="Times New Roman"/>
          <w:color w:val="auto"/>
          <w:kern w:val="0"/>
          <w:sz w:val="24"/>
          <w:szCs w:val="24"/>
        </w:rPr>
        <w:t>2002）中的一级A类排放标准</w:t>
      </w:r>
      <w:r>
        <w:rPr>
          <w:color w:val="auto"/>
        </w:rPr>
        <w:t>，尾水排入猪龙河。</w:t>
      </w:r>
    </w:p>
    <w:p>
      <w:pPr>
        <w:ind w:firstLine="480"/>
        <w:rPr>
          <w:color w:val="auto"/>
        </w:rPr>
      </w:pPr>
      <w:r>
        <w:rPr>
          <w:rFonts w:hint="eastAsia"/>
          <w:color w:val="auto"/>
          <w:szCs w:val="24"/>
        </w:rPr>
        <w:t>本项目建成后，最大排放污水量为8.94</w:t>
      </w:r>
      <w:r>
        <w:rPr>
          <w:color w:val="auto"/>
        </w:rPr>
        <w:t>m</w:t>
      </w:r>
      <w:r>
        <w:rPr>
          <w:color w:val="auto"/>
          <w:vertAlign w:val="superscript"/>
        </w:rPr>
        <w:t>3</w:t>
      </w:r>
      <w:r>
        <w:rPr>
          <w:color w:val="auto"/>
        </w:rPr>
        <w:t>/d</w:t>
      </w:r>
      <w:r>
        <w:rPr>
          <w:rFonts w:hint="eastAsia"/>
          <w:color w:val="auto"/>
        </w:rPr>
        <w:t>，</w:t>
      </w:r>
      <w:r>
        <w:rPr>
          <w:color w:val="auto"/>
        </w:rPr>
        <w:t>对污水处理厂水量冲击较小。项目外排污水主要是循环冷却系统排水</w:t>
      </w:r>
      <w:r>
        <w:rPr>
          <w:rFonts w:hint="eastAsia"/>
          <w:color w:val="auto"/>
        </w:rPr>
        <w:t>、</w:t>
      </w:r>
      <w:r>
        <w:rPr>
          <w:color w:val="auto"/>
        </w:rPr>
        <w:t>化验室排水</w:t>
      </w:r>
      <w:r>
        <w:rPr>
          <w:rFonts w:hint="eastAsia"/>
          <w:color w:val="auto"/>
        </w:rPr>
        <w:t>、</w:t>
      </w:r>
      <w:r>
        <w:rPr>
          <w:color w:val="auto"/>
          <w:szCs w:val="22"/>
        </w:rPr>
        <w:t>喷淋塔排水</w:t>
      </w:r>
      <w:r>
        <w:rPr>
          <w:rFonts w:hint="eastAsia"/>
          <w:color w:val="auto"/>
          <w:szCs w:val="22"/>
        </w:rPr>
        <w:t>、</w:t>
      </w:r>
      <w:r>
        <w:rPr>
          <w:color w:val="auto"/>
        </w:rPr>
        <w:t>地面清洗废水</w:t>
      </w:r>
      <w:r>
        <w:rPr>
          <w:rFonts w:hint="eastAsia"/>
          <w:color w:val="auto"/>
        </w:rPr>
        <w:t>、生产废水以及生活污水，</w:t>
      </w:r>
      <w:r>
        <w:rPr>
          <w:color w:val="auto"/>
        </w:rPr>
        <w:t>污染物主要为COD、氨氮、pH等，排放浓度均满足</w:t>
      </w:r>
      <w:r>
        <w:rPr>
          <w:rFonts w:hint="eastAsia"/>
          <w:color w:val="auto"/>
          <w:lang w:val="en-US" w:eastAsia="zh-CN"/>
        </w:rPr>
        <w:t>《污水综合排放标准》（GB8978-1996）三级标准及光大水务（淄博）有限公司水质净化三分厂纳管水质要求</w:t>
      </w:r>
      <w:r>
        <w:rPr>
          <w:color w:val="auto"/>
        </w:rPr>
        <w:t>，符合污水厂水质接纳要求</w:t>
      </w:r>
      <w:r>
        <w:rPr>
          <w:rFonts w:hint="eastAsia"/>
          <w:color w:val="auto"/>
        </w:rPr>
        <w:t>。</w:t>
      </w:r>
    </w:p>
    <w:p>
      <w:pPr>
        <w:ind w:firstLine="0" w:firstLineChars="0"/>
        <w:jc w:val="center"/>
        <w:rPr>
          <w:rFonts w:eastAsia="黑体"/>
          <w:color w:val="auto"/>
          <w:sz w:val="21"/>
          <w:szCs w:val="16"/>
        </w:rPr>
      </w:pPr>
    </w:p>
    <w:p>
      <w:pPr>
        <w:ind w:firstLine="0" w:firstLineChars="0"/>
        <w:jc w:val="center"/>
        <w:rPr>
          <w:rFonts w:eastAsia="黑体"/>
          <w:color w:val="auto"/>
          <w:sz w:val="21"/>
          <w:szCs w:val="16"/>
        </w:rPr>
      </w:pPr>
    </w:p>
    <w:p>
      <w:pPr>
        <w:ind w:firstLine="0" w:firstLineChars="0"/>
        <w:jc w:val="center"/>
        <w:rPr>
          <w:rFonts w:eastAsia="黑体"/>
          <w:color w:val="auto"/>
          <w:sz w:val="21"/>
          <w:szCs w:val="16"/>
        </w:rPr>
      </w:pPr>
      <w:r>
        <w:rPr>
          <w:rFonts w:eastAsia="黑体"/>
          <w:color w:val="auto"/>
          <w:sz w:val="21"/>
          <w:szCs w:val="16"/>
        </w:rPr>
        <w:t>表</w:t>
      </w:r>
      <w:r>
        <w:rPr>
          <w:rFonts w:hint="eastAsia" w:eastAsia="黑体"/>
          <w:color w:val="auto"/>
          <w:sz w:val="21"/>
          <w:szCs w:val="16"/>
        </w:rPr>
        <w:t>5</w:t>
      </w:r>
      <w:r>
        <w:rPr>
          <w:rFonts w:eastAsia="黑体"/>
          <w:color w:val="auto"/>
          <w:sz w:val="21"/>
          <w:szCs w:val="16"/>
        </w:rPr>
        <w:t xml:space="preserve">.2-2  </w:t>
      </w:r>
      <w:r>
        <w:rPr>
          <w:rFonts w:hint="eastAsia" w:eastAsia="黑体"/>
          <w:color w:val="auto"/>
          <w:sz w:val="21"/>
          <w:szCs w:val="16"/>
        </w:rPr>
        <w:t>光大水务（淄博）有限公司水质净化</w:t>
      </w:r>
      <w:r>
        <w:rPr>
          <w:rFonts w:hint="eastAsia" w:eastAsia="黑体"/>
          <w:color w:val="auto"/>
          <w:sz w:val="21"/>
          <w:szCs w:val="16"/>
          <w:lang w:eastAsia="zh-CN"/>
        </w:rPr>
        <w:t>三分厂</w:t>
      </w:r>
      <w:r>
        <w:rPr>
          <w:rFonts w:eastAsia="黑体"/>
          <w:color w:val="auto"/>
          <w:sz w:val="21"/>
          <w:szCs w:val="16"/>
        </w:rPr>
        <w:t>监测数据（</w:t>
      </w:r>
      <w:r>
        <w:rPr>
          <w:rFonts w:hint="eastAsia" w:eastAsia="黑体"/>
          <w:color w:val="auto"/>
          <w:sz w:val="21"/>
          <w:szCs w:val="16"/>
        </w:rPr>
        <w:t>月度均值</w:t>
      </w:r>
      <w:r>
        <w:rPr>
          <w:rFonts w:eastAsia="黑体"/>
          <w:color w:val="auto"/>
          <w:sz w:val="21"/>
          <w:szCs w:val="16"/>
        </w:rPr>
        <w:t>统计）</w:t>
      </w:r>
    </w:p>
    <w:tbl>
      <w:tblPr>
        <w:tblStyle w:val="2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95"/>
        <w:gridCol w:w="1330"/>
        <w:gridCol w:w="1414"/>
        <w:gridCol w:w="1547"/>
        <w:gridCol w:w="1547"/>
        <w:gridCol w:w="15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trPr>
        <w:tc>
          <w:tcPr>
            <w:tcW w:w="1020" w:type="pct"/>
            <w:tcBorders>
              <w:top w:val="single" w:color="auto" w:sz="12" w:space="0"/>
              <w:left w:val="nil"/>
            </w:tcBorders>
            <w:vAlign w:val="center"/>
          </w:tcPr>
          <w:p>
            <w:pPr>
              <w:spacing w:line="312" w:lineRule="exact"/>
              <w:ind w:firstLine="0" w:firstLineChars="0"/>
              <w:jc w:val="center"/>
              <w:rPr>
                <w:color w:val="auto"/>
                <w:sz w:val="21"/>
                <w:szCs w:val="16"/>
              </w:rPr>
            </w:pPr>
            <w:r>
              <w:rPr>
                <w:color w:val="auto"/>
                <w:sz w:val="21"/>
                <w:szCs w:val="16"/>
              </w:rPr>
              <w:t>项目</w:t>
            </w:r>
          </w:p>
        </w:tc>
        <w:tc>
          <w:tcPr>
            <w:tcW w:w="716" w:type="pct"/>
            <w:tcBorders>
              <w:top w:val="single" w:color="auto" w:sz="12" w:space="0"/>
            </w:tcBorders>
            <w:vAlign w:val="center"/>
          </w:tcPr>
          <w:p>
            <w:pPr>
              <w:spacing w:line="312" w:lineRule="exact"/>
              <w:ind w:firstLine="0" w:firstLineChars="0"/>
              <w:jc w:val="center"/>
              <w:rPr>
                <w:color w:val="auto"/>
                <w:sz w:val="21"/>
                <w:szCs w:val="16"/>
              </w:rPr>
            </w:pPr>
            <w:r>
              <w:rPr>
                <w:color w:val="auto"/>
                <w:sz w:val="21"/>
                <w:szCs w:val="16"/>
              </w:rPr>
              <w:t>COD</w:t>
            </w:r>
          </w:p>
        </w:tc>
        <w:tc>
          <w:tcPr>
            <w:tcW w:w="761" w:type="pct"/>
            <w:tcBorders>
              <w:top w:val="single" w:color="auto" w:sz="12" w:space="0"/>
            </w:tcBorders>
            <w:vAlign w:val="center"/>
          </w:tcPr>
          <w:p>
            <w:pPr>
              <w:spacing w:line="312" w:lineRule="exact"/>
              <w:ind w:firstLine="0" w:firstLineChars="0"/>
              <w:jc w:val="center"/>
              <w:rPr>
                <w:color w:val="auto"/>
                <w:sz w:val="21"/>
                <w:szCs w:val="16"/>
              </w:rPr>
            </w:pPr>
            <w:r>
              <w:rPr>
                <w:color w:val="auto"/>
                <w:sz w:val="21"/>
                <w:szCs w:val="16"/>
              </w:rPr>
              <w:t>氨氮</w:t>
            </w:r>
          </w:p>
        </w:tc>
        <w:tc>
          <w:tcPr>
            <w:tcW w:w="833" w:type="pct"/>
            <w:tcBorders>
              <w:top w:val="single" w:color="auto" w:sz="12" w:space="0"/>
            </w:tcBorders>
            <w:vAlign w:val="center"/>
          </w:tcPr>
          <w:p>
            <w:pPr>
              <w:spacing w:line="312" w:lineRule="exact"/>
              <w:ind w:firstLine="0" w:firstLineChars="0"/>
              <w:jc w:val="center"/>
              <w:rPr>
                <w:color w:val="auto"/>
                <w:sz w:val="21"/>
                <w:szCs w:val="16"/>
              </w:rPr>
            </w:pPr>
            <w:r>
              <w:rPr>
                <w:color w:val="auto"/>
                <w:sz w:val="21"/>
                <w:szCs w:val="16"/>
              </w:rPr>
              <w:t>总磷</w:t>
            </w:r>
          </w:p>
        </w:tc>
        <w:tc>
          <w:tcPr>
            <w:tcW w:w="833" w:type="pct"/>
            <w:tcBorders>
              <w:top w:val="single" w:color="auto" w:sz="12" w:space="0"/>
              <w:right w:val="nil"/>
            </w:tcBorders>
            <w:vAlign w:val="center"/>
          </w:tcPr>
          <w:p>
            <w:pPr>
              <w:spacing w:line="312" w:lineRule="exact"/>
              <w:ind w:firstLine="0" w:firstLineChars="0"/>
              <w:jc w:val="center"/>
              <w:rPr>
                <w:color w:val="auto"/>
                <w:sz w:val="21"/>
                <w:szCs w:val="16"/>
              </w:rPr>
            </w:pPr>
            <w:r>
              <w:rPr>
                <w:color w:val="auto"/>
                <w:sz w:val="21"/>
                <w:szCs w:val="16"/>
              </w:rPr>
              <w:t>总氮</w:t>
            </w:r>
          </w:p>
        </w:tc>
        <w:tc>
          <w:tcPr>
            <w:tcW w:w="834" w:type="pct"/>
            <w:tcBorders>
              <w:top w:val="single" w:color="auto" w:sz="12" w:space="0"/>
              <w:right w:val="nil"/>
            </w:tcBorders>
            <w:vAlign w:val="center"/>
          </w:tcPr>
          <w:p>
            <w:pPr>
              <w:spacing w:line="312" w:lineRule="exact"/>
              <w:ind w:firstLine="0" w:firstLineChars="0"/>
              <w:jc w:val="center"/>
              <w:rPr>
                <w:color w:val="auto"/>
                <w:sz w:val="21"/>
                <w:szCs w:val="16"/>
              </w:rPr>
            </w:pPr>
            <w:r>
              <w:rPr>
                <w:color w:val="auto"/>
                <w:sz w:val="21"/>
                <w:szCs w:val="16"/>
              </w:rPr>
              <w:t>pH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tcBorders>
              <w:left w:val="nil"/>
            </w:tcBorders>
            <w:vAlign w:val="center"/>
          </w:tcPr>
          <w:p>
            <w:pPr>
              <w:spacing w:line="312" w:lineRule="exact"/>
              <w:ind w:firstLine="0" w:firstLineChars="0"/>
              <w:jc w:val="center"/>
              <w:rPr>
                <w:color w:val="auto"/>
                <w:sz w:val="21"/>
                <w:szCs w:val="16"/>
              </w:rPr>
            </w:pPr>
            <w:r>
              <w:rPr>
                <w:color w:val="auto"/>
                <w:sz w:val="21"/>
                <w:szCs w:val="16"/>
              </w:rPr>
              <w:t>202</w:t>
            </w:r>
            <w:r>
              <w:rPr>
                <w:rFonts w:hint="eastAsia"/>
                <w:color w:val="auto"/>
                <w:sz w:val="21"/>
                <w:szCs w:val="16"/>
              </w:rPr>
              <w:t>1年1月</w:t>
            </w:r>
          </w:p>
        </w:tc>
        <w:tc>
          <w:tcPr>
            <w:tcW w:w="1220" w:type="dxa"/>
            <w:vAlign w:val="center"/>
          </w:tcPr>
          <w:p>
            <w:pPr>
              <w:spacing w:line="312" w:lineRule="exact"/>
              <w:ind w:firstLine="0" w:firstLineChars="0"/>
              <w:jc w:val="center"/>
              <w:rPr>
                <w:color w:val="auto"/>
                <w:sz w:val="21"/>
                <w:szCs w:val="16"/>
              </w:rPr>
            </w:pPr>
            <w:r>
              <w:rPr>
                <w:rFonts w:hint="eastAsia"/>
                <w:color w:val="auto"/>
                <w:sz w:val="21"/>
                <w:szCs w:val="16"/>
              </w:rPr>
              <w:t>18.4</w:t>
            </w:r>
          </w:p>
        </w:tc>
        <w:tc>
          <w:tcPr>
            <w:tcW w:w="1297" w:type="dxa"/>
            <w:vAlign w:val="center"/>
          </w:tcPr>
          <w:p>
            <w:pPr>
              <w:spacing w:line="312" w:lineRule="exact"/>
              <w:ind w:firstLine="0" w:firstLineChars="0"/>
              <w:jc w:val="center"/>
              <w:rPr>
                <w:color w:val="auto"/>
                <w:sz w:val="21"/>
                <w:szCs w:val="16"/>
              </w:rPr>
            </w:pPr>
            <w:r>
              <w:rPr>
                <w:rFonts w:hint="eastAsia"/>
                <w:color w:val="auto"/>
                <w:sz w:val="21"/>
                <w:szCs w:val="16"/>
              </w:rPr>
              <w:t>0.0297</w:t>
            </w:r>
          </w:p>
        </w:tc>
        <w:tc>
          <w:tcPr>
            <w:tcW w:w="1420" w:type="dxa"/>
            <w:vAlign w:val="center"/>
          </w:tcPr>
          <w:p>
            <w:pPr>
              <w:spacing w:line="312" w:lineRule="exact"/>
              <w:ind w:firstLine="0" w:firstLineChars="0"/>
              <w:jc w:val="center"/>
              <w:rPr>
                <w:color w:val="auto"/>
                <w:sz w:val="21"/>
                <w:szCs w:val="16"/>
              </w:rPr>
            </w:pPr>
            <w:r>
              <w:rPr>
                <w:rFonts w:hint="eastAsia"/>
                <w:color w:val="auto"/>
                <w:sz w:val="21"/>
                <w:szCs w:val="16"/>
              </w:rPr>
              <w:t>0.027</w:t>
            </w:r>
          </w:p>
        </w:tc>
        <w:tc>
          <w:tcPr>
            <w:tcW w:w="1420"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10.9</w:t>
            </w:r>
          </w:p>
        </w:tc>
        <w:tc>
          <w:tcPr>
            <w:tcW w:w="1422"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tcBorders>
              <w:left w:val="nil"/>
            </w:tcBorders>
            <w:vAlign w:val="center"/>
          </w:tcPr>
          <w:p>
            <w:pPr>
              <w:spacing w:line="312" w:lineRule="exact"/>
              <w:ind w:firstLine="0" w:firstLineChars="0"/>
              <w:jc w:val="center"/>
              <w:rPr>
                <w:color w:val="auto"/>
                <w:sz w:val="21"/>
                <w:szCs w:val="16"/>
              </w:rPr>
            </w:pPr>
            <w:r>
              <w:rPr>
                <w:color w:val="auto"/>
                <w:sz w:val="21"/>
                <w:szCs w:val="16"/>
              </w:rPr>
              <w:t>202</w:t>
            </w:r>
            <w:r>
              <w:rPr>
                <w:rFonts w:hint="eastAsia"/>
                <w:color w:val="auto"/>
                <w:sz w:val="21"/>
                <w:szCs w:val="16"/>
              </w:rPr>
              <w:t>1年2月</w:t>
            </w:r>
          </w:p>
        </w:tc>
        <w:tc>
          <w:tcPr>
            <w:tcW w:w="1220" w:type="dxa"/>
            <w:vAlign w:val="center"/>
          </w:tcPr>
          <w:p>
            <w:pPr>
              <w:spacing w:line="312" w:lineRule="exact"/>
              <w:ind w:firstLine="0" w:firstLineChars="0"/>
              <w:jc w:val="center"/>
              <w:rPr>
                <w:color w:val="auto"/>
                <w:sz w:val="21"/>
                <w:szCs w:val="16"/>
              </w:rPr>
            </w:pPr>
            <w:r>
              <w:rPr>
                <w:rFonts w:hint="eastAsia"/>
                <w:color w:val="auto"/>
                <w:sz w:val="21"/>
                <w:szCs w:val="16"/>
              </w:rPr>
              <w:t>16.5</w:t>
            </w:r>
          </w:p>
        </w:tc>
        <w:tc>
          <w:tcPr>
            <w:tcW w:w="1297" w:type="dxa"/>
            <w:vAlign w:val="center"/>
          </w:tcPr>
          <w:p>
            <w:pPr>
              <w:spacing w:line="312" w:lineRule="exact"/>
              <w:ind w:firstLine="0" w:firstLineChars="0"/>
              <w:jc w:val="center"/>
              <w:rPr>
                <w:color w:val="auto"/>
                <w:sz w:val="21"/>
                <w:szCs w:val="16"/>
              </w:rPr>
            </w:pPr>
            <w:r>
              <w:rPr>
                <w:rFonts w:hint="eastAsia"/>
                <w:color w:val="auto"/>
                <w:sz w:val="21"/>
                <w:szCs w:val="16"/>
              </w:rPr>
              <w:t>0.0339</w:t>
            </w:r>
          </w:p>
        </w:tc>
        <w:tc>
          <w:tcPr>
            <w:tcW w:w="1420" w:type="dxa"/>
            <w:vAlign w:val="center"/>
          </w:tcPr>
          <w:p>
            <w:pPr>
              <w:spacing w:line="312" w:lineRule="exact"/>
              <w:ind w:firstLine="0" w:firstLineChars="0"/>
              <w:jc w:val="center"/>
              <w:rPr>
                <w:color w:val="auto"/>
                <w:sz w:val="21"/>
                <w:szCs w:val="16"/>
              </w:rPr>
            </w:pPr>
            <w:r>
              <w:rPr>
                <w:rFonts w:hint="eastAsia"/>
                <w:color w:val="auto"/>
                <w:sz w:val="21"/>
                <w:szCs w:val="16"/>
              </w:rPr>
              <w:t>0.03</w:t>
            </w:r>
          </w:p>
        </w:tc>
        <w:tc>
          <w:tcPr>
            <w:tcW w:w="1420"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11.6</w:t>
            </w:r>
          </w:p>
        </w:tc>
        <w:tc>
          <w:tcPr>
            <w:tcW w:w="1422"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tcBorders>
              <w:left w:val="nil"/>
            </w:tcBorders>
            <w:vAlign w:val="center"/>
          </w:tcPr>
          <w:p>
            <w:pPr>
              <w:spacing w:line="312" w:lineRule="exact"/>
              <w:ind w:firstLine="0" w:firstLineChars="0"/>
              <w:jc w:val="center"/>
              <w:rPr>
                <w:color w:val="auto"/>
                <w:sz w:val="21"/>
                <w:szCs w:val="16"/>
              </w:rPr>
            </w:pPr>
            <w:r>
              <w:rPr>
                <w:color w:val="auto"/>
                <w:sz w:val="21"/>
                <w:szCs w:val="16"/>
              </w:rPr>
              <w:t>202</w:t>
            </w:r>
            <w:r>
              <w:rPr>
                <w:rFonts w:hint="eastAsia"/>
                <w:color w:val="auto"/>
                <w:sz w:val="21"/>
                <w:szCs w:val="16"/>
              </w:rPr>
              <w:t>1年3月</w:t>
            </w:r>
          </w:p>
        </w:tc>
        <w:tc>
          <w:tcPr>
            <w:tcW w:w="1220" w:type="dxa"/>
            <w:vAlign w:val="center"/>
          </w:tcPr>
          <w:p>
            <w:pPr>
              <w:spacing w:line="312" w:lineRule="exact"/>
              <w:ind w:firstLine="0" w:firstLineChars="0"/>
              <w:jc w:val="center"/>
              <w:rPr>
                <w:color w:val="auto"/>
                <w:sz w:val="21"/>
                <w:szCs w:val="16"/>
              </w:rPr>
            </w:pPr>
            <w:r>
              <w:rPr>
                <w:rFonts w:hint="eastAsia"/>
                <w:color w:val="auto"/>
                <w:sz w:val="21"/>
                <w:szCs w:val="16"/>
              </w:rPr>
              <w:t>18</w:t>
            </w:r>
          </w:p>
        </w:tc>
        <w:tc>
          <w:tcPr>
            <w:tcW w:w="1297" w:type="dxa"/>
            <w:vAlign w:val="center"/>
          </w:tcPr>
          <w:p>
            <w:pPr>
              <w:spacing w:line="312" w:lineRule="exact"/>
              <w:ind w:firstLine="0" w:firstLineChars="0"/>
              <w:jc w:val="center"/>
              <w:rPr>
                <w:color w:val="auto"/>
                <w:sz w:val="21"/>
                <w:szCs w:val="16"/>
              </w:rPr>
            </w:pPr>
            <w:r>
              <w:rPr>
                <w:rFonts w:hint="eastAsia"/>
                <w:color w:val="auto"/>
                <w:sz w:val="21"/>
                <w:szCs w:val="16"/>
              </w:rPr>
              <w:t>0.0367</w:t>
            </w:r>
          </w:p>
        </w:tc>
        <w:tc>
          <w:tcPr>
            <w:tcW w:w="1420" w:type="dxa"/>
            <w:vAlign w:val="center"/>
          </w:tcPr>
          <w:p>
            <w:pPr>
              <w:spacing w:line="312" w:lineRule="exact"/>
              <w:ind w:firstLine="0" w:firstLineChars="0"/>
              <w:jc w:val="center"/>
              <w:rPr>
                <w:color w:val="auto"/>
                <w:sz w:val="21"/>
                <w:szCs w:val="16"/>
              </w:rPr>
            </w:pPr>
            <w:r>
              <w:rPr>
                <w:rFonts w:hint="eastAsia"/>
                <w:color w:val="auto"/>
                <w:sz w:val="21"/>
                <w:szCs w:val="16"/>
              </w:rPr>
              <w:t>0.0361</w:t>
            </w:r>
          </w:p>
        </w:tc>
        <w:tc>
          <w:tcPr>
            <w:tcW w:w="1420"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11.9</w:t>
            </w:r>
          </w:p>
        </w:tc>
        <w:tc>
          <w:tcPr>
            <w:tcW w:w="1422"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7.08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tcBorders>
              <w:left w:val="nil"/>
            </w:tcBorders>
            <w:vAlign w:val="center"/>
          </w:tcPr>
          <w:p>
            <w:pPr>
              <w:spacing w:line="312" w:lineRule="exact"/>
              <w:ind w:firstLine="0" w:firstLineChars="0"/>
              <w:jc w:val="center"/>
              <w:rPr>
                <w:color w:val="auto"/>
                <w:sz w:val="21"/>
                <w:szCs w:val="16"/>
              </w:rPr>
            </w:pPr>
            <w:r>
              <w:rPr>
                <w:color w:val="auto"/>
                <w:sz w:val="21"/>
                <w:szCs w:val="16"/>
              </w:rPr>
              <w:t>202</w:t>
            </w:r>
            <w:r>
              <w:rPr>
                <w:rFonts w:hint="eastAsia"/>
                <w:color w:val="auto"/>
                <w:sz w:val="21"/>
                <w:szCs w:val="16"/>
              </w:rPr>
              <w:t>1年4月</w:t>
            </w:r>
          </w:p>
        </w:tc>
        <w:tc>
          <w:tcPr>
            <w:tcW w:w="1220" w:type="dxa"/>
            <w:vAlign w:val="center"/>
          </w:tcPr>
          <w:p>
            <w:pPr>
              <w:spacing w:line="312" w:lineRule="exact"/>
              <w:ind w:firstLine="0" w:firstLineChars="0"/>
              <w:jc w:val="center"/>
              <w:rPr>
                <w:color w:val="auto"/>
                <w:sz w:val="21"/>
                <w:szCs w:val="16"/>
              </w:rPr>
            </w:pPr>
            <w:r>
              <w:rPr>
                <w:rFonts w:hint="eastAsia"/>
                <w:color w:val="auto"/>
                <w:sz w:val="21"/>
                <w:szCs w:val="16"/>
              </w:rPr>
              <w:t>17.9</w:t>
            </w:r>
          </w:p>
        </w:tc>
        <w:tc>
          <w:tcPr>
            <w:tcW w:w="1297" w:type="dxa"/>
            <w:vAlign w:val="center"/>
          </w:tcPr>
          <w:p>
            <w:pPr>
              <w:spacing w:line="312" w:lineRule="exact"/>
              <w:ind w:firstLine="0" w:firstLineChars="0"/>
              <w:jc w:val="center"/>
              <w:rPr>
                <w:color w:val="auto"/>
                <w:sz w:val="21"/>
                <w:szCs w:val="16"/>
              </w:rPr>
            </w:pPr>
            <w:r>
              <w:rPr>
                <w:rFonts w:hint="eastAsia"/>
                <w:color w:val="auto"/>
                <w:sz w:val="21"/>
                <w:szCs w:val="16"/>
              </w:rPr>
              <w:t>0.0261</w:t>
            </w:r>
          </w:p>
        </w:tc>
        <w:tc>
          <w:tcPr>
            <w:tcW w:w="1420" w:type="dxa"/>
            <w:vAlign w:val="center"/>
          </w:tcPr>
          <w:p>
            <w:pPr>
              <w:spacing w:line="312" w:lineRule="exact"/>
              <w:ind w:firstLine="0" w:firstLineChars="0"/>
              <w:jc w:val="center"/>
              <w:rPr>
                <w:color w:val="auto"/>
                <w:sz w:val="21"/>
                <w:szCs w:val="16"/>
              </w:rPr>
            </w:pPr>
            <w:r>
              <w:rPr>
                <w:rFonts w:hint="eastAsia"/>
                <w:color w:val="auto"/>
                <w:sz w:val="21"/>
                <w:szCs w:val="16"/>
              </w:rPr>
              <w:t>0.0315</w:t>
            </w:r>
          </w:p>
        </w:tc>
        <w:tc>
          <w:tcPr>
            <w:tcW w:w="1420"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11.6</w:t>
            </w:r>
          </w:p>
        </w:tc>
        <w:tc>
          <w:tcPr>
            <w:tcW w:w="1422"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6.99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tcBorders>
              <w:left w:val="nil"/>
            </w:tcBorders>
            <w:vAlign w:val="center"/>
          </w:tcPr>
          <w:p>
            <w:pPr>
              <w:spacing w:line="312" w:lineRule="exact"/>
              <w:ind w:firstLine="0" w:firstLineChars="0"/>
              <w:jc w:val="center"/>
              <w:rPr>
                <w:color w:val="auto"/>
                <w:sz w:val="21"/>
                <w:szCs w:val="16"/>
              </w:rPr>
            </w:pPr>
            <w:r>
              <w:rPr>
                <w:color w:val="auto"/>
                <w:sz w:val="21"/>
                <w:szCs w:val="16"/>
              </w:rPr>
              <w:t>202</w:t>
            </w:r>
            <w:r>
              <w:rPr>
                <w:rFonts w:hint="eastAsia"/>
                <w:color w:val="auto"/>
                <w:sz w:val="21"/>
                <w:szCs w:val="16"/>
              </w:rPr>
              <w:t>1年5月</w:t>
            </w:r>
          </w:p>
        </w:tc>
        <w:tc>
          <w:tcPr>
            <w:tcW w:w="1220" w:type="dxa"/>
            <w:vAlign w:val="center"/>
          </w:tcPr>
          <w:p>
            <w:pPr>
              <w:spacing w:line="312" w:lineRule="exact"/>
              <w:ind w:firstLine="0" w:firstLineChars="0"/>
              <w:jc w:val="center"/>
              <w:rPr>
                <w:color w:val="auto"/>
                <w:sz w:val="21"/>
                <w:szCs w:val="16"/>
              </w:rPr>
            </w:pPr>
            <w:r>
              <w:rPr>
                <w:rFonts w:hint="eastAsia"/>
                <w:color w:val="auto"/>
                <w:sz w:val="21"/>
                <w:szCs w:val="16"/>
              </w:rPr>
              <w:t>19.2</w:t>
            </w:r>
          </w:p>
        </w:tc>
        <w:tc>
          <w:tcPr>
            <w:tcW w:w="1297" w:type="dxa"/>
            <w:vAlign w:val="center"/>
          </w:tcPr>
          <w:p>
            <w:pPr>
              <w:spacing w:line="312" w:lineRule="exact"/>
              <w:ind w:firstLine="0" w:firstLineChars="0"/>
              <w:jc w:val="center"/>
              <w:rPr>
                <w:color w:val="auto"/>
                <w:sz w:val="21"/>
                <w:szCs w:val="16"/>
              </w:rPr>
            </w:pPr>
            <w:r>
              <w:rPr>
                <w:rFonts w:hint="eastAsia"/>
                <w:color w:val="auto"/>
                <w:sz w:val="21"/>
                <w:szCs w:val="16"/>
              </w:rPr>
              <w:t>0.0292</w:t>
            </w:r>
          </w:p>
        </w:tc>
        <w:tc>
          <w:tcPr>
            <w:tcW w:w="1420" w:type="dxa"/>
            <w:vAlign w:val="center"/>
          </w:tcPr>
          <w:p>
            <w:pPr>
              <w:spacing w:line="312" w:lineRule="exact"/>
              <w:ind w:firstLine="0" w:firstLineChars="0"/>
              <w:jc w:val="center"/>
              <w:rPr>
                <w:color w:val="auto"/>
                <w:sz w:val="21"/>
                <w:szCs w:val="16"/>
              </w:rPr>
            </w:pPr>
            <w:r>
              <w:rPr>
                <w:rFonts w:hint="eastAsia"/>
                <w:color w:val="auto"/>
                <w:sz w:val="21"/>
                <w:szCs w:val="16"/>
              </w:rPr>
              <w:t>0.0338</w:t>
            </w:r>
          </w:p>
        </w:tc>
        <w:tc>
          <w:tcPr>
            <w:tcW w:w="1420"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11.3</w:t>
            </w:r>
          </w:p>
        </w:tc>
        <w:tc>
          <w:tcPr>
            <w:tcW w:w="1422"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7.15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tcBorders>
              <w:left w:val="nil"/>
            </w:tcBorders>
            <w:vAlign w:val="center"/>
          </w:tcPr>
          <w:p>
            <w:pPr>
              <w:spacing w:line="312" w:lineRule="exact"/>
              <w:ind w:firstLine="0" w:firstLineChars="0"/>
              <w:jc w:val="center"/>
              <w:rPr>
                <w:color w:val="auto"/>
                <w:sz w:val="21"/>
                <w:szCs w:val="16"/>
              </w:rPr>
            </w:pPr>
            <w:r>
              <w:rPr>
                <w:color w:val="auto"/>
                <w:sz w:val="21"/>
                <w:szCs w:val="16"/>
              </w:rPr>
              <w:t>202</w:t>
            </w:r>
            <w:r>
              <w:rPr>
                <w:rFonts w:hint="eastAsia"/>
                <w:color w:val="auto"/>
                <w:sz w:val="21"/>
                <w:szCs w:val="16"/>
              </w:rPr>
              <w:t>1年6月</w:t>
            </w:r>
          </w:p>
        </w:tc>
        <w:tc>
          <w:tcPr>
            <w:tcW w:w="1220" w:type="dxa"/>
            <w:vAlign w:val="center"/>
          </w:tcPr>
          <w:p>
            <w:pPr>
              <w:spacing w:line="312" w:lineRule="exact"/>
              <w:ind w:firstLine="0" w:firstLineChars="0"/>
              <w:jc w:val="center"/>
              <w:rPr>
                <w:color w:val="auto"/>
                <w:sz w:val="21"/>
                <w:szCs w:val="16"/>
              </w:rPr>
            </w:pPr>
            <w:r>
              <w:rPr>
                <w:rFonts w:hint="eastAsia"/>
                <w:color w:val="auto"/>
                <w:sz w:val="21"/>
                <w:szCs w:val="16"/>
              </w:rPr>
              <w:t>16.6</w:t>
            </w:r>
          </w:p>
        </w:tc>
        <w:tc>
          <w:tcPr>
            <w:tcW w:w="1297" w:type="dxa"/>
            <w:vAlign w:val="center"/>
          </w:tcPr>
          <w:p>
            <w:pPr>
              <w:spacing w:line="312" w:lineRule="exact"/>
              <w:ind w:firstLine="0" w:firstLineChars="0"/>
              <w:jc w:val="center"/>
              <w:rPr>
                <w:color w:val="auto"/>
                <w:sz w:val="21"/>
                <w:szCs w:val="16"/>
              </w:rPr>
            </w:pPr>
            <w:r>
              <w:rPr>
                <w:rFonts w:hint="eastAsia"/>
                <w:color w:val="auto"/>
                <w:sz w:val="21"/>
                <w:szCs w:val="16"/>
              </w:rPr>
              <w:t>0.107</w:t>
            </w:r>
          </w:p>
        </w:tc>
        <w:tc>
          <w:tcPr>
            <w:tcW w:w="1420" w:type="dxa"/>
            <w:vAlign w:val="center"/>
          </w:tcPr>
          <w:p>
            <w:pPr>
              <w:spacing w:line="312" w:lineRule="exact"/>
              <w:ind w:firstLine="0" w:firstLineChars="0"/>
              <w:jc w:val="center"/>
              <w:rPr>
                <w:color w:val="auto"/>
                <w:sz w:val="21"/>
                <w:szCs w:val="16"/>
              </w:rPr>
            </w:pPr>
            <w:r>
              <w:rPr>
                <w:rFonts w:hint="eastAsia"/>
                <w:color w:val="auto"/>
                <w:sz w:val="21"/>
                <w:szCs w:val="16"/>
              </w:rPr>
              <w:t>0.0326</w:t>
            </w:r>
          </w:p>
        </w:tc>
        <w:tc>
          <w:tcPr>
            <w:tcW w:w="1420"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9.54</w:t>
            </w:r>
          </w:p>
        </w:tc>
        <w:tc>
          <w:tcPr>
            <w:tcW w:w="1422"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6.92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tcBorders>
              <w:left w:val="nil"/>
            </w:tcBorders>
            <w:vAlign w:val="center"/>
          </w:tcPr>
          <w:p>
            <w:pPr>
              <w:spacing w:line="312" w:lineRule="exact"/>
              <w:ind w:firstLine="0" w:firstLineChars="0"/>
              <w:jc w:val="center"/>
              <w:rPr>
                <w:color w:val="auto"/>
                <w:sz w:val="21"/>
                <w:szCs w:val="16"/>
              </w:rPr>
            </w:pPr>
            <w:r>
              <w:rPr>
                <w:color w:val="auto"/>
                <w:sz w:val="21"/>
                <w:szCs w:val="16"/>
              </w:rPr>
              <w:t>202</w:t>
            </w:r>
            <w:r>
              <w:rPr>
                <w:rFonts w:hint="eastAsia"/>
                <w:color w:val="auto"/>
                <w:sz w:val="21"/>
                <w:szCs w:val="16"/>
              </w:rPr>
              <w:t>1年7月</w:t>
            </w:r>
          </w:p>
        </w:tc>
        <w:tc>
          <w:tcPr>
            <w:tcW w:w="1220" w:type="dxa"/>
            <w:vAlign w:val="center"/>
          </w:tcPr>
          <w:p>
            <w:pPr>
              <w:spacing w:line="312" w:lineRule="exact"/>
              <w:ind w:firstLine="0" w:firstLineChars="0"/>
              <w:jc w:val="center"/>
              <w:rPr>
                <w:color w:val="auto"/>
                <w:sz w:val="21"/>
                <w:szCs w:val="16"/>
              </w:rPr>
            </w:pPr>
            <w:r>
              <w:rPr>
                <w:rFonts w:hint="eastAsia"/>
                <w:color w:val="auto"/>
                <w:sz w:val="21"/>
                <w:szCs w:val="16"/>
              </w:rPr>
              <w:t>17.1</w:t>
            </w:r>
          </w:p>
        </w:tc>
        <w:tc>
          <w:tcPr>
            <w:tcW w:w="1297" w:type="dxa"/>
            <w:vAlign w:val="center"/>
          </w:tcPr>
          <w:p>
            <w:pPr>
              <w:spacing w:line="312" w:lineRule="exact"/>
              <w:ind w:firstLine="0" w:firstLineChars="0"/>
              <w:jc w:val="center"/>
              <w:rPr>
                <w:color w:val="auto"/>
                <w:sz w:val="21"/>
                <w:szCs w:val="16"/>
              </w:rPr>
            </w:pPr>
            <w:r>
              <w:rPr>
                <w:rFonts w:hint="eastAsia"/>
                <w:color w:val="auto"/>
                <w:sz w:val="21"/>
                <w:szCs w:val="16"/>
              </w:rPr>
              <w:t>0.065</w:t>
            </w:r>
          </w:p>
        </w:tc>
        <w:tc>
          <w:tcPr>
            <w:tcW w:w="1420" w:type="dxa"/>
            <w:vAlign w:val="center"/>
          </w:tcPr>
          <w:p>
            <w:pPr>
              <w:spacing w:line="312" w:lineRule="exact"/>
              <w:ind w:firstLine="0" w:firstLineChars="0"/>
              <w:jc w:val="center"/>
              <w:rPr>
                <w:color w:val="auto"/>
                <w:sz w:val="21"/>
                <w:szCs w:val="16"/>
              </w:rPr>
            </w:pPr>
            <w:r>
              <w:rPr>
                <w:rFonts w:hint="eastAsia"/>
                <w:color w:val="auto"/>
                <w:sz w:val="21"/>
                <w:szCs w:val="16"/>
              </w:rPr>
              <w:t>0.0299</w:t>
            </w:r>
          </w:p>
        </w:tc>
        <w:tc>
          <w:tcPr>
            <w:tcW w:w="1420"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10</w:t>
            </w:r>
          </w:p>
        </w:tc>
        <w:tc>
          <w:tcPr>
            <w:tcW w:w="1422"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6.91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tcBorders>
              <w:left w:val="nil"/>
            </w:tcBorders>
            <w:vAlign w:val="center"/>
          </w:tcPr>
          <w:p>
            <w:pPr>
              <w:spacing w:line="312" w:lineRule="exact"/>
              <w:ind w:firstLine="0" w:firstLineChars="0"/>
              <w:jc w:val="center"/>
              <w:rPr>
                <w:color w:val="auto"/>
                <w:sz w:val="21"/>
                <w:szCs w:val="16"/>
              </w:rPr>
            </w:pPr>
            <w:r>
              <w:rPr>
                <w:color w:val="auto"/>
                <w:sz w:val="21"/>
                <w:szCs w:val="16"/>
              </w:rPr>
              <w:t>202</w:t>
            </w:r>
            <w:r>
              <w:rPr>
                <w:rFonts w:hint="eastAsia"/>
                <w:color w:val="auto"/>
                <w:sz w:val="21"/>
                <w:szCs w:val="16"/>
              </w:rPr>
              <w:t>1年8月</w:t>
            </w:r>
          </w:p>
        </w:tc>
        <w:tc>
          <w:tcPr>
            <w:tcW w:w="1220" w:type="dxa"/>
            <w:vAlign w:val="center"/>
          </w:tcPr>
          <w:p>
            <w:pPr>
              <w:spacing w:line="312" w:lineRule="exact"/>
              <w:ind w:firstLine="0" w:firstLineChars="0"/>
              <w:jc w:val="center"/>
              <w:rPr>
                <w:color w:val="auto"/>
                <w:sz w:val="21"/>
                <w:szCs w:val="16"/>
              </w:rPr>
            </w:pPr>
            <w:r>
              <w:rPr>
                <w:rFonts w:hint="eastAsia"/>
                <w:color w:val="auto"/>
                <w:sz w:val="21"/>
                <w:szCs w:val="16"/>
              </w:rPr>
              <w:t>20.3</w:t>
            </w:r>
          </w:p>
        </w:tc>
        <w:tc>
          <w:tcPr>
            <w:tcW w:w="1297" w:type="dxa"/>
            <w:vAlign w:val="center"/>
          </w:tcPr>
          <w:p>
            <w:pPr>
              <w:spacing w:line="312" w:lineRule="exact"/>
              <w:ind w:firstLine="0" w:firstLineChars="0"/>
              <w:jc w:val="center"/>
              <w:rPr>
                <w:color w:val="auto"/>
                <w:sz w:val="21"/>
                <w:szCs w:val="16"/>
              </w:rPr>
            </w:pPr>
            <w:r>
              <w:rPr>
                <w:rFonts w:hint="eastAsia"/>
                <w:color w:val="auto"/>
                <w:sz w:val="21"/>
                <w:szCs w:val="16"/>
              </w:rPr>
              <w:t>0.1</w:t>
            </w:r>
          </w:p>
        </w:tc>
        <w:tc>
          <w:tcPr>
            <w:tcW w:w="1420" w:type="dxa"/>
            <w:vAlign w:val="center"/>
          </w:tcPr>
          <w:p>
            <w:pPr>
              <w:spacing w:line="312" w:lineRule="exact"/>
              <w:ind w:firstLine="0" w:firstLineChars="0"/>
              <w:jc w:val="center"/>
              <w:rPr>
                <w:color w:val="auto"/>
                <w:sz w:val="21"/>
                <w:szCs w:val="16"/>
              </w:rPr>
            </w:pPr>
            <w:r>
              <w:rPr>
                <w:rFonts w:hint="eastAsia"/>
                <w:color w:val="auto"/>
                <w:sz w:val="21"/>
                <w:szCs w:val="16"/>
              </w:rPr>
              <w:t>0.0506</w:t>
            </w:r>
          </w:p>
        </w:tc>
        <w:tc>
          <w:tcPr>
            <w:tcW w:w="1420"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11</w:t>
            </w:r>
          </w:p>
        </w:tc>
        <w:tc>
          <w:tcPr>
            <w:tcW w:w="1422"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6.87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tcBorders>
              <w:left w:val="nil"/>
            </w:tcBorders>
            <w:vAlign w:val="center"/>
          </w:tcPr>
          <w:p>
            <w:pPr>
              <w:spacing w:line="312" w:lineRule="exact"/>
              <w:ind w:firstLine="0" w:firstLineChars="0"/>
              <w:jc w:val="center"/>
              <w:rPr>
                <w:color w:val="auto"/>
                <w:sz w:val="21"/>
                <w:szCs w:val="16"/>
              </w:rPr>
            </w:pPr>
            <w:r>
              <w:rPr>
                <w:color w:val="auto"/>
                <w:sz w:val="21"/>
                <w:szCs w:val="16"/>
              </w:rPr>
              <w:t>202</w:t>
            </w:r>
            <w:r>
              <w:rPr>
                <w:rFonts w:hint="eastAsia"/>
                <w:color w:val="auto"/>
                <w:sz w:val="21"/>
                <w:szCs w:val="16"/>
              </w:rPr>
              <w:t>1年9月</w:t>
            </w:r>
          </w:p>
        </w:tc>
        <w:tc>
          <w:tcPr>
            <w:tcW w:w="1220" w:type="dxa"/>
            <w:vAlign w:val="center"/>
          </w:tcPr>
          <w:p>
            <w:pPr>
              <w:spacing w:line="312" w:lineRule="exact"/>
              <w:ind w:firstLine="0" w:firstLineChars="0"/>
              <w:jc w:val="center"/>
              <w:rPr>
                <w:color w:val="auto"/>
                <w:sz w:val="21"/>
                <w:szCs w:val="16"/>
              </w:rPr>
            </w:pPr>
            <w:r>
              <w:rPr>
                <w:rFonts w:hint="eastAsia"/>
                <w:color w:val="auto"/>
                <w:sz w:val="21"/>
                <w:szCs w:val="16"/>
              </w:rPr>
              <w:t>16.1</w:t>
            </w:r>
          </w:p>
        </w:tc>
        <w:tc>
          <w:tcPr>
            <w:tcW w:w="1297" w:type="dxa"/>
            <w:vAlign w:val="center"/>
          </w:tcPr>
          <w:p>
            <w:pPr>
              <w:spacing w:line="312" w:lineRule="exact"/>
              <w:ind w:firstLine="0" w:firstLineChars="0"/>
              <w:jc w:val="center"/>
              <w:rPr>
                <w:color w:val="auto"/>
                <w:sz w:val="21"/>
                <w:szCs w:val="16"/>
              </w:rPr>
            </w:pPr>
            <w:r>
              <w:rPr>
                <w:rFonts w:hint="eastAsia"/>
                <w:color w:val="auto"/>
                <w:sz w:val="21"/>
                <w:szCs w:val="16"/>
              </w:rPr>
              <w:t>0.0633</w:t>
            </w:r>
          </w:p>
        </w:tc>
        <w:tc>
          <w:tcPr>
            <w:tcW w:w="1420" w:type="dxa"/>
            <w:vAlign w:val="center"/>
          </w:tcPr>
          <w:p>
            <w:pPr>
              <w:spacing w:line="312" w:lineRule="exact"/>
              <w:ind w:firstLine="0" w:firstLineChars="0"/>
              <w:jc w:val="center"/>
              <w:rPr>
                <w:color w:val="auto"/>
                <w:sz w:val="21"/>
                <w:szCs w:val="16"/>
              </w:rPr>
            </w:pPr>
            <w:r>
              <w:rPr>
                <w:rFonts w:hint="eastAsia"/>
                <w:color w:val="auto"/>
                <w:sz w:val="21"/>
                <w:szCs w:val="16"/>
              </w:rPr>
              <w:t>0.0916</w:t>
            </w:r>
          </w:p>
        </w:tc>
        <w:tc>
          <w:tcPr>
            <w:tcW w:w="1420"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10.1</w:t>
            </w:r>
          </w:p>
        </w:tc>
        <w:tc>
          <w:tcPr>
            <w:tcW w:w="1422"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6.87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tcBorders>
              <w:left w:val="nil"/>
            </w:tcBorders>
            <w:vAlign w:val="center"/>
          </w:tcPr>
          <w:p>
            <w:pPr>
              <w:spacing w:line="312" w:lineRule="exact"/>
              <w:ind w:firstLine="0" w:firstLineChars="0"/>
              <w:jc w:val="center"/>
              <w:rPr>
                <w:color w:val="auto"/>
                <w:sz w:val="21"/>
                <w:szCs w:val="16"/>
              </w:rPr>
            </w:pPr>
            <w:r>
              <w:rPr>
                <w:color w:val="auto"/>
                <w:sz w:val="21"/>
                <w:szCs w:val="16"/>
              </w:rPr>
              <w:t>202</w:t>
            </w:r>
            <w:r>
              <w:rPr>
                <w:rFonts w:hint="eastAsia"/>
                <w:color w:val="auto"/>
                <w:sz w:val="21"/>
                <w:szCs w:val="16"/>
              </w:rPr>
              <w:t>1年10月</w:t>
            </w:r>
          </w:p>
        </w:tc>
        <w:tc>
          <w:tcPr>
            <w:tcW w:w="1220" w:type="dxa"/>
            <w:vAlign w:val="center"/>
          </w:tcPr>
          <w:p>
            <w:pPr>
              <w:spacing w:line="312" w:lineRule="exact"/>
              <w:ind w:firstLine="0" w:firstLineChars="0"/>
              <w:jc w:val="center"/>
              <w:rPr>
                <w:color w:val="auto"/>
                <w:sz w:val="21"/>
                <w:szCs w:val="16"/>
              </w:rPr>
            </w:pPr>
            <w:r>
              <w:rPr>
                <w:rFonts w:hint="eastAsia"/>
                <w:color w:val="auto"/>
                <w:sz w:val="21"/>
                <w:szCs w:val="16"/>
              </w:rPr>
              <w:t>17</w:t>
            </w:r>
          </w:p>
        </w:tc>
        <w:tc>
          <w:tcPr>
            <w:tcW w:w="1297" w:type="dxa"/>
            <w:vAlign w:val="center"/>
          </w:tcPr>
          <w:p>
            <w:pPr>
              <w:spacing w:line="312" w:lineRule="exact"/>
              <w:ind w:firstLine="0" w:firstLineChars="0"/>
              <w:jc w:val="center"/>
              <w:rPr>
                <w:color w:val="auto"/>
                <w:sz w:val="21"/>
                <w:szCs w:val="16"/>
              </w:rPr>
            </w:pPr>
            <w:r>
              <w:rPr>
                <w:rFonts w:hint="eastAsia"/>
                <w:color w:val="auto"/>
                <w:sz w:val="21"/>
                <w:szCs w:val="16"/>
              </w:rPr>
              <w:t>0.0536</w:t>
            </w:r>
          </w:p>
        </w:tc>
        <w:tc>
          <w:tcPr>
            <w:tcW w:w="1420" w:type="dxa"/>
            <w:vAlign w:val="center"/>
          </w:tcPr>
          <w:p>
            <w:pPr>
              <w:spacing w:line="312" w:lineRule="exact"/>
              <w:ind w:firstLine="0" w:firstLineChars="0"/>
              <w:jc w:val="center"/>
              <w:rPr>
                <w:color w:val="auto"/>
                <w:sz w:val="21"/>
                <w:szCs w:val="16"/>
              </w:rPr>
            </w:pPr>
            <w:r>
              <w:rPr>
                <w:rFonts w:hint="eastAsia"/>
                <w:color w:val="auto"/>
                <w:sz w:val="21"/>
                <w:szCs w:val="16"/>
              </w:rPr>
              <w:t>0.098</w:t>
            </w:r>
          </w:p>
        </w:tc>
        <w:tc>
          <w:tcPr>
            <w:tcW w:w="1420"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9.59</w:t>
            </w:r>
          </w:p>
        </w:tc>
        <w:tc>
          <w:tcPr>
            <w:tcW w:w="1422"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7.19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tcBorders>
              <w:left w:val="nil"/>
            </w:tcBorders>
            <w:vAlign w:val="center"/>
          </w:tcPr>
          <w:p>
            <w:pPr>
              <w:spacing w:line="312" w:lineRule="exact"/>
              <w:ind w:firstLine="0" w:firstLineChars="0"/>
              <w:jc w:val="center"/>
              <w:rPr>
                <w:color w:val="auto"/>
                <w:sz w:val="21"/>
                <w:szCs w:val="16"/>
              </w:rPr>
            </w:pPr>
            <w:r>
              <w:rPr>
                <w:rFonts w:hint="eastAsia"/>
                <w:color w:val="auto"/>
                <w:sz w:val="21"/>
                <w:szCs w:val="16"/>
              </w:rPr>
              <w:t>平均值</w:t>
            </w:r>
          </w:p>
        </w:tc>
        <w:tc>
          <w:tcPr>
            <w:tcW w:w="1220" w:type="dxa"/>
            <w:vAlign w:val="center"/>
          </w:tcPr>
          <w:p>
            <w:pPr>
              <w:spacing w:line="312" w:lineRule="exact"/>
              <w:ind w:firstLine="0" w:firstLineChars="0"/>
              <w:jc w:val="center"/>
              <w:rPr>
                <w:color w:val="auto"/>
                <w:sz w:val="21"/>
                <w:szCs w:val="16"/>
              </w:rPr>
            </w:pPr>
            <w:r>
              <w:rPr>
                <w:rFonts w:hint="eastAsia"/>
                <w:color w:val="auto"/>
                <w:sz w:val="21"/>
                <w:szCs w:val="16"/>
              </w:rPr>
              <w:t>17.7</w:t>
            </w:r>
          </w:p>
        </w:tc>
        <w:tc>
          <w:tcPr>
            <w:tcW w:w="1297" w:type="dxa"/>
            <w:vAlign w:val="center"/>
          </w:tcPr>
          <w:p>
            <w:pPr>
              <w:spacing w:line="312" w:lineRule="exact"/>
              <w:ind w:firstLine="0" w:firstLineChars="0"/>
              <w:jc w:val="center"/>
              <w:rPr>
                <w:color w:val="auto"/>
                <w:sz w:val="21"/>
                <w:szCs w:val="16"/>
              </w:rPr>
            </w:pPr>
            <w:r>
              <w:rPr>
                <w:rFonts w:hint="eastAsia"/>
                <w:color w:val="auto"/>
                <w:sz w:val="21"/>
                <w:szCs w:val="16"/>
              </w:rPr>
              <w:t>0.0545</w:t>
            </w:r>
          </w:p>
        </w:tc>
        <w:tc>
          <w:tcPr>
            <w:tcW w:w="1420" w:type="dxa"/>
            <w:vAlign w:val="center"/>
          </w:tcPr>
          <w:p>
            <w:pPr>
              <w:spacing w:line="312" w:lineRule="exact"/>
              <w:ind w:firstLine="0" w:firstLineChars="0"/>
              <w:jc w:val="center"/>
              <w:rPr>
                <w:color w:val="auto"/>
                <w:sz w:val="21"/>
                <w:szCs w:val="16"/>
              </w:rPr>
            </w:pPr>
            <w:r>
              <w:rPr>
                <w:rFonts w:hint="eastAsia"/>
                <w:color w:val="auto"/>
                <w:sz w:val="21"/>
                <w:szCs w:val="16"/>
              </w:rPr>
              <w:t>0.0461</w:t>
            </w:r>
          </w:p>
        </w:tc>
        <w:tc>
          <w:tcPr>
            <w:tcW w:w="1420"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10.8</w:t>
            </w:r>
          </w:p>
        </w:tc>
        <w:tc>
          <w:tcPr>
            <w:tcW w:w="1422"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6.99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tcBorders>
              <w:left w:val="nil"/>
            </w:tcBorders>
            <w:vAlign w:val="center"/>
          </w:tcPr>
          <w:p>
            <w:pPr>
              <w:spacing w:line="312" w:lineRule="exact"/>
              <w:ind w:firstLine="0" w:firstLineChars="0"/>
              <w:jc w:val="center"/>
              <w:rPr>
                <w:color w:val="auto"/>
                <w:sz w:val="21"/>
                <w:szCs w:val="16"/>
              </w:rPr>
            </w:pPr>
            <w:r>
              <w:rPr>
                <w:rFonts w:hint="eastAsia"/>
                <w:color w:val="auto"/>
                <w:sz w:val="21"/>
                <w:szCs w:val="16"/>
              </w:rPr>
              <w:t>最大值</w:t>
            </w:r>
          </w:p>
        </w:tc>
        <w:tc>
          <w:tcPr>
            <w:tcW w:w="1220" w:type="dxa"/>
            <w:vAlign w:val="center"/>
          </w:tcPr>
          <w:p>
            <w:pPr>
              <w:spacing w:line="312" w:lineRule="exact"/>
              <w:ind w:firstLine="0" w:firstLineChars="0"/>
              <w:jc w:val="center"/>
              <w:rPr>
                <w:color w:val="auto"/>
                <w:sz w:val="21"/>
                <w:szCs w:val="16"/>
              </w:rPr>
            </w:pPr>
            <w:r>
              <w:rPr>
                <w:rFonts w:hint="eastAsia"/>
                <w:color w:val="auto"/>
                <w:sz w:val="21"/>
                <w:szCs w:val="16"/>
              </w:rPr>
              <w:t>20.3</w:t>
            </w:r>
          </w:p>
        </w:tc>
        <w:tc>
          <w:tcPr>
            <w:tcW w:w="1297" w:type="dxa"/>
            <w:vAlign w:val="center"/>
          </w:tcPr>
          <w:p>
            <w:pPr>
              <w:spacing w:line="312" w:lineRule="exact"/>
              <w:ind w:firstLine="0" w:firstLineChars="0"/>
              <w:jc w:val="center"/>
              <w:rPr>
                <w:color w:val="auto"/>
                <w:sz w:val="21"/>
                <w:szCs w:val="16"/>
              </w:rPr>
            </w:pPr>
            <w:r>
              <w:rPr>
                <w:rFonts w:hint="eastAsia"/>
                <w:color w:val="auto"/>
                <w:sz w:val="21"/>
                <w:szCs w:val="16"/>
              </w:rPr>
              <w:t>0.107</w:t>
            </w:r>
          </w:p>
        </w:tc>
        <w:tc>
          <w:tcPr>
            <w:tcW w:w="1420" w:type="dxa"/>
            <w:vAlign w:val="center"/>
          </w:tcPr>
          <w:p>
            <w:pPr>
              <w:spacing w:line="312" w:lineRule="exact"/>
              <w:ind w:firstLine="0" w:firstLineChars="0"/>
              <w:jc w:val="center"/>
              <w:rPr>
                <w:color w:val="auto"/>
                <w:sz w:val="21"/>
                <w:szCs w:val="16"/>
              </w:rPr>
            </w:pPr>
            <w:r>
              <w:rPr>
                <w:rFonts w:hint="eastAsia"/>
                <w:color w:val="auto"/>
                <w:sz w:val="21"/>
                <w:szCs w:val="16"/>
              </w:rPr>
              <w:t>0.098</w:t>
            </w:r>
          </w:p>
        </w:tc>
        <w:tc>
          <w:tcPr>
            <w:tcW w:w="1420"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11.9</w:t>
            </w:r>
          </w:p>
        </w:tc>
        <w:tc>
          <w:tcPr>
            <w:tcW w:w="1422"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7.19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tcBorders>
              <w:left w:val="nil"/>
            </w:tcBorders>
            <w:vAlign w:val="center"/>
          </w:tcPr>
          <w:p>
            <w:pPr>
              <w:spacing w:line="312" w:lineRule="exact"/>
              <w:ind w:firstLine="0" w:firstLineChars="0"/>
              <w:jc w:val="center"/>
              <w:rPr>
                <w:color w:val="auto"/>
                <w:sz w:val="21"/>
                <w:szCs w:val="16"/>
              </w:rPr>
            </w:pPr>
            <w:r>
              <w:rPr>
                <w:rFonts w:hint="eastAsia"/>
                <w:color w:val="auto"/>
                <w:sz w:val="21"/>
                <w:szCs w:val="16"/>
              </w:rPr>
              <w:t>最小值</w:t>
            </w:r>
          </w:p>
        </w:tc>
        <w:tc>
          <w:tcPr>
            <w:tcW w:w="1220" w:type="dxa"/>
            <w:vAlign w:val="center"/>
          </w:tcPr>
          <w:p>
            <w:pPr>
              <w:spacing w:line="312" w:lineRule="exact"/>
              <w:ind w:firstLine="0" w:firstLineChars="0"/>
              <w:jc w:val="center"/>
              <w:rPr>
                <w:color w:val="auto"/>
                <w:sz w:val="21"/>
                <w:szCs w:val="16"/>
              </w:rPr>
            </w:pPr>
            <w:r>
              <w:rPr>
                <w:rFonts w:hint="eastAsia"/>
                <w:color w:val="auto"/>
                <w:sz w:val="21"/>
                <w:szCs w:val="16"/>
              </w:rPr>
              <w:t>16.1</w:t>
            </w:r>
          </w:p>
        </w:tc>
        <w:tc>
          <w:tcPr>
            <w:tcW w:w="1297" w:type="dxa"/>
            <w:vAlign w:val="center"/>
          </w:tcPr>
          <w:p>
            <w:pPr>
              <w:spacing w:line="312" w:lineRule="exact"/>
              <w:ind w:firstLine="0" w:firstLineChars="0"/>
              <w:jc w:val="center"/>
              <w:rPr>
                <w:color w:val="auto"/>
                <w:sz w:val="21"/>
                <w:szCs w:val="16"/>
              </w:rPr>
            </w:pPr>
            <w:r>
              <w:rPr>
                <w:rFonts w:hint="eastAsia"/>
                <w:color w:val="auto"/>
                <w:sz w:val="21"/>
                <w:szCs w:val="16"/>
              </w:rPr>
              <w:t>0.0261</w:t>
            </w:r>
          </w:p>
        </w:tc>
        <w:tc>
          <w:tcPr>
            <w:tcW w:w="1420" w:type="dxa"/>
            <w:vAlign w:val="center"/>
          </w:tcPr>
          <w:p>
            <w:pPr>
              <w:spacing w:line="312" w:lineRule="exact"/>
              <w:ind w:firstLine="0" w:firstLineChars="0"/>
              <w:jc w:val="center"/>
              <w:rPr>
                <w:color w:val="auto"/>
                <w:sz w:val="21"/>
                <w:szCs w:val="16"/>
              </w:rPr>
            </w:pPr>
            <w:r>
              <w:rPr>
                <w:rFonts w:hint="eastAsia"/>
                <w:color w:val="auto"/>
                <w:sz w:val="21"/>
                <w:szCs w:val="16"/>
              </w:rPr>
              <w:t>0.027</w:t>
            </w:r>
          </w:p>
        </w:tc>
        <w:tc>
          <w:tcPr>
            <w:tcW w:w="1420"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9.54</w:t>
            </w:r>
          </w:p>
        </w:tc>
        <w:tc>
          <w:tcPr>
            <w:tcW w:w="1422"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6.87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tcBorders>
              <w:left w:val="nil"/>
            </w:tcBorders>
            <w:vAlign w:val="center"/>
          </w:tcPr>
          <w:p>
            <w:pPr>
              <w:spacing w:line="312" w:lineRule="exact"/>
              <w:ind w:firstLine="0" w:firstLineChars="0"/>
              <w:jc w:val="center"/>
              <w:rPr>
                <w:color w:val="auto"/>
                <w:sz w:val="21"/>
                <w:szCs w:val="16"/>
              </w:rPr>
            </w:pPr>
            <w:r>
              <w:rPr>
                <w:rFonts w:hint="eastAsia"/>
                <w:color w:val="auto"/>
                <w:sz w:val="21"/>
                <w:szCs w:val="16"/>
              </w:rPr>
              <w:t>标准值</w:t>
            </w:r>
          </w:p>
        </w:tc>
        <w:tc>
          <w:tcPr>
            <w:tcW w:w="1220" w:type="dxa"/>
            <w:vAlign w:val="center"/>
          </w:tcPr>
          <w:p>
            <w:pPr>
              <w:spacing w:line="312" w:lineRule="exact"/>
              <w:ind w:firstLine="0" w:firstLineChars="0"/>
              <w:jc w:val="center"/>
              <w:rPr>
                <w:color w:val="auto"/>
                <w:sz w:val="21"/>
                <w:szCs w:val="16"/>
              </w:rPr>
            </w:pPr>
            <w:r>
              <w:rPr>
                <w:rFonts w:hint="eastAsia"/>
                <w:color w:val="auto"/>
                <w:sz w:val="21"/>
                <w:szCs w:val="16"/>
              </w:rPr>
              <w:t>30</w:t>
            </w:r>
          </w:p>
        </w:tc>
        <w:tc>
          <w:tcPr>
            <w:tcW w:w="1297" w:type="dxa"/>
            <w:vAlign w:val="center"/>
          </w:tcPr>
          <w:p>
            <w:pPr>
              <w:spacing w:line="312" w:lineRule="exact"/>
              <w:ind w:firstLine="0" w:firstLineChars="0"/>
              <w:jc w:val="center"/>
              <w:rPr>
                <w:color w:val="auto"/>
                <w:sz w:val="21"/>
                <w:szCs w:val="16"/>
              </w:rPr>
            </w:pPr>
            <w:r>
              <w:rPr>
                <w:rFonts w:hint="eastAsia"/>
                <w:color w:val="auto"/>
                <w:sz w:val="21"/>
                <w:szCs w:val="16"/>
              </w:rPr>
              <w:t>1.5</w:t>
            </w:r>
          </w:p>
        </w:tc>
        <w:tc>
          <w:tcPr>
            <w:tcW w:w="1420" w:type="dxa"/>
            <w:vAlign w:val="center"/>
          </w:tcPr>
          <w:p>
            <w:pPr>
              <w:spacing w:line="312" w:lineRule="exact"/>
              <w:ind w:firstLine="0" w:firstLineChars="0"/>
              <w:jc w:val="center"/>
              <w:rPr>
                <w:color w:val="auto"/>
                <w:sz w:val="21"/>
                <w:szCs w:val="16"/>
              </w:rPr>
            </w:pPr>
            <w:r>
              <w:rPr>
                <w:rFonts w:hint="eastAsia"/>
                <w:color w:val="auto"/>
                <w:sz w:val="21"/>
                <w:szCs w:val="16"/>
              </w:rPr>
              <w:t>0.5</w:t>
            </w:r>
          </w:p>
        </w:tc>
        <w:tc>
          <w:tcPr>
            <w:tcW w:w="1420"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15</w:t>
            </w:r>
          </w:p>
        </w:tc>
        <w:tc>
          <w:tcPr>
            <w:tcW w:w="1422" w:type="dxa"/>
            <w:tcBorders>
              <w:right w:val="nil"/>
            </w:tcBorders>
            <w:vAlign w:val="center"/>
          </w:tcPr>
          <w:p>
            <w:pPr>
              <w:spacing w:line="312" w:lineRule="exact"/>
              <w:ind w:firstLine="0" w:firstLineChars="0"/>
              <w:jc w:val="center"/>
              <w:rPr>
                <w:color w:val="auto"/>
                <w:sz w:val="21"/>
                <w:szCs w:val="16"/>
              </w:rPr>
            </w:pPr>
            <w:r>
              <w:rPr>
                <w:rFonts w:hint="eastAsia"/>
                <w:color w:val="auto"/>
                <w:sz w:val="21"/>
                <w:szCs w:val="16"/>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tcBorders>
              <w:left w:val="nil"/>
              <w:bottom w:val="single" w:color="auto" w:sz="12" w:space="0"/>
            </w:tcBorders>
            <w:vAlign w:val="center"/>
          </w:tcPr>
          <w:p>
            <w:pPr>
              <w:spacing w:line="312" w:lineRule="exact"/>
              <w:ind w:firstLine="0" w:firstLineChars="0"/>
              <w:jc w:val="center"/>
              <w:rPr>
                <w:color w:val="auto"/>
                <w:sz w:val="21"/>
                <w:szCs w:val="16"/>
              </w:rPr>
            </w:pPr>
            <w:r>
              <w:rPr>
                <w:rFonts w:hint="eastAsia"/>
                <w:color w:val="auto"/>
                <w:sz w:val="21"/>
                <w:szCs w:val="16"/>
              </w:rPr>
              <w:t>达标情况</w:t>
            </w:r>
          </w:p>
        </w:tc>
        <w:tc>
          <w:tcPr>
            <w:tcW w:w="1220" w:type="dxa"/>
            <w:tcBorders>
              <w:bottom w:val="single" w:color="auto" w:sz="12" w:space="0"/>
            </w:tcBorders>
            <w:vAlign w:val="center"/>
          </w:tcPr>
          <w:p>
            <w:pPr>
              <w:spacing w:line="312" w:lineRule="exact"/>
              <w:ind w:firstLine="0" w:firstLineChars="0"/>
              <w:jc w:val="center"/>
              <w:rPr>
                <w:color w:val="auto"/>
                <w:sz w:val="21"/>
                <w:szCs w:val="16"/>
              </w:rPr>
            </w:pPr>
            <w:r>
              <w:rPr>
                <w:rFonts w:hint="eastAsia"/>
                <w:color w:val="auto"/>
                <w:sz w:val="21"/>
                <w:szCs w:val="16"/>
              </w:rPr>
              <w:t>达标</w:t>
            </w:r>
          </w:p>
        </w:tc>
        <w:tc>
          <w:tcPr>
            <w:tcW w:w="1297" w:type="dxa"/>
            <w:tcBorders>
              <w:bottom w:val="single" w:color="auto" w:sz="12" w:space="0"/>
            </w:tcBorders>
            <w:vAlign w:val="center"/>
          </w:tcPr>
          <w:p>
            <w:pPr>
              <w:spacing w:line="312" w:lineRule="exact"/>
              <w:ind w:firstLine="0" w:firstLineChars="0"/>
              <w:jc w:val="center"/>
              <w:rPr>
                <w:color w:val="auto"/>
                <w:sz w:val="21"/>
                <w:szCs w:val="16"/>
              </w:rPr>
            </w:pPr>
            <w:r>
              <w:rPr>
                <w:rFonts w:hint="eastAsia"/>
                <w:color w:val="auto"/>
                <w:sz w:val="21"/>
                <w:szCs w:val="16"/>
              </w:rPr>
              <w:t>达标</w:t>
            </w:r>
          </w:p>
        </w:tc>
        <w:tc>
          <w:tcPr>
            <w:tcW w:w="1420" w:type="dxa"/>
            <w:tcBorders>
              <w:bottom w:val="single" w:color="auto" w:sz="12" w:space="0"/>
            </w:tcBorders>
            <w:vAlign w:val="center"/>
          </w:tcPr>
          <w:p>
            <w:pPr>
              <w:spacing w:line="312" w:lineRule="exact"/>
              <w:ind w:firstLine="0" w:firstLineChars="0"/>
              <w:jc w:val="center"/>
              <w:rPr>
                <w:color w:val="auto"/>
                <w:sz w:val="21"/>
                <w:szCs w:val="16"/>
              </w:rPr>
            </w:pPr>
            <w:r>
              <w:rPr>
                <w:rFonts w:hint="eastAsia"/>
                <w:color w:val="auto"/>
                <w:sz w:val="21"/>
                <w:szCs w:val="16"/>
              </w:rPr>
              <w:t>达标</w:t>
            </w:r>
          </w:p>
        </w:tc>
        <w:tc>
          <w:tcPr>
            <w:tcW w:w="1420" w:type="dxa"/>
            <w:tcBorders>
              <w:bottom w:val="single" w:color="auto" w:sz="12" w:space="0"/>
              <w:right w:val="nil"/>
            </w:tcBorders>
            <w:vAlign w:val="center"/>
          </w:tcPr>
          <w:p>
            <w:pPr>
              <w:spacing w:line="312" w:lineRule="exact"/>
              <w:ind w:firstLine="0" w:firstLineChars="0"/>
              <w:jc w:val="center"/>
              <w:rPr>
                <w:color w:val="auto"/>
                <w:sz w:val="21"/>
                <w:szCs w:val="16"/>
              </w:rPr>
            </w:pPr>
            <w:r>
              <w:rPr>
                <w:rFonts w:hint="eastAsia"/>
                <w:color w:val="auto"/>
                <w:sz w:val="21"/>
                <w:szCs w:val="16"/>
              </w:rPr>
              <w:t>达标</w:t>
            </w:r>
          </w:p>
        </w:tc>
        <w:tc>
          <w:tcPr>
            <w:tcW w:w="1422" w:type="dxa"/>
            <w:tcBorders>
              <w:bottom w:val="single" w:color="auto" w:sz="12" w:space="0"/>
              <w:right w:val="nil"/>
            </w:tcBorders>
            <w:vAlign w:val="center"/>
          </w:tcPr>
          <w:p>
            <w:pPr>
              <w:spacing w:line="312" w:lineRule="exact"/>
              <w:ind w:firstLine="0" w:firstLineChars="0"/>
              <w:jc w:val="center"/>
              <w:rPr>
                <w:color w:val="auto"/>
                <w:sz w:val="21"/>
                <w:szCs w:val="16"/>
              </w:rPr>
            </w:pPr>
            <w:r>
              <w:rPr>
                <w:rFonts w:hint="eastAsia"/>
                <w:color w:val="auto"/>
                <w:sz w:val="21"/>
                <w:szCs w:val="16"/>
              </w:rPr>
              <w:t>达标</w:t>
            </w:r>
          </w:p>
        </w:tc>
      </w:tr>
    </w:tbl>
    <w:p>
      <w:pPr>
        <w:widowControl/>
        <w:ind w:firstLine="480"/>
        <w:jc w:val="left"/>
        <w:rPr>
          <w:color w:val="auto"/>
        </w:rPr>
      </w:pPr>
      <w:r>
        <w:rPr>
          <w:color w:val="auto"/>
        </w:rPr>
        <w:t>根据在线数据显示，</w:t>
      </w:r>
      <w:r>
        <w:rPr>
          <w:rFonts w:hint="eastAsia"/>
          <w:color w:val="auto"/>
        </w:rPr>
        <w:t>光大水务（淄博）有限公司水质净化</w:t>
      </w:r>
      <w:r>
        <w:rPr>
          <w:rFonts w:hint="eastAsia"/>
          <w:color w:val="auto"/>
          <w:lang w:eastAsia="zh-CN"/>
        </w:rPr>
        <w:t>三分厂</w:t>
      </w:r>
      <w:r>
        <w:rPr>
          <w:color w:val="auto"/>
        </w:rPr>
        <w:t>出水水质能够满足《城镇污水处理厂污染物排放标准》（GB18918-2002）的一级A标准。因此项目污水依托</w:t>
      </w:r>
      <w:r>
        <w:rPr>
          <w:rFonts w:hint="eastAsia"/>
          <w:color w:val="auto"/>
        </w:rPr>
        <w:t>光大水务（淄博）有限公司水质净化</w:t>
      </w:r>
      <w:r>
        <w:rPr>
          <w:rFonts w:hint="eastAsia"/>
          <w:color w:val="auto"/>
          <w:lang w:eastAsia="zh-CN"/>
        </w:rPr>
        <w:t>三分厂</w:t>
      </w:r>
      <w:r>
        <w:rPr>
          <w:color w:val="auto"/>
        </w:rPr>
        <w:t>进行处理是可行的。</w:t>
      </w:r>
    </w:p>
    <w:p>
      <w:pPr>
        <w:ind w:firstLine="480"/>
        <w:rPr>
          <w:color w:val="auto"/>
        </w:rPr>
      </w:pPr>
      <w:r>
        <w:rPr>
          <w:color w:val="auto"/>
        </w:rPr>
        <w:t>2、项目排水对</w:t>
      </w:r>
      <w:r>
        <w:rPr>
          <w:rFonts w:hint="eastAsia"/>
          <w:color w:val="auto"/>
        </w:rPr>
        <w:t>猪龙河</w:t>
      </w:r>
      <w:r>
        <w:rPr>
          <w:color w:val="auto"/>
        </w:rPr>
        <w:t>的影响</w:t>
      </w:r>
    </w:p>
    <w:p>
      <w:pPr>
        <w:ind w:firstLine="480"/>
        <w:rPr>
          <w:color w:val="auto"/>
        </w:rPr>
      </w:pPr>
      <w:r>
        <w:rPr>
          <w:color w:val="auto"/>
        </w:rPr>
        <w:t>项目废水经</w:t>
      </w:r>
      <w:r>
        <w:rPr>
          <w:rFonts w:hint="eastAsia"/>
          <w:color w:val="auto"/>
        </w:rPr>
        <w:t>光大水务（淄博）有限公司水质净化</w:t>
      </w:r>
      <w:r>
        <w:rPr>
          <w:rFonts w:hint="eastAsia"/>
          <w:color w:val="auto"/>
          <w:lang w:eastAsia="zh-CN"/>
        </w:rPr>
        <w:t>三分厂</w:t>
      </w:r>
      <w:r>
        <w:rPr>
          <w:color w:val="auto"/>
        </w:rPr>
        <w:t>深度处理后外排</w:t>
      </w:r>
      <w:r>
        <w:rPr>
          <w:rFonts w:hint="eastAsia"/>
          <w:color w:val="auto"/>
        </w:rPr>
        <w:t>猪龙河</w:t>
      </w:r>
      <w:r>
        <w:rPr>
          <w:color w:val="auto"/>
        </w:rPr>
        <w:t>，外排水水质可以满足《城镇污水处理厂污染物排放标准》（GB18918-2002）一级A标准要求。</w:t>
      </w:r>
    </w:p>
    <w:p>
      <w:pPr>
        <w:pStyle w:val="9"/>
        <w:spacing w:before="0" w:beforeLines="0" w:after="0" w:afterLines="0"/>
        <w:rPr>
          <w:color w:val="auto"/>
        </w:rPr>
      </w:pPr>
      <w:r>
        <w:rPr>
          <w:rFonts w:hint="eastAsia"/>
          <w:color w:val="auto"/>
        </w:rPr>
        <w:t>5</w:t>
      </w:r>
      <w:r>
        <w:rPr>
          <w:color w:val="auto"/>
        </w:rPr>
        <w:t>.2.3污染源排放量及污染物排放信息表</w:t>
      </w:r>
    </w:p>
    <w:p>
      <w:pPr>
        <w:ind w:firstLine="480"/>
        <w:rPr>
          <w:color w:val="auto"/>
        </w:rPr>
      </w:pPr>
      <w:r>
        <w:rPr>
          <w:rFonts w:hint="eastAsia"/>
          <w:color w:val="auto"/>
        </w:rPr>
        <w:t>拟建项目</w:t>
      </w:r>
      <w:r>
        <w:rPr>
          <w:color w:val="auto"/>
        </w:rPr>
        <w:t>排放口属于间接排放口。排放量及排放信息见下表。</w:t>
      </w:r>
    </w:p>
    <w:p>
      <w:pPr>
        <w:pStyle w:val="16"/>
        <w:adjustRightInd w:val="0"/>
        <w:snapToGrid w:val="0"/>
        <w:spacing w:after="0" w:line="440" w:lineRule="exact"/>
        <w:ind w:left="0" w:leftChars="0" w:firstLine="0" w:firstLineChars="0"/>
        <w:jc w:val="center"/>
        <w:rPr>
          <w:rFonts w:eastAsia="黑体"/>
          <w:color w:val="auto"/>
          <w:sz w:val="21"/>
          <w:szCs w:val="21"/>
        </w:rPr>
      </w:pPr>
      <w:r>
        <w:rPr>
          <w:rFonts w:eastAsia="黑体"/>
          <w:color w:val="auto"/>
          <w:sz w:val="21"/>
          <w:szCs w:val="21"/>
        </w:rPr>
        <w:t>表</w:t>
      </w:r>
      <w:r>
        <w:rPr>
          <w:rFonts w:hint="eastAsia" w:eastAsia="黑体"/>
          <w:color w:val="auto"/>
          <w:sz w:val="21"/>
          <w:szCs w:val="21"/>
        </w:rPr>
        <w:t>5</w:t>
      </w:r>
      <w:r>
        <w:rPr>
          <w:rFonts w:eastAsia="黑体"/>
          <w:color w:val="auto"/>
          <w:sz w:val="21"/>
          <w:szCs w:val="21"/>
        </w:rPr>
        <w:t>.2-3  建设项目废水污染物排放信息表</w:t>
      </w:r>
    </w:p>
    <w:tbl>
      <w:tblPr>
        <w:tblStyle w:val="23"/>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6"/>
        <w:gridCol w:w="1066"/>
        <w:gridCol w:w="707"/>
        <w:gridCol w:w="726"/>
        <w:gridCol w:w="743"/>
        <w:gridCol w:w="708"/>
        <w:gridCol w:w="864"/>
        <w:gridCol w:w="1090"/>
        <w:gridCol w:w="628"/>
        <w:gridCol w:w="821"/>
        <w:gridCol w:w="15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91" w:type="pct"/>
            <w:vMerge w:val="restart"/>
            <w:tcBorders>
              <w:tl2br w:val="nil"/>
              <w:tr2bl w:val="nil"/>
            </w:tcBorders>
            <w:vAlign w:val="center"/>
          </w:tcPr>
          <w:p>
            <w:pPr>
              <w:pStyle w:val="16"/>
              <w:adjustRightInd w:val="0"/>
              <w:snapToGrid w:val="0"/>
              <w:spacing w:after="0" w:line="312" w:lineRule="exact"/>
              <w:ind w:left="-72" w:leftChars="-30" w:right="-120" w:rightChars="-50" w:firstLine="0" w:firstLineChars="0"/>
              <w:jc w:val="center"/>
              <w:rPr>
                <w:rFonts w:eastAsiaTheme="minorEastAsia"/>
                <w:color w:val="auto"/>
                <w:sz w:val="21"/>
                <w:szCs w:val="21"/>
              </w:rPr>
            </w:pPr>
            <w:r>
              <w:rPr>
                <w:rFonts w:eastAsiaTheme="minorEastAsia"/>
                <w:color w:val="auto"/>
                <w:sz w:val="21"/>
                <w:szCs w:val="21"/>
              </w:rPr>
              <w:t>序号</w:t>
            </w:r>
          </w:p>
        </w:tc>
        <w:tc>
          <w:tcPr>
            <w:tcW w:w="574" w:type="pct"/>
            <w:vMerge w:val="restart"/>
            <w:tcBorders>
              <w:tl2br w:val="nil"/>
              <w:tr2bl w:val="nil"/>
            </w:tcBorders>
            <w:vAlign w:val="center"/>
          </w:tcPr>
          <w:p>
            <w:pPr>
              <w:pStyle w:val="16"/>
              <w:adjustRightInd w:val="0"/>
              <w:snapToGrid w:val="0"/>
              <w:spacing w:after="0" w:line="312" w:lineRule="exact"/>
              <w:ind w:left="-72" w:leftChars="-30" w:right="-120" w:rightChars="-50" w:firstLine="0" w:firstLineChars="0"/>
              <w:jc w:val="center"/>
              <w:rPr>
                <w:rFonts w:eastAsiaTheme="minorEastAsia"/>
                <w:color w:val="auto"/>
                <w:sz w:val="21"/>
                <w:szCs w:val="21"/>
              </w:rPr>
            </w:pPr>
            <w:r>
              <w:rPr>
                <w:rFonts w:eastAsiaTheme="minorEastAsia"/>
                <w:color w:val="auto"/>
                <w:sz w:val="21"/>
                <w:szCs w:val="21"/>
              </w:rPr>
              <w:t>废水类别</w:t>
            </w:r>
          </w:p>
        </w:tc>
        <w:tc>
          <w:tcPr>
            <w:tcW w:w="380" w:type="pct"/>
            <w:vMerge w:val="restart"/>
            <w:tcBorders>
              <w:tl2br w:val="nil"/>
              <w:tr2bl w:val="nil"/>
            </w:tcBorders>
            <w:vAlign w:val="center"/>
          </w:tcPr>
          <w:p>
            <w:pPr>
              <w:pStyle w:val="16"/>
              <w:adjustRightInd w:val="0"/>
              <w:snapToGrid w:val="0"/>
              <w:spacing w:after="0" w:line="312" w:lineRule="exact"/>
              <w:ind w:left="-72" w:leftChars="-30" w:right="-120" w:rightChars="-50" w:firstLine="0" w:firstLineChars="0"/>
              <w:jc w:val="center"/>
              <w:rPr>
                <w:rFonts w:eastAsiaTheme="minorEastAsia"/>
                <w:color w:val="auto"/>
                <w:sz w:val="21"/>
                <w:szCs w:val="21"/>
              </w:rPr>
            </w:pPr>
            <w:r>
              <w:rPr>
                <w:rFonts w:eastAsiaTheme="minorEastAsia"/>
                <w:color w:val="auto"/>
                <w:sz w:val="21"/>
                <w:szCs w:val="21"/>
              </w:rPr>
              <w:t>污染物种类</w:t>
            </w:r>
          </w:p>
        </w:tc>
        <w:tc>
          <w:tcPr>
            <w:tcW w:w="391" w:type="pct"/>
            <w:vMerge w:val="restart"/>
            <w:tcBorders>
              <w:tl2br w:val="nil"/>
              <w:tr2bl w:val="nil"/>
            </w:tcBorders>
            <w:vAlign w:val="center"/>
          </w:tcPr>
          <w:p>
            <w:pPr>
              <w:pStyle w:val="16"/>
              <w:adjustRightInd w:val="0"/>
              <w:snapToGrid w:val="0"/>
              <w:spacing w:after="0" w:line="312" w:lineRule="exact"/>
              <w:ind w:left="-72" w:leftChars="-30" w:right="-120" w:rightChars="-50" w:firstLine="0" w:firstLineChars="0"/>
              <w:jc w:val="center"/>
              <w:rPr>
                <w:rFonts w:eastAsia="TimesNewRomanPSMT"/>
                <w:color w:val="auto"/>
                <w:sz w:val="21"/>
                <w:szCs w:val="21"/>
              </w:rPr>
            </w:pPr>
            <w:r>
              <w:rPr>
                <w:rFonts w:eastAsia="TimesNewRomanPSMT"/>
                <w:color w:val="auto"/>
                <w:sz w:val="21"/>
                <w:szCs w:val="21"/>
              </w:rPr>
              <w:t>排放去向</w:t>
            </w:r>
          </w:p>
        </w:tc>
        <w:tc>
          <w:tcPr>
            <w:tcW w:w="400" w:type="pct"/>
            <w:vMerge w:val="restart"/>
            <w:tcBorders>
              <w:tl2br w:val="nil"/>
              <w:tr2bl w:val="nil"/>
            </w:tcBorders>
            <w:vAlign w:val="center"/>
          </w:tcPr>
          <w:p>
            <w:pPr>
              <w:pStyle w:val="16"/>
              <w:adjustRightInd w:val="0"/>
              <w:snapToGrid w:val="0"/>
              <w:spacing w:after="0" w:line="312" w:lineRule="exact"/>
              <w:ind w:left="-72" w:leftChars="-30" w:right="-120" w:rightChars="-50" w:firstLine="0" w:firstLineChars="0"/>
              <w:jc w:val="center"/>
              <w:rPr>
                <w:rFonts w:eastAsiaTheme="minorEastAsia"/>
                <w:color w:val="auto"/>
                <w:sz w:val="21"/>
                <w:szCs w:val="21"/>
              </w:rPr>
            </w:pPr>
            <w:r>
              <w:rPr>
                <w:rFonts w:eastAsiaTheme="minorEastAsia"/>
                <w:color w:val="auto"/>
                <w:sz w:val="21"/>
                <w:szCs w:val="21"/>
              </w:rPr>
              <w:t>排放规律</w:t>
            </w:r>
          </w:p>
        </w:tc>
        <w:tc>
          <w:tcPr>
            <w:tcW w:w="1434" w:type="pct"/>
            <w:gridSpan w:val="3"/>
            <w:tcBorders>
              <w:tl2br w:val="nil"/>
              <w:tr2bl w:val="nil"/>
            </w:tcBorders>
            <w:vAlign w:val="center"/>
          </w:tcPr>
          <w:p>
            <w:pPr>
              <w:pStyle w:val="16"/>
              <w:adjustRightInd w:val="0"/>
              <w:snapToGrid w:val="0"/>
              <w:spacing w:after="0" w:line="312" w:lineRule="exact"/>
              <w:ind w:left="-72" w:leftChars="-30" w:right="-120" w:rightChars="-50" w:firstLine="0" w:firstLineChars="0"/>
              <w:jc w:val="center"/>
              <w:rPr>
                <w:rFonts w:eastAsiaTheme="minorEastAsia"/>
                <w:color w:val="auto"/>
                <w:sz w:val="21"/>
                <w:szCs w:val="21"/>
              </w:rPr>
            </w:pPr>
            <w:r>
              <w:rPr>
                <w:rFonts w:eastAsiaTheme="minorEastAsia"/>
                <w:color w:val="auto"/>
                <w:sz w:val="21"/>
                <w:szCs w:val="21"/>
              </w:rPr>
              <w:t>污染物治理设施</w:t>
            </w:r>
          </w:p>
        </w:tc>
        <w:tc>
          <w:tcPr>
            <w:tcW w:w="338" w:type="pct"/>
            <w:vMerge w:val="restart"/>
            <w:tcBorders>
              <w:tl2br w:val="nil"/>
              <w:tr2bl w:val="nil"/>
            </w:tcBorders>
            <w:vAlign w:val="center"/>
          </w:tcPr>
          <w:p>
            <w:pPr>
              <w:pStyle w:val="16"/>
              <w:adjustRightInd w:val="0"/>
              <w:snapToGrid w:val="0"/>
              <w:spacing w:after="0" w:line="312" w:lineRule="exact"/>
              <w:ind w:left="-72" w:leftChars="-30" w:right="-120" w:rightChars="-50" w:firstLine="0" w:firstLineChars="0"/>
              <w:jc w:val="center"/>
              <w:rPr>
                <w:rFonts w:eastAsiaTheme="minorEastAsia"/>
                <w:color w:val="auto"/>
                <w:sz w:val="21"/>
                <w:szCs w:val="21"/>
              </w:rPr>
            </w:pPr>
            <w:r>
              <w:rPr>
                <w:rFonts w:eastAsiaTheme="minorEastAsia"/>
                <w:color w:val="auto"/>
                <w:sz w:val="21"/>
                <w:szCs w:val="21"/>
              </w:rPr>
              <w:t>排放口编号</w:t>
            </w:r>
          </w:p>
        </w:tc>
        <w:tc>
          <w:tcPr>
            <w:tcW w:w="442" w:type="pct"/>
            <w:vMerge w:val="restart"/>
            <w:tcBorders>
              <w:tl2br w:val="nil"/>
              <w:tr2bl w:val="nil"/>
            </w:tcBorders>
            <w:vAlign w:val="center"/>
          </w:tcPr>
          <w:p>
            <w:pPr>
              <w:pStyle w:val="16"/>
              <w:adjustRightInd w:val="0"/>
              <w:snapToGrid w:val="0"/>
              <w:spacing w:after="0" w:line="312" w:lineRule="exact"/>
              <w:ind w:left="-72" w:leftChars="-30" w:right="-120" w:rightChars="-50" w:firstLine="0" w:firstLineChars="0"/>
              <w:jc w:val="center"/>
              <w:rPr>
                <w:rFonts w:eastAsiaTheme="minorEastAsia"/>
                <w:color w:val="auto"/>
                <w:sz w:val="21"/>
                <w:szCs w:val="21"/>
              </w:rPr>
            </w:pPr>
            <w:r>
              <w:rPr>
                <w:rFonts w:eastAsiaTheme="minorEastAsia"/>
                <w:color w:val="auto"/>
                <w:sz w:val="21"/>
                <w:szCs w:val="21"/>
              </w:rPr>
              <w:t>排放口设置是否符合要求</w:t>
            </w:r>
          </w:p>
        </w:tc>
        <w:tc>
          <w:tcPr>
            <w:tcW w:w="846" w:type="pct"/>
            <w:vMerge w:val="restart"/>
            <w:tcBorders>
              <w:tl2br w:val="nil"/>
              <w:tr2bl w:val="nil"/>
            </w:tcBorders>
            <w:vAlign w:val="center"/>
          </w:tcPr>
          <w:p>
            <w:pPr>
              <w:pStyle w:val="16"/>
              <w:adjustRightInd w:val="0"/>
              <w:snapToGrid w:val="0"/>
              <w:spacing w:after="0" w:line="312" w:lineRule="exact"/>
              <w:ind w:left="-72" w:leftChars="-30" w:right="-120" w:rightChars="-50" w:firstLine="0" w:firstLineChars="0"/>
              <w:jc w:val="center"/>
              <w:rPr>
                <w:rFonts w:eastAsiaTheme="minorEastAsia"/>
                <w:color w:val="auto"/>
                <w:sz w:val="21"/>
                <w:szCs w:val="21"/>
              </w:rPr>
            </w:pPr>
            <w:r>
              <w:rPr>
                <w:rFonts w:eastAsiaTheme="minorEastAsia"/>
                <w:color w:val="auto"/>
                <w:sz w:val="21"/>
                <w:szCs w:val="21"/>
              </w:rPr>
              <w:t>排放口类型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91" w:type="pct"/>
            <w:vMerge w:val="continue"/>
            <w:tcBorders>
              <w:tl2br w:val="nil"/>
              <w:tr2bl w:val="nil"/>
            </w:tcBorders>
            <w:vAlign w:val="center"/>
          </w:tcPr>
          <w:p>
            <w:pPr>
              <w:pStyle w:val="16"/>
              <w:adjustRightInd w:val="0"/>
              <w:snapToGrid w:val="0"/>
              <w:spacing w:after="0" w:line="312" w:lineRule="exact"/>
              <w:ind w:left="-72" w:leftChars="-30" w:right="-120" w:rightChars="-50" w:firstLine="420"/>
              <w:jc w:val="center"/>
              <w:rPr>
                <w:color w:val="auto"/>
                <w:sz w:val="21"/>
                <w:szCs w:val="21"/>
              </w:rPr>
            </w:pPr>
          </w:p>
        </w:tc>
        <w:tc>
          <w:tcPr>
            <w:tcW w:w="574" w:type="pct"/>
            <w:vMerge w:val="continue"/>
            <w:tcBorders>
              <w:tl2br w:val="nil"/>
              <w:tr2bl w:val="nil"/>
            </w:tcBorders>
            <w:vAlign w:val="center"/>
          </w:tcPr>
          <w:p>
            <w:pPr>
              <w:pStyle w:val="16"/>
              <w:adjustRightInd w:val="0"/>
              <w:snapToGrid w:val="0"/>
              <w:spacing w:after="0" w:line="312" w:lineRule="exact"/>
              <w:ind w:left="-72" w:leftChars="-30" w:right="-120" w:rightChars="-50" w:firstLine="420"/>
              <w:jc w:val="center"/>
              <w:rPr>
                <w:color w:val="auto"/>
                <w:sz w:val="21"/>
                <w:szCs w:val="21"/>
              </w:rPr>
            </w:pPr>
          </w:p>
        </w:tc>
        <w:tc>
          <w:tcPr>
            <w:tcW w:w="380" w:type="pct"/>
            <w:vMerge w:val="continue"/>
            <w:tcBorders>
              <w:tl2br w:val="nil"/>
              <w:tr2bl w:val="nil"/>
            </w:tcBorders>
            <w:vAlign w:val="center"/>
          </w:tcPr>
          <w:p>
            <w:pPr>
              <w:pStyle w:val="16"/>
              <w:adjustRightInd w:val="0"/>
              <w:snapToGrid w:val="0"/>
              <w:spacing w:after="0" w:line="312" w:lineRule="exact"/>
              <w:ind w:left="-72" w:leftChars="-30" w:right="-120" w:rightChars="-50" w:firstLine="420"/>
              <w:jc w:val="center"/>
              <w:rPr>
                <w:color w:val="auto"/>
                <w:sz w:val="21"/>
                <w:szCs w:val="21"/>
              </w:rPr>
            </w:pPr>
          </w:p>
        </w:tc>
        <w:tc>
          <w:tcPr>
            <w:tcW w:w="391" w:type="pct"/>
            <w:vMerge w:val="continue"/>
            <w:tcBorders>
              <w:tl2br w:val="nil"/>
              <w:tr2bl w:val="nil"/>
            </w:tcBorders>
            <w:vAlign w:val="center"/>
          </w:tcPr>
          <w:p>
            <w:pPr>
              <w:pStyle w:val="16"/>
              <w:adjustRightInd w:val="0"/>
              <w:snapToGrid w:val="0"/>
              <w:spacing w:after="0" w:line="312" w:lineRule="exact"/>
              <w:ind w:left="-72" w:leftChars="-30" w:right="-120" w:rightChars="-50" w:firstLine="420"/>
              <w:jc w:val="center"/>
              <w:rPr>
                <w:rFonts w:eastAsia="TimesNewRomanPSMT"/>
                <w:color w:val="auto"/>
                <w:sz w:val="21"/>
                <w:szCs w:val="21"/>
              </w:rPr>
            </w:pPr>
          </w:p>
        </w:tc>
        <w:tc>
          <w:tcPr>
            <w:tcW w:w="400" w:type="pct"/>
            <w:vMerge w:val="continue"/>
            <w:tcBorders>
              <w:tl2br w:val="nil"/>
              <w:tr2bl w:val="nil"/>
            </w:tcBorders>
            <w:vAlign w:val="center"/>
          </w:tcPr>
          <w:p>
            <w:pPr>
              <w:pStyle w:val="16"/>
              <w:adjustRightInd w:val="0"/>
              <w:snapToGrid w:val="0"/>
              <w:spacing w:after="0" w:line="312" w:lineRule="exact"/>
              <w:ind w:left="-72" w:leftChars="-30" w:right="-120" w:rightChars="-50" w:firstLine="420"/>
              <w:jc w:val="center"/>
              <w:rPr>
                <w:color w:val="auto"/>
                <w:sz w:val="21"/>
                <w:szCs w:val="21"/>
              </w:rPr>
            </w:pPr>
          </w:p>
        </w:tc>
        <w:tc>
          <w:tcPr>
            <w:tcW w:w="381" w:type="pct"/>
            <w:tcBorders>
              <w:tl2br w:val="nil"/>
              <w:tr2bl w:val="nil"/>
            </w:tcBorders>
            <w:vAlign w:val="center"/>
          </w:tcPr>
          <w:p>
            <w:pPr>
              <w:pStyle w:val="16"/>
              <w:adjustRightInd w:val="0"/>
              <w:snapToGrid w:val="0"/>
              <w:spacing w:after="0" w:line="312" w:lineRule="exact"/>
              <w:ind w:left="-72" w:leftChars="-30" w:right="-120" w:rightChars="-50" w:firstLine="0" w:firstLineChars="0"/>
              <w:jc w:val="center"/>
              <w:rPr>
                <w:rFonts w:eastAsiaTheme="minorEastAsia"/>
                <w:color w:val="auto"/>
                <w:sz w:val="21"/>
                <w:szCs w:val="21"/>
              </w:rPr>
            </w:pPr>
            <w:r>
              <w:rPr>
                <w:rFonts w:eastAsiaTheme="minorEastAsia"/>
                <w:color w:val="auto"/>
                <w:sz w:val="21"/>
                <w:szCs w:val="21"/>
              </w:rPr>
              <w:t>污染治理设施编号</w:t>
            </w:r>
          </w:p>
        </w:tc>
        <w:tc>
          <w:tcPr>
            <w:tcW w:w="465" w:type="pct"/>
            <w:tcBorders>
              <w:tl2br w:val="nil"/>
              <w:tr2bl w:val="nil"/>
            </w:tcBorders>
            <w:vAlign w:val="center"/>
          </w:tcPr>
          <w:p>
            <w:pPr>
              <w:pStyle w:val="16"/>
              <w:adjustRightInd w:val="0"/>
              <w:snapToGrid w:val="0"/>
              <w:spacing w:after="0" w:line="312" w:lineRule="exact"/>
              <w:ind w:left="-72" w:leftChars="-30" w:right="-120" w:rightChars="-50" w:firstLine="0" w:firstLineChars="0"/>
              <w:jc w:val="center"/>
              <w:rPr>
                <w:rFonts w:eastAsiaTheme="minorEastAsia"/>
                <w:color w:val="auto"/>
                <w:sz w:val="21"/>
                <w:szCs w:val="21"/>
              </w:rPr>
            </w:pPr>
            <w:r>
              <w:rPr>
                <w:rFonts w:eastAsiaTheme="minorEastAsia"/>
                <w:color w:val="auto"/>
                <w:sz w:val="21"/>
                <w:szCs w:val="21"/>
              </w:rPr>
              <w:t>污染治理设施名称</w:t>
            </w:r>
          </w:p>
        </w:tc>
        <w:tc>
          <w:tcPr>
            <w:tcW w:w="587" w:type="pct"/>
            <w:tcBorders>
              <w:tl2br w:val="nil"/>
              <w:tr2bl w:val="nil"/>
            </w:tcBorders>
            <w:vAlign w:val="center"/>
          </w:tcPr>
          <w:p>
            <w:pPr>
              <w:pStyle w:val="16"/>
              <w:adjustRightInd w:val="0"/>
              <w:snapToGrid w:val="0"/>
              <w:spacing w:after="0" w:line="312" w:lineRule="exact"/>
              <w:ind w:left="-72" w:leftChars="-30" w:right="-120" w:rightChars="-50" w:firstLine="0" w:firstLineChars="0"/>
              <w:jc w:val="center"/>
              <w:rPr>
                <w:rFonts w:eastAsiaTheme="minorEastAsia"/>
                <w:color w:val="auto"/>
                <w:sz w:val="21"/>
                <w:szCs w:val="21"/>
              </w:rPr>
            </w:pPr>
            <w:r>
              <w:rPr>
                <w:rFonts w:eastAsiaTheme="minorEastAsia"/>
                <w:color w:val="auto"/>
                <w:sz w:val="21"/>
                <w:szCs w:val="21"/>
              </w:rPr>
              <w:t>污染治理设施工艺</w:t>
            </w:r>
          </w:p>
        </w:tc>
        <w:tc>
          <w:tcPr>
            <w:tcW w:w="338" w:type="pct"/>
            <w:vMerge w:val="continue"/>
            <w:tcBorders>
              <w:tl2br w:val="nil"/>
              <w:tr2bl w:val="nil"/>
            </w:tcBorders>
            <w:vAlign w:val="center"/>
          </w:tcPr>
          <w:p>
            <w:pPr>
              <w:pStyle w:val="16"/>
              <w:adjustRightInd w:val="0"/>
              <w:snapToGrid w:val="0"/>
              <w:spacing w:after="0" w:line="312" w:lineRule="exact"/>
              <w:ind w:left="-72" w:leftChars="-30" w:right="-120" w:rightChars="-50" w:firstLine="420"/>
              <w:jc w:val="center"/>
              <w:rPr>
                <w:rFonts w:eastAsiaTheme="minorEastAsia"/>
                <w:color w:val="auto"/>
                <w:sz w:val="21"/>
                <w:szCs w:val="21"/>
              </w:rPr>
            </w:pPr>
          </w:p>
        </w:tc>
        <w:tc>
          <w:tcPr>
            <w:tcW w:w="442" w:type="pct"/>
            <w:vMerge w:val="continue"/>
            <w:tcBorders>
              <w:tl2br w:val="nil"/>
              <w:tr2bl w:val="nil"/>
            </w:tcBorders>
            <w:vAlign w:val="center"/>
          </w:tcPr>
          <w:p>
            <w:pPr>
              <w:pStyle w:val="16"/>
              <w:adjustRightInd w:val="0"/>
              <w:snapToGrid w:val="0"/>
              <w:spacing w:after="0" w:line="312" w:lineRule="exact"/>
              <w:ind w:left="-72" w:leftChars="-30" w:right="-120" w:rightChars="-50" w:firstLine="420"/>
              <w:jc w:val="center"/>
              <w:rPr>
                <w:rFonts w:eastAsiaTheme="minorEastAsia"/>
                <w:color w:val="auto"/>
                <w:sz w:val="21"/>
                <w:szCs w:val="21"/>
              </w:rPr>
            </w:pPr>
          </w:p>
        </w:tc>
        <w:tc>
          <w:tcPr>
            <w:tcW w:w="846" w:type="pct"/>
            <w:vMerge w:val="continue"/>
            <w:tcBorders>
              <w:tl2br w:val="nil"/>
              <w:tr2bl w:val="nil"/>
            </w:tcBorders>
            <w:vAlign w:val="center"/>
          </w:tcPr>
          <w:p>
            <w:pPr>
              <w:pStyle w:val="16"/>
              <w:adjustRightInd w:val="0"/>
              <w:snapToGrid w:val="0"/>
              <w:spacing w:after="0" w:line="312" w:lineRule="exact"/>
              <w:ind w:left="-72" w:leftChars="-30" w:right="-120" w:rightChars="-50" w:firstLine="420"/>
              <w:jc w:val="center"/>
              <w:rPr>
                <w:rFonts w:eastAsiaTheme="minorEastAsia"/>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3" w:hRule="atLeast"/>
          <w:jc w:val="center"/>
        </w:trPr>
        <w:tc>
          <w:tcPr>
            <w:tcW w:w="191" w:type="pct"/>
            <w:tcBorders>
              <w:tl2br w:val="nil"/>
              <w:tr2bl w:val="nil"/>
            </w:tcBorders>
            <w:vAlign w:val="center"/>
          </w:tcPr>
          <w:p>
            <w:pPr>
              <w:pStyle w:val="16"/>
              <w:adjustRightInd w:val="0"/>
              <w:snapToGrid w:val="0"/>
              <w:spacing w:after="0" w:line="312" w:lineRule="exact"/>
              <w:ind w:left="-72" w:leftChars="-30" w:right="-120" w:rightChars="-50" w:firstLine="0" w:firstLineChars="0"/>
              <w:jc w:val="center"/>
              <w:rPr>
                <w:rFonts w:eastAsiaTheme="minorEastAsia"/>
                <w:color w:val="auto"/>
                <w:sz w:val="21"/>
                <w:szCs w:val="21"/>
              </w:rPr>
            </w:pPr>
            <w:r>
              <w:rPr>
                <w:rFonts w:eastAsiaTheme="minorEastAsia"/>
                <w:color w:val="auto"/>
                <w:sz w:val="21"/>
                <w:szCs w:val="21"/>
              </w:rPr>
              <w:t>1</w:t>
            </w:r>
          </w:p>
        </w:tc>
        <w:tc>
          <w:tcPr>
            <w:tcW w:w="574" w:type="pct"/>
            <w:tcBorders>
              <w:tl2br w:val="nil"/>
              <w:tr2bl w:val="nil"/>
            </w:tcBorders>
            <w:vAlign w:val="center"/>
          </w:tcPr>
          <w:p>
            <w:pPr>
              <w:pStyle w:val="16"/>
              <w:adjustRightInd w:val="0"/>
              <w:snapToGrid w:val="0"/>
              <w:spacing w:after="0" w:line="312" w:lineRule="exact"/>
              <w:ind w:left="-72" w:leftChars="-30" w:right="-120" w:rightChars="-50" w:firstLine="0" w:firstLineChars="0"/>
              <w:jc w:val="center"/>
              <w:rPr>
                <w:rFonts w:eastAsiaTheme="minorEastAsia"/>
                <w:color w:val="auto"/>
                <w:sz w:val="21"/>
                <w:szCs w:val="21"/>
              </w:rPr>
            </w:pPr>
            <w:r>
              <w:rPr>
                <w:rFonts w:eastAsiaTheme="minorEastAsia"/>
                <w:color w:val="auto"/>
                <w:sz w:val="21"/>
                <w:szCs w:val="21"/>
              </w:rPr>
              <w:t>循环冷却系统排水</w:t>
            </w:r>
            <w:r>
              <w:rPr>
                <w:rFonts w:hint="eastAsia" w:eastAsiaTheme="minorEastAsia"/>
                <w:color w:val="auto"/>
                <w:sz w:val="21"/>
                <w:szCs w:val="21"/>
              </w:rPr>
              <w:t>、</w:t>
            </w:r>
            <w:r>
              <w:rPr>
                <w:rFonts w:eastAsiaTheme="minorEastAsia"/>
                <w:color w:val="auto"/>
                <w:sz w:val="21"/>
                <w:szCs w:val="21"/>
              </w:rPr>
              <w:t>化验室排水</w:t>
            </w:r>
            <w:r>
              <w:rPr>
                <w:rFonts w:hint="eastAsia" w:eastAsiaTheme="minorEastAsia"/>
                <w:color w:val="auto"/>
                <w:sz w:val="21"/>
                <w:szCs w:val="21"/>
              </w:rPr>
              <w:t>、</w:t>
            </w:r>
            <w:r>
              <w:rPr>
                <w:rFonts w:eastAsiaTheme="minorEastAsia"/>
                <w:color w:val="auto"/>
                <w:sz w:val="21"/>
                <w:szCs w:val="21"/>
              </w:rPr>
              <w:t>喷淋塔排水</w:t>
            </w:r>
            <w:r>
              <w:rPr>
                <w:rFonts w:hint="eastAsia" w:eastAsiaTheme="minorEastAsia"/>
                <w:color w:val="auto"/>
                <w:sz w:val="21"/>
                <w:szCs w:val="21"/>
              </w:rPr>
              <w:t>、</w:t>
            </w:r>
            <w:r>
              <w:rPr>
                <w:rFonts w:eastAsiaTheme="minorEastAsia"/>
                <w:color w:val="auto"/>
                <w:sz w:val="21"/>
                <w:szCs w:val="21"/>
              </w:rPr>
              <w:t>地面清洗废水</w:t>
            </w:r>
            <w:r>
              <w:rPr>
                <w:rFonts w:hint="eastAsia" w:eastAsiaTheme="minorEastAsia"/>
                <w:color w:val="auto"/>
                <w:sz w:val="21"/>
                <w:szCs w:val="21"/>
              </w:rPr>
              <w:t>、生产废水、生活污水</w:t>
            </w:r>
          </w:p>
        </w:tc>
        <w:tc>
          <w:tcPr>
            <w:tcW w:w="380" w:type="pct"/>
            <w:tcBorders>
              <w:tl2br w:val="nil"/>
              <w:tr2bl w:val="nil"/>
            </w:tcBorders>
            <w:vAlign w:val="center"/>
          </w:tcPr>
          <w:p>
            <w:pPr>
              <w:spacing w:line="312" w:lineRule="exact"/>
              <w:ind w:left="-72" w:leftChars="-30" w:right="-120" w:rightChars="-50" w:firstLine="0" w:firstLineChars="0"/>
              <w:rPr>
                <w:color w:val="auto"/>
                <w:sz w:val="21"/>
                <w:szCs w:val="21"/>
              </w:rPr>
            </w:pPr>
            <w:r>
              <w:rPr>
                <w:rFonts w:eastAsia="TimesNewRomanPSMT"/>
                <w:color w:val="auto"/>
                <w:sz w:val="21"/>
                <w:szCs w:val="21"/>
              </w:rPr>
              <w:t>COD</w:t>
            </w:r>
            <w:r>
              <w:rPr>
                <w:color w:val="auto"/>
                <w:sz w:val="21"/>
                <w:szCs w:val="21"/>
              </w:rPr>
              <w:t>、</w:t>
            </w:r>
            <w:r>
              <w:rPr>
                <w:rFonts w:eastAsia="TimesNewRomanPSMT"/>
                <w:color w:val="auto"/>
                <w:sz w:val="21"/>
                <w:szCs w:val="21"/>
              </w:rPr>
              <w:t>BOD</w:t>
            </w:r>
            <w:r>
              <w:rPr>
                <w:rFonts w:eastAsia="TimesNewRomanPSMT"/>
                <w:color w:val="auto"/>
                <w:sz w:val="21"/>
                <w:szCs w:val="21"/>
                <w:vertAlign w:val="subscript"/>
              </w:rPr>
              <w:t>5</w:t>
            </w:r>
            <w:r>
              <w:rPr>
                <w:color w:val="auto"/>
                <w:sz w:val="21"/>
                <w:szCs w:val="21"/>
              </w:rPr>
              <w:t>、SS、</w:t>
            </w:r>
            <w:r>
              <w:rPr>
                <w:rFonts w:eastAsia="TimesNewRomanPSMT"/>
                <w:color w:val="auto"/>
                <w:sz w:val="21"/>
                <w:szCs w:val="21"/>
              </w:rPr>
              <w:t>NH</w:t>
            </w:r>
            <w:r>
              <w:rPr>
                <w:rFonts w:eastAsia="TimesNewRomanPSMT"/>
                <w:color w:val="auto"/>
                <w:sz w:val="21"/>
                <w:szCs w:val="21"/>
                <w:vertAlign w:val="subscript"/>
              </w:rPr>
              <w:t>3</w:t>
            </w:r>
            <w:r>
              <w:rPr>
                <w:rFonts w:eastAsia="TimesNewRomanPSMT"/>
                <w:color w:val="auto"/>
                <w:sz w:val="21"/>
                <w:szCs w:val="21"/>
              </w:rPr>
              <w:t>-N</w:t>
            </w:r>
            <w:r>
              <w:rPr>
                <w:color w:val="auto"/>
                <w:sz w:val="21"/>
                <w:szCs w:val="21"/>
              </w:rPr>
              <w:t>、石油类</w:t>
            </w:r>
          </w:p>
        </w:tc>
        <w:tc>
          <w:tcPr>
            <w:tcW w:w="391" w:type="pct"/>
            <w:tcBorders>
              <w:tl2br w:val="nil"/>
              <w:tr2bl w:val="nil"/>
            </w:tcBorders>
            <w:vAlign w:val="center"/>
          </w:tcPr>
          <w:p>
            <w:pPr>
              <w:pStyle w:val="16"/>
              <w:adjustRightInd w:val="0"/>
              <w:snapToGrid w:val="0"/>
              <w:spacing w:after="0" w:line="312" w:lineRule="exact"/>
              <w:ind w:left="-72" w:leftChars="-30" w:right="-120" w:rightChars="-50" w:firstLine="0" w:firstLineChars="0"/>
              <w:jc w:val="center"/>
              <w:rPr>
                <w:rFonts w:hint="eastAsia" w:eastAsia="宋体"/>
                <w:color w:val="auto"/>
                <w:sz w:val="21"/>
                <w:szCs w:val="21"/>
                <w:lang w:eastAsia="zh-CN"/>
              </w:rPr>
            </w:pPr>
            <w:r>
              <w:rPr>
                <w:rFonts w:hint="eastAsia" w:eastAsia="TimesNewRomanPSMT"/>
                <w:color w:val="auto"/>
                <w:sz w:val="21"/>
                <w:szCs w:val="21"/>
              </w:rPr>
              <w:t>光大水务（淄博）有限公司水质净化</w:t>
            </w:r>
            <w:r>
              <w:rPr>
                <w:rFonts w:hint="eastAsia" w:eastAsia="宋体"/>
                <w:color w:val="auto"/>
                <w:sz w:val="21"/>
                <w:szCs w:val="21"/>
                <w:lang w:eastAsia="zh-CN"/>
              </w:rPr>
              <w:t>三分厂</w:t>
            </w:r>
          </w:p>
        </w:tc>
        <w:tc>
          <w:tcPr>
            <w:tcW w:w="400" w:type="pct"/>
            <w:tcBorders>
              <w:tl2br w:val="nil"/>
              <w:tr2bl w:val="nil"/>
            </w:tcBorders>
            <w:vAlign w:val="center"/>
          </w:tcPr>
          <w:p>
            <w:pPr>
              <w:pStyle w:val="16"/>
              <w:adjustRightInd w:val="0"/>
              <w:snapToGrid w:val="0"/>
              <w:spacing w:after="0" w:line="312" w:lineRule="exact"/>
              <w:ind w:left="-72" w:leftChars="-30" w:right="-120" w:rightChars="-50" w:firstLine="0" w:firstLineChars="0"/>
              <w:jc w:val="center"/>
              <w:rPr>
                <w:rFonts w:eastAsiaTheme="minorEastAsia"/>
                <w:color w:val="auto"/>
                <w:sz w:val="21"/>
                <w:szCs w:val="21"/>
              </w:rPr>
            </w:pPr>
            <w:r>
              <w:rPr>
                <w:rFonts w:eastAsiaTheme="minorEastAsia"/>
                <w:color w:val="auto"/>
                <w:sz w:val="21"/>
                <w:szCs w:val="21"/>
              </w:rPr>
              <w:t>间歇</w:t>
            </w:r>
          </w:p>
        </w:tc>
        <w:tc>
          <w:tcPr>
            <w:tcW w:w="381" w:type="pct"/>
            <w:tcBorders>
              <w:tl2br w:val="nil"/>
              <w:tr2bl w:val="nil"/>
            </w:tcBorders>
            <w:vAlign w:val="center"/>
          </w:tcPr>
          <w:p>
            <w:pPr>
              <w:pStyle w:val="16"/>
              <w:adjustRightInd w:val="0"/>
              <w:snapToGrid w:val="0"/>
              <w:spacing w:after="0" w:line="312" w:lineRule="exact"/>
              <w:ind w:left="-72" w:leftChars="-30" w:right="-120" w:rightChars="-50" w:firstLine="0" w:firstLineChars="0"/>
              <w:jc w:val="center"/>
              <w:rPr>
                <w:rFonts w:eastAsiaTheme="minorEastAsia"/>
                <w:color w:val="auto"/>
                <w:sz w:val="21"/>
                <w:szCs w:val="21"/>
              </w:rPr>
            </w:pPr>
            <w:r>
              <w:rPr>
                <w:rFonts w:hint="eastAsia" w:eastAsiaTheme="minorEastAsia"/>
                <w:color w:val="auto"/>
                <w:sz w:val="21"/>
                <w:szCs w:val="21"/>
              </w:rPr>
              <w:t>DW00</w:t>
            </w:r>
            <w:r>
              <w:rPr>
                <w:rFonts w:eastAsiaTheme="minorEastAsia"/>
                <w:color w:val="auto"/>
                <w:sz w:val="21"/>
                <w:szCs w:val="21"/>
              </w:rPr>
              <w:t>1</w:t>
            </w:r>
          </w:p>
        </w:tc>
        <w:tc>
          <w:tcPr>
            <w:tcW w:w="465" w:type="pct"/>
            <w:tcBorders>
              <w:tl2br w:val="nil"/>
              <w:tr2bl w:val="nil"/>
            </w:tcBorders>
            <w:vAlign w:val="center"/>
          </w:tcPr>
          <w:p>
            <w:pPr>
              <w:pStyle w:val="16"/>
              <w:adjustRightInd w:val="0"/>
              <w:snapToGrid w:val="0"/>
              <w:spacing w:after="0" w:line="312" w:lineRule="exact"/>
              <w:ind w:left="-72" w:leftChars="-30" w:right="-120" w:rightChars="-50" w:firstLine="0" w:firstLineChars="0"/>
              <w:jc w:val="center"/>
              <w:rPr>
                <w:rFonts w:eastAsiaTheme="minorEastAsia"/>
                <w:color w:val="auto"/>
                <w:sz w:val="21"/>
                <w:szCs w:val="21"/>
              </w:rPr>
            </w:pPr>
            <w:r>
              <w:rPr>
                <w:rFonts w:eastAsiaTheme="minorEastAsia"/>
                <w:color w:val="auto"/>
                <w:sz w:val="21"/>
                <w:szCs w:val="21"/>
              </w:rPr>
              <w:t>厂区污水处理站</w:t>
            </w:r>
          </w:p>
        </w:tc>
        <w:tc>
          <w:tcPr>
            <w:tcW w:w="587" w:type="pct"/>
            <w:tcBorders>
              <w:tl2br w:val="nil"/>
              <w:tr2bl w:val="nil"/>
            </w:tcBorders>
            <w:vAlign w:val="center"/>
          </w:tcPr>
          <w:p>
            <w:pPr>
              <w:pStyle w:val="16"/>
              <w:adjustRightInd w:val="0"/>
              <w:snapToGrid w:val="0"/>
              <w:spacing w:after="0" w:line="312" w:lineRule="exact"/>
              <w:ind w:left="-72" w:leftChars="-30" w:right="-120" w:rightChars="-50" w:firstLine="0" w:firstLineChars="0"/>
              <w:jc w:val="center"/>
              <w:rPr>
                <w:rFonts w:eastAsiaTheme="minorEastAsia"/>
                <w:color w:val="auto"/>
                <w:sz w:val="21"/>
                <w:szCs w:val="21"/>
              </w:rPr>
            </w:pPr>
            <w:r>
              <w:rPr>
                <w:bCs/>
                <w:color w:val="auto"/>
                <w:sz w:val="21"/>
                <w:szCs w:val="21"/>
              </w:rPr>
              <w:t>“废水收集池+</w:t>
            </w:r>
            <w:r>
              <w:rPr>
                <w:rFonts w:hint="eastAsia"/>
                <w:bCs/>
                <w:color w:val="auto"/>
                <w:sz w:val="21"/>
                <w:szCs w:val="21"/>
              </w:rPr>
              <w:t>水解酸化池</w:t>
            </w:r>
            <w:r>
              <w:rPr>
                <w:bCs/>
                <w:color w:val="auto"/>
                <w:sz w:val="21"/>
                <w:szCs w:val="21"/>
              </w:rPr>
              <w:t>+</w:t>
            </w:r>
            <w:r>
              <w:rPr>
                <w:rFonts w:hint="eastAsia"/>
                <w:bCs/>
                <w:color w:val="auto"/>
                <w:sz w:val="21"/>
                <w:szCs w:val="21"/>
              </w:rPr>
              <w:t>水解沉淀池</w:t>
            </w:r>
            <w:r>
              <w:rPr>
                <w:bCs/>
                <w:color w:val="auto"/>
                <w:sz w:val="21"/>
                <w:szCs w:val="21"/>
              </w:rPr>
              <w:t>+</w:t>
            </w:r>
            <w:r>
              <w:rPr>
                <w:rFonts w:hint="eastAsia"/>
                <w:bCs/>
                <w:color w:val="auto"/>
                <w:sz w:val="21"/>
                <w:szCs w:val="21"/>
              </w:rPr>
              <w:t>高倍增生物池+</w:t>
            </w:r>
            <w:r>
              <w:rPr>
                <w:bCs/>
                <w:color w:val="auto"/>
                <w:sz w:val="21"/>
                <w:szCs w:val="21"/>
              </w:rPr>
              <w:t>沉淀池”工艺</w:t>
            </w:r>
          </w:p>
        </w:tc>
        <w:tc>
          <w:tcPr>
            <w:tcW w:w="338" w:type="pct"/>
            <w:tcBorders>
              <w:tl2br w:val="nil"/>
              <w:tr2bl w:val="nil"/>
            </w:tcBorders>
            <w:vAlign w:val="center"/>
          </w:tcPr>
          <w:p>
            <w:pPr>
              <w:pStyle w:val="16"/>
              <w:adjustRightInd w:val="0"/>
              <w:snapToGrid w:val="0"/>
              <w:spacing w:after="0" w:line="312" w:lineRule="exact"/>
              <w:ind w:left="-72" w:leftChars="-30" w:right="-120" w:rightChars="-50" w:firstLine="0" w:firstLineChars="0"/>
              <w:jc w:val="center"/>
              <w:rPr>
                <w:rFonts w:eastAsiaTheme="minorEastAsia"/>
                <w:color w:val="auto"/>
                <w:sz w:val="21"/>
                <w:szCs w:val="21"/>
              </w:rPr>
            </w:pPr>
            <w:r>
              <w:rPr>
                <w:rFonts w:eastAsiaTheme="minorEastAsia"/>
                <w:color w:val="auto"/>
                <w:sz w:val="21"/>
                <w:szCs w:val="21"/>
              </w:rPr>
              <w:t>DW001</w:t>
            </w:r>
          </w:p>
        </w:tc>
        <w:tc>
          <w:tcPr>
            <w:tcW w:w="442" w:type="pct"/>
            <w:tcBorders>
              <w:tl2br w:val="nil"/>
              <w:tr2bl w:val="nil"/>
            </w:tcBorders>
            <w:vAlign w:val="center"/>
          </w:tcPr>
          <w:p>
            <w:pPr>
              <w:pStyle w:val="16"/>
              <w:adjustRightInd w:val="0"/>
              <w:snapToGrid w:val="0"/>
              <w:spacing w:after="0" w:line="312" w:lineRule="exact"/>
              <w:ind w:left="-72" w:leftChars="-30" w:right="-120" w:rightChars="-50" w:firstLine="0" w:firstLineChars="0"/>
              <w:jc w:val="center"/>
              <w:rPr>
                <w:rFonts w:eastAsiaTheme="minorEastAsia"/>
                <w:color w:val="auto"/>
                <w:sz w:val="21"/>
                <w:szCs w:val="21"/>
              </w:rPr>
            </w:pPr>
            <w:r>
              <w:rPr>
                <w:rFonts w:eastAsiaTheme="minorEastAsia"/>
                <w:color w:val="auto"/>
                <w:sz w:val="21"/>
                <w:szCs w:val="21"/>
              </w:rPr>
              <w:sym w:font="Wingdings" w:char="00FE"/>
            </w:r>
            <w:r>
              <w:rPr>
                <w:rFonts w:eastAsiaTheme="minorEastAsia"/>
                <w:color w:val="auto"/>
                <w:sz w:val="21"/>
                <w:szCs w:val="21"/>
              </w:rPr>
              <w:t>是</w:t>
            </w:r>
          </w:p>
          <w:p>
            <w:pPr>
              <w:pStyle w:val="16"/>
              <w:adjustRightInd w:val="0"/>
              <w:snapToGrid w:val="0"/>
              <w:spacing w:after="0" w:line="312" w:lineRule="exact"/>
              <w:ind w:left="-72" w:leftChars="-30" w:right="-120" w:rightChars="-50" w:firstLine="0" w:firstLineChars="0"/>
              <w:jc w:val="center"/>
              <w:rPr>
                <w:rFonts w:eastAsiaTheme="minorEastAsia"/>
                <w:color w:val="auto"/>
                <w:sz w:val="21"/>
                <w:szCs w:val="21"/>
              </w:rPr>
            </w:pPr>
            <w:r>
              <w:rPr>
                <w:rFonts w:eastAsiaTheme="minorEastAsia"/>
                <w:color w:val="auto"/>
                <w:sz w:val="21"/>
                <w:szCs w:val="21"/>
              </w:rPr>
              <w:sym w:font="Wingdings" w:char="00A8"/>
            </w:r>
            <w:r>
              <w:rPr>
                <w:rFonts w:eastAsiaTheme="minorEastAsia"/>
                <w:color w:val="auto"/>
                <w:sz w:val="21"/>
                <w:szCs w:val="21"/>
              </w:rPr>
              <w:t>否</w:t>
            </w:r>
          </w:p>
        </w:tc>
        <w:tc>
          <w:tcPr>
            <w:tcW w:w="846" w:type="pct"/>
            <w:tcBorders>
              <w:tl2br w:val="nil"/>
              <w:tr2bl w:val="nil"/>
            </w:tcBorders>
            <w:vAlign w:val="center"/>
          </w:tcPr>
          <w:p>
            <w:pPr>
              <w:pStyle w:val="16"/>
              <w:adjustRightInd w:val="0"/>
              <w:snapToGrid w:val="0"/>
              <w:spacing w:after="0" w:line="312" w:lineRule="exact"/>
              <w:ind w:left="-72" w:leftChars="-30" w:right="-120" w:rightChars="-50" w:firstLine="0" w:firstLineChars="0"/>
              <w:jc w:val="left"/>
              <w:rPr>
                <w:rFonts w:eastAsiaTheme="minorEastAsia"/>
                <w:color w:val="auto"/>
                <w:sz w:val="21"/>
                <w:szCs w:val="21"/>
              </w:rPr>
            </w:pPr>
            <w:r>
              <w:rPr>
                <w:rFonts w:eastAsiaTheme="minorEastAsia"/>
                <w:color w:val="auto"/>
                <w:sz w:val="21"/>
                <w:szCs w:val="21"/>
              </w:rPr>
              <w:sym w:font="Wingdings" w:char="00FE"/>
            </w:r>
            <w:r>
              <w:rPr>
                <w:rFonts w:eastAsiaTheme="minorEastAsia"/>
                <w:color w:val="auto"/>
                <w:sz w:val="21"/>
                <w:szCs w:val="21"/>
              </w:rPr>
              <w:t>企业总排</w:t>
            </w:r>
          </w:p>
          <w:p>
            <w:pPr>
              <w:pStyle w:val="16"/>
              <w:adjustRightInd w:val="0"/>
              <w:snapToGrid w:val="0"/>
              <w:spacing w:after="0" w:line="312" w:lineRule="exact"/>
              <w:ind w:left="-72" w:leftChars="-30" w:right="-120" w:rightChars="-50" w:firstLine="0" w:firstLineChars="0"/>
              <w:jc w:val="left"/>
              <w:rPr>
                <w:rFonts w:eastAsiaTheme="minorEastAsia"/>
                <w:color w:val="auto"/>
                <w:sz w:val="21"/>
                <w:szCs w:val="21"/>
              </w:rPr>
            </w:pPr>
            <w:r>
              <w:rPr>
                <w:rFonts w:eastAsiaTheme="minorEastAsia"/>
                <w:color w:val="auto"/>
                <w:sz w:val="21"/>
                <w:szCs w:val="21"/>
              </w:rPr>
              <w:sym w:font="Wingdings" w:char="00A8"/>
            </w:r>
            <w:r>
              <w:rPr>
                <w:rFonts w:eastAsiaTheme="minorEastAsia"/>
                <w:color w:val="auto"/>
                <w:sz w:val="21"/>
                <w:szCs w:val="21"/>
              </w:rPr>
              <w:t>雨水排放</w:t>
            </w:r>
          </w:p>
          <w:p>
            <w:pPr>
              <w:pStyle w:val="16"/>
              <w:adjustRightInd w:val="0"/>
              <w:snapToGrid w:val="0"/>
              <w:spacing w:after="0" w:line="312" w:lineRule="exact"/>
              <w:ind w:left="-72" w:leftChars="-30" w:right="-120" w:rightChars="-50" w:firstLine="0" w:firstLineChars="0"/>
              <w:jc w:val="left"/>
              <w:rPr>
                <w:rFonts w:eastAsiaTheme="minorEastAsia"/>
                <w:color w:val="auto"/>
                <w:sz w:val="21"/>
                <w:szCs w:val="21"/>
              </w:rPr>
            </w:pPr>
            <w:r>
              <w:rPr>
                <w:rFonts w:eastAsiaTheme="minorEastAsia"/>
                <w:color w:val="auto"/>
                <w:sz w:val="21"/>
                <w:szCs w:val="21"/>
              </w:rPr>
              <w:sym w:font="Wingdings" w:char="00A8"/>
            </w:r>
            <w:r>
              <w:rPr>
                <w:rFonts w:eastAsiaTheme="minorEastAsia"/>
                <w:color w:val="auto"/>
                <w:sz w:val="21"/>
                <w:szCs w:val="21"/>
              </w:rPr>
              <w:t>清净下水排放</w:t>
            </w:r>
          </w:p>
          <w:p>
            <w:pPr>
              <w:pStyle w:val="16"/>
              <w:adjustRightInd w:val="0"/>
              <w:snapToGrid w:val="0"/>
              <w:spacing w:after="0" w:line="312" w:lineRule="exact"/>
              <w:ind w:left="-72" w:leftChars="-30" w:right="-120" w:rightChars="-50" w:firstLine="0" w:firstLineChars="0"/>
              <w:jc w:val="left"/>
              <w:rPr>
                <w:rFonts w:eastAsiaTheme="minorEastAsia"/>
                <w:color w:val="auto"/>
                <w:sz w:val="21"/>
                <w:szCs w:val="21"/>
              </w:rPr>
            </w:pPr>
            <w:r>
              <w:rPr>
                <w:rFonts w:eastAsiaTheme="minorEastAsia"/>
                <w:color w:val="auto"/>
                <w:sz w:val="21"/>
                <w:szCs w:val="21"/>
              </w:rPr>
              <w:sym w:font="Wingdings" w:char="00A8"/>
            </w:r>
            <w:r>
              <w:rPr>
                <w:rFonts w:eastAsiaTheme="minorEastAsia"/>
                <w:color w:val="auto"/>
                <w:sz w:val="21"/>
                <w:szCs w:val="21"/>
              </w:rPr>
              <w:t>温排水排放</w:t>
            </w:r>
          </w:p>
          <w:p>
            <w:pPr>
              <w:pStyle w:val="16"/>
              <w:adjustRightInd w:val="0"/>
              <w:snapToGrid w:val="0"/>
              <w:spacing w:after="0" w:line="312" w:lineRule="exact"/>
              <w:ind w:left="-72" w:leftChars="-30" w:right="-120" w:rightChars="-50" w:firstLine="0" w:firstLineChars="0"/>
              <w:jc w:val="left"/>
              <w:rPr>
                <w:rFonts w:eastAsiaTheme="minorEastAsia"/>
                <w:color w:val="auto"/>
                <w:sz w:val="21"/>
                <w:szCs w:val="21"/>
              </w:rPr>
            </w:pPr>
            <w:r>
              <w:rPr>
                <w:rFonts w:eastAsiaTheme="minorEastAsia"/>
                <w:color w:val="auto"/>
                <w:sz w:val="21"/>
                <w:szCs w:val="21"/>
              </w:rPr>
              <w:sym w:font="Wingdings" w:char="00A8"/>
            </w:r>
            <w:r>
              <w:rPr>
                <w:rFonts w:eastAsiaTheme="minorEastAsia"/>
                <w:color w:val="auto"/>
                <w:sz w:val="21"/>
                <w:szCs w:val="21"/>
              </w:rPr>
              <w:t>车间或车间处理设施排放</w:t>
            </w:r>
          </w:p>
          <w:p>
            <w:pPr>
              <w:pStyle w:val="16"/>
              <w:adjustRightInd w:val="0"/>
              <w:snapToGrid w:val="0"/>
              <w:spacing w:after="0" w:line="312" w:lineRule="exact"/>
              <w:ind w:left="-72" w:leftChars="-30" w:right="-120" w:rightChars="-50" w:firstLine="0" w:firstLineChars="0"/>
              <w:jc w:val="left"/>
              <w:rPr>
                <w:rFonts w:eastAsiaTheme="minorEastAsia"/>
                <w:color w:val="auto"/>
                <w:sz w:val="21"/>
                <w:szCs w:val="21"/>
              </w:rPr>
            </w:pPr>
            <w:r>
              <w:rPr>
                <w:rFonts w:eastAsiaTheme="minorEastAsia"/>
                <w:color w:val="auto"/>
                <w:sz w:val="21"/>
                <w:szCs w:val="21"/>
              </w:rPr>
              <w:t>口</w:t>
            </w:r>
          </w:p>
        </w:tc>
      </w:tr>
    </w:tbl>
    <w:p>
      <w:pPr>
        <w:pStyle w:val="16"/>
        <w:adjustRightInd w:val="0"/>
        <w:snapToGrid w:val="0"/>
        <w:spacing w:after="0" w:line="440" w:lineRule="exact"/>
        <w:ind w:left="0" w:leftChars="0" w:firstLine="0" w:firstLineChars="0"/>
        <w:jc w:val="center"/>
        <w:rPr>
          <w:rFonts w:eastAsia="黑体"/>
          <w:color w:val="auto"/>
          <w:sz w:val="21"/>
          <w:szCs w:val="21"/>
        </w:rPr>
      </w:pPr>
      <w:r>
        <w:rPr>
          <w:rFonts w:eastAsia="黑体"/>
          <w:color w:val="auto"/>
          <w:sz w:val="21"/>
          <w:szCs w:val="21"/>
        </w:rPr>
        <w:t>表</w:t>
      </w:r>
      <w:r>
        <w:rPr>
          <w:rFonts w:hint="eastAsia" w:eastAsia="黑体"/>
          <w:color w:val="auto"/>
          <w:sz w:val="21"/>
          <w:szCs w:val="21"/>
        </w:rPr>
        <w:t>5</w:t>
      </w:r>
      <w:r>
        <w:rPr>
          <w:rFonts w:eastAsia="黑体"/>
          <w:color w:val="auto"/>
          <w:sz w:val="21"/>
          <w:szCs w:val="21"/>
        </w:rPr>
        <w:t>.2-</w:t>
      </w:r>
      <w:r>
        <w:rPr>
          <w:rFonts w:hint="eastAsia" w:eastAsia="黑体"/>
          <w:color w:val="auto"/>
          <w:sz w:val="21"/>
          <w:szCs w:val="21"/>
        </w:rPr>
        <w:t>4</w:t>
      </w:r>
      <w:r>
        <w:rPr>
          <w:rFonts w:eastAsia="黑体"/>
          <w:color w:val="auto"/>
          <w:sz w:val="21"/>
          <w:szCs w:val="21"/>
        </w:rPr>
        <w:t xml:space="preserve">  废水间接排放口基本信息表</w:t>
      </w:r>
    </w:p>
    <w:tbl>
      <w:tblPr>
        <w:tblStyle w:val="23"/>
        <w:tblW w:w="888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1"/>
        <w:gridCol w:w="472"/>
        <w:gridCol w:w="630"/>
        <w:gridCol w:w="614"/>
        <w:gridCol w:w="630"/>
        <w:gridCol w:w="709"/>
        <w:gridCol w:w="803"/>
        <w:gridCol w:w="568"/>
        <w:gridCol w:w="707"/>
        <w:gridCol w:w="1039"/>
        <w:gridCol w:w="23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71" w:type="dxa"/>
            <w:vMerge w:val="restart"/>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序号</w:t>
            </w:r>
          </w:p>
        </w:tc>
        <w:tc>
          <w:tcPr>
            <w:tcW w:w="472" w:type="dxa"/>
            <w:vMerge w:val="restart"/>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排放口编号</w:t>
            </w:r>
          </w:p>
        </w:tc>
        <w:tc>
          <w:tcPr>
            <w:tcW w:w="1244" w:type="dxa"/>
            <w:gridSpan w:val="2"/>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排放口地理坐标</w:t>
            </w:r>
          </w:p>
        </w:tc>
        <w:tc>
          <w:tcPr>
            <w:tcW w:w="630" w:type="dxa"/>
            <w:vMerge w:val="restart"/>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废水排放量、（万t/a）</w:t>
            </w:r>
          </w:p>
        </w:tc>
        <w:tc>
          <w:tcPr>
            <w:tcW w:w="709" w:type="dxa"/>
            <w:vMerge w:val="restart"/>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排放去向</w:t>
            </w:r>
          </w:p>
        </w:tc>
        <w:tc>
          <w:tcPr>
            <w:tcW w:w="803" w:type="dxa"/>
            <w:vMerge w:val="restart"/>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排放规律</w:t>
            </w:r>
          </w:p>
        </w:tc>
        <w:tc>
          <w:tcPr>
            <w:tcW w:w="568" w:type="dxa"/>
            <w:vMerge w:val="restart"/>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间接排放时段</w:t>
            </w:r>
          </w:p>
        </w:tc>
        <w:tc>
          <w:tcPr>
            <w:tcW w:w="4087" w:type="dxa"/>
            <w:gridSpan w:val="3"/>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受纳污水处理厂信息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71"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472"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630"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经度</w:t>
            </w:r>
          </w:p>
        </w:tc>
        <w:tc>
          <w:tcPr>
            <w:tcW w:w="614"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纬度</w:t>
            </w:r>
          </w:p>
        </w:tc>
        <w:tc>
          <w:tcPr>
            <w:tcW w:w="630"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709"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803"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568"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707"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名称</w:t>
            </w:r>
          </w:p>
        </w:tc>
        <w:tc>
          <w:tcPr>
            <w:tcW w:w="1039"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污染物种类</w:t>
            </w:r>
          </w:p>
        </w:tc>
        <w:tc>
          <w:tcPr>
            <w:tcW w:w="2341"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国家或地方污染物排放标准浓度限值/（mg/L）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71"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1</w:t>
            </w:r>
          </w:p>
        </w:tc>
        <w:tc>
          <w:tcPr>
            <w:tcW w:w="472"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rFonts w:eastAsiaTheme="minorEastAsia"/>
                <w:color w:val="auto"/>
                <w:sz w:val="21"/>
                <w:szCs w:val="21"/>
              </w:rPr>
              <w:t>DW001</w:t>
            </w:r>
          </w:p>
        </w:tc>
        <w:tc>
          <w:tcPr>
            <w:tcW w:w="630"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118.</w:t>
            </w:r>
            <w:r>
              <w:rPr>
                <w:rFonts w:hint="eastAsia"/>
                <w:color w:val="auto"/>
                <w:sz w:val="21"/>
                <w:szCs w:val="21"/>
              </w:rPr>
              <w:t>001856</w:t>
            </w:r>
          </w:p>
        </w:tc>
        <w:tc>
          <w:tcPr>
            <w:tcW w:w="614"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36.</w:t>
            </w:r>
            <w:r>
              <w:rPr>
                <w:rFonts w:hint="eastAsia"/>
                <w:color w:val="auto"/>
                <w:sz w:val="21"/>
                <w:szCs w:val="21"/>
              </w:rPr>
              <w:t>859630</w:t>
            </w:r>
          </w:p>
        </w:tc>
        <w:tc>
          <w:tcPr>
            <w:tcW w:w="630" w:type="dxa"/>
            <w:tcBorders>
              <w:tl2br w:val="nil"/>
              <w:tr2bl w:val="nil"/>
            </w:tcBorders>
            <w:vAlign w:val="center"/>
          </w:tcPr>
          <w:p>
            <w:pPr>
              <w:pStyle w:val="2"/>
              <w:spacing w:after="0" w:line="312" w:lineRule="exact"/>
              <w:ind w:left="-72" w:leftChars="-30" w:right="-72" w:rightChars="-30" w:firstLine="0" w:firstLineChars="0"/>
              <w:jc w:val="center"/>
              <w:rPr>
                <w:rFonts w:hint="eastAsia" w:eastAsia="宋体"/>
                <w:color w:val="auto"/>
                <w:sz w:val="21"/>
                <w:szCs w:val="21"/>
                <w:lang w:eastAsia="zh-CN"/>
              </w:rPr>
            </w:pPr>
            <w:r>
              <w:rPr>
                <w:color w:val="auto"/>
                <w:sz w:val="21"/>
                <w:szCs w:val="21"/>
              </w:rPr>
              <w:t>0.</w:t>
            </w:r>
            <w:r>
              <w:rPr>
                <w:rFonts w:hint="eastAsia"/>
                <w:color w:val="auto"/>
                <w:sz w:val="21"/>
                <w:szCs w:val="21"/>
                <w:lang w:val="en-US" w:eastAsia="zh-CN"/>
              </w:rPr>
              <w:t>3</w:t>
            </w:r>
          </w:p>
        </w:tc>
        <w:tc>
          <w:tcPr>
            <w:tcW w:w="709" w:type="dxa"/>
            <w:tcBorders>
              <w:tl2br w:val="nil"/>
              <w:tr2bl w:val="nil"/>
            </w:tcBorders>
            <w:vAlign w:val="center"/>
          </w:tcPr>
          <w:p>
            <w:pPr>
              <w:pStyle w:val="16"/>
              <w:adjustRightInd w:val="0"/>
              <w:snapToGrid w:val="0"/>
              <w:spacing w:after="0" w:line="312" w:lineRule="exact"/>
              <w:ind w:left="-72" w:leftChars="-30" w:right="-72" w:rightChars="-30" w:firstLine="0" w:firstLineChars="0"/>
              <w:jc w:val="center"/>
              <w:rPr>
                <w:rFonts w:hint="eastAsia" w:eastAsia="宋体"/>
                <w:color w:val="auto"/>
                <w:sz w:val="21"/>
                <w:szCs w:val="21"/>
                <w:lang w:eastAsia="zh-CN"/>
              </w:rPr>
            </w:pPr>
            <w:r>
              <w:rPr>
                <w:rFonts w:hint="eastAsia" w:eastAsia="TimesNewRomanPSMT"/>
                <w:color w:val="auto"/>
                <w:sz w:val="21"/>
                <w:szCs w:val="21"/>
              </w:rPr>
              <w:t>光大水务（淄博）有限公司水质净化</w:t>
            </w:r>
            <w:r>
              <w:rPr>
                <w:rFonts w:hint="eastAsia" w:eastAsia="宋体"/>
                <w:color w:val="auto"/>
                <w:sz w:val="21"/>
                <w:szCs w:val="21"/>
                <w:lang w:eastAsia="zh-CN"/>
              </w:rPr>
              <w:t>三分厂</w:t>
            </w:r>
          </w:p>
        </w:tc>
        <w:tc>
          <w:tcPr>
            <w:tcW w:w="803" w:type="dxa"/>
            <w:tcBorders>
              <w:tl2br w:val="nil"/>
              <w:tr2bl w:val="nil"/>
            </w:tcBorders>
            <w:vAlign w:val="center"/>
          </w:tcPr>
          <w:p>
            <w:pPr>
              <w:pStyle w:val="16"/>
              <w:adjustRightInd w:val="0"/>
              <w:snapToGrid w:val="0"/>
              <w:spacing w:after="0" w:line="312" w:lineRule="exact"/>
              <w:ind w:left="-72" w:leftChars="-30" w:right="-72" w:rightChars="-30" w:firstLine="0" w:firstLineChars="0"/>
              <w:jc w:val="center"/>
              <w:rPr>
                <w:color w:val="auto"/>
                <w:sz w:val="21"/>
                <w:szCs w:val="21"/>
              </w:rPr>
            </w:pPr>
            <w:r>
              <w:rPr>
                <w:rFonts w:eastAsiaTheme="minorEastAsia"/>
                <w:color w:val="auto"/>
                <w:sz w:val="21"/>
                <w:szCs w:val="21"/>
              </w:rPr>
              <w:t>间歇</w:t>
            </w:r>
          </w:p>
        </w:tc>
        <w:tc>
          <w:tcPr>
            <w:tcW w:w="568"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全天</w:t>
            </w:r>
          </w:p>
        </w:tc>
        <w:tc>
          <w:tcPr>
            <w:tcW w:w="707" w:type="dxa"/>
            <w:tcBorders>
              <w:tl2br w:val="nil"/>
              <w:tr2bl w:val="nil"/>
            </w:tcBorders>
            <w:vAlign w:val="center"/>
          </w:tcPr>
          <w:p>
            <w:pPr>
              <w:pStyle w:val="2"/>
              <w:spacing w:after="0" w:line="312" w:lineRule="exact"/>
              <w:ind w:left="-72" w:leftChars="-30" w:right="-72" w:rightChars="-30" w:firstLine="0" w:firstLineChars="0"/>
              <w:jc w:val="center"/>
              <w:rPr>
                <w:rFonts w:hint="eastAsia" w:eastAsia="宋体"/>
                <w:color w:val="auto"/>
                <w:sz w:val="21"/>
                <w:szCs w:val="21"/>
                <w:lang w:eastAsia="zh-CN"/>
              </w:rPr>
            </w:pPr>
            <w:r>
              <w:rPr>
                <w:rFonts w:hint="eastAsia" w:eastAsia="TimesNewRomanPSMT"/>
                <w:color w:val="auto"/>
                <w:sz w:val="21"/>
                <w:szCs w:val="21"/>
              </w:rPr>
              <w:t>光大水务（淄博）有限公司水质净化</w:t>
            </w:r>
            <w:r>
              <w:rPr>
                <w:rFonts w:hint="eastAsia" w:eastAsia="宋体"/>
                <w:color w:val="auto"/>
                <w:sz w:val="21"/>
                <w:szCs w:val="21"/>
                <w:lang w:eastAsia="zh-CN"/>
              </w:rPr>
              <w:t>三分厂</w:t>
            </w:r>
          </w:p>
        </w:tc>
        <w:tc>
          <w:tcPr>
            <w:tcW w:w="1039"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pH、COD、氨氮、BOD</w:t>
            </w:r>
            <w:r>
              <w:rPr>
                <w:color w:val="auto"/>
                <w:sz w:val="21"/>
                <w:szCs w:val="21"/>
                <w:vertAlign w:val="subscript"/>
              </w:rPr>
              <w:t>5</w:t>
            </w:r>
            <w:r>
              <w:rPr>
                <w:color w:val="auto"/>
                <w:sz w:val="21"/>
                <w:szCs w:val="21"/>
              </w:rPr>
              <w:t>、SS、总磷、总氮等</w:t>
            </w:r>
          </w:p>
        </w:tc>
        <w:tc>
          <w:tcPr>
            <w:tcW w:w="2341" w:type="dxa"/>
            <w:tcBorders>
              <w:tl2br w:val="nil"/>
              <w:tr2bl w:val="nil"/>
            </w:tcBorders>
            <w:vAlign w:val="center"/>
          </w:tcPr>
          <w:p>
            <w:pPr>
              <w:spacing w:line="312" w:lineRule="exact"/>
              <w:ind w:left="-72" w:leftChars="-30" w:right="-72" w:rightChars="-30" w:firstLine="0" w:firstLineChars="0"/>
              <w:jc w:val="center"/>
              <w:rPr>
                <w:color w:val="auto"/>
                <w:sz w:val="21"/>
                <w:szCs w:val="21"/>
              </w:rPr>
            </w:pPr>
            <w:r>
              <w:rPr>
                <w:color w:val="auto"/>
                <w:sz w:val="21"/>
                <w:szCs w:val="21"/>
              </w:rPr>
              <w:t>《城镇污水处理厂污染物排放标准》</w:t>
            </w:r>
            <w:r>
              <w:rPr>
                <w:rFonts w:eastAsia="Times New Roman"/>
                <w:color w:val="auto"/>
                <w:sz w:val="21"/>
                <w:szCs w:val="21"/>
              </w:rPr>
              <w:t>GB18</w:t>
            </w:r>
            <w:r>
              <w:rPr>
                <w:color w:val="auto"/>
                <w:sz w:val="21"/>
                <w:szCs w:val="21"/>
              </w:rPr>
              <w:t>918-2002）一级A标准</w:t>
            </w:r>
          </w:p>
        </w:tc>
      </w:tr>
    </w:tbl>
    <w:p>
      <w:pPr>
        <w:ind w:firstLine="420"/>
        <w:jc w:val="center"/>
        <w:rPr>
          <w:rFonts w:eastAsia="黑体"/>
          <w:color w:val="auto"/>
          <w:sz w:val="21"/>
          <w:szCs w:val="21"/>
        </w:rPr>
      </w:pPr>
      <w:r>
        <w:rPr>
          <w:rFonts w:eastAsia="黑体"/>
          <w:color w:val="auto"/>
          <w:sz w:val="21"/>
          <w:szCs w:val="21"/>
        </w:rPr>
        <w:t>表</w:t>
      </w:r>
      <w:r>
        <w:rPr>
          <w:rFonts w:hint="eastAsia" w:eastAsia="黑体"/>
          <w:color w:val="auto"/>
          <w:sz w:val="21"/>
          <w:szCs w:val="21"/>
        </w:rPr>
        <w:t>5.2-5</w:t>
      </w:r>
      <w:r>
        <w:rPr>
          <w:rFonts w:eastAsia="黑体"/>
          <w:color w:val="auto"/>
          <w:sz w:val="21"/>
          <w:szCs w:val="21"/>
        </w:rPr>
        <w:t xml:space="preserve">  废水污染物排放执行标准表</w:t>
      </w:r>
    </w:p>
    <w:tbl>
      <w:tblPr>
        <w:tblStyle w:val="23"/>
        <w:tblW w:w="891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51"/>
        <w:gridCol w:w="820"/>
        <w:gridCol w:w="2223"/>
        <w:gridCol w:w="2523"/>
        <w:gridCol w:w="23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51" w:type="dxa"/>
            <w:vMerge w:val="restart"/>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序号</w:t>
            </w:r>
          </w:p>
        </w:tc>
        <w:tc>
          <w:tcPr>
            <w:tcW w:w="820" w:type="dxa"/>
            <w:vMerge w:val="restart"/>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排放口编号</w:t>
            </w:r>
          </w:p>
        </w:tc>
        <w:tc>
          <w:tcPr>
            <w:tcW w:w="2223" w:type="dxa"/>
            <w:vMerge w:val="restart"/>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污染物种类</w:t>
            </w:r>
          </w:p>
        </w:tc>
        <w:tc>
          <w:tcPr>
            <w:tcW w:w="4825" w:type="dxa"/>
            <w:gridSpan w:val="2"/>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国家或地方污染物排放标准及其他按规定商定的排放协议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51"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820"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2223"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2523"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名称</w:t>
            </w:r>
          </w:p>
        </w:tc>
        <w:tc>
          <w:tcPr>
            <w:tcW w:w="2302"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浓度限值（mg/L）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51" w:type="dxa"/>
            <w:vMerge w:val="restart"/>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1</w:t>
            </w:r>
          </w:p>
        </w:tc>
        <w:tc>
          <w:tcPr>
            <w:tcW w:w="820" w:type="dxa"/>
            <w:vMerge w:val="restart"/>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rFonts w:eastAsiaTheme="minorEastAsia"/>
                <w:color w:val="auto"/>
                <w:sz w:val="21"/>
                <w:szCs w:val="21"/>
              </w:rPr>
              <w:t>DW001</w:t>
            </w:r>
          </w:p>
        </w:tc>
        <w:tc>
          <w:tcPr>
            <w:tcW w:w="2223" w:type="dxa"/>
            <w:vMerge w:val="restart"/>
            <w:tcBorders>
              <w:tl2br w:val="nil"/>
              <w:tr2bl w:val="nil"/>
            </w:tcBorders>
            <w:vAlign w:val="center"/>
          </w:tcPr>
          <w:p>
            <w:pPr>
              <w:pStyle w:val="16"/>
              <w:adjustRightInd w:val="0"/>
              <w:snapToGrid w:val="0"/>
              <w:spacing w:after="0" w:line="312" w:lineRule="exact"/>
              <w:ind w:left="-72" w:leftChars="-30" w:right="-120" w:rightChars="-50" w:firstLine="0" w:firstLineChars="0"/>
              <w:jc w:val="center"/>
              <w:rPr>
                <w:color w:val="auto"/>
                <w:sz w:val="21"/>
                <w:szCs w:val="21"/>
              </w:rPr>
            </w:pPr>
            <w:r>
              <w:rPr>
                <w:rFonts w:eastAsiaTheme="minorEastAsia"/>
                <w:color w:val="auto"/>
                <w:sz w:val="21"/>
                <w:szCs w:val="21"/>
              </w:rPr>
              <w:t>循环冷却系统排水</w:t>
            </w:r>
            <w:r>
              <w:rPr>
                <w:rFonts w:hint="eastAsia" w:eastAsiaTheme="minorEastAsia"/>
                <w:color w:val="auto"/>
                <w:sz w:val="21"/>
                <w:szCs w:val="21"/>
              </w:rPr>
              <w:t>、</w:t>
            </w:r>
            <w:r>
              <w:rPr>
                <w:rFonts w:eastAsiaTheme="minorEastAsia"/>
                <w:color w:val="auto"/>
                <w:sz w:val="21"/>
                <w:szCs w:val="21"/>
              </w:rPr>
              <w:t>化验室排水</w:t>
            </w:r>
            <w:r>
              <w:rPr>
                <w:rFonts w:hint="eastAsia" w:eastAsiaTheme="minorEastAsia"/>
                <w:color w:val="auto"/>
                <w:sz w:val="21"/>
                <w:szCs w:val="21"/>
              </w:rPr>
              <w:t>、</w:t>
            </w:r>
            <w:r>
              <w:rPr>
                <w:rFonts w:eastAsiaTheme="minorEastAsia"/>
                <w:color w:val="auto"/>
                <w:sz w:val="21"/>
                <w:szCs w:val="21"/>
              </w:rPr>
              <w:t>喷淋塔排水</w:t>
            </w:r>
            <w:r>
              <w:rPr>
                <w:rFonts w:hint="eastAsia" w:eastAsiaTheme="minorEastAsia"/>
                <w:color w:val="auto"/>
                <w:sz w:val="21"/>
                <w:szCs w:val="21"/>
              </w:rPr>
              <w:t>、</w:t>
            </w:r>
            <w:r>
              <w:rPr>
                <w:rFonts w:eastAsiaTheme="minorEastAsia"/>
                <w:color w:val="auto"/>
                <w:sz w:val="21"/>
                <w:szCs w:val="21"/>
              </w:rPr>
              <w:t>地面清洗废水</w:t>
            </w:r>
            <w:r>
              <w:rPr>
                <w:rFonts w:hint="eastAsia" w:eastAsiaTheme="minorEastAsia"/>
                <w:color w:val="auto"/>
                <w:sz w:val="21"/>
                <w:szCs w:val="21"/>
              </w:rPr>
              <w:t>、生产废水、生活污水</w:t>
            </w:r>
          </w:p>
        </w:tc>
        <w:tc>
          <w:tcPr>
            <w:tcW w:w="2523"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pH</w:t>
            </w:r>
          </w:p>
        </w:tc>
        <w:tc>
          <w:tcPr>
            <w:tcW w:w="2302"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51"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820"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2223"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2523"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COD</w:t>
            </w:r>
          </w:p>
        </w:tc>
        <w:tc>
          <w:tcPr>
            <w:tcW w:w="2302"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51"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820"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2223"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2523"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BOD</w:t>
            </w:r>
            <w:r>
              <w:rPr>
                <w:color w:val="auto"/>
                <w:sz w:val="21"/>
                <w:szCs w:val="21"/>
                <w:vertAlign w:val="subscript"/>
              </w:rPr>
              <w:t>5</w:t>
            </w:r>
          </w:p>
        </w:tc>
        <w:tc>
          <w:tcPr>
            <w:tcW w:w="2302"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51"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820"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2223"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2523"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SS</w:t>
            </w:r>
          </w:p>
        </w:tc>
        <w:tc>
          <w:tcPr>
            <w:tcW w:w="2302"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51"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820"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2223"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2523"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氨氮</w:t>
            </w:r>
          </w:p>
        </w:tc>
        <w:tc>
          <w:tcPr>
            <w:tcW w:w="2302"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51"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820"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2223"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2523"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总磷</w:t>
            </w:r>
          </w:p>
        </w:tc>
        <w:tc>
          <w:tcPr>
            <w:tcW w:w="2302"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51"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820"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2223"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2523"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总氮</w:t>
            </w:r>
          </w:p>
        </w:tc>
        <w:tc>
          <w:tcPr>
            <w:tcW w:w="2302"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51"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820"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2223"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2523"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石油类</w:t>
            </w:r>
          </w:p>
        </w:tc>
        <w:tc>
          <w:tcPr>
            <w:tcW w:w="2302"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15</w:t>
            </w:r>
          </w:p>
        </w:tc>
      </w:tr>
    </w:tbl>
    <w:p>
      <w:pPr>
        <w:ind w:firstLine="420"/>
        <w:jc w:val="center"/>
        <w:rPr>
          <w:rFonts w:eastAsia="黑体"/>
          <w:color w:val="auto"/>
          <w:sz w:val="21"/>
          <w:szCs w:val="21"/>
        </w:rPr>
      </w:pPr>
      <w:r>
        <w:rPr>
          <w:rFonts w:eastAsia="黑体"/>
          <w:color w:val="auto"/>
          <w:sz w:val="21"/>
          <w:szCs w:val="21"/>
        </w:rPr>
        <w:t>表</w:t>
      </w:r>
      <w:r>
        <w:rPr>
          <w:rFonts w:hint="eastAsia" w:eastAsia="黑体"/>
          <w:color w:val="auto"/>
          <w:sz w:val="21"/>
          <w:szCs w:val="21"/>
        </w:rPr>
        <w:t>5.2-6</w:t>
      </w:r>
      <w:r>
        <w:rPr>
          <w:rFonts w:eastAsia="黑体"/>
          <w:color w:val="auto"/>
          <w:sz w:val="21"/>
          <w:szCs w:val="21"/>
        </w:rPr>
        <w:t xml:space="preserve">  废水污染物排放信息</w:t>
      </w:r>
    </w:p>
    <w:tbl>
      <w:tblPr>
        <w:tblStyle w:val="23"/>
        <w:tblW w:w="891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1"/>
        <w:gridCol w:w="1041"/>
        <w:gridCol w:w="1813"/>
        <w:gridCol w:w="1545"/>
        <w:gridCol w:w="1766"/>
        <w:gridCol w:w="18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11"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序号</w:t>
            </w:r>
          </w:p>
        </w:tc>
        <w:tc>
          <w:tcPr>
            <w:tcW w:w="1041"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排放口编号</w:t>
            </w:r>
          </w:p>
        </w:tc>
        <w:tc>
          <w:tcPr>
            <w:tcW w:w="1813"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污染物种类</w:t>
            </w:r>
          </w:p>
        </w:tc>
        <w:tc>
          <w:tcPr>
            <w:tcW w:w="1545"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排放浓度/（mg/L）</w:t>
            </w:r>
          </w:p>
        </w:tc>
        <w:tc>
          <w:tcPr>
            <w:tcW w:w="1766"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日排放量/（</w:t>
            </w:r>
            <w:r>
              <w:rPr>
                <w:rFonts w:hint="eastAsia"/>
                <w:color w:val="auto"/>
                <w:sz w:val="21"/>
                <w:szCs w:val="21"/>
              </w:rPr>
              <w:t>kg</w:t>
            </w:r>
            <w:r>
              <w:rPr>
                <w:color w:val="auto"/>
                <w:sz w:val="21"/>
                <w:szCs w:val="21"/>
              </w:rPr>
              <w:t>/d）</w:t>
            </w:r>
          </w:p>
        </w:tc>
        <w:tc>
          <w:tcPr>
            <w:tcW w:w="1836"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11" w:type="dxa"/>
            <w:vMerge w:val="restart"/>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1</w:t>
            </w:r>
          </w:p>
        </w:tc>
        <w:tc>
          <w:tcPr>
            <w:tcW w:w="1041" w:type="dxa"/>
            <w:vMerge w:val="restart"/>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rFonts w:eastAsiaTheme="minorEastAsia"/>
                <w:color w:val="auto"/>
                <w:sz w:val="21"/>
                <w:szCs w:val="21"/>
              </w:rPr>
              <w:t>DW001</w:t>
            </w:r>
          </w:p>
        </w:tc>
        <w:tc>
          <w:tcPr>
            <w:tcW w:w="1813"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COD</w:t>
            </w:r>
          </w:p>
        </w:tc>
        <w:tc>
          <w:tcPr>
            <w:tcW w:w="1545" w:type="dxa"/>
            <w:tcBorders>
              <w:tl2br w:val="nil"/>
              <w:tr2bl w:val="nil"/>
            </w:tcBorders>
            <w:vAlign w:val="center"/>
          </w:tcPr>
          <w:p>
            <w:pPr>
              <w:pStyle w:val="2"/>
              <w:spacing w:after="0" w:line="312" w:lineRule="exact"/>
              <w:ind w:left="-72" w:leftChars="-30" w:right="-72" w:rightChars="-30" w:firstLine="0" w:firstLineChars="0"/>
              <w:jc w:val="center"/>
              <w:rPr>
                <w:rFonts w:hint="default" w:eastAsia="宋体"/>
                <w:color w:val="auto"/>
                <w:sz w:val="21"/>
                <w:szCs w:val="21"/>
                <w:lang w:val="en-US" w:eastAsia="zh-CN"/>
              </w:rPr>
            </w:pPr>
            <w:r>
              <w:rPr>
                <w:rFonts w:hint="eastAsia"/>
                <w:color w:val="auto"/>
                <w:sz w:val="21"/>
                <w:szCs w:val="21"/>
                <w:lang w:val="en-US" w:eastAsia="zh-CN"/>
              </w:rPr>
              <w:t>442</w:t>
            </w:r>
          </w:p>
        </w:tc>
        <w:tc>
          <w:tcPr>
            <w:tcW w:w="1766" w:type="dxa"/>
            <w:tcBorders>
              <w:tl2br w:val="nil"/>
              <w:tr2bl w:val="nil"/>
            </w:tcBorders>
            <w:vAlign w:val="center"/>
          </w:tcPr>
          <w:p>
            <w:pPr>
              <w:pStyle w:val="2"/>
              <w:spacing w:after="0" w:line="312" w:lineRule="exact"/>
              <w:ind w:left="-72" w:leftChars="-30" w:right="-72" w:rightChars="-30" w:firstLine="0" w:firstLineChars="0"/>
              <w:jc w:val="center"/>
              <w:rPr>
                <w:rFonts w:hint="default" w:eastAsia="宋体"/>
                <w:color w:val="auto"/>
                <w:sz w:val="21"/>
                <w:szCs w:val="21"/>
                <w:lang w:val="en-US" w:eastAsia="zh-CN"/>
              </w:rPr>
            </w:pPr>
            <w:r>
              <w:rPr>
                <w:rFonts w:hint="eastAsia"/>
                <w:color w:val="auto"/>
                <w:sz w:val="21"/>
                <w:szCs w:val="21"/>
                <w:lang w:val="en-US" w:eastAsia="zh-CN"/>
              </w:rPr>
              <w:t>4.46</w:t>
            </w:r>
          </w:p>
        </w:tc>
        <w:tc>
          <w:tcPr>
            <w:tcW w:w="1836" w:type="dxa"/>
            <w:tcBorders>
              <w:tl2br w:val="nil"/>
              <w:tr2bl w:val="nil"/>
            </w:tcBorders>
            <w:vAlign w:val="center"/>
          </w:tcPr>
          <w:p>
            <w:pPr>
              <w:pStyle w:val="2"/>
              <w:spacing w:after="0" w:line="312" w:lineRule="exact"/>
              <w:ind w:left="-72" w:leftChars="-30" w:right="-72" w:rightChars="-30" w:firstLine="0" w:firstLineChars="0"/>
              <w:jc w:val="center"/>
              <w:rPr>
                <w:rFonts w:hint="default" w:eastAsia="宋体"/>
                <w:color w:val="auto"/>
                <w:sz w:val="21"/>
                <w:szCs w:val="21"/>
                <w:lang w:val="en-US" w:eastAsia="zh-CN"/>
              </w:rPr>
            </w:pPr>
            <w:r>
              <w:rPr>
                <w:rFonts w:hint="eastAsia"/>
                <w:color w:val="auto"/>
                <w:sz w:val="21"/>
                <w:szCs w:val="21"/>
                <w:lang w:val="en-US" w:eastAsia="zh-CN"/>
              </w:rPr>
              <w:t>1.34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11"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1041" w:type="dxa"/>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1813"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氨氮</w:t>
            </w:r>
          </w:p>
        </w:tc>
        <w:tc>
          <w:tcPr>
            <w:tcW w:w="1545" w:type="dxa"/>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rFonts w:hint="eastAsia"/>
                <w:color w:val="auto"/>
                <w:sz w:val="21"/>
                <w:szCs w:val="21"/>
              </w:rPr>
              <w:t>8.89</w:t>
            </w:r>
          </w:p>
        </w:tc>
        <w:tc>
          <w:tcPr>
            <w:tcW w:w="1766" w:type="dxa"/>
            <w:tcBorders>
              <w:tl2br w:val="nil"/>
              <w:tr2bl w:val="nil"/>
            </w:tcBorders>
            <w:vAlign w:val="center"/>
          </w:tcPr>
          <w:p>
            <w:pPr>
              <w:pStyle w:val="2"/>
              <w:spacing w:after="0" w:line="312" w:lineRule="exact"/>
              <w:ind w:left="-72" w:leftChars="-30" w:right="-72" w:rightChars="-30" w:firstLine="0" w:firstLineChars="0"/>
              <w:jc w:val="center"/>
              <w:rPr>
                <w:rFonts w:hint="eastAsia" w:eastAsia="宋体"/>
                <w:color w:val="auto"/>
                <w:sz w:val="21"/>
                <w:szCs w:val="21"/>
                <w:lang w:eastAsia="zh-CN"/>
              </w:rPr>
            </w:pPr>
            <w:r>
              <w:rPr>
                <w:rFonts w:hint="eastAsia"/>
                <w:color w:val="auto"/>
                <w:sz w:val="21"/>
                <w:szCs w:val="21"/>
              </w:rPr>
              <w:t>0.0</w:t>
            </w:r>
            <w:r>
              <w:rPr>
                <w:rFonts w:hint="eastAsia"/>
                <w:color w:val="auto"/>
                <w:sz w:val="21"/>
                <w:szCs w:val="21"/>
                <w:lang w:val="en-US" w:eastAsia="zh-CN"/>
              </w:rPr>
              <w:t>9</w:t>
            </w:r>
          </w:p>
        </w:tc>
        <w:tc>
          <w:tcPr>
            <w:tcW w:w="1836" w:type="dxa"/>
            <w:tcBorders>
              <w:tl2br w:val="nil"/>
              <w:tr2bl w:val="nil"/>
            </w:tcBorders>
            <w:vAlign w:val="center"/>
          </w:tcPr>
          <w:p>
            <w:pPr>
              <w:pStyle w:val="2"/>
              <w:spacing w:after="0" w:line="312" w:lineRule="exact"/>
              <w:ind w:left="-72" w:leftChars="-30" w:right="-72" w:rightChars="-30" w:firstLine="0" w:firstLineChars="0"/>
              <w:jc w:val="center"/>
              <w:rPr>
                <w:rFonts w:hint="eastAsia" w:eastAsia="宋体"/>
                <w:color w:val="auto"/>
                <w:sz w:val="21"/>
                <w:szCs w:val="21"/>
                <w:lang w:eastAsia="zh-CN"/>
              </w:rPr>
            </w:pPr>
            <w:r>
              <w:rPr>
                <w:rFonts w:hint="eastAsia"/>
                <w:color w:val="auto"/>
                <w:sz w:val="21"/>
                <w:szCs w:val="21"/>
              </w:rPr>
              <w:t>0.02</w:t>
            </w:r>
            <w:r>
              <w:rPr>
                <w:rFonts w:hint="eastAsia"/>
                <w:color w:val="auto"/>
                <w:sz w:val="21"/>
                <w:szCs w:val="21"/>
                <w:lang w:val="en-US" w:eastAsia="zh-CN"/>
              </w:rPr>
              <w:t>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952" w:type="dxa"/>
            <w:gridSpan w:val="2"/>
            <w:vMerge w:val="restart"/>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全厂排放口合计</w:t>
            </w:r>
          </w:p>
        </w:tc>
        <w:tc>
          <w:tcPr>
            <w:tcW w:w="5124" w:type="dxa"/>
            <w:gridSpan w:val="3"/>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COD</w:t>
            </w:r>
          </w:p>
        </w:tc>
        <w:tc>
          <w:tcPr>
            <w:tcW w:w="1836" w:type="dxa"/>
            <w:tcBorders>
              <w:tl2br w:val="nil"/>
              <w:tr2bl w:val="nil"/>
            </w:tcBorders>
            <w:vAlign w:val="center"/>
          </w:tcPr>
          <w:p>
            <w:pPr>
              <w:pStyle w:val="2"/>
              <w:spacing w:after="0" w:line="312" w:lineRule="exact"/>
              <w:ind w:left="-72" w:leftChars="-30" w:right="-72" w:rightChars="-30" w:firstLine="0" w:firstLineChars="0"/>
              <w:jc w:val="center"/>
              <w:rPr>
                <w:rFonts w:hint="eastAsia" w:eastAsia="宋体"/>
                <w:color w:val="auto"/>
                <w:sz w:val="21"/>
                <w:szCs w:val="21"/>
                <w:lang w:eastAsia="zh-CN"/>
              </w:rPr>
            </w:pPr>
            <w:r>
              <w:rPr>
                <w:rFonts w:hint="eastAsia"/>
                <w:color w:val="auto"/>
                <w:sz w:val="21"/>
                <w:szCs w:val="21"/>
                <w:lang w:eastAsia="zh-CN"/>
              </w:rPr>
              <w:t>1.34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952" w:type="dxa"/>
            <w:gridSpan w:val="2"/>
            <w:vMerge w:val="continue"/>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p>
        </w:tc>
        <w:tc>
          <w:tcPr>
            <w:tcW w:w="5124" w:type="dxa"/>
            <w:gridSpan w:val="3"/>
            <w:tcBorders>
              <w:tl2br w:val="nil"/>
              <w:tr2bl w:val="nil"/>
            </w:tcBorders>
            <w:vAlign w:val="center"/>
          </w:tcPr>
          <w:p>
            <w:pPr>
              <w:pStyle w:val="2"/>
              <w:spacing w:after="0" w:line="312" w:lineRule="exact"/>
              <w:ind w:left="-72" w:leftChars="-30" w:right="-72" w:rightChars="-30" w:firstLine="0" w:firstLineChars="0"/>
              <w:jc w:val="center"/>
              <w:rPr>
                <w:color w:val="auto"/>
                <w:sz w:val="21"/>
                <w:szCs w:val="21"/>
              </w:rPr>
            </w:pPr>
            <w:r>
              <w:rPr>
                <w:color w:val="auto"/>
                <w:sz w:val="21"/>
                <w:szCs w:val="21"/>
              </w:rPr>
              <w:t>氨氮</w:t>
            </w:r>
          </w:p>
        </w:tc>
        <w:tc>
          <w:tcPr>
            <w:tcW w:w="1836" w:type="dxa"/>
            <w:tcBorders>
              <w:tl2br w:val="nil"/>
              <w:tr2bl w:val="nil"/>
            </w:tcBorders>
            <w:vAlign w:val="center"/>
          </w:tcPr>
          <w:p>
            <w:pPr>
              <w:pStyle w:val="2"/>
              <w:spacing w:after="0" w:line="312" w:lineRule="exact"/>
              <w:ind w:left="-72" w:leftChars="-30" w:right="-72" w:rightChars="-30" w:firstLine="0" w:firstLineChars="0"/>
              <w:jc w:val="center"/>
              <w:rPr>
                <w:rFonts w:hint="eastAsia" w:eastAsia="宋体"/>
                <w:color w:val="auto"/>
                <w:sz w:val="21"/>
                <w:szCs w:val="21"/>
                <w:lang w:eastAsia="zh-CN"/>
              </w:rPr>
            </w:pPr>
            <w:r>
              <w:rPr>
                <w:rFonts w:hint="eastAsia"/>
                <w:color w:val="auto"/>
                <w:sz w:val="21"/>
                <w:szCs w:val="21"/>
              </w:rPr>
              <w:t>0.02</w:t>
            </w:r>
            <w:r>
              <w:rPr>
                <w:rFonts w:hint="eastAsia"/>
                <w:color w:val="auto"/>
                <w:sz w:val="21"/>
                <w:szCs w:val="21"/>
                <w:lang w:val="en-US" w:eastAsia="zh-CN"/>
              </w:rPr>
              <w:t>7</w:t>
            </w:r>
          </w:p>
        </w:tc>
      </w:tr>
    </w:tbl>
    <w:p>
      <w:pPr>
        <w:pStyle w:val="9"/>
        <w:spacing w:before="0" w:beforeLines="0" w:after="0" w:afterLines="0"/>
        <w:rPr>
          <w:color w:val="auto"/>
        </w:rPr>
      </w:pPr>
      <w:r>
        <w:rPr>
          <w:rFonts w:hint="eastAsia"/>
          <w:color w:val="auto"/>
        </w:rPr>
        <w:t>5</w:t>
      </w:r>
      <w:r>
        <w:rPr>
          <w:color w:val="auto"/>
        </w:rPr>
        <w:t>.2.4环境保护措施与监测计划</w:t>
      </w:r>
    </w:p>
    <w:p>
      <w:pPr>
        <w:ind w:firstLine="480"/>
        <w:rPr>
          <w:color w:val="auto"/>
        </w:rPr>
      </w:pPr>
      <w:r>
        <w:rPr>
          <w:color w:val="auto"/>
        </w:rPr>
        <w:t>项目产生的污水对周边环境影响较小，但不能排除因泄露、水池破损等原因造成的废水泄露情况。因此，应制定相应的应急预案，并严格按照应急预案要求实行，例如：配备相应的应急物资，定期检修管道、水池等设施，定期开展应急预案演练等。项目已制定应急预案并备案。</w:t>
      </w:r>
    </w:p>
    <w:p>
      <w:pPr>
        <w:ind w:firstLine="480"/>
        <w:rPr>
          <w:color w:val="auto"/>
        </w:rPr>
      </w:pPr>
      <w:r>
        <w:rPr>
          <w:color w:val="auto"/>
        </w:rPr>
        <w:t>项目水污染源监测计划见下表。</w:t>
      </w:r>
    </w:p>
    <w:p>
      <w:pPr>
        <w:pStyle w:val="2"/>
        <w:spacing w:after="0"/>
        <w:ind w:firstLine="0" w:firstLineChars="0"/>
        <w:jc w:val="center"/>
        <w:rPr>
          <w:rFonts w:eastAsia="黑体"/>
          <w:color w:val="auto"/>
          <w:sz w:val="21"/>
          <w:szCs w:val="21"/>
        </w:rPr>
      </w:pPr>
      <w:r>
        <w:rPr>
          <w:rFonts w:eastAsia="黑体"/>
          <w:color w:val="auto"/>
          <w:sz w:val="21"/>
          <w:szCs w:val="21"/>
        </w:rPr>
        <w:t>表</w:t>
      </w:r>
      <w:r>
        <w:rPr>
          <w:rFonts w:hint="eastAsia" w:eastAsia="黑体"/>
          <w:color w:val="auto"/>
          <w:sz w:val="21"/>
          <w:szCs w:val="21"/>
        </w:rPr>
        <w:t>5.2-7</w:t>
      </w:r>
      <w:r>
        <w:rPr>
          <w:rFonts w:eastAsia="黑体"/>
          <w:color w:val="auto"/>
          <w:sz w:val="21"/>
          <w:szCs w:val="21"/>
        </w:rPr>
        <w:t xml:space="preserve">  水污染源监测计划</w:t>
      </w:r>
    </w:p>
    <w:tbl>
      <w:tblPr>
        <w:tblStyle w:val="23"/>
        <w:tblW w:w="883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2"/>
        <w:gridCol w:w="1168"/>
        <w:gridCol w:w="2485"/>
        <w:gridCol w:w="1071"/>
        <w:gridCol w:w="29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62" w:type="dxa"/>
            <w:tcBorders>
              <w:tl2br w:val="nil"/>
              <w:tr2bl w:val="nil"/>
            </w:tcBorders>
            <w:vAlign w:val="center"/>
          </w:tcPr>
          <w:p>
            <w:pPr>
              <w:spacing w:line="312" w:lineRule="exact"/>
              <w:ind w:firstLine="0" w:firstLineChars="0"/>
              <w:jc w:val="center"/>
              <w:rPr>
                <w:color w:val="auto"/>
                <w:sz w:val="21"/>
                <w:szCs w:val="16"/>
              </w:rPr>
            </w:pPr>
            <w:r>
              <w:rPr>
                <w:color w:val="auto"/>
                <w:sz w:val="21"/>
                <w:szCs w:val="16"/>
              </w:rPr>
              <w:t>环境要素</w:t>
            </w:r>
          </w:p>
        </w:tc>
        <w:tc>
          <w:tcPr>
            <w:tcW w:w="1168" w:type="dxa"/>
            <w:tcBorders>
              <w:tl2br w:val="nil"/>
              <w:tr2bl w:val="nil"/>
            </w:tcBorders>
            <w:vAlign w:val="center"/>
          </w:tcPr>
          <w:p>
            <w:pPr>
              <w:spacing w:line="312" w:lineRule="exact"/>
              <w:ind w:firstLine="0" w:firstLineChars="0"/>
              <w:jc w:val="center"/>
              <w:rPr>
                <w:color w:val="auto"/>
                <w:sz w:val="21"/>
                <w:szCs w:val="16"/>
              </w:rPr>
            </w:pPr>
            <w:r>
              <w:rPr>
                <w:color w:val="auto"/>
                <w:sz w:val="21"/>
                <w:szCs w:val="16"/>
              </w:rPr>
              <w:t>监测点位</w:t>
            </w:r>
          </w:p>
        </w:tc>
        <w:tc>
          <w:tcPr>
            <w:tcW w:w="2485" w:type="dxa"/>
            <w:tcBorders>
              <w:tl2br w:val="nil"/>
              <w:tr2bl w:val="nil"/>
            </w:tcBorders>
            <w:vAlign w:val="center"/>
          </w:tcPr>
          <w:p>
            <w:pPr>
              <w:spacing w:line="312" w:lineRule="exact"/>
              <w:ind w:firstLine="0" w:firstLineChars="0"/>
              <w:jc w:val="center"/>
              <w:rPr>
                <w:color w:val="auto"/>
                <w:sz w:val="21"/>
                <w:szCs w:val="16"/>
              </w:rPr>
            </w:pPr>
            <w:r>
              <w:rPr>
                <w:color w:val="auto"/>
                <w:sz w:val="21"/>
                <w:szCs w:val="16"/>
              </w:rPr>
              <w:t>监测项目</w:t>
            </w:r>
          </w:p>
        </w:tc>
        <w:tc>
          <w:tcPr>
            <w:tcW w:w="1071" w:type="dxa"/>
            <w:tcBorders>
              <w:tl2br w:val="nil"/>
              <w:tr2bl w:val="nil"/>
            </w:tcBorders>
            <w:vAlign w:val="center"/>
          </w:tcPr>
          <w:p>
            <w:pPr>
              <w:spacing w:line="312" w:lineRule="exact"/>
              <w:ind w:firstLine="0" w:firstLineChars="0"/>
              <w:jc w:val="center"/>
              <w:rPr>
                <w:color w:val="auto"/>
                <w:sz w:val="21"/>
                <w:szCs w:val="16"/>
              </w:rPr>
            </w:pPr>
            <w:r>
              <w:rPr>
                <w:color w:val="auto"/>
                <w:sz w:val="21"/>
                <w:szCs w:val="16"/>
              </w:rPr>
              <w:t>监测频次</w:t>
            </w:r>
          </w:p>
        </w:tc>
        <w:tc>
          <w:tcPr>
            <w:tcW w:w="2953" w:type="dxa"/>
            <w:tcBorders>
              <w:tl2br w:val="nil"/>
              <w:tr2bl w:val="nil"/>
            </w:tcBorders>
            <w:vAlign w:val="center"/>
          </w:tcPr>
          <w:p>
            <w:pPr>
              <w:spacing w:line="312" w:lineRule="exact"/>
              <w:ind w:firstLine="0" w:firstLineChars="0"/>
              <w:jc w:val="center"/>
              <w:rPr>
                <w:color w:val="auto"/>
                <w:sz w:val="21"/>
                <w:szCs w:val="16"/>
              </w:rPr>
            </w:pPr>
            <w:r>
              <w:rPr>
                <w:color w:val="auto"/>
                <w:sz w:val="21"/>
                <w:szCs w:val="16"/>
              </w:rPr>
              <w:t>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36" w:hRule="atLeast"/>
          <w:jc w:val="center"/>
        </w:trPr>
        <w:tc>
          <w:tcPr>
            <w:tcW w:w="1162" w:type="dxa"/>
            <w:tcBorders>
              <w:tl2br w:val="nil"/>
              <w:tr2bl w:val="nil"/>
            </w:tcBorders>
            <w:vAlign w:val="center"/>
          </w:tcPr>
          <w:p>
            <w:pPr>
              <w:spacing w:line="312" w:lineRule="exact"/>
              <w:ind w:firstLine="0" w:firstLineChars="0"/>
              <w:jc w:val="center"/>
              <w:rPr>
                <w:color w:val="auto"/>
                <w:sz w:val="21"/>
                <w:szCs w:val="16"/>
              </w:rPr>
            </w:pPr>
            <w:r>
              <w:rPr>
                <w:color w:val="auto"/>
                <w:sz w:val="21"/>
                <w:szCs w:val="16"/>
              </w:rPr>
              <w:t>废水</w:t>
            </w:r>
          </w:p>
        </w:tc>
        <w:tc>
          <w:tcPr>
            <w:tcW w:w="1168" w:type="dxa"/>
            <w:tcBorders>
              <w:tl2br w:val="nil"/>
              <w:tr2bl w:val="nil"/>
            </w:tcBorders>
            <w:vAlign w:val="center"/>
          </w:tcPr>
          <w:p>
            <w:pPr>
              <w:spacing w:line="312" w:lineRule="exact"/>
              <w:ind w:firstLine="0" w:firstLineChars="0"/>
              <w:jc w:val="center"/>
              <w:rPr>
                <w:color w:val="auto"/>
                <w:sz w:val="21"/>
                <w:szCs w:val="16"/>
              </w:rPr>
            </w:pPr>
            <w:r>
              <w:rPr>
                <w:color w:val="auto"/>
                <w:sz w:val="21"/>
                <w:szCs w:val="16"/>
              </w:rPr>
              <w:t>厂区总排放口</w:t>
            </w:r>
          </w:p>
        </w:tc>
        <w:tc>
          <w:tcPr>
            <w:tcW w:w="2485" w:type="dxa"/>
            <w:tcBorders>
              <w:tl2br w:val="nil"/>
              <w:tr2bl w:val="nil"/>
            </w:tcBorders>
            <w:vAlign w:val="center"/>
          </w:tcPr>
          <w:p>
            <w:pPr>
              <w:spacing w:line="312" w:lineRule="exact"/>
              <w:ind w:firstLine="0" w:firstLineChars="0"/>
              <w:jc w:val="center"/>
              <w:rPr>
                <w:rFonts w:hint="eastAsia"/>
                <w:bCs/>
                <w:color w:val="auto"/>
                <w:sz w:val="21"/>
                <w:szCs w:val="21"/>
              </w:rPr>
            </w:pPr>
            <w:r>
              <w:rPr>
                <w:rFonts w:hint="eastAsia"/>
                <w:bCs/>
                <w:color w:val="auto"/>
                <w:sz w:val="21"/>
                <w:szCs w:val="21"/>
              </w:rPr>
              <w:t>流量、化学需氧量、氨氮</w:t>
            </w:r>
          </w:p>
          <w:p>
            <w:pPr>
              <w:spacing w:line="312" w:lineRule="exact"/>
              <w:ind w:firstLine="0" w:firstLineChars="0"/>
              <w:jc w:val="center"/>
              <w:rPr>
                <w:color w:val="auto"/>
                <w:sz w:val="21"/>
                <w:szCs w:val="16"/>
              </w:rPr>
            </w:pPr>
            <w:r>
              <w:rPr>
                <w:bCs/>
                <w:color w:val="auto"/>
                <w:sz w:val="21"/>
                <w:szCs w:val="21"/>
              </w:rPr>
              <w:t>石油类</w:t>
            </w:r>
            <w:r>
              <w:rPr>
                <w:rFonts w:hint="eastAsia"/>
                <w:bCs/>
                <w:color w:val="auto"/>
                <w:sz w:val="21"/>
                <w:szCs w:val="21"/>
              </w:rPr>
              <w:t>、</w:t>
            </w:r>
            <w:r>
              <w:rPr>
                <w:bCs/>
                <w:color w:val="auto"/>
                <w:sz w:val="21"/>
                <w:szCs w:val="21"/>
              </w:rPr>
              <w:t>pH值、总氮</w:t>
            </w:r>
            <w:r>
              <w:rPr>
                <w:rFonts w:hint="eastAsia"/>
                <w:bCs/>
                <w:color w:val="auto"/>
                <w:sz w:val="21"/>
                <w:szCs w:val="21"/>
              </w:rPr>
              <w:t>、</w:t>
            </w:r>
            <w:r>
              <w:rPr>
                <w:bCs/>
                <w:color w:val="auto"/>
                <w:sz w:val="21"/>
                <w:szCs w:val="21"/>
              </w:rPr>
              <w:t>总磷</w:t>
            </w:r>
            <w:r>
              <w:rPr>
                <w:rFonts w:hint="eastAsia"/>
                <w:bCs/>
                <w:color w:val="auto"/>
                <w:sz w:val="21"/>
                <w:szCs w:val="21"/>
              </w:rPr>
              <w:t>、</w:t>
            </w:r>
            <w:r>
              <w:rPr>
                <w:bCs/>
                <w:color w:val="auto"/>
                <w:sz w:val="21"/>
                <w:szCs w:val="21"/>
              </w:rPr>
              <w:t>五日生化需氧量、悬浮物</w:t>
            </w:r>
          </w:p>
        </w:tc>
        <w:tc>
          <w:tcPr>
            <w:tcW w:w="1071" w:type="dxa"/>
            <w:tcBorders>
              <w:tl2br w:val="nil"/>
              <w:tr2bl w:val="nil"/>
            </w:tcBorders>
            <w:vAlign w:val="center"/>
          </w:tcPr>
          <w:p>
            <w:pPr>
              <w:snapToGrid w:val="0"/>
              <w:spacing w:line="312" w:lineRule="exact"/>
              <w:ind w:firstLine="0" w:firstLineChars="0"/>
              <w:jc w:val="center"/>
              <w:rPr>
                <w:color w:val="auto"/>
                <w:sz w:val="21"/>
                <w:szCs w:val="16"/>
              </w:rPr>
            </w:pPr>
            <w:r>
              <w:rPr>
                <w:rFonts w:hint="eastAsia"/>
                <w:bCs/>
                <w:color w:val="auto"/>
                <w:sz w:val="21"/>
                <w:szCs w:val="21"/>
              </w:rPr>
              <w:t>半年</w:t>
            </w:r>
          </w:p>
        </w:tc>
        <w:tc>
          <w:tcPr>
            <w:tcW w:w="2953" w:type="dxa"/>
            <w:tcBorders>
              <w:tl2br w:val="nil"/>
              <w:tr2bl w:val="nil"/>
            </w:tcBorders>
            <w:vAlign w:val="center"/>
          </w:tcPr>
          <w:p>
            <w:pPr>
              <w:spacing w:line="312" w:lineRule="exact"/>
              <w:ind w:firstLine="0" w:firstLineChars="0"/>
              <w:jc w:val="center"/>
              <w:rPr>
                <w:color w:val="auto"/>
                <w:sz w:val="21"/>
                <w:szCs w:val="16"/>
              </w:rPr>
            </w:pPr>
            <w:r>
              <w:rPr>
                <w:rFonts w:hint="eastAsia"/>
                <w:bCs/>
                <w:color w:val="auto"/>
                <w:sz w:val="21"/>
                <w:szCs w:val="21"/>
                <w:lang w:val="en-US" w:eastAsia="zh-CN"/>
              </w:rPr>
              <w:t>《污水综合排放标准》（GB8978-1996）三级标准及光大水务（淄博）有限公司水质净化三分厂纳管水质要求</w:t>
            </w:r>
          </w:p>
        </w:tc>
      </w:tr>
    </w:tbl>
    <w:p>
      <w:pPr>
        <w:pStyle w:val="9"/>
        <w:spacing w:before="0" w:beforeLines="0" w:after="0" w:afterLines="0"/>
        <w:rPr>
          <w:color w:val="auto"/>
        </w:rPr>
      </w:pPr>
      <w:bookmarkStart w:id="277" w:name="_Toc15285"/>
      <w:bookmarkStart w:id="278" w:name="_Toc14656"/>
      <w:bookmarkStart w:id="279" w:name="_Toc32005"/>
      <w:bookmarkStart w:id="280" w:name="_Toc5666"/>
      <w:bookmarkStart w:id="281" w:name="_Toc8353"/>
      <w:r>
        <w:rPr>
          <w:rFonts w:hint="eastAsia"/>
          <w:color w:val="auto"/>
        </w:rPr>
        <w:t>5</w:t>
      </w:r>
      <w:r>
        <w:rPr>
          <w:color w:val="auto"/>
        </w:rPr>
        <w:t>.2.5地表水环境影响评价结论</w:t>
      </w:r>
      <w:bookmarkEnd w:id="277"/>
      <w:bookmarkEnd w:id="278"/>
      <w:bookmarkEnd w:id="279"/>
      <w:bookmarkEnd w:id="280"/>
      <w:bookmarkEnd w:id="281"/>
    </w:p>
    <w:p>
      <w:pPr>
        <w:ind w:firstLine="480"/>
        <w:rPr>
          <w:color w:val="auto"/>
        </w:rPr>
      </w:pPr>
      <w:r>
        <w:rPr>
          <w:color w:val="auto"/>
        </w:rPr>
        <w:t>项目废水主要为：循环冷却系统排水</w:t>
      </w:r>
      <w:r>
        <w:rPr>
          <w:rFonts w:hint="eastAsia"/>
          <w:color w:val="auto"/>
        </w:rPr>
        <w:t>、</w:t>
      </w:r>
      <w:r>
        <w:rPr>
          <w:color w:val="auto"/>
        </w:rPr>
        <w:t>化验室排水</w:t>
      </w:r>
      <w:r>
        <w:rPr>
          <w:rFonts w:hint="eastAsia"/>
          <w:color w:val="auto"/>
        </w:rPr>
        <w:t>、</w:t>
      </w:r>
      <w:r>
        <w:rPr>
          <w:color w:val="auto"/>
        </w:rPr>
        <w:t>喷淋塔排水</w:t>
      </w:r>
      <w:r>
        <w:rPr>
          <w:rFonts w:hint="eastAsia"/>
          <w:color w:val="auto"/>
        </w:rPr>
        <w:t>、</w:t>
      </w:r>
      <w:r>
        <w:rPr>
          <w:color w:val="auto"/>
        </w:rPr>
        <w:t>地面清洗废水</w:t>
      </w:r>
      <w:r>
        <w:rPr>
          <w:rFonts w:hint="eastAsia"/>
          <w:color w:val="auto"/>
        </w:rPr>
        <w:t>、生产废水、生活污水</w:t>
      </w:r>
      <w:r>
        <w:rPr>
          <w:color w:val="auto"/>
        </w:rPr>
        <w:t>。循环冷却系统排水</w:t>
      </w:r>
      <w:r>
        <w:rPr>
          <w:rFonts w:hint="eastAsia"/>
          <w:color w:val="auto"/>
        </w:rPr>
        <w:t>、</w:t>
      </w:r>
      <w:r>
        <w:rPr>
          <w:color w:val="auto"/>
        </w:rPr>
        <w:t>化验室排水</w:t>
      </w:r>
      <w:r>
        <w:rPr>
          <w:rFonts w:hint="eastAsia"/>
          <w:color w:val="auto"/>
        </w:rPr>
        <w:t>、</w:t>
      </w:r>
      <w:r>
        <w:rPr>
          <w:color w:val="auto"/>
        </w:rPr>
        <w:t>喷淋塔排水</w:t>
      </w:r>
      <w:r>
        <w:rPr>
          <w:rFonts w:hint="eastAsia"/>
          <w:color w:val="auto"/>
        </w:rPr>
        <w:t>、</w:t>
      </w:r>
      <w:r>
        <w:rPr>
          <w:color w:val="auto"/>
        </w:rPr>
        <w:t>地面清洗废水</w:t>
      </w:r>
      <w:r>
        <w:rPr>
          <w:rFonts w:hint="eastAsia"/>
          <w:color w:val="auto"/>
        </w:rPr>
        <w:t>、生产废水、</w:t>
      </w:r>
      <w:r>
        <w:rPr>
          <w:color w:val="auto"/>
        </w:rPr>
        <w:t>经污水处理站处理后经污水管网排入</w:t>
      </w:r>
      <w:r>
        <w:rPr>
          <w:rFonts w:hint="eastAsia"/>
          <w:color w:val="auto"/>
        </w:rPr>
        <w:t>光大水务（淄博）有限公司水质净化</w:t>
      </w:r>
      <w:r>
        <w:rPr>
          <w:rFonts w:hint="eastAsia"/>
          <w:color w:val="auto"/>
          <w:lang w:eastAsia="zh-CN"/>
        </w:rPr>
        <w:t>三分厂</w:t>
      </w:r>
      <w:r>
        <w:rPr>
          <w:color w:val="auto"/>
        </w:rPr>
        <w:t>处理，</w:t>
      </w:r>
      <w:r>
        <w:rPr>
          <w:rFonts w:hint="eastAsia"/>
          <w:color w:val="auto"/>
        </w:rPr>
        <w:t>生活污水与厂区污水处理站出水</w:t>
      </w:r>
      <w:r>
        <w:rPr>
          <w:color w:val="auto"/>
        </w:rPr>
        <w:t>经污水管网排入</w:t>
      </w:r>
      <w:r>
        <w:rPr>
          <w:rFonts w:hint="eastAsia"/>
          <w:color w:val="auto"/>
        </w:rPr>
        <w:t>光大水务（淄博）有限公司水质净化</w:t>
      </w:r>
      <w:r>
        <w:rPr>
          <w:rFonts w:hint="eastAsia"/>
          <w:color w:val="auto"/>
          <w:lang w:eastAsia="zh-CN"/>
        </w:rPr>
        <w:t>三分厂</w:t>
      </w:r>
      <w:r>
        <w:rPr>
          <w:rFonts w:hint="eastAsia"/>
          <w:color w:val="auto"/>
        </w:rPr>
        <w:t>深度</w:t>
      </w:r>
      <w:r>
        <w:rPr>
          <w:color w:val="auto"/>
        </w:rPr>
        <w:t>处理。</w:t>
      </w:r>
    </w:p>
    <w:p>
      <w:pPr>
        <w:ind w:firstLine="480"/>
        <w:rPr>
          <w:color w:val="auto"/>
        </w:rPr>
      </w:pPr>
      <w:r>
        <w:rPr>
          <w:color w:val="auto"/>
        </w:rPr>
        <w:t>项目厂区均进行硬化防渗处理，认为地表水环境影响可以接受。</w:t>
      </w:r>
    </w:p>
    <w:p>
      <w:pPr>
        <w:ind w:firstLine="480"/>
        <w:rPr>
          <w:color w:val="auto"/>
        </w:rPr>
      </w:pPr>
      <w:r>
        <w:rPr>
          <w:color w:val="auto"/>
        </w:rPr>
        <w:t>因此，本项目产生的废水不会对厂区附近地表水造成明显影响。</w:t>
      </w:r>
    </w:p>
    <w:p>
      <w:pPr>
        <w:pStyle w:val="9"/>
        <w:spacing w:before="0" w:beforeLines="0" w:after="0" w:afterLines="0"/>
        <w:rPr>
          <w:color w:val="auto"/>
        </w:rPr>
      </w:pPr>
      <w:r>
        <w:rPr>
          <w:rFonts w:hint="eastAsia"/>
          <w:color w:val="auto"/>
        </w:rPr>
        <w:t>5</w:t>
      </w:r>
      <w:r>
        <w:rPr>
          <w:color w:val="auto"/>
        </w:rPr>
        <w:t>.2.6地表水环境影响评价自查表</w:t>
      </w:r>
    </w:p>
    <w:p>
      <w:pPr>
        <w:pStyle w:val="2"/>
        <w:adjustRightInd w:val="0"/>
        <w:snapToGrid w:val="0"/>
        <w:spacing w:after="0"/>
        <w:ind w:firstLine="0" w:firstLineChars="0"/>
        <w:jc w:val="center"/>
        <w:rPr>
          <w:rFonts w:eastAsia="黑体"/>
          <w:color w:val="auto"/>
          <w:sz w:val="21"/>
          <w:szCs w:val="21"/>
        </w:rPr>
      </w:pPr>
      <w:r>
        <w:rPr>
          <w:rFonts w:eastAsia="黑体"/>
          <w:color w:val="auto"/>
          <w:sz w:val="21"/>
          <w:szCs w:val="21"/>
        </w:rPr>
        <w:t>表</w:t>
      </w:r>
      <w:r>
        <w:rPr>
          <w:rFonts w:hint="eastAsia" w:eastAsia="黑体"/>
          <w:color w:val="auto"/>
          <w:sz w:val="21"/>
          <w:szCs w:val="21"/>
        </w:rPr>
        <w:t>5.2-8</w:t>
      </w:r>
      <w:r>
        <w:rPr>
          <w:rFonts w:eastAsia="黑体"/>
          <w:color w:val="auto"/>
          <w:sz w:val="21"/>
          <w:szCs w:val="21"/>
        </w:rPr>
        <w:t xml:space="preserve">  建设项目地表水环境影响评价自查表</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512"/>
        <w:gridCol w:w="1594"/>
        <w:gridCol w:w="329"/>
        <w:gridCol w:w="56"/>
        <w:gridCol w:w="603"/>
        <w:gridCol w:w="519"/>
        <w:gridCol w:w="623"/>
        <w:gridCol w:w="837"/>
        <w:gridCol w:w="391"/>
        <w:gridCol w:w="833"/>
        <w:gridCol w:w="174"/>
        <w:gridCol w:w="13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6" w:type="pct"/>
            <w:gridSpan w:val="2"/>
            <w:tcBorders>
              <w:tl2br w:val="nil"/>
              <w:tr2bl w:val="nil"/>
            </w:tcBorders>
            <w:vAlign w:val="center"/>
          </w:tcPr>
          <w:p>
            <w:pPr>
              <w:spacing w:line="312" w:lineRule="exact"/>
              <w:ind w:firstLine="0" w:firstLineChars="0"/>
              <w:jc w:val="center"/>
              <w:rPr>
                <w:color w:val="auto"/>
                <w:sz w:val="21"/>
                <w:szCs w:val="21"/>
              </w:rPr>
            </w:pPr>
            <w:r>
              <w:rPr>
                <w:color w:val="auto"/>
                <w:sz w:val="21"/>
                <w:szCs w:val="21"/>
              </w:rPr>
              <w:t>工作内容</w:t>
            </w:r>
          </w:p>
        </w:tc>
        <w:tc>
          <w:tcPr>
            <w:tcW w:w="3993" w:type="pct"/>
            <w:gridSpan w:val="11"/>
            <w:tcBorders>
              <w:tl2br w:val="nil"/>
              <w:tr2bl w:val="nil"/>
            </w:tcBorders>
          </w:tcPr>
          <w:p>
            <w:pPr>
              <w:spacing w:line="312" w:lineRule="exact"/>
              <w:ind w:firstLine="0" w:firstLineChars="0"/>
              <w:rPr>
                <w:color w:val="auto"/>
                <w:sz w:val="21"/>
                <w:szCs w:val="21"/>
              </w:rPr>
            </w:pPr>
            <w:r>
              <w:rPr>
                <w:color w:val="auto"/>
                <w:sz w:val="21"/>
                <w:szCs w:val="21"/>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影响识别</w:t>
            </w:r>
          </w:p>
        </w:tc>
        <w:tc>
          <w:tcPr>
            <w:tcW w:w="81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影响类型</w:t>
            </w:r>
          </w:p>
        </w:tc>
        <w:tc>
          <w:tcPr>
            <w:tcW w:w="3993" w:type="pct"/>
            <w:gridSpan w:val="11"/>
            <w:tcBorders>
              <w:tl2br w:val="nil"/>
              <w:tr2bl w:val="nil"/>
            </w:tcBorders>
          </w:tcPr>
          <w:p>
            <w:pPr>
              <w:spacing w:line="312" w:lineRule="exact"/>
              <w:ind w:firstLine="0" w:firstLineChars="0"/>
              <w:rPr>
                <w:color w:val="auto"/>
                <w:sz w:val="21"/>
                <w:szCs w:val="21"/>
              </w:rPr>
            </w:pPr>
            <w:r>
              <w:rPr>
                <w:color w:val="auto"/>
                <w:kern w:val="0"/>
                <w:sz w:val="21"/>
                <w:szCs w:val="21"/>
              </w:rPr>
              <w:t>水污染影响型</w:t>
            </w:r>
            <w:r>
              <w:rPr>
                <w:color w:val="auto"/>
                <w:kern w:val="0"/>
                <w:sz w:val="21"/>
                <w:szCs w:val="21"/>
              </w:rPr>
              <w:sym w:font="Wingdings" w:char="00FE"/>
            </w:r>
            <w:r>
              <w:rPr>
                <w:color w:val="auto"/>
                <w:kern w:val="0"/>
                <w:sz w:val="21"/>
                <w:szCs w:val="21"/>
              </w:rPr>
              <w:t>；水文要素影响型</w:t>
            </w:r>
            <w:r>
              <w:rPr>
                <w:color w:val="auto"/>
                <w:kern w:val="0"/>
                <w:sz w:val="21"/>
                <w:szCs w:val="21"/>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水环境保护目标</w:t>
            </w:r>
          </w:p>
        </w:tc>
        <w:tc>
          <w:tcPr>
            <w:tcW w:w="3993" w:type="pct"/>
            <w:gridSpan w:val="11"/>
            <w:tcBorders>
              <w:tl2br w:val="nil"/>
              <w:tr2bl w:val="nil"/>
            </w:tcBorders>
          </w:tcPr>
          <w:p>
            <w:pPr>
              <w:spacing w:line="312" w:lineRule="exact"/>
              <w:ind w:firstLine="0" w:firstLineChars="0"/>
              <w:rPr>
                <w:color w:val="auto"/>
                <w:sz w:val="21"/>
                <w:szCs w:val="21"/>
              </w:rPr>
            </w:pPr>
            <w:r>
              <w:rPr>
                <w:color w:val="auto"/>
                <w:kern w:val="0"/>
                <w:sz w:val="21"/>
                <w:szCs w:val="21"/>
              </w:rPr>
              <w:t>饮用水水源保护区</w:t>
            </w:r>
            <w:r>
              <w:rPr>
                <w:color w:val="auto"/>
                <w:kern w:val="0"/>
                <w:sz w:val="21"/>
                <w:szCs w:val="21"/>
              </w:rPr>
              <w:sym w:font="Wingdings" w:char="00A8"/>
            </w:r>
            <w:r>
              <w:rPr>
                <w:color w:val="auto"/>
                <w:kern w:val="0"/>
                <w:sz w:val="21"/>
                <w:szCs w:val="21"/>
              </w:rPr>
              <w:t>；饮用水取水</w:t>
            </w:r>
            <w:r>
              <w:rPr>
                <w:color w:val="auto"/>
                <w:kern w:val="0"/>
                <w:sz w:val="21"/>
                <w:szCs w:val="21"/>
              </w:rPr>
              <w:sym w:font="Wingdings" w:char="00A8"/>
            </w:r>
            <w:r>
              <w:rPr>
                <w:color w:val="auto"/>
                <w:kern w:val="0"/>
                <w:sz w:val="21"/>
                <w:szCs w:val="21"/>
              </w:rPr>
              <w:t>；涉水的自然保护区</w:t>
            </w:r>
            <w:r>
              <w:rPr>
                <w:color w:val="auto"/>
                <w:kern w:val="0"/>
                <w:sz w:val="21"/>
                <w:szCs w:val="21"/>
              </w:rPr>
              <w:sym w:font="Wingdings" w:char="00A8"/>
            </w:r>
            <w:r>
              <w:rPr>
                <w:color w:val="auto"/>
                <w:kern w:val="0"/>
                <w:sz w:val="21"/>
                <w:szCs w:val="21"/>
              </w:rPr>
              <w:t>；重要湿地</w:t>
            </w:r>
            <w:r>
              <w:rPr>
                <w:color w:val="auto"/>
                <w:kern w:val="0"/>
                <w:sz w:val="21"/>
                <w:szCs w:val="21"/>
              </w:rPr>
              <w:sym w:font="Wingdings" w:char="00A8"/>
            </w:r>
            <w:r>
              <w:rPr>
                <w:color w:val="auto"/>
                <w:kern w:val="0"/>
                <w:sz w:val="21"/>
                <w:szCs w:val="21"/>
              </w:rPr>
              <w:t>；重点保护与珍稀水生生物的栖息地</w:t>
            </w:r>
            <w:r>
              <w:rPr>
                <w:color w:val="auto"/>
                <w:kern w:val="0"/>
                <w:sz w:val="21"/>
                <w:szCs w:val="21"/>
              </w:rPr>
              <w:sym w:font="Wingdings" w:char="00A8"/>
            </w:r>
            <w:r>
              <w:rPr>
                <w:color w:val="auto"/>
                <w:kern w:val="0"/>
                <w:sz w:val="21"/>
                <w:szCs w:val="21"/>
              </w:rPr>
              <w:t>；重要水生生物的自然产卵场及索饵场、越冬场和洄游通道、天然渔场等渔业水体</w:t>
            </w:r>
            <w:r>
              <w:rPr>
                <w:color w:val="auto"/>
                <w:kern w:val="0"/>
                <w:sz w:val="21"/>
                <w:szCs w:val="21"/>
              </w:rPr>
              <w:sym w:font="Wingdings" w:char="00A8"/>
            </w:r>
            <w:r>
              <w:rPr>
                <w:color w:val="auto"/>
                <w:kern w:val="0"/>
                <w:sz w:val="21"/>
                <w:szCs w:val="21"/>
              </w:rPr>
              <w:t>；涉水的风景名胜区</w:t>
            </w:r>
            <w:r>
              <w:rPr>
                <w:color w:val="auto"/>
                <w:kern w:val="0"/>
                <w:sz w:val="21"/>
                <w:szCs w:val="21"/>
              </w:rPr>
              <w:sym w:font="Wingdings" w:char="00A8"/>
            </w:r>
            <w:r>
              <w:rPr>
                <w:color w:val="auto"/>
                <w:kern w:val="0"/>
                <w:sz w:val="21"/>
                <w:szCs w:val="21"/>
              </w:rPr>
              <w:t>；其他</w:t>
            </w:r>
            <w:r>
              <w:rPr>
                <w:color w:val="auto"/>
                <w:kern w:val="0"/>
                <w:sz w:val="21"/>
                <w:szCs w:val="21"/>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影响途径</w:t>
            </w:r>
          </w:p>
        </w:tc>
        <w:tc>
          <w:tcPr>
            <w:tcW w:w="2027" w:type="pct"/>
            <w:gridSpan w:val="6"/>
            <w:tcBorders>
              <w:tl2br w:val="nil"/>
              <w:tr2bl w:val="nil"/>
            </w:tcBorders>
          </w:tcPr>
          <w:p>
            <w:pPr>
              <w:spacing w:line="312" w:lineRule="exact"/>
              <w:ind w:firstLine="0" w:firstLineChars="0"/>
              <w:rPr>
                <w:color w:val="auto"/>
                <w:sz w:val="21"/>
                <w:szCs w:val="21"/>
              </w:rPr>
            </w:pPr>
            <w:r>
              <w:rPr>
                <w:color w:val="auto"/>
                <w:kern w:val="0"/>
                <w:sz w:val="21"/>
                <w:szCs w:val="21"/>
              </w:rPr>
              <w:t>水污染影响型</w:t>
            </w:r>
          </w:p>
        </w:tc>
        <w:tc>
          <w:tcPr>
            <w:tcW w:w="1966" w:type="pct"/>
            <w:gridSpan w:val="5"/>
            <w:tcBorders>
              <w:tl2br w:val="nil"/>
              <w:tr2bl w:val="nil"/>
            </w:tcBorders>
          </w:tcPr>
          <w:p>
            <w:pPr>
              <w:spacing w:line="312" w:lineRule="exact"/>
              <w:ind w:firstLine="0" w:firstLineChars="0"/>
              <w:rPr>
                <w:color w:val="auto"/>
                <w:sz w:val="21"/>
                <w:szCs w:val="21"/>
              </w:rPr>
            </w:pPr>
            <w:r>
              <w:rPr>
                <w:color w:val="auto"/>
                <w:kern w:val="0"/>
                <w:sz w:val="21"/>
                <w:szCs w:val="21"/>
              </w:rPr>
              <w:t>水文要素影响型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vMerge w:val="continue"/>
            <w:tcBorders>
              <w:tl2br w:val="nil"/>
              <w:tr2bl w:val="nil"/>
            </w:tcBorders>
            <w:vAlign w:val="center"/>
          </w:tcPr>
          <w:p>
            <w:pPr>
              <w:spacing w:line="312" w:lineRule="exact"/>
              <w:ind w:firstLine="0" w:firstLineChars="0"/>
              <w:jc w:val="center"/>
              <w:rPr>
                <w:color w:val="auto"/>
                <w:sz w:val="21"/>
                <w:szCs w:val="21"/>
              </w:rPr>
            </w:pPr>
          </w:p>
        </w:tc>
        <w:tc>
          <w:tcPr>
            <w:tcW w:w="2027" w:type="pct"/>
            <w:gridSpan w:val="6"/>
            <w:tcBorders>
              <w:tl2br w:val="nil"/>
              <w:tr2bl w:val="nil"/>
            </w:tcBorders>
          </w:tcPr>
          <w:p>
            <w:pPr>
              <w:spacing w:line="312" w:lineRule="exact"/>
              <w:ind w:firstLine="0" w:firstLineChars="0"/>
              <w:rPr>
                <w:color w:val="auto"/>
                <w:sz w:val="21"/>
                <w:szCs w:val="21"/>
              </w:rPr>
            </w:pPr>
            <w:r>
              <w:rPr>
                <w:color w:val="auto"/>
                <w:kern w:val="0"/>
                <w:sz w:val="21"/>
                <w:szCs w:val="21"/>
              </w:rPr>
              <w:t>直接排放</w:t>
            </w:r>
            <w:r>
              <w:rPr>
                <w:color w:val="auto"/>
                <w:kern w:val="0"/>
                <w:sz w:val="21"/>
                <w:szCs w:val="21"/>
              </w:rPr>
              <w:sym w:font="Wingdings" w:char="00A8"/>
            </w:r>
            <w:r>
              <w:rPr>
                <w:color w:val="auto"/>
                <w:kern w:val="0"/>
                <w:sz w:val="21"/>
                <w:szCs w:val="21"/>
              </w:rPr>
              <w:t>；间接排放</w:t>
            </w:r>
            <w:r>
              <w:rPr>
                <w:color w:val="auto"/>
                <w:kern w:val="0"/>
                <w:sz w:val="21"/>
                <w:szCs w:val="21"/>
              </w:rPr>
              <w:sym w:font="Wingdings" w:char="00FE"/>
            </w:r>
            <w:r>
              <w:rPr>
                <w:color w:val="auto"/>
                <w:kern w:val="0"/>
                <w:sz w:val="21"/>
                <w:szCs w:val="21"/>
              </w:rPr>
              <w:t>；其他</w:t>
            </w:r>
            <w:r>
              <w:rPr>
                <w:color w:val="auto"/>
                <w:kern w:val="0"/>
                <w:sz w:val="21"/>
                <w:szCs w:val="21"/>
              </w:rPr>
              <w:sym w:font="Wingdings" w:char="00A8"/>
            </w:r>
          </w:p>
        </w:tc>
        <w:tc>
          <w:tcPr>
            <w:tcW w:w="1966" w:type="pct"/>
            <w:gridSpan w:val="5"/>
            <w:tcBorders>
              <w:tl2br w:val="nil"/>
              <w:tr2bl w:val="nil"/>
            </w:tcBorders>
          </w:tcPr>
          <w:p>
            <w:pPr>
              <w:spacing w:line="312" w:lineRule="exact"/>
              <w:ind w:firstLine="0" w:firstLineChars="0"/>
              <w:rPr>
                <w:color w:val="auto"/>
                <w:sz w:val="21"/>
                <w:szCs w:val="21"/>
              </w:rPr>
            </w:pPr>
            <w:r>
              <w:rPr>
                <w:color w:val="auto"/>
                <w:kern w:val="0"/>
                <w:sz w:val="21"/>
                <w:szCs w:val="21"/>
              </w:rPr>
              <w:t>水温</w:t>
            </w:r>
            <w:r>
              <w:rPr>
                <w:color w:val="auto"/>
                <w:kern w:val="0"/>
                <w:sz w:val="21"/>
                <w:szCs w:val="21"/>
              </w:rPr>
              <w:sym w:font="Wingdings" w:char="00A8"/>
            </w:r>
            <w:r>
              <w:rPr>
                <w:color w:val="auto"/>
                <w:kern w:val="0"/>
                <w:sz w:val="21"/>
                <w:szCs w:val="21"/>
              </w:rPr>
              <w:t>；径流</w:t>
            </w:r>
            <w:r>
              <w:rPr>
                <w:color w:val="auto"/>
                <w:kern w:val="0"/>
                <w:sz w:val="21"/>
                <w:szCs w:val="21"/>
              </w:rPr>
              <w:sym w:font="Wingdings" w:char="00A8"/>
            </w:r>
            <w:r>
              <w:rPr>
                <w:color w:val="auto"/>
                <w:kern w:val="0"/>
                <w:sz w:val="21"/>
                <w:szCs w:val="21"/>
              </w:rPr>
              <w:t>；水域面积</w:t>
            </w:r>
            <w:r>
              <w:rPr>
                <w:color w:val="auto"/>
                <w:kern w:val="0"/>
                <w:sz w:val="21"/>
                <w:szCs w:val="21"/>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影响因子</w:t>
            </w:r>
          </w:p>
        </w:tc>
        <w:tc>
          <w:tcPr>
            <w:tcW w:w="2027" w:type="pct"/>
            <w:gridSpan w:val="6"/>
            <w:tcBorders>
              <w:tl2br w:val="nil"/>
              <w:tr2bl w:val="nil"/>
            </w:tcBorders>
          </w:tcPr>
          <w:p>
            <w:pPr>
              <w:spacing w:line="312" w:lineRule="exact"/>
              <w:ind w:firstLine="0" w:firstLineChars="0"/>
              <w:rPr>
                <w:color w:val="auto"/>
                <w:sz w:val="21"/>
                <w:szCs w:val="21"/>
              </w:rPr>
            </w:pPr>
            <w:r>
              <w:rPr>
                <w:color w:val="auto"/>
                <w:kern w:val="0"/>
                <w:sz w:val="21"/>
                <w:szCs w:val="21"/>
              </w:rPr>
              <w:t>持久性污染物</w:t>
            </w:r>
            <w:r>
              <w:rPr>
                <w:color w:val="auto"/>
                <w:kern w:val="0"/>
                <w:sz w:val="21"/>
                <w:szCs w:val="21"/>
              </w:rPr>
              <w:sym w:font="Wingdings" w:char="00FE"/>
            </w:r>
            <w:r>
              <w:rPr>
                <w:color w:val="auto"/>
                <w:kern w:val="0"/>
                <w:sz w:val="21"/>
                <w:szCs w:val="21"/>
              </w:rPr>
              <w:t>；有毒有害污染物</w:t>
            </w:r>
            <w:r>
              <w:rPr>
                <w:color w:val="auto"/>
                <w:kern w:val="0"/>
                <w:sz w:val="21"/>
                <w:szCs w:val="21"/>
              </w:rPr>
              <w:sym w:font="Wingdings" w:char="00A8"/>
            </w:r>
            <w:r>
              <w:rPr>
                <w:color w:val="auto"/>
                <w:kern w:val="0"/>
                <w:sz w:val="21"/>
                <w:szCs w:val="21"/>
              </w:rPr>
              <w:t>；非持久性污染物</w:t>
            </w:r>
            <w:r>
              <w:rPr>
                <w:color w:val="auto"/>
                <w:kern w:val="0"/>
                <w:sz w:val="21"/>
                <w:szCs w:val="21"/>
              </w:rPr>
              <w:sym w:font="Wingdings" w:char="00FE"/>
            </w:r>
            <w:r>
              <w:rPr>
                <w:color w:val="auto"/>
                <w:kern w:val="0"/>
                <w:sz w:val="21"/>
                <w:szCs w:val="21"/>
              </w:rPr>
              <w:t>；pH值</w:t>
            </w:r>
            <w:r>
              <w:rPr>
                <w:color w:val="auto"/>
                <w:kern w:val="0"/>
                <w:sz w:val="21"/>
                <w:szCs w:val="21"/>
              </w:rPr>
              <w:sym w:font="Wingdings" w:char="00A8"/>
            </w:r>
            <w:r>
              <w:rPr>
                <w:color w:val="auto"/>
                <w:kern w:val="0"/>
                <w:sz w:val="21"/>
                <w:szCs w:val="21"/>
              </w:rPr>
              <w:t>；热污染</w:t>
            </w:r>
            <w:r>
              <w:rPr>
                <w:color w:val="auto"/>
                <w:kern w:val="0"/>
                <w:sz w:val="21"/>
                <w:szCs w:val="21"/>
              </w:rPr>
              <w:sym w:font="Wingdings" w:char="00A8"/>
            </w:r>
            <w:r>
              <w:rPr>
                <w:color w:val="auto"/>
                <w:kern w:val="0"/>
                <w:sz w:val="21"/>
                <w:szCs w:val="21"/>
              </w:rPr>
              <w:t>；富营养化</w:t>
            </w:r>
            <w:r>
              <w:rPr>
                <w:color w:val="auto"/>
                <w:kern w:val="0"/>
                <w:sz w:val="21"/>
                <w:szCs w:val="21"/>
              </w:rPr>
              <w:sym w:font="Wingdings" w:char="00A8"/>
            </w:r>
            <w:r>
              <w:rPr>
                <w:color w:val="auto"/>
                <w:kern w:val="0"/>
                <w:sz w:val="21"/>
                <w:szCs w:val="21"/>
              </w:rPr>
              <w:t>；其他</w:t>
            </w:r>
            <w:r>
              <w:rPr>
                <w:color w:val="auto"/>
                <w:kern w:val="0"/>
                <w:sz w:val="21"/>
                <w:szCs w:val="21"/>
              </w:rPr>
              <w:sym w:font="Wingdings" w:char="00A8"/>
            </w:r>
          </w:p>
        </w:tc>
        <w:tc>
          <w:tcPr>
            <w:tcW w:w="1966" w:type="pct"/>
            <w:gridSpan w:val="5"/>
            <w:tcBorders>
              <w:tl2br w:val="nil"/>
              <w:tr2bl w:val="nil"/>
            </w:tcBorders>
          </w:tcPr>
          <w:p>
            <w:pPr>
              <w:spacing w:line="312" w:lineRule="exact"/>
              <w:ind w:firstLine="0" w:firstLineChars="0"/>
              <w:rPr>
                <w:color w:val="auto"/>
                <w:sz w:val="21"/>
                <w:szCs w:val="21"/>
              </w:rPr>
            </w:pPr>
            <w:r>
              <w:rPr>
                <w:color w:val="auto"/>
                <w:kern w:val="0"/>
                <w:sz w:val="21"/>
                <w:szCs w:val="21"/>
              </w:rPr>
              <w:t>水温</w:t>
            </w:r>
            <w:r>
              <w:rPr>
                <w:color w:val="auto"/>
                <w:kern w:val="0"/>
                <w:sz w:val="21"/>
                <w:szCs w:val="21"/>
              </w:rPr>
              <w:sym w:font="Wingdings" w:char="00A8"/>
            </w:r>
            <w:r>
              <w:rPr>
                <w:color w:val="auto"/>
                <w:kern w:val="0"/>
                <w:sz w:val="21"/>
                <w:szCs w:val="21"/>
              </w:rPr>
              <w:t>；水位</w:t>
            </w:r>
            <w:r>
              <w:rPr>
                <w:color w:val="auto"/>
                <w:kern w:val="0"/>
                <w:sz w:val="21"/>
                <w:szCs w:val="21"/>
              </w:rPr>
              <w:sym w:font="Wingdings" w:char="00A8"/>
            </w:r>
            <w:r>
              <w:rPr>
                <w:color w:val="auto"/>
                <w:kern w:val="0"/>
                <w:sz w:val="21"/>
                <w:szCs w:val="21"/>
              </w:rPr>
              <w:t>；水深</w:t>
            </w:r>
            <w:r>
              <w:rPr>
                <w:color w:val="auto"/>
                <w:kern w:val="0"/>
                <w:sz w:val="21"/>
                <w:szCs w:val="21"/>
              </w:rPr>
              <w:sym w:font="Wingdings" w:char="00A8"/>
            </w:r>
            <w:r>
              <w:rPr>
                <w:color w:val="auto"/>
                <w:kern w:val="0"/>
                <w:sz w:val="21"/>
                <w:szCs w:val="21"/>
              </w:rPr>
              <w:t>；流速</w:t>
            </w:r>
            <w:r>
              <w:rPr>
                <w:color w:val="auto"/>
                <w:kern w:val="0"/>
                <w:sz w:val="21"/>
                <w:szCs w:val="21"/>
              </w:rPr>
              <w:sym w:font="Wingdings" w:char="00A8"/>
            </w:r>
            <w:r>
              <w:rPr>
                <w:color w:val="auto"/>
                <w:kern w:val="0"/>
                <w:sz w:val="21"/>
                <w:szCs w:val="21"/>
              </w:rPr>
              <w:t>；流量</w:t>
            </w:r>
            <w:r>
              <w:rPr>
                <w:color w:val="auto"/>
                <w:kern w:val="0"/>
                <w:sz w:val="21"/>
                <w:szCs w:val="21"/>
              </w:rPr>
              <w:sym w:font="Wingdings" w:char="00A8"/>
            </w:r>
            <w:r>
              <w:rPr>
                <w:color w:val="auto"/>
                <w:kern w:val="0"/>
                <w:sz w:val="21"/>
                <w:szCs w:val="21"/>
              </w:rPr>
              <w:t>；其他</w:t>
            </w:r>
            <w:r>
              <w:rPr>
                <w:color w:val="auto"/>
                <w:kern w:val="0"/>
                <w:sz w:val="21"/>
                <w:szCs w:val="21"/>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6" w:type="pct"/>
            <w:gridSpan w:val="2"/>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评价等级</w:t>
            </w:r>
          </w:p>
        </w:tc>
        <w:tc>
          <w:tcPr>
            <w:tcW w:w="2027" w:type="pct"/>
            <w:gridSpan w:val="6"/>
            <w:tcBorders>
              <w:tl2br w:val="nil"/>
              <w:tr2bl w:val="nil"/>
            </w:tcBorders>
          </w:tcPr>
          <w:p>
            <w:pPr>
              <w:spacing w:line="312" w:lineRule="exact"/>
              <w:ind w:firstLine="0" w:firstLineChars="0"/>
              <w:rPr>
                <w:color w:val="auto"/>
                <w:sz w:val="21"/>
                <w:szCs w:val="21"/>
              </w:rPr>
            </w:pPr>
            <w:r>
              <w:rPr>
                <w:color w:val="auto"/>
                <w:kern w:val="0"/>
                <w:sz w:val="21"/>
                <w:szCs w:val="21"/>
              </w:rPr>
              <w:t>水污染影响型</w:t>
            </w:r>
          </w:p>
        </w:tc>
        <w:tc>
          <w:tcPr>
            <w:tcW w:w="1966" w:type="pct"/>
            <w:gridSpan w:val="5"/>
            <w:tcBorders>
              <w:tl2br w:val="nil"/>
              <w:tr2bl w:val="nil"/>
            </w:tcBorders>
          </w:tcPr>
          <w:p>
            <w:pPr>
              <w:spacing w:line="312" w:lineRule="exact"/>
              <w:ind w:firstLine="0" w:firstLineChars="0"/>
              <w:rPr>
                <w:color w:val="auto"/>
                <w:sz w:val="21"/>
                <w:szCs w:val="21"/>
              </w:rPr>
            </w:pPr>
            <w:r>
              <w:rPr>
                <w:color w:val="auto"/>
                <w:kern w:val="0"/>
                <w:sz w:val="21"/>
                <w:szCs w:val="21"/>
              </w:rPr>
              <w:t>水文要素影响型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6" w:type="pct"/>
            <w:gridSpan w:val="2"/>
            <w:vMerge w:val="continue"/>
            <w:tcBorders>
              <w:tl2br w:val="nil"/>
              <w:tr2bl w:val="nil"/>
            </w:tcBorders>
            <w:vAlign w:val="center"/>
          </w:tcPr>
          <w:p>
            <w:pPr>
              <w:spacing w:line="312" w:lineRule="exact"/>
              <w:ind w:firstLine="0" w:firstLineChars="0"/>
              <w:jc w:val="center"/>
              <w:rPr>
                <w:color w:val="auto"/>
                <w:sz w:val="21"/>
                <w:szCs w:val="21"/>
              </w:rPr>
            </w:pPr>
          </w:p>
        </w:tc>
        <w:tc>
          <w:tcPr>
            <w:tcW w:w="2027" w:type="pct"/>
            <w:gridSpan w:val="6"/>
            <w:tcBorders>
              <w:tl2br w:val="nil"/>
              <w:tr2bl w:val="nil"/>
            </w:tcBorders>
          </w:tcPr>
          <w:p>
            <w:pPr>
              <w:spacing w:line="312" w:lineRule="exact"/>
              <w:ind w:firstLine="0" w:firstLineChars="0"/>
              <w:rPr>
                <w:color w:val="auto"/>
                <w:sz w:val="21"/>
                <w:szCs w:val="21"/>
              </w:rPr>
            </w:pPr>
            <w:r>
              <w:rPr>
                <w:color w:val="auto"/>
                <w:kern w:val="0"/>
                <w:sz w:val="21"/>
                <w:szCs w:val="21"/>
              </w:rPr>
              <w:t>一级</w:t>
            </w:r>
            <w:r>
              <w:rPr>
                <w:color w:val="auto"/>
                <w:kern w:val="0"/>
                <w:sz w:val="21"/>
                <w:szCs w:val="21"/>
              </w:rPr>
              <w:sym w:font="Wingdings" w:char="00A8"/>
            </w:r>
            <w:r>
              <w:rPr>
                <w:color w:val="auto"/>
                <w:kern w:val="0"/>
                <w:sz w:val="21"/>
                <w:szCs w:val="21"/>
              </w:rPr>
              <w:t>；二级</w:t>
            </w:r>
            <w:r>
              <w:rPr>
                <w:color w:val="auto"/>
                <w:kern w:val="0"/>
                <w:sz w:val="21"/>
                <w:szCs w:val="21"/>
              </w:rPr>
              <w:sym w:font="Wingdings" w:char="00A8"/>
            </w:r>
            <w:r>
              <w:rPr>
                <w:color w:val="auto"/>
                <w:kern w:val="0"/>
                <w:sz w:val="21"/>
                <w:szCs w:val="21"/>
              </w:rPr>
              <w:t>；三级A</w:t>
            </w:r>
            <w:r>
              <w:rPr>
                <w:color w:val="auto"/>
                <w:kern w:val="0"/>
                <w:sz w:val="21"/>
                <w:szCs w:val="21"/>
              </w:rPr>
              <w:sym w:font="Wingdings" w:char="00A8"/>
            </w:r>
            <w:r>
              <w:rPr>
                <w:color w:val="auto"/>
                <w:kern w:val="0"/>
                <w:sz w:val="21"/>
                <w:szCs w:val="21"/>
              </w:rPr>
              <w:t>；三级B</w:t>
            </w:r>
            <w:r>
              <w:rPr>
                <w:color w:val="auto"/>
                <w:kern w:val="0"/>
                <w:sz w:val="21"/>
                <w:szCs w:val="21"/>
              </w:rPr>
              <w:sym w:font="Wingdings" w:char="00FE"/>
            </w:r>
          </w:p>
        </w:tc>
        <w:tc>
          <w:tcPr>
            <w:tcW w:w="1966" w:type="pct"/>
            <w:gridSpan w:val="5"/>
            <w:tcBorders>
              <w:tl2br w:val="nil"/>
              <w:tr2bl w:val="nil"/>
            </w:tcBorders>
          </w:tcPr>
          <w:p>
            <w:pPr>
              <w:spacing w:line="312" w:lineRule="exact"/>
              <w:ind w:firstLine="0" w:firstLineChars="0"/>
              <w:rPr>
                <w:color w:val="auto"/>
                <w:sz w:val="21"/>
                <w:szCs w:val="21"/>
              </w:rPr>
            </w:pPr>
            <w:r>
              <w:rPr>
                <w:color w:val="auto"/>
                <w:kern w:val="0"/>
                <w:sz w:val="21"/>
                <w:szCs w:val="21"/>
              </w:rPr>
              <w:t>一级</w:t>
            </w:r>
            <w:r>
              <w:rPr>
                <w:color w:val="auto"/>
                <w:kern w:val="0"/>
                <w:sz w:val="21"/>
                <w:szCs w:val="21"/>
              </w:rPr>
              <w:sym w:font="Wingdings" w:char="00A8"/>
            </w:r>
            <w:r>
              <w:rPr>
                <w:color w:val="auto"/>
                <w:kern w:val="0"/>
                <w:sz w:val="21"/>
                <w:szCs w:val="21"/>
              </w:rPr>
              <w:t>；二级</w:t>
            </w:r>
            <w:r>
              <w:rPr>
                <w:color w:val="auto"/>
                <w:kern w:val="0"/>
                <w:sz w:val="21"/>
                <w:szCs w:val="21"/>
              </w:rPr>
              <w:sym w:font="Wingdings" w:char="00A8"/>
            </w:r>
            <w:r>
              <w:rPr>
                <w:color w:val="auto"/>
                <w:kern w:val="0"/>
                <w:sz w:val="21"/>
                <w:szCs w:val="21"/>
              </w:rPr>
              <w:t>；三级</w:t>
            </w:r>
            <w:r>
              <w:rPr>
                <w:color w:val="auto"/>
                <w:kern w:val="0"/>
                <w:sz w:val="21"/>
                <w:szCs w:val="21"/>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现状调查</w:t>
            </w:r>
          </w:p>
        </w:tc>
        <w:tc>
          <w:tcPr>
            <w:tcW w:w="818"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区域污染源</w:t>
            </w:r>
          </w:p>
        </w:tc>
        <w:tc>
          <w:tcPr>
            <w:tcW w:w="2027" w:type="pct"/>
            <w:gridSpan w:val="6"/>
            <w:tcBorders>
              <w:tl2br w:val="nil"/>
              <w:tr2bl w:val="nil"/>
            </w:tcBorders>
          </w:tcPr>
          <w:p>
            <w:pPr>
              <w:spacing w:line="312" w:lineRule="exact"/>
              <w:ind w:firstLine="0" w:firstLineChars="0"/>
              <w:rPr>
                <w:color w:val="auto"/>
                <w:sz w:val="21"/>
                <w:szCs w:val="21"/>
              </w:rPr>
            </w:pPr>
            <w:r>
              <w:rPr>
                <w:color w:val="auto"/>
                <w:kern w:val="0"/>
                <w:sz w:val="21"/>
                <w:szCs w:val="21"/>
              </w:rPr>
              <w:t>调查项目</w:t>
            </w:r>
          </w:p>
        </w:tc>
        <w:tc>
          <w:tcPr>
            <w:tcW w:w="1966" w:type="pct"/>
            <w:gridSpan w:val="5"/>
            <w:tcBorders>
              <w:tl2br w:val="nil"/>
              <w:tr2bl w:val="nil"/>
            </w:tcBorders>
          </w:tcPr>
          <w:p>
            <w:pPr>
              <w:spacing w:line="312" w:lineRule="exact"/>
              <w:ind w:firstLine="0" w:firstLineChars="0"/>
              <w:rPr>
                <w:color w:val="auto"/>
                <w:sz w:val="21"/>
                <w:szCs w:val="21"/>
              </w:rPr>
            </w:pPr>
            <w:r>
              <w:rPr>
                <w:color w:val="auto"/>
                <w:kern w:val="0"/>
                <w:sz w:val="21"/>
                <w:szCs w:val="21"/>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vMerge w:val="continue"/>
            <w:tcBorders>
              <w:tl2br w:val="nil"/>
              <w:tr2bl w:val="nil"/>
            </w:tcBorders>
            <w:vAlign w:val="center"/>
          </w:tcPr>
          <w:p>
            <w:pPr>
              <w:spacing w:line="312" w:lineRule="exact"/>
              <w:ind w:firstLine="0" w:firstLineChars="0"/>
              <w:jc w:val="center"/>
              <w:rPr>
                <w:color w:val="auto"/>
                <w:sz w:val="21"/>
                <w:szCs w:val="21"/>
              </w:rPr>
            </w:pPr>
          </w:p>
        </w:tc>
        <w:tc>
          <w:tcPr>
            <w:tcW w:w="1043" w:type="pct"/>
            <w:gridSpan w:val="2"/>
            <w:tcBorders>
              <w:tl2br w:val="nil"/>
              <w:tr2bl w:val="nil"/>
            </w:tcBorders>
          </w:tcPr>
          <w:p>
            <w:pPr>
              <w:spacing w:line="312" w:lineRule="exact"/>
              <w:ind w:firstLine="0" w:firstLineChars="0"/>
              <w:rPr>
                <w:color w:val="auto"/>
                <w:sz w:val="21"/>
                <w:szCs w:val="21"/>
              </w:rPr>
            </w:pPr>
            <w:r>
              <w:rPr>
                <w:color w:val="auto"/>
                <w:kern w:val="0"/>
                <w:sz w:val="21"/>
                <w:szCs w:val="21"/>
              </w:rPr>
              <w:t>已建</w:t>
            </w:r>
            <w:r>
              <w:rPr>
                <w:color w:val="auto"/>
                <w:kern w:val="0"/>
                <w:sz w:val="21"/>
                <w:szCs w:val="21"/>
              </w:rPr>
              <w:sym w:font="Wingdings" w:char="00A8"/>
            </w:r>
            <w:r>
              <w:rPr>
                <w:color w:val="auto"/>
                <w:kern w:val="0"/>
                <w:sz w:val="21"/>
                <w:szCs w:val="21"/>
              </w:rPr>
              <w:t>；在建</w:t>
            </w:r>
            <w:r>
              <w:rPr>
                <w:color w:val="auto"/>
                <w:kern w:val="0"/>
                <w:sz w:val="21"/>
                <w:szCs w:val="21"/>
              </w:rPr>
              <w:sym w:font="Wingdings" w:char="00A8"/>
            </w:r>
            <w:r>
              <w:rPr>
                <w:color w:val="auto"/>
                <w:kern w:val="0"/>
                <w:sz w:val="21"/>
                <w:szCs w:val="21"/>
              </w:rPr>
              <w:t>；拟建</w:t>
            </w:r>
            <w:r>
              <w:rPr>
                <w:color w:val="auto"/>
                <w:kern w:val="0"/>
                <w:sz w:val="21"/>
                <w:szCs w:val="21"/>
              </w:rPr>
              <w:sym w:font="Wingdings" w:char="00A8"/>
            </w:r>
            <w:r>
              <w:rPr>
                <w:color w:val="auto"/>
                <w:kern w:val="0"/>
                <w:sz w:val="21"/>
                <w:szCs w:val="21"/>
              </w:rPr>
              <w:t>；其他</w:t>
            </w:r>
            <w:r>
              <w:rPr>
                <w:color w:val="auto"/>
                <w:kern w:val="0"/>
                <w:sz w:val="21"/>
                <w:szCs w:val="21"/>
              </w:rPr>
              <w:sym w:font="Wingdings" w:char="00A8"/>
            </w:r>
          </w:p>
        </w:tc>
        <w:tc>
          <w:tcPr>
            <w:tcW w:w="983" w:type="pct"/>
            <w:gridSpan w:val="4"/>
            <w:tcBorders>
              <w:tl2br w:val="nil"/>
              <w:tr2bl w:val="nil"/>
            </w:tcBorders>
          </w:tcPr>
          <w:p>
            <w:pPr>
              <w:spacing w:line="312" w:lineRule="exact"/>
              <w:ind w:firstLine="0" w:firstLineChars="0"/>
              <w:rPr>
                <w:color w:val="auto"/>
                <w:kern w:val="0"/>
                <w:sz w:val="21"/>
                <w:szCs w:val="21"/>
              </w:rPr>
            </w:pPr>
            <w:r>
              <w:rPr>
                <w:color w:val="auto"/>
                <w:kern w:val="0"/>
                <w:sz w:val="21"/>
                <w:szCs w:val="21"/>
              </w:rPr>
              <w:t>拟替代的污染源</w:t>
            </w:r>
            <w:r>
              <w:rPr>
                <w:color w:val="auto"/>
                <w:kern w:val="0"/>
                <w:sz w:val="21"/>
                <w:szCs w:val="21"/>
              </w:rPr>
              <w:sym w:font="Wingdings" w:char="00A8"/>
            </w:r>
          </w:p>
        </w:tc>
        <w:tc>
          <w:tcPr>
            <w:tcW w:w="1966" w:type="pct"/>
            <w:gridSpan w:val="5"/>
            <w:tcBorders>
              <w:tl2br w:val="nil"/>
              <w:tr2bl w:val="nil"/>
            </w:tcBorders>
          </w:tcPr>
          <w:p>
            <w:pPr>
              <w:spacing w:line="312" w:lineRule="exact"/>
              <w:ind w:firstLine="0" w:firstLineChars="0"/>
              <w:rPr>
                <w:color w:val="auto"/>
                <w:sz w:val="21"/>
                <w:szCs w:val="21"/>
              </w:rPr>
            </w:pPr>
            <w:r>
              <w:rPr>
                <w:color w:val="auto"/>
                <w:kern w:val="0"/>
                <w:sz w:val="21"/>
                <w:szCs w:val="21"/>
              </w:rPr>
              <w:t>排污许可证</w:t>
            </w:r>
            <w:r>
              <w:rPr>
                <w:color w:val="auto"/>
                <w:kern w:val="0"/>
                <w:sz w:val="21"/>
                <w:szCs w:val="21"/>
              </w:rPr>
              <w:sym w:font="Wingdings" w:char="00A8"/>
            </w:r>
            <w:r>
              <w:rPr>
                <w:color w:val="auto"/>
                <w:kern w:val="0"/>
                <w:sz w:val="21"/>
                <w:szCs w:val="21"/>
              </w:rPr>
              <w:t>；环评</w:t>
            </w:r>
            <w:r>
              <w:rPr>
                <w:color w:val="auto"/>
                <w:kern w:val="0"/>
                <w:sz w:val="21"/>
                <w:szCs w:val="21"/>
              </w:rPr>
              <w:sym w:font="Wingdings" w:char="00A8"/>
            </w:r>
            <w:r>
              <w:rPr>
                <w:color w:val="auto"/>
                <w:kern w:val="0"/>
                <w:sz w:val="21"/>
                <w:szCs w:val="21"/>
              </w:rPr>
              <w:t>；环保验收</w:t>
            </w:r>
            <w:r>
              <w:rPr>
                <w:color w:val="auto"/>
                <w:kern w:val="0"/>
                <w:sz w:val="21"/>
                <w:szCs w:val="21"/>
              </w:rPr>
              <w:sym w:font="Wingdings" w:char="00A8"/>
            </w:r>
            <w:r>
              <w:rPr>
                <w:color w:val="auto"/>
                <w:kern w:val="0"/>
                <w:sz w:val="21"/>
                <w:szCs w:val="21"/>
              </w:rPr>
              <w:t>；既有实测</w:t>
            </w:r>
            <w:r>
              <w:rPr>
                <w:color w:val="auto"/>
                <w:kern w:val="0"/>
                <w:sz w:val="21"/>
                <w:szCs w:val="21"/>
              </w:rPr>
              <w:sym w:font="Wingdings" w:char="00A8"/>
            </w:r>
            <w:r>
              <w:rPr>
                <w:color w:val="auto"/>
                <w:kern w:val="0"/>
                <w:sz w:val="21"/>
                <w:szCs w:val="21"/>
              </w:rPr>
              <w:t>；现场监测</w:t>
            </w:r>
            <w:r>
              <w:rPr>
                <w:color w:val="auto"/>
                <w:kern w:val="0"/>
                <w:sz w:val="21"/>
                <w:szCs w:val="21"/>
              </w:rPr>
              <w:sym w:font="Wingdings" w:char="00A8"/>
            </w:r>
            <w:r>
              <w:rPr>
                <w:color w:val="auto"/>
                <w:kern w:val="0"/>
                <w:sz w:val="21"/>
                <w:szCs w:val="21"/>
              </w:rPr>
              <w:t>；入河排放口数据</w:t>
            </w:r>
            <w:r>
              <w:rPr>
                <w:color w:val="auto"/>
                <w:kern w:val="0"/>
                <w:sz w:val="21"/>
                <w:szCs w:val="21"/>
              </w:rPr>
              <w:sym w:font="Wingdings" w:char="00A8"/>
            </w:r>
            <w:r>
              <w:rPr>
                <w:color w:val="auto"/>
                <w:kern w:val="0"/>
                <w:sz w:val="21"/>
                <w:szCs w:val="21"/>
              </w:rPr>
              <w:t>；其他</w:t>
            </w:r>
            <w:r>
              <w:rPr>
                <w:color w:val="auto"/>
                <w:kern w:val="0"/>
                <w:sz w:val="21"/>
                <w:szCs w:val="21"/>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受影响水体水环境质量</w:t>
            </w:r>
          </w:p>
        </w:tc>
        <w:tc>
          <w:tcPr>
            <w:tcW w:w="2027" w:type="pct"/>
            <w:gridSpan w:val="6"/>
            <w:tcBorders>
              <w:tl2br w:val="nil"/>
              <w:tr2bl w:val="nil"/>
            </w:tcBorders>
          </w:tcPr>
          <w:p>
            <w:pPr>
              <w:spacing w:line="312" w:lineRule="exact"/>
              <w:ind w:firstLine="0" w:firstLineChars="0"/>
              <w:rPr>
                <w:color w:val="auto"/>
                <w:sz w:val="21"/>
                <w:szCs w:val="21"/>
              </w:rPr>
            </w:pPr>
            <w:r>
              <w:rPr>
                <w:color w:val="auto"/>
                <w:kern w:val="0"/>
                <w:sz w:val="21"/>
                <w:szCs w:val="21"/>
              </w:rPr>
              <w:t>调查时期</w:t>
            </w:r>
          </w:p>
        </w:tc>
        <w:tc>
          <w:tcPr>
            <w:tcW w:w="1966" w:type="pct"/>
            <w:gridSpan w:val="5"/>
            <w:tcBorders>
              <w:tl2br w:val="nil"/>
              <w:tr2bl w:val="nil"/>
            </w:tcBorders>
          </w:tcPr>
          <w:p>
            <w:pPr>
              <w:spacing w:line="312" w:lineRule="exact"/>
              <w:ind w:firstLine="0" w:firstLineChars="0"/>
              <w:rPr>
                <w:color w:val="auto"/>
                <w:sz w:val="21"/>
                <w:szCs w:val="21"/>
              </w:rPr>
            </w:pPr>
            <w:r>
              <w:rPr>
                <w:color w:val="auto"/>
                <w:kern w:val="0"/>
                <w:sz w:val="21"/>
                <w:szCs w:val="21"/>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vMerge w:val="continue"/>
            <w:tcBorders>
              <w:tl2br w:val="nil"/>
              <w:tr2bl w:val="nil"/>
            </w:tcBorders>
            <w:vAlign w:val="center"/>
          </w:tcPr>
          <w:p>
            <w:pPr>
              <w:spacing w:line="312" w:lineRule="exact"/>
              <w:ind w:firstLine="0" w:firstLineChars="0"/>
              <w:jc w:val="center"/>
              <w:rPr>
                <w:color w:val="auto"/>
                <w:sz w:val="21"/>
                <w:szCs w:val="21"/>
              </w:rPr>
            </w:pPr>
          </w:p>
        </w:tc>
        <w:tc>
          <w:tcPr>
            <w:tcW w:w="2027" w:type="pct"/>
            <w:gridSpan w:val="6"/>
            <w:tcBorders>
              <w:tl2br w:val="nil"/>
              <w:tr2bl w:val="nil"/>
            </w:tcBorders>
          </w:tcPr>
          <w:p>
            <w:pPr>
              <w:spacing w:line="312" w:lineRule="exact"/>
              <w:ind w:firstLine="0" w:firstLineChars="0"/>
              <w:rPr>
                <w:color w:val="auto"/>
                <w:sz w:val="21"/>
                <w:szCs w:val="21"/>
              </w:rPr>
            </w:pPr>
            <w:r>
              <w:rPr>
                <w:color w:val="auto"/>
                <w:sz w:val="21"/>
                <w:szCs w:val="21"/>
              </w:rPr>
              <w:t>丰水期</w:t>
            </w:r>
            <w:r>
              <w:rPr>
                <w:color w:val="auto"/>
                <w:kern w:val="0"/>
                <w:sz w:val="21"/>
                <w:szCs w:val="21"/>
              </w:rPr>
              <w:sym w:font="Wingdings" w:char="00FE"/>
            </w:r>
            <w:r>
              <w:rPr>
                <w:color w:val="auto"/>
                <w:sz w:val="21"/>
                <w:szCs w:val="21"/>
              </w:rPr>
              <w:t>；平水期</w:t>
            </w:r>
            <w:r>
              <w:rPr>
                <w:color w:val="auto"/>
                <w:kern w:val="0"/>
                <w:sz w:val="21"/>
                <w:szCs w:val="21"/>
              </w:rPr>
              <w:sym w:font="Wingdings" w:char="00A8"/>
            </w:r>
            <w:r>
              <w:rPr>
                <w:color w:val="auto"/>
                <w:sz w:val="21"/>
                <w:szCs w:val="21"/>
              </w:rPr>
              <w:t>；枯水期</w:t>
            </w:r>
            <w:r>
              <w:rPr>
                <w:color w:val="auto"/>
                <w:kern w:val="0"/>
                <w:sz w:val="21"/>
                <w:szCs w:val="21"/>
              </w:rPr>
              <w:sym w:font="Wingdings" w:char="00FE"/>
            </w:r>
            <w:r>
              <w:rPr>
                <w:color w:val="auto"/>
                <w:kern w:val="0"/>
                <w:sz w:val="21"/>
                <w:szCs w:val="21"/>
              </w:rPr>
              <w:t>；</w:t>
            </w:r>
            <w:r>
              <w:rPr>
                <w:color w:val="auto"/>
                <w:sz w:val="21"/>
                <w:szCs w:val="21"/>
              </w:rPr>
              <w:t>冰封期</w:t>
            </w:r>
            <w:r>
              <w:rPr>
                <w:color w:val="auto"/>
                <w:kern w:val="0"/>
                <w:sz w:val="21"/>
                <w:szCs w:val="21"/>
              </w:rPr>
              <w:sym w:font="Wingdings" w:char="00A8"/>
            </w:r>
          </w:p>
          <w:p>
            <w:pPr>
              <w:pStyle w:val="2"/>
              <w:spacing w:after="0" w:line="312" w:lineRule="exact"/>
              <w:ind w:firstLine="0" w:firstLineChars="0"/>
              <w:rPr>
                <w:color w:val="auto"/>
                <w:sz w:val="21"/>
                <w:szCs w:val="21"/>
              </w:rPr>
            </w:pPr>
            <w:r>
              <w:rPr>
                <w:color w:val="auto"/>
                <w:kern w:val="0"/>
                <w:sz w:val="21"/>
                <w:szCs w:val="21"/>
              </w:rPr>
              <w:t>春季</w:t>
            </w:r>
            <w:r>
              <w:rPr>
                <w:color w:val="auto"/>
                <w:kern w:val="0"/>
                <w:sz w:val="21"/>
                <w:szCs w:val="21"/>
              </w:rPr>
              <w:sym w:font="Wingdings" w:char="00FE"/>
            </w:r>
            <w:r>
              <w:rPr>
                <w:color w:val="auto"/>
                <w:kern w:val="0"/>
                <w:sz w:val="21"/>
                <w:szCs w:val="21"/>
              </w:rPr>
              <w:t>；夏季</w:t>
            </w:r>
            <w:r>
              <w:rPr>
                <w:color w:val="auto"/>
                <w:kern w:val="0"/>
                <w:sz w:val="21"/>
                <w:szCs w:val="21"/>
              </w:rPr>
              <w:sym w:font="Wingdings" w:char="00FE"/>
            </w:r>
            <w:r>
              <w:rPr>
                <w:color w:val="auto"/>
                <w:kern w:val="0"/>
                <w:sz w:val="21"/>
                <w:szCs w:val="21"/>
              </w:rPr>
              <w:t>；秋季</w:t>
            </w:r>
            <w:r>
              <w:rPr>
                <w:color w:val="auto"/>
                <w:kern w:val="0"/>
                <w:sz w:val="21"/>
                <w:szCs w:val="21"/>
              </w:rPr>
              <w:sym w:font="Wingdings" w:char="00FE"/>
            </w:r>
            <w:r>
              <w:rPr>
                <w:color w:val="auto"/>
                <w:kern w:val="0"/>
                <w:sz w:val="21"/>
                <w:szCs w:val="21"/>
              </w:rPr>
              <w:t>；冬季</w:t>
            </w:r>
            <w:r>
              <w:rPr>
                <w:color w:val="auto"/>
                <w:kern w:val="0"/>
                <w:sz w:val="21"/>
                <w:szCs w:val="21"/>
              </w:rPr>
              <w:sym w:font="Wingdings" w:char="00FE"/>
            </w:r>
          </w:p>
        </w:tc>
        <w:tc>
          <w:tcPr>
            <w:tcW w:w="1966" w:type="pct"/>
            <w:gridSpan w:val="5"/>
            <w:tcBorders>
              <w:tl2br w:val="nil"/>
              <w:tr2bl w:val="nil"/>
            </w:tcBorders>
          </w:tcPr>
          <w:p>
            <w:pPr>
              <w:spacing w:line="312" w:lineRule="exact"/>
              <w:ind w:firstLine="0" w:firstLineChars="0"/>
              <w:rPr>
                <w:color w:val="auto"/>
                <w:sz w:val="21"/>
                <w:szCs w:val="21"/>
              </w:rPr>
            </w:pPr>
            <w:r>
              <w:rPr>
                <w:color w:val="auto"/>
                <w:kern w:val="0"/>
                <w:sz w:val="21"/>
                <w:szCs w:val="21"/>
              </w:rPr>
              <w:t>生态环境保护主管部门</w:t>
            </w:r>
            <w:r>
              <w:rPr>
                <w:color w:val="auto"/>
                <w:kern w:val="0"/>
                <w:sz w:val="21"/>
                <w:szCs w:val="21"/>
              </w:rPr>
              <w:sym w:font="Wingdings" w:char="00A8"/>
            </w:r>
            <w:r>
              <w:rPr>
                <w:color w:val="auto"/>
                <w:kern w:val="0"/>
                <w:sz w:val="21"/>
                <w:szCs w:val="21"/>
              </w:rPr>
              <w:t>；补充监测</w:t>
            </w:r>
            <w:r>
              <w:rPr>
                <w:color w:val="auto"/>
                <w:kern w:val="0"/>
                <w:sz w:val="21"/>
                <w:szCs w:val="21"/>
              </w:rPr>
              <w:sym w:font="Wingdings" w:char="00A8"/>
            </w:r>
            <w:r>
              <w:rPr>
                <w:color w:val="auto"/>
                <w:kern w:val="0"/>
                <w:sz w:val="21"/>
                <w:szCs w:val="21"/>
              </w:rPr>
              <w:t>；其他</w:t>
            </w:r>
            <w:r>
              <w:rPr>
                <w:color w:val="auto"/>
                <w:kern w:val="0"/>
                <w:sz w:val="21"/>
                <w:szCs w:val="21"/>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区域水资源开发利用状况</w:t>
            </w:r>
          </w:p>
        </w:tc>
        <w:tc>
          <w:tcPr>
            <w:tcW w:w="3993" w:type="pct"/>
            <w:gridSpan w:val="11"/>
            <w:tcBorders>
              <w:tl2br w:val="nil"/>
              <w:tr2bl w:val="nil"/>
            </w:tcBorders>
          </w:tcPr>
          <w:p>
            <w:pPr>
              <w:spacing w:line="312" w:lineRule="exact"/>
              <w:ind w:firstLine="0" w:firstLineChars="0"/>
              <w:rPr>
                <w:color w:val="auto"/>
                <w:sz w:val="21"/>
                <w:szCs w:val="21"/>
              </w:rPr>
            </w:pPr>
            <w:r>
              <w:rPr>
                <w:color w:val="auto"/>
                <w:kern w:val="0"/>
                <w:sz w:val="21"/>
                <w:szCs w:val="21"/>
              </w:rPr>
              <w:t>未开发</w:t>
            </w:r>
            <w:r>
              <w:rPr>
                <w:color w:val="auto"/>
                <w:kern w:val="0"/>
                <w:sz w:val="21"/>
                <w:szCs w:val="21"/>
              </w:rPr>
              <w:sym w:font="Wingdings" w:char="00A8"/>
            </w:r>
            <w:r>
              <w:rPr>
                <w:color w:val="auto"/>
                <w:kern w:val="0"/>
                <w:sz w:val="21"/>
                <w:szCs w:val="21"/>
              </w:rPr>
              <w:t>；开发量40%以下</w:t>
            </w:r>
            <w:r>
              <w:rPr>
                <w:color w:val="auto"/>
                <w:kern w:val="0"/>
                <w:sz w:val="21"/>
                <w:szCs w:val="21"/>
              </w:rPr>
              <w:sym w:font="Wingdings" w:char="00A8"/>
            </w:r>
            <w:r>
              <w:rPr>
                <w:color w:val="auto"/>
                <w:kern w:val="0"/>
                <w:sz w:val="21"/>
                <w:szCs w:val="21"/>
              </w:rPr>
              <w:t>；开发量40%以上</w:t>
            </w:r>
            <w:r>
              <w:rPr>
                <w:color w:val="auto"/>
                <w:kern w:val="0"/>
                <w:sz w:val="21"/>
                <w:szCs w:val="21"/>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水文情势调查</w:t>
            </w:r>
          </w:p>
        </w:tc>
        <w:tc>
          <w:tcPr>
            <w:tcW w:w="2027" w:type="pct"/>
            <w:gridSpan w:val="6"/>
            <w:tcBorders>
              <w:tl2br w:val="nil"/>
              <w:tr2bl w:val="nil"/>
            </w:tcBorders>
          </w:tcPr>
          <w:p>
            <w:pPr>
              <w:spacing w:line="312" w:lineRule="exact"/>
              <w:ind w:firstLine="0" w:firstLineChars="0"/>
              <w:rPr>
                <w:color w:val="auto"/>
                <w:sz w:val="21"/>
                <w:szCs w:val="21"/>
              </w:rPr>
            </w:pPr>
            <w:r>
              <w:rPr>
                <w:color w:val="auto"/>
                <w:kern w:val="0"/>
                <w:sz w:val="21"/>
                <w:szCs w:val="21"/>
              </w:rPr>
              <w:t>调查时期</w:t>
            </w:r>
          </w:p>
        </w:tc>
        <w:tc>
          <w:tcPr>
            <w:tcW w:w="1966" w:type="pct"/>
            <w:gridSpan w:val="5"/>
            <w:tcBorders>
              <w:tl2br w:val="nil"/>
              <w:tr2bl w:val="nil"/>
            </w:tcBorders>
          </w:tcPr>
          <w:p>
            <w:pPr>
              <w:spacing w:line="312" w:lineRule="exact"/>
              <w:ind w:firstLine="0" w:firstLineChars="0"/>
              <w:rPr>
                <w:color w:val="auto"/>
                <w:sz w:val="21"/>
                <w:szCs w:val="21"/>
              </w:rPr>
            </w:pPr>
            <w:r>
              <w:rPr>
                <w:color w:val="auto"/>
                <w:kern w:val="0"/>
                <w:sz w:val="21"/>
                <w:szCs w:val="21"/>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vMerge w:val="continue"/>
            <w:tcBorders>
              <w:tl2br w:val="nil"/>
              <w:tr2bl w:val="nil"/>
            </w:tcBorders>
            <w:vAlign w:val="center"/>
          </w:tcPr>
          <w:p>
            <w:pPr>
              <w:spacing w:line="312" w:lineRule="exact"/>
              <w:ind w:firstLine="0" w:firstLineChars="0"/>
              <w:jc w:val="center"/>
              <w:rPr>
                <w:color w:val="auto"/>
                <w:sz w:val="21"/>
                <w:szCs w:val="21"/>
              </w:rPr>
            </w:pPr>
          </w:p>
        </w:tc>
        <w:tc>
          <w:tcPr>
            <w:tcW w:w="2027" w:type="pct"/>
            <w:gridSpan w:val="6"/>
            <w:tcBorders>
              <w:tl2br w:val="nil"/>
              <w:tr2bl w:val="nil"/>
            </w:tcBorders>
          </w:tcPr>
          <w:p>
            <w:pPr>
              <w:spacing w:line="312" w:lineRule="exact"/>
              <w:ind w:firstLine="0" w:firstLineChars="0"/>
              <w:rPr>
                <w:color w:val="auto"/>
                <w:kern w:val="0"/>
                <w:sz w:val="21"/>
                <w:szCs w:val="21"/>
              </w:rPr>
            </w:pPr>
            <w:r>
              <w:rPr>
                <w:color w:val="auto"/>
                <w:kern w:val="0"/>
                <w:sz w:val="21"/>
                <w:szCs w:val="21"/>
              </w:rPr>
              <w:t>丰水期</w:t>
            </w:r>
            <w:r>
              <w:rPr>
                <w:color w:val="auto"/>
                <w:kern w:val="0"/>
                <w:sz w:val="21"/>
                <w:szCs w:val="21"/>
              </w:rPr>
              <w:sym w:font="Wingdings" w:char="00A8"/>
            </w:r>
            <w:r>
              <w:rPr>
                <w:color w:val="auto"/>
                <w:kern w:val="0"/>
                <w:sz w:val="21"/>
                <w:szCs w:val="21"/>
              </w:rPr>
              <w:t>；平水期</w:t>
            </w:r>
            <w:r>
              <w:rPr>
                <w:color w:val="auto"/>
                <w:kern w:val="0"/>
                <w:sz w:val="21"/>
                <w:szCs w:val="21"/>
              </w:rPr>
              <w:sym w:font="Wingdings" w:char="00A8"/>
            </w:r>
            <w:r>
              <w:rPr>
                <w:color w:val="auto"/>
                <w:kern w:val="0"/>
                <w:sz w:val="21"/>
                <w:szCs w:val="21"/>
              </w:rPr>
              <w:t>；枯水期</w:t>
            </w:r>
            <w:r>
              <w:rPr>
                <w:color w:val="auto"/>
                <w:kern w:val="0"/>
                <w:sz w:val="21"/>
                <w:szCs w:val="21"/>
              </w:rPr>
              <w:sym w:font="Wingdings" w:char="00A8"/>
            </w:r>
            <w:r>
              <w:rPr>
                <w:color w:val="auto"/>
                <w:kern w:val="0"/>
                <w:sz w:val="21"/>
                <w:szCs w:val="21"/>
              </w:rPr>
              <w:t>；冰封期</w:t>
            </w:r>
            <w:r>
              <w:rPr>
                <w:color w:val="auto"/>
                <w:kern w:val="0"/>
                <w:sz w:val="21"/>
                <w:szCs w:val="21"/>
              </w:rPr>
              <w:sym w:font="Wingdings" w:char="00A8"/>
            </w:r>
          </w:p>
          <w:p>
            <w:pPr>
              <w:spacing w:line="312" w:lineRule="exact"/>
              <w:ind w:firstLine="0" w:firstLineChars="0"/>
              <w:rPr>
                <w:color w:val="auto"/>
                <w:sz w:val="21"/>
                <w:szCs w:val="21"/>
              </w:rPr>
            </w:pPr>
            <w:r>
              <w:rPr>
                <w:color w:val="auto"/>
                <w:kern w:val="0"/>
                <w:sz w:val="21"/>
                <w:szCs w:val="21"/>
              </w:rPr>
              <w:t>春季</w:t>
            </w:r>
            <w:r>
              <w:rPr>
                <w:color w:val="auto"/>
                <w:kern w:val="0"/>
                <w:sz w:val="21"/>
                <w:szCs w:val="21"/>
              </w:rPr>
              <w:sym w:font="Wingdings" w:char="00A8"/>
            </w:r>
            <w:r>
              <w:rPr>
                <w:color w:val="auto"/>
                <w:kern w:val="0"/>
                <w:sz w:val="21"/>
                <w:szCs w:val="21"/>
              </w:rPr>
              <w:t>；夏季</w:t>
            </w:r>
            <w:r>
              <w:rPr>
                <w:color w:val="auto"/>
                <w:kern w:val="0"/>
                <w:sz w:val="21"/>
                <w:szCs w:val="21"/>
              </w:rPr>
              <w:sym w:font="Wingdings" w:char="00A8"/>
            </w:r>
            <w:r>
              <w:rPr>
                <w:color w:val="auto"/>
                <w:kern w:val="0"/>
                <w:sz w:val="21"/>
                <w:szCs w:val="21"/>
              </w:rPr>
              <w:t>；秋季</w:t>
            </w:r>
            <w:r>
              <w:rPr>
                <w:color w:val="auto"/>
                <w:kern w:val="0"/>
                <w:sz w:val="21"/>
                <w:szCs w:val="21"/>
              </w:rPr>
              <w:sym w:font="Wingdings" w:char="00A8"/>
            </w:r>
            <w:r>
              <w:rPr>
                <w:color w:val="auto"/>
                <w:kern w:val="0"/>
                <w:sz w:val="21"/>
                <w:szCs w:val="21"/>
              </w:rPr>
              <w:t>；冬季</w:t>
            </w:r>
            <w:r>
              <w:rPr>
                <w:color w:val="auto"/>
                <w:kern w:val="0"/>
                <w:sz w:val="21"/>
                <w:szCs w:val="21"/>
              </w:rPr>
              <w:sym w:font="Wingdings" w:char="00A8"/>
            </w:r>
          </w:p>
        </w:tc>
        <w:tc>
          <w:tcPr>
            <w:tcW w:w="1966" w:type="pct"/>
            <w:gridSpan w:val="5"/>
            <w:tcBorders>
              <w:tl2br w:val="nil"/>
              <w:tr2bl w:val="nil"/>
            </w:tcBorders>
          </w:tcPr>
          <w:p>
            <w:pPr>
              <w:spacing w:line="312" w:lineRule="exact"/>
              <w:ind w:firstLine="0" w:firstLineChars="0"/>
              <w:rPr>
                <w:color w:val="auto"/>
                <w:sz w:val="21"/>
                <w:szCs w:val="21"/>
              </w:rPr>
            </w:pPr>
            <w:r>
              <w:rPr>
                <w:color w:val="auto"/>
                <w:kern w:val="0"/>
                <w:sz w:val="21"/>
                <w:szCs w:val="21"/>
              </w:rPr>
              <w:t>水行政主管部门</w:t>
            </w:r>
            <w:r>
              <w:rPr>
                <w:color w:val="auto"/>
                <w:kern w:val="0"/>
                <w:sz w:val="21"/>
                <w:szCs w:val="21"/>
              </w:rPr>
              <w:sym w:font="Wingdings" w:char="00A8"/>
            </w:r>
            <w:r>
              <w:rPr>
                <w:color w:val="auto"/>
                <w:kern w:val="0"/>
                <w:sz w:val="21"/>
                <w:szCs w:val="21"/>
              </w:rPr>
              <w:t>；补充监测</w:t>
            </w:r>
            <w:r>
              <w:rPr>
                <w:color w:val="auto"/>
                <w:kern w:val="0"/>
                <w:sz w:val="21"/>
                <w:szCs w:val="21"/>
              </w:rPr>
              <w:sym w:font="Wingdings" w:char="00A8"/>
            </w:r>
            <w:r>
              <w:rPr>
                <w:color w:val="auto"/>
                <w:kern w:val="0"/>
                <w:sz w:val="21"/>
                <w:szCs w:val="21"/>
              </w:rPr>
              <w:t>；其他</w:t>
            </w:r>
            <w:r>
              <w:rPr>
                <w:color w:val="auto"/>
                <w:kern w:val="0"/>
                <w:sz w:val="21"/>
                <w:szCs w:val="21"/>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补充监测</w:t>
            </w:r>
          </w:p>
        </w:tc>
        <w:tc>
          <w:tcPr>
            <w:tcW w:w="1077" w:type="pct"/>
            <w:gridSpan w:val="3"/>
            <w:tcBorders>
              <w:tl2br w:val="nil"/>
              <w:tr2bl w:val="nil"/>
            </w:tcBorders>
            <w:vAlign w:val="center"/>
          </w:tcPr>
          <w:p>
            <w:pPr>
              <w:spacing w:line="312" w:lineRule="exact"/>
              <w:ind w:firstLine="0" w:firstLineChars="0"/>
              <w:jc w:val="center"/>
              <w:rPr>
                <w:color w:val="auto"/>
                <w:sz w:val="21"/>
                <w:szCs w:val="21"/>
              </w:rPr>
            </w:pPr>
            <w:r>
              <w:rPr>
                <w:color w:val="auto"/>
                <w:sz w:val="21"/>
                <w:szCs w:val="21"/>
              </w:rPr>
              <w:t>监测时期</w:t>
            </w:r>
          </w:p>
        </w:tc>
        <w:tc>
          <w:tcPr>
            <w:tcW w:w="2070" w:type="pct"/>
            <w:gridSpan w:val="6"/>
            <w:tcBorders>
              <w:tl2br w:val="nil"/>
              <w:tr2bl w:val="nil"/>
            </w:tcBorders>
            <w:vAlign w:val="center"/>
          </w:tcPr>
          <w:p>
            <w:pPr>
              <w:spacing w:line="312" w:lineRule="exact"/>
              <w:ind w:firstLine="0" w:firstLineChars="0"/>
              <w:jc w:val="center"/>
              <w:rPr>
                <w:color w:val="auto"/>
                <w:sz w:val="21"/>
                <w:szCs w:val="21"/>
              </w:rPr>
            </w:pPr>
            <w:r>
              <w:rPr>
                <w:color w:val="auto"/>
                <w:sz w:val="21"/>
                <w:szCs w:val="21"/>
              </w:rPr>
              <w:t>监测因子</w:t>
            </w:r>
          </w:p>
        </w:tc>
        <w:tc>
          <w:tcPr>
            <w:tcW w:w="845" w:type="pct"/>
            <w:gridSpan w:val="2"/>
            <w:tcBorders>
              <w:tl2br w:val="nil"/>
              <w:tr2bl w:val="nil"/>
            </w:tcBorders>
          </w:tcPr>
          <w:p>
            <w:pPr>
              <w:spacing w:line="312" w:lineRule="exact"/>
              <w:ind w:firstLine="0" w:firstLineChars="0"/>
              <w:rPr>
                <w:color w:val="auto"/>
                <w:sz w:val="21"/>
                <w:szCs w:val="21"/>
              </w:rPr>
            </w:pPr>
            <w:r>
              <w:rPr>
                <w:color w:val="auto"/>
                <w:sz w:val="21"/>
                <w:szCs w:val="21"/>
              </w:rPr>
              <w:t>监测断面或点位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vMerge w:val="continue"/>
            <w:tcBorders>
              <w:tl2br w:val="nil"/>
              <w:tr2bl w:val="nil"/>
            </w:tcBorders>
            <w:vAlign w:val="center"/>
          </w:tcPr>
          <w:p>
            <w:pPr>
              <w:spacing w:line="312" w:lineRule="exact"/>
              <w:ind w:firstLine="0" w:firstLineChars="0"/>
              <w:jc w:val="center"/>
              <w:rPr>
                <w:color w:val="auto"/>
                <w:sz w:val="21"/>
                <w:szCs w:val="21"/>
              </w:rPr>
            </w:pPr>
          </w:p>
        </w:tc>
        <w:tc>
          <w:tcPr>
            <w:tcW w:w="1077" w:type="pct"/>
            <w:gridSpan w:val="3"/>
            <w:tcBorders>
              <w:tl2br w:val="nil"/>
              <w:tr2bl w:val="nil"/>
            </w:tcBorders>
          </w:tcPr>
          <w:p>
            <w:pPr>
              <w:spacing w:line="312" w:lineRule="exact"/>
              <w:ind w:firstLine="0" w:firstLineChars="0"/>
              <w:rPr>
                <w:color w:val="auto"/>
                <w:sz w:val="21"/>
                <w:szCs w:val="21"/>
              </w:rPr>
            </w:pPr>
            <w:r>
              <w:rPr>
                <w:color w:val="auto"/>
                <w:sz w:val="21"/>
                <w:szCs w:val="21"/>
              </w:rPr>
              <w:t>丰水期</w:t>
            </w:r>
            <w:r>
              <w:rPr>
                <w:color w:val="auto"/>
                <w:kern w:val="0"/>
                <w:sz w:val="21"/>
                <w:szCs w:val="21"/>
              </w:rPr>
              <w:sym w:font="Wingdings" w:char="00FE"/>
            </w:r>
            <w:r>
              <w:rPr>
                <w:color w:val="auto"/>
                <w:sz w:val="21"/>
                <w:szCs w:val="21"/>
              </w:rPr>
              <w:t>；平水期</w:t>
            </w:r>
            <w:r>
              <w:rPr>
                <w:color w:val="auto"/>
                <w:kern w:val="0"/>
                <w:sz w:val="21"/>
                <w:szCs w:val="21"/>
              </w:rPr>
              <w:sym w:font="Wingdings" w:char="00A8"/>
            </w:r>
            <w:r>
              <w:rPr>
                <w:color w:val="auto"/>
                <w:sz w:val="21"/>
                <w:szCs w:val="21"/>
              </w:rPr>
              <w:t>；枯水期</w:t>
            </w:r>
            <w:r>
              <w:rPr>
                <w:color w:val="auto"/>
                <w:kern w:val="0"/>
                <w:sz w:val="21"/>
                <w:szCs w:val="21"/>
              </w:rPr>
              <w:sym w:font="Wingdings" w:char="00A8"/>
            </w:r>
            <w:r>
              <w:rPr>
                <w:color w:val="auto"/>
                <w:sz w:val="21"/>
                <w:szCs w:val="21"/>
              </w:rPr>
              <w:t>；冰封期</w:t>
            </w:r>
            <w:r>
              <w:rPr>
                <w:color w:val="auto"/>
                <w:kern w:val="0"/>
                <w:sz w:val="21"/>
                <w:szCs w:val="21"/>
              </w:rPr>
              <w:sym w:font="Wingdings" w:char="00A8"/>
            </w:r>
            <w:r>
              <w:rPr>
                <w:color w:val="auto"/>
                <w:sz w:val="21"/>
                <w:szCs w:val="21"/>
              </w:rPr>
              <w:t>；</w:t>
            </w:r>
          </w:p>
          <w:p>
            <w:pPr>
              <w:spacing w:line="312" w:lineRule="exact"/>
              <w:ind w:firstLine="0" w:firstLineChars="0"/>
              <w:rPr>
                <w:color w:val="auto"/>
                <w:sz w:val="21"/>
                <w:szCs w:val="21"/>
              </w:rPr>
            </w:pPr>
            <w:r>
              <w:rPr>
                <w:color w:val="auto"/>
                <w:sz w:val="21"/>
                <w:szCs w:val="21"/>
              </w:rPr>
              <w:t>春季</w:t>
            </w:r>
            <w:r>
              <w:rPr>
                <w:color w:val="auto"/>
                <w:kern w:val="0"/>
                <w:sz w:val="21"/>
                <w:szCs w:val="21"/>
              </w:rPr>
              <w:sym w:font="Wingdings" w:char="00A8"/>
            </w:r>
            <w:r>
              <w:rPr>
                <w:color w:val="auto"/>
                <w:sz w:val="21"/>
                <w:szCs w:val="21"/>
              </w:rPr>
              <w:t>；夏季</w:t>
            </w:r>
            <w:r>
              <w:rPr>
                <w:color w:val="auto"/>
                <w:kern w:val="0"/>
                <w:sz w:val="21"/>
                <w:szCs w:val="21"/>
              </w:rPr>
              <w:sym w:font="Wingdings" w:char="00FE"/>
            </w:r>
            <w:r>
              <w:rPr>
                <w:color w:val="auto"/>
                <w:sz w:val="21"/>
                <w:szCs w:val="21"/>
              </w:rPr>
              <w:t>；秋季</w:t>
            </w:r>
            <w:r>
              <w:rPr>
                <w:color w:val="auto"/>
                <w:kern w:val="0"/>
                <w:sz w:val="21"/>
                <w:szCs w:val="21"/>
              </w:rPr>
              <w:sym w:font="Wingdings" w:char="00A8"/>
            </w:r>
            <w:r>
              <w:rPr>
                <w:color w:val="auto"/>
                <w:sz w:val="21"/>
                <w:szCs w:val="21"/>
              </w:rPr>
              <w:t>；冬季</w:t>
            </w:r>
            <w:r>
              <w:rPr>
                <w:color w:val="auto"/>
                <w:kern w:val="0"/>
                <w:sz w:val="21"/>
                <w:szCs w:val="21"/>
              </w:rPr>
              <w:sym w:font="Wingdings" w:char="00A8"/>
            </w:r>
          </w:p>
        </w:tc>
        <w:tc>
          <w:tcPr>
            <w:tcW w:w="2070" w:type="pct"/>
            <w:gridSpan w:val="6"/>
            <w:tcBorders>
              <w:tl2br w:val="nil"/>
              <w:tr2bl w:val="nil"/>
            </w:tcBorders>
          </w:tcPr>
          <w:p>
            <w:pPr>
              <w:spacing w:line="312" w:lineRule="exact"/>
              <w:ind w:firstLine="0" w:firstLineChars="0"/>
              <w:rPr>
                <w:color w:val="auto"/>
                <w:sz w:val="21"/>
                <w:szCs w:val="21"/>
              </w:rPr>
            </w:pPr>
            <w:r>
              <w:rPr>
                <w:color w:val="auto"/>
                <w:sz w:val="21"/>
                <w:szCs w:val="21"/>
              </w:rPr>
              <w:t>（pH、化学需氧量、BOD</w:t>
            </w:r>
            <w:r>
              <w:rPr>
                <w:color w:val="auto"/>
                <w:sz w:val="21"/>
                <w:szCs w:val="21"/>
                <w:vertAlign w:val="subscript"/>
              </w:rPr>
              <w:t>5</w:t>
            </w:r>
            <w:r>
              <w:rPr>
                <w:color w:val="auto"/>
                <w:sz w:val="21"/>
                <w:szCs w:val="21"/>
              </w:rPr>
              <w:t>、氨氮、总氮、总磷、氟化物、汞、六价铬、铅、挥发酚、石油类、氯化物、苯、甲苯、二甲苯、阴离子表面活性剂、全盐量、溶解氧、硫化物、硫酸盐、粪大肠菌群、硝酸盐）</w:t>
            </w:r>
          </w:p>
        </w:tc>
        <w:tc>
          <w:tcPr>
            <w:tcW w:w="845" w:type="pct"/>
            <w:gridSpan w:val="2"/>
            <w:tcBorders>
              <w:tl2br w:val="nil"/>
              <w:tr2bl w:val="nil"/>
            </w:tcBorders>
          </w:tcPr>
          <w:p>
            <w:pPr>
              <w:spacing w:line="312" w:lineRule="exact"/>
              <w:ind w:firstLine="0" w:firstLineChars="0"/>
              <w:rPr>
                <w:color w:val="auto"/>
                <w:sz w:val="21"/>
                <w:szCs w:val="21"/>
              </w:rPr>
            </w:pPr>
            <w:r>
              <w:rPr>
                <w:color w:val="auto"/>
                <w:sz w:val="21"/>
                <w:szCs w:val="21"/>
              </w:rPr>
              <w:t>监测断面或点位个数（3）个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现状评价</w:t>
            </w:r>
          </w:p>
        </w:tc>
        <w:tc>
          <w:tcPr>
            <w:tcW w:w="81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评价范围</w:t>
            </w:r>
          </w:p>
        </w:tc>
        <w:tc>
          <w:tcPr>
            <w:tcW w:w="3993" w:type="pct"/>
            <w:gridSpan w:val="11"/>
            <w:tcBorders>
              <w:tl2br w:val="nil"/>
              <w:tr2bl w:val="nil"/>
            </w:tcBorders>
          </w:tcPr>
          <w:p>
            <w:pPr>
              <w:spacing w:line="312" w:lineRule="exact"/>
              <w:ind w:firstLine="0" w:firstLineChars="0"/>
              <w:rPr>
                <w:color w:val="auto"/>
                <w:sz w:val="21"/>
                <w:szCs w:val="21"/>
              </w:rPr>
            </w:pPr>
            <w:r>
              <w:rPr>
                <w:color w:val="auto"/>
                <w:kern w:val="0"/>
                <w:sz w:val="21"/>
                <w:szCs w:val="21"/>
              </w:rPr>
              <w:t>河流：长度（）km；湖库、河口及近岸海域：面积（ ）km</w:t>
            </w:r>
            <w:r>
              <w:rPr>
                <w:color w:val="auto"/>
                <w:kern w:val="0"/>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tcBorders>
              <w:tl2br w:val="nil"/>
              <w:tr2bl w:val="nil"/>
            </w:tcBorders>
            <w:vAlign w:val="center"/>
          </w:tcPr>
          <w:p>
            <w:pPr>
              <w:spacing w:line="312" w:lineRule="exact"/>
              <w:ind w:firstLine="0" w:firstLineChars="0"/>
              <w:jc w:val="center"/>
              <w:rPr>
                <w:color w:val="auto"/>
                <w:sz w:val="21"/>
                <w:szCs w:val="21"/>
              </w:rPr>
            </w:pPr>
            <w:r>
              <w:rPr>
                <w:color w:val="auto"/>
                <w:kern w:val="0"/>
                <w:sz w:val="21"/>
                <w:szCs w:val="21"/>
              </w:rPr>
              <w:t>评价因子</w:t>
            </w:r>
          </w:p>
        </w:tc>
        <w:tc>
          <w:tcPr>
            <w:tcW w:w="3993" w:type="pct"/>
            <w:gridSpan w:val="11"/>
            <w:tcBorders>
              <w:tl2br w:val="nil"/>
              <w:tr2bl w:val="nil"/>
            </w:tcBorders>
          </w:tcPr>
          <w:p>
            <w:pPr>
              <w:spacing w:line="312" w:lineRule="exact"/>
              <w:ind w:firstLine="0" w:firstLineChars="0"/>
              <w:rPr>
                <w:color w:val="auto"/>
                <w:sz w:val="21"/>
                <w:szCs w:val="21"/>
              </w:rPr>
            </w:pPr>
            <w:r>
              <w:rPr>
                <w:color w:val="auto"/>
                <w:sz w:val="21"/>
                <w:szCs w:val="21"/>
              </w:rPr>
              <w:t>（COD、氨氮）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评价标准</w:t>
            </w:r>
          </w:p>
        </w:tc>
        <w:tc>
          <w:tcPr>
            <w:tcW w:w="3993" w:type="pct"/>
            <w:gridSpan w:val="11"/>
            <w:tcBorders>
              <w:tl2br w:val="nil"/>
              <w:tr2bl w:val="nil"/>
            </w:tcBorders>
          </w:tcPr>
          <w:p>
            <w:pPr>
              <w:spacing w:line="312" w:lineRule="exact"/>
              <w:ind w:firstLine="0" w:firstLineChars="0"/>
              <w:rPr>
                <w:color w:val="auto"/>
                <w:sz w:val="21"/>
                <w:szCs w:val="21"/>
              </w:rPr>
            </w:pPr>
            <w:r>
              <w:rPr>
                <w:color w:val="auto"/>
                <w:kern w:val="0"/>
                <w:sz w:val="21"/>
                <w:szCs w:val="21"/>
              </w:rPr>
              <w:t>河流、湖库、河口：I类</w:t>
            </w:r>
            <w:r>
              <w:rPr>
                <w:color w:val="auto"/>
                <w:kern w:val="0"/>
                <w:sz w:val="21"/>
                <w:szCs w:val="21"/>
              </w:rPr>
              <w:sym w:font="Wingdings" w:char="00A8"/>
            </w:r>
            <w:r>
              <w:rPr>
                <w:color w:val="auto"/>
                <w:sz w:val="21"/>
                <w:szCs w:val="21"/>
              </w:rPr>
              <w:t>；</w:t>
            </w:r>
            <w:r>
              <w:rPr>
                <w:color w:val="auto"/>
                <w:kern w:val="0"/>
                <w:sz w:val="21"/>
                <w:szCs w:val="21"/>
              </w:rPr>
              <w:t>II类</w:t>
            </w:r>
            <w:r>
              <w:rPr>
                <w:color w:val="auto"/>
                <w:kern w:val="0"/>
                <w:sz w:val="21"/>
                <w:szCs w:val="21"/>
              </w:rPr>
              <w:sym w:font="Wingdings" w:char="00A8"/>
            </w:r>
            <w:r>
              <w:rPr>
                <w:color w:val="auto"/>
                <w:sz w:val="21"/>
                <w:szCs w:val="21"/>
              </w:rPr>
              <w:t>；</w:t>
            </w:r>
            <w:r>
              <w:rPr>
                <w:color w:val="auto"/>
                <w:kern w:val="0"/>
                <w:sz w:val="21"/>
                <w:szCs w:val="21"/>
              </w:rPr>
              <w:t>IV类</w:t>
            </w:r>
            <w:r>
              <w:rPr>
                <w:color w:val="auto"/>
                <w:kern w:val="0"/>
                <w:sz w:val="21"/>
                <w:szCs w:val="21"/>
              </w:rPr>
              <w:sym w:font="Wingdings" w:char="00FE"/>
            </w:r>
            <w:r>
              <w:rPr>
                <w:color w:val="auto"/>
                <w:sz w:val="21"/>
                <w:szCs w:val="21"/>
              </w:rPr>
              <w:t>；</w:t>
            </w:r>
            <w:r>
              <w:rPr>
                <w:color w:val="auto"/>
                <w:kern w:val="0"/>
                <w:sz w:val="21"/>
                <w:szCs w:val="21"/>
              </w:rPr>
              <w:t>V类</w:t>
            </w:r>
            <w:r>
              <w:rPr>
                <w:color w:val="auto"/>
                <w:kern w:val="0"/>
                <w:sz w:val="21"/>
                <w:szCs w:val="21"/>
              </w:rPr>
              <w:sym w:font="Wingdings" w:char="00A8"/>
            </w:r>
          </w:p>
          <w:p>
            <w:pPr>
              <w:spacing w:line="312" w:lineRule="exact"/>
              <w:ind w:firstLine="0" w:firstLineChars="0"/>
              <w:rPr>
                <w:color w:val="auto"/>
                <w:sz w:val="21"/>
                <w:szCs w:val="21"/>
              </w:rPr>
            </w:pPr>
            <w:r>
              <w:rPr>
                <w:color w:val="auto"/>
                <w:kern w:val="0"/>
                <w:sz w:val="21"/>
                <w:szCs w:val="21"/>
              </w:rPr>
              <w:t>近岸海域：第一类</w:t>
            </w:r>
            <w:r>
              <w:rPr>
                <w:color w:val="auto"/>
                <w:kern w:val="0"/>
                <w:sz w:val="21"/>
                <w:szCs w:val="21"/>
              </w:rPr>
              <w:sym w:font="Wingdings" w:char="00A8"/>
            </w:r>
            <w:r>
              <w:rPr>
                <w:color w:val="auto"/>
                <w:sz w:val="21"/>
                <w:szCs w:val="21"/>
              </w:rPr>
              <w:t>；</w:t>
            </w:r>
            <w:r>
              <w:rPr>
                <w:color w:val="auto"/>
                <w:kern w:val="0"/>
                <w:sz w:val="21"/>
                <w:szCs w:val="21"/>
              </w:rPr>
              <w:t>第二类</w:t>
            </w:r>
            <w:r>
              <w:rPr>
                <w:color w:val="auto"/>
                <w:kern w:val="0"/>
                <w:sz w:val="21"/>
                <w:szCs w:val="21"/>
              </w:rPr>
              <w:sym w:font="Wingdings" w:char="00A8"/>
            </w:r>
            <w:r>
              <w:rPr>
                <w:color w:val="auto"/>
                <w:sz w:val="21"/>
                <w:szCs w:val="21"/>
              </w:rPr>
              <w:t>；</w:t>
            </w:r>
            <w:r>
              <w:rPr>
                <w:color w:val="auto"/>
                <w:kern w:val="0"/>
                <w:sz w:val="21"/>
                <w:szCs w:val="21"/>
              </w:rPr>
              <w:t>第三类</w:t>
            </w:r>
            <w:r>
              <w:rPr>
                <w:color w:val="auto"/>
                <w:kern w:val="0"/>
                <w:sz w:val="21"/>
                <w:szCs w:val="21"/>
              </w:rPr>
              <w:sym w:font="Wingdings" w:char="00A8"/>
            </w:r>
            <w:r>
              <w:rPr>
                <w:color w:val="auto"/>
                <w:sz w:val="21"/>
                <w:szCs w:val="21"/>
              </w:rPr>
              <w:t>；</w:t>
            </w:r>
            <w:r>
              <w:rPr>
                <w:color w:val="auto"/>
                <w:kern w:val="0"/>
                <w:sz w:val="21"/>
                <w:szCs w:val="21"/>
              </w:rPr>
              <w:t>第四类</w:t>
            </w:r>
            <w:r>
              <w:rPr>
                <w:color w:val="auto"/>
                <w:kern w:val="0"/>
                <w:sz w:val="21"/>
                <w:szCs w:val="21"/>
              </w:rPr>
              <w:sym w:font="Wingdings" w:char="00A8"/>
            </w:r>
          </w:p>
          <w:p>
            <w:pPr>
              <w:spacing w:line="312" w:lineRule="exact"/>
              <w:ind w:firstLine="0" w:firstLineChars="0"/>
              <w:rPr>
                <w:color w:val="auto"/>
                <w:sz w:val="21"/>
                <w:szCs w:val="21"/>
              </w:rPr>
            </w:pPr>
            <w:r>
              <w:rPr>
                <w:color w:val="auto"/>
                <w:kern w:val="0"/>
                <w:sz w:val="21"/>
                <w:szCs w:val="21"/>
              </w:rPr>
              <w:t>规划年评价标准（）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评价时期</w:t>
            </w:r>
          </w:p>
        </w:tc>
        <w:tc>
          <w:tcPr>
            <w:tcW w:w="3993" w:type="pct"/>
            <w:gridSpan w:val="11"/>
            <w:tcBorders>
              <w:tl2br w:val="nil"/>
              <w:tr2bl w:val="nil"/>
            </w:tcBorders>
          </w:tcPr>
          <w:p>
            <w:pPr>
              <w:spacing w:line="312" w:lineRule="exact"/>
              <w:ind w:firstLine="0" w:firstLineChars="0"/>
              <w:rPr>
                <w:color w:val="auto"/>
                <w:sz w:val="21"/>
                <w:szCs w:val="21"/>
              </w:rPr>
            </w:pPr>
            <w:r>
              <w:rPr>
                <w:color w:val="auto"/>
                <w:sz w:val="21"/>
                <w:szCs w:val="21"/>
              </w:rPr>
              <w:t>丰水期</w:t>
            </w:r>
            <w:r>
              <w:rPr>
                <w:color w:val="auto"/>
                <w:kern w:val="0"/>
                <w:sz w:val="21"/>
                <w:szCs w:val="21"/>
              </w:rPr>
              <w:sym w:font="Wingdings" w:char="00FE"/>
            </w:r>
            <w:r>
              <w:rPr>
                <w:color w:val="auto"/>
                <w:sz w:val="21"/>
                <w:szCs w:val="21"/>
              </w:rPr>
              <w:t>；平水期</w:t>
            </w:r>
            <w:r>
              <w:rPr>
                <w:color w:val="auto"/>
                <w:kern w:val="0"/>
                <w:sz w:val="21"/>
                <w:szCs w:val="21"/>
              </w:rPr>
              <w:sym w:font="Wingdings" w:char="00A8"/>
            </w:r>
            <w:r>
              <w:rPr>
                <w:color w:val="auto"/>
                <w:sz w:val="21"/>
                <w:szCs w:val="21"/>
              </w:rPr>
              <w:t>；枯水期</w:t>
            </w:r>
            <w:r>
              <w:rPr>
                <w:color w:val="auto"/>
                <w:kern w:val="0"/>
                <w:sz w:val="21"/>
                <w:szCs w:val="21"/>
              </w:rPr>
              <w:sym w:font="Wingdings" w:char="00A8"/>
            </w:r>
            <w:r>
              <w:rPr>
                <w:color w:val="auto"/>
                <w:sz w:val="21"/>
                <w:szCs w:val="21"/>
              </w:rPr>
              <w:t>；冰封期</w:t>
            </w:r>
            <w:r>
              <w:rPr>
                <w:color w:val="auto"/>
                <w:kern w:val="0"/>
                <w:sz w:val="21"/>
                <w:szCs w:val="21"/>
              </w:rPr>
              <w:sym w:font="Wingdings" w:char="00A8"/>
            </w:r>
            <w:r>
              <w:rPr>
                <w:color w:val="auto"/>
                <w:sz w:val="21"/>
                <w:szCs w:val="21"/>
              </w:rPr>
              <w:t>；</w:t>
            </w:r>
          </w:p>
          <w:p>
            <w:pPr>
              <w:spacing w:line="312" w:lineRule="exact"/>
              <w:ind w:firstLine="0" w:firstLineChars="0"/>
              <w:rPr>
                <w:color w:val="auto"/>
                <w:sz w:val="21"/>
                <w:szCs w:val="21"/>
              </w:rPr>
            </w:pPr>
            <w:r>
              <w:rPr>
                <w:color w:val="auto"/>
                <w:sz w:val="21"/>
                <w:szCs w:val="21"/>
              </w:rPr>
              <w:t>春季</w:t>
            </w:r>
            <w:r>
              <w:rPr>
                <w:color w:val="auto"/>
                <w:kern w:val="0"/>
                <w:sz w:val="21"/>
                <w:szCs w:val="21"/>
              </w:rPr>
              <w:sym w:font="Wingdings" w:char="00A8"/>
            </w:r>
            <w:r>
              <w:rPr>
                <w:color w:val="auto"/>
                <w:sz w:val="21"/>
                <w:szCs w:val="21"/>
              </w:rPr>
              <w:t>；夏季</w:t>
            </w:r>
            <w:r>
              <w:rPr>
                <w:color w:val="auto"/>
                <w:kern w:val="0"/>
                <w:sz w:val="21"/>
                <w:szCs w:val="21"/>
              </w:rPr>
              <w:sym w:font="Wingdings" w:char="00A8"/>
            </w:r>
            <w:r>
              <w:rPr>
                <w:color w:val="auto"/>
                <w:sz w:val="21"/>
                <w:szCs w:val="21"/>
              </w:rPr>
              <w:t>；秋季</w:t>
            </w:r>
            <w:r>
              <w:rPr>
                <w:color w:val="auto"/>
                <w:kern w:val="0"/>
                <w:sz w:val="21"/>
                <w:szCs w:val="21"/>
              </w:rPr>
              <w:sym w:font="Wingdings" w:char="00A8"/>
            </w:r>
            <w:r>
              <w:rPr>
                <w:color w:val="auto"/>
                <w:sz w:val="21"/>
                <w:szCs w:val="21"/>
              </w:rPr>
              <w:t>；冬季</w:t>
            </w:r>
            <w:r>
              <w:rPr>
                <w:color w:val="auto"/>
                <w:kern w:val="0"/>
                <w:sz w:val="21"/>
                <w:szCs w:val="21"/>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评价结论</w:t>
            </w:r>
          </w:p>
        </w:tc>
        <w:tc>
          <w:tcPr>
            <w:tcW w:w="3993" w:type="pct"/>
            <w:gridSpan w:val="11"/>
            <w:tcBorders>
              <w:tl2br w:val="nil"/>
              <w:tr2bl w:val="nil"/>
            </w:tcBorders>
          </w:tcPr>
          <w:p>
            <w:pPr>
              <w:spacing w:line="312" w:lineRule="exact"/>
              <w:ind w:firstLine="0" w:firstLineChars="0"/>
              <w:rPr>
                <w:color w:val="auto"/>
                <w:sz w:val="21"/>
                <w:szCs w:val="21"/>
              </w:rPr>
            </w:pPr>
            <w:r>
              <w:rPr>
                <w:color w:val="auto"/>
                <w:kern w:val="0"/>
                <w:sz w:val="21"/>
                <w:szCs w:val="21"/>
              </w:rPr>
              <w:t>水坏境功能区或水功能区、近岸海域坏境功能区水质达标状况</w:t>
            </w:r>
            <w:r>
              <w:rPr>
                <w:color w:val="auto"/>
                <w:kern w:val="0"/>
                <w:sz w:val="21"/>
                <w:szCs w:val="21"/>
              </w:rPr>
              <w:sym w:font="Wingdings" w:char="00A8"/>
            </w:r>
            <w:r>
              <w:rPr>
                <w:color w:val="auto"/>
                <w:sz w:val="21"/>
                <w:szCs w:val="21"/>
              </w:rPr>
              <w:t>；</w:t>
            </w:r>
            <w:r>
              <w:rPr>
                <w:color w:val="auto"/>
                <w:kern w:val="0"/>
                <w:sz w:val="21"/>
                <w:szCs w:val="21"/>
              </w:rPr>
              <w:t>达标</w:t>
            </w:r>
            <w:r>
              <w:rPr>
                <w:color w:val="auto"/>
                <w:kern w:val="0"/>
                <w:sz w:val="21"/>
                <w:szCs w:val="21"/>
              </w:rPr>
              <w:sym w:font="Wingdings" w:char="00A8"/>
            </w:r>
            <w:r>
              <w:rPr>
                <w:color w:val="auto"/>
                <w:sz w:val="21"/>
                <w:szCs w:val="21"/>
              </w:rPr>
              <w:t>；不达标</w:t>
            </w:r>
            <w:r>
              <w:rPr>
                <w:color w:val="auto"/>
                <w:kern w:val="0"/>
                <w:sz w:val="21"/>
                <w:szCs w:val="21"/>
              </w:rPr>
              <w:sym w:font="Wingdings" w:char="00FE"/>
            </w:r>
          </w:p>
          <w:p>
            <w:pPr>
              <w:spacing w:line="312" w:lineRule="exact"/>
              <w:ind w:firstLine="0" w:firstLineChars="0"/>
              <w:rPr>
                <w:color w:val="auto"/>
                <w:kern w:val="0"/>
                <w:sz w:val="21"/>
                <w:szCs w:val="21"/>
              </w:rPr>
            </w:pPr>
            <w:r>
              <w:rPr>
                <w:color w:val="auto"/>
                <w:kern w:val="0"/>
                <w:sz w:val="21"/>
                <w:szCs w:val="21"/>
              </w:rPr>
              <w:t>水环境控制单元或断面水质达标状况</w:t>
            </w:r>
            <w:r>
              <w:rPr>
                <w:color w:val="auto"/>
                <w:kern w:val="0"/>
                <w:sz w:val="21"/>
                <w:szCs w:val="21"/>
              </w:rPr>
              <w:sym w:font="Wingdings" w:char="00A8"/>
            </w:r>
            <w:r>
              <w:rPr>
                <w:color w:val="auto"/>
                <w:sz w:val="21"/>
                <w:szCs w:val="21"/>
              </w:rPr>
              <w:t>；</w:t>
            </w:r>
            <w:r>
              <w:rPr>
                <w:color w:val="auto"/>
                <w:kern w:val="0"/>
                <w:sz w:val="21"/>
                <w:szCs w:val="21"/>
              </w:rPr>
              <w:t>达标</w:t>
            </w:r>
            <w:r>
              <w:rPr>
                <w:color w:val="auto"/>
                <w:kern w:val="0"/>
                <w:sz w:val="21"/>
                <w:szCs w:val="21"/>
              </w:rPr>
              <w:sym w:font="Wingdings" w:char="00A8"/>
            </w:r>
            <w:r>
              <w:rPr>
                <w:color w:val="auto"/>
                <w:sz w:val="21"/>
                <w:szCs w:val="21"/>
              </w:rPr>
              <w:t>；不达标</w:t>
            </w:r>
            <w:r>
              <w:rPr>
                <w:color w:val="auto"/>
                <w:kern w:val="0"/>
                <w:sz w:val="21"/>
                <w:szCs w:val="21"/>
              </w:rPr>
              <w:sym w:font="Wingdings" w:char="00FE"/>
            </w:r>
          </w:p>
          <w:p>
            <w:pPr>
              <w:spacing w:line="312" w:lineRule="exact"/>
              <w:ind w:firstLine="0" w:firstLineChars="0"/>
              <w:rPr>
                <w:color w:val="auto"/>
                <w:kern w:val="0"/>
                <w:sz w:val="21"/>
                <w:szCs w:val="21"/>
              </w:rPr>
            </w:pPr>
            <w:r>
              <w:rPr>
                <w:color w:val="auto"/>
                <w:kern w:val="0"/>
                <w:sz w:val="21"/>
                <w:szCs w:val="21"/>
              </w:rPr>
              <w:t>水环境保护目标质量状况</w:t>
            </w:r>
            <w:r>
              <w:rPr>
                <w:color w:val="auto"/>
                <w:kern w:val="0"/>
                <w:sz w:val="21"/>
                <w:szCs w:val="21"/>
              </w:rPr>
              <w:sym w:font="Wingdings" w:char="00A8"/>
            </w:r>
            <w:r>
              <w:rPr>
                <w:color w:val="auto"/>
                <w:sz w:val="21"/>
                <w:szCs w:val="21"/>
              </w:rPr>
              <w:t>；</w:t>
            </w:r>
            <w:r>
              <w:rPr>
                <w:color w:val="auto"/>
                <w:kern w:val="0"/>
                <w:sz w:val="21"/>
                <w:szCs w:val="21"/>
              </w:rPr>
              <w:t>达标</w:t>
            </w:r>
            <w:r>
              <w:rPr>
                <w:color w:val="auto"/>
                <w:kern w:val="0"/>
                <w:sz w:val="21"/>
                <w:szCs w:val="21"/>
              </w:rPr>
              <w:sym w:font="Wingdings" w:char="00A8"/>
            </w:r>
            <w:r>
              <w:rPr>
                <w:color w:val="auto"/>
                <w:sz w:val="21"/>
                <w:szCs w:val="21"/>
              </w:rPr>
              <w:t>；不达标</w:t>
            </w:r>
            <w:r>
              <w:rPr>
                <w:color w:val="auto"/>
                <w:kern w:val="0"/>
                <w:sz w:val="21"/>
                <w:szCs w:val="21"/>
              </w:rPr>
              <w:sym w:font="Wingdings" w:char="00A8"/>
            </w:r>
          </w:p>
          <w:p>
            <w:pPr>
              <w:spacing w:line="312" w:lineRule="exact"/>
              <w:ind w:firstLine="0" w:firstLineChars="0"/>
              <w:rPr>
                <w:color w:val="auto"/>
                <w:sz w:val="21"/>
                <w:szCs w:val="21"/>
              </w:rPr>
            </w:pPr>
            <w:r>
              <w:rPr>
                <w:color w:val="auto"/>
                <w:kern w:val="0"/>
                <w:sz w:val="21"/>
                <w:szCs w:val="21"/>
              </w:rPr>
              <w:t>对照断面、控制断面等代表性断面的水质达标状况</w:t>
            </w:r>
            <w:r>
              <w:rPr>
                <w:color w:val="auto"/>
                <w:kern w:val="0"/>
                <w:sz w:val="21"/>
                <w:szCs w:val="21"/>
              </w:rPr>
              <w:sym w:font="Wingdings" w:char="00A8"/>
            </w:r>
            <w:r>
              <w:rPr>
                <w:color w:val="auto"/>
                <w:sz w:val="21"/>
                <w:szCs w:val="21"/>
              </w:rPr>
              <w:t>；</w:t>
            </w:r>
            <w:r>
              <w:rPr>
                <w:color w:val="auto"/>
                <w:kern w:val="0"/>
                <w:sz w:val="21"/>
                <w:szCs w:val="21"/>
              </w:rPr>
              <w:t>达标</w:t>
            </w:r>
            <w:r>
              <w:rPr>
                <w:color w:val="auto"/>
                <w:kern w:val="0"/>
                <w:sz w:val="21"/>
                <w:szCs w:val="21"/>
              </w:rPr>
              <w:sym w:font="Wingdings" w:char="00A8"/>
            </w:r>
            <w:r>
              <w:rPr>
                <w:color w:val="auto"/>
                <w:sz w:val="21"/>
                <w:szCs w:val="21"/>
              </w:rPr>
              <w:t>；不达标</w:t>
            </w:r>
            <w:r>
              <w:rPr>
                <w:color w:val="auto"/>
                <w:kern w:val="0"/>
                <w:sz w:val="21"/>
                <w:szCs w:val="21"/>
              </w:rPr>
              <w:sym w:font="Wingdings" w:char="00A8"/>
            </w:r>
          </w:p>
          <w:p>
            <w:pPr>
              <w:spacing w:line="312" w:lineRule="exact"/>
              <w:ind w:firstLine="0" w:firstLineChars="0"/>
              <w:rPr>
                <w:color w:val="auto"/>
                <w:kern w:val="0"/>
                <w:sz w:val="21"/>
                <w:szCs w:val="21"/>
              </w:rPr>
            </w:pPr>
            <w:r>
              <w:rPr>
                <w:color w:val="auto"/>
                <w:kern w:val="0"/>
                <w:sz w:val="21"/>
                <w:szCs w:val="21"/>
              </w:rPr>
              <w:t>底泥污染评价</w:t>
            </w:r>
            <w:r>
              <w:rPr>
                <w:color w:val="auto"/>
                <w:kern w:val="0"/>
                <w:sz w:val="21"/>
                <w:szCs w:val="21"/>
              </w:rPr>
              <w:sym w:font="Wingdings" w:char="00A8"/>
            </w:r>
          </w:p>
          <w:p>
            <w:pPr>
              <w:spacing w:line="312" w:lineRule="exact"/>
              <w:ind w:firstLine="0" w:firstLineChars="0"/>
              <w:rPr>
                <w:color w:val="auto"/>
                <w:sz w:val="21"/>
                <w:szCs w:val="21"/>
              </w:rPr>
            </w:pPr>
            <w:r>
              <w:rPr>
                <w:color w:val="auto"/>
                <w:kern w:val="0"/>
                <w:sz w:val="21"/>
                <w:szCs w:val="21"/>
              </w:rPr>
              <w:t>水资源与开发利用程度及其水文情势评价</w:t>
            </w:r>
            <w:r>
              <w:rPr>
                <w:color w:val="auto"/>
                <w:kern w:val="0"/>
                <w:sz w:val="21"/>
                <w:szCs w:val="21"/>
              </w:rPr>
              <w:sym w:font="Wingdings" w:char="00A8"/>
            </w:r>
          </w:p>
          <w:p>
            <w:pPr>
              <w:spacing w:line="312" w:lineRule="exact"/>
              <w:ind w:firstLine="0" w:firstLineChars="0"/>
              <w:rPr>
                <w:color w:val="auto"/>
                <w:kern w:val="0"/>
                <w:sz w:val="21"/>
                <w:szCs w:val="21"/>
              </w:rPr>
            </w:pPr>
            <w:r>
              <w:rPr>
                <w:color w:val="auto"/>
                <w:kern w:val="0"/>
                <w:sz w:val="21"/>
                <w:szCs w:val="21"/>
              </w:rPr>
              <w:t>水环境质量回顾评价</w:t>
            </w:r>
            <w:r>
              <w:rPr>
                <w:color w:val="auto"/>
                <w:kern w:val="0"/>
                <w:sz w:val="21"/>
                <w:szCs w:val="21"/>
              </w:rPr>
              <w:sym w:font="Wingdings" w:char="00A8"/>
            </w:r>
          </w:p>
          <w:p>
            <w:pPr>
              <w:spacing w:line="312" w:lineRule="exact"/>
              <w:ind w:firstLine="0" w:firstLineChars="0"/>
              <w:rPr>
                <w:color w:val="auto"/>
                <w:sz w:val="21"/>
                <w:szCs w:val="21"/>
              </w:rPr>
            </w:pPr>
            <w:r>
              <w:rPr>
                <w:color w:val="auto"/>
                <w:kern w:val="0"/>
                <w:sz w:val="21"/>
                <w:szCs w:val="21"/>
              </w:rPr>
              <w:t>流域（区域）水资源（包括水能资源）与开发利用总体状况、生态流量管理要求与现状满足程度、建设项目占用水域空间的水流状况与河湖演変状况</w:t>
            </w:r>
            <w:r>
              <w:rPr>
                <w:color w:val="auto"/>
                <w:kern w:val="0"/>
                <w:sz w:val="21"/>
                <w:szCs w:val="21"/>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预测范围</w:t>
            </w:r>
          </w:p>
        </w:tc>
        <w:tc>
          <w:tcPr>
            <w:tcW w:w="3993" w:type="pct"/>
            <w:gridSpan w:val="11"/>
            <w:tcBorders>
              <w:tl2br w:val="nil"/>
              <w:tr2bl w:val="nil"/>
            </w:tcBorders>
          </w:tcPr>
          <w:p>
            <w:pPr>
              <w:spacing w:line="312" w:lineRule="exact"/>
              <w:ind w:firstLine="0" w:firstLineChars="0"/>
              <w:rPr>
                <w:color w:val="auto"/>
                <w:sz w:val="21"/>
                <w:szCs w:val="21"/>
              </w:rPr>
            </w:pPr>
            <w:r>
              <w:rPr>
                <w:color w:val="auto"/>
                <w:kern w:val="0"/>
                <w:sz w:val="21"/>
                <w:szCs w:val="21"/>
              </w:rPr>
              <w:t>河流:长度（ ）km；湖库、河口及近岸海域：面积（）km</w:t>
            </w:r>
            <w:r>
              <w:rPr>
                <w:color w:val="auto"/>
                <w:kern w:val="0"/>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预测因子</w:t>
            </w:r>
          </w:p>
        </w:tc>
        <w:tc>
          <w:tcPr>
            <w:tcW w:w="3993" w:type="pct"/>
            <w:gridSpan w:val="11"/>
            <w:tcBorders>
              <w:tl2br w:val="nil"/>
              <w:tr2bl w:val="nil"/>
            </w:tcBorders>
          </w:tcPr>
          <w:p>
            <w:pPr>
              <w:spacing w:line="312" w:lineRule="exact"/>
              <w:ind w:firstLine="0" w:firstLineChars="0"/>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4" w:hRule="atLeast"/>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预测时期</w:t>
            </w:r>
          </w:p>
        </w:tc>
        <w:tc>
          <w:tcPr>
            <w:tcW w:w="3993" w:type="pct"/>
            <w:gridSpan w:val="11"/>
            <w:tcBorders>
              <w:tl2br w:val="nil"/>
              <w:tr2bl w:val="nil"/>
            </w:tcBorders>
          </w:tcPr>
          <w:p>
            <w:pPr>
              <w:spacing w:line="312" w:lineRule="exact"/>
              <w:ind w:firstLine="0" w:firstLineChars="0"/>
              <w:rPr>
                <w:color w:val="auto"/>
                <w:sz w:val="21"/>
                <w:szCs w:val="21"/>
              </w:rPr>
            </w:pPr>
            <w:r>
              <w:rPr>
                <w:color w:val="auto"/>
                <w:sz w:val="21"/>
                <w:szCs w:val="21"/>
              </w:rPr>
              <w:t>丰水期</w:t>
            </w:r>
            <w:r>
              <w:rPr>
                <w:color w:val="auto"/>
                <w:kern w:val="0"/>
                <w:sz w:val="21"/>
                <w:szCs w:val="21"/>
              </w:rPr>
              <w:sym w:font="Wingdings" w:char="00A8"/>
            </w:r>
            <w:r>
              <w:rPr>
                <w:color w:val="auto"/>
                <w:sz w:val="21"/>
                <w:szCs w:val="21"/>
              </w:rPr>
              <w:t>；平水期</w:t>
            </w:r>
            <w:r>
              <w:rPr>
                <w:color w:val="auto"/>
                <w:kern w:val="0"/>
                <w:sz w:val="21"/>
                <w:szCs w:val="21"/>
              </w:rPr>
              <w:sym w:font="Wingdings" w:char="00A8"/>
            </w:r>
            <w:r>
              <w:rPr>
                <w:color w:val="auto"/>
                <w:sz w:val="21"/>
                <w:szCs w:val="21"/>
              </w:rPr>
              <w:t>；枯水期</w:t>
            </w:r>
            <w:r>
              <w:rPr>
                <w:color w:val="auto"/>
                <w:kern w:val="0"/>
                <w:sz w:val="21"/>
                <w:szCs w:val="21"/>
              </w:rPr>
              <w:sym w:font="Wingdings" w:char="00A8"/>
            </w:r>
            <w:r>
              <w:rPr>
                <w:color w:val="auto"/>
                <w:sz w:val="21"/>
                <w:szCs w:val="21"/>
              </w:rPr>
              <w:t>；冰封期</w:t>
            </w:r>
            <w:r>
              <w:rPr>
                <w:color w:val="auto"/>
                <w:kern w:val="0"/>
                <w:sz w:val="21"/>
                <w:szCs w:val="21"/>
              </w:rPr>
              <w:sym w:font="Wingdings" w:char="00A8"/>
            </w:r>
            <w:r>
              <w:rPr>
                <w:color w:val="auto"/>
                <w:sz w:val="21"/>
                <w:szCs w:val="21"/>
              </w:rPr>
              <w:t>；</w:t>
            </w:r>
          </w:p>
          <w:p>
            <w:pPr>
              <w:spacing w:line="312" w:lineRule="exact"/>
              <w:ind w:firstLine="0" w:firstLineChars="0"/>
              <w:rPr>
                <w:color w:val="auto"/>
                <w:sz w:val="21"/>
                <w:szCs w:val="21"/>
              </w:rPr>
            </w:pPr>
            <w:r>
              <w:rPr>
                <w:color w:val="auto"/>
                <w:sz w:val="21"/>
                <w:szCs w:val="21"/>
              </w:rPr>
              <w:t>春季</w:t>
            </w:r>
            <w:r>
              <w:rPr>
                <w:color w:val="auto"/>
                <w:kern w:val="0"/>
                <w:sz w:val="21"/>
                <w:szCs w:val="21"/>
              </w:rPr>
              <w:sym w:font="Wingdings" w:char="00A8"/>
            </w:r>
            <w:r>
              <w:rPr>
                <w:color w:val="auto"/>
                <w:sz w:val="21"/>
                <w:szCs w:val="21"/>
              </w:rPr>
              <w:t>；夏季</w:t>
            </w:r>
            <w:r>
              <w:rPr>
                <w:color w:val="auto"/>
                <w:kern w:val="0"/>
                <w:sz w:val="21"/>
                <w:szCs w:val="21"/>
              </w:rPr>
              <w:sym w:font="Wingdings" w:char="00A8"/>
            </w:r>
            <w:r>
              <w:rPr>
                <w:color w:val="auto"/>
                <w:sz w:val="21"/>
                <w:szCs w:val="21"/>
              </w:rPr>
              <w:t>；秋季</w:t>
            </w:r>
            <w:r>
              <w:rPr>
                <w:color w:val="auto"/>
                <w:kern w:val="0"/>
                <w:sz w:val="21"/>
                <w:szCs w:val="21"/>
              </w:rPr>
              <w:sym w:font="Wingdings" w:char="00A8"/>
            </w:r>
            <w:r>
              <w:rPr>
                <w:color w:val="auto"/>
                <w:sz w:val="21"/>
                <w:szCs w:val="21"/>
              </w:rPr>
              <w:t>；冬季</w:t>
            </w:r>
            <w:r>
              <w:rPr>
                <w:color w:val="auto"/>
                <w:kern w:val="0"/>
                <w:sz w:val="21"/>
                <w:szCs w:val="21"/>
              </w:rPr>
              <w:sym w:font="Wingdings" w:char="00A8"/>
            </w:r>
          </w:p>
          <w:p>
            <w:pPr>
              <w:pStyle w:val="2"/>
              <w:spacing w:after="0" w:line="312" w:lineRule="exact"/>
              <w:ind w:firstLine="0" w:firstLineChars="0"/>
              <w:rPr>
                <w:color w:val="auto"/>
                <w:sz w:val="21"/>
                <w:szCs w:val="21"/>
              </w:rPr>
            </w:pPr>
            <w:r>
              <w:rPr>
                <w:color w:val="auto"/>
                <w:sz w:val="21"/>
                <w:szCs w:val="21"/>
              </w:rPr>
              <w:t>设计水文条件</w:t>
            </w:r>
            <w:r>
              <w:rPr>
                <w:color w:val="auto"/>
                <w:kern w:val="0"/>
                <w:sz w:val="21"/>
                <w:szCs w:val="21"/>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预测情景</w:t>
            </w:r>
          </w:p>
        </w:tc>
        <w:tc>
          <w:tcPr>
            <w:tcW w:w="3993" w:type="pct"/>
            <w:gridSpan w:val="11"/>
            <w:tcBorders>
              <w:tl2br w:val="nil"/>
              <w:tr2bl w:val="nil"/>
            </w:tcBorders>
          </w:tcPr>
          <w:p>
            <w:pPr>
              <w:spacing w:line="312" w:lineRule="exact"/>
              <w:ind w:firstLine="0" w:firstLineChars="0"/>
              <w:rPr>
                <w:color w:val="auto"/>
                <w:sz w:val="21"/>
                <w:szCs w:val="21"/>
              </w:rPr>
            </w:pPr>
            <w:r>
              <w:rPr>
                <w:color w:val="auto"/>
                <w:kern w:val="0"/>
                <w:sz w:val="21"/>
                <w:szCs w:val="21"/>
              </w:rPr>
              <w:t>建设期</w:t>
            </w:r>
            <w:r>
              <w:rPr>
                <w:color w:val="auto"/>
                <w:kern w:val="0"/>
                <w:sz w:val="21"/>
                <w:szCs w:val="21"/>
              </w:rPr>
              <w:sym w:font="Wingdings" w:char="00A8"/>
            </w:r>
            <w:r>
              <w:rPr>
                <w:color w:val="auto"/>
                <w:sz w:val="21"/>
                <w:szCs w:val="21"/>
              </w:rPr>
              <w:t>；</w:t>
            </w:r>
            <w:r>
              <w:rPr>
                <w:color w:val="auto"/>
                <w:kern w:val="0"/>
                <w:sz w:val="21"/>
                <w:szCs w:val="21"/>
              </w:rPr>
              <w:t>生产运行期</w:t>
            </w:r>
            <w:r>
              <w:rPr>
                <w:color w:val="auto"/>
                <w:kern w:val="0"/>
                <w:sz w:val="21"/>
                <w:szCs w:val="21"/>
              </w:rPr>
              <w:sym w:font="Wingdings" w:char="00A8"/>
            </w:r>
            <w:r>
              <w:rPr>
                <w:color w:val="auto"/>
                <w:sz w:val="21"/>
                <w:szCs w:val="21"/>
              </w:rPr>
              <w:t>；</w:t>
            </w:r>
            <w:r>
              <w:rPr>
                <w:color w:val="auto"/>
                <w:kern w:val="0"/>
                <w:sz w:val="21"/>
                <w:szCs w:val="21"/>
              </w:rPr>
              <w:t>服务期满后</w:t>
            </w:r>
            <w:r>
              <w:rPr>
                <w:color w:val="auto"/>
                <w:kern w:val="0"/>
                <w:sz w:val="21"/>
                <w:szCs w:val="21"/>
              </w:rPr>
              <w:sym w:font="Wingdings" w:char="00A8"/>
            </w:r>
          </w:p>
          <w:p>
            <w:pPr>
              <w:spacing w:line="312" w:lineRule="exact"/>
              <w:ind w:firstLine="0" w:firstLineChars="0"/>
              <w:rPr>
                <w:color w:val="auto"/>
                <w:sz w:val="21"/>
                <w:szCs w:val="21"/>
              </w:rPr>
            </w:pPr>
            <w:r>
              <w:rPr>
                <w:color w:val="auto"/>
                <w:kern w:val="0"/>
                <w:sz w:val="21"/>
                <w:szCs w:val="21"/>
              </w:rPr>
              <w:t>正常工况</w:t>
            </w:r>
            <w:r>
              <w:rPr>
                <w:color w:val="auto"/>
                <w:kern w:val="0"/>
                <w:sz w:val="21"/>
                <w:szCs w:val="21"/>
              </w:rPr>
              <w:sym w:font="Wingdings" w:char="00A8"/>
            </w:r>
            <w:r>
              <w:rPr>
                <w:color w:val="auto"/>
                <w:sz w:val="21"/>
                <w:szCs w:val="21"/>
              </w:rPr>
              <w:t>；</w:t>
            </w:r>
            <w:r>
              <w:rPr>
                <w:color w:val="auto"/>
                <w:kern w:val="0"/>
                <w:sz w:val="21"/>
                <w:szCs w:val="21"/>
              </w:rPr>
              <w:t>非正常工况</w:t>
            </w:r>
            <w:r>
              <w:rPr>
                <w:color w:val="auto"/>
                <w:kern w:val="0"/>
                <w:sz w:val="21"/>
                <w:szCs w:val="21"/>
              </w:rPr>
              <w:sym w:font="Wingdings" w:char="00A8"/>
            </w:r>
          </w:p>
          <w:p>
            <w:pPr>
              <w:spacing w:line="312" w:lineRule="exact"/>
              <w:ind w:firstLine="0" w:firstLineChars="0"/>
              <w:rPr>
                <w:color w:val="auto"/>
                <w:kern w:val="0"/>
                <w:sz w:val="21"/>
                <w:szCs w:val="21"/>
              </w:rPr>
            </w:pPr>
            <w:r>
              <w:rPr>
                <w:color w:val="auto"/>
                <w:kern w:val="0"/>
                <w:sz w:val="21"/>
                <w:szCs w:val="21"/>
              </w:rPr>
              <w:t>污染控制和减缓措施方案</w:t>
            </w:r>
            <w:r>
              <w:rPr>
                <w:color w:val="auto"/>
                <w:kern w:val="0"/>
                <w:sz w:val="21"/>
                <w:szCs w:val="21"/>
              </w:rPr>
              <w:sym w:font="Wingdings" w:char="00A8"/>
            </w:r>
          </w:p>
          <w:p>
            <w:pPr>
              <w:spacing w:line="312" w:lineRule="exact"/>
              <w:ind w:firstLine="0" w:firstLineChars="0"/>
              <w:rPr>
                <w:color w:val="auto"/>
                <w:sz w:val="21"/>
                <w:szCs w:val="21"/>
              </w:rPr>
            </w:pPr>
            <w:r>
              <w:rPr>
                <w:color w:val="auto"/>
                <w:kern w:val="0"/>
                <w:sz w:val="21"/>
                <w:szCs w:val="21"/>
              </w:rPr>
              <w:t>区（流）域环境质量改善目标要求情景</w:t>
            </w:r>
            <w:r>
              <w:rPr>
                <w:color w:val="auto"/>
                <w:kern w:val="0"/>
                <w:sz w:val="21"/>
                <w:szCs w:val="21"/>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预测方法</w:t>
            </w:r>
          </w:p>
        </w:tc>
        <w:tc>
          <w:tcPr>
            <w:tcW w:w="3993" w:type="pct"/>
            <w:gridSpan w:val="11"/>
            <w:tcBorders>
              <w:tl2br w:val="nil"/>
              <w:tr2bl w:val="nil"/>
            </w:tcBorders>
          </w:tcPr>
          <w:p>
            <w:pPr>
              <w:spacing w:line="312" w:lineRule="exact"/>
              <w:ind w:firstLine="0" w:firstLineChars="0"/>
              <w:rPr>
                <w:color w:val="auto"/>
                <w:sz w:val="21"/>
                <w:szCs w:val="21"/>
              </w:rPr>
            </w:pPr>
            <w:r>
              <w:rPr>
                <w:color w:val="auto"/>
                <w:kern w:val="0"/>
                <w:sz w:val="21"/>
                <w:szCs w:val="21"/>
              </w:rPr>
              <w:t>数值解</w:t>
            </w:r>
            <w:r>
              <w:rPr>
                <w:color w:val="auto"/>
                <w:kern w:val="0"/>
                <w:sz w:val="21"/>
                <w:szCs w:val="21"/>
              </w:rPr>
              <w:sym w:font="Wingdings" w:char="00A8"/>
            </w:r>
            <w:r>
              <w:rPr>
                <w:color w:val="auto"/>
                <w:sz w:val="21"/>
                <w:szCs w:val="21"/>
              </w:rPr>
              <w:t>；</w:t>
            </w:r>
            <w:r>
              <w:rPr>
                <w:color w:val="auto"/>
                <w:kern w:val="0"/>
                <w:sz w:val="21"/>
                <w:szCs w:val="21"/>
              </w:rPr>
              <w:t>解析解</w:t>
            </w:r>
            <w:r>
              <w:rPr>
                <w:color w:val="auto"/>
                <w:kern w:val="0"/>
                <w:sz w:val="21"/>
                <w:szCs w:val="21"/>
              </w:rPr>
              <w:sym w:font="Wingdings" w:char="00A8"/>
            </w:r>
            <w:r>
              <w:rPr>
                <w:color w:val="auto"/>
                <w:sz w:val="21"/>
                <w:szCs w:val="21"/>
              </w:rPr>
              <w:t>；</w:t>
            </w:r>
            <w:r>
              <w:rPr>
                <w:color w:val="auto"/>
                <w:kern w:val="0"/>
                <w:sz w:val="21"/>
                <w:szCs w:val="21"/>
              </w:rPr>
              <w:t>其他</w:t>
            </w:r>
            <w:r>
              <w:rPr>
                <w:color w:val="auto"/>
                <w:kern w:val="0"/>
                <w:sz w:val="21"/>
                <w:szCs w:val="21"/>
              </w:rPr>
              <w:sym w:font="Wingdings" w:char="00A8"/>
            </w:r>
          </w:p>
          <w:p>
            <w:pPr>
              <w:spacing w:line="312" w:lineRule="exact"/>
              <w:ind w:firstLine="0" w:firstLineChars="0"/>
              <w:rPr>
                <w:color w:val="auto"/>
                <w:sz w:val="21"/>
                <w:szCs w:val="21"/>
              </w:rPr>
            </w:pPr>
            <w:r>
              <w:rPr>
                <w:color w:val="auto"/>
                <w:kern w:val="0"/>
                <w:sz w:val="21"/>
                <w:szCs w:val="21"/>
              </w:rPr>
              <w:t>导则推荐模式</w:t>
            </w:r>
            <w:r>
              <w:rPr>
                <w:color w:val="auto"/>
                <w:kern w:val="0"/>
                <w:sz w:val="21"/>
                <w:szCs w:val="21"/>
              </w:rPr>
              <w:sym w:font="Wingdings" w:char="00A8"/>
            </w:r>
            <w:r>
              <w:rPr>
                <w:color w:val="auto"/>
                <w:sz w:val="21"/>
                <w:szCs w:val="21"/>
              </w:rPr>
              <w:t>；</w:t>
            </w:r>
            <w:r>
              <w:rPr>
                <w:color w:val="auto"/>
                <w:kern w:val="0"/>
                <w:sz w:val="21"/>
                <w:szCs w:val="21"/>
              </w:rPr>
              <w:t>其他</w:t>
            </w:r>
            <w:r>
              <w:rPr>
                <w:color w:val="auto"/>
                <w:kern w:val="0"/>
                <w:sz w:val="21"/>
                <w:szCs w:val="21"/>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影响评价</w:t>
            </w:r>
          </w:p>
        </w:tc>
        <w:tc>
          <w:tcPr>
            <w:tcW w:w="818" w:type="pct"/>
            <w:tcBorders>
              <w:tl2br w:val="nil"/>
              <w:tr2bl w:val="nil"/>
            </w:tcBorders>
            <w:vAlign w:val="center"/>
          </w:tcPr>
          <w:p>
            <w:pPr>
              <w:spacing w:line="312" w:lineRule="exact"/>
              <w:ind w:firstLine="0" w:firstLineChars="0"/>
              <w:jc w:val="center"/>
              <w:rPr>
                <w:color w:val="auto"/>
                <w:sz w:val="21"/>
                <w:szCs w:val="21"/>
              </w:rPr>
            </w:pPr>
            <w:r>
              <w:rPr>
                <w:color w:val="auto"/>
                <w:kern w:val="0"/>
                <w:sz w:val="21"/>
                <w:szCs w:val="21"/>
              </w:rPr>
              <w:t>水污染控制和水环境影响减缓措施有效性评价</w:t>
            </w:r>
          </w:p>
        </w:tc>
        <w:tc>
          <w:tcPr>
            <w:tcW w:w="3993" w:type="pct"/>
            <w:gridSpan w:val="11"/>
            <w:tcBorders>
              <w:tl2br w:val="nil"/>
              <w:tr2bl w:val="nil"/>
            </w:tcBorders>
          </w:tcPr>
          <w:p>
            <w:pPr>
              <w:spacing w:line="312" w:lineRule="exact"/>
              <w:ind w:firstLine="0" w:firstLineChars="0"/>
              <w:rPr>
                <w:color w:val="auto"/>
                <w:sz w:val="21"/>
                <w:szCs w:val="21"/>
              </w:rPr>
            </w:pPr>
            <w:r>
              <w:rPr>
                <w:color w:val="auto"/>
                <w:kern w:val="0"/>
                <w:sz w:val="21"/>
                <w:szCs w:val="21"/>
              </w:rPr>
              <w:t>区（流）域水环境质量改善目标</w:t>
            </w:r>
            <w:r>
              <w:rPr>
                <w:color w:val="auto"/>
                <w:kern w:val="0"/>
                <w:sz w:val="21"/>
                <w:szCs w:val="21"/>
              </w:rPr>
              <w:sym w:font="Wingdings" w:char="00FE"/>
            </w:r>
            <w:r>
              <w:rPr>
                <w:color w:val="auto"/>
                <w:sz w:val="21"/>
                <w:szCs w:val="21"/>
              </w:rPr>
              <w:t>；</w:t>
            </w:r>
            <w:r>
              <w:rPr>
                <w:color w:val="auto"/>
                <w:kern w:val="0"/>
                <w:sz w:val="21"/>
                <w:szCs w:val="21"/>
              </w:rPr>
              <w:t>替代削减源</w:t>
            </w:r>
            <w:r>
              <w:rPr>
                <w:color w:val="auto"/>
                <w:kern w:val="0"/>
                <w:sz w:val="21"/>
                <w:szCs w:val="21"/>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水污染控制和水环境影响评价</w:t>
            </w:r>
          </w:p>
        </w:tc>
        <w:tc>
          <w:tcPr>
            <w:tcW w:w="3993" w:type="pct"/>
            <w:gridSpan w:val="11"/>
            <w:tcBorders>
              <w:tl2br w:val="nil"/>
              <w:tr2bl w:val="nil"/>
            </w:tcBorders>
          </w:tcPr>
          <w:p>
            <w:pPr>
              <w:spacing w:line="312" w:lineRule="exact"/>
              <w:ind w:firstLine="0" w:firstLineChars="0"/>
              <w:rPr>
                <w:color w:val="auto"/>
                <w:kern w:val="0"/>
                <w:sz w:val="21"/>
                <w:szCs w:val="21"/>
              </w:rPr>
            </w:pPr>
            <w:r>
              <w:rPr>
                <w:color w:val="auto"/>
                <w:kern w:val="0"/>
                <w:sz w:val="21"/>
                <w:szCs w:val="21"/>
              </w:rPr>
              <w:t>排放口混合区外满足水环境管理要求</w:t>
            </w:r>
            <w:r>
              <w:rPr>
                <w:color w:val="auto"/>
                <w:kern w:val="0"/>
                <w:sz w:val="21"/>
                <w:szCs w:val="21"/>
              </w:rPr>
              <w:sym w:font="Wingdings" w:char="00A8"/>
            </w:r>
          </w:p>
          <w:p>
            <w:pPr>
              <w:spacing w:line="312" w:lineRule="exact"/>
              <w:ind w:firstLine="0" w:firstLineChars="0"/>
              <w:rPr>
                <w:color w:val="auto"/>
                <w:sz w:val="21"/>
                <w:szCs w:val="21"/>
              </w:rPr>
            </w:pPr>
            <w:r>
              <w:rPr>
                <w:color w:val="auto"/>
                <w:kern w:val="0"/>
                <w:sz w:val="21"/>
                <w:szCs w:val="21"/>
              </w:rPr>
              <w:t>水环境功能区或水功能区、近岸海域环境功能区水质达标</w:t>
            </w:r>
            <w:r>
              <w:rPr>
                <w:color w:val="auto"/>
                <w:kern w:val="0"/>
                <w:sz w:val="21"/>
                <w:szCs w:val="21"/>
              </w:rPr>
              <w:sym w:font="Wingdings" w:char="00A8"/>
            </w:r>
          </w:p>
          <w:p>
            <w:pPr>
              <w:spacing w:line="312" w:lineRule="exact"/>
              <w:ind w:firstLine="0" w:firstLineChars="0"/>
              <w:rPr>
                <w:color w:val="auto"/>
                <w:sz w:val="21"/>
                <w:szCs w:val="21"/>
              </w:rPr>
            </w:pPr>
            <w:r>
              <w:rPr>
                <w:color w:val="auto"/>
                <w:kern w:val="0"/>
                <w:sz w:val="21"/>
                <w:szCs w:val="21"/>
              </w:rPr>
              <w:t>满足水环境保护目标水域水环境质量要求</w:t>
            </w:r>
            <w:r>
              <w:rPr>
                <w:color w:val="auto"/>
                <w:kern w:val="0"/>
                <w:sz w:val="21"/>
                <w:szCs w:val="21"/>
              </w:rPr>
              <w:sym w:font="Wingdings" w:char="00A8"/>
            </w:r>
          </w:p>
          <w:p>
            <w:pPr>
              <w:spacing w:line="312" w:lineRule="exact"/>
              <w:ind w:firstLine="0" w:firstLineChars="0"/>
              <w:rPr>
                <w:color w:val="auto"/>
                <w:kern w:val="0"/>
                <w:sz w:val="21"/>
                <w:szCs w:val="21"/>
              </w:rPr>
            </w:pPr>
            <w:r>
              <w:rPr>
                <w:color w:val="auto"/>
                <w:kern w:val="0"/>
                <w:sz w:val="21"/>
                <w:szCs w:val="21"/>
              </w:rPr>
              <w:t>水环境控制单元或断面水质达标</w:t>
            </w:r>
            <w:r>
              <w:rPr>
                <w:color w:val="auto"/>
                <w:kern w:val="0"/>
                <w:sz w:val="21"/>
                <w:szCs w:val="21"/>
              </w:rPr>
              <w:sym w:font="Wingdings" w:char="00A8"/>
            </w:r>
          </w:p>
          <w:p>
            <w:pPr>
              <w:spacing w:line="312" w:lineRule="exact"/>
              <w:ind w:firstLine="0" w:firstLineChars="0"/>
              <w:rPr>
                <w:color w:val="auto"/>
                <w:sz w:val="21"/>
                <w:szCs w:val="21"/>
              </w:rPr>
            </w:pPr>
            <w:r>
              <w:rPr>
                <w:color w:val="auto"/>
                <w:kern w:val="0"/>
                <w:sz w:val="21"/>
                <w:szCs w:val="21"/>
              </w:rPr>
              <w:t>满足重点水污染物排放总量控制指标要求，重点行业建设项目，主要污染物排放满足等量或减量替代要求</w:t>
            </w:r>
            <w:r>
              <w:rPr>
                <w:color w:val="auto"/>
                <w:kern w:val="0"/>
                <w:sz w:val="21"/>
                <w:szCs w:val="21"/>
              </w:rPr>
              <w:sym w:font="Wingdings" w:char="00A8"/>
            </w:r>
          </w:p>
          <w:p>
            <w:pPr>
              <w:spacing w:line="312" w:lineRule="exact"/>
              <w:ind w:firstLine="0" w:firstLineChars="0"/>
              <w:rPr>
                <w:color w:val="auto"/>
                <w:kern w:val="0"/>
                <w:sz w:val="21"/>
                <w:szCs w:val="21"/>
              </w:rPr>
            </w:pPr>
            <w:r>
              <w:rPr>
                <w:color w:val="auto"/>
                <w:kern w:val="0"/>
                <w:sz w:val="21"/>
                <w:szCs w:val="21"/>
              </w:rPr>
              <w:t>满足区（流）域水环境质量改善目标要求</w:t>
            </w:r>
            <w:r>
              <w:rPr>
                <w:color w:val="auto"/>
                <w:kern w:val="0"/>
                <w:sz w:val="21"/>
                <w:szCs w:val="21"/>
              </w:rPr>
              <w:sym w:font="Wingdings" w:char="00A8"/>
            </w:r>
          </w:p>
          <w:p>
            <w:pPr>
              <w:spacing w:line="312" w:lineRule="exact"/>
              <w:ind w:firstLine="0" w:firstLineChars="0"/>
              <w:rPr>
                <w:color w:val="auto"/>
                <w:sz w:val="21"/>
                <w:szCs w:val="21"/>
              </w:rPr>
            </w:pPr>
            <w:r>
              <w:rPr>
                <w:color w:val="auto"/>
                <w:kern w:val="0"/>
                <w:sz w:val="21"/>
                <w:szCs w:val="21"/>
              </w:rPr>
              <w:t>水文要素影响型建设项目同时应包括水文情势变化评价、主要水文特征值影响评价、生态流量符合性评价</w:t>
            </w:r>
            <w:r>
              <w:rPr>
                <w:color w:val="auto"/>
                <w:kern w:val="0"/>
                <w:sz w:val="21"/>
                <w:szCs w:val="21"/>
              </w:rPr>
              <w:sym w:font="Wingdings" w:char="00A8"/>
            </w:r>
          </w:p>
          <w:p>
            <w:pPr>
              <w:spacing w:line="312" w:lineRule="exact"/>
              <w:ind w:firstLine="0" w:firstLineChars="0"/>
              <w:rPr>
                <w:color w:val="auto"/>
                <w:kern w:val="0"/>
                <w:sz w:val="21"/>
                <w:szCs w:val="21"/>
              </w:rPr>
            </w:pPr>
            <w:r>
              <w:rPr>
                <w:color w:val="auto"/>
                <w:kern w:val="0"/>
                <w:sz w:val="21"/>
                <w:szCs w:val="21"/>
              </w:rPr>
              <w:t>对于新设或调整入河（湖库、近岸海域）排放口的建设项目，应包括排放口设置的环境合理性评价</w:t>
            </w:r>
            <w:r>
              <w:rPr>
                <w:color w:val="auto"/>
                <w:kern w:val="0"/>
                <w:sz w:val="21"/>
                <w:szCs w:val="21"/>
              </w:rPr>
              <w:sym w:font="Wingdings" w:char="00A8"/>
            </w:r>
          </w:p>
          <w:p>
            <w:pPr>
              <w:spacing w:line="312" w:lineRule="exact"/>
              <w:ind w:firstLine="0" w:firstLineChars="0"/>
              <w:rPr>
                <w:color w:val="auto"/>
                <w:sz w:val="21"/>
                <w:szCs w:val="21"/>
              </w:rPr>
            </w:pPr>
            <w:r>
              <w:rPr>
                <w:color w:val="auto"/>
                <w:kern w:val="0"/>
                <w:sz w:val="21"/>
                <w:szCs w:val="21"/>
              </w:rPr>
              <w:t>满足生态保护红线、水环境质量底线、资源利用上线和环境准入清单管理要求</w:t>
            </w:r>
            <w:r>
              <w:rPr>
                <w:color w:val="auto"/>
                <w:kern w:val="0"/>
                <w:sz w:val="21"/>
                <w:szCs w:val="21"/>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污染源排放量核算</w:t>
            </w:r>
          </w:p>
        </w:tc>
        <w:tc>
          <w:tcPr>
            <w:tcW w:w="1405" w:type="pct"/>
            <w:gridSpan w:val="4"/>
            <w:tcBorders>
              <w:tl2br w:val="nil"/>
              <w:tr2bl w:val="nil"/>
            </w:tcBorders>
          </w:tcPr>
          <w:p>
            <w:pPr>
              <w:spacing w:line="312" w:lineRule="exact"/>
              <w:ind w:firstLine="0" w:firstLineChars="0"/>
              <w:rPr>
                <w:color w:val="auto"/>
                <w:sz w:val="21"/>
                <w:szCs w:val="21"/>
              </w:rPr>
            </w:pPr>
            <w:r>
              <w:rPr>
                <w:color w:val="auto"/>
                <w:kern w:val="0"/>
                <w:sz w:val="21"/>
                <w:szCs w:val="21"/>
              </w:rPr>
              <w:t>污染物名称</w:t>
            </w:r>
          </w:p>
        </w:tc>
        <w:tc>
          <w:tcPr>
            <w:tcW w:w="1290" w:type="pct"/>
            <w:gridSpan w:val="4"/>
            <w:tcBorders>
              <w:tl2br w:val="nil"/>
              <w:tr2bl w:val="nil"/>
            </w:tcBorders>
          </w:tcPr>
          <w:p>
            <w:pPr>
              <w:spacing w:line="312" w:lineRule="exact"/>
              <w:ind w:firstLine="0" w:firstLineChars="0"/>
              <w:rPr>
                <w:color w:val="auto"/>
                <w:sz w:val="21"/>
                <w:szCs w:val="21"/>
              </w:rPr>
            </w:pPr>
            <w:r>
              <w:rPr>
                <w:color w:val="auto"/>
                <w:kern w:val="0"/>
                <w:sz w:val="21"/>
                <w:szCs w:val="21"/>
              </w:rPr>
              <w:t>排放量/（t/a）</w:t>
            </w:r>
          </w:p>
        </w:tc>
        <w:tc>
          <w:tcPr>
            <w:tcW w:w="1297" w:type="pct"/>
            <w:gridSpan w:val="3"/>
            <w:tcBorders>
              <w:tl2br w:val="nil"/>
              <w:tr2bl w:val="nil"/>
            </w:tcBorders>
          </w:tcPr>
          <w:p>
            <w:pPr>
              <w:spacing w:line="312" w:lineRule="exact"/>
              <w:ind w:firstLine="0" w:firstLineChars="0"/>
              <w:rPr>
                <w:color w:val="auto"/>
                <w:sz w:val="21"/>
                <w:szCs w:val="21"/>
              </w:rPr>
            </w:pPr>
            <w:r>
              <w:rPr>
                <w:color w:val="auto"/>
                <w:kern w:val="0"/>
                <w:sz w:val="21"/>
                <w:szCs w:val="21"/>
              </w:rPr>
              <w:t>排放浓度/（mg/L）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vMerge w:val="continue"/>
            <w:tcBorders>
              <w:tl2br w:val="nil"/>
              <w:tr2bl w:val="nil"/>
            </w:tcBorders>
            <w:vAlign w:val="center"/>
          </w:tcPr>
          <w:p>
            <w:pPr>
              <w:spacing w:line="312" w:lineRule="exact"/>
              <w:ind w:firstLine="0" w:firstLineChars="0"/>
              <w:jc w:val="center"/>
              <w:rPr>
                <w:color w:val="auto"/>
                <w:sz w:val="21"/>
                <w:szCs w:val="21"/>
              </w:rPr>
            </w:pPr>
          </w:p>
        </w:tc>
        <w:tc>
          <w:tcPr>
            <w:tcW w:w="1405" w:type="pct"/>
            <w:gridSpan w:val="4"/>
            <w:tcBorders>
              <w:tl2br w:val="nil"/>
              <w:tr2bl w:val="nil"/>
            </w:tcBorders>
          </w:tcPr>
          <w:p>
            <w:pPr>
              <w:spacing w:line="312" w:lineRule="exact"/>
              <w:ind w:firstLine="0" w:firstLineChars="0"/>
              <w:rPr>
                <w:color w:val="auto"/>
                <w:sz w:val="21"/>
                <w:szCs w:val="21"/>
              </w:rPr>
            </w:pPr>
            <w:r>
              <w:rPr>
                <w:color w:val="auto"/>
                <w:sz w:val="21"/>
                <w:szCs w:val="21"/>
              </w:rPr>
              <w:t>（COD）</w:t>
            </w:r>
          </w:p>
        </w:tc>
        <w:tc>
          <w:tcPr>
            <w:tcW w:w="1290" w:type="pct"/>
            <w:gridSpan w:val="4"/>
            <w:tcBorders>
              <w:tl2br w:val="nil"/>
              <w:tr2bl w:val="nil"/>
            </w:tcBorders>
            <w:vAlign w:val="center"/>
          </w:tcPr>
          <w:p>
            <w:pPr>
              <w:spacing w:line="312" w:lineRule="exact"/>
              <w:ind w:firstLine="0" w:firstLineChars="0"/>
              <w:rPr>
                <w:color w:val="auto"/>
                <w:kern w:val="0"/>
                <w:sz w:val="21"/>
                <w:szCs w:val="21"/>
              </w:rPr>
            </w:pPr>
            <w:r>
              <w:rPr>
                <w:color w:val="auto"/>
                <w:kern w:val="0"/>
                <w:sz w:val="21"/>
                <w:szCs w:val="21"/>
              </w:rPr>
              <w:t xml:space="preserve">0.2544 </w:t>
            </w:r>
          </w:p>
        </w:tc>
        <w:tc>
          <w:tcPr>
            <w:tcW w:w="1297" w:type="pct"/>
            <w:gridSpan w:val="3"/>
            <w:tcBorders>
              <w:tl2br w:val="nil"/>
              <w:tr2bl w:val="nil"/>
            </w:tcBorders>
          </w:tcPr>
          <w:p>
            <w:pPr>
              <w:spacing w:line="312" w:lineRule="exact"/>
              <w:ind w:firstLine="0" w:firstLineChars="0"/>
              <w:rPr>
                <w:color w:val="auto"/>
                <w:kern w:val="0"/>
                <w:sz w:val="21"/>
                <w:szCs w:val="21"/>
              </w:rPr>
            </w:pPr>
            <w:r>
              <w:rPr>
                <w:color w:val="auto"/>
                <w:kern w:val="0"/>
                <w:sz w:val="21"/>
                <w:szCs w:val="21"/>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vMerge w:val="continue"/>
            <w:tcBorders>
              <w:tl2br w:val="nil"/>
              <w:tr2bl w:val="nil"/>
            </w:tcBorders>
            <w:vAlign w:val="center"/>
          </w:tcPr>
          <w:p>
            <w:pPr>
              <w:spacing w:line="312" w:lineRule="exact"/>
              <w:ind w:firstLine="0" w:firstLineChars="0"/>
              <w:jc w:val="center"/>
              <w:rPr>
                <w:color w:val="auto"/>
                <w:sz w:val="21"/>
                <w:szCs w:val="21"/>
              </w:rPr>
            </w:pPr>
          </w:p>
        </w:tc>
        <w:tc>
          <w:tcPr>
            <w:tcW w:w="1405" w:type="pct"/>
            <w:gridSpan w:val="4"/>
            <w:tcBorders>
              <w:tl2br w:val="nil"/>
              <w:tr2bl w:val="nil"/>
            </w:tcBorders>
          </w:tcPr>
          <w:p>
            <w:pPr>
              <w:spacing w:line="312" w:lineRule="exact"/>
              <w:ind w:firstLine="0" w:firstLineChars="0"/>
              <w:rPr>
                <w:color w:val="auto"/>
                <w:sz w:val="21"/>
                <w:szCs w:val="21"/>
              </w:rPr>
            </w:pPr>
            <w:r>
              <w:rPr>
                <w:color w:val="auto"/>
                <w:sz w:val="21"/>
                <w:szCs w:val="21"/>
              </w:rPr>
              <w:t>（氨氮）</w:t>
            </w:r>
          </w:p>
        </w:tc>
        <w:tc>
          <w:tcPr>
            <w:tcW w:w="1290" w:type="pct"/>
            <w:gridSpan w:val="4"/>
            <w:tcBorders>
              <w:tl2br w:val="nil"/>
              <w:tr2bl w:val="nil"/>
            </w:tcBorders>
            <w:vAlign w:val="center"/>
          </w:tcPr>
          <w:p>
            <w:pPr>
              <w:spacing w:line="312" w:lineRule="exact"/>
              <w:ind w:firstLine="0" w:firstLineChars="0"/>
              <w:rPr>
                <w:color w:val="auto"/>
                <w:kern w:val="0"/>
                <w:sz w:val="21"/>
                <w:szCs w:val="21"/>
              </w:rPr>
            </w:pPr>
            <w:r>
              <w:rPr>
                <w:color w:val="auto"/>
                <w:kern w:val="0"/>
                <w:sz w:val="21"/>
                <w:szCs w:val="21"/>
              </w:rPr>
              <w:t xml:space="preserve">0.0019 </w:t>
            </w:r>
          </w:p>
        </w:tc>
        <w:tc>
          <w:tcPr>
            <w:tcW w:w="1297" w:type="pct"/>
            <w:gridSpan w:val="3"/>
            <w:tcBorders>
              <w:tl2br w:val="nil"/>
              <w:tr2bl w:val="nil"/>
            </w:tcBorders>
          </w:tcPr>
          <w:p>
            <w:pPr>
              <w:spacing w:line="312" w:lineRule="exact"/>
              <w:ind w:firstLine="0" w:firstLineChars="0"/>
              <w:rPr>
                <w:color w:val="auto"/>
                <w:kern w:val="0"/>
                <w:sz w:val="21"/>
                <w:szCs w:val="21"/>
              </w:rPr>
            </w:pPr>
            <w:r>
              <w:rPr>
                <w:color w:val="auto"/>
                <w:kern w:val="0"/>
                <w:sz w:val="21"/>
                <w:szCs w:val="21"/>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替代源排放情况</w:t>
            </w:r>
          </w:p>
        </w:tc>
        <w:tc>
          <w:tcPr>
            <w:tcW w:w="862" w:type="pct"/>
            <w:tcBorders>
              <w:tl2br w:val="nil"/>
              <w:tr2bl w:val="nil"/>
            </w:tcBorders>
          </w:tcPr>
          <w:p>
            <w:pPr>
              <w:spacing w:line="312" w:lineRule="exact"/>
              <w:ind w:firstLine="0" w:firstLineChars="0"/>
              <w:rPr>
                <w:color w:val="auto"/>
                <w:sz w:val="21"/>
                <w:szCs w:val="21"/>
              </w:rPr>
            </w:pPr>
            <w:r>
              <w:rPr>
                <w:color w:val="auto"/>
                <w:kern w:val="0"/>
                <w:sz w:val="21"/>
                <w:szCs w:val="21"/>
              </w:rPr>
              <w:t>污染源名称</w:t>
            </w:r>
          </w:p>
        </w:tc>
        <w:tc>
          <w:tcPr>
            <w:tcW w:w="826" w:type="pct"/>
            <w:gridSpan w:val="4"/>
            <w:tcBorders>
              <w:tl2br w:val="nil"/>
              <w:tr2bl w:val="nil"/>
            </w:tcBorders>
          </w:tcPr>
          <w:p>
            <w:pPr>
              <w:spacing w:line="312" w:lineRule="exact"/>
              <w:ind w:firstLine="0" w:firstLineChars="0"/>
              <w:rPr>
                <w:color w:val="auto"/>
                <w:sz w:val="21"/>
                <w:szCs w:val="21"/>
              </w:rPr>
            </w:pPr>
            <w:r>
              <w:rPr>
                <w:color w:val="auto"/>
                <w:kern w:val="0"/>
                <w:sz w:val="21"/>
                <w:szCs w:val="21"/>
              </w:rPr>
              <w:t>排污许可证编号</w:t>
            </w:r>
          </w:p>
        </w:tc>
        <w:tc>
          <w:tcPr>
            <w:tcW w:w="792" w:type="pct"/>
            <w:gridSpan w:val="2"/>
            <w:tcBorders>
              <w:tl2br w:val="nil"/>
              <w:tr2bl w:val="nil"/>
            </w:tcBorders>
          </w:tcPr>
          <w:p>
            <w:pPr>
              <w:spacing w:line="312" w:lineRule="exact"/>
              <w:ind w:firstLine="0" w:firstLineChars="0"/>
              <w:rPr>
                <w:color w:val="auto"/>
                <w:sz w:val="21"/>
                <w:szCs w:val="21"/>
              </w:rPr>
            </w:pPr>
            <w:r>
              <w:rPr>
                <w:color w:val="auto"/>
                <w:kern w:val="0"/>
                <w:sz w:val="21"/>
                <w:szCs w:val="21"/>
              </w:rPr>
              <w:t>污染物名称</w:t>
            </w:r>
          </w:p>
        </w:tc>
        <w:tc>
          <w:tcPr>
            <w:tcW w:w="763" w:type="pct"/>
            <w:gridSpan w:val="3"/>
            <w:tcBorders>
              <w:tl2br w:val="nil"/>
              <w:tr2bl w:val="nil"/>
            </w:tcBorders>
          </w:tcPr>
          <w:p>
            <w:pPr>
              <w:spacing w:line="312" w:lineRule="exact"/>
              <w:ind w:firstLine="0" w:firstLineChars="0"/>
              <w:rPr>
                <w:color w:val="auto"/>
                <w:sz w:val="21"/>
                <w:szCs w:val="21"/>
              </w:rPr>
            </w:pPr>
            <w:r>
              <w:rPr>
                <w:color w:val="auto"/>
                <w:kern w:val="0"/>
                <w:sz w:val="21"/>
                <w:szCs w:val="21"/>
              </w:rPr>
              <w:t>排放量/（t/a）</w:t>
            </w:r>
          </w:p>
        </w:tc>
        <w:tc>
          <w:tcPr>
            <w:tcW w:w="748" w:type="pct"/>
            <w:tcBorders>
              <w:tl2br w:val="nil"/>
              <w:tr2bl w:val="nil"/>
            </w:tcBorders>
          </w:tcPr>
          <w:p>
            <w:pPr>
              <w:spacing w:line="312" w:lineRule="exact"/>
              <w:ind w:firstLine="0" w:firstLineChars="0"/>
              <w:rPr>
                <w:color w:val="auto"/>
                <w:kern w:val="0"/>
                <w:sz w:val="21"/>
                <w:szCs w:val="21"/>
              </w:rPr>
            </w:pPr>
            <w:r>
              <w:rPr>
                <w:color w:val="auto"/>
                <w:kern w:val="0"/>
                <w:sz w:val="21"/>
                <w:szCs w:val="21"/>
              </w:rPr>
              <w:t>排放浓度/（mg/L）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vMerge w:val="continue"/>
            <w:tcBorders>
              <w:tl2br w:val="nil"/>
              <w:tr2bl w:val="nil"/>
            </w:tcBorders>
            <w:vAlign w:val="center"/>
          </w:tcPr>
          <w:p>
            <w:pPr>
              <w:spacing w:line="312" w:lineRule="exact"/>
              <w:ind w:firstLine="0" w:firstLineChars="0"/>
              <w:jc w:val="center"/>
              <w:rPr>
                <w:color w:val="auto"/>
                <w:sz w:val="21"/>
                <w:szCs w:val="21"/>
              </w:rPr>
            </w:pPr>
          </w:p>
        </w:tc>
        <w:tc>
          <w:tcPr>
            <w:tcW w:w="862" w:type="pct"/>
            <w:tcBorders>
              <w:tl2br w:val="nil"/>
              <w:tr2bl w:val="nil"/>
            </w:tcBorders>
          </w:tcPr>
          <w:p>
            <w:pPr>
              <w:spacing w:line="312" w:lineRule="exact"/>
              <w:ind w:firstLine="0" w:firstLineChars="0"/>
              <w:rPr>
                <w:color w:val="auto"/>
                <w:sz w:val="21"/>
                <w:szCs w:val="21"/>
              </w:rPr>
            </w:pPr>
            <w:r>
              <w:rPr>
                <w:color w:val="auto"/>
                <w:sz w:val="21"/>
                <w:szCs w:val="21"/>
              </w:rPr>
              <w:t>（ ）</w:t>
            </w:r>
          </w:p>
        </w:tc>
        <w:tc>
          <w:tcPr>
            <w:tcW w:w="826" w:type="pct"/>
            <w:gridSpan w:val="4"/>
            <w:tcBorders>
              <w:tl2br w:val="nil"/>
              <w:tr2bl w:val="nil"/>
            </w:tcBorders>
          </w:tcPr>
          <w:p>
            <w:pPr>
              <w:spacing w:line="312" w:lineRule="exact"/>
              <w:ind w:firstLine="0" w:firstLineChars="0"/>
              <w:rPr>
                <w:color w:val="auto"/>
                <w:sz w:val="21"/>
                <w:szCs w:val="21"/>
              </w:rPr>
            </w:pPr>
            <w:r>
              <w:rPr>
                <w:color w:val="auto"/>
                <w:sz w:val="21"/>
                <w:szCs w:val="21"/>
              </w:rPr>
              <w:t>（ ）</w:t>
            </w:r>
          </w:p>
        </w:tc>
        <w:tc>
          <w:tcPr>
            <w:tcW w:w="792" w:type="pct"/>
            <w:gridSpan w:val="2"/>
            <w:tcBorders>
              <w:tl2br w:val="nil"/>
              <w:tr2bl w:val="nil"/>
            </w:tcBorders>
          </w:tcPr>
          <w:p>
            <w:pPr>
              <w:spacing w:line="312" w:lineRule="exact"/>
              <w:ind w:firstLine="0" w:firstLineChars="0"/>
              <w:rPr>
                <w:color w:val="auto"/>
                <w:sz w:val="21"/>
                <w:szCs w:val="21"/>
              </w:rPr>
            </w:pPr>
            <w:r>
              <w:rPr>
                <w:color w:val="auto"/>
                <w:sz w:val="21"/>
                <w:szCs w:val="21"/>
              </w:rPr>
              <w:t>（ ）</w:t>
            </w:r>
          </w:p>
        </w:tc>
        <w:tc>
          <w:tcPr>
            <w:tcW w:w="763" w:type="pct"/>
            <w:gridSpan w:val="3"/>
            <w:tcBorders>
              <w:tl2br w:val="nil"/>
              <w:tr2bl w:val="nil"/>
            </w:tcBorders>
          </w:tcPr>
          <w:p>
            <w:pPr>
              <w:spacing w:line="312" w:lineRule="exact"/>
              <w:ind w:firstLine="0" w:firstLineChars="0"/>
              <w:rPr>
                <w:color w:val="auto"/>
                <w:sz w:val="21"/>
                <w:szCs w:val="21"/>
              </w:rPr>
            </w:pPr>
            <w:r>
              <w:rPr>
                <w:color w:val="auto"/>
                <w:sz w:val="21"/>
                <w:szCs w:val="21"/>
              </w:rPr>
              <w:t>（ ）</w:t>
            </w:r>
          </w:p>
        </w:tc>
        <w:tc>
          <w:tcPr>
            <w:tcW w:w="748" w:type="pct"/>
            <w:tcBorders>
              <w:tl2br w:val="nil"/>
              <w:tr2bl w:val="nil"/>
            </w:tcBorders>
          </w:tcPr>
          <w:p>
            <w:pPr>
              <w:spacing w:line="312" w:lineRule="exact"/>
              <w:ind w:firstLine="0" w:firstLineChars="0"/>
              <w:rPr>
                <w:color w:val="auto"/>
                <w:sz w:val="21"/>
                <w:szCs w:val="21"/>
              </w:rPr>
            </w:pPr>
            <w:r>
              <w:rPr>
                <w:color w:val="auto"/>
                <w:sz w:val="21"/>
                <w:szCs w:val="21"/>
              </w:rPr>
              <w:t>（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生态流量确定</w:t>
            </w:r>
          </w:p>
        </w:tc>
        <w:tc>
          <w:tcPr>
            <w:tcW w:w="3993" w:type="pct"/>
            <w:gridSpan w:val="11"/>
            <w:tcBorders>
              <w:tl2br w:val="nil"/>
              <w:tr2bl w:val="nil"/>
            </w:tcBorders>
          </w:tcPr>
          <w:p>
            <w:pPr>
              <w:spacing w:line="312" w:lineRule="exact"/>
              <w:ind w:firstLine="0" w:firstLineChars="0"/>
              <w:rPr>
                <w:color w:val="auto"/>
                <w:sz w:val="21"/>
                <w:szCs w:val="21"/>
              </w:rPr>
            </w:pPr>
            <w:r>
              <w:rPr>
                <w:color w:val="auto"/>
                <w:kern w:val="0"/>
                <w:sz w:val="21"/>
                <w:szCs w:val="21"/>
              </w:rPr>
              <w:t>生态流量：--般水期（ ）m</w:t>
            </w:r>
            <w:r>
              <w:rPr>
                <w:color w:val="auto"/>
                <w:kern w:val="0"/>
                <w:sz w:val="21"/>
                <w:szCs w:val="21"/>
                <w:vertAlign w:val="superscript"/>
              </w:rPr>
              <w:t>3</w:t>
            </w:r>
            <w:r>
              <w:rPr>
                <w:color w:val="auto"/>
                <w:kern w:val="0"/>
                <w:sz w:val="21"/>
                <w:szCs w:val="21"/>
              </w:rPr>
              <w:t>/s；鱼类繁殖期（ ）m</w:t>
            </w:r>
            <w:r>
              <w:rPr>
                <w:color w:val="auto"/>
                <w:kern w:val="0"/>
                <w:sz w:val="21"/>
                <w:szCs w:val="21"/>
                <w:vertAlign w:val="superscript"/>
              </w:rPr>
              <w:t>3</w:t>
            </w:r>
            <w:r>
              <w:rPr>
                <w:color w:val="auto"/>
                <w:kern w:val="0"/>
                <w:sz w:val="21"/>
                <w:szCs w:val="21"/>
              </w:rPr>
              <w:t>/s；其他（ ）m</w:t>
            </w:r>
            <w:r>
              <w:rPr>
                <w:color w:val="auto"/>
                <w:kern w:val="0"/>
                <w:sz w:val="21"/>
                <w:szCs w:val="21"/>
                <w:vertAlign w:val="superscript"/>
              </w:rPr>
              <w:t>3</w:t>
            </w:r>
            <w:r>
              <w:rPr>
                <w:color w:val="auto"/>
                <w:kern w:val="0"/>
                <w:sz w:val="21"/>
                <w:szCs w:val="21"/>
              </w:rPr>
              <w:t>/s生态水位；一般水期（ ）m；鱼类繁殖期（ ）m；其他（ ）m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防治措施</w:t>
            </w:r>
          </w:p>
        </w:tc>
        <w:tc>
          <w:tcPr>
            <w:tcW w:w="81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环保措施</w:t>
            </w:r>
          </w:p>
        </w:tc>
        <w:tc>
          <w:tcPr>
            <w:tcW w:w="3993" w:type="pct"/>
            <w:gridSpan w:val="11"/>
            <w:tcBorders>
              <w:tl2br w:val="nil"/>
              <w:tr2bl w:val="nil"/>
            </w:tcBorders>
          </w:tcPr>
          <w:p>
            <w:pPr>
              <w:spacing w:line="312" w:lineRule="exact"/>
              <w:ind w:firstLine="0" w:firstLineChars="0"/>
              <w:rPr>
                <w:color w:val="auto"/>
                <w:sz w:val="21"/>
                <w:szCs w:val="21"/>
              </w:rPr>
            </w:pPr>
            <w:r>
              <w:rPr>
                <w:color w:val="auto"/>
                <w:kern w:val="0"/>
                <w:sz w:val="21"/>
                <w:szCs w:val="21"/>
              </w:rPr>
              <w:t>污水处理设施</w:t>
            </w:r>
            <w:r>
              <w:rPr>
                <w:color w:val="auto"/>
                <w:kern w:val="0"/>
                <w:sz w:val="21"/>
                <w:szCs w:val="21"/>
              </w:rPr>
              <w:sym w:font="Wingdings" w:char="00A8"/>
            </w:r>
            <w:r>
              <w:rPr>
                <w:color w:val="auto"/>
                <w:sz w:val="21"/>
                <w:szCs w:val="21"/>
              </w:rPr>
              <w:t>；</w:t>
            </w:r>
            <w:r>
              <w:rPr>
                <w:color w:val="auto"/>
                <w:kern w:val="0"/>
                <w:sz w:val="21"/>
                <w:szCs w:val="21"/>
              </w:rPr>
              <w:t>水文减缓设施</w:t>
            </w:r>
            <w:r>
              <w:rPr>
                <w:color w:val="auto"/>
                <w:kern w:val="0"/>
                <w:sz w:val="21"/>
                <w:szCs w:val="21"/>
              </w:rPr>
              <w:sym w:font="Wingdings" w:char="00A8"/>
            </w:r>
            <w:r>
              <w:rPr>
                <w:color w:val="auto"/>
                <w:sz w:val="21"/>
                <w:szCs w:val="21"/>
              </w:rPr>
              <w:t>；</w:t>
            </w:r>
            <w:r>
              <w:rPr>
                <w:color w:val="auto"/>
                <w:kern w:val="0"/>
                <w:sz w:val="21"/>
                <w:szCs w:val="21"/>
              </w:rPr>
              <w:t>生态流量保障设施</w:t>
            </w:r>
            <w:r>
              <w:rPr>
                <w:color w:val="auto"/>
                <w:kern w:val="0"/>
                <w:sz w:val="21"/>
                <w:szCs w:val="21"/>
              </w:rPr>
              <w:sym w:font="Wingdings" w:char="00A8"/>
            </w:r>
            <w:r>
              <w:rPr>
                <w:color w:val="auto"/>
                <w:sz w:val="21"/>
                <w:szCs w:val="21"/>
              </w:rPr>
              <w:t>；</w:t>
            </w:r>
            <w:r>
              <w:rPr>
                <w:color w:val="auto"/>
                <w:kern w:val="0"/>
                <w:sz w:val="21"/>
                <w:szCs w:val="21"/>
              </w:rPr>
              <w:t>区域削减</w:t>
            </w:r>
            <w:r>
              <w:rPr>
                <w:color w:val="auto"/>
                <w:kern w:val="0"/>
                <w:sz w:val="21"/>
                <w:szCs w:val="21"/>
              </w:rPr>
              <w:sym w:font="Wingdings" w:char="00A8"/>
            </w:r>
            <w:r>
              <w:rPr>
                <w:color w:val="auto"/>
                <w:sz w:val="21"/>
                <w:szCs w:val="21"/>
              </w:rPr>
              <w:t>；</w:t>
            </w:r>
            <w:r>
              <w:rPr>
                <w:color w:val="auto"/>
                <w:kern w:val="0"/>
                <w:sz w:val="21"/>
                <w:szCs w:val="21"/>
              </w:rPr>
              <w:t>依托其他工程措施</w:t>
            </w:r>
            <w:r>
              <w:rPr>
                <w:color w:val="auto"/>
                <w:kern w:val="0"/>
                <w:sz w:val="21"/>
                <w:szCs w:val="21"/>
              </w:rPr>
              <w:sym w:font="Wingdings" w:char="00A8"/>
            </w:r>
            <w:r>
              <w:rPr>
                <w:color w:val="auto"/>
                <w:sz w:val="21"/>
                <w:szCs w:val="21"/>
              </w:rPr>
              <w:t>；</w:t>
            </w:r>
            <w:r>
              <w:rPr>
                <w:color w:val="auto"/>
                <w:kern w:val="0"/>
                <w:sz w:val="21"/>
                <w:szCs w:val="21"/>
              </w:rPr>
              <w:t>其他</w:t>
            </w:r>
            <w:r>
              <w:rPr>
                <w:color w:val="auto"/>
                <w:kern w:val="0"/>
                <w:sz w:val="21"/>
                <w:szCs w:val="21"/>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监测计划</w:t>
            </w:r>
          </w:p>
        </w:tc>
        <w:tc>
          <w:tcPr>
            <w:tcW w:w="1405" w:type="pct"/>
            <w:gridSpan w:val="4"/>
            <w:tcBorders>
              <w:tl2br w:val="nil"/>
              <w:tr2bl w:val="nil"/>
            </w:tcBorders>
          </w:tcPr>
          <w:p>
            <w:pPr>
              <w:spacing w:line="312" w:lineRule="exact"/>
              <w:ind w:firstLine="0" w:firstLineChars="0"/>
              <w:rPr>
                <w:color w:val="auto"/>
                <w:sz w:val="21"/>
                <w:szCs w:val="21"/>
              </w:rPr>
            </w:pPr>
          </w:p>
        </w:tc>
        <w:tc>
          <w:tcPr>
            <w:tcW w:w="1290" w:type="pct"/>
            <w:gridSpan w:val="4"/>
            <w:tcBorders>
              <w:tl2br w:val="nil"/>
              <w:tr2bl w:val="nil"/>
            </w:tcBorders>
          </w:tcPr>
          <w:p>
            <w:pPr>
              <w:spacing w:line="312" w:lineRule="exact"/>
              <w:ind w:firstLine="0" w:firstLineChars="0"/>
              <w:rPr>
                <w:color w:val="auto"/>
                <w:sz w:val="21"/>
                <w:szCs w:val="21"/>
              </w:rPr>
            </w:pPr>
            <w:r>
              <w:rPr>
                <w:color w:val="auto"/>
                <w:kern w:val="0"/>
                <w:sz w:val="21"/>
                <w:szCs w:val="21"/>
              </w:rPr>
              <w:t>环境质量</w:t>
            </w:r>
          </w:p>
        </w:tc>
        <w:tc>
          <w:tcPr>
            <w:tcW w:w="1297" w:type="pct"/>
            <w:gridSpan w:val="3"/>
            <w:tcBorders>
              <w:tl2br w:val="nil"/>
              <w:tr2bl w:val="nil"/>
            </w:tcBorders>
          </w:tcPr>
          <w:p>
            <w:pPr>
              <w:spacing w:line="312" w:lineRule="exact"/>
              <w:ind w:firstLine="0" w:firstLineChars="0"/>
              <w:rPr>
                <w:color w:val="auto"/>
                <w:sz w:val="21"/>
                <w:szCs w:val="21"/>
              </w:rPr>
            </w:pPr>
            <w:r>
              <w:rPr>
                <w:color w:val="auto"/>
                <w:kern w:val="0"/>
                <w:sz w:val="21"/>
                <w:szCs w:val="21"/>
              </w:rPr>
              <w:t>污染源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vMerge w:val="continue"/>
            <w:tcBorders>
              <w:tl2br w:val="nil"/>
              <w:tr2bl w:val="nil"/>
            </w:tcBorders>
            <w:vAlign w:val="center"/>
          </w:tcPr>
          <w:p>
            <w:pPr>
              <w:spacing w:line="312" w:lineRule="exact"/>
              <w:ind w:firstLine="0" w:firstLineChars="0"/>
              <w:jc w:val="center"/>
              <w:rPr>
                <w:color w:val="auto"/>
                <w:sz w:val="21"/>
                <w:szCs w:val="21"/>
              </w:rPr>
            </w:pPr>
          </w:p>
        </w:tc>
        <w:tc>
          <w:tcPr>
            <w:tcW w:w="1405" w:type="pct"/>
            <w:gridSpan w:val="4"/>
            <w:tcBorders>
              <w:tl2br w:val="nil"/>
              <w:tr2bl w:val="nil"/>
            </w:tcBorders>
          </w:tcPr>
          <w:p>
            <w:pPr>
              <w:spacing w:line="312" w:lineRule="exact"/>
              <w:ind w:firstLine="0" w:firstLineChars="0"/>
              <w:rPr>
                <w:color w:val="auto"/>
                <w:sz w:val="21"/>
                <w:szCs w:val="21"/>
              </w:rPr>
            </w:pPr>
            <w:r>
              <w:rPr>
                <w:color w:val="auto"/>
                <w:kern w:val="0"/>
                <w:sz w:val="21"/>
                <w:szCs w:val="21"/>
              </w:rPr>
              <w:t>监测计划</w:t>
            </w:r>
          </w:p>
        </w:tc>
        <w:tc>
          <w:tcPr>
            <w:tcW w:w="1290" w:type="pct"/>
            <w:gridSpan w:val="4"/>
            <w:tcBorders>
              <w:tl2br w:val="nil"/>
              <w:tr2bl w:val="nil"/>
            </w:tcBorders>
          </w:tcPr>
          <w:p>
            <w:pPr>
              <w:spacing w:line="312" w:lineRule="exact"/>
              <w:ind w:firstLine="0" w:firstLineChars="0"/>
              <w:rPr>
                <w:color w:val="auto"/>
                <w:sz w:val="21"/>
                <w:szCs w:val="21"/>
              </w:rPr>
            </w:pPr>
            <w:r>
              <w:rPr>
                <w:color w:val="auto"/>
                <w:kern w:val="0"/>
                <w:sz w:val="21"/>
                <w:szCs w:val="21"/>
              </w:rPr>
              <w:t>手动</w:t>
            </w:r>
            <w:r>
              <w:rPr>
                <w:color w:val="auto"/>
                <w:kern w:val="0"/>
                <w:sz w:val="21"/>
                <w:szCs w:val="21"/>
              </w:rPr>
              <w:sym w:font="Wingdings" w:char="00A8"/>
            </w:r>
            <w:r>
              <w:rPr>
                <w:color w:val="auto"/>
                <w:sz w:val="21"/>
                <w:szCs w:val="21"/>
              </w:rPr>
              <w:t>；</w:t>
            </w:r>
            <w:r>
              <w:rPr>
                <w:color w:val="auto"/>
                <w:kern w:val="0"/>
                <w:sz w:val="21"/>
                <w:szCs w:val="21"/>
              </w:rPr>
              <w:t>自动</w:t>
            </w:r>
            <w:r>
              <w:rPr>
                <w:color w:val="auto"/>
                <w:kern w:val="0"/>
                <w:sz w:val="21"/>
                <w:szCs w:val="21"/>
              </w:rPr>
              <w:sym w:font="Wingdings" w:char="00A8"/>
            </w:r>
            <w:r>
              <w:rPr>
                <w:color w:val="auto"/>
                <w:sz w:val="21"/>
                <w:szCs w:val="21"/>
              </w:rPr>
              <w:t>；</w:t>
            </w:r>
            <w:r>
              <w:rPr>
                <w:color w:val="auto"/>
                <w:kern w:val="0"/>
                <w:sz w:val="21"/>
                <w:szCs w:val="21"/>
              </w:rPr>
              <w:t>无监测</w:t>
            </w:r>
            <w:r>
              <w:rPr>
                <w:color w:val="auto"/>
                <w:kern w:val="0"/>
                <w:sz w:val="21"/>
                <w:szCs w:val="21"/>
              </w:rPr>
              <w:sym w:font="Wingdings" w:char="00A8"/>
            </w:r>
          </w:p>
        </w:tc>
        <w:tc>
          <w:tcPr>
            <w:tcW w:w="1297" w:type="pct"/>
            <w:gridSpan w:val="3"/>
            <w:tcBorders>
              <w:tl2br w:val="nil"/>
              <w:tr2bl w:val="nil"/>
            </w:tcBorders>
          </w:tcPr>
          <w:p>
            <w:pPr>
              <w:spacing w:line="312" w:lineRule="exact"/>
              <w:ind w:firstLine="0" w:firstLineChars="0"/>
              <w:rPr>
                <w:color w:val="auto"/>
                <w:sz w:val="21"/>
                <w:szCs w:val="21"/>
              </w:rPr>
            </w:pPr>
            <w:r>
              <w:rPr>
                <w:color w:val="auto"/>
                <w:kern w:val="0"/>
                <w:sz w:val="21"/>
                <w:szCs w:val="21"/>
              </w:rPr>
              <w:t>手动</w:t>
            </w:r>
            <w:r>
              <w:rPr>
                <w:color w:val="auto"/>
                <w:kern w:val="0"/>
                <w:sz w:val="21"/>
                <w:szCs w:val="21"/>
              </w:rPr>
              <w:sym w:font="Wingdings" w:char="00FE"/>
            </w:r>
            <w:r>
              <w:rPr>
                <w:color w:val="auto"/>
                <w:sz w:val="21"/>
                <w:szCs w:val="21"/>
              </w:rPr>
              <w:t>；</w:t>
            </w:r>
            <w:r>
              <w:rPr>
                <w:color w:val="auto"/>
                <w:kern w:val="0"/>
                <w:sz w:val="21"/>
                <w:szCs w:val="21"/>
              </w:rPr>
              <w:t>自动</w:t>
            </w:r>
            <w:r>
              <w:rPr>
                <w:color w:val="auto"/>
                <w:kern w:val="0"/>
                <w:sz w:val="21"/>
                <w:szCs w:val="21"/>
              </w:rPr>
              <w:sym w:font="Wingdings" w:char="00A8"/>
            </w:r>
            <w:r>
              <w:rPr>
                <w:color w:val="auto"/>
                <w:sz w:val="21"/>
                <w:szCs w:val="21"/>
              </w:rPr>
              <w:t>；</w:t>
            </w:r>
            <w:r>
              <w:rPr>
                <w:color w:val="auto"/>
                <w:kern w:val="0"/>
                <w:sz w:val="21"/>
                <w:szCs w:val="21"/>
              </w:rPr>
              <w:t>无监测</w:t>
            </w:r>
            <w:r>
              <w:rPr>
                <w:color w:val="auto"/>
                <w:kern w:val="0"/>
                <w:sz w:val="21"/>
                <w:szCs w:val="21"/>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vMerge w:val="continue"/>
            <w:tcBorders>
              <w:tl2br w:val="nil"/>
              <w:tr2bl w:val="nil"/>
            </w:tcBorders>
            <w:vAlign w:val="center"/>
          </w:tcPr>
          <w:p>
            <w:pPr>
              <w:spacing w:line="312" w:lineRule="exact"/>
              <w:ind w:firstLine="0" w:firstLineChars="0"/>
              <w:jc w:val="center"/>
              <w:rPr>
                <w:color w:val="auto"/>
                <w:sz w:val="21"/>
                <w:szCs w:val="21"/>
              </w:rPr>
            </w:pPr>
          </w:p>
        </w:tc>
        <w:tc>
          <w:tcPr>
            <w:tcW w:w="1405" w:type="pct"/>
            <w:gridSpan w:val="4"/>
            <w:tcBorders>
              <w:tl2br w:val="nil"/>
              <w:tr2bl w:val="nil"/>
            </w:tcBorders>
          </w:tcPr>
          <w:p>
            <w:pPr>
              <w:spacing w:line="312" w:lineRule="exact"/>
              <w:ind w:firstLine="0" w:firstLineChars="0"/>
              <w:rPr>
                <w:color w:val="auto"/>
                <w:sz w:val="21"/>
                <w:szCs w:val="21"/>
              </w:rPr>
            </w:pPr>
            <w:r>
              <w:rPr>
                <w:color w:val="auto"/>
                <w:kern w:val="0"/>
                <w:sz w:val="21"/>
                <w:szCs w:val="21"/>
              </w:rPr>
              <w:t>监测点位</w:t>
            </w:r>
          </w:p>
        </w:tc>
        <w:tc>
          <w:tcPr>
            <w:tcW w:w="1290" w:type="pct"/>
            <w:gridSpan w:val="4"/>
            <w:tcBorders>
              <w:tl2br w:val="nil"/>
              <w:tr2bl w:val="nil"/>
            </w:tcBorders>
          </w:tcPr>
          <w:p>
            <w:pPr>
              <w:spacing w:line="312" w:lineRule="exact"/>
              <w:ind w:firstLine="0" w:firstLineChars="0"/>
              <w:rPr>
                <w:color w:val="auto"/>
                <w:sz w:val="21"/>
                <w:szCs w:val="21"/>
              </w:rPr>
            </w:pPr>
            <w:r>
              <w:rPr>
                <w:color w:val="auto"/>
                <w:sz w:val="21"/>
                <w:szCs w:val="21"/>
              </w:rPr>
              <w:t>（ ）</w:t>
            </w:r>
          </w:p>
        </w:tc>
        <w:tc>
          <w:tcPr>
            <w:tcW w:w="1297" w:type="pct"/>
            <w:gridSpan w:val="3"/>
            <w:tcBorders>
              <w:tl2br w:val="nil"/>
              <w:tr2bl w:val="nil"/>
            </w:tcBorders>
          </w:tcPr>
          <w:p>
            <w:pPr>
              <w:spacing w:line="312" w:lineRule="exact"/>
              <w:ind w:firstLine="0" w:firstLineChars="0"/>
              <w:rPr>
                <w:color w:val="auto"/>
                <w:sz w:val="21"/>
                <w:szCs w:val="21"/>
              </w:rPr>
            </w:pPr>
            <w:r>
              <w:rPr>
                <w:color w:val="auto"/>
                <w:sz w:val="21"/>
                <w:szCs w:val="21"/>
              </w:rPr>
              <w:t>（</w:t>
            </w:r>
            <w:r>
              <w:rPr>
                <w:rFonts w:hint="eastAsia"/>
                <w:color w:val="auto"/>
                <w:sz w:val="21"/>
                <w:szCs w:val="21"/>
              </w:rPr>
              <w:t>污水站总排口</w:t>
            </w:r>
            <w:r>
              <w:rPr>
                <w:color w:val="auto"/>
                <w:sz w:val="21"/>
                <w:szCs w:val="21"/>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vMerge w:val="continue"/>
            <w:tcBorders>
              <w:tl2br w:val="nil"/>
              <w:tr2bl w:val="nil"/>
            </w:tcBorders>
            <w:vAlign w:val="center"/>
          </w:tcPr>
          <w:p>
            <w:pPr>
              <w:spacing w:line="312" w:lineRule="exact"/>
              <w:ind w:firstLine="0" w:firstLineChars="0"/>
              <w:jc w:val="center"/>
              <w:rPr>
                <w:color w:val="auto"/>
                <w:sz w:val="21"/>
                <w:szCs w:val="21"/>
              </w:rPr>
            </w:pPr>
          </w:p>
        </w:tc>
        <w:tc>
          <w:tcPr>
            <w:tcW w:w="1405" w:type="pct"/>
            <w:gridSpan w:val="4"/>
            <w:tcBorders>
              <w:tl2br w:val="nil"/>
              <w:tr2bl w:val="nil"/>
            </w:tcBorders>
          </w:tcPr>
          <w:p>
            <w:pPr>
              <w:spacing w:line="312" w:lineRule="exact"/>
              <w:ind w:firstLine="0" w:firstLineChars="0"/>
              <w:rPr>
                <w:color w:val="auto"/>
                <w:sz w:val="21"/>
                <w:szCs w:val="21"/>
              </w:rPr>
            </w:pPr>
            <w:r>
              <w:rPr>
                <w:color w:val="auto"/>
                <w:kern w:val="0"/>
                <w:sz w:val="21"/>
                <w:szCs w:val="21"/>
              </w:rPr>
              <w:t>监测因子</w:t>
            </w:r>
          </w:p>
        </w:tc>
        <w:tc>
          <w:tcPr>
            <w:tcW w:w="1290" w:type="pct"/>
            <w:gridSpan w:val="4"/>
            <w:tcBorders>
              <w:tl2br w:val="nil"/>
              <w:tr2bl w:val="nil"/>
            </w:tcBorders>
          </w:tcPr>
          <w:p>
            <w:pPr>
              <w:spacing w:line="312" w:lineRule="exact"/>
              <w:ind w:firstLine="0" w:firstLineChars="0"/>
              <w:rPr>
                <w:color w:val="auto"/>
                <w:sz w:val="21"/>
                <w:szCs w:val="21"/>
              </w:rPr>
            </w:pPr>
            <w:r>
              <w:rPr>
                <w:color w:val="auto"/>
                <w:sz w:val="21"/>
                <w:szCs w:val="21"/>
              </w:rPr>
              <w:t>（ ）</w:t>
            </w:r>
          </w:p>
        </w:tc>
        <w:tc>
          <w:tcPr>
            <w:tcW w:w="1297" w:type="pct"/>
            <w:gridSpan w:val="3"/>
            <w:tcBorders>
              <w:tl2br w:val="nil"/>
              <w:tr2bl w:val="nil"/>
            </w:tcBorders>
          </w:tcPr>
          <w:p>
            <w:pPr>
              <w:spacing w:line="312" w:lineRule="exact"/>
              <w:ind w:firstLine="0" w:firstLineChars="0"/>
              <w:rPr>
                <w:color w:val="auto"/>
                <w:sz w:val="21"/>
                <w:szCs w:val="21"/>
              </w:rPr>
            </w:pPr>
            <w:r>
              <w:rPr>
                <w:color w:val="auto"/>
                <w:sz w:val="21"/>
                <w:szCs w:val="21"/>
              </w:rPr>
              <w:t>（COD、氨氮</w:t>
            </w:r>
            <w:r>
              <w:rPr>
                <w:rFonts w:hint="eastAsia"/>
                <w:color w:val="auto"/>
                <w:sz w:val="21"/>
                <w:szCs w:val="21"/>
              </w:rPr>
              <w:t>、</w:t>
            </w:r>
            <w:r>
              <w:rPr>
                <w:bCs/>
                <w:color w:val="auto"/>
                <w:sz w:val="21"/>
                <w:szCs w:val="21"/>
              </w:rPr>
              <w:t>石油类</w:t>
            </w:r>
            <w:r>
              <w:rPr>
                <w:rFonts w:hint="eastAsia"/>
                <w:bCs/>
                <w:color w:val="auto"/>
                <w:sz w:val="21"/>
                <w:szCs w:val="21"/>
              </w:rPr>
              <w:t>、</w:t>
            </w:r>
            <w:r>
              <w:rPr>
                <w:bCs/>
                <w:color w:val="auto"/>
                <w:sz w:val="21"/>
                <w:szCs w:val="21"/>
              </w:rPr>
              <w:t>pH值、总氮</w:t>
            </w:r>
            <w:r>
              <w:rPr>
                <w:rFonts w:hint="eastAsia"/>
                <w:bCs/>
                <w:color w:val="auto"/>
                <w:sz w:val="21"/>
                <w:szCs w:val="21"/>
              </w:rPr>
              <w:t>、</w:t>
            </w:r>
            <w:r>
              <w:rPr>
                <w:bCs/>
                <w:color w:val="auto"/>
                <w:sz w:val="21"/>
                <w:szCs w:val="21"/>
              </w:rPr>
              <w:t>总磷</w:t>
            </w:r>
            <w:r>
              <w:rPr>
                <w:rFonts w:hint="eastAsia"/>
                <w:bCs/>
                <w:color w:val="auto"/>
                <w:sz w:val="21"/>
                <w:szCs w:val="21"/>
              </w:rPr>
              <w:t>、</w:t>
            </w:r>
            <w:r>
              <w:rPr>
                <w:bCs/>
                <w:color w:val="auto"/>
                <w:sz w:val="21"/>
                <w:szCs w:val="21"/>
              </w:rPr>
              <w:t>五日生化需氧量、悬浮物</w:t>
            </w:r>
            <w:r>
              <w:rPr>
                <w:color w:val="auto"/>
                <w:sz w:val="21"/>
                <w:szCs w:val="21"/>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continue"/>
            <w:tcBorders>
              <w:tl2br w:val="nil"/>
              <w:tr2bl w:val="nil"/>
            </w:tcBorders>
            <w:vAlign w:val="center"/>
          </w:tcPr>
          <w:p>
            <w:pPr>
              <w:spacing w:line="312" w:lineRule="exact"/>
              <w:ind w:firstLine="0" w:firstLineChars="0"/>
              <w:jc w:val="center"/>
              <w:rPr>
                <w:color w:val="auto"/>
                <w:sz w:val="21"/>
                <w:szCs w:val="21"/>
              </w:rPr>
            </w:pPr>
          </w:p>
        </w:tc>
        <w:tc>
          <w:tcPr>
            <w:tcW w:w="81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污染物排放清单</w:t>
            </w:r>
          </w:p>
        </w:tc>
        <w:tc>
          <w:tcPr>
            <w:tcW w:w="3993" w:type="pct"/>
            <w:gridSpan w:val="11"/>
            <w:tcBorders>
              <w:tl2br w:val="nil"/>
              <w:tr2bl w:val="nil"/>
            </w:tcBorders>
          </w:tcPr>
          <w:p>
            <w:pPr>
              <w:spacing w:line="312" w:lineRule="exact"/>
              <w:ind w:firstLine="0" w:firstLineChars="0"/>
              <w:rPr>
                <w:color w:val="auto"/>
                <w:sz w:val="21"/>
                <w:szCs w:val="21"/>
              </w:rPr>
            </w:pPr>
            <w:r>
              <w:rPr>
                <w:color w:val="auto"/>
                <w:kern w:val="0"/>
                <w:sz w:val="21"/>
                <w:szCs w:val="21"/>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6" w:type="pct"/>
            <w:gridSpan w:val="2"/>
            <w:tcBorders>
              <w:tl2br w:val="nil"/>
              <w:tr2bl w:val="nil"/>
            </w:tcBorders>
            <w:vAlign w:val="center"/>
          </w:tcPr>
          <w:p>
            <w:pPr>
              <w:spacing w:line="312" w:lineRule="exact"/>
              <w:ind w:firstLine="0" w:firstLineChars="0"/>
              <w:jc w:val="center"/>
              <w:rPr>
                <w:color w:val="auto"/>
                <w:sz w:val="21"/>
                <w:szCs w:val="21"/>
              </w:rPr>
            </w:pPr>
            <w:r>
              <w:rPr>
                <w:color w:val="auto"/>
                <w:sz w:val="21"/>
                <w:szCs w:val="21"/>
              </w:rPr>
              <w:t>评价结论</w:t>
            </w:r>
          </w:p>
        </w:tc>
        <w:tc>
          <w:tcPr>
            <w:tcW w:w="3993" w:type="pct"/>
            <w:gridSpan w:val="11"/>
            <w:tcBorders>
              <w:tl2br w:val="nil"/>
              <w:tr2bl w:val="nil"/>
            </w:tcBorders>
          </w:tcPr>
          <w:p>
            <w:pPr>
              <w:spacing w:line="312" w:lineRule="exact"/>
              <w:ind w:firstLine="0" w:firstLineChars="0"/>
              <w:rPr>
                <w:color w:val="auto"/>
                <w:sz w:val="21"/>
                <w:szCs w:val="21"/>
              </w:rPr>
            </w:pPr>
            <w:r>
              <w:rPr>
                <w:color w:val="auto"/>
                <w:kern w:val="0"/>
                <w:sz w:val="21"/>
                <w:szCs w:val="21"/>
              </w:rPr>
              <w:t>可以接受</w:t>
            </w:r>
            <w:r>
              <w:rPr>
                <w:color w:val="auto"/>
                <w:kern w:val="0"/>
                <w:sz w:val="21"/>
                <w:szCs w:val="21"/>
              </w:rPr>
              <w:sym w:font="Wingdings" w:char="00FE"/>
            </w:r>
            <w:r>
              <w:rPr>
                <w:color w:val="auto"/>
                <w:sz w:val="21"/>
                <w:szCs w:val="21"/>
              </w:rPr>
              <w:t>；</w:t>
            </w:r>
            <w:r>
              <w:rPr>
                <w:color w:val="auto"/>
                <w:kern w:val="0"/>
                <w:sz w:val="21"/>
                <w:szCs w:val="21"/>
              </w:rPr>
              <w:t>不可以接受</w:t>
            </w:r>
            <w:r>
              <w:rPr>
                <w:color w:val="auto"/>
                <w:kern w:val="0"/>
                <w:sz w:val="21"/>
                <w:szCs w:val="21"/>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13"/>
            <w:tcBorders>
              <w:tl2br w:val="nil"/>
              <w:tr2bl w:val="nil"/>
            </w:tcBorders>
            <w:vAlign w:val="center"/>
          </w:tcPr>
          <w:p>
            <w:pPr>
              <w:widowControl/>
              <w:spacing w:line="312" w:lineRule="exact"/>
              <w:ind w:firstLine="0" w:firstLineChars="0"/>
              <w:jc w:val="center"/>
              <w:rPr>
                <w:color w:val="auto"/>
                <w:sz w:val="21"/>
                <w:szCs w:val="21"/>
              </w:rPr>
            </w:pPr>
            <w:r>
              <w:rPr>
                <w:color w:val="auto"/>
                <w:sz w:val="21"/>
                <w:szCs w:val="21"/>
              </w:rPr>
              <w:t>注：</w:t>
            </w:r>
            <w:r>
              <w:rPr>
                <w:color w:val="auto"/>
                <w:kern w:val="0"/>
                <w:sz w:val="21"/>
                <w:szCs w:val="21"/>
              </w:rPr>
              <w:t>“口”为勾选项，可√;“（ ）”为内容填写项；“备注”为其他补充内容</w:t>
            </w:r>
          </w:p>
        </w:tc>
      </w:tr>
    </w:tbl>
    <w:p>
      <w:pPr>
        <w:pStyle w:val="14"/>
        <w:spacing w:after="0"/>
        <w:ind w:firstLine="480"/>
        <w:rPr>
          <w:color w:val="auto"/>
        </w:rPr>
        <w:sectPr>
          <w:headerReference r:id="rId41" w:type="default"/>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pPr>
        <w:pStyle w:val="8"/>
        <w:spacing w:before="0" w:beforeLines="0" w:after="0" w:afterLines="0"/>
        <w:rPr>
          <w:color w:val="auto"/>
        </w:rPr>
      </w:pPr>
      <w:bookmarkStart w:id="282" w:name="_Toc20560"/>
      <w:bookmarkStart w:id="283" w:name="_Toc6911"/>
      <w:r>
        <w:rPr>
          <w:rFonts w:hint="eastAsia"/>
          <w:color w:val="auto"/>
        </w:rPr>
        <w:t>5</w:t>
      </w:r>
      <w:r>
        <w:rPr>
          <w:color w:val="auto"/>
        </w:rPr>
        <w:t>.3 地下水环境影响</w:t>
      </w:r>
      <w:bookmarkEnd w:id="282"/>
      <w:bookmarkEnd w:id="283"/>
    </w:p>
    <w:p>
      <w:pPr>
        <w:pStyle w:val="9"/>
        <w:spacing w:before="0" w:beforeLines="0" w:after="0" w:afterLines="0"/>
        <w:rPr>
          <w:color w:val="auto"/>
        </w:rPr>
      </w:pPr>
      <w:r>
        <w:rPr>
          <w:rFonts w:hint="eastAsia"/>
          <w:color w:val="auto"/>
        </w:rPr>
        <w:t>5</w:t>
      </w:r>
      <w:r>
        <w:rPr>
          <w:color w:val="auto"/>
        </w:rPr>
        <w:t>.3.1 地下水环境影响等级判定</w:t>
      </w:r>
    </w:p>
    <w:p>
      <w:pPr>
        <w:ind w:firstLine="480"/>
        <w:rPr>
          <w:color w:val="auto"/>
        </w:rPr>
      </w:pPr>
      <w:r>
        <w:rPr>
          <w:color w:val="auto"/>
        </w:rPr>
        <w:t>依据《环境影响评价技术导则 地下水环境》（HJ/610-2016），评价工作等级划分依据见下表。</w:t>
      </w:r>
    </w:p>
    <w:p>
      <w:pPr>
        <w:pStyle w:val="48"/>
        <w:spacing w:line="360" w:lineRule="auto"/>
        <w:rPr>
          <w:b/>
          <w:color w:val="auto"/>
        </w:rPr>
      </w:pPr>
      <w:r>
        <w:rPr>
          <w:b/>
          <w:color w:val="auto"/>
        </w:rPr>
        <w:t>表</w:t>
      </w:r>
      <w:r>
        <w:rPr>
          <w:rFonts w:hint="eastAsia"/>
          <w:b/>
          <w:color w:val="auto"/>
        </w:rPr>
        <w:t>5</w:t>
      </w:r>
      <w:r>
        <w:rPr>
          <w:b/>
          <w:color w:val="auto"/>
        </w:rPr>
        <w:t>.3-1  地下水评价工作等级分级表</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22"/>
        <w:gridCol w:w="2320"/>
        <w:gridCol w:w="2324"/>
        <w:gridCol w:w="23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pPr>
              <w:pStyle w:val="47"/>
              <w:rPr>
                <w:b/>
                <w:color w:val="auto"/>
              </w:rPr>
            </w:pPr>
            <w:r>
              <w:rPr>
                <w:b/>
                <w:color w:val="auto"/>
              </w:rPr>
              <mc:AlternateContent>
                <mc:Choice Requires="wps">
                  <w:drawing>
                    <wp:anchor distT="0" distB="0" distL="114300" distR="114300" simplePos="0" relativeHeight="251702272" behindDoc="0" locked="0" layoutInCell="1" allowOverlap="1">
                      <wp:simplePos x="0" y="0"/>
                      <wp:positionH relativeFrom="column">
                        <wp:posOffset>-71755</wp:posOffset>
                      </wp:positionH>
                      <wp:positionV relativeFrom="paragraph">
                        <wp:posOffset>13335</wp:posOffset>
                      </wp:positionV>
                      <wp:extent cx="1440180" cy="363855"/>
                      <wp:effectExtent l="1270" t="4445" r="6350" b="12700"/>
                      <wp:wrapNone/>
                      <wp:docPr id="108" name="直接连接符 108"/>
                      <wp:cNvGraphicFramePr/>
                      <a:graphic xmlns:a="http://schemas.openxmlformats.org/drawingml/2006/main">
                        <a:graphicData uri="http://schemas.microsoft.com/office/word/2010/wordprocessingShape">
                          <wps:wsp>
                            <wps:cNvCnPr/>
                            <wps:spPr>
                              <a:xfrm>
                                <a:off x="0" y="0"/>
                                <a:ext cx="1440180" cy="363855"/>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5.65pt;margin-top:1.05pt;height:28.65pt;width:113.4pt;z-index:251702272;mso-width-relative:page;mso-height-relative:page;" filled="f" stroked="t" coordsize="21600,21600" o:gfxdata="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Ebh7S1wAAAAgBAAAPAAAAAAAAAAEAIAAAACIAAABkcnMvZG93bnJldi54bWxQSwECFAAU&#10;AAAACACHTuJAZSMwg/IBAADhAwAADgAAAAAAAAABACAAAAAmAQAAZHJzL2Uyb0RvYy54bWxQSwUG&#10;AAAAAAYABgBZAQAAigUAAAAA&#10;">
                      <v:fill on="f" focussize="0,0"/>
                      <v:stroke color="#000000" joinstyle="round"/>
                      <v:imagedata o:title=""/>
                      <o:lock v:ext="edit" aspectratio="f"/>
                    </v:line>
                  </w:pict>
                </mc:Fallback>
              </mc:AlternateContent>
            </w:r>
            <w:r>
              <w:rPr>
                <w:b/>
                <w:color w:val="auto"/>
              </w:rPr>
              <w:t xml:space="preserve">          项目类别</w:t>
            </w:r>
          </w:p>
          <w:p>
            <w:pPr>
              <w:pStyle w:val="47"/>
              <w:jc w:val="both"/>
              <w:rPr>
                <w:b/>
                <w:color w:val="auto"/>
              </w:rPr>
            </w:pPr>
            <w:r>
              <w:rPr>
                <w:b/>
                <w:color w:val="auto"/>
              </w:rPr>
              <w:t>环境敏感程度</w:t>
            </w:r>
          </w:p>
        </w:tc>
        <w:tc>
          <w:tcPr>
            <w:tcW w:w="1249" w:type="pct"/>
            <w:vAlign w:val="center"/>
          </w:tcPr>
          <w:p>
            <w:pPr>
              <w:pStyle w:val="47"/>
              <w:rPr>
                <w:b/>
                <w:color w:val="auto"/>
              </w:rPr>
            </w:pPr>
            <w:r>
              <w:rPr>
                <w:b/>
                <w:color w:val="auto"/>
              </w:rPr>
              <w:fldChar w:fldCharType="begin"/>
            </w:r>
            <w:r>
              <w:rPr>
                <w:b/>
                <w:color w:val="auto"/>
              </w:rPr>
              <w:instrText xml:space="preserve"> = 1 \* ROMAN \* MERGEFORMAT </w:instrText>
            </w:r>
            <w:r>
              <w:rPr>
                <w:b/>
                <w:color w:val="auto"/>
              </w:rPr>
              <w:fldChar w:fldCharType="separate"/>
            </w:r>
            <w:r>
              <w:rPr>
                <w:b/>
                <w:color w:val="auto"/>
              </w:rPr>
              <w:t>I</w:t>
            </w:r>
            <w:r>
              <w:rPr>
                <w:b/>
                <w:color w:val="auto"/>
              </w:rPr>
              <w:fldChar w:fldCharType="end"/>
            </w:r>
            <w:r>
              <w:rPr>
                <w:b/>
                <w:color w:val="auto"/>
              </w:rPr>
              <w:t>类项目</w:t>
            </w:r>
          </w:p>
        </w:tc>
        <w:tc>
          <w:tcPr>
            <w:tcW w:w="1251" w:type="pct"/>
            <w:vAlign w:val="center"/>
          </w:tcPr>
          <w:p>
            <w:pPr>
              <w:pStyle w:val="47"/>
              <w:rPr>
                <w:b/>
                <w:color w:val="auto"/>
              </w:rPr>
            </w:pPr>
            <w:r>
              <w:rPr>
                <w:b/>
                <w:color w:val="auto"/>
              </w:rPr>
              <w:fldChar w:fldCharType="begin"/>
            </w:r>
            <w:r>
              <w:rPr>
                <w:b/>
                <w:color w:val="auto"/>
              </w:rPr>
              <w:instrText xml:space="preserve"> = 2 \* ROMAN \* MERGEFORMAT </w:instrText>
            </w:r>
            <w:r>
              <w:rPr>
                <w:b/>
                <w:color w:val="auto"/>
              </w:rPr>
              <w:fldChar w:fldCharType="separate"/>
            </w:r>
            <w:r>
              <w:rPr>
                <w:b/>
                <w:color w:val="auto"/>
              </w:rPr>
              <w:t>II</w:t>
            </w:r>
            <w:r>
              <w:rPr>
                <w:b/>
                <w:color w:val="auto"/>
              </w:rPr>
              <w:fldChar w:fldCharType="end"/>
            </w:r>
            <w:r>
              <w:rPr>
                <w:b/>
                <w:color w:val="auto"/>
              </w:rPr>
              <w:t>类项目</w:t>
            </w:r>
          </w:p>
        </w:tc>
        <w:tc>
          <w:tcPr>
            <w:tcW w:w="1250" w:type="pct"/>
            <w:vAlign w:val="center"/>
          </w:tcPr>
          <w:p>
            <w:pPr>
              <w:pStyle w:val="47"/>
              <w:rPr>
                <w:b/>
                <w:color w:val="auto"/>
              </w:rPr>
            </w:pPr>
            <w:r>
              <w:rPr>
                <w:b/>
                <w:color w:val="auto"/>
              </w:rPr>
              <w:fldChar w:fldCharType="begin"/>
            </w:r>
            <w:r>
              <w:rPr>
                <w:b/>
                <w:color w:val="auto"/>
              </w:rPr>
              <w:instrText xml:space="preserve"> = 3 \* ROMAN \* MERGEFORMAT </w:instrText>
            </w:r>
            <w:r>
              <w:rPr>
                <w:b/>
                <w:color w:val="auto"/>
              </w:rPr>
              <w:fldChar w:fldCharType="separate"/>
            </w:r>
            <w:r>
              <w:rPr>
                <w:b/>
                <w:color w:val="auto"/>
              </w:rPr>
              <w:t>III</w:t>
            </w:r>
            <w:r>
              <w:rPr>
                <w:b/>
                <w:color w:val="auto"/>
              </w:rPr>
              <w:fldChar w:fldCharType="end"/>
            </w:r>
            <w:r>
              <w:rPr>
                <w:b/>
                <w:color w:val="auto"/>
              </w:rPr>
              <w:t>类项目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pPr>
              <w:pStyle w:val="47"/>
              <w:rPr>
                <w:color w:val="auto"/>
              </w:rPr>
            </w:pPr>
            <w:r>
              <w:rPr>
                <w:color w:val="auto"/>
              </w:rPr>
              <w:t>敏感</w:t>
            </w:r>
          </w:p>
        </w:tc>
        <w:tc>
          <w:tcPr>
            <w:tcW w:w="1249" w:type="pct"/>
            <w:vAlign w:val="center"/>
          </w:tcPr>
          <w:p>
            <w:pPr>
              <w:pStyle w:val="47"/>
              <w:rPr>
                <w:color w:val="auto"/>
              </w:rPr>
            </w:pPr>
            <w:r>
              <w:rPr>
                <w:color w:val="auto"/>
              </w:rPr>
              <w:t>一</w:t>
            </w:r>
          </w:p>
        </w:tc>
        <w:tc>
          <w:tcPr>
            <w:tcW w:w="1251" w:type="pct"/>
            <w:vAlign w:val="center"/>
          </w:tcPr>
          <w:p>
            <w:pPr>
              <w:pStyle w:val="47"/>
              <w:rPr>
                <w:color w:val="auto"/>
              </w:rPr>
            </w:pPr>
            <w:r>
              <w:rPr>
                <w:color w:val="auto"/>
              </w:rPr>
              <w:t>一</w:t>
            </w:r>
          </w:p>
        </w:tc>
        <w:tc>
          <w:tcPr>
            <w:tcW w:w="1250" w:type="pct"/>
            <w:vAlign w:val="center"/>
          </w:tcPr>
          <w:p>
            <w:pPr>
              <w:pStyle w:val="47"/>
              <w:rPr>
                <w:color w:val="auto"/>
              </w:rPr>
            </w:pPr>
            <w:r>
              <w:rPr>
                <w:color w:val="auto"/>
              </w:rPr>
              <w:t>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pPr>
              <w:pStyle w:val="47"/>
              <w:rPr>
                <w:color w:val="auto"/>
              </w:rPr>
            </w:pPr>
            <w:r>
              <w:rPr>
                <w:color w:val="auto"/>
              </w:rPr>
              <w:t>较敏感</w:t>
            </w:r>
          </w:p>
        </w:tc>
        <w:tc>
          <w:tcPr>
            <w:tcW w:w="1249" w:type="pct"/>
            <w:vAlign w:val="center"/>
          </w:tcPr>
          <w:p>
            <w:pPr>
              <w:pStyle w:val="47"/>
              <w:rPr>
                <w:color w:val="auto"/>
              </w:rPr>
            </w:pPr>
            <w:r>
              <w:rPr>
                <w:color w:val="auto"/>
              </w:rPr>
              <w:t>一</w:t>
            </w:r>
          </w:p>
        </w:tc>
        <w:tc>
          <w:tcPr>
            <w:tcW w:w="1251" w:type="pct"/>
            <w:vAlign w:val="center"/>
          </w:tcPr>
          <w:p>
            <w:pPr>
              <w:pStyle w:val="47"/>
              <w:rPr>
                <w:color w:val="auto"/>
              </w:rPr>
            </w:pPr>
            <w:r>
              <w:rPr>
                <w:color w:val="auto"/>
              </w:rPr>
              <w:t>二</w:t>
            </w:r>
          </w:p>
        </w:tc>
        <w:tc>
          <w:tcPr>
            <w:tcW w:w="1250" w:type="pct"/>
            <w:vAlign w:val="center"/>
          </w:tcPr>
          <w:p>
            <w:pPr>
              <w:pStyle w:val="47"/>
              <w:rPr>
                <w:color w:val="auto"/>
              </w:rPr>
            </w:pPr>
            <w:r>
              <w:rPr>
                <w:color w:val="auto"/>
              </w:rPr>
              <w:t>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50" w:type="pct"/>
            <w:vAlign w:val="center"/>
          </w:tcPr>
          <w:p>
            <w:pPr>
              <w:pStyle w:val="47"/>
              <w:rPr>
                <w:color w:val="auto"/>
              </w:rPr>
            </w:pPr>
            <w:r>
              <w:rPr>
                <w:color w:val="auto"/>
              </w:rPr>
              <w:t>不敏感</w:t>
            </w:r>
          </w:p>
        </w:tc>
        <w:tc>
          <w:tcPr>
            <w:tcW w:w="1249" w:type="pct"/>
            <w:vAlign w:val="center"/>
          </w:tcPr>
          <w:p>
            <w:pPr>
              <w:pStyle w:val="47"/>
              <w:rPr>
                <w:color w:val="auto"/>
              </w:rPr>
            </w:pPr>
            <w:r>
              <w:rPr>
                <w:color w:val="auto"/>
              </w:rPr>
              <w:t>二</w:t>
            </w:r>
          </w:p>
        </w:tc>
        <w:tc>
          <w:tcPr>
            <w:tcW w:w="1251" w:type="pct"/>
            <w:vAlign w:val="center"/>
          </w:tcPr>
          <w:p>
            <w:pPr>
              <w:pStyle w:val="47"/>
              <w:rPr>
                <w:color w:val="auto"/>
              </w:rPr>
            </w:pPr>
            <w:r>
              <w:rPr>
                <w:color w:val="auto"/>
              </w:rPr>
              <w:t>三</w:t>
            </w:r>
          </w:p>
        </w:tc>
        <w:tc>
          <w:tcPr>
            <w:tcW w:w="1250" w:type="pct"/>
            <w:vAlign w:val="center"/>
          </w:tcPr>
          <w:p>
            <w:pPr>
              <w:pStyle w:val="47"/>
              <w:rPr>
                <w:color w:val="auto"/>
              </w:rPr>
            </w:pPr>
            <w:r>
              <w:rPr>
                <w:color w:val="auto"/>
              </w:rPr>
              <w:t>三</w:t>
            </w:r>
          </w:p>
        </w:tc>
      </w:tr>
    </w:tbl>
    <w:p>
      <w:pPr>
        <w:pStyle w:val="48"/>
        <w:rPr>
          <w:b/>
          <w:color w:val="auto"/>
        </w:rPr>
      </w:pPr>
      <w:r>
        <w:rPr>
          <w:b/>
          <w:color w:val="auto"/>
        </w:rPr>
        <w:t>表</w:t>
      </w:r>
      <w:r>
        <w:rPr>
          <w:rFonts w:hint="eastAsia"/>
          <w:b/>
          <w:color w:val="auto"/>
        </w:rPr>
        <w:t>5</w:t>
      </w:r>
      <w:r>
        <w:rPr>
          <w:b/>
          <w:color w:val="auto"/>
        </w:rPr>
        <w:t>.3-2  项目地下水评价等级确定表</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2161"/>
        <w:gridCol w:w="5728"/>
        <w:gridCol w:w="118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191" w:type="pct"/>
            <w:tcMar>
              <w:left w:w="0" w:type="dxa"/>
              <w:right w:w="0" w:type="dxa"/>
            </w:tcMar>
            <w:vAlign w:val="center"/>
          </w:tcPr>
          <w:p>
            <w:pPr>
              <w:pStyle w:val="47"/>
              <w:rPr>
                <w:b/>
                <w:color w:val="auto"/>
              </w:rPr>
            </w:pPr>
            <w:r>
              <w:rPr>
                <w:b/>
                <w:color w:val="auto"/>
              </w:rPr>
              <w:t>考虑因素</w:t>
            </w:r>
          </w:p>
        </w:tc>
        <w:tc>
          <w:tcPr>
            <w:tcW w:w="3157" w:type="pct"/>
            <w:tcMar>
              <w:left w:w="0" w:type="dxa"/>
              <w:right w:w="0" w:type="dxa"/>
            </w:tcMar>
            <w:vAlign w:val="center"/>
          </w:tcPr>
          <w:p>
            <w:pPr>
              <w:pStyle w:val="47"/>
              <w:rPr>
                <w:b/>
                <w:color w:val="auto"/>
              </w:rPr>
            </w:pPr>
            <w:r>
              <w:rPr>
                <w:b/>
                <w:color w:val="auto"/>
              </w:rPr>
              <w:t>本项目情况</w:t>
            </w:r>
          </w:p>
        </w:tc>
        <w:tc>
          <w:tcPr>
            <w:tcW w:w="652" w:type="pct"/>
            <w:tcMar>
              <w:left w:w="0" w:type="dxa"/>
              <w:right w:w="0" w:type="dxa"/>
            </w:tcMar>
            <w:vAlign w:val="center"/>
          </w:tcPr>
          <w:p>
            <w:pPr>
              <w:pStyle w:val="47"/>
              <w:rPr>
                <w:b/>
                <w:color w:val="auto"/>
              </w:rPr>
            </w:pPr>
            <w:r>
              <w:rPr>
                <w:b/>
                <w:color w:val="auto"/>
              </w:rPr>
              <w:t>评价等级</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191" w:type="pct"/>
            <w:tcMar>
              <w:left w:w="0" w:type="dxa"/>
              <w:right w:w="0" w:type="dxa"/>
            </w:tcMar>
            <w:vAlign w:val="center"/>
          </w:tcPr>
          <w:p>
            <w:pPr>
              <w:pStyle w:val="47"/>
              <w:rPr>
                <w:color w:val="auto"/>
              </w:rPr>
            </w:pPr>
            <w:r>
              <w:rPr>
                <w:color w:val="auto"/>
              </w:rPr>
              <w:t>项目类别</w:t>
            </w:r>
          </w:p>
        </w:tc>
        <w:tc>
          <w:tcPr>
            <w:tcW w:w="3157" w:type="pct"/>
            <w:tcMar>
              <w:left w:w="0" w:type="dxa"/>
              <w:right w:w="0" w:type="dxa"/>
            </w:tcMar>
            <w:vAlign w:val="center"/>
          </w:tcPr>
          <w:p>
            <w:pPr>
              <w:pStyle w:val="47"/>
              <w:rPr>
                <w:color w:val="auto"/>
              </w:rPr>
            </w:pPr>
            <w:r>
              <w:rPr>
                <w:color w:val="auto"/>
              </w:rPr>
              <w:t>项目行业类别属于“</w:t>
            </w:r>
            <w:r>
              <w:rPr>
                <w:rFonts w:hint="eastAsia"/>
                <w:color w:val="auto"/>
              </w:rPr>
              <w:t>O纺织化纤中的119化学纤维制造业</w:t>
            </w:r>
            <w:r>
              <w:rPr>
                <w:color w:val="auto"/>
              </w:rPr>
              <w:t>”，环评报告类别为“报告书”，项目属于</w:t>
            </w:r>
            <w:r>
              <w:rPr>
                <w:color w:val="auto"/>
              </w:rPr>
              <w:fldChar w:fldCharType="begin"/>
            </w:r>
            <w:r>
              <w:rPr>
                <w:color w:val="auto"/>
              </w:rPr>
              <w:instrText xml:space="preserve"> = 1 \* ROMAN \* MERGEFORMAT </w:instrText>
            </w:r>
            <w:r>
              <w:rPr>
                <w:color w:val="auto"/>
              </w:rPr>
              <w:fldChar w:fldCharType="separate"/>
            </w:r>
            <w:r>
              <w:rPr>
                <w:color w:val="auto"/>
              </w:rPr>
              <w:t>I</w:t>
            </w:r>
            <w:r>
              <w:rPr>
                <w:color w:val="auto"/>
              </w:rPr>
              <w:fldChar w:fldCharType="end"/>
            </w:r>
            <w:r>
              <w:rPr>
                <w:color w:val="auto"/>
              </w:rPr>
              <w:fldChar w:fldCharType="begin"/>
            </w:r>
            <w:r>
              <w:rPr>
                <w:color w:val="auto"/>
              </w:rPr>
              <w:instrText xml:space="preserve"> = 1 \* ROMAN \* MERGEFORMAT </w:instrText>
            </w:r>
            <w:r>
              <w:rPr>
                <w:color w:val="auto"/>
              </w:rPr>
              <w:fldChar w:fldCharType="separate"/>
            </w:r>
            <w:r>
              <w:rPr>
                <w:color w:val="auto"/>
              </w:rPr>
              <w:t>I</w:t>
            </w:r>
            <w:r>
              <w:rPr>
                <w:color w:val="auto"/>
              </w:rPr>
              <w:fldChar w:fldCharType="end"/>
            </w:r>
            <w:r>
              <w:rPr>
                <w:color w:val="auto"/>
              </w:rPr>
              <w:t>类项目</w:t>
            </w:r>
          </w:p>
        </w:tc>
        <w:tc>
          <w:tcPr>
            <w:tcW w:w="652" w:type="pct"/>
            <w:vMerge w:val="restart"/>
            <w:tcMar>
              <w:left w:w="0" w:type="dxa"/>
              <w:right w:w="0" w:type="dxa"/>
            </w:tcMar>
            <w:vAlign w:val="center"/>
          </w:tcPr>
          <w:p>
            <w:pPr>
              <w:pStyle w:val="47"/>
              <w:rPr>
                <w:color w:val="auto"/>
              </w:rPr>
            </w:pPr>
            <w:r>
              <w:rPr>
                <w:rFonts w:hint="eastAsia"/>
                <w:color w:val="auto"/>
              </w:rPr>
              <w:t>三</w:t>
            </w:r>
            <w:r>
              <w:rPr>
                <w:color w:val="auto"/>
              </w:rPr>
              <w:t>级</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191" w:type="pct"/>
            <w:tcMar>
              <w:left w:w="0" w:type="dxa"/>
              <w:right w:w="0" w:type="dxa"/>
            </w:tcMar>
            <w:vAlign w:val="center"/>
          </w:tcPr>
          <w:p>
            <w:pPr>
              <w:pStyle w:val="47"/>
              <w:rPr>
                <w:color w:val="auto"/>
              </w:rPr>
            </w:pPr>
            <w:r>
              <w:rPr>
                <w:color w:val="auto"/>
              </w:rPr>
              <w:t>地下水环境敏感程度</w:t>
            </w:r>
          </w:p>
        </w:tc>
        <w:tc>
          <w:tcPr>
            <w:tcW w:w="3157" w:type="pct"/>
            <w:tcMar>
              <w:left w:w="0" w:type="dxa"/>
              <w:right w:w="0" w:type="dxa"/>
            </w:tcMar>
            <w:vAlign w:val="center"/>
          </w:tcPr>
          <w:p>
            <w:pPr>
              <w:pStyle w:val="47"/>
              <w:rPr>
                <w:color w:val="auto"/>
              </w:rPr>
            </w:pPr>
            <w:r>
              <w:rPr>
                <w:color w:val="auto"/>
              </w:rPr>
              <w:t>该区域地下水不敏感</w:t>
            </w:r>
          </w:p>
        </w:tc>
        <w:tc>
          <w:tcPr>
            <w:tcW w:w="652" w:type="pct"/>
            <w:vMerge w:val="continue"/>
            <w:tcMar>
              <w:left w:w="0" w:type="dxa"/>
              <w:right w:w="0" w:type="dxa"/>
            </w:tcMar>
            <w:vAlign w:val="center"/>
          </w:tcPr>
          <w:p>
            <w:pPr>
              <w:pStyle w:val="47"/>
              <w:rPr>
                <w:color w:val="auto"/>
              </w:rPr>
            </w:pPr>
          </w:p>
        </w:tc>
      </w:tr>
    </w:tbl>
    <w:p>
      <w:pPr>
        <w:pStyle w:val="2"/>
        <w:spacing w:after="0"/>
        <w:ind w:firstLine="480"/>
        <w:rPr>
          <w:color w:val="auto"/>
        </w:rPr>
      </w:pPr>
      <w:r>
        <w:rPr>
          <w:color w:val="auto"/>
        </w:rPr>
        <w:t>依据《环境影响评价技术导则 地下水环境》（HJ610-2016），本项目地下水评价等级确定为</w:t>
      </w:r>
      <w:r>
        <w:rPr>
          <w:rFonts w:hint="eastAsia"/>
          <w:color w:val="auto"/>
        </w:rPr>
        <w:t>三</w:t>
      </w:r>
      <w:r>
        <w:rPr>
          <w:color w:val="auto"/>
        </w:rPr>
        <w:t>级。</w:t>
      </w:r>
    </w:p>
    <w:p>
      <w:pPr>
        <w:pStyle w:val="9"/>
        <w:tabs>
          <w:tab w:val="left" w:pos="6685"/>
        </w:tabs>
        <w:spacing w:before="0" w:beforeLines="0" w:after="0" w:afterLines="0"/>
        <w:rPr>
          <w:color w:val="auto"/>
        </w:rPr>
      </w:pPr>
      <w:bookmarkStart w:id="284" w:name="_Toc878"/>
      <w:bookmarkStart w:id="285" w:name="_Toc13032"/>
      <w:bookmarkStart w:id="286" w:name="_Toc20801"/>
      <w:bookmarkStart w:id="287" w:name="_Toc27371"/>
      <w:bookmarkStart w:id="288" w:name="_Toc15150"/>
      <w:bookmarkStart w:id="289" w:name="_Toc6403"/>
      <w:bookmarkStart w:id="290" w:name="_Toc7770"/>
      <w:bookmarkStart w:id="291" w:name="_Toc32446"/>
      <w:bookmarkStart w:id="292" w:name="_Toc12363"/>
      <w:bookmarkStart w:id="293" w:name="_Toc20505"/>
      <w:bookmarkStart w:id="294" w:name="_Toc29135"/>
      <w:bookmarkStart w:id="295" w:name="_Toc2739"/>
      <w:bookmarkStart w:id="296" w:name="_Toc2592"/>
      <w:bookmarkStart w:id="297" w:name="_Toc24449"/>
      <w:bookmarkStart w:id="298" w:name="_Toc22631"/>
      <w:bookmarkStart w:id="299" w:name="_Toc22816"/>
      <w:bookmarkStart w:id="300" w:name="_Toc30407"/>
      <w:bookmarkStart w:id="301" w:name="_Toc1261"/>
      <w:bookmarkStart w:id="302" w:name="_Toc11794"/>
      <w:r>
        <w:rPr>
          <w:rFonts w:hint="eastAsia"/>
          <w:color w:val="auto"/>
        </w:rPr>
        <w:t>5.3.2地下水环境现状调查与评价</w:t>
      </w:r>
      <w:bookmarkEnd w:id="284"/>
    </w:p>
    <w:p>
      <w:pPr>
        <w:pStyle w:val="10"/>
        <w:ind w:firstLine="482"/>
        <w:rPr>
          <w:color w:val="auto"/>
        </w:rPr>
      </w:pPr>
      <w:r>
        <w:rPr>
          <w:rFonts w:hint="eastAsia"/>
          <w:color w:val="auto"/>
        </w:rPr>
        <w:t>5.3.2.1调查</w:t>
      </w:r>
      <w:r>
        <w:rPr>
          <w:color w:val="auto"/>
        </w:rPr>
        <w:t>评价范围</w:t>
      </w:r>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r>
        <w:rPr>
          <w:color w:val="auto"/>
        </w:rPr>
        <w:t>与保护目标</w:t>
      </w:r>
    </w:p>
    <w:p>
      <w:pPr>
        <w:ind w:firstLine="482"/>
        <w:rPr>
          <w:b/>
          <w:bCs/>
          <w:color w:val="auto"/>
        </w:rPr>
      </w:pPr>
      <w:r>
        <w:rPr>
          <w:rFonts w:hint="eastAsia"/>
          <w:b/>
          <w:bCs/>
          <w:color w:val="auto"/>
        </w:rPr>
        <w:t>1、调查</w:t>
      </w:r>
      <w:r>
        <w:rPr>
          <w:b/>
          <w:bCs/>
          <w:color w:val="auto"/>
        </w:rPr>
        <w:t>评价范围</w:t>
      </w:r>
    </w:p>
    <w:p>
      <w:pPr>
        <w:ind w:firstLine="480"/>
        <w:rPr>
          <w:color w:val="auto"/>
        </w:rPr>
      </w:pPr>
      <w:r>
        <w:rPr>
          <w:color w:val="auto"/>
        </w:rPr>
        <w:t>依据《环境影响评价技术导则 地下水环境》（HJ610-201</w:t>
      </w:r>
      <w:r>
        <w:rPr>
          <w:rFonts w:hint="eastAsia"/>
          <w:color w:val="auto"/>
        </w:rPr>
        <w:t>6</w:t>
      </w:r>
      <w:r>
        <w:rPr>
          <w:color w:val="auto"/>
        </w:rPr>
        <w:t>）要求的地下水</w:t>
      </w:r>
    </w:p>
    <w:p>
      <w:pPr>
        <w:ind w:firstLine="0" w:firstLineChars="0"/>
        <w:rPr>
          <w:color w:val="auto"/>
        </w:rPr>
      </w:pPr>
      <w:r>
        <w:rPr>
          <w:color w:val="auto"/>
        </w:rPr>
        <w:t>环境现状调查与评价工作范围以能够说明地下水环境的基本状况为原则，并应能</w:t>
      </w:r>
    </w:p>
    <w:p>
      <w:pPr>
        <w:ind w:firstLine="480"/>
        <w:rPr>
          <w:color w:val="auto"/>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r>
        <w:rPr>
          <w:color w:val="auto"/>
        </w:rPr>
        <w:t>满足地下水环境影响预测和评价的要求。据</w:t>
      </w:r>
      <w:r>
        <w:rPr>
          <w:rFonts w:hint="eastAsia"/>
          <w:color w:val="auto"/>
        </w:rPr>
        <w:t>“</w:t>
      </w:r>
      <w:r>
        <w:rPr>
          <w:color w:val="auto"/>
        </w:rPr>
        <w:t>地下水环境现状调查评价范围参照表</w:t>
      </w:r>
      <w:r>
        <w:rPr>
          <w:rFonts w:hint="eastAsia"/>
          <w:color w:val="auto"/>
        </w:rPr>
        <w:t>”</w:t>
      </w:r>
      <w:r>
        <w:rPr>
          <w:color w:val="auto"/>
        </w:rPr>
        <w:t>，对项目地下水环境现状调查与评价范围进行了确定：根据项目区地下水流向总体由</w:t>
      </w:r>
      <w:r>
        <w:rPr>
          <w:rFonts w:hint="eastAsia"/>
          <w:color w:val="auto"/>
        </w:rPr>
        <w:t>东</w:t>
      </w:r>
      <w:r>
        <w:rPr>
          <w:color w:val="auto"/>
        </w:rPr>
        <w:t>南向</w:t>
      </w:r>
      <w:r>
        <w:rPr>
          <w:rFonts w:hint="eastAsia"/>
          <w:color w:val="auto"/>
        </w:rPr>
        <w:t>西</w:t>
      </w:r>
      <w:r>
        <w:rPr>
          <w:color w:val="auto"/>
        </w:rPr>
        <w:t>北径流的特点，评价区确定</w:t>
      </w:r>
      <w:r>
        <w:rPr>
          <w:rFonts w:hint="eastAsia"/>
          <w:color w:val="auto"/>
        </w:rPr>
        <w:t>厂址周围6</w:t>
      </w:r>
      <w:r>
        <w:rPr>
          <w:color w:val="auto"/>
        </w:rPr>
        <w:t>km</w:t>
      </w:r>
      <w:r>
        <w:rPr>
          <w:color w:val="auto"/>
          <w:vertAlign w:val="superscript"/>
        </w:rPr>
        <w:t>2</w:t>
      </w:r>
      <w:r>
        <w:rPr>
          <w:color w:val="auto"/>
        </w:rPr>
        <w:t>的矩形为评价范围，满足导则规定的评价要求。地下水评价范围具体见图</w:t>
      </w:r>
      <w:r>
        <w:rPr>
          <w:rFonts w:hint="eastAsia"/>
          <w:color w:val="auto"/>
        </w:rPr>
        <w:t>5.3-1。</w:t>
      </w:r>
    </w:p>
    <w:p>
      <w:pPr>
        <w:pStyle w:val="14"/>
        <w:spacing w:after="0"/>
        <w:ind w:firstLine="0" w:firstLineChars="0"/>
        <w:jc w:val="center"/>
        <w:rPr>
          <w:rFonts w:eastAsia="黑体"/>
          <w:color w:val="auto"/>
          <w:sz w:val="21"/>
          <w:szCs w:val="21"/>
        </w:rPr>
        <w:sectPr>
          <w:headerReference r:id="rId42" w:type="default"/>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eastAsia="黑体"/>
          <w:b/>
          <w:bCs/>
          <w:color w:val="auto"/>
          <w:szCs w:val="24"/>
        </w:rPr>
        <w:drawing>
          <wp:anchor distT="0" distB="0" distL="114300" distR="114300" simplePos="0" relativeHeight="251707392" behindDoc="0" locked="0" layoutInCell="1" allowOverlap="1">
            <wp:simplePos x="0" y="0"/>
            <wp:positionH relativeFrom="column">
              <wp:posOffset>7172960</wp:posOffset>
            </wp:positionH>
            <wp:positionV relativeFrom="paragraph">
              <wp:posOffset>103505</wp:posOffset>
            </wp:positionV>
            <wp:extent cx="775970" cy="807720"/>
            <wp:effectExtent l="0" t="0" r="5080" b="11430"/>
            <wp:wrapNone/>
            <wp:docPr id="109" name="图片 109" descr="9231966187c51f82577e5b8e845b6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9231966187c51f82577e5b8e845b6da"/>
                    <pic:cNvPicPr>
                      <a:picLocks noChangeAspect="1"/>
                    </pic:cNvPicPr>
                  </pic:nvPicPr>
                  <pic:blipFill>
                    <a:blip r:embed="rId54"/>
                    <a:stretch>
                      <a:fillRect/>
                    </a:stretch>
                  </pic:blipFill>
                  <pic:spPr>
                    <a:xfrm>
                      <a:off x="0" y="0"/>
                      <a:ext cx="775970" cy="807720"/>
                    </a:xfrm>
                    <a:prstGeom prst="rect">
                      <a:avLst/>
                    </a:prstGeom>
                  </pic:spPr>
                </pic:pic>
              </a:graphicData>
            </a:graphic>
          </wp:anchor>
        </w:drawing>
      </w:r>
      <w:r>
        <w:rPr>
          <w:color w:val="auto"/>
          <w:sz w:val="21"/>
        </w:rPr>
        <mc:AlternateContent>
          <mc:Choice Requires="wps">
            <w:drawing>
              <wp:anchor distT="0" distB="0" distL="114300" distR="114300" simplePos="0" relativeHeight="251706368" behindDoc="0" locked="0" layoutInCell="1" allowOverlap="1">
                <wp:simplePos x="0" y="0"/>
                <wp:positionH relativeFrom="column">
                  <wp:posOffset>3459480</wp:posOffset>
                </wp:positionH>
                <wp:positionV relativeFrom="paragraph">
                  <wp:posOffset>1040765</wp:posOffset>
                </wp:positionV>
                <wp:extent cx="802005" cy="428625"/>
                <wp:effectExtent l="0" t="0" r="0" b="0"/>
                <wp:wrapNone/>
                <wp:docPr id="110" name="文本框 110"/>
                <wp:cNvGraphicFramePr/>
                <a:graphic xmlns:a="http://schemas.openxmlformats.org/drawingml/2006/main">
                  <a:graphicData uri="http://schemas.microsoft.com/office/word/2010/wordprocessingShape">
                    <wps:wsp>
                      <wps:cNvSpPr txBox="1"/>
                      <wps:spPr>
                        <a:xfrm>
                          <a:off x="4350385" y="2294890"/>
                          <a:ext cx="802005" cy="4286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b/>
                                <w:bCs/>
                                <w:color w:val="FFFF00"/>
                              </w:rPr>
                            </w:pPr>
                            <w:r>
                              <w:rPr>
                                <w:rFonts w:hint="eastAsia"/>
                                <w:b/>
                                <w:bCs/>
                                <w:color w:val="FFFF00"/>
                              </w:rPr>
                              <w:t>A=6km</w:t>
                            </w:r>
                            <w:r>
                              <w:rPr>
                                <w:rFonts w:hint="eastAsia"/>
                                <w:b/>
                                <w:bCs/>
                                <w:color w:val="FFFF00"/>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2.4pt;margin-top:81.95pt;height:33.75pt;width:63.15pt;z-index:251706368;mso-width-relative:page;mso-height-relative:page;" filled="f" stroked="f" coordsize="21600,21600" o:gfxdata="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hMC1c3AAAAAsBAAAPAAAAAAAA&#10;AAEAIAAAACIAAABkcnMvZG93bnJldi54bWxQSwECFAAUAAAACACHTuJAkdPaAkcCAAB1BAAADgAA&#10;AAAAAAABACAAAAArAQAAZHJzL2Uyb0RvYy54bWxQSwUGAAAAAAYABgBZAQAA5AUAAAAA&#10;">
                <v:fill on="f" focussize="0,0"/>
                <v:stroke on="f" weight="0.5pt"/>
                <v:imagedata o:title=""/>
                <o:lock v:ext="edit" aspectratio="f"/>
                <v:textbox>
                  <w:txbxContent>
                    <w:p>
                      <w:pPr>
                        <w:ind w:firstLine="0" w:firstLineChars="0"/>
                        <w:rPr>
                          <w:b/>
                          <w:bCs/>
                          <w:color w:val="FFFF00"/>
                        </w:rPr>
                      </w:pPr>
                      <w:r>
                        <w:rPr>
                          <w:rFonts w:hint="eastAsia"/>
                          <w:b/>
                          <w:bCs/>
                          <w:color w:val="FFFF00"/>
                        </w:rPr>
                        <w:t>A=6km</w:t>
                      </w:r>
                      <w:r>
                        <w:rPr>
                          <w:rFonts w:hint="eastAsia"/>
                          <w:b/>
                          <w:bCs/>
                          <w:color w:val="FFFF00"/>
                          <w:vertAlign w:val="superscript"/>
                        </w:rPr>
                        <w:t>2</w:t>
                      </w:r>
                    </w:p>
                  </w:txbxContent>
                </v:textbox>
              </v:shape>
            </w:pict>
          </mc:Fallback>
        </mc:AlternateContent>
      </w:r>
      <w:r>
        <w:rPr>
          <w:rFonts w:eastAsia="黑体"/>
          <w:color w:val="auto"/>
          <w:sz w:val="21"/>
          <w:szCs w:val="21"/>
        </w:rPr>
        <mc:AlternateContent>
          <mc:Choice Requires="wps">
            <w:drawing>
              <wp:anchor distT="0" distB="0" distL="114300" distR="114300" simplePos="0" relativeHeight="251705344" behindDoc="0" locked="0" layoutInCell="1" allowOverlap="1">
                <wp:simplePos x="0" y="0"/>
                <wp:positionH relativeFrom="column">
                  <wp:posOffset>4353560</wp:posOffset>
                </wp:positionH>
                <wp:positionV relativeFrom="paragraph">
                  <wp:posOffset>1815465</wp:posOffset>
                </wp:positionV>
                <wp:extent cx="920750" cy="412750"/>
                <wp:effectExtent l="192405" t="6350" r="10795" b="342900"/>
                <wp:wrapNone/>
                <wp:docPr id="111" name="矩形标注 111"/>
                <wp:cNvGraphicFramePr/>
                <a:graphic xmlns:a="http://schemas.openxmlformats.org/drawingml/2006/main">
                  <a:graphicData uri="http://schemas.microsoft.com/office/word/2010/wordprocessingShape">
                    <wps:wsp>
                      <wps:cNvSpPr/>
                      <wps:spPr>
                        <a:xfrm>
                          <a:off x="5156835" y="3093085"/>
                          <a:ext cx="920750" cy="412750"/>
                        </a:xfrm>
                        <a:prstGeom prst="wedgeRectCallout">
                          <a:avLst>
                            <a:gd name="adj1" fmla="val -66689"/>
                            <a:gd name="adj2" fmla="val 123076"/>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0" w:firstLineChars="0"/>
                              <w:rPr>
                                <w:color w:val="FF0000"/>
                                <w14:shadow w14:blurRad="38100" w14:dist="19050" w14:dir="2700000" w14:sx="100000" w14:sy="100000" w14:kx="0" w14:ky="0" w14:algn="tl">
                                  <w14:schemeClr w14:val="dk1">
                                    <w14:alpha w14:val="60000"/>
                                  </w14:schemeClr>
                                </w14:shadow>
                                <w14:props3d w14:extrusionH="0" w14:contourW="0" w14:prstMaterial="clear"/>
                              </w:rPr>
                            </w:pPr>
                            <w:r>
                              <w:rPr>
                                <w:rFonts w:hint="eastAsia"/>
                                <w:color w:val="FF0000"/>
                                <w14:shadow w14:blurRad="38100" w14:dist="19050" w14:dir="2700000" w14:sx="100000" w14:sy="100000" w14:kx="0" w14:ky="0" w14:algn="tl">
                                  <w14:schemeClr w14:val="dk1">
                                    <w14:alpha w14:val="60000"/>
                                  </w14:schemeClr>
                                </w14:shadow>
                                <w14:props3d w14:extrusionH="0" w14:contourW="0" w14:prstMaterial="clear"/>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2.8pt;margin-top:142.95pt;height:32.5pt;width:72.5pt;z-index:251705344;v-text-anchor:middle;mso-width-relative:page;mso-height-relative:page;" filled="f" stroked="t" coordsize="21600,21600" o:gfxdata="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I8O6r7aAAAACwEAAA8AAAAAAAAAAQAg&#10;AAAAIgAAAGRycy9kb3ducmV2LnhtbFBLAQIUABQAAAAIAIdO4kAT7WzXtwIAAEoFAAAOAAAAAAAA&#10;AAEAIAAAACkBAABkcnMvZTJvRG9jLnhtbFBLBQYAAAAABgAGAFkBAABSBgAAAAA=&#10;" adj="-3605,37384">
                <v:fill on="f" focussize="0,0"/>
                <v:stroke weight="1pt" color="#FF0000 [3204]" miterlimit="8" joinstyle="miter"/>
                <v:imagedata o:title=""/>
                <o:lock v:ext="edit" aspectratio="f"/>
                <v:textbox>
                  <w:txbxContent>
                    <w:p>
                      <w:pPr>
                        <w:ind w:firstLine="0" w:firstLineChars="0"/>
                        <w:rPr>
                          <w:color w:val="FF0000"/>
                          <w14:shadow w14:blurRad="38100" w14:dist="19050" w14:dir="2700000" w14:sx="100000" w14:sy="100000" w14:kx="0" w14:ky="0" w14:algn="tl">
                            <w14:schemeClr w14:val="dk1">
                              <w14:alpha w14:val="60000"/>
                            </w14:schemeClr>
                          </w14:shadow>
                          <w14:props3d w14:extrusionH="0" w14:contourW="0" w14:prstMaterial="clear"/>
                        </w:rPr>
                      </w:pPr>
                      <w:r>
                        <w:rPr>
                          <w:rFonts w:hint="eastAsia"/>
                          <w:color w:val="FF0000"/>
                          <w14:shadow w14:blurRad="38100" w14:dist="19050" w14:dir="2700000" w14:sx="100000" w14:sy="100000" w14:kx="0" w14:ky="0" w14:algn="tl">
                            <w14:schemeClr w14:val="dk1">
                              <w14:alpha w14:val="60000"/>
                            </w14:schemeClr>
                          </w14:shadow>
                          <w14:props3d w14:extrusionH="0" w14:contourW="0" w14:prstMaterial="clear"/>
                        </w:rPr>
                        <w:t>项目位置</w:t>
                      </w:r>
                    </w:p>
                  </w:txbxContent>
                </v:textbox>
              </v:shape>
            </w:pict>
          </mc:Fallback>
        </mc:AlternateContent>
      </w:r>
      <w:r>
        <w:rPr>
          <w:rFonts w:eastAsia="黑体"/>
          <w:color w:val="auto"/>
          <w:sz w:val="21"/>
          <w:szCs w:val="21"/>
        </w:rPr>
        <mc:AlternateContent>
          <mc:Choice Requires="wps">
            <w:drawing>
              <wp:anchor distT="0" distB="0" distL="114300" distR="114300" simplePos="0" relativeHeight="251704320" behindDoc="0" locked="0" layoutInCell="1" allowOverlap="1">
                <wp:simplePos x="0" y="0"/>
                <wp:positionH relativeFrom="column">
                  <wp:posOffset>2806065</wp:posOffset>
                </wp:positionH>
                <wp:positionV relativeFrom="paragraph">
                  <wp:posOffset>793115</wp:posOffset>
                </wp:positionV>
                <wp:extent cx="2654300" cy="2672080"/>
                <wp:effectExtent l="533400" t="539750" r="547370" b="539750"/>
                <wp:wrapNone/>
                <wp:docPr id="112" name="矩形 112"/>
                <wp:cNvGraphicFramePr/>
                <a:graphic xmlns:a="http://schemas.openxmlformats.org/drawingml/2006/main">
                  <a:graphicData uri="http://schemas.microsoft.com/office/word/2010/wordprocessingShape">
                    <wps:wsp>
                      <wps:cNvSpPr/>
                      <wps:spPr>
                        <a:xfrm rot="3420000">
                          <a:off x="0" y="0"/>
                          <a:ext cx="2654300" cy="2672080"/>
                        </a:xfrm>
                        <a:prstGeom prst="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480"/>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0.95pt;margin-top:62.45pt;height:210.4pt;width:209pt;rotation:3735552f;z-index:251704320;v-text-anchor:middle;mso-width-relative:page;mso-height-relative:page;" filled="f" stroked="t" coordsize="21600,21600" o:gfxdata="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l0UeA2AAAAAsBAAAPAAAAAAAAAAEAIAAAACIA&#10;AABkcnMvZG93bnJldi54bWxQSwECFAAUAAAACACHTuJAsaz5e3sCAADpBAAADgAAAAAAAAABACAA&#10;AAAnAQAAZHJzL2Uyb0RvYy54bWxQSwUGAAAAAAYABgBZAQAAFAYAAAAA&#10;">
                <v:fill on="f" focussize="0,0"/>
                <v:stroke weight="3pt" color="#FFFF00 [3204]" miterlimit="8" joinstyle="miter"/>
                <v:imagedata o:title=""/>
                <o:lock v:ext="edit" aspectratio="f"/>
                <v:textbox>
                  <w:txbxContent>
                    <w:p>
                      <w:pPr>
                        <w:ind w:firstLine="480"/>
                        <w:jc w:val="center"/>
                      </w:pPr>
                    </w:p>
                  </w:txbxContent>
                </v:textbox>
              </v:rect>
            </w:pict>
          </mc:Fallback>
        </mc:AlternateContent>
      </w:r>
      <w:r>
        <w:rPr>
          <w:rFonts w:eastAsia="黑体"/>
          <w:color w:val="auto"/>
          <w:sz w:val="21"/>
          <w:szCs w:val="21"/>
        </w:rPr>
        <mc:AlternateContent>
          <mc:Choice Requires="wps">
            <w:drawing>
              <wp:anchor distT="0" distB="0" distL="114300" distR="114300" simplePos="0" relativeHeight="251704320" behindDoc="0" locked="0" layoutInCell="1" allowOverlap="1">
                <wp:simplePos x="0" y="0"/>
                <wp:positionH relativeFrom="column">
                  <wp:posOffset>2205355</wp:posOffset>
                </wp:positionH>
                <wp:positionV relativeFrom="paragraph">
                  <wp:posOffset>3289935</wp:posOffset>
                </wp:positionV>
                <wp:extent cx="457200" cy="584200"/>
                <wp:effectExtent l="0" t="0" r="19050" b="25400"/>
                <wp:wrapNone/>
                <wp:docPr id="113" name="直接箭头连接符 113"/>
                <wp:cNvGraphicFramePr/>
                <a:graphic xmlns:a="http://schemas.openxmlformats.org/drawingml/2006/main">
                  <a:graphicData uri="http://schemas.microsoft.com/office/word/2010/wordprocessingShape">
                    <wps:wsp>
                      <wps:cNvCnPr/>
                      <wps:spPr>
                        <a:xfrm flipH="1" flipV="1">
                          <a:off x="0" y="0"/>
                          <a:ext cx="457200" cy="584200"/>
                        </a:xfrm>
                        <a:prstGeom prst="straightConnector1">
                          <a:avLst/>
                        </a:prstGeom>
                        <a:ln w="3810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73.65pt;margin-top:259.05pt;height:46pt;width:36pt;z-index:251704320;mso-width-relative:page;mso-height-relative:page;" filled="f" stroked="t" coordsize="21600,21600" o:gfxdata="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KqOjEbZAAAACwEAAA8AAAAA&#10;AAAAAQAgAAAAIgAAAGRycy9kb3ducmV2LnhtbFBLAQIUABQAAAAIAIdO4kBMuo5qEwIAAPsDAAAO&#10;AAAAAAAAAAEAIAAAACgBAABkcnMvZTJvRG9jLnhtbFBLBQYAAAAABgAGAFkBAACtBQAAAAA=&#10;">
                <v:fill on="f" focussize="0,0"/>
                <v:stroke weight="3pt" color="#FFFF00 [3204]" miterlimit="8" joinstyle="miter" endarrow="open"/>
                <v:imagedata o:title=""/>
                <o:lock v:ext="edit" aspectratio="f"/>
              </v:shape>
            </w:pict>
          </mc:Fallback>
        </mc:AlternateContent>
      </w:r>
      <w:r>
        <w:rPr>
          <w:rFonts w:eastAsia="黑体"/>
          <w:color w:val="auto"/>
          <w:sz w:val="21"/>
          <w:szCs w:val="21"/>
        </w:rPr>
        <w:drawing>
          <wp:anchor distT="0" distB="0" distL="114300" distR="114300" simplePos="0" relativeHeight="251703296" behindDoc="0" locked="0" layoutInCell="1" allowOverlap="1">
            <wp:simplePos x="0" y="0"/>
            <wp:positionH relativeFrom="column">
              <wp:posOffset>833755</wp:posOffset>
            </wp:positionH>
            <wp:positionV relativeFrom="paragraph">
              <wp:posOffset>88265</wp:posOffset>
            </wp:positionV>
            <wp:extent cx="7134225" cy="4780280"/>
            <wp:effectExtent l="0" t="0" r="9525" b="1270"/>
            <wp:wrapTopAndBottom/>
            <wp:docPr id="114" name="图片 114" descr="165724525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1657245251992"/>
                    <pic:cNvPicPr>
                      <a:picLocks noChangeAspect="1"/>
                    </pic:cNvPicPr>
                  </pic:nvPicPr>
                  <pic:blipFill>
                    <a:blip r:embed="rId114"/>
                    <a:stretch>
                      <a:fillRect/>
                    </a:stretch>
                  </pic:blipFill>
                  <pic:spPr>
                    <a:xfrm>
                      <a:off x="0" y="0"/>
                      <a:ext cx="7134225" cy="4780280"/>
                    </a:xfrm>
                    <a:prstGeom prst="rect">
                      <a:avLst/>
                    </a:prstGeom>
                  </pic:spPr>
                </pic:pic>
              </a:graphicData>
            </a:graphic>
          </wp:anchor>
        </w:drawing>
      </w:r>
      <w:r>
        <w:rPr>
          <w:rFonts w:eastAsia="黑体"/>
          <w:color w:val="auto"/>
          <w:sz w:val="21"/>
          <w:szCs w:val="21"/>
        </w:rPr>
        <w:t>图5.3-1地下水评价范围图</w:t>
      </w:r>
    </w:p>
    <w:p>
      <w:pPr>
        <w:pStyle w:val="10"/>
        <w:ind w:firstLine="482"/>
        <w:rPr>
          <w:color w:val="auto"/>
        </w:rPr>
      </w:pPr>
      <w:bookmarkStart w:id="303" w:name="_Toc4799"/>
      <w:r>
        <w:rPr>
          <w:rFonts w:hint="eastAsia"/>
          <w:color w:val="auto"/>
        </w:rPr>
        <w:t>5.3.2.2区域水文地质条件</w:t>
      </w:r>
    </w:p>
    <w:p>
      <w:pPr>
        <w:pStyle w:val="14"/>
        <w:spacing w:after="0"/>
        <w:ind w:firstLine="480"/>
        <w:rPr>
          <w:color w:val="auto"/>
          <w:szCs w:val="24"/>
        </w:rPr>
      </w:pPr>
      <w:r>
        <w:rPr>
          <w:color w:val="auto"/>
          <w:szCs w:val="24"/>
        </w:rPr>
        <w:t>本区位于淄溥叫斜腹地水文地质单元中，根据含水介质的岩性结构组合、埋藏条件、地下水的动态及水化学特征，评价区地下水自上而下可划分为松散耑类孔隙水和碳酸盐岩类裂隙岩溶水。</w:t>
      </w:r>
    </w:p>
    <w:p>
      <w:pPr>
        <w:pStyle w:val="14"/>
        <w:spacing w:after="0"/>
        <w:ind w:firstLine="480"/>
        <w:rPr>
          <w:color w:val="auto"/>
          <w:szCs w:val="24"/>
        </w:rPr>
      </w:pPr>
      <w:r>
        <w:rPr>
          <w:color w:val="auto"/>
          <w:szCs w:val="24"/>
        </w:rPr>
        <w:t>区域地质条件：</w:t>
      </w:r>
    </w:p>
    <w:p>
      <w:pPr>
        <w:pStyle w:val="14"/>
        <w:spacing w:after="0"/>
        <w:ind w:firstLine="480"/>
        <w:rPr>
          <w:color w:val="auto"/>
          <w:szCs w:val="24"/>
        </w:rPr>
      </w:pPr>
      <w:r>
        <w:rPr>
          <w:color w:val="auto"/>
          <w:szCs w:val="24"/>
        </w:rPr>
        <w:t>1、地层</w:t>
      </w:r>
    </w:p>
    <w:p>
      <w:pPr>
        <w:pStyle w:val="14"/>
        <w:spacing w:after="0"/>
        <w:ind w:firstLine="480"/>
        <w:rPr>
          <w:color w:val="auto"/>
          <w:szCs w:val="24"/>
        </w:rPr>
      </w:pPr>
      <w:r>
        <w:rPr>
          <w:color w:val="auto"/>
          <w:szCs w:val="24"/>
        </w:rPr>
        <w:t>淄博地区地质构造受华北地台、鲁两台竹斜、鲁中隆起的控制，处于鲁中隆起的北缘部分。东部由于禹王山正断层西升东降断距600至1000m的切割，将淄博地区分成独立地质单元。 本区地势由南而北逐渐降低，地层发育齐全，由老到新发育了奥陶系、石炭系、二叠系和第四系地层，依次描述如下：</w:t>
      </w:r>
    </w:p>
    <w:p>
      <w:pPr>
        <w:pStyle w:val="14"/>
        <w:spacing w:after="0"/>
        <w:ind w:firstLine="480"/>
        <w:rPr>
          <w:color w:val="auto"/>
          <w:szCs w:val="24"/>
        </w:rPr>
      </w:pPr>
      <w:r>
        <w:rPr>
          <w:color w:val="auto"/>
          <w:szCs w:val="24"/>
        </w:rPr>
        <w:t>(1)奥陶系马家沟组（OM</w:t>
      </w:r>
      <w:r>
        <w:rPr>
          <w:rFonts w:hint="eastAsia"/>
          <w:color w:val="auto"/>
          <w:szCs w:val="24"/>
        </w:rPr>
        <w:t>）</w:t>
      </w:r>
    </w:p>
    <w:p>
      <w:pPr>
        <w:pStyle w:val="14"/>
        <w:spacing w:after="0"/>
        <w:ind w:firstLine="480"/>
        <w:rPr>
          <w:color w:val="auto"/>
          <w:szCs w:val="24"/>
        </w:rPr>
      </w:pPr>
      <w:r>
        <w:rPr>
          <w:color w:val="auto"/>
          <w:szCs w:val="24"/>
        </w:rPr>
        <w:t>本区奥陶系地层主要分布于区域东部山区，为海相及深湖相沉积地层。自上向下主要岩性为深灰色泥晶一细晶灰岩、夹白云质灰岩、泥灰岩、黄灰色中薄层泥晶白云岩、灰色中厚层泥晶灰岩，云斑灰岩、含燧石结核灰岩、白云岩、深灰色厚层灰岩、云斑灰岩、灰黄色泥质白云岩、泥云岩、角砾状白云岩等。</w:t>
      </w:r>
    </w:p>
    <w:p>
      <w:pPr>
        <w:pStyle w:val="14"/>
        <w:spacing w:after="0"/>
        <w:ind w:firstLine="480"/>
        <w:rPr>
          <w:color w:val="auto"/>
          <w:szCs w:val="24"/>
        </w:rPr>
      </w:pPr>
      <w:r>
        <w:rPr>
          <w:color w:val="auto"/>
          <w:szCs w:val="24"/>
        </w:rPr>
        <w:t>(2)石炭系（C</w:t>
      </w:r>
      <w:r>
        <w:rPr>
          <w:rFonts w:hint="eastAsia"/>
          <w:color w:val="auto"/>
          <w:szCs w:val="24"/>
        </w:rPr>
        <w:t>）</w:t>
      </w:r>
    </w:p>
    <w:p>
      <w:pPr>
        <w:pStyle w:val="14"/>
        <w:spacing w:after="0"/>
        <w:ind w:firstLine="480"/>
        <w:rPr>
          <w:color w:val="auto"/>
          <w:szCs w:val="24"/>
        </w:rPr>
      </w:pPr>
      <w:r>
        <w:rPr>
          <w:color w:val="auto"/>
          <w:szCs w:val="24"/>
        </w:rPr>
        <w:t>石炭系地层在本区主要有太原组（C-PyT</w:t>
      </w:r>
      <w:r>
        <w:rPr>
          <w:rFonts w:hint="eastAsia"/>
          <w:color w:val="auto"/>
          <w:szCs w:val="24"/>
        </w:rPr>
        <w:t>）</w:t>
      </w:r>
      <w:r>
        <w:rPr>
          <w:color w:val="auto"/>
          <w:szCs w:val="24"/>
        </w:rPr>
        <w:t>和本溪组（CyB</w:t>
      </w:r>
      <w:r>
        <w:rPr>
          <w:rFonts w:hint="eastAsia"/>
          <w:color w:val="auto"/>
          <w:szCs w:val="24"/>
        </w:rPr>
        <w:t>）、</w:t>
      </w:r>
      <w:r>
        <w:rPr>
          <w:color w:val="auto"/>
          <w:szCs w:val="24"/>
        </w:rPr>
        <w:t>太原组（C-PyT</w:t>
      </w:r>
      <w:r>
        <w:rPr>
          <w:rFonts w:hint="eastAsia"/>
          <w:color w:val="auto"/>
          <w:szCs w:val="24"/>
        </w:rPr>
        <w:t>）</w:t>
      </w:r>
      <w:r>
        <w:rPr>
          <w:color w:val="auto"/>
          <w:szCs w:val="24"/>
        </w:rPr>
        <w:t>：连续沉积于本溪组之上，为海陆交互相沉积。岩性由砂岩、砂页岩、砂质页岩、页岩、粘上页岩、石灰岩及煤组成。颜色由浅灰、深灰、灰黑至黑色。含煤10余层，是主要的含煤地层。本溪组（CyB</w:t>
      </w:r>
      <w:r>
        <w:rPr>
          <w:rFonts w:hint="eastAsia"/>
          <w:color w:val="auto"/>
          <w:szCs w:val="24"/>
        </w:rPr>
        <w:t>）</w:t>
      </w:r>
      <w:r>
        <w:rPr>
          <w:color w:val="auto"/>
          <w:szCs w:val="24"/>
        </w:rPr>
        <w:t>：假整合于奥陶系之上，为海陆交互相沉积，下界面为奥陶系石灰岩之顶面，上界面为石灰岩之顶面。主要芯性为一套页岩、砂岩为主，夹铝质页岩、铝土矿、紫色页芯等碎屑右类组成，夹煤线，厚度25m左右。</w:t>
      </w:r>
    </w:p>
    <w:p>
      <w:pPr>
        <w:pStyle w:val="14"/>
        <w:spacing w:after="0"/>
        <w:ind w:firstLine="480"/>
        <w:rPr>
          <w:color w:val="auto"/>
          <w:szCs w:val="24"/>
        </w:rPr>
      </w:pPr>
      <w:r>
        <w:rPr>
          <w:color w:val="auto"/>
          <w:szCs w:val="24"/>
        </w:rPr>
        <w:t>(3) 二叠系（P</w:t>
      </w:r>
      <w:r>
        <w:rPr>
          <w:rFonts w:hint="eastAsia"/>
          <w:color w:val="auto"/>
          <w:szCs w:val="24"/>
        </w:rPr>
        <w:t>）</w:t>
      </w:r>
    </w:p>
    <w:p>
      <w:pPr>
        <w:pStyle w:val="14"/>
        <w:spacing w:after="0"/>
        <w:ind w:firstLine="480"/>
        <w:rPr>
          <w:color w:val="auto"/>
          <w:szCs w:val="24"/>
        </w:rPr>
      </w:pPr>
      <w:r>
        <w:rPr>
          <w:color w:val="auto"/>
          <w:szCs w:val="24"/>
        </w:rPr>
        <w:t>二叠系地层在本区主要有山西组（PyS）和石盒子组（PS</w:t>
      </w:r>
      <w:r>
        <w:rPr>
          <w:rFonts w:hint="eastAsia"/>
          <w:color w:val="auto"/>
          <w:szCs w:val="24"/>
        </w:rPr>
        <w:t>）</w:t>
      </w:r>
      <w:r>
        <w:rPr>
          <w:color w:val="auto"/>
          <w:szCs w:val="24"/>
        </w:rPr>
        <w:t>山西组（PyS</w:t>
      </w:r>
      <w:r>
        <w:rPr>
          <w:rFonts w:hint="eastAsia"/>
          <w:color w:val="auto"/>
          <w:szCs w:val="24"/>
        </w:rPr>
        <w:t>）</w:t>
      </w:r>
      <w:r>
        <w:rPr>
          <w:color w:val="auto"/>
          <w:szCs w:val="24"/>
        </w:rPr>
        <w:t>：岩性为砂岩、粉砂沿、粘土岩、页岩、煤线或煤层，厚122.23m。石盒子组（PS</w:t>
      </w:r>
      <w:r>
        <w:rPr>
          <w:rFonts w:hint="eastAsia"/>
          <w:color w:val="auto"/>
          <w:szCs w:val="24"/>
        </w:rPr>
        <w:t>）</w:t>
      </w:r>
      <w:r>
        <w:rPr>
          <w:color w:val="auto"/>
          <w:szCs w:val="24"/>
        </w:rPr>
        <w:t>：主要分布于区域西部，大部分隐伏于第四系之下，只有西南部及两北部地段直接出露，上段岩性主要为黄白色、灰白色厚-巨厚层粗石英砂岩，底部为中层石英砂岩，具斜层理，坚硬，为河湖相沉积；中段岩性主要为黄褐色长石石英砂岩、</w:t>
      </w:r>
    </w:p>
    <w:p>
      <w:pPr>
        <w:pStyle w:val="14"/>
        <w:spacing w:after="0"/>
        <w:ind w:firstLine="480"/>
        <w:rPr>
          <w:color w:val="auto"/>
          <w:szCs w:val="24"/>
        </w:rPr>
      </w:pPr>
      <w:r>
        <w:rPr>
          <w:color w:val="auto"/>
          <w:szCs w:val="24"/>
        </w:rPr>
        <w:t>细砂岩、粉砂岩、铝土苦等，以粉砂岩、泥岩为主，水平层理发育，为湖泊相沉积；下段岩性主要为褐黄色厚层长石石英岩、细砂岩夹灰绿色、灰黄色粉砂岩、粘土岩，局部夹炭质页岩及煤线，与下伏山西组整合接触，为河湖相-河流相-湖泊相沉积。</w:t>
      </w:r>
    </w:p>
    <w:p>
      <w:pPr>
        <w:pStyle w:val="14"/>
        <w:spacing w:after="0"/>
        <w:ind w:firstLine="480"/>
        <w:rPr>
          <w:color w:val="auto"/>
          <w:szCs w:val="24"/>
        </w:rPr>
      </w:pPr>
      <w:r>
        <w:rPr>
          <w:color w:val="auto"/>
          <w:szCs w:val="24"/>
        </w:rPr>
        <w:t>(4)第四系山前组(QS)</w:t>
      </w:r>
    </w:p>
    <w:p>
      <w:pPr>
        <w:pStyle w:val="14"/>
        <w:spacing w:after="0"/>
        <w:ind w:firstLine="480"/>
        <w:rPr>
          <w:color w:val="auto"/>
          <w:szCs w:val="24"/>
        </w:rPr>
      </w:pPr>
      <w:r>
        <w:rPr>
          <w:color w:val="auto"/>
          <w:szCs w:val="24"/>
        </w:rPr>
        <w:t>广泛分布于低山麓及低缓丘陵上，主要为灰黄、黄色砾砂质粘上、粘上质粉砂、含砾砂、砂砾层等，跨时连续堆积，下伏岩系随地而异，残存厚度0-18m，为残坡积相沉积物。</w:t>
      </w:r>
    </w:p>
    <w:p>
      <w:pPr>
        <w:pStyle w:val="14"/>
        <w:spacing w:after="0"/>
        <w:ind w:firstLine="480"/>
        <w:rPr>
          <w:color w:val="auto"/>
          <w:szCs w:val="24"/>
        </w:rPr>
      </w:pPr>
      <w:r>
        <w:rPr>
          <w:color w:val="auto"/>
          <w:szCs w:val="24"/>
        </w:rPr>
        <w:t>根据园区内的“爱科科技有限公司钕铁硼电镀配套项目”中淄博方圆勘查设计有限公司对该项目的地质勘察报告，勘察深度范围内场地地层共分为6层，由上至下分述如下：</w:t>
      </w:r>
    </w:p>
    <w:p>
      <w:pPr>
        <w:pStyle w:val="14"/>
        <w:spacing w:after="0"/>
        <w:ind w:firstLine="480"/>
        <w:rPr>
          <w:color w:val="auto"/>
          <w:szCs w:val="24"/>
        </w:rPr>
      </w:pPr>
      <w:r>
        <w:rPr>
          <w:color w:val="auto"/>
          <w:szCs w:val="24"/>
        </w:rPr>
        <w:t>①耕土(Q4ml):</w:t>
      </w:r>
    </w:p>
    <w:p>
      <w:pPr>
        <w:pStyle w:val="14"/>
        <w:spacing w:after="0"/>
        <w:ind w:firstLine="480"/>
        <w:rPr>
          <w:color w:val="auto"/>
          <w:szCs w:val="24"/>
        </w:rPr>
      </w:pPr>
      <w:r>
        <w:rPr>
          <w:color w:val="auto"/>
          <w:szCs w:val="24"/>
        </w:rPr>
        <w:t>褐黄色，稍湿，松散。以粘性土为主，含少童植物根须及铁锰氧化物。</w:t>
      </w:r>
    </w:p>
    <w:p>
      <w:pPr>
        <w:pStyle w:val="14"/>
        <w:spacing w:after="0"/>
        <w:ind w:firstLine="480"/>
        <w:rPr>
          <w:color w:val="auto"/>
          <w:szCs w:val="24"/>
        </w:rPr>
      </w:pPr>
      <w:r>
        <w:rPr>
          <w:color w:val="auto"/>
          <w:szCs w:val="24"/>
        </w:rPr>
        <w:t>该层普遍分布，厚度:0.30-0.80m</w:t>
      </w:r>
      <w:r>
        <w:rPr>
          <w:rFonts w:hint="eastAsia"/>
          <w:color w:val="auto"/>
          <w:szCs w:val="24"/>
        </w:rPr>
        <w:t>，</w:t>
      </w:r>
      <w:r>
        <w:rPr>
          <w:color w:val="auto"/>
          <w:szCs w:val="24"/>
        </w:rPr>
        <w:t>平均0.60m：层底标高:27.46〜28.10，平均 27.70m；</w:t>
      </w:r>
    </w:p>
    <w:p>
      <w:pPr>
        <w:pStyle w:val="14"/>
        <w:spacing w:after="0"/>
        <w:ind w:firstLine="480"/>
        <w:rPr>
          <w:color w:val="auto"/>
          <w:szCs w:val="24"/>
        </w:rPr>
      </w:pPr>
      <w:r>
        <w:rPr>
          <w:color w:val="auto"/>
          <w:szCs w:val="24"/>
        </w:rPr>
        <w:t>层底埋深：0.30-0.80m，平均0.60m。该层土质部均匀，不宜利用，应全部清除。</w:t>
      </w:r>
    </w:p>
    <w:p>
      <w:pPr>
        <w:pStyle w:val="14"/>
        <w:spacing w:after="0"/>
        <w:ind w:firstLine="480"/>
        <w:rPr>
          <w:color w:val="auto"/>
          <w:szCs w:val="24"/>
        </w:rPr>
      </w:pPr>
      <w:r>
        <w:rPr>
          <w:color w:val="auto"/>
          <w:szCs w:val="24"/>
        </w:rPr>
        <w:t>②粉质粘上(Q4al+pl)：</w:t>
      </w:r>
    </w:p>
    <w:p>
      <w:pPr>
        <w:pStyle w:val="14"/>
        <w:spacing w:after="0"/>
        <w:ind w:firstLine="480"/>
        <w:rPr>
          <w:color w:val="auto"/>
          <w:szCs w:val="24"/>
        </w:rPr>
      </w:pPr>
      <w:r>
        <w:rPr>
          <w:color w:val="auto"/>
          <w:szCs w:val="24"/>
        </w:rPr>
        <w:t>褐黄色-黄色，可塑，含少量的豆状姜石，野外目力鉴别稍有光泽，摇震反应无，干强度中等，韧性中等。场区普遍分布，厚度:2.10-3.30m，平均2.62m；</w:t>
      </w:r>
    </w:p>
    <w:p>
      <w:pPr>
        <w:pStyle w:val="14"/>
        <w:spacing w:after="0"/>
        <w:ind w:firstLine="0" w:firstLineChars="0"/>
        <w:rPr>
          <w:color w:val="auto"/>
          <w:szCs w:val="24"/>
        </w:rPr>
      </w:pPr>
      <w:r>
        <w:rPr>
          <w:color w:val="auto"/>
          <w:szCs w:val="24"/>
        </w:rPr>
        <w:t>层底标高：24.54—25.71m，平均25.08m；层底埋深:2.60—3.70m，平均3.22m。</w:t>
      </w:r>
    </w:p>
    <w:p>
      <w:pPr>
        <w:pStyle w:val="14"/>
        <w:spacing w:after="0"/>
        <w:ind w:firstLine="480"/>
        <w:rPr>
          <w:color w:val="auto"/>
          <w:szCs w:val="24"/>
        </w:rPr>
      </w:pPr>
      <w:r>
        <w:rPr>
          <w:color w:val="auto"/>
          <w:szCs w:val="24"/>
        </w:rPr>
        <w:t>③粉质粘土(Q3al+ pl)：</w:t>
      </w:r>
    </w:p>
    <w:p>
      <w:pPr>
        <w:pStyle w:val="14"/>
        <w:spacing w:after="0"/>
        <w:ind w:firstLine="480"/>
        <w:rPr>
          <w:color w:val="auto"/>
          <w:szCs w:val="24"/>
        </w:rPr>
      </w:pPr>
      <w:r>
        <w:rPr>
          <w:color w:val="auto"/>
          <w:szCs w:val="24"/>
        </w:rPr>
        <w:t>黄色，可塑，含铁锰氧化物，层部含大量姜石，野外目力鉴别稍有光泽，摇震反应无，干强度中等，韧性中等，局部夹粉土或细砂薄层。该层区普遍分布，厚度:3.20-6.50m，平均4.83m；层底标高:18.93-20.56m，平均19.83m；层底埋深:7.70-9.50m，平均8.48m。</w:t>
      </w:r>
    </w:p>
    <w:p>
      <w:pPr>
        <w:pStyle w:val="14"/>
        <w:spacing w:after="0"/>
        <w:ind w:firstLine="480"/>
        <w:rPr>
          <w:color w:val="auto"/>
          <w:szCs w:val="24"/>
        </w:rPr>
      </w:pPr>
      <w:r>
        <w:rPr>
          <w:color w:val="auto"/>
          <w:szCs w:val="24"/>
        </w:rPr>
        <w:t>③-1 层粉质粘土(Q3al+ pl)：</w:t>
      </w:r>
    </w:p>
    <w:p>
      <w:pPr>
        <w:pStyle w:val="14"/>
        <w:spacing w:after="0"/>
        <w:ind w:firstLine="480"/>
        <w:rPr>
          <w:color w:val="auto"/>
          <w:szCs w:val="24"/>
        </w:rPr>
      </w:pPr>
      <w:r>
        <w:rPr>
          <w:color w:val="auto"/>
          <w:szCs w:val="24"/>
        </w:rPr>
        <w:t>黄色，可塑。含少量铁锰氧化物，野外目力鉴别稍有光泽，摇震反应无，干强度中等。该层分布在 2、6、10-15、23-27、35-39、46、47、52、57-62、66-68、70-72、77、80孔，厚度</w:t>
      </w:r>
      <w:r>
        <w:rPr>
          <w:rFonts w:hint="eastAsia"/>
          <w:color w:val="auto"/>
          <w:szCs w:val="24"/>
        </w:rPr>
        <w:t>：</w:t>
      </w:r>
      <w:r>
        <w:rPr>
          <w:color w:val="auto"/>
          <w:szCs w:val="24"/>
        </w:rPr>
        <w:t>0.50-1.90m，平均0.94m；层底标髙:20.64-22.12m，平均21.14m；层底埋深：6.10—7.70m，平均7.17m。</w:t>
      </w:r>
    </w:p>
    <w:p>
      <w:pPr>
        <w:pStyle w:val="14"/>
        <w:spacing w:after="0"/>
        <w:ind w:firstLine="480"/>
        <w:rPr>
          <w:color w:val="auto"/>
          <w:szCs w:val="24"/>
        </w:rPr>
      </w:pPr>
      <w:r>
        <w:rPr>
          <w:color w:val="auto"/>
          <w:szCs w:val="24"/>
        </w:rPr>
        <w:t>④层粉质粘土(Q3al+ pl):</w:t>
      </w:r>
    </w:p>
    <w:p>
      <w:pPr>
        <w:pStyle w:val="14"/>
        <w:spacing w:after="0"/>
        <w:ind w:firstLine="480"/>
        <w:rPr>
          <w:color w:val="auto"/>
          <w:szCs w:val="24"/>
        </w:rPr>
      </w:pPr>
      <w:r>
        <w:rPr>
          <w:color w:val="auto"/>
          <w:szCs w:val="24"/>
        </w:rPr>
        <w:t>褐黄色，可塑。较均匀，含少量铁锰氧化物，野外目力鉴别稍有光泽，摇震反应无，干强度中等，韧性中等。场区普遍分布，厚度</w:t>
      </w:r>
      <w:r>
        <w:rPr>
          <w:rFonts w:hint="eastAsia"/>
          <w:color w:val="auto"/>
          <w:szCs w:val="24"/>
        </w:rPr>
        <w:t>：</w:t>
      </w:r>
      <w:r>
        <w:rPr>
          <w:color w:val="auto"/>
          <w:szCs w:val="24"/>
        </w:rPr>
        <w:t>1.30-4.40m，平均2.91 m；层底标高:15.62-18.48m，平均16.92m；层底埋深:9.80-12.90m，平均11.39m。</w:t>
      </w:r>
    </w:p>
    <w:p>
      <w:pPr>
        <w:pStyle w:val="14"/>
        <w:spacing w:after="0"/>
        <w:ind w:firstLine="480"/>
        <w:rPr>
          <w:color w:val="auto"/>
          <w:szCs w:val="24"/>
        </w:rPr>
      </w:pPr>
      <w:r>
        <w:rPr>
          <w:color w:val="auto"/>
          <w:szCs w:val="24"/>
        </w:rPr>
        <w:t>⑤细砂(Q3al+ pl):</w:t>
      </w:r>
    </w:p>
    <w:p>
      <w:pPr>
        <w:pStyle w:val="14"/>
        <w:spacing w:after="0"/>
        <w:ind w:firstLine="480"/>
        <w:rPr>
          <w:rFonts w:eastAsia="黑体"/>
          <w:color w:val="auto"/>
          <w:sz w:val="21"/>
          <w:szCs w:val="21"/>
        </w:rPr>
      </w:pPr>
      <w:r>
        <w:rPr>
          <w:color w:val="auto"/>
          <w:szCs w:val="24"/>
        </w:rPr>
        <w:t>黄色，湿-饱和，中密-密实。矿物成分以长石、石英为主，颗粒级配差，磨圆度一般，粒径大于0.075mm，颗粒超过总质量85%</w:t>
      </w:r>
      <w:r>
        <w:rPr>
          <w:rFonts w:hint="eastAsia"/>
          <w:color w:val="auto"/>
          <w:szCs w:val="24"/>
        </w:rPr>
        <w:t>，</w:t>
      </w:r>
      <w:r>
        <w:rPr>
          <w:color w:val="auto"/>
          <w:szCs w:val="24"/>
        </w:rPr>
        <w:t>该层普遍分布，厚度：3.40-6.60m，平均5.34m；层底标髙：11.11-13.00m，平均11.71m；层底埋深：15.40-17.20m，平均16.61m。</w:t>
      </w:r>
    </w:p>
    <w:p>
      <w:pPr>
        <w:pStyle w:val="14"/>
        <w:spacing w:after="0"/>
        <w:ind w:firstLine="480"/>
        <w:rPr>
          <w:color w:val="auto"/>
          <w:szCs w:val="24"/>
        </w:rPr>
      </w:pPr>
      <w:r>
        <w:rPr>
          <w:color w:val="auto"/>
          <w:szCs w:val="24"/>
        </w:rPr>
        <w:t>2、 地下水补、径、排条件</w:t>
      </w:r>
    </w:p>
    <w:p>
      <w:pPr>
        <w:pStyle w:val="14"/>
        <w:spacing w:after="0"/>
        <w:ind w:firstLine="480"/>
        <w:rPr>
          <w:color w:val="auto"/>
          <w:szCs w:val="24"/>
        </w:rPr>
      </w:pPr>
      <w:r>
        <w:rPr>
          <w:color w:val="auto"/>
          <w:szCs w:val="24"/>
        </w:rPr>
        <w:t>根据区域水文地质调查，区域内地下水运动条件受气象、水文、地形地貌、岩性结构诸因素控制，而这些因素的作用程度，因浅层、深层地下水埋藏条件、水力特征的不同而有明显的差异。</w:t>
      </w:r>
    </w:p>
    <w:p>
      <w:pPr>
        <w:pStyle w:val="14"/>
        <w:spacing w:after="0"/>
        <w:ind w:firstLine="480"/>
        <w:rPr>
          <w:color w:val="auto"/>
          <w:szCs w:val="24"/>
        </w:rPr>
      </w:pPr>
      <w:r>
        <w:rPr>
          <w:color w:val="auto"/>
          <w:szCs w:val="24"/>
        </w:rPr>
        <w:t>（1）第四系松散岩类孔隙含水层的补、径、排条件</w:t>
      </w:r>
    </w:p>
    <w:p>
      <w:pPr>
        <w:pStyle w:val="14"/>
        <w:spacing w:after="0"/>
        <w:ind w:firstLine="480"/>
        <w:rPr>
          <w:color w:val="auto"/>
          <w:szCs w:val="24"/>
        </w:rPr>
      </w:pPr>
      <w:r>
        <w:rPr>
          <w:color w:val="auto"/>
          <w:szCs w:val="24"/>
        </w:rPr>
        <w:t>第四系松散岩类孔隙水基本为潜水含水层，主要分布在北部山前倾斜平原区，含水层主要为孝妇河流域河系冲洪积扇砂卵石层，主要接受大气降水的补给、南部山区地下水径流补给、孝妇河流域河系渗漏补给及灰岩地下水通过第四系天窗补给，地下水总的流向向北，排泄方式为蒸发及以泉和溢出带形式的地表径流，孝妇河流域河系渗漏是其主要补给来源。近年来由于自然因素的变化及人类活动的影响，如淄河断流等，地下水水位下降，地下水人工开采成为其主要排泄方式。</w:t>
      </w:r>
    </w:p>
    <w:p>
      <w:pPr>
        <w:pStyle w:val="14"/>
        <w:spacing w:after="0"/>
        <w:ind w:firstLine="480"/>
        <w:rPr>
          <w:color w:val="auto"/>
          <w:szCs w:val="24"/>
        </w:rPr>
      </w:pPr>
      <w:r>
        <w:rPr>
          <w:color w:val="auto"/>
          <w:szCs w:val="24"/>
        </w:rPr>
        <w:t>（2）奥陶系碳酸盐类岩溶裂隙含水岩组的补、径、排条件</w:t>
      </w:r>
    </w:p>
    <w:p>
      <w:pPr>
        <w:pStyle w:val="14"/>
        <w:spacing w:after="0"/>
        <w:ind w:firstLine="480"/>
        <w:rPr>
          <w:color w:val="auto"/>
          <w:szCs w:val="24"/>
        </w:rPr>
      </w:pPr>
      <w:r>
        <w:rPr>
          <w:color w:val="auto"/>
          <w:szCs w:val="24"/>
        </w:rPr>
        <w:t>评价区内奥陶系碳酸盐岩类含水岩组分为潜水含水岩组和承压含水岩组，通常区域内半裸露或全裸露奥陶系碳酸盐岩类储水有自由表面，为潜水含水岩层，深伏地表下层的奥陶系碳酸盐岩通常为承压含水岩层。裂隙含水岩组碳酸盐岩类岩溶裂隙、裂隙岩溶水补给来源主要为孝妇河流域内河系河谷两侧至东、西地表分水岭地区灰岩地下水汇集于西部淄河断裂带后的径流补给，以及大气降水的入渗补给，其排泄方式目前主要为人工开采。</w:t>
      </w:r>
    </w:p>
    <w:p>
      <w:pPr>
        <w:pStyle w:val="14"/>
        <w:spacing w:after="0"/>
        <w:ind w:firstLine="480"/>
        <w:rPr>
          <w:color w:val="auto"/>
          <w:szCs w:val="24"/>
        </w:rPr>
      </w:pPr>
      <w:r>
        <w:rPr>
          <w:rFonts w:hint="eastAsia"/>
          <w:color w:val="auto"/>
          <w:szCs w:val="24"/>
        </w:rPr>
        <w:t>3、集中用水水源地情况</w:t>
      </w:r>
    </w:p>
    <w:p>
      <w:pPr>
        <w:ind w:firstLine="480"/>
        <w:rPr>
          <w:color w:val="auto"/>
        </w:rPr>
      </w:pPr>
      <w:r>
        <w:rPr>
          <w:rFonts w:hint="eastAsia"/>
          <w:color w:val="auto"/>
          <w:szCs w:val="24"/>
        </w:rPr>
        <w:t>2019年5月10日，淄博市生态环境局、淄博市水利局联合发布了关于印发淄博市饮用水水源保护区划分方案的的通知（淄环发[2019]46号），原19处集中式饮用水水源地中有4处停止供应饮用水，重新划定了4处停止供应饮用水，重新划定了4处集中式引用水水源地保护区，对其他原有的2处地表水型和1处地下水型集中式饮用水水源地保护区范围进行调整。为加强集中式饮用水水源地环境保护管理，目前淄博市主要集中式饮用水水源地18处，其中地表水3处，其余为地下水型水源地。距离拟建项目最近的饮用水水源地为北侧8700米桓台县第一、第二水源地。</w:t>
      </w:r>
    </w:p>
    <w:p>
      <w:pPr>
        <w:pStyle w:val="9"/>
        <w:tabs>
          <w:tab w:val="left" w:pos="6685"/>
        </w:tabs>
        <w:spacing w:before="0" w:beforeLines="0" w:after="0" w:afterLines="0"/>
        <w:rPr>
          <w:color w:val="auto"/>
        </w:rPr>
      </w:pPr>
      <w:r>
        <w:rPr>
          <w:rFonts w:hint="eastAsia"/>
          <w:color w:val="auto"/>
        </w:rPr>
        <w:t>5.3.3地下水环境影响预测</w:t>
      </w:r>
      <w:bookmarkEnd w:id="303"/>
    </w:p>
    <w:p>
      <w:pPr>
        <w:pStyle w:val="10"/>
        <w:spacing w:line="360" w:lineRule="auto"/>
        <w:rPr>
          <w:color w:val="auto"/>
        </w:rPr>
      </w:pPr>
      <w:r>
        <w:rPr>
          <w:rFonts w:hint="eastAsia"/>
          <w:color w:val="auto"/>
        </w:rPr>
        <w:t>5</w:t>
      </w:r>
      <w:r>
        <w:rPr>
          <w:color w:val="auto"/>
        </w:rPr>
        <w:t>.3.3.1 预测方法</w:t>
      </w:r>
    </w:p>
    <w:p>
      <w:pPr>
        <w:spacing w:line="360" w:lineRule="auto"/>
        <w:ind w:firstLine="480"/>
        <w:rPr>
          <w:color w:val="auto"/>
        </w:rPr>
      </w:pPr>
      <w:r>
        <w:rPr>
          <w:color w:val="auto"/>
        </w:rPr>
        <w:t>本项目属于</w:t>
      </w:r>
      <w:r>
        <w:rPr>
          <w:color w:val="auto"/>
        </w:rPr>
        <w:fldChar w:fldCharType="begin"/>
      </w:r>
      <w:r>
        <w:rPr>
          <w:color w:val="auto"/>
        </w:rPr>
        <w:instrText xml:space="preserve"> = 1 \* ROMAN \* MERGEFORMAT </w:instrText>
      </w:r>
      <w:r>
        <w:rPr>
          <w:color w:val="auto"/>
        </w:rPr>
        <w:fldChar w:fldCharType="separate"/>
      </w:r>
      <w:r>
        <w:rPr>
          <w:color w:val="auto"/>
        </w:rPr>
        <w:t>I</w:t>
      </w:r>
      <w:r>
        <w:rPr>
          <w:color w:val="auto"/>
        </w:rPr>
        <w:fldChar w:fldCharType="end"/>
      </w:r>
      <w:r>
        <w:rPr>
          <w:color w:val="auto"/>
        </w:rPr>
        <w:fldChar w:fldCharType="begin"/>
      </w:r>
      <w:r>
        <w:rPr>
          <w:color w:val="auto"/>
        </w:rPr>
        <w:instrText xml:space="preserve"> = 1 \* ROMAN \* MERGEFORMAT </w:instrText>
      </w:r>
      <w:r>
        <w:rPr>
          <w:color w:val="auto"/>
        </w:rPr>
        <w:fldChar w:fldCharType="separate"/>
      </w:r>
      <w:r>
        <w:rPr>
          <w:color w:val="auto"/>
        </w:rPr>
        <w:t>I</w:t>
      </w:r>
      <w:r>
        <w:rPr>
          <w:color w:val="auto"/>
        </w:rPr>
        <w:fldChar w:fldCharType="end"/>
      </w:r>
      <w:r>
        <w:rPr>
          <w:color w:val="auto"/>
        </w:rPr>
        <w:t>类项目，地下水环境影响评价工作级别为</w:t>
      </w:r>
      <w:r>
        <w:rPr>
          <w:rFonts w:hint="eastAsia"/>
          <w:color w:val="auto"/>
        </w:rPr>
        <w:t>三</w:t>
      </w:r>
      <w:r>
        <w:rPr>
          <w:color w:val="auto"/>
        </w:rPr>
        <w:t>级。</w:t>
      </w:r>
      <w:r>
        <w:rPr>
          <w:rFonts w:hint="eastAsia"/>
          <w:color w:val="auto"/>
        </w:rPr>
        <w:t>项目区水文地质条件较为简单，项目污染物排放对地下水流场没有影响，评价区含水层基本参数（渗透系数、有效孔隙度等）变化很小。</w:t>
      </w:r>
      <w:r>
        <w:rPr>
          <w:color w:val="auto"/>
        </w:rPr>
        <w:t>按照导则要求，采用解析法进行预测。</w:t>
      </w:r>
    </w:p>
    <w:p>
      <w:pPr>
        <w:pStyle w:val="10"/>
        <w:spacing w:line="360" w:lineRule="auto"/>
        <w:rPr>
          <w:color w:val="auto"/>
        </w:rPr>
      </w:pPr>
      <w:r>
        <w:rPr>
          <w:rFonts w:hint="eastAsia"/>
          <w:color w:val="auto"/>
        </w:rPr>
        <w:t>5</w:t>
      </w:r>
      <w:r>
        <w:rPr>
          <w:color w:val="auto"/>
        </w:rPr>
        <w:t>.3.3.2 预测工况</w:t>
      </w:r>
    </w:p>
    <w:p>
      <w:pPr>
        <w:ind w:firstLine="480"/>
        <w:rPr>
          <w:color w:val="auto"/>
        </w:rPr>
      </w:pPr>
      <w:r>
        <w:rPr>
          <w:color w:val="auto"/>
        </w:rPr>
        <w:t>1、正常工况对地下水环境影响的评价</w:t>
      </w:r>
    </w:p>
    <w:p>
      <w:pPr>
        <w:ind w:firstLine="489" w:firstLineChars="204"/>
        <w:contextualSpacing/>
        <w:rPr>
          <w:bCs/>
          <w:color w:val="auto"/>
          <w:szCs w:val="21"/>
        </w:rPr>
      </w:pPr>
      <w:r>
        <w:rPr>
          <w:rFonts w:hint="eastAsia"/>
          <w:bCs/>
          <w:color w:val="auto"/>
          <w:szCs w:val="21"/>
        </w:rPr>
        <w:t>拟建项目</w:t>
      </w:r>
      <w:r>
        <w:rPr>
          <w:bCs/>
          <w:color w:val="auto"/>
          <w:szCs w:val="21"/>
        </w:rPr>
        <w:t>正常产生废水主要为循环冷却系统排水、化验室排水、</w:t>
      </w:r>
      <w:r>
        <w:rPr>
          <w:rFonts w:hint="eastAsia"/>
          <w:bCs/>
          <w:color w:val="auto"/>
          <w:szCs w:val="21"/>
        </w:rPr>
        <w:t>喷淋塔排水、</w:t>
      </w:r>
      <w:r>
        <w:rPr>
          <w:bCs/>
          <w:color w:val="auto"/>
          <w:szCs w:val="21"/>
        </w:rPr>
        <w:t>地面清洗废水、生活废水和</w:t>
      </w:r>
      <w:r>
        <w:rPr>
          <w:rFonts w:hint="eastAsia"/>
          <w:bCs/>
          <w:color w:val="auto"/>
          <w:szCs w:val="21"/>
        </w:rPr>
        <w:t>生产废水</w:t>
      </w:r>
      <w:r>
        <w:rPr>
          <w:bCs/>
          <w:color w:val="auto"/>
          <w:szCs w:val="21"/>
        </w:rPr>
        <w:t>。</w:t>
      </w:r>
      <w:r>
        <w:rPr>
          <w:color w:val="auto"/>
        </w:rPr>
        <w:t>污水排放量为</w:t>
      </w:r>
      <w:r>
        <w:rPr>
          <w:rFonts w:hint="eastAsia"/>
          <w:color w:val="auto"/>
        </w:rPr>
        <w:t>2750.71</w:t>
      </w:r>
      <w:r>
        <w:rPr>
          <w:color w:val="auto"/>
        </w:rPr>
        <w:t>m</w:t>
      </w:r>
      <w:r>
        <w:rPr>
          <w:color w:val="auto"/>
          <w:vertAlign w:val="superscript"/>
        </w:rPr>
        <w:t>3</w:t>
      </w:r>
      <w:r>
        <w:rPr>
          <w:color w:val="auto"/>
        </w:rPr>
        <w:t>/a（</w:t>
      </w:r>
      <w:r>
        <w:rPr>
          <w:rFonts w:hint="eastAsia"/>
          <w:color w:val="auto"/>
        </w:rPr>
        <w:t>9.17</w:t>
      </w:r>
      <w:r>
        <w:rPr>
          <w:color w:val="auto"/>
        </w:rPr>
        <w:t>m</w:t>
      </w:r>
      <w:r>
        <w:rPr>
          <w:color w:val="auto"/>
          <w:vertAlign w:val="superscript"/>
        </w:rPr>
        <w:t>3</w:t>
      </w:r>
      <w:r>
        <w:rPr>
          <w:color w:val="auto"/>
        </w:rPr>
        <w:t>/d），</w:t>
      </w:r>
      <w:r>
        <w:rPr>
          <w:color w:val="auto"/>
          <w:spacing w:val="29"/>
        </w:rPr>
        <w:t>污水水质</w:t>
      </w:r>
      <w:r>
        <w:rPr>
          <w:color w:val="auto"/>
        </w:rPr>
        <w:t>达到</w:t>
      </w:r>
      <w:r>
        <w:rPr>
          <w:rFonts w:hint="eastAsia"/>
          <w:color w:val="auto"/>
          <w:lang w:val="en-US" w:eastAsia="zh-CN"/>
        </w:rPr>
        <w:t>《污水综合排放标准》（GB8978-1996）三级标准及光大水务（淄博）有限公司水质净化三分厂纳管水质要求</w:t>
      </w:r>
      <w:r>
        <w:rPr>
          <w:color w:val="auto"/>
        </w:rPr>
        <w:t>，排入</w:t>
      </w:r>
      <w:r>
        <w:rPr>
          <w:rFonts w:hint="eastAsia"/>
          <w:color w:val="auto"/>
        </w:rPr>
        <w:t>光大水务（淄博）有限公司</w:t>
      </w:r>
      <w:r>
        <w:rPr>
          <w:rFonts w:hint="eastAsia"/>
          <w:color w:val="auto"/>
          <w:lang w:eastAsia="zh-CN"/>
        </w:rPr>
        <w:t>三分厂</w:t>
      </w:r>
      <w:r>
        <w:rPr>
          <w:color w:val="auto"/>
        </w:rPr>
        <w:t>。</w:t>
      </w:r>
    </w:p>
    <w:p>
      <w:pPr>
        <w:ind w:firstLine="480"/>
        <w:rPr>
          <w:color w:val="auto"/>
        </w:rPr>
      </w:pPr>
      <w:r>
        <w:rPr>
          <w:color w:val="auto"/>
        </w:rPr>
        <w:t>正常工况（工况0）下，厂区生产设备正常运行，</w:t>
      </w:r>
      <w:r>
        <w:rPr>
          <w:color w:val="auto"/>
          <w:spacing w:val="29"/>
        </w:rPr>
        <w:t>污水水质</w:t>
      </w:r>
      <w:r>
        <w:rPr>
          <w:color w:val="auto"/>
        </w:rPr>
        <w:t>达到</w:t>
      </w:r>
      <w:r>
        <w:rPr>
          <w:rFonts w:hint="eastAsia"/>
          <w:color w:val="auto"/>
          <w:lang w:val="en-US" w:eastAsia="zh-CN"/>
        </w:rPr>
        <w:t>《污水综合排放标准》（GB8978-1996）三级标准及光大水务（淄博）有限公司水质净化三分厂纳管水质要求</w:t>
      </w:r>
      <w:r>
        <w:rPr>
          <w:color w:val="auto"/>
        </w:rPr>
        <w:t>，排入</w:t>
      </w:r>
      <w:r>
        <w:rPr>
          <w:rFonts w:hint="eastAsia"/>
          <w:color w:val="auto"/>
        </w:rPr>
        <w:t>光大水务（淄博）有限公司</w:t>
      </w:r>
      <w:r>
        <w:rPr>
          <w:rFonts w:hint="eastAsia"/>
          <w:color w:val="auto"/>
          <w:lang w:eastAsia="zh-CN"/>
        </w:rPr>
        <w:t>三分厂</w:t>
      </w:r>
      <w:r>
        <w:rPr>
          <w:color w:val="auto"/>
          <w:spacing w:val="29"/>
        </w:rPr>
        <w:t>。</w:t>
      </w:r>
      <w:r>
        <w:rPr>
          <w:rFonts w:hint="eastAsia"/>
          <w:color w:val="auto"/>
        </w:rPr>
        <w:t>拟建项目</w:t>
      </w:r>
      <w:r>
        <w:rPr>
          <w:color w:val="auto"/>
        </w:rPr>
        <w:t>通过落实各项环保治理措施，落实严格的防渗、防污措施，危险废物贮存场所防渗效果满足《危险废物贮存污染控制标准》（GB18596-2001）中的相关要求，采取相应的防渗措施后对地下水的影响较小。</w:t>
      </w:r>
    </w:p>
    <w:p>
      <w:pPr>
        <w:ind w:firstLine="480"/>
        <w:rPr>
          <w:color w:val="auto"/>
        </w:rPr>
      </w:pPr>
      <w:r>
        <w:rPr>
          <w:color w:val="auto"/>
        </w:rPr>
        <w:t>因此，正常工况下拟建项目不会对地下水环境造成影响。</w:t>
      </w:r>
    </w:p>
    <w:p>
      <w:pPr>
        <w:ind w:firstLine="480"/>
        <w:rPr>
          <w:color w:val="auto"/>
        </w:rPr>
      </w:pPr>
      <w:r>
        <w:rPr>
          <w:color w:val="auto"/>
        </w:rPr>
        <w:t>2、非正常工况对地下水环境影响的预测评价</w:t>
      </w:r>
    </w:p>
    <w:p>
      <w:pPr>
        <w:adjustRightInd w:val="0"/>
        <w:snapToGrid w:val="0"/>
        <w:ind w:firstLine="480"/>
        <w:rPr>
          <w:color w:val="auto"/>
          <w:szCs w:val="21"/>
        </w:rPr>
      </w:pPr>
      <w:r>
        <w:rPr>
          <w:color w:val="auto"/>
          <w:szCs w:val="21"/>
        </w:rPr>
        <w:t>非正常工况下，如果厂区内污水收集管线、污水收集池或者防渗层出现“跑、冒、滴、漏”等情况（即工况1），会对地下水环境产生影响。另外，如果发生重大紧急泄露事件等突发事故（如厂区内物料储罐发生泄漏，即工况2），由于工作人员发现事故到处理事故需要一定时间，而在这段时间污染物会经过破坏的部位进入土壤及地下水，并对地下水造成污染。</w:t>
      </w:r>
    </w:p>
    <w:p>
      <w:pPr>
        <w:adjustRightInd w:val="0"/>
        <w:snapToGrid w:val="0"/>
        <w:ind w:firstLine="480"/>
        <w:rPr>
          <w:color w:val="auto"/>
          <w:szCs w:val="21"/>
        </w:rPr>
      </w:pPr>
      <w:r>
        <w:rPr>
          <w:color w:val="auto"/>
          <w:szCs w:val="21"/>
        </w:rPr>
        <w:t>因此，本次工作主要预测“跑、冒、滴、漏”情况（工况1）和突发事故（工况2）两种工况下，污染组分随地下水的迁移情况。</w:t>
      </w:r>
    </w:p>
    <w:p>
      <w:pPr>
        <w:pStyle w:val="10"/>
        <w:rPr>
          <w:color w:val="auto"/>
        </w:rPr>
      </w:pPr>
      <w:r>
        <w:rPr>
          <w:rFonts w:hint="eastAsia"/>
          <w:color w:val="auto"/>
        </w:rPr>
        <w:t>5</w:t>
      </w:r>
      <w:r>
        <w:rPr>
          <w:color w:val="auto"/>
        </w:rPr>
        <w:t>.3.3.3 数学模型</w:t>
      </w:r>
    </w:p>
    <w:p>
      <w:pPr>
        <w:ind w:firstLine="480"/>
        <w:rPr>
          <w:color w:val="auto"/>
        </w:rPr>
      </w:pPr>
      <w:r>
        <w:rPr>
          <w:color w:val="auto"/>
          <w:szCs w:val="21"/>
        </w:rPr>
        <w:t>项目建设时，会对上覆包气带土层进行部分剥离，当物料储存、传输或处理设施发生“跑、冒、滴、漏”情况或者在突发事故情况下，含有污染组分的废水可能会进入含水层，并随地下水流进行迁移。根据区域等水位</w:t>
      </w:r>
      <w:r>
        <w:rPr>
          <w:color w:val="auto"/>
        </w:rPr>
        <w:t>线图可知，区域地下水由</w:t>
      </w:r>
      <w:r>
        <w:rPr>
          <w:rFonts w:hint="eastAsia"/>
          <w:color w:val="auto"/>
        </w:rPr>
        <w:t>东</w:t>
      </w:r>
      <w:r>
        <w:rPr>
          <w:color w:val="auto"/>
        </w:rPr>
        <w:t>南向</w:t>
      </w:r>
      <w:r>
        <w:rPr>
          <w:rFonts w:hint="eastAsia"/>
          <w:color w:val="auto"/>
        </w:rPr>
        <w:t>西</w:t>
      </w:r>
      <w:r>
        <w:rPr>
          <w:color w:val="auto"/>
        </w:rPr>
        <w:t>北流动，呈现一维流动的特点。区域地下水位动态稳定，污染组分在地下水中迁移情况可概化为连续注入示踪剂的一维稳定流动二维水动力弥散问题。</w:t>
      </w:r>
    </w:p>
    <w:p>
      <w:pPr>
        <w:ind w:firstLine="480"/>
        <w:rPr>
          <w:color w:val="auto"/>
        </w:rPr>
      </w:pPr>
      <w:r>
        <w:rPr>
          <w:color w:val="auto"/>
        </w:rPr>
        <w:t>1、工况1下数学模型</w:t>
      </w:r>
    </w:p>
    <w:p>
      <w:pPr>
        <w:adjustRightInd w:val="0"/>
        <w:snapToGrid w:val="0"/>
        <w:spacing w:line="500" w:lineRule="exact"/>
        <w:ind w:firstLine="480"/>
        <w:rPr>
          <w:color w:val="auto"/>
          <w:szCs w:val="21"/>
        </w:rPr>
      </w:pPr>
      <w:r>
        <w:rPr>
          <w:color w:val="auto"/>
          <w:szCs w:val="21"/>
        </w:rPr>
        <w:t>工况1下，厂区内污水收集管线、污水处理站污收集池或者防渗层出现“跑、冒、滴、漏”等污水渗漏现象，污染组分在含水层中的迁移情况可概化为连续注入示踪剂（平面连续点源）的水动力弥散问题。取平行地下水流动的方向为x轴的正方向时，则求取污染组分浓度分布模型如下：</w:t>
      </w:r>
    </w:p>
    <w:p>
      <w:pPr>
        <w:spacing w:line="240" w:lineRule="auto"/>
        <w:ind w:firstLine="480"/>
        <w:rPr>
          <w:color w:val="auto"/>
          <w:szCs w:val="21"/>
        </w:rPr>
      </w:pPr>
      <w:r>
        <w:rPr>
          <w:color w:val="auto"/>
          <w:position w:val="-76"/>
          <w:szCs w:val="21"/>
        </w:rPr>
        <w:drawing>
          <wp:inline distT="0" distB="0" distL="114300" distR="114300">
            <wp:extent cx="2830195" cy="876300"/>
            <wp:effectExtent l="0" t="0" r="8255" b="0"/>
            <wp:docPr id="8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6"/>
                    <pic:cNvPicPr>
                      <a:picLocks noChangeAspect="1"/>
                    </pic:cNvPicPr>
                  </pic:nvPicPr>
                  <pic:blipFill>
                    <a:blip r:embed="rId115"/>
                    <a:stretch>
                      <a:fillRect/>
                    </a:stretch>
                  </pic:blipFill>
                  <pic:spPr>
                    <a:xfrm>
                      <a:off x="0" y="0"/>
                      <a:ext cx="2830195" cy="876300"/>
                    </a:xfrm>
                    <a:prstGeom prst="rect">
                      <a:avLst/>
                    </a:prstGeom>
                    <a:noFill/>
                    <a:ln>
                      <a:noFill/>
                    </a:ln>
                  </pic:spPr>
                </pic:pic>
              </a:graphicData>
            </a:graphic>
          </wp:inline>
        </w:drawing>
      </w:r>
      <w:r>
        <w:rPr>
          <w:color w:val="auto"/>
          <w:szCs w:val="21"/>
        </w:rPr>
        <w:t xml:space="preserve">         （公式6.3-1）</w:t>
      </w:r>
    </w:p>
    <w:p>
      <w:pPr>
        <w:spacing w:line="500" w:lineRule="exact"/>
        <w:ind w:firstLine="480"/>
        <w:rPr>
          <w:color w:val="auto"/>
          <w:szCs w:val="21"/>
        </w:rPr>
      </w:pPr>
      <w:r>
        <w:rPr>
          <w:color w:val="auto"/>
          <w:szCs w:val="21"/>
        </w:rPr>
        <w:t>式中：</w:t>
      </w:r>
    </w:p>
    <w:p>
      <w:pPr>
        <w:spacing w:line="500" w:lineRule="exact"/>
        <w:ind w:firstLine="480"/>
        <w:rPr>
          <w:color w:val="auto"/>
          <w:szCs w:val="21"/>
        </w:rPr>
      </w:pPr>
      <w:r>
        <w:rPr>
          <w:color w:val="auto"/>
          <w:szCs w:val="21"/>
        </w:rPr>
        <w:t>x，y—计算点处的位置坐标；</w:t>
      </w:r>
    </w:p>
    <w:p>
      <w:pPr>
        <w:spacing w:line="500" w:lineRule="exact"/>
        <w:ind w:firstLine="480"/>
        <w:rPr>
          <w:color w:val="auto"/>
          <w:szCs w:val="21"/>
        </w:rPr>
      </w:pPr>
      <w:r>
        <w:rPr>
          <w:color w:val="auto"/>
          <w:szCs w:val="21"/>
        </w:rPr>
        <w:t>t—时间，d；</w:t>
      </w:r>
    </w:p>
    <w:p>
      <w:pPr>
        <w:spacing w:line="500" w:lineRule="exact"/>
        <w:ind w:firstLine="480"/>
        <w:rPr>
          <w:color w:val="auto"/>
          <w:szCs w:val="21"/>
        </w:rPr>
      </w:pPr>
      <w:r>
        <w:rPr>
          <w:color w:val="auto"/>
          <w:szCs w:val="21"/>
        </w:rPr>
        <w:t>C(x,y,t)—t时刻点x,y处的示踪剂浓度，mg/L；</w:t>
      </w:r>
    </w:p>
    <w:p>
      <w:pPr>
        <w:spacing w:line="500" w:lineRule="exact"/>
        <w:ind w:firstLine="480"/>
        <w:rPr>
          <w:color w:val="auto"/>
          <w:szCs w:val="21"/>
        </w:rPr>
      </w:pPr>
      <w:r>
        <w:rPr>
          <w:color w:val="auto"/>
          <w:szCs w:val="21"/>
        </w:rPr>
        <w:t>M—承压含水层的厚度，m；</w:t>
      </w:r>
    </w:p>
    <w:p>
      <w:pPr>
        <w:spacing w:line="500" w:lineRule="exact"/>
        <w:ind w:firstLine="480"/>
        <w:rPr>
          <w:color w:val="auto"/>
          <w:szCs w:val="21"/>
        </w:rPr>
      </w:pPr>
      <w:r>
        <w:rPr>
          <w:color w:val="auto"/>
          <w:szCs w:val="21"/>
        </w:rPr>
        <w:t>m</w:t>
      </w:r>
      <w:r>
        <w:rPr>
          <w:color w:val="auto"/>
          <w:szCs w:val="21"/>
          <w:vertAlign w:val="subscript"/>
        </w:rPr>
        <w:t>t</w:t>
      </w:r>
      <w:r>
        <w:rPr>
          <w:color w:val="auto"/>
          <w:szCs w:val="21"/>
        </w:rPr>
        <w:t>—单位时间注入示踪剂的质量，kg/d；</w:t>
      </w:r>
    </w:p>
    <w:p>
      <w:pPr>
        <w:spacing w:line="500" w:lineRule="exact"/>
        <w:ind w:firstLine="480"/>
        <w:rPr>
          <w:color w:val="auto"/>
          <w:szCs w:val="21"/>
        </w:rPr>
      </w:pPr>
      <w:r>
        <w:rPr>
          <w:color w:val="auto"/>
          <w:szCs w:val="21"/>
        </w:rPr>
        <w:t>u—水流速度，m/d；</w:t>
      </w:r>
    </w:p>
    <w:p>
      <w:pPr>
        <w:spacing w:line="500" w:lineRule="exact"/>
        <w:ind w:firstLine="480"/>
        <w:rPr>
          <w:color w:val="auto"/>
          <w:szCs w:val="21"/>
        </w:rPr>
      </w:pPr>
      <w:r>
        <w:rPr>
          <w:color w:val="auto"/>
          <w:szCs w:val="21"/>
        </w:rPr>
        <w:t>n—有效孔隙度，无量纲；</w:t>
      </w:r>
    </w:p>
    <w:p>
      <w:pPr>
        <w:spacing w:line="500" w:lineRule="exact"/>
        <w:ind w:firstLine="480"/>
        <w:rPr>
          <w:color w:val="auto"/>
          <w:szCs w:val="21"/>
        </w:rPr>
      </w:pPr>
      <w:r>
        <w:rPr>
          <w:color w:val="auto"/>
          <w:szCs w:val="21"/>
        </w:rPr>
        <w:t>D</w:t>
      </w:r>
      <w:r>
        <w:rPr>
          <w:color w:val="auto"/>
          <w:szCs w:val="21"/>
          <w:vertAlign w:val="subscript"/>
        </w:rPr>
        <w:t>L</w:t>
      </w:r>
      <w:r>
        <w:rPr>
          <w:color w:val="auto"/>
          <w:szCs w:val="21"/>
        </w:rPr>
        <w:t>—纵向弥散系数，m</w:t>
      </w:r>
      <w:r>
        <w:rPr>
          <w:color w:val="auto"/>
          <w:szCs w:val="21"/>
          <w:vertAlign w:val="superscript"/>
        </w:rPr>
        <w:t>2</w:t>
      </w:r>
      <w:r>
        <w:rPr>
          <w:color w:val="auto"/>
          <w:szCs w:val="21"/>
        </w:rPr>
        <w:t>/d；</w:t>
      </w:r>
    </w:p>
    <w:p>
      <w:pPr>
        <w:spacing w:line="500" w:lineRule="exact"/>
        <w:ind w:firstLine="480"/>
        <w:rPr>
          <w:color w:val="auto"/>
          <w:szCs w:val="21"/>
        </w:rPr>
      </w:pPr>
      <w:r>
        <w:rPr>
          <w:color w:val="auto"/>
          <w:szCs w:val="21"/>
        </w:rPr>
        <w:t>D</w:t>
      </w:r>
      <w:r>
        <w:rPr>
          <w:color w:val="auto"/>
          <w:szCs w:val="21"/>
          <w:vertAlign w:val="subscript"/>
        </w:rPr>
        <w:t>T</w:t>
      </w:r>
      <w:r>
        <w:rPr>
          <w:color w:val="auto"/>
          <w:szCs w:val="21"/>
        </w:rPr>
        <w:t>—横向y方向的弥散系数，m</w:t>
      </w:r>
      <w:r>
        <w:rPr>
          <w:color w:val="auto"/>
          <w:szCs w:val="21"/>
          <w:vertAlign w:val="superscript"/>
        </w:rPr>
        <w:t>2</w:t>
      </w:r>
      <w:r>
        <w:rPr>
          <w:color w:val="auto"/>
          <w:szCs w:val="21"/>
        </w:rPr>
        <w:t>/d；</w:t>
      </w:r>
    </w:p>
    <w:p>
      <w:pPr>
        <w:spacing w:line="500" w:lineRule="exact"/>
        <w:ind w:firstLine="480"/>
        <w:rPr>
          <w:color w:val="auto"/>
          <w:szCs w:val="21"/>
        </w:rPr>
      </w:pPr>
      <w:r>
        <w:rPr>
          <w:color w:val="auto"/>
          <w:szCs w:val="21"/>
        </w:rPr>
        <w:t>π—圆周率；</w:t>
      </w:r>
    </w:p>
    <w:p>
      <w:pPr>
        <w:spacing w:line="500" w:lineRule="exact"/>
        <w:ind w:firstLine="480"/>
        <w:rPr>
          <w:color w:val="auto"/>
          <w:szCs w:val="21"/>
        </w:rPr>
      </w:pPr>
      <w:r>
        <w:rPr>
          <w:color w:val="auto"/>
          <w:position w:val="-12"/>
          <w:szCs w:val="21"/>
        </w:rPr>
        <w:drawing>
          <wp:inline distT="0" distB="0" distL="114300" distR="114300">
            <wp:extent cx="444500" cy="228600"/>
            <wp:effectExtent l="0" t="0" r="12700" b="0"/>
            <wp:docPr id="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7"/>
                    <pic:cNvPicPr>
                      <a:picLocks noChangeAspect="1"/>
                    </pic:cNvPicPr>
                  </pic:nvPicPr>
                  <pic:blipFill>
                    <a:blip r:embed="rId116"/>
                    <a:stretch>
                      <a:fillRect/>
                    </a:stretch>
                  </pic:blipFill>
                  <pic:spPr>
                    <a:xfrm>
                      <a:off x="0" y="0"/>
                      <a:ext cx="444500" cy="228600"/>
                    </a:xfrm>
                    <a:prstGeom prst="rect">
                      <a:avLst/>
                    </a:prstGeom>
                    <a:noFill/>
                    <a:ln>
                      <a:noFill/>
                    </a:ln>
                  </pic:spPr>
                </pic:pic>
              </a:graphicData>
            </a:graphic>
          </wp:inline>
        </w:drawing>
      </w:r>
      <w:r>
        <w:rPr>
          <w:color w:val="auto"/>
          <w:szCs w:val="21"/>
        </w:rPr>
        <w:t>—第二类零阶修正贝塞尔函数（可查《地下水动力学》获得）；</w:t>
      </w:r>
    </w:p>
    <w:p>
      <w:pPr>
        <w:spacing w:line="240" w:lineRule="auto"/>
        <w:ind w:firstLine="480"/>
        <w:rPr>
          <w:color w:val="auto"/>
          <w:szCs w:val="21"/>
        </w:rPr>
      </w:pPr>
      <w:r>
        <w:rPr>
          <w:color w:val="auto"/>
          <w:position w:val="-30"/>
          <w:szCs w:val="21"/>
        </w:rPr>
        <w:drawing>
          <wp:inline distT="0" distB="0" distL="114300" distR="114300">
            <wp:extent cx="762000" cy="457200"/>
            <wp:effectExtent l="0" t="0" r="0" b="0"/>
            <wp:docPr id="1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8"/>
                    <pic:cNvPicPr>
                      <a:picLocks noChangeAspect="1"/>
                    </pic:cNvPicPr>
                  </pic:nvPicPr>
                  <pic:blipFill>
                    <a:blip r:embed="rId117"/>
                    <a:stretch>
                      <a:fillRect/>
                    </a:stretch>
                  </pic:blipFill>
                  <pic:spPr>
                    <a:xfrm>
                      <a:off x="0" y="0"/>
                      <a:ext cx="762000" cy="457200"/>
                    </a:xfrm>
                    <a:prstGeom prst="rect">
                      <a:avLst/>
                    </a:prstGeom>
                    <a:noFill/>
                    <a:ln>
                      <a:noFill/>
                    </a:ln>
                  </pic:spPr>
                </pic:pic>
              </a:graphicData>
            </a:graphic>
          </wp:inline>
        </w:drawing>
      </w:r>
      <w:r>
        <w:rPr>
          <w:color w:val="auto"/>
          <w:szCs w:val="21"/>
        </w:rPr>
        <w:t>--第一类越流系统井函数（可查《地下水动力学》获得）。</w:t>
      </w:r>
    </w:p>
    <w:p>
      <w:pPr>
        <w:ind w:left="600" w:firstLine="0" w:firstLineChars="0"/>
        <w:rPr>
          <w:color w:val="auto"/>
        </w:rPr>
      </w:pPr>
      <w:r>
        <w:rPr>
          <w:color w:val="auto"/>
        </w:rPr>
        <w:t>2、工况2下数学模型</w:t>
      </w:r>
    </w:p>
    <w:p>
      <w:pPr>
        <w:spacing w:line="500" w:lineRule="exact"/>
        <w:ind w:firstLine="480"/>
        <w:rPr>
          <w:color w:val="auto"/>
          <w:szCs w:val="21"/>
        </w:rPr>
      </w:pPr>
      <w:r>
        <w:rPr>
          <w:color w:val="auto"/>
          <w:szCs w:val="21"/>
        </w:rPr>
        <w:t>工况2下，发生重大紧急泄露事件等突发事故，污染组分在含水层中的迁移情况可概化为瞬时注入示踪剂（平面瞬时点源）的水动力弥散问题。取平行地下水流动的方向为x轴的正方向时，则求取污染组分浓度分布模型如下：</w:t>
      </w:r>
    </w:p>
    <w:p>
      <w:pPr>
        <w:spacing w:line="240" w:lineRule="auto"/>
        <w:ind w:firstLine="480"/>
        <w:rPr>
          <w:color w:val="auto"/>
          <w:szCs w:val="21"/>
        </w:rPr>
      </w:pPr>
      <w:r>
        <w:rPr>
          <w:color w:val="auto"/>
          <w:position w:val="-32"/>
          <w:szCs w:val="21"/>
        </w:rPr>
        <w:drawing>
          <wp:inline distT="0" distB="0" distL="114300" distR="114300">
            <wp:extent cx="2320925" cy="544830"/>
            <wp:effectExtent l="0" t="0" r="3175" b="7620"/>
            <wp:docPr id="1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9"/>
                    <pic:cNvPicPr>
                      <a:picLocks noChangeAspect="1"/>
                    </pic:cNvPicPr>
                  </pic:nvPicPr>
                  <pic:blipFill>
                    <a:blip r:embed="rId118"/>
                    <a:stretch>
                      <a:fillRect/>
                    </a:stretch>
                  </pic:blipFill>
                  <pic:spPr>
                    <a:xfrm>
                      <a:off x="0" y="0"/>
                      <a:ext cx="2320925" cy="544830"/>
                    </a:xfrm>
                    <a:prstGeom prst="rect">
                      <a:avLst/>
                    </a:prstGeom>
                    <a:noFill/>
                    <a:ln>
                      <a:noFill/>
                    </a:ln>
                  </pic:spPr>
                </pic:pic>
              </a:graphicData>
            </a:graphic>
          </wp:inline>
        </w:drawing>
      </w:r>
      <w:r>
        <w:rPr>
          <w:color w:val="auto"/>
          <w:szCs w:val="21"/>
        </w:rPr>
        <w:t xml:space="preserve">           （公式6.3-2）</w:t>
      </w:r>
    </w:p>
    <w:p>
      <w:pPr>
        <w:spacing w:line="500" w:lineRule="exact"/>
        <w:ind w:firstLine="480"/>
        <w:rPr>
          <w:color w:val="auto"/>
          <w:szCs w:val="21"/>
        </w:rPr>
      </w:pPr>
      <w:r>
        <w:rPr>
          <w:color w:val="auto"/>
          <w:szCs w:val="21"/>
        </w:rPr>
        <w:t>式中：</w:t>
      </w:r>
    </w:p>
    <w:p>
      <w:pPr>
        <w:spacing w:line="500" w:lineRule="exact"/>
        <w:ind w:firstLine="480"/>
        <w:rPr>
          <w:color w:val="auto"/>
          <w:szCs w:val="21"/>
        </w:rPr>
      </w:pPr>
      <w:r>
        <w:rPr>
          <w:color w:val="auto"/>
          <w:szCs w:val="21"/>
        </w:rPr>
        <w:t>x，y—计算点处的位置坐标；</w:t>
      </w:r>
    </w:p>
    <w:p>
      <w:pPr>
        <w:spacing w:line="500" w:lineRule="exact"/>
        <w:ind w:firstLine="480"/>
        <w:rPr>
          <w:color w:val="auto"/>
          <w:szCs w:val="21"/>
        </w:rPr>
      </w:pPr>
      <w:r>
        <w:rPr>
          <w:color w:val="auto"/>
          <w:szCs w:val="21"/>
        </w:rPr>
        <w:t>t—时间，d；</w:t>
      </w:r>
    </w:p>
    <w:p>
      <w:pPr>
        <w:spacing w:line="500" w:lineRule="exact"/>
        <w:ind w:firstLine="480"/>
        <w:rPr>
          <w:color w:val="auto"/>
          <w:szCs w:val="21"/>
        </w:rPr>
      </w:pPr>
      <w:r>
        <w:rPr>
          <w:color w:val="auto"/>
          <w:szCs w:val="21"/>
        </w:rPr>
        <w:t>C(x，y，t)—t时刻点x，y处的示踪剂浓度，mg/L；</w:t>
      </w:r>
    </w:p>
    <w:p>
      <w:pPr>
        <w:spacing w:line="500" w:lineRule="exact"/>
        <w:ind w:firstLine="480"/>
        <w:rPr>
          <w:color w:val="auto"/>
          <w:szCs w:val="21"/>
        </w:rPr>
      </w:pPr>
      <w:r>
        <w:rPr>
          <w:color w:val="auto"/>
          <w:szCs w:val="21"/>
        </w:rPr>
        <w:t>M—承压含水层的厚度，m；</w:t>
      </w:r>
    </w:p>
    <w:p>
      <w:pPr>
        <w:spacing w:line="500" w:lineRule="exact"/>
        <w:ind w:firstLine="480"/>
        <w:rPr>
          <w:color w:val="auto"/>
          <w:szCs w:val="21"/>
        </w:rPr>
      </w:pPr>
      <w:r>
        <w:rPr>
          <w:color w:val="auto"/>
          <w:szCs w:val="21"/>
        </w:rPr>
        <w:t>m</w:t>
      </w:r>
      <w:r>
        <w:rPr>
          <w:color w:val="auto"/>
          <w:szCs w:val="21"/>
          <w:vertAlign w:val="subscript"/>
        </w:rPr>
        <w:t>M</w:t>
      </w:r>
      <w:r>
        <w:rPr>
          <w:color w:val="auto"/>
          <w:szCs w:val="21"/>
        </w:rPr>
        <w:t>—长度为M的线源瞬时注入的示踪剂的质量，g；</w:t>
      </w:r>
    </w:p>
    <w:p>
      <w:pPr>
        <w:spacing w:line="500" w:lineRule="exact"/>
        <w:ind w:firstLine="480"/>
        <w:rPr>
          <w:color w:val="auto"/>
          <w:szCs w:val="21"/>
        </w:rPr>
      </w:pPr>
      <w:r>
        <w:rPr>
          <w:color w:val="auto"/>
          <w:szCs w:val="21"/>
        </w:rPr>
        <w:t>u—水流速度，m/d；</w:t>
      </w:r>
    </w:p>
    <w:p>
      <w:pPr>
        <w:spacing w:line="500" w:lineRule="exact"/>
        <w:ind w:firstLine="480"/>
        <w:rPr>
          <w:color w:val="auto"/>
          <w:szCs w:val="21"/>
        </w:rPr>
      </w:pPr>
      <w:r>
        <w:rPr>
          <w:color w:val="auto"/>
          <w:szCs w:val="21"/>
        </w:rPr>
        <w:t>n—有效孔隙度，无量纲；</w:t>
      </w:r>
    </w:p>
    <w:p>
      <w:pPr>
        <w:spacing w:line="500" w:lineRule="exact"/>
        <w:ind w:firstLine="480"/>
        <w:rPr>
          <w:color w:val="auto"/>
          <w:szCs w:val="21"/>
        </w:rPr>
      </w:pPr>
      <w:r>
        <w:rPr>
          <w:color w:val="auto"/>
          <w:szCs w:val="21"/>
        </w:rPr>
        <w:t>D</w:t>
      </w:r>
      <w:r>
        <w:rPr>
          <w:color w:val="auto"/>
          <w:szCs w:val="21"/>
          <w:vertAlign w:val="subscript"/>
        </w:rPr>
        <w:t>L</w:t>
      </w:r>
      <w:r>
        <w:rPr>
          <w:color w:val="auto"/>
          <w:szCs w:val="21"/>
        </w:rPr>
        <w:t>—纵向弥散系数，m</w:t>
      </w:r>
      <w:r>
        <w:rPr>
          <w:color w:val="auto"/>
          <w:szCs w:val="21"/>
          <w:vertAlign w:val="superscript"/>
        </w:rPr>
        <w:t>2</w:t>
      </w:r>
      <w:r>
        <w:rPr>
          <w:color w:val="auto"/>
          <w:szCs w:val="21"/>
        </w:rPr>
        <w:t>/d；</w:t>
      </w:r>
    </w:p>
    <w:p>
      <w:pPr>
        <w:spacing w:line="500" w:lineRule="exact"/>
        <w:ind w:firstLine="480"/>
        <w:rPr>
          <w:color w:val="auto"/>
          <w:szCs w:val="21"/>
        </w:rPr>
      </w:pPr>
      <w:r>
        <w:rPr>
          <w:color w:val="auto"/>
          <w:szCs w:val="21"/>
        </w:rPr>
        <w:t>D</w:t>
      </w:r>
      <w:r>
        <w:rPr>
          <w:color w:val="auto"/>
          <w:szCs w:val="21"/>
          <w:vertAlign w:val="subscript"/>
        </w:rPr>
        <w:t>T</w:t>
      </w:r>
      <w:r>
        <w:rPr>
          <w:color w:val="auto"/>
          <w:szCs w:val="21"/>
        </w:rPr>
        <w:t>—横向y方向的弥散系数，m</w:t>
      </w:r>
      <w:r>
        <w:rPr>
          <w:color w:val="auto"/>
          <w:szCs w:val="21"/>
          <w:vertAlign w:val="superscript"/>
        </w:rPr>
        <w:t>2</w:t>
      </w:r>
      <w:r>
        <w:rPr>
          <w:color w:val="auto"/>
          <w:szCs w:val="21"/>
        </w:rPr>
        <w:t>/d；</w:t>
      </w:r>
    </w:p>
    <w:p>
      <w:pPr>
        <w:spacing w:line="500" w:lineRule="exact"/>
        <w:ind w:firstLine="480"/>
        <w:rPr>
          <w:color w:val="auto"/>
          <w:szCs w:val="21"/>
        </w:rPr>
      </w:pPr>
      <w:r>
        <w:rPr>
          <w:color w:val="auto"/>
          <w:position w:val="-6"/>
          <w:szCs w:val="21"/>
        </w:rPr>
        <w:drawing>
          <wp:inline distT="0" distB="0" distL="114300" distR="114300">
            <wp:extent cx="194945" cy="194945"/>
            <wp:effectExtent l="0" t="0" r="14605" b="0"/>
            <wp:docPr id="1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0"/>
                    <pic:cNvPicPr>
                      <a:picLocks noChangeAspect="1"/>
                    </pic:cNvPicPr>
                  </pic:nvPicPr>
                  <pic:blipFill>
                    <a:blip r:embed="rId119"/>
                    <a:stretch>
                      <a:fillRect/>
                    </a:stretch>
                  </pic:blipFill>
                  <pic:spPr>
                    <a:xfrm>
                      <a:off x="0" y="0"/>
                      <a:ext cx="194945" cy="194945"/>
                    </a:xfrm>
                    <a:prstGeom prst="rect">
                      <a:avLst/>
                    </a:prstGeom>
                    <a:noFill/>
                    <a:ln>
                      <a:noFill/>
                    </a:ln>
                  </pic:spPr>
                </pic:pic>
              </a:graphicData>
            </a:graphic>
          </wp:inline>
        </w:drawing>
      </w:r>
      <w:r>
        <w:rPr>
          <w:color w:val="auto"/>
          <w:szCs w:val="21"/>
        </w:rPr>
        <w:t>—圆周率。</w:t>
      </w:r>
    </w:p>
    <w:p>
      <w:pPr>
        <w:pStyle w:val="10"/>
        <w:rPr>
          <w:color w:val="auto"/>
        </w:rPr>
      </w:pPr>
      <w:r>
        <w:rPr>
          <w:rFonts w:hint="eastAsia"/>
          <w:color w:val="auto"/>
        </w:rPr>
        <w:t>5</w:t>
      </w:r>
      <w:r>
        <w:rPr>
          <w:color w:val="auto"/>
        </w:rPr>
        <w:t>.3.3.4 预测因子</w:t>
      </w:r>
    </w:p>
    <w:p>
      <w:pPr>
        <w:pStyle w:val="14"/>
        <w:spacing w:after="0"/>
        <w:ind w:firstLine="480"/>
        <w:rPr>
          <w:color w:val="auto"/>
          <w:szCs w:val="24"/>
        </w:rPr>
      </w:pPr>
      <w:r>
        <w:rPr>
          <w:color w:val="auto"/>
          <w:szCs w:val="21"/>
        </w:rPr>
        <w:t>根据工程分析，</w:t>
      </w:r>
      <w:r>
        <w:rPr>
          <w:rFonts w:hint="eastAsia"/>
          <w:color w:val="auto"/>
          <w:szCs w:val="21"/>
        </w:rPr>
        <w:t>拟建项目</w:t>
      </w:r>
      <w:r>
        <w:rPr>
          <w:color w:val="auto"/>
          <w:szCs w:val="21"/>
        </w:rPr>
        <w:t>废水主要为</w:t>
      </w:r>
      <w:r>
        <w:rPr>
          <w:bCs/>
          <w:color w:val="auto"/>
          <w:szCs w:val="21"/>
        </w:rPr>
        <w:t>循环冷却系统排水、化验室排水、</w:t>
      </w:r>
      <w:r>
        <w:rPr>
          <w:rFonts w:hint="eastAsia"/>
          <w:bCs/>
          <w:color w:val="auto"/>
          <w:szCs w:val="21"/>
        </w:rPr>
        <w:t>喷淋塔排水、</w:t>
      </w:r>
      <w:r>
        <w:rPr>
          <w:bCs/>
          <w:color w:val="auto"/>
          <w:szCs w:val="21"/>
        </w:rPr>
        <w:t>地面清洗废水、生活废水和</w:t>
      </w:r>
      <w:r>
        <w:rPr>
          <w:rFonts w:hint="eastAsia"/>
          <w:bCs/>
          <w:color w:val="auto"/>
          <w:szCs w:val="21"/>
        </w:rPr>
        <w:t>生产废水</w:t>
      </w:r>
      <w:r>
        <w:rPr>
          <w:color w:val="auto"/>
          <w:szCs w:val="21"/>
        </w:rPr>
        <w:t>等，其污水中主要污染物为COD</w:t>
      </w:r>
      <w:r>
        <w:rPr>
          <w:rFonts w:hint="eastAsia"/>
          <w:color w:val="auto"/>
          <w:szCs w:val="21"/>
        </w:rPr>
        <w:t>、石油类</w:t>
      </w:r>
      <w:r>
        <w:rPr>
          <w:color w:val="auto"/>
          <w:szCs w:val="21"/>
        </w:rPr>
        <w:t>等。</w:t>
      </w:r>
      <w:r>
        <w:rPr>
          <w:color w:val="auto"/>
        </w:rPr>
        <w:t>本次预测污染物控制因子选取COD作为因子。参考《地下水质量标准》（GB/T14848-2017）的Ⅲ类水标准，将COD（耗氧量）浓度超过3mg/L</w:t>
      </w:r>
      <w:r>
        <w:rPr>
          <w:rFonts w:hint="eastAsia"/>
          <w:color w:val="auto"/>
        </w:rPr>
        <w:t>。</w:t>
      </w:r>
    </w:p>
    <w:p>
      <w:pPr>
        <w:pStyle w:val="10"/>
        <w:rPr>
          <w:color w:val="auto"/>
        </w:rPr>
      </w:pPr>
      <w:r>
        <w:rPr>
          <w:rFonts w:hint="eastAsia"/>
          <w:color w:val="auto"/>
        </w:rPr>
        <w:t>5</w:t>
      </w:r>
      <w:r>
        <w:rPr>
          <w:color w:val="auto"/>
        </w:rPr>
        <w:t>.3.3.5 预测位置及污染判定</w:t>
      </w:r>
    </w:p>
    <w:p>
      <w:pPr>
        <w:ind w:firstLine="480"/>
        <w:rPr>
          <w:color w:val="auto"/>
        </w:rPr>
      </w:pPr>
      <w:r>
        <w:rPr>
          <w:color w:val="auto"/>
        </w:rPr>
        <w:t>1、风险位置</w:t>
      </w:r>
    </w:p>
    <w:p>
      <w:pPr>
        <w:ind w:firstLine="480"/>
        <w:rPr>
          <w:color w:val="auto"/>
        </w:rPr>
      </w:pPr>
      <w:r>
        <w:rPr>
          <w:color w:val="auto"/>
        </w:rPr>
        <w:t>根据项目工程分析，结合各装置及罐区原辅料贮存量，为了模拟最大风险状态，尽可能选取污染物产生量及浓度最高的位置进行预测，综合考虑确定本次地下水预测的风险位置为</w:t>
      </w:r>
      <w:r>
        <w:rPr>
          <w:rFonts w:hint="eastAsia"/>
          <w:color w:val="auto"/>
        </w:rPr>
        <w:t>污水站</w:t>
      </w:r>
      <w:r>
        <w:rPr>
          <w:color w:val="auto"/>
        </w:rPr>
        <w:t>。</w:t>
      </w:r>
    </w:p>
    <w:p>
      <w:pPr>
        <w:pStyle w:val="64"/>
        <w:spacing w:line="240" w:lineRule="auto"/>
        <w:ind w:firstLine="0" w:firstLineChars="0"/>
        <w:rPr>
          <w:b/>
          <w:color w:val="auto"/>
        </w:rPr>
      </w:pPr>
      <w:r>
        <w:rPr>
          <w:color w:val="auto"/>
          <w:sz w:val="21"/>
        </w:rPr>
        <mc:AlternateContent>
          <mc:Choice Requires="wps">
            <w:drawing>
              <wp:anchor distT="0" distB="0" distL="114300" distR="114300" simplePos="0" relativeHeight="251764736" behindDoc="0" locked="0" layoutInCell="1" allowOverlap="1">
                <wp:simplePos x="0" y="0"/>
                <wp:positionH relativeFrom="column">
                  <wp:posOffset>4416425</wp:posOffset>
                </wp:positionH>
                <wp:positionV relativeFrom="paragraph">
                  <wp:posOffset>3001645</wp:posOffset>
                </wp:positionV>
                <wp:extent cx="770255" cy="388620"/>
                <wp:effectExtent l="6350" t="6350" r="23495" b="24130"/>
                <wp:wrapNone/>
                <wp:docPr id="34" name="矩形 34"/>
                <wp:cNvGraphicFramePr/>
                <a:graphic xmlns:a="http://schemas.openxmlformats.org/drawingml/2006/main">
                  <a:graphicData uri="http://schemas.microsoft.com/office/word/2010/wordprocessingShape">
                    <wps:wsp>
                      <wps:cNvSpPr/>
                      <wps:spPr>
                        <a:xfrm>
                          <a:off x="5316220" y="3901440"/>
                          <a:ext cx="770255" cy="3886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7.75pt;margin-top:236.35pt;height:30.6pt;width:60.65pt;z-index:251764736;v-text-anchor:middle;mso-width-relative:page;mso-height-relative:page;" fillcolor="#FFFFFF [3212]" filled="t" stroked="t" coordsize="21600,21600" o:gfxdata="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CoZJ1XaAAAACwEAAA8AAAAAAAAAAQAgAAAAIgAAAGRy&#10;cy9kb3ducmV2LnhtbFBLAQIUABQAAAAIAIdO4kDirebEdQIAAAEFAAAOAAAAAAAAAAEAIAAAACkB&#10;AABkcnMvZTJvRG9jLnhtbFBLBQYAAAAABgAGAFkBAAAQBgAAAAA=&#10;">
                <v:fill on="t" focussize="0,0"/>
                <v:stroke weight="1pt" color="#FFFFFF [3212]" miterlimit="8" joinstyle="miter"/>
                <v:imagedata o:title=""/>
                <o:lock v:ext="edit" aspectratio="f"/>
              </v:rect>
            </w:pict>
          </mc:Fallback>
        </mc:AlternateContent>
      </w:r>
      <w:r>
        <w:rPr>
          <w:rFonts w:eastAsia="黑体"/>
          <w:color w:val="auto"/>
          <w:sz w:val="21"/>
          <w:szCs w:val="21"/>
        </w:rPr>
        <w:drawing>
          <wp:inline distT="0" distB="0" distL="114300" distR="114300">
            <wp:extent cx="5758180" cy="5730240"/>
            <wp:effectExtent l="9525" t="9525" r="23495" b="13335"/>
            <wp:docPr id="40" name="图片 40" descr="166064039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660640390438"/>
                    <pic:cNvPicPr>
                      <a:picLocks noChangeAspect="1"/>
                    </pic:cNvPicPr>
                  </pic:nvPicPr>
                  <pic:blipFill>
                    <a:blip r:embed="rId120"/>
                    <a:stretch>
                      <a:fillRect/>
                    </a:stretch>
                  </pic:blipFill>
                  <pic:spPr>
                    <a:xfrm>
                      <a:off x="0" y="0"/>
                      <a:ext cx="5758180" cy="5730240"/>
                    </a:xfrm>
                    <a:prstGeom prst="rect">
                      <a:avLst/>
                    </a:prstGeom>
                    <a:ln>
                      <a:solidFill>
                        <a:schemeClr val="tx1"/>
                      </a:solidFill>
                    </a:ln>
                  </pic:spPr>
                </pic:pic>
              </a:graphicData>
            </a:graphic>
          </wp:inline>
        </w:drawing>
      </w:r>
      <w:r>
        <w:rPr>
          <w:b/>
          <w:color w:val="auto"/>
        </w:rPr>
        <w:t>图</w:t>
      </w:r>
      <w:r>
        <w:rPr>
          <w:rFonts w:hint="eastAsia"/>
          <w:b/>
          <w:color w:val="auto"/>
        </w:rPr>
        <w:t>5</w:t>
      </w:r>
      <w:r>
        <w:rPr>
          <w:b/>
          <w:color w:val="auto"/>
        </w:rPr>
        <w:t>.3-</w:t>
      </w:r>
      <w:r>
        <w:rPr>
          <w:rFonts w:hint="eastAsia"/>
          <w:b/>
          <w:color w:val="auto"/>
        </w:rPr>
        <w:t xml:space="preserve">2 </w:t>
      </w:r>
      <w:r>
        <w:rPr>
          <w:b/>
          <w:color w:val="auto"/>
        </w:rPr>
        <w:t>风险位置分布图</w:t>
      </w:r>
    </w:p>
    <w:p>
      <w:pPr>
        <w:ind w:firstLine="480"/>
        <w:rPr>
          <w:color w:val="auto"/>
        </w:rPr>
      </w:pPr>
      <w:r>
        <w:rPr>
          <w:color w:val="auto"/>
        </w:rPr>
        <w:t>2、背景值取值情况</w:t>
      </w:r>
    </w:p>
    <w:p>
      <w:pPr>
        <w:ind w:firstLine="480"/>
        <w:rPr>
          <w:color w:val="auto"/>
        </w:rPr>
      </w:pPr>
      <w:r>
        <w:rPr>
          <w:color w:val="auto"/>
        </w:rPr>
        <w:t>依照就近取值原则，风险位置地下水中COD的背景值参照本次地下水取样中</w:t>
      </w:r>
      <w:r>
        <w:rPr>
          <w:rFonts w:hint="eastAsia"/>
          <w:color w:val="auto"/>
        </w:rPr>
        <w:t>1</w:t>
      </w:r>
      <w:r>
        <w:rPr>
          <w:color w:val="auto"/>
        </w:rPr>
        <w:t>#项目厂址内水样中对应组分进行取值。COD的背景值为</w:t>
      </w:r>
      <w:r>
        <w:rPr>
          <w:rFonts w:hint="eastAsia"/>
          <w:color w:val="auto"/>
        </w:rPr>
        <w:t>2.47</w:t>
      </w:r>
      <w:r>
        <w:rPr>
          <w:color w:val="auto"/>
        </w:rPr>
        <w:t>mg/L。</w:t>
      </w:r>
    </w:p>
    <w:p>
      <w:pPr>
        <w:ind w:left="480" w:leftChars="200" w:firstLine="0" w:firstLineChars="0"/>
        <w:rPr>
          <w:color w:val="auto"/>
        </w:rPr>
      </w:pPr>
      <w:r>
        <w:rPr>
          <w:color w:val="auto"/>
        </w:rPr>
        <w:t>3、污染判定标准</w:t>
      </w:r>
    </w:p>
    <w:p>
      <w:pPr>
        <w:ind w:firstLine="480"/>
        <w:rPr>
          <w:color w:val="auto"/>
        </w:rPr>
      </w:pPr>
      <w:r>
        <w:rPr>
          <w:rFonts w:hint="eastAsia"/>
          <w:color w:val="auto"/>
        </w:rPr>
        <w:t>地下水中COD（耗氧量）的污染判定标</w:t>
      </w:r>
      <w:r>
        <w:rPr>
          <w:color w:val="auto"/>
        </w:rPr>
        <w:t>准参照</w:t>
      </w:r>
      <w:r>
        <w:rPr>
          <w:rFonts w:hint="eastAsia"/>
          <w:color w:val="auto"/>
        </w:rPr>
        <w:t>《地下水质量标准》（GB/T 14848-2017）中Ⅲ类标准要求</w:t>
      </w:r>
      <w:r>
        <w:rPr>
          <w:color w:val="auto"/>
        </w:rPr>
        <w:t>为</w:t>
      </w:r>
      <w:r>
        <w:rPr>
          <w:rFonts w:hint="eastAsia"/>
          <w:color w:val="auto"/>
        </w:rPr>
        <w:t>3.0</w:t>
      </w:r>
      <w:r>
        <w:rPr>
          <w:color w:val="auto"/>
        </w:rPr>
        <w:t>mg/L。</w:t>
      </w:r>
    </w:p>
    <w:p>
      <w:pPr>
        <w:pStyle w:val="10"/>
        <w:ind w:firstLine="482"/>
        <w:rPr>
          <w:color w:val="auto"/>
        </w:rPr>
      </w:pPr>
      <w:r>
        <w:rPr>
          <w:rFonts w:hint="eastAsia"/>
          <w:color w:val="auto"/>
        </w:rPr>
        <w:t>5</w:t>
      </w:r>
      <w:r>
        <w:rPr>
          <w:color w:val="auto"/>
        </w:rPr>
        <w:t>.3.3.6 参数选择</w:t>
      </w:r>
    </w:p>
    <w:p>
      <w:pPr>
        <w:ind w:firstLine="480"/>
        <w:rPr>
          <w:color w:val="auto"/>
        </w:rPr>
      </w:pPr>
      <w:r>
        <w:rPr>
          <w:rFonts w:hint="eastAsia"/>
          <w:color w:val="auto"/>
        </w:rPr>
        <w:t>由模型可知，解析法需要的水文地质参数有：含水层的厚度M、水流实际</w:t>
      </w:r>
    </w:p>
    <w:p>
      <w:pPr>
        <w:ind w:firstLine="0" w:firstLineChars="0"/>
        <w:rPr>
          <w:color w:val="auto"/>
        </w:rPr>
      </w:pPr>
      <w:r>
        <w:rPr>
          <w:rFonts w:hint="eastAsia"/>
          <w:color w:val="auto"/>
        </w:rPr>
        <w:t>平均速度u、纵向（x方向）的弥散系数D</w:t>
      </w:r>
      <w:r>
        <w:rPr>
          <w:rFonts w:hint="eastAsia"/>
          <w:color w:val="auto"/>
          <w:vertAlign w:val="subscript"/>
        </w:rPr>
        <w:t>L</w:t>
      </w:r>
      <w:r>
        <w:rPr>
          <w:rFonts w:hint="eastAsia"/>
          <w:color w:val="auto"/>
        </w:rPr>
        <w:t>、横向（y方向）的弥散系数D</w:t>
      </w:r>
      <w:r>
        <w:rPr>
          <w:rFonts w:hint="eastAsia"/>
          <w:color w:val="auto"/>
          <w:vertAlign w:val="subscript"/>
        </w:rPr>
        <w:t>T</w:t>
      </w:r>
      <w:r>
        <w:rPr>
          <w:rFonts w:hint="eastAsia"/>
          <w:color w:val="auto"/>
        </w:rPr>
        <w:t>、这些参数主要由评价区最新的勘察成果资料及经验数值来确定。</w:t>
      </w:r>
    </w:p>
    <w:p>
      <w:pPr>
        <w:ind w:firstLine="480"/>
        <w:rPr>
          <w:color w:val="auto"/>
        </w:rPr>
      </w:pPr>
      <w:r>
        <w:rPr>
          <w:rFonts w:hint="eastAsia"/>
          <w:color w:val="auto"/>
        </w:rPr>
        <w:t>1）含水层的厚度M</w:t>
      </w:r>
    </w:p>
    <w:p>
      <w:pPr>
        <w:ind w:firstLine="480"/>
        <w:rPr>
          <w:color w:val="auto"/>
        </w:rPr>
      </w:pPr>
      <w:r>
        <w:rPr>
          <w:rFonts w:hint="eastAsia"/>
          <w:color w:val="auto"/>
        </w:rPr>
        <w:t>根据区域及场区内的钻孔资料、水文地质资料及周边地下水开发利用调查</w:t>
      </w:r>
      <w:r>
        <w:rPr>
          <w:color w:val="auto"/>
        </w:rPr>
        <w:t>，确定含水层厚度</w:t>
      </w:r>
      <w:r>
        <w:rPr>
          <w:rFonts w:hint="eastAsia"/>
          <w:color w:val="auto"/>
        </w:rPr>
        <w:t>约</w:t>
      </w:r>
      <w:r>
        <w:rPr>
          <w:color w:val="auto"/>
        </w:rPr>
        <w:t>为</w:t>
      </w:r>
      <w:r>
        <w:rPr>
          <w:rFonts w:hint="eastAsia"/>
          <w:color w:val="auto"/>
        </w:rPr>
        <w:t>10</w:t>
      </w:r>
      <w:r>
        <w:rPr>
          <w:color w:val="auto"/>
        </w:rPr>
        <w:t>m；含水层的平均有效孔隙度n：参考《水文地质手册》中的相同地层的经验值，本区</w:t>
      </w:r>
      <w:r>
        <w:rPr>
          <w:rFonts w:hint="eastAsia"/>
          <w:color w:val="auto"/>
        </w:rPr>
        <w:t>松散岩孔隙含水层岩性为粉土，</w:t>
      </w:r>
      <w:r>
        <w:rPr>
          <w:color w:val="auto"/>
        </w:rPr>
        <w:t>孔隙度取</w:t>
      </w:r>
      <w:r>
        <w:rPr>
          <w:rFonts w:hint="eastAsia"/>
          <w:color w:val="auto"/>
        </w:rPr>
        <w:t>0.4，有效孔隙度一般比孔隙度小10%~20%，因此本次有效孔隙度n取值0.32</w:t>
      </w:r>
      <w:r>
        <w:rPr>
          <w:color w:val="auto"/>
        </w:rPr>
        <w:t>。</w:t>
      </w:r>
    </w:p>
    <w:p>
      <w:pPr>
        <w:ind w:firstLine="480"/>
        <w:rPr>
          <w:color w:val="auto"/>
        </w:rPr>
      </w:pPr>
      <w:r>
        <w:rPr>
          <w:rFonts w:hint="eastAsia"/>
          <w:color w:val="auto"/>
        </w:rPr>
        <w:t>2）水流实际平均流速u</w:t>
      </w:r>
    </w:p>
    <w:p>
      <w:pPr>
        <w:widowControl/>
        <w:ind w:firstLine="480"/>
        <w:jc w:val="left"/>
        <w:rPr>
          <w:color w:val="auto"/>
        </w:rPr>
      </w:pPr>
      <w:r>
        <w:rPr>
          <w:color w:val="auto"/>
        </w:rPr>
        <w:t>根据</w:t>
      </w:r>
      <w:r>
        <w:rPr>
          <w:rFonts w:hint="eastAsia"/>
          <w:color w:val="auto"/>
        </w:rPr>
        <w:t>调查，项目区域地下水流向整体为由东南向西北，评价区含水层的渗透系数K约为14.19m/d，场区附近水力坡度约为0.2%，最终计算出渗流速度V=K·I=0.028m/d。实际流速u=V/n=0.09m/d。</w:t>
      </w:r>
    </w:p>
    <w:p>
      <w:pPr>
        <w:ind w:firstLine="480"/>
        <w:rPr>
          <w:color w:val="auto"/>
        </w:rPr>
      </w:pPr>
      <w:r>
        <w:rPr>
          <w:rFonts w:hint="eastAsia"/>
          <w:color w:val="auto"/>
        </w:rPr>
        <w:t>3）纵向x方向的弥散系数D</w:t>
      </w:r>
      <w:r>
        <w:rPr>
          <w:rFonts w:hint="eastAsia"/>
          <w:color w:val="auto"/>
          <w:vertAlign w:val="subscript"/>
        </w:rPr>
        <w:t>L</w:t>
      </w:r>
      <w:r>
        <w:rPr>
          <w:rFonts w:hint="eastAsia"/>
          <w:color w:val="auto"/>
        </w:rPr>
        <w:t>、横向y方向的弥散系数D</w:t>
      </w:r>
      <w:r>
        <w:rPr>
          <w:rFonts w:hint="eastAsia"/>
          <w:color w:val="auto"/>
          <w:vertAlign w:val="subscript"/>
        </w:rPr>
        <w:t>T</w:t>
      </w:r>
    </w:p>
    <w:p>
      <w:pPr>
        <w:ind w:firstLine="480"/>
        <w:rPr>
          <w:color w:val="auto"/>
        </w:rPr>
      </w:pPr>
      <w:r>
        <w:rPr>
          <w:rFonts w:hint="eastAsia" w:ascii="宋体" w:hAnsi="宋体" w:cs="宋体"/>
          <w:color w:val="auto"/>
          <w:kern w:val="0"/>
          <w:szCs w:val="24"/>
          <w:lang w:bidi="ar"/>
        </w:rPr>
        <w:t>弥散度是地下水动力弥散理论中用来描述空隙介质弥散特征的一个重要参数，具有尺度效应性质，它反映了含水层介质空间结构的非均质性。根据研究区的地下水弥散试验结果，考虑到局部规模与区域规模的差别，在本次预测中采用纵向弥散系</w:t>
      </w:r>
      <w:r>
        <w:rPr>
          <w:rFonts w:hint="eastAsia"/>
          <w:color w:val="auto"/>
        </w:rPr>
        <w:t>D</w:t>
      </w:r>
      <w:r>
        <w:rPr>
          <w:rFonts w:hint="eastAsia"/>
          <w:color w:val="auto"/>
          <w:vertAlign w:val="subscript"/>
        </w:rPr>
        <w:t>L</w:t>
      </w:r>
      <w:r>
        <w:rPr>
          <w:rFonts w:hint="eastAsia"/>
          <w:color w:val="auto"/>
        </w:rPr>
        <w:t>=</w:t>
      </w:r>
      <w:r>
        <w:rPr>
          <w:rFonts w:hint="eastAsia"/>
          <w:color w:val="auto"/>
          <w:kern w:val="0"/>
          <w:szCs w:val="24"/>
          <w:lang w:bidi="ar"/>
        </w:rPr>
        <w:t>1.42</w:t>
      </w:r>
      <w:r>
        <w:rPr>
          <w:color w:val="auto"/>
          <w:kern w:val="0"/>
          <w:szCs w:val="24"/>
          <w:lang w:bidi="ar"/>
        </w:rPr>
        <w:t>m</w:t>
      </w:r>
      <w:r>
        <w:rPr>
          <w:rFonts w:hint="eastAsia"/>
          <w:color w:val="auto"/>
          <w:kern w:val="0"/>
          <w:szCs w:val="24"/>
          <w:vertAlign w:val="superscript"/>
          <w:lang w:bidi="ar"/>
        </w:rPr>
        <w:t>2</w:t>
      </w:r>
      <w:r>
        <w:rPr>
          <w:color w:val="auto"/>
          <w:kern w:val="0"/>
          <w:szCs w:val="24"/>
          <w:lang w:bidi="ar"/>
        </w:rPr>
        <w:t>/d</w:t>
      </w:r>
      <w:r>
        <w:rPr>
          <w:rFonts w:hint="eastAsia" w:ascii="宋体" w:hAnsi="宋体" w:cs="宋体"/>
          <w:color w:val="auto"/>
          <w:kern w:val="0"/>
          <w:szCs w:val="24"/>
          <w:lang w:bidi="ar"/>
        </w:rPr>
        <w:t>，横向弥散取纵向弥散系数的</w:t>
      </w:r>
      <w:r>
        <w:rPr>
          <w:color w:val="auto"/>
          <w:kern w:val="0"/>
          <w:szCs w:val="24"/>
          <w:lang w:bidi="ar"/>
        </w:rPr>
        <w:t>1/10</w:t>
      </w:r>
      <w:r>
        <w:rPr>
          <w:rFonts w:hint="eastAsia" w:ascii="宋体" w:hAnsi="宋体" w:cs="宋体"/>
          <w:color w:val="auto"/>
          <w:kern w:val="0"/>
          <w:szCs w:val="24"/>
          <w:lang w:bidi="ar"/>
        </w:rPr>
        <w:t>，即</w:t>
      </w:r>
      <w:r>
        <w:rPr>
          <w:color w:val="auto"/>
        </w:rPr>
        <w:t>D</w:t>
      </w:r>
      <w:r>
        <w:rPr>
          <w:color w:val="auto"/>
          <w:vertAlign w:val="subscript"/>
        </w:rPr>
        <w:t>T</w:t>
      </w:r>
      <w:r>
        <w:rPr>
          <w:rFonts w:hint="eastAsia"/>
          <w:color w:val="auto"/>
        </w:rPr>
        <w:t>=</w:t>
      </w:r>
      <w:r>
        <w:rPr>
          <w:rFonts w:hint="eastAsia"/>
          <w:color w:val="auto"/>
          <w:kern w:val="0"/>
          <w:szCs w:val="24"/>
          <w:lang w:bidi="ar"/>
        </w:rPr>
        <w:t>0.14</w:t>
      </w:r>
      <w:r>
        <w:rPr>
          <w:color w:val="auto"/>
          <w:kern w:val="0"/>
          <w:szCs w:val="24"/>
          <w:lang w:bidi="ar"/>
        </w:rPr>
        <w:t>m</w:t>
      </w:r>
      <w:r>
        <w:rPr>
          <w:rFonts w:hint="eastAsia"/>
          <w:color w:val="auto"/>
          <w:kern w:val="0"/>
          <w:szCs w:val="24"/>
          <w:vertAlign w:val="superscript"/>
          <w:lang w:bidi="ar"/>
        </w:rPr>
        <w:t>2</w:t>
      </w:r>
      <w:r>
        <w:rPr>
          <w:color w:val="auto"/>
          <w:kern w:val="0"/>
          <w:szCs w:val="24"/>
          <w:lang w:bidi="ar"/>
        </w:rPr>
        <w:t>/d</w:t>
      </w:r>
      <w:r>
        <w:rPr>
          <w:rFonts w:hint="eastAsia"/>
          <w:color w:val="auto"/>
          <w:kern w:val="0"/>
          <w:szCs w:val="24"/>
          <w:lang w:bidi="ar"/>
        </w:rPr>
        <w:t>。</w:t>
      </w:r>
    </w:p>
    <w:p>
      <w:pPr>
        <w:pStyle w:val="10"/>
        <w:spacing w:line="360" w:lineRule="auto"/>
        <w:rPr>
          <w:color w:val="auto"/>
        </w:rPr>
      </w:pPr>
      <w:r>
        <w:rPr>
          <w:rFonts w:hint="eastAsia"/>
          <w:color w:val="auto"/>
        </w:rPr>
        <w:t>5</w:t>
      </w:r>
      <w:r>
        <w:rPr>
          <w:color w:val="auto"/>
        </w:rPr>
        <w:t>.3.3.7源强设定</w:t>
      </w:r>
    </w:p>
    <w:p>
      <w:pPr>
        <w:ind w:firstLine="480"/>
        <w:rPr>
          <w:color w:val="auto"/>
        </w:rPr>
      </w:pPr>
      <w:r>
        <w:rPr>
          <w:color w:val="auto"/>
        </w:rPr>
        <w:t>1、工况0源强设定</w:t>
      </w:r>
    </w:p>
    <w:p>
      <w:pPr>
        <w:ind w:firstLine="480"/>
        <w:rPr>
          <w:color w:val="auto"/>
        </w:rPr>
      </w:pPr>
      <w:r>
        <w:rPr>
          <w:color w:val="auto"/>
        </w:rPr>
        <w:t>根据工程设计，正常工况（工况0）下，厂区各装置均采取严格防渗措施，防渗标准满足相关技术要求，不会产生污水渗漏现象，不会对地下水造成影响。</w:t>
      </w:r>
    </w:p>
    <w:p>
      <w:pPr>
        <w:ind w:firstLine="480"/>
        <w:rPr>
          <w:color w:val="auto"/>
        </w:rPr>
      </w:pPr>
      <w:r>
        <w:rPr>
          <w:color w:val="auto"/>
        </w:rPr>
        <w:t>2、工况1源强设定</w:t>
      </w:r>
    </w:p>
    <w:p>
      <w:pPr>
        <w:snapToGrid w:val="0"/>
        <w:ind w:firstLine="480"/>
        <w:rPr>
          <w:color w:val="auto"/>
          <w:szCs w:val="21"/>
        </w:rPr>
      </w:pPr>
      <w:r>
        <w:rPr>
          <w:color w:val="auto"/>
          <w:szCs w:val="21"/>
        </w:rPr>
        <w:t>本工况假定</w:t>
      </w:r>
      <w:r>
        <w:rPr>
          <w:bCs/>
          <w:color w:val="auto"/>
        </w:rPr>
        <w:t>污水池</w:t>
      </w:r>
      <w:r>
        <w:rPr>
          <w:color w:val="auto"/>
          <w:szCs w:val="21"/>
        </w:rPr>
        <w:t>因长时间不检修，导致污水收集池内防渗层出现“跑、冒、滴、漏”现象，各装置中污水产生量的</w:t>
      </w:r>
      <w:r>
        <w:rPr>
          <w:rFonts w:hint="eastAsia"/>
          <w:color w:val="auto"/>
          <w:szCs w:val="21"/>
        </w:rPr>
        <w:t>1</w:t>
      </w:r>
      <w:r>
        <w:rPr>
          <w:color w:val="auto"/>
          <w:szCs w:val="21"/>
        </w:rPr>
        <w:t>%下渗进入地下水。为了模拟最大风险状态，各敏感点位置预测因子设置如下：</w:t>
      </w:r>
    </w:p>
    <w:p>
      <w:pPr>
        <w:snapToGrid w:val="0"/>
        <w:ind w:firstLine="0" w:firstLineChars="0"/>
        <w:jc w:val="center"/>
        <w:rPr>
          <w:rFonts w:eastAsia="黑体"/>
          <w:b/>
          <w:color w:val="auto"/>
          <w:sz w:val="21"/>
          <w:szCs w:val="21"/>
        </w:rPr>
      </w:pPr>
      <w:r>
        <w:rPr>
          <w:rFonts w:eastAsia="黑体"/>
          <w:b/>
          <w:color w:val="auto"/>
          <w:sz w:val="21"/>
          <w:szCs w:val="21"/>
        </w:rPr>
        <w:t>表</w:t>
      </w:r>
      <w:r>
        <w:rPr>
          <w:rFonts w:hint="eastAsia" w:eastAsia="黑体"/>
          <w:b/>
          <w:color w:val="auto"/>
          <w:sz w:val="21"/>
          <w:szCs w:val="21"/>
        </w:rPr>
        <w:t>5.3-3</w:t>
      </w:r>
      <w:r>
        <w:rPr>
          <w:rFonts w:eastAsia="黑体"/>
          <w:b/>
          <w:color w:val="auto"/>
          <w:sz w:val="21"/>
          <w:szCs w:val="21"/>
        </w:rPr>
        <w:t xml:space="preserve">  工况1源强设置情况</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475"/>
        <w:gridCol w:w="43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79" w:hRule="atLeast"/>
        </w:trPr>
        <w:tc>
          <w:tcPr>
            <w:tcW w:w="2546" w:type="pct"/>
            <w:vAlign w:val="center"/>
          </w:tcPr>
          <w:p>
            <w:pPr>
              <w:snapToGrid w:val="0"/>
              <w:spacing w:line="0" w:lineRule="atLeast"/>
              <w:ind w:firstLine="738" w:firstLineChars="350"/>
              <w:jc w:val="center"/>
              <w:rPr>
                <w:b/>
                <w:color w:val="auto"/>
                <w:sz w:val="21"/>
                <w:szCs w:val="21"/>
              </w:rPr>
            </w:pPr>
            <w:r>
              <w:rPr>
                <w:b/>
                <w:color w:val="auto"/>
                <w:sz w:val="21"/>
              </w:rPr>
              <mc:AlternateContent>
                <mc:Choice Requires="wps">
                  <w:drawing>
                    <wp:anchor distT="0" distB="0" distL="114300" distR="114300" simplePos="0" relativeHeight="251717632" behindDoc="0" locked="0" layoutInCell="1" allowOverlap="1">
                      <wp:simplePos x="0" y="0"/>
                      <wp:positionH relativeFrom="column">
                        <wp:posOffset>-2540</wp:posOffset>
                      </wp:positionH>
                      <wp:positionV relativeFrom="paragraph">
                        <wp:posOffset>3175</wp:posOffset>
                      </wp:positionV>
                      <wp:extent cx="2848610" cy="337820"/>
                      <wp:effectExtent l="635" t="4445" r="8255" b="19685"/>
                      <wp:wrapNone/>
                      <wp:docPr id="149" name="直接连接符 149"/>
                      <wp:cNvGraphicFramePr/>
                      <a:graphic xmlns:a="http://schemas.openxmlformats.org/drawingml/2006/main">
                        <a:graphicData uri="http://schemas.microsoft.com/office/word/2010/wordprocessingShape">
                          <wps:wsp>
                            <wps:cNvCnPr>
                              <a:cxnSpLocks noChangeShapeType="1"/>
                            </wps:cNvCnPr>
                            <wps:spPr bwMode="auto">
                              <a:xfrm>
                                <a:off x="0" y="0"/>
                                <a:ext cx="2848610" cy="33782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0.2pt;margin-top:0.25pt;height:26.6pt;width:224.3pt;z-index:251717632;mso-width-relative:page;mso-height-relative:page;" filled="f" stroked="t" coordsize="21600,21600" o:gfxdata="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99PBZ9QAAAAFAQAADwAAAAAAAAABACAAAAAiAAAAZHJzL2Rvd25yZXYueG1sUEsBAhQAFAAA&#10;AAgAh07iQBzI3oTzAQAAwQMAAA4AAAAAAAAAAQAgAAAAIwEAAGRycy9lMm9Eb2MueG1sUEsFBgAA&#10;AAAGAAYAWQEAAIgFAAAAAA==&#10;">
                      <v:fill on="f" focussize="0,0"/>
                      <v:stroke color="#000000" joinstyle="round"/>
                      <v:imagedata o:title=""/>
                      <o:lock v:ext="edit" aspectratio="f"/>
                    </v:line>
                  </w:pict>
                </mc:Fallback>
              </mc:AlternateContent>
            </w:r>
            <w:r>
              <w:rPr>
                <w:b/>
                <w:color w:val="auto"/>
                <w:sz w:val="21"/>
                <w:szCs w:val="21"/>
              </w:rPr>
              <w:t xml:space="preserve">                装置</w:t>
            </w:r>
          </w:p>
          <w:p>
            <w:pPr>
              <w:snapToGrid w:val="0"/>
              <w:spacing w:line="0" w:lineRule="atLeast"/>
              <w:ind w:firstLine="738" w:firstLineChars="350"/>
              <w:jc w:val="left"/>
              <w:rPr>
                <w:b/>
                <w:color w:val="auto"/>
                <w:sz w:val="21"/>
                <w:szCs w:val="21"/>
              </w:rPr>
            </w:pPr>
            <w:r>
              <w:rPr>
                <w:b/>
                <w:color w:val="auto"/>
                <w:sz w:val="21"/>
                <w:szCs w:val="21"/>
              </w:rPr>
              <w:t>组分</w:t>
            </w:r>
          </w:p>
        </w:tc>
        <w:tc>
          <w:tcPr>
            <w:tcW w:w="2454" w:type="pct"/>
            <w:vAlign w:val="center"/>
          </w:tcPr>
          <w:p>
            <w:pPr>
              <w:snapToGrid w:val="0"/>
              <w:spacing w:line="0" w:lineRule="atLeast"/>
              <w:ind w:firstLine="0" w:firstLineChars="0"/>
              <w:jc w:val="center"/>
              <w:rPr>
                <w:b/>
                <w:color w:val="auto"/>
                <w:sz w:val="21"/>
                <w:szCs w:val="21"/>
              </w:rPr>
            </w:pPr>
            <w:r>
              <w:rPr>
                <w:b/>
                <w:bCs/>
                <w:color w:val="auto"/>
                <w:sz w:val="21"/>
                <w:szCs w:val="21"/>
              </w:rPr>
              <w:t>污水收集池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10" w:hRule="atLeast"/>
        </w:trPr>
        <w:tc>
          <w:tcPr>
            <w:tcW w:w="2546" w:type="pct"/>
            <w:vAlign w:val="center"/>
          </w:tcPr>
          <w:p>
            <w:pPr>
              <w:spacing w:line="0" w:lineRule="atLeast"/>
              <w:ind w:firstLine="0" w:firstLineChars="0"/>
              <w:jc w:val="center"/>
              <w:rPr>
                <w:color w:val="auto"/>
                <w:sz w:val="21"/>
                <w:szCs w:val="21"/>
              </w:rPr>
            </w:pPr>
            <w:r>
              <w:rPr>
                <w:color w:val="auto"/>
                <w:sz w:val="21"/>
                <w:szCs w:val="21"/>
              </w:rPr>
              <w:t>污水量（m</w:t>
            </w:r>
            <w:r>
              <w:rPr>
                <w:color w:val="auto"/>
                <w:sz w:val="21"/>
                <w:szCs w:val="21"/>
                <w:vertAlign w:val="superscript"/>
              </w:rPr>
              <w:t>3</w:t>
            </w:r>
            <w:r>
              <w:rPr>
                <w:color w:val="auto"/>
                <w:sz w:val="21"/>
                <w:szCs w:val="21"/>
              </w:rPr>
              <w:t>/d）</w:t>
            </w:r>
          </w:p>
        </w:tc>
        <w:tc>
          <w:tcPr>
            <w:tcW w:w="2454" w:type="pct"/>
            <w:vAlign w:val="center"/>
          </w:tcPr>
          <w:p>
            <w:pPr>
              <w:snapToGrid w:val="0"/>
              <w:spacing w:line="0" w:lineRule="atLeast"/>
              <w:ind w:firstLine="0" w:firstLineChars="0"/>
              <w:jc w:val="center"/>
              <w:rPr>
                <w:color w:val="auto"/>
                <w:sz w:val="21"/>
                <w:szCs w:val="21"/>
              </w:rPr>
            </w:pPr>
            <w:r>
              <w:rPr>
                <w:rFonts w:hint="eastAsia"/>
                <w:color w:val="auto"/>
                <w:sz w:val="21"/>
                <w:szCs w:val="21"/>
              </w:rPr>
              <w:t>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71" w:hRule="atLeast"/>
        </w:trPr>
        <w:tc>
          <w:tcPr>
            <w:tcW w:w="2546" w:type="pct"/>
            <w:vMerge w:val="restart"/>
            <w:vAlign w:val="center"/>
          </w:tcPr>
          <w:p>
            <w:pPr>
              <w:spacing w:line="0" w:lineRule="atLeast"/>
              <w:ind w:firstLine="0" w:firstLineChars="0"/>
              <w:jc w:val="center"/>
              <w:rPr>
                <w:color w:val="auto"/>
                <w:sz w:val="21"/>
                <w:szCs w:val="21"/>
              </w:rPr>
            </w:pPr>
            <w:r>
              <w:rPr>
                <w:color w:val="auto"/>
                <w:sz w:val="21"/>
                <w:szCs w:val="21"/>
              </w:rPr>
              <w:t>COD</w:t>
            </w:r>
          </w:p>
        </w:tc>
        <w:tc>
          <w:tcPr>
            <w:tcW w:w="2454" w:type="pct"/>
            <w:vAlign w:val="center"/>
          </w:tcPr>
          <w:p>
            <w:pPr>
              <w:snapToGrid w:val="0"/>
              <w:spacing w:line="0" w:lineRule="atLeast"/>
              <w:ind w:firstLine="0" w:firstLineChars="0"/>
              <w:jc w:val="center"/>
              <w:rPr>
                <w:color w:val="auto"/>
                <w:sz w:val="21"/>
                <w:szCs w:val="21"/>
              </w:rPr>
            </w:pPr>
            <w:r>
              <w:rPr>
                <w:rFonts w:hint="eastAsia"/>
                <w:color w:val="auto"/>
                <w:sz w:val="21"/>
                <w:szCs w:val="21"/>
              </w:rPr>
              <w:t>144</w:t>
            </w:r>
            <w:r>
              <w:rPr>
                <w:color w:val="auto"/>
                <w:sz w:val="21"/>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2546" w:type="pct"/>
            <w:vMerge w:val="continue"/>
            <w:vAlign w:val="center"/>
          </w:tcPr>
          <w:p>
            <w:pPr>
              <w:spacing w:line="0" w:lineRule="atLeast"/>
              <w:ind w:firstLine="0" w:firstLineChars="0"/>
              <w:jc w:val="center"/>
              <w:rPr>
                <w:color w:val="auto"/>
                <w:sz w:val="21"/>
                <w:szCs w:val="21"/>
              </w:rPr>
            </w:pPr>
          </w:p>
        </w:tc>
        <w:tc>
          <w:tcPr>
            <w:tcW w:w="2454" w:type="pct"/>
            <w:vAlign w:val="center"/>
          </w:tcPr>
          <w:p>
            <w:pPr>
              <w:snapToGrid w:val="0"/>
              <w:spacing w:line="0" w:lineRule="atLeast"/>
              <w:ind w:firstLine="0" w:firstLineChars="0"/>
              <w:jc w:val="center"/>
              <w:rPr>
                <w:color w:val="auto"/>
                <w:sz w:val="21"/>
                <w:szCs w:val="21"/>
              </w:rPr>
            </w:pPr>
            <w:r>
              <w:rPr>
                <w:rFonts w:hint="eastAsia"/>
                <w:color w:val="auto"/>
                <w:sz w:val="21"/>
                <w:szCs w:val="21"/>
              </w:rPr>
              <w:t>0.013</w:t>
            </w:r>
            <w:r>
              <w:rPr>
                <w:rFonts w:eastAsia="Times New Roman"/>
                <w:color w:val="auto"/>
                <w:sz w:val="21"/>
                <w:szCs w:val="21"/>
              </w:rPr>
              <w:t>kg/d</w:t>
            </w:r>
          </w:p>
        </w:tc>
      </w:tr>
    </w:tbl>
    <w:p>
      <w:pPr>
        <w:pStyle w:val="10"/>
        <w:spacing w:line="360" w:lineRule="auto"/>
        <w:rPr>
          <w:color w:val="auto"/>
        </w:rPr>
      </w:pPr>
      <w:r>
        <w:rPr>
          <w:rFonts w:hint="eastAsia"/>
          <w:color w:val="auto"/>
        </w:rPr>
        <w:t>5</w:t>
      </w:r>
      <w:r>
        <w:rPr>
          <w:color w:val="auto"/>
        </w:rPr>
        <w:t>.3.3.8 预测结果</w:t>
      </w:r>
    </w:p>
    <w:p>
      <w:pPr>
        <w:ind w:firstLine="482"/>
        <w:rPr>
          <w:b/>
          <w:color w:val="auto"/>
        </w:rPr>
      </w:pPr>
      <w:r>
        <w:rPr>
          <w:b/>
          <w:color w:val="auto"/>
        </w:rPr>
        <w:t>工况1预测结果</w:t>
      </w:r>
    </w:p>
    <w:p>
      <w:pPr>
        <w:ind w:firstLine="480"/>
        <w:rPr>
          <w:color w:val="auto"/>
        </w:rPr>
      </w:pPr>
      <w:r>
        <w:rPr>
          <w:color w:val="auto"/>
        </w:rPr>
        <w:t>为了模拟污染组分在水中的最大影响范围，受模型限制本次模拟计算不能考虑污染组分的氧化还原等衰减反应，土壤吸附降解作用，也不考虑降雨稀释作用，仅计算污染组分随地下水流的迁移趋势。</w:t>
      </w:r>
    </w:p>
    <w:p>
      <w:pPr>
        <w:adjustRightInd w:val="0"/>
        <w:snapToGrid w:val="0"/>
        <w:ind w:firstLine="480"/>
        <w:rPr>
          <w:color w:val="auto"/>
        </w:rPr>
      </w:pPr>
      <w:r>
        <w:rPr>
          <w:color w:val="auto"/>
        </w:rPr>
        <w:t>将工况1下模型参数、污染物源强和污染浓度代入数学模型公式</w:t>
      </w:r>
      <w:r>
        <w:rPr>
          <w:rFonts w:hint="eastAsia"/>
          <w:color w:val="auto"/>
        </w:rPr>
        <w:t>5</w:t>
      </w:r>
      <w:r>
        <w:rPr>
          <w:color w:val="auto"/>
        </w:rPr>
        <w:t>.3-1，预测污水收集池附近不同时刻地下水中COD浓度分布情况。</w:t>
      </w:r>
    </w:p>
    <w:p>
      <w:pPr>
        <w:ind w:firstLine="480" w:firstLineChars="0"/>
        <w:rPr>
          <w:color w:val="auto"/>
        </w:rPr>
      </w:pPr>
      <w:r>
        <w:rPr>
          <w:color w:val="auto"/>
        </w:rPr>
        <w:t>根据上式，计算结果见下表。</w:t>
      </w:r>
    </w:p>
    <w:p>
      <w:pPr>
        <w:ind w:firstLine="0" w:firstLineChars="0"/>
        <w:jc w:val="center"/>
        <w:rPr>
          <w:rFonts w:eastAsia="黑体"/>
          <w:b/>
          <w:color w:val="auto"/>
          <w:kern w:val="0"/>
          <w:sz w:val="21"/>
          <w:szCs w:val="21"/>
        </w:rPr>
      </w:pPr>
      <w:r>
        <w:rPr>
          <w:rFonts w:eastAsia="黑体"/>
          <w:b/>
          <w:color w:val="auto"/>
          <w:kern w:val="0"/>
          <w:sz w:val="21"/>
          <w:szCs w:val="21"/>
        </w:rPr>
        <w:t>表</w:t>
      </w:r>
      <w:r>
        <w:rPr>
          <w:rFonts w:hint="eastAsia" w:eastAsia="黑体"/>
          <w:b/>
          <w:color w:val="auto"/>
          <w:kern w:val="0"/>
          <w:sz w:val="21"/>
          <w:szCs w:val="21"/>
        </w:rPr>
        <w:t>5</w:t>
      </w:r>
      <w:r>
        <w:rPr>
          <w:rFonts w:eastAsia="黑体"/>
          <w:b/>
          <w:color w:val="auto"/>
          <w:kern w:val="0"/>
          <w:sz w:val="21"/>
          <w:szCs w:val="21"/>
        </w:rPr>
        <w:t>.3-</w:t>
      </w:r>
      <w:r>
        <w:rPr>
          <w:rFonts w:hint="eastAsia" w:eastAsia="黑体"/>
          <w:b/>
          <w:color w:val="auto"/>
          <w:kern w:val="0"/>
          <w:sz w:val="21"/>
          <w:szCs w:val="21"/>
          <w:lang w:val="en-US" w:eastAsia="zh-CN"/>
        </w:rPr>
        <w:t>4</w:t>
      </w:r>
      <w:r>
        <w:rPr>
          <w:rFonts w:eastAsia="黑体"/>
          <w:b/>
          <w:color w:val="auto"/>
          <w:kern w:val="0"/>
          <w:sz w:val="21"/>
          <w:szCs w:val="21"/>
        </w:rPr>
        <w:t xml:space="preserve">  工况1条件下污染物泄漏预测结果一览表</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7"/>
        <w:gridCol w:w="1187"/>
        <w:gridCol w:w="1846"/>
        <w:gridCol w:w="1183"/>
        <w:gridCol w:w="1313"/>
        <w:gridCol w:w="1311"/>
        <w:gridCol w:w="13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vMerge w:val="restart"/>
            <w:vAlign w:val="center"/>
          </w:tcPr>
          <w:p>
            <w:pPr>
              <w:spacing w:line="240" w:lineRule="auto"/>
              <w:ind w:firstLine="0" w:firstLineChars="0"/>
              <w:jc w:val="center"/>
              <w:rPr>
                <w:rFonts w:eastAsia="Times New Roman"/>
                <w:b/>
                <w:color w:val="auto"/>
                <w:sz w:val="21"/>
                <w:szCs w:val="21"/>
              </w:rPr>
            </w:pPr>
            <w:r>
              <w:rPr>
                <w:rFonts w:eastAsia="Times New Roman"/>
                <w:b/>
                <w:color w:val="auto"/>
                <w:sz w:val="21"/>
                <w:szCs w:val="21"/>
              </w:rPr>
              <w:t>X</w:t>
            </w:r>
            <w:r>
              <w:rPr>
                <w:b/>
                <w:color w:val="auto"/>
                <w:sz w:val="21"/>
                <w:szCs w:val="21"/>
              </w:rPr>
              <w:t>（</w:t>
            </w:r>
            <w:r>
              <w:rPr>
                <w:rFonts w:eastAsia="Times New Roman"/>
                <w:b/>
                <w:color w:val="auto"/>
                <w:sz w:val="21"/>
                <w:szCs w:val="21"/>
              </w:rPr>
              <w:t>m</w:t>
            </w:r>
            <w:r>
              <w:rPr>
                <w:b/>
                <w:color w:val="auto"/>
                <w:sz w:val="21"/>
                <w:szCs w:val="21"/>
              </w:rPr>
              <w:t>）</w:t>
            </w:r>
          </w:p>
        </w:tc>
        <w:tc>
          <w:tcPr>
            <w:tcW w:w="659" w:type="pct"/>
            <w:vMerge w:val="restart"/>
            <w:vAlign w:val="center"/>
          </w:tcPr>
          <w:p>
            <w:pPr>
              <w:spacing w:line="240" w:lineRule="auto"/>
              <w:ind w:firstLine="0" w:firstLineChars="0"/>
              <w:jc w:val="center"/>
              <w:rPr>
                <w:rFonts w:eastAsia="Times New Roman"/>
                <w:b/>
                <w:color w:val="auto"/>
                <w:sz w:val="21"/>
                <w:szCs w:val="21"/>
              </w:rPr>
            </w:pPr>
            <w:r>
              <w:rPr>
                <w:b/>
                <w:color w:val="auto"/>
                <w:sz w:val="21"/>
                <w:szCs w:val="21"/>
              </w:rPr>
              <w:t>污染物</w:t>
            </w:r>
          </w:p>
        </w:tc>
        <w:tc>
          <w:tcPr>
            <w:tcW w:w="1025" w:type="pct"/>
            <w:vMerge w:val="restart"/>
            <w:vAlign w:val="center"/>
          </w:tcPr>
          <w:p>
            <w:pPr>
              <w:spacing w:line="240" w:lineRule="auto"/>
              <w:ind w:firstLine="0" w:firstLineChars="0"/>
              <w:jc w:val="center"/>
              <w:rPr>
                <w:rFonts w:eastAsia="Times New Roman"/>
                <w:b/>
                <w:color w:val="auto"/>
                <w:sz w:val="21"/>
                <w:szCs w:val="21"/>
              </w:rPr>
            </w:pPr>
            <w:r>
              <w:rPr>
                <w:b/>
                <w:color w:val="auto"/>
                <w:sz w:val="21"/>
                <w:szCs w:val="21"/>
              </w:rPr>
              <w:t>污染物渗入量</w:t>
            </w:r>
            <w:r>
              <w:rPr>
                <w:rFonts w:eastAsia="Times New Roman"/>
                <w:b/>
                <w:color w:val="auto"/>
                <w:sz w:val="21"/>
                <w:szCs w:val="21"/>
              </w:rPr>
              <w:t>kg/d</w:t>
            </w:r>
          </w:p>
        </w:tc>
        <w:tc>
          <w:tcPr>
            <w:tcW w:w="2840" w:type="pct"/>
            <w:gridSpan w:val="4"/>
            <w:vAlign w:val="center"/>
          </w:tcPr>
          <w:p>
            <w:pPr>
              <w:spacing w:line="240" w:lineRule="auto"/>
              <w:ind w:firstLine="0" w:firstLineChars="0"/>
              <w:jc w:val="center"/>
              <w:rPr>
                <w:rFonts w:eastAsia="Times New Roman"/>
                <w:b/>
                <w:color w:val="auto"/>
                <w:sz w:val="21"/>
                <w:szCs w:val="21"/>
              </w:rPr>
            </w:pPr>
            <w:r>
              <w:rPr>
                <w:b/>
                <w:color w:val="auto"/>
                <w:sz w:val="21"/>
                <w:szCs w:val="21"/>
              </w:rPr>
              <w:t>污染物浓度</w:t>
            </w:r>
            <w:r>
              <w:rPr>
                <w:rFonts w:eastAsia="Times New Roman"/>
                <w:b/>
                <w:color w:val="auto"/>
                <w:sz w:val="21"/>
                <w:szCs w:val="21"/>
              </w:rPr>
              <w:t xml:space="preserve">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vMerge w:val="continue"/>
            <w:vAlign w:val="center"/>
          </w:tcPr>
          <w:p>
            <w:pPr>
              <w:spacing w:line="240" w:lineRule="auto"/>
              <w:ind w:firstLine="0" w:firstLineChars="0"/>
              <w:jc w:val="center"/>
              <w:rPr>
                <w:rFonts w:eastAsia="Times New Roman"/>
                <w:b/>
                <w:color w:val="auto"/>
                <w:sz w:val="21"/>
                <w:szCs w:val="21"/>
              </w:rPr>
            </w:pPr>
          </w:p>
        </w:tc>
        <w:tc>
          <w:tcPr>
            <w:tcW w:w="659" w:type="pct"/>
            <w:vMerge w:val="continue"/>
            <w:vAlign w:val="center"/>
          </w:tcPr>
          <w:p>
            <w:pPr>
              <w:spacing w:line="240" w:lineRule="auto"/>
              <w:ind w:firstLine="0" w:firstLineChars="0"/>
              <w:jc w:val="center"/>
              <w:rPr>
                <w:rFonts w:eastAsia="Times New Roman"/>
                <w:b/>
                <w:color w:val="auto"/>
                <w:sz w:val="21"/>
                <w:szCs w:val="21"/>
              </w:rPr>
            </w:pPr>
          </w:p>
        </w:tc>
        <w:tc>
          <w:tcPr>
            <w:tcW w:w="1025" w:type="pct"/>
            <w:vMerge w:val="continue"/>
            <w:vAlign w:val="center"/>
          </w:tcPr>
          <w:p>
            <w:pPr>
              <w:spacing w:line="240" w:lineRule="auto"/>
              <w:ind w:firstLine="0" w:firstLineChars="0"/>
              <w:jc w:val="center"/>
              <w:rPr>
                <w:rFonts w:eastAsia="Times New Roman"/>
                <w:b/>
                <w:color w:val="auto"/>
                <w:sz w:val="21"/>
                <w:szCs w:val="21"/>
              </w:rPr>
            </w:pPr>
          </w:p>
        </w:tc>
        <w:tc>
          <w:tcPr>
            <w:tcW w:w="657" w:type="pct"/>
            <w:vAlign w:val="center"/>
          </w:tcPr>
          <w:p>
            <w:pPr>
              <w:spacing w:line="240" w:lineRule="auto"/>
              <w:ind w:firstLine="0" w:firstLineChars="0"/>
              <w:jc w:val="center"/>
              <w:rPr>
                <w:rFonts w:eastAsia="Times New Roman"/>
                <w:b/>
                <w:color w:val="auto"/>
                <w:sz w:val="21"/>
                <w:szCs w:val="21"/>
              </w:rPr>
            </w:pPr>
            <w:r>
              <w:rPr>
                <w:rFonts w:eastAsia="Times New Roman"/>
                <w:b/>
                <w:color w:val="auto"/>
                <w:sz w:val="21"/>
                <w:szCs w:val="21"/>
              </w:rPr>
              <w:t>30d</w:t>
            </w:r>
          </w:p>
        </w:tc>
        <w:tc>
          <w:tcPr>
            <w:tcW w:w="729" w:type="pct"/>
            <w:vAlign w:val="center"/>
          </w:tcPr>
          <w:p>
            <w:pPr>
              <w:spacing w:line="240" w:lineRule="auto"/>
              <w:ind w:firstLine="0" w:firstLineChars="0"/>
              <w:jc w:val="center"/>
              <w:rPr>
                <w:rFonts w:eastAsia="Times New Roman"/>
                <w:b/>
                <w:color w:val="auto"/>
                <w:sz w:val="21"/>
                <w:szCs w:val="21"/>
              </w:rPr>
            </w:pPr>
            <w:r>
              <w:rPr>
                <w:rFonts w:eastAsia="Times New Roman"/>
                <w:b/>
                <w:color w:val="auto"/>
                <w:sz w:val="21"/>
                <w:szCs w:val="21"/>
              </w:rPr>
              <w:t>100d</w:t>
            </w:r>
          </w:p>
        </w:tc>
        <w:tc>
          <w:tcPr>
            <w:tcW w:w="728" w:type="pct"/>
            <w:vAlign w:val="center"/>
          </w:tcPr>
          <w:p>
            <w:pPr>
              <w:spacing w:line="240" w:lineRule="auto"/>
              <w:ind w:firstLine="0" w:firstLineChars="0"/>
              <w:jc w:val="center"/>
              <w:rPr>
                <w:rFonts w:eastAsia="Times New Roman"/>
                <w:b/>
                <w:color w:val="auto"/>
                <w:sz w:val="21"/>
                <w:szCs w:val="21"/>
              </w:rPr>
            </w:pPr>
            <w:r>
              <w:rPr>
                <w:b/>
                <w:color w:val="auto"/>
                <w:sz w:val="21"/>
                <w:szCs w:val="21"/>
              </w:rPr>
              <w:t>5</w:t>
            </w:r>
            <w:r>
              <w:rPr>
                <w:rFonts w:eastAsia="Times New Roman"/>
                <w:b/>
                <w:color w:val="auto"/>
                <w:sz w:val="21"/>
                <w:szCs w:val="21"/>
              </w:rPr>
              <w:t>00d</w:t>
            </w:r>
          </w:p>
        </w:tc>
        <w:tc>
          <w:tcPr>
            <w:tcW w:w="726" w:type="pct"/>
            <w:vAlign w:val="center"/>
          </w:tcPr>
          <w:p>
            <w:pPr>
              <w:spacing w:line="240" w:lineRule="auto"/>
              <w:ind w:firstLine="0" w:firstLineChars="0"/>
              <w:jc w:val="center"/>
              <w:rPr>
                <w:rFonts w:eastAsia="Times New Roman"/>
                <w:b/>
                <w:color w:val="auto"/>
                <w:sz w:val="21"/>
                <w:szCs w:val="21"/>
              </w:rPr>
            </w:pPr>
            <w:r>
              <w:rPr>
                <w:rFonts w:eastAsia="Times New Roman"/>
                <w:b/>
                <w:color w:val="auto"/>
                <w:sz w:val="21"/>
                <w:szCs w:val="21"/>
              </w:rPr>
              <w:t>1000d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vAlign w:val="center"/>
          </w:tcPr>
          <w:p>
            <w:pPr>
              <w:spacing w:line="240" w:lineRule="auto"/>
              <w:ind w:firstLine="0" w:firstLineChars="0"/>
              <w:jc w:val="center"/>
              <w:rPr>
                <w:rFonts w:eastAsia="Times New Roman"/>
                <w:color w:val="auto"/>
                <w:sz w:val="21"/>
                <w:szCs w:val="21"/>
              </w:rPr>
            </w:pPr>
            <w:r>
              <w:rPr>
                <w:rFonts w:eastAsia="Times New Roman"/>
                <w:color w:val="auto"/>
                <w:sz w:val="21"/>
                <w:szCs w:val="21"/>
              </w:rPr>
              <w:t>10</w:t>
            </w:r>
          </w:p>
        </w:tc>
        <w:tc>
          <w:tcPr>
            <w:tcW w:w="659" w:type="pct"/>
            <w:vAlign w:val="center"/>
          </w:tcPr>
          <w:p>
            <w:pPr>
              <w:spacing w:line="240" w:lineRule="auto"/>
              <w:ind w:firstLine="0" w:firstLineChars="0"/>
              <w:jc w:val="center"/>
              <w:rPr>
                <w:rFonts w:eastAsia="Times New Roman"/>
                <w:color w:val="auto"/>
                <w:sz w:val="21"/>
                <w:szCs w:val="21"/>
              </w:rPr>
            </w:pPr>
            <w:r>
              <w:rPr>
                <w:rFonts w:eastAsia="Times New Roman"/>
                <w:color w:val="auto"/>
                <w:sz w:val="21"/>
                <w:szCs w:val="21"/>
              </w:rPr>
              <w:t>COD</w:t>
            </w:r>
          </w:p>
        </w:tc>
        <w:tc>
          <w:tcPr>
            <w:tcW w:w="1025" w:type="pct"/>
            <w:vAlign w:val="center"/>
          </w:tcPr>
          <w:p>
            <w:pPr>
              <w:spacing w:line="240" w:lineRule="auto"/>
              <w:ind w:firstLine="0" w:firstLineChars="0"/>
              <w:jc w:val="center"/>
              <w:rPr>
                <w:rFonts w:eastAsia="Times New Roman"/>
                <w:color w:val="auto"/>
                <w:sz w:val="21"/>
                <w:szCs w:val="21"/>
              </w:rPr>
            </w:pPr>
            <w:r>
              <w:rPr>
                <w:rFonts w:hint="eastAsia"/>
                <w:color w:val="auto"/>
                <w:sz w:val="21"/>
                <w:szCs w:val="21"/>
              </w:rPr>
              <w:t>0.013</w:t>
            </w:r>
            <w:r>
              <w:rPr>
                <w:rFonts w:eastAsia="Times New Roman"/>
                <w:color w:val="auto"/>
                <w:sz w:val="21"/>
                <w:szCs w:val="21"/>
              </w:rPr>
              <w:t>kg/d</w:t>
            </w:r>
          </w:p>
        </w:tc>
        <w:tc>
          <w:tcPr>
            <w:tcW w:w="657" w:type="pct"/>
            <w:vAlign w:val="center"/>
          </w:tcPr>
          <w:p>
            <w:pPr>
              <w:spacing w:line="240" w:lineRule="auto"/>
              <w:ind w:firstLine="0" w:firstLineChars="0"/>
              <w:jc w:val="center"/>
              <w:rPr>
                <w:color w:val="auto"/>
                <w:sz w:val="21"/>
                <w:szCs w:val="21"/>
              </w:rPr>
            </w:pPr>
            <w:r>
              <w:rPr>
                <w:rFonts w:hint="eastAsia"/>
                <w:color w:val="auto"/>
                <w:sz w:val="21"/>
                <w:szCs w:val="21"/>
              </w:rPr>
              <w:t>0.45</w:t>
            </w:r>
          </w:p>
        </w:tc>
        <w:tc>
          <w:tcPr>
            <w:tcW w:w="729" w:type="pct"/>
            <w:vAlign w:val="center"/>
          </w:tcPr>
          <w:p>
            <w:pPr>
              <w:spacing w:line="240" w:lineRule="auto"/>
              <w:ind w:firstLine="0" w:firstLineChars="0"/>
              <w:jc w:val="center"/>
              <w:rPr>
                <w:color w:val="auto"/>
                <w:sz w:val="21"/>
                <w:szCs w:val="21"/>
              </w:rPr>
            </w:pPr>
            <w:r>
              <w:rPr>
                <w:rFonts w:hint="eastAsia"/>
                <w:color w:val="auto"/>
                <w:sz w:val="21"/>
                <w:szCs w:val="21"/>
              </w:rPr>
              <w:t>1.24</w:t>
            </w:r>
          </w:p>
        </w:tc>
        <w:tc>
          <w:tcPr>
            <w:tcW w:w="728" w:type="pct"/>
            <w:vAlign w:val="center"/>
          </w:tcPr>
          <w:p>
            <w:pPr>
              <w:spacing w:line="240" w:lineRule="auto"/>
              <w:ind w:firstLine="0" w:firstLineChars="0"/>
              <w:jc w:val="center"/>
              <w:rPr>
                <w:color w:val="auto"/>
                <w:sz w:val="21"/>
                <w:szCs w:val="21"/>
              </w:rPr>
            </w:pPr>
            <w:r>
              <w:rPr>
                <w:rFonts w:hint="eastAsia"/>
                <w:color w:val="auto"/>
                <w:sz w:val="21"/>
                <w:szCs w:val="21"/>
              </w:rPr>
              <w:t>2.27</w:t>
            </w:r>
          </w:p>
        </w:tc>
        <w:tc>
          <w:tcPr>
            <w:tcW w:w="726" w:type="pct"/>
            <w:vAlign w:val="center"/>
          </w:tcPr>
          <w:p>
            <w:pPr>
              <w:spacing w:line="240" w:lineRule="auto"/>
              <w:ind w:firstLine="0" w:firstLineChars="0"/>
              <w:jc w:val="center"/>
              <w:rPr>
                <w:color w:val="auto"/>
                <w:sz w:val="21"/>
                <w:szCs w:val="21"/>
              </w:rPr>
            </w:pPr>
            <w:r>
              <w:rPr>
                <w:rFonts w:hint="eastAsia"/>
                <w:color w:val="auto"/>
                <w:sz w:val="21"/>
                <w:szCs w:val="21"/>
              </w:rPr>
              <w:t>2.52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vAlign w:val="center"/>
          </w:tcPr>
          <w:p>
            <w:pPr>
              <w:spacing w:line="240" w:lineRule="auto"/>
              <w:ind w:firstLine="0" w:firstLineChars="0"/>
              <w:jc w:val="center"/>
              <w:rPr>
                <w:rFonts w:eastAsia="Times New Roman"/>
                <w:color w:val="auto"/>
                <w:sz w:val="21"/>
                <w:szCs w:val="21"/>
              </w:rPr>
            </w:pPr>
            <w:r>
              <w:rPr>
                <w:rFonts w:eastAsia="Times New Roman"/>
                <w:color w:val="auto"/>
                <w:sz w:val="21"/>
                <w:szCs w:val="21"/>
              </w:rPr>
              <w:t>100</w:t>
            </w:r>
          </w:p>
        </w:tc>
        <w:tc>
          <w:tcPr>
            <w:tcW w:w="659" w:type="pct"/>
            <w:vAlign w:val="center"/>
          </w:tcPr>
          <w:p>
            <w:pPr>
              <w:spacing w:line="240" w:lineRule="auto"/>
              <w:ind w:firstLine="0" w:firstLineChars="0"/>
              <w:jc w:val="center"/>
              <w:rPr>
                <w:rFonts w:eastAsia="Times New Roman"/>
                <w:color w:val="auto"/>
                <w:sz w:val="21"/>
                <w:szCs w:val="21"/>
              </w:rPr>
            </w:pPr>
            <w:r>
              <w:rPr>
                <w:rFonts w:eastAsia="Times New Roman"/>
                <w:color w:val="auto"/>
                <w:sz w:val="21"/>
                <w:szCs w:val="21"/>
              </w:rPr>
              <w:t>COD</w:t>
            </w:r>
          </w:p>
        </w:tc>
        <w:tc>
          <w:tcPr>
            <w:tcW w:w="1025" w:type="pct"/>
            <w:vAlign w:val="center"/>
          </w:tcPr>
          <w:p>
            <w:pPr>
              <w:spacing w:line="240" w:lineRule="auto"/>
              <w:ind w:firstLine="0" w:firstLineChars="0"/>
              <w:jc w:val="center"/>
              <w:rPr>
                <w:rFonts w:eastAsia="Times New Roman"/>
                <w:color w:val="auto"/>
                <w:sz w:val="21"/>
                <w:szCs w:val="21"/>
              </w:rPr>
            </w:pPr>
            <w:r>
              <w:rPr>
                <w:rFonts w:hint="eastAsia" w:eastAsia="Times New Roman"/>
                <w:color w:val="auto"/>
                <w:sz w:val="21"/>
                <w:szCs w:val="21"/>
              </w:rPr>
              <w:t>0.013</w:t>
            </w:r>
            <w:r>
              <w:rPr>
                <w:rFonts w:eastAsia="Times New Roman"/>
                <w:color w:val="auto"/>
                <w:sz w:val="21"/>
                <w:szCs w:val="21"/>
              </w:rPr>
              <w:t>kg/d</w:t>
            </w:r>
          </w:p>
        </w:tc>
        <w:tc>
          <w:tcPr>
            <w:tcW w:w="657" w:type="pct"/>
            <w:vAlign w:val="center"/>
          </w:tcPr>
          <w:p>
            <w:pPr>
              <w:spacing w:line="240" w:lineRule="auto"/>
              <w:ind w:firstLine="0" w:firstLineChars="0"/>
              <w:jc w:val="center"/>
              <w:rPr>
                <w:color w:val="auto"/>
                <w:sz w:val="21"/>
                <w:szCs w:val="21"/>
              </w:rPr>
            </w:pPr>
            <w:r>
              <w:rPr>
                <w:rFonts w:hint="eastAsia"/>
                <w:color w:val="auto"/>
                <w:sz w:val="21"/>
                <w:szCs w:val="21"/>
              </w:rPr>
              <w:t>0</w:t>
            </w:r>
          </w:p>
        </w:tc>
        <w:tc>
          <w:tcPr>
            <w:tcW w:w="729" w:type="pct"/>
            <w:vAlign w:val="center"/>
          </w:tcPr>
          <w:p>
            <w:pPr>
              <w:spacing w:line="240" w:lineRule="auto"/>
              <w:ind w:firstLine="0" w:firstLineChars="0"/>
              <w:jc w:val="center"/>
              <w:rPr>
                <w:rFonts w:hint="default" w:eastAsia="宋体"/>
                <w:color w:val="auto"/>
                <w:sz w:val="21"/>
                <w:szCs w:val="21"/>
                <w:lang w:val="en-US" w:eastAsia="zh-CN"/>
              </w:rPr>
            </w:pPr>
            <w:r>
              <w:rPr>
                <w:rFonts w:hint="eastAsia"/>
                <w:color w:val="auto"/>
                <w:sz w:val="21"/>
                <w:szCs w:val="21"/>
              </w:rPr>
              <w:t>3.40</w:t>
            </w:r>
            <w:r>
              <w:rPr>
                <w:rFonts w:hint="eastAsia"/>
                <w:color w:val="auto"/>
                <w:sz w:val="21"/>
                <w:szCs w:val="21"/>
                <w:lang w:val="en-US" w:eastAsia="zh-CN"/>
              </w:rPr>
              <w:t>×10</w:t>
            </w:r>
            <w:r>
              <w:rPr>
                <w:rFonts w:hint="eastAsia"/>
                <w:color w:val="auto"/>
                <w:sz w:val="21"/>
                <w:szCs w:val="21"/>
                <w:vertAlign w:val="superscript"/>
                <w:lang w:val="en-US" w:eastAsia="zh-CN"/>
              </w:rPr>
              <w:t>-8</w:t>
            </w:r>
          </w:p>
        </w:tc>
        <w:tc>
          <w:tcPr>
            <w:tcW w:w="728" w:type="pct"/>
            <w:vAlign w:val="center"/>
          </w:tcPr>
          <w:p>
            <w:pPr>
              <w:spacing w:line="240" w:lineRule="auto"/>
              <w:ind w:firstLine="0" w:firstLineChars="0"/>
              <w:jc w:val="center"/>
              <w:rPr>
                <w:color w:val="auto"/>
                <w:sz w:val="21"/>
                <w:szCs w:val="21"/>
              </w:rPr>
            </w:pPr>
            <w:r>
              <w:rPr>
                <w:rFonts w:hint="eastAsia"/>
                <w:color w:val="auto"/>
                <w:sz w:val="21"/>
                <w:szCs w:val="21"/>
              </w:rPr>
              <w:t>0.07</w:t>
            </w:r>
          </w:p>
        </w:tc>
        <w:tc>
          <w:tcPr>
            <w:tcW w:w="726" w:type="pct"/>
            <w:vAlign w:val="center"/>
          </w:tcPr>
          <w:p>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vAlign w:val="center"/>
          </w:tcPr>
          <w:p>
            <w:pPr>
              <w:spacing w:line="240" w:lineRule="auto"/>
              <w:ind w:firstLine="0" w:firstLineChars="0"/>
              <w:jc w:val="center"/>
              <w:rPr>
                <w:color w:val="auto"/>
                <w:sz w:val="21"/>
                <w:szCs w:val="21"/>
              </w:rPr>
            </w:pPr>
            <w:r>
              <w:rPr>
                <w:color w:val="auto"/>
                <w:sz w:val="21"/>
                <w:szCs w:val="21"/>
              </w:rPr>
              <w:t>300</w:t>
            </w:r>
          </w:p>
        </w:tc>
        <w:tc>
          <w:tcPr>
            <w:tcW w:w="659" w:type="pct"/>
          </w:tcPr>
          <w:p>
            <w:pPr>
              <w:spacing w:line="240" w:lineRule="auto"/>
              <w:ind w:firstLine="0" w:firstLineChars="0"/>
              <w:jc w:val="center"/>
              <w:rPr>
                <w:rFonts w:eastAsia="Times New Roman"/>
                <w:color w:val="auto"/>
                <w:sz w:val="21"/>
                <w:szCs w:val="21"/>
              </w:rPr>
            </w:pPr>
            <w:r>
              <w:rPr>
                <w:rFonts w:eastAsia="Times New Roman"/>
                <w:color w:val="auto"/>
                <w:sz w:val="21"/>
                <w:szCs w:val="21"/>
              </w:rPr>
              <w:t>COD</w:t>
            </w:r>
          </w:p>
        </w:tc>
        <w:tc>
          <w:tcPr>
            <w:tcW w:w="1025" w:type="pct"/>
          </w:tcPr>
          <w:p>
            <w:pPr>
              <w:spacing w:line="240" w:lineRule="auto"/>
              <w:ind w:firstLine="0" w:firstLineChars="0"/>
              <w:jc w:val="center"/>
              <w:rPr>
                <w:rFonts w:eastAsia="Times New Roman"/>
                <w:color w:val="auto"/>
                <w:sz w:val="21"/>
                <w:szCs w:val="21"/>
              </w:rPr>
            </w:pPr>
            <w:r>
              <w:rPr>
                <w:rFonts w:hint="eastAsia" w:eastAsia="Times New Roman"/>
                <w:color w:val="auto"/>
                <w:sz w:val="21"/>
                <w:szCs w:val="21"/>
              </w:rPr>
              <w:t>0.013</w:t>
            </w:r>
            <w:r>
              <w:rPr>
                <w:rFonts w:eastAsia="Times New Roman"/>
                <w:color w:val="auto"/>
                <w:sz w:val="21"/>
                <w:szCs w:val="21"/>
              </w:rPr>
              <w:t>kg/d</w:t>
            </w:r>
          </w:p>
        </w:tc>
        <w:tc>
          <w:tcPr>
            <w:tcW w:w="657" w:type="pct"/>
            <w:vAlign w:val="center"/>
          </w:tcPr>
          <w:p>
            <w:pPr>
              <w:spacing w:line="240" w:lineRule="auto"/>
              <w:ind w:firstLine="0" w:firstLineChars="0"/>
              <w:jc w:val="center"/>
              <w:rPr>
                <w:color w:val="auto"/>
                <w:sz w:val="21"/>
                <w:szCs w:val="21"/>
              </w:rPr>
            </w:pPr>
            <w:r>
              <w:rPr>
                <w:rFonts w:hint="eastAsia"/>
                <w:color w:val="auto"/>
                <w:sz w:val="21"/>
                <w:szCs w:val="21"/>
              </w:rPr>
              <w:t>0</w:t>
            </w:r>
          </w:p>
        </w:tc>
        <w:tc>
          <w:tcPr>
            <w:tcW w:w="729" w:type="pct"/>
            <w:vAlign w:val="center"/>
          </w:tcPr>
          <w:p>
            <w:pPr>
              <w:spacing w:line="240" w:lineRule="auto"/>
              <w:ind w:firstLine="0" w:firstLineChars="0"/>
              <w:jc w:val="center"/>
              <w:rPr>
                <w:color w:val="auto"/>
                <w:sz w:val="21"/>
                <w:szCs w:val="21"/>
              </w:rPr>
            </w:pPr>
            <w:r>
              <w:rPr>
                <w:rFonts w:hint="eastAsia"/>
                <w:color w:val="auto"/>
                <w:sz w:val="21"/>
                <w:szCs w:val="21"/>
              </w:rPr>
              <w:t>0</w:t>
            </w:r>
          </w:p>
        </w:tc>
        <w:tc>
          <w:tcPr>
            <w:tcW w:w="728" w:type="pct"/>
            <w:vAlign w:val="center"/>
          </w:tcPr>
          <w:p>
            <w:pPr>
              <w:spacing w:line="240" w:lineRule="auto"/>
              <w:ind w:firstLine="0" w:firstLineChars="0"/>
              <w:jc w:val="center"/>
              <w:rPr>
                <w:color w:val="auto"/>
                <w:sz w:val="21"/>
                <w:szCs w:val="21"/>
              </w:rPr>
            </w:pPr>
            <w:r>
              <w:rPr>
                <w:rFonts w:hint="eastAsia"/>
                <w:color w:val="auto"/>
                <w:sz w:val="21"/>
                <w:szCs w:val="21"/>
              </w:rPr>
              <w:t>3.89</w:t>
            </w:r>
          </w:p>
        </w:tc>
        <w:tc>
          <w:tcPr>
            <w:tcW w:w="726" w:type="pct"/>
            <w:vAlign w:val="center"/>
          </w:tcPr>
          <w:p>
            <w:pPr>
              <w:spacing w:line="240" w:lineRule="auto"/>
              <w:ind w:firstLine="0" w:firstLineChars="0"/>
              <w:jc w:val="center"/>
              <w:rPr>
                <w:color w:val="auto"/>
                <w:sz w:val="21"/>
                <w:szCs w:val="21"/>
              </w:rPr>
            </w:pPr>
            <w:r>
              <w:rPr>
                <w:rFonts w:hint="eastAsia"/>
                <w:color w:val="auto"/>
                <w:sz w:val="21"/>
                <w:szCs w:val="21"/>
              </w:rPr>
              <w:t>2.39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vAlign w:val="center"/>
          </w:tcPr>
          <w:p>
            <w:pPr>
              <w:spacing w:line="240" w:lineRule="auto"/>
              <w:ind w:firstLine="0" w:firstLineChars="0"/>
              <w:jc w:val="center"/>
              <w:rPr>
                <w:rFonts w:eastAsia="Times New Roman"/>
                <w:color w:val="auto"/>
                <w:sz w:val="21"/>
                <w:szCs w:val="21"/>
              </w:rPr>
            </w:pPr>
            <w:r>
              <w:rPr>
                <w:rFonts w:eastAsia="Times New Roman"/>
                <w:color w:val="auto"/>
                <w:sz w:val="21"/>
                <w:szCs w:val="21"/>
              </w:rPr>
              <w:t>500</w:t>
            </w:r>
          </w:p>
        </w:tc>
        <w:tc>
          <w:tcPr>
            <w:tcW w:w="659" w:type="pct"/>
            <w:vAlign w:val="center"/>
          </w:tcPr>
          <w:p>
            <w:pPr>
              <w:spacing w:line="240" w:lineRule="auto"/>
              <w:ind w:firstLine="0" w:firstLineChars="0"/>
              <w:jc w:val="center"/>
              <w:rPr>
                <w:rFonts w:eastAsia="Times New Roman"/>
                <w:color w:val="auto"/>
                <w:sz w:val="21"/>
                <w:szCs w:val="21"/>
              </w:rPr>
            </w:pPr>
            <w:r>
              <w:rPr>
                <w:rFonts w:eastAsia="Times New Roman"/>
                <w:color w:val="auto"/>
                <w:sz w:val="21"/>
                <w:szCs w:val="21"/>
              </w:rPr>
              <w:t>COD</w:t>
            </w:r>
          </w:p>
        </w:tc>
        <w:tc>
          <w:tcPr>
            <w:tcW w:w="1025" w:type="pct"/>
            <w:vAlign w:val="center"/>
          </w:tcPr>
          <w:p>
            <w:pPr>
              <w:spacing w:line="240" w:lineRule="auto"/>
              <w:ind w:firstLine="0" w:firstLineChars="0"/>
              <w:jc w:val="center"/>
              <w:rPr>
                <w:rFonts w:eastAsia="Times New Roman"/>
                <w:color w:val="auto"/>
                <w:sz w:val="21"/>
                <w:szCs w:val="21"/>
              </w:rPr>
            </w:pPr>
            <w:r>
              <w:rPr>
                <w:rFonts w:hint="eastAsia" w:eastAsia="Times New Roman"/>
                <w:color w:val="auto"/>
                <w:sz w:val="21"/>
                <w:szCs w:val="21"/>
              </w:rPr>
              <w:t>0.013</w:t>
            </w:r>
            <w:r>
              <w:rPr>
                <w:rFonts w:eastAsia="Times New Roman"/>
                <w:color w:val="auto"/>
                <w:sz w:val="21"/>
                <w:szCs w:val="21"/>
              </w:rPr>
              <w:t>kg/d</w:t>
            </w:r>
          </w:p>
        </w:tc>
        <w:tc>
          <w:tcPr>
            <w:tcW w:w="657" w:type="pct"/>
            <w:vAlign w:val="center"/>
          </w:tcPr>
          <w:p>
            <w:pPr>
              <w:spacing w:line="240" w:lineRule="auto"/>
              <w:ind w:firstLine="0" w:firstLineChars="0"/>
              <w:jc w:val="center"/>
              <w:rPr>
                <w:color w:val="auto"/>
                <w:sz w:val="21"/>
                <w:szCs w:val="21"/>
              </w:rPr>
            </w:pPr>
            <w:r>
              <w:rPr>
                <w:rFonts w:hint="eastAsia"/>
                <w:color w:val="auto"/>
                <w:sz w:val="21"/>
                <w:szCs w:val="21"/>
              </w:rPr>
              <w:t>0</w:t>
            </w:r>
          </w:p>
        </w:tc>
        <w:tc>
          <w:tcPr>
            <w:tcW w:w="729" w:type="pct"/>
            <w:vAlign w:val="center"/>
          </w:tcPr>
          <w:p>
            <w:pPr>
              <w:spacing w:line="240" w:lineRule="auto"/>
              <w:ind w:firstLine="0" w:firstLineChars="0"/>
              <w:jc w:val="center"/>
              <w:rPr>
                <w:color w:val="auto"/>
                <w:sz w:val="21"/>
                <w:szCs w:val="21"/>
              </w:rPr>
            </w:pPr>
            <w:r>
              <w:rPr>
                <w:rFonts w:hint="eastAsia"/>
                <w:color w:val="auto"/>
                <w:sz w:val="21"/>
                <w:szCs w:val="21"/>
              </w:rPr>
              <w:t>0</w:t>
            </w:r>
          </w:p>
        </w:tc>
        <w:tc>
          <w:tcPr>
            <w:tcW w:w="728" w:type="pct"/>
            <w:vAlign w:val="center"/>
          </w:tcPr>
          <w:p>
            <w:pPr>
              <w:spacing w:line="240" w:lineRule="auto"/>
              <w:ind w:firstLine="0" w:firstLineChars="0"/>
              <w:jc w:val="center"/>
              <w:rPr>
                <w:color w:val="auto"/>
                <w:sz w:val="21"/>
                <w:szCs w:val="21"/>
              </w:rPr>
            </w:pPr>
            <w:r>
              <w:rPr>
                <w:rFonts w:hint="eastAsia"/>
                <w:color w:val="auto"/>
                <w:sz w:val="21"/>
                <w:szCs w:val="21"/>
              </w:rPr>
              <w:t>0</w:t>
            </w:r>
          </w:p>
        </w:tc>
        <w:tc>
          <w:tcPr>
            <w:tcW w:w="726" w:type="pct"/>
            <w:vAlign w:val="center"/>
          </w:tcPr>
          <w:p>
            <w:pPr>
              <w:spacing w:line="240" w:lineRule="auto"/>
              <w:ind w:firstLine="0" w:firstLineChars="0"/>
              <w:jc w:val="center"/>
              <w:rPr>
                <w:color w:val="auto"/>
                <w:sz w:val="21"/>
                <w:szCs w:val="21"/>
              </w:rPr>
            </w:pPr>
            <w:r>
              <w:rPr>
                <w:rFonts w:hint="eastAsia"/>
                <w:color w:val="auto"/>
                <w:sz w:val="21"/>
                <w:szCs w:val="21"/>
              </w:rPr>
              <w:t>3.49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vAlign w:val="center"/>
          </w:tcPr>
          <w:p>
            <w:pPr>
              <w:spacing w:line="240" w:lineRule="auto"/>
              <w:ind w:firstLine="0" w:firstLineChars="0"/>
              <w:jc w:val="center"/>
              <w:rPr>
                <w:rFonts w:eastAsia="Times New Roman"/>
                <w:color w:val="auto"/>
                <w:sz w:val="21"/>
                <w:szCs w:val="21"/>
              </w:rPr>
            </w:pPr>
            <w:r>
              <w:rPr>
                <w:rFonts w:eastAsia="Times New Roman"/>
                <w:color w:val="auto"/>
                <w:sz w:val="21"/>
                <w:szCs w:val="21"/>
              </w:rPr>
              <w:t>1000</w:t>
            </w:r>
          </w:p>
        </w:tc>
        <w:tc>
          <w:tcPr>
            <w:tcW w:w="659" w:type="pct"/>
          </w:tcPr>
          <w:p>
            <w:pPr>
              <w:spacing w:line="240" w:lineRule="auto"/>
              <w:ind w:firstLine="0" w:firstLineChars="0"/>
              <w:jc w:val="center"/>
              <w:rPr>
                <w:rFonts w:eastAsia="Times New Roman"/>
                <w:color w:val="auto"/>
                <w:sz w:val="21"/>
                <w:szCs w:val="21"/>
              </w:rPr>
            </w:pPr>
            <w:r>
              <w:rPr>
                <w:rFonts w:eastAsia="Times New Roman"/>
                <w:color w:val="auto"/>
                <w:sz w:val="21"/>
                <w:szCs w:val="21"/>
              </w:rPr>
              <w:t>COD</w:t>
            </w:r>
          </w:p>
        </w:tc>
        <w:tc>
          <w:tcPr>
            <w:tcW w:w="1025" w:type="pct"/>
          </w:tcPr>
          <w:p>
            <w:pPr>
              <w:spacing w:line="240" w:lineRule="auto"/>
              <w:ind w:firstLine="0" w:firstLineChars="0"/>
              <w:jc w:val="center"/>
              <w:rPr>
                <w:rFonts w:eastAsia="Times New Roman"/>
                <w:color w:val="auto"/>
                <w:sz w:val="21"/>
                <w:szCs w:val="21"/>
              </w:rPr>
            </w:pPr>
            <w:r>
              <w:rPr>
                <w:rFonts w:hint="eastAsia" w:eastAsia="Times New Roman"/>
                <w:color w:val="auto"/>
                <w:sz w:val="21"/>
                <w:szCs w:val="21"/>
              </w:rPr>
              <w:t>0.013</w:t>
            </w:r>
            <w:r>
              <w:rPr>
                <w:rFonts w:eastAsia="Times New Roman"/>
                <w:color w:val="auto"/>
                <w:sz w:val="21"/>
                <w:szCs w:val="21"/>
              </w:rPr>
              <w:t>kg/d</w:t>
            </w:r>
          </w:p>
        </w:tc>
        <w:tc>
          <w:tcPr>
            <w:tcW w:w="657" w:type="pct"/>
            <w:vAlign w:val="center"/>
          </w:tcPr>
          <w:p>
            <w:pPr>
              <w:spacing w:line="240" w:lineRule="auto"/>
              <w:ind w:firstLine="0" w:firstLineChars="0"/>
              <w:jc w:val="center"/>
              <w:rPr>
                <w:color w:val="auto"/>
                <w:sz w:val="21"/>
                <w:szCs w:val="21"/>
              </w:rPr>
            </w:pPr>
            <w:r>
              <w:rPr>
                <w:rFonts w:hint="eastAsia"/>
                <w:color w:val="auto"/>
                <w:sz w:val="21"/>
                <w:szCs w:val="21"/>
              </w:rPr>
              <w:t>0</w:t>
            </w:r>
          </w:p>
        </w:tc>
        <w:tc>
          <w:tcPr>
            <w:tcW w:w="729" w:type="pct"/>
            <w:vAlign w:val="center"/>
          </w:tcPr>
          <w:p>
            <w:pPr>
              <w:spacing w:line="240" w:lineRule="auto"/>
              <w:ind w:firstLine="0" w:firstLineChars="0"/>
              <w:jc w:val="center"/>
              <w:rPr>
                <w:color w:val="auto"/>
                <w:sz w:val="21"/>
                <w:szCs w:val="21"/>
              </w:rPr>
            </w:pPr>
            <w:r>
              <w:rPr>
                <w:rFonts w:hint="eastAsia"/>
                <w:color w:val="auto"/>
                <w:sz w:val="21"/>
                <w:szCs w:val="21"/>
              </w:rPr>
              <w:t>0</w:t>
            </w:r>
          </w:p>
        </w:tc>
        <w:tc>
          <w:tcPr>
            <w:tcW w:w="728" w:type="pct"/>
            <w:vAlign w:val="center"/>
          </w:tcPr>
          <w:p>
            <w:pPr>
              <w:spacing w:line="240" w:lineRule="auto"/>
              <w:ind w:firstLine="0" w:firstLineChars="0"/>
              <w:jc w:val="center"/>
              <w:rPr>
                <w:color w:val="auto"/>
                <w:sz w:val="21"/>
                <w:szCs w:val="21"/>
              </w:rPr>
            </w:pPr>
            <w:r>
              <w:rPr>
                <w:rFonts w:hint="eastAsia"/>
                <w:color w:val="auto"/>
                <w:sz w:val="21"/>
                <w:szCs w:val="21"/>
              </w:rPr>
              <w:t>0</w:t>
            </w:r>
          </w:p>
        </w:tc>
        <w:tc>
          <w:tcPr>
            <w:tcW w:w="726" w:type="pct"/>
            <w:vAlign w:val="center"/>
          </w:tcPr>
          <w:p>
            <w:pPr>
              <w:spacing w:line="240" w:lineRule="auto"/>
              <w:ind w:firstLine="0" w:firstLineChars="0"/>
              <w:jc w:val="center"/>
              <w:rPr>
                <w:color w:val="auto"/>
                <w:sz w:val="21"/>
                <w:szCs w:val="21"/>
              </w:rPr>
            </w:pPr>
            <w:r>
              <w:rPr>
                <w:rFonts w:hint="eastAsia"/>
                <w:color w:val="auto"/>
                <w:sz w:val="21"/>
                <w:szCs w:val="21"/>
              </w:rPr>
              <w:t>0</w:t>
            </w:r>
          </w:p>
        </w:tc>
      </w:tr>
    </w:tbl>
    <w:p>
      <w:pPr>
        <w:ind w:firstLine="480"/>
        <w:rPr>
          <w:color w:val="auto"/>
        </w:rPr>
      </w:pPr>
      <w:r>
        <w:rPr>
          <w:color w:val="auto"/>
        </w:rPr>
        <w:t>泄漏点下游方向不同位置点污染物的浓度曲线见图</w:t>
      </w:r>
      <w:r>
        <w:rPr>
          <w:rFonts w:hint="eastAsia"/>
          <w:color w:val="auto"/>
        </w:rPr>
        <w:t>5</w:t>
      </w:r>
      <w:r>
        <w:rPr>
          <w:color w:val="auto"/>
        </w:rPr>
        <w:t>.3-</w:t>
      </w:r>
      <w:r>
        <w:rPr>
          <w:rFonts w:hint="eastAsia"/>
          <w:color w:val="auto"/>
          <w:lang w:val="en-US" w:eastAsia="zh-CN"/>
        </w:rPr>
        <w:t>3</w:t>
      </w:r>
      <w:r>
        <w:rPr>
          <w:color w:val="auto"/>
        </w:rPr>
        <w:t>。</w:t>
      </w:r>
    </w:p>
    <w:tbl>
      <w:tblPr>
        <w:tblStyle w:val="2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6"/>
        <w:gridCol w:w="3568"/>
        <w:gridCol w:w="694"/>
        <w:gridCol w:w="39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6" w:type="dxa"/>
          </w:tcPr>
          <w:p>
            <w:pPr>
              <w:spacing w:line="240" w:lineRule="auto"/>
              <w:ind w:firstLine="0" w:firstLineChars="0"/>
              <w:jc w:val="center"/>
              <w:rPr>
                <w:rFonts w:eastAsia="Times New Roman"/>
                <w:color w:val="auto"/>
                <w:sz w:val="21"/>
              </w:rPr>
            </w:pPr>
            <w:r>
              <w:rPr>
                <w:rFonts w:eastAsia="Times New Roman"/>
                <w:color w:val="auto"/>
                <w:sz w:val="21"/>
                <w:szCs w:val="21"/>
              </w:rPr>
              <w:t>X(m)</w:t>
            </w:r>
          </w:p>
        </w:tc>
        <w:tc>
          <w:tcPr>
            <w:tcW w:w="3568" w:type="dxa"/>
          </w:tcPr>
          <w:p>
            <w:pPr>
              <w:spacing w:line="240" w:lineRule="auto"/>
              <w:ind w:firstLine="0" w:firstLineChars="0"/>
              <w:jc w:val="center"/>
              <w:rPr>
                <w:rFonts w:eastAsia="Times New Roman"/>
                <w:color w:val="auto"/>
                <w:sz w:val="21"/>
              </w:rPr>
            </w:pPr>
            <w:r>
              <w:rPr>
                <w:rFonts w:eastAsia="Times New Roman"/>
                <w:color w:val="auto"/>
                <w:sz w:val="21"/>
              </w:rPr>
              <w:t>COD</w:t>
            </w:r>
          </w:p>
        </w:tc>
        <w:tc>
          <w:tcPr>
            <w:tcW w:w="694" w:type="dxa"/>
          </w:tcPr>
          <w:p>
            <w:pPr>
              <w:spacing w:line="240" w:lineRule="auto"/>
              <w:ind w:firstLine="0" w:firstLineChars="0"/>
              <w:jc w:val="center"/>
              <w:rPr>
                <w:rFonts w:eastAsia="Times New Roman"/>
                <w:color w:val="auto"/>
                <w:sz w:val="21"/>
              </w:rPr>
            </w:pPr>
            <w:r>
              <w:rPr>
                <w:rFonts w:eastAsia="Times New Roman"/>
                <w:color w:val="auto"/>
                <w:sz w:val="21"/>
                <w:szCs w:val="21"/>
              </w:rPr>
              <w:t>X(m)</w:t>
            </w:r>
          </w:p>
        </w:tc>
        <w:tc>
          <w:tcPr>
            <w:tcW w:w="3995" w:type="dxa"/>
          </w:tcPr>
          <w:p>
            <w:pPr>
              <w:spacing w:line="240" w:lineRule="auto"/>
              <w:ind w:firstLine="0" w:firstLineChars="0"/>
              <w:jc w:val="center"/>
              <w:rPr>
                <w:rFonts w:eastAsia="Times New Roman"/>
                <w:color w:val="auto"/>
                <w:sz w:val="21"/>
              </w:rPr>
            </w:pPr>
            <w:r>
              <w:rPr>
                <w:rFonts w:eastAsia="Times New Roman"/>
                <w:color w:val="auto"/>
                <w:sz w:val="21"/>
              </w:rPr>
              <w:t>COD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6" w:type="dxa"/>
            <w:vAlign w:val="center"/>
          </w:tcPr>
          <w:p>
            <w:pPr>
              <w:spacing w:line="240" w:lineRule="auto"/>
              <w:ind w:firstLine="0" w:firstLineChars="0"/>
              <w:jc w:val="center"/>
              <w:rPr>
                <w:rFonts w:eastAsia="Times New Roman"/>
                <w:color w:val="auto"/>
              </w:rPr>
            </w:pPr>
            <w:r>
              <w:rPr>
                <w:rFonts w:eastAsia="Times New Roman"/>
                <w:color w:val="auto"/>
                <w:sz w:val="21"/>
                <w:szCs w:val="21"/>
              </w:rPr>
              <w:t>10</w:t>
            </w:r>
          </w:p>
        </w:tc>
        <w:tc>
          <w:tcPr>
            <w:tcW w:w="3568" w:type="dxa"/>
          </w:tcPr>
          <w:p>
            <w:pPr>
              <w:spacing w:line="240" w:lineRule="auto"/>
              <w:ind w:firstLine="0" w:firstLineChars="0"/>
              <w:jc w:val="center"/>
              <w:rPr>
                <w:color w:val="auto"/>
                <w:sz w:val="21"/>
              </w:rPr>
            </w:pPr>
            <w:r>
              <w:rPr>
                <w:rFonts w:hint="eastAsia"/>
                <w:color w:val="auto"/>
                <w:sz w:val="21"/>
              </w:rPr>
              <w:drawing>
                <wp:inline distT="0" distB="0" distL="114300" distR="114300">
                  <wp:extent cx="2125345" cy="1285875"/>
                  <wp:effectExtent l="0" t="0" r="8255" b="9525"/>
                  <wp:docPr id="115" name="图片 115" descr="7bc08a629880a560f054033b588d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7bc08a629880a560f054033b588d863"/>
                          <pic:cNvPicPr>
                            <a:picLocks noChangeAspect="1"/>
                          </pic:cNvPicPr>
                        </pic:nvPicPr>
                        <pic:blipFill>
                          <a:blip r:embed="rId121"/>
                          <a:stretch>
                            <a:fillRect/>
                          </a:stretch>
                        </pic:blipFill>
                        <pic:spPr>
                          <a:xfrm>
                            <a:off x="0" y="0"/>
                            <a:ext cx="2125345" cy="1285875"/>
                          </a:xfrm>
                          <a:prstGeom prst="rect">
                            <a:avLst/>
                          </a:prstGeom>
                        </pic:spPr>
                      </pic:pic>
                    </a:graphicData>
                  </a:graphic>
                </wp:inline>
              </w:drawing>
            </w:r>
          </w:p>
        </w:tc>
        <w:tc>
          <w:tcPr>
            <w:tcW w:w="694" w:type="dxa"/>
            <w:vAlign w:val="center"/>
          </w:tcPr>
          <w:p>
            <w:pPr>
              <w:spacing w:line="240" w:lineRule="auto"/>
              <w:ind w:firstLine="0" w:firstLineChars="0"/>
              <w:jc w:val="center"/>
              <w:rPr>
                <w:color w:val="auto"/>
              </w:rPr>
            </w:pPr>
            <w:r>
              <w:rPr>
                <w:color w:val="auto"/>
                <w:sz w:val="21"/>
                <w:szCs w:val="21"/>
              </w:rPr>
              <w:t>100</w:t>
            </w:r>
          </w:p>
        </w:tc>
        <w:tc>
          <w:tcPr>
            <w:tcW w:w="3995" w:type="dxa"/>
          </w:tcPr>
          <w:p>
            <w:pPr>
              <w:spacing w:line="240" w:lineRule="auto"/>
              <w:ind w:firstLine="0" w:firstLineChars="0"/>
              <w:jc w:val="center"/>
              <w:rPr>
                <w:color w:val="auto"/>
                <w:sz w:val="21"/>
              </w:rPr>
            </w:pPr>
            <w:r>
              <w:rPr>
                <w:rFonts w:hint="eastAsia"/>
                <w:color w:val="auto"/>
                <w:sz w:val="21"/>
              </w:rPr>
              <w:drawing>
                <wp:inline distT="0" distB="0" distL="114300" distR="114300">
                  <wp:extent cx="2128520" cy="1275715"/>
                  <wp:effectExtent l="0" t="0" r="5080" b="635"/>
                  <wp:docPr id="116" name="图片 116" descr="49ffad9d33fd4d89d3a6aa1d459f0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49ffad9d33fd4d89d3a6aa1d459f0c6"/>
                          <pic:cNvPicPr>
                            <a:picLocks noChangeAspect="1"/>
                          </pic:cNvPicPr>
                        </pic:nvPicPr>
                        <pic:blipFill>
                          <a:blip r:embed="rId122"/>
                          <a:stretch>
                            <a:fillRect/>
                          </a:stretch>
                        </pic:blipFill>
                        <pic:spPr>
                          <a:xfrm>
                            <a:off x="0" y="0"/>
                            <a:ext cx="2128520" cy="1275715"/>
                          </a:xfrm>
                          <a:prstGeom prst="rect">
                            <a:avLst/>
                          </a:prstGeom>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6" w:type="dxa"/>
            <w:vAlign w:val="center"/>
          </w:tcPr>
          <w:p>
            <w:pPr>
              <w:spacing w:line="240" w:lineRule="auto"/>
              <w:ind w:firstLine="0" w:firstLineChars="0"/>
              <w:jc w:val="center"/>
              <w:rPr>
                <w:color w:val="auto"/>
              </w:rPr>
            </w:pPr>
            <w:r>
              <w:rPr>
                <w:color w:val="auto"/>
                <w:sz w:val="21"/>
                <w:szCs w:val="21"/>
              </w:rPr>
              <w:t>300</w:t>
            </w:r>
          </w:p>
        </w:tc>
        <w:tc>
          <w:tcPr>
            <w:tcW w:w="3568" w:type="dxa"/>
          </w:tcPr>
          <w:p>
            <w:pPr>
              <w:spacing w:line="240" w:lineRule="auto"/>
              <w:ind w:firstLine="0" w:firstLineChars="0"/>
              <w:jc w:val="center"/>
              <w:rPr>
                <w:color w:val="auto"/>
                <w:sz w:val="21"/>
              </w:rPr>
            </w:pPr>
            <w:r>
              <w:rPr>
                <w:rFonts w:hint="eastAsia"/>
                <w:color w:val="auto"/>
                <w:sz w:val="21"/>
              </w:rPr>
              <w:drawing>
                <wp:inline distT="0" distB="0" distL="114300" distR="114300">
                  <wp:extent cx="2125345" cy="1287145"/>
                  <wp:effectExtent l="0" t="0" r="8255" b="8255"/>
                  <wp:docPr id="150" name="图片 150" descr="e846365c2b4e3045b5a0bf4c908a4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e846365c2b4e3045b5a0bf4c908a40f"/>
                          <pic:cNvPicPr>
                            <a:picLocks noChangeAspect="1"/>
                          </pic:cNvPicPr>
                        </pic:nvPicPr>
                        <pic:blipFill>
                          <a:blip r:embed="rId123"/>
                          <a:stretch>
                            <a:fillRect/>
                          </a:stretch>
                        </pic:blipFill>
                        <pic:spPr>
                          <a:xfrm>
                            <a:off x="0" y="0"/>
                            <a:ext cx="2125345" cy="1287145"/>
                          </a:xfrm>
                          <a:prstGeom prst="rect">
                            <a:avLst/>
                          </a:prstGeom>
                        </pic:spPr>
                      </pic:pic>
                    </a:graphicData>
                  </a:graphic>
                </wp:inline>
              </w:drawing>
            </w:r>
          </w:p>
        </w:tc>
        <w:tc>
          <w:tcPr>
            <w:tcW w:w="694" w:type="dxa"/>
            <w:vAlign w:val="center"/>
          </w:tcPr>
          <w:p>
            <w:pPr>
              <w:spacing w:line="240" w:lineRule="auto"/>
              <w:ind w:firstLine="0" w:firstLineChars="0"/>
              <w:jc w:val="center"/>
              <w:rPr>
                <w:color w:val="auto"/>
              </w:rPr>
            </w:pPr>
            <w:r>
              <w:rPr>
                <w:color w:val="auto"/>
                <w:sz w:val="21"/>
                <w:szCs w:val="21"/>
              </w:rPr>
              <w:t>500</w:t>
            </w:r>
          </w:p>
        </w:tc>
        <w:tc>
          <w:tcPr>
            <w:tcW w:w="3995" w:type="dxa"/>
          </w:tcPr>
          <w:p>
            <w:pPr>
              <w:spacing w:line="240" w:lineRule="auto"/>
              <w:ind w:firstLine="0" w:firstLineChars="0"/>
              <w:jc w:val="center"/>
              <w:rPr>
                <w:color w:val="auto"/>
                <w:sz w:val="21"/>
              </w:rPr>
            </w:pPr>
            <w:r>
              <w:rPr>
                <w:rFonts w:hint="eastAsia"/>
                <w:color w:val="auto"/>
                <w:sz w:val="21"/>
              </w:rPr>
              <w:drawing>
                <wp:inline distT="0" distB="0" distL="114300" distR="114300">
                  <wp:extent cx="2126615" cy="1304290"/>
                  <wp:effectExtent l="0" t="0" r="6985" b="10160"/>
                  <wp:docPr id="155" name="图片 155" descr="6bdc6b56e21178d6940778a6b9af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6bdc6b56e21178d6940778a6b9af6f0"/>
                          <pic:cNvPicPr>
                            <a:picLocks noChangeAspect="1"/>
                          </pic:cNvPicPr>
                        </pic:nvPicPr>
                        <pic:blipFill>
                          <a:blip r:embed="rId124"/>
                          <a:stretch>
                            <a:fillRect/>
                          </a:stretch>
                        </pic:blipFill>
                        <pic:spPr>
                          <a:xfrm>
                            <a:off x="0" y="0"/>
                            <a:ext cx="2126615" cy="1304290"/>
                          </a:xfrm>
                          <a:prstGeom prst="rect">
                            <a:avLst/>
                          </a:prstGeom>
                        </pic:spPr>
                      </pic:pic>
                    </a:graphicData>
                  </a:graphic>
                </wp:inline>
              </w:drawing>
            </w:r>
          </w:p>
        </w:tc>
      </w:tr>
    </w:tbl>
    <w:p>
      <w:pPr>
        <w:ind w:firstLine="0" w:firstLineChars="0"/>
        <w:jc w:val="center"/>
        <w:rPr>
          <w:color w:val="auto"/>
        </w:rPr>
      </w:pPr>
      <w:r>
        <w:rPr>
          <w:rFonts w:eastAsia="黑体"/>
          <w:b/>
          <w:color w:val="auto"/>
          <w:kern w:val="0"/>
          <w:sz w:val="21"/>
          <w:szCs w:val="21"/>
        </w:rPr>
        <w:t>图</w:t>
      </w:r>
      <w:r>
        <w:rPr>
          <w:rFonts w:hint="eastAsia" w:eastAsia="黑体"/>
          <w:b/>
          <w:color w:val="auto"/>
          <w:kern w:val="0"/>
          <w:sz w:val="21"/>
          <w:szCs w:val="21"/>
        </w:rPr>
        <w:t>5</w:t>
      </w:r>
      <w:r>
        <w:rPr>
          <w:rFonts w:eastAsia="黑体"/>
          <w:b/>
          <w:color w:val="auto"/>
          <w:kern w:val="0"/>
          <w:sz w:val="21"/>
          <w:szCs w:val="21"/>
        </w:rPr>
        <w:t>.3-</w:t>
      </w:r>
      <w:r>
        <w:rPr>
          <w:rFonts w:hint="eastAsia" w:eastAsia="黑体"/>
          <w:b/>
          <w:color w:val="auto"/>
          <w:kern w:val="0"/>
          <w:sz w:val="21"/>
          <w:szCs w:val="21"/>
          <w:lang w:val="en-US" w:eastAsia="zh-CN"/>
        </w:rPr>
        <w:t>3</w:t>
      </w:r>
      <w:r>
        <w:rPr>
          <w:rFonts w:eastAsia="黑体"/>
          <w:b/>
          <w:color w:val="auto"/>
          <w:kern w:val="0"/>
          <w:sz w:val="21"/>
          <w:szCs w:val="21"/>
        </w:rPr>
        <w:t xml:space="preserve">  不同位置点污染物的浓度曲线图</w:t>
      </w:r>
    </w:p>
    <w:p>
      <w:pPr>
        <w:ind w:firstLine="480"/>
        <w:rPr>
          <w:color w:val="auto"/>
        </w:rPr>
      </w:pPr>
      <w:r>
        <w:rPr>
          <w:color w:val="auto"/>
        </w:rPr>
        <w:t>经预测，在不考虑土壤的吸附、降解和降雨淋渗作用下，随着时间的推进，厂区周边地下水中</w:t>
      </w:r>
      <w:r>
        <w:rPr>
          <w:rFonts w:eastAsia="Times New Roman"/>
          <w:color w:val="auto"/>
        </w:rPr>
        <w:t>COD</w:t>
      </w:r>
      <w:r>
        <w:rPr>
          <w:color w:val="auto"/>
        </w:rPr>
        <w:t>组分含量和污染区域面积均呈现缓慢增加的趋势。工程建成运行30d后厂区周边地下水中COD最大影响距离距污水池约</w:t>
      </w:r>
      <w:r>
        <w:rPr>
          <w:rFonts w:hint="eastAsia"/>
          <w:color w:val="auto"/>
        </w:rPr>
        <w:t>38.1</w:t>
      </w:r>
      <w:r>
        <w:rPr>
          <w:color w:val="auto"/>
        </w:rPr>
        <w:t>m，超标浓度影响距离距污水池约</w:t>
      </w:r>
      <w:r>
        <w:rPr>
          <w:rFonts w:hint="eastAsia"/>
          <w:color w:val="auto"/>
        </w:rPr>
        <w:t>1.3</w:t>
      </w:r>
      <w:r>
        <w:rPr>
          <w:color w:val="auto"/>
        </w:rPr>
        <w:t>m。工程建成运行100d后厂区周边地下水中COD最大影响距离距污水池约</w:t>
      </w:r>
      <w:r>
        <w:rPr>
          <w:rFonts w:hint="eastAsia"/>
          <w:color w:val="auto"/>
        </w:rPr>
        <w:t>72.4</w:t>
      </w:r>
      <w:r>
        <w:rPr>
          <w:color w:val="auto"/>
        </w:rPr>
        <w:t>m，超标浓度影响距离距污水池约</w:t>
      </w:r>
      <w:r>
        <w:rPr>
          <w:rFonts w:hint="eastAsia"/>
          <w:color w:val="auto"/>
        </w:rPr>
        <w:t>2.5</w:t>
      </w:r>
      <w:r>
        <w:rPr>
          <w:color w:val="auto"/>
        </w:rPr>
        <w:t>m。工程建成运行1年后厂区周边地下水中COD最大影响距离距污水池约</w:t>
      </w:r>
      <w:r>
        <w:rPr>
          <w:rFonts w:hint="eastAsia"/>
          <w:color w:val="auto"/>
        </w:rPr>
        <w:t>151</w:t>
      </w:r>
      <w:r>
        <w:rPr>
          <w:color w:val="auto"/>
        </w:rPr>
        <w:t>m，超标浓度影响距离距污水池约</w:t>
      </w:r>
      <w:r>
        <w:rPr>
          <w:rFonts w:hint="eastAsia"/>
          <w:color w:val="auto"/>
        </w:rPr>
        <w:t>4.5</w:t>
      </w:r>
      <w:r>
        <w:rPr>
          <w:color w:val="auto"/>
        </w:rPr>
        <w:t>m。工程建成运行后，若污水池因长时间不检修，导致污水收集池内防渗层出现“跑、冒、滴、漏”现象，厂区周边地下水中COD出现超标，不满足III类水体标准。</w:t>
      </w:r>
    </w:p>
    <w:p>
      <w:pPr>
        <w:ind w:firstLine="0" w:firstLineChars="0"/>
        <w:jc w:val="center"/>
        <w:rPr>
          <w:rFonts w:eastAsia="黑体"/>
          <w:b/>
          <w:color w:val="auto"/>
          <w:kern w:val="0"/>
          <w:sz w:val="21"/>
        </w:rPr>
      </w:pPr>
      <w:r>
        <w:rPr>
          <w:rFonts w:eastAsia="黑体"/>
          <w:b/>
          <w:color w:val="auto"/>
          <w:kern w:val="0"/>
          <w:sz w:val="21"/>
          <w:szCs w:val="21"/>
        </w:rPr>
        <w:t>表</w:t>
      </w:r>
      <w:r>
        <w:rPr>
          <w:rFonts w:hint="eastAsia" w:eastAsia="黑体"/>
          <w:b/>
          <w:color w:val="auto"/>
          <w:kern w:val="0"/>
          <w:sz w:val="21"/>
          <w:szCs w:val="21"/>
          <w:lang w:val="en-US" w:eastAsia="zh-CN"/>
        </w:rPr>
        <w:t>5.3-5</w:t>
      </w:r>
      <w:r>
        <w:rPr>
          <w:rFonts w:eastAsia="黑体"/>
          <w:b/>
          <w:color w:val="auto"/>
          <w:kern w:val="0"/>
          <w:sz w:val="21"/>
          <w:szCs w:val="21"/>
        </w:rPr>
        <w:t xml:space="preserve">  工况1下COD预测结果表</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6"/>
        <w:gridCol w:w="782"/>
        <w:gridCol w:w="1637"/>
        <w:gridCol w:w="1873"/>
        <w:gridCol w:w="1927"/>
        <w:gridCol w:w="19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2" w:hRule="atLeast"/>
          <w:jc w:val="center"/>
        </w:trPr>
        <w:tc>
          <w:tcPr>
            <w:tcW w:w="475" w:type="pct"/>
            <w:vAlign w:val="center"/>
          </w:tcPr>
          <w:p>
            <w:pPr>
              <w:spacing w:line="240" w:lineRule="auto"/>
              <w:ind w:firstLine="0" w:firstLineChars="0"/>
              <w:jc w:val="center"/>
              <w:rPr>
                <w:rFonts w:eastAsia="Times New Roman"/>
                <w:b/>
                <w:color w:val="auto"/>
                <w:sz w:val="21"/>
                <w:szCs w:val="21"/>
              </w:rPr>
            </w:pPr>
            <w:r>
              <w:rPr>
                <w:b/>
                <w:color w:val="auto"/>
                <w:sz w:val="21"/>
                <w:szCs w:val="21"/>
              </w:rPr>
              <w:t>污染物</w:t>
            </w:r>
          </w:p>
        </w:tc>
        <w:tc>
          <w:tcPr>
            <w:tcW w:w="434" w:type="pct"/>
            <w:vAlign w:val="center"/>
          </w:tcPr>
          <w:p>
            <w:pPr>
              <w:spacing w:line="240" w:lineRule="auto"/>
              <w:ind w:firstLine="0" w:firstLineChars="0"/>
              <w:jc w:val="center"/>
              <w:rPr>
                <w:rFonts w:eastAsia="Times New Roman"/>
                <w:b/>
                <w:color w:val="auto"/>
                <w:sz w:val="21"/>
                <w:szCs w:val="21"/>
              </w:rPr>
            </w:pPr>
            <w:r>
              <w:rPr>
                <w:b/>
                <w:color w:val="auto"/>
                <w:sz w:val="21"/>
                <w:szCs w:val="21"/>
              </w:rPr>
              <w:t>时间</w:t>
            </w:r>
          </w:p>
        </w:tc>
        <w:tc>
          <w:tcPr>
            <w:tcW w:w="909" w:type="pct"/>
            <w:vAlign w:val="center"/>
          </w:tcPr>
          <w:p>
            <w:pPr>
              <w:spacing w:line="240" w:lineRule="auto"/>
              <w:ind w:firstLine="0" w:firstLineChars="0"/>
              <w:jc w:val="center"/>
              <w:rPr>
                <w:rFonts w:eastAsia="Times New Roman"/>
                <w:b/>
                <w:color w:val="auto"/>
                <w:sz w:val="21"/>
                <w:szCs w:val="21"/>
              </w:rPr>
            </w:pPr>
            <w:r>
              <w:rPr>
                <w:b/>
                <w:color w:val="auto"/>
                <w:sz w:val="21"/>
                <w:szCs w:val="21"/>
              </w:rPr>
              <w:t>上游最大超标距离（</w:t>
            </w:r>
            <w:r>
              <w:rPr>
                <w:rFonts w:eastAsia="Times New Roman"/>
                <w:b/>
                <w:color w:val="auto"/>
                <w:sz w:val="21"/>
                <w:szCs w:val="21"/>
              </w:rPr>
              <w:t>m</w:t>
            </w:r>
            <w:r>
              <w:rPr>
                <w:b/>
                <w:color w:val="auto"/>
                <w:sz w:val="21"/>
                <w:szCs w:val="21"/>
              </w:rPr>
              <w:t>）</w:t>
            </w:r>
          </w:p>
        </w:tc>
        <w:tc>
          <w:tcPr>
            <w:tcW w:w="1040" w:type="pct"/>
            <w:vAlign w:val="center"/>
          </w:tcPr>
          <w:p>
            <w:pPr>
              <w:spacing w:line="240" w:lineRule="auto"/>
              <w:ind w:firstLine="0" w:firstLineChars="0"/>
              <w:jc w:val="center"/>
              <w:rPr>
                <w:rFonts w:eastAsia="Times New Roman"/>
                <w:b/>
                <w:color w:val="auto"/>
                <w:sz w:val="21"/>
                <w:szCs w:val="21"/>
              </w:rPr>
            </w:pPr>
            <w:r>
              <w:rPr>
                <w:b/>
                <w:color w:val="auto"/>
                <w:sz w:val="21"/>
                <w:szCs w:val="21"/>
              </w:rPr>
              <w:t>下游最大超标距离（</w:t>
            </w:r>
            <w:r>
              <w:rPr>
                <w:rFonts w:eastAsia="Times New Roman"/>
                <w:b/>
                <w:color w:val="auto"/>
                <w:sz w:val="21"/>
                <w:szCs w:val="21"/>
              </w:rPr>
              <w:t>m</w:t>
            </w:r>
            <w:r>
              <w:rPr>
                <w:b/>
                <w:color w:val="auto"/>
                <w:sz w:val="21"/>
                <w:szCs w:val="21"/>
              </w:rPr>
              <w:t>）</w:t>
            </w:r>
          </w:p>
        </w:tc>
        <w:tc>
          <w:tcPr>
            <w:tcW w:w="1070" w:type="pct"/>
            <w:vAlign w:val="center"/>
          </w:tcPr>
          <w:p>
            <w:pPr>
              <w:spacing w:line="240" w:lineRule="auto"/>
              <w:ind w:firstLine="0" w:firstLineChars="0"/>
              <w:jc w:val="center"/>
              <w:rPr>
                <w:rFonts w:eastAsia="Times New Roman"/>
                <w:b/>
                <w:color w:val="auto"/>
                <w:sz w:val="21"/>
                <w:szCs w:val="21"/>
              </w:rPr>
            </w:pPr>
            <w:r>
              <w:rPr>
                <w:b/>
                <w:color w:val="auto"/>
                <w:sz w:val="21"/>
                <w:szCs w:val="21"/>
              </w:rPr>
              <w:t>上游影响距离</w:t>
            </w:r>
            <w:r>
              <w:rPr>
                <w:rFonts w:eastAsia="Times New Roman"/>
                <w:b/>
                <w:color w:val="auto"/>
                <w:sz w:val="21"/>
                <w:szCs w:val="21"/>
              </w:rPr>
              <w:t>(m)</w:t>
            </w:r>
          </w:p>
        </w:tc>
        <w:tc>
          <w:tcPr>
            <w:tcW w:w="1071" w:type="pct"/>
            <w:vAlign w:val="center"/>
          </w:tcPr>
          <w:p>
            <w:pPr>
              <w:spacing w:line="240" w:lineRule="auto"/>
              <w:ind w:firstLine="0" w:firstLineChars="0"/>
              <w:jc w:val="center"/>
              <w:rPr>
                <w:rFonts w:eastAsia="Times New Roman"/>
                <w:b/>
                <w:color w:val="auto"/>
                <w:sz w:val="21"/>
                <w:szCs w:val="21"/>
              </w:rPr>
            </w:pPr>
            <w:r>
              <w:rPr>
                <w:b/>
                <w:color w:val="auto"/>
                <w:sz w:val="21"/>
                <w:szCs w:val="21"/>
              </w:rPr>
              <w:t>下游影响距离</w:t>
            </w:r>
            <w:r>
              <w:rPr>
                <w:rFonts w:eastAsia="Times New Roman"/>
                <w:b/>
                <w:color w:val="auto"/>
                <w:sz w:val="21"/>
                <w:szCs w:val="21"/>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pct"/>
            <w:vMerge w:val="restart"/>
            <w:vAlign w:val="center"/>
          </w:tcPr>
          <w:p>
            <w:pPr>
              <w:spacing w:line="240" w:lineRule="auto"/>
              <w:ind w:firstLine="0" w:firstLineChars="0"/>
              <w:jc w:val="center"/>
              <w:rPr>
                <w:rFonts w:eastAsia="Times New Roman"/>
                <w:color w:val="auto"/>
                <w:sz w:val="21"/>
                <w:szCs w:val="21"/>
              </w:rPr>
            </w:pPr>
            <w:r>
              <w:rPr>
                <w:rFonts w:eastAsia="Times New Roman"/>
                <w:color w:val="auto"/>
                <w:sz w:val="21"/>
                <w:szCs w:val="21"/>
              </w:rPr>
              <w:t>COD</w:t>
            </w:r>
          </w:p>
        </w:tc>
        <w:tc>
          <w:tcPr>
            <w:tcW w:w="434" w:type="pct"/>
            <w:vAlign w:val="center"/>
          </w:tcPr>
          <w:p>
            <w:pPr>
              <w:spacing w:line="240" w:lineRule="auto"/>
              <w:ind w:firstLine="0" w:firstLineChars="0"/>
              <w:jc w:val="center"/>
              <w:rPr>
                <w:rFonts w:eastAsia="Times New Roman"/>
                <w:color w:val="auto"/>
                <w:sz w:val="21"/>
                <w:szCs w:val="21"/>
              </w:rPr>
            </w:pPr>
            <w:r>
              <w:rPr>
                <w:rFonts w:eastAsia="Times New Roman"/>
                <w:color w:val="auto"/>
                <w:sz w:val="21"/>
                <w:szCs w:val="21"/>
              </w:rPr>
              <w:t>30d</w:t>
            </w:r>
          </w:p>
        </w:tc>
        <w:tc>
          <w:tcPr>
            <w:tcW w:w="909" w:type="pct"/>
            <w:vAlign w:val="center"/>
          </w:tcPr>
          <w:p>
            <w:pPr>
              <w:spacing w:line="240" w:lineRule="auto"/>
              <w:ind w:firstLine="0" w:firstLineChars="0"/>
              <w:jc w:val="center"/>
              <w:rPr>
                <w:color w:val="auto"/>
                <w:sz w:val="21"/>
                <w:szCs w:val="21"/>
              </w:rPr>
            </w:pPr>
            <w:r>
              <w:rPr>
                <w:rFonts w:hint="eastAsia"/>
                <w:color w:val="auto"/>
                <w:sz w:val="21"/>
                <w:szCs w:val="21"/>
              </w:rPr>
              <w:t>0.65</w:t>
            </w:r>
          </w:p>
        </w:tc>
        <w:tc>
          <w:tcPr>
            <w:tcW w:w="1040" w:type="pct"/>
            <w:vAlign w:val="center"/>
          </w:tcPr>
          <w:p>
            <w:pPr>
              <w:spacing w:line="240" w:lineRule="auto"/>
              <w:ind w:firstLine="0" w:firstLineChars="0"/>
              <w:jc w:val="center"/>
              <w:rPr>
                <w:color w:val="auto"/>
                <w:sz w:val="21"/>
                <w:szCs w:val="21"/>
              </w:rPr>
            </w:pPr>
            <w:r>
              <w:rPr>
                <w:rFonts w:hint="eastAsia"/>
                <w:color w:val="auto"/>
                <w:sz w:val="21"/>
                <w:szCs w:val="21"/>
              </w:rPr>
              <w:t>1.3</w:t>
            </w:r>
          </w:p>
        </w:tc>
        <w:tc>
          <w:tcPr>
            <w:tcW w:w="1070" w:type="pct"/>
            <w:vAlign w:val="center"/>
          </w:tcPr>
          <w:p>
            <w:pPr>
              <w:spacing w:line="240" w:lineRule="auto"/>
              <w:ind w:firstLine="0" w:firstLineChars="0"/>
              <w:jc w:val="center"/>
              <w:rPr>
                <w:color w:val="auto"/>
                <w:sz w:val="21"/>
                <w:szCs w:val="21"/>
              </w:rPr>
            </w:pPr>
            <w:r>
              <w:rPr>
                <w:rFonts w:hint="eastAsia"/>
                <w:color w:val="auto"/>
                <w:sz w:val="21"/>
                <w:szCs w:val="21"/>
              </w:rPr>
              <w:t>32.4</w:t>
            </w:r>
          </w:p>
        </w:tc>
        <w:tc>
          <w:tcPr>
            <w:tcW w:w="1071" w:type="pct"/>
            <w:vAlign w:val="center"/>
          </w:tcPr>
          <w:p>
            <w:pPr>
              <w:spacing w:line="240" w:lineRule="auto"/>
              <w:ind w:firstLine="0" w:firstLineChars="0"/>
              <w:jc w:val="center"/>
              <w:rPr>
                <w:color w:val="auto"/>
                <w:sz w:val="21"/>
                <w:szCs w:val="21"/>
              </w:rPr>
            </w:pPr>
            <w:r>
              <w:rPr>
                <w:rFonts w:hint="eastAsia"/>
                <w:color w:val="auto"/>
                <w:sz w:val="21"/>
                <w:szCs w:val="21"/>
              </w:rPr>
              <w:t>38.1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pct"/>
            <w:vMerge w:val="continue"/>
            <w:vAlign w:val="center"/>
          </w:tcPr>
          <w:p>
            <w:pPr>
              <w:spacing w:line="240" w:lineRule="auto"/>
              <w:ind w:firstLine="0" w:firstLineChars="0"/>
              <w:jc w:val="center"/>
              <w:rPr>
                <w:rFonts w:eastAsia="Times New Roman"/>
                <w:color w:val="auto"/>
                <w:sz w:val="21"/>
                <w:szCs w:val="21"/>
              </w:rPr>
            </w:pPr>
          </w:p>
        </w:tc>
        <w:tc>
          <w:tcPr>
            <w:tcW w:w="434" w:type="pct"/>
            <w:vAlign w:val="center"/>
          </w:tcPr>
          <w:p>
            <w:pPr>
              <w:spacing w:line="240" w:lineRule="auto"/>
              <w:ind w:firstLine="0" w:firstLineChars="0"/>
              <w:jc w:val="center"/>
              <w:rPr>
                <w:rFonts w:eastAsia="Times New Roman"/>
                <w:color w:val="auto"/>
                <w:sz w:val="21"/>
                <w:szCs w:val="21"/>
              </w:rPr>
            </w:pPr>
            <w:r>
              <w:rPr>
                <w:rFonts w:eastAsia="Times New Roman"/>
                <w:color w:val="auto"/>
                <w:sz w:val="21"/>
                <w:szCs w:val="21"/>
              </w:rPr>
              <w:t>100d</w:t>
            </w:r>
          </w:p>
        </w:tc>
        <w:tc>
          <w:tcPr>
            <w:tcW w:w="909" w:type="pct"/>
            <w:vAlign w:val="center"/>
          </w:tcPr>
          <w:p>
            <w:pPr>
              <w:spacing w:line="240" w:lineRule="auto"/>
              <w:ind w:firstLine="0" w:firstLineChars="0"/>
              <w:jc w:val="center"/>
              <w:rPr>
                <w:color w:val="auto"/>
                <w:sz w:val="21"/>
                <w:szCs w:val="21"/>
              </w:rPr>
            </w:pPr>
            <w:r>
              <w:rPr>
                <w:rFonts w:hint="eastAsia"/>
                <w:color w:val="auto"/>
                <w:sz w:val="21"/>
                <w:szCs w:val="21"/>
              </w:rPr>
              <w:t>1.2</w:t>
            </w:r>
          </w:p>
        </w:tc>
        <w:tc>
          <w:tcPr>
            <w:tcW w:w="1040" w:type="pct"/>
            <w:vAlign w:val="center"/>
          </w:tcPr>
          <w:p>
            <w:pPr>
              <w:spacing w:line="240" w:lineRule="auto"/>
              <w:ind w:firstLine="0" w:firstLineChars="0"/>
              <w:jc w:val="center"/>
              <w:rPr>
                <w:color w:val="auto"/>
                <w:sz w:val="21"/>
                <w:szCs w:val="21"/>
              </w:rPr>
            </w:pPr>
            <w:r>
              <w:rPr>
                <w:rFonts w:hint="eastAsia"/>
                <w:color w:val="auto"/>
                <w:sz w:val="21"/>
                <w:szCs w:val="21"/>
              </w:rPr>
              <w:t>2.5</w:t>
            </w:r>
          </w:p>
        </w:tc>
        <w:tc>
          <w:tcPr>
            <w:tcW w:w="1070" w:type="pct"/>
            <w:vAlign w:val="center"/>
          </w:tcPr>
          <w:p>
            <w:pPr>
              <w:spacing w:line="240" w:lineRule="auto"/>
              <w:ind w:firstLine="0" w:firstLineChars="0"/>
              <w:jc w:val="center"/>
              <w:rPr>
                <w:color w:val="auto"/>
                <w:sz w:val="21"/>
                <w:szCs w:val="21"/>
              </w:rPr>
            </w:pPr>
            <w:r>
              <w:rPr>
                <w:rFonts w:hint="eastAsia"/>
                <w:color w:val="auto"/>
                <w:sz w:val="21"/>
                <w:szCs w:val="21"/>
              </w:rPr>
              <w:t>53.6</w:t>
            </w:r>
          </w:p>
        </w:tc>
        <w:tc>
          <w:tcPr>
            <w:tcW w:w="1071" w:type="pct"/>
            <w:vAlign w:val="center"/>
          </w:tcPr>
          <w:p>
            <w:pPr>
              <w:spacing w:line="240" w:lineRule="auto"/>
              <w:ind w:firstLine="0" w:firstLineChars="0"/>
              <w:jc w:val="center"/>
              <w:rPr>
                <w:color w:val="auto"/>
                <w:sz w:val="21"/>
                <w:szCs w:val="21"/>
              </w:rPr>
            </w:pPr>
            <w:r>
              <w:rPr>
                <w:rFonts w:hint="eastAsia"/>
                <w:color w:val="auto"/>
                <w:sz w:val="21"/>
                <w:szCs w:val="21"/>
              </w:rPr>
              <w:t>72.4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pct"/>
            <w:vMerge w:val="continue"/>
            <w:vAlign w:val="center"/>
          </w:tcPr>
          <w:p>
            <w:pPr>
              <w:spacing w:line="240" w:lineRule="auto"/>
              <w:ind w:firstLine="0" w:firstLineChars="0"/>
              <w:jc w:val="center"/>
              <w:rPr>
                <w:rFonts w:eastAsia="Times New Roman"/>
                <w:color w:val="auto"/>
                <w:sz w:val="21"/>
                <w:szCs w:val="21"/>
              </w:rPr>
            </w:pPr>
          </w:p>
        </w:tc>
        <w:tc>
          <w:tcPr>
            <w:tcW w:w="434" w:type="pct"/>
            <w:vAlign w:val="center"/>
          </w:tcPr>
          <w:p>
            <w:pPr>
              <w:spacing w:line="240" w:lineRule="auto"/>
              <w:ind w:firstLine="0" w:firstLineChars="0"/>
              <w:jc w:val="center"/>
              <w:rPr>
                <w:rFonts w:eastAsia="Times New Roman"/>
                <w:color w:val="auto"/>
                <w:sz w:val="21"/>
                <w:szCs w:val="21"/>
              </w:rPr>
            </w:pPr>
            <w:r>
              <w:rPr>
                <w:rFonts w:eastAsia="Times New Roman"/>
                <w:color w:val="auto"/>
                <w:sz w:val="21"/>
                <w:szCs w:val="21"/>
              </w:rPr>
              <w:t>300d</w:t>
            </w:r>
          </w:p>
        </w:tc>
        <w:tc>
          <w:tcPr>
            <w:tcW w:w="909" w:type="pct"/>
            <w:vAlign w:val="center"/>
          </w:tcPr>
          <w:p>
            <w:pPr>
              <w:spacing w:line="240" w:lineRule="auto"/>
              <w:ind w:firstLine="0" w:firstLineChars="0"/>
              <w:jc w:val="center"/>
              <w:rPr>
                <w:color w:val="auto"/>
                <w:sz w:val="21"/>
                <w:szCs w:val="21"/>
              </w:rPr>
            </w:pPr>
            <w:r>
              <w:rPr>
                <w:rFonts w:hint="eastAsia"/>
                <w:color w:val="auto"/>
                <w:sz w:val="21"/>
                <w:szCs w:val="21"/>
              </w:rPr>
              <w:t>2.1</w:t>
            </w:r>
          </w:p>
        </w:tc>
        <w:tc>
          <w:tcPr>
            <w:tcW w:w="1040" w:type="pct"/>
            <w:vAlign w:val="center"/>
          </w:tcPr>
          <w:p>
            <w:pPr>
              <w:spacing w:line="240" w:lineRule="auto"/>
              <w:ind w:firstLine="0" w:firstLineChars="0"/>
              <w:jc w:val="center"/>
              <w:rPr>
                <w:color w:val="auto"/>
                <w:sz w:val="21"/>
                <w:szCs w:val="21"/>
              </w:rPr>
            </w:pPr>
            <w:r>
              <w:rPr>
                <w:rFonts w:hint="eastAsia"/>
                <w:color w:val="auto"/>
                <w:sz w:val="21"/>
                <w:szCs w:val="21"/>
              </w:rPr>
              <w:t>4.2</w:t>
            </w:r>
          </w:p>
        </w:tc>
        <w:tc>
          <w:tcPr>
            <w:tcW w:w="1070" w:type="pct"/>
            <w:vAlign w:val="center"/>
          </w:tcPr>
          <w:p>
            <w:pPr>
              <w:spacing w:line="240" w:lineRule="auto"/>
              <w:ind w:firstLine="0" w:firstLineChars="0"/>
              <w:jc w:val="center"/>
              <w:rPr>
                <w:color w:val="auto"/>
                <w:sz w:val="21"/>
                <w:szCs w:val="21"/>
              </w:rPr>
            </w:pPr>
            <w:r>
              <w:rPr>
                <w:rFonts w:hint="eastAsia"/>
                <w:color w:val="auto"/>
                <w:sz w:val="21"/>
                <w:szCs w:val="21"/>
              </w:rPr>
              <w:t>86.1</w:t>
            </w:r>
          </w:p>
        </w:tc>
        <w:tc>
          <w:tcPr>
            <w:tcW w:w="1071" w:type="pct"/>
            <w:vAlign w:val="center"/>
          </w:tcPr>
          <w:p>
            <w:pPr>
              <w:spacing w:line="240" w:lineRule="auto"/>
              <w:ind w:firstLine="0" w:firstLineChars="0"/>
              <w:jc w:val="center"/>
              <w:rPr>
                <w:color w:val="auto"/>
                <w:sz w:val="21"/>
                <w:szCs w:val="21"/>
              </w:rPr>
            </w:pPr>
            <w:r>
              <w:rPr>
                <w:rFonts w:hint="eastAsia"/>
                <w:color w:val="auto"/>
                <w:sz w:val="21"/>
                <w:szCs w:val="21"/>
              </w:rPr>
              <w:t>134.5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pct"/>
            <w:vMerge w:val="continue"/>
            <w:vAlign w:val="center"/>
          </w:tcPr>
          <w:p>
            <w:pPr>
              <w:spacing w:line="240" w:lineRule="auto"/>
              <w:ind w:firstLine="0" w:firstLineChars="0"/>
              <w:jc w:val="center"/>
              <w:rPr>
                <w:rFonts w:eastAsia="Times New Roman"/>
                <w:color w:val="auto"/>
                <w:sz w:val="21"/>
                <w:szCs w:val="21"/>
              </w:rPr>
            </w:pPr>
          </w:p>
        </w:tc>
        <w:tc>
          <w:tcPr>
            <w:tcW w:w="434" w:type="pct"/>
            <w:vAlign w:val="center"/>
          </w:tcPr>
          <w:p>
            <w:pPr>
              <w:spacing w:line="240" w:lineRule="auto"/>
              <w:ind w:firstLine="0" w:firstLineChars="0"/>
              <w:jc w:val="center"/>
              <w:rPr>
                <w:rFonts w:eastAsia="Times New Roman"/>
                <w:color w:val="auto"/>
                <w:sz w:val="21"/>
                <w:szCs w:val="21"/>
              </w:rPr>
            </w:pPr>
            <w:r>
              <w:rPr>
                <w:rFonts w:eastAsia="Times New Roman"/>
                <w:color w:val="auto"/>
                <w:sz w:val="21"/>
                <w:szCs w:val="21"/>
              </w:rPr>
              <w:t>365d</w:t>
            </w:r>
          </w:p>
        </w:tc>
        <w:tc>
          <w:tcPr>
            <w:tcW w:w="909" w:type="pct"/>
            <w:vAlign w:val="center"/>
          </w:tcPr>
          <w:p>
            <w:pPr>
              <w:spacing w:line="240" w:lineRule="auto"/>
              <w:ind w:firstLine="0" w:firstLineChars="0"/>
              <w:jc w:val="center"/>
              <w:rPr>
                <w:color w:val="auto"/>
                <w:sz w:val="21"/>
                <w:szCs w:val="21"/>
              </w:rPr>
            </w:pPr>
            <w:r>
              <w:rPr>
                <w:rFonts w:hint="eastAsia"/>
                <w:color w:val="auto"/>
                <w:sz w:val="21"/>
                <w:szCs w:val="21"/>
              </w:rPr>
              <w:t>2.2</w:t>
            </w:r>
          </w:p>
        </w:tc>
        <w:tc>
          <w:tcPr>
            <w:tcW w:w="1040" w:type="pct"/>
            <w:vAlign w:val="center"/>
          </w:tcPr>
          <w:p>
            <w:pPr>
              <w:spacing w:line="240" w:lineRule="auto"/>
              <w:ind w:firstLine="0" w:firstLineChars="0"/>
              <w:jc w:val="center"/>
              <w:rPr>
                <w:color w:val="auto"/>
                <w:sz w:val="21"/>
                <w:szCs w:val="21"/>
              </w:rPr>
            </w:pPr>
            <w:r>
              <w:rPr>
                <w:rFonts w:hint="eastAsia"/>
                <w:color w:val="auto"/>
                <w:sz w:val="21"/>
                <w:szCs w:val="21"/>
              </w:rPr>
              <w:t>4.5</w:t>
            </w:r>
          </w:p>
        </w:tc>
        <w:tc>
          <w:tcPr>
            <w:tcW w:w="1070" w:type="pct"/>
            <w:vAlign w:val="center"/>
          </w:tcPr>
          <w:p>
            <w:pPr>
              <w:spacing w:line="240" w:lineRule="auto"/>
              <w:ind w:firstLine="0" w:firstLineChars="0"/>
              <w:jc w:val="center"/>
              <w:rPr>
                <w:color w:val="auto"/>
                <w:sz w:val="21"/>
                <w:szCs w:val="21"/>
              </w:rPr>
            </w:pPr>
            <w:r>
              <w:rPr>
                <w:rFonts w:hint="eastAsia"/>
                <w:color w:val="auto"/>
                <w:sz w:val="21"/>
                <w:szCs w:val="21"/>
              </w:rPr>
              <w:t>98.1</w:t>
            </w:r>
          </w:p>
        </w:tc>
        <w:tc>
          <w:tcPr>
            <w:tcW w:w="1071" w:type="pct"/>
            <w:vAlign w:val="center"/>
          </w:tcPr>
          <w:p>
            <w:pPr>
              <w:spacing w:line="240" w:lineRule="auto"/>
              <w:ind w:firstLine="0" w:firstLineChars="0"/>
              <w:jc w:val="center"/>
              <w:rPr>
                <w:color w:val="auto"/>
                <w:sz w:val="21"/>
                <w:szCs w:val="21"/>
              </w:rPr>
            </w:pPr>
            <w:r>
              <w:rPr>
                <w:rFonts w:hint="eastAsia"/>
                <w:color w:val="auto"/>
                <w:sz w:val="21"/>
                <w:szCs w:val="21"/>
              </w:rPr>
              <w:t>151</w:t>
            </w:r>
          </w:p>
        </w:tc>
      </w:tr>
    </w:tbl>
    <w:p>
      <w:pPr>
        <w:pStyle w:val="10"/>
        <w:spacing w:line="360" w:lineRule="auto"/>
        <w:rPr>
          <w:color w:val="auto"/>
        </w:rPr>
      </w:pPr>
      <w:r>
        <w:rPr>
          <w:rFonts w:hint="eastAsia"/>
          <w:color w:val="auto"/>
        </w:rPr>
        <w:t>5</w:t>
      </w:r>
      <w:r>
        <w:rPr>
          <w:color w:val="auto"/>
        </w:rPr>
        <w:t>.3.3.9 地下水环境影响预测评价小结</w:t>
      </w:r>
    </w:p>
    <w:p>
      <w:pPr>
        <w:ind w:firstLine="480"/>
        <w:rPr>
          <w:color w:val="auto"/>
        </w:rPr>
      </w:pPr>
      <w:r>
        <w:rPr>
          <w:color w:val="auto"/>
        </w:rPr>
        <w:t>1、预测结果</w:t>
      </w:r>
    </w:p>
    <w:p>
      <w:pPr>
        <w:ind w:firstLine="480"/>
        <w:rPr>
          <w:color w:val="auto"/>
        </w:rPr>
      </w:pPr>
      <w:r>
        <w:rPr>
          <w:color w:val="auto"/>
        </w:rPr>
        <w:t>正常工况下，技改工程建设期间采取了必要防护措施，运营期间污水按标准排放，在严格按照设计要求落实好环保、防渗措施的情况下，基本不会对当地下水造成影响。</w:t>
      </w:r>
    </w:p>
    <w:p>
      <w:pPr>
        <w:ind w:firstLine="480"/>
        <w:rPr>
          <w:color w:val="auto"/>
        </w:rPr>
      </w:pPr>
      <w:r>
        <w:rPr>
          <w:color w:val="auto"/>
        </w:rPr>
        <w:t>设计“跑、冒、滴、漏”工况下，污染泄漏的发生对周围地下水环境造成了一定的影响，泄露1年后污染距离最远约</w:t>
      </w:r>
      <w:r>
        <w:rPr>
          <w:rFonts w:hint="eastAsia"/>
          <w:color w:val="auto"/>
        </w:rPr>
        <w:t>151</w:t>
      </w:r>
      <w:r>
        <w:rPr>
          <w:color w:val="auto"/>
        </w:rPr>
        <w:t>m，污染晕扩展到了厂区以外，对下游地下水造成污染。</w:t>
      </w:r>
    </w:p>
    <w:p>
      <w:pPr>
        <w:ind w:firstLine="480"/>
        <w:rPr>
          <w:color w:val="auto"/>
        </w:rPr>
      </w:pPr>
      <w:r>
        <w:rPr>
          <w:color w:val="auto"/>
        </w:rPr>
        <w:t>设计风险事故状态下，污染物对地下水的影响范围和影响程度均较小，事故泄漏1000d后污染距离最远约</w:t>
      </w:r>
      <w:r>
        <w:rPr>
          <w:rFonts w:hint="eastAsia"/>
          <w:color w:val="auto"/>
        </w:rPr>
        <w:t>325</w:t>
      </w:r>
      <w:r>
        <w:rPr>
          <w:color w:val="auto"/>
        </w:rPr>
        <w:t>m，污染晕也已扩展到了下游</w:t>
      </w:r>
      <w:r>
        <w:rPr>
          <w:rFonts w:hint="eastAsia"/>
          <w:color w:val="auto"/>
        </w:rPr>
        <w:t>区域</w:t>
      </w:r>
      <w:r>
        <w:rPr>
          <w:color w:val="auto"/>
        </w:rPr>
        <w:t>，对下游周边地下水造成污染。</w:t>
      </w:r>
    </w:p>
    <w:p>
      <w:pPr>
        <w:ind w:firstLine="480"/>
        <w:rPr>
          <w:color w:val="auto"/>
        </w:rPr>
      </w:pPr>
      <w:r>
        <w:rPr>
          <w:color w:val="auto"/>
        </w:rPr>
        <w:t>此外，因本次模型预测仅针对设计工况进行预测，在企业实际生产运行中可能发生各种各样的情况，本次预测不能完全代表各种情况，企业在设计生产运行中应在项目建设前，对污水处理构筑物、事故水池等设施采取严格的防腐防渗措施。同时，为了地下水能长期、持续的受到保护，在发生污染物泄漏事故后，必须立即启动应急预案，分析污染事故的发展趋势，并提出下一步防治措施。</w:t>
      </w:r>
    </w:p>
    <w:p>
      <w:pPr>
        <w:ind w:firstLine="480"/>
        <w:rPr>
          <w:color w:val="auto"/>
        </w:rPr>
      </w:pPr>
      <w:r>
        <w:rPr>
          <w:color w:val="auto"/>
        </w:rPr>
        <w:t>2、结果分析</w:t>
      </w:r>
    </w:p>
    <w:p>
      <w:pPr>
        <w:ind w:firstLine="480"/>
        <w:rPr>
          <w:color w:val="auto"/>
        </w:rPr>
      </w:pPr>
      <w:r>
        <w:rPr>
          <w:color w:val="auto"/>
        </w:rPr>
        <w:t>（1）本次模拟预测没有考虑污染物的生物转化和降解作用，假设污水按照渗透的方式经过包气带向下部含水层运移，假定的污水渗漏的量未经包气带岩土层的吸附和降解，全部进入含水层，且不考虑渗透本身造成的时间滞后。而在实际当中，污染物在地下环境中的生物降解对污染物的衰减起重要作用，如果考虑这些作用，污染物的浓度和污染晕的迁移范围更小。</w:t>
      </w:r>
    </w:p>
    <w:p>
      <w:pPr>
        <w:ind w:firstLine="480"/>
        <w:rPr>
          <w:color w:val="auto"/>
        </w:rPr>
      </w:pPr>
      <w:r>
        <w:rPr>
          <w:color w:val="auto"/>
        </w:rPr>
        <w:t>（2）本次模拟的是泄漏的污废水全部进入到含水层中，没有考虑项目建设后地面的防渗作用，而在实际当中，由于项目竣工后的地面一般会铺设其它材料或水泥地面，具有一定的防渗阻隔作用，大大减少了污废水的入渗量。</w:t>
      </w:r>
    </w:p>
    <w:p>
      <w:pPr>
        <w:pStyle w:val="14"/>
        <w:spacing w:after="0"/>
        <w:ind w:firstLine="480"/>
        <w:rPr>
          <w:color w:val="auto"/>
        </w:rPr>
      </w:pPr>
      <w:r>
        <w:rPr>
          <w:color w:val="auto"/>
        </w:rPr>
        <w:t>（3）综合考虑区域水文地质条件、地下水保护目标等因素，在严格落实地面防渗措施的条件下，认为本项目建设运行对地下水环境影响较小。但是，一旦出现“跑、冒、滴、漏”或者突发事故，渗漏污水对周边地下水环境将构成威胁。</w:t>
      </w:r>
    </w:p>
    <w:p>
      <w:pPr>
        <w:pStyle w:val="9"/>
        <w:spacing w:before="168" w:after="168" w:line="360" w:lineRule="auto"/>
        <w:rPr>
          <w:color w:val="auto"/>
        </w:rPr>
      </w:pPr>
      <w:r>
        <w:rPr>
          <w:rFonts w:hint="eastAsia"/>
          <w:color w:val="auto"/>
        </w:rPr>
        <w:t>5</w:t>
      </w:r>
      <w:r>
        <w:rPr>
          <w:color w:val="auto"/>
        </w:rPr>
        <w:t>.3.4 地下水环境保护措施与对策</w:t>
      </w:r>
    </w:p>
    <w:p>
      <w:pPr>
        <w:pStyle w:val="10"/>
        <w:spacing w:line="360" w:lineRule="auto"/>
        <w:rPr>
          <w:color w:val="auto"/>
        </w:rPr>
      </w:pPr>
      <w:r>
        <w:rPr>
          <w:rFonts w:hint="eastAsia"/>
          <w:color w:val="auto"/>
        </w:rPr>
        <w:t>5</w:t>
      </w:r>
      <w:r>
        <w:rPr>
          <w:color w:val="auto"/>
        </w:rPr>
        <w:t>.3.4.1 地下水环境保护要求及控制原则</w:t>
      </w:r>
    </w:p>
    <w:p>
      <w:pPr>
        <w:ind w:firstLine="480"/>
        <w:rPr>
          <w:color w:val="auto"/>
        </w:rPr>
      </w:pPr>
      <w:r>
        <w:rPr>
          <w:color w:val="auto"/>
        </w:rPr>
        <w:t>根据项目生产特征以及厂内的原料</w:t>
      </w:r>
      <w:r>
        <w:rPr>
          <w:rFonts w:hint="eastAsia"/>
          <w:color w:val="auto"/>
        </w:rPr>
        <w:t>、</w:t>
      </w:r>
      <w:r>
        <w:rPr>
          <w:rFonts w:hint="eastAsia"/>
          <w:color w:val="auto"/>
          <w:lang w:eastAsia="zh-CN"/>
        </w:rPr>
        <w:t>原料储罐</w:t>
      </w:r>
      <w:r>
        <w:rPr>
          <w:rFonts w:hint="eastAsia"/>
          <w:color w:val="auto"/>
        </w:rPr>
        <w:t>、污水站</w:t>
      </w:r>
      <w:r>
        <w:rPr>
          <w:color w:val="auto"/>
        </w:rPr>
        <w:t>等可能产生的污染源，如果不采取合理的防治措施，废水中的污染物有可能渗入地下水，从而影响地下水环境。因此，必须制定相应的地下水环境保护措施，进行综合环境管理。本项目地下水污染防治措施按照“源头控制、分区防治、污染监控、应急响应”相结合的原则，从污染物的产生、入渗、扩散、应急响应进行控制。</w:t>
      </w:r>
    </w:p>
    <w:p>
      <w:pPr>
        <w:ind w:firstLine="480"/>
        <w:rPr>
          <w:color w:val="auto"/>
        </w:rPr>
      </w:pPr>
      <w:r>
        <w:rPr>
          <w:color w:val="auto"/>
        </w:rPr>
        <w:t>工程生产运行过程中要建立健全地下水保护与污染防治的措施与方法；必须采取必要监测制度，一旦发现地下水遭受污染，就应及时采取措施，防微杜渐；尽量减少污染物进入地下含水层的机会和数量。</w:t>
      </w:r>
    </w:p>
    <w:p>
      <w:pPr>
        <w:ind w:firstLine="480"/>
        <w:rPr>
          <w:color w:val="auto"/>
        </w:rPr>
      </w:pPr>
      <w:r>
        <w:rPr>
          <w:rFonts w:hint="eastAsia"/>
          <w:color w:val="auto"/>
        </w:rPr>
        <w:t>1、</w:t>
      </w:r>
      <w:r>
        <w:rPr>
          <w:color w:val="auto"/>
        </w:rPr>
        <w:t>源头控制措施</w:t>
      </w:r>
    </w:p>
    <w:p>
      <w:pPr>
        <w:ind w:firstLine="480"/>
        <w:rPr>
          <w:color w:val="auto"/>
        </w:rPr>
      </w:pPr>
      <w:r>
        <w:rPr>
          <w:color w:val="auto"/>
        </w:rPr>
        <w:t>区内生产单位应选择先进、成熟、可靠的生产工艺，生产过程中产生的废水、废气、固废应科学合理的处置，主要包括在工艺、管道、设备、渗漏液储存及处理构筑物采取相应措施，防止和降低污染物跑、冒、滴、漏，将污染物泄露的环境风险事故降到最低程度；管线敷设尽量采用“可视化”原则，即管道尽可能地上敷设，做到污染物“早发现、早处理”，减少由于埋地管道泄漏而造成的地下水污染。</w:t>
      </w:r>
    </w:p>
    <w:p>
      <w:pPr>
        <w:ind w:firstLine="480"/>
        <w:rPr>
          <w:color w:val="auto"/>
        </w:rPr>
      </w:pPr>
      <w:r>
        <w:rPr>
          <w:color w:val="auto"/>
        </w:rPr>
        <w:t>2、分区防渗措施</w:t>
      </w:r>
    </w:p>
    <w:p>
      <w:pPr>
        <w:ind w:firstLine="480"/>
        <w:rPr>
          <w:color w:val="auto"/>
        </w:rPr>
      </w:pPr>
      <w:r>
        <w:rPr>
          <w:color w:val="auto"/>
          <w:szCs w:val="28"/>
        </w:rPr>
        <w:t>参照《石油化工工程防渗技术规范》（GB/T50934-2013）中的污染防治分区，根据装置、单元的特点和所处的区域及部位，可将建设场地划分为简单防渗区、一般防渗区和重点防渗区。一般防渗区为对地下水环境有污染的物料或污染物泄漏后，可及时发现和处理的区域或部位；重点防渗区为对地下水环境有污染的物料或污染物泄漏后，不能及时发现和处理的区域或部位；简单防渗区为一般和重点防渗区以外的区域或部位。对不同的污染防治区采取不同等级的防渗方案。</w:t>
      </w:r>
      <w:r>
        <w:rPr>
          <w:color w:val="auto"/>
        </w:rPr>
        <w:t>本项目厂区防渗分区见表</w:t>
      </w:r>
      <w:r>
        <w:rPr>
          <w:rFonts w:hint="eastAsia"/>
          <w:color w:val="auto"/>
        </w:rPr>
        <w:t>5</w:t>
      </w:r>
      <w:r>
        <w:rPr>
          <w:color w:val="auto"/>
        </w:rPr>
        <w:t>.3-</w:t>
      </w:r>
      <w:r>
        <w:rPr>
          <w:rFonts w:hint="eastAsia"/>
          <w:color w:val="auto"/>
          <w:lang w:val="en-US" w:eastAsia="zh-CN"/>
        </w:rPr>
        <w:t>6</w:t>
      </w:r>
      <w:r>
        <w:rPr>
          <w:rFonts w:hint="eastAsia"/>
          <w:color w:val="auto"/>
        </w:rPr>
        <w:t>。</w:t>
      </w:r>
    </w:p>
    <w:p>
      <w:pPr>
        <w:pStyle w:val="48"/>
        <w:spacing w:line="240" w:lineRule="auto"/>
        <w:rPr>
          <w:b/>
          <w:color w:val="auto"/>
        </w:rPr>
      </w:pPr>
      <w:r>
        <w:rPr>
          <w:b/>
          <w:color w:val="auto"/>
        </w:rPr>
        <w:t>表</w:t>
      </w:r>
      <w:r>
        <w:rPr>
          <w:rFonts w:hint="eastAsia"/>
          <w:b/>
          <w:color w:val="auto"/>
        </w:rPr>
        <w:t>5</w:t>
      </w:r>
      <w:r>
        <w:rPr>
          <w:b/>
          <w:color w:val="auto"/>
        </w:rPr>
        <w:t>.3-</w:t>
      </w:r>
      <w:r>
        <w:rPr>
          <w:rFonts w:hint="eastAsia"/>
          <w:b/>
          <w:color w:val="auto"/>
          <w:lang w:val="en-US" w:eastAsia="zh-CN"/>
        </w:rPr>
        <w:t>6</w:t>
      </w:r>
      <w:r>
        <w:rPr>
          <w:b/>
          <w:color w:val="auto"/>
        </w:rPr>
        <w:t>装置区的防渗典型污染防治分区</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743"/>
        <w:gridCol w:w="1553"/>
        <w:gridCol w:w="5177"/>
        <w:gridCol w:w="13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423" w:type="pct"/>
            <w:vAlign w:val="center"/>
          </w:tcPr>
          <w:p>
            <w:pPr>
              <w:spacing w:line="240" w:lineRule="auto"/>
              <w:ind w:firstLine="0" w:firstLineChars="0"/>
              <w:jc w:val="center"/>
              <w:rPr>
                <w:b/>
                <w:bCs/>
                <w:color w:val="auto"/>
                <w:sz w:val="21"/>
                <w:szCs w:val="21"/>
              </w:rPr>
            </w:pPr>
            <w:r>
              <w:rPr>
                <w:b/>
                <w:color w:val="auto"/>
                <w:sz w:val="21"/>
                <w:szCs w:val="21"/>
              </w:rPr>
              <w:t>序号</w:t>
            </w:r>
          </w:p>
        </w:tc>
        <w:tc>
          <w:tcPr>
            <w:tcW w:w="883" w:type="pct"/>
            <w:vAlign w:val="center"/>
          </w:tcPr>
          <w:p>
            <w:pPr>
              <w:spacing w:line="240" w:lineRule="auto"/>
              <w:ind w:firstLine="0" w:firstLineChars="0"/>
              <w:jc w:val="center"/>
              <w:rPr>
                <w:b/>
                <w:bCs/>
                <w:color w:val="auto"/>
                <w:sz w:val="21"/>
                <w:szCs w:val="21"/>
              </w:rPr>
            </w:pPr>
            <w:r>
              <w:rPr>
                <w:b/>
                <w:color w:val="auto"/>
                <w:sz w:val="21"/>
                <w:szCs w:val="21"/>
              </w:rPr>
              <w:t>分区类别</w:t>
            </w:r>
          </w:p>
        </w:tc>
        <w:tc>
          <w:tcPr>
            <w:tcW w:w="2944" w:type="pct"/>
            <w:vAlign w:val="center"/>
          </w:tcPr>
          <w:p>
            <w:pPr>
              <w:spacing w:line="240" w:lineRule="auto"/>
              <w:ind w:firstLine="0" w:firstLineChars="0"/>
              <w:jc w:val="center"/>
              <w:rPr>
                <w:b/>
                <w:bCs/>
                <w:color w:val="auto"/>
                <w:sz w:val="21"/>
                <w:szCs w:val="21"/>
              </w:rPr>
            </w:pPr>
            <w:r>
              <w:rPr>
                <w:b/>
                <w:color w:val="auto"/>
                <w:sz w:val="21"/>
                <w:szCs w:val="21"/>
              </w:rPr>
              <w:t>污染防治区域及部位</w:t>
            </w:r>
          </w:p>
        </w:tc>
        <w:tc>
          <w:tcPr>
            <w:tcW w:w="748" w:type="pct"/>
            <w:vAlign w:val="center"/>
          </w:tcPr>
          <w:p>
            <w:pPr>
              <w:spacing w:line="240" w:lineRule="auto"/>
              <w:ind w:firstLine="0" w:firstLineChars="0"/>
              <w:jc w:val="center"/>
              <w:rPr>
                <w:b/>
                <w:bCs/>
                <w:color w:val="auto"/>
                <w:sz w:val="21"/>
                <w:szCs w:val="21"/>
              </w:rPr>
            </w:pPr>
            <w:r>
              <w:rPr>
                <w:b/>
                <w:color w:val="auto"/>
                <w:sz w:val="21"/>
                <w:szCs w:val="21"/>
              </w:rPr>
              <w:t>防渗技术要求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423" w:type="pct"/>
            <w:vAlign w:val="center"/>
          </w:tcPr>
          <w:p>
            <w:pPr>
              <w:spacing w:line="240" w:lineRule="auto"/>
              <w:ind w:firstLine="0" w:firstLineChars="0"/>
              <w:jc w:val="center"/>
              <w:rPr>
                <w:color w:val="auto"/>
                <w:sz w:val="21"/>
                <w:szCs w:val="21"/>
              </w:rPr>
            </w:pPr>
            <w:r>
              <w:rPr>
                <w:color w:val="auto"/>
                <w:sz w:val="21"/>
                <w:szCs w:val="21"/>
              </w:rPr>
              <w:t>1</w:t>
            </w:r>
          </w:p>
        </w:tc>
        <w:tc>
          <w:tcPr>
            <w:tcW w:w="883" w:type="pct"/>
            <w:vAlign w:val="center"/>
          </w:tcPr>
          <w:p>
            <w:pPr>
              <w:spacing w:line="240" w:lineRule="auto"/>
              <w:ind w:firstLine="0" w:firstLineChars="0"/>
              <w:jc w:val="center"/>
              <w:rPr>
                <w:b/>
                <w:bCs/>
                <w:color w:val="auto"/>
                <w:sz w:val="21"/>
                <w:szCs w:val="21"/>
              </w:rPr>
            </w:pPr>
            <w:r>
              <w:rPr>
                <w:color w:val="auto"/>
                <w:sz w:val="21"/>
                <w:szCs w:val="21"/>
              </w:rPr>
              <w:t>重点防渗区</w:t>
            </w:r>
          </w:p>
        </w:tc>
        <w:tc>
          <w:tcPr>
            <w:tcW w:w="2944" w:type="pct"/>
            <w:vAlign w:val="center"/>
          </w:tcPr>
          <w:p>
            <w:pPr>
              <w:spacing w:line="240" w:lineRule="auto"/>
              <w:ind w:firstLine="0" w:firstLineChars="0"/>
              <w:jc w:val="center"/>
              <w:rPr>
                <w:b/>
                <w:bCs/>
                <w:color w:val="auto"/>
                <w:sz w:val="21"/>
                <w:szCs w:val="21"/>
              </w:rPr>
            </w:pPr>
            <w:r>
              <w:rPr>
                <w:color w:val="auto"/>
                <w:sz w:val="21"/>
                <w:szCs w:val="21"/>
              </w:rPr>
              <w:t>原辅料罐区、污水处理设施、事故水池、</w:t>
            </w:r>
            <w:r>
              <w:rPr>
                <w:rFonts w:hint="eastAsia"/>
                <w:color w:val="auto"/>
                <w:sz w:val="21"/>
                <w:szCs w:val="21"/>
              </w:rPr>
              <w:t>危废暂存间、</w:t>
            </w:r>
            <w:r>
              <w:rPr>
                <w:color w:val="auto"/>
                <w:sz w:val="21"/>
                <w:szCs w:val="21"/>
              </w:rPr>
              <w:t>防渗管沟、装置区周边事故污水收集沟、装置区内收集污染雨水的明沟等</w:t>
            </w:r>
          </w:p>
        </w:tc>
        <w:tc>
          <w:tcPr>
            <w:tcW w:w="748" w:type="pct"/>
            <w:vAlign w:val="center"/>
          </w:tcPr>
          <w:p>
            <w:pPr>
              <w:spacing w:line="240" w:lineRule="auto"/>
              <w:ind w:firstLine="0" w:firstLineChars="0"/>
              <w:jc w:val="center"/>
              <w:rPr>
                <w:color w:val="auto"/>
                <w:sz w:val="21"/>
                <w:szCs w:val="21"/>
              </w:rPr>
            </w:pPr>
            <w:r>
              <w:rPr>
                <w:color w:val="auto"/>
                <w:sz w:val="21"/>
                <w:szCs w:val="21"/>
              </w:rPr>
              <w:t>等效黏土防渗层Mb≥6.0m，k≤1×10</w:t>
            </w:r>
            <w:r>
              <w:rPr>
                <w:color w:val="auto"/>
                <w:sz w:val="21"/>
                <w:szCs w:val="21"/>
                <w:vertAlign w:val="superscript"/>
              </w:rPr>
              <w:t>-7</w:t>
            </w:r>
            <w:r>
              <w:rPr>
                <w:color w:val="auto"/>
                <w:sz w:val="21"/>
                <w:szCs w:val="21"/>
              </w:rPr>
              <w:t>cm/s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423" w:type="pct"/>
            <w:vAlign w:val="center"/>
          </w:tcPr>
          <w:p>
            <w:pPr>
              <w:spacing w:line="240" w:lineRule="auto"/>
              <w:ind w:firstLine="0" w:firstLineChars="0"/>
              <w:jc w:val="center"/>
              <w:rPr>
                <w:color w:val="auto"/>
                <w:sz w:val="21"/>
                <w:szCs w:val="21"/>
              </w:rPr>
            </w:pPr>
            <w:r>
              <w:rPr>
                <w:color w:val="auto"/>
                <w:sz w:val="21"/>
                <w:szCs w:val="21"/>
              </w:rPr>
              <w:t>2</w:t>
            </w:r>
          </w:p>
        </w:tc>
        <w:tc>
          <w:tcPr>
            <w:tcW w:w="883" w:type="pct"/>
            <w:vAlign w:val="center"/>
          </w:tcPr>
          <w:p>
            <w:pPr>
              <w:spacing w:line="240" w:lineRule="auto"/>
              <w:ind w:firstLine="0" w:firstLineChars="0"/>
              <w:jc w:val="center"/>
              <w:rPr>
                <w:color w:val="auto"/>
                <w:sz w:val="21"/>
                <w:szCs w:val="21"/>
              </w:rPr>
            </w:pPr>
            <w:r>
              <w:rPr>
                <w:color w:val="auto"/>
                <w:sz w:val="21"/>
                <w:szCs w:val="21"/>
              </w:rPr>
              <w:t>一般防渗区</w:t>
            </w:r>
          </w:p>
        </w:tc>
        <w:tc>
          <w:tcPr>
            <w:tcW w:w="2944" w:type="pct"/>
            <w:vAlign w:val="center"/>
          </w:tcPr>
          <w:p>
            <w:pPr>
              <w:spacing w:line="240" w:lineRule="auto"/>
              <w:ind w:firstLine="0" w:firstLineChars="0"/>
              <w:jc w:val="center"/>
              <w:rPr>
                <w:b/>
                <w:bCs/>
                <w:color w:val="auto"/>
                <w:sz w:val="21"/>
                <w:szCs w:val="21"/>
              </w:rPr>
            </w:pPr>
            <w:r>
              <w:rPr>
                <w:rFonts w:hint="eastAsia"/>
                <w:color w:val="auto"/>
                <w:sz w:val="21"/>
                <w:szCs w:val="21"/>
              </w:rPr>
              <w:t>消防水池、循环水池、锅炉房</w:t>
            </w:r>
            <w:r>
              <w:rPr>
                <w:color w:val="auto"/>
                <w:sz w:val="21"/>
                <w:szCs w:val="21"/>
              </w:rPr>
              <w:t>、装置区地面、装车区地面等</w:t>
            </w:r>
          </w:p>
        </w:tc>
        <w:tc>
          <w:tcPr>
            <w:tcW w:w="748" w:type="pct"/>
            <w:vAlign w:val="center"/>
          </w:tcPr>
          <w:p>
            <w:pPr>
              <w:spacing w:line="240" w:lineRule="auto"/>
              <w:ind w:firstLine="0" w:firstLineChars="0"/>
              <w:jc w:val="center"/>
              <w:rPr>
                <w:color w:val="auto"/>
                <w:sz w:val="21"/>
                <w:szCs w:val="21"/>
              </w:rPr>
            </w:pPr>
            <w:r>
              <w:rPr>
                <w:color w:val="auto"/>
                <w:sz w:val="21"/>
                <w:szCs w:val="21"/>
              </w:rPr>
              <w:t>等效黏土防渗层Mb≥1.5m，k≤1×10</w:t>
            </w:r>
            <w:r>
              <w:rPr>
                <w:color w:val="auto"/>
                <w:sz w:val="21"/>
                <w:szCs w:val="21"/>
                <w:vertAlign w:val="superscript"/>
              </w:rPr>
              <w:t>-7</w:t>
            </w:r>
            <w:r>
              <w:rPr>
                <w:color w:val="auto"/>
                <w:sz w:val="21"/>
                <w:szCs w:val="21"/>
              </w:rPr>
              <w:t>cm/s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423" w:type="pct"/>
            <w:vAlign w:val="center"/>
          </w:tcPr>
          <w:p>
            <w:pPr>
              <w:spacing w:line="240" w:lineRule="auto"/>
              <w:ind w:firstLine="0" w:firstLineChars="0"/>
              <w:jc w:val="center"/>
              <w:rPr>
                <w:color w:val="auto"/>
                <w:sz w:val="21"/>
                <w:szCs w:val="21"/>
              </w:rPr>
            </w:pPr>
            <w:r>
              <w:rPr>
                <w:color w:val="auto"/>
                <w:sz w:val="21"/>
                <w:szCs w:val="21"/>
              </w:rPr>
              <w:t>3</w:t>
            </w:r>
          </w:p>
        </w:tc>
        <w:tc>
          <w:tcPr>
            <w:tcW w:w="883" w:type="pct"/>
            <w:vAlign w:val="center"/>
          </w:tcPr>
          <w:p>
            <w:pPr>
              <w:spacing w:line="240" w:lineRule="auto"/>
              <w:ind w:firstLine="0" w:firstLineChars="0"/>
              <w:jc w:val="center"/>
              <w:rPr>
                <w:color w:val="auto"/>
                <w:sz w:val="21"/>
                <w:szCs w:val="21"/>
              </w:rPr>
            </w:pPr>
            <w:r>
              <w:rPr>
                <w:color w:val="auto"/>
                <w:sz w:val="21"/>
                <w:szCs w:val="21"/>
              </w:rPr>
              <w:t>简单防渗区</w:t>
            </w:r>
          </w:p>
        </w:tc>
        <w:tc>
          <w:tcPr>
            <w:tcW w:w="2944" w:type="pct"/>
            <w:vAlign w:val="center"/>
          </w:tcPr>
          <w:p>
            <w:pPr>
              <w:spacing w:line="240" w:lineRule="auto"/>
              <w:ind w:firstLine="0" w:firstLineChars="0"/>
              <w:jc w:val="center"/>
              <w:rPr>
                <w:b/>
                <w:bCs/>
                <w:color w:val="auto"/>
                <w:sz w:val="21"/>
                <w:szCs w:val="21"/>
              </w:rPr>
            </w:pPr>
            <w:r>
              <w:rPr>
                <w:color w:val="auto"/>
                <w:sz w:val="21"/>
                <w:szCs w:val="21"/>
              </w:rPr>
              <w:t>重点防渗区、一般防渗区以外地面</w:t>
            </w:r>
          </w:p>
        </w:tc>
        <w:tc>
          <w:tcPr>
            <w:tcW w:w="748" w:type="pct"/>
            <w:vAlign w:val="center"/>
          </w:tcPr>
          <w:p>
            <w:pPr>
              <w:spacing w:line="240" w:lineRule="auto"/>
              <w:ind w:firstLine="0" w:firstLineChars="0"/>
              <w:jc w:val="center"/>
              <w:rPr>
                <w:color w:val="auto"/>
                <w:sz w:val="21"/>
                <w:szCs w:val="21"/>
              </w:rPr>
            </w:pPr>
            <w:r>
              <w:rPr>
                <w:color w:val="auto"/>
                <w:sz w:val="21"/>
                <w:szCs w:val="21"/>
              </w:rPr>
              <w:t>一般地面硬化</w:t>
            </w:r>
          </w:p>
        </w:tc>
      </w:tr>
    </w:tbl>
    <w:p>
      <w:pPr>
        <w:ind w:firstLine="480"/>
        <w:rPr>
          <w:color w:val="auto"/>
        </w:rPr>
      </w:pPr>
      <w:r>
        <w:rPr>
          <w:color w:val="auto"/>
        </w:rPr>
        <w:t>在项目投产后，加强现场巡查，特别是在卫生清理、下雨地面水量较大时，重点检查有无渗漏情况（如地面有气泡现象）。若发现问题，及时分析原因，找到泄漏点制定整改措施，尽快修补，确保防腐防渗层的完整性。</w:t>
      </w:r>
    </w:p>
    <w:p>
      <w:pPr>
        <w:spacing w:line="240" w:lineRule="auto"/>
        <w:ind w:firstLine="0" w:firstLineChars="0"/>
        <w:jc w:val="center"/>
        <w:rPr>
          <w:rFonts w:hint="eastAsia" w:eastAsia="宋体"/>
          <w:color w:val="auto"/>
          <w:lang w:eastAsia="zh-CN"/>
        </w:rPr>
      </w:pPr>
      <w:r>
        <w:rPr>
          <w:color w:val="auto"/>
          <w:sz w:val="21"/>
        </w:rPr>
        <mc:AlternateContent>
          <mc:Choice Requires="wps">
            <w:drawing>
              <wp:anchor distT="0" distB="0" distL="114300" distR="114300" simplePos="0" relativeHeight="251720704" behindDoc="0" locked="0" layoutInCell="1" allowOverlap="1">
                <wp:simplePos x="0" y="0"/>
                <wp:positionH relativeFrom="column">
                  <wp:posOffset>4473575</wp:posOffset>
                </wp:positionH>
                <wp:positionV relativeFrom="paragraph">
                  <wp:posOffset>5436870</wp:posOffset>
                </wp:positionV>
                <wp:extent cx="285750" cy="180975"/>
                <wp:effectExtent l="6350" t="6350" r="12700" b="22225"/>
                <wp:wrapNone/>
                <wp:docPr id="154" name="矩形 154"/>
                <wp:cNvGraphicFramePr/>
                <a:graphic xmlns:a="http://schemas.openxmlformats.org/drawingml/2006/main">
                  <a:graphicData uri="http://schemas.microsoft.com/office/word/2010/wordprocessingShape">
                    <wps:wsp>
                      <wps:cNvSpPr/>
                      <wps:spPr>
                        <a:xfrm>
                          <a:off x="0" y="0"/>
                          <a:ext cx="285750" cy="180975"/>
                        </a:xfrm>
                        <a:prstGeom prst="rect">
                          <a:avLst/>
                        </a:prstGeom>
                        <a:solidFill>
                          <a:srgbClr val="5B9BD5">
                            <a:alpha val="30000"/>
                          </a:srgbClr>
                        </a:solidFill>
                        <a:ln>
                          <a:solidFill>
                            <a:srgbClr val="5B9BD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2.25pt;margin-top:428.1pt;height:14.25pt;width:22.5pt;z-index:251720704;v-text-anchor:middle;mso-width-relative:page;mso-height-relative:page;" fillcolor="#5B9BD5" filled="t" stroked="t" coordsize="21600,21600" o:gfxdata="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GR94yfZAAAACwEAAA8AAAAAAAAA&#10;AQAgAAAAIgAAAGRycy9kb3ducmV2LnhtbFBLAQIUABQAAAAIAIdO4kBLbih3ggIAABgFAAAOAAAA&#10;AAAAAAEAIAAAACgBAABkcnMvZTJvRG9jLnhtbFBLBQYAAAAABgAGAFkBAAAcBgAAAAA=&#10;">
                <v:fill on="t" opacity="19660f" focussize="0,0"/>
                <v:stroke weight="1pt" color="#5B9BD5 [32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19680" behindDoc="0" locked="0" layoutInCell="1" allowOverlap="1">
                <wp:simplePos x="0" y="0"/>
                <wp:positionH relativeFrom="column">
                  <wp:posOffset>4479290</wp:posOffset>
                </wp:positionH>
                <wp:positionV relativeFrom="paragraph">
                  <wp:posOffset>5054600</wp:posOffset>
                </wp:positionV>
                <wp:extent cx="285750" cy="180975"/>
                <wp:effectExtent l="6350" t="6350" r="12700" b="22225"/>
                <wp:wrapNone/>
                <wp:docPr id="153" name="矩形 153"/>
                <wp:cNvGraphicFramePr/>
                <a:graphic xmlns:a="http://schemas.openxmlformats.org/drawingml/2006/main">
                  <a:graphicData uri="http://schemas.microsoft.com/office/word/2010/wordprocessingShape">
                    <wps:wsp>
                      <wps:cNvSpPr/>
                      <wps:spPr>
                        <a:xfrm>
                          <a:off x="0" y="0"/>
                          <a:ext cx="285750" cy="180975"/>
                        </a:xfrm>
                        <a:prstGeom prst="rect">
                          <a:avLst/>
                        </a:prstGeom>
                        <a:solidFill>
                          <a:srgbClr val="FF0000">
                            <a:alpha val="3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2.7pt;margin-top:398pt;height:14.25pt;width:22.5pt;z-index:251719680;v-text-anchor:middle;mso-width-relative:page;mso-height-relative:page;" fillcolor="#FF0000" filled="t" stroked="t" coordsize="21600,21600" o:gfxdata="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cfGYY2AAAAAsBAAAPAAAAAAAAAAEA&#10;IAAAACIAAABkcnMvZG93bnJldi54bWxQSwECFAAUAAAACACHTuJA24ywLYECAAAYBQAADgAAAAAA&#10;AAABACAAAAAnAQAAZHJzL2Uyb0RvYy54bWxQSwUGAAAAAAYABgBZAQAAGgYAAAAA&#10;">
                <v:fill on="t" opacity="19660f" focussize="0,0"/>
                <v:stroke weight="1pt" color="#FF0000 [3204]" miterlimit="8" joinstyle="miter"/>
                <v:imagedata o:title=""/>
                <o:lock v:ext="edit" aspectratio="f"/>
              </v:rect>
            </w:pict>
          </mc:Fallback>
        </mc:AlternateContent>
      </w:r>
      <w:r>
        <w:rPr>
          <w:color w:val="auto"/>
        </w:rPr>
        <mc:AlternateContent>
          <mc:Choice Requires="wps">
            <w:drawing>
              <wp:anchor distT="0" distB="0" distL="114300" distR="114300" simplePos="0" relativeHeight="251718656" behindDoc="0" locked="0" layoutInCell="1" allowOverlap="1">
                <wp:simplePos x="0" y="0"/>
                <wp:positionH relativeFrom="column">
                  <wp:posOffset>4417060</wp:posOffset>
                </wp:positionH>
                <wp:positionV relativeFrom="paragraph">
                  <wp:posOffset>4650105</wp:posOffset>
                </wp:positionV>
                <wp:extent cx="1127125" cy="1064260"/>
                <wp:effectExtent l="4445" t="4445" r="11430" b="17145"/>
                <wp:wrapNone/>
                <wp:docPr id="152" name="文本框 152"/>
                <wp:cNvGraphicFramePr/>
                <a:graphic xmlns:a="http://schemas.openxmlformats.org/drawingml/2006/main">
                  <a:graphicData uri="http://schemas.microsoft.com/office/word/2010/wordprocessingShape">
                    <wps:wsp>
                      <wps:cNvSpPr txBox="1"/>
                      <wps:spPr>
                        <a:xfrm>
                          <a:off x="5288915" y="5619750"/>
                          <a:ext cx="1127125" cy="1064260"/>
                        </a:xfrm>
                        <a:prstGeom prst="rect">
                          <a:avLst/>
                        </a:prstGeom>
                        <a:solidFill>
                          <a:schemeClr val="lt1"/>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sz w:val="21"/>
                                <w:szCs w:val="16"/>
                              </w:rPr>
                            </w:pPr>
                            <w:r>
                              <w:rPr>
                                <w:rFonts w:hint="eastAsia"/>
                                <w:sz w:val="21"/>
                                <w:szCs w:val="16"/>
                              </w:rPr>
                              <w:t>图例：</w:t>
                            </w:r>
                          </w:p>
                          <w:p>
                            <w:pPr>
                              <w:pStyle w:val="14"/>
                              <w:ind w:firstLine="420"/>
                              <w:rPr>
                                <w:sz w:val="21"/>
                                <w:szCs w:val="16"/>
                              </w:rPr>
                            </w:pPr>
                            <w:r>
                              <w:rPr>
                                <w:rFonts w:hint="eastAsia"/>
                                <w:sz w:val="21"/>
                                <w:szCs w:val="16"/>
                              </w:rPr>
                              <w:t>重点防渗区</w:t>
                            </w:r>
                          </w:p>
                          <w:p>
                            <w:pPr>
                              <w:ind w:firstLine="420"/>
                              <w:rPr>
                                <w:sz w:val="21"/>
                                <w:szCs w:val="16"/>
                              </w:rPr>
                            </w:pPr>
                            <w:r>
                              <w:rPr>
                                <w:rFonts w:hint="eastAsia"/>
                                <w:sz w:val="21"/>
                                <w:szCs w:val="16"/>
                              </w:rPr>
                              <w:t>一般防渗区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7.8pt;margin-top:366.15pt;height:83.8pt;width:88.75pt;z-index:251718656;mso-width-relative:page;mso-height-relative:page;" fillcolor="#FFFFFF [3201]" filled="t" stroked="t" coordsize="21600,21600" o:gfxdata="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0Ir7S1wAAAAsBAAAPAAAAAAAAAAEAIAAAACIAAABkcnMvZG93bnJldi54bWxQSwECFAAUAAAA&#10;CACHTuJAcKj3c2ECAADJBAAADgAAAAAAAAABACAAAAAmAQAAZHJzL2Uyb0RvYy54bWxQSwUGAAAA&#10;AAYABgBZAQAA+QUAAAAA&#10;">
                <v:fill on="t" focussize="0,0"/>
                <v:stroke weight="0.5pt" color="#000000 [3213]" joinstyle="round"/>
                <v:imagedata o:title=""/>
                <o:lock v:ext="edit" aspectratio="f"/>
                <v:textbox>
                  <w:txbxContent>
                    <w:p>
                      <w:pPr>
                        <w:ind w:firstLine="0" w:firstLineChars="0"/>
                        <w:rPr>
                          <w:sz w:val="21"/>
                          <w:szCs w:val="16"/>
                        </w:rPr>
                      </w:pPr>
                      <w:r>
                        <w:rPr>
                          <w:rFonts w:hint="eastAsia"/>
                          <w:sz w:val="21"/>
                          <w:szCs w:val="16"/>
                        </w:rPr>
                        <w:t>图例：</w:t>
                      </w:r>
                    </w:p>
                    <w:p>
                      <w:pPr>
                        <w:pStyle w:val="14"/>
                        <w:ind w:firstLine="420"/>
                        <w:rPr>
                          <w:sz w:val="21"/>
                          <w:szCs w:val="16"/>
                        </w:rPr>
                      </w:pPr>
                      <w:r>
                        <w:rPr>
                          <w:rFonts w:hint="eastAsia"/>
                          <w:sz w:val="21"/>
                          <w:szCs w:val="16"/>
                        </w:rPr>
                        <w:t>重点防渗区</w:t>
                      </w:r>
                    </w:p>
                    <w:p>
                      <w:pPr>
                        <w:ind w:firstLine="420"/>
                        <w:rPr>
                          <w:sz w:val="21"/>
                          <w:szCs w:val="16"/>
                        </w:rPr>
                      </w:pPr>
                      <w:r>
                        <w:rPr>
                          <w:rFonts w:hint="eastAsia"/>
                          <w:sz w:val="21"/>
                          <w:szCs w:val="16"/>
                        </w:rPr>
                        <w:t>一般防渗区</w:t>
                      </w:r>
                    </w:p>
                  </w:txbxContent>
                </v:textbox>
              </v:shape>
            </w:pict>
          </mc:Fallback>
        </mc:AlternateContent>
      </w:r>
      <w:r>
        <w:rPr>
          <w:rFonts w:hint="eastAsia" w:eastAsia="宋体"/>
          <w:color w:val="auto"/>
          <w:lang w:eastAsia="zh-CN"/>
        </w:rPr>
        <w:drawing>
          <wp:inline distT="0" distB="0" distL="114300" distR="114300">
            <wp:extent cx="5574030" cy="5732780"/>
            <wp:effectExtent l="9525" t="9525" r="17145" b="10795"/>
            <wp:docPr id="33" name="图片 33" descr="1660640529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660640529030"/>
                    <pic:cNvPicPr>
                      <a:picLocks noChangeAspect="1"/>
                    </pic:cNvPicPr>
                  </pic:nvPicPr>
                  <pic:blipFill>
                    <a:blip r:embed="rId125"/>
                    <a:stretch>
                      <a:fillRect/>
                    </a:stretch>
                  </pic:blipFill>
                  <pic:spPr>
                    <a:xfrm>
                      <a:off x="0" y="0"/>
                      <a:ext cx="5574030" cy="5732780"/>
                    </a:xfrm>
                    <a:prstGeom prst="rect">
                      <a:avLst/>
                    </a:prstGeom>
                    <a:ln>
                      <a:solidFill>
                        <a:schemeClr val="tx1"/>
                      </a:solidFill>
                    </a:ln>
                  </pic:spPr>
                </pic:pic>
              </a:graphicData>
            </a:graphic>
          </wp:inline>
        </w:drawing>
      </w:r>
    </w:p>
    <w:p>
      <w:pPr>
        <w:ind w:firstLine="0" w:firstLineChars="0"/>
        <w:jc w:val="center"/>
        <w:rPr>
          <w:rFonts w:eastAsia="黑体"/>
          <w:color w:val="auto"/>
          <w:sz w:val="21"/>
          <w:szCs w:val="21"/>
        </w:rPr>
      </w:pPr>
      <w:r>
        <w:rPr>
          <w:rFonts w:eastAsia="黑体"/>
          <w:color w:val="auto"/>
          <w:sz w:val="21"/>
          <w:szCs w:val="21"/>
        </w:rPr>
        <w:t>图</w:t>
      </w:r>
      <w:r>
        <w:rPr>
          <w:rFonts w:hint="eastAsia" w:eastAsia="黑体"/>
          <w:color w:val="auto"/>
          <w:sz w:val="21"/>
          <w:szCs w:val="21"/>
          <w:lang w:val="en-US" w:eastAsia="zh-CN"/>
        </w:rPr>
        <w:t>5.3-4</w:t>
      </w:r>
      <w:r>
        <w:rPr>
          <w:rFonts w:eastAsia="黑体"/>
          <w:color w:val="auto"/>
          <w:sz w:val="21"/>
          <w:szCs w:val="21"/>
        </w:rPr>
        <w:t xml:space="preserve"> 项目防渗分区图</w:t>
      </w:r>
    </w:p>
    <w:p>
      <w:pPr>
        <w:pStyle w:val="10"/>
        <w:spacing w:line="360" w:lineRule="auto"/>
        <w:rPr>
          <w:color w:val="auto"/>
        </w:rPr>
      </w:pPr>
      <w:r>
        <w:rPr>
          <w:rFonts w:hint="eastAsia"/>
          <w:color w:val="auto"/>
        </w:rPr>
        <w:t>5</w:t>
      </w:r>
      <w:r>
        <w:rPr>
          <w:color w:val="auto"/>
        </w:rPr>
        <w:t>.3.4.2 地下水环境监测与管理</w:t>
      </w:r>
    </w:p>
    <w:p>
      <w:pPr>
        <w:ind w:firstLine="480"/>
        <w:rPr>
          <w:color w:val="auto"/>
        </w:rPr>
      </w:pPr>
      <w:r>
        <w:rPr>
          <w:color w:val="auto"/>
        </w:rPr>
        <w:t>1、监测井布设</w:t>
      </w:r>
    </w:p>
    <w:p>
      <w:pPr>
        <w:ind w:firstLine="480"/>
        <w:rPr>
          <w:color w:val="auto"/>
        </w:rPr>
      </w:pPr>
      <w:r>
        <w:rPr>
          <w:color w:val="auto"/>
        </w:rPr>
        <w:t>为了掌握厂区及周围地下水环境质量状况和地下水体中污染物的动态变化，及时发现污染物并有效控制污染物扩散，应对项目所在地及周围的地下水水质进行监控，重点监控厂区地下水下游。同时建立地下水环境监测管理体系，制定地下水环境影响跟踪监测计划、建立地下水环境影响跟踪监测制度、配备先进的监测仪器和设备，以便及时发现问题，采取措施，为防治地下水污染采取相应的措施提供重要依据。</w:t>
      </w:r>
    </w:p>
    <w:p>
      <w:pPr>
        <w:ind w:firstLine="480"/>
        <w:rPr>
          <w:color w:val="auto"/>
        </w:rPr>
      </w:pPr>
      <w:r>
        <w:rPr>
          <w:rFonts w:hint="eastAsia"/>
          <w:color w:val="auto"/>
        </w:rPr>
        <w:t>根据《环境影响评价技术导则 地下水环境》（HJ/610-2016）地下水跟踪监测点数量要求，本项目地下水属于三级评价，监测点数量一般不少于1个，应至少在建设项目场地下游布置1个。结合</w:t>
      </w:r>
      <w:r>
        <w:rPr>
          <w:color w:val="auto"/>
        </w:rPr>
        <w:t>《地下水环境监测技术规范》（HJ164-20</w:t>
      </w:r>
      <w:r>
        <w:rPr>
          <w:rFonts w:hint="eastAsia"/>
          <w:color w:val="auto"/>
        </w:rPr>
        <w:t>20</w:t>
      </w:r>
      <w:r>
        <w:rPr>
          <w:color w:val="auto"/>
        </w:rPr>
        <w:t>）的要求，按照地下水的流向及主要污染物排放区域，</w:t>
      </w:r>
      <w:r>
        <w:rPr>
          <w:rFonts w:hint="eastAsia"/>
          <w:color w:val="auto"/>
          <w:lang w:val="en-US" w:eastAsia="zh-CN"/>
        </w:rPr>
        <w:t>要求企业在厂区西北角建设1个地下水监测井</w:t>
      </w:r>
      <w:r>
        <w:rPr>
          <w:rFonts w:hint="eastAsia"/>
          <w:color w:val="auto"/>
        </w:rPr>
        <w:t>，满足跟踪监测要求</w:t>
      </w:r>
      <w:r>
        <w:rPr>
          <w:color w:val="auto"/>
        </w:rPr>
        <w:t>。</w:t>
      </w:r>
    </w:p>
    <w:p>
      <w:pPr>
        <w:ind w:firstLine="480"/>
        <w:rPr>
          <w:color w:val="auto"/>
        </w:rPr>
      </w:pPr>
      <w:r>
        <w:rPr>
          <w:color w:val="auto"/>
        </w:rPr>
        <w:t>2、监测频率及监测因子</w:t>
      </w:r>
    </w:p>
    <w:p>
      <w:pPr>
        <w:ind w:firstLine="480"/>
        <w:rPr>
          <w:color w:val="auto"/>
        </w:rPr>
      </w:pPr>
      <w:r>
        <w:rPr>
          <w:color w:val="auto"/>
        </w:rPr>
        <w:t>以地下水为主要监测对象，监测频率为：</w:t>
      </w:r>
      <w:r>
        <w:rPr>
          <w:rFonts w:hint="eastAsia"/>
          <w:color w:val="auto"/>
        </w:rPr>
        <w:t>1</w:t>
      </w:r>
      <w:r>
        <w:rPr>
          <w:color w:val="auto"/>
        </w:rPr>
        <w:t>次/年（在遇突发地下水污染事件时应加密监测频率）。监测因子主要为</w:t>
      </w:r>
      <w:r>
        <w:rPr>
          <w:rFonts w:hint="eastAsia"/>
          <w:color w:val="auto"/>
        </w:rPr>
        <w:t>pH、总硬度、耗氧量（COD</w:t>
      </w:r>
      <w:r>
        <w:rPr>
          <w:rFonts w:hint="eastAsia"/>
          <w:color w:val="auto"/>
          <w:vertAlign w:val="subscript"/>
        </w:rPr>
        <w:t>Mn</w:t>
      </w:r>
      <w:r>
        <w:rPr>
          <w:rFonts w:hint="eastAsia"/>
          <w:color w:val="auto"/>
        </w:rPr>
        <w:t>）、色度、苯胺类、氟化物、氯化物、碘化物、硫酸盐、硫化物、氰化物、挥发性酚类、硝酸盐氮、亚硝酸盐氮、溶解性总固体、苯、甲苯、二甲苯、苯并芘、六价铬、铅、砷、总铬、铜、锌、铁、锰、汞、镉、镍、锡、钛、石油类</w:t>
      </w:r>
      <w:r>
        <w:rPr>
          <w:color w:val="auto"/>
        </w:rPr>
        <w:t>等，并同时进行水位测量。地下水监测计划见下表。</w:t>
      </w:r>
    </w:p>
    <w:p>
      <w:pPr>
        <w:pStyle w:val="48"/>
        <w:spacing w:line="360" w:lineRule="auto"/>
        <w:rPr>
          <w:b w:val="0"/>
          <w:bCs/>
          <w:color w:val="auto"/>
        </w:rPr>
      </w:pPr>
      <w:r>
        <w:rPr>
          <w:b w:val="0"/>
          <w:bCs/>
          <w:color w:val="auto"/>
        </w:rPr>
        <w:t>表</w:t>
      </w:r>
      <w:r>
        <w:rPr>
          <w:rFonts w:hint="eastAsia"/>
          <w:b w:val="0"/>
          <w:bCs/>
          <w:color w:val="auto"/>
        </w:rPr>
        <w:t>5</w:t>
      </w:r>
      <w:r>
        <w:rPr>
          <w:b w:val="0"/>
          <w:bCs/>
          <w:color w:val="auto"/>
        </w:rPr>
        <w:t>.3-</w:t>
      </w:r>
      <w:r>
        <w:rPr>
          <w:rFonts w:hint="eastAsia"/>
          <w:b w:val="0"/>
          <w:bCs/>
          <w:color w:val="auto"/>
          <w:lang w:val="en-US" w:eastAsia="zh-CN"/>
        </w:rPr>
        <w:t>7</w:t>
      </w:r>
      <w:r>
        <w:rPr>
          <w:b w:val="0"/>
          <w:bCs/>
          <w:color w:val="auto"/>
        </w:rPr>
        <w:t>厂区</w:t>
      </w:r>
      <w:r>
        <w:rPr>
          <w:rFonts w:hint="eastAsia"/>
          <w:b w:val="0"/>
          <w:bCs/>
          <w:color w:val="auto"/>
        </w:rPr>
        <w:t>下游</w:t>
      </w:r>
      <w:r>
        <w:rPr>
          <w:b w:val="0"/>
          <w:bCs/>
          <w:color w:val="auto"/>
        </w:rPr>
        <w:t>地下水监控点布置一览表</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5"/>
        <w:gridCol w:w="1697"/>
        <w:gridCol w:w="2115"/>
        <w:gridCol w:w="951"/>
        <w:gridCol w:w="906"/>
        <w:gridCol w:w="26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0" w:type="pct"/>
            <w:vAlign w:val="center"/>
          </w:tcPr>
          <w:p>
            <w:pPr>
              <w:pStyle w:val="47"/>
              <w:rPr>
                <w:b/>
                <w:color w:val="auto"/>
              </w:rPr>
            </w:pPr>
            <w:r>
              <w:rPr>
                <w:b/>
                <w:color w:val="auto"/>
              </w:rPr>
              <w:t>孔号</w:t>
            </w:r>
          </w:p>
        </w:tc>
        <w:tc>
          <w:tcPr>
            <w:tcW w:w="942" w:type="pct"/>
            <w:vAlign w:val="center"/>
          </w:tcPr>
          <w:p>
            <w:pPr>
              <w:pStyle w:val="47"/>
              <w:rPr>
                <w:b/>
                <w:color w:val="auto"/>
              </w:rPr>
            </w:pPr>
            <w:r>
              <w:rPr>
                <w:b/>
                <w:color w:val="auto"/>
              </w:rPr>
              <w:t>监测孔位置</w:t>
            </w:r>
          </w:p>
        </w:tc>
        <w:tc>
          <w:tcPr>
            <w:tcW w:w="1174" w:type="pct"/>
            <w:vAlign w:val="center"/>
          </w:tcPr>
          <w:p>
            <w:pPr>
              <w:pStyle w:val="47"/>
              <w:rPr>
                <w:b/>
                <w:color w:val="auto"/>
              </w:rPr>
            </w:pPr>
            <w:r>
              <w:rPr>
                <w:b/>
                <w:color w:val="auto"/>
              </w:rPr>
              <w:t>监测项目</w:t>
            </w:r>
          </w:p>
        </w:tc>
        <w:tc>
          <w:tcPr>
            <w:tcW w:w="528" w:type="pct"/>
            <w:vAlign w:val="center"/>
          </w:tcPr>
          <w:p>
            <w:pPr>
              <w:pStyle w:val="47"/>
              <w:rPr>
                <w:b/>
                <w:color w:val="auto"/>
              </w:rPr>
            </w:pPr>
            <w:r>
              <w:rPr>
                <w:b/>
                <w:color w:val="auto"/>
              </w:rPr>
              <w:t>监测层位</w:t>
            </w:r>
          </w:p>
        </w:tc>
        <w:tc>
          <w:tcPr>
            <w:tcW w:w="503" w:type="pct"/>
            <w:vAlign w:val="center"/>
          </w:tcPr>
          <w:p>
            <w:pPr>
              <w:pStyle w:val="47"/>
              <w:rPr>
                <w:b/>
                <w:color w:val="auto"/>
              </w:rPr>
            </w:pPr>
            <w:r>
              <w:rPr>
                <w:b/>
                <w:color w:val="auto"/>
              </w:rPr>
              <w:t>监测</w:t>
            </w:r>
          </w:p>
          <w:p>
            <w:pPr>
              <w:pStyle w:val="47"/>
              <w:rPr>
                <w:b/>
                <w:color w:val="auto"/>
              </w:rPr>
            </w:pPr>
            <w:r>
              <w:rPr>
                <w:b/>
                <w:color w:val="auto"/>
              </w:rPr>
              <w:t>频率</w:t>
            </w:r>
          </w:p>
        </w:tc>
        <w:tc>
          <w:tcPr>
            <w:tcW w:w="1470" w:type="pct"/>
            <w:vAlign w:val="center"/>
          </w:tcPr>
          <w:p>
            <w:pPr>
              <w:pStyle w:val="47"/>
              <w:rPr>
                <w:b/>
                <w:color w:val="auto"/>
              </w:rPr>
            </w:pPr>
            <w:r>
              <w:rPr>
                <w:b/>
                <w:color w:val="auto"/>
              </w:rPr>
              <w:t>主要功能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0" w:type="pct"/>
            <w:vAlign w:val="center"/>
          </w:tcPr>
          <w:p>
            <w:pPr>
              <w:pStyle w:val="47"/>
              <w:rPr>
                <w:color w:val="auto"/>
              </w:rPr>
            </w:pPr>
            <w:r>
              <w:rPr>
                <w:color w:val="auto"/>
              </w:rPr>
              <w:t>1#</w:t>
            </w:r>
          </w:p>
        </w:tc>
        <w:tc>
          <w:tcPr>
            <w:tcW w:w="942" w:type="pct"/>
            <w:vAlign w:val="center"/>
          </w:tcPr>
          <w:p>
            <w:pPr>
              <w:pStyle w:val="47"/>
              <w:rPr>
                <w:rFonts w:hint="default" w:eastAsia="宋体"/>
                <w:color w:val="auto"/>
                <w:lang w:val="en-US" w:eastAsia="zh-CN"/>
              </w:rPr>
            </w:pPr>
            <w:r>
              <w:rPr>
                <w:rFonts w:hint="eastAsia"/>
                <w:color w:val="auto"/>
                <w:lang w:val="en-US" w:eastAsia="zh-CN"/>
              </w:rPr>
              <w:t>厂区西北角</w:t>
            </w:r>
          </w:p>
        </w:tc>
        <w:tc>
          <w:tcPr>
            <w:tcW w:w="1174" w:type="pct"/>
            <w:vAlign w:val="center"/>
          </w:tcPr>
          <w:p>
            <w:pPr>
              <w:pStyle w:val="47"/>
              <w:rPr>
                <w:color w:val="auto"/>
              </w:rPr>
            </w:pPr>
            <w:r>
              <w:rPr>
                <w:rFonts w:hint="eastAsia"/>
                <w:color w:val="auto"/>
              </w:rPr>
              <w:t>pH、总硬度、耗氧量（COD</w:t>
            </w:r>
            <w:r>
              <w:rPr>
                <w:rFonts w:hint="eastAsia"/>
                <w:color w:val="auto"/>
                <w:vertAlign w:val="subscript"/>
              </w:rPr>
              <w:t>Mn</w:t>
            </w:r>
            <w:r>
              <w:rPr>
                <w:rFonts w:hint="eastAsia"/>
                <w:color w:val="auto"/>
              </w:rPr>
              <w:t>）、色度、苯胺类、氟化物、氯化物、碘化物、硫酸盐、硫化物、氰化物、挥发性酚类、硝酸盐氮、亚硝酸盐氮、溶解性总固体、苯、甲苯、二甲苯、苯并芘、六价铬、铅、砷、总铬、铜、锌、铁、锰、汞、镉、镍、锡、钛、石油类等</w:t>
            </w:r>
          </w:p>
        </w:tc>
        <w:tc>
          <w:tcPr>
            <w:tcW w:w="528" w:type="pct"/>
            <w:vAlign w:val="center"/>
          </w:tcPr>
          <w:p>
            <w:pPr>
              <w:pStyle w:val="47"/>
              <w:rPr>
                <w:color w:val="auto"/>
              </w:rPr>
            </w:pPr>
            <w:r>
              <w:rPr>
                <w:rFonts w:hint="eastAsia"/>
                <w:color w:val="auto"/>
              </w:rPr>
              <w:t>浅层水</w:t>
            </w:r>
          </w:p>
        </w:tc>
        <w:tc>
          <w:tcPr>
            <w:tcW w:w="503" w:type="pct"/>
            <w:vAlign w:val="center"/>
          </w:tcPr>
          <w:p>
            <w:pPr>
              <w:pStyle w:val="47"/>
              <w:rPr>
                <w:color w:val="auto"/>
              </w:rPr>
            </w:pPr>
            <w:r>
              <w:rPr>
                <w:rFonts w:hint="eastAsia"/>
                <w:color w:val="auto"/>
              </w:rPr>
              <w:t>1</w:t>
            </w:r>
            <w:r>
              <w:rPr>
                <w:color w:val="auto"/>
              </w:rPr>
              <w:t>次/年</w:t>
            </w:r>
          </w:p>
        </w:tc>
        <w:tc>
          <w:tcPr>
            <w:tcW w:w="1470" w:type="pct"/>
            <w:vAlign w:val="center"/>
          </w:tcPr>
          <w:p>
            <w:pPr>
              <w:pStyle w:val="47"/>
              <w:rPr>
                <w:color w:val="auto"/>
              </w:rPr>
            </w:pPr>
            <w:r>
              <w:rPr>
                <w:rFonts w:hint="eastAsia"/>
                <w:color w:val="auto"/>
              </w:rPr>
              <w:t>地下水环境影响跟踪监测点；污染扩散监测点</w:t>
            </w:r>
          </w:p>
        </w:tc>
      </w:tr>
    </w:tbl>
    <w:p>
      <w:pPr>
        <w:ind w:firstLine="480"/>
        <w:rPr>
          <w:color w:val="auto"/>
        </w:rPr>
      </w:pPr>
      <w:r>
        <w:rPr>
          <w:color w:val="auto"/>
        </w:rPr>
        <w:t>3、管理措施</w:t>
      </w:r>
    </w:p>
    <w:p>
      <w:pPr>
        <w:ind w:firstLine="480"/>
        <w:rPr>
          <w:color w:val="auto"/>
        </w:rPr>
      </w:pPr>
      <w:r>
        <w:rPr>
          <w:color w:val="auto"/>
        </w:rPr>
        <w:t>（1）管理措施</w:t>
      </w:r>
    </w:p>
    <w:p>
      <w:pPr>
        <w:ind w:firstLine="480"/>
        <w:rPr>
          <w:color w:val="auto"/>
        </w:rPr>
      </w:pPr>
      <w:r>
        <w:rPr>
          <w:color w:val="auto"/>
        </w:rPr>
        <w:t>①防止地下水受到污染是环境保护管理部门的主要职责之一。企业应设立专门的环境保护管理部门，由专人负责防止地下水污染管理工作。</w:t>
      </w:r>
    </w:p>
    <w:p>
      <w:pPr>
        <w:ind w:firstLine="480"/>
        <w:rPr>
          <w:color w:val="auto"/>
        </w:rPr>
      </w:pPr>
      <w:r>
        <w:rPr>
          <w:color w:val="auto"/>
        </w:rPr>
        <w:t>②环境保护管理部门应委托具有地下水监测资质的单位负责地下水监测工作，并按要求及时分析整理原始资料、监测报告的编写工作。</w:t>
      </w:r>
    </w:p>
    <w:p>
      <w:pPr>
        <w:ind w:firstLine="480"/>
        <w:rPr>
          <w:color w:val="auto"/>
        </w:rPr>
      </w:pPr>
      <w:r>
        <w:rPr>
          <w:color w:val="auto"/>
        </w:rPr>
        <w:t>③建立地下水监测数据数据库，与公司环境管理系统相联系。</w:t>
      </w:r>
    </w:p>
    <w:p>
      <w:pPr>
        <w:ind w:firstLine="480"/>
        <w:rPr>
          <w:color w:val="auto"/>
        </w:rPr>
      </w:pPr>
      <w:r>
        <w:rPr>
          <w:color w:val="auto"/>
        </w:rPr>
        <w:t>④根据实际情况，按事故的性质、类型、影响范围、严重后果分等级地制订相应的预案。在制定预案时要根据项目环境污染事故潜在威胁的情况，认真细致地考虑各项影响因素，适当的时候组织有关部门、人员进行演练，不断补充完善。</w:t>
      </w:r>
    </w:p>
    <w:p>
      <w:pPr>
        <w:ind w:left="480" w:leftChars="200" w:firstLine="0" w:firstLineChars="0"/>
        <w:rPr>
          <w:color w:val="auto"/>
        </w:rPr>
      </w:pPr>
      <w:r>
        <w:rPr>
          <w:color w:val="auto"/>
        </w:rPr>
        <w:t>（2）技术措施</w:t>
      </w:r>
    </w:p>
    <w:p>
      <w:pPr>
        <w:ind w:firstLine="480"/>
        <w:rPr>
          <w:color w:val="auto"/>
        </w:rPr>
      </w:pPr>
      <w:r>
        <w:rPr>
          <w:color w:val="auto"/>
        </w:rPr>
        <w:t>①按照《地下水环境监测技术规范》（HJ164-20</w:t>
      </w:r>
      <w:r>
        <w:rPr>
          <w:rFonts w:hint="eastAsia"/>
          <w:color w:val="auto"/>
        </w:rPr>
        <w:t>20</w:t>
      </w:r>
      <w:r>
        <w:rPr>
          <w:color w:val="auto"/>
        </w:rPr>
        <w:t>）要求，及时上报监测数据和有关表格。</w:t>
      </w:r>
    </w:p>
    <w:p>
      <w:pPr>
        <w:ind w:firstLine="480"/>
        <w:rPr>
          <w:color w:val="auto"/>
        </w:rPr>
      </w:pPr>
      <w:r>
        <w:rPr>
          <w:color w:val="auto"/>
        </w:rPr>
        <w:t>②在日常例行监测中，一旦发现地下水水质监测数据异常，应尽快核查数据，确保数据的正确性。并将核查过的监测数据通告环保部门，由专人负责对数据进行分析、核实，并密切关注生产设施的运行情况，为防止地下水污染采取措施提供正确的依据。应采取的措施如下：了解项目生产是否出现异常情况，出现异常情况的装置、原因。加大监测密度，如监测频率由每月（季）一次临时加密为每天一次或更多，连续多天，分析变化动向。</w:t>
      </w:r>
    </w:p>
    <w:p>
      <w:pPr>
        <w:ind w:firstLine="480"/>
        <w:rPr>
          <w:color w:val="auto"/>
        </w:rPr>
      </w:pPr>
      <w:r>
        <w:rPr>
          <w:color w:val="auto"/>
        </w:rPr>
        <w:t>③定期编写地下水动态监测报告。</w:t>
      </w:r>
    </w:p>
    <w:p>
      <w:pPr>
        <w:ind w:firstLine="480"/>
        <w:rPr>
          <w:color w:val="auto"/>
        </w:rPr>
      </w:pPr>
      <w:r>
        <w:rPr>
          <w:color w:val="auto"/>
        </w:rPr>
        <w:t>④定期对污染区的生产装置、污水池、储罐、法兰、阀门、管道等进行检查。</w:t>
      </w:r>
    </w:p>
    <w:p>
      <w:pPr>
        <w:pStyle w:val="10"/>
        <w:rPr>
          <w:color w:val="auto"/>
        </w:rPr>
      </w:pPr>
      <w:r>
        <w:rPr>
          <w:rFonts w:hint="eastAsia"/>
          <w:color w:val="auto"/>
        </w:rPr>
        <w:t>5</w:t>
      </w:r>
      <w:r>
        <w:rPr>
          <w:color w:val="auto"/>
        </w:rPr>
        <w:t>.3.4.3 建立风险事故应急响应机制</w:t>
      </w:r>
    </w:p>
    <w:p>
      <w:pPr>
        <w:ind w:firstLine="480"/>
        <w:rPr>
          <w:color w:val="auto"/>
        </w:rPr>
      </w:pPr>
      <w:r>
        <w:rPr>
          <w:color w:val="auto"/>
        </w:rPr>
        <w:t>1、应急预案</w:t>
      </w:r>
    </w:p>
    <w:p>
      <w:pPr>
        <w:ind w:firstLine="480"/>
        <w:rPr>
          <w:color w:val="auto"/>
        </w:rPr>
      </w:pPr>
      <w:r>
        <w:rPr>
          <w:color w:val="auto"/>
        </w:rPr>
        <w:t>在制定全厂安全管理体制的基础上，制订专门的地下水污染事故的应急预案，并应与其它应急预案相协调。地下水应急预案应包括以下内容：</w:t>
      </w:r>
    </w:p>
    <w:p>
      <w:pPr>
        <w:numPr>
          <w:ilvl w:val="0"/>
          <w:numId w:val="12"/>
        </w:numPr>
        <w:ind w:firstLine="480"/>
        <w:rPr>
          <w:color w:val="auto"/>
        </w:rPr>
      </w:pPr>
      <w:r>
        <w:rPr>
          <w:color w:val="auto"/>
        </w:rPr>
        <w:t>应急预案的日常协调和指挥机构；</w:t>
      </w:r>
    </w:p>
    <w:p>
      <w:pPr>
        <w:numPr>
          <w:ilvl w:val="0"/>
          <w:numId w:val="12"/>
        </w:numPr>
        <w:ind w:firstLine="480"/>
        <w:rPr>
          <w:color w:val="auto"/>
        </w:rPr>
      </w:pPr>
      <w:r>
        <w:rPr>
          <w:color w:val="auto"/>
        </w:rPr>
        <w:t>相关部门在应急预案中的职责和分工；</w:t>
      </w:r>
    </w:p>
    <w:p>
      <w:pPr>
        <w:numPr>
          <w:ilvl w:val="0"/>
          <w:numId w:val="12"/>
        </w:numPr>
        <w:ind w:firstLine="480"/>
        <w:rPr>
          <w:color w:val="auto"/>
        </w:rPr>
      </w:pPr>
      <w:r>
        <w:rPr>
          <w:color w:val="auto"/>
        </w:rPr>
        <w:t>地下水环境保护目标的确定，采取的紧急处置措施和潜在污染可能性评估；</w:t>
      </w:r>
    </w:p>
    <w:p>
      <w:pPr>
        <w:numPr>
          <w:ilvl w:val="0"/>
          <w:numId w:val="12"/>
        </w:numPr>
        <w:ind w:firstLine="480"/>
        <w:rPr>
          <w:color w:val="auto"/>
        </w:rPr>
      </w:pPr>
      <w:r>
        <w:rPr>
          <w:color w:val="auto"/>
        </w:rPr>
        <w:t>特大事故应急救援组织状况和人员、装备情况，平常的训练和演习；</w:t>
      </w:r>
    </w:p>
    <w:p>
      <w:pPr>
        <w:numPr>
          <w:ilvl w:val="0"/>
          <w:numId w:val="12"/>
        </w:numPr>
        <w:ind w:firstLine="480"/>
        <w:rPr>
          <w:color w:val="auto"/>
        </w:rPr>
      </w:pPr>
      <w:r>
        <w:rPr>
          <w:color w:val="auto"/>
        </w:rPr>
        <w:t>特大事故的社会支持和援助,应急救援的经费保障。地下水应急预案详见下表。</w:t>
      </w:r>
    </w:p>
    <w:p>
      <w:pPr>
        <w:pStyle w:val="48"/>
        <w:spacing w:line="360" w:lineRule="auto"/>
        <w:rPr>
          <w:b w:val="0"/>
          <w:bCs/>
          <w:color w:val="auto"/>
        </w:rPr>
      </w:pPr>
      <w:r>
        <w:rPr>
          <w:b w:val="0"/>
          <w:bCs/>
          <w:color w:val="auto"/>
        </w:rPr>
        <w:t>表</w:t>
      </w:r>
      <w:r>
        <w:rPr>
          <w:rFonts w:hint="eastAsia"/>
          <w:b w:val="0"/>
          <w:bCs/>
          <w:color w:val="auto"/>
        </w:rPr>
        <w:t>5</w:t>
      </w:r>
      <w:r>
        <w:rPr>
          <w:b w:val="0"/>
          <w:bCs/>
          <w:color w:val="auto"/>
        </w:rPr>
        <w:t>.3-</w:t>
      </w:r>
      <w:r>
        <w:rPr>
          <w:rFonts w:hint="eastAsia"/>
          <w:b w:val="0"/>
          <w:bCs/>
          <w:color w:val="auto"/>
          <w:lang w:val="en-US" w:eastAsia="zh-CN"/>
        </w:rPr>
        <w:t>8</w:t>
      </w:r>
      <w:r>
        <w:rPr>
          <w:b w:val="0"/>
          <w:bCs/>
          <w:color w:val="auto"/>
        </w:rPr>
        <w:t xml:space="preserve"> 地下水污染应急预案内容</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9"/>
        <w:gridCol w:w="1772"/>
        <w:gridCol w:w="65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8" w:type="pct"/>
            <w:vAlign w:val="center"/>
          </w:tcPr>
          <w:p>
            <w:pPr>
              <w:pStyle w:val="47"/>
              <w:rPr>
                <w:b/>
                <w:color w:val="auto"/>
              </w:rPr>
            </w:pPr>
            <w:r>
              <w:rPr>
                <w:b/>
                <w:color w:val="auto"/>
              </w:rPr>
              <w:t>序号</w:t>
            </w:r>
          </w:p>
        </w:tc>
        <w:tc>
          <w:tcPr>
            <w:tcW w:w="984" w:type="pct"/>
            <w:vAlign w:val="center"/>
          </w:tcPr>
          <w:p>
            <w:pPr>
              <w:pStyle w:val="47"/>
              <w:rPr>
                <w:b/>
                <w:color w:val="auto"/>
              </w:rPr>
            </w:pPr>
            <w:r>
              <w:rPr>
                <w:b/>
                <w:color w:val="auto"/>
              </w:rPr>
              <w:t>项目</w:t>
            </w:r>
          </w:p>
        </w:tc>
        <w:tc>
          <w:tcPr>
            <w:tcW w:w="3628" w:type="pct"/>
            <w:vAlign w:val="center"/>
          </w:tcPr>
          <w:p>
            <w:pPr>
              <w:pStyle w:val="47"/>
              <w:rPr>
                <w:b/>
                <w:color w:val="auto"/>
              </w:rPr>
            </w:pPr>
            <w:r>
              <w:rPr>
                <w:b/>
                <w:color w:val="auto"/>
              </w:rPr>
              <w:t>内容及要求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8" w:type="pct"/>
            <w:vAlign w:val="center"/>
          </w:tcPr>
          <w:p>
            <w:pPr>
              <w:pStyle w:val="47"/>
              <w:rPr>
                <w:color w:val="auto"/>
              </w:rPr>
            </w:pPr>
            <w:r>
              <w:rPr>
                <w:color w:val="auto"/>
              </w:rPr>
              <w:t>1</w:t>
            </w:r>
          </w:p>
        </w:tc>
        <w:tc>
          <w:tcPr>
            <w:tcW w:w="984" w:type="pct"/>
            <w:vAlign w:val="center"/>
          </w:tcPr>
          <w:p>
            <w:pPr>
              <w:pStyle w:val="47"/>
              <w:rPr>
                <w:color w:val="auto"/>
              </w:rPr>
            </w:pPr>
            <w:r>
              <w:rPr>
                <w:color w:val="auto"/>
              </w:rPr>
              <w:t>总则</w:t>
            </w:r>
          </w:p>
        </w:tc>
        <w:tc>
          <w:tcPr>
            <w:tcW w:w="3628" w:type="pct"/>
            <w:vAlign w:val="center"/>
          </w:tcPr>
          <w:p>
            <w:pPr>
              <w:pStyle w:val="47"/>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8" w:type="pct"/>
            <w:vAlign w:val="center"/>
          </w:tcPr>
          <w:p>
            <w:pPr>
              <w:pStyle w:val="47"/>
              <w:rPr>
                <w:color w:val="auto"/>
              </w:rPr>
            </w:pPr>
            <w:r>
              <w:rPr>
                <w:color w:val="auto"/>
              </w:rPr>
              <w:t>2</w:t>
            </w:r>
          </w:p>
        </w:tc>
        <w:tc>
          <w:tcPr>
            <w:tcW w:w="984" w:type="pct"/>
            <w:vAlign w:val="center"/>
          </w:tcPr>
          <w:p>
            <w:pPr>
              <w:pStyle w:val="47"/>
              <w:rPr>
                <w:color w:val="auto"/>
              </w:rPr>
            </w:pPr>
            <w:r>
              <w:rPr>
                <w:color w:val="auto"/>
              </w:rPr>
              <w:t>污染源概况</w:t>
            </w:r>
          </w:p>
        </w:tc>
        <w:tc>
          <w:tcPr>
            <w:tcW w:w="3628" w:type="pct"/>
            <w:vAlign w:val="center"/>
          </w:tcPr>
          <w:p>
            <w:pPr>
              <w:pStyle w:val="47"/>
              <w:rPr>
                <w:color w:val="auto"/>
              </w:rPr>
            </w:pPr>
            <w:r>
              <w:rPr>
                <w:color w:val="auto"/>
              </w:rPr>
              <w:t>详述污染源类型、数量及其分布，包括生产装置、辅助设施、公用工程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8" w:type="pct"/>
            <w:vAlign w:val="center"/>
          </w:tcPr>
          <w:p>
            <w:pPr>
              <w:pStyle w:val="47"/>
              <w:rPr>
                <w:color w:val="auto"/>
              </w:rPr>
            </w:pPr>
            <w:r>
              <w:rPr>
                <w:color w:val="auto"/>
              </w:rPr>
              <w:t>3</w:t>
            </w:r>
          </w:p>
        </w:tc>
        <w:tc>
          <w:tcPr>
            <w:tcW w:w="984" w:type="pct"/>
            <w:vAlign w:val="center"/>
          </w:tcPr>
          <w:p>
            <w:pPr>
              <w:pStyle w:val="47"/>
              <w:rPr>
                <w:color w:val="auto"/>
              </w:rPr>
            </w:pPr>
            <w:r>
              <w:rPr>
                <w:color w:val="auto"/>
              </w:rPr>
              <w:t>应急计划区</w:t>
            </w:r>
          </w:p>
        </w:tc>
        <w:tc>
          <w:tcPr>
            <w:tcW w:w="3628" w:type="pct"/>
            <w:vAlign w:val="center"/>
          </w:tcPr>
          <w:p>
            <w:pPr>
              <w:pStyle w:val="47"/>
              <w:rPr>
                <w:color w:val="auto"/>
              </w:rPr>
            </w:pPr>
            <w:r>
              <w:rPr>
                <w:color w:val="auto"/>
              </w:rPr>
              <w:t>列出危险目标：污水处理池和集液池等，在厂区总图中标明位置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388" w:type="pct"/>
            <w:vAlign w:val="center"/>
          </w:tcPr>
          <w:p>
            <w:pPr>
              <w:pStyle w:val="47"/>
              <w:rPr>
                <w:color w:val="auto"/>
              </w:rPr>
            </w:pPr>
            <w:r>
              <w:rPr>
                <w:color w:val="auto"/>
              </w:rPr>
              <w:t>4</w:t>
            </w:r>
          </w:p>
        </w:tc>
        <w:tc>
          <w:tcPr>
            <w:tcW w:w="984" w:type="pct"/>
            <w:vAlign w:val="center"/>
          </w:tcPr>
          <w:p>
            <w:pPr>
              <w:pStyle w:val="47"/>
              <w:rPr>
                <w:color w:val="auto"/>
              </w:rPr>
            </w:pPr>
            <w:r>
              <w:rPr>
                <w:color w:val="auto"/>
              </w:rPr>
              <w:t>应急组织</w:t>
            </w:r>
          </w:p>
        </w:tc>
        <w:tc>
          <w:tcPr>
            <w:tcW w:w="3628" w:type="pct"/>
            <w:vAlign w:val="center"/>
          </w:tcPr>
          <w:p>
            <w:pPr>
              <w:pStyle w:val="47"/>
              <w:rPr>
                <w:color w:val="auto"/>
              </w:rPr>
            </w:pPr>
            <w:r>
              <w:rPr>
                <w:color w:val="auto"/>
              </w:rPr>
              <w:t>应急指挥部—负责现场全面指挥</w:t>
            </w:r>
          </w:p>
          <w:p>
            <w:pPr>
              <w:pStyle w:val="47"/>
              <w:rPr>
                <w:color w:val="auto"/>
              </w:rPr>
            </w:pPr>
            <w:r>
              <w:rPr>
                <w:color w:val="auto"/>
              </w:rPr>
              <w:t xml:space="preserve"> 专业救援队伍—负责事故控制、救援、善后处理；</w:t>
            </w:r>
          </w:p>
          <w:p>
            <w:pPr>
              <w:pStyle w:val="47"/>
              <w:rPr>
                <w:color w:val="auto"/>
              </w:rPr>
            </w:pPr>
            <w:r>
              <w:rPr>
                <w:color w:val="auto"/>
              </w:rPr>
              <w:t xml:space="preserve"> 专业监测队伍负责对厂监测站的支援；</w:t>
            </w:r>
          </w:p>
          <w:p>
            <w:pPr>
              <w:pStyle w:val="47"/>
              <w:rPr>
                <w:color w:val="auto"/>
              </w:rPr>
            </w:pPr>
            <w:r>
              <w:rPr>
                <w:color w:val="auto"/>
              </w:rPr>
              <w:t xml:space="preserve"> 地方医院负责收治受伤、中毒人员；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8" w:type="pct"/>
            <w:vAlign w:val="center"/>
          </w:tcPr>
          <w:p>
            <w:pPr>
              <w:pStyle w:val="47"/>
              <w:rPr>
                <w:color w:val="auto"/>
              </w:rPr>
            </w:pPr>
            <w:r>
              <w:rPr>
                <w:color w:val="auto"/>
              </w:rPr>
              <w:t>5</w:t>
            </w:r>
          </w:p>
        </w:tc>
        <w:tc>
          <w:tcPr>
            <w:tcW w:w="984" w:type="pct"/>
            <w:vAlign w:val="center"/>
          </w:tcPr>
          <w:p>
            <w:pPr>
              <w:pStyle w:val="47"/>
              <w:rPr>
                <w:color w:val="auto"/>
              </w:rPr>
            </w:pPr>
            <w:r>
              <w:rPr>
                <w:color w:val="auto"/>
              </w:rPr>
              <w:t>应急状态分类及应急响 应程序</w:t>
            </w:r>
          </w:p>
        </w:tc>
        <w:tc>
          <w:tcPr>
            <w:tcW w:w="3628" w:type="pct"/>
            <w:vAlign w:val="center"/>
          </w:tcPr>
          <w:p>
            <w:pPr>
              <w:pStyle w:val="47"/>
              <w:rPr>
                <w:color w:val="auto"/>
              </w:rPr>
            </w:pPr>
            <w:r>
              <w:rPr>
                <w:color w:val="auto"/>
              </w:rPr>
              <w:t>规定地下水污染事故的级别及相应的应急分类响应程序。按 照突发环境事件严重性和紧急程度，该预案将突发环境事件 分为特别重大环境事件（Ⅰ级）、重大环境事件（Ⅱ级）、较 大环境事件（Ⅲ级）和一般环境事件（Ⅳ级）四级。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8" w:type="pct"/>
            <w:vAlign w:val="center"/>
          </w:tcPr>
          <w:p>
            <w:pPr>
              <w:pStyle w:val="47"/>
              <w:rPr>
                <w:color w:val="auto"/>
              </w:rPr>
            </w:pPr>
            <w:r>
              <w:rPr>
                <w:color w:val="auto"/>
              </w:rPr>
              <w:t>6</w:t>
            </w:r>
          </w:p>
        </w:tc>
        <w:tc>
          <w:tcPr>
            <w:tcW w:w="984" w:type="pct"/>
            <w:vAlign w:val="center"/>
          </w:tcPr>
          <w:p>
            <w:pPr>
              <w:pStyle w:val="47"/>
              <w:rPr>
                <w:color w:val="auto"/>
              </w:rPr>
            </w:pPr>
            <w:r>
              <w:rPr>
                <w:color w:val="auto"/>
              </w:rPr>
              <w:t>应急设施、设备与材料</w:t>
            </w:r>
          </w:p>
        </w:tc>
        <w:tc>
          <w:tcPr>
            <w:tcW w:w="3628" w:type="pct"/>
            <w:vAlign w:val="center"/>
          </w:tcPr>
          <w:p>
            <w:pPr>
              <w:pStyle w:val="47"/>
              <w:rPr>
                <w:color w:val="auto"/>
              </w:rPr>
            </w:pPr>
            <w:r>
              <w:rPr>
                <w:color w:val="auto"/>
              </w:rPr>
              <w:t>防有毒有害物质外溢、扩散的应急设施、设备与材料。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8" w:type="pct"/>
            <w:vAlign w:val="center"/>
          </w:tcPr>
          <w:p>
            <w:pPr>
              <w:pStyle w:val="47"/>
              <w:rPr>
                <w:color w:val="auto"/>
              </w:rPr>
            </w:pPr>
            <w:r>
              <w:rPr>
                <w:color w:val="auto"/>
              </w:rPr>
              <w:t>7</w:t>
            </w:r>
          </w:p>
        </w:tc>
        <w:tc>
          <w:tcPr>
            <w:tcW w:w="984" w:type="pct"/>
            <w:vAlign w:val="center"/>
          </w:tcPr>
          <w:p>
            <w:pPr>
              <w:pStyle w:val="47"/>
              <w:rPr>
                <w:color w:val="auto"/>
              </w:rPr>
            </w:pPr>
            <w:r>
              <w:rPr>
                <w:color w:val="auto"/>
              </w:rPr>
              <w:t>应急通讯、通讯和交通</w:t>
            </w:r>
          </w:p>
        </w:tc>
        <w:tc>
          <w:tcPr>
            <w:tcW w:w="3628" w:type="pct"/>
            <w:vAlign w:val="center"/>
          </w:tcPr>
          <w:p>
            <w:pPr>
              <w:pStyle w:val="47"/>
              <w:rPr>
                <w:color w:val="auto"/>
              </w:rPr>
            </w:pPr>
            <w:r>
              <w:rPr>
                <w:color w:val="auto"/>
              </w:rPr>
              <w:t>规定应急状态下的通讯方式、通知方式和交通保障、管制。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8" w:type="pct"/>
            <w:vAlign w:val="center"/>
          </w:tcPr>
          <w:p>
            <w:pPr>
              <w:pStyle w:val="47"/>
              <w:rPr>
                <w:color w:val="auto"/>
              </w:rPr>
            </w:pPr>
            <w:r>
              <w:rPr>
                <w:color w:val="auto"/>
              </w:rPr>
              <w:t>8</w:t>
            </w:r>
          </w:p>
        </w:tc>
        <w:tc>
          <w:tcPr>
            <w:tcW w:w="984" w:type="pct"/>
            <w:vAlign w:val="center"/>
          </w:tcPr>
          <w:p>
            <w:pPr>
              <w:pStyle w:val="47"/>
              <w:rPr>
                <w:color w:val="auto"/>
              </w:rPr>
            </w:pPr>
            <w:r>
              <w:rPr>
                <w:color w:val="auto"/>
              </w:rPr>
              <w:t xml:space="preserve">应急环境监测 </w:t>
            </w:r>
          </w:p>
          <w:p>
            <w:pPr>
              <w:pStyle w:val="47"/>
              <w:rPr>
                <w:color w:val="auto"/>
              </w:rPr>
            </w:pPr>
            <w:r>
              <w:rPr>
                <w:color w:val="auto"/>
              </w:rPr>
              <w:t>及事故后评估</w:t>
            </w:r>
          </w:p>
        </w:tc>
        <w:tc>
          <w:tcPr>
            <w:tcW w:w="3628" w:type="pct"/>
            <w:vAlign w:val="center"/>
          </w:tcPr>
          <w:p>
            <w:pPr>
              <w:pStyle w:val="47"/>
              <w:rPr>
                <w:color w:val="auto"/>
              </w:rPr>
            </w:pPr>
            <w:r>
              <w:rPr>
                <w:color w:val="auto"/>
              </w:rPr>
              <w:t>由厂区环境监测站进行现场地下水环境进行监测。</w:t>
            </w:r>
          </w:p>
          <w:p>
            <w:pPr>
              <w:pStyle w:val="47"/>
              <w:rPr>
                <w:color w:val="auto"/>
              </w:rPr>
            </w:pPr>
            <w:r>
              <w:rPr>
                <w:color w:val="auto"/>
              </w:rPr>
              <w:t xml:space="preserve"> 对事故性质与后果进行评估，为指挥部门提供决策依据。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8" w:type="pct"/>
            <w:vAlign w:val="center"/>
          </w:tcPr>
          <w:p>
            <w:pPr>
              <w:pStyle w:val="47"/>
              <w:rPr>
                <w:color w:val="auto"/>
              </w:rPr>
            </w:pPr>
            <w:r>
              <w:rPr>
                <w:color w:val="auto"/>
              </w:rPr>
              <w:t>9</w:t>
            </w:r>
          </w:p>
        </w:tc>
        <w:tc>
          <w:tcPr>
            <w:tcW w:w="984" w:type="pct"/>
            <w:vAlign w:val="center"/>
          </w:tcPr>
          <w:p>
            <w:pPr>
              <w:pStyle w:val="47"/>
              <w:rPr>
                <w:color w:val="auto"/>
              </w:rPr>
            </w:pPr>
            <w:r>
              <w:rPr>
                <w:color w:val="auto"/>
              </w:rPr>
              <w:t>应急防护措施、清除泄 漏措施方法和器材</w:t>
            </w:r>
          </w:p>
        </w:tc>
        <w:tc>
          <w:tcPr>
            <w:tcW w:w="3628" w:type="pct"/>
            <w:vAlign w:val="center"/>
          </w:tcPr>
          <w:p>
            <w:pPr>
              <w:pStyle w:val="47"/>
              <w:rPr>
                <w:color w:val="auto"/>
              </w:rPr>
            </w:pPr>
            <w:r>
              <w:rPr>
                <w:color w:val="auto"/>
              </w:rPr>
              <w:t>事故现场：控制事故、防止扩大、蔓延及链锁反应。清除现场泄漏物，降低危害，相应的设施器材配备。</w:t>
            </w:r>
          </w:p>
          <w:p>
            <w:pPr>
              <w:pStyle w:val="47"/>
              <w:rPr>
                <w:color w:val="auto"/>
              </w:rPr>
            </w:pPr>
            <w:r>
              <w:rPr>
                <w:color w:val="auto"/>
              </w:rPr>
              <w:t>邻近区域：控制污染区域，控制和清除污染措施及相应设备配备。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8" w:type="pct"/>
            <w:vAlign w:val="center"/>
          </w:tcPr>
          <w:p>
            <w:pPr>
              <w:pStyle w:val="47"/>
              <w:rPr>
                <w:color w:val="auto"/>
              </w:rPr>
            </w:pPr>
            <w:r>
              <w:rPr>
                <w:color w:val="auto"/>
              </w:rPr>
              <w:t>10</w:t>
            </w:r>
          </w:p>
        </w:tc>
        <w:tc>
          <w:tcPr>
            <w:tcW w:w="984" w:type="pct"/>
            <w:vAlign w:val="center"/>
          </w:tcPr>
          <w:p>
            <w:pPr>
              <w:pStyle w:val="47"/>
              <w:rPr>
                <w:color w:val="auto"/>
              </w:rPr>
            </w:pPr>
            <w:r>
              <w:rPr>
                <w:color w:val="auto"/>
              </w:rPr>
              <w:t>应急浓度、排放量控制、 撤离组织计划、医疗救 护与公众健康</w:t>
            </w:r>
          </w:p>
        </w:tc>
        <w:tc>
          <w:tcPr>
            <w:tcW w:w="3628" w:type="pct"/>
            <w:vAlign w:val="center"/>
          </w:tcPr>
          <w:p>
            <w:pPr>
              <w:pStyle w:val="47"/>
              <w:rPr>
                <w:color w:val="auto"/>
              </w:rPr>
            </w:pPr>
            <w:r>
              <w:rPr>
                <w:color w:val="auto"/>
              </w:rPr>
              <w:t>事故现场：事故处理人员制定污染物的应急控制浓度、排放 量，现场及邻近装置人员撤离组织计划及救护。</w:t>
            </w:r>
          </w:p>
          <w:p>
            <w:pPr>
              <w:pStyle w:val="47"/>
              <w:rPr>
                <w:color w:val="auto"/>
              </w:rPr>
            </w:pPr>
            <w:r>
              <w:rPr>
                <w:color w:val="auto"/>
              </w:rPr>
              <w:t xml:space="preserve"> 环境敏感目标：受事故影响的邻近区域人员及公众对污染物 应急控制浓度、排放量规定，撤离组织计划及救护。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8" w:type="pct"/>
            <w:vAlign w:val="center"/>
          </w:tcPr>
          <w:p>
            <w:pPr>
              <w:pStyle w:val="47"/>
              <w:rPr>
                <w:color w:val="auto"/>
              </w:rPr>
            </w:pPr>
            <w:r>
              <w:rPr>
                <w:color w:val="auto"/>
              </w:rPr>
              <w:t>11</w:t>
            </w:r>
          </w:p>
        </w:tc>
        <w:tc>
          <w:tcPr>
            <w:tcW w:w="984" w:type="pct"/>
            <w:vAlign w:val="center"/>
          </w:tcPr>
          <w:p>
            <w:pPr>
              <w:pStyle w:val="47"/>
              <w:rPr>
                <w:color w:val="auto"/>
              </w:rPr>
            </w:pPr>
            <w:r>
              <w:rPr>
                <w:color w:val="auto"/>
              </w:rPr>
              <w:t xml:space="preserve">应急状态终止 </w:t>
            </w:r>
          </w:p>
          <w:p>
            <w:pPr>
              <w:pStyle w:val="47"/>
              <w:rPr>
                <w:color w:val="auto"/>
              </w:rPr>
            </w:pPr>
            <w:r>
              <w:rPr>
                <w:color w:val="auto"/>
              </w:rPr>
              <w:t>与恢复措施</w:t>
            </w:r>
          </w:p>
        </w:tc>
        <w:tc>
          <w:tcPr>
            <w:tcW w:w="3628" w:type="pct"/>
            <w:vAlign w:val="center"/>
          </w:tcPr>
          <w:p>
            <w:pPr>
              <w:pStyle w:val="47"/>
              <w:rPr>
                <w:color w:val="auto"/>
              </w:rPr>
            </w:pPr>
            <w:r>
              <w:rPr>
                <w:color w:val="auto"/>
              </w:rPr>
              <w:t>规定应急状态终止程序。</w:t>
            </w:r>
          </w:p>
          <w:p>
            <w:pPr>
              <w:pStyle w:val="47"/>
              <w:rPr>
                <w:color w:val="auto"/>
              </w:rPr>
            </w:pPr>
            <w:r>
              <w:rPr>
                <w:color w:val="auto"/>
              </w:rPr>
              <w:t xml:space="preserve"> 事故现场善后处理，恢复措施。</w:t>
            </w:r>
          </w:p>
          <w:p>
            <w:pPr>
              <w:pStyle w:val="47"/>
              <w:rPr>
                <w:color w:val="auto"/>
              </w:rPr>
            </w:pPr>
            <w:r>
              <w:rPr>
                <w:color w:val="auto"/>
              </w:rPr>
              <w:t xml:space="preserve"> 邻近区域解除事故警戒及善后恢复措施。</w:t>
            </w:r>
          </w:p>
          <w:p>
            <w:pPr>
              <w:pStyle w:val="47"/>
              <w:rPr>
                <w:color w:val="auto"/>
              </w:rPr>
            </w:pPr>
            <w:r>
              <w:rPr>
                <w:color w:val="auto"/>
              </w:rPr>
              <w:t xml:space="preserve"> 建立重大环境事故责任追究、奖惩制度。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8" w:type="pct"/>
            <w:vAlign w:val="center"/>
          </w:tcPr>
          <w:p>
            <w:pPr>
              <w:pStyle w:val="47"/>
              <w:rPr>
                <w:color w:val="auto"/>
              </w:rPr>
            </w:pPr>
            <w:r>
              <w:rPr>
                <w:color w:val="auto"/>
              </w:rPr>
              <w:t>12</w:t>
            </w:r>
          </w:p>
        </w:tc>
        <w:tc>
          <w:tcPr>
            <w:tcW w:w="984" w:type="pct"/>
            <w:vAlign w:val="center"/>
          </w:tcPr>
          <w:p>
            <w:pPr>
              <w:pStyle w:val="47"/>
              <w:rPr>
                <w:color w:val="auto"/>
              </w:rPr>
            </w:pPr>
            <w:r>
              <w:rPr>
                <w:color w:val="auto"/>
              </w:rPr>
              <w:t>人员培训与演练</w:t>
            </w:r>
          </w:p>
        </w:tc>
        <w:tc>
          <w:tcPr>
            <w:tcW w:w="3628" w:type="pct"/>
            <w:vAlign w:val="center"/>
          </w:tcPr>
          <w:p>
            <w:pPr>
              <w:pStyle w:val="47"/>
              <w:rPr>
                <w:color w:val="auto"/>
              </w:rPr>
            </w:pPr>
            <w:r>
              <w:rPr>
                <w:color w:val="auto"/>
              </w:rPr>
              <w:t>应急计划制定后，平时安排人员培训与演练。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8" w:type="pct"/>
            <w:vAlign w:val="center"/>
          </w:tcPr>
          <w:p>
            <w:pPr>
              <w:pStyle w:val="47"/>
              <w:rPr>
                <w:color w:val="auto"/>
              </w:rPr>
            </w:pPr>
            <w:r>
              <w:rPr>
                <w:color w:val="auto"/>
              </w:rPr>
              <w:t>13</w:t>
            </w:r>
          </w:p>
        </w:tc>
        <w:tc>
          <w:tcPr>
            <w:tcW w:w="984" w:type="pct"/>
            <w:vAlign w:val="center"/>
          </w:tcPr>
          <w:p>
            <w:pPr>
              <w:pStyle w:val="47"/>
              <w:rPr>
                <w:color w:val="auto"/>
              </w:rPr>
            </w:pPr>
            <w:r>
              <w:rPr>
                <w:color w:val="auto"/>
              </w:rPr>
              <w:t>公众教育和信息</w:t>
            </w:r>
          </w:p>
        </w:tc>
        <w:tc>
          <w:tcPr>
            <w:tcW w:w="3628" w:type="pct"/>
            <w:vAlign w:val="center"/>
          </w:tcPr>
          <w:p>
            <w:pPr>
              <w:pStyle w:val="47"/>
              <w:rPr>
                <w:color w:val="auto"/>
              </w:rPr>
            </w:pPr>
            <w:r>
              <w:rPr>
                <w:color w:val="auto"/>
              </w:rPr>
              <w:t>对邻近地区开展公众教育、培训和发布有关信息。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8" w:type="pct"/>
            <w:vAlign w:val="center"/>
          </w:tcPr>
          <w:p>
            <w:pPr>
              <w:pStyle w:val="47"/>
              <w:rPr>
                <w:color w:val="auto"/>
              </w:rPr>
            </w:pPr>
            <w:r>
              <w:rPr>
                <w:color w:val="auto"/>
              </w:rPr>
              <w:t>14</w:t>
            </w:r>
          </w:p>
        </w:tc>
        <w:tc>
          <w:tcPr>
            <w:tcW w:w="984" w:type="pct"/>
            <w:vAlign w:val="center"/>
          </w:tcPr>
          <w:p>
            <w:pPr>
              <w:pStyle w:val="47"/>
              <w:rPr>
                <w:color w:val="auto"/>
              </w:rPr>
            </w:pPr>
            <w:r>
              <w:rPr>
                <w:color w:val="auto"/>
              </w:rPr>
              <w:t>记录和报告</w:t>
            </w:r>
          </w:p>
        </w:tc>
        <w:tc>
          <w:tcPr>
            <w:tcW w:w="3628" w:type="pct"/>
            <w:vAlign w:val="center"/>
          </w:tcPr>
          <w:p>
            <w:pPr>
              <w:pStyle w:val="47"/>
              <w:rPr>
                <w:color w:val="auto"/>
              </w:rPr>
            </w:pPr>
            <w:r>
              <w:rPr>
                <w:color w:val="auto"/>
              </w:rPr>
              <w:t>设置应急事故专门记录，建档案和专门报告制度，设专门部 门和负责管理。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8" w:type="pct"/>
            <w:vAlign w:val="center"/>
          </w:tcPr>
          <w:p>
            <w:pPr>
              <w:pStyle w:val="47"/>
              <w:rPr>
                <w:color w:val="auto"/>
              </w:rPr>
            </w:pPr>
            <w:r>
              <w:rPr>
                <w:color w:val="auto"/>
              </w:rPr>
              <w:t>15</w:t>
            </w:r>
          </w:p>
        </w:tc>
        <w:tc>
          <w:tcPr>
            <w:tcW w:w="984" w:type="pct"/>
            <w:vAlign w:val="center"/>
          </w:tcPr>
          <w:p>
            <w:pPr>
              <w:pStyle w:val="47"/>
              <w:rPr>
                <w:color w:val="auto"/>
              </w:rPr>
            </w:pPr>
            <w:r>
              <w:rPr>
                <w:color w:val="auto"/>
              </w:rPr>
              <w:t>附件</w:t>
            </w:r>
          </w:p>
        </w:tc>
        <w:tc>
          <w:tcPr>
            <w:tcW w:w="3628" w:type="pct"/>
            <w:vAlign w:val="center"/>
          </w:tcPr>
          <w:p>
            <w:pPr>
              <w:pStyle w:val="47"/>
              <w:rPr>
                <w:color w:val="auto"/>
              </w:rPr>
            </w:pPr>
            <w:r>
              <w:rPr>
                <w:color w:val="auto"/>
              </w:rPr>
              <w:t>与应急事故有关的多种附件材料的准备和形成。</w:t>
            </w:r>
          </w:p>
        </w:tc>
      </w:tr>
    </w:tbl>
    <w:p>
      <w:pPr>
        <w:ind w:firstLine="480"/>
        <w:rPr>
          <w:color w:val="auto"/>
        </w:rPr>
      </w:pPr>
      <w:r>
        <w:rPr>
          <w:color w:val="auto"/>
        </w:rPr>
        <w:t>2、应急处置</w:t>
      </w:r>
    </w:p>
    <w:p>
      <w:pPr>
        <w:ind w:firstLine="480"/>
        <w:rPr>
          <w:color w:val="auto"/>
        </w:rPr>
      </w:pPr>
      <w:r>
        <w:rPr>
          <w:color w:val="auto"/>
        </w:rPr>
        <w:t>一旦发现地下水发生异常情况，企业必须按照应急预案马上采取紧急措施。</w:t>
      </w:r>
    </w:p>
    <w:p>
      <w:pPr>
        <w:numPr>
          <w:ilvl w:val="0"/>
          <w:numId w:val="13"/>
        </w:numPr>
        <w:ind w:firstLine="480"/>
        <w:rPr>
          <w:color w:val="auto"/>
        </w:rPr>
      </w:pPr>
      <w:r>
        <w:rPr>
          <w:color w:val="auto"/>
        </w:rPr>
        <w:t>当确定发生地下水异常情况时，按照制订的地下水应急预案，在第一时间内尽快上报主管领导，通知当地环保局、附近居民等地下水用户，密切关注地下水水质变化情况。</w:t>
      </w:r>
    </w:p>
    <w:p>
      <w:pPr>
        <w:numPr>
          <w:ilvl w:val="0"/>
          <w:numId w:val="13"/>
        </w:numPr>
        <w:ind w:firstLine="480"/>
        <w:rPr>
          <w:color w:val="auto"/>
        </w:rPr>
      </w:pPr>
      <w:r>
        <w:rPr>
          <w:color w:val="auto"/>
        </w:rPr>
        <w:t>组织专业队伍对事故现场进行调查、监测，查找环境事故发生地点、分析事故原因，尽量将紧急事件局部化，如可能应予以消除，采取包括切断生产装置或设施等措施，对污水进行封闭、截流，防止事故的扩散、蔓延及连锁反应，尽量缩小地下水污染事故对人和财产的影响。</w:t>
      </w:r>
    </w:p>
    <w:p>
      <w:pPr>
        <w:pageBreakBefore w:val="0"/>
        <w:widowControl w:val="0"/>
        <w:numPr>
          <w:ilvl w:val="0"/>
          <w:numId w:val="13"/>
        </w:numPr>
        <w:kinsoku/>
        <w:wordWrap/>
        <w:overflowPunct/>
        <w:topLinePunct w:val="0"/>
        <w:autoSpaceDE/>
        <w:autoSpaceDN/>
        <w:bidi w:val="0"/>
        <w:adjustRightInd/>
        <w:snapToGrid/>
        <w:spacing w:line="440" w:lineRule="exact"/>
        <w:ind w:firstLine="480"/>
        <w:textAlignment w:val="auto"/>
        <w:rPr>
          <w:color w:val="auto"/>
        </w:rPr>
      </w:pPr>
      <w:r>
        <w:rPr>
          <w:color w:val="auto"/>
        </w:rPr>
        <w:t>对事故后果进行评估，并制定防止类似事件发生的措施。</w:t>
      </w:r>
    </w:p>
    <w:p>
      <w:pPr>
        <w:pStyle w:val="2"/>
        <w:pageBreakBefore w:val="0"/>
        <w:widowControl w:val="0"/>
        <w:kinsoku/>
        <w:wordWrap/>
        <w:overflowPunct/>
        <w:topLinePunct w:val="0"/>
        <w:autoSpaceDE/>
        <w:autoSpaceDN/>
        <w:bidi w:val="0"/>
        <w:adjustRightInd/>
        <w:snapToGrid/>
        <w:spacing w:after="0" w:line="440" w:lineRule="exact"/>
        <w:ind w:firstLine="480"/>
        <w:textAlignment w:val="auto"/>
        <w:rPr>
          <w:color w:val="auto"/>
        </w:rPr>
      </w:pPr>
      <w:r>
        <w:rPr>
          <w:color w:val="auto"/>
        </w:rPr>
        <w:t>如果自身力量无法应对污染事故，应立即请求社会应急力量协助处理。</w:t>
      </w:r>
    </w:p>
    <w:p>
      <w:pPr>
        <w:pStyle w:val="9"/>
        <w:pageBreakBefore w:val="0"/>
        <w:widowControl w:val="0"/>
        <w:kinsoku/>
        <w:wordWrap/>
        <w:overflowPunct/>
        <w:topLinePunct w:val="0"/>
        <w:autoSpaceDE/>
        <w:autoSpaceDN/>
        <w:bidi w:val="0"/>
        <w:adjustRightInd/>
        <w:snapToGrid/>
        <w:spacing w:before="0" w:beforeLines="0" w:after="0" w:afterLines="0" w:line="440" w:lineRule="exact"/>
        <w:textAlignment w:val="auto"/>
        <w:rPr>
          <w:color w:val="auto"/>
        </w:rPr>
      </w:pPr>
      <w:r>
        <w:rPr>
          <w:rFonts w:hint="eastAsia"/>
          <w:color w:val="auto"/>
        </w:rPr>
        <w:t>5</w:t>
      </w:r>
      <w:r>
        <w:rPr>
          <w:color w:val="auto"/>
        </w:rPr>
        <w:t>.3.5小结</w:t>
      </w:r>
    </w:p>
    <w:p>
      <w:pPr>
        <w:pageBreakBefore w:val="0"/>
        <w:widowControl w:val="0"/>
        <w:numPr>
          <w:ilvl w:val="0"/>
          <w:numId w:val="14"/>
        </w:numPr>
        <w:kinsoku/>
        <w:wordWrap/>
        <w:overflowPunct/>
        <w:topLinePunct w:val="0"/>
        <w:autoSpaceDE/>
        <w:autoSpaceDN/>
        <w:bidi w:val="0"/>
        <w:adjustRightInd/>
        <w:snapToGrid/>
        <w:spacing w:line="440" w:lineRule="exact"/>
        <w:ind w:firstLine="480"/>
        <w:textAlignment w:val="auto"/>
        <w:rPr>
          <w:color w:val="auto"/>
        </w:rPr>
      </w:pPr>
      <w:r>
        <w:rPr>
          <w:color w:val="auto"/>
        </w:rPr>
        <w:t>根据《环境影响评价技术导则－地下水环境》（HJ610-2016）要求，确定本次地下水环境影响评价工作等级确定为</w:t>
      </w:r>
      <w:r>
        <w:rPr>
          <w:rFonts w:hint="eastAsia"/>
          <w:color w:val="auto"/>
        </w:rPr>
        <w:t>三</w:t>
      </w:r>
      <w:r>
        <w:rPr>
          <w:color w:val="auto"/>
        </w:rPr>
        <w:t>级。</w:t>
      </w:r>
    </w:p>
    <w:p>
      <w:pPr>
        <w:pageBreakBefore w:val="0"/>
        <w:widowControl w:val="0"/>
        <w:numPr>
          <w:ilvl w:val="0"/>
          <w:numId w:val="14"/>
        </w:numPr>
        <w:kinsoku/>
        <w:wordWrap/>
        <w:overflowPunct/>
        <w:topLinePunct w:val="0"/>
        <w:autoSpaceDE/>
        <w:autoSpaceDN/>
        <w:bidi w:val="0"/>
        <w:adjustRightInd/>
        <w:snapToGrid/>
        <w:spacing w:line="440" w:lineRule="exact"/>
        <w:ind w:firstLine="480"/>
        <w:textAlignment w:val="auto"/>
        <w:rPr>
          <w:color w:val="auto"/>
        </w:rPr>
      </w:pPr>
      <w:r>
        <w:rPr>
          <w:color w:val="auto"/>
        </w:rPr>
        <w:t>监测、评价结果表明，地下水主要超标指标为总硬度、</w:t>
      </w:r>
      <w:r>
        <w:rPr>
          <w:rFonts w:hint="eastAsia"/>
          <w:color w:val="auto"/>
        </w:rPr>
        <w:t>硝酸盐氮</w:t>
      </w:r>
      <w:r>
        <w:rPr>
          <w:color w:val="auto"/>
        </w:rPr>
        <w:t>、溶解性总固体、</w:t>
      </w:r>
      <w:r>
        <w:rPr>
          <w:rFonts w:hint="eastAsia"/>
          <w:color w:val="auto"/>
        </w:rPr>
        <w:t>氟化物、</w:t>
      </w:r>
      <w:r>
        <w:rPr>
          <w:color w:val="auto"/>
        </w:rPr>
        <w:t>硫酸盐、总大肠菌群、菌落总数都超过《地下水质量标准》(GB/T14848-2017)中的Ⅲ类标准。本区总硬度、溶解性总固体超标主要与区域水文地质条件有关，地下水中氟化物、硫酸盐</w:t>
      </w:r>
      <w:r>
        <w:rPr>
          <w:rFonts w:hint="eastAsia"/>
          <w:color w:val="auto"/>
        </w:rPr>
        <w:t>、</w:t>
      </w:r>
      <w:r>
        <w:rPr>
          <w:color w:val="auto"/>
        </w:rPr>
        <w:t>硝酸盐氮</w:t>
      </w:r>
      <w:r>
        <w:rPr>
          <w:rFonts w:hint="eastAsia"/>
          <w:color w:val="auto"/>
        </w:rPr>
        <w:t>、</w:t>
      </w:r>
      <w:r>
        <w:rPr>
          <w:color w:val="auto"/>
        </w:rPr>
        <w:t>总大肠菌群</w:t>
      </w:r>
      <w:r>
        <w:rPr>
          <w:rFonts w:hint="eastAsia"/>
          <w:color w:val="auto"/>
        </w:rPr>
        <w:t>、</w:t>
      </w:r>
      <w:r>
        <w:rPr>
          <w:color w:val="auto"/>
        </w:rPr>
        <w:t>菌落总数超标与区域整体环境质量有关系，可能受到生产、生活污染。</w:t>
      </w:r>
    </w:p>
    <w:p>
      <w:pPr>
        <w:numPr>
          <w:ilvl w:val="0"/>
          <w:numId w:val="14"/>
        </w:numPr>
        <w:ind w:firstLine="480"/>
        <w:rPr>
          <w:color w:val="auto"/>
        </w:rPr>
      </w:pPr>
      <w:r>
        <w:rPr>
          <w:color w:val="auto"/>
        </w:rPr>
        <w:t>本次模拟按在非正常工况和风险事故状态下两种情形下的污水泄漏对地下水的污染情况进行预测，从预测结果看，“跑、冒、滴、漏”和风险事故状态下污染泄漏对地下水环境造成了一定的影响，对周边居民构成一定威胁。</w:t>
      </w:r>
    </w:p>
    <w:p>
      <w:pPr>
        <w:ind w:firstLine="480"/>
        <w:rPr>
          <w:color w:val="auto"/>
        </w:rPr>
      </w:pPr>
      <w:r>
        <w:rPr>
          <w:color w:val="auto"/>
        </w:rPr>
        <w:t>由于地下水一旦污染就很难恢复，企业建设过程中应对污水处理构筑物、事故水池等设施采取严格的防腐防渗措施，平时生产运行过程中，应加强污水产生、储存设备的检查，设置污水巡查制度，涉及的问题应及时进行整改，确保防渗措施达到要求。一旦发生污染物泄露事故后，必须立即启动应急预案，迅速控制或切断事件灾害链，对污水进行封闭、截流，抽出污水送污水处理厂集中处理，使污染扩散得到有效抑制，最大限度地保护下游地下水水质安全，将损失降到最低限度。</w:t>
      </w:r>
    </w:p>
    <w:p>
      <w:pPr>
        <w:ind w:firstLine="480"/>
        <w:rPr>
          <w:color w:val="auto"/>
        </w:rPr>
      </w:pPr>
      <w:r>
        <w:rPr>
          <w:color w:val="auto"/>
        </w:rPr>
        <w:t>综上所述，通过严格落实各项环保治理措施，对输水管网、原辅料罐区、污水收集设施进行防渗漏处理，杜绝各种污水下渗对地下水造成的污染，综合考虑水文地质条件、地下水保护目标等因素，从水文地质角度分析，该项目建设可行</w:t>
      </w:r>
      <w:r>
        <w:rPr>
          <w:rFonts w:hint="eastAsia"/>
          <w:color w:val="auto"/>
        </w:rPr>
        <w:t>。</w:t>
      </w:r>
    </w:p>
    <w:p>
      <w:pPr>
        <w:pStyle w:val="2"/>
        <w:ind w:firstLine="480"/>
        <w:rPr>
          <w:color w:val="auto"/>
        </w:rPr>
      </w:pPr>
    </w:p>
    <w:p>
      <w:pPr>
        <w:ind w:firstLine="480"/>
        <w:rPr>
          <w:color w:val="auto"/>
        </w:rPr>
        <w:sectPr>
          <w:headerReference r:id="rId43" w:type="default"/>
          <w:pgSz w:w="11906" w:h="16838"/>
          <w:pgMar w:top="1417" w:right="1701" w:bottom="1417" w:left="1417" w:header="851" w:footer="992" w:gutter="0"/>
          <w:pgBorders>
            <w:top w:val="none" w:sz="0" w:space="0"/>
            <w:left w:val="none" w:sz="0" w:space="0"/>
            <w:bottom w:val="none" w:sz="0" w:space="0"/>
            <w:right w:val="none" w:sz="0" w:space="0"/>
          </w:pgBorders>
          <w:cols w:space="0" w:num="1"/>
          <w:docGrid w:type="lines" w:linePitch="337" w:charSpace="0"/>
        </w:sectPr>
      </w:pPr>
    </w:p>
    <w:p>
      <w:pPr>
        <w:pStyle w:val="8"/>
        <w:pageBreakBefore w:val="0"/>
        <w:kinsoku/>
        <w:wordWrap/>
        <w:overflowPunct/>
        <w:topLinePunct w:val="0"/>
        <w:autoSpaceDE/>
        <w:autoSpaceDN/>
        <w:bidi w:val="0"/>
        <w:spacing w:before="0" w:beforeLines="0" w:after="0" w:afterLines="0" w:line="360" w:lineRule="auto"/>
        <w:textAlignment w:val="auto"/>
        <w:rPr>
          <w:color w:val="auto"/>
        </w:rPr>
      </w:pPr>
      <w:bookmarkStart w:id="304" w:name="_Toc17614"/>
      <w:bookmarkStart w:id="305" w:name="_Toc8233"/>
      <w:r>
        <w:rPr>
          <w:rFonts w:hint="eastAsia"/>
          <w:color w:val="auto"/>
        </w:rPr>
        <w:t>5</w:t>
      </w:r>
      <w:r>
        <w:rPr>
          <w:color w:val="auto"/>
        </w:rPr>
        <w:t>.4 运营期噪声环境影响评价</w:t>
      </w:r>
      <w:bookmarkEnd w:id="304"/>
      <w:bookmarkEnd w:id="305"/>
    </w:p>
    <w:p>
      <w:pPr>
        <w:pStyle w:val="9"/>
        <w:keepNext w:val="0"/>
        <w:keepLines/>
        <w:pageBreakBefore w:val="0"/>
        <w:widowControl w:val="0"/>
        <w:tabs>
          <w:tab w:val="left" w:pos="6685"/>
        </w:tabs>
        <w:kinsoku/>
        <w:wordWrap/>
        <w:overflowPunct/>
        <w:topLinePunct w:val="0"/>
        <w:autoSpaceDE/>
        <w:autoSpaceDN/>
        <w:bidi w:val="0"/>
        <w:adjustRightInd w:val="0"/>
        <w:snapToGrid w:val="0"/>
        <w:spacing w:before="0" w:beforeLines="0" w:after="0" w:afterLines="0" w:line="440" w:lineRule="exact"/>
        <w:ind w:firstLine="0" w:firstLineChars="0"/>
        <w:textAlignment w:val="auto"/>
        <w:rPr>
          <w:rFonts w:hint="eastAsia"/>
          <w:color w:val="auto"/>
          <w:sz w:val="24"/>
          <w:szCs w:val="40"/>
          <w:highlight w:val="none"/>
        </w:rPr>
      </w:pPr>
      <w:r>
        <w:rPr>
          <w:rFonts w:hint="eastAsia"/>
          <w:color w:val="auto"/>
          <w:sz w:val="24"/>
          <w:szCs w:val="40"/>
          <w:highlight w:val="none"/>
          <w:lang w:val="en-US" w:eastAsia="zh-CN"/>
        </w:rPr>
        <w:t>5.4.1</w:t>
      </w:r>
      <w:r>
        <w:rPr>
          <w:rFonts w:hint="eastAsia"/>
          <w:color w:val="auto"/>
          <w:sz w:val="24"/>
          <w:szCs w:val="40"/>
          <w:highlight w:val="none"/>
        </w:rPr>
        <w:t>评价工作等级判定</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cs="Times New Roman"/>
          <w:color w:val="auto"/>
          <w:highlight w:val="none"/>
        </w:rPr>
      </w:pPr>
      <w:r>
        <w:rPr>
          <w:rFonts w:hint="eastAsia" w:cs="Times New Roman"/>
          <w:color w:val="auto"/>
          <w:highlight w:val="none"/>
        </w:rPr>
        <w:t>根据《环境影响评价技术导则 声环境》（HJ2.4-20</w:t>
      </w:r>
      <w:r>
        <w:rPr>
          <w:rFonts w:hint="eastAsia" w:cs="Times New Roman"/>
          <w:color w:val="auto"/>
          <w:highlight w:val="none"/>
          <w:lang w:val="en-US" w:eastAsia="zh-CN"/>
        </w:rPr>
        <w:t>21</w:t>
      </w:r>
      <w:r>
        <w:rPr>
          <w:rFonts w:hint="eastAsia" w:cs="Times New Roman"/>
          <w:color w:val="auto"/>
          <w:highlight w:val="none"/>
        </w:rPr>
        <w:t>）</w:t>
      </w:r>
      <w:r>
        <w:rPr>
          <w:rFonts w:hint="default" w:ascii="Times New Roman" w:hAnsi="Times New Roman" w:eastAsia="宋体" w:cs="Times New Roman"/>
          <w:color w:val="auto"/>
          <w:kern w:val="0"/>
          <w:sz w:val="24"/>
          <w:szCs w:val="24"/>
          <w:highlight w:val="none"/>
          <w:lang w:val="en-US" w:eastAsia="zh-CN" w:bidi="ar"/>
        </w:rPr>
        <w:t>“5 评价工作等级中 5.</w:t>
      </w:r>
      <w:r>
        <w:rPr>
          <w:rFonts w:hint="eastAsia" w:ascii="Times New Roman" w:hAnsi="Times New Roman" w:eastAsia="宋体" w:cs="Times New Roman"/>
          <w:color w:val="auto"/>
          <w:kern w:val="0"/>
          <w:sz w:val="24"/>
          <w:szCs w:val="24"/>
          <w:highlight w:val="none"/>
          <w:lang w:val="en-US" w:eastAsia="zh-CN" w:bidi="ar"/>
        </w:rPr>
        <w:t>1</w:t>
      </w:r>
      <w:r>
        <w:rPr>
          <w:rFonts w:hint="default" w:ascii="Times New Roman" w:hAnsi="Times New Roman" w:eastAsia="宋体" w:cs="Times New Roman"/>
          <w:color w:val="auto"/>
          <w:kern w:val="0"/>
          <w:sz w:val="24"/>
          <w:szCs w:val="24"/>
          <w:highlight w:val="none"/>
          <w:lang w:val="en-US" w:eastAsia="zh-CN" w:bidi="ar"/>
        </w:rPr>
        <w:t xml:space="preserve"> 评价等级”进行本项目声环境评价等级的确定</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本项目位于</w:t>
      </w:r>
      <w:r>
        <w:rPr>
          <w:rFonts w:hint="eastAsia" w:ascii="Times New Roman" w:hAnsi="Times New Roman" w:cs="Times New Roman"/>
          <w:color w:val="auto"/>
          <w:highlight w:val="none"/>
          <w:lang w:val="en-US" w:eastAsia="zh-CN"/>
        </w:rPr>
        <w:t>淄博科技工业园</w:t>
      </w:r>
      <w:r>
        <w:rPr>
          <w:rFonts w:hint="default" w:ascii="Times New Roman" w:hAnsi="Times New Roman" w:cs="Times New Roman"/>
          <w:color w:val="auto"/>
          <w:highlight w:val="none"/>
        </w:rPr>
        <w:t>内，所处声环境功能区为GB3096规定的</w:t>
      </w:r>
      <w:r>
        <w:rPr>
          <w:rFonts w:hint="eastAsia" w:cs="Times New Roman"/>
          <w:color w:val="auto"/>
          <w:highlight w:val="none"/>
          <w:lang w:val="en-US" w:eastAsia="zh-CN"/>
        </w:rPr>
        <w:t>2</w:t>
      </w:r>
      <w:r>
        <w:rPr>
          <w:rFonts w:hint="default" w:ascii="Times New Roman" w:hAnsi="Times New Roman" w:cs="Times New Roman"/>
          <w:color w:val="auto"/>
          <w:highlight w:val="none"/>
        </w:rPr>
        <w:t>类地区，</w:t>
      </w:r>
      <w:r>
        <w:rPr>
          <w:rFonts w:hint="eastAsia" w:cs="Times New Roman"/>
          <w:color w:val="auto"/>
          <w:highlight w:val="none"/>
        </w:rPr>
        <w:t>敏感点噪声级增加量＜3dB（A），受影响人口数量变化不大，因此判定声环境评价等级为</w:t>
      </w:r>
      <w:r>
        <w:rPr>
          <w:rFonts w:hint="eastAsia" w:cs="Times New Roman"/>
          <w:color w:val="auto"/>
          <w:highlight w:val="none"/>
          <w:lang w:val="en-US" w:eastAsia="zh-CN"/>
        </w:rPr>
        <w:t>二</w:t>
      </w:r>
      <w:r>
        <w:rPr>
          <w:rFonts w:hint="eastAsia" w:cs="Times New Roman"/>
          <w:color w:val="auto"/>
          <w:highlight w:val="none"/>
        </w:rPr>
        <w:t>级。</w:t>
      </w:r>
    </w:p>
    <w:p>
      <w:pPr>
        <w:pStyle w:val="9"/>
        <w:keepNext w:val="0"/>
        <w:keepLines/>
        <w:pageBreakBefore w:val="0"/>
        <w:widowControl w:val="0"/>
        <w:tabs>
          <w:tab w:val="left" w:pos="6685"/>
        </w:tabs>
        <w:kinsoku/>
        <w:wordWrap/>
        <w:overflowPunct/>
        <w:topLinePunct w:val="0"/>
        <w:autoSpaceDE/>
        <w:autoSpaceDN/>
        <w:bidi w:val="0"/>
        <w:adjustRightInd w:val="0"/>
        <w:snapToGrid w:val="0"/>
        <w:spacing w:before="0" w:beforeLines="0" w:after="0" w:afterLines="0" w:line="440" w:lineRule="exact"/>
        <w:ind w:firstLine="0" w:firstLineChars="0"/>
        <w:textAlignment w:val="auto"/>
        <w:rPr>
          <w:rFonts w:hint="eastAsia" w:ascii="Times New Roman" w:hAnsi="Times New Roman" w:cs="Times New Roman"/>
          <w:color w:val="auto"/>
          <w:sz w:val="24"/>
          <w:szCs w:val="40"/>
          <w:highlight w:val="none"/>
          <w:lang w:val="en-US" w:eastAsia="zh-CN"/>
        </w:rPr>
      </w:pPr>
      <w:r>
        <w:rPr>
          <w:rFonts w:hint="eastAsia" w:ascii="Times New Roman" w:hAnsi="Times New Roman" w:cs="Times New Roman"/>
          <w:color w:val="auto"/>
          <w:sz w:val="24"/>
          <w:szCs w:val="40"/>
          <w:highlight w:val="none"/>
          <w:lang w:val="en-US" w:eastAsia="zh-CN"/>
        </w:rPr>
        <w:t>5.4.2 项目噪声源分析</w:t>
      </w:r>
    </w:p>
    <w:p>
      <w:pPr>
        <w:pStyle w:val="10"/>
        <w:keepNext/>
        <w:keepLines/>
        <w:pageBreakBefore w:val="0"/>
        <w:widowControl w:val="0"/>
        <w:kinsoku/>
        <w:wordWrap/>
        <w:overflowPunct/>
        <w:topLinePunct w:val="0"/>
        <w:autoSpaceDE/>
        <w:autoSpaceDN/>
        <w:bidi w:val="0"/>
        <w:adjustRightInd w:val="0"/>
        <w:snapToGrid w:val="0"/>
        <w:spacing w:line="440" w:lineRule="exact"/>
        <w:ind w:firstLine="0" w:firstLineChars="0"/>
        <w:textAlignment w:val="auto"/>
        <w:rPr>
          <w:rFonts w:hint="default"/>
          <w:color w:val="auto"/>
          <w:sz w:val="22"/>
          <w:szCs w:val="24"/>
          <w:highlight w:val="none"/>
          <w:lang w:val="en-US" w:eastAsia="zh-CN"/>
        </w:rPr>
      </w:pPr>
      <w:r>
        <w:rPr>
          <w:rFonts w:hint="eastAsia"/>
          <w:color w:val="auto"/>
          <w:sz w:val="22"/>
          <w:szCs w:val="24"/>
          <w:highlight w:val="none"/>
          <w:lang w:val="en-US" w:eastAsia="zh-CN"/>
        </w:rPr>
        <w:t>5.4.2.1 拟建项目噪声源分析</w:t>
      </w:r>
    </w:p>
    <w:p>
      <w:pPr>
        <w:pageBreakBefore w:val="0"/>
        <w:kinsoku/>
        <w:wordWrap/>
        <w:overflowPunct/>
        <w:topLinePunct w:val="0"/>
        <w:autoSpaceDE/>
        <w:autoSpaceDN/>
        <w:bidi w:val="0"/>
        <w:spacing w:line="440" w:lineRule="exact"/>
        <w:textAlignment w:val="auto"/>
        <w:rPr>
          <w:color w:val="auto"/>
          <w:highlight w:val="none"/>
        </w:rPr>
      </w:pPr>
      <w:r>
        <w:rPr>
          <w:color w:val="auto"/>
          <w:szCs w:val="24"/>
          <w:highlight w:val="none"/>
        </w:rPr>
        <w:t>本项目</w:t>
      </w:r>
      <w:r>
        <w:rPr>
          <w:rFonts w:hint="eastAsia"/>
          <w:color w:val="auto"/>
          <w:szCs w:val="24"/>
          <w:highlight w:val="none"/>
          <w:lang w:val="en-US" w:eastAsia="zh-CN"/>
        </w:rPr>
        <w:t>新增</w:t>
      </w:r>
      <w:r>
        <w:rPr>
          <w:rFonts w:hint="eastAsia"/>
          <w:color w:val="auto"/>
          <w:szCs w:val="24"/>
          <w:highlight w:val="none"/>
        </w:rPr>
        <w:t>主要</w:t>
      </w:r>
      <w:r>
        <w:rPr>
          <w:color w:val="auto"/>
          <w:szCs w:val="24"/>
          <w:highlight w:val="none"/>
        </w:rPr>
        <w:t>噪声</w:t>
      </w:r>
      <w:r>
        <w:rPr>
          <w:rFonts w:hint="eastAsia"/>
          <w:color w:val="auto"/>
          <w:szCs w:val="24"/>
          <w:highlight w:val="none"/>
        </w:rPr>
        <w:t>设备有</w:t>
      </w:r>
      <w:r>
        <w:rPr>
          <w:rFonts w:hint="eastAsia"/>
          <w:color w:val="auto"/>
        </w:rPr>
        <w:t>造粒机、</w:t>
      </w:r>
      <w:r>
        <w:rPr>
          <w:color w:val="auto"/>
        </w:rPr>
        <w:t>风机、机泵</w:t>
      </w:r>
      <w:r>
        <w:rPr>
          <w:color w:val="auto"/>
          <w:highlight w:val="none"/>
        </w:rPr>
        <w:t>等</w:t>
      </w:r>
      <w:r>
        <w:rPr>
          <w:color w:val="auto"/>
          <w:szCs w:val="24"/>
          <w:highlight w:val="none"/>
        </w:rPr>
        <w:t>，声源强度在</w:t>
      </w:r>
      <w:r>
        <w:rPr>
          <w:rFonts w:hint="eastAsia"/>
          <w:color w:val="auto"/>
        </w:rPr>
        <w:t>70-85</w:t>
      </w:r>
      <w:r>
        <w:rPr>
          <w:color w:val="auto"/>
          <w:szCs w:val="24"/>
          <w:highlight w:val="none"/>
        </w:rPr>
        <w:t>dB（A）之间</w:t>
      </w:r>
      <w:r>
        <w:rPr>
          <w:color w:val="auto"/>
          <w:highlight w:val="none"/>
        </w:rPr>
        <w:t>。</w:t>
      </w:r>
      <w:r>
        <w:rPr>
          <w:rFonts w:hint="eastAsia"/>
          <w:color w:val="auto"/>
          <w:highlight w:val="none"/>
          <w:lang w:val="en-US" w:eastAsia="zh-CN"/>
        </w:rPr>
        <w:t>新增噪声设备情况见下表5.4-1</w:t>
      </w:r>
      <w:r>
        <w:rPr>
          <w:color w:val="auto"/>
          <w:highlight w:val="none"/>
        </w:rPr>
        <w:t>。</w:t>
      </w:r>
    </w:p>
    <w:p>
      <w:pPr>
        <w:pStyle w:val="9"/>
        <w:spacing w:before="0" w:beforeLines="0" w:after="0" w:afterLines="0" w:line="360" w:lineRule="auto"/>
        <w:rPr>
          <w:rFonts w:hint="eastAsia"/>
          <w:color w:val="auto"/>
        </w:rPr>
      </w:pPr>
    </w:p>
    <w:p>
      <w:pPr>
        <w:pStyle w:val="9"/>
        <w:spacing w:before="0" w:beforeLines="0" w:after="0" w:afterLines="0" w:line="360" w:lineRule="auto"/>
        <w:rPr>
          <w:rFonts w:hint="eastAsia"/>
          <w:color w:val="auto"/>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pPr>
        <w:ind w:left="0" w:leftChars="0" w:firstLine="0" w:firstLineChars="0"/>
        <w:jc w:val="center"/>
        <w:rPr>
          <w:rFonts w:hint="default" w:ascii="Times New Roman" w:hAnsi="Times New Roman" w:eastAsia="黑体" w:cs="Times New Roman"/>
          <w:b w:val="0"/>
          <w:bCs/>
          <w:color w:val="auto"/>
          <w:sz w:val="21"/>
          <w:szCs w:val="20"/>
          <w:highlight w:val="none"/>
          <w:lang w:val="en-US" w:eastAsia="zh-CN"/>
        </w:rPr>
      </w:pPr>
      <w:r>
        <w:rPr>
          <w:rFonts w:hint="default" w:ascii="Times New Roman" w:hAnsi="Times New Roman" w:eastAsia="黑体" w:cs="Times New Roman"/>
          <w:b w:val="0"/>
          <w:bCs/>
          <w:color w:val="auto"/>
          <w:sz w:val="21"/>
          <w:szCs w:val="20"/>
          <w:highlight w:val="none"/>
        </w:rPr>
        <w:t>表</w:t>
      </w:r>
      <w:r>
        <w:rPr>
          <w:rFonts w:hint="default" w:ascii="Times New Roman" w:hAnsi="Times New Roman" w:eastAsia="黑体" w:cs="Times New Roman"/>
          <w:b w:val="0"/>
          <w:bCs/>
          <w:color w:val="auto"/>
          <w:sz w:val="21"/>
          <w:szCs w:val="20"/>
          <w:highlight w:val="none"/>
          <w:lang w:val="en-US" w:eastAsia="zh-CN"/>
        </w:rPr>
        <w:t>5.4-1</w:t>
      </w:r>
      <w:r>
        <w:rPr>
          <w:rFonts w:hint="default" w:ascii="Times New Roman" w:hAnsi="Times New Roman" w:eastAsia="黑体" w:cs="Times New Roman"/>
          <w:b w:val="0"/>
          <w:bCs/>
          <w:color w:val="auto"/>
          <w:sz w:val="21"/>
          <w:szCs w:val="20"/>
          <w:highlight w:val="none"/>
        </w:rPr>
        <w:t xml:space="preserve">  </w:t>
      </w:r>
      <w:r>
        <w:rPr>
          <w:rFonts w:hint="default" w:ascii="Times New Roman" w:hAnsi="Times New Roman" w:eastAsia="黑体" w:cs="Times New Roman"/>
          <w:b w:val="0"/>
          <w:bCs/>
          <w:color w:val="auto"/>
          <w:sz w:val="21"/>
          <w:szCs w:val="20"/>
          <w:highlight w:val="none"/>
          <w:lang w:val="en-US" w:eastAsia="zh-CN"/>
        </w:rPr>
        <w:t>拟建</w:t>
      </w:r>
      <w:r>
        <w:rPr>
          <w:rFonts w:hint="default" w:ascii="Times New Roman" w:hAnsi="Times New Roman" w:eastAsia="黑体" w:cs="Times New Roman"/>
          <w:b w:val="0"/>
          <w:bCs/>
          <w:color w:val="auto"/>
          <w:sz w:val="21"/>
          <w:szCs w:val="20"/>
          <w:highlight w:val="none"/>
        </w:rPr>
        <w:t>项目</w:t>
      </w:r>
      <w:r>
        <w:rPr>
          <w:rFonts w:hint="default" w:ascii="Times New Roman" w:hAnsi="Times New Roman" w:eastAsia="黑体" w:cs="Times New Roman"/>
          <w:b w:val="0"/>
          <w:bCs/>
          <w:color w:val="auto"/>
          <w:sz w:val="21"/>
          <w:szCs w:val="20"/>
          <w:highlight w:val="none"/>
          <w:lang w:val="en-US" w:eastAsia="zh-CN"/>
        </w:rPr>
        <w:t>新增设备</w:t>
      </w:r>
      <w:r>
        <w:rPr>
          <w:rFonts w:hint="default" w:ascii="Times New Roman" w:hAnsi="Times New Roman" w:eastAsia="黑体" w:cs="Times New Roman"/>
          <w:b w:val="0"/>
          <w:bCs/>
          <w:color w:val="auto"/>
          <w:sz w:val="21"/>
          <w:szCs w:val="20"/>
          <w:highlight w:val="none"/>
        </w:rPr>
        <w:t>主要噪声源</w:t>
      </w:r>
      <w:r>
        <w:rPr>
          <w:rFonts w:hint="default" w:ascii="Times New Roman" w:hAnsi="Times New Roman" w:eastAsia="黑体" w:cs="Times New Roman"/>
          <w:b w:val="0"/>
          <w:bCs/>
          <w:color w:val="auto"/>
          <w:sz w:val="21"/>
          <w:szCs w:val="20"/>
          <w:highlight w:val="none"/>
          <w:lang w:val="en-US" w:eastAsia="zh-CN"/>
        </w:rPr>
        <w:t>强调查清单（室内声源）</w:t>
      </w:r>
    </w:p>
    <w:tbl>
      <w:tblPr>
        <w:tblStyle w:val="23"/>
        <w:tblW w:w="1456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06"/>
        <w:gridCol w:w="893"/>
        <w:gridCol w:w="1037"/>
        <w:gridCol w:w="1354"/>
        <w:gridCol w:w="1285"/>
        <w:gridCol w:w="972"/>
        <w:gridCol w:w="794"/>
        <w:gridCol w:w="865"/>
        <w:gridCol w:w="806"/>
        <w:gridCol w:w="987"/>
        <w:gridCol w:w="1010"/>
        <w:gridCol w:w="750"/>
        <w:gridCol w:w="1368"/>
        <w:gridCol w:w="893"/>
        <w:gridCol w:w="10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6" w:type="dxa"/>
            <w:vMerge w:val="restar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序号</w:t>
            </w:r>
          </w:p>
        </w:tc>
        <w:tc>
          <w:tcPr>
            <w:tcW w:w="893" w:type="dxa"/>
            <w:vMerge w:val="restar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建筑物名称</w:t>
            </w:r>
          </w:p>
        </w:tc>
        <w:tc>
          <w:tcPr>
            <w:tcW w:w="1037" w:type="dxa"/>
            <w:vMerge w:val="restar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声源名称</w:t>
            </w:r>
          </w:p>
        </w:tc>
        <w:tc>
          <w:tcPr>
            <w:tcW w:w="2639" w:type="dxa"/>
            <w:gridSpan w:val="2"/>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声源源强（任选一种）</w:t>
            </w:r>
          </w:p>
        </w:tc>
        <w:tc>
          <w:tcPr>
            <w:tcW w:w="972" w:type="dxa"/>
            <w:vMerge w:val="restar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声源控制措施</w:t>
            </w:r>
          </w:p>
        </w:tc>
        <w:tc>
          <w:tcPr>
            <w:tcW w:w="2465" w:type="dxa"/>
            <w:gridSpan w:val="3"/>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空间相对位置/m</w:t>
            </w:r>
          </w:p>
        </w:tc>
        <w:tc>
          <w:tcPr>
            <w:tcW w:w="987" w:type="dxa"/>
            <w:vMerge w:val="restar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距室内边界距离/m</w:t>
            </w:r>
          </w:p>
        </w:tc>
        <w:tc>
          <w:tcPr>
            <w:tcW w:w="1010" w:type="dxa"/>
            <w:vMerge w:val="restar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室内边界声级/dB（A）</w:t>
            </w:r>
          </w:p>
        </w:tc>
        <w:tc>
          <w:tcPr>
            <w:tcW w:w="750" w:type="dxa"/>
            <w:vMerge w:val="restar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运行时段</w:t>
            </w:r>
          </w:p>
        </w:tc>
        <w:tc>
          <w:tcPr>
            <w:tcW w:w="1368" w:type="dxa"/>
            <w:vMerge w:val="restar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建筑物插入损失/dB（A）</w:t>
            </w:r>
          </w:p>
        </w:tc>
        <w:tc>
          <w:tcPr>
            <w:tcW w:w="1933" w:type="dxa"/>
            <w:gridSpan w:val="2"/>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建筑物外噪声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506" w:type="dxa"/>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p>
        </w:tc>
        <w:tc>
          <w:tcPr>
            <w:tcW w:w="893" w:type="dxa"/>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p>
        </w:tc>
        <w:tc>
          <w:tcPr>
            <w:tcW w:w="1037" w:type="dxa"/>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p>
        </w:tc>
        <w:tc>
          <w:tcPr>
            <w:tcW w:w="1354"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声压级/距声源距离/（dB（A）/m）</w:t>
            </w:r>
          </w:p>
        </w:tc>
        <w:tc>
          <w:tcPr>
            <w:tcW w:w="1285"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声功率级/dB（A）</w:t>
            </w:r>
          </w:p>
        </w:tc>
        <w:tc>
          <w:tcPr>
            <w:tcW w:w="972" w:type="dxa"/>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p>
        </w:tc>
        <w:tc>
          <w:tcPr>
            <w:tcW w:w="794"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X</w:t>
            </w:r>
          </w:p>
        </w:tc>
        <w:tc>
          <w:tcPr>
            <w:tcW w:w="865"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Y</w:t>
            </w:r>
          </w:p>
        </w:tc>
        <w:tc>
          <w:tcPr>
            <w:tcW w:w="80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Z</w:t>
            </w:r>
          </w:p>
        </w:tc>
        <w:tc>
          <w:tcPr>
            <w:tcW w:w="987" w:type="dxa"/>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p>
        </w:tc>
        <w:tc>
          <w:tcPr>
            <w:tcW w:w="1010" w:type="dxa"/>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p>
        </w:tc>
        <w:tc>
          <w:tcPr>
            <w:tcW w:w="750" w:type="dxa"/>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p>
        </w:tc>
        <w:tc>
          <w:tcPr>
            <w:tcW w:w="1368" w:type="dxa"/>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p>
        </w:tc>
        <w:tc>
          <w:tcPr>
            <w:tcW w:w="893"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声压级/dB（A）</w:t>
            </w:r>
          </w:p>
        </w:tc>
        <w:tc>
          <w:tcPr>
            <w:tcW w:w="104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建筑物外距离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w:t>
            </w:r>
          </w:p>
        </w:tc>
        <w:tc>
          <w:tcPr>
            <w:tcW w:w="893" w:type="dxa"/>
            <w:vMerge w:val="restar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生产车间</w:t>
            </w:r>
          </w:p>
        </w:tc>
        <w:tc>
          <w:tcPr>
            <w:tcW w:w="1037"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造粒机</w:t>
            </w:r>
          </w:p>
        </w:tc>
        <w:tc>
          <w:tcPr>
            <w:tcW w:w="1354"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c>
          <w:tcPr>
            <w:tcW w:w="1285"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75</w:t>
            </w:r>
          </w:p>
        </w:tc>
        <w:tc>
          <w:tcPr>
            <w:tcW w:w="972" w:type="dxa"/>
            <w:vMerge w:val="restar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选择低噪声设备，隔声，减振</w:t>
            </w:r>
          </w:p>
        </w:tc>
        <w:tc>
          <w:tcPr>
            <w:tcW w:w="794"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 xml:space="preserve">77.78 </w:t>
            </w:r>
          </w:p>
        </w:tc>
        <w:tc>
          <w:tcPr>
            <w:tcW w:w="865"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 xml:space="preserve">56.66 </w:t>
            </w:r>
          </w:p>
        </w:tc>
        <w:tc>
          <w:tcPr>
            <w:tcW w:w="80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0</w:t>
            </w:r>
          </w:p>
        </w:tc>
        <w:tc>
          <w:tcPr>
            <w:tcW w:w="987"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23.8</w:t>
            </w:r>
          </w:p>
        </w:tc>
        <w:tc>
          <w:tcPr>
            <w:tcW w:w="101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47.47</w:t>
            </w:r>
          </w:p>
        </w:tc>
        <w:tc>
          <w:tcPr>
            <w:tcW w:w="75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0~24h</w:t>
            </w:r>
          </w:p>
        </w:tc>
        <w:tc>
          <w:tcPr>
            <w:tcW w:w="1368"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15</w:t>
            </w:r>
          </w:p>
        </w:tc>
        <w:tc>
          <w:tcPr>
            <w:tcW w:w="893"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32.47</w:t>
            </w:r>
          </w:p>
        </w:tc>
        <w:tc>
          <w:tcPr>
            <w:tcW w:w="104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2</w:t>
            </w:r>
          </w:p>
        </w:tc>
        <w:tc>
          <w:tcPr>
            <w:tcW w:w="893" w:type="dxa"/>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037"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干燥机</w:t>
            </w:r>
          </w:p>
        </w:tc>
        <w:tc>
          <w:tcPr>
            <w:tcW w:w="1354"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c>
          <w:tcPr>
            <w:tcW w:w="1285"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75</w:t>
            </w:r>
          </w:p>
        </w:tc>
        <w:tc>
          <w:tcPr>
            <w:tcW w:w="972" w:type="dxa"/>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p>
        </w:tc>
        <w:tc>
          <w:tcPr>
            <w:tcW w:w="794"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 xml:space="preserve">81.54 </w:t>
            </w:r>
          </w:p>
        </w:tc>
        <w:tc>
          <w:tcPr>
            <w:tcW w:w="865"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 xml:space="preserve">53.01 </w:t>
            </w:r>
          </w:p>
        </w:tc>
        <w:tc>
          <w:tcPr>
            <w:tcW w:w="80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0</w:t>
            </w:r>
          </w:p>
        </w:tc>
        <w:tc>
          <w:tcPr>
            <w:tcW w:w="987"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20.2</w:t>
            </w:r>
          </w:p>
        </w:tc>
        <w:tc>
          <w:tcPr>
            <w:tcW w:w="101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48.97</w:t>
            </w:r>
          </w:p>
        </w:tc>
        <w:tc>
          <w:tcPr>
            <w:tcW w:w="75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0~24h</w:t>
            </w:r>
          </w:p>
        </w:tc>
        <w:tc>
          <w:tcPr>
            <w:tcW w:w="1368"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15</w:t>
            </w:r>
          </w:p>
        </w:tc>
        <w:tc>
          <w:tcPr>
            <w:tcW w:w="893"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33.97</w:t>
            </w:r>
          </w:p>
        </w:tc>
        <w:tc>
          <w:tcPr>
            <w:tcW w:w="104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3</w:t>
            </w:r>
          </w:p>
        </w:tc>
        <w:tc>
          <w:tcPr>
            <w:tcW w:w="893" w:type="dxa"/>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037"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包装机</w:t>
            </w:r>
          </w:p>
        </w:tc>
        <w:tc>
          <w:tcPr>
            <w:tcW w:w="1354"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c>
          <w:tcPr>
            <w:tcW w:w="1285"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80</w:t>
            </w:r>
          </w:p>
        </w:tc>
        <w:tc>
          <w:tcPr>
            <w:tcW w:w="972" w:type="dxa"/>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p>
        </w:tc>
        <w:tc>
          <w:tcPr>
            <w:tcW w:w="794"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85.48</w:t>
            </w:r>
          </w:p>
        </w:tc>
        <w:tc>
          <w:tcPr>
            <w:tcW w:w="865"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50.65</w:t>
            </w:r>
          </w:p>
        </w:tc>
        <w:tc>
          <w:tcPr>
            <w:tcW w:w="80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0</w:t>
            </w:r>
          </w:p>
        </w:tc>
        <w:tc>
          <w:tcPr>
            <w:tcW w:w="987"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10.8</w:t>
            </w:r>
          </w:p>
        </w:tc>
        <w:tc>
          <w:tcPr>
            <w:tcW w:w="101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59.93</w:t>
            </w:r>
          </w:p>
        </w:tc>
        <w:tc>
          <w:tcPr>
            <w:tcW w:w="75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0~24h</w:t>
            </w:r>
          </w:p>
        </w:tc>
        <w:tc>
          <w:tcPr>
            <w:tcW w:w="1368"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15</w:t>
            </w:r>
          </w:p>
        </w:tc>
        <w:tc>
          <w:tcPr>
            <w:tcW w:w="893"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44.93</w:t>
            </w:r>
          </w:p>
        </w:tc>
        <w:tc>
          <w:tcPr>
            <w:tcW w:w="104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4</w:t>
            </w:r>
          </w:p>
        </w:tc>
        <w:tc>
          <w:tcPr>
            <w:tcW w:w="893" w:type="dxa"/>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037"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泵类</w:t>
            </w:r>
          </w:p>
        </w:tc>
        <w:tc>
          <w:tcPr>
            <w:tcW w:w="1354"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c>
          <w:tcPr>
            <w:tcW w:w="1285"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90</w:t>
            </w:r>
          </w:p>
        </w:tc>
        <w:tc>
          <w:tcPr>
            <w:tcW w:w="972" w:type="dxa"/>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p>
        </w:tc>
        <w:tc>
          <w:tcPr>
            <w:tcW w:w="794"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 xml:space="preserve">105.68 </w:t>
            </w:r>
          </w:p>
        </w:tc>
        <w:tc>
          <w:tcPr>
            <w:tcW w:w="865"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 xml:space="preserve">71.89 </w:t>
            </w:r>
          </w:p>
        </w:tc>
        <w:tc>
          <w:tcPr>
            <w:tcW w:w="80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0</w:t>
            </w:r>
          </w:p>
        </w:tc>
        <w:tc>
          <w:tcPr>
            <w:tcW w:w="987"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6.1</w:t>
            </w:r>
          </w:p>
        </w:tc>
        <w:tc>
          <w:tcPr>
            <w:tcW w:w="101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74.29</w:t>
            </w:r>
          </w:p>
        </w:tc>
        <w:tc>
          <w:tcPr>
            <w:tcW w:w="75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0~24h</w:t>
            </w:r>
          </w:p>
        </w:tc>
        <w:tc>
          <w:tcPr>
            <w:tcW w:w="1368"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15</w:t>
            </w:r>
          </w:p>
        </w:tc>
        <w:tc>
          <w:tcPr>
            <w:tcW w:w="893"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59.29</w:t>
            </w:r>
          </w:p>
        </w:tc>
        <w:tc>
          <w:tcPr>
            <w:tcW w:w="104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5</w:t>
            </w:r>
          </w:p>
        </w:tc>
        <w:tc>
          <w:tcPr>
            <w:tcW w:w="893" w:type="dxa"/>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037"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真空机组</w:t>
            </w:r>
          </w:p>
        </w:tc>
        <w:tc>
          <w:tcPr>
            <w:tcW w:w="1354"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c>
          <w:tcPr>
            <w:tcW w:w="1285"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90</w:t>
            </w:r>
          </w:p>
        </w:tc>
        <w:tc>
          <w:tcPr>
            <w:tcW w:w="972" w:type="dxa"/>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p>
        </w:tc>
        <w:tc>
          <w:tcPr>
            <w:tcW w:w="794"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98.47</w:t>
            </w:r>
          </w:p>
        </w:tc>
        <w:tc>
          <w:tcPr>
            <w:tcW w:w="865"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78.59</w:t>
            </w:r>
          </w:p>
        </w:tc>
        <w:tc>
          <w:tcPr>
            <w:tcW w:w="80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0</w:t>
            </w:r>
          </w:p>
        </w:tc>
        <w:tc>
          <w:tcPr>
            <w:tcW w:w="987"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5.4</w:t>
            </w:r>
          </w:p>
        </w:tc>
        <w:tc>
          <w:tcPr>
            <w:tcW w:w="101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75.35</w:t>
            </w:r>
          </w:p>
        </w:tc>
        <w:tc>
          <w:tcPr>
            <w:tcW w:w="75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0~24h</w:t>
            </w:r>
          </w:p>
        </w:tc>
        <w:tc>
          <w:tcPr>
            <w:tcW w:w="1368"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15</w:t>
            </w:r>
          </w:p>
        </w:tc>
        <w:tc>
          <w:tcPr>
            <w:tcW w:w="893"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60.35</w:t>
            </w:r>
          </w:p>
        </w:tc>
        <w:tc>
          <w:tcPr>
            <w:tcW w:w="104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6</w:t>
            </w:r>
          </w:p>
        </w:tc>
        <w:tc>
          <w:tcPr>
            <w:tcW w:w="893"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锅炉房</w:t>
            </w:r>
          </w:p>
        </w:tc>
        <w:tc>
          <w:tcPr>
            <w:tcW w:w="1037"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泵类</w:t>
            </w:r>
          </w:p>
        </w:tc>
        <w:tc>
          <w:tcPr>
            <w:tcW w:w="1354"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c>
          <w:tcPr>
            <w:tcW w:w="1285"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65</w:t>
            </w:r>
          </w:p>
        </w:tc>
        <w:tc>
          <w:tcPr>
            <w:tcW w:w="972" w:type="dxa"/>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p>
        </w:tc>
        <w:tc>
          <w:tcPr>
            <w:tcW w:w="794"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 xml:space="preserve">106.48 </w:t>
            </w:r>
          </w:p>
        </w:tc>
        <w:tc>
          <w:tcPr>
            <w:tcW w:w="865"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 xml:space="preserve">33.05 </w:t>
            </w:r>
          </w:p>
        </w:tc>
        <w:tc>
          <w:tcPr>
            <w:tcW w:w="80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0</w:t>
            </w:r>
          </w:p>
        </w:tc>
        <w:tc>
          <w:tcPr>
            <w:tcW w:w="987"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3.8</w:t>
            </w:r>
          </w:p>
        </w:tc>
        <w:tc>
          <w:tcPr>
            <w:tcW w:w="101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53.40</w:t>
            </w:r>
          </w:p>
        </w:tc>
        <w:tc>
          <w:tcPr>
            <w:tcW w:w="75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0~24h</w:t>
            </w:r>
          </w:p>
        </w:tc>
        <w:tc>
          <w:tcPr>
            <w:tcW w:w="1368"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15</w:t>
            </w:r>
          </w:p>
        </w:tc>
        <w:tc>
          <w:tcPr>
            <w:tcW w:w="893"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38.4</w:t>
            </w:r>
          </w:p>
        </w:tc>
        <w:tc>
          <w:tcPr>
            <w:tcW w:w="104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1m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7</w:t>
            </w:r>
          </w:p>
        </w:tc>
        <w:tc>
          <w:tcPr>
            <w:tcW w:w="893" w:type="dxa"/>
            <w:vMerge w:val="restar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循环冷却系统</w:t>
            </w:r>
          </w:p>
        </w:tc>
        <w:tc>
          <w:tcPr>
            <w:tcW w:w="1037"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冷却塔</w:t>
            </w:r>
          </w:p>
        </w:tc>
        <w:tc>
          <w:tcPr>
            <w:tcW w:w="1354"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c>
          <w:tcPr>
            <w:tcW w:w="1285"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80</w:t>
            </w:r>
          </w:p>
        </w:tc>
        <w:tc>
          <w:tcPr>
            <w:tcW w:w="972" w:type="dxa"/>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p>
        </w:tc>
        <w:tc>
          <w:tcPr>
            <w:tcW w:w="794"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 xml:space="preserve">92.00 </w:t>
            </w:r>
          </w:p>
        </w:tc>
        <w:tc>
          <w:tcPr>
            <w:tcW w:w="865"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 xml:space="preserve">10.94 </w:t>
            </w:r>
          </w:p>
        </w:tc>
        <w:tc>
          <w:tcPr>
            <w:tcW w:w="80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0</w:t>
            </w:r>
          </w:p>
        </w:tc>
        <w:tc>
          <w:tcPr>
            <w:tcW w:w="987"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3.4</w:t>
            </w:r>
          </w:p>
        </w:tc>
        <w:tc>
          <w:tcPr>
            <w:tcW w:w="101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69.37</w:t>
            </w:r>
          </w:p>
        </w:tc>
        <w:tc>
          <w:tcPr>
            <w:tcW w:w="75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0~24h</w:t>
            </w:r>
          </w:p>
        </w:tc>
        <w:tc>
          <w:tcPr>
            <w:tcW w:w="1368"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15</w:t>
            </w:r>
          </w:p>
        </w:tc>
        <w:tc>
          <w:tcPr>
            <w:tcW w:w="893"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54.37</w:t>
            </w:r>
          </w:p>
        </w:tc>
        <w:tc>
          <w:tcPr>
            <w:tcW w:w="104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1m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8</w:t>
            </w:r>
          </w:p>
        </w:tc>
        <w:tc>
          <w:tcPr>
            <w:tcW w:w="893" w:type="dxa"/>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037"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泵类</w:t>
            </w:r>
          </w:p>
        </w:tc>
        <w:tc>
          <w:tcPr>
            <w:tcW w:w="1354"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c>
          <w:tcPr>
            <w:tcW w:w="1285"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70</w:t>
            </w:r>
          </w:p>
        </w:tc>
        <w:tc>
          <w:tcPr>
            <w:tcW w:w="972" w:type="dxa"/>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p>
        </w:tc>
        <w:tc>
          <w:tcPr>
            <w:tcW w:w="794"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 xml:space="preserve">29.24 </w:t>
            </w:r>
          </w:p>
        </w:tc>
        <w:tc>
          <w:tcPr>
            <w:tcW w:w="865"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 xml:space="preserve">10.52 </w:t>
            </w:r>
          </w:p>
        </w:tc>
        <w:tc>
          <w:tcPr>
            <w:tcW w:w="80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0</w:t>
            </w:r>
          </w:p>
        </w:tc>
        <w:tc>
          <w:tcPr>
            <w:tcW w:w="987"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2.6</w:t>
            </w:r>
          </w:p>
        </w:tc>
        <w:tc>
          <w:tcPr>
            <w:tcW w:w="101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61.70</w:t>
            </w:r>
          </w:p>
        </w:tc>
        <w:tc>
          <w:tcPr>
            <w:tcW w:w="75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0~24h</w:t>
            </w:r>
          </w:p>
        </w:tc>
        <w:tc>
          <w:tcPr>
            <w:tcW w:w="1368"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15</w:t>
            </w:r>
          </w:p>
        </w:tc>
        <w:tc>
          <w:tcPr>
            <w:tcW w:w="893"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46.7</w:t>
            </w:r>
          </w:p>
        </w:tc>
        <w:tc>
          <w:tcPr>
            <w:tcW w:w="104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1m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9</w:t>
            </w:r>
          </w:p>
        </w:tc>
        <w:tc>
          <w:tcPr>
            <w:tcW w:w="893"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废气治理装置</w:t>
            </w:r>
          </w:p>
        </w:tc>
        <w:tc>
          <w:tcPr>
            <w:tcW w:w="1037"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风机</w:t>
            </w:r>
          </w:p>
        </w:tc>
        <w:tc>
          <w:tcPr>
            <w:tcW w:w="1354"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c>
          <w:tcPr>
            <w:tcW w:w="1285"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85</w:t>
            </w:r>
          </w:p>
        </w:tc>
        <w:tc>
          <w:tcPr>
            <w:tcW w:w="972" w:type="dxa"/>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p>
        </w:tc>
        <w:tc>
          <w:tcPr>
            <w:tcW w:w="794"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7.88</w:t>
            </w:r>
          </w:p>
        </w:tc>
        <w:tc>
          <w:tcPr>
            <w:tcW w:w="865"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30.59</w:t>
            </w:r>
          </w:p>
        </w:tc>
        <w:tc>
          <w:tcPr>
            <w:tcW w:w="80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0</w:t>
            </w:r>
          </w:p>
        </w:tc>
        <w:tc>
          <w:tcPr>
            <w:tcW w:w="987"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3.8</w:t>
            </w:r>
          </w:p>
        </w:tc>
        <w:tc>
          <w:tcPr>
            <w:tcW w:w="101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73.4</w:t>
            </w:r>
          </w:p>
        </w:tc>
        <w:tc>
          <w:tcPr>
            <w:tcW w:w="75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0~24h</w:t>
            </w:r>
          </w:p>
        </w:tc>
        <w:tc>
          <w:tcPr>
            <w:tcW w:w="1368"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15</w:t>
            </w:r>
          </w:p>
        </w:tc>
        <w:tc>
          <w:tcPr>
            <w:tcW w:w="893"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58.4</w:t>
            </w:r>
          </w:p>
        </w:tc>
        <w:tc>
          <w:tcPr>
            <w:tcW w:w="104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1m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10</w:t>
            </w:r>
          </w:p>
        </w:tc>
        <w:tc>
          <w:tcPr>
            <w:tcW w:w="893"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污水处理站</w:t>
            </w:r>
          </w:p>
        </w:tc>
        <w:tc>
          <w:tcPr>
            <w:tcW w:w="1037"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泵类</w:t>
            </w:r>
          </w:p>
        </w:tc>
        <w:tc>
          <w:tcPr>
            <w:tcW w:w="1354"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c>
          <w:tcPr>
            <w:tcW w:w="1285"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85</w:t>
            </w:r>
          </w:p>
        </w:tc>
        <w:tc>
          <w:tcPr>
            <w:tcW w:w="972" w:type="dxa"/>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p>
        </w:tc>
        <w:tc>
          <w:tcPr>
            <w:tcW w:w="794"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10.22</w:t>
            </w:r>
          </w:p>
        </w:tc>
        <w:tc>
          <w:tcPr>
            <w:tcW w:w="865"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5.94</w:t>
            </w:r>
          </w:p>
        </w:tc>
        <w:tc>
          <w:tcPr>
            <w:tcW w:w="80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0</w:t>
            </w:r>
          </w:p>
        </w:tc>
        <w:tc>
          <w:tcPr>
            <w:tcW w:w="987"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1.3</w:t>
            </w:r>
          </w:p>
        </w:tc>
        <w:tc>
          <w:tcPr>
            <w:tcW w:w="101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82.72</w:t>
            </w:r>
          </w:p>
        </w:tc>
        <w:tc>
          <w:tcPr>
            <w:tcW w:w="75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0~24h</w:t>
            </w:r>
          </w:p>
        </w:tc>
        <w:tc>
          <w:tcPr>
            <w:tcW w:w="1368"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15</w:t>
            </w:r>
          </w:p>
        </w:tc>
        <w:tc>
          <w:tcPr>
            <w:tcW w:w="893"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67.72</w:t>
            </w:r>
          </w:p>
        </w:tc>
        <w:tc>
          <w:tcPr>
            <w:tcW w:w="1040"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1m</w:t>
            </w:r>
          </w:p>
        </w:tc>
      </w:tr>
    </w:tbl>
    <w:p>
      <w:pPr>
        <w:rPr>
          <w:rFonts w:hint="eastAsia"/>
          <w:color w:val="auto"/>
        </w:rPr>
        <w:sectPr>
          <w:pgSz w:w="16838" w:h="11906" w:orient="landscape"/>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pPr>
        <w:pStyle w:val="2"/>
        <w:keepNext w:val="0"/>
        <w:keepLines w:val="0"/>
        <w:pageBreakBefore w:val="0"/>
        <w:widowControl w:val="0"/>
        <w:kinsoku/>
        <w:wordWrap/>
        <w:overflowPunct/>
        <w:topLinePunct w:val="0"/>
        <w:autoSpaceDE/>
        <w:autoSpaceDN/>
        <w:bidi w:val="0"/>
        <w:adjustRightInd w:val="0"/>
        <w:snapToGrid w:val="0"/>
        <w:spacing w:after="0"/>
        <w:ind w:left="0" w:leftChars="0" w:firstLine="480" w:firstLineChars="200"/>
        <w:textAlignment w:val="auto"/>
        <w:rPr>
          <w:rFonts w:hint="eastAsia"/>
          <w:color w:val="auto"/>
          <w:highlight w:val="none"/>
          <w:lang w:val="en-US" w:eastAsia="zh-CN"/>
        </w:rPr>
      </w:pPr>
      <w:r>
        <w:rPr>
          <w:rFonts w:hint="eastAsia"/>
          <w:color w:val="auto"/>
          <w:highlight w:val="none"/>
          <w:lang w:val="en-US" w:eastAsia="zh-CN"/>
        </w:rPr>
        <w:t>厂区主要噪声源分布情况见下图5.4-1。</w:t>
      </w:r>
    </w:p>
    <w:p>
      <w:pPr>
        <w:pStyle w:val="2"/>
        <w:spacing w:line="240" w:lineRule="auto"/>
        <w:ind w:left="0" w:leftChars="0" w:firstLine="0" w:firstLineChars="0"/>
        <w:rPr>
          <w:rFonts w:hint="eastAsia" w:eastAsia="宋体"/>
          <w:color w:val="auto"/>
          <w:lang w:eastAsia="zh-CN"/>
        </w:rPr>
      </w:pPr>
      <w:r>
        <w:rPr>
          <w:color w:val="auto"/>
          <w:sz w:val="21"/>
        </w:rPr>
        <mc:AlternateContent>
          <mc:Choice Requires="wps">
            <w:drawing>
              <wp:anchor distT="0" distB="0" distL="114300" distR="114300" simplePos="0" relativeHeight="251795456" behindDoc="0" locked="0" layoutInCell="1" allowOverlap="1">
                <wp:simplePos x="0" y="0"/>
                <wp:positionH relativeFrom="column">
                  <wp:posOffset>3417570</wp:posOffset>
                </wp:positionH>
                <wp:positionV relativeFrom="paragraph">
                  <wp:posOffset>4233545</wp:posOffset>
                </wp:positionV>
                <wp:extent cx="142875" cy="151130"/>
                <wp:effectExtent l="22860" t="25400" r="24765" b="33020"/>
                <wp:wrapNone/>
                <wp:docPr id="128" name="爆炸形 1 128"/>
                <wp:cNvGraphicFramePr/>
                <a:graphic xmlns:a="http://schemas.openxmlformats.org/drawingml/2006/main">
                  <a:graphicData uri="http://schemas.microsoft.com/office/word/2010/wordprocessingShape">
                    <wps:wsp>
                      <wps:cNvSpPr/>
                      <wps:spPr>
                        <a:xfrm>
                          <a:off x="0" y="0"/>
                          <a:ext cx="142875" cy="151130"/>
                        </a:xfrm>
                        <a:prstGeom prst="irregularSeal1">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1" type="#_x0000_t71" style="position:absolute;left:0pt;margin-left:269.1pt;margin-top:333.35pt;height:11.9pt;width:11.25pt;z-index:251795456;v-text-anchor:middle;mso-width-relative:page;mso-height-relative:page;" fillcolor="#FFC000" filled="t" stroked="t" coordsize="21600,21600" o:gfxdata="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negYm9gAAAALAQAADwAAAAAAAAABACAAAAAi&#10;AAAAZHJzL2Rvd25yZXYueG1sUEsBAhQAFAAAAAgAh07iQCopgrp8AgAABgUAAA4AAAAAAAAAAQAg&#10;AAAAJwEAAGRycy9lMm9Eb2MueG1sUEsFBgAAAAAGAAYAWQEAABUGAAAAAA==&#10;">
                <v:fill on="t" focussize="0,0"/>
                <v:stroke weight="1pt" color="#FF00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794432" behindDoc="0" locked="0" layoutInCell="1" allowOverlap="1">
                <wp:simplePos x="0" y="0"/>
                <wp:positionH relativeFrom="column">
                  <wp:posOffset>1384935</wp:posOffset>
                </wp:positionH>
                <wp:positionV relativeFrom="paragraph">
                  <wp:posOffset>4685665</wp:posOffset>
                </wp:positionV>
                <wp:extent cx="142875" cy="151130"/>
                <wp:effectExtent l="22860" t="25400" r="24765" b="33020"/>
                <wp:wrapNone/>
                <wp:docPr id="127" name="爆炸形 1 127"/>
                <wp:cNvGraphicFramePr/>
                <a:graphic xmlns:a="http://schemas.openxmlformats.org/drawingml/2006/main">
                  <a:graphicData uri="http://schemas.microsoft.com/office/word/2010/wordprocessingShape">
                    <wps:wsp>
                      <wps:cNvSpPr/>
                      <wps:spPr>
                        <a:xfrm>
                          <a:off x="0" y="0"/>
                          <a:ext cx="142875" cy="151130"/>
                        </a:xfrm>
                        <a:prstGeom prst="irregularSeal1">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1" type="#_x0000_t71" style="position:absolute;left:0pt;margin-left:109.05pt;margin-top:368.95pt;height:11.9pt;width:11.25pt;z-index:251794432;v-text-anchor:middle;mso-width-relative:page;mso-height-relative:page;" fillcolor="#FFC000" filled="t" stroked="t" coordsize="21600,21600" o:gfxdata="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X7QShNgAAAALAQAADwAAAAAAAAABACAAAAAi&#10;AAAAZHJzL2Rvd25yZXYueG1sUEsBAhQAFAAAAAgAh07iQFBBDuF8AgAABgUAAA4AAAAAAAAAAQAg&#10;AAAAJwEAAGRycy9lMm9Eb2MueG1sUEsFBgAAAAAGAAYAWQEAABUGAAAAAA==&#10;">
                <v:fill on="t" focussize="0,0"/>
                <v:stroke weight="1pt" color="#FF00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783168" behindDoc="0" locked="0" layoutInCell="1" allowOverlap="1">
                <wp:simplePos x="0" y="0"/>
                <wp:positionH relativeFrom="column">
                  <wp:posOffset>3035300</wp:posOffset>
                </wp:positionH>
                <wp:positionV relativeFrom="paragraph">
                  <wp:posOffset>4907280</wp:posOffset>
                </wp:positionV>
                <wp:extent cx="142875" cy="151130"/>
                <wp:effectExtent l="22860" t="25400" r="24765" b="33020"/>
                <wp:wrapNone/>
                <wp:docPr id="209" name="爆炸形 1 209"/>
                <wp:cNvGraphicFramePr/>
                <a:graphic xmlns:a="http://schemas.openxmlformats.org/drawingml/2006/main">
                  <a:graphicData uri="http://schemas.microsoft.com/office/word/2010/wordprocessingShape">
                    <wps:wsp>
                      <wps:cNvSpPr/>
                      <wps:spPr>
                        <a:xfrm>
                          <a:off x="0" y="0"/>
                          <a:ext cx="142875" cy="151130"/>
                        </a:xfrm>
                        <a:prstGeom prst="irregularSeal1">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1" type="#_x0000_t71" style="position:absolute;left:0pt;margin-left:239pt;margin-top:386.4pt;height:11.9pt;width:11.25pt;z-index:251783168;v-text-anchor:middle;mso-width-relative:page;mso-height-relative:page;" fillcolor="#FFC000" filled="t" stroked="t" coordsize="21600,21600" o:gfxdata="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GosifXYAAAACwEAAA8AAAAAAAAAAQAg&#10;AAAAIgAAAGRycy9kb3ducmV2LnhtbFBLAQIUABQAAAAIAIdO4kDqSSejgAIAAAYFAAAOAAAAAAAA&#10;AAEAIAAAACcBAABkcnMvZTJvRG9jLnhtbFBLBQYAAAAABgAGAFkBAAAZBgAAAAA=&#10;">
                <v:fill on="t" focussize="0,0"/>
                <v:stroke weight="1pt" color="#FF00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793408" behindDoc="0" locked="0" layoutInCell="1" allowOverlap="1">
                <wp:simplePos x="0" y="0"/>
                <wp:positionH relativeFrom="column">
                  <wp:posOffset>3504565</wp:posOffset>
                </wp:positionH>
                <wp:positionV relativeFrom="paragraph">
                  <wp:posOffset>3090545</wp:posOffset>
                </wp:positionV>
                <wp:extent cx="142875" cy="151130"/>
                <wp:effectExtent l="22860" t="25400" r="24765" b="33020"/>
                <wp:wrapNone/>
                <wp:docPr id="123" name="爆炸形 1 123"/>
                <wp:cNvGraphicFramePr/>
                <a:graphic xmlns:a="http://schemas.openxmlformats.org/drawingml/2006/main">
                  <a:graphicData uri="http://schemas.microsoft.com/office/word/2010/wordprocessingShape">
                    <wps:wsp>
                      <wps:cNvSpPr/>
                      <wps:spPr>
                        <a:xfrm>
                          <a:off x="0" y="0"/>
                          <a:ext cx="142875" cy="151130"/>
                        </a:xfrm>
                        <a:prstGeom prst="irregularSeal1">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1" type="#_x0000_t71" style="position:absolute;left:0pt;margin-left:275.95pt;margin-top:243.35pt;height:11.9pt;width:11.25pt;z-index:251793408;v-text-anchor:middle;mso-width-relative:page;mso-height-relative:page;" fillcolor="#FFC000" filled="t" stroked="t" coordsize="21600,21600" o:gfxdata="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Dsol39oAAAALAQAADwAAAAAAAAABACAA&#10;AAAiAAAAZHJzL2Rvd25yZXYueG1sUEsBAhQAFAAAAAgAh07iQP3GEbR9AgAABgUAAA4AAAAAAAAA&#10;AQAgAAAAKQEAAGRycy9lMm9Eb2MueG1sUEsFBgAAAAAGAAYAWQEAABgGAAAAAA==&#10;">
                <v:fill on="t" focussize="0,0"/>
                <v:stroke weight="1pt" color="#FF00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785216" behindDoc="0" locked="0" layoutInCell="1" allowOverlap="1">
                <wp:simplePos x="0" y="0"/>
                <wp:positionH relativeFrom="column">
                  <wp:posOffset>1515745</wp:posOffset>
                </wp:positionH>
                <wp:positionV relativeFrom="paragraph">
                  <wp:posOffset>3260090</wp:posOffset>
                </wp:positionV>
                <wp:extent cx="1040130" cy="1079500"/>
                <wp:effectExtent l="0" t="0" r="7620" b="6350"/>
                <wp:wrapNone/>
                <wp:docPr id="213" name="矩形 213"/>
                <wp:cNvGraphicFramePr/>
                <a:graphic xmlns:a="http://schemas.openxmlformats.org/drawingml/2006/main">
                  <a:graphicData uri="http://schemas.microsoft.com/office/word/2010/wordprocessingShape">
                    <wps:wsp>
                      <wps:cNvSpPr/>
                      <wps:spPr>
                        <a:xfrm>
                          <a:off x="2415540" y="4439285"/>
                          <a:ext cx="1040130" cy="1079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9.35pt;margin-top:256.7pt;height:85pt;width:81.9pt;z-index:251785216;v-text-anchor:middle;mso-width-relative:page;mso-height-relative:page;" fillcolor="#FFFFFF [3212]" filled="t" stroked="f" coordsize="21600,21600" o:gfxdata="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JGXMQdsAAAALAQAADwAAAAAAAAABACAAAAAi&#10;AAAAZHJzL2Rvd25yZXYueG1sUEsBAhQAFAAAAAgAh07iQI02eIV5AgAA3AQAAA4AAAAAAAAAAQAg&#10;AAAAKgEAAGRycy9lMm9Eb2MueG1sUEsFBgAAAAAGAAYAWQEAABUGAAAAAA==&#10;">
                <v:fill on="t" focussize="0,0"/>
                <v:stroke on="f" weight="1pt"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84192" behindDoc="0" locked="0" layoutInCell="1" allowOverlap="1">
                <wp:simplePos x="0" y="0"/>
                <wp:positionH relativeFrom="column">
                  <wp:posOffset>3637915</wp:posOffset>
                </wp:positionH>
                <wp:positionV relativeFrom="paragraph">
                  <wp:posOffset>5153025</wp:posOffset>
                </wp:positionV>
                <wp:extent cx="142875" cy="151130"/>
                <wp:effectExtent l="22860" t="25400" r="24765" b="33020"/>
                <wp:wrapNone/>
                <wp:docPr id="210" name="爆炸形 1 210"/>
                <wp:cNvGraphicFramePr/>
                <a:graphic xmlns:a="http://schemas.openxmlformats.org/drawingml/2006/main">
                  <a:graphicData uri="http://schemas.microsoft.com/office/word/2010/wordprocessingShape">
                    <wps:wsp>
                      <wps:cNvSpPr/>
                      <wps:spPr>
                        <a:xfrm>
                          <a:off x="0" y="0"/>
                          <a:ext cx="142875" cy="151130"/>
                        </a:xfrm>
                        <a:prstGeom prst="irregularSeal1">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1" type="#_x0000_t71" style="position:absolute;left:0pt;margin-left:286.45pt;margin-top:405.75pt;height:11.9pt;width:11.25pt;z-index:251784192;v-text-anchor:middle;mso-width-relative:page;mso-height-relative:page;" fillcolor="#FFC000" filled="t" stroked="t" coordsize="21600,21600" o:gfxdata="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sw89c2AAAAAsBAAAPAAAAAAAAAAEAIAAA&#10;ACIAAABkcnMvZG93bnJldi54bWxQSwECFAAUAAAACACHTuJA39U3rX4CAAAGBQAADgAAAAAAAAAB&#10;ACAAAAAnAQAAZHJzL2Uyb0RvYy54bWxQSwUGAAAAAAYABgBZAQAAFwYAAAAA&#10;">
                <v:fill on="t" focussize="0,0"/>
                <v:stroke weight="1pt" color="#FF00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782144" behindDoc="0" locked="0" layoutInCell="1" allowOverlap="1">
                <wp:simplePos x="0" y="0"/>
                <wp:positionH relativeFrom="column">
                  <wp:posOffset>3812540</wp:posOffset>
                </wp:positionH>
                <wp:positionV relativeFrom="paragraph">
                  <wp:posOffset>2144395</wp:posOffset>
                </wp:positionV>
                <wp:extent cx="142875" cy="151130"/>
                <wp:effectExtent l="22860" t="25400" r="24765" b="33020"/>
                <wp:wrapNone/>
                <wp:docPr id="208" name="爆炸形 1 208"/>
                <wp:cNvGraphicFramePr/>
                <a:graphic xmlns:a="http://schemas.openxmlformats.org/drawingml/2006/main">
                  <a:graphicData uri="http://schemas.microsoft.com/office/word/2010/wordprocessingShape">
                    <wps:wsp>
                      <wps:cNvSpPr/>
                      <wps:spPr>
                        <a:xfrm>
                          <a:off x="0" y="0"/>
                          <a:ext cx="142875" cy="151130"/>
                        </a:xfrm>
                        <a:prstGeom prst="irregularSeal1">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1" type="#_x0000_t71" style="position:absolute;left:0pt;margin-left:300.2pt;margin-top:168.85pt;height:11.9pt;width:11.25pt;z-index:251782144;v-text-anchor:middle;mso-width-relative:page;mso-height-relative:page;" fillcolor="#FFC000" filled="t" stroked="t" coordsize="21600,21600" o:gfxdata="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vD2Ci2QAAAAsBAAAPAAAAAAAAAAEA&#10;IAAAACIAAABkcnMvZG93bnJldi54bWxQSwECFAAUAAAACACHTuJAkem8wIACAAAGBQAADgAAAAAA&#10;AAABACAAAAAoAQAAZHJzL2Uyb0RvYy54bWxQSwUGAAAAAAYABgBZAQAAGgYAAAAA&#10;">
                <v:fill on="t" focussize="0,0"/>
                <v:stroke weight="1pt" color="#FF00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781120" behindDoc="0" locked="0" layoutInCell="1" allowOverlap="1">
                <wp:simplePos x="0" y="0"/>
                <wp:positionH relativeFrom="column">
                  <wp:posOffset>2003425</wp:posOffset>
                </wp:positionH>
                <wp:positionV relativeFrom="paragraph">
                  <wp:posOffset>5057775</wp:posOffset>
                </wp:positionV>
                <wp:extent cx="142875" cy="151130"/>
                <wp:effectExtent l="22860" t="25400" r="24765" b="33020"/>
                <wp:wrapNone/>
                <wp:docPr id="207" name="爆炸形 1 207"/>
                <wp:cNvGraphicFramePr/>
                <a:graphic xmlns:a="http://schemas.openxmlformats.org/drawingml/2006/main">
                  <a:graphicData uri="http://schemas.microsoft.com/office/word/2010/wordprocessingShape">
                    <wps:wsp>
                      <wps:cNvSpPr/>
                      <wps:spPr>
                        <a:xfrm>
                          <a:off x="0" y="0"/>
                          <a:ext cx="142875" cy="151130"/>
                        </a:xfrm>
                        <a:prstGeom prst="irregularSeal1">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1" type="#_x0000_t71" style="position:absolute;left:0pt;margin-left:157.75pt;margin-top:398.25pt;height:11.9pt;width:11.25pt;z-index:251781120;v-text-anchor:middle;mso-width-relative:page;mso-height-relative:page;" fillcolor="#FFC000" filled="t" stroked="t" coordsize="21600,21600" o:gfxdata="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2KmLNgAAAALAQAADwAAAAAAAAABACAA&#10;AAAiAAAAZHJzL2Rvd25yZXYueG1sUEsBAhQAFAAAAAgAh07iQOuBMJt/AgAABgUAAA4AAAAAAAAA&#10;AQAgAAAAJwEAAGRycy9lMm9Eb2MueG1sUEsFBgAAAAAGAAYAWQEAABgGAAAAAA==&#10;">
                <v:fill on="t" focussize="0,0"/>
                <v:stroke weight="1pt" color="#FF00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780096" behindDoc="0" locked="0" layoutInCell="1" allowOverlap="1">
                <wp:simplePos x="0" y="0"/>
                <wp:positionH relativeFrom="column">
                  <wp:posOffset>1645920</wp:posOffset>
                </wp:positionH>
                <wp:positionV relativeFrom="paragraph">
                  <wp:posOffset>4676140</wp:posOffset>
                </wp:positionV>
                <wp:extent cx="142875" cy="151130"/>
                <wp:effectExtent l="22860" t="25400" r="24765" b="33020"/>
                <wp:wrapNone/>
                <wp:docPr id="206" name="爆炸形 1 206"/>
                <wp:cNvGraphicFramePr/>
                <a:graphic xmlns:a="http://schemas.openxmlformats.org/drawingml/2006/main">
                  <a:graphicData uri="http://schemas.microsoft.com/office/word/2010/wordprocessingShape">
                    <wps:wsp>
                      <wps:cNvSpPr/>
                      <wps:spPr>
                        <a:xfrm>
                          <a:off x="0" y="0"/>
                          <a:ext cx="142875" cy="151130"/>
                        </a:xfrm>
                        <a:prstGeom prst="irregularSeal1">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1" type="#_x0000_t71" style="position:absolute;left:0pt;margin-left:129.6pt;margin-top:368.2pt;height:11.9pt;width:11.25pt;z-index:251780096;v-text-anchor:middle;mso-width-relative:page;mso-height-relative:page;" fillcolor="#FFC000" filled="t" stroked="t" coordsize="21600,21600" o:gfxdata="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nsdHU2QAAAAsBAAAPAAAAAAAAAAEA&#10;IAAAACIAAABkcnMvZG93bnJldi54bWxQSwECFAAUAAAACACHTuJAkCGr+IACAAAGBQAADgAAAAAA&#10;AAABACAAAAAoAQAAZHJzL2Uyb0RvYy54bWxQSwUGAAAAAAYABgBZAQAAGgYAAAAA&#10;">
                <v:fill on="t" focussize="0,0"/>
                <v:stroke weight="1pt" color="#FF00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779072" behindDoc="0" locked="0" layoutInCell="1" allowOverlap="1">
                <wp:simplePos x="0" y="0"/>
                <wp:positionH relativeFrom="column">
                  <wp:posOffset>3344545</wp:posOffset>
                </wp:positionH>
                <wp:positionV relativeFrom="paragraph">
                  <wp:posOffset>3287395</wp:posOffset>
                </wp:positionV>
                <wp:extent cx="142875" cy="151130"/>
                <wp:effectExtent l="22860" t="25400" r="24765" b="33020"/>
                <wp:wrapNone/>
                <wp:docPr id="205" name="爆炸形 1 205"/>
                <wp:cNvGraphicFramePr/>
                <a:graphic xmlns:a="http://schemas.openxmlformats.org/drawingml/2006/main">
                  <a:graphicData uri="http://schemas.microsoft.com/office/word/2010/wordprocessingShape">
                    <wps:wsp>
                      <wps:cNvSpPr/>
                      <wps:spPr>
                        <a:xfrm>
                          <a:off x="0" y="0"/>
                          <a:ext cx="142875" cy="151130"/>
                        </a:xfrm>
                        <a:prstGeom prst="irregularSeal1">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1" type="#_x0000_t71" style="position:absolute;left:0pt;margin-left:263.35pt;margin-top:258.85pt;height:11.9pt;width:11.25pt;z-index:251779072;v-text-anchor:middle;mso-width-relative:page;mso-height-relative:page;" fillcolor="#FFC000" filled="t" stroked="t" coordsize="21600,21600" o:gfxdata="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0LzZ/1wAAAAsBAAAPAAAAAAAAAAEAIAAA&#10;ACIAAABkcnMvZG93bnJldi54bWxQSwECFAAUAAAACACHTuJAHcEHXH8CAAAGBQAADgAAAAAAAAAB&#10;ACAAAAAmAQAAZHJzL2Uyb0RvYy54bWxQSwUGAAAAAAYABgBZAQAAFwYAAAAA&#10;">
                <v:fill on="t" focussize="0,0"/>
                <v:stroke weight="1pt" color="#FF00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778048" behindDoc="0" locked="0" layoutInCell="1" allowOverlap="1">
                <wp:simplePos x="0" y="0"/>
                <wp:positionH relativeFrom="column">
                  <wp:posOffset>3217545</wp:posOffset>
                </wp:positionH>
                <wp:positionV relativeFrom="paragraph">
                  <wp:posOffset>3104515</wp:posOffset>
                </wp:positionV>
                <wp:extent cx="142875" cy="151130"/>
                <wp:effectExtent l="22860" t="25400" r="24765" b="33020"/>
                <wp:wrapNone/>
                <wp:docPr id="204" name="爆炸形 1 204"/>
                <wp:cNvGraphicFramePr/>
                <a:graphic xmlns:a="http://schemas.openxmlformats.org/drawingml/2006/main">
                  <a:graphicData uri="http://schemas.microsoft.com/office/word/2010/wordprocessingShape">
                    <wps:wsp>
                      <wps:cNvSpPr/>
                      <wps:spPr>
                        <a:xfrm>
                          <a:off x="0" y="0"/>
                          <a:ext cx="142875" cy="151130"/>
                        </a:xfrm>
                        <a:prstGeom prst="irregularSeal1">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1" type="#_x0000_t71" style="position:absolute;left:0pt;margin-left:253.35pt;margin-top:244.45pt;height:11.9pt;width:11.25pt;z-index:251778048;v-text-anchor:middle;mso-width-relative:page;mso-height-relative:page;" fillcolor="#FFC000" filled="t" stroked="t" coordsize="21600,21600" o:gfxdata="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DamLq2QAAAAsBAAAPAAAAAAAAAAEA&#10;IAAAACIAAABkcnMvZG93bnJldi54bWxQSwECFAAUAAAACACHTuJAZmGcP4ACAAAGBQAADgAAAAAA&#10;AAABACAAAAAoAQAAZHJzL2Uyb0RvYy54bWxQSwUGAAAAAAYABgBZAQAAGgYAAAAA&#10;">
                <v:fill on="t" focussize="0,0"/>
                <v:stroke weight="1pt" color="#FF00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767808" behindDoc="0" locked="0" layoutInCell="1" allowOverlap="1">
                <wp:simplePos x="0" y="0"/>
                <wp:positionH relativeFrom="column">
                  <wp:posOffset>4398645</wp:posOffset>
                </wp:positionH>
                <wp:positionV relativeFrom="paragraph">
                  <wp:posOffset>5690870</wp:posOffset>
                </wp:positionV>
                <wp:extent cx="142875" cy="151130"/>
                <wp:effectExtent l="22860" t="25400" r="24765" b="33020"/>
                <wp:wrapNone/>
                <wp:docPr id="176" name="爆炸形 1 176"/>
                <wp:cNvGraphicFramePr/>
                <a:graphic xmlns:a="http://schemas.openxmlformats.org/drawingml/2006/main">
                  <a:graphicData uri="http://schemas.microsoft.com/office/word/2010/wordprocessingShape">
                    <wps:wsp>
                      <wps:cNvSpPr/>
                      <wps:spPr>
                        <a:xfrm>
                          <a:off x="0" y="0"/>
                          <a:ext cx="142875" cy="151130"/>
                        </a:xfrm>
                        <a:prstGeom prst="irregularSeal1">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1" type="#_x0000_t71" style="position:absolute;left:0pt;margin-left:346.35pt;margin-top:448.1pt;height:11.9pt;width:11.25pt;z-index:251767808;v-text-anchor:middle;mso-width-relative:page;mso-height-relative:page;" fillcolor="#FFC000" filled="t" stroked="t" coordsize="21600,21600" o:gfxdata="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9gvwl2AAAAAsBAAAPAAAAAAAAAAEAIAAA&#10;ACIAAABkcnMvZG93bnJldi54bWxQSwECFAAUAAAACACHTuJA7RIT7X4CAAAGBQAADgAAAAAAAAAB&#10;ACAAAAAnAQAAZHJzL2Uyb0RvYy54bWxQSwUGAAAAAAYABgBZAQAAFwYAAAAA&#10;">
                <v:fill on="t" focussize="0,0"/>
                <v:stroke weight="1pt" color="#FF0000 [32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66784" behindDoc="0" locked="0" layoutInCell="1" allowOverlap="1">
                <wp:simplePos x="0" y="0"/>
                <wp:positionH relativeFrom="column">
                  <wp:posOffset>4286250</wp:posOffset>
                </wp:positionH>
                <wp:positionV relativeFrom="paragraph">
                  <wp:posOffset>5399405</wp:posOffset>
                </wp:positionV>
                <wp:extent cx="1443990" cy="619125"/>
                <wp:effectExtent l="4445" t="4445" r="18415" b="5080"/>
                <wp:wrapNone/>
                <wp:docPr id="175" name="文本框 175"/>
                <wp:cNvGraphicFramePr/>
                <a:graphic xmlns:a="http://schemas.openxmlformats.org/drawingml/2006/main">
                  <a:graphicData uri="http://schemas.microsoft.com/office/word/2010/wordprocessingShape">
                    <wps:wsp>
                      <wps:cNvSpPr txBox="1"/>
                      <wps:spPr>
                        <a:xfrm>
                          <a:off x="5400040" y="6300470"/>
                          <a:ext cx="1443990" cy="619125"/>
                        </a:xfrm>
                        <a:prstGeom prst="rect">
                          <a:avLst/>
                        </a:prstGeom>
                        <a:solidFill>
                          <a:schemeClr val="lt1"/>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rPr>
                                <w:rFonts w:hint="eastAsia"/>
                                <w:sz w:val="21"/>
                                <w:szCs w:val="21"/>
                                <w:lang w:val="en-US" w:eastAsia="zh-CN"/>
                              </w:rPr>
                            </w:pPr>
                            <w:r>
                              <w:rPr>
                                <w:rFonts w:hint="eastAsia"/>
                                <w:sz w:val="21"/>
                                <w:szCs w:val="21"/>
                                <w:lang w:val="en-US" w:eastAsia="zh-CN"/>
                              </w:rPr>
                              <w:t>图例：</w:t>
                            </w:r>
                          </w:p>
                          <w:p>
                            <w:pPr>
                              <w:pStyle w:val="2"/>
                              <w:spacing w:line="240" w:lineRule="auto"/>
                              <w:rPr>
                                <w:rFonts w:hint="default"/>
                                <w:sz w:val="21"/>
                                <w:szCs w:val="21"/>
                                <w:lang w:val="en-US" w:eastAsia="zh-CN"/>
                              </w:rPr>
                            </w:pPr>
                            <w:r>
                              <w:rPr>
                                <w:rFonts w:hint="eastAsia"/>
                                <w:sz w:val="21"/>
                                <w:szCs w:val="21"/>
                                <w:lang w:val="en-US" w:eastAsia="zh-CN"/>
                              </w:rPr>
                              <w:t>主要噪声源位置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7.5pt;margin-top:425.15pt;height:48.75pt;width:113.7pt;z-index:251766784;mso-width-relative:page;mso-height-relative:page;" fillcolor="#FFFFFF [3201]" filled="t" stroked="t" coordsize="21600,21600" o:gfxdata="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GR3CiDZAAAACwEAAA8AAAAAAAAAAQAgAAAAIgAAAGRycy9kb3ducmV2LnhtbFBLAQIUABQA&#10;AAAIAIdO4kDNlagDYQIAAMgEAAAOAAAAAAAAAAEAIAAAACgBAABkcnMvZTJvRG9jLnhtbFBLBQYA&#10;AAAABgAGAFkBAAD7BQAAAAA=&#10;">
                <v:fill on="t" focussize="0,0"/>
                <v:stroke weight="0.5pt" color="#000000 [3213]" joinstyle="round"/>
                <v:imagedata o:title=""/>
                <o:lock v:ext="edit" aspectratio="f"/>
                <v:textbox>
                  <w:txbxContent>
                    <w:p>
                      <w:pPr>
                        <w:spacing w:line="240" w:lineRule="auto"/>
                        <w:ind w:left="0" w:leftChars="0" w:firstLine="0" w:firstLineChars="0"/>
                        <w:rPr>
                          <w:rFonts w:hint="eastAsia"/>
                          <w:sz w:val="21"/>
                          <w:szCs w:val="21"/>
                          <w:lang w:val="en-US" w:eastAsia="zh-CN"/>
                        </w:rPr>
                      </w:pPr>
                      <w:r>
                        <w:rPr>
                          <w:rFonts w:hint="eastAsia"/>
                          <w:sz w:val="21"/>
                          <w:szCs w:val="21"/>
                          <w:lang w:val="en-US" w:eastAsia="zh-CN"/>
                        </w:rPr>
                        <w:t>图例：</w:t>
                      </w:r>
                    </w:p>
                    <w:p>
                      <w:pPr>
                        <w:pStyle w:val="2"/>
                        <w:spacing w:line="240" w:lineRule="auto"/>
                        <w:rPr>
                          <w:rFonts w:hint="default"/>
                          <w:sz w:val="21"/>
                          <w:szCs w:val="21"/>
                          <w:lang w:val="en-US" w:eastAsia="zh-CN"/>
                        </w:rPr>
                      </w:pPr>
                      <w:r>
                        <w:rPr>
                          <w:rFonts w:hint="eastAsia"/>
                          <w:sz w:val="21"/>
                          <w:szCs w:val="21"/>
                          <w:lang w:val="en-US" w:eastAsia="zh-CN"/>
                        </w:rPr>
                        <w:t>主要噪声源位置</w:t>
                      </w:r>
                    </w:p>
                  </w:txbxContent>
                </v:textbox>
              </v:shape>
            </w:pict>
          </mc:Fallback>
        </mc:AlternateContent>
      </w:r>
      <w:r>
        <w:rPr>
          <w:color w:val="auto"/>
          <w:sz w:val="24"/>
        </w:rPr>
        <mc:AlternateContent>
          <mc:Choice Requires="wps">
            <w:drawing>
              <wp:anchor distT="0" distB="0" distL="114300" distR="114300" simplePos="0" relativeHeight="251765760" behindDoc="0" locked="0" layoutInCell="1" allowOverlap="1">
                <wp:simplePos x="0" y="0"/>
                <wp:positionH relativeFrom="column">
                  <wp:posOffset>4679315</wp:posOffset>
                </wp:positionH>
                <wp:positionV relativeFrom="paragraph">
                  <wp:posOffset>3287395</wp:posOffset>
                </wp:positionV>
                <wp:extent cx="730250" cy="500380"/>
                <wp:effectExtent l="6350" t="6350" r="6350" b="7620"/>
                <wp:wrapNone/>
                <wp:docPr id="65" name="矩形 65"/>
                <wp:cNvGraphicFramePr/>
                <a:graphic xmlns:a="http://schemas.openxmlformats.org/drawingml/2006/main">
                  <a:graphicData uri="http://schemas.microsoft.com/office/word/2010/wordprocessingShape">
                    <wps:wsp>
                      <wps:cNvSpPr/>
                      <wps:spPr>
                        <a:xfrm>
                          <a:off x="5579110" y="4466590"/>
                          <a:ext cx="730250" cy="5003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8.45pt;margin-top:258.85pt;height:39.4pt;width:57.5pt;z-index:251765760;v-text-anchor:middle;mso-width-relative:page;mso-height-relative:page;" fillcolor="#FFFFFF [3212]" filled="t" stroked="f" coordsize="21600,21600" o:gfxdata="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mlhoKNoAAAALAQAADwAAAAAAAAABACAAAAAiAAAA&#10;ZHJzL2Rvd25yZXYueG1sUEsBAhQAFAAAAAgAh07iQEINjzF3AgAA2AQAAA4AAAAAAAAAAQAgAAAA&#10;KQEAAGRycy9lMm9Eb2MueG1sUEsFBgAAAAAGAAYAWQEAABIGAAAAAA==&#10;">
                <v:fill on="t" focussize="0,0"/>
                <v:stroke on="f" weight="1pt" miterlimit="8" joinstyle="miter"/>
                <v:imagedata o:title=""/>
                <o:lock v:ext="edit" aspectratio="f"/>
              </v:rect>
            </w:pict>
          </mc:Fallback>
        </mc:AlternateContent>
      </w:r>
      <w:r>
        <w:rPr>
          <w:rFonts w:hint="eastAsia" w:eastAsia="宋体"/>
          <w:color w:val="auto"/>
          <w:lang w:eastAsia="zh-CN"/>
        </w:rPr>
        <w:drawing>
          <wp:inline distT="0" distB="0" distL="114300" distR="114300">
            <wp:extent cx="5760085" cy="6085840"/>
            <wp:effectExtent l="9525" t="9525" r="21590" b="19685"/>
            <wp:docPr id="203" name="图片 203" descr="1660546768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1660546768157"/>
                    <pic:cNvPicPr>
                      <a:picLocks noChangeAspect="1"/>
                    </pic:cNvPicPr>
                  </pic:nvPicPr>
                  <pic:blipFill>
                    <a:blip r:embed="rId126"/>
                    <a:stretch>
                      <a:fillRect/>
                    </a:stretch>
                  </pic:blipFill>
                  <pic:spPr>
                    <a:xfrm>
                      <a:off x="0" y="0"/>
                      <a:ext cx="5760085" cy="6085840"/>
                    </a:xfrm>
                    <a:prstGeom prst="rect">
                      <a:avLst/>
                    </a:prstGeom>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黑体" w:cs="Times New Roman"/>
          <w:color w:val="auto"/>
          <w:sz w:val="21"/>
          <w:szCs w:val="21"/>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黑体" w:cs="Times New Roman"/>
          <w:color w:val="auto"/>
          <w:sz w:val="21"/>
          <w:szCs w:val="21"/>
          <w:lang w:val="en-US" w:eastAsia="zh-CN"/>
        </w:rPr>
        <w:t>图5.4-1 主要噪声源位置分布图</w:t>
      </w:r>
    </w:p>
    <w:p>
      <w:pPr>
        <w:pStyle w:val="9"/>
        <w:spacing w:before="0" w:beforeLines="0" w:after="0" w:afterLines="0" w:line="360" w:lineRule="auto"/>
        <w:rPr>
          <w:color w:val="auto"/>
        </w:rPr>
      </w:pPr>
      <w:bookmarkStart w:id="306" w:name="_Toc15858"/>
      <w:bookmarkStart w:id="307" w:name="_Toc30254"/>
      <w:bookmarkStart w:id="308" w:name="_Toc3560"/>
      <w:bookmarkStart w:id="309" w:name="_Toc18880"/>
      <w:bookmarkStart w:id="310" w:name="_Toc16883"/>
      <w:bookmarkStart w:id="311" w:name="_Toc17280"/>
      <w:bookmarkStart w:id="312" w:name="_Toc4539"/>
      <w:bookmarkStart w:id="313" w:name="_Toc14811"/>
      <w:bookmarkStart w:id="314" w:name="_Toc27960"/>
      <w:bookmarkStart w:id="315" w:name="_Toc16632"/>
      <w:bookmarkStart w:id="316" w:name="_Toc8248"/>
      <w:bookmarkStart w:id="317" w:name="_Toc1689"/>
      <w:bookmarkStart w:id="318" w:name="_Toc29560"/>
      <w:bookmarkStart w:id="319" w:name="_Toc23239"/>
      <w:r>
        <w:rPr>
          <w:rFonts w:hint="eastAsia"/>
          <w:color w:val="auto"/>
        </w:rPr>
        <w:t>5</w:t>
      </w:r>
      <w:r>
        <w:rPr>
          <w:color w:val="auto"/>
        </w:rPr>
        <w:t>.4.</w:t>
      </w:r>
      <w:r>
        <w:rPr>
          <w:rFonts w:hint="eastAsia"/>
          <w:color w:val="auto"/>
          <w:lang w:val="en-US" w:eastAsia="zh-CN"/>
        </w:rPr>
        <w:t>3</w:t>
      </w:r>
      <w:r>
        <w:rPr>
          <w:color w:val="auto"/>
        </w:rPr>
        <w:t xml:space="preserve"> </w:t>
      </w:r>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r>
        <w:rPr>
          <w:rFonts w:hint="eastAsia"/>
          <w:color w:val="auto"/>
          <w:sz w:val="24"/>
          <w:szCs w:val="40"/>
          <w:highlight w:val="none"/>
        </w:rPr>
        <w:t>预测模式及参数选择</w:t>
      </w:r>
    </w:p>
    <w:p>
      <w:pPr>
        <w:pStyle w:val="2"/>
        <w:adjustRightInd w:val="0"/>
        <w:snapToGrid w:val="0"/>
        <w:spacing w:after="0"/>
        <w:ind w:firstLine="480"/>
        <w:rPr>
          <w:color w:val="auto"/>
        </w:rPr>
      </w:pPr>
      <w:r>
        <w:rPr>
          <w:color w:val="auto"/>
        </w:rPr>
        <w:t>按照《环境影响评价技术导则 声环境》（HJ2.4-</w:t>
      </w:r>
      <w:r>
        <w:rPr>
          <w:rFonts w:hint="eastAsia"/>
          <w:color w:val="auto"/>
        </w:rPr>
        <w:t>2021</w:t>
      </w:r>
      <w:r>
        <w:rPr>
          <w:color w:val="auto"/>
        </w:rPr>
        <w:t>）中推荐的模式进行预测，用A声级计算，预测模式如下：</w:t>
      </w:r>
    </w:p>
    <w:p>
      <w:pPr>
        <w:adjustRightInd w:val="0"/>
        <w:snapToGrid w:val="0"/>
        <w:ind w:firstLine="480"/>
        <w:rPr>
          <w:color w:val="auto"/>
          <w:szCs w:val="24"/>
        </w:rPr>
      </w:pPr>
      <w:r>
        <w:rPr>
          <w:rFonts w:hint="eastAsia"/>
          <w:color w:val="auto"/>
          <w:szCs w:val="24"/>
        </w:rPr>
        <w:t>①</w:t>
      </w:r>
      <w:r>
        <w:rPr>
          <w:color w:val="auto"/>
          <w:szCs w:val="24"/>
        </w:rPr>
        <w:t>室外声源在预测点的声压级计算：</w:t>
      </w:r>
    </w:p>
    <w:p>
      <w:pPr>
        <w:adjustRightInd w:val="0"/>
        <w:snapToGrid w:val="0"/>
        <w:ind w:firstLine="480"/>
        <w:jc w:val="center"/>
        <w:rPr>
          <w:color w:val="auto"/>
          <w:szCs w:val="24"/>
        </w:rPr>
      </w:pPr>
      <w:r>
        <w:rPr>
          <w:color w:val="auto"/>
        </w:rPr>
        <w:t>L</w:t>
      </w:r>
      <w:r>
        <w:rPr>
          <w:rFonts w:hint="eastAsia"/>
          <w:color w:val="auto"/>
          <w:vertAlign w:val="subscript"/>
        </w:rPr>
        <w:t>p</w:t>
      </w:r>
      <w:r>
        <w:rPr>
          <w:color w:val="auto"/>
        </w:rPr>
        <w:t>(r)=L</w:t>
      </w:r>
      <w:r>
        <w:rPr>
          <w:rFonts w:hint="eastAsia"/>
          <w:color w:val="auto"/>
          <w:vertAlign w:val="subscript"/>
        </w:rPr>
        <w:t>p</w:t>
      </w:r>
      <w:r>
        <w:rPr>
          <w:color w:val="auto"/>
          <w:vertAlign w:val="subscript"/>
        </w:rPr>
        <w:t>(ro)</w:t>
      </w:r>
      <w:r>
        <w:rPr>
          <w:rFonts w:hint="eastAsia"/>
          <w:color w:val="auto"/>
        </w:rPr>
        <w:t>+D</w:t>
      </w:r>
      <w:r>
        <w:rPr>
          <w:rFonts w:hint="eastAsia"/>
          <w:color w:val="auto"/>
          <w:vertAlign w:val="subscript"/>
        </w:rPr>
        <w:t>c</w:t>
      </w:r>
      <w:r>
        <w:rPr>
          <w:color w:val="auto"/>
        </w:rPr>
        <w:t>–(A</w:t>
      </w:r>
      <w:r>
        <w:rPr>
          <w:color w:val="auto"/>
          <w:vertAlign w:val="subscript"/>
        </w:rPr>
        <w:t>div</w:t>
      </w:r>
      <w:r>
        <w:rPr>
          <w:color w:val="auto"/>
        </w:rPr>
        <w:t xml:space="preserve"> + A</w:t>
      </w:r>
      <w:r>
        <w:rPr>
          <w:color w:val="auto"/>
          <w:vertAlign w:val="subscript"/>
        </w:rPr>
        <w:t>bar</w:t>
      </w:r>
      <w:r>
        <w:rPr>
          <w:color w:val="auto"/>
        </w:rPr>
        <w:t xml:space="preserve"> + A</w:t>
      </w:r>
      <w:r>
        <w:rPr>
          <w:color w:val="auto"/>
          <w:vertAlign w:val="subscript"/>
        </w:rPr>
        <w:t xml:space="preserve">atm </w:t>
      </w:r>
      <w:r>
        <w:rPr>
          <w:color w:val="auto"/>
        </w:rPr>
        <w:t>+A</w:t>
      </w:r>
      <w:r>
        <w:rPr>
          <w:color w:val="auto"/>
          <w:vertAlign w:val="subscript"/>
        </w:rPr>
        <w:t xml:space="preserve"> gr</w:t>
      </w:r>
      <w:r>
        <w:rPr>
          <w:color w:val="auto"/>
        </w:rPr>
        <w:t>+A</w:t>
      </w:r>
      <w:r>
        <w:rPr>
          <w:color w:val="auto"/>
          <w:vertAlign w:val="subscript"/>
        </w:rPr>
        <w:t xml:space="preserve"> misc</w:t>
      </w:r>
      <w:r>
        <w:rPr>
          <w:color w:val="auto"/>
        </w:rPr>
        <w:t>)</w:t>
      </w:r>
    </w:p>
    <w:p>
      <w:pPr>
        <w:adjustRightInd w:val="0"/>
        <w:snapToGrid w:val="0"/>
        <w:ind w:firstLine="480"/>
        <w:rPr>
          <w:color w:val="auto"/>
          <w:szCs w:val="24"/>
        </w:rPr>
      </w:pPr>
      <w:r>
        <w:rPr>
          <w:color w:val="auto"/>
          <w:szCs w:val="24"/>
        </w:rPr>
        <w:t>式中：</w:t>
      </w:r>
      <w:r>
        <w:rPr>
          <w:i/>
          <w:iCs/>
          <w:color w:val="auto"/>
          <w:szCs w:val="24"/>
        </w:rPr>
        <w:t>L</w:t>
      </w:r>
      <w:r>
        <w:rPr>
          <w:rFonts w:hint="eastAsia"/>
          <w:color w:val="auto"/>
          <w:szCs w:val="24"/>
          <w:vertAlign w:val="subscript"/>
        </w:rPr>
        <w:t>p</w:t>
      </w:r>
      <w:r>
        <w:rPr>
          <w:color w:val="auto"/>
          <w:szCs w:val="24"/>
        </w:rPr>
        <w:t>（r）—</w:t>
      </w:r>
      <w:r>
        <w:rPr>
          <w:rFonts w:hint="eastAsia"/>
          <w:color w:val="auto"/>
          <w:szCs w:val="24"/>
        </w:rPr>
        <w:t>预测点处的声压级</w:t>
      </w:r>
      <w:r>
        <w:rPr>
          <w:color w:val="auto"/>
          <w:szCs w:val="24"/>
        </w:rPr>
        <w:t>，dB；</w:t>
      </w:r>
    </w:p>
    <w:p>
      <w:pPr>
        <w:adjustRightInd w:val="0"/>
        <w:snapToGrid w:val="0"/>
        <w:ind w:firstLine="1200" w:firstLineChars="500"/>
        <w:rPr>
          <w:color w:val="auto"/>
          <w:szCs w:val="24"/>
        </w:rPr>
      </w:pPr>
      <w:r>
        <w:rPr>
          <w:i/>
          <w:iCs/>
          <w:color w:val="auto"/>
          <w:szCs w:val="24"/>
        </w:rPr>
        <w:t>L</w:t>
      </w:r>
      <w:r>
        <w:rPr>
          <w:rFonts w:hint="eastAsia"/>
          <w:color w:val="auto"/>
          <w:szCs w:val="24"/>
          <w:vertAlign w:val="subscript"/>
        </w:rPr>
        <w:t>p</w:t>
      </w:r>
      <w:r>
        <w:rPr>
          <w:color w:val="auto"/>
          <w:szCs w:val="24"/>
          <w:vertAlign w:val="subscript"/>
        </w:rPr>
        <w:t>（ro）</w:t>
      </w:r>
      <w:r>
        <w:rPr>
          <w:color w:val="auto"/>
          <w:szCs w:val="24"/>
        </w:rPr>
        <w:t>—参考位置r</w:t>
      </w:r>
      <w:r>
        <w:rPr>
          <w:color w:val="auto"/>
          <w:szCs w:val="24"/>
          <w:vertAlign w:val="subscript"/>
        </w:rPr>
        <w:t>o</w:t>
      </w:r>
      <w:r>
        <w:rPr>
          <w:color w:val="auto"/>
          <w:szCs w:val="24"/>
        </w:rPr>
        <w:t>处声</w:t>
      </w:r>
      <w:r>
        <w:rPr>
          <w:rFonts w:hint="eastAsia"/>
          <w:color w:val="auto"/>
          <w:szCs w:val="24"/>
        </w:rPr>
        <w:t>压</w:t>
      </w:r>
      <w:r>
        <w:rPr>
          <w:color w:val="auto"/>
          <w:szCs w:val="24"/>
        </w:rPr>
        <w:t>级，dB；</w:t>
      </w:r>
    </w:p>
    <w:p>
      <w:pPr>
        <w:adjustRightInd w:val="0"/>
        <w:snapToGrid w:val="0"/>
        <w:ind w:firstLine="1200" w:firstLineChars="500"/>
        <w:rPr>
          <w:color w:val="auto"/>
          <w:szCs w:val="24"/>
        </w:rPr>
      </w:pPr>
      <w:r>
        <w:rPr>
          <w:i/>
          <w:iCs/>
          <w:color w:val="auto"/>
          <w:szCs w:val="24"/>
        </w:rPr>
        <w:t>A</w:t>
      </w:r>
      <w:r>
        <w:rPr>
          <w:color w:val="auto"/>
          <w:szCs w:val="24"/>
          <w:vertAlign w:val="subscript"/>
        </w:rPr>
        <w:t>div</w:t>
      </w:r>
      <w:r>
        <w:rPr>
          <w:color w:val="auto"/>
          <w:szCs w:val="24"/>
        </w:rPr>
        <w:t>—几何发散引</w:t>
      </w:r>
      <w:r>
        <w:rPr>
          <w:rFonts w:hint="eastAsia"/>
          <w:color w:val="auto"/>
          <w:szCs w:val="24"/>
        </w:rPr>
        <w:t>起的</w:t>
      </w:r>
      <w:r>
        <w:rPr>
          <w:color w:val="auto"/>
          <w:szCs w:val="24"/>
        </w:rPr>
        <w:t>衰减，dB；</w:t>
      </w:r>
    </w:p>
    <w:p>
      <w:pPr>
        <w:adjustRightInd w:val="0"/>
        <w:snapToGrid w:val="0"/>
        <w:ind w:firstLine="1200" w:firstLineChars="500"/>
        <w:rPr>
          <w:color w:val="auto"/>
          <w:szCs w:val="24"/>
        </w:rPr>
      </w:pPr>
      <w:r>
        <w:rPr>
          <w:i/>
          <w:iCs/>
          <w:color w:val="auto"/>
          <w:szCs w:val="24"/>
        </w:rPr>
        <w:t>A</w:t>
      </w:r>
      <w:r>
        <w:rPr>
          <w:color w:val="auto"/>
          <w:szCs w:val="24"/>
          <w:vertAlign w:val="subscript"/>
        </w:rPr>
        <w:t>bar</w:t>
      </w:r>
      <w:r>
        <w:rPr>
          <w:color w:val="auto"/>
          <w:szCs w:val="24"/>
        </w:rPr>
        <w:t>—</w:t>
      </w:r>
      <w:r>
        <w:rPr>
          <w:rFonts w:hint="eastAsia"/>
          <w:color w:val="auto"/>
          <w:szCs w:val="24"/>
        </w:rPr>
        <w:t>障碍物屏蔽</w:t>
      </w:r>
      <w:r>
        <w:rPr>
          <w:color w:val="auto"/>
          <w:szCs w:val="24"/>
        </w:rPr>
        <w:t>引起的衰减，dB；</w:t>
      </w:r>
    </w:p>
    <w:p>
      <w:pPr>
        <w:adjustRightInd w:val="0"/>
        <w:snapToGrid w:val="0"/>
        <w:ind w:firstLine="1200" w:firstLineChars="500"/>
        <w:rPr>
          <w:color w:val="auto"/>
          <w:szCs w:val="24"/>
        </w:rPr>
      </w:pPr>
      <w:r>
        <w:rPr>
          <w:i/>
          <w:iCs/>
          <w:color w:val="auto"/>
          <w:szCs w:val="24"/>
        </w:rPr>
        <w:t>A</w:t>
      </w:r>
      <w:r>
        <w:rPr>
          <w:color w:val="auto"/>
          <w:szCs w:val="24"/>
          <w:vertAlign w:val="subscript"/>
        </w:rPr>
        <w:t>atm</w:t>
      </w:r>
      <w:r>
        <w:rPr>
          <w:color w:val="auto"/>
          <w:szCs w:val="24"/>
        </w:rPr>
        <w:t>—</w:t>
      </w:r>
      <w:r>
        <w:rPr>
          <w:rFonts w:hint="eastAsia"/>
          <w:color w:val="auto"/>
          <w:szCs w:val="24"/>
        </w:rPr>
        <w:t>大气</w:t>
      </w:r>
      <w:r>
        <w:rPr>
          <w:color w:val="auto"/>
          <w:szCs w:val="24"/>
        </w:rPr>
        <w:t>吸收引起的衰减，dB；</w:t>
      </w:r>
    </w:p>
    <w:p>
      <w:pPr>
        <w:adjustRightInd w:val="0"/>
        <w:snapToGrid w:val="0"/>
        <w:ind w:firstLine="1200" w:firstLineChars="500"/>
        <w:rPr>
          <w:color w:val="auto"/>
          <w:szCs w:val="24"/>
        </w:rPr>
      </w:pPr>
      <w:r>
        <w:rPr>
          <w:i/>
          <w:iCs/>
          <w:color w:val="auto"/>
          <w:szCs w:val="24"/>
        </w:rPr>
        <w:t>A</w:t>
      </w:r>
      <w:r>
        <w:rPr>
          <w:color w:val="auto"/>
          <w:vertAlign w:val="subscript"/>
        </w:rPr>
        <w:t xml:space="preserve"> gr</w:t>
      </w:r>
      <w:r>
        <w:rPr>
          <w:color w:val="auto"/>
          <w:szCs w:val="24"/>
        </w:rPr>
        <w:t>—</w:t>
      </w:r>
      <w:r>
        <w:rPr>
          <w:rFonts w:hint="eastAsia"/>
          <w:color w:val="auto"/>
          <w:szCs w:val="24"/>
        </w:rPr>
        <w:t>地面效应引起的</w:t>
      </w:r>
      <w:r>
        <w:rPr>
          <w:color w:val="auto"/>
          <w:szCs w:val="24"/>
        </w:rPr>
        <w:t>衰减，dB</w:t>
      </w:r>
      <w:r>
        <w:rPr>
          <w:rFonts w:hint="eastAsia"/>
          <w:color w:val="auto"/>
          <w:szCs w:val="24"/>
        </w:rPr>
        <w:t>；</w:t>
      </w:r>
    </w:p>
    <w:p>
      <w:pPr>
        <w:adjustRightInd w:val="0"/>
        <w:snapToGrid w:val="0"/>
        <w:ind w:firstLine="1200" w:firstLineChars="500"/>
        <w:rPr>
          <w:color w:val="auto"/>
          <w:szCs w:val="24"/>
        </w:rPr>
      </w:pPr>
      <w:r>
        <w:rPr>
          <w:i/>
          <w:iCs/>
          <w:color w:val="auto"/>
          <w:szCs w:val="24"/>
        </w:rPr>
        <w:t>A</w:t>
      </w:r>
      <w:r>
        <w:rPr>
          <w:color w:val="auto"/>
          <w:vertAlign w:val="subscript"/>
        </w:rPr>
        <w:t>misc</w:t>
      </w:r>
      <w:r>
        <w:rPr>
          <w:color w:val="auto"/>
          <w:szCs w:val="24"/>
        </w:rPr>
        <w:t>—</w:t>
      </w:r>
      <w:r>
        <w:rPr>
          <w:rFonts w:hint="eastAsia"/>
          <w:color w:val="auto"/>
          <w:szCs w:val="24"/>
        </w:rPr>
        <w:t>其他多方面效应引起的衰减，dB</w:t>
      </w:r>
      <w:r>
        <w:rPr>
          <w:color w:val="auto"/>
          <w:szCs w:val="24"/>
        </w:rPr>
        <w:t>。</w:t>
      </w:r>
    </w:p>
    <w:p>
      <w:pPr>
        <w:adjustRightInd w:val="0"/>
        <w:snapToGrid w:val="0"/>
        <w:ind w:firstLine="480"/>
        <w:rPr>
          <w:color w:val="auto"/>
          <w:szCs w:val="24"/>
        </w:rPr>
      </w:pPr>
      <w:r>
        <w:rPr>
          <w:rFonts w:hint="eastAsia"/>
          <w:color w:val="auto"/>
          <w:szCs w:val="24"/>
        </w:rPr>
        <w:t>②</w:t>
      </w:r>
      <w:r>
        <w:rPr>
          <w:color w:val="auto"/>
          <w:szCs w:val="24"/>
        </w:rPr>
        <w:t>室内声源在预测点的声压级计算：</w:t>
      </w:r>
    </w:p>
    <w:p>
      <w:pPr>
        <w:adjustRightInd w:val="0"/>
        <w:snapToGrid w:val="0"/>
        <w:ind w:firstLine="480"/>
        <w:rPr>
          <w:color w:val="auto"/>
          <w:szCs w:val="24"/>
        </w:rPr>
      </w:pPr>
      <w:r>
        <w:rPr>
          <w:color w:val="auto"/>
          <w:szCs w:val="24"/>
        </w:rPr>
        <w:t>a、首先计算某个室内声源在靠近围护结构处的声压级：</w:t>
      </w:r>
    </w:p>
    <w:p>
      <w:pPr>
        <w:adjustRightInd w:val="0"/>
        <w:snapToGrid w:val="0"/>
        <w:ind w:firstLine="480"/>
        <w:jc w:val="center"/>
        <w:rPr>
          <w:color w:val="auto"/>
          <w:szCs w:val="24"/>
        </w:rPr>
      </w:pPr>
      <w:r>
        <w:rPr>
          <w:i/>
          <w:iCs/>
          <w:color w:val="auto"/>
          <w:szCs w:val="24"/>
        </w:rPr>
        <w:t>L</w:t>
      </w:r>
      <w:r>
        <w:rPr>
          <w:rFonts w:hint="eastAsia"/>
          <w:color w:val="auto"/>
          <w:szCs w:val="24"/>
          <w:vertAlign w:val="subscript"/>
        </w:rPr>
        <w:t>p1</w:t>
      </w:r>
      <w:r>
        <w:rPr>
          <w:color w:val="auto"/>
          <w:szCs w:val="24"/>
        </w:rPr>
        <w:t>＝</w:t>
      </w:r>
      <w:r>
        <w:rPr>
          <w:i/>
          <w:iCs/>
          <w:color w:val="auto"/>
          <w:szCs w:val="24"/>
        </w:rPr>
        <w:t>L</w:t>
      </w:r>
      <w:r>
        <w:rPr>
          <w:color w:val="auto"/>
          <w:szCs w:val="24"/>
          <w:vertAlign w:val="subscript"/>
        </w:rPr>
        <w:t>w</w:t>
      </w:r>
      <w:r>
        <w:rPr>
          <w:color w:val="auto"/>
          <w:szCs w:val="24"/>
        </w:rPr>
        <w:t>+10lg（Q/4πr</w:t>
      </w:r>
      <w:r>
        <w:rPr>
          <w:color w:val="auto"/>
          <w:szCs w:val="24"/>
          <w:vertAlign w:val="superscript"/>
        </w:rPr>
        <w:t>2</w:t>
      </w:r>
      <w:r>
        <w:rPr>
          <w:color w:val="auto"/>
          <w:szCs w:val="24"/>
        </w:rPr>
        <w:t>+4/R）</w:t>
      </w:r>
    </w:p>
    <w:p>
      <w:pPr>
        <w:adjustRightInd w:val="0"/>
        <w:snapToGrid w:val="0"/>
        <w:ind w:firstLine="480"/>
        <w:rPr>
          <w:color w:val="auto"/>
          <w:szCs w:val="24"/>
        </w:rPr>
      </w:pPr>
      <w:r>
        <w:rPr>
          <w:color w:val="auto"/>
          <w:szCs w:val="24"/>
        </w:rPr>
        <w:t>式中：</w:t>
      </w:r>
      <w:r>
        <w:rPr>
          <w:i/>
          <w:iCs/>
          <w:color w:val="auto"/>
          <w:szCs w:val="24"/>
        </w:rPr>
        <w:t>L</w:t>
      </w:r>
      <w:r>
        <w:rPr>
          <w:rFonts w:hint="eastAsia"/>
          <w:color w:val="auto"/>
          <w:szCs w:val="24"/>
          <w:vertAlign w:val="subscript"/>
        </w:rPr>
        <w:t>p1</w:t>
      </w:r>
      <w:r>
        <w:rPr>
          <w:color w:val="auto"/>
          <w:szCs w:val="24"/>
        </w:rPr>
        <w:t>—</w:t>
      </w:r>
      <w:r>
        <w:rPr>
          <w:rFonts w:hint="eastAsia"/>
          <w:color w:val="auto"/>
          <w:szCs w:val="24"/>
        </w:rPr>
        <w:t>靠近开口处（或窗户）室内某倍频带的声压级或A声级</w:t>
      </w:r>
      <w:r>
        <w:rPr>
          <w:color w:val="auto"/>
          <w:szCs w:val="24"/>
        </w:rPr>
        <w:t>；</w:t>
      </w:r>
    </w:p>
    <w:p>
      <w:pPr>
        <w:adjustRightInd w:val="0"/>
        <w:snapToGrid w:val="0"/>
        <w:ind w:firstLine="1200" w:firstLineChars="500"/>
        <w:rPr>
          <w:color w:val="auto"/>
          <w:szCs w:val="24"/>
        </w:rPr>
      </w:pPr>
      <w:r>
        <w:rPr>
          <w:i/>
          <w:iCs/>
          <w:color w:val="auto"/>
          <w:szCs w:val="24"/>
        </w:rPr>
        <w:t>L</w:t>
      </w:r>
      <w:r>
        <w:rPr>
          <w:color w:val="auto"/>
          <w:szCs w:val="24"/>
          <w:vertAlign w:val="subscript"/>
        </w:rPr>
        <w:t>w</w:t>
      </w:r>
      <w:r>
        <w:rPr>
          <w:color w:val="auto"/>
          <w:szCs w:val="24"/>
        </w:rPr>
        <w:t>—</w:t>
      </w:r>
      <w:r>
        <w:rPr>
          <w:rFonts w:hint="eastAsia"/>
          <w:color w:val="auto"/>
          <w:szCs w:val="24"/>
        </w:rPr>
        <w:t>点声源声功率级（A计权或倍频带），dB</w:t>
      </w:r>
      <w:r>
        <w:rPr>
          <w:color w:val="auto"/>
          <w:szCs w:val="24"/>
        </w:rPr>
        <w:t>；</w:t>
      </w:r>
    </w:p>
    <w:p>
      <w:pPr>
        <w:adjustRightInd w:val="0"/>
        <w:snapToGrid w:val="0"/>
        <w:ind w:firstLine="1200" w:firstLineChars="500"/>
        <w:rPr>
          <w:color w:val="auto"/>
          <w:szCs w:val="24"/>
        </w:rPr>
      </w:pPr>
      <w:r>
        <w:rPr>
          <w:color w:val="auto"/>
          <w:szCs w:val="24"/>
        </w:rPr>
        <w:t>r—声源与靠近围护结构</w:t>
      </w:r>
      <w:r>
        <w:rPr>
          <w:rFonts w:hint="eastAsia"/>
          <w:color w:val="auto"/>
          <w:szCs w:val="24"/>
        </w:rPr>
        <w:t>某点</w:t>
      </w:r>
      <w:r>
        <w:rPr>
          <w:color w:val="auto"/>
          <w:szCs w:val="24"/>
        </w:rPr>
        <w:t>处的距离</w:t>
      </w:r>
      <w:r>
        <w:rPr>
          <w:rFonts w:hint="eastAsia"/>
          <w:color w:val="auto"/>
          <w:szCs w:val="24"/>
        </w:rPr>
        <w:t>，m</w:t>
      </w:r>
      <w:r>
        <w:rPr>
          <w:color w:val="auto"/>
          <w:szCs w:val="24"/>
        </w:rPr>
        <w:t>；</w:t>
      </w:r>
    </w:p>
    <w:p>
      <w:pPr>
        <w:adjustRightInd w:val="0"/>
        <w:snapToGrid w:val="0"/>
        <w:ind w:firstLine="1200" w:firstLineChars="500"/>
        <w:rPr>
          <w:color w:val="auto"/>
          <w:szCs w:val="24"/>
        </w:rPr>
      </w:pPr>
      <w:r>
        <w:rPr>
          <w:color w:val="auto"/>
          <w:szCs w:val="24"/>
        </w:rPr>
        <w:t>R—房间常数；</w:t>
      </w:r>
      <w:r>
        <w:rPr>
          <w:rFonts w:hint="eastAsia"/>
          <w:color w:val="auto"/>
          <w:szCs w:val="24"/>
        </w:rPr>
        <w:t>R=Sa/（1-a），S为房间内表面积，m</w:t>
      </w:r>
      <w:r>
        <w:rPr>
          <w:rFonts w:hint="eastAsia"/>
          <w:color w:val="auto"/>
          <w:szCs w:val="24"/>
          <w:vertAlign w:val="superscript"/>
        </w:rPr>
        <w:t>2</w:t>
      </w:r>
      <w:r>
        <w:rPr>
          <w:rFonts w:hint="eastAsia"/>
          <w:color w:val="auto"/>
          <w:szCs w:val="24"/>
        </w:rPr>
        <w:t>，a为平均吸声系数；</w:t>
      </w:r>
    </w:p>
    <w:p>
      <w:pPr>
        <w:adjustRightInd w:val="0"/>
        <w:snapToGrid w:val="0"/>
        <w:ind w:firstLine="1200" w:firstLineChars="500"/>
        <w:rPr>
          <w:color w:val="auto"/>
        </w:rPr>
      </w:pPr>
      <w:r>
        <w:rPr>
          <w:color w:val="auto"/>
          <w:szCs w:val="24"/>
        </w:rPr>
        <w:t>Q—</w:t>
      </w:r>
      <w:r>
        <w:rPr>
          <w:rFonts w:hint="eastAsia"/>
          <w:color w:val="auto"/>
          <w:szCs w:val="24"/>
        </w:rPr>
        <w:t>指向性因数；通常对无指向性声源，当声源放在房间中心时，Q=1,；当放在一面墙的中心时，Q=2；当放在两面墙夹角处时，Q=4；当放在三面墙夹角处时，Q=8。</w:t>
      </w:r>
    </w:p>
    <w:p>
      <w:pPr>
        <w:adjustRightInd w:val="0"/>
        <w:snapToGrid w:val="0"/>
        <w:ind w:firstLine="480"/>
        <w:rPr>
          <w:color w:val="auto"/>
          <w:szCs w:val="24"/>
        </w:rPr>
      </w:pPr>
      <w:r>
        <w:rPr>
          <w:color w:val="auto"/>
          <w:szCs w:val="24"/>
        </w:rPr>
        <w:t>b、计算所有室内声源在围护结构处产生的</w:t>
      </w:r>
      <w:r>
        <w:rPr>
          <w:rFonts w:hint="eastAsia"/>
          <w:color w:val="auto"/>
          <w:szCs w:val="24"/>
        </w:rPr>
        <w:t>i倍频带叠加声压级</w:t>
      </w:r>
      <w:r>
        <w:rPr>
          <w:color w:val="auto"/>
          <w:szCs w:val="24"/>
        </w:rPr>
        <w:t>：</w:t>
      </w:r>
    </w:p>
    <w:p>
      <w:pPr>
        <w:adjustRightInd w:val="0"/>
        <w:snapToGrid w:val="0"/>
        <w:spacing w:line="240" w:lineRule="auto"/>
        <w:ind w:firstLine="0" w:firstLineChars="0"/>
        <w:jc w:val="center"/>
        <w:rPr>
          <w:color w:val="auto"/>
        </w:rPr>
      </w:pPr>
      <w:r>
        <w:rPr>
          <w:color w:val="auto"/>
        </w:rPr>
        <w:drawing>
          <wp:inline distT="0" distB="0" distL="114300" distR="114300">
            <wp:extent cx="1477645" cy="432435"/>
            <wp:effectExtent l="0" t="0" r="8255" b="5715"/>
            <wp:docPr id="17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6"/>
                    <pic:cNvPicPr>
                      <a:picLocks noChangeAspect="1"/>
                    </pic:cNvPicPr>
                  </pic:nvPicPr>
                  <pic:blipFill>
                    <a:blip r:embed="rId127"/>
                    <a:stretch>
                      <a:fillRect/>
                    </a:stretch>
                  </pic:blipFill>
                  <pic:spPr>
                    <a:xfrm>
                      <a:off x="0" y="0"/>
                      <a:ext cx="1477645" cy="432435"/>
                    </a:xfrm>
                    <a:prstGeom prst="rect">
                      <a:avLst/>
                    </a:prstGeom>
                    <a:noFill/>
                    <a:ln>
                      <a:noFill/>
                    </a:ln>
                  </pic:spPr>
                </pic:pic>
              </a:graphicData>
            </a:graphic>
          </wp:inline>
        </w:drawing>
      </w:r>
    </w:p>
    <w:p>
      <w:pPr>
        <w:pStyle w:val="2"/>
        <w:adjustRightInd w:val="0"/>
        <w:snapToGrid w:val="0"/>
        <w:spacing w:after="0"/>
        <w:ind w:firstLine="480"/>
        <w:rPr>
          <w:color w:val="auto"/>
        </w:rPr>
      </w:pPr>
      <w:r>
        <w:rPr>
          <w:rFonts w:hint="eastAsia"/>
          <w:color w:val="auto"/>
        </w:rPr>
        <w:t>式中：L</w:t>
      </w:r>
      <w:r>
        <w:rPr>
          <w:rFonts w:hint="eastAsia"/>
          <w:color w:val="auto"/>
          <w:vertAlign w:val="subscript"/>
        </w:rPr>
        <w:t>pli</w:t>
      </w:r>
      <w:r>
        <w:rPr>
          <w:rFonts w:hint="eastAsia"/>
          <w:color w:val="auto"/>
        </w:rPr>
        <w:t>（T）</w:t>
      </w:r>
      <w:r>
        <w:rPr>
          <w:color w:val="auto"/>
        </w:rPr>
        <w:t>—</w:t>
      </w:r>
      <w:r>
        <w:rPr>
          <w:rFonts w:hint="eastAsia"/>
          <w:color w:val="auto"/>
        </w:rPr>
        <w:t>靠近围护结构处室外N个声源i倍频带的叠加声压级，dB；</w:t>
      </w:r>
    </w:p>
    <w:p>
      <w:pPr>
        <w:adjustRightInd w:val="0"/>
        <w:snapToGrid w:val="0"/>
        <w:ind w:firstLine="1200" w:firstLineChars="500"/>
        <w:rPr>
          <w:color w:val="auto"/>
          <w:szCs w:val="24"/>
        </w:rPr>
      </w:pPr>
      <w:r>
        <w:rPr>
          <w:rFonts w:hint="eastAsia"/>
          <w:color w:val="auto"/>
        </w:rPr>
        <w:t>L</w:t>
      </w:r>
      <w:r>
        <w:rPr>
          <w:rFonts w:hint="eastAsia"/>
          <w:color w:val="auto"/>
          <w:vertAlign w:val="subscript"/>
        </w:rPr>
        <w:t>1ij</w:t>
      </w:r>
      <w:r>
        <w:rPr>
          <w:color w:val="auto"/>
          <w:szCs w:val="24"/>
        </w:rPr>
        <w:t>—</w:t>
      </w:r>
      <w:r>
        <w:rPr>
          <w:rFonts w:hint="eastAsia"/>
          <w:color w:val="auto"/>
          <w:szCs w:val="24"/>
        </w:rPr>
        <w:t>室内声源i倍频带的声压级，dB；</w:t>
      </w:r>
    </w:p>
    <w:p>
      <w:pPr>
        <w:pStyle w:val="2"/>
        <w:adjustRightInd w:val="0"/>
        <w:snapToGrid w:val="0"/>
        <w:spacing w:after="0"/>
        <w:ind w:firstLine="1200" w:firstLineChars="500"/>
        <w:rPr>
          <w:color w:val="auto"/>
        </w:rPr>
      </w:pPr>
      <w:r>
        <w:rPr>
          <w:rFonts w:hint="eastAsia"/>
          <w:color w:val="auto"/>
        </w:rPr>
        <w:t>N</w:t>
      </w:r>
      <w:r>
        <w:rPr>
          <w:color w:val="auto"/>
        </w:rPr>
        <w:t>—</w:t>
      </w:r>
      <w:r>
        <w:rPr>
          <w:rFonts w:hint="eastAsia"/>
          <w:color w:val="auto"/>
        </w:rPr>
        <w:t>室内声源总数。</w:t>
      </w:r>
    </w:p>
    <w:p>
      <w:pPr>
        <w:adjustRightInd w:val="0"/>
        <w:snapToGrid w:val="0"/>
        <w:ind w:firstLine="480"/>
        <w:rPr>
          <w:color w:val="auto"/>
          <w:szCs w:val="24"/>
        </w:rPr>
      </w:pPr>
      <w:r>
        <w:rPr>
          <w:rFonts w:hint="eastAsia"/>
          <w:color w:val="auto"/>
          <w:szCs w:val="24"/>
        </w:rPr>
        <w:t>c</w:t>
      </w:r>
      <w:r>
        <w:rPr>
          <w:color w:val="auto"/>
          <w:szCs w:val="24"/>
        </w:rPr>
        <w:t>、将室外声</w:t>
      </w:r>
      <w:r>
        <w:rPr>
          <w:rFonts w:hint="eastAsia"/>
          <w:color w:val="auto"/>
          <w:szCs w:val="24"/>
        </w:rPr>
        <w:t>源的声压级</w:t>
      </w:r>
      <w:r>
        <w:rPr>
          <w:color w:val="auto"/>
          <w:szCs w:val="24"/>
        </w:rPr>
        <w:t>和透</w:t>
      </w:r>
      <w:r>
        <w:rPr>
          <w:rFonts w:hint="eastAsia"/>
          <w:color w:val="auto"/>
          <w:szCs w:val="24"/>
        </w:rPr>
        <w:t>过</w:t>
      </w:r>
      <w:r>
        <w:rPr>
          <w:color w:val="auto"/>
          <w:szCs w:val="24"/>
        </w:rPr>
        <w:t>面积换算成等效的室外声源，计算出</w:t>
      </w:r>
      <w:r>
        <w:rPr>
          <w:rFonts w:hint="eastAsia"/>
          <w:color w:val="auto"/>
          <w:szCs w:val="24"/>
        </w:rPr>
        <w:t>中心位置位于透声面积（S）处的</w:t>
      </w:r>
      <w:r>
        <w:rPr>
          <w:color w:val="auto"/>
          <w:szCs w:val="24"/>
        </w:rPr>
        <w:t>等效声源的</w:t>
      </w:r>
      <w:r>
        <w:rPr>
          <w:rFonts w:hint="eastAsia"/>
          <w:color w:val="auto"/>
          <w:szCs w:val="24"/>
        </w:rPr>
        <w:t>倍频带</w:t>
      </w:r>
      <w:r>
        <w:rPr>
          <w:color w:val="auto"/>
          <w:szCs w:val="24"/>
        </w:rPr>
        <w:t>声功率级</w:t>
      </w:r>
      <w:r>
        <w:rPr>
          <w:rFonts w:hint="eastAsia"/>
          <w:color w:val="auto"/>
          <w:szCs w:val="24"/>
        </w:rPr>
        <w:t>。</w:t>
      </w:r>
    </w:p>
    <w:p>
      <w:pPr>
        <w:adjustRightInd w:val="0"/>
        <w:snapToGrid w:val="0"/>
        <w:ind w:firstLine="480"/>
        <w:jc w:val="center"/>
        <w:rPr>
          <w:color w:val="auto"/>
          <w:szCs w:val="24"/>
        </w:rPr>
      </w:pPr>
      <w:r>
        <w:rPr>
          <w:i/>
          <w:iCs/>
          <w:color w:val="auto"/>
          <w:szCs w:val="24"/>
        </w:rPr>
        <w:t>L</w:t>
      </w:r>
      <w:r>
        <w:rPr>
          <w:color w:val="auto"/>
          <w:szCs w:val="24"/>
          <w:vertAlign w:val="subscript"/>
        </w:rPr>
        <w:t>w</w:t>
      </w:r>
      <w:r>
        <w:rPr>
          <w:color w:val="auto"/>
          <w:szCs w:val="24"/>
        </w:rPr>
        <w:t>＝</w:t>
      </w:r>
      <w:r>
        <w:rPr>
          <w:i/>
          <w:iCs/>
          <w:color w:val="auto"/>
          <w:szCs w:val="24"/>
        </w:rPr>
        <w:t>L</w:t>
      </w:r>
      <w:r>
        <w:rPr>
          <w:rFonts w:hint="eastAsia"/>
          <w:i/>
          <w:iCs/>
          <w:color w:val="auto"/>
          <w:szCs w:val="24"/>
          <w:vertAlign w:val="subscript"/>
        </w:rPr>
        <w:t>p</w:t>
      </w:r>
      <w:r>
        <w:rPr>
          <w:color w:val="auto"/>
          <w:szCs w:val="24"/>
          <w:vertAlign w:val="subscript"/>
        </w:rPr>
        <w:t>2</w:t>
      </w:r>
      <w:r>
        <w:rPr>
          <w:color w:val="auto"/>
          <w:szCs w:val="24"/>
        </w:rPr>
        <w:t>（T）+10lgS</w:t>
      </w:r>
    </w:p>
    <w:p>
      <w:pPr>
        <w:adjustRightInd w:val="0"/>
        <w:snapToGrid w:val="0"/>
        <w:ind w:firstLine="480"/>
        <w:rPr>
          <w:color w:val="auto"/>
          <w:szCs w:val="24"/>
        </w:rPr>
      </w:pPr>
      <w:r>
        <w:rPr>
          <w:color w:val="auto"/>
          <w:szCs w:val="24"/>
        </w:rPr>
        <w:t>式中：</w:t>
      </w:r>
      <w:r>
        <w:rPr>
          <w:rFonts w:hint="eastAsia"/>
          <w:color w:val="auto"/>
          <w:szCs w:val="24"/>
        </w:rPr>
        <w:t>Lw</w:t>
      </w:r>
      <w:r>
        <w:rPr>
          <w:color w:val="auto"/>
          <w:szCs w:val="24"/>
        </w:rPr>
        <w:t>—</w:t>
      </w:r>
      <w:r>
        <w:rPr>
          <w:rFonts w:hint="eastAsia"/>
          <w:color w:val="auto"/>
          <w:szCs w:val="24"/>
        </w:rPr>
        <w:t>中心位置位于透声面积（S）处的等效声源的倍频带声功率级，dB；</w:t>
      </w:r>
    </w:p>
    <w:p>
      <w:pPr>
        <w:pStyle w:val="2"/>
        <w:adjustRightInd w:val="0"/>
        <w:snapToGrid w:val="0"/>
        <w:spacing w:after="0"/>
        <w:ind w:firstLine="1200" w:firstLineChars="500"/>
        <w:rPr>
          <w:color w:val="auto"/>
        </w:rPr>
      </w:pPr>
      <w:r>
        <w:rPr>
          <w:i/>
          <w:iCs/>
          <w:color w:val="auto"/>
        </w:rPr>
        <w:t>L</w:t>
      </w:r>
      <w:r>
        <w:rPr>
          <w:rFonts w:hint="eastAsia"/>
          <w:i/>
          <w:iCs/>
          <w:color w:val="auto"/>
          <w:vertAlign w:val="subscript"/>
        </w:rPr>
        <w:t>p</w:t>
      </w:r>
      <w:r>
        <w:rPr>
          <w:color w:val="auto"/>
          <w:vertAlign w:val="subscript"/>
        </w:rPr>
        <w:t>2</w:t>
      </w:r>
      <w:r>
        <w:rPr>
          <w:color w:val="auto"/>
        </w:rPr>
        <w:t>（T）—</w:t>
      </w:r>
      <w:r>
        <w:rPr>
          <w:rFonts w:hint="eastAsia"/>
          <w:color w:val="auto"/>
        </w:rPr>
        <w:t>靠近围护结构处室外声源的声压级，dB；</w:t>
      </w:r>
    </w:p>
    <w:p>
      <w:pPr>
        <w:adjustRightInd w:val="0"/>
        <w:snapToGrid w:val="0"/>
        <w:ind w:firstLine="1200" w:firstLineChars="500"/>
        <w:rPr>
          <w:color w:val="auto"/>
          <w:szCs w:val="24"/>
        </w:rPr>
      </w:pPr>
      <w:r>
        <w:rPr>
          <w:color w:val="auto"/>
          <w:szCs w:val="24"/>
        </w:rPr>
        <w:t>S—透声面积，m</w:t>
      </w:r>
      <w:r>
        <w:rPr>
          <w:color w:val="auto"/>
          <w:szCs w:val="24"/>
          <w:vertAlign w:val="superscript"/>
        </w:rPr>
        <w:t>2</w:t>
      </w:r>
      <w:r>
        <w:rPr>
          <w:color w:val="auto"/>
          <w:szCs w:val="24"/>
        </w:rPr>
        <w:t>；</w:t>
      </w:r>
    </w:p>
    <w:p>
      <w:pPr>
        <w:adjustRightInd w:val="0"/>
        <w:snapToGrid w:val="0"/>
        <w:ind w:firstLine="480"/>
        <w:rPr>
          <w:color w:val="auto"/>
          <w:szCs w:val="24"/>
        </w:rPr>
      </w:pPr>
      <w:r>
        <w:rPr>
          <w:rFonts w:hint="eastAsia"/>
          <w:color w:val="auto"/>
          <w:szCs w:val="24"/>
        </w:rPr>
        <w:t>③</w:t>
      </w:r>
      <w:r>
        <w:rPr>
          <w:color w:val="auto"/>
          <w:szCs w:val="24"/>
        </w:rPr>
        <w:t>总声级的计算</w:t>
      </w:r>
    </w:p>
    <w:p>
      <w:pPr>
        <w:adjustRightInd w:val="0"/>
        <w:snapToGrid w:val="0"/>
        <w:ind w:firstLine="480"/>
        <w:rPr>
          <w:color w:val="auto"/>
          <w:szCs w:val="24"/>
        </w:rPr>
      </w:pPr>
      <w:r>
        <w:rPr>
          <w:color w:val="auto"/>
          <w:szCs w:val="24"/>
        </w:rPr>
        <w:t>设第i个室外声源在预测点产生的A声级为</w:t>
      </w:r>
      <w:r>
        <w:rPr>
          <w:i/>
          <w:iCs/>
          <w:color w:val="auto"/>
          <w:szCs w:val="24"/>
        </w:rPr>
        <w:t>L</w:t>
      </w:r>
      <w:r>
        <w:rPr>
          <w:color w:val="auto"/>
          <w:szCs w:val="24"/>
          <w:vertAlign w:val="subscript"/>
        </w:rPr>
        <w:t>Ai</w:t>
      </w:r>
      <w:r>
        <w:rPr>
          <w:color w:val="auto"/>
          <w:szCs w:val="24"/>
        </w:rPr>
        <w:t>，在T时间内该声源工作时间为t</w:t>
      </w:r>
      <w:r>
        <w:rPr>
          <w:color w:val="auto"/>
          <w:szCs w:val="24"/>
          <w:vertAlign w:val="subscript"/>
        </w:rPr>
        <w:t>i</w:t>
      </w:r>
      <w:r>
        <w:rPr>
          <w:color w:val="auto"/>
          <w:szCs w:val="24"/>
        </w:rPr>
        <w:t>；第j个等效室外声源在预测点产生的A声级为L</w:t>
      </w:r>
      <w:r>
        <w:rPr>
          <w:rFonts w:hint="eastAsia"/>
          <w:color w:val="auto"/>
          <w:szCs w:val="24"/>
          <w:vertAlign w:val="subscript"/>
        </w:rPr>
        <w:t>A</w:t>
      </w:r>
      <w:r>
        <w:rPr>
          <w:color w:val="auto"/>
          <w:szCs w:val="24"/>
          <w:vertAlign w:val="subscript"/>
        </w:rPr>
        <w:t>j</w:t>
      </w:r>
      <w:r>
        <w:rPr>
          <w:color w:val="auto"/>
          <w:szCs w:val="24"/>
        </w:rPr>
        <w:t>，在T时间内该声源工作时间为t</w:t>
      </w:r>
      <w:r>
        <w:rPr>
          <w:color w:val="auto"/>
          <w:szCs w:val="24"/>
          <w:vertAlign w:val="subscript"/>
        </w:rPr>
        <w:t>j</w:t>
      </w:r>
      <w:r>
        <w:rPr>
          <w:color w:val="auto"/>
          <w:szCs w:val="24"/>
        </w:rPr>
        <w:t>，则预测点的总有效声级为：</w:t>
      </w:r>
    </w:p>
    <w:p>
      <w:pPr>
        <w:adjustRightInd w:val="0"/>
        <w:snapToGrid w:val="0"/>
        <w:spacing w:line="240" w:lineRule="auto"/>
        <w:ind w:firstLine="0" w:firstLineChars="0"/>
        <w:jc w:val="center"/>
        <w:rPr>
          <w:color w:val="auto"/>
          <w:szCs w:val="24"/>
        </w:rPr>
      </w:pPr>
      <w:r>
        <w:rPr>
          <w:color w:val="auto"/>
          <w:position w:val="-30"/>
        </w:rPr>
        <w:object>
          <v:shape id="_x0000_i1034" o:spt="75" type="#_x0000_t75" style="height:35pt;width:217.1pt;" o:ole="t" filled="f" o:preferrelative="t" stroked="f" coordsize="21600,21600">
            <v:path/>
            <v:fill on="f" focussize="0,0"/>
            <v:stroke on="f" joinstyle="miter"/>
            <v:imagedata r:id="rId129" o:title=""/>
            <o:lock v:ext="edit" aspectratio="t"/>
            <w10:wrap type="none"/>
            <w10:anchorlock/>
          </v:shape>
          <o:OLEObject Type="Embed" ProgID="Equation.3" ShapeID="_x0000_i1034" DrawAspect="Content" ObjectID="_1468075737" r:id="rId128">
            <o:LockedField>false</o:LockedField>
          </o:OLEObject>
        </w:object>
      </w:r>
    </w:p>
    <w:p>
      <w:pPr>
        <w:adjustRightInd w:val="0"/>
        <w:snapToGrid w:val="0"/>
        <w:ind w:firstLine="480"/>
        <w:rPr>
          <w:color w:val="auto"/>
          <w:szCs w:val="24"/>
        </w:rPr>
      </w:pPr>
      <w:r>
        <w:rPr>
          <w:color w:val="auto"/>
          <w:szCs w:val="24"/>
        </w:rPr>
        <w:t>式中：T—计算等效声级的时间，</w:t>
      </w:r>
      <w:r>
        <w:rPr>
          <w:rFonts w:hint="eastAsia"/>
          <w:color w:val="auto"/>
          <w:szCs w:val="24"/>
        </w:rPr>
        <w:t>s；</w:t>
      </w:r>
    </w:p>
    <w:p>
      <w:pPr>
        <w:adjustRightInd w:val="0"/>
        <w:snapToGrid w:val="0"/>
        <w:ind w:firstLine="1200" w:firstLineChars="500"/>
        <w:rPr>
          <w:color w:val="auto"/>
          <w:szCs w:val="24"/>
        </w:rPr>
      </w:pPr>
      <w:r>
        <w:rPr>
          <w:color w:val="auto"/>
          <w:szCs w:val="24"/>
        </w:rPr>
        <w:t>N—室外声源个数</w:t>
      </w:r>
      <w:r>
        <w:rPr>
          <w:rFonts w:hint="eastAsia"/>
          <w:color w:val="auto"/>
          <w:szCs w:val="24"/>
        </w:rPr>
        <w:t>；</w:t>
      </w:r>
    </w:p>
    <w:p>
      <w:pPr>
        <w:adjustRightInd w:val="0"/>
        <w:snapToGrid w:val="0"/>
        <w:ind w:firstLine="1200" w:firstLineChars="500"/>
        <w:rPr>
          <w:color w:val="auto"/>
          <w:szCs w:val="24"/>
        </w:rPr>
      </w:pPr>
      <w:r>
        <w:rPr>
          <w:color w:val="auto"/>
          <w:szCs w:val="24"/>
        </w:rPr>
        <w:t>M—等效室外声源个数</w:t>
      </w:r>
      <w:r>
        <w:rPr>
          <w:rFonts w:hint="eastAsia"/>
          <w:color w:val="auto"/>
          <w:szCs w:val="24"/>
        </w:rPr>
        <w:t>；</w:t>
      </w:r>
    </w:p>
    <w:p>
      <w:pPr>
        <w:pStyle w:val="2"/>
        <w:ind w:firstLine="1200" w:firstLineChars="500"/>
        <w:rPr>
          <w:color w:val="auto"/>
        </w:rPr>
      </w:pPr>
      <w:r>
        <w:rPr>
          <w:rFonts w:hint="eastAsia"/>
          <w:color w:val="auto"/>
        </w:rPr>
        <w:t>L</w:t>
      </w:r>
      <w:r>
        <w:rPr>
          <w:rFonts w:hint="eastAsia"/>
          <w:color w:val="auto"/>
          <w:vertAlign w:val="subscript"/>
        </w:rPr>
        <w:t>eqg</w:t>
      </w:r>
      <w:r>
        <w:rPr>
          <w:color w:val="auto"/>
        </w:rPr>
        <w:t>—</w:t>
      </w:r>
      <w:r>
        <w:rPr>
          <w:rFonts w:hint="eastAsia"/>
          <w:color w:val="auto"/>
        </w:rPr>
        <w:t>建设项目声源在预测点产生的噪声贡献值，dB；</w:t>
      </w:r>
    </w:p>
    <w:p>
      <w:pPr>
        <w:adjustRightInd w:val="0"/>
        <w:snapToGrid w:val="0"/>
        <w:ind w:firstLine="480"/>
        <w:rPr>
          <w:color w:val="auto"/>
          <w:szCs w:val="24"/>
        </w:rPr>
      </w:pPr>
      <w:r>
        <w:rPr>
          <w:color w:val="auto"/>
          <w:szCs w:val="24"/>
        </w:rPr>
        <w:t>（2）参数的确定</w:t>
      </w:r>
    </w:p>
    <w:p>
      <w:pPr>
        <w:adjustRightInd w:val="0"/>
        <w:snapToGrid w:val="0"/>
        <w:ind w:firstLine="480"/>
        <w:rPr>
          <w:color w:val="auto"/>
          <w:szCs w:val="24"/>
        </w:rPr>
      </w:pPr>
      <w:r>
        <w:rPr>
          <w:rFonts w:hint="eastAsia"/>
          <w:color w:val="auto"/>
          <w:szCs w:val="24"/>
        </w:rPr>
        <w:t>①</w:t>
      </w:r>
      <w:r>
        <w:rPr>
          <w:color w:val="auto"/>
          <w:szCs w:val="24"/>
        </w:rPr>
        <w:t>声波几何发散引起的A声级衰减量（Adiv）</w:t>
      </w:r>
    </w:p>
    <w:p>
      <w:pPr>
        <w:adjustRightInd w:val="0"/>
        <w:snapToGrid w:val="0"/>
        <w:ind w:firstLine="480"/>
        <w:rPr>
          <w:color w:val="auto"/>
          <w:szCs w:val="24"/>
        </w:rPr>
      </w:pPr>
      <w:r>
        <w:rPr>
          <w:color w:val="auto"/>
          <w:szCs w:val="24"/>
        </w:rPr>
        <w:t>a、点声源：Adiv=20lg（r/r</w:t>
      </w:r>
      <w:r>
        <w:rPr>
          <w:color w:val="auto"/>
          <w:szCs w:val="24"/>
          <w:vertAlign w:val="subscript"/>
        </w:rPr>
        <w:t>o</w:t>
      </w:r>
      <w:r>
        <w:rPr>
          <w:color w:val="auto"/>
          <w:szCs w:val="24"/>
        </w:rPr>
        <w:t>）</w:t>
      </w:r>
    </w:p>
    <w:p>
      <w:pPr>
        <w:adjustRightInd w:val="0"/>
        <w:snapToGrid w:val="0"/>
        <w:ind w:firstLine="480"/>
        <w:rPr>
          <w:color w:val="auto"/>
          <w:szCs w:val="24"/>
        </w:rPr>
      </w:pPr>
      <w:r>
        <w:rPr>
          <w:color w:val="auto"/>
          <w:szCs w:val="24"/>
        </w:rPr>
        <w:t>式中：r —预测点到噪声源距离，m；</w:t>
      </w:r>
    </w:p>
    <w:p>
      <w:pPr>
        <w:adjustRightInd w:val="0"/>
        <w:snapToGrid w:val="0"/>
        <w:ind w:firstLine="480"/>
        <w:rPr>
          <w:color w:val="auto"/>
          <w:szCs w:val="24"/>
        </w:rPr>
      </w:pPr>
      <w:r>
        <w:rPr>
          <w:color w:val="auto"/>
          <w:szCs w:val="24"/>
        </w:rPr>
        <w:t>r</w:t>
      </w:r>
      <w:r>
        <w:rPr>
          <w:color w:val="auto"/>
          <w:szCs w:val="24"/>
          <w:vertAlign w:val="subscript"/>
        </w:rPr>
        <w:t>o</w:t>
      </w:r>
      <w:r>
        <w:rPr>
          <w:color w:val="auto"/>
          <w:szCs w:val="24"/>
        </w:rPr>
        <w:t xml:space="preserve"> —参考点到噪声源距离，m。</w:t>
      </w:r>
    </w:p>
    <w:p>
      <w:pPr>
        <w:adjustRightInd w:val="0"/>
        <w:snapToGrid w:val="0"/>
        <w:ind w:firstLine="480"/>
        <w:rPr>
          <w:color w:val="auto"/>
          <w:szCs w:val="24"/>
        </w:rPr>
      </w:pPr>
      <w:r>
        <w:rPr>
          <w:color w:val="auto"/>
          <w:szCs w:val="24"/>
        </w:rPr>
        <w:t>b、有限长线声源（设线声源长为L</w:t>
      </w:r>
      <w:r>
        <w:rPr>
          <w:color w:val="auto"/>
          <w:szCs w:val="24"/>
          <w:vertAlign w:val="subscript"/>
        </w:rPr>
        <w:t>o</w:t>
      </w:r>
      <w:r>
        <w:rPr>
          <w:color w:val="auto"/>
          <w:szCs w:val="24"/>
        </w:rPr>
        <w:t>）</w:t>
      </w:r>
    </w:p>
    <w:p>
      <w:pPr>
        <w:adjustRightInd w:val="0"/>
        <w:snapToGrid w:val="0"/>
        <w:ind w:firstLine="480"/>
        <w:rPr>
          <w:color w:val="auto"/>
          <w:szCs w:val="24"/>
        </w:rPr>
      </w:pPr>
      <w:r>
        <w:rPr>
          <w:color w:val="auto"/>
          <w:szCs w:val="24"/>
        </w:rPr>
        <w:t>当r&gt;L</w:t>
      </w:r>
      <w:r>
        <w:rPr>
          <w:color w:val="auto"/>
          <w:szCs w:val="24"/>
          <w:vertAlign w:val="subscript"/>
        </w:rPr>
        <w:t>o</w:t>
      </w:r>
      <w:r>
        <w:rPr>
          <w:color w:val="auto"/>
          <w:szCs w:val="24"/>
        </w:rPr>
        <w:t>，且r</w:t>
      </w:r>
      <w:r>
        <w:rPr>
          <w:color w:val="auto"/>
          <w:szCs w:val="24"/>
          <w:vertAlign w:val="subscript"/>
        </w:rPr>
        <w:t>o</w:t>
      </w:r>
      <w:r>
        <w:rPr>
          <w:color w:val="auto"/>
          <w:szCs w:val="24"/>
        </w:rPr>
        <w:t>&gt;L</w:t>
      </w:r>
      <w:r>
        <w:rPr>
          <w:color w:val="auto"/>
          <w:szCs w:val="24"/>
          <w:vertAlign w:val="subscript"/>
        </w:rPr>
        <w:t>o</w:t>
      </w:r>
      <w:r>
        <w:rPr>
          <w:color w:val="auto"/>
          <w:szCs w:val="24"/>
        </w:rPr>
        <w:t>时：         Adiv=20lg（r/r</w:t>
      </w:r>
      <w:r>
        <w:rPr>
          <w:color w:val="auto"/>
          <w:szCs w:val="24"/>
          <w:vertAlign w:val="subscript"/>
        </w:rPr>
        <w:t>o</w:t>
      </w:r>
      <w:r>
        <w:rPr>
          <w:color w:val="auto"/>
          <w:szCs w:val="24"/>
        </w:rPr>
        <w:t>）</w:t>
      </w:r>
    </w:p>
    <w:p>
      <w:pPr>
        <w:adjustRightInd w:val="0"/>
        <w:snapToGrid w:val="0"/>
        <w:ind w:firstLine="480"/>
        <w:rPr>
          <w:color w:val="auto"/>
          <w:szCs w:val="24"/>
        </w:rPr>
      </w:pPr>
      <w:r>
        <w:rPr>
          <w:color w:val="auto"/>
          <w:szCs w:val="24"/>
        </w:rPr>
        <w:t>当r&lt;L</w:t>
      </w:r>
      <w:r>
        <w:rPr>
          <w:color w:val="auto"/>
          <w:szCs w:val="24"/>
          <w:vertAlign w:val="subscript"/>
        </w:rPr>
        <w:t>o</w:t>
      </w:r>
      <w:r>
        <w:rPr>
          <w:color w:val="auto"/>
          <w:szCs w:val="24"/>
        </w:rPr>
        <w:t>/3，且r</w:t>
      </w:r>
      <w:r>
        <w:rPr>
          <w:color w:val="auto"/>
          <w:szCs w:val="24"/>
          <w:vertAlign w:val="subscript"/>
        </w:rPr>
        <w:t>o</w:t>
      </w:r>
      <w:r>
        <w:rPr>
          <w:color w:val="auto"/>
          <w:szCs w:val="24"/>
        </w:rPr>
        <w:t>&lt;L</w:t>
      </w:r>
      <w:r>
        <w:rPr>
          <w:color w:val="auto"/>
          <w:szCs w:val="24"/>
          <w:vertAlign w:val="subscript"/>
        </w:rPr>
        <w:t>o</w:t>
      </w:r>
      <w:r>
        <w:rPr>
          <w:color w:val="auto"/>
          <w:szCs w:val="24"/>
        </w:rPr>
        <w:t>/3时：      Adiv=10lg（r/r</w:t>
      </w:r>
      <w:r>
        <w:rPr>
          <w:color w:val="auto"/>
          <w:szCs w:val="24"/>
          <w:vertAlign w:val="subscript"/>
        </w:rPr>
        <w:t>o</w:t>
      </w:r>
      <w:r>
        <w:rPr>
          <w:color w:val="auto"/>
          <w:szCs w:val="24"/>
        </w:rPr>
        <w:t>）</w:t>
      </w:r>
    </w:p>
    <w:p>
      <w:pPr>
        <w:adjustRightInd w:val="0"/>
        <w:snapToGrid w:val="0"/>
        <w:ind w:firstLine="480"/>
        <w:rPr>
          <w:color w:val="auto"/>
          <w:szCs w:val="24"/>
        </w:rPr>
      </w:pPr>
      <w:r>
        <w:rPr>
          <w:color w:val="auto"/>
          <w:szCs w:val="24"/>
        </w:rPr>
        <w:t>当L</w:t>
      </w:r>
      <w:r>
        <w:rPr>
          <w:color w:val="auto"/>
          <w:szCs w:val="24"/>
          <w:vertAlign w:val="subscript"/>
        </w:rPr>
        <w:t>o</w:t>
      </w:r>
      <w:r>
        <w:rPr>
          <w:color w:val="auto"/>
          <w:szCs w:val="24"/>
        </w:rPr>
        <w:t>/3&lt;r&lt;L</w:t>
      </w:r>
      <w:r>
        <w:rPr>
          <w:color w:val="auto"/>
          <w:szCs w:val="24"/>
          <w:vertAlign w:val="subscript"/>
        </w:rPr>
        <w:t>o</w:t>
      </w:r>
      <w:r>
        <w:rPr>
          <w:color w:val="auto"/>
          <w:szCs w:val="24"/>
        </w:rPr>
        <w:t>，且L</w:t>
      </w:r>
      <w:r>
        <w:rPr>
          <w:color w:val="auto"/>
          <w:szCs w:val="24"/>
          <w:vertAlign w:val="subscript"/>
        </w:rPr>
        <w:t>o</w:t>
      </w:r>
      <w:r>
        <w:rPr>
          <w:color w:val="auto"/>
          <w:szCs w:val="24"/>
        </w:rPr>
        <w:t>/3&lt;r</w:t>
      </w:r>
      <w:r>
        <w:rPr>
          <w:color w:val="auto"/>
          <w:szCs w:val="24"/>
          <w:vertAlign w:val="subscript"/>
        </w:rPr>
        <w:t>o</w:t>
      </w:r>
      <w:r>
        <w:rPr>
          <w:color w:val="auto"/>
          <w:szCs w:val="24"/>
        </w:rPr>
        <w:t>&lt;L</w:t>
      </w:r>
      <w:r>
        <w:rPr>
          <w:color w:val="auto"/>
          <w:szCs w:val="24"/>
          <w:vertAlign w:val="subscript"/>
        </w:rPr>
        <w:t>o</w:t>
      </w:r>
      <w:r>
        <w:rPr>
          <w:color w:val="auto"/>
          <w:szCs w:val="24"/>
        </w:rPr>
        <w:t>时：   Adiv=15lg（r/r</w:t>
      </w:r>
      <w:r>
        <w:rPr>
          <w:color w:val="auto"/>
          <w:szCs w:val="24"/>
          <w:vertAlign w:val="subscript"/>
        </w:rPr>
        <w:t>o</w:t>
      </w:r>
      <w:r>
        <w:rPr>
          <w:color w:val="auto"/>
          <w:szCs w:val="24"/>
        </w:rPr>
        <w:t>）</w:t>
      </w:r>
    </w:p>
    <w:p>
      <w:pPr>
        <w:adjustRightInd w:val="0"/>
        <w:snapToGrid w:val="0"/>
        <w:ind w:firstLine="480"/>
        <w:rPr>
          <w:color w:val="auto"/>
          <w:szCs w:val="24"/>
        </w:rPr>
      </w:pPr>
      <w:r>
        <w:rPr>
          <w:color w:val="auto"/>
          <w:szCs w:val="24"/>
        </w:rPr>
        <w:t>c、面声源（设面声源高度为a，长度为b，且a＜b）</w:t>
      </w:r>
    </w:p>
    <w:p>
      <w:pPr>
        <w:adjustRightInd w:val="0"/>
        <w:snapToGrid w:val="0"/>
        <w:ind w:firstLine="480"/>
        <w:rPr>
          <w:color w:val="auto"/>
          <w:szCs w:val="24"/>
        </w:rPr>
      </w:pPr>
      <w:r>
        <w:rPr>
          <w:color w:val="auto"/>
          <w:szCs w:val="24"/>
        </w:rPr>
        <w:t>当r&lt;a/3时，且r</w:t>
      </w:r>
      <w:r>
        <w:rPr>
          <w:color w:val="auto"/>
          <w:szCs w:val="24"/>
          <w:vertAlign w:val="subscript"/>
        </w:rPr>
        <w:t>o</w:t>
      </w:r>
      <w:r>
        <w:rPr>
          <w:color w:val="auto"/>
          <w:szCs w:val="24"/>
        </w:rPr>
        <w:t>&lt; a /3时：      Adiv= 0</w:t>
      </w:r>
    </w:p>
    <w:p>
      <w:pPr>
        <w:adjustRightInd w:val="0"/>
        <w:snapToGrid w:val="0"/>
        <w:ind w:firstLine="480"/>
        <w:rPr>
          <w:color w:val="auto"/>
          <w:szCs w:val="24"/>
        </w:rPr>
      </w:pPr>
      <w:r>
        <w:rPr>
          <w:color w:val="auto"/>
          <w:szCs w:val="24"/>
        </w:rPr>
        <w:t>当a /3&lt;r&lt; b/3，且a /3&lt;r</w:t>
      </w:r>
      <w:r>
        <w:rPr>
          <w:color w:val="auto"/>
          <w:szCs w:val="24"/>
          <w:vertAlign w:val="subscript"/>
        </w:rPr>
        <w:t>o</w:t>
      </w:r>
      <w:r>
        <w:rPr>
          <w:color w:val="auto"/>
          <w:szCs w:val="24"/>
        </w:rPr>
        <w:t>&lt; b/3时：Adiv=10lg（r/r</w:t>
      </w:r>
      <w:r>
        <w:rPr>
          <w:color w:val="auto"/>
          <w:szCs w:val="24"/>
          <w:vertAlign w:val="subscript"/>
        </w:rPr>
        <w:t>o</w:t>
      </w:r>
      <w:r>
        <w:rPr>
          <w:color w:val="auto"/>
          <w:szCs w:val="24"/>
        </w:rPr>
        <w:t>）</w:t>
      </w:r>
    </w:p>
    <w:p>
      <w:pPr>
        <w:adjustRightInd w:val="0"/>
        <w:snapToGrid w:val="0"/>
        <w:ind w:firstLine="480"/>
        <w:rPr>
          <w:color w:val="auto"/>
          <w:szCs w:val="24"/>
        </w:rPr>
      </w:pPr>
      <w:r>
        <w:rPr>
          <w:color w:val="auto"/>
          <w:szCs w:val="24"/>
        </w:rPr>
        <w:t>当b/3&lt;r&lt;b，且b/3&lt; r</w:t>
      </w:r>
      <w:r>
        <w:rPr>
          <w:color w:val="auto"/>
          <w:szCs w:val="24"/>
          <w:vertAlign w:val="subscript"/>
        </w:rPr>
        <w:t>o</w:t>
      </w:r>
      <w:r>
        <w:rPr>
          <w:color w:val="auto"/>
          <w:szCs w:val="24"/>
        </w:rPr>
        <w:t xml:space="preserve"> &lt;b时：    Adiv=15lg（r/r</w:t>
      </w:r>
      <w:r>
        <w:rPr>
          <w:color w:val="auto"/>
          <w:szCs w:val="24"/>
          <w:vertAlign w:val="subscript"/>
        </w:rPr>
        <w:t>o</w:t>
      </w:r>
      <w:r>
        <w:rPr>
          <w:color w:val="auto"/>
          <w:szCs w:val="24"/>
        </w:rPr>
        <w:t>）</w:t>
      </w:r>
    </w:p>
    <w:p>
      <w:pPr>
        <w:adjustRightInd w:val="0"/>
        <w:snapToGrid w:val="0"/>
        <w:ind w:firstLine="480"/>
        <w:rPr>
          <w:color w:val="auto"/>
          <w:szCs w:val="24"/>
        </w:rPr>
      </w:pPr>
      <w:r>
        <w:rPr>
          <w:color w:val="auto"/>
          <w:szCs w:val="24"/>
        </w:rPr>
        <w:t>当b&lt;r时，且b&lt; r</w:t>
      </w:r>
      <w:r>
        <w:rPr>
          <w:color w:val="auto"/>
          <w:szCs w:val="24"/>
          <w:vertAlign w:val="subscript"/>
        </w:rPr>
        <w:t>o</w:t>
      </w:r>
      <w:r>
        <w:rPr>
          <w:color w:val="auto"/>
          <w:szCs w:val="24"/>
        </w:rPr>
        <w:t xml:space="preserve"> 时：         Adiv=20lg（r/r</w:t>
      </w:r>
      <w:r>
        <w:rPr>
          <w:color w:val="auto"/>
          <w:szCs w:val="24"/>
          <w:vertAlign w:val="subscript"/>
        </w:rPr>
        <w:t>o</w:t>
      </w:r>
      <w:r>
        <w:rPr>
          <w:color w:val="auto"/>
          <w:szCs w:val="24"/>
        </w:rPr>
        <w:t>）</w:t>
      </w:r>
    </w:p>
    <w:p>
      <w:pPr>
        <w:adjustRightInd w:val="0"/>
        <w:snapToGrid w:val="0"/>
        <w:ind w:firstLine="480"/>
        <w:rPr>
          <w:color w:val="auto"/>
          <w:szCs w:val="24"/>
        </w:rPr>
      </w:pPr>
      <w:r>
        <w:rPr>
          <w:rFonts w:hint="eastAsia"/>
          <w:color w:val="auto"/>
          <w:szCs w:val="24"/>
        </w:rPr>
        <w:t>②</w:t>
      </w:r>
      <w:r>
        <w:rPr>
          <w:color w:val="auto"/>
          <w:szCs w:val="24"/>
        </w:rPr>
        <w:t>空气吸收衰减量Aatm</w:t>
      </w:r>
    </w:p>
    <w:p>
      <w:pPr>
        <w:adjustRightInd w:val="0"/>
        <w:snapToGrid w:val="0"/>
        <w:ind w:firstLine="480"/>
        <w:rPr>
          <w:color w:val="auto"/>
          <w:szCs w:val="24"/>
        </w:rPr>
      </w:pPr>
      <w:r>
        <w:rPr>
          <w:color w:val="auto"/>
          <w:szCs w:val="24"/>
        </w:rPr>
        <w:t>空气吸收引起的A声级衰减量按下式计算：</w:t>
      </w:r>
    </w:p>
    <w:p>
      <w:pPr>
        <w:adjustRightInd w:val="0"/>
        <w:snapToGrid w:val="0"/>
        <w:ind w:firstLine="480"/>
        <w:rPr>
          <w:color w:val="auto"/>
          <w:szCs w:val="24"/>
        </w:rPr>
      </w:pPr>
      <w:r>
        <w:rPr>
          <w:color w:val="auto"/>
          <w:szCs w:val="24"/>
        </w:rPr>
        <w:t>A</w:t>
      </w:r>
      <w:r>
        <w:rPr>
          <w:color w:val="auto"/>
          <w:szCs w:val="24"/>
          <w:vertAlign w:val="subscript"/>
        </w:rPr>
        <w:t>atm</w:t>
      </w:r>
      <w:r>
        <w:rPr>
          <w:color w:val="auto"/>
          <w:szCs w:val="24"/>
        </w:rPr>
        <w:t>＝a（r－r</w:t>
      </w:r>
      <w:r>
        <w:rPr>
          <w:color w:val="auto"/>
          <w:szCs w:val="24"/>
          <w:vertAlign w:val="subscript"/>
        </w:rPr>
        <w:t>o</w:t>
      </w:r>
      <w:r>
        <w:rPr>
          <w:color w:val="auto"/>
          <w:szCs w:val="24"/>
        </w:rPr>
        <w:t>）/100</w:t>
      </w:r>
    </w:p>
    <w:p>
      <w:pPr>
        <w:adjustRightInd w:val="0"/>
        <w:snapToGrid w:val="0"/>
        <w:ind w:firstLine="480"/>
        <w:rPr>
          <w:color w:val="auto"/>
          <w:szCs w:val="24"/>
        </w:rPr>
      </w:pPr>
      <w:r>
        <w:rPr>
          <w:color w:val="auto"/>
          <w:szCs w:val="24"/>
        </w:rPr>
        <w:t>式中：a为每100m空气吸收系数，是温度、湿度和声波频率的函数。</w:t>
      </w:r>
    </w:p>
    <w:p>
      <w:pPr>
        <w:adjustRightInd w:val="0"/>
        <w:snapToGrid w:val="0"/>
        <w:ind w:firstLine="480"/>
        <w:rPr>
          <w:color w:val="auto"/>
          <w:szCs w:val="24"/>
        </w:rPr>
      </w:pPr>
      <w:r>
        <w:rPr>
          <w:color w:val="auto"/>
          <w:szCs w:val="24"/>
        </w:rPr>
        <w:t>本评价由于计算距离较近，Aatm计算值较小，故在计算时忽略此项。</w:t>
      </w:r>
    </w:p>
    <w:p>
      <w:pPr>
        <w:adjustRightInd w:val="0"/>
        <w:snapToGrid w:val="0"/>
        <w:ind w:firstLine="480"/>
        <w:rPr>
          <w:color w:val="auto"/>
          <w:szCs w:val="24"/>
        </w:rPr>
      </w:pPr>
      <w:r>
        <w:rPr>
          <w:rFonts w:hint="eastAsia"/>
          <w:color w:val="auto"/>
          <w:szCs w:val="24"/>
        </w:rPr>
        <w:t>③</w:t>
      </w:r>
      <w:r>
        <w:rPr>
          <w:color w:val="auto"/>
          <w:szCs w:val="24"/>
        </w:rPr>
        <w:t>遮挡物引起的衰减量Abar</w:t>
      </w:r>
    </w:p>
    <w:p>
      <w:pPr>
        <w:adjustRightInd w:val="0"/>
        <w:snapToGrid w:val="0"/>
        <w:ind w:firstLine="480"/>
        <w:rPr>
          <w:color w:val="auto"/>
          <w:szCs w:val="24"/>
        </w:rPr>
      </w:pPr>
      <w:r>
        <w:rPr>
          <w:color w:val="auto"/>
          <w:szCs w:val="24"/>
        </w:rPr>
        <w:t>位于声源和预测点之间的实体障碍物，如围墙、建筑物、土坡、地堑或绿化林带都能起声屏障作用，从而引起声能量的衰减，具体衰减根据不同声级的传播途径而定，一般取0~10dB（A）。</w:t>
      </w:r>
    </w:p>
    <w:p>
      <w:pPr>
        <w:adjustRightInd w:val="0"/>
        <w:snapToGrid w:val="0"/>
        <w:ind w:firstLine="480"/>
        <w:rPr>
          <w:color w:val="auto"/>
          <w:szCs w:val="24"/>
        </w:rPr>
      </w:pPr>
      <w:r>
        <w:rPr>
          <w:rFonts w:hint="eastAsia"/>
          <w:color w:val="auto"/>
          <w:szCs w:val="24"/>
        </w:rPr>
        <w:t>④</w:t>
      </w:r>
      <w:r>
        <w:rPr>
          <w:color w:val="auto"/>
          <w:szCs w:val="24"/>
        </w:rPr>
        <w:t>附加衰减量Aexc</w:t>
      </w:r>
    </w:p>
    <w:p>
      <w:pPr>
        <w:adjustRightInd w:val="0"/>
        <w:snapToGrid w:val="0"/>
        <w:ind w:firstLine="480"/>
        <w:rPr>
          <w:color w:val="auto"/>
          <w:szCs w:val="24"/>
        </w:rPr>
      </w:pPr>
      <w:r>
        <w:rPr>
          <w:color w:val="auto"/>
          <w:szCs w:val="24"/>
        </w:rPr>
        <w:t>根据导则规定，满足下列条件需考虑地面效应引起的附加衰减：</w:t>
      </w:r>
      <w:r>
        <w:rPr>
          <w:rFonts w:hint="eastAsia"/>
          <w:color w:val="auto"/>
          <w:szCs w:val="24"/>
        </w:rPr>
        <w:t>①</w:t>
      </w:r>
      <w:r>
        <w:rPr>
          <w:color w:val="auto"/>
          <w:szCs w:val="24"/>
        </w:rPr>
        <w:t>预测点距声源50m以上；</w:t>
      </w:r>
      <w:r>
        <w:rPr>
          <w:rFonts w:hint="eastAsia"/>
          <w:color w:val="auto"/>
          <w:szCs w:val="24"/>
        </w:rPr>
        <w:t>②</w:t>
      </w:r>
      <w:r>
        <w:rPr>
          <w:color w:val="auto"/>
          <w:szCs w:val="24"/>
        </w:rPr>
        <w:t>声源距地面高度和预测点距地面高度的平均值小于3m；</w:t>
      </w:r>
      <w:r>
        <w:rPr>
          <w:rFonts w:hint="eastAsia"/>
          <w:color w:val="auto"/>
          <w:szCs w:val="24"/>
        </w:rPr>
        <w:t>③</w:t>
      </w:r>
      <w:r>
        <w:rPr>
          <w:color w:val="auto"/>
          <w:szCs w:val="24"/>
        </w:rPr>
        <w:t>声源与预测点之间的地面被草地、灌木等覆盖（软地面）。此时，地面效应引起附加衰减量按下式计算：</w:t>
      </w:r>
    </w:p>
    <w:p>
      <w:pPr>
        <w:adjustRightInd w:val="0"/>
        <w:snapToGrid w:val="0"/>
        <w:ind w:firstLine="480"/>
        <w:rPr>
          <w:color w:val="auto"/>
          <w:szCs w:val="24"/>
        </w:rPr>
      </w:pPr>
      <w:r>
        <w:rPr>
          <w:color w:val="auto"/>
          <w:szCs w:val="24"/>
        </w:rPr>
        <w:t>A</w:t>
      </w:r>
      <w:r>
        <w:rPr>
          <w:color w:val="auto"/>
          <w:szCs w:val="24"/>
          <w:vertAlign w:val="subscript"/>
        </w:rPr>
        <w:t>exc</w:t>
      </w:r>
      <w:r>
        <w:rPr>
          <w:color w:val="auto"/>
          <w:szCs w:val="24"/>
        </w:rPr>
        <w:t>=5lg（r/r</w:t>
      </w:r>
      <w:r>
        <w:rPr>
          <w:color w:val="auto"/>
          <w:szCs w:val="24"/>
          <w:vertAlign w:val="subscript"/>
        </w:rPr>
        <w:t>o</w:t>
      </w:r>
      <w:r>
        <w:rPr>
          <w:color w:val="auto"/>
          <w:szCs w:val="24"/>
        </w:rPr>
        <w:t>）</w:t>
      </w:r>
    </w:p>
    <w:p>
      <w:pPr>
        <w:adjustRightInd w:val="0"/>
        <w:snapToGrid w:val="0"/>
        <w:ind w:firstLine="480"/>
        <w:rPr>
          <w:color w:val="auto"/>
          <w:szCs w:val="24"/>
        </w:rPr>
      </w:pPr>
      <w:r>
        <w:rPr>
          <w:color w:val="auto"/>
          <w:szCs w:val="24"/>
        </w:rPr>
        <w:t>不管传播距离多远，地面效应引起附加衰减量的上限为10dB（A）。根据厂区布置和噪声源强及外环境状况，本环评忽略不计。</w:t>
      </w:r>
    </w:p>
    <w:p>
      <w:pPr>
        <w:pStyle w:val="9"/>
        <w:spacing w:before="0" w:beforeLines="0" w:after="0" w:afterLines="0" w:line="360" w:lineRule="auto"/>
        <w:rPr>
          <w:rFonts w:hint="eastAsia" w:ascii="Times New Roman" w:hAnsi="Times New Roman" w:cs="Times New Roman"/>
          <w:color w:val="auto"/>
        </w:rPr>
      </w:pPr>
      <w:r>
        <w:rPr>
          <w:rFonts w:hint="eastAsia" w:ascii="Times New Roman" w:hAnsi="Times New Roman" w:cs="Times New Roman"/>
          <w:color w:val="auto"/>
          <w:lang w:val="en-US" w:eastAsia="zh-CN"/>
        </w:rPr>
        <w:t>5.4.4</w:t>
      </w:r>
      <w:r>
        <w:rPr>
          <w:rFonts w:hint="eastAsia" w:ascii="Times New Roman" w:hAnsi="Times New Roman" w:cs="Times New Roman"/>
          <w:color w:val="auto"/>
        </w:rPr>
        <w:t>预测结果及评价</w:t>
      </w:r>
    </w:p>
    <w:p>
      <w:pPr>
        <w:ind w:firstLine="480"/>
        <w:contextualSpacing/>
        <w:rPr>
          <w:color w:val="auto"/>
        </w:rPr>
      </w:pPr>
      <w:r>
        <w:rPr>
          <w:color w:val="auto"/>
        </w:rPr>
        <w:t>根据本项目主要设备的噪声源情况，利用以上预测模式和参数计算得各测点的噪声贡献值。拟建项目噪声预测结果见表</w:t>
      </w:r>
      <w:r>
        <w:rPr>
          <w:rFonts w:hint="eastAsia"/>
          <w:color w:val="auto"/>
        </w:rPr>
        <w:t>5</w:t>
      </w:r>
      <w:r>
        <w:rPr>
          <w:color w:val="auto"/>
        </w:rPr>
        <w:t>.4-</w:t>
      </w:r>
      <w:r>
        <w:rPr>
          <w:rFonts w:hint="eastAsia"/>
          <w:color w:val="auto"/>
          <w:lang w:val="en-US" w:eastAsia="zh-CN"/>
        </w:rPr>
        <w:t>4</w:t>
      </w:r>
      <w:r>
        <w:rPr>
          <w:color w:val="auto"/>
        </w:rPr>
        <w:t>。</w:t>
      </w:r>
    </w:p>
    <w:p>
      <w:pPr>
        <w:ind w:firstLine="0" w:firstLineChars="0"/>
        <w:jc w:val="center"/>
        <w:rPr>
          <w:rFonts w:eastAsia="黑体"/>
          <w:b/>
          <w:color w:val="auto"/>
          <w:sz w:val="21"/>
          <w:szCs w:val="21"/>
        </w:rPr>
      </w:pPr>
      <w:r>
        <w:rPr>
          <w:rFonts w:eastAsia="黑体"/>
          <w:b/>
          <w:color w:val="auto"/>
          <w:sz w:val="21"/>
          <w:szCs w:val="21"/>
        </w:rPr>
        <w:t>表</w:t>
      </w:r>
      <w:r>
        <w:rPr>
          <w:rFonts w:hint="eastAsia" w:eastAsia="黑体"/>
          <w:b/>
          <w:color w:val="auto"/>
          <w:sz w:val="21"/>
          <w:szCs w:val="21"/>
        </w:rPr>
        <w:t>5.4-</w:t>
      </w:r>
      <w:r>
        <w:rPr>
          <w:rFonts w:hint="eastAsia" w:eastAsia="黑体"/>
          <w:b/>
          <w:color w:val="auto"/>
          <w:sz w:val="21"/>
          <w:szCs w:val="21"/>
          <w:lang w:val="en-US" w:eastAsia="zh-CN"/>
        </w:rPr>
        <w:t>4</w:t>
      </w:r>
      <w:r>
        <w:rPr>
          <w:rFonts w:eastAsia="黑体"/>
          <w:b/>
          <w:color w:val="auto"/>
          <w:sz w:val="21"/>
          <w:szCs w:val="21"/>
        </w:rPr>
        <w:t xml:space="preserve">  </w:t>
      </w:r>
      <w:r>
        <w:rPr>
          <w:rFonts w:hint="eastAsia" w:eastAsia="黑体"/>
          <w:b/>
          <w:color w:val="auto"/>
          <w:sz w:val="21"/>
          <w:szCs w:val="21"/>
        </w:rPr>
        <w:t>拟建</w:t>
      </w:r>
      <w:r>
        <w:rPr>
          <w:rFonts w:eastAsia="黑体"/>
          <w:b/>
          <w:color w:val="auto"/>
          <w:sz w:val="21"/>
          <w:szCs w:val="21"/>
        </w:rPr>
        <w:t>项目厂界噪声预测结果   单位：dB(A)</w:t>
      </w:r>
    </w:p>
    <w:tbl>
      <w:tblPr>
        <w:tblStyle w:val="2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793"/>
        <w:gridCol w:w="921"/>
        <w:gridCol w:w="693"/>
        <w:gridCol w:w="617"/>
        <w:gridCol w:w="617"/>
        <w:gridCol w:w="622"/>
        <w:gridCol w:w="693"/>
        <w:gridCol w:w="617"/>
        <w:gridCol w:w="617"/>
        <w:gridCol w:w="640"/>
        <w:gridCol w:w="617"/>
        <w:gridCol w:w="62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989" w:type="pct"/>
            <w:vMerge w:val="restart"/>
            <w:vAlign w:val="center"/>
          </w:tcPr>
          <w:p>
            <w:pPr>
              <w:spacing w:line="240" w:lineRule="auto"/>
              <w:ind w:firstLine="0" w:firstLineChars="0"/>
              <w:contextualSpacing/>
              <w:jc w:val="center"/>
              <w:rPr>
                <w:b/>
                <w:color w:val="auto"/>
                <w:sz w:val="21"/>
                <w:szCs w:val="21"/>
              </w:rPr>
            </w:pPr>
            <w:r>
              <w:rPr>
                <w:b/>
                <w:color w:val="auto"/>
                <w:sz w:val="21"/>
                <w:szCs w:val="21"/>
              </w:rPr>
              <w:t>噪声源位置</w:t>
            </w:r>
          </w:p>
        </w:tc>
        <w:tc>
          <w:tcPr>
            <w:tcW w:w="507" w:type="pct"/>
            <w:vMerge w:val="restart"/>
            <w:vAlign w:val="center"/>
          </w:tcPr>
          <w:p>
            <w:pPr>
              <w:spacing w:line="240" w:lineRule="auto"/>
              <w:ind w:firstLine="0" w:firstLineChars="0"/>
              <w:contextualSpacing/>
              <w:jc w:val="center"/>
              <w:rPr>
                <w:b/>
                <w:color w:val="auto"/>
                <w:sz w:val="21"/>
                <w:szCs w:val="21"/>
              </w:rPr>
            </w:pPr>
            <w:r>
              <w:rPr>
                <w:b/>
                <w:color w:val="auto"/>
                <w:sz w:val="21"/>
                <w:szCs w:val="21"/>
              </w:rPr>
              <w:t>噪声源</w:t>
            </w:r>
          </w:p>
          <w:p>
            <w:pPr>
              <w:spacing w:line="240" w:lineRule="auto"/>
              <w:ind w:firstLine="0" w:firstLineChars="0"/>
              <w:contextualSpacing/>
              <w:jc w:val="center"/>
              <w:rPr>
                <w:b/>
                <w:color w:val="auto"/>
                <w:sz w:val="21"/>
                <w:szCs w:val="21"/>
              </w:rPr>
            </w:pPr>
            <w:r>
              <w:rPr>
                <w:b/>
                <w:color w:val="auto"/>
                <w:sz w:val="21"/>
                <w:szCs w:val="21"/>
              </w:rPr>
              <w:t>名称</w:t>
            </w:r>
          </w:p>
        </w:tc>
        <w:tc>
          <w:tcPr>
            <w:tcW w:w="3502" w:type="pct"/>
            <w:gridSpan w:val="10"/>
            <w:vAlign w:val="center"/>
          </w:tcPr>
          <w:p>
            <w:pPr>
              <w:spacing w:line="240" w:lineRule="auto"/>
              <w:ind w:firstLine="0" w:firstLineChars="0"/>
              <w:contextualSpacing/>
              <w:jc w:val="center"/>
              <w:rPr>
                <w:b/>
                <w:color w:val="auto"/>
                <w:sz w:val="21"/>
                <w:szCs w:val="21"/>
              </w:rPr>
            </w:pPr>
            <w:r>
              <w:rPr>
                <w:b/>
                <w:color w:val="auto"/>
                <w:sz w:val="21"/>
                <w:szCs w:val="21"/>
              </w:rPr>
              <w:t>厂界噪声dB（A）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989" w:type="pct"/>
            <w:vMerge w:val="continue"/>
            <w:vAlign w:val="center"/>
          </w:tcPr>
          <w:p>
            <w:pPr>
              <w:spacing w:line="240" w:lineRule="auto"/>
              <w:ind w:firstLine="0" w:firstLineChars="0"/>
              <w:contextualSpacing/>
              <w:jc w:val="center"/>
              <w:rPr>
                <w:b/>
                <w:color w:val="auto"/>
                <w:sz w:val="21"/>
                <w:szCs w:val="21"/>
              </w:rPr>
            </w:pPr>
          </w:p>
        </w:tc>
        <w:tc>
          <w:tcPr>
            <w:tcW w:w="507" w:type="pct"/>
            <w:vMerge w:val="continue"/>
            <w:vAlign w:val="center"/>
          </w:tcPr>
          <w:p>
            <w:pPr>
              <w:spacing w:line="240" w:lineRule="auto"/>
              <w:ind w:firstLine="0" w:firstLineChars="0"/>
              <w:contextualSpacing/>
              <w:jc w:val="center"/>
              <w:rPr>
                <w:b/>
                <w:color w:val="auto"/>
                <w:sz w:val="21"/>
                <w:szCs w:val="21"/>
              </w:rPr>
            </w:pPr>
          </w:p>
        </w:tc>
        <w:tc>
          <w:tcPr>
            <w:tcW w:w="722" w:type="pct"/>
            <w:gridSpan w:val="2"/>
            <w:vAlign w:val="center"/>
          </w:tcPr>
          <w:p>
            <w:pPr>
              <w:spacing w:line="240" w:lineRule="auto"/>
              <w:ind w:firstLine="0" w:firstLineChars="0"/>
              <w:contextualSpacing/>
              <w:jc w:val="center"/>
              <w:rPr>
                <w:b/>
                <w:color w:val="auto"/>
                <w:sz w:val="21"/>
                <w:szCs w:val="21"/>
              </w:rPr>
            </w:pPr>
            <w:r>
              <w:rPr>
                <w:b/>
                <w:color w:val="auto"/>
                <w:sz w:val="21"/>
                <w:szCs w:val="21"/>
              </w:rPr>
              <w:t>东厂界</w:t>
            </w:r>
          </w:p>
        </w:tc>
        <w:tc>
          <w:tcPr>
            <w:tcW w:w="683" w:type="pct"/>
            <w:gridSpan w:val="2"/>
            <w:vAlign w:val="center"/>
          </w:tcPr>
          <w:p>
            <w:pPr>
              <w:spacing w:line="240" w:lineRule="auto"/>
              <w:ind w:firstLine="0" w:firstLineChars="0"/>
              <w:contextualSpacing/>
              <w:jc w:val="center"/>
              <w:rPr>
                <w:b/>
                <w:color w:val="auto"/>
                <w:sz w:val="21"/>
                <w:szCs w:val="21"/>
              </w:rPr>
            </w:pPr>
            <w:r>
              <w:rPr>
                <w:b/>
                <w:color w:val="auto"/>
                <w:sz w:val="21"/>
                <w:szCs w:val="21"/>
              </w:rPr>
              <w:t>南厂界</w:t>
            </w:r>
          </w:p>
        </w:tc>
        <w:tc>
          <w:tcPr>
            <w:tcW w:w="722" w:type="pct"/>
            <w:gridSpan w:val="2"/>
            <w:vAlign w:val="center"/>
          </w:tcPr>
          <w:p>
            <w:pPr>
              <w:spacing w:line="240" w:lineRule="auto"/>
              <w:ind w:firstLine="0" w:firstLineChars="0"/>
              <w:contextualSpacing/>
              <w:jc w:val="center"/>
              <w:rPr>
                <w:b/>
                <w:color w:val="auto"/>
                <w:sz w:val="21"/>
                <w:szCs w:val="21"/>
              </w:rPr>
            </w:pPr>
            <w:r>
              <w:rPr>
                <w:b/>
                <w:color w:val="auto"/>
                <w:sz w:val="21"/>
                <w:szCs w:val="21"/>
              </w:rPr>
              <w:t>西厂界</w:t>
            </w:r>
          </w:p>
        </w:tc>
        <w:tc>
          <w:tcPr>
            <w:tcW w:w="690" w:type="pct"/>
            <w:gridSpan w:val="2"/>
            <w:vAlign w:val="center"/>
          </w:tcPr>
          <w:p>
            <w:pPr>
              <w:spacing w:line="240" w:lineRule="auto"/>
              <w:ind w:firstLine="0" w:firstLineChars="0"/>
              <w:contextualSpacing/>
              <w:jc w:val="center"/>
              <w:rPr>
                <w:b/>
                <w:color w:val="auto"/>
                <w:sz w:val="21"/>
                <w:szCs w:val="21"/>
              </w:rPr>
            </w:pPr>
            <w:r>
              <w:rPr>
                <w:b/>
                <w:color w:val="auto"/>
                <w:sz w:val="21"/>
                <w:szCs w:val="21"/>
              </w:rPr>
              <w:t>北厂界</w:t>
            </w:r>
          </w:p>
        </w:tc>
        <w:tc>
          <w:tcPr>
            <w:tcW w:w="681" w:type="pct"/>
            <w:gridSpan w:val="2"/>
            <w:vAlign w:val="center"/>
          </w:tcPr>
          <w:p>
            <w:pPr>
              <w:spacing w:line="240" w:lineRule="auto"/>
              <w:ind w:firstLine="0" w:firstLineChars="0"/>
              <w:contextualSpacing/>
              <w:jc w:val="center"/>
              <w:rPr>
                <w:b/>
                <w:color w:val="auto"/>
                <w:sz w:val="21"/>
                <w:szCs w:val="21"/>
              </w:rPr>
            </w:pPr>
            <w:r>
              <w:rPr>
                <w:rFonts w:hint="eastAsia"/>
                <w:b/>
                <w:color w:val="auto"/>
                <w:sz w:val="21"/>
                <w:szCs w:val="21"/>
              </w:rPr>
              <w:t>敏感目标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989" w:type="pct"/>
            <w:vMerge w:val="continue"/>
            <w:vAlign w:val="center"/>
          </w:tcPr>
          <w:p>
            <w:pPr>
              <w:spacing w:line="240" w:lineRule="auto"/>
              <w:ind w:firstLine="0" w:firstLineChars="0"/>
              <w:contextualSpacing/>
              <w:jc w:val="center"/>
              <w:rPr>
                <w:b/>
                <w:color w:val="auto"/>
                <w:sz w:val="21"/>
                <w:szCs w:val="21"/>
              </w:rPr>
            </w:pPr>
          </w:p>
        </w:tc>
        <w:tc>
          <w:tcPr>
            <w:tcW w:w="507" w:type="pct"/>
            <w:vMerge w:val="continue"/>
            <w:vAlign w:val="center"/>
          </w:tcPr>
          <w:p>
            <w:pPr>
              <w:spacing w:line="240" w:lineRule="auto"/>
              <w:ind w:firstLine="0" w:firstLineChars="0"/>
              <w:contextualSpacing/>
              <w:jc w:val="center"/>
              <w:rPr>
                <w:b/>
                <w:color w:val="auto"/>
                <w:sz w:val="21"/>
                <w:szCs w:val="21"/>
              </w:rPr>
            </w:pPr>
          </w:p>
        </w:tc>
        <w:tc>
          <w:tcPr>
            <w:tcW w:w="382" w:type="pct"/>
            <w:vAlign w:val="center"/>
          </w:tcPr>
          <w:p>
            <w:pPr>
              <w:spacing w:line="240" w:lineRule="auto"/>
              <w:ind w:firstLine="0" w:firstLineChars="0"/>
              <w:contextualSpacing/>
              <w:jc w:val="center"/>
              <w:rPr>
                <w:b/>
                <w:color w:val="auto"/>
                <w:sz w:val="21"/>
                <w:szCs w:val="21"/>
              </w:rPr>
            </w:pPr>
            <w:r>
              <w:rPr>
                <w:b/>
                <w:color w:val="auto"/>
                <w:sz w:val="21"/>
                <w:szCs w:val="21"/>
              </w:rPr>
              <w:t>昼间</w:t>
            </w:r>
          </w:p>
        </w:tc>
        <w:tc>
          <w:tcPr>
            <w:tcW w:w="340" w:type="pct"/>
            <w:vAlign w:val="center"/>
          </w:tcPr>
          <w:p>
            <w:pPr>
              <w:spacing w:line="240" w:lineRule="auto"/>
              <w:ind w:firstLine="0" w:firstLineChars="0"/>
              <w:contextualSpacing/>
              <w:jc w:val="center"/>
              <w:rPr>
                <w:b/>
                <w:color w:val="auto"/>
                <w:sz w:val="21"/>
                <w:szCs w:val="21"/>
              </w:rPr>
            </w:pPr>
            <w:r>
              <w:rPr>
                <w:b/>
                <w:color w:val="auto"/>
                <w:sz w:val="21"/>
                <w:szCs w:val="21"/>
              </w:rPr>
              <w:t>夜间</w:t>
            </w:r>
          </w:p>
        </w:tc>
        <w:tc>
          <w:tcPr>
            <w:tcW w:w="340" w:type="pct"/>
            <w:vAlign w:val="center"/>
          </w:tcPr>
          <w:p>
            <w:pPr>
              <w:spacing w:line="240" w:lineRule="auto"/>
              <w:ind w:firstLine="0" w:firstLineChars="0"/>
              <w:contextualSpacing/>
              <w:jc w:val="center"/>
              <w:rPr>
                <w:b/>
                <w:color w:val="auto"/>
                <w:sz w:val="21"/>
                <w:szCs w:val="21"/>
              </w:rPr>
            </w:pPr>
            <w:r>
              <w:rPr>
                <w:b/>
                <w:color w:val="auto"/>
                <w:sz w:val="21"/>
                <w:szCs w:val="21"/>
              </w:rPr>
              <w:t>昼间</w:t>
            </w:r>
          </w:p>
        </w:tc>
        <w:tc>
          <w:tcPr>
            <w:tcW w:w="343" w:type="pct"/>
            <w:vAlign w:val="center"/>
          </w:tcPr>
          <w:p>
            <w:pPr>
              <w:spacing w:line="240" w:lineRule="auto"/>
              <w:ind w:firstLine="0" w:firstLineChars="0"/>
              <w:contextualSpacing/>
              <w:jc w:val="center"/>
              <w:rPr>
                <w:b/>
                <w:color w:val="auto"/>
                <w:sz w:val="21"/>
                <w:szCs w:val="21"/>
              </w:rPr>
            </w:pPr>
            <w:r>
              <w:rPr>
                <w:b/>
                <w:color w:val="auto"/>
                <w:sz w:val="21"/>
                <w:szCs w:val="21"/>
              </w:rPr>
              <w:t>夜间</w:t>
            </w:r>
          </w:p>
        </w:tc>
        <w:tc>
          <w:tcPr>
            <w:tcW w:w="382" w:type="pct"/>
            <w:vAlign w:val="center"/>
          </w:tcPr>
          <w:p>
            <w:pPr>
              <w:spacing w:line="240" w:lineRule="auto"/>
              <w:ind w:firstLine="0" w:firstLineChars="0"/>
              <w:contextualSpacing/>
              <w:jc w:val="center"/>
              <w:rPr>
                <w:b/>
                <w:color w:val="auto"/>
                <w:sz w:val="21"/>
                <w:szCs w:val="21"/>
              </w:rPr>
            </w:pPr>
            <w:r>
              <w:rPr>
                <w:b/>
                <w:color w:val="auto"/>
                <w:sz w:val="21"/>
                <w:szCs w:val="21"/>
              </w:rPr>
              <w:t>昼间</w:t>
            </w:r>
          </w:p>
        </w:tc>
        <w:tc>
          <w:tcPr>
            <w:tcW w:w="340" w:type="pct"/>
            <w:vAlign w:val="center"/>
          </w:tcPr>
          <w:p>
            <w:pPr>
              <w:spacing w:line="240" w:lineRule="auto"/>
              <w:ind w:firstLine="0" w:firstLineChars="0"/>
              <w:contextualSpacing/>
              <w:jc w:val="center"/>
              <w:rPr>
                <w:b/>
                <w:color w:val="auto"/>
                <w:sz w:val="21"/>
                <w:szCs w:val="21"/>
              </w:rPr>
            </w:pPr>
            <w:r>
              <w:rPr>
                <w:b/>
                <w:color w:val="auto"/>
                <w:sz w:val="21"/>
                <w:szCs w:val="21"/>
              </w:rPr>
              <w:t>夜间</w:t>
            </w:r>
          </w:p>
        </w:tc>
        <w:tc>
          <w:tcPr>
            <w:tcW w:w="340" w:type="pct"/>
            <w:vAlign w:val="center"/>
          </w:tcPr>
          <w:p>
            <w:pPr>
              <w:spacing w:line="240" w:lineRule="auto"/>
              <w:ind w:firstLine="0" w:firstLineChars="0"/>
              <w:contextualSpacing/>
              <w:jc w:val="center"/>
              <w:rPr>
                <w:b/>
                <w:color w:val="auto"/>
                <w:sz w:val="21"/>
                <w:szCs w:val="21"/>
              </w:rPr>
            </w:pPr>
            <w:r>
              <w:rPr>
                <w:b/>
                <w:color w:val="auto"/>
                <w:sz w:val="21"/>
                <w:szCs w:val="21"/>
              </w:rPr>
              <w:t>昼间</w:t>
            </w:r>
          </w:p>
        </w:tc>
        <w:tc>
          <w:tcPr>
            <w:tcW w:w="350" w:type="pct"/>
            <w:vAlign w:val="center"/>
          </w:tcPr>
          <w:p>
            <w:pPr>
              <w:spacing w:line="240" w:lineRule="auto"/>
              <w:ind w:firstLine="0" w:firstLineChars="0"/>
              <w:contextualSpacing/>
              <w:jc w:val="center"/>
              <w:rPr>
                <w:b/>
                <w:color w:val="auto"/>
                <w:sz w:val="21"/>
                <w:szCs w:val="21"/>
              </w:rPr>
            </w:pPr>
            <w:r>
              <w:rPr>
                <w:b/>
                <w:color w:val="auto"/>
                <w:sz w:val="21"/>
                <w:szCs w:val="21"/>
              </w:rPr>
              <w:t>夜间</w:t>
            </w:r>
          </w:p>
        </w:tc>
        <w:tc>
          <w:tcPr>
            <w:tcW w:w="340" w:type="pct"/>
            <w:vAlign w:val="center"/>
          </w:tcPr>
          <w:p>
            <w:pPr>
              <w:spacing w:line="240" w:lineRule="auto"/>
              <w:ind w:firstLine="0" w:firstLineChars="0"/>
              <w:contextualSpacing/>
              <w:jc w:val="center"/>
              <w:rPr>
                <w:b/>
                <w:color w:val="auto"/>
                <w:sz w:val="21"/>
                <w:szCs w:val="21"/>
              </w:rPr>
            </w:pPr>
            <w:r>
              <w:rPr>
                <w:b/>
                <w:color w:val="auto"/>
                <w:sz w:val="21"/>
                <w:szCs w:val="21"/>
              </w:rPr>
              <w:t>昼间</w:t>
            </w:r>
          </w:p>
        </w:tc>
        <w:tc>
          <w:tcPr>
            <w:tcW w:w="340" w:type="pct"/>
            <w:vAlign w:val="center"/>
          </w:tcPr>
          <w:p>
            <w:pPr>
              <w:spacing w:line="240" w:lineRule="auto"/>
              <w:ind w:firstLine="0" w:firstLineChars="0"/>
              <w:contextualSpacing/>
              <w:jc w:val="center"/>
              <w:rPr>
                <w:b/>
                <w:color w:val="auto"/>
                <w:sz w:val="21"/>
                <w:szCs w:val="21"/>
              </w:rPr>
            </w:pPr>
            <w:r>
              <w:rPr>
                <w:b/>
                <w:color w:val="auto"/>
                <w:sz w:val="21"/>
                <w:szCs w:val="21"/>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989" w:type="pct"/>
            <w:vMerge w:val="restart"/>
            <w:vAlign w:val="center"/>
          </w:tcPr>
          <w:p>
            <w:pPr>
              <w:pStyle w:val="47"/>
              <w:rPr>
                <w:color w:val="auto"/>
                <w:szCs w:val="24"/>
              </w:rPr>
            </w:pPr>
            <w:r>
              <w:rPr>
                <w:color w:val="auto"/>
              </w:rPr>
              <w:t>装置区</w:t>
            </w:r>
          </w:p>
        </w:tc>
        <w:tc>
          <w:tcPr>
            <w:tcW w:w="507" w:type="pct"/>
            <w:vAlign w:val="center"/>
          </w:tcPr>
          <w:p>
            <w:pPr>
              <w:pStyle w:val="47"/>
              <w:rPr>
                <w:color w:val="auto"/>
                <w:szCs w:val="24"/>
              </w:rPr>
            </w:pPr>
            <w:r>
              <w:rPr>
                <w:rFonts w:hint="eastAsia"/>
                <w:color w:val="auto"/>
              </w:rPr>
              <w:t>造粒机</w:t>
            </w:r>
          </w:p>
        </w:tc>
        <w:tc>
          <w:tcPr>
            <w:tcW w:w="722" w:type="pct"/>
            <w:gridSpan w:val="2"/>
            <w:vAlign w:val="center"/>
          </w:tcPr>
          <w:p>
            <w:pPr>
              <w:spacing w:line="240" w:lineRule="auto"/>
              <w:ind w:firstLine="0" w:firstLineChars="0"/>
              <w:jc w:val="center"/>
              <w:rPr>
                <w:color w:val="auto"/>
                <w:sz w:val="21"/>
                <w:szCs w:val="21"/>
              </w:rPr>
            </w:pPr>
            <w:r>
              <w:rPr>
                <w:rFonts w:hint="eastAsia"/>
                <w:color w:val="auto"/>
                <w:sz w:val="21"/>
                <w:szCs w:val="21"/>
              </w:rPr>
              <w:t>43.5</w:t>
            </w:r>
          </w:p>
        </w:tc>
        <w:tc>
          <w:tcPr>
            <w:tcW w:w="683" w:type="pct"/>
            <w:gridSpan w:val="2"/>
            <w:vAlign w:val="center"/>
          </w:tcPr>
          <w:p>
            <w:pPr>
              <w:spacing w:line="240" w:lineRule="auto"/>
              <w:ind w:firstLine="0" w:firstLineChars="0"/>
              <w:jc w:val="center"/>
              <w:rPr>
                <w:color w:val="auto"/>
                <w:sz w:val="21"/>
                <w:szCs w:val="21"/>
              </w:rPr>
            </w:pPr>
            <w:r>
              <w:rPr>
                <w:rFonts w:hint="eastAsia"/>
                <w:color w:val="auto"/>
                <w:sz w:val="21"/>
                <w:szCs w:val="21"/>
              </w:rPr>
              <w:t>33.3</w:t>
            </w:r>
          </w:p>
        </w:tc>
        <w:tc>
          <w:tcPr>
            <w:tcW w:w="722" w:type="pct"/>
            <w:gridSpan w:val="2"/>
            <w:vAlign w:val="center"/>
          </w:tcPr>
          <w:p>
            <w:pPr>
              <w:spacing w:line="240" w:lineRule="auto"/>
              <w:ind w:firstLine="0" w:firstLineChars="0"/>
              <w:jc w:val="center"/>
              <w:rPr>
                <w:color w:val="auto"/>
                <w:sz w:val="21"/>
                <w:szCs w:val="21"/>
              </w:rPr>
            </w:pPr>
            <w:r>
              <w:rPr>
                <w:rFonts w:hint="eastAsia"/>
                <w:color w:val="auto"/>
                <w:sz w:val="21"/>
                <w:szCs w:val="21"/>
              </w:rPr>
              <w:t>32.9</w:t>
            </w:r>
          </w:p>
        </w:tc>
        <w:tc>
          <w:tcPr>
            <w:tcW w:w="690" w:type="pct"/>
            <w:gridSpan w:val="2"/>
            <w:vAlign w:val="center"/>
          </w:tcPr>
          <w:p>
            <w:pPr>
              <w:spacing w:line="240" w:lineRule="auto"/>
              <w:ind w:firstLine="0" w:firstLineChars="0"/>
              <w:jc w:val="center"/>
              <w:rPr>
                <w:color w:val="auto"/>
                <w:sz w:val="21"/>
                <w:szCs w:val="21"/>
              </w:rPr>
            </w:pPr>
            <w:r>
              <w:rPr>
                <w:rFonts w:hint="eastAsia"/>
                <w:color w:val="auto"/>
                <w:sz w:val="21"/>
                <w:szCs w:val="21"/>
              </w:rPr>
              <w:t>32.3</w:t>
            </w:r>
          </w:p>
        </w:tc>
        <w:tc>
          <w:tcPr>
            <w:tcW w:w="681" w:type="pct"/>
            <w:gridSpan w:val="2"/>
            <w:vAlign w:val="center"/>
          </w:tcPr>
          <w:p>
            <w:pPr>
              <w:spacing w:line="240" w:lineRule="auto"/>
              <w:ind w:firstLine="0" w:firstLineChars="0"/>
              <w:jc w:val="center"/>
              <w:rPr>
                <w:color w:val="auto"/>
                <w:sz w:val="21"/>
                <w:szCs w:val="21"/>
              </w:rPr>
            </w:pPr>
            <w:r>
              <w:rPr>
                <w:rFonts w:hint="eastAsia"/>
                <w:color w:val="auto"/>
                <w:sz w:val="21"/>
                <w:szCs w:val="21"/>
              </w:rPr>
              <w:t>23.9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989" w:type="pct"/>
            <w:vMerge w:val="continue"/>
            <w:vAlign w:val="center"/>
          </w:tcPr>
          <w:p>
            <w:pPr>
              <w:pStyle w:val="47"/>
              <w:rPr>
                <w:color w:val="auto"/>
                <w:szCs w:val="21"/>
              </w:rPr>
            </w:pPr>
          </w:p>
        </w:tc>
        <w:tc>
          <w:tcPr>
            <w:tcW w:w="507" w:type="pct"/>
            <w:vAlign w:val="center"/>
          </w:tcPr>
          <w:p>
            <w:pPr>
              <w:pStyle w:val="47"/>
              <w:rPr>
                <w:color w:val="auto"/>
                <w:szCs w:val="24"/>
              </w:rPr>
            </w:pPr>
            <w:r>
              <w:rPr>
                <w:rFonts w:hint="eastAsia"/>
                <w:color w:val="auto"/>
              </w:rPr>
              <w:t>振动筛</w:t>
            </w:r>
          </w:p>
        </w:tc>
        <w:tc>
          <w:tcPr>
            <w:tcW w:w="722" w:type="pct"/>
            <w:gridSpan w:val="2"/>
            <w:vAlign w:val="center"/>
          </w:tcPr>
          <w:p>
            <w:pPr>
              <w:spacing w:line="240" w:lineRule="auto"/>
              <w:ind w:firstLine="0" w:firstLineChars="0"/>
              <w:jc w:val="center"/>
              <w:rPr>
                <w:color w:val="auto"/>
                <w:sz w:val="21"/>
                <w:szCs w:val="21"/>
              </w:rPr>
            </w:pPr>
            <w:r>
              <w:rPr>
                <w:rFonts w:hint="eastAsia"/>
                <w:color w:val="auto"/>
                <w:sz w:val="21"/>
                <w:szCs w:val="21"/>
              </w:rPr>
              <w:t>43.1</w:t>
            </w:r>
          </w:p>
        </w:tc>
        <w:tc>
          <w:tcPr>
            <w:tcW w:w="683" w:type="pct"/>
            <w:gridSpan w:val="2"/>
            <w:vAlign w:val="center"/>
          </w:tcPr>
          <w:p>
            <w:pPr>
              <w:spacing w:line="240" w:lineRule="auto"/>
              <w:ind w:firstLine="0" w:firstLineChars="0"/>
              <w:jc w:val="center"/>
              <w:rPr>
                <w:color w:val="auto"/>
                <w:sz w:val="21"/>
                <w:szCs w:val="21"/>
              </w:rPr>
            </w:pPr>
            <w:r>
              <w:rPr>
                <w:rFonts w:hint="eastAsia"/>
                <w:color w:val="auto"/>
                <w:sz w:val="21"/>
                <w:szCs w:val="21"/>
              </w:rPr>
              <w:t>33.2</w:t>
            </w:r>
          </w:p>
        </w:tc>
        <w:tc>
          <w:tcPr>
            <w:tcW w:w="722" w:type="pct"/>
            <w:gridSpan w:val="2"/>
            <w:vAlign w:val="center"/>
          </w:tcPr>
          <w:p>
            <w:pPr>
              <w:spacing w:line="240" w:lineRule="auto"/>
              <w:ind w:firstLine="0" w:firstLineChars="0"/>
              <w:jc w:val="center"/>
              <w:rPr>
                <w:color w:val="auto"/>
                <w:sz w:val="21"/>
                <w:szCs w:val="21"/>
              </w:rPr>
            </w:pPr>
            <w:r>
              <w:rPr>
                <w:rFonts w:hint="eastAsia"/>
                <w:color w:val="auto"/>
                <w:sz w:val="21"/>
                <w:szCs w:val="21"/>
              </w:rPr>
              <w:t>31.3</w:t>
            </w:r>
          </w:p>
        </w:tc>
        <w:tc>
          <w:tcPr>
            <w:tcW w:w="690" w:type="pct"/>
            <w:gridSpan w:val="2"/>
            <w:vAlign w:val="center"/>
          </w:tcPr>
          <w:p>
            <w:pPr>
              <w:spacing w:line="240" w:lineRule="auto"/>
              <w:ind w:firstLine="0" w:firstLineChars="0"/>
              <w:jc w:val="center"/>
              <w:rPr>
                <w:color w:val="auto"/>
                <w:sz w:val="21"/>
                <w:szCs w:val="21"/>
              </w:rPr>
            </w:pPr>
            <w:r>
              <w:rPr>
                <w:rFonts w:hint="eastAsia"/>
                <w:color w:val="auto"/>
                <w:sz w:val="21"/>
                <w:szCs w:val="21"/>
              </w:rPr>
              <w:t>34.7</w:t>
            </w:r>
          </w:p>
        </w:tc>
        <w:tc>
          <w:tcPr>
            <w:tcW w:w="681" w:type="pct"/>
            <w:gridSpan w:val="2"/>
            <w:vAlign w:val="center"/>
          </w:tcPr>
          <w:p>
            <w:pPr>
              <w:spacing w:line="240" w:lineRule="auto"/>
              <w:ind w:firstLine="0" w:firstLineChars="0"/>
              <w:jc w:val="center"/>
              <w:rPr>
                <w:color w:val="auto"/>
                <w:sz w:val="21"/>
                <w:szCs w:val="21"/>
              </w:rPr>
            </w:pPr>
            <w:r>
              <w:rPr>
                <w:rFonts w:hint="eastAsia"/>
                <w:color w:val="auto"/>
                <w:sz w:val="21"/>
                <w:szCs w:val="21"/>
              </w:rPr>
              <w:t>24.4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989" w:type="pct"/>
            <w:vMerge w:val="continue"/>
            <w:vAlign w:val="center"/>
          </w:tcPr>
          <w:p>
            <w:pPr>
              <w:pStyle w:val="47"/>
              <w:rPr>
                <w:color w:val="auto"/>
                <w:szCs w:val="21"/>
              </w:rPr>
            </w:pPr>
          </w:p>
        </w:tc>
        <w:tc>
          <w:tcPr>
            <w:tcW w:w="507" w:type="pct"/>
            <w:vAlign w:val="center"/>
          </w:tcPr>
          <w:p>
            <w:pPr>
              <w:pStyle w:val="47"/>
              <w:rPr>
                <w:color w:val="auto"/>
              </w:rPr>
            </w:pPr>
            <w:r>
              <w:rPr>
                <w:color w:val="auto"/>
              </w:rPr>
              <w:t>泵类</w:t>
            </w:r>
          </w:p>
        </w:tc>
        <w:tc>
          <w:tcPr>
            <w:tcW w:w="722" w:type="pct"/>
            <w:gridSpan w:val="2"/>
            <w:vAlign w:val="center"/>
          </w:tcPr>
          <w:p>
            <w:pPr>
              <w:spacing w:line="240" w:lineRule="auto"/>
              <w:ind w:firstLine="0" w:firstLineChars="0"/>
              <w:jc w:val="center"/>
              <w:rPr>
                <w:color w:val="auto"/>
                <w:sz w:val="21"/>
                <w:szCs w:val="21"/>
              </w:rPr>
            </w:pPr>
            <w:r>
              <w:rPr>
                <w:rFonts w:hint="eastAsia"/>
                <w:color w:val="auto"/>
                <w:sz w:val="21"/>
                <w:szCs w:val="21"/>
              </w:rPr>
              <w:t>35.8</w:t>
            </w:r>
          </w:p>
        </w:tc>
        <w:tc>
          <w:tcPr>
            <w:tcW w:w="683" w:type="pct"/>
            <w:gridSpan w:val="2"/>
            <w:vAlign w:val="center"/>
          </w:tcPr>
          <w:p>
            <w:pPr>
              <w:spacing w:line="240" w:lineRule="auto"/>
              <w:ind w:firstLine="0" w:firstLineChars="0"/>
              <w:jc w:val="center"/>
              <w:rPr>
                <w:color w:val="auto"/>
                <w:sz w:val="21"/>
                <w:szCs w:val="21"/>
              </w:rPr>
            </w:pPr>
            <w:r>
              <w:rPr>
                <w:rFonts w:hint="eastAsia"/>
                <w:color w:val="auto"/>
                <w:sz w:val="21"/>
                <w:szCs w:val="21"/>
              </w:rPr>
              <w:t>37.5</w:t>
            </w:r>
          </w:p>
        </w:tc>
        <w:tc>
          <w:tcPr>
            <w:tcW w:w="722" w:type="pct"/>
            <w:gridSpan w:val="2"/>
            <w:vAlign w:val="center"/>
          </w:tcPr>
          <w:p>
            <w:pPr>
              <w:spacing w:line="240" w:lineRule="auto"/>
              <w:ind w:firstLine="0" w:firstLineChars="0"/>
              <w:jc w:val="center"/>
              <w:rPr>
                <w:color w:val="auto"/>
                <w:sz w:val="21"/>
                <w:szCs w:val="21"/>
              </w:rPr>
            </w:pPr>
            <w:r>
              <w:rPr>
                <w:rFonts w:hint="eastAsia"/>
                <w:color w:val="auto"/>
                <w:sz w:val="21"/>
                <w:szCs w:val="21"/>
              </w:rPr>
              <w:t>42.3</w:t>
            </w:r>
          </w:p>
        </w:tc>
        <w:tc>
          <w:tcPr>
            <w:tcW w:w="690" w:type="pct"/>
            <w:gridSpan w:val="2"/>
            <w:vAlign w:val="center"/>
          </w:tcPr>
          <w:p>
            <w:pPr>
              <w:spacing w:line="240" w:lineRule="auto"/>
              <w:ind w:firstLine="0" w:firstLineChars="0"/>
              <w:jc w:val="center"/>
              <w:rPr>
                <w:color w:val="auto"/>
                <w:sz w:val="21"/>
                <w:szCs w:val="21"/>
              </w:rPr>
            </w:pPr>
            <w:r>
              <w:rPr>
                <w:rFonts w:hint="eastAsia"/>
                <w:color w:val="auto"/>
                <w:sz w:val="21"/>
                <w:szCs w:val="21"/>
              </w:rPr>
              <w:t>28.7</w:t>
            </w:r>
          </w:p>
        </w:tc>
        <w:tc>
          <w:tcPr>
            <w:tcW w:w="681" w:type="pct"/>
            <w:gridSpan w:val="2"/>
            <w:vAlign w:val="center"/>
          </w:tcPr>
          <w:p>
            <w:pPr>
              <w:spacing w:line="240" w:lineRule="auto"/>
              <w:ind w:firstLine="0" w:firstLineChars="0"/>
              <w:jc w:val="center"/>
              <w:rPr>
                <w:color w:val="auto"/>
                <w:sz w:val="21"/>
                <w:szCs w:val="21"/>
              </w:rPr>
            </w:pPr>
            <w:r>
              <w:rPr>
                <w:rFonts w:hint="eastAsia"/>
                <w:color w:val="auto"/>
                <w:sz w:val="21"/>
                <w:szCs w:val="21"/>
              </w:rPr>
              <w:t>22.8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989" w:type="pct"/>
            <w:vAlign w:val="center"/>
          </w:tcPr>
          <w:p>
            <w:pPr>
              <w:pStyle w:val="47"/>
              <w:rPr>
                <w:color w:val="auto"/>
                <w:szCs w:val="21"/>
              </w:rPr>
            </w:pPr>
            <w:r>
              <w:rPr>
                <w:color w:val="auto"/>
              </w:rPr>
              <w:t>锅炉房</w:t>
            </w:r>
          </w:p>
        </w:tc>
        <w:tc>
          <w:tcPr>
            <w:tcW w:w="507" w:type="pct"/>
            <w:vAlign w:val="center"/>
          </w:tcPr>
          <w:p>
            <w:pPr>
              <w:pStyle w:val="47"/>
              <w:rPr>
                <w:color w:val="auto"/>
              </w:rPr>
            </w:pPr>
            <w:r>
              <w:rPr>
                <w:color w:val="auto"/>
              </w:rPr>
              <w:t>泵类</w:t>
            </w:r>
          </w:p>
        </w:tc>
        <w:tc>
          <w:tcPr>
            <w:tcW w:w="722" w:type="pct"/>
            <w:gridSpan w:val="2"/>
            <w:vAlign w:val="center"/>
          </w:tcPr>
          <w:p>
            <w:pPr>
              <w:spacing w:line="240" w:lineRule="auto"/>
              <w:ind w:firstLine="0" w:firstLineChars="0"/>
              <w:jc w:val="center"/>
              <w:rPr>
                <w:color w:val="auto"/>
                <w:sz w:val="21"/>
                <w:szCs w:val="21"/>
              </w:rPr>
            </w:pPr>
            <w:r>
              <w:rPr>
                <w:rFonts w:hint="eastAsia"/>
                <w:color w:val="auto"/>
                <w:sz w:val="21"/>
                <w:szCs w:val="21"/>
              </w:rPr>
              <w:t>20.1</w:t>
            </w:r>
          </w:p>
        </w:tc>
        <w:tc>
          <w:tcPr>
            <w:tcW w:w="683" w:type="pct"/>
            <w:gridSpan w:val="2"/>
            <w:vAlign w:val="center"/>
          </w:tcPr>
          <w:p>
            <w:pPr>
              <w:spacing w:line="240" w:lineRule="auto"/>
              <w:ind w:firstLine="0" w:firstLineChars="0"/>
              <w:jc w:val="center"/>
              <w:rPr>
                <w:color w:val="auto"/>
                <w:sz w:val="21"/>
                <w:szCs w:val="21"/>
              </w:rPr>
            </w:pPr>
            <w:r>
              <w:rPr>
                <w:rFonts w:hint="eastAsia"/>
                <w:color w:val="auto"/>
                <w:sz w:val="21"/>
                <w:szCs w:val="21"/>
              </w:rPr>
              <w:t>14.2</w:t>
            </w:r>
          </w:p>
        </w:tc>
        <w:tc>
          <w:tcPr>
            <w:tcW w:w="722" w:type="pct"/>
            <w:gridSpan w:val="2"/>
            <w:vAlign w:val="center"/>
          </w:tcPr>
          <w:p>
            <w:pPr>
              <w:spacing w:line="240" w:lineRule="auto"/>
              <w:ind w:firstLine="0" w:firstLineChars="0"/>
              <w:jc w:val="center"/>
              <w:rPr>
                <w:color w:val="auto"/>
                <w:sz w:val="21"/>
                <w:szCs w:val="21"/>
              </w:rPr>
            </w:pPr>
            <w:r>
              <w:rPr>
                <w:rFonts w:hint="eastAsia"/>
                <w:color w:val="auto"/>
                <w:sz w:val="21"/>
                <w:szCs w:val="21"/>
              </w:rPr>
              <w:t>14.4</w:t>
            </w:r>
          </w:p>
        </w:tc>
        <w:tc>
          <w:tcPr>
            <w:tcW w:w="690" w:type="pct"/>
            <w:gridSpan w:val="2"/>
            <w:vAlign w:val="center"/>
          </w:tcPr>
          <w:p>
            <w:pPr>
              <w:spacing w:line="240" w:lineRule="auto"/>
              <w:ind w:firstLine="0" w:firstLineChars="0"/>
              <w:jc w:val="center"/>
              <w:rPr>
                <w:color w:val="auto"/>
                <w:sz w:val="21"/>
                <w:szCs w:val="21"/>
              </w:rPr>
            </w:pPr>
            <w:r>
              <w:rPr>
                <w:rFonts w:hint="eastAsia"/>
                <w:color w:val="auto"/>
                <w:sz w:val="21"/>
                <w:szCs w:val="21"/>
              </w:rPr>
              <w:t>11.8</w:t>
            </w:r>
          </w:p>
        </w:tc>
        <w:tc>
          <w:tcPr>
            <w:tcW w:w="681" w:type="pct"/>
            <w:gridSpan w:val="2"/>
            <w:vAlign w:val="center"/>
          </w:tcPr>
          <w:p>
            <w:pPr>
              <w:spacing w:line="240" w:lineRule="auto"/>
              <w:ind w:firstLine="0" w:firstLineChars="0"/>
              <w:jc w:val="center"/>
              <w:rPr>
                <w:color w:val="auto"/>
                <w:sz w:val="21"/>
                <w:szCs w:val="21"/>
              </w:rPr>
            </w:pPr>
            <w:r>
              <w:rPr>
                <w:rFonts w:hint="eastAsia"/>
                <w:color w:val="auto"/>
                <w:sz w:val="21"/>
                <w:szCs w:val="21"/>
              </w:rPr>
              <w:t>3.8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989" w:type="pct"/>
            <w:vMerge w:val="restart"/>
            <w:vAlign w:val="center"/>
          </w:tcPr>
          <w:p>
            <w:pPr>
              <w:pStyle w:val="47"/>
              <w:rPr>
                <w:color w:val="auto"/>
                <w:szCs w:val="21"/>
              </w:rPr>
            </w:pPr>
            <w:r>
              <w:rPr>
                <w:color w:val="auto"/>
              </w:rPr>
              <w:t>循环冷却系统</w:t>
            </w:r>
          </w:p>
        </w:tc>
        <w:tc>
          <w:tcPr>
            <w:tcW w:w="507" w:type="pct"/>
            <w:vAlign w:val="center"/>
          </w:tcPr>
          <w:p>
            <w:pPr>
              <w:pStyle w:val="47"/>
              <w:rPr>
                <w:color w:val="auto"/>
              </w:rPr>
            </w:pPr>
            <w:r>
              <w:rPr>
                <w:color w:val="auto"/>
              </w:rPr>
              <w:t>冷却塔</w:t>
            </w:r>
          </w:p>
        </w:tc>
        <w:tc>
          <w:tcPr>
            <w:tcW w:w="722" w:type="pct"/>
            <w:gridSpan w:val="2"/>
            <w:vAlign w:val="center"/>
          </w:tcPr>
          <w:p>
            <w:pPr>
              <w:spacing w:line="240" w:lineRule="auto"/>
              <w:ind w:firstLine="0" w:firstLineChars="0"/>
              <w:jc w:val="center"/>
              <w:rPr>
                <w:color w:val="auto"/>
                <w:sz w:val="21"/>
                <w:szCs w:val="21"/>
              </w:rPr>
            </w:pPr>
            <w:r>
              <w:rPr>
                <w:rFonts w:hint="eastAsia"/>
                <w:color w:val="auto"/>
                <w:sz w:val="21"/>
                <w:szCs w:val="21"/>
              </w:rPr>
              <w:t>35</w:t>
            </w:r>
          </w:p>
        </w:tc>
        <w:tc>
          <w:tcPr>
            <w:tcW w:w="683" w:type="pct"/>
            <w:gridSpan w:val="2"/>
            <w:vAlign w:val="center"/>
          </w:tcPr>
          <w:p>
            <w:pPr>
              <w:spacing w:line="240" w:lineRule="auto"/>
              <w:ind w:firstLine="0" w:firstLineChars="0"/>
              <w:jc w:val="center"/>
              <w:rPr>
                <w:color w:val="auto"/>
                <w:sz w:val="21"/>
                <w:szCs w:val="21"/>
              </w:rPr>
            </w:pPr>
            <w:r>
              <w:rPr>
                <w:rFonts w:hint="eastAsia"/>
                <w:color w:val="auto"/>
                <w:sz w:val="21"/>
                <w:szCs w:val="21"/>
              </w:rPr>
              <w:t>15.9</w:t>
            </w:r>
          </w:p>
        </w:tc>
        <w:tc>
          <w:tcPr>
            <w:tcW w:w="722" w:type="pct"/>
            <w:gridSpan w:val="2"/>
            <w:vAlign w:val="center"/>
          </w:tcPr>
          <w:p>
            <w:pPr>
              <w:spacing w:line="240" w:lineRule="auto"/>
              <w:ind w:firstLine="0" w:firstLineChars="0"/>
              <w:jc w:val="center"/>
              <w:rPr>
                <w:color w:val="auto"/>
                <w:sz w:val="21"/>
                <w:szCs w:val="21"/>
              </w:rPr>
            </w:pPr>
            <w:r>
              <w:rPr>
                <w:rFonts w:hint="eastAsia"/>
                <w:color w:val="auto"/>
                <w:sz w:val="21"/>
                <w:szCs w:val="21"/>
              </w:rPr>
              <w:t>16.9</w:t>
            </w:r>
          </w:p>
        </w:tc>
        <w:tc>
          <w:tcPr>
            <w:tcW w:w="690" w:type="pct"/>
            <w:gridSpan w:val="2"/>
            <w:vAlign w:val="center"/>
          </w:tcPr>
          <w:p>
            <w:pPr>
              <w:spacing w:line="240" w:lineRule="auto"/>
              <w:ind w:firstLine="0" w:firstLineChars="0"/>
              <w:jc w:val="center"/>
              <w:rPr>
                <w:color w:val="auto"/>
                <w:sz w:val="21"/>
                <w:szCs w:val="21"/>
              </w:rPr>
            </w:pPr>
            <w:r>
              <w:rPr>
                <w:rFonts w:hint="eastAsia"/>
                <w:color w:val="auto"/>
                <w:sz w:val="21"/>
                <w:szCs w:val="21"/>
              </w:rPr>
              <w:t>20.5</w:t>
            </w:r>
          </w:p>
        </w:tc>
        <w:tc>
          <w:tcPr>
            <w:tcW w:w="681" w:type="pct"/>
            <w:gridSpan w:val="2"/>
            <w:vAlign w:val="center"/>
          </w:tcPr>
          <w:p>
            <w:pPr>
              <w:spacing w:line="240" w:lineRule="auto"/>
              <w:ind w:firstLine="0" w:firstLineChars="0"/>
              <w:jc w:val="center"/>
              <w:rPr>
                <w:color w:val="auto"/>
                <w:sz w:val="21"/>
                <w:szCs w:val="21"/>
              </w:rPr>
            </w:pPr>
            <w:r>
              <w:rPr>
                <w:rFonts w:hint="eastAsia"/>
                <w:color w:val="auto"/>
                <w:sz w:val="21"/>
                <w:szCs w:val="21"/>
              </w:rPr>
              <w:t>9.6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989" w:type="pct"/>
            <w:vMerge w:val="continue"/>
            <w:vAlign w:val="center"/>
          </w:tcPr>
          <w:p>
            <w:pPr>
              <w:pStyle w:val="47"/>
              <w:rPr>
                <w:color w:val="auto"/>
                <w:szCs w:val="21"/>
              </w:rPr>
            </w:pPr>
          </w:p>
        </w:tc>
        <w:tc>
          <w:tcPr>
            <w:tcW w:w="507" w:type="pct"/>
            <w:vAlign w:val="center"/>
          </w:tcPr>
          <w:p>
            <w:pPr>
              <w:pStyle w:val="47"/>
              <w:rPr>
                <w:color w:val="auto"/>
              </w:rPr>
            </w:pPr>
            <w:r>
              <w:rPr>
                <w:color w:val="auto"/>
              </w:rPr>
              <w:t>泵类</w:t>
            </w:r>
          </w:p>
        </w:tc>
        <w:tc>
          <w:tcPr>
            <w:tcW w:w="722" w:type="pct"/>
            <w:gridSpan w:val="2"/>
            <w:vAlign w:val="center"/>
          </w:tcPr>
          <w:p>
            <w:pPr>
              <w:spacing w:line="240" w:lineRule="auto"/>
              <w:ind w:firstLine="0" w:firstLineChars="0"/>
              <w:jc w:val="center"/>
              <w:rPr>
                <w:color w:val="auto"/>
                <w:sz w:val="21"/>
                <w:szCs w:val="21"/>
              </w:rPr>
            </w:pPr>
            <w:r>
              <w:rPr>
                <w:rFonts w:hint="eastAsia"/>
                <w:color w:val="auto"/>
                <w:sz w:val="21"/>
                <w:szCs w:val="21"/>
              </w:rPr>
              <w:t>18.8</w:t>
            </w:r>
          </w:p>
        </w:tc>
        <w:tc>
          <w:tcPr>
            <w:tcW w:w="683" w:type="pct"/>
            <w:gridSpan w:val="2"/>
            <w:vAlign w:val="center"/>
          </w:tcPr>
          <w:p>
            <w:pPr>
              <w:spacing w:line="240" w:lineRule="auto"/>
              <w:ind w:firstLine="0" w:firstLineChars="0"/>
              <w:jc w:val="center"/>
              <w:rPr>
                <w:color w:val="auto"/>
                <w:sz w:val="21"/>
                <w:szCs w:val="21"/>
              </w:rPr>
            </w:pPr>
            <w:r>
              <w:rPr>
                <w:rFonts w:hint="eastAsia"/>
                <w:color w:val="auto"/>
                <w:sz w:val="21"/>
                <w:szCs w:val="21"/>
              </w:rPr>
              <w:t>23.6</w:t>
            </w:r>
          </w:p>
        </w:tc>
        <w:tc>
          <w:tcPr>
            <w:tcW w:w="722" w:type="pct"/>
            <w:gridSpan w:val="2"/>
            <w:vAlign w:val="center"/>
          </w:tcPr>
          <w:p>
            <w:pPr>
              <w:spacing w:line="240" w:lineRule="auto"/>
              <w:ind w:firstLine="0" w:firstLineChars="0"/>
              <w:jc w:val="center"/>
              <w:rPr>
                <w:color w:val="auto"/>
                <w:sz w:val="21"/>
                <w:szCs w:val="21"/>
              </w:rPr>
            </w:pPr>
            <w:r>
              <w:rPr>
                <w:rFonts w:hint="eastAsia"/>
                <w:color w:val="auto"/>
                <w:sz w:val="21"/>
                <w:szCs w:val="21"/>
              </w:rPr>
              <w:t>26</w:t>
            </w:r>
          </w:p>
        </w:tc>
        <w:tc>
          <w:tcPr>
            <w:tcW w:w="690" w:type="pct"/>
            <w:gridSpan w:val="2"/>
            <w:vAlign w:val="center"/>
          </w:tcPr>
          <w:p>
            <w:pPr>
              <w:spacing w:line="240" w:lineRule="auto"/>
              <w:ind w:firstLine="0" w:firstLineChars="0"/>
              <w:jc w:val="center"/>
              <w:rPr>
                <w:color w:val="auto"/>
                <w:sz w:val="21"/>
                <w:szCs w:val="21"/>
              </w:rPr>
            </w:pPr>
            <w:r>
              <w:rPr>
                <w:rFonts w:hint="eastAsia"/>
                <w:color w:val="auto"/>
                <w:sz w:val="21"/>
                <w:szCs w:val="21"/>
              </w:rPr>
              <w:t>15</w:t>
            </w:r>
          </w:p>
        </w:tc>
        <w:tc>
          <w:tcPr>
            <w:tcW w:w="681" w:type="pct"/>
            <w:gridSpan w:val="2"/>
            <w:vAlign w:val="center"/>
          </w:tcPr>
          <w:p>
            <w:pPr>
              <w:spacing w:line="240" w:lineRule="auto"/>
              <w:ind w:firstLine="0" w:firstLineChars="0"/>
              <w:jc w:val="center"/>
              <w:rPr>
                <w:color w:val="auto"/>
                <w:sz w:val="21"/>
                <w:szCs w:val="21"/>
              </w:rPr>
            </w:pPr>
            <w:r>
              <w:rPr>
                <w:rFonts w:hint="eastAsia"/>
                <w:color w:val="auto"/>
                <w:sz w:val="21"/>
                <w:szCs w:val="21"/>
              </w:rPr>
              <w:t>8.2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989" w:type="pct"/>
            <w:vAlign w:val="center"/>
          </w:tcPr>
          <w:p>
            <w:pPr>
              <w:pStyle w:val="47"/>
              <w:rPr>
                <w:color w:val="auto"/>
                <w:szCs w:val="21"/>
              </w:rPr>
            </w:pPr>
            <w:r>
              <w:rPr>
                <w:color w:val="auto"/>
              </w:rPr>
              <w:t>废气治理装置</w:t>
            </w:r>
          </w:p>
        </w:tc>
        <w:tc>
          <w:tcPr>
            <w:tcW w:w="507" w:type="pct"/>
            <w:vAlign w:val="center"/>
          </w:tcPr>
          <w:p>
            <w:pPr>
              <w:pStyle w:val="47"/>
              <w:rPr>
                <w:color w:val="auto"/>
              </w:rPr>
            </w:pPr>
            <w:r>
              <w:rPr>
                <w:color w:val="auto"/>
              </w:rPr>
              <w:t>风机</w:t>
            </w:r>
          </w:p>
        </w:tc>
        <w:tc>
          <w:tcPr>
            <w:tcW w:w="722" w:type="pct"/>
            <w:gridSpan w:val="2"/>
            <w:vAlign w:val="center"/>
          </w:tcPr>
          <w:p>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44.2</w:t>
            </w:r>
          </w:p>
        </w:tc>
        <w:tc>
          <w:tcPr>
            <w:tcW w:w="683" w:type="pct"/>
            <w:gridSpan w:val="2"/>
            <w:vAlign w:val="center"/>
          </w:tcPr>
          <w:p>
            <w:pPr>
              <w:spacing w:line="240" w:lineRule="auto"/>
              <w:ind w:firstLine="0" w:firstLineChars="0"/>
              <w:jc w:val="center"/>
              <w:rPr>
                <w:color w:val="auto"/>
                <w:sz w:val="21"/>
                <w:szCs w:val="21"/>
              </w:rPr>
            </w:pPr>
            <w:r>
              <w:rPr>
                <w:rFonts w:hint="eastAsia"/>
                <w:color w:val="auto"/>
                <w:sz w:val="21"/>
                <w:szCs w:val="21"/>
              </w:rPr>
              <w:t>30.9</w:t>
            </w:r>
          </w:p>
        </w:tc>
        <w:tc>
          <w:tcPr>
            <w:tcW w:w="722" w:type="pct"/>
            <w:gridSpan w:val="2"/>
            <w:vAlign w:val="center"/>
          </w:tcPr>
          <w:p>
            <w:pPr>
              <w:spacing w:line="240" w:lineRule="auto"/>
              <w:ind w:firstLine="0" w:firstLineChars="0"/>
              <w:jc w:val="center"/>
              <w:rPr>
                <w:color w:val="auto"/>
                <w:sz w:val="21"/>
                <w:szCs w:val="21"/>
              </w:rPr>
            </w:pPr>
            <w:r>
              <w:rPr>
                <w:rFonts w:hint="eastAsia"/>
                <w:color w:val="auto"/>
                <w:sz w:val="21"/>
                <w:szCs w:val="21"/>
              </w:rPr>
              <w:t>31.9</w:t>
            </w:r>
          </w:p>
        </w:tc>
        <w:tc>
          <w:tcPr>
            <w:tcW w:w="690" w:type="pct"/>
            <w:gridSpan w:val="2"/>
            <w:vAlign w:val="center"/>
          </w:tcPr>
          <w:p>
            <w:pPr>
              <w:spacing w:line="240" w:lineRule="auto"/>
              <w:ind w:firstLine="0" w:firstLineChars="0"/>
              <w:jc w:val="center"/>
              <w:rPr>
                <w:color w:val="auto"/>
                <w:sz w:val="21"/>
                <w:szCs w:val="21"/>
              </w:rPr>
            </w:pPr>
            <w:r>
              <w:rPr>
                <w:rFonts w:hint="eastAsia"/>
                <w:color w:val="auto"/>
                <w:sz w:val="21"/>
                <w:szCs w:val="21"/>
              </w:rPr>
              <w:t>35.5</w:t>
            </w:r>
          </w:p>
        </w:tc>
        <w:tc>
          <w:tcPr>
            <w:tcW w:w="681" w:type="pct"/>
            <w:gridSpan w:val="2"/>
            <w:vAlign w:val="center"/>
          </w:tcPr>
          <w:p>
            <w:pPr>
              <w:spacing w:line="240" w:lineRule="auto"/>
              <w:ind w:firstLine="0" w:firstLineChars="0"/>
              <w:jc w:val="center"/>
              <w:rPr>
                <w:color w:val="auto"/>
                <w:sz w:val="21"/>
                <w:szCs w:val="21"/>
              </w:rPr>
            </w:pPr>
            <w:r>
              <w:rPr>
                <w:rFonts w:hint="eastAsia"/>
                <w:color w:val="auto"/>
                <w:sz w:val="21"/>
                <w:szCs w:val="21"/>
              </w:rPr>
              <w:t>24.6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497" w:type="pct"/>
            <w:gridSpan w:val="2"/>
            <w:vAlign w:val="center"/>
          </w:tcPr>
          <w:p>
            <w:pPr>
              <w:spacing w:line="240" w:lineRule="auto"/>
              <w:ind w:firstLine="0" w:firstLineChars="0"/>
              <w:contextualSpacing/>
              <w:jc w:val="center"/>
              <w:rPr>
                <w:color w:val="auto"/>
              </w:rPr>
            </w:pPr>
            <w:r>
              <w:rPr>
                <w:color w:val="auto"/>
                <w:sz w:val="21"/>
                <w:szCs w:val="21"/>
              </w:rPr>
              <w:t>预测值</w:t>
            </w:r>
          </w:p>
        </w:tc>
        <w:tc>
          <w:tcPr>
            <w:tcW w:w="722" w:type="pct"/>
            <w:gridSpan w:val="2"/>
            <w:vAlign w:val="center"/>
          </w:tcPr>
          <w:p>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48.42</w:t>
            </w:r>
          </w:p>
        </w:tc>
        <w:tc>
          <w:tcPr>
            <w:tcW w:w="683" w:type="pct"/>
            <w:gridSpan w:val="2"/>
            <w:vAlign w:val="center"/>
          </w:tcPr>
          <w:p>
            <w:pPr>
              <w:spacing w:line="240" w:lineRule="auto"/>
              <w:ind w:firstLine="0" w:firstLineChars="0"/>
              <w:jc w:val="center"/>
              <w:rPr>
                <w:color w:val="auto"/>
                <w:sz w:val="21"/>
                <w:szCs w:val="21"/>
              </w:rPr>
            </w:pPr>
            <w:r>
              <w:rPr>
                <w:rFonts w:hint="eastAsia"/>
                <w:color w:val="auto"/>
                <w:sz w:val="21"/>
                <w:szCs w:val="21"/>
              </w:rPr>
              <w:t>40.5</w:t>
            </w:r>
          </w:p>
        </w:tc>
        <w:tc>
          <w:tcPr>
            <w:tcW w:w="722" w:type="pct"/>
            <w:gridSpan w:val="2"/>
            <w:vAlign w:val="center"/>
          </w:tcPr>
          <w:p>
            <w:pPr>
              <w:spacing w:line="240" w:lineRule="auto"/>
              <w:ind w:firstLine="0" w:firstLineChars="0"/>
              <w:jc w:val="center"/>
              <w:rPr>
                <w:color w:val="auto"/>
                <w:sz w:val="21"/>
                <w:szCs w:val="21"/>
              </w:rPr>
            </w:pPr>
            <w:r>
              <w:rPr>
                <w:rFonts w:hint="eastAsia"/>
                <w:color w:val="auto"/>
                <w:sz w:val="21"/>
                <w:szCs w:val="21"/>
              </w:rPr>
              <w:t>43.5</w:t>
            </w:r>
          </w:p>
        </w:tc>
        <w:tc>
          <w:tcPr>
            <w:tcW w:w="690" w:type="pct"/>
            <w:gridSpan w:val="2"/>
            <w:vAlign w:val="center"/>
          </w:tcPr>
          <w:p>
            <w:pPr>
              <w:spacing w:line="240" w:lineRule="auto"/>
              <w:ind w:firstLine="0" w:firstLineChars="0"/>
              <w:jc w:val="center"/>
              <w:rPr>
                <w:color w:val="auto"/>
                <w:sz w:val="21"/>
                <w:szCs w:val="21"/>
              </w:rPr>
            </w:pPr>
            <w:r>
              <w:rPr>
                <w:rFonts w:hint="eastAsia"/>
                <w:color w:val="auto"/>
                <w:sz w:val="21"/>
                <w:szCs w:val="21"/>
              </w:rPr>
              <w:t>39.6</w:t>
            </w:r>
          </w:p>
        </w:tc>
        <w:tc>
          <w:tcPr>
            <w:tcW w:w="681" w:type="pct"/>
            <w:gridSpan w:val="2"/>
            <w:vAlign w:val="center"/>
          </w:tcPr>
          <w:p>
            <w:pPr>
              <w:spacing w:line="240" w:lineRule="auto"/>
              <w:ind w:firstLine="0" w:firstLineChars="0"/>
              <w:jc w:val="center"/>
              <w:rPr>
                <w:color w:val="auto"/>
                <w:sz w:val="21"/>
                <w:szCs w:val="21"/>
              </w:rPr>
            </w:pPr>
            <w:r>
              <w:rPr>
                <w:rFonts w:hint="eastAsia"/>
                <w:color w:val="auto"/>
                <w:sz w:val="21"/>
                <w:szCs w:val="21"/>
              </w:rPr>
              <w:t>30.1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497" w:type="pct"/>
            <w:gridSpan w:val="2"/>
            <w:vAlign w:val="center"/>
          </w:tcPr>
          <w:p>
            <w:pPr>
              <w:spacing w:line="240" w:lineRule="auto"/>
              <w:ind w:firstLine="0" w:firstLineChars="0"/>
              <w:contextualSpacing/>
              <w:jc w:val="center"/>
              <w:rPr>
                <w:color w:val="auto"/>
              </w:rPr>
            </w:pPr>
            <w:r>
              <w:rPr>
                <w:color w:val="auto"/>
                <w:sz w:val="21"/>
                <w:szCs w:val="21"/>
              </w:rPr>
              <w:t>现状值</w:t>
            </w:r>
          </w:p>
        </w:tc>
        <w:tc>
          <w:tcPr>
            <w:tcW w:w="382" w:type="pct"/>
            <w:vAlign w:val="center"/>
          </w:tcPr>
          <w:p>
            <w:pPr>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59.9</w:t>
            </w:r>
          </w:p>
        </w:tc>
        <w:tc>
          <w:tcPr>
            <w:tcW w:w="340" w:type="pct"/>
            <w:vAlign w:val="center"/>
          </w:tcPr>
          <w:p>
            <w:pPr>
              <w:spacing w:line="240" w:lineRule="auto"/>
              <w:ind w:firstLine="0" w:firstLineChars="0"/>
              <w:jc w:val="center"/>
              <w:rPr>
                <w:color w:val="auto"/>
                <w:sz w:val="21"/>
                <w:szCs w:val="21"/>
              </w:rPr>
            </w:pPr>
            <w:r>
              <w:rPr>
                <w:rFonts w:hint="eastAsia"/>
                <w:color w:val="auto"/>
                <w:sz w:val="21"/>
                <w:szCs w:val="21"/>
              </w:rPr>
              <w:t>47.2</w:t>
            </w:r>
          </w:p>
        </w:tc>
        <w:tc>
          <w:tcPr>
            <w:tcW w:w="340" w:type="pct"/>
            <w:vAlign w:val="center"/>
          </w:tcPr>
          <w:p>
            <w:pPr>
              <w:spacing w:line="240" w:lineRule="auto"/>
              <w:ind w:firstLine="0" w:firstLineChars="0"/>
              <w:jc w:val="center"/>
              <w:rPr>
                <w:color w:val="auto"/>
                <w:sz w:val="21"/>
                <w:szCs w:val="21"/>
              </w:rPr>
            </w:pPr>
            <w:r>
              <w:rPr>
                <w:rFonts w:hint="eastAsia"/>
                <w:color w:val="auto"/>
                <w:sz w:val="21"/>
                <w:szCs w:val="21"/>
              </w:rPr>
              <w:t>59.3</w:t>
            </w:r>
          </w:p>
        </w:tc>
        <w:tc>
          <w:tcPr>
            <w:tcW w:w="343" w:type="pct"/>
            <w:vAlign w:val="center"/>
          </w:tcPr>
          <w:p>
            <w:pPr>
              <w:spacing w:line="240" w:lineRule="auto"/>
              <w:ind w:firstLine="0" w:firstLineChars="0"/>
              <w:jc w:val="center"/>
              <w:rPr>
                <w:color w:val="auto"/>
                <w:sz w:val="21"/>
                <w:szCs w:val="21"/>
              </w:rPr>
            </w:pPr>
            <w:r>
              <w:rPr>
                <w:rFonts w:hint="eastAsia"/>
                <w:color w:val="auto"/>
                <w:sz w:val="21"/>
                <w:szCs w:val="21"/>
              </w:rPr>
              <w:t>46.6</w:t>
            </w:r>
          </w:p>
        </w:tc>
        <w:tc>
          <w:tcPr>
            <w:tcW w:w="382" w:type="pct"/>
            <w:vAlign w:val="center"/>
          </w:tcPr>
          <w:p>
            <w:pPr>
              <w:spacing w:line="240" w:lineRule="auto"/>
              <w:ind w:firstLine="0" w:firstLineChars="0"/>
              <w:jc w:val="center"/>
              <w:rPr>
                <w:color w:val="auto"/>
                <w:sz w:val="21"/>
                <w:szCs w:val="21"/>
              </w:rPr>
            </w:pPr>
            <w:r>
              <w:rPr>
                <w:rFonts w:hint="eastAsia"/>
                <w:color w:val="auto"/>
                <w:sz w:val="21"/>
                <w:szCs w:val="21"/>
              </w:rPr>
              <w:t>56.4</w:t>
            </w:r>
          </w:p>
        </w:tc>
        <w:tc>
          <w:tcPr>
            <w:tcW w:w="340" w:type="pct"/>
            <w:vAlign w:val="center"/>
          </w:tcPr>
          <w:p>
            <w:pPr>
              <w:spacing w:line="240" w:lineRule="auto"/>
              <w:ind w:firstLine="0" w:firstLineChars="0"/>
              <w:jc w:val="center"/>
              <w:rPr>
                <w:color w:val="auto"/>
                <w:sz w:val="21"/>
                <w:szCs w:val="21"/>
              </w:rPr>
            </w:pPr>
            <w:r>
              <w:rPr>
                <w:rFonts w:hint="eastAsia"/>
                <w:color w:val="auto"/>
                <w:sz w:val="21"/>
                <w:szCs w:val="21"/>
              </w:rPr>
              <w:t>47.3</w:t>
            </w:r>
          </w:p>
        </w:tc>
        <w:tc>
          <w:tcPr>
            <w:tcW w:w="340" w:type="pct"/>
            <w:vAlign w:val="center"/>
          </w:tcPr>
          <w:p>
            <w:pPr>
              <w:spacing w:line="240" w:lineRule="auto"/>
              <w:ind w:firstLine="0" w:firstLineChars="0"/>
              <w:jc w:val="center"/>
              <w:rPr>
                <w:color w:val="auto"/>
                <w:sz w:val="21"/>
                <w:szCs w:val="21"/>
              </w:rPr>
            </w:pPr>
            <w:r>
              <w:rPr>
                <w:rFonts w:hint="eastAsia"/>
                <w:color w:val="auto"/>
                <w:sz w:val="21"/>
                <w:szCs w:val="21"/>
              </w:rPr>
              <w:t>55.3</w:t>
            </w:r>
          </w:p>
        </w:tc>
        <w:tc>
          <w:tcPr>
            <w:tcW w:w="350" w:type="pct"/>
            <w:vAlign w:val="center"/>
          </w:tcPr>
          <w:p>
            <w:pPr>
              <w:spacing w:line="240" w:lineRule="auto"/>
              <w:ind w:firstLine="0" w:firstLineChars="0"/>
              <w:jc w:val="center"/>
              <w:rPr>
                <w:color w:val="auto"/>
                <w:sz w:val="21"/>
                <w:szCs w:val="21"/>
              </w:rPr>
            </w:pPr>
            <w:r>
              <w:rPr>
                <w:rFonts w:hint="eastAsia"/>
                <w:color w:val="auto"/>
                <w:sz w:val="21"/>
                <w:szCs w:val="21"/>
              </w:rPr>
              <w:t>45.4</w:t>
            </w:r>
          </w:p>
        </w:tc>
        <w:tc>
          <w:tcPr>
            <w:tcW w:w="340" w:type="pct"/>
            <w:vAlign w:val="center"/>
          </w:tcPr>
          <w:p>
            <w:pPr>
              <w:spacing w:line="240" w:lineRule="auto"/>
              <w:ind w:firstLine="0" w:firstLineChars="0"/>
              <w:jc w:val="center"/>
              <w:rPr>
                <w:color w:val="auto"/>
                <w:sz w:val="21"/>
                <w:szCs w:val="21"/>
              </w:rPr>
            </w:pPr>
            <w:r>
              <w:rPr>
                <w:rFonts w:hint="eastAsia"/>
                <w:color w:val="auto"/>
                <w:sz w:val="21"/>
                <w:szCs w:val="21"/>
              </w:rPr>
              <w:t>55.3</w:t>
            </w:r>
          </w:p>
        </w:tc>
        <w:tc>
          <w:tcPr>
            <w:tcW w:w="340" w:type="pct"/>
            <w:vAlign w:val="center"/>
          </w:tcPr>
          <w:p>
            <w:pPr>
              <w:spacing w:line="240" w:lineRule="auto"/>
              <w:ind w:firstLine="0" w:firstLineChars="0"/>
              <w:jc w:val="center"/>
              <w:rPr>
                <w:color w:val="auto"/>
                <w:sz w:val="21"/>
                <w:szCs w:val="21"/>
              </w:rPr>
            </w:pPr>
            <w:r>
              <w:rPr>
                <w:rFonts w:hint="eastAsia"/>
                <w:color w:val="auto"/>
                <w:sz w:val="21"/>
                <w:szCs w:val="21"/>
              </w:rPr>
              <w:t>42.7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497" w:type="pct"/>
            <w:gridSpan w:val="2"/>
            <w:vAlign w:val="center"/>
          </w:tcPr>
          <w:p>
            <w:pPr>
              <w:spacing w:line="240" w:lineRule="auto"/>
              <w:ind w:firstLine="0" w:firstLineChars="0"/>
              <w:contextualSpacing/>
              <w:jc w:val="center"/>
              <w:rPr>
                <w:color w:val="auto"/>
              </w:rPr>
            </w:pPr>
            <w:r>
              <w:rPr>
                <w:color w:val="auto"/>
                <w:sz w:val="21"/>
                <w:szCs w:val="21"/>
              </w:rPr>
              <w:t>叠加值</w:t>
            </w:r>
          </w:p>
        </w:tc>
        <w:tc>
          <w:tcPr>
            <w:tcW w:w="382" w:type="pct"/>
            <w:vAlign w:val="center"/>
          </w:tcPr>
          <w:p>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59.9</w:t>
            </w:r>
          </w:p>
        </w:tc>
        <w:tc>
          <w:tcPr>
            <w:tcW w:w="340" w:type="pct"/>
            <w:vAlign w:val="center"/>
          </w:tcPr>
          <w:p>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49.4</w:t>
            </w:r>
          </w:p>
        </w:tc>
        <w:tc>
          <w:tcPr>
            <w:tcW w:w="340" w:type="pct"/>
            <w:vAlign w:val="center"/>
          </w:tcPr>
          <w:p>
            <w:pPr>
              <w:spacing w:line="240" w:lineRule="auto"/>
              <w:ind w:firstLine="0" w:firstLineChars="0"/>
              <w:jc w:val="center"/>
              <w:rPr>
                <w:color w:val="auto"/>
                <w:sz w:val="21"/>
                <w:szCs w:val="21"/>
              </w:rPr>
            </w:pPr>
            <w:r>
              <w:rPr>
                <w:rFonts w:hint="eastAsia"/>
                <w:color w:val="auto"/>
                <w:sz w:val="21"/>
                <w:szCs w:val="21"/>
              </w:rPr>
              <w:t>59.4</w:t>
            </w:r>
          </w:p>
        </w:tc>
        <w:tc>
          <w:tcPr>
            <w:tcW w:w="343" w:type="pct"/>
            <w:vAlign w:val="center"/>
          </w:tcPr>
          <w:p>
            <w:pPr>
              <w:spacing w:line="240" w:lineRule="auto"/>
              <w:ind w:firstLine="0" w:firstLineChars="0"/>
              <w:jc w:val="center"/>
              <w:rPr>
                <w:color w:val="auto"/>
                <w:sz w:val="21"/>
                <w:szCs w:val="21"/>
              </w:rPr>
            </w:pPr>
            <w:r>
              <w:rPr>
                <w:rFonts w:hint="eastAsia"/>
                <w:color w:val="auto"/>
                <w:sz w:val="21"/>
                <w:szCs w:val="21"/>
              </w:rPr>
              <w:t>47.5</w:t>
            </w:r>
          </w:p>
        </w:tc>
        <w:tc>
          <w:tcPr>
            <w:tcW w:w="382" w:type="pct"/>
            <w:vAlign w:val="center"/>
          </w:tcPr>
          <w:p>
            <w:pPr>
              <w:spacing w:line="240" w:lineRule="auto"/>
              <w:ind w:firstLine="0" w:firstLineChars="0"/>
              <w:jc w:val="center"/>
              <w:rPr>
                <w:color w:val="auto"/>
                <w:sz w:val="21"/>
                <w:szCs w:val="21"/>
              </w:rPr>
            </w:pPr>
            <w:r>
              <w:rPr>
                <w:rFonts w:hint="eastAsia"/>
                <w:color w:val="auto"/>
                <w:sz w:val="21"/>
                <w:szCs w:val="21"/>
              </w:rPr>
              <w:t>56.62</w:t>
            </w:r>
          </w:p>
        </w:tc>
        <w:tc>
          <w:tcPr>
            <w:tcW w:w="340" w:type="pct"/>
            <w:vAlign w:val="center"/>
          </w:tcPr>
          <w:p>
            <w:pPr>
              <w:spacing w:line="240" w:lineRule="auto"/>
              <w:ind w:firstLine="0" w:firstLineChars="0"/>
              <w:jc w:val="center"/>
              <w:rPr>
                <w:color w:val="auto"/>
                <w:sz w:val="21"/>
                <w:szCs w:val="21"/>
              </w:rPr>
            </w:pPr>
            <w:r>
              <w:rPr>
                <w:rFonts w:hint="eastAsia"/>
                <w:color w:val="auto"/>
                <w:sz w:val="21"/>
                <w:szCs w:val="21"/>
              </w:rPr>
              <w:t>48.8</w:t>
            </w:r>
          </w:p>
        </w:tc>
        <w:tc>
          <w:tcPr>
            <w:tcW w:w="340" w:type="pct"/>
            <w:vAlign w:val="center"/>
          </w:tcPr>
          <w:p>
            <w:pPr>
              <w:spacing w:line="240" w:lineRule="auto"/>
              <w:ind w:firstLine="0" w:firstLineChars="0"/>
              <w:jc w:val="center"/>
              <w:rPr>
                <w:color w:val="auto"/>
                <w:sz w:val="21"/>
                <w:szCs w:val="21"/>
              </w:rPr>
            </w:pPr>
            <w:r>
              <w:rPr>
                <w:rFonts w:hint="eastAsia"/>
                <w:color w:val="auto"/>
                <w:sz w:val="21"/>
                <w:szCs w:val="21"/>
              </w:rPr>
              <w:t>55.4</w:t>
            </w:r>
          </w:p>
        </w:tc>
        <w:tc>
          <w:tcPr>
            <w:tcW w:w="350" w:type="pct"/>
            <w:vAlign w:val="center"/>
          </w:tcPr>
          <w:p>
            <w:pPr>
              <w:spacing w:line="240" w:lineRule="auto"/>
              <w:ind w:firstLine="0" w:firstLineChars="0"/>
              <w:jc w:val="center"/>
              <w:rPr>
                <w:color w:val="auto"/>
                <w:sz w:val="21"/>
                <w:szCs w:val="21"/>
              </w:rPr>
            </w:pPr>
            <w:r>
              <w:rPr>
                <w:rFonts w:hint="eastAsia"/>
                <w:color w:val="auto"/>
                <w:sz w:val="21"/>
                <w:szCs w:val="21"/>
              </w:rPr>
              <w:t>46.4</w:t>
            </w:r>
          </w:p>
        </w:tc>
        <w:tc>
          <w:tcPr>
            <w:tcW w:w="340" w:type="pct"/>
            <w:vAlign w:val="center"/>
          </w:tcPr>
          <w:p>
            <w:pPr>
              <w:spacing w:line="240" w:lineRule="auto"/>
              <w:ind w:firstLine="0" w:firstLineChars="0"/>
              <w:jc w:val="center"/>
              <w:rPr>
                <w:color w:val="auto"/>
                <w:sz w:val="21"/>
                <w:szCs w:val="21"/>
              </w:rPr>
            </w:pPr>
            <w:r>
              <w:rPr>
                <w:rFonts w:hint="eastAsia"/>
                <w:color w:val="auto"/>
                <w:sz w:val="21"/>
                <w:szCs w:val="21"/>
              </w:rPr>
              <w:t>55.3</w:t>
            </w:r>
          </w:p>
        </w:tc>
        <w:tc>
          <w:tcPr>
            <w:tcW w:w="340" w:type="pct"/>
            <w:vAlign w:val="center"/>
          </w:tcPr>
          <w:p>
            <w:pPr>
              <w:spacing w:line="240" w:lineRule="auto"/>
              <w:ind w:firstLine="0" w:firstLineChars="0"/>
              <w:jc w:val="center"/>
              <w:rPr>
                <w:color w:val="auto"/>
                <w:sz w:val="21"/>
                <w:szCs w:val="21"/>
              </w:rPr>
            </w:pPr>
            <w:r>
              <w:rPr>
                <w:rFonts w:hint="eastAsia"/>
                <w:color w:val="auto"/>
                <w:sz w:val="21"/>
                <w:szCs w:val="21"/>
              </w:rPr>
              <w:t>42.9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497" w:type="pct"/>
            <w:gridSpan w:val="2"/>
            <w:vAlign w:val="center"/>
          </w:tcPr>
          <w:p>
            <w:pPr>
              <w:spacing w:line="240" w:lineRule="auto"/>
              <w:ind w:firstLine="0" w:firstLineChars="0"/>
              <w:contextualSpacing/>
              <w:jc w:val="center"/>
              <w:rPr>
                <w:color w:val="auto"/>
              </w:rPr>
            </w:pPr>
            <w:r>
              <w:rPr>
                <w:color w:val="auto"/>
                <w:sz w:val="21"/>
                <w:szCs w:val="21"/>
              </w:rPr>
              <w:t>标准值</w:t>
            </w:r>
          </w:p>
        </w:tc>
        <w:tc>
          <w:tcPr>
            <w:tcW w:w="2820" w:type="pct"/>
            <w:gridSpan w:val="8"/>
            <w:vAlign w:val="center"/>
          </w:tcPr>
          <w:p>
            <w:pPr>
              <w:spacing w:line="240" w:lineRule="auto"/>
              <w:ind w:firstLine="0" w:firstLineChars="0"/>
              <w:jc w:val="center"/>
              <w:rPr>
                <w:rFonts w:hint="default" w:eastAsia="宋体"/>
                <w:color w:val="auto"/>
                <w:sz w:val="21"/>
                <w:szCs w:val="21"/>
                <w:lang w:val="en-US" w:eastAsia="zh-CN"/>
              </w:rPr>
            </w:pPr>
            <w:r>
              <w:rPr>
                <w:color w:val="auto"/>
                <w:sz w:val="21"/>
                <w:szCs w:val="21"/>
              </w:rPr>
              <w:t>昼间：</w:t>
            </w:r>
            <w:r>
              <w:rPr>
                <w:rFonts w:hint="eastAsia"/>
                <w:color w:val="auto"/>
                <w:sz w:val="21"/>
                <w:szCs w:val="21"/>
                <w:lang w:val="en-US" w:eastAsia="zh-CN"/>
              </w:rPr>
              <w:t>60</w:t>
            </w:r>
            <w:r>
              <w:rPr>
                <w:color w:val="auto"/>
                <w:sz w:val="21"/>
                <w:szCs w:val="21"/>
              </w:rPr>
              <w:t>；夜间：</w:t>
            </w:r>
            <w:r>
              <w:rPr>
                <w:rFonts w:hint="eastAsia"/>
                <w:color w:val="auto"/>
                <w:sz w:val="21"/>
                <w:szCs w:val="21"/>
                <w:lang w:val="en-US" w:eastAsia="zh-CN"/>
              </w:rPr>
              <w:t>50</w:t>
            </w:r>
          </w:p>
        </w:tc>
        <w:tc>
          <w:tcPr>
            <w:tcW w:w="681" w:type="pct"/>
            <w:gridSpan w:val="2"/>
            <w:vAlign w:val="center"/>
          </w:tcPr>
          <w:p>
            <w:pPr>
              <w:spacing w:line="240" w:lineRule="auto"/>
              <w:ind w:firstLine="0" w:firstLineChars="0"/>
              <w:jc w:val="center"/>
              <w:rPr>
                <w:color w:val="auto"/>
                <w:sz w:val="21"/>
                <w:szCs w:val="21"/>
              </w:rPr>
            </w:pPr>
            <w:r>
              <w:rPr>
                <w:color w:val="auto"/>
                <w:sz w:val="21"/>
                <w:szCs w:val="21"/>
              </w:rPr>
              <w:t>昼间：</w:t>
            </w:r>
            <w:r>
              <w:rPr>
                <w:rFonts w:hint="eastAsia"/>
                <w:color w:val="auto"/>
                <w:sz w:val="21"/>
                <w:szCs w:val="21"/>
              </w:rPr>
              <w:t>60</w:t>
            </w:r>
          </w:p>
          <w:p>
            <w:pPr>
              <w:spacing w:line="240" w:lineRule="auto"/>
              <w:ind w:firstLine="0" w:firstLineChars="0"/>
              <w:jc w:val="center"/>
              <w:rPr>
                <w:color w:val="auto"/>
                <w:sz w:val="21"/>
                <w:szCs w:val="21"/>
              </w:rPr>
            </w:pPr>
            <w:r>
              <w:rPr>
                <w:color w:val="auto"/>
                <w:sz w:val="21"/>
                <w:szCs w:val="21"/>
              </w:rPr>
              <w:t>夜间：</w:t>
            </w:r>
            <w:r>
              <w:rPr>
                <w:rFonts w:hint="eastAsia"/>
                <w:color w:val="auto"/>
                <w:sz w:val="21"/>
                <w:szCs w:val="21"/>
              </w:rPr>
              <w:t>50</w:t>
            </w:r>
          </w:p>
        </w:tc>
      </w:tr>
    </w:tbl>
    <w:p>
      <w:pPr>
        <w:tabs>
          <w:tab w:val="left" w:pos="8460"/>
        </w:tabs>
        <w:ind w:firstLine="480"/>
        <w:rPr>
          <w:color w:val="auto"/>
        </w:rPr>
      </w:pPr>
      <w:r>
        <w:rPr>
          <w:color w:val="auto"/>
        </w:rPr>
        <w:t>由预测结果知，</w:t>
      </w:r>
      <w:r>
        <w:rPr>
          <w:rFonts w:hint="eastAsia"/>
          <w:color w:val="auto"/>
        </w:rPr>
        <w:t>拟建项目</w:t>
      </w:r>
      <w:r>
        <w:rPr>
          <w:color w:val="auto"/>
        </w:rPr>
        <w:t>投产后，对各厂界的贡献值较小，南、西、北厂界昼、夜间噪声均能满足《工业企业厂界环境噪声排放标准》（GB12348-2008）中的</w:t>
      </w:r>
      <w:r>
        <w:rPr>
          <w:rFonts w:hint="eastAsia"/>
          <w:color w:val="auto"/>
          <w:lang w:eastAsia="zh-CN"/>
        </w:rPr>
        <w:t>2类标准</w:t>
      </w:r>
      <w:r>
        <w:rPr>
          <w:color w:val="auto"/>
        </w:rPr>
        <w:t>要求</w:t>
      </w:r>
      <w:r>
        <w:rPr>
          <w:rFonts w:hint="eastAsia"/>
          <w:color w:val="auto"/>
        </w:rPr>
        <w:t>，西北方向180m处的声环境敏感目标解营村</w:t>
      </w:r>
      <w:r>
        <w:rPr>
          <w:color w:val="auto"/>
        </w:rPr>
        <w:t>昼、夜间噪声均能满足《</w:t>
      </w:r>
      <w:r>
        <w:rPr>
          <w:rFonts w:hint="eastAsia"/>
          <w:color w:val="auto"/>
        </w:rPr>
        <w:t>声环境质量标准</w:t>
      </w:r>
      <w:r>
        <w:rPr>
          <w:color w:val="auto"/>
        </w:rPr>
        <w:t>》（GB</w:t>
      </w:r>
      <w:r>
        <w:rPr>
          <w:rFonts w:hint="eastAsia"/>
          <w:color w:val="auto"/>
        </w:rPr>
        <w:t>3096-2008</w:t>
      </w:r>
      <w:r>
        <w:rPr>
          <w:color w:val="auto"/>
        </w:rPr>
        <w:t>）中的</w:t>
      </w:r>
      <w:r>
        <w:rPr>
          <w:rFonts w:hint="eastAsia"/>
          <w:color w:val="auto"/>
        </w:rPr>
        <w:t>2</w:t>
      </w:r>
      <w:r>
        <w:rPr>
          <w:color w:val="auto"/>
        </w:rPr>
        <w:t>类标准要求。</w:t>
      </w:r>
    </w:p>
    <w:p>
      <w:pPr>
        <w:adjustRightInd w:val="0"/>
        <w:snapToGrid w:val="0"/>
        <w:ind w:firstLine="480"/>
        <w:rPr>
          <w:color w:val="auto"/>
        </w:rPr>
      </w:pPr>
      <w:r>
        <w:rPr>
          <w:color w:val="auto"/>
        </w:rPr>
        <w:t>由此可知，本项目建成后车间内生产设备产生的噪声经过隔音、消声及距离衰减后，对周围声环境的影响可接受。项目</w:t>
      </w:r>
      <w:r>
        <w:rPr>
          <w:rFonts w:hint="eastAsia"/>
          <w:color w:val="auto"/>
        </w:rPr>
        <w:t>西北方向180m处的声环境敏感目标解营村</w:t>
      </w:r>
      <w:r>
        <w:rPr>
          <w:color w:val="auto"/>
        </w:rPr>
        <w:t>昼、夜间噪声均能满足《</w:t>
      </w:r>
      <w:r>
        <w:rPr>
          <w:rFonts w:hint="eastAsia"/>
          <w:color w:val="auto"/>
        </w:rPr>
        <w:t>声环境质量标准</w:t>
      </w:r>
      <w:r>
        <w:rPr>
          <w:color w:val="auto"/>
        </w:rPr>
        <w:t>》（GB</w:t>
      </w:r>
      <w:r>
        <w:rPr>
          <w:rFonts w:hint="eastAsia"/>
          <w:color w:val="auto"/>
        </w:rPr>
        <w:t>3096-2008</w:t>
      </w:r>
      <w:r>
        <w:rPr>
          <w:color w:val="auto"/>
        </w:rPr>
        <w:t>）中的</w:t>
      </w:r>
      <w:r>
        <w:rPr>
          <w:rFonts w:hint="eastAsia"/>
          <w:color w:val="auto"/>
        </w:rPr>
        <w:t>2</w:t>
      </w:r>
      <w:r>
        <w:rPr>
          <w:color w:val="auto"/>
        </w:rPr>
        <w:t>类标准要求，项目对声环境影响较小。</w:t>
      </w:r>
      <w:bookmarkStart w:id="320" w:name="_Toc29208"/>
      <w:bookmarkStart w:id="321" w:name="_Toc16575"/>
      <w:bookmarkStart w:id="322" w:name="_Toc22184"/>
      <w:bookmarkStart w:id="323" w:name="_Toc16169"/>
      <w:bookmarkStart w:id="324" w:name="_Toc1590"/>
      <w:bookmarkStart w:id="325" w:name="_Toc8431"/>
      <w:bookmarkStart w:id="326" w:name="_Toc9655"/>
      <w:bookmarkStart w:id="327" w:name="_Toc6844"/>
      <w:bookmarkStart w:id="328" w:name="_Toc6480"/>
      <w:bookmarkStart w:id="329" w:name="_Toc20781"/>
      <w:bookmarkStart w:id="330" w:name="_Toc17645"/>
      <w:bookmarkStart w:id="331" w:name="_Toc18063"/>
      <w:bookmarkStart w:id="332" w:name="_Toc28347"/>
      <w:bookmarkStart w:id="333" w:name="_Toc25032"/>
    </w:p>
    <w:p>
      <w:pPr>
        <w:ind w:firstLine="0" w:firstLineChars="0"/>
        <w:outlineLvl w:val="2"/>
        <w:rPr>
          <w:rFonts w:hint="eastAsia" w:ascii="Times New Roman" w:eastAsia="黑体"/>
          <w:color w:val="auto"/>
          <w:sz w:val="24"/>
          <w:szCs w:val="24"/>
          <w:highlight w:val="none"/>
        </w:rPr>
      </w:pPr>
      <w:bookmarkStart w:id="334" w:name="_Toc17193"/>
      <w:bookmarkStart w:id="335" w:name="_Toc3885"/>
      <w:r>
        <w:rPr>
          <w:rFonts w:hint="eastAsia" w:ascii="Times New Roman" w:eastAsia="黑体"/>
          <w:color w:val="auto"/>
          <w:sz w:val="24"/>
          <w:szCs w:val="24"/>
          <w:highlight w:val="none"/>
        </w:rPr>
        <w:t>5.4.</w:t>
      </w:r>
      <w:r>
        <w:rPr>
          <w:rFonts w:hint="eastAsia" w:ascii="Times New Roman" w:eastAsia="黑体"/>
          <w:color w:val="auto"/>
          <w:sz w:val="24"/>
          <w:szCs w:val="24"/>
          <w:highlight w:val="none"/>
          <w:lang w:val="en-US" w:eastAsia="zh-CN"/>
        </w:rPr>
        <w:t>5</w:t>
      </w:r>
      <w:r>
        <w:rPr>
          <w:rFonts w:hint="eastAsia" w:ascii="Times New Roman" w:eastAsia="黑体"/>
          <w:color w:val="auto"/>
          <w:sz w:val="24"/>
          <w:szCs w:val="24"/>
          <w:highlight w:val="none"/>
        </w:rPr>
        <w:t>噪声控制措施</w:t>
      </w:r>
    </w:p>
    <w:p>
      <w:pPr>
        <w:keepNext w:val="0"/>
        <w:keepLines w:val="0"/>
        <w:pageBreakBefore w:val="0"/>
        <w:widowControl w:val="0"/>
        <w:kinsoku/>
        <w:wordWrap/>
        <w:overflowPunct/>
        <w:topLinePunct w:val="0"/>
        <w:autoSpaceDE/>
        <w:autoSpaceDN/>
        <w:bidi w:val="0"/>
        <w:adjustRightInd w:val="0"/>
        <w:snapToGrid w:val="0"/>
        <w:spacing w:line="440" w:lineRule="exact"/>
        <w:ind w:firstLine="480"/>
        <w:textAlignment w:val="auto"/>
        <w:rPr>
          <w:rFonts w:hAnsi="宋体"/>
          <w:color w:val="auto"/>
          <w:highlight w:val="none"/>
        </w:rPr>
      </w:pPr>
      <w:r>
        <w:rPr>
          <w:rFonts w:hint="eastAsia" w:hAnsi="宋体"/>
          <w:color w:val="auto"/>
          <w:highlight w:val="none"/>
        </w:rPr>
        <w:t>项目</w:t>
      </w:r>
      <w:r>
        <w:rPr>
          <w:rFonts w:hAnsi="宋体"/>
          <w:color w:val="auto"/>
          <w:highlight w:val="none"/>
        </w:rPr>
        <w:t>将从以下几方面控制噪声污染：</w:t>
      </w:r>
    </w:p>
    <w:p>
      <w:pPr>
        <w:keepNext w:val="0"/>
        <w:keepLines w:val="0"/>
        <w:pageBreakBefore w:val="0"/>
        <w:widowControl w:val="0"/>
        <w:kinsoku/>
        <w:wordWrap/>
        <w:overflowPunct/>
        <w:topLinePunct w:val="0"/>
        <w:autoSpaceDE/>
        <w:autoSpaceDN/>
        <w:bidi w:val="0"/>
        <w:adjustRightInd w:val="0"/>
        <w:snapToGrid w:val="0"/>
        <w:spacing w:line="440" w:lineRule="exact"/>
        <w:ind w:firstLine="480"/>
        <w:textAlignment w:val="auto"/>
        <w:rPr>
          <w:rFonts w:hAnsi="宋体"/>
          <w:color w:val="auto"/>
          <w:highlight w:val="none"/>
        </w:rPr>
      </w:pPr>
      <w:r>
        <w:rPr>
          <w:rFonts w:hAnsi="宋体"/>
          <w:color w:val="auto"/>
          <w:highlight w:val="none"/>
        </w:rPr>
        <w:t>①从治理噪声源入手，选用符合噪声限值要求的低噪音设备；或者在订购设备时，作为技术参数向厂家提出要求；</w:t>
      </w:r>
    </w:p>
    <w:p>
      <w:pPr>
        <w:keepNext w:val="0"/>
        <w:keepLines w:val="0"/>
        <w:pageBreakBefore w:val="0"/>
        <w:widowControl w:val="0"/>
        <w:kinsoku/>
        <w:wordWrap/>
        <w:overflowPunct/>
        <w:topLinePunct w:val="0"/>
        <w:autoSpaceDE/>
        <w:autoSpaceDN/>
        <w:bidi w:val="0"/>
        <w:adjustRightInd w:val="0"/>
        <w:snapToGrid w:val="0"/>
        <w:spacing w:line="440" w:lineRule="exact"/>
        <w:ind w:firstLine="480"/>
        <w:textAlignment w:val="auto"/>
        <w:rPr>
          <w:rFonts w:hint="eastAsia" w:hAnsi="宋体"/>
          <w:color w:val="auto"/>
          <w:highlight w:val="none"/>
        </w:rPr>
      </w:pPr>
      <w:r>
        <w:rPr>
          <w:rFonts w:hAnsi="宋体"/>
          <w:color w:val="auto"/>
          <w:highlight w:val="none"/>
        </w:rPr>
        <w:t>②在一些必要的设备（如</w:t>
      </w:r>
      <w:r>
        <w:rPr>
          <w:rFonts w:hint="eastAsia" w:hAnsi="宋体"/>
          <w:color w:val="auto"/>
          <w:highlight w:val="none"/>
        </w:rPr>
        <w:t>空压</w:t>
      </w:r>
      <w:r>
        <w:rPr>
          <w:rFonts w:hAnsi="宋体"/>
          <w:color w:val="auto"/>
          <w:highlight w:val="none"/>
        </w:rPr>
        <w:t>机等）上加装消声、隔音装置及减振基础等，风机安装阻抗复合式消声器，同时，根据实际情况，对上述装置采取减振、隔声等措施。</w:t>
      </w:r>
    </w:p>
    <w:p>
      <w:pPr>
        <w:keepNext w:val="0"/>
        <w:keepLines w:val="0"/>
        <w:pageBreakBefore w:val="0"/>
        <w:widowControl w:val="0"/>
        <w:kinsoku/>
        <w:wordWrap/>
        <w:overflowPunct/>
        <w:topLinePunct w:val="0"/>
        <w:autoSpaceDE/>
        <w:autoSpaceDN/>
        <w:bidi w:val="0"/>
        <w:adjustRightInd w:val="0"/>
        <w:snapToGrid w:val="0"/>
        <w:spacing w:line="440" w:lineRule="exact"/>
        <w:ind w:firstLine="480"/>
        <w:textAlignment w:val="auto"/>
        <w:rPr>
          <w:rFonts w:hAnsi="宋体"/>
          <w:color w:val="auto"/>
          <w:highlight w:val="none"/>
        </w:rPr>
      </w:pPr>
      <w:r>
        <w:rPr>
          <w:rFonts w:hAnsi="宋体"/>
          <w:color w:val="auto"/>
          <w:highlight w:val="none"/>
        </w:rPr>
        <w:t>③在设备管道设计中，采用软接头和低噪声阀门等，并注意管道走向及连接角度，以降低再生噪声；</w:t>
      </w:r>
    </w:p>
    <w:p>
      <w:pPr>
        <w:keepNext w:val="0"/>
        <w:keepLines w:val="0"/>
        <w:pageBreakBefore w:val="0"/>
        <w:widowControl w:val="0"/>
        <w:kinsoku/>
        <w:wordWrap/>
        <w:overflowPunct/>
        <w:topLinePunct w:val="0"/>
        <w:autoSpaceDE/>
        <w:autoSpaceDN/>
        <w:bidi w:val="0"/>
        <w:adjustRightInd w:val="0"/>
        <w:snapToGrid w:val="0"/>
        <w:spacing w:line="440" w:lineRule="exact"/>
        <w:textAlignment w:val="auto"/>
        <w:rPr>
          <w:rFonts w:hint="eastAsia" w:hAnsi="宋体"/>
          <w:color w:val="auto"/>
          <w:highlight w:val="none"/>
        </w:rPr>
      </w:pPr>
      <w:r>
        <w:rPr>
          <w:rFonts w:hint="eastAsia" w:hAnsi="宋体"/>
          <w:color w:val="auto"/>
          <w:highlight w:val="none"/>
          <w:lang w:val="en-US" w:eastAsia="zh-CN"/>
        </w:rPr>
        <w:t>④</w:t>
      </w:r>
      <w:r>
        <w:rPr>
          <w:rFonts w:hAnsi="宋体"/>
          <w:color w:val="auto"/>
          <w:highlight w:val="none"/>
        </w:rPr>
        <w:t>控制室设置隔声窗、隔声门，室顶装吸音材料</w:t>
      </w:r>
      <w:r>
        <w:rPr>
          <w:rFonts w:hint="eastAsia" w:hAnsi="宋体"/>
          <w:color w:val="auto"/>
          <w:highlight w:val="none"/>
        </w:rPr>
        <w:t>，</w:t>
      </w:r>
      <w:r>
        <w:rPr>
          <w:rFonts w:hAnsi="宋体"/>
          <w:color w:val="auto"/>
          <w:highlight w:val="none"/>
        </w:rPr>
        <w:t>降低室内噪声和对外环境的影响</w:t>
      </w:r>
      <w:r>
        <w:rPr>
          <w:rFonts w:hint="eastAsia" w:hAnsi="宋体"/>
          <w:color w:val="auto"/>
          <w:highlight w:val="none"/>
        </w:rPr>
        <w:t>。</w:t>
      </w:r>
    </w:p>
    <w:p>
      <w:pPr>
        <w:pStyle w:val="2"/>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黑体" w:cs="Times New Roman"/>
          <w:color w:val="auto"/>
          <w:sz w:val="21"/>
          <w:szCs w:val="20"/>
          <w:highlight w:val="none"/>
          <w:lang w:val="en-US" w:eastAsia="zh-CN"/>
        </w:rPr>
      </w:pPr>
      <w:r>
        <w:rPr>
          <w:rFonts w:hint="default" w:ascii="Times New Roman" w:hAnsi="Times New Roman" w:eastAsia="黑体" w:cs="Times New Roman"/>
          <w:color w:val="auto"/>
          <w:sz w:val="21"/>
          <w:szCs w:val="20"/>
          <w:highlight w:val="none"/>
          <w:lang w:val="en-US" w:eastAsia="zh-CN"/>
        </w:rPr>
        <w:t>表5.4-</w:t>
      </w:r>
      <w:r>
        <w:rPr>
          <w:rFonts w:hint="eastAsia" w:eastAsia="黑体" w:cs="Times New Roman"/>
          <w:color w:val="auto"/>
          <w:sz w:val="21"/>
          <w:szCs w:val="20"/>
          <w:highlight w:val="none"/>
          <w:lang w:val="en-US" w:eastAsia="zh-CN"/>
        </w:rPr>
        <w:t>5</w:t>
      </w:r>
      <w:r>
        <w:rPr>
          <w:rFonts w:hint="default" w:ascii="Times New Roman" w:hAnsi="Times New Roman" w:eastAsia="黑体" w:cs="Times New Roman"/>
          <w:color w:val="auto"/>
          <w:sz w:val="21"/>
          <w:szCs w:val="20"/>
          <w:highlight w:val="none"/>
          <w:lang w:val="en-US" w:eastAsia="zh-CN"/>
        </w:rPr>
        <w:t xml:space="preserve">  噪声防治措施及投资情况一览表</w:t>
      </w:r>
    </w:p>
    <w:tbl>
      <w:tblPr>
        <w:tblStyle w:val="2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77"/>
        <w:gridCol w:w="2157"/>
        <w:gridCol w:w="2285"/>
        <w:gridCol w:w="25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噪声防治措施（类型）</w:t>
            </w:r>
          </w:p>
        </w:tc>
        <w:tc>
          <w:tcPr>
            <w:tcW w:w="116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噪声防治措施规模</w:t>
            </w:r>
          </w:p>
        </w:tc>
        <w:tc>
          <w:tcPr>
            <w:tcW w:w="1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噪声防治措施效果</w:t>
            </w:r>
          </w:p>
        </w:tc>
        <w:tc>
          <w:tcPr>
            <w:tcW w:w="138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噪声防治措施投资/万元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选择低噪声设备</w:t>
            </w:r>
          </w:p>
        </w:tc>
        <w:tc>
          <w:tcPr>
            <w:tcW w:w="116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主要发声设备</w:t>
            </w:r>
          </w:p>
        </w:tc>
        <w:tc>
          <w:tcPr>
            <w:tcW w:w="123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减少声压级10~20dB</w:t>
            </w:r>
          </w:p>
        </w:tc>
        <w:tc>
          <w:tcPr>
            <w:tcW w:w="138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减振、隔声</w:t>
            </w:r>
          </w:p>
        </w:tc>
        <w:tc>
          <w:tcPr>
            <w:tcW w:w="116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铬刚玉生产车间</w:t>
            </w:r>
          </w:p>
        </w:tc>
        <w:tc>
          <w:tcPr>
            <w:tcW w:w="123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firstLine="0" w:firstLineChars="0"/>
              <w:jc w:val="center"/>
              <w:textAlignment w:val="auto"/>
              <w:rPr>
                <w:rFonts w:hint="default"/>
                <w:color w:val="auto"/>
                <w:sz w:val="21"/>
                <w:szCs w:val="21"/>
                <w:highlight w:val="none"/>
                <w:vertAlign w:val="baseline"/>
                <w:lang w:val="en-US" w:eastAsia="zh-CN"/>
              </w:rPr>
            </w:pPr>
          </w:p>
        </w:tc>
        <w:tc>
          <w:tcPr>
            <w:tcW w:w="138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312" w:lineRule="atLeast"/>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10.0</w:t>
            </w:r>
          </w:p>
        </w:tc>
      </w:tr>
    </w:tbl>
    <w:p>
      <w:pPr>
        <w:rPr>
          <w:rFonts w:hint="eastAsia"/>
          <w:color w:val="auto"/>
          <w:highlight w:val="none"/>
          <w:lang w:val="en-US" w:eastAsia="zh-CN"/>
        </w:rPr>
      </w:pPr>
      <w:r>
        <w:rPr>
          <w:rFonts w:hint="eastAsia"/>
          <w:color w:val="auto"/>
          <w:highlight w:val="none"/>
          <w:lang w:val="en-US" w:eastAsia="zh-CN"/>
        </w:rPr>
        <w:t>噪声防治措施图具体见下图5.4-2。</w:t>
      </w:r>
    </w:p>
    <w:p>
      <w:pPr>
        <w:pStyle w:val="9"/>
        <w:spacing w:before="0" w:beforeLines="0" w:after="0" w:afterLines="0" w:line="240" w:lineRule="auto"/>
        <w:jc w:val="distribute"/>
        <w:rPr>
          <w:rFonts w:hint="eastAsia"/>
          <w:color w:val="auto"/>
        </w:rPr>
      </w:pPr>
      <w:r>
        <w:rPr>
          <w:color w:val="auto"/>
          <w:sz w:val="21"/>
        </w:rPr>
        <mc:AlternateContent>
          <mc:Choice Requires="wps">
            <w:drawing>
              <wp:anchor distT="0" distB="0" distL="114300" distR="114300" simplePos="0" relativeHeight="251789312" behindDoc="0" locked="0" layoutInCell="1" allowOverlap="1">
                <wp:simplePos x="0" y="0"/>
                <wp:positionH relativeFrom="column">
                  <wp:posOffset>2887345</wp:posOffset>
                </wp:positionH>
                <wp:positionV relativeFrom="paragraph">
                  <wp:posOffset>1113790</wp:posOffset>
                </wp:positionV>
                <wp:extent cx="953770" cy="4026535"/>
                <wp:effectExtent l="6350" t="6350" r="11430" b="24765"/>
                <wp:wrapNone/>
                <wp:docPr id="217" name="矩形 217"/>
                <wp:cNvGraphicFramePr/>
                <a:graphic xmlns:a="http://schemas.openxmlformats.org/drawingml/2006/main">
                  <a:graphicData uri="http://schemas.microsoft.com/office/word/2010/wordprocessingShape">
                    <wps:wsp>
                      <wps:cNvSpPr/>
                      <wps:spPr>
                        <a:xfrm>
                          <a:off x="0" y="0"/>
                          <a:ext cx="953770" cy="4026535"/>
                        </a:xfrm>
                        <a:prstGeom prst="rect">
                          <a:avLst/>
                        </a:prstGeom>
                        <a:solidFill>
                          <a:srgbClr val="FFC000">
                            <a:alpha val="50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35pt;margin-top:87.7pt;height:317.05pt;width:75.1pt;z-index:251789312;v-text-anchor:middle;mso-width-relative:page;mso-height-relative:page;" fillcolor="#FFC000" filled="t" stroked="t" coordsize="21600,21600" o:gfxdata="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Kr+PhfZAAAACwEA&#10;AA8AAAAAAAAAAQAgAAAAIgAAAGRycy9kb3ducmV2LnhtbFBLAQIUABQAAAAIAIdO4kBv61QBiwIA&#10;ADoFAAAOAAAAAAAAAAEAIAAAACgBAABkcnMvZTJvRG9jLnhtbFBLBQYAAAAABgAGAFkBAAAlBgAA&#10;AAA=&#10;">
                <v:fill on="t" opacity="32768f" focussize="0,0"/>
                <v:stroke weight="1pt" color="#41719C [32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88288" behindDoc="0" locked="0" layoutInCell="1" allowOverlap="1">
                <wp:simplePos x="0" y="0"/>
                <wp:positionH relativeFrom="column">
                  <wp:posOffset>1942465</wp:posOffset>
                </wp:positionH>
                <wp:positionV relativeFrom="paragraph">
                  <wp:posOffset>5043170</wp:posOffset>
                </wp:positionV>
                <wp:extent cx="231775" cy="136525"/>
                <wp:effectExtent l="6350" t="6350" r="9525" b="9525"/>
                <wp:wrapNone/>
                <wp:docPr id="216" name="矩形 216"/>
                <wp:cNvGraphicFramePr/>
                <a:graphic xmlns:a="http://schemas.openxmlformats.org/drawingml/2006/main">
                  <a:graphicData uri="http://schemas.microsoft.com/office/word/2010/wordprocessingShape">
                    <wps:wsp>
                      <wps:cNvSpPr/>
                      <wps:spPr>
                        <a:xfrm>
                          <a:off x="0" y="0"/>
                          <a:ext cx="231775" cy="136525"/>
                        </a:xfrm>
                        <a:prstGeom prst="rect">
                          <a:avLst/>
                        </a:prstGeom>
                        <a:solidFill>
                          <a:srgbClr val="FFC000">
                            <a:alpha val="50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2.95pt;margin-top:397.1pt;height:10.75pt;width:18.25pt;z-index:251788288;v-text-anchor:middle;mso-width-relative:page;mso-height-relative:page;" fillcolor="#FFC000" filled="t" stroked="t" coordsize="21600,21600" o:gfxdata="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jiCRUtoAAAALAQAA&#10;DwAAAAAAAAABACAAAAAiAAAAZHJzL2Rvd25yZXYueG1sUEsBAhQAFAAAAAgAh07iQKMsKd+JAgAA&#10;OQUAAA4AAAAAAAAAAQAgAAAAKQEAAGRycy9lMm9Eb2MueG1sUEsFBgAAAAAGAAYAWQEAACQGAAAA&#10;AA==&#10;">
                <v:fill on="t" opacity="32768f" focussize="0,0"/>
                <v:stroke weight="1pt" color="#41719C [32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87264" behindDoc="0" locked="0" layoutInCell="1" allowOverlap="1">
                <wp:simplePos x="0" y="0"/>
                <wp:positionH relativeFrom="column">
                  <wp:posOffset>1370965</wp:posOffset>
                </wp:positionH>
                <wp:positionV relativeFrom="paragraph">
                  <wp:posOffset>4678045</wp:posOffset>
                </wp:positionV>
                <wp:extent cx="438150" cy="159385"/>
                <wp:effectExtent l="6350" t="6350" r="12700" b="24765"/>
                <wp:wrapNone/>
                <wp:docPr id="215" name="矩形 215"/>
                <wp:cNvGraphicFramePr/>
                <a:graphic xmlns:a="http://schemas.openxmlformats.org/drawingml/2006/main">
                  <a:graphicData uri="http://schemas.microsoft.com/office/word/2010/wordprocessingShape">
                    <wps:wsp>
                      <wps:cNvSpPr/>
                      <wps:spPr>
                        <a:xfrm>
                          <a:off x="0" y="0"/>
                          <a:ext cx="438150" cy="159385"/>
                        </a:xfrm>
                        <a:prstGeom prst="rect">
                          <a:avLst/>
                        </a:prstGeom>
                        <a:solidFill>
                          <a:srgbClr val="FFC000">
                            <a:alpha val="50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7.95pt;margin-top:368.35pt;height:12.55pt;width:34.5pt;z-index:251787264;v-text-anchor:middle;mso-width-relative:page;mso-height-relative:page;" fillcolor="#FFC000" filled="t" stroked="t" coordsize="21600,21600" o:gfxdata="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Dat8Ou2QAAAAsBAAAP&#10;AAAAAAAAAAEAIAAAACIAAABkcnMvZG93bnJldi54bWxQSwECFAAUAAAACACHTuJA3eIfWIkCAAA5&#10;BQAADgAAAAAAAAABACAAAAAoAQAAZHJzL2Uyb0RvYy54bWxQSwUGAAAAAAYABgBZAQAAIwYAAAAA&#10;">
                <v:fill on="t" opacity="32768f" focussize="0,0"/>
                <v:stroke weight="1pt" color="#41719C [32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69856" behindDoc="0" locked="0" layoutInCell="1" allowOverlap="1">
                <wp:simplePos x="0" y="0"/>
                <wp:positionH relativeFrom="column">
                  <wp:posOffset>4520565</wp:posOffset>
                </wp:positionH>
                <wp:positionV relativeFrom="paragraph">
                  <wp:posOffset>5700395</wp:posOffset>
                </wp:positionV>
                <wp:extent cx="231775" cy="136525"/>
                <wp:effectExtent l="6350" t="6350" r="9525" b="9525"/>
                <wp:wrapNone/>
                <wp:docPr id="178" name="矩形 178"/>
                <wp:cNvGraphicFramePr/>
                <a:graphic xmlns:a="http://schemas.openxmlformats.org/drawingml/2006/main">
                  <a:graphicData uri="http://schemas.microsoft.com/office/word/2010/wordprocessingShape">
                    <wps:wsp>
                      <wps:cNvSpPr/>
                      <wps:spPr>
                        <a:xfrm>
                          <a:off x="0" y="0"/>
                          <a:ext cx="231775" cy="136525"/>
                        </a:xfrm>
                        <a:prstGeom prst="rect">
                          <a:avLst/>
                        </a:prstGeom>
                        <a:solidFill>
                          <a:srgbClr val="FFC000">
                            <a:alpha val="50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5.95pt;margin-top:448.85pt;height:10.75pt;width:18.25pt;z-index:251769856;v-text-anchor:middle;mso-width-relative:page;mso-height-relative:page;" fillcolor="#FFC000" filled="t" stroked="t" coordsize="21600,21600" o:gfxdata="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Fhim8vZAAAACwEAAA8A&#10;AAAAAAAAAQAgAAAAIgAAAGRycy9kb3ducmV2LnhtbFBLAQIUABQAAAAIAIdO4kADOtx5iAIAADkF&#10;AAAOAAAAAAAAAAEAIAAAACgBAABkcnMvZTJvRG9jLnhtbFBLBQYAAAAABgAGAFkBAAAiBgAAAAA=&#10;">
                <v:fill on="t" opacity="32768f" focussize="0,0"/>
                <v:stroke weight="1pt" color="#41719C [3204]"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768832" behindDoc="0" locked="0" layoutInCell="1" allowOverlap="1">
                <wp:simplePos x="0" y="0"/>
                <wp:positionH relativeFrom="column">
                  <wp:posOffset>4468495</wp:posOffset>
                </wp:positionH>
                <wp:positionV relativeFrom="paragraph">
                  <wp:posOffset>5273675</wp:posOffset>
                </wp:positionV>
                <wp:extent cx="1268730" cy="817245"/>
                <wp:effectExtent l="5080" t="4445" r="21590" b="16510"/>
                <wp:wrapNone/>
                <wp:docPr id="177" name="文本框 177"/>
                <wp:cNvGraphicFramePr/>
                <a:graphic xmlns:a="http://schemas.openxmlformats.org/drawingml/2006/main">
                  <a:graphicData uri="http://schemas.microsoft.com/office/word/2010/wordprocessingShape">
                    <wps:wsp>
                      <wps:cNvSpPr txBox="1"/>
                      <wps:spPr>
                        <a:xfrm>
                          <a:off x="5447665" y="6252845"/>
                          <a:ext cx="1268730" cy="817245"/>
                        </a:xfrm>
                        <a:prstGeom prst="rect">
                          <a:avLst/>
                        </a:prstGeom>
                        <a:solidFill>
                          <a:schemeClr val="lt1"/>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eastAsia"/>
                                <w:sz w:val="21"/>
                                <w:szCs w:val="21"/>
                                <w:lang w:val="en-US" w:eastAsia="zh-CN"/>
                              </w:rPr>
                            </w:pPr>
                            <w:r>
                              <w:rPr>
                                <w:rFonts w:hint="eastAsia"/>
                                <w:sz w:val="21"/>
                                <w:szCs w:val="21"/>
                                <w:lang w:val="en-US" w:eastAsia="zh-CN"/>
                              </w:rPr>
                              <w:t>图例:</w:t>
                            </w:r>
                          </w:p>
                          <w:p>
                            <w:pPr>
                              <w:pStyle w:val="2"/>
                              <w:rPr>
                                <w:rFonts w:hint="default"/>
                                <w:sz w:val="21"/>
                                <w:szCs w:val="21"/>
                                <w:lang w:val="en-US" w:eastAsia="zh-CN"/>
                              </w:rPr>
                            </w:pPr>
                            <w:r>
                              <w:rPr>
                                <w:rFonts w:hint="eastAsia"/>
                                <w:sz w:val="21"/>
                                <w:szCs w:val="21"/>
                                <w:lang w:val="en-US" w:eastAsia="zh-CN"/>
                              </w:rPr>
                              <w:t>噪声防治范围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1.85pt;margin-top:415.25pt;height:64.35pt;width:99.9pt;z-index:251768832;mso-width-relative:page;mso-height-relative:page;" fillcolor="#FFFFFF [3201]" filled="t" stroked="t" coordsize="21600,21600" o:gfxdata="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B5EtRtcAAAALAQAADwAAAAAAAAABACAAAAAiAAAAZHJzL2Rvd25yZXYueG1sUEsBAhQA&#10;FAAAAAgAh07iQCIcolVlAgAAyAQAAA4AAAAAAAAAAQAgAAAAJgEAAGRycy9lMm9Eb2MueG1sUEsF&#10;BgAAAAAGAAYAWQEAAP0FAAAAAA==&#10;">
                <v:fill on="t" focussize="0,0"/>
                <v:stroke weight="0.5pt" color="#000000 [3213]" joinstyle="round"/>
                <v:imagedata o:title=""/>
                <o:lock v:ext="edit" aspectratio="f"/>
                <v:textbox>
                  <w:txbxContent>
                    <w:p>
                      <w:pPr>
                        <w:ind w:left="0" w:leftChars="0" w:firstLine="0" w:firstLineChars="0"/>
                        <w:rPr>
                          <w:rFonts w:hint="eastAsia"/>
                          <w:sz w:val="21"/>
                          <w:szCs w:val="21"/>
                          <w:lang w:val="en-US" w:eastAsia="zh-CN"/>
                        </w:rPr>
                      </w:pPr>
                      <w:r>
                        <w:rPr>
                          <w:rFonts w:hint="eastAsia"/>
                          <w:sz w:val="21"/>
                          <w:szCs w:val="21"/>
                          <w:lang w:val="en-US" w:eastAsia="zh-CN"/>
                        </w:rPr>
                        <w:t>图例:</w:t>
                      </w:r>
                    </w:p>
                    <w:p>
                      <w:pPr>
                        <w:pStyle w:val="2"/>
                        <w:rPr>
                          <w:rFonts w:hint="default"/>
                          <w:sz w:val="21"/>
                          <w:szCs w:val="21"/>
                          <w:lang w:val="en-US" w:eastAsia="zh-CN"/>
                        </w:rPr>
                      </w:pPr>
                      <w:r>
                        <w:rPr>
                          <w:rFonts w:hint="eastAsia"/>
                          <w:sz w:val="21"/>
                          <w:szCs w:val="21"/>
                          <w:lang w:val="en-US" w:eastAsia="zh-CN"/>
                        </w:rPr>
                        <w:t>噪声防治范围</w:t>
                      </w:r>
                    </w:p>
                  </w:txbxContent>
                </v:textbox>
              </v:shape>
            </w:pict>
          </mc:Fallback>
        </mc:AlternateContent>
      </w:r>
      <w:r>
        <w:rPr>
          <w:color w:val="auto"/>
          <w:sz w:val="21"/>
        </w:rPr>
        <mc:AlternateContent>
          <mc:Choice Requires="wps">
            <w:drawing>
              <wp:anchor distT="0" distB="0" distL="114300" distR="114300" simplePos="0" relativeHeight="251786240" behindDoc="0" locked="0" layoutInCell="1" allowOverlap="1">
                <wp:simplePos x="0" y="0"/>
                <wp:positionH relativeFrom="column">
                  <wp:posOffset>1563370</wp:posOffset>
                </wp:positionH>
                <wp:positionV relativeFrom="paragraph">
                  <wp:posOffset>3255010</wp:posOffset>
                </wp:positionV>
                <wp:extent cx="1000125" cy="1087755"/>
                <wp:effectExtent l="0" t="0" r="0" b="0"/>
                <wp:wrapNone/>
                <wp:docPr id="214" name="矩形 214"/>
                <wp:cNvGraphicFramePr/>
                <a:graphic xmlns:a="http://schemas.openxmlformats.org/drawingml/2006/main">
                  <a:graphicData uri="http://schemas.microsoft.com/office/word/2010/wordprocessingShape">
                    <wps:wsp>
                      <wps:cNvSpPr/>
                      <wps:spPr>
                        <a:xfrm>
                          <a:off x="2558415" y="4154805"/>
                          <a:ext cx="1000125" cy="10877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3.1pt;margin-top:256.3pt;height:85.65pt;width:78.75pt;z-index:251786240;v-text-anchor:middle;mso-width-relative:page;mso-height-relative:page;" fillcolor="#FFFFFF [3212]" filled="t" stroked="f" coordsize="21600,21600" o:gfxdata="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pxxU+9wAAAALAQAADwAAAAAAAAABACAAAAAi&#10;AAAAZHJzL2Rvd25yZXYueG1sUEsBAhQAFAAAAAgAh07iQLVmd354AgAA3AQAAA4AAAAAAAAAAQAg&#10;AAAAKwEAAGRycy9lMm9Eb2MueG1sUEsFBgAAAAAGAAYAWQEAABUGAAAAAA==&#10;">
                <v:fill on="t" focussize="0,0"/>
                <v:stroke on="f" weight="1pt" miterlimit="8" joinstyle="miter"/>
                <v:imagedata o:title=""/>
                <o:lock v:ext="edit" aspectratio="f"/>
              </v:rect>
            </w:pict>
          </mc:Fallback>
        </mc:AlternateContent>
      </w:r>
      <w:r>
        <w:rPr>
          <w:rFonts w:hint="eastAsia" w:eastAsia="宋体"/>
          <w:color w:val="auto"/>
          <w:lang w:eastAsia="zh-CN"/>
        </w:rPr>
        <w:drawing>
          <wp:inline distT="0" distB="0" distL="114300" distR="114300">
            <wp:extent cx="5760085" cy="6085840"/>
            <wp:effectExtent l="9525" t="9525" r="21590" b="19685"/>
            <wp:docPr id="212" name="图片 212" descr="1660546768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1660546768157"/>
                    <pic:cNvPicPr>
                      <a:picLocks noChangeAspect="1"/>
                    </pic:cNvPicPr>
                  </pic:nvPicPr>
                  <pic:blipFill>
                    <a:blip r:embed="rId126"/>
                    <a:stretch>
                      <a:fillRect/>
                    </a:stretch>
                  </pic:blipFill>
                  <pic:spPr>
                    <a:xfrm>
                      <a:off x="0" y="0"/>
                      <a:ext cx="5760085" cy="6085840"/>
                    </a:xfrm>
                    <a:prstGeom prst="rect">
                      <a:avLst/>
                    </a:prstGeom>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黑体" w:cs="Times New Roman"/>
          <w:color w:val="auto"/>
          <w:sz w:val="21"/>
          <w:szCs w:val="21"/>
          <w:lang w:val="en-US" w:eastAsia="zh-CN"/>
        </w:rPr>
      </w:pPr>
      <w:r>
        <w:rPr>
          <w:rFonts w:hint="eastAsia" w:ascii="Times New Roman" w:hAnsi="Times New Roman" w:eastAsia="黑体" w:cs="Times New Roman"/>
          <w:color w:val="auto"/>
          <w:sz w:val="21"/>
          <w:szCs w:val="21"/>
          <w:lang w:val="en-US" w:eastAsia="zh-CN"/>
        </w:rPr>
        <w:t xml:space="preserve">图5.4-2 </w:t>
      </w:r>
      <w:r>
        <w:rPr>
          <w:rFonts w:hint="default" w:ascii="Times New Roman" w:hAnsi="Times New Roman" w:eastAsia="黑体" w:cs="Times New Roman"/>
          <w:color w:val="auto"/>
          <w:sz w:val="21"/>
          <w:szCs w:val="21"/>
          <w:lang w:val="en-US" w:eastAsia="zh-CN"/>
        </w:rPr>
        <w:t>主要声源设备噪声防治</w:t>
      </w:r>
      <w:r>
        <w:rPr>
          <w:rFonts w:hint="eastAsia" w:ascii="Times New Roman" w:hAnsi="Times New Roman" w:eastAsia="黑体" w:cs="Times New Roman"/>
          <w:color w:val="auto"/>
          <w:sz w:val="21"/>
          <w:szCs w:val="21"/>
          <w:lang w:val="en-US" w:eastAsia="zh-CN"/>
        </w:rPr>
        <w:t>范围</w:t>
      </w:r>
      <w:r>
        <w:rPr>
          <w:rFonts w:hint="default" w:ascii="Times New Roman" w:hAnsi="Times New Roman" w:eastAsia="黑体" w:cs="Times New Roman"/>
          <w:color w:val="auto"/>
          <w:sz w:val="21"/>
          <w:szCs w:val="21"/>
          <w:lang w:val="en-US" w:eastAsia="zh-CN"/>
        </w:rPr>
        <w:t>平面图</w:t>
      </w:r>
    </w:p>
    <w:p>
      <w:pPr>
        <w:pStyle w:val="9"/>
        <w:spacing w:before="0" w:beforeLines="0" w:after="0" w:afterLines="0"/>
        <w:rPr>
          <w:color w:val="auto"/>
        </w:rPr>
      </w:pPr>
      <w:r>
        <w:rPr>
          <w:rFonts w:hint="eastAsia"/>
          <w:color w:val="auto"/>
        </w:rPr>
        <w:t>5</w:t>
      </w:r>
      <w:r>
        <w:rPr>
          <w:color w:val="auto"/>
        </w:rPr>
        <w:t>.4.</w:t>
      </w:r>
      <w:r>
        <w:rPr>
          <w:rFonts w:hint="eastAsia"/>
          <w:color w:val="auto"/>
          <w:lang w:val="en-US" w:eastAsia="zh-CN"/>
        </w:rPr>
        <w:t>6</w:t>
      </w:r>
      <w:r>
        <w:rPr>
          <w:color w:val="auto"/>
        </w:rPr>
        <w:t xml:space="preserve"> 噪声</w:t>
      </w:r>
      <w:bookmarkEnd w:id="334"/>
      <w:r>
        <w:rPr>
          <w:color w:val="auto"/>
        </w:rPr>
        <w:t>环境影响评价结论与</w:t>
      </w:r>
      <w:bookmarkEnd w:id="335"/>
      <w:r>
        <w:rPr>
          <w:color w:val="auto"/>
        </w:rPr>
        <w:t>建议</w:t>
      </w:r>
    </w:p>
    <w:p>
      <w:pPr>
        <w:ind w:firstLine="480"/>
        <w:rPr>
          <w:color w:val="auto"/>
        </w:rPr>
      </w:pPr>
      <w:r>
        <w:rPr>
          <w:color w:val="auto"/>
        </w:rPr>
        <w:t>1、结论</w:t>
      </w:r>
    </w:p>
    <w:p>
      <w:pPr>
        <w:ind w:firstLine="480"/>
        <w:rPr>
          <w:color w:val="auto"/>
        </w:rPr>
      </w:pPr>
      <w:r>
        <w:rPr>
          <w:color w:val="auto"/>
        </w:rPr>
        <w:t>根据以上分析，本项目建成后，各噪声源经采取一系列降噪措施，正常工况条件下，</w:t>
      </w:r>
      <w:r>
        <w:rPr>
          <w:rFonts w:hint="eastAsia"/>
          <w:color w:val="auto"/>
        </w:rPr>
        <w:t>东、</w:t>
      </w:r>
      <w:r>
        <w:rPr>
          <w:color w:val="auto"/>
        </w:rPr>
        <w:t>南、西、北厂界昼、夜间噪声均能满足《工业企业厂界环境噪声排放标准》（GB12348-2008）中的</w:t>
      </w:r>
      <w:r>
        <w:rPr>
          <w:rFonts w:hint="eastAsia"/>
          <w:color w:val="auto"/>
          <w:lang w:eastAsia="zh-CN"/>
        </w:rPr>
        <w:t>2类标准</w:t>
      </w:r>
      <w:r>
        <w:rPr>
          <w:color w:val="auto"/>
        </w:rPr>
        <w:t>要求</w:t>
      </w:r>
      <w:r>
        <w:rPr>
          <w:rFonts w:hint="eastAsia"/>
          <w:color w:val="auto"/>
        </w:rPr>
        <w:t>，西北方向180m处的声环境敏感目标解营村</w:t>
      </w:r>
      <w:r>
        <w:rPr>
          <w:color w:val="auto"/>
        </w:rPr>
        <w:t>昼、夜间噪声均能满足《</w:t>
      </w:r>
      <w:r>
        <w:rPr>
          <w:rFonts w:hint="eastAsia"/>
          <w:color w:val="auto"/>
        </w:rPr>
        <w:t>声环境质量标准</w:t>
      </w:r>
      <w:r>
        <w:rPr>
          <w:color w:val="auto"/>
        </w:rPr>
        <w:t>》（GB</w:t>
      </w:r>
      <w:r>
        <w:rPr>
          <w:rFonts w:hint="eastAsia"/>
          <w:color w:val="auto"/>
        </w:rPr>
        <w:t>3096-2008</w:t>
      </w:r>
      <w:r>
        <w:rPr>
          <w:color w:val="auto"/>
        </w:rPr>
        <w:t>）中的</w:t>
      </w:r>
      <w:r>
        <w:rPr>
          <w:rFonts w:hint="eastAsia"/>
          <w:color w:val="auto"/>
        </w:rPr>
        <w:t>2</w:t>
      </w:r>
      <w:r>
        <w:rPr>
          <w:color w:val="auto"/>
        </w:rPr>
        <w:t>类标准要求。</w:t>
      </w:r>
    </w:p>
    <w:p>
      <w:pPr>
        <w:ind w:firstLine="480"/>
        <w:rPr>
          <w:color w:val="auto"/>
        </w:rPr>
      </w:pPr>
      <w:r>
        <w:rPr>
          <w:color w:val="auto"/>
        </w:rPr>
        <w:t>2、建议</w:t>
      </w:r>
    </w:p>
    <w:p>
      <w:pPr>
        <w:ind w:firstLine="480"/>
        <w:rPr>
          <w:color w:val="auto"/>
        </w:rPr>
      </w:pPr>
      <w:r>
        <w:rPr>
          <w:color w:val="auto"/>
        </w:rPr>
        <w:t>为确保工程厂界噪声能稳定达标，同时尽可能减轻工程噪声源对厂界噪声的影响，建议企业在工程的设备改造过程中严格落实好以下措施和建议。</w:t>
      </w:r>
    </w:p>
    <w:p>
      <w:pPr>
        <w:ind w:firstLine="480"/>
        <w:rPr>
          <w:color w:val="auto"/>
        </w:rPr>
      </w:pPr>
      <w:r>
        <w:rPr>
          <w:color w:val="auto"/>
        </w:rPr>
        <w:t>（1）加强对高噪音设备的维护和监管，确保高噪音设备正常运行，避免出现异常噪声；</w:t>
      </w:r>
    </w:p>
    <w:p>
      <w:pPr>
        <w:ind w:firstLine="480"/>
        <w:rPr>
          <w:color w:val="auto"/>
        </w:rPr>
      </w:pPr>
      <w:r>
        <w:rPr>
          <w:color w:val="auto"/>
        </w:rPr>
        <w:t>（2）加强设备的保养和维护，避免出现异常噪声；</w:t>
      </w:r>
    </w:p>
    <w:p>
      <w:pPr>
        <w:ind w:firstLine="480"/>
        <w:rPr>
          <w:color w:val="auto"/>
        </w:rPr>
      </w:pPr>
      <w:r>
        <w:rPr>
          <w:color w:val="auto"/>
        </w:rPr>
        <w:t>（3）严格按照操作规程操作，避免材料碰撞、跌落等产生的异常高噪音，造成扰民情况；</w:t>
      </w:r>
    </w:p>
    <w:p>
      <w:pPr>
        <w:ind w:firstLine="480"/>
        <w:rPr>
          <w:color w:val="auto"/>
        </w:rPr>
      </w:pPr>
      <w:r>
        <w:rPr>
          <w:color w:val="auto"/>
        </w:rPr>
        <w:t>（4）加大高噪设备的噪声治理力度，对部分高噪声源如风机、压缩机要切实采取基础减震、室内隔音降噪等措施。</w:t>
      </w:r>
    </w:p>
    <w:p>
      <w:pPr>
        <w:pStyle w:val="2"/>
        <w:spacing w:after="0"/>
        <w:ind w:firstLine="480"/>
        <w:rPr>
          <w:color w:val="auto"/>
        </w:rPr>
      </w:pPr>
      <w:r>
        <w:rPr>
          <w:color w:val="auto"/>
        </w:rPr>
        <w:t>（5）加强厂区道路和运输车辆管理，降低</w:t>
      </w:r>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r>
        <w:rPr>
          <w:color w:val="auto"/>
        </w:rPr>
        <w:t>交通噪声影响</w:t>
      </w:r>
      <w:r>
        <w:rPr>
          <w:rFonts w:hint="eastAsia"/>
          <w:color w:val="auto"/>
        </w:rPr>
        <w:t>。</w:t>
      </w:r>
    </w:p>
    <w:p>
      <w:pPr>
        <w:ind w:firstLine="480"/>
        <w:rPr>
          <w:color w:val="auto"/>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pPr>
        <w:pStyle w:val="8"/>
        <w:spacing w:before="0" w:beforeLines="0" w:after="0" w:afterLines="0" w:line="360" w:lineRule="auto"/>
        <w:rPr>
          <w:color w:val="auto"/>
        </w:rPr>
      </w:pPr>
      <w:bookmarkStart w:id="336" w:name="_Toc5299"/>
      <w:bookmarkStart w:id="337" w:name="_Toc23462"/>
      <w:r>
        <w:rPr>
          <w:rFonts w:hint="eastAsia"/>
          <w:color w:val="auto"/>
        </w:rPr>
        <w:t>5</w:t>
      </w:r>
      <w:r>
        <w:rPr>
          <w:color w:val="auto"/>
        </w:rPr>
        <w:t>.5运营期固体废物环境影响评价</w:t>
      </w:r>
      <w:bookmarkEnd w:id="336"/>
      <w:bookmarkEnd w:id="337"/>
    </w:p>
    <w:p>
      <w:pPr>
        <w:pStyle w:val="9"/>
        <w:spacing w:before="0" w:beforeLines="0" w:after="0" w:afterLines="0" w:line="360" w:lineRule="auto"/>
        <w:rPr>
          <w:color w:val="auto"/>
        </w:rPr>
      </w:pPr>
      <w:r>
        <w:rPr>
          <w:rFonts w:hint="eastAsia"/>
          <w:color w:val="auto"/>
        </w:rPr>
        <w:t>5</w:t>
      </w:r>
      <w:r>
        <w:rPr>
          <w:color w:val="auto"/>
        </w:rPr>
        <w:t>.5.1固体废物的产生情况</w:t>
      </w:r>
    </w:p>
    <w:p>
      <w:pPr>
        <w:ind w:firstLine="480"/>
        <w:rPr>
          <w:color w:val="auto"/>
          <w:kern w:val="0"/>
        </w:rPr>
      </w:pPr>
      <w:r>
        <w:rPr>
          <w:color w:val="auto"/>
          <w:kern w:val="0"/>
        </w:rPr>
        <w:t>根据《中华人民共和国固体废物污染环境防治法》、《国家危险废物名录》</w:t>
      </w:r>
      <w:r>
        <w:rPr>
          <w:rFonts w:hint="eastAsia"/>
          <w:color w:val="auto"/>
          <w:kern w:val="0"/>
          <w:lang w:eastAsia="zh-CN"/>
        </w:rPr>
        <w:t>《</w:t>
      </w:r>
      <w:r>
        <w:rPr>
          <w:rFonts w:hint="eastAsia"/>
          <w:color w:val="auto"/>
          <w:kern w:val="0"/>
          <w:lang w:val="en-US" w:eastAsia="zh-CN"/>
        </w:rPr>
        <w:t>一般固体废物分类与代码</w:t>
      </w:r>
      <w:r>
        <w:rPr>
          <w:rFonts w:hint="eastAsia"/>
          <w:color w:val="auto"/>
          <w:kern w:val="0"/>
          <w:lang w:eastAsia="zh-CN"/>
        </w:rPr>
        <w:t>》（</w:t>
      </w:r>
      <w:r>
        <w:rPr>
          <w:rFonts w:hint="eastAsia"/>
          <w:color w:val="auto"/>
          <w:kern w:val="0"/>
          <w:lang w:val="en-US" w:eastAsia="zh-CN"/>
        </w:rPr>
        <w:t>GB/T39198-2020</w:t>
      </w:r>
      <w:r>
        <w:rPr>
          <w:rFonts w:hint="eastAsia"/>
          <w:color w:val="auto"/>
          <w:kern w:val="0"/>
          <w:lang w:eastAsia="zh-CN"/>
        </w:rPr>
        <w:t>）</w:t>
      </w:r>
      <w:r>
        <w:rPr>
          <w:color w:val="auto"/>
          <w:kern w:val="0"/>
        </w:rPr>
        <w:t>及《固体废物鉴别标准  通则》（GB34330-2017）进行分类，</w:t>
      </w:r>
      <w:r>
        <w:rPr>
          <w:rFonts w:hint="eastAsia"/>
          <w:color w:val="auto"/>
          <w:kern w:val="0"/>
        </w:rPr>
        <w:t>拟建</w:t>
      </w:r>
      <w:r>
        <w:rPr>
          <w:color w:val="auto"/>
          <w:kern w:val="0"/>
        </w:rPr>
        <w:t>项目产生的固废包括危险废物和</w:t>
      </w:r>
      <w:r>
        <w:rPr>
          <w:rFonts w:hint="eastAsia"/>
          <w:color w:val="auto"/>
          <w:kern w:val="0"/>
        </w:rPr>
        <w:t>一般工业固废</w:t>
      </w:r>
      <w:r>
        <w:rPr>
          <w:color w:val="auto"/>
          <w:kern w:val="0"/>
        </w:rPr>
        <w:t>，固废种类及数量</w:t>
      </w:r>
      <w:r>
        <w:rPr>
          <w:snapToGrid w:val="0"/>
          <w:color w:val="auto"/>
        </w:rPr>
        <w:t>详见表</w:t>
      </w:r>
      <w:r>
        <w:rPr>
          <w:rFonts w:hint="eastAsia"/>
          <w:snapToGrid w:val="0"/>
          <w:color w:val="auto"/>
        </w:rPr>
        <w:t>5</w:t>
      </w:r>
      <w:r>
        <w:rPr>
          <w:snapToGrid w:val="0"/>
          <w:color w:val="auto"/>
        </w:rPr>
        <w:t>.5-1。</w:t>
      </w:r>
    </w:p>
    <w:p>
      <w:pPr>
        <w:ind w:firstLine="0" w:firstLineChars="0"/>
        <w:jc w:val="center"/>
        <w:rPr>
          <w:rFonts w:eastAsia="黑体"/>
          <w:b/>
          <w:color w:val="auto"/>
          <w:sz w:val="21"/>
          <w:szCs w:val="21"/>
        </w:rPr>
      </w:pPr>
      <w:r>
        <w:rPr>
          <w:rFonts w:eastAsia="黑体"/>
          <w:b/>
          <w:color w:val="auto"/>
          <w:sz w:val="21"/>
          <w:szCs w:val="21"/>
        </w:rPr>
        <w:t>表</w:t>
      </w:r>
      <w:r>
        <w:rPr>
          <w:rFonts w:hint="eastAsia" w:eastAsia="黑体"/>
          <w:b/>
          <w:color w:val="auto"/>
          <w:sz w:val="21"/>
          <w:szCs w:val="21"/>
        </w:rPr>
        <w:t>5</w:t>
      </w:r>
      <w:r>
        <w:rPr>
          <w:rFonts w:eastAsia="黑体"/>
          <w:b/>
          <w:color w:val="auto"/>
          <w:sz w:val="21"/>
          <w:szCs w:val="21"/>
        </w:rPr>
        <w:t>.5-1</w:t>
      </w:r>
      <w:r>
        <w:rPr>
          <w:rFonts w:hint="eastAsia" w:eastAsia="黑体"/>
          <w:b/>
          <w:color w:val="auto"/>
          <w:sz w:val="21"/>
          <w:szCs w:val="21"/>
        </w:rPr>
        <w:t xml:space="preserve"> 拟建</w:t>
      </w:r>
      <w:r>
        <w:rPr>
          <w:rFonts w:eastAsia="黑体"/>
          <w:b/>
          <w:color w:val="auto"/>
          <w:sz w:val="21"/>
          <w:szCs w:val="21"/>
        </w:rPr>
        <w:t>项目固废污染物产生汇总表</w:t>
      </w:r>
    </w:p>
    <w:tbl>
      <w:tblPr>
        <w:tblStyle w:val="22"/>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16"/>
        <w:gridCol w:w="484"/>
        <w:gridCol w:w="631"/>
        <w:gridCol w:w="1106"/>
        <w:gridCol w:w="900"/>
        <w:gridCol w:w="780"/>
        <w:gridCol w:w="531"/>
        <w:gridCol w:w="1089"/>
        <w:gridCol w:w="923"/>
        <w:gridCol w:w="711"/>
        <w:gridCol w:w="729"/>
        <w:gridCol w:w="9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0" w:type="auto"/>
            <w:vAlign w:val="center"/>
          </w:tcPr>
          <w:p>
            <w:pPr>
              <w:spacing w:line="312" w:lineRule="exact"/>
              <w:ind w:firstLine="0" w:firstLineChars="0"/>
              <w:jc w:val="center"/>
              <w:rPr>
                <w:b/>
                <w:color w:val="auto"/>
                <w:sz w:val="21"/>
                <w:szCs w:val="21"/>
              </w:rPr>
            </w:pPr>
            <w:r>
              <w:rPr>
                <w:b/>
                <w:color w:val="auto"/>
                <w:sz w:val="21"/>
                <w:szCs w:val="21"/>
              </w:rPr>
              <w:t>序号</w:t>
            </w:r>
          </w:p>
        </w:tc>
        <w:tc>
          <w:tcPr>
            <w:tcW w:w="484" w:type="dxa"/>
            <w:vAlign w:val="center"/>
          </w:tcPr>
          <w:p>
            <w:pPr>
              <w:spacing w:line="312" w:lineRule="exact"/>
              <w:ind w:firstLine="0" w:firstLineChars="0"/>
              <w:jc w:val="center"/>
              <w:rPr>
                <w:b/>
                <w:color w:val="auto"/>
                <w:sz w:val="21"/>
                <w:szCs w:val="21"/>
              </w:rPr>
            </w:pPr>
            <w:r>
              <w:rPr>
                <w:b/>
                <w:color w:val="auto"/>
                <w:sz w:val="21"/>
                <w:szCs w:val="21"/>
              </w:rPr>
              <w:t>固废名称</w:t>
            </w:r>
          </w:p>
        </w:tc>
        <w:tc>
          <w:tcPr>
            <w:tcW w:w="631" w:type="dxa"/>
            <w:vAlign w:val="center"/>
          </w:tcPr>
          <w:p>
            <w:pPr>
              <w:spacing w:line="312" w:lineRule="exact"/>
              <w:ind w:firstLine="0" w:firstLineChars="0"/>
              <w:jc w:val="center"/>
              <w:rPr>
                <w:b/>
                <w:color w:val="auto"/>
                <w:sz w:val="21"/>
                <w:szCs w:val="21"/>
              </w:rPr>
            </w:pPr>
            <w:r>
              <w:rPr>
                <w:b/>
                <w:color w:val="auto"/>
                <w:sz w:val="21"/>
                <w:szCs w:val="21"/>
              </w:rPr>
              <w:t>废物类别</w:t>
            </w:r>
          </w:p>
        </w:tc>
        <w:tc>
          <w:tcPr>
            <w:tcW w:w="1106" w:type="dxa"/>
            <w:vAlign w:val="center"/>
          </w:tcPr>
          <w:p>
            <w:pPr>
              <w:spacing w:line="312" w:lineRule="exact"/>
              <w:ind w:firstLine="0" w:firstLineChars="0"/>
              <w:jc w:val="center"/>
              <w:rPr>
                <w:b/>
                <w:color w:val="auto"/>
                <w:sz w:val="21"/>
                <w:szCs w:val="21"/>
              </w:rPr>
            </w:pPr>
            <w:r>
              <w:rPr>
                <w:b/>
                <w:color w:val="auto"/>
                <w:sz w:val="21"/>
                <w:szCs w:val="21"/>
              </w:rPr>
              <w:t>废物代码</w:t>
            </w:r>
          </w:p>
        </w:tc>
        <w:tc>
          <w:tcPr>
            <w:tcW w:w="900" w:type="dxa"/>
            <w:vAlign w:val="center"/>
          </w:tcPr>
          <w:p>
            <w:pPr>
              <w:spacing w:line="312" w:lineRule="exact"/>
              <w:ind w:firstLine="0" w:firstLineChars="0"/>
              <w:jc w:val="center"/>
              <w:rPr>
                <w:b/>
                <w:color w:val="auto"/>
                <w:sz w:val="21"/>
                <w:szCs w:val="21"/>
              </w:rPr>
            </w:pPr>
            <w:r>
              <w:rPr>
                <w:b/>
                <w:color w:val="auto"/>
                <w:sz w:val="21"/>
                <w:szCs w:val="21"/>
              </w:rPr>
              <w:t>产生量（t/a）</w:t>
            </w:r>
          </w:p>
        </w:tc>
        <w:tc>
          <w:tcPr>
            <w:tcW w:w="780" w:type="dxa"/>
            <w:vAlign w:val="center"/>
          </w:tcPr>
          <w:p>
            <w:pPr>
              <w:spacing w:line="312" w:lineRule="exact"/>
              <w:ind w:firstLine="0" w:firstLineChars="0"/>
              <w:jc w:val="center"/>
              <w:rPr>
                <w:b/>
                <w:color w:val="auto"/>
                <w:sz w:val="21"/>
                <w:szCs w:val="21"/>
              </w:rPr>
            </w:pPr>
            <w:r>
              <w:rPr>
                <w:b/>
                <w:color w:val="auto"/>
                <w:sz w:val="21"/>
                <w:szCs w:val="21"/>
              </w:rPr>
              <w:t>产生工序及装置</w:t>
            </w:r>
          </w:p>
        </w:tc>
        <w:tc>
          <w:tcPr>
            <w:tcW w:w="531" w:type="dxa"/>
            <w:vAlign w:val="center"/>
          </w:tcPr>
          <w:p>
            <w:pPr>
              <w:spacing w:line="312" w:lineRule="exact"/>
              <w:ind w:firstLine="0" w:firstLineChars="0"/>
              <w:jc w:val="center"/>
              <w:rPr>
                <w:b/>
                <w:color w:val="auto"/>
                <w:sz w:val="21"/>
                <w:szCs w:val="21"/>
              </w:rPr>
            </w:pPr>
            <w:r>
              <w:rPr>
                <w:b/>
                <w:color w:val="auto"/>
                <w:sz w:val="21"/>
                <w:szCs w:val="21"/>
              </w:rPr>
              <w:t>形态</w:t>
            </w:r>
          </w:p>
        </w:tc>
        <w:tc>
          <w:tcPr>
            <w:tcW w:w="1089" w:type="dxa"/>
            <w:vAlign w:val="center"/>
          </w:tcPr>
          <w:p>
            <w:pPr>
              <w:spacing w:line="312" w:lineRule="exact"/>
              <w:ind w:firstLine="0" w:firstLineChars="0"/>
              <w:jc w:val="center"/>
              <w:rPr>
                <w:b/>
                <w:color w:val="auto"/>
                <w:sz w:val="21"/>
                <w:szCs w:val="21"/>
              </w:rPr>
            </w:pPr>
            <w:r>
              <w:rPr>
                <w:b/>
                <w:color w:val="auto"/>
                <w:sz w:val="21"/>
                <w:szCs w:val="21"/>
              </w:rPr>
              <w:t>主要成分</w:t>
            </w:r>
          </w:p>
        </w:tc>
        <w:tc>
          <w:tcPr>
            <w:tcW w:w="923" w:type="dxa"/>
            <w:vAlign w:val="center"/>
          </w:tcPr>
          <w:p>
            <w:pPr>
              <w:spacing w:line="312" w:lineRule="exact"/>
              <w:ind w:firstLine="0" w:firstLineChars="0"/>
              <w:jc w:val="center"/>
              <w:rPr>
                <w:b/>
                <w:color w:val="auto"/>
                <w:sz w:val="21"/>
                <w:szCs w:val="21"/>
              </w:rPr>
            </w:pPr>
            <w:r>
              <w:rPr>
                <w:b/>
                <w:color w:val="auto"/>
                <w:sz w:val="21"/>
                <w:szCs w:val="21"/>
              </w:rPr>
              <w:t>有害成分</w:t>
            </w:r>
          </w:p>
        </w:tc>
        <w:tc>
          <w:tcPr>
            <w:tcW w:w="711" w:type="dxa"/>
            <w:vAlign w:val="center"/>
          </w:tcPr>
          <w:p>
            <w:pPr>
              <w:spacing w:line="312" w:lineRule="exact"/>
              <w:ind w:firstLine="0" w:firstLineChars="0"/>
              <w:jc w:val="center"/>
              <w:rPr>
                <w:b/>
                <w:color w:val="auto"/>
                <w:sz w:val="21"/>
                <w:szCs w:val="21"/>
              </w:rPr>
            </w:pPr>
            <w:r>
              <w:rPr>
                <w:b/>
                <w:color w:val="auto"/>
                <w:sz w:val="21"/>
                <w:szCs w:val="21"/>
              </w:rPr>
              <w:t>产废周期</w:t>
            </w:r>
          </w:p>
        </w:tc>
        <w:tc>
          <w:tcPr>
            <w:tcW w:w="729" w:type="dxa"/>
            <w:vAlign w:val="center"/>
          </w:tcPr>
          <w:p>
            <w:pPr>
              <w:spacing w:line="312" w:lineRule="exact"/>
              <w:ind w:firstLine="0" w:firstLineChars="0"/>
              <w:jc w:val="center"/>
              <w:rPr>
                <w:b/>
                <w:color w:val="auto"/>
                <w:sz w:val="21"/>
                <w:szCs w:val="21"/>
              </w:rPr>
            </w:pPr>
            <w:r>
              <w:rPr>
                <w:b/>
                <w:color w:val="auto"/>
                <w:sz w:val="21"/>
                <w:szCs w:val="21"/>
              </w:rPr>
              <w:t>危险特性</w:t>
            </w:r>
          </w:p>
        </w:tc>
        <w:tc>
          <w:tcPr>
            <w:tcW w:w="972" w:type="dxa"/>
            <w:vAlign w:val="center"/>
          </w:tcPr>
          <w:p>
            <w:pPr>
              <w:spacing w:line="312" w:lineRule="exact"/>
              <w:ind w:firstLine="0" w:firstLineChars="0"/>
              <w:jc w:val="center"/>
              <w:rPr>
                <w:b/>
                <w:color w:val="auto"/>
                <w:sz w:val="21"/>
                <w:szCs w:val="21"/>
              </w:rPr>
            </w:pPr>
            <w:r>
              <w:rPr>
                <w:b/>
                <w:color w:val="auto"/>
                <w:sz w:val="21"/>
                <w:szCs w:val="21"/>
              </w:rPr>
              <w:t>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216" w:type="dxa"/>
            <w:vAlign w:val="center"/>
          </w:tcPr>
          <w:p>
            <w:pPr>
              <w:spacing w:line="312" w:lineRule="exact"/>
              <w:ind w:firstLine="0" w:firstLineChars="0"/>
              <w:jc w:val="center"/>
              <w:rPr>
                <w:color w:val="auto"/>
                <w:sz w:val="21"/>
                <w:szCs w:val="21"/>
              </w:rPr>
            </w:pPr>
            <w:r>
              <w:rPr>
                <w:color w:val="auto"/>
                <w:sz w:val="21"/>
                <w:szCs w:val="21"/>
              </w:rPr>
              <w:t>1</w:t>
            </w:r>
          </w:p>
        </w:tc>
        <w:tc>
          <w:tcPr>
            <w:tcW w:w="484" w:type="dxa"/>
            <w:vAlign w:val="center"/>
          </w:tcPr>
          <w:p>
            <w:pPr>
              <w:spacing w:line="312" w:lineRule="exact"/>
              <w:ind w:firstLine="0" w:firstLineChars="0"/>
              <w:jc w:val="center"/>
              <w:rPr>
                <w:color w:val="auto"/>
                <w:sz w:val="21"/>
                <w:szCs w:val="21"/>
              </w:rPr>
            </w:pPr>
            <w:r>
              <w:rPr>
                <w:color w:val="auto"/>
                <w:sz w:val="21"/>
                <w:szCs w:val="21"/>
              </w:rPr>
              <w:t>废</w:t>
            </w:r>
            <w:r>
              <w:rPr>
                <w:rFonts w:hint="eastAsia"/>
                <w:color w:val="auto"/>
                <w:sz w:val="21"/>
                <w:szCs w:val="21"/>
              </w:rPr>
              <w:t>包装袋</w:t>
            </w:r>
          </w:p>
        </w:tc>
        <w:tc>
          <w:tcPr>
            <w:tcW w:w="631" w:type="dxa"/>
            <w:vAlign w:val="center"/>
          </w:tcPr>
          <w:p>
            <w:pPr>
              <w:spacing w:line="312" w:lineRule="exact"/>
              <w:ind w:firstLine="0" w:firstLineChars="0"/>
              <w:jc w:val="center"/>
              <w:rPr>
                <w:color w:val="auto"/>
                <w:sz w:val="21"/>
                <w:szCs w:val="21"/>
              </w:rPr>
            </w:pPr>
            <w:r>
              <w:rPr>
                <w:rFonts w:hint="eastAsia"/>
                <w:color w:val="auto"/>
                <w:sz w:val="21"/>
                <w:szCs w:val="21"/>
              </w:rPr>
              <w:t>一般工业固废</w:t>
            </w:r>
          </w:p>
        </w:tc>
        <w:tc>
          <w:tcPr>
            <w:tcW w:w="1106" w:type="dxa"/>
            <w:vAlign w:val="center"/>
          </w:tcPr>
          <w:p>
            <w:pPr>
              <w:spacing w:line="312" w:lineRule="exact"/>
              <w:ind w:firstLine="0" w:firstLineChars="0"/>
              <w:jc w:val="center"/>
              <w:rPr>
                <w:color w:val="auto"/>
                <w:sz w:val="21"/>
                <w:szCs w:val="21"/>
              </w:rPr>
            </w:pPr>
            <w:r>
              <w:rPr>
                <w:rFonts w:hint="eastAsia"/>
                <w:color w:val="auto"/>
                <w:kern w:val="0"/>
                <w:sz w:val="21"/>
                <w:szCs w:val="21"/>
              </w:rPr>
              <w:t>266-001-49</w:t>
            </w:r>
          </w:p>
        </w:tc>
        <w:tc>
          <w:tcPr>
            <w:tcW w:w="900" w:type="dxa"/>
            <w:vAlign w:val="center"/>
          </w:tcPr>
          <w:p>
            <w:pPr>
              <w:spacing w:line="312" w:lineRule="exact"/>
              <w:ind w:firstLine="0" w:firstLineChars="0"/>
              <w:jc w:val="center"/>
              <w:rPr>
                <w:color w:val="auto"/>
                <w:sz w:val="21"/>
                <w:szCs w:val="21"/>
              </w:rPr>
            </w:pPr>
            <w:r>
              <w:rPr>
                <w:color w:val="auto"/>
                <w:sz w:val="21"/>
                <w:szCs w:val="21"/>
              </w:rPr>
              <w:t>0.5</w:t>
            </w:r>
          </w:p>
        </w:tc>
        <w:tc>
          <w:tcPr>
            <w:tcW w:w="780" w:type="dxa"/>
            <w:vAlign w:val="center"/>
          </w:tcPr>
          <w:p>
            <w:pPr>
              <w:spacing w:line="312" w:lineRule="exact"/>
              <w:ind w:firstLine="0" w:firstLineChars="0"/>
              <w:jc w:val="center"/>
              <w:rPr>
                <w:color w:val="auto"/>
                <w:sz w:val="21"/>
                <w:szCs w:val="21"/>
              </w:rPr>
            </w:pPr>
            <w:r>
              <w:rPr>
                <w:rFonts w:hint="eastAsia"/>
                <w:color w:val="auto"/>
                <w:sz w:val="21"/>
                <w:szCs w:val="21"/>
              </w:rPr>
              <w:t>投料</w:t>
            </w:r>
          </w:p>
        </w:tc>
        <w:tc>
          <w:tcPr>
            <w:tcW w:w="531" w:type="dxa"/>
            <w:vAlign w:val="center"/>
          </w:tcPr>
          <w:p>
            <w:pPr>
              <w:spacing w:line="312" w:lineRule="exact"/>
              <w:ind w:firstLine="0" w:firstLineChars="0"/>
              <w:jc w:val="center"/>
              <w:rPr>
                <w:color w:val="auto"/>
                <w:sz w:val="21"/>
                <w:szCs w:val="21"/>
              </w:rPr>
            </w:pPr>
            <w:r>
              <w:rPr>
                <w:color w:val="auto"/>
                <w:sz w:val="21"/>
                <w:szCs w:val="21"/>
              </w:rPr>
              <w:t>液态</w:t>
            </w:r>
          </w:p>
        </w:tc>
        <w:tc>
          <w:tcPr>
            <w:tcW w:w="1089" w:type="dxa"/>
            <w:vAlign w:val="center"/>
          </w:tcPr>
          <w:p>
            <w:pPr>
              <w:spacing w:line="312" w:lineRule="exact"/>
              <w:ind w:firstLine="0" w:firstLineChars="0"/>
              <w:jc w:val="center"/>
              <w:rPr>
                <w:color w:val="auto"/>
                <w:sz w:val="21"/>
                <w:szCs w:val="21"/>
              </w:rPr>
            </w:pPr>
            <w:r>
              <w:rPr>
                <w:rFonts w:hint="eastAsia"/>
                <w:color w:val="auto"/>
                <w:sz w:val="21"/>
                <w:szCs w:val="21"/>
              </w:rPr>
              <w:t>化纤</w:t>
            </w:r>
          </w:p>
        </w:tc>
        <w:tc>
          <w:tcPr>
            <w:tcW w:w="923" w:type="dxa"/>
            <w:vAlign w:val="center"/>
          </w:tcPr>
          <w:p>
            <w:pPr>
              <w:spacing w:line="312" w:lineRule="exact"/>
              <w:ind w:firstLine="0" w:firstLineChars="0"/>
              <w:jc w:val="center"/>
              <w:rPr>
                <w:color w:val="auto"/>
                <w:sz w:val="21"/>
                <w:szCs w:val="21"/>
              </w:rPr>
            </w:pPr>
            <w:r>
              <w:rPr>
                <w:rFonts w:hint="eastAsia"/>
                <w:color w:val="auto"/>
                <w:sz w:val="21"/>
                <w:szCs w:val="21"/>
              </w:rPr>
              <w:t>/</w:t>
            </w:r>
          </w:p>
        </w:tc>
        <w:tc>
          <w:tcPr>
            <w:tcW w:w="711" w:type="dxa"/>
            <w:vAlign w:val="center"/>
          </w:tcPr>
          <w:p>
            <w:pPr>
              <w:spacing w:line="312" w:lineRule="exact"/>
              <w:ind w:firstLine="0" w:firstLineChars="0"/>
              <w:jc w:val="center"/>
              <w:rPr>
                <w:color w:val="auto"/>
                <w:sz w:val="21"/>
                <w:szCs w:val="21"/>
              </w:rPr>
            </w:pPr>
            <w:r>
              <w:rPr>
                <w:color w:val="auto"/>
                <w:kern w:val="0"/>
                <w:sz w:val="21"/>
                <w:szCs w:val="21"/>
              </w:rPr>
              <w:t>每天</w:t>
            </w:r>
          </w:p>
        </w:tc>
        <w:tc>
          <w:tcPr>
            <w:tcW w:w="729" w:type="dxa"/>
            <w:vAlign w:val="center"/>
          </w:tcPr>
          <w:p>
            <w:pPr>
              <w:spacing w:line="312" w:lineRule="exact"/>
              <w:ind w:firstLine="0" w:firstLineChars="0"/>
              <w:jc w:val="center"/>
              <w:rPr>
                <w:color w:val="auto"/>
                <w:sz w:val="21"/>
                <w:szCs w:val="21"/>
              </w:rPr>
            </w:pPr>
            <w:r>
              <w:rPr>
                <w:rFonts w:hint="eastAsia"/>
                <w:color w:val="auto"/>
                <w:sz w:val="21"/>
                <w:szCs w:val="21"/>
              </w:rPr>
              <w:t>/</w:t>
            </w:r>
          </w:p>
        </w:tc>
        <w:tc>
          <w:tcPr>
            <w:tcW w:w="972" w:type="dxa"/>
            <w:vMerge w:val="restart"/>
            <w:vAlign w:val="center"/>
          </w:tcPr>
          <w:p>
            <w:pPr>
              <w:spacing w:line="312" w:lineRule="exact"/>
              <w:ind w:firstLine="0" w:firstLineChars="0"/>
              <w:jc w:val="center"/>
              <w:rPr>
                <w:color w:val="auto"/>
                <w:sz w:val="21"/>
                <w:szCs w:val="21"/>
              </w:rPr>
            </w:pPr>
            <w:r>
              <w:rPr>
                <w:rFonts w:hint="eastAsia"/>
                <w:color w:val="auto"/>
                <w:sz w:val="21"/>
                <w:szCs w:val="21"/>
              </w:rPr>
              <w:t>收集后</w:t>
            </w:r>
            <w:r>
              <w:rPr>
                <w:rFonts w:hint="eastAsia"/>
                <w:color w:val="auto"/>
                <w:sz w:val="21"/>
                <w:szCs w:val="21"/>
                <w:lang w:val="en-US" w:eastAsia="zh-CN"/>
              </w:rPr>
              <w:t>厂家统一回收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8" w:hRule="atLeast"/>
        </w:trPr>
        <w:tc>
          <w:tcPr>
            <w:tcW w:w="216" w:type="dxa"/>
            <w:vAlign w:val="center"/>
          </w:tcPr>
          <w:p>
            <w:pPr>
              <w:spacing w:line="312" w:lineRule="exact"/>
              <w:ind w:firstLine="0" w:firstLineChars="0"/>
              <w:jc w:val="center"/>
              <w:rPr>
                <w:color w:val="auto"/>
                <w:sz w:val="21"/>
                <w:szCs w:val="21"/>
              </w:rPr>
            </w:pPr>
            <w:r>
              <w:rPr>
                <w:color w:val="auto"/>
                <w:sz w:val="21"/>
                <w:szCs w:val="21"/>
              </w:rPr>
              <w:t>2</w:t>
            </w:r>
          </w:p>
        </w:tc>
        <w:tc>
          <w:tcPr>
            <w:tcW w:w="484" w:type="dxa"/>
            <w:vAlign w:val="center"/>
          </w:tcPr>
          <w:p>
            <w:pPr>
              <w:spacing w:line="312" w:lineRule="exact"/>
              <w:ind w:firstLine="0" w:firstLineChars="0"/>
              <w:jc w:val="center"/>
              <w:rPr>
                <w:color w:val="auto"/>
                <w:kern w:val="0"/>
                <w:sz w:val="21"/>
                <w:szCs w:val="21"/>
              </w:rPr>
            </w:pPr>
            <w:r>
              <w:rPr>
                <w:rFonts w:hint="eastAsia"/>
                <w:color w:val="auto"/>
                <w:kern w:val="0"/>
                <w:sz w:val="21"/>
                <w:szCs w:val="21"/>
              </w:rPr>
              <w:t>废包装桶</w:t>
            </w:r>
          </w:p>
        </w:tc>
        <w:tc>
          <w:tcPr>
            <w:tcW w:w="631" w:type="dxa"/>
            <w:vAlign w:val="center"/>
          </w:tcPr>
          <w:p>
            <w:pPr>
              <w:spacing w:line="312" w:lineRule="exact"/>
              <w:ind w:firstLine="0" w:firstLineChars="0"/>
              <w:jc w:val="center"/>
              <w:rPr>
                <w:color w:val="auto"/>
                <w:kern w:val="0"/>
                <w:sz w:val="21"/>
                <w:szCs w:val="21"/>
              </w:rPr>
            </w:pPr>
            <w:r>
              <w:rPr>
                <w:rFonts w:hint="eastAsia"/>
                <w:color w:val="auto"/>
                <w:kern w:val="0"/>
                <w:sz w:val="21"/>
                <w:szCs w:val="21"/>
              </w:rPr>
              <w:t>一般工业固废</w:t>
            </w:r>
          </w:p>
        </w:tc>
        <w:tc>
          <w:tcPr>
            <w:tcW w:w="1106" w:type="dxa"/>
            <w:vAlign w:val="center"/>
          </w:tcPr>
          <w:p>
            <w:pPr>
              <w:spacing w:line="312" w:lineRule="exact"/>
              <w:ind w:firstLine="0" w:firstLineChars="0"/>
              <w:jc w:val="center"/>
              <w:rPr>
                <w:color w:val="auto"/>
                <w:kern w:val="0"/>
                <w:sz w:val="21"/>
                <w:szCs w:val="21"/>
              </w:rPr>
            </w:pPr>
            <w:r>
              <w:rPr>
                <w:rFonts w:hint="eastAsia"/>
                <w:color w:val="auto"/>
                <w:kern w:val="0"/>
                <w:sz w:val="21"/>
                <w:szCs w:val="21"/>
              </w:rPr>
              <w:t>266-001-49</w:t>
            </w:r>
          </w:p>
        </w:tc>
        <w:tc>
          <w:tcPr>
            <w:tcW w:w="900" w:type="dxa"/>
            <w:vAlign w:val="center"/>
          </w:tcPr>
          <w:p>
            <w:pPr>
              <w:spacing w:line="312" w:lineRule="exact"/>
              <w:ind w:firstLine="0" w:firstLineChars="0"/>
              <w:jc w:val="center"/>
              <w:rPr>
                <w:rFonts w:hint="eastAsia" w:eastAsia="宋体"/>
                <w:color w:val="auto"/>
                <w:sz w:val="21"/>
                <w:szCs w:val="21"/>
                <w:lang w:val="en-US" w:eastAsia="zh-CN"/>
              </w:rPr>
            </w:pPr>
            <w:r>
              <w:rPr>
                <w:color w:val="auto"/>
                <w:sz w:val="21"/>
                <w:szCs w:val="21"/>
              </w:rPr>
              <w:t>0.</w:t>
            </w:r>
            <w:r>
              <w:rPr>
                <w:rFonts w:hint="eastAsia"/>
                <w:color w:val="auto"/>
                <w:sz w:val="21"/>
                <w:szCs w:val="21"/>
                <w:lang w:val="en-US" w:eastAsia="zh-CN"/>
              </w:rPr>
              <w:t>8</w:t>
            </w:r>
          </w:p>
        </w:tc>
        <w:tc>
          <w:tcPr>
            <w:tcW w:w="780" w:type="dxa"/>
            <w:vAlign w:val="center"/>
          </w:tcPr>
          <w:p>
            <w:pPr>
              <w:spacing w:line="312" w:lineRule="exact"/>
              <w:ind w:firstLine="0" w:firstLineChars="0"/>
              <w:jc w:val="center"/>
              <w:rPr>
                <w:color w:val="auto"/>
                <w:kern w:val="0"/>
                <w:sz w:val="21"/>
                <w:szCs w:val="21"/>
              </w:rPr>
            </w:pPr>
            <w:r>
              <w:rPr>
                <w:rFonts w:hint="eastAsia"/>
                <w:color w:val="auto"/>
                <w:sz w:val="21"/>
                <w:szCs w:val="21"/>
              </w:rPr>
              <w:t>投料</w:t>
            </w:r>
          </w:p>
        </w:tc>
        <w:tc>
          <w:tcPr>
            <w:tcW w:w="531" w:type="dxa"/>
            <w:vAlign w:val="center"/>
          </w:tcPr>
          <w:p>
            <w:pPr>
              <w:spacing w:line="312" w:lineRule="exact"/>
              <w:ind w:firstLine="0" w:firstLineChars="0"/>
              <w:jc w:val="center"/>
              <w:rPr>
                <w:color w:val="auto"/>
                <w:kern w:val="0"/>
                <w:sz w:val="21"/>
                <w:szCs w:val="21"/>
              </w:rPr>
            </w:pPr>
            <w:r>
              <w:rPr>
                <w:color w:val="auto"/>
                <w:kern w:val="0"/>
                <w:sz w:val="21"/>
                <w:szCs w:val="21"/>
              </w:rPr>
              <w:t>固态</w:t>
            </w:r>
          </w:p>
        </w:tc>
        <w:tc>
          <w:tcPr>
            <w:tcW w:w="1089" w:type="dxa"/>
            <w:vAlign w:val="center"/>
          </w:tcPr>
          <w:p>
            <w:pPr>
              <w:spacing w:line="312" w:lineRule="exact"/>
              <w:ind w:firstLine="0" w:firstLineChars="0"/>
              <w:jc w:val="center"/>
              <w:rPr>
                <w:color w:val="auto"/>
                <w:kern w:val="0"/>
                <w:sz w:val="21"/>
                <w:szCs w:val="21"/>
              </w:rPr>
            </w:pPr>
            <w:r>
              <w:rPr>
                <w:rFonts w:hint="eastAsia"/>
                <w:color w:val="auto"/>
                <w:kern w:val="0"/>
                <w:sz w:val="21"/>
                <w:szCs w:val="21"/>
              </w:rPr>
              <w:t>塑料</w:t>
            </w:r>
          </w:p>
        </w:tc>
        <w:tc>
          <w:tcPr>
            <w:tcW w:w="923" w:type="dxa"/>
            <w:vAlign w:val="center"/>
          </w:tcPr>
          <w:p>
            <w:pPr>
              <w:spacing w:line="312" w:lineRule="exact"/>
              <w:ind w:firstLine="0" w:firstLineChars="0"/>
              <w:jc w:val="center"/>
              <w:rPr>
                <w:color w:val="auto"/>
                <w:kern w:val="0"/>
                <w:sz w:val="21"/>
                <w:szCs w:val="21"/>
              </w:rPr>
            </w:pPr>
            <w:r>
              <w:rPr>
                <w:rFonts w:hint="eastAsia"/>
                <w:color w:val="auto"/>
                <w:kern w:val="0"/>
                <w:sz w:val="21"/>
                <w:szCs w:val="21"/>
              </w:rPr>
              <w:t>/</w:t>
            </w:r>
          </w:p>
        </w:tc>
        <w:tc>
          <w:tcPr>
            <w:tcW w:w="711" w:type="dxa"/>
            <w:vAlign w:val="center"/>
          </w:tcPr>
          <w:p>
            <w:pPr>
              <w:spacing w:line="312" w:lineRule="exact"/>
              <w:ind w:firstLine="0" w:firstLineChars="0"/>
              <w:jc w:val="center"/>
              <w:rPr>
                <w:color w:val="auto"/>
                <w:kern w:val="0"/>
                <w:sz w:val="21"/>
                <w:szCs w:val="21"/>
              </w:rPr>
            </w:pPr>
            <w:r>
              <w:rPr>
                <w:color w:val="auto"/>
                <w:kern w:val="0"/>
                <w:sz w:val="21"/>
                <w:szCs w:val="21"/>
              </w:rPr>
              <w:t>每天</w:t>
            </w:r>
          </w:p>
        </w:tc>
        <w:tc>
          <w:tcPr>
            <w:tcW w:w="729" w:type="dxa"/>
            <w:vAlign w:val="center"/>
          </w:tcPr>
          <w:p>
            <w:pPr>
              <w:spacing w:line="312" w:lineRule="exact"/>
              <w:ind w:firstLine="0" w:firstLineChars="0"/>
              <w:jc w:val="center"/>
              <w:rPr>
                <w:color w:val="auto"/>
                <w:kern w:val="0"/>
                <w:sz w:val="21"/>
                <w:szCs w:val="21"/>
              </w:rPr>
            </w:pPr>
            <w:r>
              <w:rPr>
                <w:rFonts w:hint="eastAsia"/>
                <w:color w:val="auto"/>
                <w:kern w:val="0"/>
                <w:sz w:val="21"/>
                <w:szCs w:val="21"/>
              </w:rPr>
              <w:t>/</w:t>
            </w:r>
          </w:p>
        </w:tc>
        <w:tc>
          <w:tcPr>
            <w:tcW w:w="972" w:type="dxa"/>
            <w:vMerge w:val="continue"/>
            <w:vAlign w:val="center"/>
          </w:tcPr>
          <w:p>
            <w:pPr>
              <w:spacing w:line="312" w:lineRule="exac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8" w:hRule="atLeast"/>
        </w:trPr>
        <w:tc>
          <w:tcPr>
            <w:tcW w:w="216" w:type="dxa"/>
            <w:vAlign w:val="center"/>
          </w:tcPr>
          <w:p>
            <w:pPr>
              <w:spacing w:line="312" w:lineRule="exact"/>
              <w:ind w:firstLine="0" w:firstLineChars="0"/>
              <w:jc w:val="center"/>
              <w:rPr>
                <w:color w:val="auto"/>
                <w:sz w:val="21"/>
                <w:szCs w:val="21"/>
              </w:rPr>
            </w:pPr>
            <w:r>
              <w:rPr>
                <w:rFonts w:hint="eastAsia"/>
                <w:color w:val="auto"/>
                <w:sz w:val="21"/>
                <w:szCs w:val="21"/>
                <w:lang w:val="en-US" w:eastAsia="zh-CN"/>
              </w:rPr>
              <w:t>3</w:t>
            </w:r>
          </w:p>
        </w:tc>
        <w:tc>
          <w:tcPr>
            <w:tcW w:w="484" w:type="dxa"/>
            <w:vAlign w:val="center"/>
          </w:tcPr>
          <w:p>
            <w:pPr>
              <w:spacing w:line="312" w:lineRule="exact"/>
              <w:ind w:firstLine="0" w:firstLineChars="0"/>
              <w:jc w:val="center"/>
              <w:rPr>
                <w:rFonts w:hint="eastAsia"/>
                <w:color w:val="auto"/>
                <w:kern w:val="0"/>
                <w:sz w:val="21"/>
                <w:szCs w:val="21"/>
              </w:rPr>
            </w:pPr>
            <w:r>
              <w:rPr>
                <w:rFonts w:hint="eastAsia"/>
                <w:color w:val="auto"/>
                <w:kern w:val="0"/>
                <w:sz w:val="21"/>
                <w:szCs w:val="21"/>
                <w:lang w:val="en-US" w:eastAsia="zh-CN"/>
              </w:rPr>
              <w:t>高沸物</w:t>
            </w:r>
          </w:p>
        </w:tc>
        <w:tc>
          <w:tcPr>
            <w:tcW w:w="631" w:type="dxa"/>
            <w:vAlign w:val="center"/>
          </w:tcPr>
          <w:p>
            <w:pPr>
              <w:spacing w:line="312" w:lineRule="exact"/>
              <w:ind w:firstLine="0" w:firstLineChars="0"/>
              <w:jc w:val="center"/>
              <w:rPr>
                <w:rFonts w:hint="eastAsia"/>
                <w:color w:val="auto"/>
                <w:kern w:val="0"/>
                <w:sz w:val="21"/>
                <w:szCs w:val="21"/>
              </w:rPr>
            </w:pPr>
            <w:r>
              <w:rPr>
                <w:rFonts w:hint="eastAsia"/>
                <w:color w:val="auto"/>
                <w:kern w:val="0"/>
                <w:sz w:val="21"/>
                <w:szCs w:val="21"/>
                <w:lang w:val="en-US" w:eastAsia="zh-CN"/>
              </w:rPr>
              <w:t>HW50</w:t>
            </w:r>
          </w:p>
        </w:tc>
        <w:tc>
          <w:tcPr>
            <w:tcW w:w="1106" w:type="dxa"/>
            <w:vAlign w:val="center"/>
          </w:tcPr>
          <w:p>
            <w:pPr>
              <w:spacing w:line="312" w:lineRule="exact"/>
              <w:ind w:firstLine="0" w:firstLineChars="0"/>
              <w:jc w:val="center"/>
              <w:rPr>
                <w:rFonts w:hint="eastAsia"/>
                <w:color w:val="auto"/>
                <w:kern w:val="0"/>
                <w:sz w:val="21"/>
                <w:szCs w:val="21"/>
              </w:rPr>
            </w:pPr>
            <w:r>
              <w:rPr>
                <w:rFonts w:hint="eastAsia"/>
                <w:color w:val="auto"/>
                <w:kern w:val="0"/>
                <w:sz w:val="21"/>
                <w:szCs w:val="21"/>
                <w:lang w:val="en-US" w:eastAsia="zh-CN"/>
              </w:rPr>
              <w:t>900-048-50</w:t>
            </w:r>
          </w:p>
        </w:tc>
        <w:tc>
          <w:tcPr>
            <w:tcW w:w="900" w:type="dxa"/>
            <w:vAlign w:val="center"/>
          </w:tcPr>
          <w:p>
            <w:pPr>
              <w:spacing w:line="312" w:lineRule="exact"/>
              <w:ind w:firstLine="0" w:firstLineChars="0"/>
              <w:jc w:val="center"/>
              <w:rPr>
                <w:rFonts w:hint="default"/>
                <w:color w:val="auto"/>
                <w:sz w:val="21"/>
                <w:szCs w:val="21"/>
                <w:lang w:val="en-US"/>
              </w:rPr>
            </w:pPr>
            <w:r>
              <w:rPr>
                <w:rFonts w:hint="eastAsia"/>
                <w:color w:val="auto"/>
                <w:sz w:val="21"/>
                <w:szCs w:val="21"/>
                <w:lang w:val="en-US" w:eastAsia="zh-CN"/>
              </w:rPr>
              <w:t>2.997</w:t>
            </w:r>
          </w:p>
        </w:tc>
        <w:tc>
          <w:tcPr>
            <w:tcW w:w="780" w:type="dxa"/>
            <w:vAlign w:val="center"/>
          </w:tcPr>
          <w:p>
            <w:pPr>
              <w:spacing w:line="312" w:lineRule="exact"/>
              <w:ind w:firstLine="0" w:firstLineChars="0"/>
              <w:jc w:val="center"/>
              <w:rPr>
                <w:rFonts w:hint="eastAsia"/>
                <w:color w:val="auto"/>
                <w:sz w:val="21"/>
                <w:szCs w:val="21"/>
              </w:rPr>
            </w:pPr>
            <w:r>
              <w:rPr>
                <w:rFonts w:hint="eastAsia"/>
                <w:color w:val="auto"/>
                <w:sz w:val="21"/>
                <w:szCs w:val="21"/>
                <w:lang w:val="en-US" w:eastAsia="zh-CN"/>
              </w:rPr>
              <w:t>酯化工序</w:t>
            </w:r>
          </w:p>
        </w:tc>
        <w:tc>
          <w:tcPr>
            <w:tcW w:w="531" w:type="dxa"/>
            <w:vAlign w:val="center"/>
          </w:tcPr>
          <w:p>
            <w:pPr>
              <w:spacing w:line="312" w:lineRule="exact"/>
              <w:ind w:firstLine="0" w:firstLineChars="0"/>
              <w:jc w:val="center"/>
              <w:rPr>
                <w:color w:val="auto"/>
                <w:kern w:val="0"/>
                <w:sz w:val="21"/>
                <w:szCs w:val="21"/>
              </w:rPr>
            </w:pPr>
            <w:r>
              <w:rPr>
                <w:rFonts w:hint="eastAsia"/>
                <w:color w:val="auto"/>
                <w:kern w:val="0"/>
                <w:sz w:val="21"/>
                <w:szCs w:val="21"/>
                <w:lang w:val="en-US" w:eastAsia="zh-CN"/>
              </w:rPr>
              <w:t>液态</w:t>
            </w:r>
          </w:p>
        </w:tc>
        <w:tc>
          <w:tcPr>
            <w:tcW w:w="1089" w:type="dxa"/>
            <w:vAlign w:val="center"/>
          </w:tcPr>
          <w:p>
            <w:pPr>
              <w:spacing w:line="312" w:lineRule="exact"/>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催化剂</w:t>
            </w:r>
          </w:p>
        </w:tc>
        <w:tc>
          <w:tcPr>
            <w:tcW w:w="923" w:type="dxa"/>
            <w:vAlign w:val="center"/>
          </w:tcPr>
          <w:p>
            <w:pPr>
              <w:spacing w:line="312" w:lineRule="exact"/>
              <w:ind w:firstLine="0" w:firstLineChars="0"/>
              <w:jc w:val="center"/>
              <w:rPr>
                <w:rFonts w:hint="eastAsia"/>
                <w:color w:val="auto"/>
                <w:kern w:val="0"/>
                <w:sz w:val="21"/>
                <w:szCs w:val="21"/>
              </w:rPr>
            </w:pPr>
            <w:r>
              <w:rPr>
                <w:rFonts w:hint="eastAsia"/>
                <w:color w:val="auto"/>
                <w:kern w:val="0"/>
                <w:sz w:val="21"/>
                <w:szCs w:val="21"/>
                <w:lang w:val="en-US" w:eastAsia="zh-CN"/>
              </w:rPr>
              <w:t>/</w:t>
            </w:r>
          </w:p>
        </w:tc>
        <w:tc>
          <w:tcPr>
            <w:tcW w:w="711" w:type="dxa"/>
            <w:vAlign w:val="center"/>
          </w:tcPr>
          <w:p>
            <w:pPr>
              <w:spacing w:line="312" w:lineRule="exact"/>
              <w:ind w:firstLine="0" w:firstLineChars="0"/>
              <w:jc w:val="center"/>
              <w:rPr>
                <w:color w:val="auto"/>
                <w:kern w:val="0"/>
                <w:sz w:val="21"/>
                <w:szCs w:val="21"/>
              </w:rPr>
            </w:pPr>
            <w:r>
              <w:rPr>
                <w:rFonts w:hint="eastAsia"/>
                <w:color w:val="auto"/>
                <w:kern w:val="0"/>
                <w:sz w:val="21"/>
                <w:szCs w:val="21"/>
                <w:lang w:val="en-US" w:eastAsia="zh-CN"/>
              </w:rPr>
              <w:t>每周</w:t>
            </w:r>
          </w:p>
        </w:tc>
        <w:tc>
          <w:tcPr>
            <w:tcW w:w="729" w:type="dxa"/>
            <w:vAlign w:val="center"/>
          </w:tcPr>
          <w:p>
            <w:pPr>
              <w:spacing w:line="312" w:lineRule="exact"/>
              <w:ind w:firstLine="0" w:firstLineChars="0"/>
              <w:jc w:val="center"/>
              <w:rPr>
                <w:rFonts w:hint="eastAsia"/>
                <w:color w:val="auto"/>
                <w:kern w:val="0"/>
                <w:sz w:val="21"/>
                <w:szCs w:val="21"/>
              </w:rPr>
            </w:pPr>
            <w:r>
              <w:rPr>
                <w:color w:val="auto"/>
                <w:sz w:val="21"/>
                <w:szCs w:val="21"/>
              </w:rPr>
              <w:t>T</w:t>
            </w:r>
          </w:p>
        </w:tc>
        <w:tc>
          <w:tcPr>
            <w:tcW w:w="972" w:type="dxa"/>
            <w:vMerge w:val="restart"/>
            <w:vAlign w:val="center"/>
          </w:tcPr>
          <w:p>
            <w:pPr>
              <w:spacing w:line="312"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委托有资质单位处置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8" w:hRule="atLeast"/>
        </w:trPr>
        <w:tc>
          <w:tcPr>
            <w:tcW w:w="216" w:type="dxa"/>
            <w:vAlign w:val="center"/>
          </w:tcPr>
          <w:p>
            <w:pPr>
              <w:spacing w:line="312" w:lineRule="exact"/>
              <w:ind w:firstLine="0" w:firstLineChars="0"/>
              <w:jc w:val="center"/>
              <w:rPr>
                <w:rFonts w:hint="eastAsia"/>
                <w:color w:val="auto"/>
                <w:sz w:val="21"/>
                <w:szCs w:val="21"/>
                <w:lang w:val="en-US" w:eastAsia="zh-CN"/>
              </w:rPr>
            </w:pPr>
            <w:r>
              <w:rPr>
                <w:rFonts w:hint="eastAsia"/>
                <w:color w:val="auto"/>
                <w:kern w:val="0"/>
                <w:sz w:val="21"/>
                <w:szCs w:val="21"/>
                <w:lang w:val="en-US" w:eastAsia="zh-CN"/>
              </w:rPr>
              <w:t>4</w:t>
            </w:r>
          </w:p>
        </w:tc>
        <w:tc>
          <w:tcPr>
            <w:tcW w:w="484" w:type="dxa"/>
            <w:vAlign w:val="center"/>
          </w:tcPr>
          <w:p>
            <w:pPr>
              <w:spacing w:line="312" w:lineRule="exact"/>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罐底残渣</w:t>
            </w:r>
          </w:p>
        </w:tc>
        <w:tc>
          <w:tcPr>
            <w:tcW w:w="631" w:type="dxa"/>
            <w:vAlign w:val="center"/>
          </w:tcPr>
          <w:p>
            <w:pPr>
              <w:spacing w:line="312" w:lineRule="exact"/>
              <w:ind w:firstLine="0" w:firstLineChars="0"/>
              <w:jc w:val="center"/>
              <w:rPr>
                <w:rFonts w:hint="eastAsia"/>
                <w:color w:val="auto"/>
                <w:kern w:val="0"/>
                <w:sz w:val="21"/>
                <w:szCs w:val="21"/>
                <w:lang w:val="en-US" w:eastAsia="zh-CN"/>
              </w:rPr>
            </w:pPr>
            <w:r>
              <w:rPr>
                <w:rFonts w:hint="eastAsia"/>
                <w:color w:val="auto"/>
                <w:kern w:val="0"/>
                <w:sz w:val="21"/>
                <w:szCs w:val="21"/>
                <w:lang w:val="en-US" w:eastAsia="zh-CN"/>
              </w:rPr>
              <w:t>HW50</w:t>
            </w:r>
          </w:p>
        </w:tc>
        <w:tc>
          <w:tcPr>
            <w:tcW w:w="1106" w:type="dxa"/>
            <w:vAlign w:val="center"/>
          </w:tcPr>
          <w:p>
            <w:pPr>
              <w:spacing w:line="312" w:lineRule="exact"/>
              <w:ind w:firstLine="0" w:firstLineChars="0"/>
              <w:jc w:val="center"/>
              <w:rPr>
                <w:rFonts w:hint="eastAsia"/>
                <w:color w:val="auto"/>
                <w:kern w:val="0"/>
                <w:sz w:val="21"/>
                <w:szCs w:val="21"/>
                <w:lang w:val="en-US" w:eastAsia="zh-CN"/>
              </w:rPr>
            </w:pPr>
            <w:r>
              <w:rPr>
                <w:rFonts w:hint="eastAsia"/>
                <w:color w:val="auto"/>
                <w:kern w:val="0"/>
                <w:sz w:val="21"/>
                <w:szCs w:val="21"/>
                <w:lang w:val="en-US" w:eastAsia="zh-CN"/>
              </w:rPr>
              <w:t>900-048-50</w:t>
            </w:r>
          </w:p>
        </w:tc>
        <w:tc>
          <w:tcPr>
            <w:tcW w:w="900" w:type="dxa"/>
            <w:vAlign w:val="center"/>
          </w:tcPr>
          <w:p>
            <w:pPr>
              <w:spacing w:line="312" w:lineRule="exact"/>
              <w:ind w:firstLine="0" w:firstLineChars="0"/>
              <w:jc w:val="center"/>
              <w:rPr>
                <w:rFonts w:hint="default"/>
                <w:color w:val="auto"/>
                <w:sz w:val="21"/>
                <w:szCs w:val="21"/>
                <w:lang w:val="en-US" w:eastAsia="zh-CN"/>
              </w:rPr>
            </w:pPr>
            <w:r>
              <w:rPr>
                <w:rFonts w:hint="eastAsia"/>
                <w:color w:val="auto"/>
                <w:sz w:val="21"/>
                <w:szCs w:val="21"/>
                <w:lang w:val="en-US" w:eastAsia="zh-CN"/>
              </w:rPr>
              <w:t>6.9828</w:t>
            </w:r>
          </w:p>
        </w:tc>
        <w:tc>
          <w:tcPr>
            <w:tcW w:w="780" w:type="dxa"/>
            <w:vAlign w:val="center"/>
          </w:tcPr>
          <w:p>
            <w:pPr>
              <w:spacing w:line="312" w:lineRule="exact"/>
              <w:ind w:firstLine="0" w:firstLineChars="0"/>
              <w:jc w:val="center"/>
              <w:rPr>
                <w:rFonts w:hint="default"/>
                <w:color w:val="auto"/>
                <w:sz w:val="21"/>
                <w:szCs w:val="21"/>
                <w:lang w:val="en-US" w:eastAsia="zh-CN"/>
              </w:rPr>
            </w:pPr>
            <w:r>
              <w:rPr>
                <w:rFonts w:hint="eastAsia"/>
                <w:color w:val="auto"/>
                <w:sz w:val="21"/>
                <w:szCs w:val="21"/>
                <w:lang w:val="en-US" w:eastAsia="zh-CN"/>
              </w:rPr>
              <w:t>精制工序</w:t>
            </w:r>
          </w:p>
        </w:tc>
        <w:tc>
          <w:tcPr>
            <w:tcW w:w="531" w:type="dxa"/>
            <w:vAlign w:val="center"/>
          </w:tcPr>
          <w:p>
            <w:pPr>
              <w:spacing w:line="312" w:lineRule="exact"/>
              <w:ind w:firstLine="0" w:firstLineChars="0"/>
              <w:jc w:val="center"/>
              <w:rPr>
                <w:rFonts w:hint="eastAsia"/>
                <w:color w:val="auto"/>
                <w:kern w:val="0"/>
                <w:sz w:val="21"/>
                <w:szCs w:val="21"/>
                <w:lang w:val="en-US" w:eastAsia="zh-CN"/>
              </w:rPr>
            </w:pPr>
            <w:r>
              <w:rPr>
                <w:rFonts w:hint="eastAsia"/>
                <w:color w:val="auto"/>
                <w:kern w:val="0"/>
                <w:sz w:val="21"/>
                <w:szCs w:val="21"/>
                <w:lang w:val="en-US" w:eastAsia="zh-CN"/>
              </w:rPr>
              <w:t>液态</w:t>
            </w:r>
          </w:p>
        </w:tc>
        <w:tc>
          <w:tcPr>
            <w:tcW w:w="1089" w:type="dxa"/>
            <w:vAlign w:val="center"/>
          </w:tcPr>
          <w:p>
            <w:pPr>
              <w:spacing w:line="312" w:lineRule="exact"/>
              <w:ind w:firstLine="0" w:firstLineChars="0"/>
              <w:jc w:val="center"/>
              <w:rPr>
                <w:rFonts w:hint="eastAsia"/>
                <w:color w:val="auto"/>
                <w:kern w:val="0"/>
                <w:sz w:val="21"/>
                <w:szCs w:val="21"/>
                <w:lang w:val="en-US" w:eastAsia="zh-CN"/>
              </w:rPr>
            </w:pPr>
            <w:r>
              <w:rPr>
                <w:rFonts w:hint="eastAsia"/>
                <w:color w:val="auto"/>
                <w:kern w:val="0"/>
                <w:sz w:val="21"/>
                <w:szCs w:val="21"/>
                <w:lang w:val="en-US" w:eastAsia="zh-CN"/>
              </w:rPr>
              <w:t>催化剂</w:t>
            </w:r>
          </w:p>
        </w:tc>
        <w:tc>
          <w:tcPr>
            <w:tcW w:w="923" w:type="dxa"/>
            <w:vAlign w:val="center"/>
          </w:tcPr>
          <w:p>
            <w:pPr>
              <w:spacing w:line="312" w:lineRule="exact"/>
              <w:ind w:firstLine="0" w:firstLineChars="0"/>
              <w:jc w:val="center"/>
              <w:rPr>
                <w:rFonts w:hint="eastAsia"/>
                <w:color w:val="auto"/>
                <w:kern w:val="0"/>
                <w:sz w:val="21"/>
                <w:szCs w:val="21"/>
                <w:lang w:val="en-US" w:eastAsia="zh-CN"/>
              </w:rPr>
            </w:pPr>
            <w:r>
              <w:rPr>
                <w:rFonts w:hint="eastAsia"/>
                <w:color w:val="auto"/>
                <w:kern w:val="0"/>
                <w:sz w:val="21"/>
                <w:szCs w:val="21"/>
                <w:lang w:val="en-US" w:eastAsia="zh-CN"/>
              </w:rPr>
              <w:t>/</w:t>
            </w:r>
          </w:p>
        </w:tc>
        <w:tc>
          <w:tcPr>
            <w:tcW w:w="711" w:type="dxa"/>
            <w:vAlign w:val="center"/>
          </w:tcPr>
          <w:p>
            <w:pPr>
              <w:spacing w:line="312" w:lineRule="exact"/>
              <w:ind w:firstLine="0" w:firstLineChars="0"/>
              <w:jc w:val="center"/>
              <w:rPr>
                <w:rFonts w:hint="eastAsia"/>
                <w:color w:val="auto"/>
                <w:kern w:val="0"/>
                <w:sz w:val="21"/>
                <w:szCs w:val="21"/>
                <w:lang w:val="en-US" w:eastAsia="zh-CN"/>
              </w:rPr>
            </w:pPr>
            <w:r>
              <w:rPr>
                <w:rFonts w:hint="eastAsia"/>
                <w:color w:val="auto"/>
                <w:kern w:val="0"/>
                <w:sz w:val="21"/>
                <w:szCs w:val="21"/>
                <w:lang w:val="en-US" w:eastAsia="zh-CN"/>
              </w:rPr>
              <w:t>每周</w:t>
            </w:r>
          </w:p>
        </w:tc>
        <w:tc>
          <w:tcPr>
            <w:tcW w:w="729" w:type="dxa"/>
            <w:vAlign w:val="center"/>
          </w:tcPr>
          <w:p>
            <w:pPr>
              <w:spacing w:line="312" w:lineRule="exact"/>
              <w:ind w:firstLine="0" w:firstLineChars="0"/>
              <w:jc w:val="center"/>
              <w:rPr>
                <w:rFonts w:hint="eastAsia"/>
                <w:color w:val="auto"/>
                <w:kern w:val="0"/>
                <w:sz w:val="21"/>
                <w:szCs w:val="21"/>
                <w:lang w:val="en-US" w:eastAsia="zh-CN"/>
              </w:rPr>
            </w:pPr>
            <w:r>
              <w:rPr>
                <w:color w:val="auto"/>
                <w:sz w:val="21"/>
                <w:szCs w:val="21"/>
              </w:rPr>
              <w:t>T</w:t>
            </w:r>
          </w:p>
        </w:tc>
        <w:tc>
          <w:tcPr>
            <w:tcW w:w="972" w:type="dxa"/>
            <w:vMerge w:val="continue"/>
            <w:vAlign w:val="center"/>
          </w:tcPr>
          <w:p>
            <w:pPr>
              <w:spacing w:line="312" w:lineRule="exac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16" w:type="dxa"/>
            <w:vAlign w:val="center"/>
          </w:tcPr>
          <w:p>
            <w:pPr>
              <w:spacing w:line="312" w:lineRule="exact"/>
              <w:ind w:firstLine="0" w:firstLineChars="0"/>
              <w:jc w:val="center"/>
              <w:rPr>
                <w:rFonts w:hint="eastAsia" w:eastAsia="宋体"/>
                <w:color w:val="auto"/>
                <w:kern w:val="0"/>
                <w:sz w:val="21"/>
                <w:szCs w:val="21"/>
                <w:lang w:val="en-US" w:eastAsia="zh-CN"/>
              </w:rPr>
            </w:pPr>
            <w:r>
              <w:rPr>
                <w:rFonts w:hint="eastAsia"/>
                <w:color w:val="auto"/>
                <w:sz w:val="21"/>
                <w:szCs w:val="21"/>
              </w:rPr>
              <w:t>5</w:t>
            </w:r>
          </w:p>
        </w:tc>
        <w:tc>
          <w:tcPr>
            <w:tcW w:w="484" w:type="dxa"/>
            <w:vAlign w:val="center"/>
          </w:tcPr>
          <w:p>
            <w:pPr>
              <w:spacing w:line="312" w:lineRule="exact"/>
              <w:ind w:firstLine="0" w:firstLineChars="0"/>
              <w:jc w:val="center"/>
              <w:rPr>
                <w:color w:val="auto"/>
                <w:kern w:val="0"/>
                <w:sz w:val="21"/>
                <w:szCs w:val="21"/>
              </w:rPr>
            </w:pPr>
            <w:r>
              <w:rPr>
                <w:rFonts w:hint="eastAsia"/>
                <w:color w:val="auto"/>
                <w:kern w:val="0"/>
                <w:sz w:val="21"/>
                <w:szCs w:val="21"/>
              </w:rPr>
              <w:t>废活性炭</w:t>
            </w:r>
          </w:p>
        </w:tc>
        <w:tc>
          <w:tcPr>
            <w:tcW w:w="631" w:type="dxa"/>
            <w:vAlign w:val="center"/>
          </w:tcPr>
          <w:p>
            <w:pPr>
              <w:spacing w:line="312" w:lineRule="exact"/>
              <w:ind w:firstLine="0" w:firstLineChars="0"/>
              <w:jc w:val="center"/>
              <w:rPr>
                <w:color w:val="auto"/>
                <w:kern w:val="0"/>
                <w:sz w:val="21"/>
                <w:szCs w:val="21"/>
              </w:rPr>
            </w:pPr>
            <w:r>
              <w:rPr>
                <w:color w:val="auto"/>
                <w:kern w:val="0"/>
                <w:sz w:val="21"/>
                <w:szCs w:val="21"/>
              </w:rPr>
              <w:t>HW49</w:t>
            </w:r>
          </w:p>
        </w:tc>
        <w:tc>
          <w:tcPr>
            <w:tcW w:w="1106" w:type="dxa"/>
            <w:vAlign w:val="center"/>
          </w:tcPr>
          <w:p>
            <w:pPr>
              <w:spacing w:line="312" w:lineRule="exact"/>
              <w:ind w:firstLine="0" w:firstLineChars="0"/>
              <w:jc w:val="center"/>
              <w:rPr>
                <w:color w:val="auto"/>
                <w:kern w:val="0"/>
                <w:sz w:val="21"/>
                <w:szCs w:val="21"/>
              </w:rPr>
            </w:pPr>
            <w:r>
              <w:rPr>
                <w:color w:val="auto"/>
                <w:kern w:val="0"/>
                <w:sz w:val="21"/>
                <w:szCs w:val="21"/>
              </w:rPr>
              <w:t>900-039-49</w:t>
            </w:r>
          </w:p>
        </w:tc>
        <w:tc>
          <w:tcPr>
            <w:tcW w:w="900" w:type="dxa"/>
            <w:vAlign w:val="center"/>
          </w:tcPr>
          <w:p>
            <w:pPr>
              <w:spacing w:line="312" w:lineRule="exact"/>
              <w:ind w:firstLine="0" w:firstLineChars="0"/>
              <w:jc w:val="center"/>
              <w:rPr>
                <w:rFonts w:hint="eastAsia" w:eastAsia="宋体"/>
                <w:color w:val="auto"/>
                <w:sz w:val="21"/>
                <w:szCs w:val="21"/>
                <w:lang w:eastAsia="zh-CN"/>
              </w:rPr>
            </w:pPr>
            <w:r>
              <w:rPr>
                <w:rFonts w:hint="eastAsia"/>
                <w:color w:val="auto"/>
                <w:sz w:val="21"/>
                <w:szCs w:val="21"/>
                <w:lang w:eastAsia="zh-CN"/>
              </w:rPr>
              <w:t>8.64</w:t>
            </w:r>
          </w:p>
        </w:tc>
        <w:tc>
          <w:tcPr>
            <w:tcW w:w="780" w:type="dxa"/>
            <w:vAlign w:val="center"/>
          </w:tcPr>
          <w:p>
            <w:pPr>
              <w:spacing w:line="312" w:lineRule="exact"/>
              <w:ind w:firstLine="0" w:firstLineChars="0"/>
              <w:jc w:val="center"/>
              <w:rPr>
                <w:color w:val="auto"/>
                <w:kern w:val="0"/>
                <w:sz w:val="21"/>
                <w:szCs w:val="21"/>
              </w:rPr>
            </w:pPr>
            <w:r>
              <w:rPr>
                <w:color w:val="auto"/>
                <w:kern w:val="0"/>
                <w:sz w:val="21"/>
                <w:szCs w:val="21"/>
              </w:rPr>
              <w:t>有机废气治理</w:t>
            </w:r>
          </w:p>
        </w:tc>
        <w:tc>
          <w:tcPr>
            <w:tcW w:w="531" w:type="dxa"/>
            <w:vAlign w:val="center"/>
          </w:tcPr>
          <w:p>
            <w:pPr>
              <w:spacing w:line="312" w:lineRule="exact"/>
              <w:ind w:firstLine="0" w:firstLineChars="0"/>
              <w:jc w:val="center"/>
              <w:rPr>
                <w:color w:val="auto"/>
                <w:kern w:val="0"/>
                <w:sz w:val="21"/>
                <w:szCs w:val="21"/>
              </w:rPr>
            </w:pPr>
            <w:r>
              <w:rPr>
                <w:color w:val="auto"/>
                <w:kern w:val="0"/>
                <w:sz w:val="21"/>
                <w:szCs w:val="21"/>
              </w:rPr>
              <w:t>液态</w:t>
            </w:r>
          </w:p>
        </w:tc>
        <w:tc>
          <w:tcPr>
            <w:tcW w:w="1089" w:type="dxa"/>
            <w:vAlign w:val="center"/>
          </w:tcPr>
          <w:p>
            <w:pPr>
              <w:spacing w:line="312" w:lineRule="exact"/>
              <w:ind w:firstLine="0" w:firstLineChars="0"/>
              <w:jc w:val="center"/>
              <w:rPr>
                <w:color w:val="auto"/>
                <w:kern w:val="0"/>
                <w:sz w:val="21"/>
                <w:szCs w:val="21"/>
              </w:rPr>
            </w:pPr>
            <w:r>
              <w:rPr>
                <w:rFonts w:hint="eastAsia"/>
                <w:color w:val="auto"/>
                <w:kern w:val="0"/>
                <w:sz w:val="21"/>
                <w:szCs w:val="21"/>
              </w:rPr>
              <w:t>挥发性有机物</w:t>
            </w:r>
          </w:p>
        </w:tc>
        <w:tc>
          <w:tcPr>
            <w:tcW w:w="923" w:type="dxa"/>
            <w:vAlign w:val="center"/>
          </w:tcPr>
          <w:p>
            <w:pPr>
              <w:spacing w:line="312" w:lineRule="exact"/>
              <w:ind w:firstLine="0" w:firstLineChars="0"/>
              <w:jc w:val="center"/>
              <w:rPr>
                <w:color w:val="auto"/>
                <w:kern w:val="0"/>
                <w:sz w:val="21"/>
                <w:szCs w:val="21"/>
              </w:rPr>
            </w:pPr>
            <w:r>
              <w:rPr>
                <w:rFonts w:hint="eastAsia"/>
                <w:color w:val="auto"/>
                <w:kern w:val="0"/>
                <w:sz w:val="21"/>
                <w:szCs w:val="21"/>
              </w:rPr>
              <w:t>挥发性有机物</w:t>
            </w:r>
          </w:p>
        </w:tc>
        <w:tc>
          <w:tcPr>
            <w:tcW w:w="711" w:type="dxa"/>
            <w:vAlign w:val="center"/>
          </w:tcPr>
          <w:p>
            <w:pPr>
              <w:spacing w:line="312" w:lineRule="exact"/>
              <w:ind w:firstLine="0" w:firstLineChars="0"/>
              <w:jc w:val="center"/>
              <w:rPr>
                <w:color w:val="auto"/>
                <w:kern w:val="0"/>
                <w:sz w:val="21"/>
                <w:szCs w:val="21"/>
              </w:rPr>
            </w:pPr>
            <w:r>
              <w:rPr>
                <w:color w:val="auto"/>
                <w:kern w:val="0"/>
                <w:sz w:val="21"/>
                <w:szCs w:val="21"/>
              </w:rPr>
              <w:t>每</w:t>
            </w:r>
            <w:r>
              <w:rPr>
                <w:rFonts w:hint="eastAsia"/>
                <w:color w:val="auto"/>
                <w:kern w:val="0"/>
                <w:sz w:val="21"/>
                <w:szCs w:val="21"/>
              </w:rPr>
              <w:t>半年</w:t>
            </w:r>
          </w:p>
        </w:tc>
        <w:tc>
          <w:tcPr>
            <w:tcW w:w="729" w:type="dxa"/>
            <w:vAlign w:val="center"/>
          </w:tcPr>
          <w:p>
            <w:pPr>
              <w:spacing w:line="312" w:lineRule="exact"/>
              <w:ind w:firstLine="0" w:firstLineChars="0"/>
              <w:jc w:val="center"/>
              <w:rPr>
                <w:color w:val="auto"/>
                <w:kern w:val="0"/>
                <w:sz w:val="21"/>
                <w:szCs w:val="21"/>
              </w:rPr>
            </w:pPr>
            <w:r>
              <w:rPr>
                <w:color w:val="auto"/>
                <w:sz w:val="21"/>
                <w:szCs w:val="21"/>
              </w:rPr>
              <w:t>T</w:t>
            </w:r>
          </w:p>
        </w:tc>
        <w:tc>
          <w:tcPr>
            <w:tcW w:w="972" w:type="dxa"/>
            <w:vMerge w:val="continue"/>
            <w:vAlign w:val="center"/>
          </w:tcPr>
          <w:p>
            <w:pPr>
              <w:spacing w:line="312" w:lineRule="exac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216" w:type="dxa"/>
            <w:vAlign w:val="center"/>
          </w:tcPr>
          <w:p>
            <w:pPr>
              <w:spacing w:line="312" w:lineRule="exact"/>
              <w:ind w:firstLine="0" w:firstLineChars="0"/>
              <w:jc w:val="center"/>
              <w:rPr>
                <w:color w:val="auto"/>
                <w:kern w:val="0"/>
                <w:sz w:val="21"/>
                <w:szCs w:val="21"/>
              </w:rPr>
            </w:pPr>
            <w:r>
              <w:rPr>
                <w:rFonts w:hint="eastAsia"/>
                <w:color w:val="auto"/>
                <w:kern w:val="0"/>
                <w:sz w:val="21"/>
                <w:szCs w:val="21"/>
              </w:rPr>
              <w:t>6</w:t>
            </w:r>
          </w:p>
        </w:tc>
        <w:tc>
          <w:tcPr>
            <w:tcW w:w="484" w:type="dxa"/>
            <w:vAlign w:val="center"/>
          </w:tcPr>
          <w:p>
            <w:pPr>
              <w:spacing w:line="312" w:lineRule="exact"/>
              <w:ind w:firstLine="0" w:firstLineChars="0"/>
              <w:jc w:val="center"/>
              <w:rPr>
                <w:color w:val="auto"/>
                <w:kern w:val="0"/>
                <w:sz w:val="21"/>
                <w:szCs w:val="21"/>
              </w:rPr>
            </w:pPr>
            <w:r>
              <w:rPr>
                <w:color w:val="auto"/>
                <w:kern w:val="0"/>
                <w:sz w:val="21"/>
                <w:szCs w:val="21"/>
              </w:rPr>
              <w:t>废润滑油</w:t>
            </w:r>
          </w:p>
        </w:tc>
        <w:tc>
          <w:tcPr>
            <w:tcW w:w="631" w:type="dxa"/>
            <w:vAlign w:val="center"/>
          </w:tcPr>
          <w:p>
            <w:pPr>
              <w:spacing w:line="312" w:lineRule="exact"/>
              <w:ind w:firstLine="0" w:firstLineChars="0"/>
              <w:jc w:val="center"/>
              <w:rPr>
                <w:color w:val="auto"/>
                <w:kern w:val="0"/>
                <w:sz w:val="21"/>
                <w:szCs w:val="21"/>
              </w:rPr>
            </w:pPr>
            <w:r>
              <w:rPr>
                <w:color w:val="auto"/>
                <w:sz w:val="21"/>
                <w:szCs w:val="21"/>
              </w:rPr>
              <w:t>HW08</w:t>
            </w:r>
          </w:p>
        </w:tc>
        <w:tc>
          <w:tcPr>
            <w:tcW w:w="1106" w:type="dxa"/>
            <w:vAlign w:val="center"/>
          </w:tcPr>
          <w:p>
            <w:pPr>
              <w:spacing w:line="312" w:lineRule="exact"/>
              <w:ind w:firstLine="0" w:firstLineChars="0"/>
              <w:jc w:val="center"/>
              <w:rPr>
                <w:color w:val="auto"/>
                <w:kern w:val="0"/>
                <w:sz w:val="21"/>
                <w:szCs w:val="21"/>
              </w:rPr>
            </w:pPr>
            <w:r>
              <w:rPr>
                <w:color w:val="auto"/>
                <w:sz w:val="21"/>
                <w:szCs w:val="21"/>
              </w:rPr>
              <w:t>900-217-08</w:t>
            </w:r>
          </w:p>
        </w:tc>
        <w:tc>
          <w:tcPr>
            <w:tcW w:w="900" w:type="dxa"/>
            <w:vAlign w:val="center"/>
          </w:tcPr>
          <w:p>
            <w:pPr>
              <w:spacing w:line="312" w:lineRule="exact"/>
              <w:ind w:firstLine="0" w:firstLineChars="0"/>
              <w:jc w:val="center"/>
              <w:rPr>
                <w:rFonts w:hint="eastAsia" w:eastAsia="宋体"/>
                <w:color w:val="auto"/>
                <w:sz w:val="21"/>
                <w:szCs w:val="21"/>
                <w:lang w:eastAsia="zh-CN"/>
              </w:rPr>
            </w:pPr>
            <w:r>
              <w:rPr>
                <w:rFonts w:hint="eastAsia"/>
                <w:color w:val="auto"/>
                <w:sz w:val="21"/>
                <w:szCs w:val="21"/>
              </w:rPr>
              <w:t>0.</w:t>
            </w:r>
            <w:r>
              <w:rPr>
                <w:rFonts w:hint="eastAsia"/>
                <w:color w:val="auto"/>
                <w:sz w:val="21"/>
                <w:szCs w:val="21"/>
                <w:lang w:val="en-US" w:eastAsia="zh-CN"/>
              </w:rPr>
              <w:t>1</w:t>
            </w:r>
          </w:p>
        </w:tc>
        <w:tc>
          <w:tcPr>
            <w:tcW w:w="780" w:type="dxa"/>
            <w:vAlign w:val="center"/>
          </w:tcPr>
          <w:p>
            <w:pPr>
              <w:spacing w:line="312" w:lineRule="exact"/>
              <w:ind w:firstLine="0" w:firstLineChars="0"/>
              <w:jc w:val="center"/>
              <w:rPr>
                <w:color w:val="auto"/>
                <w:kern w:val="0"/>
                <w:sz w:val="21"/>
                <w:szCs w:val="21"/>
              </w:rPr>
            </w:pPr>
            <w:r>
              <w:rPr>
                <w:color w:val="auto"/>
                <w:sz w:val="21"/>
                <w:szCs w:val="21"/>
              </w:rPr>
              <w:t>保养设备</w:t>
            </w:r>
          </w:p>
        </w:tc>
        <w:tc>
          <w:tcPr>
            <w:tcW w:w="531" w:type="dxa"/>
            <w:vAlign w:val="center"/>
          </w:tcPr>
          <w:p>
            <w:pPr>
              <w:spacing w:line="312" w:lineRule="exact"/>
              <w:ind w:firstLine="0" w:firstLineChars="0"/>
              <w:jc w:val="center"/>
              <w:rPr>
                <w:color w:val="auto"/>
                <w:kern w:val="0"/>
                <w:sz w:val="21"/>
                <w:szCs w:val="21"/>
              </w:rPr>
            </w:pPr>
            <w:r>
              <w:rPr>
                <w:color w:val="auto"/>
                <w:kern w:val="0"/>
                <w:sz w:val="21"/>
                <w:szCs w:val="21"/>
              </w:rPr>
              <w:t>固态</w:t>
            </w:r>
          </w:p>
        </w:tc>
        <w:tc>
          <w:tcPr>
            <w:tcW w:w="1089" w:type="dxa"/>
            <w:vAlign w:val="center"/>
          </w:tcPr>
          <w:p>
            <w:pPr>
              <w:spacing w:line="312" w:lineRule="exact"/>
              <w:ind w:firstLine="0" w:firstLineChars="0"/>
              <w:jc w:val="center"/>
              <w:rPr>
                <w:color w:val="auto"/>
                <w:kern w:val="0"/>
                <w:sz w:val="21"/>
                <w:szCs w:val="21"/>
              </w:rPr>
            </w:pPr>
            <w:r>
              <w:rPr>
                <w:rFonts w:hint="eastAsia"/>
                <w:color w:val="auto"/>
                <w:kern w:val="0"/>
                <w:sz w:val="21"/>
                <w:szCs w:val="21"/>
              </w:rPr>
              <w:t>矿物油</w:t>
            </w:r>
          </w:p>
        </w:tc>
        <w:tc>
          <w:tcPr>
            <w:tcW w:w="923" w:type="dxa"/>
            <w:vAlign w:val="center"/>
          </w:tcPr>
          <w:p>
            <w:pPr>
              <w:spacing w:line="312" w:lineRule="exact"/>
              <w:ind w:firstLine="0" w:firstLineChars="0"/>
              <w:jc w:val="center"/>
              <w:rPr>
                <w:color w:val="auto"/>
                <w:kern w:val="0"/>
                <w:sz w:val="21"/>
                <w:szCs w:val="21"/>
              </w:rPr>
            </w:pPr>
            <w:r>
              <w:rPr>
                <w:color w:val="auto"/>
                <w:sz w:val="21"/>
                <w:szCs w:val="21"/>
              </w:rPr>
              <w:t>矿物油</w:t>
            </w:r>
          </w:p>
        </w:tc>
        <w:tc>
          <w:tcPr>
            <w:tcW w:w="711" w:type="dxa"/>
            <w:vAlign w:val="center"/>
          </w:tcPr>
          <w:p>
            <w:pPr>
              <w:spacing w:line="312" w:lineRule="exact"/>
              <w:ind w:firstLine="0" w:firstLineChars="0"/>
              <w:jc w:val="center"/>
              <w:rPr>
                <w:color w:val="auto"/>
                <w:kern w:val="0"/>
                <w:sz w:val="21"/>
                <w:szCs w:val="21"/>
              </w:rPr>
            </w:pPr>
            <w:r>
              <w:rPr>
                <w:color w:val="auto"/>
                <w:kern w:val="0"/>
                <w:sz w:val="21"/>
                <w:szCs w:val="21"/>
              </w:rPr>
              <w:t>每</w:t>
            </w:r>
            <w:r>
              <w:rPr>
                <w:rFonts w:hint="eastAsia"/>
                <w:color w:val="auto"/>
                <w:kern w:val="0"/>
                <w:sz w:val="21"/>
                <w:szCs w:val="21"/>
              </w:rPr>
              <w:t>3</w:t>
            </w:r>
            <w:r>
              <w:rPr>
                <w:color w:val="auto"/>
                <w:kern w:val="0"/>
                <w:sz w:val="21"/>
                <w:szCs w:val="21"/>
              </w:rPr>
              <w:t>个月</w:t>
            </w:r>
          </w:p>
        </w:tc>
        <w:tc>
          <w:tcPr>
            <w:tcW w:w="729" w:type="dxa"/>
            <w:vAlign w:val="center"/>
          </w:tcPr>
          <w:p>
            <w:pPr>
              <w:spacing w:line="312" w:lineRule="exact"/>
              <w:ind w:firstLine="0" w:firstLineChars="0"/>
              <w:jc w:val="center"/>
              <w:rPr>
                <w:color w:val="auto"/>
                <w:sz w:val="21"/>
                <w:szCs w:val="21"/>
              </w:rPr>
            </w:pPr>
            <w:r>
              <w:rPr>
                <w:color w:val="auto"/>
                <w:sz w:val="21"/>
                <w:szCs w:val="21"/>
              </w:rPr>
              <w:t>T、I</w:t>
            </w:r>
          </w:p>
        </w:tc>
        <w:tc>
          <w:tcPr>
            <w:tcW w:w="972" w:type="dxa"/>
            <w:vMerge w:val="continue"/>
            <w:vAlign w:val="center"/>
          </w:tcPr>
          <w:p>
            <w:pPr>
              <w:spacing w:line="312" w:lineRule="exac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216" w:type="dxa"/>
            <w:vAlign w:val="center"/>
          </w:tcPr>
          <w:p>
            <w:pPr>
              <w:spacing w:line="312" w:lineRule="exact"/>
              <w:ind w:firstLine="0" w:firstLineChars="0"/>
              <w:jc w:val="center"/>
              <w:rPr>
                <w:color w:val="auto"/>
                <w:sz w:val="21"/>
                <w:szCs w:val="21"/>
              </w:rPr>
            </w:pPr>
            <w:r>
              <w:rPr>
                <w:rFonts w:hint="eastAsia"/>
                <w:color w:val="auto"/>
                <w:kern w:val="0"/>
                <w:sz w:val="21"/>
                <w:szCs w:val="21"/>
              </w:rPr>
              <w:t>7</w:t>
            </w:r>
          </w:p>
        </w:tc>
        <w:tc>
          <w:tcPr>
            <w:tcW w:w="484" w:type="dxa"/>
            <w:vAlign w:val="center"/>
          </w:tcPr>
          <w:p>
            <w:pPr>
              <w:spacing w:line="312" w:lineRule="exact"/>
              <w:ind w:firstLine="0" w:firstLineChars="0"/>
              <w:jc w:val="center"/>
              <w:rPr>
                <w:color w:val="auto"/>
                <w:kern w:val="0"/>
                <w:sz w:val="21"/>
                <w:szCs w:val="21"/>
              </w:rPr>
            </w:pPr>
            <w:r>
              <w:rPr>
                <w:color w:val="auto"/>
                <w:kern w:val="0"/>
                <w:sz w:val="21"/>
                <w:szCs w:val="21"/>
              </w:rPr>
              <w:t>化验室废试剂瓶</w:t>
            </w:r>
          </w:p>
        </w:tc>
        <w:tc>
          <w:tcPr>
            <w:tcW w:w="631" w:type="dxa"/>
            <w:vAlign w:val="center"/>
          </w:tcPr>
          <w:p>
            <w:pPr>
              <w:spacing w:line="312" w:lineRule="exact"/>
              <w:ind w:firstLine="0" w:firstLineChars="0"/>
              <w:jc w:val="center"/>
              <w:rPr>
                <w:color w:val="auto"/>
                <w:sz w:val="21"/>
                <w:szCs w:val="21"/>
              </w:rPr>
            </w:pPr>
            <w:r>
              <w:rPr>
                <w:color w:val="auto"/>
                <w:kern w:val="0"/>
                <w:sz w:val="21"/>
                <w:szCs w:val="21"/>
              </w:rPr>
              <w:t>HW49</w:t>
            </w:r>
          </w:p>
        </w:tc>
        <w:tc>
          <w:tcPr>
            <w:tcW w:w="1106" w:type="dxa"/>
            <w:vAlign w:val="center"/>
          </w:tcPr>
          <w:p>
            <w:pPr>
              <w:spacing w:line="312" w:lineRule="exact"/>
              <w:ind w:firstLine="0" w:firstLineChars="0"/>
              <w:jc w:val="center"/>
              <w:rPr>
                <w:color w:val="auto"/>
                <w:sz w:val="21"/>
                <w:szCs w:val="21"/>
              </w:rPr>
            </w:pPr>
            <w:r>
              <w:rPr>
                <w:color w:val="auto"/>
                <w:kern w:val="0"/>
                <w:sz w:val="21"/>
                <w:szCs w:val="21"/>
              </w:rPr>
              <w:t>900-047-49</w:t>
            </w:r>
          </w:p>
        </w:tc>
        <w:tc>
          <w:tcPr>
            <w:tcW w:w="900" w:type="dxa"/>
            <w:vAlign w:val="center"/>
          </w:tcPr>
          <w:p>
            <w:pPr>
              <w:spacing w:line="312" w:lineRule="exact"/>
              <w:ind w:firstLine="0" w:firstLineChars="0"/>
              <w:jc w:val="center"/>
              <w:rPr>
                <w:color w:val="auto"/>
                <w:sz w:val="21"/>
                <w:szCs w:val="21"/>
              </w:rPr>
            </w:pPr>
            <w:r>
              <w:rPr>
                <w:rFonts w:hint="eastAsia"/>
                <w:color w:val="auto"/>
                <w:sz w:val="21"/>
                <w:szCs w:val="21"/>
              </w:rPr>
              <w:t>0.2</w:t>
            </w:r>
          </w:p>
        </w:tc>
        <w:tc>
          <w:tcPr>
            <w:tcW w:w="780" w:type="dxa"/>
            <w:vAlign w:val="center"/>
          </w:tcPr>
          <w:p>
            <w:pPr>
              <w:spacing w:line="312" w:lineRule="exact"/>
              <w:ind w:firstLine="0" w:firstLineChars="0"/>
              <w:jc w:val="center"/>
              <w:rPr>
                <w:color w:val="auto"/>
                <w:sz w:val="21"/>
                <w:szCs w:val="21"/>
              </w:rPr>
            </w:pPr>
            <w:r>
              <w:rPr>
                <w:color w:val="auto"/>
                <w:kern w:val="0"/>
                <w:sz w:val="21"/>
                <w:szCs w:val="21"/>
              </w:rPr>
              <w:t>化验室/化验</w:t>
            </w:r>
          </w:p>
        </w:tc>
        <w:tc>
          <w:tcPr>
            <w:tcW w:w="531" w:type="dxa"/>
            <w:vAlign w:val="center"/>
          </w:tcPr>
          <w:p>
            <w:pPr>
              <w:spacing w:line="312" w:lineRule="exact"/>
              <w:ind w:firstLine="0" w:firstLineChars="0"/>
              <w:jc w:val="center"/>
              <w:rPr>
                <w:color w:val="auto"/>
                <w:sz w:val="21"/>
                <w:szCs w:val="21"/>
              </w:rPr>
            </w:pPr>
            <w:r>
              <w:rPr>
                <w:color w:val="auto"/>
                <w:sz w:val="21"/>
                <w:szCs w:val="21"/>
              </w:rPr>
              <w:t>液态</w:t>
            </w:r>
          </w:p>
        </w:tc>
        <w:tc>
          <w:tcPr>
            <w:tcW w:w="1089" w:type="dxa"/>
            <w:vAlign w:val="center"/>
          </w:tcPr>
          <w:p>
            <w:pPr>
              <w:snapToGrid w:val="0"/>
              <w:spacing w:line="312" w:lineRule="exact"/>
              <w:ind w:firstLine="0" w:firstLineChars="0"/>
              <w:jc w:val="center"/>
              <w:rPr>
                <w:color w:val="auto"/>
                <w:sz w:val="21"/>
                <w:szCs w:val="21"/>
              </w:rPr>
            </w:pPr>
            <w:r>
              <w:rPr>
                <w:color w:val="auto"/>
                <w:kern w:val="0"/>
                <w:sz w:val="21"/>
                <w:szCs w:val="21"/>
              </w:rPr>
              <w:t>废酸、废碱</w:t>
            </w:r>
          </w:p>
        </w:tc>
        <w:tc>
          <w:tcPr>
            <w:tcW w:w="923" w:type="dxa"/>
            <w:vAlign w:val="center"/>
          </w:tcPr>
          <w:p>
            <w:pPr>
              <w:spacing w:line="312" w:lineRule="exact"/>
              <w:ind w:firstLine="0" w:firstLineChars="0"/>
              <w:jc w:val="center"/>
              <w:rPr>
                <w:color w:val="auto"/>
                <w:sz w:val="21"/>
                <w:szCs w:val="21"/>
              </w:rPr>
            </w:pPr>
            <w:r>
              <w:rPr>
                <w:color w:val="auto"/>
                <w:kern w:val="0"/>
                <w:sz w:val="21"/>
                <w:szCs w:val="21"/>
              </w:rPr>
              <w:t>废酸、废碱</w:t>
            </w:r>
          </w:p>
        </w:tc>
        <w:tc>
          <w:tcPr>
            <w:tcW w:w="711" w:type="dxa"/>
            <w:vAlign w:val="center"/>
          </w:tcPr>
          <w:p>
            <w:pPr>
              <w:spacing w:line="312" w:lineRule="exact"/>
              <w:ind w:firstLine="0" w:firstLineChars="0"/>
              <w:jc w:val="center"/>
              <w:rPr>
                <w:color w:val="auto"/>
                <w:sz w:val="21"/>
                <w:szCs w:val="21"/>
              </w:rPr>
            </w:pPr>
            <w:r>
              <w:rPr>
                <w:rFonts w:hint="eastAsia"/>
                <w:color w:val="auto"/>
                <w:sz w:val="21"/>
                <w:szCs w:val="21"/>
              </w:rPr>
              <w:t>每天</w:t>
            </w:r>
          </w:p>
        </w:tc>
        <w:tc>
          <w:tcPr>
            <w:tcW w:w="729" w:type="dxa"/>
            <w:vAlign w:val="center"/>
          </w:tcPr>
          <w:p>
            <w:pPr>
              <w:spacing w:line="312" w:lineRule="exact"/>
              <w:ind w:firstLine="0" w:firstLineChars="0"/>
              <w:jc w:val="center"/>
              <w:rPr>
                <w:color w:val="auto"/>
                <w:sz w:val="21"/>
                <w:szCs w:val="21"/>
              </w:rPr>
            </w:pPr>
            <w:r>
              <w:rPr>
                <w:color w:val="auto"/>
                <w:sz w:val="21"/>
                <w:szCs w:val="21"/>
              </w:rPr>
              <w:t>T、</w:t>
            </w:r>
            <w:r>
              <w:rPr>
                <w:color w:val="auto"/>
                <w:kern w:val="0"/>
                <w:sz w:val="21"/>
                <w:szCs w:val="21"/>
              </w:rPr>
              <w:t>C</w:t>
            </w:r>
          </w:p>
        </w:tc>
        <w:tc>
          <w:tcPr>
            <w:tcW w:w="972" w:type="dxa"/>
            <w:vMerge w:val="continue"/>
            <w:vAlign w:val="center"/>
          </w:tcPr>
          <w:p>
            <w:pPr>
              <w:spacing w:line="312" w:lineRule="exac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2" w:hRule="atLeast"/>
        </w:trPr>
        <w:tc>
          <w:tcPr>
            <w:tcW w:w="216" w:type="dxa"/>
            <w:vAlign w:val="center"/>
          </w:tcPr>
          <w:p>
            <w:pPr>
              <w:spacing w:line="312" w:lineRule="exact"/>
              <w:ind w:firstLine="0" w:firstLineChars="0"/>
              <w:jc w:val="center"/>
              <w:rPr>
                <w:color w:val="auto"/>
                <w:kern w:val="0"/>
                <w:sz w:val="21"/>
                <w:szCs w:val="21"/>
              </w:rPr>
            </w:pPr>
            <w:r>
              <w:rPr>
                <w:rFonts w:hint="eastAsia"/>
                <w:color w:val="auto"/>
                <w:kern w:val="0"/>
                <w:sz w:val="21"/>
                <w:szCs w:val="21"/>
              </w:rPr>
              <w:t>8</w:t>
            </w:r>
          </w:p>
        </w:tc>
        <w:tc>
          <w:tcPr>
            <w:tcW w:w="484" w:type="dxa"/>
            <w:vAlign w:val="center"/>
          </w:tcPr>
          <w:p>
            <w:pPr>
              <w:spacing w:line="312" w:lineRule="exact"/>
              <w:ind w:firstLine="0" w:firstLineChars="0"/>
              <w:jc w:val="center"/>
              <w:rPr>
                <w:color w:val="auto"/>
                <w:kern w:val="0"/>
                <w:sz w:val="21"/>
                <w:szCs w:val="21"/>
              </w:rPr>
            </w:pPr>
            <w:r>
              <w:rPr>
                <w:color w:val="auto"/>
                <w:kern w:val="0"/>
                <w:sz w:val="21"/>
                <w:szCs w:val="21"/>
              </w:rPr>
              <w:t>化验室废液</w:t>
            </w:r>
          </w:p>
        </w:tc>
        <w:tc>
          <w:tcPr>
            <w:tcW w:w="631" w:type="dxa"/>
            <w:vAlign w:val="center"/>
          </w:tcPr>
          <w:p>
            <w:pPr>
              <w:spacing w:line="312" w:lineRule="exact"/>
              <w:ind w:firstLine="0" w:firstLineChars="0"/>
              <w:jc w:val="center"/>
              <w:rPr>
                <w:color w:val="auto"/>
                <w:kern w:val="0"/>
                <w:sz w:val="21"/>
                <w:szCs w:val="21"/>
              </w:rPr>
            </w:pPr>
            <w:r>
              <w:rPr>
                <w:color w:val="auto"/>
                <w:kern w:val="0"/>
                <w:sz w:val="21"/>
                <w:szCs w:val="21"/>
              </w:rPr>
              <w:t>HW49</w:t>
            </w:r>
          </w:p>
        </w:tc>
        <w:tc>
          <w:tcPr>
            <w:tcW w:w="1106" w:type="dxa"/>
            <w:vAlign w:val="center"/>
          </w:tcPr>
          <w:p>
            <w:pPr>
              <w:spacing w:line="312" w:lineRule="exact"/>
              <w:ind w:firstLine="0" w:firstLineChars="0"/>
              <w:jc w:val="center"/>
              <w:rPr>
                <w:color w:val="auto"/>
                <w:kern w:val="0"/>
                <w:sz w:val="21"/>
                <w:szCs w:val="21"/>
              </w:rPr>
            </w:pPr>
            <w:r>
              <w:rPr>
                <w:color w:val="auto"/>
                <w:kern w:val="0"/>
                <w:sz w:val="21"/>
                <w:szCs w:val="21"/>
              </w:rPr>
              <w:t>900-047-49</w:t>
            </w:r>
          </w:p>
        </w:tc>
        <w:tc>
          <w:tcPr>
            <w:tcW w:w="900" w:type="dxa"/>
            <w:vAlign w:val="center"/>
          </w:tcPr>
          <w:p>
            <w:pPr>
              <w:spacing w:line="312" w:lineRule="exact"/>
              <w:ind w:firstLine="0" w:firstLineChars="0"/>
              <w:jc w:val="center"/>
              <w:rPr>
                <w:color w:val="auto"/>
                <w:sz w:val="21"/>
                <w:szCs w:val="21"/>
              </w:rPr>
            </w:pPr>
            <w:r>
              <w:rPr>
                <w:color w:val="auto"/>
                <w:sz w:val="21"/>
                <w:szCs w:val="21"/>
              </w:rPr>
              <w:t>0.5</w:t>
            </w:r>
          </w:p>
        </w:tc>
        <w:tc>
          <w:tcPr>
            <w:tcW w:w="780" w:type="dxa"/>
            <w:vAlign w:val="center"/>
          </w:tcPr>
          <w:p>
            <w:pPr>
              <w:spacing w:line="312" w:lineRule="exact"/>
              <w:ind w:firstLine="0" w:firstLineChars="0"/>
              <w:jc w:val="center"/>
              <w:rPr>
                <w:color w:val="auto"/>
                <w:kern w:val="0"/>
                <w:sz w:val="21"/>
                <w:szCs w:val="21"/>
              </w:rPr>
            </w:pPr>
            <w:r>
              <w:rPr>
                <w:color w:val="auto"/>
                <w:kern w:val="0"/>
                <w:sz w:val="21"/>
                <w:szCs w:val="21"/>
              </w:rPr>
              <w:t>化验室/化验</w:t>
            </w:r>
          </w:p>
        </w:tc>
        <w:tc>
          <w:tcPr>
            <w:tcW w:w="531" w:type="dxa"/>
            <w:vAlign w:val="center"/>
          </w:tcPr>
          <w:p>
            <w:pPr>
              <w:spacing w:line="312" w:lineRule="exact"/>
              <w:ind w:firstLine="0" w:firstLineChars="0"/>
              <w:jc w:val="center"/>
              <w:rPr>
                <w:color w:val="auto"/>
                <w:kern w:val="0"/>
                <w:sz w:val="21"/>
                <w:szCs w:val="21"/>
              </w:rPr>
            </w:pPr>
            <w:r>
              <w:rPr>
                <w:color w:val="auto"/>
                <w:kern w:val="0"/>
                <w:sz w:val="21"/>
                <w:szCs w:val="21"/>
              </w:rPr>
              <w:t>固态</w:t>
            </w:r>
          </w:p>
        </w:tc>
        <w:tc>
          <w:tcPr>
            <w:tcW w:w="1089" w:type="dxa"/>
            <w:vAlign w:val="center"/>
          </w:tcPr>
          <w:p>
            <w:pPr>
              <w:spacing w:line="312" w:lineRule="exact"/>
              <w:ind w:firstLine="0" w:firstLineChars="0"/>
              <w:jc w:val="center"/>
              <w:rPr>
                <w:color w:val="auto"/>
                <w:kern w:val="0"/>
                <w:sz w:val="21"/>
                <w:szCs w:val="21"/>
              </w:rPr>
            </w:pPr>
            <w:r>
              <w:rPr>
                <w:color w:val="auto"/>
                <w:kern w:val="0"/>
                <w:sz w:val="21"/>
                <w:szCs w:val="21"/>
              </w:rPr>
              <w:t>废酸、废碱</w:t>
            </w:r>
          </w:p>
        </w:tc>
        <w:tc>
          <w:tcPr>
            <w:tcW w:w="923" w:type="dxa"/>
            <w:vAlign w:val="center"/>
          </w:tcPr>
          <w:p>
            <w:pPr>
              <w:spacing w:line="312" w:lineRule="exact"/>
              <w:ind w:firstLine="0" w:firstLineChars="0"/>
              <w:jc w:val="center"/>
              <w:rPr>
                <w:color w:val="auto"/>
                <w:kern w:val="0"/>
                <w:sz w:val="21"/>
                <w:szCs w:val="21"/>
              </w:rPr>
            </w:pPr>
            <w:r>
              <w:rPr>
                <w:color w:val="auto"/>
                <w:kern w:val="0"/>
                <w:sz w:val="21"/>
                <w:szCs w:val="21"/>
              </w:rPr>
              <w:t>废酸、废碱</w:t>
            </w:r>
          </w:p>
        </w:tc>
        <w:tc>
          <w:tcPr>
            <w:tcW w:w="711" w:type="dxa"/>
            <w:vAlign w:val="center"/>
          </w:tcPr>
          <w:p>
            <w:pPr>
              <w:spacing w:line="312" w:lineRule="exact"/>
              <w:ind w:firstLine="0" w:firstLineChars="0"/>
              <w:jc w:val="center"/>
              <w:rPr>
                <w:color w:val="auto"/>
                <w:kern w:val="0"/>
                <w:sz w:val="21"/>
                <w:szCs w:val="21"/>
              </w:rPr>
            </w:pPr>
            <w:r>
              <w:rPr>
                <w:rFonts w:hint="eastAsia"/>
                <w:color w:val="auto"/>
                <w:sz w:val="21"/>
                <w:szCs w:val="21"/>
              </w:rPr>
              <w:t>每天</w:t>
            </w:r>
          </w:p>
        </w:tc>
        <w:tc>
          <w:tcPr>
            <w:tcW w:w="729" w:type="dxa"/>
            <w:vAlign w:val="center"/>
          </w:tcPr>
          <w:p>
            <w:pPr>
              <w:spacing w:line="312" w:lineRule="exact"/>
              <w:ind w:firstLine="0" w:firstLineChars="0"/>
              <w:jc w:val="center"/>
              <w:rPr>
                <w:color w:val="auto"/>
                <w:kern w:val="0"/>
                <w:sz w:val="21"/>
                <w:szCs w:val="21"/>
              </w:rPr>
            </w:pPr>
            <w:r>
              <w:rPr>
                <w:color w:val="auto"/>
                <w:sz w:val="21"/>
                <w:szCs w:val="21"/>
              </w:rPr>
              <w:t>T、</w:t>
            </w:r>
            <w:r>
              <w:rPr>
                <w:color w:val="auto"/>
                <w:kern w:val="0"/>
                <w:sz w:val="21"/>
                <w:szCs w:val="21"/>
              </w:rPr>
              <w:t>C</w:t>
            </w:r>
          </w:p>
        </w:tc>
        <w:tc>
          <w:tcPr>
            <w:tcW w:w="972" w:type="dxa"/>
            <w:vMerge w:val="continue"/>
            <w:vAlign w:val="center"/>
          </w:tcPr>
          <w:p>
            <w:pPr>
              <w:spacing w:line="312" w:lineRule="exac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2" w:hRule="atLeast"/>
        </w:trPr>
        <w:tc>
          <w:tcPr>
            <w:tcW w:w="216" w:type="dxa"/>
            <w:vAlign w:val="center"/>
          </w:tcPr>
          <w:p>
            <w:pPr>
              <w:spacing w:line="312" w:lineRule="exact"/>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9</w:t>
            </w:r>
          </w:p>
        </w:tc>
        <w:tc>
          <w:tcPr>
            <w:tcW w:w="484" w:type="dxa"/>
            <w:vAlign w:val="center"/>
          </w:tcPr>
          <w:p>
            <w:pPr>
              <w:spacing w:line="312" w:lineRule="exact"/>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废导热油</w:t>
            </w:r>
          </w:p>
        </w:tc>
        <w:tc>
          <w:tcPr>
            <w:tcW w:w="631" w:type="dxa"/>
            <w:vAlign w:val="center"/>
          </w:tcPr>
          <w:p>
            <w:pPr>
              <w:spacing w:line="312" w:lineRule="exact"/>
              <w:ind w:firstLine="0" w:firstLineChars="0"/>
              <w:jc w:val="center"/>
              <w:rPr>
                <w:color w:val="auto"/>
                <w:kern w:val="0"/>
                <w:sz w:val="21"/>
                <w:szCs w:val="21"/>
              </w:rPr>
            </w:pPr>
            <w:r>
              <w:rPr>
                <w:color w:val="auto"/>
                <w:sz w:val="21"/>
                <w:szCs w:val="21"/>
              </w:rPr>
              <w:t>HW08</w:t>
            </w:r>
          </w:p>
        </w:tc>
        <w:tc>
          <w:tcPr>
            <w:tcW w:w="1106" w:type="dxa"/>
            <w:vAlign w:val="center"/>
          </w:tcPr>
          <w:p>
            <w:pPr>
              <w:spacing w:line="312" w:lineRule="exact"/>
              <w:ind w:firstLine="0" w:firstLineChars="0"/>
              <w:jc w:val="center"/>
              <w:rPr>
                <w:color w:val="auto"/>
                <w:kern w:val="0"/>
                <w:sz w:val="21"/>
                <w:szCs w:val="21"/>
              </w:rPr>
            </w:pPr>
            <w:r>
              <w:rPr>
                <w:color w:val="auto"/>
                <w:sz w:val="21"/>
                <w:szCs w:val="21"/>
              </w:rPr>
              <w:t>900-2</w:t>
            </w:r>
            <w:r>
              <w:rPr>
                <w:rFonts w:hint="eastAsia"/>
                <w:color w:val="auto"/>
                <w:sz w:val="21"/>
                <w:szCs w:val="21"/>
                <w:lang w:val="en-US" w:eastAsia="zh-CN"/>
              </w:rPr>
              <w:t>49</w:t>
            </w:r>
            <w:r>
              <w:rPr>
                <w:color w:val="auto"/>
                <w:sz w:val="21"/>
                <w:szCs w:val="21"/>
              </w:rPr>
              <w:t>-08</w:t>
            </w:r>
          </w:p>
        </w:tc>
        <w:tc>
          <w:tcPr>
            <w:tcW w:w="900" w:type="dxa"/>
            <w:vAlign w:val="center"/>
          </w:tcPr>
          <w:p>
            <w:pPr>
              <w:spacing w:line="312"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15t/4a</w:t>
            </w:r>
          </w:p>
        </w:tc>
        <w:tc>
          <w:tcPr>
            <w:tcW w:w="780" w:type="dxa"/>
            <w:vAlign w:val="center"/>
          </w:tcPr>
          <w:p>
            <w:pPr>
              <w:spacing w:line="312" w:lineRule="exact"/>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导热油炉</w:t>
            </w:r>
          </w:p>
        </w:tc>
        <w:tc>
          <w:tcPr>
            <w:tcW w:w="531" w:type="dxa"/>
            <w:vAlign w:val="center"/>
          </w:tcPr>
          <w:p>
            <w:pPr>
              <w:spacing w:line="312" w:lineRule="exact"/>
              <w:ind w:firstLine="0" w:firstLineChars="0"/>
              <w:jc w:val="center"/>
              <w:rPr>
                <w:color w:val="auto"/>
                <w:kern w:val="0"/>
                <w:sz w:val="21"/>
                <w:szCs w:val="21"/>
              </w:rPr>
            </w:pPr>
            <w:r>
              <w:rPr>
                <w:color w:val="auto"/>
                <w:sz w:val="21"/>
                <w:szCs w:val="21"/>
              </w:rPr>
              <w:t>液态</w:t>
            </w:r>
          </w:p>
        </w:tc>
        <w:tc>
          <w:tcPr>
            <w:tcW w:w="1089" w:type="dxa"/>
            <w:vAlign w:val="center"/>
          </w:tcPr>
          <w:p>
            <w:pPr>
              <w:spacing w:line="312" w:lineRule="exact"/>
              <w:ind w:firstLine="0" w:firstLineChars="0"/>
              <w:jc w:val="center"/>
              <w:rPr>
                <w:color w:val="auto"/>
                <w:kern w:val="0"/>
                <w:sz w:val="21"/>
                <w:szCs w:val="21"/>
              </w:rPr>
            </w:pPr>
            <w:r>
              <w:rPr>
                <w:rFonts w:hint="eastAsia"/>
                <w:color w:val="auto"/>
                <w:kern w:val="0"/>
                <w:sz w:val="21"/>
                <w:szCs w:val="21"/>
              </w:rPr>
              <w:t>矿物油</w:t>
            </w:r>
          </w:p>
        </w:tc>
        <w:tc>
          <w:tcPr>
            <w:tcW w:w="923" w:type="dxa"/>
            <w:vAlign w:val="center"/>
          </w:tcPr>
          <w:p>
            <w:pPr>
              <w:spacing w:line="312" w:lineRule="exact"/>
              <w:ind w:firstLine="0" w:firstLineChars="0"/>
              <w:jc w:val="center"/>
              <w:rPr>
                <w:color w:val="auto"/>
                <w:kern w:val="0"/>
                <w:sz w:val="21"/>
                <w:szCs w:val="21"/>
              </w:rPr>
            </w:pPr>
            <w:r>
              <w:rPr>
                <w:color w:val="auto"/>
                <w:sz w:val="21"/>
                <w:szCs w:val="21"/>
              </w:rPr>
              <w:t>矿物油</w:t>
            </w:r>
          </w:p>
        </w:tc>
        <w:tc>
          <w:tcPr>
            <w:tcW w:w="711" w:type="dxa"/>
            <w:vAlign w:val="center"/>
          </w:tcPr>
          <w:p>
            <w:pPr>
              <w:spacing w:line="312" w:lineRule="exact"/>
              <w:ind w:firstLine="0" w:firstLineChars="0"/>
              <w:jc w:val="center"/>
              <w:rPr>
                <w:rFonts w:hint="default" w:eastAsia="宋体"/>
                <w:color w:val="auto"/>
                <w:sz w:val="21"/>
                <w:szCs w:val="21"/>
                <w:lang w:val="en-US" w:eastAsia="zh-CN"/>
              </w:rPr>
            </w:pPr>
            <w:r>
              <w:rPr>
                <w:color w:val="auto"/>
                <w:kern w:val="0"/>
                <w:sz w:val="21"/>
                <w:szCs w:val="21"/>
              </w:rPr>
              <w:t>每</w:t>
            </w:r>
            <w:r>
              <w:rPr>
                <w:rFonts w:hint="eastAsia"/>
                <w:color w:val="auto"/>
                <w:kern w:val="0"/>
                <w:sz w:val="21"/>
                <w:szCs w:val="21"/>
                <w:lang w:val="en-US" w:eastAsia="zh-CN"/>
              </w:rPr>
              <w:t>4年</w:t>
            </w:r>
          </w:p>
        </w:tc>
        <w:tc>
          <w:tcPr>
            <w:tcW w:w="729" w:type="dxa"/>
            <w:vAlign w:val="center"/>
          </w:tcPr>
          <w:p>
            <w:pPr>
              <w:spacing w:line="312" w:lineRule="exact"/>
              <w:ind w:firstLine="0" w:firstLineChars="0"/>
              <w:jc w:val="center"/>
              <w:rPr>
                <w:color w:val="auto"/>
                <w:sz w:val="21"/>
                <w:szCs w:val="21"/>
              </w:rPr>
            </w:pPr>
            <w:r>
              <w:rPr>
                <w:color w:val="auto"/>
                <w:sz w:val="21"/>
                <w:szCs w:val="21"/>
              </w:rPr>
              <w:t>T、I</w:t>
            </w:r>
          </w:p>
        </w:tc>
        <w:tc>
          <w:tcPr>
            <w:tcW w:w="972" w:type="dxa"/>
            <w:vMerge w:val="continue"/>
            <w:vAlign w:val="center"/>
          </w:tcPr>
          <w:p>
            <w:pPr>
              <w:spacing w:line="312" w:lineRule="exac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216" w:type="dxa"/>
            <w:vAlign w:val="center"/>
          </w:tcPr>
          <w:p>
            <w:pPr>
              <w:spacing w:line="312" w:lineRule="exact"/>
              <w:ind w:firstLine="0" w:firstLineChars="0"/>
              <w:jc w:val="center"/>
              <w:rPr>
                <w:color w:val="auto"/>
                <w:kern w:val="0"/>
                <w:sz w:val="21"/>
                <w:szCs w:val="21"/>
              </w:rPr>
            </w:pPr>
            <w:r>
              <w:rPr>
                <w:rFonts w:hint="eastAsia"/>
                <w:color w:val="auto"/>
                <w:kern w:val="0"/>
                <w:sz w:val="21"/>
                <w:szCs w:val="21"/>
                <w:lang w:val="en-US" w:eastAsia="zh-CN"/>
              </w:rPr>
              <w:t>9</w:t>
            </w:r>
          </w:p>
        </w:tc>
        <w:tc>
          <w:tcPr>
            <w:tcW w:w="484" w:type="dxa"/>
            <w:vAlign w:val="center"/>
          </w:tcPr>
          <w:p>
            <w:pPr>
              <w:spacing w:line="312" w:lineRule="exact"/>
              <w:ind w:firstLine="0" w:firstLineChars="0"/>
              <w:jc w:val="center"/>
              <w:rPr>
                <w:color w:val="auto"/>
                <w:kern w:val="0"/>
                <w:sz w:val="21"/>
                <w:szCs w:val="21"/>
              </w:rPr>
            </w:pPr>
            <w:r>
              <w:rPr>
                <w:color w:val="auto"/>
                <w:kern w:val="0"/>
                <w:sz w:val="21"/>
                <w:szCs w:val="21"/>
              </w:rPr>
              <w:t>污水站污泥</w:t>
            </w:r>
          </w:p>
        </w:tc>
        <w:tc>
          <w:tcPr>
            <w:tcW w:w="631" w:type="dxa"/>
            <w:vAlign w:val="center"/>
          </w:tcPr>
          <w:p>
            <w:pPr>
              <w:spacing w:line="312" w:lineRule="exact"/>
              <w:ind w:firstLine="0" w:firstLineChars="0"/>
              <w:jc w:val="center"/>
              <w:rPr>
                <w:color w:val="auto"/>
                <w:sz w:val="21"/>
                <w:szCs w:val="21"/>
              </w:rPr>
            </w:pPr>
            <w:r>
              <w:rPr>
                <w:rFonts w:hint="eastAsia"/>
                <w:color w:val="auto"/>
                <w:sz w:val="21"/>
                <w:szCs w:val="21"/>
              </w:rPr>
              <w:t>一般工业固废</w:t>
            </w:r>
          </w:p>
        </w:tc>
        <w:tc>
          <w:tcPr>
            <w:tcW w:w="1106" w:type="dxa"/>
            <w:vAlign w:val="center"/>
          </w:tcPr>
          <w:p>
            <w:pPr>
              <w:spacing w:line="312" w:lineRule="exact"/>
              <w:ind w:firstLine="0" w:firstLineChars="0"/>
              <w:jc w:val="center"/>
              <w:rPr>
                <w:color w:val="auto"/>
                <w:sz w:val="21"/>
                <w:szCs w:val="21"/>
              </w:rPr>
            </w:pPr>
            <w:r>
              <w:rPr>
                <w:rFonts w:hint="eastAsia"/>
                <w:color w:val="auto"/>
                <w:kern w:val="0"/>
                <w:sz w:val="21"/>
                <w:szCs w:val="21"/>
              </w:rPr>
              <w:t>900-999-62</w:t>
            </w:r>
          </w:p>
        </w:tc>
        <w:tc>
          <w:tcPr>
            <w:tcW w:w="900" w:type="dxa"/>
            <w:vAlign w:val="center"/>
          </w:tcPr>
          <w:p>
            <w:pPr>
              <w:spacing w:line="312" w:lineRule="exact"/>
              <w:ind w:firstLine="0" w:firstLineChars="0"/>
              <w:jc w:val="center"/>
              <w:rPr>
                <w:color w:val="auto"/>
                <w:sz w:val="21"/>
                <w:szCs w:val="21"/>
              </w:rPr>
            </w:pPr>
            <w:r>
              <w:rPr>
                <w:rFonts w:hint="eastAsia"/>
                <w:color w:val="auto"/>
                <w:sz w:val="21"/>
                <w:szCs w:val="21"/>
                <w:lang w:eastAsia="zh-CN"/>
              </w:rPr>
              <w:t>4.32</w:t>
            </w:r>
          </w:p>
        </w:tc>
        <w:tc>
          <w:tcPr>
            <w:tcW w:w="780" w:type="dxa"/>
            <w:vAlign w:val="center"/>
          </w:tcPr>
          <w:p>
            <w:pPr>
              <w:spacing w:line="312" w:lineRule="exact"/>
              <w:ind w:firstLine="0" w:firstLineChars="0"/>
              <w:jc w:val="center"/>
              <w:rPr>
                <w:color w:val="auto"/>
                <w:sz w:val="21"/>
                <w:szCs w:val="21"/>
              </w:rPr>
            </w:pPr>
            <w:r>
              <w:rPr>
                <w:color w:val="auto"/>
                <w:sz w:val="21"/>
                <w:szCs w:val="21"/>
              </w:rPr>
              <w:t>污水处理</w:t>
            </w:r>
          </w:p>
        </w:tc>
        <w:tc>
          <w:tcPr>
            <w:tcW w:w="531" w:type="dxa"/>
            <w:vAlign w:val="center"/>
          </w:tcPr>
          <w:p>
            <w:pPr>
              <w:spacing w:line="312" w:lineRule="exact"/>
              <w:ind w:firstLine="0" w:firstLineChars="0"/>
              <w:jc w:val="center"/>
              <w:rPr>
                <w:color w:val="auto"/>
                <w:sz w:val="21"/>
                <w:szCs w:val="21"/>
              </w:rPr>
            </w:pPr>
            <w:r>
              <w:rPr>
                <w:color w:val="auto"/>
                <w:sz w:val="21"/>
                <w:szCs w:val="21"/>
              </w:rPr>
              <w:t>固态</w:t>
            </w:r>
          </w:p>
        </w:tc>
        <w:tc>
          <w:tcPr>
            <w:tcW w:w="1089" w:type="dxa"/>
            <w:vAlign w:val="center"/>
          </w:tcPr>
          <w:p>
            <w:pPr>
              <w:snapToGrid w:val="0"/>
              <w:spacing w:line="312" w:lineRule="exact"/>
              <w:ind w:firstLine="0" w:firstLineChars="0"/>
              <w:jc w:val="center"/>
              <w:rPr>
                <w:color w:val="auto"/>
                <w:sz w:val="21"/>
                <w:szCs w:val="21"/>
              </w:rPr>
            </w:pPr>
            <w:r>
              <w:rPr>
                <w:rFonts w:hint="eastAsia"/>
                <w:color w:val="auto"/>
                <w:sz w:val="21"/>
                <w:szCs w:val="21"/>
              </w:rPr>
              <w:t>污泥</w:t>
            </w:r>
          </w:p>
        </w:tc>
        <w:tc>
          <w:tcPr>
            <w:tcW w:w="923" w:type="dxa"/>
            <w:vAlign w:val="center"/>
          </w:tcPr>
          <w:p>
            <w:pPr>
              <w:spacing w:line="312" w:lineRule="exact"/>
              <w:ind w:firstLine="0" w:firstLineChars="0"/>
              <w:jc w:val="center"/>
              <w:rPr>
                <w:color w:val="auto"/>
                <w:sz w:val="21"/>
                <w:szCs w:val="21"/>
              </w:rPr>
            </w:pPr>
            <w:r>
              <w:rPr>
                <w:rFonts w:hint="eastAsia"/>
                <w:color w:val="auto"/>
                <w:sz w:val="21"/>
                <w:szCs w:val="21"/>
              </w:rPr>
              <w:t>/</w:t>
            </w:r>
          </w:p>
        </w:tc>
        <w:tc>
          <w:tcPr>
            <w:tcW w:w="711" w:type="dxa"/>
            <w:vAlign w:val="center"/>
          </w:tcPr>
          <w:p>
            <w:pPr>
              <w:spacing w:line="312" w:lineRule="exact"/>
              <w:ind w:firstLine="0" w:firstLineChars="0"/>
              <w:jc w:val="center"/>
              <w:rPr>
                <w:color w:val="auto"/>
                <w:sz w:val="21"/>
                <w:szCs w:val="21"/>
              </w:rPr>
            </w:pPr>
            <w:r>
              <w:rPr>
                <w:color w:val="auto"/>
                <w:sz w:val="21"/>
                <w:szCs w:val="21"/>
              </w:rPr>
              <w:t>每</w:t>
            </w:r>
            <w:r>
              <w:rPr>
                <w:rFonts w:hint="eastAsia"/>
                <w:color w:val="auto"/>
                <w:sz w:val="21"/>
                <w:szCs w:val="21"/>
              </w:rPr>
              <w:t>3个</w:t>
            </w:r>
            <w:r>
              <w:rPr>
                <w:color w:val="auto"/>
                <w:sz w:val="21"/>
                <w:szCs w:val="21"/>
              </w:rPr>
              <w:t>月</w:t>
            </w:r>
          </w:p>
        </w:tc>
        <w:tc>
          <w:tcPr>
            <w:tcW w:w="729" w:type="dxa"/>
            <w:vAlign w:val="center"/>
          </w:tcPr>
          <w:p>
            <w:pPr>
              <w:spacing w:line="312" w:lineRule="exact"/>
              <w:ind w:firstLine="0" w:firstLineChars="0"/>
              <w:jc w:val="center"/>
              <w:rPr>
                <w:color w:val="auto"/>
                <w:sz w:val="21"/>
                <w:szCs w:val="21"/>
              </w:rPr>
            </w:pPr>
            <w:r>
              <w:rPr>
                <w:rFonts w:hint="eastAsia"/>
                <w:color w:val="auto"/>
                <w:sz w:val="21"/>
                <w:szCs w:val="21"/>
              </w:rPr>
              <w:t>/</w:t>
            </w:r>
          </w:p>
        </w:tc>
        <w:tc>
          <w:tcPr>
            <w:tcW w:w="972" w:type="dxa"/>
            <w:vAlign w:val="center"/>
          </w:tcPr>
          <w:p>
            <w:pPr>
              <w:spacing w:line="312" w:lineRule="exact"/>
              <w:ind w:firstLine="0" w:firstLineChars="0"/>
              <w:jc w:val="center"/>
              <w:rPr>
                <w:color w:val="auto"/>
                <w:sz w:val="21"/>
                <w:szCs w:val="21"/>
              </w:rPr>
            </w:pPr>
            <w:r>
              <w:rPr>
                <w:color w:val="auto"/>
                <w:sz w:val="21"/>
                <w:szCs w:val="21"/>
              </w:rPr>
              <w:t>定期</w:t>
            </w:r>
            <w:r>
              <w:rPr>
                <w:rFonts w:hint="eastAsia"/>
                <w:color w:val="auto"/>
                <w:sz w:val="21"/>
                <w:szCs w:val="21"/>
              </w:rPr>
              <w:t>外运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16" w:type="dxa"/>
            <w:vAlign w:val="center"/>
          </w:tcPr>
          <w:p>
            <w:pPr>
              <w:spacing w:line="312" w:lineRule="exact"/>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10</w:t>
            </w:r>
          </w:p>
        </w:tc>
        <w:tc>
          <w:tcPr>
            <w:tcW w:w="484" w:type="dxa"/>
            <w:vAlign w:val="center"/>
          </w:tcPr>
          <w:p>
            <w:pPr>
              <w:spacing w:line="312" w:lineRule="exact"/>
              <w:ind w:firstLine="0" w:firstLineChars="0"/>
              <w:jc w:val="center"/>
              <w:rPr>
                <w:color w:val="auto"/>
                <w:kern w:val="0"/>
                <w:sz w:val="21"/>
                <w:szCs w:val="21"/>
              </w:rPr>
            </w:pPr>
            <w:r>
              <w:rPr>
                <w:color w:val="auto"/>
                <w:kern w:val="0"/>
                <w:sz w:val="21"/>
                <w:szCs w:val="21"/>
              </w:rPr>
              <w:t>生活垃圾</w:t>
            </w:r>
          </w:p>
        </w:tc>
        <w:tc>
          <w:tcPr>
            <w:tcW w:w="631" w:type="dxa"/>
            <w:vAlign w:val="center"/>
          </w:tcPr>
          <w:p>
            <w:pPr>
              <w:spacing w:line="312" w:lineRule="exact"/>
              <w:ind w:firstLine="0" w:firstLineChars="0"/>
              <w:jc w:val="center"/>
              <w:rPr>
                <w:color w:val="auto"/>
                <w:sz w:val="21"/>
                <w:szCs w:val="21"/>
              </w:rPr>
            </w:pPr>
            <w:r>
              <w:rPr>
                <w:rFonts w:hint="eastAsia"/>
                <w:color w:val="auto"/>
                <w:sz w:val="21"/>
                <w:szCs w:val="21"/>
              </w:rPr>
              <w:t>一般工业固废</w:t>
            </w:r>
          </w:p>
        </w:tc>
        <w:tc>
          <w:tcPr>
            <w:tcW w:w="1106" w:type="dxa"/>
            <w:vAlign w:val="center"/>
          </w:tcPr>
          <w:p>
            <w:pPr>
              <w:spacing w:line="312" w:lineRule="exact"/>
              <w:ind w:firstLine="0" w:firstLineChars="0"/>
              <w:jc w:val="center"/>
              <w:rPr>
                <w:color w:val="auto"/>
                <w:sz w:val="21"/>
                <w:szCs w:val="21"/>
              </w:rPr>
            </w:pPr>
            <w:r>
              <w:rPr>
                <w:rFonts w:hint="eastAsia"/>
                <w:color w:val="auto"/>
                <w:kern w:val="0"/>
                <w:sz w:val="21"/>
                <w:szCs w:val="21"/>
              </w:rPr>
              <w:t>266-001-49</w:t>
            </w:r>
          </w:p>
        </w:tc>
        <w:tc>
          <w:tcPr>
            <w:tcW w:w="900" w:type="dxa"/>
            <w:vAlign w:val="center"/>
          </w:tcPr>
          <w:p>
            <w:pPr>
              <w:spacing w:line="312" w:lineRule="exact"/>
              <w:ind w:firstLine="0" w:firstLineChars="0"/>
              <w:jc w:val="center"/>
              <w:rPr>
                <w:color w:val="auto"/>
                <w:sz w:val="21"/>
                <w:szCs w:val="21"/>
              </w:rPr>
            </w:pPr>
            <w:r>
              <w:rPr>
                <w:rFonts w:hint="eastAsia"/>
                <w:color w:val="auto"/>
                <w:sz w:val="21"/>
                <w:szCs w:val="21"/>
              </w:rPr>
              <w:t>4.5</w:t>
            </w:r>
          </w:p>
        </w:tc>
        <w:tc>
          <w:tcPr>
            <w:tcW w:w="780" w:type="dxa"/>
            <w:vAlign w:val="center"/>
          </w:tcPr>
          <w:p>
            <w:pPr>
              <w:spacing w:line="312" w:lineRule="exact"/>
              <w:ind w:firstLine="0" w:firstLineChars="0"/>
              <w:jc w:val="center"/>
              <w:rPr>
                <w:color w:val="auto"/>
                <w:sz w:val="21"/>
                <w:szCs w:val="21"/>
              </w:rPr>
            </w:pPr>
            <w:r>
              <w:rPr>
                <w:rFonts w:hint="eastAsia"/>
                <w:color w:val="auto"/>
                <w:sz w:val="21"/>
                <w:szCs w:val="21"/>
              </w:rPr>
              <w:t>职工生活</w:t>
            </w:r>
          </w:p>
        </w:tc>
        <w:tc>
          <w:tcPr>
            <w:tcW w:w="531" w:type="dxa"/>
            <w:vAlign w:val="center"/>
          </w:tcPr>
          <w:p>
            <w:pPr>
              <w:spacing w:line="312" w:lineRule="exact"/>
              <w:ind w:firstLine="0" w:firstLineChars="0"/>
              <w:jc w:val="center"/>
              <w:rPr>
                <w:color w:val="auto"/>
                <w:sz w:val="21"/>
                <w:szCs w:val="21"/>
              </w:rPr>
            </w:pPr>
            <w:r>
              <w:rPr>
                <w:color w:val="auto"/>
                <w:sz w:val="21"/>
                <w:szCs w:val="21"/>
              </w:rPr>
              <w:t>固态</w:t>
            </w:r>
          </w:p>
        </w:tc>
        <w:tc>
          <w:tcPr>
            <w:tcW w:w="1089" w:type="dxa"/>
            <w:vAlign w:val="center"/>
          </w:tcPr>
          <w:p>
            <w:pPr>
              <w:snapToGrid w:val="0"/>
              <w:spacing w:line="312" w:lineRule="exact"/>
              <w:ind w:firstLine="0" w:firstLineChars="0"/>
              <w:jc w:val="center"/>
              <w:rPr>
                <w:color w:val="auto"/>
                <w:sz w:val="21"/>
                <w:szCs w:val="21"/>
              </w:rPr>
            </w:pPr>
            <w:r>
              <w:rPr>
                <w:rFonts w:hint="eastAsia"/>
                <w:color w:val="auto"/>
                <w:sz w:val="21"/>
                <w:szCs w:val="21"/>
              </w:rPr>
              <w:t>生活垃圾</w:t>
            </w:r>
          </w:p>
        </w:tc>
        <w:tc>
          <w:tcPr>
            <w:tcW w:w="923" w:type="dxa"/>
            <w:vAlign w:val="center"/>
          </w:tcPr>
          <w:p>
            <w:pPr>
              <w:spacing w:line="312" w:lineRule="exact"/>
              <w:ind w:firstLine="0" w:firstLineChars="0"/>
              <w:jc w:val="center"/>
              <w:rPr>
                <w:color w:val="auto"/>
                <w:sz w:val="21"/>
                <w:szCs w:val="21"/>
              </w:rPr>
            </w:pPr>
            <w:r>
              <w:rPr>
                <w:rFonts w:hint="eastAsia"/>
                <w:color w:val="auto"/>
                <w:sz w:val="21"/>
                <w:szCs w:val="21"/>
              </w:rPr>
              <w:t>/</w:t>
            </w:r>
          </w:p>
        </w:tc>
        <w:tc>
          <w:tcPr>
            <w:tcW w:w="711" w:type="dxa"/>
            <w:vAlign w:val="center"/>
          </w:tcPr>
          <w:p>
            <w:pPr>
              <w:spacing w:line="312" w:lineRule="exact"/>
              <w:ind w:firstLine="0" w:firstLineChars="0"/>
              <w:jc w:val="center"/>
              <w:rPr>
                <w:color w:val="auto"/>
                <w:sz w:val="21"/>
                <w:szCs w:val="21"/>
              </w:rPr>
            </w:pPr>
            <w:r>
              <w:rPr>
                <w:color w:val="auto"/>
                <w:sz w:val="21"/>
                <w:szCs w:val="21"/>
              </w:rPr>
              <w:t>每</w:t>
            </w:r>
            <w:r>
              <w:rPr>
                <w:rFonts w:hint="eastAsia"/>
                <w:color w:val="auto"/>
                <w:sz w:val="21"/>
                <w:szCs w:val="21"/>
              </w:rPr>
              <w:t>天</w:t>
            </w:r>
          </w:p>
        </w:tc>
        <w:tc>
          <w:tcPr>
            <w:tcW w:w="729" w:type="dxa"/>
            <w:vAlign w:val="center"/>
          </w:tcPr>
          <w:p>
            <w:pPr>
              <w:spacing w:line="312" w:lineRule="exact"/>
              <w:ind w:firstLine="0" w:firstLineChars="0"/>
              <w:jc w:val="center"/>
              <w:rPr>
                <w:color w:val="auto"/>
                <w:sz w:val="21"/>
                <w:szCs w:val="21"/>
              </w:rPr>
            </w:pPr>
            <w:r>
              <w:rPr>
                <w:color w:val="auto"/>
                <w:sz w:val="21"/>
                <w:szCs w:val="21"/>
              </w:rPr>
              <w:t>/</w:t>
            </w:r>
          </w:p>
        </w:tc>
        <w:tc>
          <w:tcPr>
            <w:tcW w:w="972" w:type="dxa"/>
            <w:vAlign w:val="center"/>
          </w:tcPr>
          <w:p>
            <w:pPr>
              <w:spacing w:line="312" w:lineRule="exact"/>
              <w:ind w:firstLine="0" w:firstLineChars="0"/>
              <w:jc w:val="center"/>
              <w:rPr>
                <w:color w:val="auto"/>
                <w:sz w:val="21"/>
                <w:szCs w:val="21"/>
              </w:rPr>
            </w:pPr>
            <w:r>
              <w:rPr>
                <w:rFonts w:hint="eastAsia"/>
                <w:color w:val="auto"/>
                <w:sz w:val="21"/>
                <w:szCs w:val="21"/>
              </w:rPr>
              <w:t>环卫部门定期清运</w:t>
            </w:r>
          </w:p>
        </w:tc>
      </w:tr>
    </w:tbl>
    <w:p>
      <w:pPr>
        <w:pStyle w:val="9"/>
        <w:spacing w:before="0" w:beforeLines="0" w:after="0" w:afterLines="0" w:line="360" w:lineRule="auto"/>
        <w:rPr>
          <w:color w:val="auto"/>
        </w:rPr>
      </w:pPr>
      <w:r>
        <w:rPr>
          <w:rFonts w:hint="eastAsia"/>
          <w:color w:val="auto"/>
        </w:rPr>
        <w:t>5</w:t>
      </w:r>
      <w:r>
        <w:rPr>
          <w:color w:val="auto"/>
        </w:rPr>
        <w:t>.5.2固体环境影响分析</w:t>
      </w:r>
    </w:p>
    <w:p>
      <w:pPr>
        <w:pStyle w:val="10"/>
        <w:spacing w:line="360" w:lineRule="auto"/>
        <w:rPr>
          <w:color w:val="auto"/>
        </w:rPr>
      </w:pPr>
      <w:r>
        <w:rPr>
          <w:rFonts w:hint="eastAsia"/>
          <w:color w:val="auto"/>
        </w:rPr>
        <w:t>5</w:t>
      </w:r>
      <w:r>
        <w:rPr>
          <w:color w:val="auto"/>
        </w:rPr>
        <w:t>.5.2.1固体废物的收集</w:t>
      </w:r>
    </w:p>
    <w:p>
      <w:pPr>
        <w:ind w:firstLine="482"/>
        <w:rPr>
          <w:b/>
          <w:color w:val="auto"/>
        </w:rPr>
      </w:pPr>
      <w:r>
        <w:rPr>
          <w:b/>
          <w:color w:val="auto"/>
        </w:rPr>
        <w:t>1、一般固体废物的收集</w:t>
      </w:r>
    </w:p>
    <w:p>
      <w:pPr>
        <w:ind w:firstLine="480"/>
        <w:rPr>
          <w:color w:val="auto"/>
        </w:rPr>
      </w:pPr>
      <w:r>
        <w:rPr>
          <w:rFonts w:hint="eastAsia"/>
          <w:color w:val="auto"/>
        </w:rPr>
        <w:t>拟建项目</w:t>
      </w:r>
      <w:r>
        <w:rPr>
          <w:color w:val="auto"/>
        </w:rPr>
        <w:t>产生的</w:t>
      </w:r>
      <w:r>
        <w:rPr>
          <w:rFonts w:hint="eastAsia"/>
          <w:color w:val="auto"/>
        </w:rPr>
        <w:t>一般工业固废</w:t>
      </w:r>
      <w:r>
        <w:rPr>
          <w:color w:val="auto"/>
        </w:rPr>
        <w:t>主要是废包装袋、废包装桶、污水站污泥</w:t>
      </w:r>
      <w:r>
        <w:rPr>
          <w:rFonts w:hint="eastAsia"/>
          <w:color w:val="auto"/>
        </w:rPr>
        <w:t>及生活垃圾</w:t>
      </w:r>
      <w:r>
        <w:rPr>
          <w:color w:val="auto"/>
        </w:rPr>
        <w:t>。废包装袋、废包装桶暂存于</w:t>
      </w:r>
      <w:r>
        <w:rPr>
          <w:rFonts w:hint="eastAsia"/>
          <w:color w:val="auto"/>
        </w:rPr>
        <w:t>一般工业固废</w:t>
      </w:r>
      <w:r>
        <w:rPr>
          <w:color w:val="auto"/>
        </w:rPr>
        <w:t>仓库，</w:t>
      </w:r>
      <w:r>
        <w:rPr>
          <w:rFonts w:hint="eastAsia"/>
          <w:color w:val="auto"/>
        </w:rPr>
        <w:t>定期</w:t>
      </w:r>
      <w:r>
        <w:rPr>
          <w:rFonts w:hint="eastAsia"/>
          <w:color w:val="auto"/>
          <w:lang w:val="en-US" w:eastAsia="zh-CN"/>
        </w:rPr>
        <w:t>由厂家回收</w:t>
      </w:r>
      <w:r>
        <w:rPr>
          <w:color w:val="auto"/>
        </w:rPr>
        <w:t>，污水站污泥</w:t>
      </w:r>
      <w:r>
        <w:rPr>
          <w:rFonts w:hint="eastAsia"/>
          <w:color w:val="auto"/>
        </w:rPr>
        <w:t>委托处置，</w:t>
      </w:r>
      <w:r>
        <w:rPr>
          <w:color w:val="auto"/>
        </w:rPr>
        <w:t>生活垃圾定期由环卫部门清运。</w:t>
      </w:r>
    </w:p>
    <w:p>
      <w:pPr>
        <w:ind w:firstLine="482"/>
        <w:rPr>
          <w:b/>
          <w:color w:val="auto"/>
        </w:rPr>
      </w:pPr>
      <w:r>
        <w:rPr>
          <w:b/>
          <w:color w:val="auto"/>
        </w:rPr>
        <w:t>2、危险废物的收集</w:t>
      </w:r>
    </w:p>
    <w:p>
      <w:pPr>
        <w:ind w:firstLine="480"/>
        <w:rPr>
          <w:color w:val="auto"/>
        </w:rPr>
      </w:pPr>
      <w:r>
        <w:rPr>
          <w:color w:val="auto"/>
        </w:rPr>
        <w:t>本项目废润滑油</w:t>
      </w:r>
      <w:r>
        <w:rPr>
          <w:rFonts w:hint="eastAsia"/>
          <w:color w:val="auto"/>
          <w:lang w:eastAsia="zh-CN"/>
        </w:rPr>
        <w:t>、</w:t>
      </w:r>
      <w:r>
        <w:rPr>
          <w:rFonts w:hint="eastAsia"/>
          <w:color w:val="auto"/>
          <w:lang w:val="en-US" w:eastAsia="zh-CN"/>
        </w:rPr>
        <w:t>高沸物、罐底残渣</w:t>
      </w:r>
      <w:r>
        <w:rPr>
          <w:color w:val="auto"/>
        </w:rPr>
        <w:t>定期更换后收集至包装桶，由叉车转运至危废暂存间；化验室废液装桶后与废试剂瓶转运至危废暂存间；废活性炭更换后收集到</w:t>
      </w:r>
      <w:r>
        <w:rPr>
          <w:rFonts w:hint="eastAsia"/>
          <w:color w:val="auto"/>
        </w:rPr>
        <w:t>包装桶内</w:t>
      </w:r>
      <w:r>
        <w:rPr>
          <w:color w:val="auto"/>
        </w:rPr>
        <w:t>，由叉车转运至危废暂存间</w:t>
      </w:r>
      <w:r>
        <w:rPr>
          <w:rFonts w:hint="eastAsia"/>
          <w:color w:val="auto"/>
          <w:lang w:eastAsia="zh-CN"/>
        </w:rPr>
        <w:t>；</w:t>
      </w:r>
      <w:r>
        <w:rPr>
          <w:rFonts w:hint="eastAsia"/>
          <w:color w:val="auto"/>
          <w:lang w:val="en-US" w:eastAsia="zh-CN"/>
        </w:rPr>
        <w:t>废导热油定期更换，</w:t>
      </w:r>
      <w:r>
        <w:rPr>
          <w:color w:val="auto"/>
        </w:rPr>
        <w:t>所产危废均委托有资质单位处置。</w:t>
      </w:r>
    </w:p>
    <w:p>
      <w:pPr>
        <w:ind w:firstLine="480"/>
        <w:rPr>
          <w:color w:val="auto"/>
        </w:rPr>
      </w:pPr>
      <w:r>
        <w:rPr>
          <w:rFonts w:hint="eastAsia"/>
          <w:color w:val="auto"/>
        </w:rPr>
        <w:t>拟建项目</w:t>
      </w:r>
      <w:r>
        <w:rPr>
          <w:color w:val="auto"/>
        </w:rPr>
        <w:t>危险废物的收集应满足《危险废物收集、贮存、运输技术规范》（HJ2025-2012）的要求：</w:t>
      </w:r>
    </w:p>
    <w:p>
      <w:pPr>
        <w:ind w:firstLine="480"/>
        <w:rPr>
          <w:color w:val="auto"/>
        </w:rPr>
      </w:pPr>
      <w:r>
        <w:rPr>
          <w:color w:val="auto"/>
        </w:rPr>
        <w:t>①根据危险废物产生的工艺特征、排放周期、特性、管理计划等因素制定详细的收集计划。收集计划包括收集任务概述、收集目标及原则、危险废物特性评估、危险废物收集量估算、收集作业范围和方法、收集设备与包装容器、安全生产与个人防护、工程防护与事故应急、进度安排与组织管理等。</w:t>
      </w:r>
    </w:p>
    <w:p>
      <w:pPr>
        <w:ind w:firstLine="480"/>
        <w:rPr>
          <w:color w:val="auto"/>
        </w:rPr>
      </w:pPr>
      <w:r>
        <w:rPr>
          <w:color w:val="auto"/>
        </w:rPr>
        <w:t>②制定危险废物收集操作规程，内容包括适用范围、操作程序和方法、专用设备和工具、转移和交接、安全保障和应急防护等。</w:t>
      </w:r>
    </w:p>
    <w:p>
      <w:pPr>
        <w:ind w:firstLine="480"/>
        <w:rPr>
          <w:color w:val="auto"/>
        </w:rPr>
      </w:pPr>
      <w:r>
        <w:rPr>
          <w:color w:val="auto"/>
        </w:rPr>
        <w:t>③危险废物收集和转运作业人员根据工作需要配备必要的个人防护装备，如手套、防护镜、防护服、防毒面具或口罩等。</w:t>
      </w:r>
    </w:p>
    <w:p>
      <w:pPr>
        <w:ind w:firstLine="480"/>
        <w:rPr>
          <w:color w:val="auto"/>
        </w:rPr>
      </w:pPr>
      <w:r>
        <w:rPr>
          <w:color w:val="auto"/>
        </w:rPr>
        <w:t>④在危险废物收集和转运过程中，采取相应的安全防护和污染防治措施，包括防爆、防火、防泄漏、防飞扬、防雨或其他防治污染环境的措施。</w:t>
      </w:r>
    </w:p>
    <w:p>
      <w:pPr>
        <w:ind w:firstLine="480"/>
        <w:rPr>
          <w:color w:val="auto"/>
        </w:rPr>
      </w:pPr>
      <w:r>
        <w:rPr>
          <w:color w:val="auto"/>
        </w:rPr>
        <w:t>⑤危险废物收集时应根据危险废物的种类、数量、危险特性、物理形态、运输要求等因素选择合适的包装形式。</w:t>
      </w:r>
    </w:p>
    <w:p>
      <w:pPr>
        <w:pStyle w:val="10"/>
        <w:spacing w:line="360" w:lineRule="auto"/>
        <w:rPr>
          <w:color w:val="auto"/>
        </w:rPr>
      </w:pPr>
      <w:r>
        <w:rPr>
          <w:rFonts w:hint="eastAsia"/>
          <w:color w:val="auto"/>
        </w:rPr>
        <w:t>5</w:t>
      </w:r>
      <w:r>
        <w:rPr>
          <w:color w:val="auto"/>
        </w:rPr>
        <w:t>.5.2.2固体废物的</w:t>
      </w:r>
      <w:r>
        <w:rPr>
          <w:rFonts w:hint="eastAsia"/>
          <w:color w:val="auto"/>
        </w:rPr>
        <w:t>贮存</w:t>
      </w:r>
    </w:p>
    <w:p>
      <w:pPr>
        <w:ind w:firstLine="482"/>
        <w:rPr>
          <w:b/>
          <w:color w:val="auto"/>
        </w:rPr>
      </w:pPr>
      <w:r>
        <w:rPr>
          <w:b/>
          <w:color w:val="auto"/>
        </w:rPr>
        <w:t>1、一般固体废物的贮存</w:t>
      </w:r>
    </w:p>
    <w:p>
      <w:pPr>
        <w:ind w:firstLine="480"/>
        <w:rPr>
          <w:color w:val="auto"/>
        </w:rPr>
      </w:pPr>
      <w:r>
        <w:rPr>
          <w:rFonts w:hint="eastAsia"/>
          <w:color w:val="auto"/>
        </w:rPr>
        <w:t>拟建项目</w:t>
      </w:r>
      <w:r>
        <w:rPr>
          <w:color w:val="auto"/>
        </w:rPr>
        <w:t>产生的</w:t>
      </w:r>
      <w:r>
        <w:rPr>
          <w:rFonts w:hint="eastAsia"/>
          <w:color w:val="auto"/>
        </w:rPr>
        <w:t>一般工业固废</w:t>
      </w:r>
      <w:r>
        <w:rPr>
          <w:color w:val="auto"/>
        </w:rPr>
        <w:t>主要是废包装袋、废包装桶、污水站污泥</w:t>
      </w:r>
      <w:r>
        <w:rPr>
          <w:rFonts w:hint="eastAsia"/>
          <w:color w:val="auto"/>
        </w:rPr>
        <w:t>及生活垃圾</w:t>
      </w:r>
      <w:r>
        <w:rPr>
          <w:color w:val="auto"/>
        </w:rPr>
        <w:t>。废包装袋、废包装桶暂存于</w:t>
      </w:r>
      <w:r>
        <w:rPr>
          <w:rFonts w:hint="eastAsia"/>
          <w:color w:val="auto"/>
        </w:rPr>
        <w:t>一般工业固废</w:t>
      </w:r>
      <w:r>
        <w:rPr>
          <w:color w:val="auto"/>
        </w:rPr>
        <w:t>仓库，</w:t>
      </w:r>
      <w:r>
        <w:rPr>
          <w:rFonts w:hint="eastAsia"/>
          <w:color w:val="auto"/>
        </w:rPr>
        <w:t>定期统一外售</w:t>
      </w:r>
      <w:r>
        <w:rPr>
          <w:color w:val="auto"/>
        </w:rPr>
        <w:t>，污水站污泥</w:t>
      </w:r>
      <w:r>
        <w:rPr>
          <w:rFonts w:hint="eastAsia"/>
          <w:color w:val="auto"/>
        </w:rPr>
        <w:t>委托处置，</w:t>
      </w:r>
      <w:r>
        <w:rPr>
          <w:color w:val="auto"/>
        </w:rPr>
        <w:t>生活垃圾定期由环卫部门清运。</w:t>
      </w:r>
    </w:p>
    <w:p>
      <w:pPr>
        <w:ind w:firstLine="482"/>
        <w:rPr>
          <w:b/>
          <w:color w:val="auto"/>
        </w:rPr>
      </w:pPr>
      <w:r>
        <w:rPr>
          <w:b/>
          <w:color w:val="auto"/>
        </w:rPr>
        <w:t>2、危险废物的贮存</w:t>
      </w:r>
    </w:p>
    <w:p>
      <w:pPr>
        <w:ind w:firstLine="480"/>
        <w:rPr>
          <w:color w:val="auto"/>
        </w:rPr>
      </w:pPr>
      <w:r>
        <w:rPr>
          <w:color w:val="auto"/>
        </w:rPr>
        <w:t>本项目本项目废润滑油</w:t>
      </w:r>
      <w:r>
        <w:rPr>
          <w:rFonts w:hint="eastAsia"/>
          <w:color w:val="auto"/>
          <w:lang w:eastAsia="zh-CN"/>
        </w:rPr>
        <w:t>、</w:t>
      </w:r>
      <w:r>
        <w:rPr>
          <w:rFonts w:hint="eastAsia"/>
          <w:color w:val="auto"/>
          <w:lang w:val="en-US" w:eastAsia="zh-CN"/>
        </w:rPr>
        <w:t>高沸物、罐底残渣</w:t>
      </w:r>
      <w:r>
        <w:rPr>
          <w:color w:val="auto"/>
        </w:rPr>
        <w:t>定期更换后收集至包装桶，由叉车转运至危废暂存间；化验室废液装桶后与废试剂瓶转运至危废暂存间；废活性炭更换后收集到</w:t>
      </w:r>
      <w:r>
        <w:rPr>
          <w:rFonts w:hint="eastAsia"/>
          <w:color w:val="auto"/>
        </w:rPr>
        <w:t>包装桶内</w:t>
      </w:r>
      <w:r>
        <w:rPr>
          <w:color w:val="auto"/>
        </w:rPr>
        <w:t>，由叉车转运至危废暂存间</w:t>
      </w:r>
      <w:r>
        <w:rPr>
          <w:rFonts w:hint="eastAsia"/>
          <w:color w:val="auto"/>
        </w:rPr>
        <w:t>，</w:t>
      </w:r>
      <w:r>
        <w:rPr>
          <w:rFonts w:hint="eastAsia"/>
          <w:color w:val="auto"/>
          <w:lang w:val="en-US" w:eastAsia="zh-CN"/>
        </w:rPr>
        <w:t>废导热油定期更换，</w:t>
      </w:r>
      <w:r>
        <w:rPr>
          <w:color w:val="auto"/>
        </w:rPr>
        <w:t>所产危废均委托有资质单位处置。</w:t>
      </w:r>
    </w:p>
    <w:p>
      <w:pPr>
        <w:pStyle w:val="2"/>
        <w:spacing w:after="0"/>
        <w:ind w:firstLine="480"/>
        <w:rPr>
          <w:color w:val="auto"/>
        </w:rPr>
      </w:pPr>
      <w:r>
        <w:rPr>
          <w:color w:val="auto"/>
        </w:rPr>
        <w:t>危废暂存间基本情况见表</w:t>
      </w:r>
      <w:r>
        <w:rPr>
          <w:rFonts w:hint="eastAsia"/>
          <w:color w:val="auto"/>
        </w:rPr>
        <w:t>5</w:t>
      </w:r>
      <w:r>
        <w:rPr>
          <w:color w:val="auto"/>
        </w:rPr>
        <w:t>.5-2。</w:t>
      </w:r>
    </w:p>
    <w:p>
      <w:pPr>
        <w:spacing w:line="240" w:lineRule="auto"/>
        <w:ind w:firstLine="0" w:firstLineChars="0"/>
        <w:jc w:val="center"/>
        <w:rPr>
          <w:rFonts w:eastAsia="黑体"/>
          <w:b/>
          <w:color w:val="auto"/>
          <w:sz w:val="21"/>
          <w:szCs w:val="21"/>
        </w:rPr>
      </w:pPr>
    </w:p>
    <w:p>
      <w:pPr>
        <w:spacing w:line="240" w:lineRule="auto"/>
        <w:ind w:firstLine="0" w:firstLineChars="0"/>
        <w:jc w:val="center"/>
        <w:rPr>
          <w:rFonts w:eastAsia="黑体"/>
          <w:b w:val="0"/>
          <w:bCs/>
          <w:color w:val="auto"/>
          <w:sz w:val="21"/>
          <w:szCs w:val="21"/>
        </w:rPr>
      </w:pPr>
      <w:r>
        <w:rPr>
          <w:rFonts w:eastAsia="黑体"/>
          <w:b w:val="0"/>
          <w:bCs/>
          <w:color w:val="auto"/>
          <w:sz w:val="21"/>
          <w:szCs w:val="21"/>
        </w:rPr>
        <w:t>表</w:t>
      </w:r>
      <w:r>
        <w:rPr>
          <w:rFonts w:hint="eastAsia" w:eastAsia="黑体"/>
          <w:b w:val="0"/>
          <w:bCs/>
          <w:color w:val="auto"/>
          <w:sz w:val="21"/>
          <w:szCs w:val="21"/>
          <w:lang w:val="en-US" w:eastAsia="zh-CN"/>
        </w:rPr>
        <w:t>5.</w:t>
      </w:r>
      <w:r>
        <w:rPr>
          <w:rFonts w:eastAsia="黑体"/>
          <w:b w:val="0"/>
          <w:bCs/>
          <w:color w:val="auto"/>
          <w:sz w:val="21"/>
          <w:szCs w:val="21"/>
        </w:rPr>
        <w:t>.5-2  危废暂存间基本情况表</w:t>
      </w:r>
    </w:p>
    <w:tbl>
      <w:tblPr>
        <w:tblStyle w:val="22"/>
        <w:tblpPr w:leftFromText="180" w:rightFromText="180" w:vertAnchor="text" w:tblpY="1"/>
        <w:tblOverlap w:val="never"/>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40"/>
        <w:gridCol w:w="989"/>
        <w:gridCol w:w="1099"/>
        <w:gridCol w:w="927"/>
        <w:gridCol w:w="1196"/>
        <w:gridCol w:w="1318"/>
        <w:gridCol w:w="873"/>
        <w:gridCol w:w="765"/>
        <w:gridCol w:w="816"/>
        <w:gridCol w:w="76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pPr>
              <w:spacing w:line="240" w:lineRule="auto"/>
              <w:ind w:firstLine="0" w:firstLineChars="0"/>
              <w:jc w:val="center"/>
              <w:rPr>
                <w:b/>
                <w:color w:val="auto"/>
                <w:sz w:val="21"/>
                <w:szCs w:val="21"/>
              </w:rPr>
            </w:pPr>
            <w:r>
              <w:rPr>
                <w:b/>
                <w:color w:val="auto"/>
                <w:sz w:val="21"/>
                <w:szCs w:val="21"/>
              </w:rPr>
              <w:t>序号</w:t>
            </w:r>
          </w:p>
        </w:tc>
        <w:tc>
          <w:tcPr>
            <w:tcW w:w="0" w:type="auto"/>
            <w:vAlign w:val="center"/>
          </w:tcPr>
          <w:p>
            <w:pPr>
              <w:spacing w:line="240" w:lineRule="auto"/>
              <w:ind w:firstLine="0" w:firstLineChars="0"/>
              <w:jc w:val="center"/>
              <w:rPr>
                <w:b/>
                <w:color w:val="auto"/>
                <w:sz w:val="21"/>
                <w:szCs w:val="21"/>
              </w:rPr>
            </w:pPr>
            <w:r>
              <w:rPr>
                <w:b/>
                <w:color w:val="auto"/>
                <w:sz w:val="21"/>
                <w:szCs w:val="21"/>
              </w:rPr>
              <w:t>贮存场所名称</w:t>
            </w:r>
          </w:p>
        </w:tc>
        <w:tc>
          <w:tcPr>
            <w:tcW w:w="0" w:type="auto"/>
            <w:vAlign w:val="center"/>
          </w:tcPr>
          <w:p>
            <w:pPr>
              <w:spacing w:line="240" w:lineRule="auto"/>
              <w:ind w:firstLine="0" w:firstLineChars="0"/>
              <w:jc w:val="center"/>
              <w:rPr>
                <w:b/>
                <w:color w:val="auto"/>
                <w:sz w:val="21"/>
                <w:szCs w:val="21"/>
              </w:rPr>
            </w:pPr>
            <w:r>
              <w:rPr>
                <w:b/>
                <w:color w:val="auto"/>
                <w:sz w:val="21"/>
                <w:szCs w:val="21"/>
              </w:rPr>
              <w:t>固废名称</w:t>
            </w:r>
          </w:p>
        </w:tc>
        <w:tc>
          <w:tcPr>
            <w:tcW w:w="0" w:type="auto"/>
            <w:vAlign w:val="center"/>
          </w:tcPr>
          <w:p>
            <w:pPr>
              <w:spacing w:line="240" w:lineRule="auto"/>
              <w:ind w:firstLine="0" w:firstLineChars="0"/>
              <w:jc w:val="center"/>
              <w:rPr>
                <w:b/>
                <w:color w:val="auto"/>
                <w:sz w:val="21"/>
                <w:szCs w:val="21"/>
              </w:rPr>
            </w:pPr>
            <w:r>
              <w:rPr>
                <w:b/>
                <w:color w:val="auto"/>
                <w:sz w:val="21"/>
                <w:szCs w:val="21"/>
              </w:rPr>
              <w:t>废物类别</w:t>
            </w:r>
          </w:p>
        </w:tc>
        <w:tc>
          <w:tcPr>
            <w:tcW w:w="1196" w:type="dxa"/>
            <w:vAlign w:val="center"/>
          </w:tcPr>
          <w:p>
            <w:pPr>
              <w:spacing w:line="240" w:lineRule="auto"/>
              <w:ind w:firstLine="0" w:firstLineChars="0"/>
              <w:jc w:val="center"/>
              <w:rPr>
                <w:b/>
                <w:color w:val="auto"/>
                <w:sz w:val="21"/>
                <w:szCs w:val="21"/>
              </w:rPr>
            </w:pPr>
            <w:r>
              <w:rPr>
                <w:b/>
                <w:color w:val="auto"/>
                <w:sz w:val="21"/>
                <w:szCs w:val="21"/>
              </w:rPr>
              <w:t>废物代码</w:t>
            </w:r>
          </w:p>
        </w:tc>
        <w:tc>
          <w:tcPr>
            <w:tcW w:w="1318" w:type="dxa"/>
            <w:vAlign w:val="center"/>
          </w:tcPr>
          <w:p>
            <w:pPr>
              <w:spacing w:line="240" w:lineRule="auto"/>
              <w:ind w:firstLine="0" w:firstLineChars="0"/>
              <w:jc w:val="center"/>
              <w:rPr>
                <w:b/>
                <w:color w:val="auto"/>
                <w:sz w:val="21"/>
                <w:szCs w:val="21"/>
              </w:rPr>
            </w:pPr>
            <w:r>
              <w:rPr>
                <w:b/>
                <w:color w:val="auto"/>
                <w:sz w:val="21"/>
                <w:szCs w:val="21"/>
              </w:rPr>
              <w:t>位置</w:t>
            </w:r>
          </w:p>
        </w:tc>
        <w:tc>
          <w:tcPr>
            <w:tcW w:w="0" w:type="auto"/>
            <w:vAlign w:val="center"/>
          </w:tcPr>
          <w:p>
            <w:pPr>
              <w:spacing w:line="240" w:lineRule="auto"/>
              <w:ind w:firstLine="0" w:firstLineChars="0"/>
              <w:jc w:val="center"/>
              <w:rPr>
                <w:b/>
                <w:color w:val="auto"/>
                <w:sz w:val="21"/>
                <w:szCs w:val="21"/>
              </w:rPr>
            </w:pPr>
            <w:r>
              <w:rPr>
                <w:b/>
                <w:color w:val="auto"/>
                <w:sz w:val="21"/>
                <w:szCs w:val="21"/>
              </w:rPr>
              <w:t>占地面积</w:t>
            </w:r>
          </w:p>
        </w:tc>
        <w:tc>
          <w:tcPr>
            <w:tcW w:w="0" w:type="auto"/>
            <w:vAlign w:val="center"/>
          </w:tcPr>
          <w:p>
            <w:pPr>
              <w:spacing w:line="240" w:lineRule="auto"/>
              <w:ind w:firstLine="0" w:firstLineChars="0"/>
              <w:jc w:val="center"/>
              <w:rPr>
                <w:b/>
                <w:color w:val="auto"/>
                <w:sz w:val="21"/>
                <w:szCs w:val="21"/>
              </w:rPr>
            </w:pPr>
            <w:r>
              <w:rPr>
                <w:b/>
                <w:color w:val="auto"/>
                <w:sz w:val="21"/>
                <w:szCs w:val="21"/>
              </w:rPr>
              <w:t>贮存方式</w:t>
            </w:r>
          </w:p>
        </w:tc>
        <w:tc>
          <w:tcPr>
            <w:tcW w:w="0" w:type="auto"/>
            <w:vAlign w:val="center"/>
          </w:tcPr>
          <w:p>
            <w:pPr>
              <w:spacing w:line="240" w:lineRule="auto"/>
              <w:ind w:firstLine="0" w:firstLineChars="0"/>
              <w:jc w:val="center"/>
              <w:rPr>
                <w:b/>
                <w:color w:val="auto"/>
                <w:sz w:val="21"/>
                <w:szCs w:val="21"/>
              </w:rPr>
            </w:pPr>
            <w:r>
              <w:rPr>
                <w:b/>
                <w:color w:val="auto"/>
                <w:sz w:val="21"/>
                <w:szCs w:val="21"/>
              </w:rPr>
              <w:t>贮存能力</w:t>
            </w:r>
          </w:p>
        </w:tc>
        <w:tc>
          <w:tcPr>
            <w:tcW w:w="0" w:type="auto"/>
            <w:vAlign w:val="center"/>
          </w:tcPr>
          <w:p>
            <w:pPr>
              <w:spacing w:line="240" w:lineRule="auto"/>
              <w:ind w:firstLine="0" w:firstLineChars="0"/>
              <w:jc w:val="center"/>
              <w:rPr>
                <w:b/>
                <w:color w:val="auto"/>
                <w:sz w:val="21"/>
                <w:szCs w:val="21"/>
              </w:rPr>
            </w:pPr>
            <w:r>
              <w:rPr>
                <w:b/>
                <w:color w:val="auto"/>
                <w:sz w:val="21"/>
                <w:szCs w:val="21"/>
              </w:rPr>
              <w:t>贮存周期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pPr>
              <w:spacing w:line="240" w:lineRule="auto"/>
              <w:ind w:firstLine="0" w:firstLineChars="0"/>
              <w:jc w:val="center"/>
              <w:rPr>
                <w:color w:val="auto"/>
                <w:sz w:val="21"/>
                <w:szCs w:val="21"/>
              </w:rPr>
            </w:pPr>
            <w:r>
              <w:rPr>
                <w:color w:val="auto"/>
                <w:sz w:val="21"/>
                <w:szCs w:val="21"/>
              </w:rPr>
              <w:t>1</w:t>
            </w:r>
          </w:p>
        </w:tc>
        <w:tc>
          <w:tcPr>
            <w:tcW w:w="989" w:type="dxa"/>
            <w:vMerge w:val="restart"/>
            <w:vAlign w:val="center"/>
          </w:tcPr>
          <w:p>
            <w:pPr>
              <w:spacing w:line="240" w:lineRule="auto"/>
              <w:ind w:firstLine="0" w:firstLineChars="0"/>
              <w:jc w:val="center"/>
              <w:rPr>
                <w:color w:val="auto"/>
                <w:sz w:val="21"/>
                <w:szCs w:val="21"/>
              </w:rPr>
            </w:pPr>
            <w:r>
              <w:rPr>
                <w:color w:val="auto"/>
                <w:sz w:val="21"/>
                <w:szCs w:val="21"/>
              </w:rPr>
              <w:t>危废暂存间</w:t>
            </w:r>
          </w:p>
        </w:tc>
        <w:tc>
          <w:tcPr>
            <w:tcW w:w="0" w:type="auto"/>
            <w:vAlign w:val="center"/>
          </w:tcPr>
          <w:p>
            <w:pPr>
              <w:spacing w:line="240" w:lineRule="auto"/>
              <w:ind w:firstLine="0" w:firstLineChars="0"/>
              <w:jc w:val="center"/>
              <w:rPr>
                <w:color w:val="auto"/>
                <w:kern w:val="0"/>
                <w:sz w:val="21"/>
                <w:szCs w:val="21"/>
              </w:rPr>
            </w:pPr>
            <w:r>
              <w:rPr>
                <w:color w:val="auto"/>
                <w:kern w:val="0"/>
                <w:sz w:val="21"/>
                <w:szCs w:val="21"/>
              </w:rPr>
              <w:t>废润滑油</w:t>
            </w:r>
          </w:p>
        </w:tc>
        <w:tc>
          <w:tcPr>
            <w:tcW w:w="0" w:type="auto"/>
            <w:vAlign w:val="center"/>
          </w:tcPr>
          <w:p>
            <w:pPr>
              <w:spacing w:line="240" w:lineRule="auto"/>
              <w:ind w:firstLine="0" w:firstLineChars="0"/>
              <w:jc w:val="center"/>
              <w:rPr>
                <w:color w:val="auto"/>
                <w:sz w:val="21"/>
                <w:szCs w:val="21"/>
              </w:rPr>
            </w:pPr>
            <w:r>
              <w:rPr>
                <w:color w:val="auto"/>
                <w:sz w:val="21"/>
                <w:szCs w:val="21"/>
              </w:rPr>
              <w:t>HW08</w:t>
            </w:r>
          </w:p>
        </w:tc>
        <w:tc>
          <w:tcPr>
            <w:tcW w:w="1196" w:type="dxa"/>
            <w:vAlign w:val="center"/>
          </w:tcPr>
          <w:p>
            <w:pPr>
              <w:spacing w:line="240" w:lineRule="auto"/>
              <w:ind w:firstLine="0" w:firstLineChars="0"/>
              <w:jc w:val="center"/>
              <w:rPr>
                <w:color w:val="auto"/>
                <w:sz w:val="21"/>
                <w:szCs w:val="21"/>
              </w:rPr>
            </w:pPr>
            <w:r>
              <w:rPr>
                <w:color w:val="auto"/>
                <w:sz w:val="21"/>
                <w:szCs w:val="21"/>
              </w:rPr>
              <w:t>900-217-08</w:t>
            </w:r>
          </w:p>
        </w:tc>
        <w:tc>
          <w:tcPr>
            <w:tcW w:w="1318" w:type="dxa"/>
            <w:vMerge w:val="restart"/>
            <w:vAlign w:val="center"/>
          </w:tcPr>
          <w:p>
            <w:pPr>
              <w:spacing w:line="240" w:lineRule="auto"/>
              <w:ind w:firstLine="0" w:firstLineChars="0"/>
              <w:jc w:val="center"/>
              <w:rPr>
                <w:color w:val="auto"/>
                <w:sz w:val="21"/>
                <w:szCs w:val="21"/>
              </w:rPr>
            </w:pPr>
            <w:r>
              <w:rPr>
                <w:rFonts w:hint="eastAsia"/>
                <w:color w:val="auto"/>
                <w:kern w:val="0"/>
                <w:sz w:val="21"/>
                <w:szCs w:val="21"/>
              </w:rPr>
              <w:t>2号厂房一楼东侧</w:t>
            </w:r>
          </w:p>
        </w:tc>
        <w:tc>
          <w:tcPr>
            <w:tcW w:w="873" w:type="dxa"/>
            <w:vMerge w:val="restart"/>
            <w:vAlign w:val="center"/>
          </w:tcPr>
          <w:p>
            <w:pPr>
              <w:spacing w:line="240" w:lineRule="auto"/>
              <w:ind w:firstLine="0" w:firstLineChars="0"/>
              <w:jc w:val="center"/>
              <w:rPr>
                <w:color w:val="auto"/>
                <w:sz w:val="21"/>
                <w:szCs w:val="21"/>
              </w:rPr>
            </w:pPr>
            <w:r>
              <w:rPr>
                <w:rFonts w:hint="eastAsia"/>
                <w:bCs/>
                <w:color w:val="auto"/>
                <w:sz w:val="21"/>
                <w:szCs w:val="21"/>
              </w:rPr>
              <w:t>5</w:t>
            </w:r>
            <w:r>
              <w:rPr>
                <w:bCs/>
                <w:color w:val="auto"/>
                <w:sz w:val="21"/>
                <w:szCs w:val="21"/>
              </w:rPr>
              <w:t>0m</w:t>
            </w:r>
            <w:r>
              <w:rPr>
                <w:bCs/>
                <w:color w:val="auto"/>
                <w:sz w:val="21"/>
                <w:szCs w:val="21"/>
                <w:vertAlign w:val="superscript"/>
              </w:rPr>
              <w:t>2</w:t>
            </w:r>
          </w:p>
        </w:tc>
        <w:tc>
          <w:tcPr>
            <w:tcW w:w="0" w:type="auto"/>
            <w:vAlign w:val="center"/>
          </w:tcPr>
          <w:p>
            <w:pPr>
              <w:spacing w:line="240" w:lineRule="auto"/>
              <w:ind w:firstLine="0" w:firstLineChars="0"/>
              <w:jc w:val="center"/>
              <w:rPr>
                <w:color w:val="auto"/>
                <w:sz w:val="21"/>
                <w:szCs w:val="21"/>
              </w:rPr>
            </w:pPr>
            <w:r>
              <w:rPr>
                <w:color w:val="auto"/>
                <w:sz w:val="21"/>
                <w:szCs w:val="21"/>
              </w:rPr>
              <w:t>桶装</w:t>
            </w:r>
          </w:p>
        </w:tc>
        <w:tc>
          <w:tcPr>
            <w:tcW w:w="0" w:type="auto"/>
            <w:vAlign w:val="center"/>
          </w:tcPr>
          <w:p>
            <w:pPr>
              <w:spacing w:line="240" w:lineRule="auto"/>
              <w:ind w:firstLine="0" w:firstLineChars="0"/>
              <w:jc w:val="center"/>
              <w:rPr>
                <w:color w:val="auto"/>
                <w:sz w:val="21"/>
                <w:szCs w:val="21"/>
              </w:rPr>
            </w:pPr>
            <w:r>
              <w:rPr>
                <w:color w:val="auto"/>
                <w:sz w:val="21"/>
                <w:szCs w:val="21"/>
              </w:rPr>
              <w:t>1.0t</w:t>
            </w:r>
          </w:p>
        </w:tc>
        <w:tc>
          <w:tcPr>
            <w:tcW w:w="0" w:type="auto"/>
            <w:vAlign w:val="center"/>
          </w:tcPr>
          <w:p>
            <w:pPr>
              <w:spacing w:line="240" w:lineRule="auto"/>
              <w:ind w:firstLine="0" w:firstLineChars="0"/>
              <w:jc w:val="center"/>
              <w:rPr>
                <w:color w:val="auto"/>
                <w:sz w:val="21"/>
                <w:szCs w:val="21"/>
              </w:rPr>
            </w:pPr>
            <w:r>
              <w:rPr>
                <w:color w:val="auto"/>
                <w:sz w:val="21"/>
                <w:szCs w:val="21"/>
              </w:rPr>
              <w:t>12个月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pPr>
              <w:spacing w:line="240" w:lineRule="auto"/>
              <w:ind w:firstLine="0" w:firstLineChars="0"/>
              <w:jc w:val="center"/>
              <w:rPr>
                <w:color w:val="auto"/>
                <w:sz w:val="21"/>
                <w:szCs w:val="21"/>
              </w:rPr>
            </w:pPr>
            <w:r>
              <w:rPr>
                <w:color w:val="auto"/>
                <w:sz w:val="21"/>
                <w:szCs w:val="21"/>
              </w:rPr>
              <w:t>2</w:t>
            </w:r>
          </w:p>
        </w:tc>
        <w:tc>
          <w:tcPr>
            <w:tcW w:w="989" w:type="dxa"/>
            <w:vMerge w:val="continue"/>
            <w:vAlign w:val="center"/>
          </w:tcPr>
          <w:p>
            <w:pPr>
              <w:spacing w:line="240" w:lineRule="auto"/>
              <w:ind w:firstLine="0" w:firstLineChars="0"/>
              <w:jc w:val="center"/>
              <w:rPr>
                <w:color w:val="auto"/>
                <w:sz w:val="21"/>
                <w:szCs w:val="21"/>
              </w:rPr>
            </w:pPr>
          </w:p>
        </w:tc>
        <w:tc>
          <w:tcPr>
            <w:tcW w:w="0" w:type="auto"/>
            <w:vAlign w:val="center"/>
          </w:tcPr>
          <w:p>
            <w:pPr>
              <w:spacing w:line="320" w:lineRule="exact"/>
              <w:ind w:firstLine="0" w:firstLineChars="0"/>
              <w:jc w:val="center"/>
              <w:rPr>
                <w:color w:val="auto"/>
                <w:kern w:val="0"/>
                <w:sz w:val="21"/>
                <w:szCs w:val="21"/>
              </w:rPr>
            </w:pPr>
            <w:r>
              <w:rPr>
                <w:color w:val="auto"/>
                <w:kern w:val="0"/>
                <w:sz w:val="21"/>
                <w:szCs w:val="21"/>
              </w:rPr>
              <w:t>化验室废试剂瓶</w:t>
            </w:r>
          </w:p>
        </w:tc>
        <w:tc>
          <w:tcPr>
            <w:tcW w:w="0" w:type="auto"/>
            <w:vAlign w:val="center"/>
          </w:tcPr>
          <w:p>
            <w:pPr>
              <w:spacing w:line="320" w:lineRule="exact"/>
              <w:ind w:firstLine="0" w:firstLineChars="0"/>
              <w:jc w:val="center"/>
              <w:rPr>
                <w:color w:val="auto"/>
                <w:kern w:val="0"/>
                <w:sz w:val="21"/>
                <w:szCs w:val="21"/>
              </w:rPr>
            </w:pPr>
            <w:r>
              <w:rPr>
                <w:color w:val="auto"/>
                <w:kern w:val="0"/>
                <w:sz w:val="21"/>
                <w:szCs w:val="21"/>
              </w:rPr>
              <w:t>HW49</w:t>
            </w:r>
          </w:p>
        </w:tc>
        <w:tc>
          <w:tcPr>
            <w:tcW w:w="1196" w:type="dxa"/>
            <w:vAlign w:val="center"/>
          </w:tcPr>
          <w:p>
            <w:pPr>
              <w:spacing w:line="320" w:lineRule="exact"/>
              <w:ind w:firstLine="0" w:firstLineChars="0"/>
              <w:jc w:val="center"/>
              <w:rPr>
                <w:color w:val="auto"/>
                <w:kern w:val="0"/>
                <w:sz w:val="21"/>
                <w:szCs w:val="21"/>
              </w:rPr>
            </w:pPr>
            <w:r>
              <w:rPr>
                <w:color w:val="auto"/>
                <w:kern w:val="0"/>
                <w:sz w:val="21"/>
                <w:szCs w:val="21"/>
              </w:rPr>
              <w:t>900-047-49</w:t>
            </w:r>
          </w:p>
        </w:tc>
        <w:tc>
          <w:tcPr>
            <w:tcW w:w="1318" w:type="dxa"/>
            <w:vMerge w:val="continue"/>
            <w:vAlign w:val="center"/>
          </w:tcPr>
          <w:p>
            <w:pPr>
              <w:spacing w:line="240" w:lineRule="auto"/>
              <w:ind w:firstLine="0" w:firstLineChars="0"/>
              <w:jc w:val="center"/>
              <w:rPr>
                <w:color w:val="auto"/>
                <w:sz w:val="21"/>
                <w:szCs w:val="21"/>
              </w:rPr>
            </w:pPr>
          </w:p>
        </w:tc>
        <w:tc>
          <w:tcPr>
            <w:tcW w:w="873" w:type="dxa"/>
            <w:vMerge w:val="continue"/>
            <w:vAlign w:val="center"/>
          </w:tcPr>
          <w:p>
            <w:pPr>
              <w:spacing w:line="240" w:lineRule="auto"/>
              <w:ind w:firstLine="0" w:firstLineChars="0"/>
              <w:jc w:val="center"/>
              <w:rPr>
                <w:bCs/>
                <w:color w:val="auto"/>
                <w:sz w:val="21"/>
                <w:szCs w:val="21"/>
              </w:rPr>
            </w:pPr>
          </w:p>
        </w:tc>
        <w:tc>
          <w:tcPr>
            <w:tcW w:w="0" w:type="auto"/>
            <w:vAlign w:val="center"/>
          </w:tcPr>
          <w:p>
            <w:pPr>
              <w:spacing w:line="240" w:lineRule="auto"/>
              <w:ind w:firstLine="0" w:firstLineChars="0"/>
              <w:jc w:val="center"/>
              <w:rPr>
                <w:color w:val="auto"/>
                <w:sz w:val="21"/>
                <w:szCs w:val="21"/>
              </w:rPr>
            </w:pPr>
            <w:r>
              <w:rPr>
                <w:color w:val="auto"/>
                <w:sz w:val="21"/>
                <w:szCs w:val="21"/>
              </w:rPr>
              <w:t>袋装</w:t>
            </w:r>
          </w:p>
        </w:tc>
        <w:tc>
          <w:tcPr>
            <w:tcW w:w="0" w:type="auto"/>
            <w:vAlign w:val="center"/>
          </w:tcPr>
          <w:p>
            <w:pPr>
              <w:spacing w:line="240" w:lineRule="auto"/>
              <w:ind w:firstLine="0" w:firstLineChars="0"/>
              <w:jc w:val="center"/>
              <w:rPr>
                <w:color w:val="auto"/>
                <w:sz w:val="21"/>
                <w:szCs w:val="21"/>
              </w:rPr>
            </w:pPr>
            <w:r>
              <w:rPr>
                <w:color w:val="auto"/>
                <w:sz w:val="21"/>
                <w:szCs w:val="21"/>
              </w:rPr>
              <w:t>1</w:t>
            </w:r>
            <w:r>
              <w:rPr>
                <w:rFonts w:hint="eastAsia"/>
                <w:color w:val="auto"/>
                <w:sz w:val="21"/>
                <w:szCs w:val="21"/>
                <w:lang w:eastAsia="zh-CN"/>
              </w:rPr>
              <w:t>.</w:t>
            </w:r>
            <w:r>
              <w:rPr>
                <w:rFonts w:hint="eastAsia"/>
                <w:color w:val="auto"/>
                <w:sz w:val="21"/>
                <w:szCs w:val="21"/>
                <w:lang w:val="en-US" w:eastAsia="zh-CN"/>
              </w:rPr>
              <w:t>0</w:t>
            </w:r>
            <w:r>
              <w:rPr>
                <w:color w:val="auto"/>
                <w:sz w:val="21"/>
                <w:szCs w:val="21"/>
              </w:rPr>
              <w:t>t</w:t>
            </w:r>
          </w:p>
        </w:tc>
        <w:tc>
          <w:tcPr>
            <w:tcW w:w="0" w:type="auto"/>
            <w:vAlign w:val="center"/>
          </w:tcPr>
          <w:p>
            <w:pPr>
              <w:spacing w:line="240" w:lineRule="auto"/>
              <w:ind w:firstLine="0" w:firstLineChars="0"/>
              <w:jc w:val="center"/>
              <w:rPr>
                <w:color w:val="auto"/>
                <w:sz w:val="21"/>
                <w:szCs w:val="21"/>
              </w:rPr>
            </w:pPr>
            <w:r>
              <w:rPr>
                <w:color w:val="auto"/>
                <w:sz w:val="21"/>
                <w:szCs w:val="21"/>
              </w:rPr>
              <w:t>12个月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pPr>
              <w:spacing w:line="240" w:lineRule="auto"/>
              <w:ind w:firstLine="0" w:firstLineChars="0"/>
              <w:jc w:val="center"/>
              <w:rPr>
                <w:color w:val="auto"/>
                <w:sz w:val="21"/>
                <w:szCs w:val="21"/>
              </w:rPr>
            </w:pPr>
            <w:r>
              <w:rPr>
                <w:color w:val="auto"/>
                <w:sz w:val="21"/>
                <w:szCs w:val="21"/>
              </w:rPr>
              <w:t>3</w:t>
            </w:r>
          </w:p>
        </w:tc>
        <w:tc>
          <w:tcPr>
            <w:tcW w:w="989" w:type="dxa"/>
            <w:vMerge w:val="continue"/>
            <w:vAlign w:val="center"/>
          </w:tcPr>
          <w:p>
            <w:pPr>
              <w:spacing w:line="240" w:lineRule="auto"/>
              <w:ind w:firstLine="0" w:firstLineChars="0"/>
              <w:jc w:val="center"/>
              <w:rPr>
                <w:color w:val="auto"/>
                <w:sz w:val="21"/>
                <w:szCs w:val="21"/>
              </w:rPr>
            </w:pPr>
          </w:p>
        </w:tc>
        <w:tc>
          <w:tcPr>
            <w:tcW w:w="0" w:type="auto"/>
            <w:vAlign w:val="center"/>
          </w:tcPr>
          <w:p>
            <w:pPr>
              <w:spacing w:line="320" w:lineRule="exact"/>
              <w:ind w:firstLine="0" w:firstLineChars="0"/>
              <w:jc w:val="center"/>
              <w:rPr>
                <w:color w:val="auto"/>
                <w:kern w:val="0"/>
                <w:sz w:val="21"/>
                <w:szCs w:val="21"/>
              </w:rPr>
            </w:pPr>
            <w:r>
              <w:rPr>
                <w:color w:val="auto"/>
                <w:kern w:val="0"/>
                <w:sz w:val="21"/>
                <w:szCs w:val="21"/>
              </w:rPr>
              <w:t>化验室废液</w:t>
            </w:r>
          </w:p>
        </w:tc>
        <w:tc>
          <w:tcPr>
            <w:tcW w:w="0" w:type="auto"/>
            <w:vAlign w:val="center"/>
          </w:tcPr>
          <w:p>
            <w:pPr>
              <w:spacing w:line="320" w:lineRule="exact"/>
              <w:ind w:firstLine="0" w:firstLineChars="0"/>
              <w:jc w:val="center"/>
              <w:rPr>
                <w:color w:val="auto"/>
                <w:kern w:val="0"/>
                <w:sz w:val="21"/>
                <w:szCs w:val="21"/>
              </w:rPr>
            </w:pPr>
            <w:r>
              <w:rPr>
                <w:color w:val="auto"/>
                <w:kern w:val="0"/>
                <w:sz w:val="21"/>
                <w:szCs w:val="21"/>
              </w:rPr>
              <w:t>HW49</w:t>
            </w:r>
          </w:p>
        </w:tc>
        <w:tc>
          <w:tcPr>
            <w:tcW w:w="1196" w:type="dxa"/>
            <w:vAlign w:val="center"/>
          </w:tcPr>
          <w:p>
            <w:pPr>
              <w:spacing w:line="320" w:lineRule="exact"/>
              <w:ind w:firstLine="0" w:firstLineChars="0"/>
              <w:jc w:val="center"/>
              <w:rPr>
                <w:color w:val="auto"/>
                <w:kern w:val="0"/>
                <w:sz w:val="21"/>
                <w:szCs w:val="21"/>
              </w:rPr>
            </w:pPr>
            <w:r>
              <w:rPr>
                <w:color w:val="auto"/>
                <w:kern w:val="0"/>
                <w:sz w:val="21"/>
                <w:szCs w:val="21"/>
              </w:rPr>
              <w:t>900-047-49</w:t>
            </w:r>
          </w:p>
        </w:tc>
        <w:tc>
          <w:tcPr>
            <w:tcW w:w="1318" w:type="dxa"/>
            <w:vMerge w:val="continue"/>
            <w:vAlign w:val="center"/>
          </w:tcPr>
          <w:p>
            <w:pPr>
              <w:spacing w:line="240" w:lineRule="auto"/>
              <w:ind w:firstLine="0" w:firstLineChars="0"/>
              <w:jc w:val="center"/>
              <w:rPr>
                <w:color w:val="auto"/>
                <w:sz w:val="21"/>
                <w:szCs w:val="21"/>
              </w:rPr>
            </w:pPr>
          </w:p>
        </w:tc>
        <w:tc>
          <w:tcPr>
            <w:tcW w:w="873" w:type="dxa"/>
            <w:vMerge w:val="continue"/>
            <w:vAlign w:val="center"/>
          </w:tcPr>
          <w:p>
            <w:pPr>
              <w:spacing w:line="240" w:lineRule="auto"/>
              <w:ind w:firstLine="0" w:firstLineChars="0"/>
              <w:jc w:val="center"/>
              <w:rPr>
                <w:color w:val="auto"/>
                <w:sz w:val="21"/>
                <w:szCs w:val="21"/>
              </w:rPr>
            </w:pPr>
          </w:p>
        </w:tc>
        <w:tc>
          <w:tcPr>
            <w:tcW w:w="0" w:type="auto"/>
            <w:vAlign w:val="center"/>
          </w:tcPr>
          <w:p>
            <w:pPr>
              <w:spacing w:line="240" w:lineRule="auto"/>
              <w:ind w:firstLine="0" w:firstLineChars="0"/>
              <w:jc w:val="center"/>
              <w:rPr>
                <w:color w:val="auto"/>
                <w:sz w:val="21"/>
                <w:szCs w:val="21"/>
              </w:rPr>
            </w:pPr>
            <w:r>
              <w:rPr>
                <w:color w:val="auto"/>
                <w:sz w:val="21"/>
                <w:szCs w:val="21"/>
              </w:rPr>
              <w:t>桶装</w:t>
            </w:r>
          </w:p>
        </w:tc>
        <w:tc>
          <w:tcPr>
            <w:tcW w:w="0" w:type="auto"/>
            <w:vAlign w:val="center"/>
          </w:tcPr>
          <w:p>
            <w:pPr>
              <w:spacing w:line="240" w:lineRule="auto"/>
              <w:ind w:firstLine="0" w:firstLineChars="0"/>
              <w:jc w:val="center"/>
              <w:rPr>
                <w:color w:val="auto"/>
                <w:sz w:val="21"/>
                <w:szCs w:val="21"/>
              </w:rPr>
            </w:pPr>
            <w:r>
              <w:rPr>
                <w:rFonts w:hint="eastAsia"/>
                <w:color w:val="auto"/>
                <w:sz w:val="21"/>
                <w:szCs w:val="21"/>
              </w:rPr>
              <w:t>1</w:t>
            </w:r>
            <w:r>
              <w:rPr>
                <w:rFonts w:hint="eastAsia"/>
                <w:color w:val="auto"/>
                <w:sz w:val="21"/>
                <w:szCs w:val="21"/>
                <w:lang w:val="en-US" w:eastAsia="zh-CN"/>
              </w:rPr>
              <w:t>.0</w:t>
            </w:r>
            <w:r>
              <w:rPr>
                <w:color w:val="auto"/>
                <w:sz w:val="21"/>
                <w:szCs w:val="21"/>
              </w:rPr>
              <w:t>t</w:t>
            </w:r>
          </w:p>
        </w:tc>
        <w:tc>
          <w:tcPr>
            <w:tcW w:w="0" w:type="auto"/>
            <w:vAlign w:val="center"/>
          </w:tcPr>
          <w:p>
            <w:pPr>
              <w:spacing w:line="240" w:lineRule="auto"/>
              <w:ind w:firstLine="0" w:firstLineChars="0"/>
              <w:jc w:val="center"/>
              <w:rPr>
                <w:color w:val="auto"/>
                <w:sz w:val="21"/>
                <w:szCs w:val="21"/>
              </w:rPr>
            </w:pPr>
            <w:r>
              <w:rPr>
                <w:color w:val="auto"/>
                <w:sz w:val="21"/>
                <w:szCs w:val="21"/>
              </w:rPr>
              <w:t>12个月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pPr>
              <w:spacing w:line="240" w:lineRule="auto"/>
              <w:ind w:firstLine="0" w:firstLineChars="0"/>
              <w:jc w:val="center"/>
              <w:rPr>
                <w:color w:val="auto"/>
                <w:sz w:val="21"/>
                <w:szCs w:val="21"/>
              </w:rPr>
            </w:pPr>
            <w:r>
              <w:rPr>
                <w:color w:val="auto"/>
                <w:sz w:val="21"/>
                <w:szCs w:val="21"/>
              </w:rPr>
              <w:t>4</w:t>
            </w:r>
          </w:p>
        </w:tc>
        <w:tc>
          <w:tcPr>
            <w:tcW w:w="989" w:type="dxa"/>
            <w:vMerge w:val="continue"/>
            <w:vAlign w:val="center"/>
          </w:tcPr>
          <w:p>
            <w:pPr>
              <w:spacing w:line="240" w:lineRule="auto"/>
              <w:ind w:firstLine="0" w:firstLineChars="0"/>
              <w:jc w:val="center"/>
              <w:rPr>
                <w:color w:val="auto"/>
                <w:sz w:val="21"/>
                <w:szCs w:val="21"/>
              </w:rPr>
            </w:pPr>
          </w:p>
        </w:tc>
        <w:tc>
          <w:tcPr>
            <w:tcW w:w="0" w:type="auto"/>
            <w:vAlign w:val="center"/>
          </w:tcPr>
          <w:p>
            <w:pPr>
              <w:spacing w:line="320" w:lineRule="exact"/>
              <w:ind w:firstLine="0" w:firstLineChars="0"/>
              <w:jc w:val="center"/>
              <w:rPr>
                <w:color w:val="auto"/>
                <w:kern w:val="0"/>
                <w:sz w:val="21"/>
                <w:szCs w:val="21"/>
              </w:rPr>
            </w:pPr>
            <w:r>
              <w:rPr>
                <w:color w:val="auto"/>
                <w:kern w:val="0"/>
                <w:sz w:val="21"/>
                <w:szCs w:val="21"/>
              </w:rPr>
              <w:t>废活性炭</w:t>
            </w:r>
          </w:p>
        </w:tc>
        <w:tc>
          <w:tcPr>
            <w:tcW w:w="0" w:type="auto"/>
            <w:vAlign w:val="center"/>
          </w:tcPr>
          <w:p>
            <w:pPr>
              <w:spacing w:line="320" w:lineRule="exact"/>
              <w:ind w:firstLine="0" w:firstLineChars="0"/>
              <w:jc w:val="center"/>
              <w:rPr>
                <w:color w:val="auto"/>
                <w:kern w:val="0"/>
                <w:sz w:val="21"/>
                <w:szCs w:val="21"/>
              </w:rPr>
            </w:pPr>
            <w:r>
              <w:rPr>
                <w:color w:val="auto"/>
                <w:kern w:val="0"/>
                <w:sz w:val="21"/>
                <w:szCs w:val="21"/>
              </w:rPr>
              <w:t>HW49</w:t>
            </w:r>
          </w:p>
        </w:tc>
        <w:tc>
          <w:tcPr>
            <w:tcW w:w="1196" w:type="dxa"/>
            <w:vAlign w:val="center"/>
          </w:tcPr>
          <w:p>
            <w:pPr>
              <w:spacing w:line="320" w:lineRule="exact"/>
              <w:ind w:firstLine="0" w:firstLineChars="0"/>
              <w:jc w:val="center"/>
              <w:rPr>
                <w:color w:val="auto"/>
                <w:kern w:val="0"/>
                <w:sz w:val="21"/>
                <w:szCs w:val="21"/>
              </w:rPr>
            </w:pPr>
            <w:r>
              <w:rPr>
                <w:color w:val="auto"/>
                <w:kern w:val="0"/>
                <w:sz w:val="21"/>
                <w:szCs w:val="21"/>
              </w:rPr>
              <w:t>900-039-49</w:t>
            </w:r>
          </w:p>
        </w:tc>
        <w:tc>
          <w:tcPr>
            <w:tcW w:w="1318" w:type="dxa"/>
            <w:vMerge w:val="continue"/>
            <w:vAlign w:val="center"/>
          </w:tcPr>
          <w:p>
            <w:pPr>
              <w:spacing w:line="240" w:lineRule="auto"/>
              <w:ind w:firstLine="0" w:firstLineChars="0"/>
              <w:jc w:val="center"/>
              <w:rPr>
                <w:color w:val="auto"/>
                <w:sz w:val="21"/>
                <w:szCs w:val="21"/>
              </w:rPr>
            </w:pPr>
          </w:p>
        </w:tc>
        <w:tc>
          <w:tcPr>
            <w:tcW w:w="873" w:type="dxa"/>
            <w:vMerge w:val="continue"/>
            <w:vAlign w:val="center"/>
          </w:tcPr>
          <w:p>
            <w:pPr>
              <w:spacing w:line="240" w:lineRule="auto"/>
              <w:ind w:firstLine="0" w:firstLineChars="0"/>
              <w:jc w:val="center"/>
              <w:rPr>
                <w:color w:val="auto"/>
                <w:sz w:val="21"/>
                <w:szCs w:val="21"/>
              </w:rPr>
            </w:pPr>
          </w:p>
        </w:tc>
        <w:tc>
          <w:tcPr>
            <w:tcW w:w="0" w:type="auto"/>
            <w:vAlign w:val="center"/>
          </w:tcPr>
          <w:p>
            <w:pPr>
              <w:spacing w:line="240" w:lineRule="auto"/>
              <w:ind w:firstLine="0" w:firstLineChars="0"/>
              <w:jc w:val="center"/>
              <w:rPr>
                <w:color w:val="auto"/>
                <w:sz w:val="21"/>
                <w:szCs w:val="21"/>
              </w:rPr>
            </w:pPr>
            <w:r>
              <w:rPr>
                <w:color w:val="auto"/>
                <w:sz w:val="21"/>
                <w:szCs w:val="21"/>
              </w:rPr>
              <w:t>袋装</w:t>
            </w:r>
          </w:p>
        </w:tc>
        <w:tc>
          <w:tcPr>
            <w:tcW w:w="0" w:type="auto"/>
            <w:vAlign w:val="center"/>
          </w:tcPr>
          <w:p>
            <w:pPr>
              <w:spacing w:line="240" w:lineRule="auto"/>
              <w:ind w:firstLine="0" w:firstLineChars="0"/>
              <w:jc w:val="center"/>
              <w:rPr>
                <w:color w:val="auto"/>
                <w:sz w:val="21"/>
                <w:szCs w:val="21"/>
              </w:rPr>
            </w:pPr>
            <w:r>
              <w:rPr>
                <w:rFonts w:hint="eastAsia"/>
                <w:color w:val="auto"/>
                <w:sz w:val="21"/>
                <w:szCs w:val="21"/>
              </w:rPr>
              <w:t>10</w:t>
            </w:r>
            <w:r>
              <w:rPr>
                <w:color w:val="auto"/>
                <w:sz w:val="21"/>
                <w:szCs w:val="21"/>
              </w:rPr>
              <w:t>t</w:t>
            </w:r>
          </w:p>
        </w:tc>
        <w:tc>
          <w:tcPr>
            <w:tcW w:w="0" w:type="auto"/>
            <w:vAlign w:val="center"/>
          </w:tcPr>
          <w:p>
            <w:pPr>
              <w:spacing w:line="240" w:lineRule="auto"/>
              <w:ind w:firstLine="0" w:firstLineChars="0"/>
              <w:jc w:val="center"/>
              <w:rPr>
                <w:color w:val="auto"/>
                <w:sz w:val="21"/>
                <w:szCs w:val="21"/>
              </w:rPr>
            </w:pPr>
            <w:r>
              <w:rPr>
                <w:rFonts w:hint="eastAsia"/>
                <w:color w:val="auto"/>
                <w:sz w:val="21"/>
                <w:szCs w:val="21"/>
              </w:rPr>
              <w:t>6</w:t>
            </w:r>
            <w:r>
              <w:rPr>
                <w:color w:val="auto"/>
                <w:sz w:val="21"/>
                <w:szCs w:val="21"/>
              </w:rPr>
              <w:t>个月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5</w:t>
            </w:r>
          </w:p>
        </w:tc>
        <w:tc>
          <w:tcPr>
            <w:tcW w:w="989" w:type="dxa"/>
            <w:vMerge w:val="continue"/>
            <w:vAlign w:val="center"/>
          </w:tcPr>
          <w:p>
            <w:pPr>
              <w:spacing w:line="240" w:lineRule="auto"/>
              <w:ind w:firstLine="0" w:firstLineChars="0"/>
              <w:jc w:val="center"/>
              <w:rPr>
                <w:color w:val="auto"/>
                <w:sz w:val="21"/>
                <w:szCs w:val="21"/>
              </w:rPr>
            </w:pPr>
          </w:p>
        </w:tc>
        <w:tc>
          <w:tcPr>
            <w:tcW w:w="0" w:type="auto"/>
            <w:vAlign w:val="center"/>
          </w:tcPr>
          <w:p>
            <w:pPr>
              <w:spacing w:line="320" w:lineRule="exact"/>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高沸物</w:t>
            </w:r>
          </w:p>
        </w:tc>
        <w:tc>
          <w:tcPr>
            <w:tcW w:w="927" w:type="dxa"/>
            <w:vAlign w:val="center"/>
          </w:tcPr>
          <w:p>
            <w:pPr>
              <w:spacing w:line="312" w:lineRule="exact"/>
              <w:ind w:firstLine="0" w:firstLineChars="0"/>
              <w:jc w:val="center"/>
              <w:rPr>
                <w:color w:val="auto"/>
                <w:kern w:val="0"/>
                <w:sz w:val="21"/>
                <w:szCs w:val="21"/>
              </w:rPr>
            </w:pPr>
            <w:r>
              <w:rPr>
                <w:rFonts w:hint="eastAsia"/>
                <w:color w:val="auto"/>
                <w:kern w:val="0"/>
                <w:sz w:val="21"/>
                <w:szCs w:val="21"/>
                <w:lang w:val="en-US" w:eastAsia="zh-CN"/>
              </w:rPr>
              <w:t>HW50</w:t>
            </w:r>
          </w:p>
        </w:tc>
        <w:tc>
          <w:tcPr>
            <w:tcW w:w="1196" w:type="dxa"/>
            <w:vAlign w:val="center"/>
          </w:tcPr>
          <w:p>
            <w:pPr>
              <w:spacing w:line="312" w:lineRule="exact"/>
              <w:ind w:firstLine="0" w:firstLineChars="0"/>
              <w:jc w:val="center"/>
              <w:rPr>
                <w:color w:val="auto"/>
                <w:kern w:val="0"/>
                <w:sz w:val="21"/>
                <w:szCs w:val="21"/>
              </w:rPr>
            </w:pPr>
            <w:r>
              <w:rPr>
                <w:rFonts w:hint="eastAsia"/>
                <w:color w:val="auto"/>
                <w:kern w:val="0"/>
                <w:sz w:val="21"/>
                <w:szCs w:val="21"/>
                <w:lang w:val="en-US" w:eastAsia="zh-CN"/>
              </w:rPr>
              <w:t>900-048-50</w:t>
            </w:r>
          </w:p>
        </w:tc>
        <w:tc>
          <w:tcPr>
            <w:tcW w:w="1318" w:type="dxa"/>
            <w:vMerge w:val="continue"/>
            <w:vAlign w:val="center"/>
          </w:tcPr>
          <w:p>
            <w:pPr>
              <w:spacing w:line="240" w:lineRule="auto"/>
              <w:ind w:firstLine="0" w:firstLineChars="0"/>
              <w:jc w:val="center"/>
              <w:rPr>
                <w:color w:val="auto"/>
                <w:sz w:val="21"/>
                <w:szCs w:val="21"/>
              </w:rPr>
            </w:pPr>
          </w:p>
        </w:tc>
        <w:tc>
          <w:tcPr>
            <w:tcW w:w="873" w:type="dxa"/>
            <w:vMerge w:val="continue"/>
            <w:vAlign w:val="center"/>
          </w:tcPr>
          <w:p>
            <w:pPr>
              <w:spacing w:line="240" w:lineRule="auto"/>
              <w:ind w:firstLine="0" w:firstLineChars="0"/>
              <w:jc w:val="center"/>
              <w:rPr>
                <w:color w:val="auto"/>
                <w:sz w:val="21"/>
                <w:szCs w:val="21"/>
              </w:rPr>
            </w:pPr>
          </w:p>
        </w:tc>
        <w:tc>
          <w:tcPr>
            <w:tcW w:w="0" w:type="auto"/>
            <w:vAlign w:val="center"/>
          </w:tcPr>
          <w:p>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桶装</w:t>
            </w:r>
          </w:p>
        </w:tc>
        <w:tc>
          <w:tcPr>
            <w:tcW w:w="0" w:type="auto"/>
            <w:vAlign w:val="center"/>
          </w:tcPr>
          <w:p>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w:t>
            </w:r>
            <w:r>
              <w:rPr>
                <w:color w:val="auto"/>
                <w:sz w:val="21"/>
                <w:szCs w:val="21"/>
              </w:rPr>
              <w:t>t</w:t>
            </w:r>
          </w:p>
        </w:tc>
        <w:tc>
          <w:tcPr>
            <w:tcW w:w="0" w:type="auto"/>
            <w:vAlign w:val="center"/>
          </w:tcPr>
          <w:p>
            <w:pPr>
              <w:spacing w:line="240" w:lineRule="auto"/>
              <w:ind w:firstLine="0" w:firstLineChars="0"/>
              <w:jc w:val="center"/>
              <w:rPr>
                <w:rFonts w:hint="eastAsia"/>
                <w:color w:val="auto"/>
                <w:sz w:val="21"/>
                <w:szCs w:val="21"/>
              </w:rPr>
            </w:pPr>
            <w:r>
              <w:rPr>
                <w:rFonts w:hint="eastAsia"/>
                <w:color w:val="auto"/>
                <w:sz w:val="21"/>
                <w:szCs w:val="21"/>
              </w:rPr>
              <w:t>6</w:t>
            </w:r>
            <w:r>
              <w:rPr>
                <w:color w:val="auto"/>
                <w:sz w:val="21"/>
                <w:szCs w:val="21"/>
              </w:rPr>
              <w:t>个月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6</w:t>
            </w:r>
          </w:p>
        </w:tc>
        <w:tc>
          <w:tcPr>
            <w:tcW w:w="989" w:type="dxa"/>
            <w:vMerge w:val="continue"/>
            <w:vAlign w:val="center"/>
          </w:tcPr>
          <w:p>
            <w:pPr>
              <w:spacing w:line="240" w:lineRule="auto"/>
              <w:ind w:firstLine="0" w:firstLineChars="0"/>
              <w:jc w:val="center"/>
              <w:rPr>
                <w:color w:val="auto"/>
                <w:sz w:val="21"/>
                <w:szCs w:val="21"/>
              </w:rPr>
            </w:pPr>
          </w:p>
        </w:tc>
        <w:tc>
          <w:tcPr>
            <w:tcW w:w="0" w:type="auto"/>
            <w:vAlign w:val="center"/>
          </w:tcPr>
          <w:p>
            <w:pPr>
              <w:spacing w:line="320" w:lineRule="exact"/>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罐底残渣</w:t>
            </w:r>
          </w:p>
        </w:tc>
        <w:tc>
          <w:tcPr>
            <w:tcW w:w="927" w:type="dxa"/>
            <w:vAlign w:val="center"/>
          </w:tcPr>
          <w:p>
            <w:pPr>
              <w:spacing w:line="312" w:lineRule="exact"/>
              <w:ind w:firstLine="0" w:firstLineChars="0"/>
              <w:jc w:val="center"/>
              <w:rPr>
                <w:rFonts w:hint="eastAsia"/>
                <w:color w:val="auto"/>
                <w:kern w:val="0"/>
                <w:sz w:val="21"/>
                <w:szCs w:val="21"/>
                <w:lang w:val="en-US" w:eastAsia="zh-CN"/>
              </w:rPr>
            </w:pPr>
            <w:r>
              <w:rPr>
                <w:rFonts w:hint="eastAsia"/>
                <w:color w:val="auto"/>
                <w:kern w:val="0"/>
                <w:sz w:val="21"/>
                <w:szCs w:val="21"/>
                <w:lang w:val="en-US" w:eastAsia="zh-CN"/>
              </w:rPr>
              <w:t>HW50</w:t>
            </w:r>
          </w:p>
        </w:tc>
        <w:tc>
          <w:tcPr>
            <w:tcW w:w="1196" w:type="dxa"/>
            <w:vAlign w:val="center"/>
          </w:tcPr>
          <w:p>
            <w:pPr>
              <w:spacing w:line="312" w:lineRule="exact"/>
              <w:ind w:firstLine="0" w:firstLineChars="0"/>
              <w:jc w:val="center"/>
              <w:rPr>
                <w:rFonts w:hint="eastAsia"/>
                <w:color w:val="auto"/>
                <w:kern w:val="0"/>
                <w:sz w:val="21"/>
                <w:szCs w:val="21"/>
                <w:lang w:val="en-US" w:eastAsia="zh-CN"/>
              </w:rPr>
            </w:pPr>
            <w:r>
              <w:rPr>
                <w:rFonts w:hint="eastAsia"/>
                <w:color w:val="auto"/>
                <w:kern w:val="0"/>
                <w:sz w:val="21"/>
                <w:szCs w:val="21"/>
                <w:lang w:val="en-US" w:eastAsia="zh-CN"/>
              </w:rPr>
              <w:t>900-048-50</w:t>
            </w:r>
          </w:p>
        </w:tc>
        <w:tc>
          <w:tcPr>
            <w:tcW w:w="1318" w:type="dxa"/>
            <w:vMerge w:val="continue"/>
            <w:vAlign w:val="center"/>
          </w:tcPr>
          <w:p>
            <w:pPr>
              <w:spacing w:line="240" w:lineRule="auto"/>
              <w:ind w:firstLine="0" w:firstLineChars="0"/>
              <w:jc w:val="center"/>
              <w:rPr>
                <w:color w:val="auto"/>
                <w:sz w:val="21"/>
                <w:szCs w:val="21"/>
              </w:rPr>
            </w:pPr>
          </w:p>
        </w:tc>
        <w:tc>
          <w:tcPr>
            <w:tcW w:w="873" w:type="dxa"/>
            <w:vMerge w:val="continue"/>
            <w:vAlign w:val="center"/>
          </w:tcPr>
          <w:p>
            <w:pPr>
              <w:spacing w:line="240" w:lineRule="auto"/>
              <w:ind w:firstLine="0" w:firstLineChars="0"/>
              <w:jc w:val="center"/>
              <w:rPr>
                <w:color w:val="auto"/>
                <w:sz w:val="21"/>
                <w:szCs w:val="21"/>
              </w:rPr>
            </w:pPr>
          </w:p>
        </w:tc>
        <w:tc>
          <w:tcPr>
            <w:tcW w:w="0" w:type="auto"/>
            <w:vAlign w:val="center"/>
          </w:tcPr>
          <w:p>
            <w:pPr>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桶装</w:t>
            </w:r>
          </w:p>
        </w:tc>
        <w:tc>
          <w:tcPr>
            <w:tcW w:w="816" w:type="dxa"/>
            <w:vAlign w:val="center"/>
          </w:tcPr>
          <w:p>
            <w:pPr>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w:t>
            </w:r>
            <w:r>
              <w:rPr>
                <w:color w:val="auto"/>
                <w:sz w:val="21"/>
                <w:szCs w:val="21"/>
              </w:rPr>
              <w:t>t</w:t>
            </w:r>
          </w:p>
        </w:tc>
        <w:tc>
          <w:tcPr>
            <w:tcW w:w="765" w:type="dxa"/>
            <w:vAlign w:val="center"/>
          </w:tcPr>
          <w:p>
            <w:pPr>
              <w:spacing w:line="240" w:lineRule="auto"/>
              <w:ind w:firstLine="0" w:firstLineChars="0"/>
              <w:jc w:val="center"/>
              <w:rPr>
                <w:rFonts w:hint="eastAsia"/>
                <w:color w:val="auto"/>
                <w:sz w:val="21"/>
                <w:szCs w:val="21"/>
              </w:rPr>
            </w:pPr>
            <w:r>
              <w:rPr>
                <w:rFonts w:hint="eastAsia"/>
                <w:color w:val="auto"/>
                <w:sz w:val="21"/>
                <w:szCs w:val="21"/>
              </w:rPr>
              <w:t>6</w:t>
            </w:r>
            <w:r>
              <w:rPr>
                <w:color w:val="auto"/>
                <w:sz w:val="21"/>
                <w:szCs w:val="21"/>
              </w:rPr>
              <w:t>个月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7</w:t>
            </w:r>
          </w:p>
        </w:tc>
        <w:tc>
          <w:tcPr>
            <w:tcW w:w="989" w:type="dxa"/>
            <w:vMerge w:val="continue"/>
            <w:vAlign w:val="center"/>
          </w:tcPr>
          <w:p>
            <w:pPr>
              <w:spacing w:line="240" w:lineRule="auto"/>
              <w:ind w:firstLine="0" w:firstLineChars="0"/>
              <w:jc w:val="center"/>
              <w:rPr>
                <w:color w:val="auto"/>
                <w:sz w:val="21"/>
                <w:szCs w:val="21"/>
              </w:rPr>
            </w:pPr>
          </w:p>
        </w:tc>
        <w:tc>
          <w:tcPr>
            <w:tcW w:w="0" w:type="auto"/>
            <w:vAlign w:val="center"/>
          </w:tcPr>
          <w:p>
            <w:pPr>
              <w:spacing w:line="320" w:lineRule="exact"/>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废导热油</w:t>
            </w:r>
          </w:p>
        </w:tc>
        <w:tc>
          <w:tcPr>
            <w:tcW w:w="927" w:type="dxa"/>
            <w:vAlign w:val="center"/>
          </w:tcPr>
          <w:p>
            <w:pPr>
              <w:spacing w:line="240" w:lineRule="auto"/>
              <w:ind w:firstLine="0" w:firstLineChars="0"/>
              <w:jc w:val="center"/>
              <w:rPr>
                <w:rFonts w:hint="eastAsia"/>
                <w:color w:val="auto"/>
                <w:kern w:val="0"/>
                <w:sz w:val="21"/>
                <w:szCs w:val="21"/>
                <w:lang w:val="en-US" w:eastAsia="zh-CN"/>
              </w:rPr>
            </w:pPr>
            <w:r>
              <w:rPr>
                <w:color w:val="auto"/>
                <w:sz w:val="21"/>
                <w:szCs w:val="21"/>
              </w:rPr>
              <w:t>HW08</w:t>
            </w:r>
          </w:p>
        </w:tc>
        <w:tc>
          <w:tcPr>
            <w:tcW w:w="1196" w:type="dxa"/>
            <w:vAlign w:val="center"/>
          </w:tcPr>
          <w:p>
            <w:pPr>
              <w:spacing w:line="240" w:lineRule="auto"/>
              <w:ind w:firstLine="0" w:firstLineChars="0"/>
              <w:jc w:val="center"/>
              <w:rPr>
                <w:rFonts w:hint="eastAsia"/>
                <w:color w:val="auto"/>
                <w:kern w:val="0"/>
                <w:sz w:val="21"/>
                <w:szCs w:val="21"/>
                <w:lang w:val="en-US" w:eastAsia="zh-CN"/>
              </w:rPr>
            </w:pPr>
            <w:r>
              <w:rPr>
                <w:color w:val="auto"/>
                <w:sz w:val="21"/>
                <w:szCs w:val="21"/>
              </w:rPr>
              <w:t>900-2</w:t>
            </w:r>
            <w:r>
              <w:rPr>
                <w:rFonts w:hint="eastAsia"/>
                <w:color w:val="auto"/>
                <w:sz w:val="21"/>
                <w:szCs w:val="21"/>
                <w:lang w:val="en-US" w:eastAsia="zh-CN"/>
              </w:rPr>
              <w:t>49</w:t>
            </w:r>
            <w:r>
              <w:rPr>
                <w:color w:val="auto"/>
                <w:sz w:val="21"/>
                <w:szCs w:val="21"/>
              </w:rPr>
              <w:t>-08</w:t>
            </w:r>
          </w:p>
        </w:tc>
        <w:tc>
          <w:tcPr>
            <w:tcW w:w="1318" w:type="dxa"/>
            <w:vMerge w:val="continue"/>
            <w:vAlign w:val="center"/>
          </w:tcPr>
          <w:p>
            <w:pPr>
              <w:spacing w:line="240" w:lineRule="auto"/>
              <w:ind w:firstLine="0" w:firstLineChars="0"/>
              <w:jc w:val="center"/>
              <w:rPr>
                <w:rFonts w:hint="eastAsia" w:eastAsia="宋体"/>
                <w:color w:val="auto"/>
                <w:sz w:val="21"/>
                <w:szCs w:val="21"/>
                <w:lang w:val="en-US" w:eastAsia="zh-CN"/>
              </w:rPr>
            </w:pPr>
          </w:p>
        </w:tc>
        <w:tc>
          <w:tcPr>
            <w:tcW w:w="873" w:type="dxa"/>
            <w:vMerge w:val="continue"/>
            <w:vAlign w:val="center"/>
          </w:tcPr>
          <w:p>
            <w:pPr>
              <w:spacing w:line="240" w:lineRule="auto"/>
              <w:ind w:firstLine="0" w:firstLineChars="0"/>
              <w:jc w:val="center"/>
              <w:rPr>
                <w:color w:val="auto"/>
                <w:sz w:val="21"/>
                <w:szCs w:val="21"/>
              </w:rPr>
            </w:pPr>
          </w:p>
        </w:tc>
        <w:tc>
          <w:tcPr>
            <w:tcW w:w="0" w:type="auto"/>
            <w:vAlign w:val="center"/>
          </w:tcPr>
          <w:p>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灌装</w:t>
            </w:r>
          </w:p>
        </w:tc>
        <w:tc>
          <w:tcPr>
            <w:tcW w:w="816" w:type="dxa"/>
            <w:vAlign w:val="center"/>
          </w:tcPr>
          <w:p>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20t</w:t>
            </w:r>
          </w:p>
        </w:tc>
        <w:tc>
          <w:tcPr>
            <w:tcW w:w="765" w:type="dxa"/>
            <w:vAlign w:val="center"/>
          </w:tcPr>
          <w:p>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6个月</w:t>
            </w:r>
          </w:p>
        </w:tc>
      </w:tr>
    </w:tbl>
    <w:p>
      <w:pPr>
        <w:ind w:firstLine="480"/>
        <w:rPr>
          <w:color w:val="auto"/>
        </w:rPr>
      </w:pPr>
      <w:r>
        <w:rPr>
          <w:color w:val="auto"/>
        </w:rPr>
        <w:t>危废暂存间建设须满足《危险废物收集、贮存、运输技术规范》（HJ2025-2012）以及《危险废物贮存污染控制标准》（GB18597-2001）的相关要求。危废暂存间建设和相关技术规范和控制标准见表</w:t>
      </w:r>
      <w:r>
        <w:rPr>
          <w:rFonts w:hint="eastAsia"/>
          <w:color w:val="auto"/>
        </w:rPr>
        <w:t>5.5-3</w:t>
      </w:r>
      <w:r>
        <w:rPr>
          <w:color w:val="auto"/>
        </w:rPr>
        <w:t>。</w:t>
      </w:r>
    </w:p>
    <w:p>
      <w:pPr>
        <w:pStyle w:val="57"/>
        <w:rPr>
          <w:color w:val="auto"/>
        </w:rPr>
      </w:pPr>
      <w:r>
        <w:rPr>
          <w:color w:val="auto"/>
        </w:rPr>
        <w:t>表</w:t>
      </w:r>
      <w:r>
        <w:rPr>
          <w:rFonts w:hint="eastAsia"/>
          <w:color w:val="auto"/>
        </w:rPr>
        <w:t>5.5-3</w:t>
      </w:r>
      <w:r>
        <w:rPr>
          <w:color w:val="auto"/>
        </w:rPr>
        <w:t xml:space="preserve"> </w:t>
      </w:r>
      <w:r>
        <w:rPr>
          <w:rFonts w:hint="eastAsia"/>
          <w:color w:val="auto"/>
        </w:rPr>
        <w:t xml:space="preserve"> </w:t>
      </w:r>
      <w:r>
        <w:rPr>
          <w:color w:val="auto"/>
          <w:lang w:val="zh-CN"/>
        </w:rPr>
        <w:t>危废暂存间建设和相关技术规范和控制标准</w:t>
      </w:r>
    </w:p>
    <w:tbl>
      <w:tblPr>
        <w:tblStyle w:val="23"/>
        <w:tblW w:w="909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1"/>
        <w:gridCol w:w="80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31" w:type="dxa"/>
            <w:tcBorders>
              <w:tl2br w:val="nil"/>
              <w:tr2bl w:val="nil"/>
            </w:tcBorders>
            <w:vAlign w:val="center"/>
          </w:tcPr>
          <w:p>
            <w:pPr>
              <w:pStyle w:val="45"/>
              <w:rPr>
                <w:color w:val="auto"/>
              </w:rPr>
            </w:pPr>
            <w:r>
              <w:rPr>
                <w:color w:val="auto"/>
              </w:rPr>
              <w:t>项目</w:t>
            </w:r>
          </w:p>
        </w:tc>
        <w:tc>
          <w:tcPr>
            <w:tcW w:w="8062" w:type="dxa"/>
            <w:tcBorders>
              <w:tl2br w:val="nil"/>
              <w:tr2bl w:val="nil"/>
            </w:tcBorders>
            <w:vAlign w:val="center"/>
          </w:tcPr>
          <w:p>
            <w:pPr>
              <w:pStyle w:val="45"/>
              <w:rPr>
                <w:color w:val="auto"/>
              </w:rPr>
            </w:pPr>
            <w:r>
              <w:rPr>
                <w:color w:val="auto"/>
              </w:rPr>
              <w:t>相关技术规范和控制标准要求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31" w:type="dxa"/>
            <w:vMerge w:val="restart"/>
            <w:tcBorders>
              <w:tl2br w:val="nil"/>
              <w:tr2bl w:val="nil"/>
            </w:tcBorders>
            <w:vAlign w:val="center"/>
          </w:tcPr>
          <w:p>
            <w:pPr>
              <w:pStyle w:val="45"/>
              <w:rPr>
                <w:color w:val="auto"/>
              </w:rPr>
            </w:pPr>
            <w:r>
              <w:rPr>
                <w:color w:val="auto"/>
              </w:rPr>
              <w:t>选址</w:t>
            </w:r>
          </w:p>
        </w:tc>
        <w:tc>
          <w:tcPr>
            <w:tcW w:w="8062" w:type="dxa"/>
            <w:tcBorders>
              <w:tl2br w:val="nil"/>
              <w:tr2bl w:val="nil"/>
            </w:tcBorders>
            <w:vAlign w:val="center"/>
          </w:tcPr>
          <w:p>
            <w:pPr>
              <w:pStyle w:val="45"/>
              <w:rPr>
                <w:color w:val="auto"/>
              </w:rPr>
            </w:pPr>
            <w:r>
              <w:rPr>
                <w:color w:val="auto"/>
              </w:rPr>
              <w:t>地质结构稳定，地震烈度不超过7度的区域内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31" w:type="dxa"/>
            <w:vMerge w:val="continue"/>
            <w:tcBorders>
              <w:tl2br w:val="nil"/>
              <w:tr2bl w:val="nil"/>
            </w:tcBorders>
            <w:vAlign w:val="center"/>
          </w:tcPr>
          <w:p>
            <w:pPr>
              <w:pStyle w:val="45"/>
              <w:rPr>
                <w:color w:val="auto"/>
              </w:rPr>
            </w:pPr>
          </w:p>
        </w:tc>
        <w:tc>
          <w:tcPr>
            <w:tcW w:w="8062" w:type="dxa"/>
            <w:tcBorders>
              <w:tl2br w:val="nil"/>
              <w:tr2bl w:val="nil"/>
            </w:tcBorders>
            <w:vAlign w:val="center"/>
          </w:tcPr>
          <w:p>
            <w:pPr>
              <w:pStyle w:val="45"/>
              <w:rPr>
                <w:color w:val="auto"/>
              </w:rPr>
            </w:pPr>
            <w:r>
              <w:rPr>
                <w:color w:val="auto"/>
              </w:rPr>
              <w:t>设施底部必须高于地下水最高水位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31" w:type="dxa"/>
            <w:vMerge w:val="continue"/>
            <w:tcBorders>
              <w:tl2br w:val="nil"/>
              <w:tr2bl w:val="nil"/>
            </w:tcBorders>
            <w:vAlign w:val="center"/>
          </w:tcPr>
          <w:p>
            <w:pPr>
              <w:pStyle w:val="45"/>
              <w:rPr>
                <w:color w:val="auto"/>
              </w:rPr>
            </w:pPr>
          </w:p>
        </w:tc>
        <w:tc>
          <w:tcPr>
            <w:tcW w:w="8062" w:type="dxa"/>
            <w:tcBorders>
              <w:tl2br w:val="nil"/>
              <w:tr2bl w:val="nil"/>
            </w:tcBorders>
            <w:vAlign w:val="center"/>
          </w:tcPr>
          <w:p>
            <w:pPr>
              <w:pStyle w:val="45"/>
              <w:rPr>
                <w:color w:val="auto"/>
              </w:rPr>
            </w:pPr>
            <w:r>
              <w:rPr>
                <w:color w:val="auto"/>
              </w:rPr>
              <w:t>应位于居民中心区常年最大风频的下风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31" w:type="dxa"/>
            <w:vMerge w:val="restart"/>
            <w:tcBorders>
              <w:tl2br w:val="nil"/>
              <w:tr2bl w:val="nil"/>
            </w:tcBorders>
            <w:vAlign w:val="center"/>
          </w:tcPr>
          <w:p>
            <w:pPr>
              <w:pStyle w:val="45"/>
              <w:rPr>
                <w:color w:val="auto"/>
              </w:rPr>
            </w:pPr>
            <w:r>
              <w:rPr>
                <w:color w:val="auto"/>
              </w:rPr>
              <w:t>设计原则</w:t>
            </w:r>
          </w:p>
        </w:tc>
        <w:tc>
          <w:tcPr>
            <w:tcW w:w="8062" w:type="dxa"/>
            <w:tcBorders>
              <w:tl2br w:val="nil"/>
              <w:tr2bl w:val="nil"/>
            </w:tcBorders>
            <w:vAlign w:val="center"/>
          </w:tcPr>
          <w:p>
            <w:pPr>
              <w:pStyle w:val="45"/>
              <w:rPr>
                <w:color w:val="auto"/>
              </w:rPr>
            </w:pPr>
            <w:r>
              <w:rPr>
                <w:color w:val="auto"/>
              </w:rPr>
              <w:t>地面与裙脚要用坚固、防渗的材料建造，建筑材料必须与危险废物相容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31" w:type="dxa"/>
            <w:vMerge w:val="continue"/>
            <w:tcBorders>
              <w:tl2br w:val="nil"/>
              <w:tr2bl w:val="nil"/>
            </w:tcBorders>
            <w:vAlign w:val="center"/>
          </w:tcPr>
          <w:p>
            <w:pPr>
              <w:pStyle w:val="45"/>
              <w:rPr>
                <w:color w:val="auto"/>
              </w:rPr>
            </w:pPr>
          </w:p>
        </w:tc>
        <w:tc>
          <w:tcPr>
            <w:tcW w:w="8062" w:type="dxa"/>
            <w:tcBorders>
              <w:tl2br w:val="nil"/>
              <w:tr2bl w:val="nil"/>
            </w:tcBorders>
            <w:vAlign w:val="center"/>
          </w:tcPr>
          <w:p>
            <w:pPr>
              <w:pStyle w:val="45"/>
              <w:rPr>
                <w:color w:val="auto"/>
              </w:rPr>
            </w:pPr>
            <w:r>
              <w:rPr>
                <w:color w:val="auto"/>
              </w:rPr>
              <w:t>设施内要有安全照明设施和观察窗口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31" w:type="dxa"/>
            <w:vMerge w:val="continue"/>
            <w:tcBorders>
              <w:tl2br w:val="nil"/>
              <w:tr2bl w:val="nil"/>
            </w:tcBorders>
            <w:vAlign w:val="center"/>
          </w:tcPr>
          <w:p>
            <w:pPr>
              <w:pStyle w:val="45"/>
              <w:rPr>
                <w:color w:val="auto"/>
              </w:rPr>
            </w:pPr>
          </w:p>
        </w:tc>
        <w:tc>
          <w:tcPr>
            <w:tcW w:w="8062" w:type="dxa"/>
            <w:tcBorders>
              <w:tl2br w:val="nil"/>
              <w:tr2bl w:val="nil"/>
            </w:tcBorders>
            <w:vAlign w:val="center"/>
          </w:tcPr>
          <w:p>
            <w:pPr>
              <w:pStyle w:val="45"/>
              <w:rPr>
                <w:color w:val="auto"/>
              </w:rPr>
            </w:pPr>
            <w:r>
              <w:rPr>
                <w:color w:val="auto"/>
              </w:rPr>
              <w:t>用以存放装载液体、半固体危险废物容器的地方，必须有耐腐蚀的硬化地面，且表面无裂隙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31" w:type="dxa"/>
            <w:vMerge w:val="continue"/>
            <w:tcBorders>
              <w:tl2br w:val="nil"/>
              <w:tr2bl w:val="nil"/>
            </w:tcBorders>
            <w:vAlign w:val="center"/>
          </w:tcPr>
          <w:p>
            <w:pPr>
              <w:pStyle w:val="45"/>
              <w:rPr>
                <w:color w:val="auto"/>
              </w:rPr>
            </w:pPr>
          </w:p>
        </w:tc>
        <w:tc>
          <w:tcPr>
            <w:tcW w:w="8062" w:type="dxa"/>
            <w:tcBorders>
              <w:tl2br w:val="nil"/>
              <w:tr2bl w:val="nil"/>
            </w:tcBorders>
            <w:vAlign w:val="center"/>
          </w:tcPr>
          <w:p>
            <w:pPr>
              <w:pStyle w:val="45"/>
              <w:rPr>
                <w:color w:val="auto"/>
              </w:rPr>
            </w:pPr>
            <w:r>
              <w:rPr>
                <w:color w:val="auto"/>
              </w:rPr>
              <w:t>应设计堵截泄漏的裙脚，地面与裙脚所围建的容积不低于堵截最大容器的最大储量或总储量的五分之一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31" w:type="dxa"/>
            <w:vMerge w:val="continue"/>
            <w:tcBorders>
              <w:tl2br w:val="nil"/>
              <w:tr2bl w:val="nil"/>
            </w:tcBorders>
            <w:vAlign w:val="center"/>
          </w:tcPr>
          <w:p>
            <w:pPr>
              <w:pStyle w:val="45"/>
              <w:rPr>
                <w:color w:val="auto"/>
              </w:rPr>
            </w:pPr>
          </w:p>
        </w:tc>
        <w:tc>
          <w:tcPr>
            <w:tcW w:w="8062" w:type="dxa"/>
            <w:tcBorders>
              <w:tl2br w:val="nil"/>
              <w:tr2bl w:val="nil"/>
            </w:tcBorders>
            <w:vAlign w:val="center"/>
          </w:tcPr>
          <w:p>
            <w:pPr>
              <w:pStyle w:val="45"/>
              <w:rPr>
                <w:color w:val="auto"/>
              </w:rPr>
            </w:pPr>
            <w:r>
              <w:rPr>
                <w:color w:val="auto"/>
              </w:rPr>
              <w:t>不相容的危险废物必须分开存放，并设有隔离间隔断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31" w:type="dxa"/>
            <w:vMerge w:val="continue"/>
            <w:tcBorders>
              <w:tl2br w:val="nil"/>
              <w:tr2bl w:val="nil"/>
            </w:tcBorders>
            <w:vAlign w:val="center"/>
          </w:tcPr>
          <w:p>
            <w:pPr>
              <w:pStyle w:val="45"/>
              <w:rPr>
                <w:color w:val="auto"/>
              </w:rPr>
            </w:pPr>
          </w:p>
        </w:tc>
        <w:tc>
          <w:tcPr>
            <w:tcW w:w="8062" w:type="dxa"/>
            <w:tcBorders>
              <w:tl2br w:val="nil"/>
              <w:tr2bl w:val="nil"/>
            </w:tcBorders>
            <w:vAlign w:val="center"/>
          </w:tcPr>
          <w:p>
            <w:pPr>
              <w:pStyle w:val="45"/>
              <w:rPr>
                <w:color w:val="auto"/>
              </w:rPr>
            </w:pPr>
            <w:r>
              <w:rPr>
                <w:color w:val="auto"/>
              </w:rPr>
              <w:t>基础必须防渗，防渗层为至少1米厚粘土层（渗透系数≤10</w:t>
            </w:r>
            <w:r>
              <w:rPr>
                <w:color w:val="auto"/>
                <w:vertAlign w:val="superscript"/>
              </w:rPr>
              <w:t>-7</w:t>
            </w:r>
            <w:r>
              <w:rPr>
                <w:color w:val="auto"/>
              </w:rPr>
              <w:t>厘米/秒），或2毫米厚高密度聚乙烯，或至少2毫米厚的其它人工材料，渗透系数≤10</w:t>
            </w:r>
            <w:r>
              <w:rPr>
                <w:color w:val="auto"/>
                <w:vertAlign w:val="superscript"/>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31" w:type="dxa"/>
            <w:vMerge w:val="restart"/>
            <w:tcBorders>
              <w:tl2br w:val="nil"/>
              <w:tr2bl w:val="nil"/>
            </w:tcBorders>
            <w:vAlign w:val="center"/>
          </w:tcPr>
          <w:p>
            <w:pPr>
              <w:pStyle w:val="45"/>
              <w:rPr>
                <w:color w:val="auto"/>
              </w:rPr>
            </w:pPr>
            <w:r>
              <w:rPr>
                <w:color w:val="auto"/>
              </w:rPr>
              <w:t>安全防护</w:t>
            </w:r>
          </w:p>
        </w:tc>
        <w:tc>
          <w:tcPr>
            <w:tcW w:w="8062" w:type="dxa"/>
            <w:tcBorders>
              <w:tl2br w:val="nil"/>
              <w:tr2bl w:val="nil"/>
            </w:tcBorders>
            <w:vAlign w:val="center"/>
          </w:tcPr>
          <w:p>
            <w:pPr>
              <w:pStyle w:val="45"/>
              <w:rPr>
                <w:color w:val="auto"/>
              </w:rPr>
            </w:pPr>
            <w:r>
              <w:rPr>
                <w:color w:val="auto"/>
              </w:rPr>
              <w:t>危险废物贮存设施都必须按GB15562.2的规定设置警示标志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31" w:type="dxa"/>
            <w:vMerge w:val="continue"/>
            <w:tcBorders>
              <w:tl2br w:val="nil"/>
              <w:tr2bl w:val="nil"/>
            </w:tcBorders>
            <w:vAlign w:val="center"/>
          </w:tcPr>
          <w:p>
            <w:pPr>
              <w:pStyle w:val="45"/>
              <w:rPr>
                <w:color w:val="auto"/>
              </w:rPr>
            </w:pPr>
          </w:p>
        </w:tc>
        <w:tc>
          <w:tcPr>
            <w:tcW w:w="8062" w:type="dxa"/>
            <w:tcBorders>
              <w:tl2br w:val="nil"/>
              <w:tr2bl w:val="nil"/>
            </w:tcBorders>
            <w:vAlign w:val="center"/>
          </w:tcPr>
          <w:p>
            <w:pPr>
              <w:pStyle w:val="45"/>
              <w:rPr>
                <w:color w:val="auto"/>
              </w:rPr>
            </w:pPr>
            <w:r>
              <w:rPr>
                <w:color w:val="auto"/>
              </w:rPr>
              <w:t>危险废物贮存设施周围应设置围墙或其它防护栅栏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31" w:type="dxa"/>
            <w:vMerge w:val="continue"/>
            <w:tcBorders>
              <w:tl2br w:val="nil"/>
              <w:tr2bl w:val="nil"/>
            </w:tcBorders>
            <w:vAlign w:val="center"/>
          </w:tcPr>
          <w:p>
            <w:pPr>
              <w:pStyle w:val="45"/>
              <w:rPr>
                <w:color w:val="auto"/>
              </w:rPr>
            </w:pPr>
          </w:p>
        </w:tc>
        <w:tc>
          <w:tcPr>
            <w:tcW w:w="8062" w:type="dxa"/>
            <w:tcBorders>
              <w:tl2br w:val="nil"/>
              <w:tr2bl w:val="nil"/>
            </w:tcBorders>
            <w:vAlign w:val="center"/>
          </w:tcPr>
          <w:p>
            <w:pPr>
              <w:pStyle w:val="45"/>
              <w:rPr>
                <w:color w:val="auto"/>
              </w:rPr>
            </w:pPr>
            <w:r>
              <w:rPr>
                <w:color w:val="auto"/>
              </w:rPr>
              <w:t>危险废物贮存设施应配备通讯设备、照明设施、安全防护服装及工具，</w:t>
            </w:r>
          </w:p>
          <w:p>
            <w:pPr>
              <w:pStyle w:val="45"/>
              <w:rPr>
                <w:color w:val="auto"/>
              </w:rPr>
            </w:pPr>
            <w:r>
              <w:rPr>
                <w:color w:val="auto"/>
              </w:rPr>
              <w:t>并设有应急防护设施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31" w:type="dxa"/>
            <w:vMerge w:val="continue"/>
            <w:tcBorders>
              <w:tl2br w:val="nil"/>
              <w:tr2bl w:val="nil"/>
            </w:tcBorders>
            <w:vAlign w:val="center"/>
          </w:tcPr>
          <w:p>
            <w:pPr>
              <w:pStyle w:val="45"/>
              <w:rPr>
                <w:color w:val="auto"/>
              </w:rPr>
            </w:pPr>
          </w:p>
        </w:tc>
        <w:tc>
          <w:tcPr>
            <w:tcW w:w="8062" w:type="dxa"/>
            <w:tcBorders>
              <w:tl2br w:val="nil"/>
              <w:tr2bl w:val="nil"/>
            </w:tcBorders>
            <w:vAlign w:val="center"/>
          </w:tcPr>
          <w:p>
            <w:pPr>
              <w:pStyle w:val="45"/>
              <w:rPr>
                <w:color w:val="auto"/>
              </w:rPr>
            </w:pPr>
            <w:r>
              <w:rPr>
                <w:color w:val="auto"/>
              </w:rPr>
              <w:t>危险废物贮存设施做好“四防”（防风、防雨、防晒、防渗漏），对同一贮存场所（设施）贮存多种危险废物的，应根据项目所产生危险废物的类别和性质，分类存放，并考虑各类危险废物存放的相容性</w:t>
            </w:r>
          </w:p>
        </w:tc>
      </w:tr>
    </w:tbl>
    <w:p>
      <w:pPr>
        <w:ind w:firstLine="480"/>
        <w:rPr>
          <w:color w:val="auto"/>
        </w:rPr>
      </w:pPr>
      <w:r>
        <w:rPr>
          <w:rFonts w:hint="eastAsia"/>
          <w:color w:val="auto"/>
        </w:rPr>
        <w:t>拟建项目</w:t>
      </w:r>
      <w:r>
        <w:rPr>
          <w:color w:val="auto"/>
        </w:rPr>
        <w:t>危险废物经内部收集转运至危废暂存场所时，以及危险废物经危废暂存场所转移出来运输至危废处置单位进行处置时，由危废管理人员填写《危险废物出入库交接记录表》，纳入危废贮存档案进行管理。</w:t>
      </w:r>
    </w:p>
    <w:p>
      <w:pPr>
        <w:pStyle w:val="10"/>
        <w:spacing w:line="360" w:lineRule="auto"/>
        <w:rPr>
          <w:color w:val="auto"/>
        </w:rPr>
      </w:pPr>
      <w:r>
        <w:rPr>
          <w:rFonts w:hint="eastAsia"/>
          <w:color w:val="auto"/>
        </w:rPr>
        <w:t>5</w:t>
      </w:r>
      <w:r>
        <w:rPr>
          <w:color w:val="auto"/>
        </w:rPr>
        <w:t>.5.2.3固体废物的转移</w:t>
      </w:r>
    </w:p>
    <w:p>
      <w:pPr>
        <w:ind w:firstLine="480"/>
        <w:rPr>
          <w:color w:val="auto"/>
        </w:rPr>
      </w:pPr>
      <w:r>
        <w:rPr>
          <w:rFonts w:hint="eastAsia"/>
          <w:color w:val="auto"/>
        </w:rPr>
        <w:t>拟建项目</w:t>
      </w:r>
      <w:r>
        <w:rPr>
          <w:color w:val="auto"/>
        </w:rPr>
        <w:t>产生的</w:t>
      </w:r>
      <w:r>
        <w:rPr>
          <w:rFonts w:hint="eastAsia"/>
          <w:color w:val="auto"/>
        </w:rPr>
        <w:t>一般工业固废</w:t>
      </w:r>
      <w:r>
        <w:rPr>
          <w:color w:val="auto"/>
        </w:rPr>
        <w:t>主要是原料包装袋、桶等，暂存于</w:t>
      </w:r>
      <w:r>
        <w:rPr>
          <w:rFonts w:hint="eastAsia"/>
          <w:color w:val="auto"/>
        </w:rPr>
        <w:t>一般工业固废</w:t>
      </w:r>
      <w:r>
        <w:rPr>
          <w:color w:val="auto"/>
        </w:rPr>
        <w:t>仓库，定期外售。</w:t>
      </w:r>
    </w:p>
    <w:p>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 xml:space="preserve">项目固体废物转运过程中应采取篷布遮盖、防滴漏等措施，减少固体废物运输过程给环境带来污染。委托处置的危险废物运输应由持有危险废物经营许可证的单位按照其许可证的经营范围组织实施，承担危险废物运输的单位应获得交通运输部门颁布的危险货物运输资质。 </w:t>
      </w:r>
    </w:p>
    <w:p>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 xml:space="preserve">本项目危险废物运输采用公路运输方式，按照《道路危险货物运输管理规定》（交通部令[2005]第9号）执行。运输单位承运危险废物时，在危险废物包装上按照GB18597附录A设置标志，运输车辆按GB13392设立车辆标志。危废运输车辆应配备符合有关国家标准以及与所载运的危险货物相适应的应急处理器材和安全防护设备。 </w:t>
      </w:r>
    </w:p>
    <w:p>
      <w:pPr>
        <w:keepNext w:val="0"/>
        <w:keepLines w:val="0"/>
        <w:pageBreakBefore w:val="0"/>
        <w:widowControl/>
        <w:suppressLineNumbers w:val="0"/>
        <w:kinsoku/>
        <w:wordWrap/>
        <w:overflowPunct/>
        <w:topLinePunct w:val="0"/>
        <w:autoSpaceDE/>
        <w:autoSpaceDN/>
        <w:bidi w:val="0"/>
        <w:adjustRightInd w:val="0"/>
        <w:snapToGrid w:val="0"/>
        <w:jc w:val="both"/>
        <w:textAlignment w:val="auto"/>
        <w:rPr>
          <w:color w:val="auto"/>
        </w:rPr>
      </w:pPr>
      <w:r>
        <w:rPr>
          <w:rFonts w:hint="default" w:ascii="Times New Roman" w:hAnsi="Times New Roman" w:eastAsia="宋体" w:cs="Times New Roman"/>
          <w:color w:val="auto"/>
          <w:kern w:val="0"/>
          <w:sz w:val="24"/>
          <w:szCs w:val="24"/>
          <w:highlight w:val="none"/>
          <w:lang w:val="en-US" w:eastAsia="zh-CN" w:bidi="ar"/>
        </w:rPr>
        <w:t>危险废物运输时的装卸应遵照如下技术要求：①装卸区的工作人员应熟悉危险废物的危险特性，并配备适当的个人防护装备，如橡胶手套、防护服和口罩。②装卸区域应配备必要的消防设备和设施，并设置明显的指示标志。装卸区域应设置隔离设施。</w:t>
      </w:r>
      <w:r>
        <w:rPr>
          <w:rFonts w:hint="eastAsia" w:ascii="宋体" w:hAnsi="宋体" w:eastAsia="宋体" w:cs="宋体"/>
          <w:color w:val="auto"/>
          <w:kern w:val="0"/>
          <w:sz w:val="24"/>
          <w:szCs w:val="24"/>
          <w:highlight w:val="none"/>
          <w:lang w:val="en-US" w:eastAsia="zh-CN" w:bidi="ar"/>
        </w:rPr>
        <w:t xml:space="preserve"> </w:t>
      </w:r>
    </w:p>
    <w:p>
      <w:pPr>
        <w:pStyle w:val="10"/>
        <w:spacing w:line="360" w:lineRule="auto"/>
        <w:rPr>
          <w:color w:val="auto"/>
        </w:rPr>
      </w:pPr>
      <w:r>
        <w:rPr>
          <w:rFonts w:hint="eastAsia"/>
          <w:color w:val="auto"/>
        </w:rPr>
        <w:t>5</w:t>
      </w:r>
      <w:r>
        <w:rPr>
          <w:color w:val="auto"/>
        </w:rPr>
        <w:t>.5.2.4固体废物的处置</w:t>
      </w:r>
    </w:p>
    <w:p>
      <w:pPr>
        <w:ind w:firstLine="480"/>
        <w:rPr>
          <w:color w:val="auto"/>
        </w:rPr>
      </w:pPr>
      <w:r>
        <w:rPr>
          <w:rFonts w:hint="eastAsia"/>
          <w:color w:val="auto"/>
        </w:rPr>
        <w:t>拟建项目</w:t>
      </w:r>
      <w:r>
        <w:rPr>
          <w:color w:val="auto"/>
        </w:rPr>
        <w:t>产生的</w:t>
      </w:r>
      <w:r>
        <w:rPr>
          <w:rFonts w:hint="eastAsia"/>
          <w:color w:val="auto"/>
        </w:rPr>
        <w:t>一般工业固废</w:t>
      </w:r>
      <w:r>
        <w:rPr>
          <w:color w:val="auto"/>
        </w:rPr>
        <w:t>主要是废包装袋、废包装桶、污水站污泥</w:t>
      </w:r>
      <w:r>
        <w:rPr>
          <w:rFonts w:hint="eastAsia"/>
          <w:color w:val="auto"/>
        </w:rPr>
        <w:t>及生活垃圾</w:t>
      </w:r>
      <w:r>
        <w:rPr>
          <w:color w:val="auto"/>
        </w:rPr>
        <w:t>。废包装袋、废包装桶暂存于</w:t>
      </w:r>
      <w:r>
        <w:rPr>
          <w:rFonts w:hint="eastAsia"/>
          <w:color w:val="auto"/>
        </w:rPr>
        <w:t>一般工业固废</w:t>
      </w:r>
      <w:r>
        <w:rPr>
          <w:color w:val="auto"/>
        </w:rPr>
        <w:t>仓库，</w:t>
      </w:r>
      <w:r>
        <w:rPr>
          <w:rFonts w:hint="eastAsia"/>
          <w:color w:val="auto"/>
        </w:rPr>
        <w:t>定期统一外售</w:t>
      </w:r>
      <w:r>
        <w:rPr>
          <w:color w:val="auto"/>
        </w:rPr>
        <w:t>，污水站污泥</w:t>
      </w:r>
      <w:r>
        <w:rPr>
          <w:rFonts w:hint="eastAsia"/>
          <w:color w:val="auto"/>
        </w:rPr>
        <w:t>委托处置，</w:t>
      </w:r>
      <w:r>
        <w:rPr>
          <w:color w:val="auto"/>
        </w:rPr>
        <w:t>生活垃圾定期由环卫部门清运。</w:t>
      </w:r>
    </w:p>
    <w:p>
      <w:pPr>
        <w:ind w:firstLine="480"/>
        <w:rPr>
          <w:color w:val="auto"/>
        </w:rPr>
      </w:pPr>
      <w:r>
        <w:rPr>
          <w:color w:val="auto"/>
        </w:rPr>
        <w:t>本项目本项目废润滑油</w:t>
      </w:r>
      <w:r>
        <w:rPr>
          <w:rFonts w:hint="eastAsia"/>
          <w:color w:val="auto"/>
          <w:lang w:eastAsia="zh-CN"/>
        </w:rPr>
        <w:t>、</w:t>
      </w:r>
      <w:r>
        <w:rPr>
          <w:rFonts w:hint="eastAsia"/>
          <w:color w:val="auto"/>
          <w:lang w:val="en-US" w:eastAsia="zh-CN"/>
        </w:rPr>
        <w:t>高沸物、罐底残渣</w:t>
      </w:r>
      <w:r>
        <w:rPr>
          <w:color w:val="auto"/>
        </w:rPr>
        <w:t>定期更换后收集至包装桶，由叉车转运至危废暂存间；化验室废液装桶后与废试剂瓶转运至危废暂存间；废活性炭更换后收集到</w:t>
      </w:r>
      <w:r>
        <w:rPr>
          <w:rFonts w:hint="eastAsia"/>
          <w:color w:val="auto"/>
        </w:rPr>
        <w:t>包装桶内</w:t>
      </w:r>
      <w:r>
        <w:rPr>
          <w:color w:val="auto"/>
        </w:rPr>
        <w:t>，由叉车转运至危废暂存间</w:t>
      </w:r>
      <w:r>
        <w:rPr>
          <w:rFonts w:hint="eastAsia"/>
          <w:color w:val="auto"/>
        </w:rPr>
        <w:t>，</w:t>
      </w:r>
      <w:r>
        <w:rPr>
          <w:rFonts w:hint="eastAsia"/>
          <w:color w:val="auto"/>
          <w:lang w:val="en-US" w:eastAsia="zh-CN"/>
        </w:rPr>
        <w:t>废导热油定期更换，</w:t>
      </w:r>
      <w:r>
        <w:rPr>
          <w:color w:val="auto"/>
        </w:rPr>
        <w:t>所产危废均委托有资质单位处置。</w:t>
      </w:r>
    </w:p>
    <w:p>
      <w:pPr>
        <w:pStyle w:val="9"/>
        <w:keepNext w:val="0"/>
        <w:keepLines/>
        <w:pageBreakBefore w:val="0"/>
        <w:widowControl w:val="0"/>
        <w:tabs>
          <w:tab w:val="left" w:pos="6685"/>
        </w:tabs>
        <w:kinsoku/>
        <w:wordWrap/>
        <w:overflowPunct/>
        <w:topLinePunct w:val="0"/>
        <w:autoSpaceDE/>
        <w:autoSpaceDN/>
        <w:bidi w:val="0"/>
        <w:adjustRightInd w:val="0"/>
        <w:snapToGrid w:val="0"/>
        <w:ind w:firstLine="0" w:firstLineChars="0"/>
        <w:textAlignment w:val="auto"/>
        <w:rPr>
          <w:color w:val="auto"/>
          <w:sz w:val="24"/>
          <w:szCs w:val="40"/>
          <w:highlight w:val="none"/>
        </w:rPr>
      </w:pPr>
      <w:r>
        <w:rPr>
          <w:color w:val="auto"/>
          <w:sz w:val="24"/>
          <w:szCs w:val="40"/>
          <w:highlight w:val="none"/>
          <w:lang w:val="en-US" w:eastAsia="zh-CN"/>
        </w:rPr>
        <w:t>5.</w:t>
      </w:r>
      <w:r>
        <w:rPr>
          <w:rFonts w:hint="eastAsia"/>
          <w:color w:val="auto"/>
          <w:sz w:val="24"/>
          <w:szCs w:val="40"/>
          <w:highlight w:val="none"/>
          <w:lang w:val="en-US" w:eastAsia="zh-CN"/>
        </w:rPr>
        <w:t>5</w:t>
      </w:r>
      <w:r>
        <w:rPr>
          <w:color w:val="auto"/>
          <w:sz w:val="24"/>
          <w:szCs w:val="40"/>
          <w:highlight w:val="none"/>
          <w:lang w:val="en-US" w:eastAsia="zh-CN"/>
        </w:rPr>
        <w:t xml:space="preserve">.3 固体废物环境影响分析 </w:t>
      </w:r>
    </w:p>
    <w:p>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 xml:space="preserve">1、危险废物贮存场所环境影响分析 </w:t>
      </w:r>
    </w:p>
    <w:p>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本项目仓库建筑面积为</w:t>
      </w:r>
      <w:r>
        <w:rPr>
          <w:rFonts w:hint="eastAsia" w:ascii="Times New Roman" w:hAnsi="Times New Roman" w:eastAsia="宋体" w:cs="Times New Roman"/>
          <w:color w:val="auto"/>
          <w:kern w:val="0"/>
          <w:sz w:val="24"/>
          <w:szCs w:val="24"/>
          <w:highlight w:val="none"/>
          <w:lang w:val="en-US" w:eastAsia="zh-CN" w:bidi="ar"/>
        </w:rPr>
        <w:t>50m</w:t>
      </w:r>
      <w:r>
        <w:rPr>
          <w:rFonts w:hint="eastAsia" w:ascii="Times New Roman" w:hAnsi="Times New Roman" w:eastAsia="宋体" w:cs="Times New Roman"/>
          <w:color w:val="auto"/>
          <w:kern w:val="0"/>
          <w:sz w:val="24"/>
          <w:szCs w:val="24"/>
          <w:highlight w:val="none"/>
          <w:vertAlign w:val="super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w:t>
      </w:r>
      <w:r>
        <w:rPr>
          <w:color w:val="auto"/>
        </w:rPr>
        <w:t>危废暂存间建设须满足《危险废物收集、贮存、运输技术规范》（HJ2025-2012）以及《危险废物贮存污染控制标准》（GB18597-2001）的相关要求</w:t>
      </w:r>
      <w:r>
        <w:rPr>
          <w:rFonts w:hint="default" w:ascii="Times New Roman" w:hAnsi="Times New Roman" w:eastAsia="宋体" w:cs="Times New Roman"/>
          <w:color w:val="auto"/>
          <w:kern w:val="0"/>
          <w:sz w:val="24"/>
          <w:szCs w:val="24"/>
          <w:highlight w:val="none"/>
          <w:lang w:val="en-US" w:eastAsia="zh-CN" w:bidi="ar"/>
        </w:rPr>
        <w:t xml:space="preserve">。 通过采取以上措施后，危废贮存对环境空气、地下水及土壤环境影响较小。 </w:t>
      </w:r>
    </w:p>
    <w:p>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 xml:space="preserve">2、危险废物运输过程环境影响分析 </w:t>
      </w:r>
    </w:p>
    <w:p>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 xml:space="preserve">通过选择和危废相容的包装材质对危险废物进行包装，严格执行危险废物运输的相关要求，项目产生的危险废物运输过程中可做到不散落、不渗漏。厂区建设事故水导排系统，在极端情况下转运过程中发生危废包装容器破损、危废泄漏的情况可保证泄漏危废通过导排系统进入事故水池，不排入外环境。 </w:t>
      </w:r>
    </w:p>
    <w:p>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 xml:space="preserve">3、危险废物处置环境影响分析 </w:t>
      </w:r>
    </w:p>
    <w:p>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项目产生的危险废物</w:t>
      </w:r>
      <w:r>
        <w:rPr>
          <w:rFonts w:hint="eastAsia" w:ascii="Times New Roman" w:hAnsi="Times New Roman" w:eastAsia="宋体" w:cs="Times New Roman"/>
          <w:color w:val="auto"/>
          <w:kern w:val="0"/>
          <w:sz w:val="24"/>
          <w:szCs w:val="24"/>
          <w:highlight w:val="none"/>
          <w:lang w:val="en-US" w:eastAsia="zh-CN" w:bidi="ar"/>
        </w:rPr>
        <w:t>全部</w:t>
      </w:r>
      <w:r>
        <w:rPr>
          <w:rFonts w:hint="default" w:ascii="Times New Roman" w:hAnsi="Times New Roman" w:eastAsia="宋体" w:cs="Times New Roman"/>
          <w:color w:val="auto"/>
          <w:kern w:val="0"/>
          <w:sz w:val="24"/>
          <w:szCs w:val="24"/>
          <w:highlight w:val="none"/>
          <w:lang w:val="en-US" w:eastAsia="zh-CN" w:bidi="ar"/>
        </w:rPr>
        <w:t>委托具备相应资质或能力的单位处置，处置方式合理，对周围环境影响较小。</w:t>
      </w:r>
    </w:p>
    <w:p>
      <w:pPr>
        <w:pStyle w:val="9"/>
        <w:keepNext w:val="0"/>
        <w:keepLines/>
        <w:pageBreakBefore w:val="0"/>
        <w:widowControl w:val="0"/>
        <w:tabs>
          <w:tab w:val="left" w:pos="6685"/>
        </w:tabs>
        <w:kinsoku/>
        <w:wordWrap/>
        <w:overflowPunct/>
        <w:topLinePunct w:val="0"/>
        <w:autoSpaceDE/>
        <w:autoSpaceDN/>
        <w:bidi w:val="0"/>
        <w:adjustRightInd w:val="0"/>
        <w:snapToGrid w:val="0"/>
        <w:ind w:firstLine="0" w:firstLineChars="0"/>
        <w:textAlignment w:val="auto"/>
        <w:rPr>
          <w:rFonts w:ascii="Times New Roman" w:hAnsi="Times New Roman" w:cs="Times New Roman"/>
          <w:color w:val="auto"/>
          <w:sz w:val="24"/>
          <w:szCs w:val="40"/>
          <w:highlight w:val="none"/>
          <w:lang w:val="en-US" w:eastAsia="zh-CN"/>
        </w:rPr>
      </w:pPr>
      <w:r>
        <w:rPr>
          <w:rFonts w:ascii="Times New Roman" w:hAnsi="Times New Roman" w:cs="Times New Roman"/>
          <w:color w:val="auto"/>
          <w:sz w:val="24"/>
          <w:szCs w:val="40"/>
          <w:highlight w:val="none"/>
          <w:lang w:val="en-US" w:eastAsia="zh-CN"/>
        </w:rPr>
        <w:t>5.</w:t>
      </w:r>
      <w:r>
        <w:rPr>
          <w:rFonts w:hint="eastAsia" w:ascii="Times New Roman" w:hAnsi="Times New Roman" w:cs="Times New Roman"/>
          <w:color w:val="auto"/>
          <w:sz w:val="24"/>
          <w:szCs w:val="40"/>
          <w:highlight w:val="none"/>
          <w:lang w:val="en-US" w:eastAsia="zh-CN"/>
        </w:rPr>
        <w:t>5</w:t>
      </w:r>
      <w:r>
        <w:rPr>
          <w:rFonts w:ascii="Times New Roman" w:hAnsi="Times New Roman" w:cs="Times New Roman"/>
          <w:color w:val="auto"/>
          <w:sz w:val="24"/>
          <w:szCs w:val="40"/>
          <w:highlight w:val="none"/>
          <w:lang w:val="en-US" w:eastAsia="zh-CN"/>
        </w:rPr>
        <w:t xml:space="preserve">.4 小结 </w:t>
      </w:r>
    </w:p>
    <w:p>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项目各项固废本着“减量化、资源化和无害化”的原则进行处理，各项固废不外排环境，固废处理措施是可行合理。项目运营过程中，固体废物的收集、贮运和转运环节须严格按照《一般工业固体废物贮存、处置场污染控制标准》（GB18599-2020）、《危险废物贮存污染控制标准》（GB18597-2001）及其修改单标准以及《危险废物收集 贮存 运输技术规范》（HJ2025-2012）等相关规范进行。</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综上所述，在加强管理，并在落实好各项污染防治措施和固体废物安全处置措施的前提下，项目产生的固体废物对周围环境的影响较小。</w:t>
      </w:r>
    </w:p>
    <w:p>
      <w:pPr>
        <w:ind w:firstLine="480"/>
        <w:rPr>
          <w:color w:val="auto"/>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pPr>
        <w:pStyle w:val="8"/>
        <w:spacing w:before="0" w:beforeLines="0" w:after="0" w:afterLines="0" w:line="360" w:lineRule="auto"/>
        <w:rPr>
          <w:color w:val="auto"/>
        </w:rPr>
      </w:pPr>
      <w:bookmarkStart w:id="338" w:name="_Toc12340"/>
      <w:bookmarkStart w:id="339" w:name="_Toc12755"/>
      <w:r>
        <w:rPr>
          <w:rFonts w:hint="eastAsia"/>
          <w:color w:val="auto"/>
        </w:rPr>
        <w:t>5</w:t>
      </w:r>
      <w:r>
        <w:rPr>
          <w:color w:val="auto"/>
        </w:rPr>
        <w:t>.6运营期土壤环境影响评价</w:t>
      </w:r>
      <w:bookmarkEnd w:id="338"/>
      <w:bookmarkEnd w:id="339"/>
    </w:p>
    <w:p>
      <w:pPr>
        <w:pStyle w:val="9"/>
        <w:spacing w:before="0" w:beforeLines="0" w:after="0" w:afterLines="0" w:line="360" w:lineRule="auto"/>
        <w:rPr>
          <w:color w:val="auto"/>
        </w:rPr>
      </w:pPr>
      <w:r>
        <w:rPr>
          <w:rFonts w:hint="eastAsia"/>
          <w:color w:val="auto"/>
        </w:rPr>
        <w:t>5</w:t>
      </w:r>
      <w:r>
        <w:rPr>
          <w:color w:val="auto"/>
        </w:rPr>
        <w:t>.6.1土壤环境污染影响识别</w:t>
      </w:r>
    </w:p>
    <w:p>
      <w:pPr>
        <w:pStyle w:val="10"/>
        <w:spacing w:line="360" w:lineRule="auto"/>
        <w:rPr>
          <w:color w:val="auto"/>
        </w:rPr>
      </w:pPr>
      <w:r>
        <w:rPr>
          <w:rFonts w:hint="eastAsia"/>
          <w:color w:val="auto"/>
        </w:rPr>
        <w:t>5</w:t>
      </w:r>
      <w:r>
        <w:rPr>
          <w:color w:val="auto"/>
        </w:rPr>
        <w:t>.6.1.1评价项目类别</w:t>
      </w:r>
    </w:p>
    <w:p>
      <w:pPr>
        <w:ind w:firstLine="480"/>
        <w:rPr>
          <w:color w:val="auto"/>
        </w:rPr>
      </w:pPr>
      <w:r>
        <w:rPr>
          <w:color w:val="auto"/>
        </w:rPr>
        <w:t>根据《环境影响评价技术导则 土壤环境（试行）》（HJ964-2018）附录A土壤环境影响评价项目类别，该项目属于Ⅱ类项目。</w:t>
      </w:r>
    </w:p>
    <w:p>
      <w:pPr>
        <w:pStyle w:val="10"/>
        <w:spacing w:line="360" w:lineRule="auto"/>
        <w:rPr>
          <w:color w:val="auto"/>
        </w:rPr>
      </w:pPr>
      <w:r>
        <w:rPr>
          <w:rFonts w:hint="eastAsia"/>
          <w:color w:val="auto"/>
        </w:rPr>
        <w:t>5</w:t>
      </w:r>
      <w:r>
        <w:rPr>
          <w:color w:val="auto"/>
        </w:rPr>
        <w:t>.6.1.2土壤环境污染影响识别</w:t>
      </w:r>
    </w:p>
    <w:p>
      <w:pPr>
        <w:ind w:firstLine="480"/>
        <w:rPr>
          <w:color w:val="auto"/>
        </w:rPr>
      </w:pPr>
      <w:r>
        <w:rPr>
          <w:color w:val="auto"/>
        </w:rPr>
        <w:t>（1）建设项目土壤环境影响类型与影响途径识别</w:t>
      </w:r>
    </w:p>
    <w:p>
      <w:pPr>
        <w:ind w:firstLine="480"/>
        <w:rPr>
          <w:color w:val="auto"/>
        </w:rPr>
      </w:pPr>
      <w:r>
        <w:rPr>
          <w:color w:val="auto"/>
        </w:rPr>
        <w:t>本项目属于污染影响型建设项目，重点对运营期的环境影响进行识别，具体见表</w:t>
      </w:r>
      <w:r>
        <w:rPr>
          <w:rFonts w:hint="eastAsia"/>
          <w:color w:val="auto"/>
        </w:rPr>
        <w:t>5</w:t>
      </w:r>
      <w:r>
        <w:rPr>
          <w:color w:val="auto"/>
        </w:rPr>
        <w:t>.6-1。</w:t>
      </w:r>
    </w:p>
    <w:p>
      <w:pPr>
        <w:ind w:firstLine="0" w:firstLineChars="0"/>
        <w:jc w:val="center"/>
        <w:rPr>
          <w:rFonts w:eastAsia="黑体"/>
          <w:b/>
          <w:color w:val="auto"/>
          <w:sz w:val="21"/>
          <w:szCs w:val="21"/>
        </w:rPr>
      </w:pPr>
      <w:r>
        <w:rPr>
          <w:rFonts w:eastAsia="黑体"/>
          <w:b/>
          <w:color w:val="auto"/>
          <w:sz w:val="21"/>
          <w:szCs w:val="21"/>
        </w:rPr>
        <w:t>表</w:t>
      </w:r>
      <w:r>
        <w:rPr>
          <w:rFonts w:hint="eastAsia" w:eastAsia="黑体"/>
          <w:b/>
          <w:color w:val="auto"/>
          <w:sz w:val="21"/>
          <w:szCs w:val="21"/>
        </w:rPr>
        <w:t>5</w:t>
      </w:r>
      <w:r>
        <w:rPr>
          <w:rFonts w:eastAsia="黑体"/>
          <w:b/>
          <w:color w:val="auto"/>
          <w:sz w:val="21"/>
          <w:szCs w:val="21"/>
        </w:rPr>
        <w:t>.6-1 土壤环境影响类型与影响途径表</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42"/>
        <w:gridCol w:w="1289"/>
        <w:gridCol w:w="1289"/>
        <w:gridCol w:w="1289"/>
        <w:gridCol w:w="776"/>
        <w:gridCol w:w="776"/>
        <w:gridCol w:w="776"/>
        <w:gridCol w:w="777"/>
        <w:gridCol w:w="77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0" w:type="pct"/>
            <w:vMerge w:val="restart"/>
            <w:vAlign w:val="center"/>
          </w:tcPr>
          <w:p>
            <w:pPr>
              <w:pStyle w:val="2"/>
              <w:spacing w:after="0" w:line="240" w:lineRule="auto"/>
              <w:ind w:firstLine="0" w:firstLineChars="0"/>
              <w:jc w:val="center"/>
              <w:rPr>
                <w:b/>
                <w:color w:val="auto"/>
                <w:sz w:val="21"/>
                <w:szCs w:val="21"/>
              </w:rPr>
            </w:pPr>
            <w:r>
              <w:rPr>
                <w:b/>
                <w:color w:val="auto"/>
                <w:sz w:val="21"/>
                <w:szCs w:val="21"/>
              </w:rPr>
              <w:t>不同时段</w:t>
            </w:r>
          </w:p>
        </w:tc>
        <w:tc>
          <w:tcPr>
            <w:tcW w:w="2500" w:type="pct"/>
            <w:gridSpan w:val="4"/>
            <w:vAlign w:val="center"/>
          </w:tcPr>
          <w:p>
            <w:pPr>
              <w:pStyle w:val="2"/>
              <w:spacing w:after="0" w:line="240" w:lineRule="auto"/>
              <w:ind w:firstLine="0" w:firstLineChars="0"/>
              <w:jc w:val="center"/>
              <w:rPr>
                <w:b/>
                <w:color w:val="auto"/>
                <w:sz w:val="21"/>
                <w:szCs w:val="21"/>
              </w:rPr>
            </w:pPr>
            <w:r>
              <w:rPr>
                <w:b/>
                <w:color w:val="auto"/>
                <w:sz w:val="21"/>
                <w:szCs w:val="21"/>
              </w:rPr>
              <w:t>污染影响型</w:t>
            </w:r>
          </w:p>
        </w:tc>
        <w:tc>
          <w:tcPr>
            <w:tcW w:w="1670" w:type="pct"/>
            <w:gridSpan w:val="4"/>
            <w:vAlign w:val="center"/>
          </w:tcPr>
          <w:p>
            <w:pPr>
              <w:pStyle w:val="2"/>
              <w:spacing w:after="0" w:line="240" w:lineRule="auto"/>
              <w:ind w:firstLine="0" w:firstLineChars="0"/>
              <w:jc w:val="center"/>
              <w:rPr>
                <w:b/>
                <w:color w:val="auto"/>
                <w:sz w:val="21"/>
                <w:szCs w:val="21"/>
              </w:rPr>
            </w:pPr>
            <w:r>
              <w:rPr>
                <w:b/>
                <w:color w:val="auto"/>
                <w:sz w:val="21"/>
                <w:szCs w:val="21"/>
              </w:rPr>
              <w:t>生态影响型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0" w:type="pct"/>
            <w:vMerge w:val="continue"/>
            <w:vAlign w:val="center"/>
          </w:tcPr>
          <w:p>
            <w:pPr>
              <w:pStyle w:val="2"/>
              <w:spacing w:after="0" w:line="240" w:lineRule="auto"/>
              <w:ind w:firstLine="0" w:firstLineChars="0"/>
              <w:jc w:val="center"/>
              <w:rPr>
                <w:b/>
                <w:color w:val="auto"/>
                <w:sz w:val="21"/>
                <w:szCs w:val="21"/>
              </w:rPr>
            </w:pPr>
          </w:p>
        </w:tc>
        <w:tc>
          <w:tcPr>
            <w:tcW w:w="694" w:type="pct"/>
            <w:vAlign w:val="center"/>
          </w:tcPr>
          <w:p>
            <w:pPr>
              <w:pStyle w:val="2"/>
              <w:spacing w:after="0" w:line="240" w:lineRule="auto"/>
              <w:ind w:firstLine="0" w:firstLineChars="0"/>
              <w:jc w:val="center"/>
              <w:rPr>
                <w:b/>
                <w:color w:val="auto"/>
                <w:sz w:val="21"/>
                <w:szCs w:val="21"/>
              </w:rPr>
            </w:pPr>
            <w:r>
              <w:rPr>
                <w:b/>
                <w:color w:val="auto"/>
                <w:sz w:val="21"/>
                <w:szCs w:val="21"/>
              </w:rPr>
              <w:t>大气沉降</w:t>
            </w:r>
          </w:p>
        </w:tc>
        <w:tc>
          <w:tcPr>
            <w:tcW w:w="694" w:type="pct"/>
            <w:vAlign w:val="center"/>
          </w:tcPr>
          <w:p>
            <w:pPr>
              <w:pStyle w:val="2"/>
              <w:spacing w:after="0" w:line="240" w:lineRule="auto"/>
              <w:ind w:firstLine="0" w:firstLineChars="0"/>
              <w:jc w:val="center"/>
              <w:rPr>
                <w:b/>
                <w:color w:val="auto"/>
                <w:sz w:val="21"/>
                <w:szCs w:val="21"/>
              </w:rPr>
            </w:pPr>
            <w:r>
              <w:rPr>
                <w:b/>
                <w:color w:val="auto"/>
                <w:sz w:val="21"/>
                <w:szCs w:val="21"/>
              </w:rPr>
              <w:t>地面漫流</w:t>
            </w:r>
          </w:p>
        </w:tc>
        <w:tc>
          <w:tcPr>
            <w:tcW w:w="694" w:type="pct"/>
            <w:vAlign w:val="center"/>
          </w:tcPr>
          <w:p>
            <w:pPr>
              <w:pStyle w:val="2"/>
              <w:spacing w:after="0" w:line="240" w:lineRule="auto"/>
              <w:ind w:firstLine="0" w:firstLineChars="0"/>
              <w:jc w:val="center"/>
              <w:rPr>
                <w:b/>
                <w:color w:val="auto"/>
                <w:sz w:val="21"/>
                <w:szCs w:val="21"/>
              </w:rPr>
            </w:pPr>
            <w:r>
              <w:rPr>
                <w:b/>
                <w:color w:val="auto"/>
                <w:sz w:val="21"/>
                <w:szCs w:val="21"/>
              </w:rPr>
              <w:t>垂直入渗</w:t>
            </w:r>
          </w:p>
        </w:tc>
        <w:tc>
          <w:tcPr>
            <w:tcW w:w="418" w:type="pct"/>
            <w:vAlign w:val="center"/>
          </w:tcPr>
          <w:p>
            <w:pPr>
              <w:pStyle w:val="2"/>
              <w:spacing w:after="0" w:line="240" w:lineRule="auto"/>
              <w:ind w:firstLine="0" w:firstLineChars="0"/>
              <w:jc w:val="center"/>
              <w:rPr>
                <w:b/>
                <w:color w:val="auto"/>
                <w:sz w:val="21"/>
                <w:szCs w:val="21"/>
              </w:rPr>
            </w:pPr>
            <w:r>
              <w:rPr>
                <w:b/>
                <w:color w:val="auto"/>
                <w:sz w:val="21"/>
                <w:szCs w:val="21"/>
              </w:rPr>
              <w:t>其他</w:t>
            </w:r>
          </w:p>
        </w:tc>
        <w:tc>
          <w:tcPr>
            <w:tcW w:w="418" w:type="pct"/>
            <w:vAlign w:val="center"/>
          </w:tcPr>
          <w:p>
            <w:pPr>
              <w:pStyle w:val="2"/>
              <w:spacing w:after="0" w:line="240" w:lineRule="auto"/>
              <w:ind w:firstLine="0" w:firstLineChars="0"/>
              <w:jc w:val="center"/>
              <w:rPr>
                <w:b/>
                <w:color w:val="auto"/>
                <w:sz w:val="21"/>
                <w:szCs w:val="21"/>
              </w:rPr>
            </w:pPr>
            <w:r>
              <w:rPr>
                <w:b/>
                <w:color w:val="auto"/>
                <w:sz w:val="21"/>
                <w:szCs w:val="21"/>
              </w:rPr>
              <w:t>盐化</w:t>
            </w:r>
          </w:p>
        </w:tc>
        <w:tc>
          <w:tcPr>
            <w:tcW w:w="418" w:type="pct"/>
            <w:vAlign w:val="center"/>
          </w:tcPr>
          <w:p>
            <w:pPr>
              <w:pStyle w:val="2"/>
              <w:spacing w:after="0" w:line="240" w:lineRule="auto"/>
              <w:ind w:firstLine="0" w:firstLineChars="0"/>
              <w:jc w:val="center"/>
              <w:rPr>
                <w:b/>
                <w:color w:val="auto"/>
                <w:sz w:val="21"/>
                <w:szCs w:val="21"/>
              </w:rPr>
            </w:pPr>
            <w:r>
              <w:rPr>
                <w:b/>
                <w:color w:val="auto"/>
                <w:sz w:val="21"/>
                <w:szCs w:val="21"/>
              </w:rPr>
              <w:t>碱化</w:t>
            </w:r>
          </w:p>
        </w:tc>
        <w:tc>
          <w:tcPr>
            <w:tcW w:w="418" w:type="pct"/>
            <w:vAlign w:val="center"/>
          </w:tcPr>
          <w:p>
            <w:pPr>
              <w:pStyle w:val="2"/>
              <w:spacing w:after="0" w:line="240" w:lineRule="auto"/>
              <w:ind w:firstLine="0" w:firstLineChars="0"/>
              <w:jc w:val="center"/>
              <w:rPr>
                <w:b/>
                <w:color w:val="auto"/>
                <w:sz w:val="21"/>
                <w:szCs w:val="21"/>
              </w:rPr>
            </w:pPr>
            <w:r>
              <w:rPr>
                <w:b/>
                <w:color w:val="auto"/>
                <w:sz w:val="21"/>
                <w:szCs w:val="21"/>
              </w:rPr>
              <w:t>酸化</w:t>
            </w:r>
          </w:p>
        </w:tc>
        <w:tc>
          <w:tcPr>
            <w:tcW w:w="417" w:type="pct"/>
            <w:vAlign w:val="center"/>
          </w:tcPr>
          <w:p>
            <w:pPr>
              <w:pStyle w:val="2"/>
              <w:spacing w:after="0" w:line="240" w:lineRule="auto"/>
              <w:ind w:firstLine="0" w:firstLineChars="0"/>
              <w:jc w:val="center"/>
              <w:rPr>
                <w:b/>
                <w:color w:val="auto"/>
                <w:sz w:val="21"/>
                <w:szCs w:val="21"/>
              </w:rPr>
            </w:pPr>
            <w:r>
              <w:rPr>
                <w:b/>
                <w:color w:val="auto"/>
                <w:sz w:val="21"/>
                <w:szCs w:val="21"/>
              </w:rPr>
              <w:t>其他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0" w:type="pct"/>
            <w:vAlign w:val="center"/>
          </w:tcPr>
          <w:p>
            <w:pPr>
              <w:pStyle w:val="2"/>
              <w:spacing w:after="0" w:line="240" w:lineRule="auto"/>
              <w:ind w:firstLine="0" w:firstLineChars="0"/>
              <w:jc w:val="center"/>
              <w:rPr>
                <w:color w:val="auto"/>
                <w:sz w:val="21"/>
                <w:szCs w:val="21"/>
              </w:rPr>
            </w:pPr>
            <w:r>
              <w:rPr>
                <w:color w:val="auto"/>
                <w:sz w:val="21"/>
                <w:szCs w:val="21"/>
              </w:rPr>
              <w:t>建设期</w:t>
            </w:r>
          </w:p>
        </w:tc>
        <w:tc>
          <w:tcPr>
            <w:tcW w:w="694" w:type="pct"/>
            <w:vAlign w:val="center"/>
          </w:tcPr>
          <w:p>
            <w:pPr>
              <w:pStyle w:val="2"/>
              <w:spacing w:after="0" w:line="240" w:lineRule="auto"/>
              <w:ind w:firstLine="0" w:firstLineChars="0"/>
              <w:jc w:val="center"/>
              <w:rPr>
                <w:color w:val="auto"/>
                <w:sz w:val="21"/>
                <w:szCs w:val="21"/>
              </w:rPr>
            </w:pPr>
          </w:p>
        </w:tc>
        <w:tc>
          <w:tcPr>
            <w:tcW w:w="694" w:type="pct"/>
            <w:vAlign w:val="center"/>
          </w:tcPr>
          <w:p>
            <w:pPr>
              <w:pStyle w:val="2"/>
              <w:spacing w:after="0" w:line="240" w:lineRule="auto"/>
              <w:ind w:firstLine="0" w:firstLineChars="0"/>
              <w:jc w:val="center"/>
              <w:rPr>
                <w:color w:val="auto"/>
                <w:sz w:val="21"/>
                <w:szCs w:val="21"/>
              </w:rPr>
            </w:pPr>
          </w:p>
        </w:tc>
        <w:tc>
          <w:tcPr>
            <w:tcW w:w="694" w:type="pct"/>
            <w:vAlign w:val="center"/>
          </w:tcPr>
          <w:p>
            <w:pPr>
              <w:pStyle w:val="2"/>
              <w:spacing w:after="0" w:line="240" w:lineRule="auto"/>
              <w:ind w:firstLine="0" w:firstLineChars="0"/>
              <w:jc w:val="center"/>
              <w:rPr>
                <w:color w:val="auto"/>
                <w:sz w:val="21"/>
                <w:szCs w:val="21"/>
              </w:rPr>
            </w:pPr>
          </w:p>
        </w:tc>
        <w:tc>
          <w:tcPr>
            <w:tcW w:w="418" w:type="pct"/>
            <w:vAlign w:val="center"/>
          </w:tcPr>
          <w:p>
            <w:pPr>
              <w:pStyle w:val="2"/>
              <w:spacing w:after="0" w:line="240" w:lineRule="auto"/>
              <w:ind w:firstLine="0" w:firstLineChars="0"/>
              <w:jc w:val="center"/>
              <w:rPr>
                <w:color w:val="auto"/>
                <w:sz w:val="21"/>
                <w:szCs w:val="21"/>
              </w:rPr>
            </w:pPr>
          </w:p>
        </w:tc>
        <w:tc>
          <w:tcPr>
            <w:tcW w:w="418" w:type="pct"/>
            <w:vAlign w:val="center"/>
          </w:tcPr>
          <w:p>
            <w:pPr>
              <w:pStyle w:val="2"/>
              <w:spacing w:after="0" w:line="240" w:lineRule="auto"/>
              <w:ind w:firstLine="0" w:firstLineChars="0"/>
              <w:jc w:val="center"/>
              <w:rPr>
                <w:color w:val="auto"/>
                <w:sz w:val="21"/>
                <w:szCs w:val="21"/>
              </w:rPr>
            </w:pPr>
          </w:p>
        </w:tc>
        <w:tc>
          <w:tcPr>
            <w:tcW w:w="418" w:type="pct"/>
            <w:vAlign w:val="center"/>
          </w:tcPr>
          <w:p>
            <w:pPr>
              <w:pStyle w:val="2"/>
              <w:spacing w:after="0" w:line="240" w:lineRule="auto"/>
              <w:ind w:firstLine="0" w:firstLineChars="0"/>
              <w:jc w:val="center"/>
              <w:rPr>
                <w:color w:val="auto"/>
                <w:sz w:val="21"/>
                <w:szCs w:val="21"/>
              </w:rPr>
            </w:pPr>
          </w:p>
        </w:tc>
        <w:tc>
          <w:tcPr>
            <w:tcW w:w="418" w:type="pct"/>
            <w:vAlign w:val="center"/>
          </w:tcPr>
          <w:p>
            <w:pPr>
              <w:pStyle w:val="2"/>
              <w:spacing w:after="0" w:line="240" w:lineRule="auto"/>
              <w:ind w:firstLine="0" w:firstLineChars="0"/>
              <w:jc w:val="center"/>
              <w:rPr>
                <w:color w:val="auto"/>
                <w:sz w:val="21"/>
                <w:szCs w:val="21"/>
              </w:rPr>
            </w:pPr>
          </w:p>
        </w:tc>
        <w:tc>
          <w:tcPr>
            <w:tcW w:w="417" w:type="pct"/>
            <w:vAlign w:val="center"/>
          </w:tcPr>
          <w:p>
            <w:pPr>
              <w:pStyle w:val="2"/>
              <w:spacing w:after="0"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830" w:type="pct"/>
            <w:vAlign w:val="center"/>
          </w:tcPr>
          <w:p>
            <w:pPr>
              <w:pStyle w:val="2"/>
              <w:spacing w:after="0" w:line="240" w:lineRule="auto"/>
              <w:ind w:firstLine="0" w:firstLineChars="0"/>
              <w:jc w:val="center"/>
              <w:rPr>
                <w:color w:val="auto"/>
                <w:sz w:val="21"/>
                <w:szCs w:val="21"/>
              </w:rPr>
            </w:pPr>
            <w:r>
              <w:rPr>
                <w:color w:val="auto"/>
                <w:sz w:val="21"/>
                <w:szCs w:val="21"/>
              </w:rPr>
              <w:t>运营期</w:t>
            </w:r>
          </w:p>
        </w:tc>
        <w:tc>
          <w:tcPr>
            <w:tcW w:w="694" w:type="pct"/>
            <w:vAlign w:val="center"/>
          </w:tcPr>
          <w:p>
            <w:pPr>
              <w:pStyle w:val="2"/>
              <w:spacing w:after="0" w:line="240" w:lineRule="auto"/>
              <w:ind w:firstLine="0" w:firstLineChars="0"/>
              <w:jc w:val="center"/>
              <w:rPr>
                <w:color w:val="auto"/>
                <w:sz w:val="21"/>
                <w:szCs w:val="21"/>
              </w:rPr>
            </w:pPr>
            <w:r>
              <w:rPr>
                <w:color w:val="auto"/>
                <w:sz w:val="21"/>
                <w:szCs w:val="21"/>
              </w:rPr>
              <w:t>√</w:t>
            </w:r>
          </w:p>
        </w:tc>
        <w:tc>
          <w:tcPr>
            <w:tcW w:w="694" w:type="pct"/>
            <w:vAlign w:val="center"/>
          </w:tcPr>
          <w:p>
            <w:pPr>
              <w:pStyle w:val="2"/>
              <w:spacing w:after="0" w:line="240" w:lineRule="auto"/>
              <w:ind w:firstLine="0" w:firstLineChars="0"/>
              <w:jc w:val="center"/>
              <w:rPr>
                <w:color w:val="auto"/>
                <w:sz w:val="21"/>
                <w:szCs w:val="21"/>
              </w:rPr>
            </w:pPr>
            <w:r>
              <w:rPr>
                <w:color w:val="auto"/>
                <w:sz w:val="21"/>
                <w:szCs w:val="21"/>
              </w:rPr>
              <w:t>√</w:t>
            </w:r>
          </w:p>
        </w:tc>
        <w:tc>
          <w:tcPr>
            <w:tcW w:w="694" w:type="pct"/>
            <w:vAlign w:val="center"/>
          </w:tcPr>
          <w:p>
            <w:pPr>
              <w:pStyle w:val="2"/>
              <w:spacing w:after="0" w:line="240" w:lineRule="auto"/>
              <w:ind w:firstLine="0" w:firstLineChars="0"/>
              <w:jc w:val="center"/>
              <w:rPr>
                <w:color w:val="auto"/>
                <w:sz w:val="21"/>
                <w:szCs w:val="21"/>
              </w:rPr>
            </w:pPr>
            <w:r>
              <w:rPr>
                <w:color w:val="auto"/>
                <w:sz w:val="21"/>
                <w:szCs w:val="21"/>
              </w:rPr>
              <w:t>√</w:t>
            </w:r>
          </w:p>
        </w:tc>
        <w:tc>
          <w:tcPr>
            <w:tcW w:w="418" w:type="pct"/>
            <w:vAlign w:val="center"/>
          </w:tcPr>
          <w:p>
            <w:pPr>
              <w:pStyle w:val="2"/>
              <w:spacing w:after="0" w:line="240" w:lineRule="auto"/>
              <w:ind w:firstLine="0" w:firstLineChars="0"/>
              <w:jc w:val="center"/>
              <w:rPr>
                <w:color w:val="auto"/>
                <w:sz w:val="21"/>
                <w:szCs w:val="21"/>
              </w:rPr>
            </w:pPr>
          </w:p>
        </w:tc>
        <w:tc>
          <w:tcPr>
            <w:tcW w:w="418" w:type="pct"/>
            <w:vAlign w:val="center"/>
          </w:tcPr>
          <w:p>
            <w:pPr>
              <w:pStyle w:val="2"/>
              <w:spacing w:after="0" w:line="240" w:lineRule="auto"/>
              <w:ind w:firstLine="0" w:firstLineChars="0"/>
              <w:jc w:val="center"/>
              <w:rPr>
                <w:color w:val="auto"/>
                <w:sz w:val="21"/>
                <w:szCs w:val="21"/>
              </w:rPr>
            </w:pPr>
          </w:p>
        </w:tc>
        <w:tc>
          <w:tcPr>
            <w:tcW w:w="418" w:type="pct"/>
            <w:vAlign w:val="center"/>
          </w:tcPr>
          <w:p>
            <w:pPr>
              <w:pStyle w:val="2"/>
              <w:spacing w:after="0" w:line="240" w:lineRule="auto"/>
              <w:ind w:firstLine="0" w:firstLineChars="0"/>
              <w:jc w:val="center"/>
              <w:rPr>
                <w:color w:val="auto"/>
                <w:sz w:val="21"/>
                <w:szCs w:val="21"/>
              </w:rPr>
            </w:pPr>
          </w:p>
        </w:tc>
        <w:tc>
          <w:tcPr>
            <w:tcW w:w="418" w:type="pct"/>
            <w:vAlign w:val="center"/>
          </w:tcPr>
          <w:p>
            <w:pPr>
              <w:pStyle w:val="2"/>
              <w:spacing w:after="0" w:line="240" w:lineRule="auto"/>
              <w:ind w:firstLine="0" w:firstLineChars="0"/>
              <w:jc w:val="center"/>
              <w:rPr>
                <w:color w:val="auto"/>
                <w:sz w:val="21"/>
                <w:szCs w:val="21"/>
              </w:rPr>
            </w:pPr>
          </w:p>
        </w:tc>
        <w:tc>
          <w:tcPr>
            <w:tcW w:w="417" w:type="pct"/>
            <w:vAlign w:val="center"/>
          </w:tcPr>
          <w:p>
            <w:pPr>
              <w:pStyle w:val="2"/>
              <w:spacing w:after="0"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0" w:type="pct"/>
            <w:vAlign w:val="center"/>
          </w:tcPr>
          <w:p>
            <w:pPr>
              <w:pStyle w:val="2"/>
              <w:spacing w:after="0" w:line="240" w:lineRule="auto"/>
              <w:ind w:firstLine="0" w:firstLineChars="0"/>
              <w:jc w:val="center"/>
              <w:rPr>
                <w:color w:val="auto"/>
                <w:sz w:val="21"/>
                <w:szCs w:val="21"/>
              </w:rPr>
            </w:pPr>
            <w:r>
              <w:rPr>
                <w:color w:val="auto"/>
                <w:sz w:val="21"/>
                <w:szCs w:val="21"/>
              </w:rPr>
              <w:t>服务期满后</w:t>
            </w:r>
          </w:p>
        </w:tc>
        <w:tc>
          <w:tcPr>
            <w:tcW w:w="694" w:type="pct"/>
            <w:vAlign w:val="center"/>
          </w:tcPr>
          <w:p>
            <w:pPr>
              <w:pStyle w:val="2"/>
              <w:spacing w:after="0" w:line="240" w:lineRule="auto"/>
              <w:ind w:firstLine="0" w:firstLineChars="0"/>
              <w:jc w:val="center"/>
              <w:rPr>
                <w:color w:val="auto"/>
                <w:sz w:val="21"/>
                <w:szCs w:val="21"/>
              </w:rPr>
            </w:pPr>
          </w:p>
        </w:tc>
        <w:tc>
          <w:tcPr>
            <w:tcW w:w="694" w:type="pct"/>
            <w:vAlign w:val="center"/>
          </w:tcPr>
          <w:p>
            <w:pPr>
              <w:pStyle w:val="2"/>
              <w:spacing w:after="0" w:line="240" w:lineRule="auto"/>
              <w:ind w:firstLine="0" w:firstLineChars="0"/>
              <w:jc w:val="center"/>
              <w:rPr>
                <w:color w:val="auto"/>
                <w:sz w:val="21"/>
                <w:szCs w:val="21"/>
              </w:rPr>
            </w:pPr>
          </w:p>
        </w:tc>
        <w:tc>
          <w:tcPr>
            <w:tcW w:w="694" w:type="pct"/>
            <w:vAlign w:val="center"/>
          </w:tcPr>
          <w:p>
            <w:pPr>
              <w:pStyle w:val="2"/>
              <w:spacing w:after="0" w:line="240" w:lineRule="auto"/>
              <w:ind w:firstLine="0" w:firstLineChars="0"/>
              <w:jc w:val="center"/>
              <w:rPr>
                <w:color w:val="auto"/>
                <w:sz w:val="21"/>
                <w:szCs w:val="21"/>
              </w:rPr>
            </w:pPr>
            <w:r>
              <w:rPr>
                <w:color w:val="auto"/>
                <w:sz w:val="21"/>
                <w:szCs w:val="21"/>
              </w:rPr>
              <w:t>√</w:t>
            </w:r>
          </w:p>
        </w:tc>
        <w:tc>
          <w:tcPr>
            <w:tcW w:w="418" w:type="pct"/>
            <w:vAlign w:val="center"/>
          </w:tcPr>
          <w:p>
            <w:pPr>
              <w:pStyle w:val="2"/>
              <w:spacing w:after="0" w:line="240" w:lineRule="auto"/>
              <w:ind w:firstLine="0" w:firstLineChars="0"/>
              <w:jc w:val="center"/>
              <w:rPr>
                <w:color w:val="auto"/>
                <w:sz w:val="21"/>
                <w:szCs w:val="21"/>
              </w:rPr>
            </w:pPr>
          </w:p>
        </w:tc>
        <w:tc>
          <w:tcPr>
            <w:tcW w:w="418" w:type="pct"/>
            <w:vAlign w:val="center"/>
          </w:tcPr>
          <w:p>
            <w:pPr>
              <w:pStyle w:val="2"/>
              <w:spacing w:after="0" w:line="240" w:lineRule="auto"/>
              <w:ind w:firstLine="0" w:firstLineChars="0"/>
              <w:jc w:val="center"/>
              <w:rPr>
                <w:color w:val="auto"/>
                <w:sz w:val="21"/>
                <w:szCs w:val="21"/>
              </w:rPr>
            </w:pPr>
          </w:p>
        </w:tc>
        <w:tc>
          <w:tcPr>
            <w:tcW w:w="418" w:type="pct"/>
            <w:vAlign w:val="center"/>
          </w:tcPr>
          <w:p>
            <w:pPr>
              <w:pStyle w:val="2"/>
              <w:spacing w:after="0" w:line="240" w:lineRule="auto"/>
              <w:ind w:firstLine="0" w:firstLineChars="0"/>
              <w:jc w:val="center"/>
              <w:rPr>
                <w:color w:val="auto"/>
                <w:sz w:val="21"/>
                <w:szCs w:val="21"/>
              </w:rPr>
            </w:pPr>
          </w:p>
        </w:tc>
        <w:tc>
          <w:tcPr>
            <w:tcW w:w="418" w:type="pct"/>
            <w:vAlign w:val="center"/>
          </w:tcPr>
          <w:p>
            <w:pPr>
              <w:pStyle w:val="2"/>
              <w:spacing w:after="0" w:line="240" w:lineRule="auto"/>
              <w:ind w:firstLine="0" w:firstLineChars="0"/>
              <w:jc w:val="center"/>
              <w:rPr>
                <w:color w:val="auto"/>
                <w:sz w:val="21"/>
                <w:szCs w:val="21"/>
              </w:rPr>
            </w:pPr>
          </w:p>
        </w:tc>
        <w:tc>
          <w:tcPr>
            <w:tcW w:w="417" w:type="pct"/>
            <w:vAlign w:val="center"/>
          </w:tcPr>
          <w:p>
            <w:pPr>
              <w:pStyle w:val="2"/>
              <w:spacing w:after="0"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00" w:type="pct"/>
            <w:gridSpan w:val="9"/>
            <w:vAlign w:val="center"/>
          </w:tcPr>
          <w:p>
            <w:pPr>
              <w:pStyle w:val="2"/>
              <w:spacing w:after="0" w:line="240" w:lineRule="auto"/>
              <w:jc w:val="left"/>
              <w:rPr>
                <w:color w:val="auto"/>
                <w:sz w:val="21"/>
                <w:szCs w:val="21"/>
              </w:rPr>
            </w:pPr>
            <w:r>
              <w:rPr>
                <w:color w:val="auto"/>
                <w:sz w:val="21"/>
                <w:szCs w:val="21"/>
              </w:rPr>
              <w:t>注：在可能产生的土壤环境影响类型处打“√”，列表未涵盖的可自行设计。</w:t>
            </w:r>
          </w:p>
        </w:tc>
      </w:tr>
    </w:tbl>
    <w:p>
      <w:pPr>
        <w:pStyle w:val="2"/>
        <w:spacing w:after="0" w:line="360" w:lineRule="auto"/>
        <w:ind w:firstLine="480"/>
        <w:rPr>
          <w:color w:val="auto"/>
        </w:rPr>
      </w:pPr>
      <w:r>
        <w:rPr>
          <w:color w:val="auto"/>
        </w:rPr>
        <w:t>（2）建设项目土壤环境影响源及影响因子识别</w:t>
      </w:r>
    </w:p>
    <w:p>
      <w:pPr>
        <w:ind w:firstLine="480"/>
        <w:rPr>
          <w:color w:val="auto"/>
        </w:rPr>
      </w:pPr>
      <w:r>
        <w:rPr>
          <w:color w:val="auto"/>
        </w:rPr>
        <w:t>本项目土壤环境影响源及影响因子识别见表</w:t>
      </w:r>
      <w:r>
        <w:rPr>
          <w:rFonts w:hint="eastAsia"/>
          <w:color w:val="auto"/>
          <w:lang w:val="en-US" w:eastAsia="zh-CN"/>
        </w:rPr>
        <w:t>5</w:t>
      </w:r>
      <w:r>
        <w:rPr>
          <w:color w:val="auto"/>
        </w:rPr>
        <w:t>.6-2。</w:t>
      </w:r>
    </w:p>
    <w:p>
      <w:pPr>
        <w:pStyle w:val="2"/>
        <w:spacing w:after="0" w:line="360" w:lineRule="auto"/>
        <w:ind w:firstLine="0" w:firstLineChars="0"/>
        <w:jc w:val="center"/>
        <w:rPr>
          <w:rFonts w:eastAsia="黑体"/>
          <w:b/>
          <w:color w:val="auto"/>
          <w:sz w:val="21"/>
          <w:szCs w:val="21"/>
        </w:rPr>
      </w:pPr>
      <w:r>
        <w:rPr>
          <w:rFonts w:eastAsia="黑体"/>
          <w:b/>
          <w:color w:val="auto"/>
          <w:sz w:val="21"/>
          <w:szCs w:val="21"/>
        </w:rPr>
        <w:t>表</w:t>
      </w:r>
      <w:r>
        <w:rPr>
          <w:rFonts w:hint="eastAsia" w:eastAsia="黑体"/>
          <w:b/>
          <w:color w:val="auto"/>
          <w:sz w:val="21"/>
          <w:szCs w:val="21"/>
          <w:lang w:val="en-US" w:eastAsia="zh-CN"/>
        </w:rPr>
        <w:t>5</w:t>
      </w:r>
      <w:r>
        <w:rPr>
          <w:rFonts w:eastAsia="黑体"/>
          <w:b/>
          <w:color w:val="auto"/>
          <w:sz w:val="21"/>
          <w:szCs w:val="21"/>
        </w:rPr>
        <w:t>.6-2 污染影响型建设项目土壤环境影响源及影响因子识别表</w:t>
      </w:r>
    </w:p>
    <w:tbl>
      <w:tblPr>
        <w:tblStyle w:val="22"/>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40"/>
        <w:gridCol w:w="1494"/>
        <w:gridCol w:w="1540"/>
        <w:gridCol w:w="1586"/>
        <w:gridCol w:w="1586"/>
        <w:gridCol w:w="154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40" w:type="dxa"/>
            <w:vAlign w:val="center"/>
          </w:tcPr>
          <w:p>
            <w:pPr>
              <w:spacing w:line="240" w:lineRule="auto"/>
              <w:ind w:firstLine="0" w:firstLineChars="0"/>
              <w:jc w:val="center"/>
              <w:rPr>
                <w:b/>
                <w:color w:val="auto"/>
                <w:sz w:val="21"/>
                <w:szCs w:val="21"/>
              </w:rPr>
            </w:pPr>
            <w:r>
              <w:rPr>
                <w:b/>
                <w:color w:val="auto"/>
                <w:sz w:val="21"/>
                <w:szCs w:val="21"/>
              </w:rPr>
              <w:t>污染源</w:t>
            </w:r>
          </w:p>
        </w:tc>
        <w:tc>
          <w:tcPr>
            <w:tcW w:w="1494" w:type="dxa"/>
            <w:vAlign w:val="center"/>
          </w:tcPr>
          <w:p>
            <w:pPr>
              <w:spacing w:line="240" w:lineRule="auto"/>
              <w:ind w:firstLine="0" w:firstLineChars="0"/>
              <w:jc w:val="center"/>
              <w:rPr>
                <w:b/>
                <w:color w:val="auto"/>
                <w:sz w:val="21"/>
                <w:szCs w:val="21"/>
              </w:rPr>
            </w:pPr>
            <w:r>
              <w:rPr>
                <w:b/>
                <w:color w:val="auto"/>
                <w:sz w:val="21"/>
                <w:szCs w:val="21"/>
              </w:rPr>
              <w:t>工艺流程/节点</w:t>
            </w:r>
          </w:p>
        </w:tc>
        <w:tc>
          <w:tcPr>
            <w:tcW w:w="1540" w:type="dxa"/>
            <w:vAlign w:val="center"/>
          </w:tcPr>
          <w:p>
            <w:pPr>
              <w:spacing w:line="240" w:lineRule="auto"/>
              <w:ind w:firstLine="0" w:firstLineChars="0"/>
              <w:jc w:val="center"/>
              <w:rPr>
                <w:b/>
                <w:color w:val="auto"/>
                <w:sz w:val="21"/>
                <w:szCs w:val="21"/>
              </w:rPr>
            </w:pPr>
            <w:r>
              <w:rPr>
                <w:b/>
                <w:color w:val="auto"/>
                <w:sz w:val="21"/>
                <w:szCs w:val="21"/>
              </w:rPr>
              <w:t>污染途径</w:t>
            </w:r>
          </w:p>
        </w:tc>
        <w:tc>
          <w:tcPr>
            <w:tcW w:w="1586" w:type="dxa"/>
            <w:vAlign w:val="center"/>
          </w:tcPr>
          <w:p>
            <w:pPr>
              <w:spacing w:line="240" w:lineRule="auto"/>
              <w:ind w:firstLine="0" w:firstLineChars="0"/>
              <w:jc w:val="center"/>
              <w:rPr>
                <w:b/>
                <w:color w:val="auto"/>
                <w:sz w:val="21"/>
                <w:szCs w:val="21"/>
              </w:rPr>
            </w:pPr>
            <w:r>
              <w:rPr>
                <w:b/>
                <w:color w:val="auto"/>
                <w:sz w:val="21"/>
                <w:szCs w:val="21"/>
              </w:rPr>
              <w:t>全部污染物指标</w:t>
            </w:r>
          </w:p>
        </w:tc>
        <w:tc>
          <w:tcPr>
            <w:tcW w:w="1586" w:type="dxa"/>
            <w:vAlign w:val="center"/>
          </w:tcPr>
          <w:p>
            <w:pPr>
              <w:spacing w:line="240" w:lineRule="auto"/>
              <w:ind w:firstLine="0" w:firstLineChars="0"/>
              <w:jc w:val="center"/>
              <w:rPr>
                <w:b/>
                <w:color w:val="auto"/>
                <w:sz w:val="21"/>
                <w:szCs w:val="21"/>
              </w:rPr>
            </w:pPr>
            <w:r>
              <w:rPr>
                <w:b/>
                <w:color w:val="auto"/>
                <w:sz w:val="21"/>
                <w:szCs w:val="21"/>
              </w:rPr>
              <w:t>特征污染因子</w:t>
            </w:r>
          </w:p>
        </w:tc>
        <w:tc>
          <w:tcPr>
            <w:tcW w:w="1540" w:type="dxa"/>
            <w:vAlign w:val="center"/>
          </w:tcPr>
          <w:p>
            <w:pPr>
              <w:spacing w:line="240" w:lineRule="auto"/>
              <w:ind w:firstLine="0" w:firstLineChars="0"/>
              <w:jc w:val="center"/>
              <w:rPr>
                <w:b/>
                <w:color w:val="auto"/>
                <w:sz w:val="21"/>
                <w:szCs w:val="21"/>
              </w:rPr>
            </w:pPr>
            <w:r>
              <w:rPr>
                <w:b/>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40" w:type="dxa"/>
            <w:vAlign w:val="center"/>
          </w:tcPr>
          <w:p>
            <w:pPr>
              <w:spacing w:line="240" w:lineRule="auto"/>
              <w:ind w:firstLine="0" w:firstLineChars="0"/>
              <w:jc w:val="center"/>
              <w:rPr>
                <w:color w:val="auto"/>
                <w:sz w:val="21"/>
                <w:szCs w:val="21"/>
              </w:rPr>
            </w:pPr>
            <w:r>
              <w:rPr>
                <w:color w:val="auto"/>
                <w:sz w:val="21"/>
                <w:szCs w:val="21"/>
              </w:rPr>
              <w:t>生产车间</w:t>
            </w:r>
          </w:p>
        </w:tc>
        <w:tc>
          <w:tcPr>
            <w:tcW w:w="1494" w:type="dxa"/>
            <w:vAlign w:val="center"/>
          </w:tcPr>
          <w:p>
            <w:pPr>
              <w:spacing w:line="240" w:lineRule="auto"/>
              <w:ind w:firstLine="0" w:firstLineChars="0"/>
              <w:jc w:val="center"/>
              <w:rPr>
                <w:color w:val="auto"/>
                <w:sz w:val="21"/>
                <w:szCs w:val="21"/>
              </w:rPr>
            </w:pPr>
            <w:r>
              <w:rPr>
                <w:color w:val="auto"/>
                <w:sz w:val="21"/>
                <w:szCs w:val="21"/>
              </w:rPr>
              <w:t>聚合工段/液体物料泄露</w:t>
            </w:r>
          </w:p>
        </w:tc>
        <w:tc>
          <w:tcPr>
            <w:tcW w:w="1540" w:type="dxa"/>
            <w:vAlign w:val="center"/>
          </w:tcPr>
          <w:p>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大气沉降</w:t>
            </w:r>
          </w:p>
        </w:tc>
        <w:tc>
          <w:tcPr>
            <w:tcW w:w="1586" w:type="dxa"/>
            <w:vAlign w:val="center"/>
          </w:tcPr>
          <w:p>
            <w:pPr>
              <w:spacing w:line="240" w:lineRule="auto"/>
              <w:ind w:firstLine="0" w:firstLineChars="0"/>
              <w:jc w:val="center"/>
              <w:rPr>
                <w:color w:val="auto"/>
                <w:sz w:val="21"/>
                <w:szCs w:val="21"/>
              </w:rPr>
            </w:pPr>
            <w:r>
              <w:rPr>
                <w:rFonts w:hint="eastAsia"/>
                <w:color w:val="auto"/>
                <w:sz w:val="21"/>
                <w:szCs w:val="21"/>
                <w:lang w:val="en-US" w:eastAsia="zh-CN"/>
              </w:rPr>
              <w:t>VOCs</w:t>
            </w:r>
          </w:p>
        </w:tc>
        <w:tc>
          <w:tcPr>
            <w:tcW w:w="1586" w:type="dxa"/>
            <w:vAlign w:val="center"/>
          </w:tcPr>
          <w:p>
            <w:pPr>
              <w:spacing w:line="240" w:lineRule="auto"/>
              <w:ind w:firstLine="0" w:firstLineChars="0"/>
              <w:jc w:val="center"/>
              <w:rPr>
                <w:color w:val="auto"/>
                <w:sz w:val="21"/>
                <w:szCs w:val="21"/>
              </w:rPr>
            </w:pPr>
            <w:r>
              <w:rPr>
                <w:rFonts w:hint="eastAsia"/>
                <w:color w:val="auto"/>
                <w:sz w:val="21"/>
                <w:szCs w:val="21"/>
                <w:lang w:val="en-US" w:eastAsia="zh-CN"/>
              </w:rPr>
              <w:t>VOCs</w:t>
            </w:r>
          </w:p>
        </w:tc>
        <w:tc>
          <w:tcPr>
            <w:tcW w:w="1540" w:type="dxa"/>
            <w:vAlign w:val="center"/>
          </w:tcPr>
          <w:p>
            <w:pPr>
              <w:spacing w:line="240" w:lineRule="auto"/>
              <w:ind w:firstLine="0" w:firstLineChars="0"/>
              <w:jc w:val="center"/>
              <w:rPr>
                <w:color w:val="auto"/>
                <w:sz w:val="21"/>
                <w:szCs w:val="21"/>
              </w:rPr>
            </w:pPr>
            <w:r>
              <w:rPr>
                <w:color w:val="auto"/>
                <w:sz w:val="21"/>
                <w:szCs w:val="21"/>
              </w:rPr>
              <w:t>事故，短时排放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40" w:type="dxa"/>
            <w:vAlign w:val="center"/>
          </w:tcPr>
          <w:p>
            <w:pPr>
              <w:spacing w:line="240" w:lineRule="auto"/>
              <w:ind w:firstLine="0" w:firstLineChars="0"/>
              <w:jc w:val="center"/>
              <w:rPr>
                <w:color w:val="auto"/>
                <w:sz w:val="21"/>
                <w:szCs w:val="21"/>
              </w:rPr>
            </w:pPr>
            <w:r>
              <w:rPr>
                <w:color w:val="auto"/>
                <w:sz w:val="21"/>
                <w:szCs w:val="21"/>
              </w:rPr>
              <w:t>罐区</w:t>
            </w:r>
          </w:p>
        </w:tc>
        <w:tc>
          <w:tcPr>
            <w:tcW w:w="1494" w:type="dxa"/>
            <w:vAlign w:val="center"/>
          </w:tcPr>
          <w:p>
            <w:pPr>
              <w:spacing w:line="240" w:lineRule="auto"/>
              <w:ind w:firstLine="0" w:firstLineChars="0"/>
              <w:jc w:val="center"/>
              <w:rPr>
                <w:color w:val="auto"/>
                <w:sz w:val="21"/>
                <w:szCs w:val="21"/>
              </w:rPr>
            </w:pPr>
            <w:r>
              <w:rPr>
                <w:color w:val="auto"/>
                <w:sz w:val="21"/>
                <w:szCs w:val="21"/>
              </w:rPr>
              <w:t>罐区/防渗层泄露</w:t>
            </w:r>
          </w:p>
        </w:tc>
        <w:tc>
          <w:tcPr>
            <w:tcW w:w="1540" w:type="dxa"/>
            <w:vAlign w:val="center"/>
          </w:tcPr>
          <w:p>
            <w:pPr>
              <w:spacing w:line="240" w:lineRule="auto"/>
              <w:ind w:firstLine="0" w:firstLineChars="0"/>
              <w:jc w:val="center"/>
              <w:rPr>
                <w:color w:val="auto"/>
                <w:sz w:val="21"/>
                <w:szCs w:val="21"/>
              </w:rPr>
            </w:pPr>
            <w:r>
              <w:rPr>
                <w:color w:val="auto"/>
                <w:sz w:val="21"/>
                <w:szCs w:val="21"/>
              </w:rPr>
              <w:t>垂直入渗</w:t>
            </w:r>
            <w:r>
              <w:rPr>
                <w:rFonts w:hint="eastAsia"/>
                <w:color w:val="auto"/>
                <w:sz w:val="21"/>
                <w:szCs w:val="21"/>
              </w:rPr>
              <w:t>、地面漫流</w:t>
            </w:r>
          </w:p>
        </w:tc>
        <w:tc>
          <w:tcPr>
            <w:tcW w:w="1586" w:type="dxa"/>
            <w:vAlign w:val="center"/>
          </w:tcPr>
          <w:p>
            <w:pPr>
              <w:spacing w:line="240" w:lineRule="auto"/>
              <w:ind w:firstLine="0" w:firstLineChars="0"/>
              <w:jc w:val="center"/>
              <w:rPr>
                <w:color w:val="auto"/>
                <w:sz w:val="21"/>
                <w:szCs w:val="21"/>
              </w:rPr>
            </w:pPr>
            <w:r>
              <w:rPr>
                <w:rFonts w:hint="eastAsia"/>
                <w:color w:val="auto"/>
                <w:sz w:val="21"/>
                <w:szCs w:val="21"/>
              </w:rPr>
              <w:t>乳酸</w:t>
            </w:r>
          </w:p>
        </w:tc>
        <w:tc>
          <w:tcPr>
            <w:tcW w:w="1586" w:type="dxa"/>
            <w:vAlign w:val="center"/>
          </w:tcPr>
          <w:p>
            <w:pPr>
              <w:spacing w:line="240" w:lineRule="auto"/>
              <w:ind w:firstLine="0" w:firstLineChars="0"/>
              <w:jc w:val="center"/>
              <w:rPr>
                <w:color w:val="auto"/>
                <w:sz w:val="21"/>
                <w:szCs w:val="21"/>
              </w:rPr>
            </w:pPr>
            <w:r>
              <w:rPr>
                <w:rFonts w:hint="eastAsia"/>
                <w:color w:val="auto"/>
                <w:sz w:val="21"/>
                <w:szCs w:val="21"/>
              </w:rPr>
              <w:t>乳酸</w:t>
            </w:r>
          </w:p>
        </w:tc>
        <w:tc>
          <w:tcPr>
            <w:tcW w:w="1540" w:type="dxa"/>
            <w:vAlign w:val="center"/>
          </w:tcPr>
          <w:p>
            <w:pPr>
              <w:spacing w:line="240" w:lineRule="auto"/>
              <w:ind w:firstLine="0" w:firstLineChars="0"/>
              <w:jc w:val="center"/>
              <w:rPr>
                <w:color w:val="auto"/>
                <w:sz w:val="21"/>
                <w:szCs w:val="21"/>
              </w:rPr>
            </w:pPr>
            <w:r>
              <w:rPr>
                <w:color w:val="auto"/>
                <w:sz w:val="21"/>
                <w:szCs w:val="21"/>
              </w:rPr>
              <w:t>事故，短时排放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40" w:type="dxa"/>
            <w:vAlign w:val="center"/>
          </w:tcPr>
          <w:p>
            <w:pPr>
              <w:spacing w:line="240" w:lineRule="auto"/>
              <w:ind w:firstLine="0" w:firstLineChars="0"/>
              <w:jc w:val="center"/>
              <w:rPr>
                <w:color w:val="auto"/>
                <w:sz w:val="21"/>
                <w:szCs w:val="21"/>
              </w:rPr>
            </w:pPr>
            <w:r>
              <w:rPr>
                <w:color w:val="auto"/>
                <w:sz w:val="21"/>
                <w:szCs w:val="21"/>
              </w:rPr>
              <w:t>危废仓库</w:t>
            </w:r>
          </w:p>
        </w:tc>
        <w:tc>
          <w:tcPr>
            <w:tcW w:w="1494" w:type="dxa"/>
            <w:vAlign w:val="center"/>
          </w:tcPr>
          <w:p>
            <w:pPr>
              <w:spacing w:line="240" w:lineRule="auto"/>
              <w:ind w:firstLine="0" w:firstLineChars="0"/>
              <w:jc w:val="center"/>
              <w:rPr>
                <w:color w:val="auto"/>
                <w:sz w:val="21"/>
                <w:szCs w:val="21"/>
              </w:rPr>
            </w:pPr>
            <w:r>
              <w:rPr>
                <w:color w:val="auto"/>
                <w:sz w:val="21"/>
                <w:szCs w:val="21"/>
              </w:rPr>
              <w:t>危废间/防渗层泄露</w:t>
            </w:r>
          </w:p>
        </w:tc>
        <w:tc>
          <w:tcPr>
            <w:tcW w:w="1540" w:type="dxa"/>
            <w:vAlign w:val="center"/>
          </w:tcPr>
          <w:p>
            <w:pPr>
              <w:spacing w:line="240" w:lineRule="auto"/>
              <w:ind w:firstLine="0" w:firstLineChars="0"/>
              <w:jc w:val="center"/>
              <w:rPr>
                <w:color w:val="auto"/>
                <w:sz w:val="21"/>
                <w:szCs w:val="21"/>
              </w:rPr>
            </w:pPr>
            <w:r>
              <w:rPr>
                <w:color w:val="auto"/>
                <w:sz w:val="21"/>
                <w:szCs w:val="21"/>
              </w:rPr>
              <w:t>垂直入渗</w:t>
            </w:r>
            <w:r>
              <w:rPr>
                <w:rFonts w:hint="eastAsia"/>
                <w:color w:val="auto"/>
                <w:sz w:val="21"/>
                <w:szCs w:val="21"/>
              </w:rPr>
              <w:t>、地面漫流</w:t>
            </w:r>
          </w:p>
        </w:tc>
        <w:tc>
          <w:tcPr>
            <w:tcW w:w="1586" w:type="dxa"/>
            <w:vAlign w:val="center"/>
          </w:tcPr>
          <w:p>
            <w:pPr>
              <w:spacing w:line="240" w:lineRule="auto"/>
              <w:ind w:firstLine="0" w:firstLineChars="0"/>
              <w:jc w:val="center"/>
              <w:rPr>
                <w:color w:val="auto"/>
                <w:sz w:val="21"/>
                <w:szCs w:val="21"/>
              </w:rPr>
            </w:pPr>
            <w:r>
              <w:rPr>
                <w:color w:val="auto"/>
                <w:sz w:val="21"/>
                <w:szCs w:val="21"/>
              </w:rPr>
              <w:t>石油烃类</w:t>
            </w:r>
          </w:p>
        </w:tc>
        <w:tc>
          <w:tcPr>
            <w:tcW w:w="1586" w:type="dxa"/>
            <w:vAlign w:val="center"/>
          </w:tcPr>
          <w:p>
            <w:pPr>
              <w:spacing w:line="240" w:lineRule="auto"/>
              <w:ind w:firstLine="0" w:firstLineChars="0"/>
              <w:jc w:val="center"/>
              <w:rPr>
                <w:color w:val="auto"/>
                <w:sz w:val="21"/>
                <w:szCs w:val="21"/>
              </w:rPr>
            </w:pPr>
            <w:r>
              <w:rPr>
                <w:color w:val="auto"/>
                <w:sz w:val="21"/>
                <w:szCs w:val="21"/>
              </w:rPr>
              <w:t>石油烃类</w:t>
            </w:r>
          </w:p>
        </w:tc>
        <w:tc>
          <w:tcPr>
            <w:tcW w:w="1540" w:type="dxa"/>
            <w:vAlign w:val="center"/>
          </w:tcPr>
          <w:p>
            <w:pPr>
              <w:spacing w:line="240" w:lineRule="auto"/>
              <w:ind w:firstLine="0" w:firstLineChars="0"/>
              <w:jc w:val="center"/>
              <w:rPr>
                <w:color w:val="auto"/>
                <w:sz w:val="21"/>
                <w:szCs w:val="21"/>
              </w:rPr>
            </w:pPr>
            <w:r>
              <w:rPr>
                <w:color w:val="auto"/>
                <w:sz w:val="21"/>
                <w:szCs w:val="21"/>
              </w:rPr>
              <w:t>事故，短时排放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40" w:type="dxa"/>
            <w:vAlign w:val="center"/>
          </w:tcPr>
          <w:p>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锅炉房</w:t>
            </w:r>
          </w:p>
        </w:tc>
        <w:tc>
          <w:tcPr>
            <w:tcW w:w="1494" w:type="dxa"/>
            <w:vAlign w:val="center"/>
          </w:tcPr>
          <w:p>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锅炉房/导热油炉泄露</w:t>
            </w:r>
          </w:p>
        </w:tc>
        <w:tc>
          <w:tcPr>
            <w:tcW w:w="1540" w:type="dxa"/>
            <w:vAlign w:val="center"/>
          </w:tcPr>
          <w:p>
            <w:pPr>
              <w:spacing w:line="240" w:lineRule="auto"/>
              <w:ind w:firstLine="0" w:firstLineChars="0"/>
              <w:jc w:val="center"/>
              <w:rPr>
                <w:color w:val="auto"/>
                <w:sz w:val="21"/>
                <w:szCs w:val="21"/>
              </w:rPr>
            </w:pPr>
            <w:r>
              <w:rPr>
                <w:color w:val="auto"/>
                <w:sz w:val="21"/>
                <w:szCs w:val="21"/>
              </w:rPr>
              <w:t>垂直入渗</w:t>
            </w:r>
            <w:r>
              <w:rPr>
                <w:rFonts w:hint="eastAsia"/>
                <w:color w:val="auto"/>
                <w:sz w:val="21"/>
                <w:szCs w:val="21"/>
              </w:rPr>
              <w:t>、地面漫流</w:t>
            </w:r>
          </w:p>
        </w:tc>
        <w:tc>
          <w:tcPr>
            <w:tcW w:w="1586" w:type="dxa"/>
            <w:vAlign w:val="center"/>
          </w:tcPr>
          <w:p>
            <w:pPr>
              <w:spacing w:line="240" w:lineRule="auto"/>
              <w:ind w:firstLine="0" w:firstLineChars="0"/>
              <w:jc w:val="center"/>
              <w:rPr>
                <w:color w:val="auto"/>
                <w:sz w:val="21"/>
                <w:szCs w:val="21"/>
              </w:rPr>
            </w:pPr>
            <w:r>
              <w:rPr>
                <w:color w:val="auto"/>
                <w:sz w:val="21"/>
                <w:szCs w:val="21"/>
              </w:rPr>
              <w:t>石油烃类</w:t>
            </w:r>
          </w:p>
        </w:tc>
        <w:tc>
          <w:tcPr>
            <w:tcW w:w="1586" w:type="dxa"/>
            <w:vAlign w:val="center"/>
          </w:tcPr>
          <w:p>
            <w:pPr>
              <w:spacing w:line="240" w:lineRule="auto"/>
              <w:ind w:firstLine="0" w:firstLineChars="0"/>
              <w:jc w:val="center"/>
              <w:rPr>
                <w:color w:val="auto"/>
                <w:sz w:val="21"/>
                <w:szCs w:val="21"/>
              </w:rPr>
            </w:pPr>
            <w:r>
              <w:rPr>
                <w:color w:val="auto"/>
                <w:sz w:val="21"/>
                <w:szCs w:val="21"/>
              </w:rPr>
              <w:t>石油烃类</w:t>
            </w:r>
          </w:p>
        </w:tc>
        <w:tc>
          <w:tcPr>
            <w:tcW w:w="1540" w:type="dxa"/>
            <w:vAlign w:val="center"/>
          </w:tcPr>
          <w:p>
            <w:pPr>
              <w:spacing w:line="240" w:lineRule="auto"/>
              <w:ind w:firstLine="0" w:firstLineChars="0"/>
              <w:jc w:val="center"/>
              <w:rPr>
                <w:color w:val="auto"/>
                <w:sz w:val="21"/>
                <w:szCs w:val="21"/>
              </w:rPr>
            </w:pPr>
            <w:r>
              <w:rPr>
                <w:color w:val="auto"/>
                <w:sz w:val="21"/>
                <w:szCs w:val="21"/>
              </w:rPr>
              <w:t>事故，短时排放</w:t>
            </w:r>
          </w:p>
        </w:tc>
      </w:tr>
    </w:tbl>
    <w:p>
      <w:pPr>
        <w:pStyle w:val="10"/>
        <w:spacing w:line="360" w:lineRule="auto"/>
        <w:rPr>
          <w:color w:val="auto"/>
        </w:rPr>
      </w:pPr>
      <w:r>
        <w:rPr>
          <w:rFonts w:hint="eastAsia"/>
          <w:color w:val="auto"/>
        </w:rPr>
        <w:t>5</w:t>
      </w:r>
      <w:r>
        <w:rPr>
          <w:color w:val="auto"/>
        </w:rPr>
        <w:t>.6.1.3土壤环境敏感目标识别</w:t>
      </w:r>
    </w:p>
    <w:p>
      <w:pPr>
        <w:ind w:firstLine="480"/>
        <w:rPr>
          <w:color w:val="auto"/>
        </w:rPr>
      </w:pPr>
      <w:r>
        <w:rPr>
          <w:rFonts w:hint="eastAsia"/>
          <w:color w:val="auto"/>
        </w:rPr>
        <w:t>拟建</w:t>
      </w:r>
      <w:r>
        <w:rPr>
          <w:color w:val="auto"/>
        </w:rPr>
        <w:t>项目</w:t>
      </w:r>
      <w:r>
        <w:rPr>
          <w:rFonts w:hint="eastAsia"/>
          <w:color w:val="auto"/>
        </w:rPr>
        <w:t>西侧为农林用地存在</w:t>
      </w:r>
      <w:r>
        <w:rPr>
          <w:color w:val="auto"/>
        </w:rPr>
        <w:t>土壤环境敏感目标</w:t>
      </w:r>
      <w:r>
        <w:rPr>
          <w:rFonts w:hint="eastAsia"/>
          <w:color w:val="auto"/>
        </w:rPr>
        <w:t>，具体见图5.6-1，表5.6-3：</w:t>
      </w:r>
    </w:p>
    <w:p>
      <w:pPr>
        <w:pStyle w:val="2"/>
        <w:spacing w:after="0"/>
        <w:ind w:firstLine="480"/>
        <w:rPr>
          <w:color w:val="auto"/>
        </w:rPr>
      </w:pPr>
    </w:p>
    <w:p>
      <w:pPr>
        <w:ind w:firstLine="480"/>
        <w:rPr>
          <w:color w:val="auto"/>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pPr>
        <w:pStyle w:val="2"/>
        <w:spacing w:after="0"/>
        <w:ind w:firstLine="0" w:firstLineChars="0"/>
        <w:jc w:val="center"/>
        <w:rPr>
          <w:rFonts w:eastAsia="黑体"/>
          <w:color w:val="auto"/>
          <w:sz w:val="21"/>
          <w:szCs w:val="21"/>
        </w:rPr>
        <w:sectPr>
          <w:headerReference r:id="rId44" w:type="default"/>
          <w:pgSz w:w="16838" w:h="11906" w:orient="landscape"/>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r>
        <w:rPr>
          <w:rFonts w:eastAsia="黑体"/>
          <w:color w:val="auto"/>
          <w:sz w:val="21"/>
          <w:szCs w:val="21"/>
        </w:rPr>
        <w:drawing>
          <wp:anchor distT="0" distB="0" distL="114300" distR="114300" simplePos="0" relativeHeight="251708416" behindDoc="0" locked="0" layoutInCell="1" allowOverlap="1">
            <wp:simplePos x="0" y="0"/>
            <wp:positionH relativeFrom="column">
              <wp:posOffset>424180</wp:posOffset>
            </wp:positionH>
            <wp:positionV relativeFrom="paragraph">
              <wp:posOffset>107950</wp:posOffset>
            </wp:positionV>
            <wp:extent cx="7939405" cy="5110480"/>
            <wp:effectExtent l="0" t="0" r="4445" b="13970"/>
            <wp:wrapTopAndBottom/>
            <wp:docPr id="131" name="图片 131" descr="1657277147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1657277147790"/>
                    <pic:cNvPicPr>
                      <a:picLocks noChangeAspect="1"/>
                    </pic:cNvPicPr>
                  </pic:nvPicPr>
                  <pic:blipFill>
                    <a:blip r:embed="rId130"/>
                    <a:stretch>
                      <a:fillRect/>
                    </a:stretch>
                  </pic:blipFill>
                  <pic:spPr>
                    <a:xfrm>
                      <a:off x="0" y="0"/>
                      <a:ext cx="7939405" cy="5110480"/>
                    </a:xfrm>
                    <a:prstGeom prst="rect">
                      <a:avLst/>
                    </a:prstGeom>
                  </pic:spPr>
                </pic:pic>
              </a:graphicData>
            </a:graphic>
          </wp:anchor>
        </w:drawing>
      </w:r>
      <w:r>
        <w:rPr>
          <w:rFonts w:eastAsia="黑体"/>
          <w:color w:val="auto"/>
          <w:sz w:val="21"/>
          <w:szCs w:val="21"/>
        </w:rPr>
        <w:t>图5.6-1 拟建项目周边土壤环境敏感目标</w:t>
      </w:r>
      <w:r>
        <w:rPr>
          <w:rFonts w:hint="eastAsia" w:eastAsia="黑体"/>
          <w:color w:val="auto"/>
          <w:sz w:val="21"/>
          <w:szCs w:val="21"/>
        </w:rPr>
        <w:t>图</w:t>
      </w:r>
    </w:p>
    <w:p>
      <w:pPr>
        <w:ind w:firstLine="0" w:firstLineChars="0"/>
        <w:jc w:val="center"/>
        <w:rPr>
          <w:rFonts w:eastAsia="黑体"/>
          <w:color w:val="auto"/>
          <w:sz w:val="21"/>
          <w:szCs w:val="21"/>
        </w:rPr>
      </w:pPr>
      <w:r>
        <w:rPr>
          <w:rFonts w:hint="eastAsia" w:eastAsia="黑体"/>
          <w:color w:val="auto"/>
          <w:sz w:val="21"/>
          <w:szCs w:val="21"/>
        </w:rPr>
        <w:t>表5.6-3 拟建项目周边土壤环境敏感目标</w:t>
      </w:r>
    </w:p>
    <w:tbl>
      <w:tblPr>
        <w:tblStyle w:val="2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19"/>
        <w:gridCol w:w="2321"/>
        <w:gridCol w:w="2322"/>
        <w:gridCol w:w="23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249" w:type="pct"/>
            <w:tcBorders>
              <w:tl2br w:val="nil"/>
              <w:tr2bl w:val="nil"/>
            </w:tcBorders>
            <w:vAlign w:val="center"/>
          </w:tcPr>
          <w:p>
            <w:pPr>
              <w:pStyle w:val="2"/>
              <w:spacing w:after="0" w:line="312" w:lineRule="exact"/>
              <w:ind w:firstLine="0" w:firstLineChars="0"/>
              <w:jc w:val="center"/>
              <w:rPr>
                <w:b/>
                <w:bCs/>
                <w:color w:val="auto"/>
                <w:sz w:val="21"/>
                <w:szCs w:val="21"/>
              </w:rPr>
            </w:pPr>
            <w:r>
              <w:rPr>
                <w:b/>
                <w:bCs/>
                <w:color w:val="auto"/>
                <w:sz w:val="21"/>
                <w:szCs w:val="21"/>
              </w:rPr>
              <w:t>序号</w:t>
            </w:r>
          </w:p>
        </w:tc>
        <w:tc>
          <w:tcPr>
            <w:tcW w:w="1250" w:type="pct"/>
            <w:tcBorders>
              <w:tl2br w:val="nil"/>
              <w:tr2bl w:val="nil"/>
            </w:tcBorders>
            <w:vAlign w:val="center"/>
          </w:tcPr>
          <w:p>
            <w:pPr>
              <w:pStyle w:val="2"/>
              <w:spacing w:after="0" w:line="312" w:lineRule="exact"/>
              <w:ind w:firstLine="0" w:firstLineChars="0"/>
              <w:jc w:val="center"/>
              <w:rPr>
                <w:b/>
                <w:bCs/>
                <w:color w:val="auto"/>
                <w:sz w:val="21"/>
                <w:szCs w:val="21"/>
              </w:rPr>
            </w:pPr>
            <w:r>
              <w:rPr>
                <w:b/>
                <w:bCs/>
                <w:color w:val="auto"/>
                <w:sz w:val="21"/>
                <w:szCs w:val="21"/>
              </w:rPr>
              <w:t>敏感目标</w:t>
            </w:r>
          </w:p>
        </w:tc>
        <w:tc>
          <w:tcPr>
            <w:tcW w:w="1250" w:type="pct"/>
            <w:tcBorders>
              <w:tl2br w:val="nil"/>
              <w:tr2bl w:val="nil"/>
            </w:tcBorders>
            <w:vAlign w:val="center"/>
          </w:tcPr>
          <w:p>
            <w:pPr>
              <w:pStyle w:val="2"/>
              <w:spacing w:after="0" w:line="312" w:lineRule="exact"/>
              <w:ind w:firstLine="0" w:firstLineChars="0"/>
              <w:jc w:val="center"/>
              <w:rPr>
                <w:b/>
                <w:bCs/>
                <w:color w:val="auto"/>
                <w:sz w:val="21"/>
                <w:szCs w:val="21"/>
              </w:rPr>
            </w:pPr>
            <w:r>
              <w:rPr>
                <w:b/>
                <w:bCs/>
                <w:color w:val="auto"/>
                <w:sz w:val="21"/>
                <w:szCs w:val="21"/>
              </w:rPr>
              <w:t>方位</w:t>
            </w:r>
          </w:p>
        </w:tc>
        <w:tc>
          <w:tcPr>
            <w:tcW w:w="1250" w:type="pct"/>
            <w:tcBorders>
              <w:tl2br w:val="nil"/>
              <w:tr2bl w:val="nil"/>
            </w:tcBorders>
            <w:vAlign w:val="center"/>
          </w:tcPr>
          <w:p>
            <w:pPr>
              <w:pStyle w:val="2"/>
              <w:spacing w:after="0" w:line="312" w:lineRule="exact"/>
              <w:ind w:firstLine="0" w:firstLineChars="0"/>
              <w:jc w:val="center"/>
              <w:rPr>
                <w:b/>
                <w:bCs/>
                <w:color w:val="auto"/>
                <w:sz w:val="21"/>
                <w:szCs w:val="21"/>
              </w:rPr>
            </w:pPr>
            <w:r>
              <w:rPr>
                <w:b/>
                <w:bCs/>
                <w:color w:val="auto"/>
                <w:sz w:val="21"/>
                <w:szCs w:val="21"/>
              </w:rPr>
              <w:t>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1</w:t>
            </w:r>
          </w:p>
        </w:tc>
        <w:tc>
          <w:tcPr>
            <w:tcW w:w="1250"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解营村</w:t>
            </w:r>
          </w:p>
        </w:tc>
        <w:tc>
          <w:tcPr>
            <w:tcW w:w="1250"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WN</w:t>
            </w:r>
          </w:p>
        </w:tc>
        <w:tc>
          <w:tcPr>
            <w:tcW w:w="1250"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2</w:t>
            </w:r>
          </w:p>
        </w:tc>
        <w:tc>
          <w:tcPr>
            <w:tcW w:w="1250"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林地</w:t>
            </w:r>
          </w:p>
        </w:tc>
        <w:tc>
          <w:tcPr>
            <w:tcW w:w="1250"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W</w:t>
            </w:r>
          </w:p>
        </w:tc>
        <w:tc>
          <w:tcPr>
            <w:tcW w:w="1250" w:type="pct"/>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165</w:t>
            </w:r>
          </w:p>
        </w:tc>
      </w:tr>
    </w:tbl>
    <w:p>
      <w:pPr>
        <w:pStyle w:val="9"/>
        <w:spacing w:before="0" w:beforeLines="0" w:after="0" w:afterLines="0" w:line="360" w:lineRule="auto"/>
        <w:rPr>
          <w:color w:val="auto"/>
        </w:rPr>
      </w:pPr>
      <w:r>
        <w:rPr>
          <w:rFonts w:hint="eastAsia"/>
          <w:color w:val="auto"/>
        </w:rPr>
        <w:t>5</w:t>
      </w:r>
      <w:r>
        <w:rPr>
          <w:color w:val="auto"/>
        </w:rPr>
        <w:t>.6.2评价等级</w:t>
      </w:r>
    </w:p>
    <w:p>
      <w:pPr>
        <w:ind w:firstLine="480"/>
        <w:rPr>
          <w:color w:val="auto"/>
        </w:rPr>
      </w:pPr>
      <w:r>
        <w:rPr>
          <w:color w:val="auto"/>
        </w:rPr>
        <w:t>按照HJ2.1 建设项目污染影响和生态影响的相关要求，根据建设项目对土壤环境可能产生的影响，将土壤环境影响类型划分为生态影响型与污染影响型。</w:t>
      </w:r>
    </w:p>
    <w:p>
      <w:pPr>
        <w:ind w:firstLine="480"/>
        <w:rPr>
          <w:color w:val="auto"/>
        </w:rPr>
      </w:pPr>
      <w:r>
        <w:rPr>
          <w:color w:val="auto"/>
        </w:rPr>
        <w:t>通过分析该项目特点，该项目土壤环境影响类型为污染影响型。土壤环境影响评价工作等级划分为一级、二级、三级。</w:t>
      </w:r>
    </w:p>
    <w:p>
      <w:pPr>
        <w:pStyle w:val="10"/>
        <w:spacing w:line="360" w:lineRule="auto"/>
        <w:rPr>
          <w:color w:val="auto"/>
        </w:rPr>
      </w:pPr>
      <w:r>
        <w:rPr>
          <w:rFonts w:hint="eastAsia"/>
          <w:color w:val="auto"/>
        </w:rPr>
        <w:t>5</w:t>
      </w:r>
      <w:r>
        <w:rPr>
          <w:color w:val="auto"/>
        </w:rPr>
        <w:t>.6.2.1建设项目类别的确定</w:t>
      </w:r>
    </w:p>
    <w:p>
      <w:pPr>
        <w:ind w:firstLine="480"/>
        <w:rPr>
          <w:color w:val="auto"/>
        </w:rPr>
      </w:pPr>
      <w:r>
        <w:rPr>
          <w:color w:val="auto"/>
        </w:rPr>
        <w:t>根据行业特征、工艺特点或规模大小等将建设项目类别分为Ⅰ类、Ⅱ类、Ⅲ类、Ⅳ类，详见《环境影响评价技术导则 土壤环境（试行）》（HJ964-2018）附录A。</w:t>
      </w:r>
    </w:p>
    <w:p>
      <w:pPr>
        <w:ind w:firstLine="480"/>
        <w:rPr>
          <w:color w:val="auto"/>
        </w:rPr>
      </w:pPr>
      <w:r>
        <w:rPr>
          <w:rFonts w:hint="eastAsia"/>
          <w:color w:val="auto"/>
        </w:rPr>
        <w:t>拟建</w:t>
      </w:r>
      <w:r>
        <w:rPr>
          <w:color w:val="auto"/>
        </w:rPr>
        <w:t>项目属</w:t>
      </w:r>
      <w:r>
        <w:rPr>
          <w:rFonts w:hint="eastAsia"/>
          <w:color w:val="auto"/>
        </w:rPr>
        <w:t>制造业-纺织、化纤、皮革等及服装、鞋制造-化学纤维制造</w:t>
      </w:r>
      <w:r>
        <w:rPr>
          <w:color w:val="auto"/>
        </w:rPr>
        <w:t>，根据附录A 可知，该项目属于Ⅱ类项目。</w:t>
      </w:r>
    </w:p>
    <w:p>
      <w:pPr>
        <w:pStyle w:val="10"/>
        <w:spacing w:line="360" w:lineRule="auto"/>
        <w:rPr>
          <w:color w:val="auto"/>
        </w:rPr>
      </w:pPr>
      <w:r>
        <w:rPr>
          <w:rFonts w:hint="eastAsia"/>
          <w:color w:val="auto"/>
        </w:rPr>
        <w:t>5</w:t>
      </w:r>
      <w:r>
        <w:rPr>
          <w:color w:val="auto"/>
        </w:rPr>
        <w:t>.6.2.2建设项目占地规模</w:t>
      </w:r>
    </w:p>
    <w:p>
      <w:pPr>
        <w:ind w:firstLine="480"/>
        <w:rPr>
          <w:color w:val="auto"/>
        </w:rPr>
      </w:pPr>
      <w:r>
        <w:rPr>
          <w:color w:val="auto"/>
        </w:rPr>
        <w:t>《环境影响评价技术导则 土壤环境（试行）》（HJ964-2018），6.2.2.1将建设项目占地规模分为大型（≥50 hm</w:t>
      </w:r>
      <w:r>
        <w:rPr>
          <w:color w:val="auto"/>
          <w:vertAlign w:val="superscript"/>
        </w:rPr>
        <w:t>2</w:t>
      </w:r>
      <w:r>
        <w:rPr>
          <w:color w:val="auto"/>
        </w:rPr>
        <w:t>）、中型（5~50 hm</w:t>
      </w:r>
      <w:r>
        <w:rPr>
          <w:color w:val="auto"/>
          <w:vertAlign w:val="superscript"/>
        </w:rPr>
        <w:t>2</w:t>
      </w:r>
      <w:r>
        <w:rPr>
          <w:color w:val="auto"/>
        </w:rPr>
        <w:t>）、小型（≤5hm</w:t>
      </w:r>
      <w:r>
        <w:rPr>
          <w:color w:val="auto"/>
          <w:vertAlign w:val="superscript"/>
        </w:rPr>
        <w:t>2</w:t>
      </w:r>
      <w:r>
        <w:rPr>
          <w:color w:val="auto"/>
        </w:rPr>
        <w:t>），建设项目占地主要为永久占地。</w:t>
      </w:r>
    </w:p>
    <w:p>
      <w:pPr>
        <w:ind w:firstLine="480"/>
        <w:rPr>
          <w:color w:val="auto"/>
        </w:rPr>
      </w:pPr>
      <w:r>
        <w:rPr>
          <w:rFonts w:hint="eastAsia"/>
          <w:color w:val="auto"/>
        </w:rPr>
        <w:t>拟建项目</w:t>
      </w:r>
      <w:r>
        <w:rPr>
          <w:color w:val="auto"/>
        </w:rPr>
        <w:t>占地面积为</w:t>
      </w:r>
      <w:r>
        <w:rPr>
          <w:rStyle w:val="53"/>
          <w:rFonts w:hint="eastAsia"/>
          <w:color w:val="auto"/>
        </w:rPr>
        <w:t>13443.00</w:t>
      </w:r>
      <w:r>
        <w:rPr>
          <w:color w:val="auto"/>
        </w:rPr>
        <w:t>m</w:t>
      </w:r>
      <w:r>
        <w:rPr>
          <w:color w:val="auto"/>
          <w:vertAlign w:val="superscript"/>
        </w:rPr>
        <w:t>2</w:t>
      </w:r>
      <w:r>
        <w:rPr>
          <w:color w:val="auto"/>
        </w:rPr>
        <w:t>，合计</w:t>
      </w:r>
      <w:r>
        <w:rPr>
          <w:rFonts w:hint="eastAsia"/>
          <w:color w:val="auto"/>
        </w:rPr>
        <w:t>1.34</w:t>
      </w:r>
      <w:r>
        <w:rPr>
          <w:color w:val="auto"/>
        </w:rPr>
        <w:t>hm</w:t>
      </w:r>
      <w:r>
        <w:rPr>
          <w:color w:val="auto"/>
          <w:vertAlign w:val="superscript"/>
        </w:rPr>
        <w:t>2</w:t>
      </w:r>
      <w:r>
        <w:rPr>
          <w:color w:val="auto"/>
        </w:rPr>
        <w:t>，</w:t>
      </w:r>
      <w:r>
        <w:rPr>
          <w:rFonts w:hint="eastAsia"/>
          <w:color w:val="auto"/>
        </w:rPr>
        <w:t>拟建项目</w:t>
      </w:r>
      <w:r>
        <w:rPr>
          <w:color w:val="auto"/>
        </w:rPr>
        <w:t>占地规模为小型。</w:t>
      </w:r>
    </w:p>
    <w:p>
      <w:pPr>
        <w:pStyle w:val="10"/>
        <w:spacing w:line="360" w:lineRule="auto"/>
        <w:rPr>
          <w:color w:val="auto"/>
        </w:rPr>
      </w:pPr>
      <w:r>
        <w:rPr>
          <w:rFonts w:hint="eastAsia"/>
          <w:color w:val="auto"/>
        </w:rPr>
        <w:t>5</w:t>
      </w:r>
      <w:r>
        <w:rPr>
          <w:color w:val="auto"/>
        </w:rPr>
        <w:t>.6.2.3土壤环境敏感程度</w:t>
      </w:r>
    </w:p>
    <w:p>
      <w:pPr>
        <w:pStyle w:val="2"/>
        <w:spacing w:after="0"/>
        <w:ind w:firstLine="480"/>
        <w:rPr>
          <w:color w:val="auto"/>
        </w:rPr>
      </w:pPr>
      <w:r>
        <w:rPr>
          <w:color w:val="auto"/>
        </w:rPr>
        <w:t>建设项目所在地周边的土壤环境敏感程度分为敏感、较敏感、不敏感，判别依据见表</w:t>
      </w:r>
      <w:r>
        <w:rPr>
          <w:rFonts w:hint="eastAsia"/>
          <w:color w:val="auto"/>
        </w:rPr>
        <w:t>5</w:t>
      </w:r>
      <w:r>
        <w:rPr>
          <w:color w:val="auto"/>
        </w:rPr>
        <w:t>.6-</w:t>
      </w:r>
      <w:r>
        <w:rPr>
          <w:rFonts w:hint="eastAsia"/>
          <w:color w:val="auto"/>
          <w:lang w:val="en-US" w:eastAsia="zh-CN"/>
        </w:rPr>
        <w:t>4</w:t>
      </w:r>
      <w:r>
        <w:rPr>
          <w:color w:val="auto"/>
        </w:rPr>
        <w:t>。</w:t>
      </w:r>
    </w:p>
    <w:p>
      <w:pPr>
        <w:ind w:firstLine="0" w:firstLineChars="0"/>
        <w:jc w:val="center"/>
        <w:rPr>
          <w:rFonts w:eastAsia="黑体"/>
          <w:b/>
          <w:color w:val="auto"/>
          <w:sz w:val="21"/>
          <w:szCs w:val="21"/>
        </w:rPr>
      </w:pPr>
      <w:r>
        <w:rPr>
          <w:rFonts w:eastAsia="黑体"/>
          <w:b/>
          <w:color w:val="auto"/>
          <w:sz w:val="21"/>
          <w:szCs w:val="21"/>
        </w:rPr>
        <w:t>表</w:t>
      </w:r>
      <w:r>
        <w:rPr>
          <w:rFonts w:hint="eastAsia" w:eastAsia="黑体"/>
          <w:b/>
          <w:color w:val="auto"/>
          <w:sz w:val="21"/>
          <w:szCs w:val="21"/>
        </w:rPr>
        <w:t>5</w:t>
      </w:r>
      <w:r>
        <w:rPr>
          <w:rFonts w:eastAsia="黑体"/>
          <w:b/>
          <w:color w:val="auto"/>
          <w:sz w:val="21"/>
          <w:szCs w:val="21"/>
        </w:rPr>
        <w:t>.6-</w:t>
      </w:r>
      <w:r>
        <w:rPr>
          <w:rFonts w:hint="eastAsia" w:eastAsia="黑体"/>
          <w:b/>
          <w:color w:val="auto"/>
          <w:sz w:val="21"/>
          <w:szCs w:val="21"/>
          <w:lang w:val="en-US" w:eastAsia="zh-CN"/>
        </w:rPr>
        <w:t>4</w:t>
      </w:r>
      <w:r>
        <w:rPr>
          <w:rFonts w:eastAsia="黑体"/>
          <w:b/>
          <w:color w:val="auto"/>
          <w:sz w:val="21"/>
          <w:szCs w:val="21"/>
        </w:rPr>
        <w:t xml:space="preserve"> 污染影响型敏感程度分级表</w:t>
      </w:r>
    </w:p>
    <w:tbl>
      <w:tblPr>
        <w:tblStyle w:val="22"/>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518"/>
        <w:gridCol w:w="676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18" w:type="dxa"/>
            <w:vAlign w:val="center"/>
          </w:tcPr>
          <w:p>
            <w:pPr>
              <w:pStyle w:val="2"/>
              <w:spacing w:after="0" w:line="240" w:lineRule="auto"/>
              <w:ind w:firstLine="0" w:firstLineChars="0"/>
              <w:jc w:val="center"/>
              <w:rPr>
                <w:b/>
                <w:color w:val="auto"/>
                <w:sz w:val="21"/>
                <w:szCs w:val="21"/>
              </w:rPr>
            </w:pPr>
            <w:r>
              <w:rPr>
                <w:b/>
                <w:color w:val="auto"/>
                <w:sz w:val="21"/>
                <w:szCs w:val="21"/>
              </w:rPr>
              <w:t>敏感程度</w:t>
            </w:r>
          </w:p>
        </w:tc>
        <w:tc>
          <w:tcPr>
            <w:tcW w:w="6768" w:type="dxa"/>
            <w:vAlign w:val="center"/>
          </w:tcPr>
          <w:p>
            <w:pPr>
              <w:pStyle w:val="2"/>
              <w:spacing w:after="0" w:line="240" w:lineRule="auto"/>
              <w:ind w:firstLine="0" w:firstLineChars="0"/>
              <w:jc w:val="center"/>
              <w:rPr>
                <w:b/>
                <w:color w:val="auto"/>
                <w:sz w:val="21"/>
                <w:szCs w:val="21"/>
              </w:rPr>
            </w:pPr>
            <w:r>
              <w:rPr>
                <w:b/>
                <w:color w:val="auto"/>
                <w:sz w:val="21"/>
                <w:szCs w:val="21"/>
              </w:rPr>
              <w:t>判别依据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18" w:type="dxa"/>
            <w:vAlign w:val="center"/>
          </w:tcPr>
          <w:p>
            <w:pPr>
              <w:pStyle w:val="2"/>
              <w:spacing w:after="0" w:line="240" w:lineRule="auto"/>
              <w:ind w:firstLine="0" w:firstLineChars="0"/>
              <w:jc w:val="center"/>
              <w:rPr>
                <w:color w:val="auto"/>
                <w:sz w:val="21"/>
                <w:szCs w:val="21"/>
              </w:rPr>
            </w:pPr>
            <w:r>
              <w:rPr>
                <w:color w:val="auto"/>
                <w:sz w:val="21"/>
                <w:szCs w:val="21"/>
              </w:rPr>
              <w:t>敏感</w:t>
            </w:r>
          </w:p>
        </w:tc>
        <w:tc>
          <w:tcPr>
            <w:tcW w:w="6768" w:type="dxa"/>
            <w:vAlign w:val="center"/>
          </w:tcPr>
          <w:p>
            <w:pPr>
              <w:pStyle w:val="2"/>
              <w:spacing w:after="0" w:line="240" w:lineRule="auto"/>
              <w:ind w:firstLine="0" w:firstLineChars="0"/>
              <w:jc w:val="left"/>
              <w:rPr>
                <w:color w:val="auto"/>
                <w:sz w:val="21"/>
                <w:szCs w:val="21"/>
              </w:rPr>
            </w:pPr>
            <w:r>
              <w:rPr>
                <w:color w:val="auto"/>
                <w:sz w:val="21"/>
                <w:szCs w:val="21"/>
              </w:rPr>
              <w:t>建设项目周边存在耕地、园地、牧草地、饮用水水源地或居民区、学校、医院、疗养院、养老院等土壤环境敏感目标的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18" w:type="dxa"/>
            <w:vAlign w:val="center"/>
          </w:tcPr>
          <w:p>
            <w:pPr>
              <w:pStyle w:val="2"/>
              <w:spacing w:after="0" w:line="240" w:lineRule="auto"/>
              <w:ind w:firstLine="0" w:firstLineChars="0"/>
              <w:jc w:val="center"/>
              <w:rPr>
                <w:color w:val="auto"/>
                <w:sz w:val="21"/>
                <w:szCs w:val="21"/>
              </w:rPr>
            </w:pPr>
            <w:r>
              <w:rPr>
                <w:color w:val="auto"/>
                <w:sz w:val="21"/>
                <w:szCs w:val="21"/>
              </w:rPr>
              <w:t>较敏感</w:t>
            </w:r>
          </w:p>
        </w:tc>
        <w:tc>
          <w:tcPr>
            <w:tcW w:w="6768" w:type="dxa"/>
            <w:vAlign w:val="center"/>
          </w:tcPr>
          <w:p>
            <w:pPr>
              <w:pStyle w:val="2"/>
              <w:spacing w:after="0" w:line="240" w:lineRule="auto"/>
              <w:ind w:firstLine="0" w:firstLineChars="0"/>
              <w:jc w:val="left"/>
              <w:rPr>
                <w:color w:val="auto"/>
                <w:sz w:val="21"/>
                <w:szCs w:val="21"/>
              </w:rPr>
            </w:pPr>
            <w:r>
              <w:rPr>
                <w:color w:val="auto"/>
                <w:sz w:val="21"/>
                <w:szCs w:val="21"/>
              </w:rPr>
              <w:t>建设项目周边存在其他土壤环境敏感目标的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18" w:type="dxa"/>
            <w:vAlign w:val="center"/>
          </w:tcPr>
          <w:p>
            <w:pPr>
              <w:pStyle w:val="2"/>
              <w:spacing w:after="0" w:line="240" w:lineRule="auto"/>
              <w:ind w:firstLine="0" w:firstLineChars="0"/>
              <w:jc w:val="center"/>
              <w:rPr>
                <w:color w:val="auto"/>
                <w:sz w:val="21"/>
                <w:szCs w:val="21"/>
              </w:rPr>
            </w:pPr>
            <w:r>
              <w:rPr>
                <w:color w:val="auto"/>
                <w:sz w:val="21"/>
                <w:szCs w:val="21"/>
              </w:rPr>
              <w:t>不敏感</w:t>
            </w:r>
          </w:p>
        </w:tc>
        <w:tc>
          <w:tcPr>
            <w:tcW w:w="6768" w:type="dxa"/>
            <w:vAlign w:val="center"/>
          </w:tcPr>
          <w:p>
            <w:pPr>
              <w:pStyle w:val="2"/>
              <w:spacing w:after="0" w:line="240" w:lineRule="auto"/>
              <w:ind w:firstLine="0" w:firstLineChars="0"/>
              <w:jc w:val="left"/>
              <w:rPr>
                <w:color w:val="auto"/>
                <w:sz w:val="21"/>
                <w:szCs w:val="21"/>
              </w:rPr>
            </w:pPr>
            <w:r>
              <w:rPr>
                <w:color w:val="auto"/>
                <w:sz w:val="21"/>
                <w:szCs w:val="21"/>
              </w:rPr>
              <w:t>其他情况</w:t>
            </w:r>
          </w:p>
        </w:tc>
      </w:tr>
    </w:tbl>
    <w:p>
      <w:pPr>
        <w:pStyle w:val="2"/>
        <w:spacing w:after="0"/>
        <w:ind w:firstLine="480"/>
        <w:rPr>
          <w:color w:val="auto"/>
        </w:rPr>
      </w:pPr>
      <w:r>
        <w:rPr>
          <w:rFonts w:hint="eastAsia"/>
          <w:color w:val="auto"/>
        </w:rPr>
        <w:t>拟建项目位于山东省</w:t>
      </w:r>
      <w:r>
        <w:rPr>
          <w:color w:val="auto"/>
        </w:rPr>
        <w:t>淄博市</w:t>
      </w:r>
      <w:r>
        <w:rPr>
          <w:rFonts w:hint="eastAsia"/>
          <w:color w:val="auto"/>
        </w:rPr>
        <w:t>张店区房镇镇淄博科技工业园兴园路19号，周边存在土壤环境敏感目标，则</w:t>
      </w:r>
      <w:r>
        <w:rPr>
          <w:color w:val="auto"/>
        </w:rPr>
        <w:t>项目所在地周边土壤环境敏感程度为敏感。</w:t>
      </w:r>
    </w:p>
    <w:p>
      <w:pPr>
        <w:pStyle w:val="10"/>
        <w:spacing w:line="360" w:lineRule="auto"/>
        <w:rPr>
          <w:color w:val="auto"/>
        </w:rPr>
      </w:pPr>
      <w:r>
        <w:rPr>
          <w:rFonts w:hint="eastAsia"/>
          <w:color w:val="auto"/>
        </w:rPr>
        <w:t>5</w:t>
      </w:r>
      <w:r>
        <w:rPr>
          <w:color w:val="auto"/>
        </w:rPr>
        <w:t>.6.2.4评价工作等级</w:t>
      </w:r>
    </w:p>
    <w:p>
      <w:pPr>
        <w:spacing w:line="360" w:lineRule="auto"/>
        <w:ind w:firstLine="480"/>
        <w:rPr>
          <w:color w:val="auto"/>
        </w:rPr>
      </w:pPr>
      <w:r>
        <w:rPr>
          <w:color w:val="auto"/>
        </w:rPr>
        <w:t>根据土壤环境影响评价项目类别、占地规模与敏感程度划分评价工作等级，详见表</w:t>
      </w:r>
      <w:r>
        <w:rPr>
          <w:rFonts w:hint="eastAsia"/>
          <w:color w:val="auto"/>
        </w:rPr>
        <w:t>5</w:t>
      </w:r>
      <w:r>
        <w:rPr>
          <w:color w:val="auto"/>
        </w:rPr>
        <w:t>.6-</w:t>
      </w:r>
      <w:r>
        <w:rPr>
          <w:rFonts w:hint="eastAsia"/>
          <w:color w:val="auto"/>
          <w:lang w:val="en-US" w:eastAsia="zh-CN"/>
        </w:rPr>
        <w:t>5</w:t>
      </w:r>
      <w:r>
        <w:rPr>
          <w:color w:val="auto"/>
        </w:rPr>
        <w:t>。</w:t>
      </w:r>
    </w:p>
    <w:p>
      <w:pPr>
        <w:pStyle w:val="2"/>
        <w:spacing w:after="0" w:line="360" w:lineRule="auto"/>
        <w:ind w:firstLine="0" w:firstLineChars="0"/>
        <w:jc w:val="center"/>
        <w:rPr>
          <w:rFonts w:eastAsia="黑体"/>
          <w:b/>
          <w:color w:val="auto"/>
          <w:sz w:val="21"/>
          <w:szCs w:val="21"/>
        </w:rPr>
      </w:pPr>
      <w:r>
        <w:rPr>
          <w:rFonts w:eastAsia="黑体"/>
          <w:b/>
          <w:color w:val="auto"/>
          <w:sz w:val="21"/>
          <w:szCs w:val="21"/>
        </w:rPr>
        <w:t>表</w:t>
      </w:r>
      <w:r>
        <w:rPr>
          <w:rFonts w:hint="eastAsia" w:eastAsia="黑体"/>
          <w:b/>
          <w:color w:val="auto"/>
          <w:sz w:val="21"/>
          <w:szCs w:val="21"/>
        </w:rPr>
        <w:t>5</w:t>
      </w:r>
      <w:r>
        <w:rPr>
          <w:rFonts w:eastAsia="黑体"/>
          <w:b/>
          <w:color w:val="auto"/>
          <w:sz w:val="21"/>
          <w:szCs w:val="21"/>
        </w:rPr>
        <w:t>.6-</w:t>
      </w:r>
      <w:r>
        <w:rPr>
          <w:rFonts w:hint="eastAsia" w:eastAsia="黑体"/>
          <w:b/>
          <w:color w:val="auto"/>
          <w:sz w:val="21"/>
          <w:szCs w:val="21"/>
          <w:lang w:val="en-US" w:eastAsia="zh-CN"/>
        </w:rPr>
        <w:t>5</w:t>
      </w:r>
      <w:r>
        <w:rPr>
          <w:rFonts w:eastAsia="黑体"/>
          <w:b/>
          <w:color w:val="auto"/>
          <w:sz w:val="21"/>
          <w:szCs w:val="21"/>
        </w:rPr>
        <w:t xml:space="preserve"> 污染影响型评价工作等级划分表</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800"/>
        <w:gridCol w:w="720"/>
        <w:gridCol w:w="721"/>
        <w:gridCol w:w="721"/>
        <w:gridCol w:w="721"/>
        <w:gridCol w:w="721"/>
        <w:gridCol w:w="723"/>
        <w:gridCol w:w="721"/>
        <w:gridCol w:w="721"/>
        <w:gridCol w:w="71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08" w:type="pct"/>
            <w:vMerge w:val="restart"/>
            <w:vAlign w:val="center"/>
          </w:tcPr>
          <w:p>
            <w:pPr>
              <w:spacing w:line="240" w:lineRule="auto"/>
              <w:ind w:firstLine="0" w:firstLineChars="0"/>
              <w:jc w:val="center"/>
              <w:rPr>
                <w:color w:val="auto"/>
                <w:sz w:val="21"/>
                <w:szCs w:val="21"/>
              </w:rPr>
            </w:pPr>
            <w:r>
              <w:rPr>
                <w:color w:val="auto"/>
                <w:sz w:val="21"/>
                <w:szCs w:val="21"/>
              </w:rPr>
              <mc:AlternateContent>
                <mc:Choice Requires="wps">
                  <w:drawing>
                    <wp:anchor distT="0" distB="0" distL="114300" distR="114300" simplePos="0" relativeHeight="251709440" behindDoc="0" locked="0" layoutInCell="1" allowOverlap="1">
                      <wp:simplePos x="0" y="0"/>
                      <wp:positionH relativeFrom="column">
                        <wp:posOffset>765175</wp:posOffset>
                      </wp:positionH>
                      <wp:positionV relativeFrom="paragraph">
                        <wp:posOffset>10160</wp:posOffset>
                      </wp:positionV>
                      <wp:extent cx="923290" cy="746125"/>
                      <wp:effectExtent l="3175" t="3810" r="6985" b="12065"/>
                      <wp:wrapNone/>
                      <wp:docPr id="132" name="直接箭头连接符 132"/>
                      <wp:cNvGraphicFramePr/>
                      <a:graphic xmlns:a="http://schemas.openxmlformats.org/drawingml/2006/main">
                        <a:graphicData uri="http://schemas.microsoft.com/office/word/2010/wordprocessingShape">
                          <wps:wsp>
                            <wps:cNvCnPr/>
                            <wps:spPr>
                              <a:xfrm flipH="1" flipV="1">
                                <a:off x="0" y="0"/>
                                <a:ext cx="923290" cy="74612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 y;margin-left:60.25pt;margin-top:0.8pt;height:58.75pt;width:72.7pt;z-index:251709440;mso-width-relative:page;mso-height-relative:page;" filled="f" stroked="t" coordsize="21600,21600" o:gfxdata="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mQpfadgAAAAJAQAADwAAAAAAAAABACAA&#10;AAAiAAAAZHJzL2Rvd25yZXYueG1sUEsBAhQAFAAAAAgAh07iQBD60F0NAgAACAQAAA4AAAAAAAAA&#10;AQAgAAAAJwEAAGRycy9lMm9Eb2MueG1sUEsFBgAAAAAGAAYAWQEAAKYFAAAAAA==&#10;">
                      <v:fill on="f" focussize="0,0"/>
                      <v:stroke color="#000000" joinstyle="round"/>
                      <v:imagedata o:title=""/>
                      <o:lock v:ext="edit" aspectratio="f"/>
                    </v:shape>
                  </w:pict>
                </mc:Fallback>
              </mc:AlternateContent>
            </w:r>
            <w:r>
              <w:rPr>
                <w:color w:val="auto"/>
                <w:sz w:val="21"/>
                <w:szCs w:val="21"/>
              </w:rPr>
              <w:t xml:space="preserve">               占地规模</w:t>
            </w:r>
          </w:p>
          <w:p>
            <w:pPr>
              <w:pStyle w:val="2"/>
              <w:spacing w:after="0"/>
              <w:rPr>
                <w:color w:val="auto"/>
                <w:sz w:val="21"/>
                <w:szCs w:val="21"/>
              </w:rPr>
            </w:pPr>
            <w:r>
              <w:rPr>
                <w:color w:val="auto"/>
                <w:sz w:val="21"/>
                <w:szCs w:val="21"/>
              </w:rPr>
              <mc:AlternateContent>
                <mc:Choice Requires="wps">
                  <w:drawing>
                    <wp:anchor distT="0" distB="0" distL="114300" distR="114300" simplePos="0" relativeHeight="251710464" behindDoc="0" locked="0" layoutInCell="1" allowOverlap="1">
                      <wp:simplePos x="0" y="0"/>
                      <wp:positionH relativeFrom="column">
                        <wp:posOffset>-37465</wp:posOffset>
                      </wp:positionH>
                      <wp:positionV relativeFrom="paragraph">
                        <wp:posOffset>208280</wp:posOffset>
                      </wp:positionV>
                      <wp:extent cx="1726565" cy="366395"/>
                      <wp:effectExtent l="1270" t="4445" r="5715" b="10160"/>
                      <wp:wrapNone/>
                      <wp:docPr id="133" name="直接箭头连接符 133"/>
                      <wp:cNvGraphicFramePr/>
                      <a:graphic xmlns:a="http://schemas.openxmlformats.org/drawingml/2006/main">
                        <a:graphicData uri="http://schemas.microsoft.com/office/word/2010/wordprocessingShape">
                          <wps:wsp>
                            <wps:cNvCnPr/>
                            <wps:spPr>
                              <a:xfrm flipH="1" flipV="1">
                                <a:off x="0" y="0"/>
                                <a:ext cx="1726565" cy="36639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 y;margin-left:-2.95pt;margin-top:16.4pt;height:28.85pt;width:135.95pt;z-index:251710464;mso-width-relative:page;mso-height-relative:page;" filled="f" stroked="t" coordsize="21600,21600" o:gfxdata="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CB0J2PYAAAACAEAAA8AAAAAAAAAAQAg&#10;AAAAIgAAAGRycy9kb3ducmV2LnhtbFBLAQIUABQAAAAIAIdO4kD2nwwlDgIAAAkEAAAOAAAAAAAA&#10;AAEAIAAAACcBAABkcnMvZTJvRG9jLnhtbFBLBQYAAAAABgAGAFkBAACnBQAAAAA=&#10;">
                      <v:fill on="f" focussize="0,0"/>
                      <v:stroke color="#000000" joinstyle="round"/>
                      <v:imagedata o:title=""/>
                      <o:lock v:ext="edit" aspectratio="f"/>
                    </v:shape>
                  </w:pict>
                </mc:Fallback>
              </mc:AlternateContent>
            </w:r>
            <w:r>
              <w:rPr>
                <w:color w:val="auto"/>
                <w:sz w:val="21"/>
                <w:szCs w:val="21"/>
              </w:rPr>
              <w:t>评价工作等级</w:t>
            </w:r>
          </w:p>
          <w:p>
            <w:pPr>
              <w:ind w:firstLine="0" w:firstLineChars="0"/>
              <w:rPr>
                <w:rFonts w:eastAsia="仿宋_GB2312"/>
                <w:color w:val="auto"/>
              </w:rPr>
            </w:pPr>
            <w:r>
              <w:rPr>
                <w:color w:val="auto"/>
                <w:sz w:val="21"/>
                <w:szCs w:val="21"/>
              </w:rPr>
              <w:t>敏感程度</w:t>
            </w:r>
          </w:p>
        </w:tc>
        <w:tc>
          <w:tcPr>
            <w:tcW w:w="1164" w:type="pct"/>
            <w:gridSpan w:val="3"/>
            <w:vAlign w:val="center"/>
          </w:tcPr>
          <w:p>
            <w:pPr>
              <w:spacing w:line="240" w:lineRule="auto"/>
              <w:ind w:firstLine="0" w:firstLineChars="0"/>
              <w:jc w:val="center"/>
              <w:rPr>
                <w:color w:val="auto"/>
                <w:sz w:val="21"/>
                <w:szCs w:val="21"/>
              </w:rPr>
            </w:pPr>
            <w:r>
              <w:rPr>
                <w:color w:val="auto"/>
                <w:sz w:val="21"/>
                <w:szCs w:val="21"/>
              </w:rPr>
              <w:t>Ⅰ类</w:t>
            </w:r>
          </w:p>
        </w:tc>
        <w:tc>
          <w:tcPr>
            <w:tcW w:w="1165" w:type="pct"/>
            <w:gridSpan w:val="3"/>
            <w:vAlign w:val="center"/>
          </w:tcPr>
          <w:p>
            <w:pPr>
              <w:spacing w:line="240" w:lineRule="auto"/>
              <w:ind w:firstLine="0" w:firstLineChars="0"/>
              <w:jc w:val="center"/>
              <w:rPr>
                <w:color w:val="auto"/>
                <w:sz w:val="21"/>
                <w:szCs w:val="21"/>
              </w:rPr>
            </w:pPr>
            <w:r>
              <w:rPr>
                <w:color w:val="auto"/>
                <w:sz w:val="21"/>
                <w:szCs w:val="21"/>
              </w:rPr>
              <w:t>Ⅱ类</w:t>
            </w:r>
          </w:p>
        </w:tc>
        <w:tc>
          <w:tcPr>
            <w:tcW w:w="1164" w:type="pct"/>
            <w:gridSpan w:val="3"/>
            <w:vAlign w:val="center"/>
          </w:tcPr>
          <w:p>
            <w:pPr>
              <w:spacing w:line="240" w:lineRule="auto"/>
              <w:ind w:firstLine="0" w:firstLineChars="0"/>
              <w:jc w:val="center"/>
              <w:rPr>
                <w:color w:val="auto"/>
                <w:sz w:val="21"/>
                <w:szCs w:val="21"/>
              </w:rPr>
            </w:pPr>
            <w:r>
              <w:rPr>
                <w:color w:val="auto"/>
                <w:sz w:val="21"/>
                <w:szCs w:val="21"/>
              </w:rPr>
              <w:t>Ⅲ类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08" w:type="pct"/>
            <w:vMerge w:val="continue"/>
            <w:vAlign w:val="center"/>
          </w:tcPr>
          <w:p>
            <w:pPr>
              <w:spacing w:line="240" w:lineRule="auto"/>
              <w:ind w:firstLine="0" w:firstLineChars="0"/>
              <w:jc w:val="center"/>
              <w:rPr>
                <w:color w:val="auto"/>
                <w:sz w:val="21"/>
                <w:szCs w:val="21"/>
              </w:rPr>
            </w:pPr>
          </w:p>
        </w:tc>
        <w:tc>
          <w:tcPr>
            <w:tcW w:w="388" w:type="pct"/>
            <w:vAlign w:val="center"/>
          </w:tcPr>
          <w:p>
            <w:pPr>
              <w:spacing w:line="240" w:lineRule="auto"/>
              <w:ind w:firstLine="0" w:firstLineChars="0"/>
              <w:jc w:val="center"/>
              <w:rPr>
                <w:color w:val="auto"/>
                <w:sz w:val="21"/>
                <w:szCs w:val="21"/>
              </w:rPr>
            </w:pPr>
            <w:r>
              <w:rPr>
                <w:color w:val="auto"/>
                <w:sz w:val="21"/>
                <w:szCs w:val="21"/>
              </w:rPr>
              <w:t>大</w:t>
            </w:r>
          </w:p>
        </w:tc>
        <w:tc>
          <w:tcPr>
            <w:tcW w:w="388" w:type="pct"/>
            <w:vAlign w:val="center"/>
          </w:tcPr>
          <w:p>
            <w:pPr>
              <w:spacing w:line="240" w:lineRule="auto"/>
              <w:ind w:firstLine="0" w:firstLineChars="0"/>
              <w:jc w:val="center"/>
              <w:rPr>
                <w:color w:val="auto"/>
                <w:sz w:val="21"/>
                <w:szCs w:val="21"/>
              </w:rPr>
            </w:pPr>
            <w:r>
              <w:rPr>
                <w:color w:val="auto"/>
                <w:sz w:val="21"/>
                <w:szCs w:val="21"/>
              </w:rPr>
              <w:t>中</w:t>
            </w:r>
          </w:p>
        </w:tc>
        <w:tc>
          <w:tcPr>
            <w:tcW w:w="388" w:type="pct"/>
            <w:vAlign w:val="center"/>
          </w:tcPr>
          <w:p>
            <w:pPr>
              <w:spacing w:line="240" w:lineRule="auto"/>
              <w:ind w:firstLine="0" w:firstLineChars="0"/>
              <w:jc w:val="center"/>
              <w:rPr>
                <w:color w:val="auto"/>
                <w:sz w:val="21"/>
                <w:szCs w:val="21"/>
              </w:rPr>
            </w:pPr>
            <w:r>
              <w:rPr>
                <w:color w:val="auto"/>
                <w:sz w:val="21"/>
                <w:szCs w:val="21"/>
              </w:rPr>
              <w:t>小</w:t>
            </w:r>
          </w:p>
        </w:tc>
        <w:tc>
          <w:tcPr>
            <w:tcW w:w="388" w:type="pct"/>
            <w:vAlign w:val="center"/>
          </w:tcPr>
          <w:p>
            <w:pPr>
              <w:spacing w:line="240" w:lineRule="auto"/>
              <w:ind w:firstLine="0" w:firstLineChars="0"/>
              <w:jc w:val="center"/>
              <w:rPr>
                <w:color w:val="auto"/>
                <w:sz w:val="21"/>
                <w:szCs w:val="21"/>
              </w:rPr>
            </w:pPr>
            <w:r>
              <w:rPr>
                <w:color w:val="auto"/>
                <w:sz w:val="21"/>
                <w:szCs w:val="21"/>
              </w:rPr>
              <w:t>大</w:t>
            </w:r>
          </w:p>
        </w:tc>
        <w:tc>
          <w:tcPr>
            <w:tcW w:w="388" w:type="pct"/>
            <w:vAlign w:val="center"/>
          </w:tcPr>
          <w:p>
            <w:pPr>
              <w:spacing w:line="240" w:lineRule="auto"/>
              <w:ind w:firstLine="0" w:firstLineChars="0"/>
              <w:jc w:val="center"/>
              <w:rPr>
                <w:color w:val="auto"/>
                <w:sz w:val="21"/>
                <w:szCs w:val="21"/>
              </w:rPr>
            </w:pPr>
            <w:r>
              <w:rPr>
                <w:color w:val="auto"/>
                <w:sz w:val="21"/>
                <w:szCs w:val="21"/>
              </w:rPr>
              <w:t>中</w:t>
            </w:r>
          </w:p>
        </w:tc>
        <w:tc>
          <w:tcPr>
            <w:tcW w:w="389" w:type="pct"/>
            <w:vAlign w:val="center"/>
          </w:tcPr>
          <w:p>
            <w:pPr>
              <w:spacing w:line="240" w:lineRule="auto"/>
              <w:ind w:firstLine="0" w:firstLineChars="0"/>
              <w:jc w:val="center"/>
              <w:rPr>
                <w:color w:val="auto"/>
                <w:sz w:val="21"/>
                <w:szCs w:val="21"/>
              </w:rPr>
            </w:pPr>
            <w:r>
              <w:rPr>
                <w:color w:val="auto"/>
                <w:sz w:val="21"/>
                <w:szCs w:val="21"/>
              </w:rPr>
              <w:t>小</w:t>
            </w:r>
          </w:p>
        </w:tc>
        <w:tc>
          <w:tcPr>
            <w:tcW w:w="388" w:type="pct"/>
            <w:vAlign w:val="center"/>
          </w:tcPr>
          <w:p>
            <w:pPr>
              <w:spacing w:line="240" w:lineRule="auto"/>
              <w:ind w:firstLine="0" w:firstLineChars="0"/>
              <w:jc w:val="center"/>
              <w:rPr>
                <w:color w:val="auto"/>
                <w:sz w:val="21"/>
                <w:szCs w:val="21"/>
              </w:rPr>
            </w:pPr>
            <w:r>
              <w:rPr>
                <w:color w:val="auto"/>
                <w:sz w:val="21"/>
                <w:szCs w:val="21"/>
              </w:rPr>
              <w:t>大</w:t>
            </w:r>
          </w:p>
        </w:tc>
        <w:tc>
          <w:tcPr>
            <w:tcW w:w="388" w:type="pct"/>
            <w:vAlign w:val="center"/>
          </w:tcPr>
          <w:p>
            <w:pPr>
              <w:spacing w:line="240" w:lineRule="auto"/>
              <w:ind w:firstLine="0" w:firstLineChars="0"/>
              <w:jc w:val="center"/>
              <w:rPr>
                <w:color w:val="auto"/>
                <w:sz w:val="21"/>
                <w:szCs w:val="21"/>
              </w:rPr>
            </w:pPr>
            <w:r>
              <w:rPr>
                <w:color w:val="auto"/>
                <w:sz w:val="21"/>
                <w:szCs w:val="21"/>
              </w:rPr>
              <w:t>中</w:t>
            </w:r>
          </w:p>
        </w:tc>
        <w:tc>
          <w:tcPr>
            <w:tcW w:w="387" w:type="pct"/>
            <w:vAlign w:val="center"/>
          </w:tcPr>
          <w:p>
            <w:pPr>
              <w:spacing w:line="240" w:lineRule="auto"/>
              <w:ind w:firstLine="0" w:firstLineChars="0"/>
              <w:jc w:val="center"/>
              <w:rPr>
                <w:color w:val="auto"/>
                <w:sz w:val="21"/>
                <w:szCs w:val="21"/>
              </w:rPr>
            </w:pPr>
            <w:r>
              <w:rPr>
                <w:color w:val="auto"/>
                <w:sz w:val="21"/>
                <w:szCs w:val="21"/>
              </w:rPr>
              <w:t>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08" w:type="pct"/>
            <w:vAlign w:val="center"/>
          </w:tcPr>
          <w:p>
            <w:pPr>
              <w:spacing w:line="240" w:lineRule="auto"/>
              <w:ind w:firstLine="0" w:firstLineChars="0"/>
              <w:jc w:val="center"/>
              <w:rPr>
                <w:color w:val="auto"/>
                <w:sz w:val="21"/>
                <w:szCs w:val="21"/>
              </w:rPr>
            </w:pPr>
            <w:r>
              <w:rPr>
                <w:color w:val="auto"/>
                <w:sz w:val="21"/>
                <w:szCs w:val="21"/>
              </w:rPr>
              <w:t>敏感</w:t>
            </w:r>
          </w:p>
        </w:tc>
        <w:tc>
          <w:tcPr>
            <w:tcW w:w="388" w:type="pct"/>
            <w:vAlign w:val="center"/>
          </w:tcPr>
          <w:p>
            <w:pPr>
              <w:spacing w:line="240" w:lineRule="auto"/>
              <w:ind w:firstLine="0" w:firstLineChars="0"/>
              <w:jc w:val="center"/>
              <w:rPr>
                <w:color w:val="auto"/>
                <w:sz w:val="21"/>
                <w:szCs w:val="21"/>
              </w:rPr>
            </w:pPr>
            <w:r>
              <w:rPr>
                <w:color w:val="auto"/>
                <w:sz w:val="21"/>
                <w:szCs w:val="21"/>
              </w:rPr>
              <w:t>一级</w:t>
            </w:r>
          </w:p>
        </w:tc>
        <w:tc>
          <w:tcPr>
            <w:tcW w:w="388" w:type="pct"/>
            <w:vAlign w:val="center"/>
          </w:tcPr>
          <w:p>
            <w:pPr>
              <w:spacing w:line="240" w:lineRule="auto"/>
              <w:ind w:firstLine="0" w:firstLineChars="0"/>
              <w:jc w:val="center"/>
              <w:rPr>
                <w:color w:val="auto"/>
                <w:sz w:val="21"/>
                <w:szCs w:val="21"/>
              </w:rPr>
            </w:pPr>
            <w:r>
              <w:rPr>
                <w:color w:val="auto"/>
                <w:sz w:val="21"/>
                <w:szCs w:val="21"/>
              </w:rPr>
              <w:t>一级</w:t>
            </w:r>
          </w:p>
        </w:tc>
        <w:tc>
          <w:tcPr>
            <w:tcW w:w="388" w:type="pct"/>
            <w:vAlign w:val="center"/>
          </w:tcPr>
          <w:p>
            <w:pPr>
              <w:spacing w:line="240" w:lineRule="auto"/>
              <w:ind w:firstLine="0" w:firstLineChars="0"/>
              <w:jc w:val="center"/>
              <w:rPr>
                <w:color w:val="auto"/>
                <w:sz w:val="21"/>
                <w:szCs w:val="21"/>
              </w:rPr>
            </w:pPr>
            <w:r>
              <w:rPr>
                <w:color w:val="auto"/>
                <w:sz w:val="21"/>
                <w:szCs w:val="21"/>
              </w:rPr>
              <w:t>一级</w:t>
            </w:r>
          </w:p>
        </w:tc>
        <w:tc>
          <w:tcPr>
            <w:tcW w:w="388" w:type="pct"/>
            <w:vAlign w:val="center"/>
          </w:tcPr>
          <w:p>
            <w:pPr>
              <w:spacing w:line="240" w:lineRule="auto"/>
              <w:ind w:firstLine="0" w:firstLineChars="0"/>
              <w:jc w:val="center"/>
              <w:rPr>
                <w:color w:val="auto"/>
                <w:sz w:val="21"/>
                <w:szCs w:val="21"/>
              </w:rPr>
            </w:pPr>
            <w:r>
              <w:rPr>
                <w:color w:val="auto"/>
                <w:sz w:val="21"/>
                <w:szCs w:val="21"/>
              </w:rPr>
              <w:t>二级</w:t>
            </w:r>
          </w:p>
        </w:tc>
        <w:tc>
          <w:tcPr>
            <w:tcW w:w="388" w:type="pct"/>
            <w:vAlign w:val="center"/>
          </w:tcPr>
          <w:p>
            <w:pPr>
              <w:spacing w:line="240" w:lineRule="auto"/>
              <w:ind w:firstLine="0" w:firstLineChars="0"/>
              <w:jc w:val="center"/>
              <w:rPr>
                <w:color w:val="auto"/>
                <w:sz w:val="21"/>
                <w:szCs w:val="21"/>
              </w:rPr>
            </w:pPr>
            <w:r>
              <w:rPr>
                <w:color w:val="auto"/>
                <w:sz w:val="21"/>
                <w:szCs w:val="21"/>
              </w:rPr>
              <w:t>二级</w:t>
            </w:r>
          </w:p>
        </w:tc>
        <w:tc>
          <w:tcPr>
            <w:tcW w:w="389" w:type="pct"/>
            <w:shd w:val="clear" w:color="auto" w:fill="7F7F7F" w:themeFill="text1" w:themeFillTint="7F"/>
            <w:vAlign w:val="center"/>
          </w:tcPr>
          <w:p>
            <w:pPr>
              <w:spacing w:line="240" w:lineRule="auto"/>
              <w:ind w:firstLine="0" w:firstLineChars="0"/>
              <w:jc w:val="center"/>
              <w:rPr>
                <w:color w:val="auto"/>
                <w:sz w:val="21"/>
                <w:szCs w:val="21"/>
              </w:rPr>
            </w:pPr>
            <w:r>
              <w:rPr>
                <w:color w:val="auto"/>
                <w:sz w:val="21"/>
                <w:szCs w:val="21"/>
              </w:rPr>
              <w:t>二级</w:t>
            </w:r>
          </w:p>
        </w:tc>
        <w:tc>
          <w:tcPr>
            <w:tcW w:w="388" w:type="pct"/>
            <w:vAlign w:val="center"/>
          </w:tcPr>
          <w:p>
            <w:pPr>
              <w:spacing w:line="240" w:lineRule="auto"/>
              <w:ind w:firstLine="0" w:firstLineChars="0"/>
              <w:jc w:val="center"/>
              <w:rPr>
                <w:color w:val="auto"/>
                <w:sz w:val="21"/>
                <w:szCs w:val="21"/>
              </w:rPr>
            </w:pPr>
            <w:r>
              <w:rPr>
                <w:color w:val="auto"/>
                <w:sz w:val="21"/>
                <w:szCs w:val="21"/>
              </w:rPr>
              <w:t>三级</w:t>
            </w:r>
          </w:p>
        </w:tc>
        <w:tc>
          <w:tcPr>
            <w:tcW w:w="388" w:type="pct"/>
            <w:vAlign w:val="center"/>
          </w:tcPr>
          <w:p>
            <w:pPr>
              <w:spacing w:line="240" w:lineRule="auto"/>
              <w:ind w:firstLine="0" w:firstLineChars="0"/>
              <w:jc w:val="center"/>
              <w:rPr>
                <w:color w:val="auto"/>
                <w:sz w:val="21"/>
                <w:szCs w:val="21"/>
              </w:rPr>
            </w:pPr>
            <w:r>
              <w:rPr>
                <w:color w:val="auto"/>
                <w:sz w:val="21"/>
                <w:szCs w:val="21"/>
              </w:rPr>
              <w:t>三级</w:t>
            </w:r>
          </w:p>
        </w:tc>
        <w:tc>
          <w:tcPr>
            <w:tcW w:w="387" w:type="pct"/>
            <w:vAlign w:val="center"/>
          </w:tcPr>
          <w:p>
            <w:pPr>
              <w:spacing w:line="240" w:lineRule="auto"/>
              <w:ind w:firstLine="0" w:firstLineChars="0"/>
              <w:jc w:val="center"/>
              <w:rPr>
                <w:color w:val="auto"/>
                <w:sz w:val="21"/>
                <w:szCs w:val="21"/>
              </w:rPr>
            </w:pPr>
            <w:r>
              <w:rPr>
                <w:color w:val="auto"/>
                <w:sz w:val="21"/>
                <w:szCs w:val="21"/>
              </w:rPr>
              <w:t>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08" w:type="pct"/>
            <w:vAlign w:val="center"/>
          </w:tcPr>
          <w:p>
            <w:pPr>
              <w:spacing w:line="240" w:lineRule="auto"/>
              <w:ind w:firstLine="0" w:firstLineChars="0"/>
              <w:jc w:val="center"/>
              <w:rPr>
                <w:color w:val="auto"/>
                <w:sz w:val="21"/>
                <w:szCs w:val="21"/>
              </w:rPr>
            </w:pPr>
            <w:r>
              <w:rPr>
                <w:color w:val="auto"/>
                <w:sz w:val="21"/>
                <w:szCs w:val="21"/>
              </w:rPr>
              <w:t>较敏感</w:t>
            </w:r>
          </w:p>
        </w:tc>
        <w:tc>
          <w:tcPr>
            <w:tcW w:w="388" w:type="pct"/>
            <w:vAlign w:val="center"/>
          </w:tcPr>
          <w:p>
            <w:pPr>
              <w:spacing w:line="240" w:lineRule="auto"/>
              <w:ind w:firstLine="0" w:firstLineChars="0"/>
              <w:jc w:val="center"/>
              <w:rPr>
                <w:color w:val="auto"/>
                <w:sz w:val="21"/>
                <w:szCs w:val="21"/>
              </w:rPr>
            </w:pPr>
            <w:r>
              <w:rPr>
                <w:color w:val="auto"/>
                <w:sz w:val="21"/>
                <w:szCs w:val="21"/>
              </w:rPr>
              <w:t>一级</w:t>
            </w:r>
          </w:p>
        </w:tc>
        <w:tc>
          <w:tcPr>
            <w:tcW w:w="388" w:type="pct"/>
            <w:vAlign w:val="center"/>
          </w:tcPr>
          <w:p>
            <w:pPr>
              <w:spacing w:line="240" w:lineRule="auto"/>
              <w:ind w:firstLine="0" w:firstLineChars="0"/>
              <w:jc w:val="center"/>
              <w:rPr>
                <w:color w:val="auto"/>
                <w:sz w:val="21"/>
                <w:szCs w:val="21"/>
              </w:rPr>
            </w:pPr>
            <w:r>
              <w:rPr>
                <w:color w:val="auto"/>
                <w:sz w:val="21"/>
                <w:szCs w:val="21"/>
              </w:rPr>
              <w:t>一级</w:t>
            </w:r>
          </w:p>
        </w:tc>
        <w:tc>
          <w:tcPr>
            <w:tcW w:w="388" w:type="pct"/>
            <w:vAlign w:val="center"/>
          </w:tcPr>
          <w:p>
            <w:pPr>
              <w:spacing w:line="240" w:lineRule="auto"/>
              <w:ind w:firstLine="0" w:firstLineChars="0"/>
              <w:jc w:val="center"/>
              <w:rPr>
                <w:color w:val="auto"/>
                <w:sz w:val="21"/>
                <w:szCs w:val="21"/>
              </w:rPr>
            </w:pPr>
            <w:r>
              <w:rPr>
                <w:color w:val="auto"/>
                <w:sz w:val="21"/>
                <w:szCs w:val="21"/>
              </w:rPr>
              <w:t>二级</w:t>
            </w:r>
          </w:p>
        </w:tc>
        <w:tc>
          <w:tcPr>
            <w:tcW w:w="388" w:type="pct"/>
            <w:vAlign w:val="center"/>
          </w:tcPr>
          <w:p>
            <w:pPr>
              <w:spacing w:line="240" w:lineRule="auto"/>
              <w:ind w:firstLine="0" w:firstLineChars="0"/>
              <w:jc w:val="center"/>
              <w:rPr>
                <w:color w:val="auto"/>
                <w:sz w:val="21"/>
                <w:szCs w:val="21"/>
              </w:rPr>
            </w:pPr>
            <w:r>
              <w:rPr>
                <w:color w:val="auto"/>
                <w:sz w:val="21"/>
                <w:szCs w:val="21"/>
              </w:rPr>
              <w:t>二级</w:t>
            </w:r>
          </w:p>
        </w:tc>
        <w:tc>
          <w:tcPr>
            <w:tcW w:w="388" w:type="pct"/>
            <w:vAlign w:val="center"/>
          </w:tcPr>
          <w:p>
            <w:pPr>
              <w:spacing w:line="240" w:lineRule="auto"/>
              <w:ind w:firstLine="0" w:firstLineChars="0"/>
              <w:jc w:val="center"/>
              <w:rPr>
                <w:color w:val="auto"/>
                <w:sz w:val="21"/>
                <w:szCs w:val="21"/>
              </w:rPr>
            </w:pPr>
            <w:r>
              <w:rPr>
                <w:color w:val="auto"/>
                <w:sz w:val="21"/>
                <w:szCs w:val="21"/>
              </w:rPr>
              <w:t>二级</w:t>
            </w:r>
          </w:p>
        </w:tc>
        <w:tc>
          <w:tcPr>
            <w:tcW w:w="389" w:type="pct"/>
            <w:vAlign w:val="center"/>
          </w:tcPr>
          <w:p>
            <w:pPr>
              <w:spacing w:line="240" w:lineRule="auto"/>
              <w:ind w:firstLine="0" w:firstLineChars="0"/>
              <w:jc w:val="center"/>
              <w:rPr>
                <w:color w:val="auto"/>
                <w:sz w:val="21"/>
                <w:szCs w:val="21"/>
              </w:rPr>
            </w:pPr>
            <w:r>
              <w:rPr>
                <w:color w:val="auto"/>
                <w:sz w:val="21"/>
                <w:szCs w:val="21"/>
              </w:rPr>
              <w:t>三级</w:t>
            </w:r>
          </w:p>
        </w:tc>
        <w:tc>
          <w:tcPr>
            <w:tcW w:w="388" w:type="pct"/>
            <w:vAlign w:val="center"/>
          </w:tcPr>
          <w:p>
            <w:pPr>
              <w:spacing w:line="240" w:lineRule="auto"/>
              <w:ind w:firstLine="0" w:firstLineChars="0"/>
              <w:jc w:val="center"/>
              <w:rPr>
                <w:color w:val="auto"/>
                <w:sz w:val="21"/>
                <w:szCs w:val="21"/>
              </w:rPr>
            </w:pPr>
            <w:r>
              <w:rPr>
                <w:color w:val="auto"/>
                <w:sz w:val="21"/>
                <w:szCs w:val="21"/>
              </w:rPr>
              <w:t>三级</w:t>
            </w:r>
          </w:p>
        </w:tc>
        <w:tc>
          <w:tcPr>
            <w:tcW w:w="388" w:type="pct"/>
            <w:vAlign w:val="center"/>
          </w:tcPr>
          <w:p>
            <w:pPr>
              <w:spacing w:line="240" w:lineRule="auto"/>
              <w:ind w:firstLine="0" w:firstLineChars="0"/>
              <w:jc w:val="center"/>
              <w:rPr>
                <w:color w:val="auto"/>
                <w:sz w:val="21"/>
                <w:szCs w:val="21"/>
              </w:rPr>
            </w:pPr>
            <w:r>
              <w:rPr>
                <w:color w:val="auto"/>
                <w:sz w:val="21"/>
                <w:szCs w:val="21"/>
              </w:rPr>
              <w:t>三级</w:t>
            </w:r>
          </w:p>
        </w:tc>
        <w:tc>
          <w:tcPr>
            <w:tcW w:w="387" w:type="pct"/>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08" w:type="pct"/>
            <w:vAlign w:val="center"/>
          </w:tcPr>
          <w:p>
            <w:pPr>
              <w:spacing w:line="240" w:lineRule="auto"/>
              <w:ind w:firstLine="0" w:firstLineChars="0"/>
              <w:jc w:val="center"/>
              <w:rPr>
                <w:color w:val="auto"/>
                <w:sz w:val="21"/>
                <w:szCs w:val="21"/>
              </w:rPr>
            </w:pPr>
            <w:r>
              <w:rPr>
                <w:color w:val="auto"/>
                <w:sz w:val="21"/>
                <w:szCs w:val="21"/>
              </w:rPr>
              <w:t>不敏感</w:t>
            </w:r>
          </w:p>
        </w:tc>
        <w:tc>
          <w:tcPr>
            <w:tcW w:w="388" w:type="pct"/>
            <w:vAlign w:val="center"/>
          </w:tcPr>
          <w:p>
            <w:pPr>
              <w:spacing w:line="240" w:lineRule="auto"/>
              <w:ind w:firstLine="0" w:firstLineChars="0"/>
              <w:jc w:val="center"/>
              <w:rPr>
                <w:color w:val="auto"/>
                <w:sz w:val="21"/>
                <w:szCs w:val="21"/>
              </w:rPr>
            </w:pPr>
            <w:r>
              <w:rPr>
                <w:color w:val="auto"/>
                <w:sz w:val="21"/>
                <w:szCs w:val="21"/>
              </w:rPr>
              <w:t>一级</w:t>
            </w:r>
          </w:p>
        </w:tc>
        <w:tc>
          <w:tcPr>
            <w:tcW w:w="388" w:type="pct"/>
            <w:vAlign w:val="center"/>
          </w:tcPr>
          <w:p>
            <w:pPr>
              <w:spacing w:line="240" w:lineRule="auto"/>
              <w:ind w:firstLine="0" w:firstLineChars="0"/>
              <w:jc w:val="center"/>
              <w:rPr>
                <w:color w:val="auto"/>
                <w:sz w:val="21"/>
                <w:szCs w:val="21"/>
              </w:rPr>
            </w:pPr>
            <w:r>
              <w:rPr>
                <w:color w:val="auto"/>
                <w:sz w:val="21"/>
                <w:szCs w:val="21"/>
              </w:rPr>
              <w:t>二级</w:t>
            </w:r>
          </w:p>
        </w:tc>
        <w:tc>
          <w:tcPr>
            <w:tcW w:w="388" w:type="pct"/>
            <w:vAlign w:val="center"/>
          </w:tcPr>
          <w:p>
            <w:pPr>
              <w:spacing w:line="240" w:lineRule="auto"/>
              <w:ind w:firstLine="0" w:firstLineChars="0"/>
              <w:jc w:val="center"/>
              <w:rPr>
                <w:color w:val="auto"/>
                <w:sz w:val="21"/>
                <w:szCs w:val="21"/>
              </w:rPr>
            </w:pPr>
            <w:r>
              <w:rPr>
                <w:rFonts w:hint="eastAsia"/>
                <w:color w:val="auto"/>
                <w:sz w:val="21"/>
                <w:szCs w:val="21"/>
              </w:rPr>
              <w:t>二级</w:t>
            </w:r>
          </w:p>
        </w:tc>
        <w:tc>
          <w:tcPr>
            <w:tcW w:w="388" w:type="pct"/>
            <w:vAlign w:val="center"/>
          </w:tcPr>
          <w:p>
            <w:pPr>
              <w:spacing w:line="240" w:lineRule="auto"/>
              <w:ind w:firstLine="0" w:firstLineChars="0"/>
              <w:jc w:val="center"/>
              <w:rPr>
                <w:color w:val="auto"/>
                <w:sz w:val="21"/>
                <w:szCs w:val="21"/>
              </w:rPr>
            </w:pPr>
            <w:r>
              <w:rPr>
                <w:color w:val="auto"/>
                <w:sz w:val="21"/>
                <w:szCs w:val="21"/>
              </w:rPr>
              <w:t>二级</w:t>
            </w:r>
          </w:p>
        </w:tc>
        <w:tc>
          <w:tcPr>
            <w:tcW w:w="388" w:type="pct"/>
            <w:vAlign w:val="center"/>
          </w:tcPr>
          <w:p>
            <w:pPr>
              <w:spacing w:line="240" w:lineRule="auto"/>
              <w:ind w:firstLine="0" w:firstLineChars="0"/>
              <w:jc w:val="center"/>
              <w:rPr>
                <w:color w:val="auto"/>
                <w:sz w:val="21"/>
                <w:szCs w:val="21"/>
              </w:rPr>
            </w:pPr>
            <w:r>
              <w:rPr>
                <w:color w:val="auto"/>
                <w:sz w:val="21"/>
                <w:szCs w:val="21"/>
              </w:rPr>
              <w:t>三级</w:t>
            </w:r>
          </w:p>
        </w:tc>
        <w:tc>
          <w:tcPr>
            <w:tcW w:w="389" w:type="pct"/>
            <w:vAlign w:val="center"/>
          </w:tcPr>
          <w:p>
            <w:pPr>
              <w:spacing w:line="240" w:lineRule="auto"/>
              <w:ind w:firstLine="0" w:firstLineChars="0"/>
              <w:jc w:val="center"/>
              <w:rPr>
                <w:color w:val="auto"/>
                <w:sz w:val="21"/>
                <w:szCs w:val="21"/>
              </w:rPr>
            </w:pPr>
            <w:r>
              <w:rPr>
                <w:color w:val="auto"/>
                <w:sz w:val="21"/>
                <w:szCs w:val="21"/>
              </w:rPr>
              <w:t>三级</w:t>
            </w:r>
          </w:p>
        </w:tc>
        <w:tc>
          <w:tcPr>
            <w:tcW w:w="388" w:type="pct"/>
            <w:vAlign w:val="center"/>
          </w:tcPr>
          <w:p>
            <w:pPr>
              <w:spacing w:line="240" w:lineRule="auto"/>
              <w:ind w:firstLine="0" w:firstLineChars="0"/>
              <w:jc w:val="center"/>
              <w:rPr>
                <w:color w:val="auto"/>
                <w:sz w:val="21"/>
                <w:szCs w:val="21"/>
              </w:rPr>
            </w:pPr>
            <w:r>
              <w:rPr>
                <w:color w:val="auto"/>
                <w:sz w:val="21"/>
                <w:szCs w:val="21"/>
              </w:rPr>
              <w:t>三级</w:t>
            </w:r>
          </w:p>
        </w:tc>
        <w:tc>
          <w:tcPr>
            <w:tcW w:w="388" w:type="pct"/>
            <w:vAlign w:val="center"/>
          </w:tcPr>
          <w:p>
            <w:pPr>
              <w:spacing w:line="240" w:lineRule="auto"/>
              <w:ind w:firstLine="0" w:firstLineChars="0"/>
              <w:jc w:val="center"/>
              <w:rPr>
                <w:color w:val="auto"/>
                <w:sz w:val="21"/>
                <w:szCs w:val="21"/>
              </w:rPr>
            </w:pPr>
            <w:r>
              <w:rPr>
                <w:color w:val="auto"/>
                <w:sz w:val="21"/>
                <w:szCs w:val="21"/>
              </w:rPr>
              <w:t>-</w:t>
            </w:r>
          </w:p>
        </w:tc>
        <w:tc>
          <w:tcPr>
            <w:tcW w:w="387" w:type="pct"/>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00" w:type="pct"/>
            <w:gridSpan w:val="10"/>
            <w:vAlign w:val="center"/>
          </w:tcPr>
          <w:p>
            <w:pPr>
              <w:spacing w:line="240" w:lineRule="auto"/>
              <w:ind w:firstLine="420"/>
              <w:jc w:val="left"/>
              <w:rPr>
                <w:color w:val="auto"/>
                <w:sz w:val="21"/>
                <w:szCs w:val="21"/>
              </w:rPr>
            </w:pPr>
            <w:r>
              <w:rPr>
                <w:color w:val="auto"/>
                <w:sz w:val="21"/>
                <w:szCs w:val="21"/>
              </w:rPr>
              <w:t>注：“-”表示可不开展土壤环境影响评价工作</w:t>
            </w:r>
          </w:p>
        </w:tc>
      </w:tr>
    </w:tbl>
    <w:p>
      <w:pPr>
        <w:ind w:firstLine="480"/>
        <w:rPr>
          <w:color w:val="auto"/>
        </w:rPr>
      </w:pPr>
      <w:r>
        <w:rPr>
          <w:color w:val="auto"/>
        </w:rPr>
        <w:t>综上所述，</w:t>
      </w:r>
      <w:r>
        <w:rPr>
          <w:rFonts w:hint="eastAsia"/>
          <w:color w:val="auto"/>
        </w:rPr>
        <w:t>拟建项目</w:t>
      </w:r>
      <w:r>
        <w:rPr>
          <w:color w:val="auto"/>
        </w:rPr>
        <w:t>为Ⅱ类项目，建设项目占地规模为小型，土壤环境敏感程度为敏感，因此，确定土壤环境影响评价工作等级为二级。</w:t>
      </w:r>
    </w:p>
    <w:p>
      <w:pPr>
        <w:pStyle w:val="9"/>
        <w:spacing w:before="0" w:beforeLines="0" w:after="0" w:afterLines="0" w:line="360" w:lineRule="auto"/>
        <w:rPr>
          <w:color w:val="auto"/>
        </w:rPr>
      </w:pPr>
      <w:r>
        <w:rPr>
          <w:rFonts w:hint="eastAsia"/>
          <w:color w:val="auto"/>
        </w:rPr>
        <w:t>5</w:t>
      </w:r>
      <w:r>
        <w:rPr>
          <w:color w:val="auto"/>
        </w:rPr>
        <w:t>.6.3土壤环境影响预测与评价</w:t>
      </w:r>
    </w:p>
    <w:p>
      <w:pPr>
        <w:pStyle w:val="10"/>
        <w:spacing w:line="360" w:lineRule="auto"/>
        <w:rPr>
          <w:color w:val="auto"/>
        </w:rPr>
      </w:pPr>
      <w:r>
        <w:rPr>
          <w:rFonts w:hint="eastAsia"/>
          <w:color w:val="auto"/>
        </w:rPr>
        <w:t>5</w:t>
      </w:r>
      <w:r>
        <w:rPr>
          <w:color w:val="auto"/>
        </w:rPr>
        <w:t>.6.3.1预测评价范围</w:t>
      </w:r>
    </w:p>
    <w:p>
      <w:pPr>
        <w:pStyle w:val="2"/>
        <w:spacing w:after="0"/>
        <w:ind w:firstLine="480"/>
        <w:rPr>
          <w:color w:val="auto"/>
        </w:rPr>
      </w:pPr>
      <w:r>
        <w:rPr>
          <w:color w:val="auto"/>
        </w:rPr>
        <w:t>正常工况下，即使没有采取特殊的防渗措施，按建设规范要求，</w:t>
      </w:r>
      <w:r>
        <w:rPr>
          <w:rFonts w:hint="eastAsia"/>
          <w:color w:val="auto"/>
        </w:rPr>
        <w:t>拟建项目</w:t>
      </w:r>
      <w:r>
        <w:rPr>
          <w:color w:val="auto"/>
        </w:rPr>
        <w:t>各厂房、车间、装置区也必须采取地表硬化处理，正常工况下不应有废水或其它物料暴露而发生渗漏至土壤的情景发生。因此，本次模拟预测情景主要针对非正常工况及风险工况进行设定，土壤的重点污染隐患点——生产装置聚合工段，罐区，危废暂存间，有连续地外溢液体物料或废水，形成地面漫流，经硬化地面漫流至车间外裸露的土壤或绿化带。</w:t>
      </w:r>
    </w:p>
    <w:p>
      <w:pPr>
        <w:pStyle w:val="2"/>
        <w:spacing w:after="0" w:line="360" w:lineRule="auto"/>
        <w:ind w:firstLine="480"/>
        <w:rPr>
          <w:color w:val="auto"/>
        </w:rPr>
      </w:pPr>
      <w:r>
        <w:rPr>
          <w:color w:val="auto"/>
        </w:rPr>
        <w:t>本次预测评价范围与现状调查评价范围一致，即：占地范围内：全部，占地范围外：0.2km。</w:t>
      </w:r>
    </w:p>
    <w:p>
      <w:pPr>
        <w:pStyle w:val="10"/>
        <w:spacing w:line="360" w:lineRule="auto"/>
        <w:rPr>
          <w:color w:val="auto"/>
        </w:rPr>
      </w:pPr>
      <w:r>
        <w:rPr>
          <w:rFonts w:hint="eastAsia"/>
          <w:color w:val="auto"/>
        </w:rPr>
        <w:t>5</w:t>
      </w:r>
      <w:r>
        <w:rPr>
          <w:color w:val="auto"/>
        </w:rPr>
        <w:t>.6.3.2预测评价时段</w:t>
      </w:r>
    </w:p>
    <w:p>
      <w:pPr>
        <w:pStyle w:val="2"/>
        <w:spacing w:after="0"/>
        <w:ind w:firstLine="480"/>
        <w:rPr>
          <w:color w:val="auto"/>
        </w:rPr>
      </w:pPr>
      <w:r>
        <w:rPr>
          <w:color w:val="auto"/>
        </w:rPr>
        <w:t>根据建设项目土壤环境影响识别，选取项目运营期作为预测评价时段。</w:t>
      </w:r>
    </w:p>
    <w:p>
      <w:pPr>
        <w:pStyle w:val="10"/>
        <w:spacing w:line="360" w:lineRule="auto"/>
        <w:rPr>
          <w:color w:val="auto"/>
        </w:rPr>
      </w:pPr>
      <w:r>
        <w:rPr>
          <w:rFonts w:hint="eastAsia"/>
          <w:color w:val="auto"/>
        </w:rPr>
        <w:t>5</w:t>
      </w:r>
      <w:r>
        <w:rPr>
          <w:color w:val="auto"/>
        </w:rPr>
        <w:t>.6.3.3预测与评价因子</w:t>
      </w:r>
    </w:p>
    <w:p>
      <w:pPr>
        <w:keepNext w:val="0"/>
        <w:keepLines w:val="0"/>
        <w:widowControl/>
        <w:suppressLineNumbers w:val="0"/>
        <w:jc w:val="left"/>
        <w:rPr>
          <w:color w:val="auto"/>
        </w:rPr>
      </w:pPr>
      <w:r>
        <w:rPr>
          <w:rFonts w:hint="eastAsia" w:cs="Times New Roman"/>
          <w:color w:val="auto"/>
          <w:kern w:val="0"/>
          <w:sz w:val="24"/>
          <w:szCs w:val="24"/>
          <w:highlight w:val="none"/>
          <w:lang w:val="en-US" w:eastAsia="zh-CN" w:bidi="ar"/>
        </w:rPr>
        <w:t>由于本项目原料及产品等都属于可降解材料，项目本身对土壤环境影响较小，项目供热采用导热油，石油烃对土壤环境危害更大。因此</w:t>
      </w:r>
      <w:r>
        <w:rPr>
          <w:rFonts w:hint="default" w:ascii="Times New Roman" w:hAnsi="Times New Roman" w:eastAsia="宋体" w:cs="Times New Roman"/>
          <w:color w:val="auto"/>
          <w:kern w:val="0"/>
          <w:sz w:val="24"/>
          <w:szCs w:val="24"/>
          <w:highlight w:val="none"/>
          <w:lang w:val="en-US" w:eastAsia="zh-CN" w:bidi="ar"/>
        </w:rPr>
        <w:t>本次预测选取</w:t>
      </w:r>
      <w:r>
        <w:rPr>
          <w:rFonts w:hint="eastAsia" w:cs="Times New Roman"/>
          <w:color w:val="auto"/>
          <w:kern w:val="0"/>
          <w:sz w:val="24"/>
          <w:szCs w:val="24"/>
          <w:highlight w:val="none"/>
          <w:lang w:val="en-US" w:eastAsia="zh-CN" w:bidi="ar"/>
        </w:rPr>
        <w:t>石油烃</w:t>
      </w:r>
      <w:r>
        <w:rPr>
          <w:rFonts w:hint="default" w:ascii="Times New Roman" w:hAnsi="Times New Roman" w:eastAsia="宋体" w:cs="Times New Roman"/>
          <w:color w:val="auto"/>
          <w:kern w:val="0"/>
          <w:sz w:val="24"/>
          <w:szCs w:val="24"/>
          <w:highlight w:val="none"/>
          <w:lang w:val="en-US" w:eastAsia="zh-CN" w:bidi="ar"/>
        </w:rPr>
        <w:t>作为预测因子。判定达标标准依据《土壤环境质量 建设用地土壤污染风险管控标准》（GB36600-2018）筛选值第二类用地标准</w:t>
      </w:r>
      <w:r>
        <w:rPr>
          <w:color w:val="auto"/>
        </w:rPr>
        <w:t>。</w:t>
      </w:r>
    </w:p>
    <w:p>
      <w:pPr>
        <w:pStyle w:val="10"/>
        <w:spacing w:line="360" w:lineRule="auto"/>
        <w:rPr>
          <w:color w:val="auto"/>
        </w:rPr>
      </w:pPr>
      <w:r>
        <w:rPr>
          <w:rFonts w:hint="eastAsia"/>
          <w:color w:val="auto"/>
        </w:rPr>
        <w:t>5</w:t>
      </w:r>
      <w:r>
        <w:rPr>
          <w:color w:val="auto"/>
        </w:rPr>
        <w:t>.6.3.4预测情景设定</w:t>
      </w:r>
    </w:p>
    <w:p>
      <w:pPr>
        <w:keepNext w:val="0"/>
        <w:keepLines w:val="0"/>
        <w:widowControl/>
        <w:suppressLineNumbers w:val="0"/>
        <w:jc w:val="left"/>
        <w:rPr>
          <w:color w:val="auto"/>
          <w:highlight w:val="none"/>
        </w:rPr>
      </w:pPr>
      <w:r>
        <w:rPr>
          <w:rFonts w:hint="eastAsia" w:ascii="宋体" w:hAnsi="宋体" w:eastAsia="宋体" w:cs="宋体"/>
          <w:color w:val="auto"/>
          <w:kern w:val="0"/>
          <w:sz w:val="24"/>
          <w:szCs w:val="24"/>
          <w:highlight w:val="none"/>
          <w:lang w:val="en-US" w:eastAsia="zh-CN" w:bidi="ar"/>
        </w:rPr>
        <w:t>项目运营期，</w:t>
      </w:r>
      <w:r>
        <w:rPr>
          <w:rFonts w:hint="eastAsia" w:ascii="宋体" w:hAnsi="宋体" w:cs="宋体"/>
          <w:color w:val="auto"/>
          <w:kern w:val="0"/>
          <w:sz w:val="24"/>
          <w:szCs w:val="24"/>
          <w:highlight w:val="none"/>
          <w:lang w:val="en-US" w:eastAsia="zh-CN" w:bidi="ar"/>
        </w:rPr>
        <w:t>工艺</w:t>
      </w:r>
      <w:r>
        <w:rPr>
          <w:rFonts w:hint="eastAsia" w:ascii="宋体" w:hAnsi="宋体" w:eastAsia="宋体" w:cs="宋体"/>
          <w:color w:val="auto"/>
          <w:kern w:val="0"/>
          <w:sz w:val="24"/>
          <w:szCs w:val="24"/>
          <w:highlight w:val="none"/>
          <w:lang w:val="en-US" w:eastAsia="zh-CN" w:bidi="ar"/>
        </w:rPr>
        <w:t>装置及污水处理设施正常运行，在做好防渗措施的情况下，产生垂直泄漏的可能性较小，因此本次预测考虑项目运行期污染物</w:t>
      </w:r>
      <w:r>
        <w:rPr>
          <w:rFonts w:hint="eastAsia" w:ascii="宋体" w:hAnsi="宋体" w:cs="宋体"/>
          <w:color w:val="auto"/>
          <w:kern w:val="0"/>
          <w:sz w:val="24"/>
          <w:szCs w:val="24"/>
          <w:highlight w:val="none"/>
          <w:lang w:val="en-US" w:eastAsia="zh-CN" w:bidi="ar"/>
        </w:rPr>
        <w:t>垂直入渗</w:t>
      </w:r>
      <w:r>
        <w:rPr>
          <w:rFonts w:hint="eastAsia" w:ascii="宋体" w:hAnsi="宋体" w:eastAsia="宋体" w:cs="宋体"/>
          <w:color w:val="auto"/>
          <w:kern w:val="0"/>
          <w:sz w:val="24"/>
          <w:szCs w:val="24"/>
          <w:highlight w:val="none"/>
          <w:lang w:val="en-US" w:eastAsia="zh-CN" w:bidi="ar"/>
        </w:rPr>
        <w:t>对土壤造成的污染。根据污染物的排放情况以及影响程度综合考虑，本次预测情景为</w:t>
      </w:r>
      <w:r>
        <w:rPr>
          <w:rFonts w:hint="eastAsia" w:ascii="宋体" w:hAnsi="宋体" w:cs="宋体"/>
          <w:color w:val="auto"/>
          <w:kern w:val="0"/>
          <w:sz w:val="24"/>
          <w:szCs w:val="24"/>
          <w:highlight w:val="none"/>
          <w:lang w:val="en-US" w:eastAsia="zh-CN" w:bidi="ar"/>
        </w:rPr>
        <w:t>石油烃</w:t>
      </w:r>
      <w:r>
        <w:rPr>
          <w:rFonts w:hint="eastAsia" w:ascii="宋体" w:hAnsi="宋体" w:eastAsia="宋体" w:cs="宋体"/>
          <w:color w:val="auto"/>
          <w:kern w:val="0"/>
          <w:sz w:val="24"/>
          <w:szCs w:val="24"/>
          <w:highlight w:val="none"/>
          <w:lang w:val="en-US" w:eastAsia="zh-CN" w:bidi="ar"/>
        </w:rPr>
        <w:t>通过</w:t>
      </w:r>
      <w:r>
        <w:rPr>
          <w:rFonts w:hint="eastAsia" w:ascii="宋体" w:hAnsi="宋体" w:cs="宋体"/>
          <w:color w:val="auto"/>
          <w:kern w:val="0"/>
          <w:sz w:val="24"/>
          <w:szCs w:val="24"/>
          <w:highlight w:val="none"/>
          <w:lang w:val="en-US" w:eastAsia="zh-CN" w:bidi="ar"/>
        </w:rPr>
        <w:t>垂直入渗</w:t>
      </w:r>
      <w:r>
        <w:rPr>
          <w:rFonts w:hint="eastAsia" w:ascii="宋体" w:hAnsi="宋体" w:eastAsia="宋体" w:cs="宋体"/>
          <w:color w:val="auto"/>
          <w:kern w:val="0"/>
          <w:sz w:val="24"/>
          <w:szCs w:val="24"/>
          <w:highlight w:val="none"/>
          <w:lang w:val="en-US" w:eastAsia="zh-CN" w:bidi="ar"/>
        </w:rPr>
        <w:t>对评价范围内土壤的影响。</w:t>
      </w:r>
    </w:p>
    <w:p>
      <w:pPr>
        <w:pStyle w:val="10"/>
        <w:spacing w:line="360" w:lineRule="auto"/>
        <w:rPr>
          <w:color w:val="auto"/>
        </w:rPr>
      </w:pPr>
      <w:r>
        <w:rPr>
          <w:rFonts w:hint="eastAsia"/>
          <w:color w:val="auto"/>
        </w:rPr>
        <w:t>5</w:t>
      </w:r>
      <w:r>
        <w:rPr>
          <w:color w:val="auto"/>
        </w:rPr>
        <w:t>.6.3.5预测方法及结果</w:t>
      </w:r>
    </w:p>
    <w:p>
      <w:pPr>
        <w:autoSpaceDE w:val="0"/>
        <w:autoSpaceDN w:val="0"/>
        <w:adjustRightInd w:val="0"/>
        <w:ind w:firstLine="480"/>
        <w:rPr>
          <w:color w:val="auto"/>
        </w:rPr>
      </w:pPr>
      <w:r>
        <w:rPr>
          <w:rFonts w:hint="eastAsia"/>
          <w:color w:val="auto"/>
        </w:rPr>
        <w:t>拟建项目</w:t>
      </w:r>
      <w:r>
        <w:rPr>
          <w:color w:val="auto"/>
        </w:rPr>
        <w:t>为污染影响型建设项目，评价工作等级为二级，根据 HJ964-2018要求，预测方法可参见附录E或进行类比分析。</w:t>
      </w:r>
      <w:r>
        <w:rPr>
          <w:rFonts w:hint="eastAsia"/>
          <w:color w:val="auto"/>
        </w:rPr>
        <w:t>拟建项目</w:t>
      </w:r>
      <w:r>
        <w:rPr>
          <w:color w:val="auto"/>
        </w:rPr>
        <w:t>石油烃预测采用类比分析的方法。</w:t>
      </w:r>
      <w:r>
        <w:rPr>
          <w:rFonts w:hint="eastAsia"/>
          <w:color w:val="auto"/>
        </w:rPr>
        <w:t>本次评价类比</w:t>
      </w:r>
      <w:r>
        <w:rPr>
          <w:rFonts w:hint="eastAsia"/>
          <w:color w:val="auto"/>
          <w:lang w:val="en-US" w:eastAsia="zh-CN"/>
        </w:rPr>
        <w:t>淄博祥聚漂染有限公司</w:t>
      </w:r>
      <w:r>
        <w:rPr>
          <w:rFonts w:hint="eastAsia"/>
          <w:color w:val="auto"/>
        </w:rPr>
        <w:t>土壤现在，说明拟建项目土壤环境影响。</w:t>
      </w:r>
    </w:p>
    <w:p>
      <w:pPr>
        <w:ind w:firstLine="480"/>
        <w:rPr>
          <w:rFonts w:hint="default" w:eastAsia="宋体"/>
          <w:color w:val="auto"/>
          <w:lang w:val="en-US" w:eastAsia="zh-CN"/>
        </w:rPr>
      </w:pPr>
      <w:r>
        <w:rPr>
          <w:rFonts w:hint="eastAsia"/>
          <w:color w:val="auto"/>
          <w:lang w:val="en-US" w:eastAsia="zh-CN"/>
        </w:rPr>
        <w:t>本项目主要类比淄博祥聚漂染有限公司“针织布漂整项目”，该项目导热油炉装置至2020年已经运行16年，该项目导热油罐与本项目类似，均使用导热油供热，因此具有类比性。</w:t>
      </w:r>
    </w:p>
    <w:p>
      <w:pPr>
        <w:keepNext w:val="0"/>
        <w:keepLines w:val="0"/>
        <w:widowControl/>
        <w:suppressLineNumbers w:val="0"/>
        <w:jc w:val="left"/>
        <w:rPr>
          <w:rFonts w:hint="default" w:eastAsia="宋体"/>
          <w:color w:val="auto"/>
          <w:lang w:val="en-US" w:eastAsia="zh-CN"/>
        </w:rPr>
      </w:pPr>
      <w:r>
        <w:rPr>
          <w:rFonts w:hint="eastAsia"/>
          <w:color w:val="auto"/>
          <w:lang w:val="en-US" w:eastAsia="zh-CN"/>
        </w:rPr>
        <w:t>本</w:t>
      </w:r>
      <w:r>
        <w:rPr>
          <w:rFonts w:hint="default" w:ascii="Times New Roman" w:hAnsi="Times New Roman" w:eastAsia="宋体" w:cs="Times New Roman"/>
          <w:b w:val="0"/>
          <w:bCs w:val="0"/>
          <w:color w:val="auto"/>
          <w:kern w:val="0"/>
          <w:sz w:val="24"/>
          <w:szCs w:val="24"/>
          <w:highlight w:val="none"/>
          <w:lang w:val="en-US" w:eastAsia="zh-CN" w:bidi="ar"/>
        </w:rPr>
        <w:t>次收集到了该厂区20</w:t>
      </w:r>
      <w:r>
        <w:rPr>
          <w:rFonts w:hint="eastAsia" w:ascii="Times New Roman" w:hAnsi="Times New Roman" w:eastAsia="宋体" w:cs="Times New Roman"/>
          <w:b w:val="0"/>
          <w:bCs w:val="0"/>
          <w:color w:val="auto"/>
          <w:kern w:val="0"/>
          <w:sz w:val="24"/>
          <w:szCs w:val="24"/>
          <w:highlight w:val="none"/>
          <w:lang w:val="en-US" w:eastAsia="zh-CN" w:bidi="ar"/>
        </w:rPr>
        <w:t>20</w:t>
      </w:r>
      <w:r>
        <w:rPr>
          <w:rFonts w:hint="default" w:ascii="Times New Roman" w:hAnsi="Times New Roman" w:eastAsia="宋体" w:cs="Times New Roman"/>
          <w:b w:val="0"/>
          <w:bCs w:val="0"/>
          <w:color w:val="auto"/>
          <w:kern w:val="0"/>
          <w:sz w:val="24"/>
          <w:szCs w:val="24"/>
          <w:highlight w:val="none"/>
          <w:lang w:val="en-US" w:eastAsia="zh-CN" w:bidi="ar"/>
        </w:rPr>
        <w:t>年</w:t>
      </w:r>
      <w:r>
        <w:rPr>
          <w:rFonts w:hint="eastAsia" w:ascii="Times New Roman" w:hAnsi="Times New Roman" w:eastAsia="宋体" w:cs="Times New Roman"/>
          <w:b w:val="0"/>
          <w:bCs w:val="0"/>
          <w:color w:val="auto"/>
          <w:kern w:val="0"/>
          <w:sz w:val="24"/>
          <w:szCs w:val="24"/>
          <w:highlight w:val="none"/>
          <w:lang w:val="en-US" w:eastAsia="zh-CN" w:bidi="ar"/>
        </w:rPr>
        <w:t>11</w:t>
      </w:r>
      <w:r>
        <w:rPr>
          <w:rFonts w:hint="default" w:ascii="Times New Roman" w:hAnsi="Times New Roman" w:eastAsia="宋体" w:cs="Times New Roman"/>
          <w:b w:val="0"/>
          <w:bCs w:val="0"/>
          <w:color w:val="auto"/>
          <w:kern w:val="0"/>
          <w:sz w:val="24"/>
          <w:szCs w:val="24"/>
          <w:highlight w:val="none"/>
          <w:lang w:val="en-US" w:eastAsia="zh-CN" w:bidi="ar"/>
        </w:rPr>
        <w:t>月由</w:t>
      </w:r>
      <w:r>
        <w:rPr>
          <w:rFonts w:hint="eastAsia" w:ascii="宋体" w:hAnsi="宋体" w:eastAsia="宋体" w:cs="宋体"/>
          <w:color w:val="auto"/>
          <w:kern w:val="0"/>
          <w:sz w:val="24"/>
          <w:szCs w:val="24"/>
          <w:lang w:val="en-US" w:eastAsia="zh-CN" w:bidi="ar"/>
        </w:rPr>
        <w:t>青岛中博华科检测科技有限公司</w:t>
      </w:r>
      <w:r>
        <w:rPr>
          <w:rFonts w:hint="default" w:ascii="Times New Roman" w:hAnsi="Times New Roman" w:eastAsia="宋体" w:cs="Times New Roman"/>
          <w:b w:val="0"/>
          <w:bCs w:val="0"/>
          <w:color w:val="auto"/>
          <w:kern w:val="0"/>
          <w:sz w:val="24"/>
          <w:szCs w:val="24"/>
          <w:highlight w:val="none"/>
          <w:lang w:val="en-US" w:eastAsia="zh-CN" w:bidi="ar"/>
        </w:rPr>
        <w:t>对现有工程及周边的监测数据，类比分析说明</w:t>
      </w:r>
      <w:r>
        <w:rPr>
          <w:rFonts w:hint="eastAsia" w:ascii="Times New Roman" w:hAnsi="Times New Roman" w:eastAsia="宋体" w:cs="Times New Roman"/>
          <w:b w:val="0"/>
          <w:bCs w:val="0"/>
          <w:color w:val="auto"/>
          <w:kern w:val="0"/>
          <w:sz w:val="24"/>
          <w:szCs w:val="24"/>
          <w:highlight w:val="none"/>
          <w:lang w:val="en-US" w:eastAsia="zh-CN" w:bidi="ar"/>
        </w:rPr>
        <w:t>本</w:t>
      </w:r>
      <w:r>
        <w:rPr>
          <w:rFonts w:hint="default" w:ascii="Times New Roman" w:hAnsi="Times New Roman" w:eastAsia="宋体" w:cs="Times New Roman"/>
          <w:b w:val="0"/>
          <w:bCs w:val="0"/>
          <w:color w:val="auto"/>
          <w:kern w:val="0"/>
          <w:sz w:val="24"/>
          <w:szCs w:val="24"/>
          <w:highlight w:val="none"/>
          <w:lang w:val="en-US" w:eastAsia="zh-CN" w:bidi="ar"/>
        </w:rPr>
        <w:t>项目运行后的土壤影响情况。</w:t>
      </w:r>
    </w:p>
    <w:p>
      <w:pPr>
        <w:keepNext w:val="0"/>
        <w:keepLines w:val="0"/>
        <w:widowControl/>
        <w:suppressLineNumbers w:val="0"/>
        <w:ind w:left="0" w:leftChars="0" w:firstLine="0" w:firstLineChars="0"/>
        <w:jc w:val="center"/>
        <w:rPr>
          <w:rFonts w:hint="default" w:ascii="Times New Roman" w:hAnsi="Times New Roman" w:eastAsia="黑体" w:cs="Times New Roman"/>
          <w:color w:val="auto"/>
          <w:sz w:val="21"/>
          <w:szCs w:val="20"/>
          <w:highlight w:val="none"/>
          <w:lang w:val="en-US" w:eastAsia="zh-CN"/>
        </w:rPr>
      </w:pPr>
      <w:r>
        <w:rPr>
          <w:rFonts w:hint="default" w:ascii="Times New Roman" w:hAnsi="Times New Roman" w:eastAsia="黑体" w:cs="Times New Roman"/>
          <w:color w:val="auto"/>
          <w:sz w:val="21"/>
          <w:szCs w:val="20"/>
          <w:highlight w:val="none"/>
          <w:lang w:val="en-US" w:eastAsia="zh-CN"/>
        </w:rPr>
        <w:t>表5.6-</w:t>
      </w:r>
      <w:r>
        <w:rPr>
          <w:rFonts w:hint="eastAsia" w:eastAsia="黑体" w:cs="Times New Roman"/>
          <w:color w:val="auto"/>
          <w:sz w:val="21"/>
          <w:szCs w:val="20"/>
          <w:highlight w:val="none"/>
          <w:lang w:val="en-US" w:eastAsia="zh-CN"/>
        </w:rPr>
        <w:t>6</w:t>
      </w:r>
      <w:r>
        <w:rPr>
          <w:rFonts w:hint="default" w:ascii="Times New Roman" w:hAnsi="Times New Roman" w:eastAsia="黑体" w:cs="Times New Roman"/>
          <w:color w:val="auto"/>
          <w:sz w:val="21"/>
          <w:szCs w:val="20"/>
          <w:highlight w:val="none"/>
          <w:lang w:val="en-US" w:eastAsia="zh-CN"/>
        </w:rPr>
        <w:t xml:space="preserve"> 类比项目监测数据一览表</w:t>
      </w:r>
      <w:r>
        <w:rPr>
          <w:rFonts w:hint="eastAsia" w:ascii="Times New Roman" w:hAnsi="Times New Roman" w:eastAsia="黑体" w:cs="Times New Roman"/>
          <w:color w:val="auto"/>
          <w:sz w:val="21"/>
          <w:szCs w:val="20"/>
          <w:highlight w:val="none"/>
          <w:lang w:val="en-US" w:eastAsia="zh-CN"/>
        </w:rPr>
        <w:t>（单位：mg/kg）</w:t>
      </w:r>
    </w:p>
    <w:tbl>
      <w:tblPr>
        <w:tblStyle w:val="23"/>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04"/>
        <w:gridCol w:w="2018"/>
        <w:gridCol w:w="1855"/>
        <w:gridCol w:w="38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4"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类比单位</w:t>
            </w:r>
          </w:p>
        </w:tc>
        <w:tc>
          <w:tcPr>
            <w:tcW w:w="4135" w:type="pct"/>
            <w:gridSpan w:val="3"/>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b w:val="0"/>
                <w:bCs w:val="0"/>
                <w:color w:val="auto"/>
                <w:kern w:val="0"/>
                <w:sz w:val="21"/>
                <w:szCs w:val="21"/>
                <w:highlight w:val="none"/>
                <w:lang w:val="en-US" w:eastAsia="zh-CN" w:bidi="ar"/>
              </w:rPr>
              <w:t>淄博祥聚漂染有限公司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64"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类比项目</w:t>
            </w:r>
          </w:p>
        </w:tc>
        <w:tc>
          <w:tcPr>
            <w:tcW w:w="4135" w:type="pct"/>
            <w:gridSpan w:val="3"/>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b w:val="0"/>
                <w:bCs w:val="0"/>
                <w:color w:val="auto"/>
                <w:kern w:val="0"/>
                <w:sz w:val="21"/>
                <w:szCs w:val="21"/>
                <w:highlight w:val="none"/>
                <w:lang w:val="en-US" w:eastAsia="zh-CN" w:bidi="ar"/>
              </w:rPr>
              <w:t>针织布漂整项目</w:t>
            </w:r>
            <w:r>
              <w:rPr>
                <w:rFonts w:hint="default" w:ascii="Times New Roman" w:hAnsi="Times New Roman" w:eastAsia="宋体" w:cs="Times New Roman"/>
                <w:b w:val="0"/>
                <w:bCs w:val="0"/>
                <w:color w:val="auto"/>
                <w:kern w:val="0"/>
                <w:sz w:val="21"/>
                <w:szCs w:val="21"/>
                <w:highlight w:val="none"/>
                <w:lang w:val="en-US" w:eastAsia="zh-CN" w:bidi="ar"/>
              </w:rPr>
              <w:t>（</w:t>
            </w:r>
            <w:r>
              <w:rPr>
                <w:rFonts w:hint="eastAsia" w:ascii="Times New Roman" w:hAnsi="Times New Roman" w:eastAsia="宋体" w:cs="Times New Roman"/>
                <w:b w:val="0"/>
                <w:bCs w:val="0"/>
                <w:color w:val="auto"/>
                <w:kern w:val="0"/>
                <w:sz w:val="21"/>
                <w:szCs w:val="21"/>
                <w:highlight w:val="none"/>
                <w:lang w:val="en-US" w:eastAsia="zh-CN" w:bidi="ar"/>
              </w:rPr>
              <w:t>编号[098]2001.8.28</w:t>
            </w:r>
            <w:r>
              <w:rPr>
                <w:rFonts w:hint="default" w:ascii="Times New Roman" w:hAnsi="Times New Roman" w:eastAsia="宋体" w:cs="Times New Roman"/>
                <w:b w:val="0"/>
                <w:bCs w:val="0"/>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864"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afterLines="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验收时间</w:t>
            </w:r>
          </w:p>
        </w:tc>
        <w:tc>
          <w:tcPr>
            <w:tcW w:w="4135" w:type="pct"/>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2</w:t>
            </w:r>
            <w:r>
              <w:rPr>
                <w:rFonts w:hint="eastAsia" w:ascii="Times New Roman" w:hAnsi="Times New Roman" w:eastAsia="宋体" w:cs="Times New Roman"/>
                <w:color w:val="auto"/>
                <w:kern w:val="0"/>
                <w:sz w:val="21"/>
                <w:szCs w:val="21"/>
                <w:highlight w:val="none"/>
                <w:lang w:val="en-US" w:eastAsia="zh-CN" w:bidi="ar"/>
              </w:rPr>
              <w:t>006</w:t>
            </w:r>
            <w:r>
              <w:rPr>
                <w:rFonts w:hint="default" w:ascii="Times New Roman" w:hAnsi="Times New Roman" w:eastAsia="宋体" w:cs="Times New Roman"/>
                <w:color w:val="auto"/>
                <w:kern w:val="0"/>
                <w:sz w:val="21"/>
                <w:szCs w:val="21"/>
                <w:highlight w:val="none"/>
                <w:lang w:val="en-US" w:eastAsia="zh-CN" w:bidi="ar"/>
              </w:rPr>
              <w:t>年</w:t>
            </w:r>
            <w:r>
              <w:rPr>
                <w:rFonts w:hint="eastAsia" w:ascii="Times New Roman" w:hAnsi="Times New Roman" w:eastAsia="宋体" w:cs="Times New Roman"/>
                <w:color w:val="auto"/>
                <w:kern w:val="0"/>
                <w:sz w:val="21"/>
                <w:szCs w:val="21"/>
                <w:highlight w:val="none"/>
                <w:lang w:val="en-US" w:eastAsia="zh-CN" w:bidi="ar"/>
              </w:rPr>
              <w:t>6</w:t>
            </w:r>
            <w:r>
              <w:rPr>
                <w:rFonts w:hint="default" w:ascii="Times New Roman" w:hAnsi="Times New Roman" w:eastAsia="宋体" w:cs="Times New Roman"/>
                <w:color w:val="auto"/>
                <w:kern w:val="0"/>
                <w:sz w:val="21"/>
                <w:szCs w:val="21"/>
                <w:highlight w:val="none"/>
                <w:lang w:val="en-US" w:eastAsia="zh-CN" w:bidi="ar"/>
              </w:rPr>
              <w:t>月</w:t>
            </w:r>
            <w:r>
              <w:rPr>
                <w:rFonts w:hint="eastAsia" w:ascii="Times New Roman" w:hAnsi="Times New Roman" w:eastAsia="宋体" w:cs="Times New Roman"/>
                <w:color w:val="auto"/>
                <w:kern w:val="0"/>
                <w:sz w:val="21"/>
                <w:szCs w:val="21"/>
                <w:highlight w:val="none"/>
                <w:lang w:val="en-US" w:eastAsia="zh-CN" w:bidi="ar"/>
              </w:rPr>
              <w:t>12</w:t>
            </w:r>
            <w:r>
              <w:rPr>
                <w:rFonts w:hint="default" w:ascii="Times New Roman" w:hAnsi="Times New Roman" w:eastAsia="宋体" w:cs="Times New Roman"/>
                <w:color w:val="auto"/>
                <w:kern w:val="0"/>
                <w:sz w:val="21"/>
                <w:szCs w:val="21"/>
                <w:highlight w:val="none"/>
                <w:lang w:val="en-US" w:eastAsia="zh-CN" w:bidi="ar"/>
              </w:rPr>
              <w:t>日</w:t>
            </w:r>
            <w:r>
              <w:rPr>
                <w:rFonts w:hint="eastAsia" w:ascii="Times New Roman" w:hAnsi="Times New Roman" w:eastAsia="宋体" w:cs="Times New Roman"/>
                <w:color w:val="auto"/>
                <w:kern w:val="0"/>
                <w:sz w:val="21"/>
                <w:szCs w:val="21"/>
                <w:highlight w:val="none"/>
                <w:lang w:val="en-US" w:eastAsia="zh-CN" w:bidi="ar"/>
              </w:rPr>
              <w:t>（原淄博市环境保护局张店分局编号[098]）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4"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监测时间</w:t>
            </w:r>
          </w:p>
        </w:tc>
        <w:tc>
          <w:tcPr>
            <w:tcW w:w="4135" w:type="pct"/>
            <w:gridSpan w:val="3"/>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b w:val="0"/>
                <w:bCs w:val="0"/>
                <w:color w:val="auto"/>
                <w:kern w:val="0"/>
                <w:sz w:val="21"/>
                <w:szCs w:val="21"/>
                <w:highlight w:val="none"/>
                <w:lang w:val="en-US" w:eastAsia="zh-CN" w:bidi="ar"/>
              </w:rPr>
              <w:t>2020</w:t>
            </w:r>
            <w:r>
              <w:rPr>
                <w:rFonts w:hint="default" w:ascii="Times New Roman" w:hAnsi="Times New Roman" w:eastAsia="宋体" w:cs="Times New Roman"/>
                <w:b w:val="0"/>
                <w:bCs w:val="0"/>
                <w:color w:val="auto"/>
                <w:kern w:val="0"/>
                <w:sz w:val="21"/>
                <w:szCs w:val="21"/>
                <w:highlight w:val="none"/>
                <w:lang w:val="en-US" w:eastAsia="zh-CN" w:bidi="ar"/>
              </w:rPr>
              <w:t>年</w:t>
            </w:r>
            <w:r>
              <w:rPr>
                <w:rFonts w:hint="eastAsia" w:ascii="Times New Roman" w:hAnsi="Times New Roman" w:eastAsia="宋体" w:cs="Times New Roman"/>
                <w:b w:val="0"/>
                <w:bCs w:val="0"/>
                <w:color w:val="auto"/>
                <w:kern w:val="0"/>
                <w:sz w:val="21"/>
                <w:szCs w:val="21"/>
                <w:highlight w:val="none"/>
                <w:lang w:val="en-US" w:eastAsia="zh-CN" w:bidi="ar"/>
              </w:rPr>
              <w:t>11</w:t>
            </w:r>
            <w:r>
              <w:rPr>
                <w:rFonts w:hint="default" w:ascii="Times New Roman" w:hAnsi="Times New Roman" w:eastAsia="宋体" w:cs="Times New Roman"/>
                <w:b w:val="0"/>
                <w:bCs w:val="0"/>
                <w:color w:val="auto"/>
                <w:kern w:val="0"/>
                <w:sz w:val="21"/>
                <w:szCs w:val="21"/>
                <w:highlight w:val="none"/>
                <w:lang w:val="en-US" w:eastAsia="zh-CN" w:bidi="ar"/>
              </w:rPr>
              <w:t>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4"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监测单位</w:t>
            </w:r>
          </w:p>
        </w:tc>
        <w:tc>
          <w:tcPr>
            <w:tcW w:w="4135" w:type="pct"/>
            <w:gridSpan w:val="3"/>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青岛中博华科检测科技有限公司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4" w:type="pct"/>
            <w:vMerge w:val="restar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监测项目</w:t>
            </w:r>
          </w:p>
        </w:tc>
        <w:tc>
          <w:tcPr>
            <w:tcW w:w="4135" w:type="pct"/>
            <w:gridSpan w:val="3"/>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石油烃（C</w:t>
            </w:r>
            <w:r>
              <w:rPr>
                <w:rFonts w:hint="eastAsia" w:ascii="Times New Roman" w:hAnsi="Times New Roman" w:cs="Times New Roman"/>
                <w:color w:val="auto"/>
                <w:sz w:val="21"/>
                <w:szCs w:val="21"/>
                <w:highlight w:val="none"/>
                <w:vertAlign w:val="subscript"/>
                <w:lang w:val="en-US" w:eastAsia="zh-CN"/>
              </w:rPr>
              <w:t>10</w:t>
            </w:r>
            <w:r>
              <w:rPr>
                <w:rFonts w:hint="eastAsia" w:ascii="Times New Roman" w:hAnsi="Times New Roman" w:cs="Times New Roman"/>
                <w:color w:val="auto"/>
                <w:sz w:val="21"/>
                <w:szCs w:val="21"/>
                <w:highlight w:val="none"/>
                <w:vertAlign w:val="baseline"/>
                <w:lang w:val="en-US" w:eastAsia="zh-CN"/>
              </w:rPr>
              <w:t>~C</w:t>
            </w:r>
            <w:r>
              <w:rPr>
                <w:rFonts w:hint="eastAsia" w:ascii="Times New Roman" w:hAnsi="Times New Roman" w:cs="Times New Roman"/>
                <w:color w:val="auto"/>
                <w:sz w:val="21"/>
                <w:szCs w:val="21"/>
                <w:highlight w:val="none"/>
                <w:vertAlign w:val="subscript"/>
                <w:lang w:val="en-US" w:eastAsia="zh-CN"/>
              </w:rPr>
              <w:t>40</w:t>
            </w:r>
            <w:r>
              <w:rPr>
                <w:rFonts w:hint="eastAsia" w:ascii="Times New Roman" w:hAnsi="Times New Roman"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4" w:type="pct"/>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p>
        </w:tc>
        <w:tc>
          <w:tcPr>
            <w:tcW w:w="1087"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0~0.5m</w:t>
            </w:r>
          </w:p>
        </w:tc>
        <w:tc>
          <w:tcPr>
            <w:tcW w:w="999"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0.5~1.5m</w:t>
            </w:r>
          </w:p>
        </w:tc>
        <w:tc>
          <w:tcPr>
            <w:tcW w:w="2049"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1.5~3.0m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4"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食堂东部区域</w:t>
            </w:r>
          </w:p>
        </w:tc>
        <w:tc>
          <w:tcPr>
            <w:tcW w:w="1087"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w:t>
            </w:r>
          </w:p>
        </w:tc>
        <w:tc>
          <w:tcPr>
            <w:tcW w:w="999"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未检出</w:t>
            </w:r>
          </w:p>
        </w:tc>
        <w:tc>
          <w:tcPr>
            <w:tcW w:w="2049"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4"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双氧水储罐</w:t>
            </w:r>
          </w:p>
        </w:tc>
        <w:tc>
          <w:tcPr>
            <w:tcW w:w="1087"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9</w:t>
            </w:r>
          </w:p>
        </w:tc>
        <w:tc>
          <w:tcPr>
            <w:tcW w:w="999"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2049"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4"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废水处理站</w:t>
            </w:r>
          </w:p>
        </w:tc>
        <w:tc>
          <w:tcPr>
            <w:tcW w:w="1087"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w:t>
            </w:r>
          </w:p>
        </w:tc>
        <w:tc>
          <w:tcPr>
            <w:tcW w:w="999"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w:t>
            </w:r>
          </w:p>
        </w:tc>
        <w:tc>
          <w:tcPr>
            <w:tcW w:w="2049"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4"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印花车间</w:t>
            </w:r>
          </w:p>
        </w:tc>
        <w:tc>
          <w:tcPr>
            <w:tcW w:w="1087"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w:t>
            </w:r>
          </w:p>
        </w:tc>
        <w:tc>
          <w:tcPr>
            <w:tcW w:w="999"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11</w:t>
            </w:r>
          </w:p>
        </w:tc>
        <w:tc>
          <w:tcPr>
            <w:tcW w:w="2049"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4"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项目北侧企业</w:t>
            </w:r>
          </w:p>
        </w:tc>
        <w:tc>
          <w:tcPr>
            <w:tcW w:w="1087"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w:t>
            </w:r>
          </w:p>
        </w:tc>
        <w:tc>
          <w:tcPr>
            <w:tcW w:w="999"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2049"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r>
    </w:tbl>
    <w:p>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color w:val="auto"/>
        </w:rPr>
      </w:pPr>
      <w:r>
        <w:rPr>
          <w:rFonts w:hint="default" w:ascii="Times New Roman" w:hAnsi="Times New Roman" w:eastAsia="宋体" w:cs="Times New Roman"/>
          <w:color w:val="auto"/>
          <w:kern w:val="0"/>
          <w:sz w:val="24"/>
          <w:szCs w:val="24"/>
          <w:highlight w:val="none"/>
          <w:lang w:val="en-US" w:eastAsia="zh-CN" w:bidi="ar"/>
        </w:rPr>
        <w:t>根据土壤类比监测结果，</w:t>
      </w:r>
      <w:r>
        <w:rPr>
          <w:rFonts w:hint="eastAsia" w:ascii="Times New Roman" w:hAnsi="Times New Roman" w:eastAsia="宋体" w:cs="Times New Roman"/>
          <w:color w:val="auto"/>
          <w:kern w:val="0"/>
          <w:sz w:val="24"/>
          <w:szCs w:val="24"/>
          <w:highlight w:val="none"/>
          <w:lang w:val="en-US" w:eastAsia="zh-CN" w:bidi="ar"/>
        </w:rPr>
        <w:t>该</w:t>
      </w:r>
      <w:r>
        <w:rPr>
          <w:rFonts w:hint="default" w:ascii="Times New Roman" w:hAnsi="Times New Roman" w:eastAsia="宋体" w:cs="Times New Roman"/>
          <w:color w:val="auto"/>
          <w:kern w:val="0"/>
          <w:sz w:val="24"/>
          <w:szCs w:val="24"/>
          <w:highlight w:val="none"/>
          <w:lang w:val="en-US" w:eastAsia="zh-CN" w:bidi="ar"/>
        </w:rPr>
        <w:t>项目运行多年后，</w:t>
      </w:r>
      <w:r>
        <w:rPr>
          <w:rFonts w:hint="eastAsia" w:ascii="Times New Roman" w:hAnsi="Times New Roman" w:eastAsia="宋体" w:cs="Times New Roman"/>
          <w:color w:val="auto"/>
          <w:kern w:val="0"/>
          <w:sz w:val="24"/>
          <w:szCs w:val="24"/>
          <w:highlight w:val="none"/>
          <w:lang w:val="en-US" w:eastAsia="zh-CN" w:bidi="ar"/>
        </w:rPr>
        <w:t>导热油</w:t>
      </w:r>
      <w:r>
        <w:rPr>
          <w:rFonts w:hint="default" w:ascii="Times New Roman" w:hAnsi="Times New Roman" w:eastAsia="宋体" w:cs="Times New Roman"/>
          <w:color w:val="auto"/>
          <w:kern w:val="0"/>
          <w:sz w:val="24"/>
          <w:szCs w:val="24"/>
          <w:highlight w:val="none"/>
          <w:lang w:val="en-US" w:eastAsia="zh-CN" w:bidi="ar"/>
        </w:rPr>
        <w:t>装置区附近土壤和周边敏感点土壤中特征因子满足《土壤环境质量 建设用地土壤污染风险管控标准》（GB36600-2018）筛选值第二类用地标准以及《土壤环境质量 农用地土壤污染风险管控标准（试行）》（GB15618-2018）表1用地筛选值，可见类似项目对周边土壤因子影响较小，因此</w:t>
      </w:r>
      <w:r>
        <w:rPr>
          <w:rFonts w:hint="eastAsia" w:ascii="Times New Roman" w:hAnsi="Times New Roman" w:eastAsia="宋体" w:cs="Times New Roman"/>
          <w:color w:val="auto"/>
          <w:kern w:val="0"/>
          <w:sz w:val="24"/>
          <w:szCs w:val="24"/>
          <w:highlight w:val="none"/>
          <w:lang w:val="en-US" w:eastAsia="zh-CN" w:bidi="ar"/>
        </w:rPr>
        <w:t>本</w:t>
      </w:r>
      <w:r>
        <w:rPr>
          <w:rFonts w:hint="default" w:ascii="Times New Roman" w:hAnsi="Times New Roman" w:eastAsia="宋体" w:cs="Times New Roman"/>
          <w:color w:val="auto"/>
          <w:kern w:val="0"/>
          <w:sz w:val="24"/>
          <w:szCs w:val="24"/>
          <w:highlight w:val="none"/>
          <w:lang w:val="en-US" w:eastAsia="zh-CN" w:bidi="ar"/>
        </w:rPr>
        <w:t>项目建成后对评价范围内土壤的环境影响较小。</w:t>
      </w:r>
    </w:p>
    <w:p>
      <w:pPr>
        <w:ind w:firstLine="480"/>
        <w:rPr>
          <w:color w:val="auto"/>
        </w:rPr>
      </w:pPr>
      <w:r>
        <w:rPr>
          <w:rFonts w:hint="eastAsia"/>
          <w:color w:val="auto"/>
        </w:rPr>
        <w:t>通过类似企业运行多年以来对区域土壤环境质量的影响情况，在严格落实各项环保措施的情况下拟建项目不会对土壤环境质量产生明显的影响，项目建设对土壤的环境影响可以接受。</w:t>
      </w:r>
    </w:p>
    <w:p>
      <w:pPr>
        <w:pStyle w:val="9"/>
        <w:spacing w:before="0" w:beforeLines="0" w:after="0" w:afterLines="0" w:line="360" w:lineRule="auto"/>
        <w:rPr>
          <w:color w:val="auto"/>
        </w:rPr>
      </w:pPr>
      <w:r>
        <w:rPr>
          <w:rFonts w:hint="eastAsia"/>
          <w:color w:val="auto"/>
        </w:rPr>
        <w:t>5</w:t>
      </w:r>
      <w:r>
        <w:rPr>
          <w:color w:val="auto"/>
        </w:rPr>
        <w:t>.6.4土壤环境保护措施</w:t>
      </w:r>
    </w:p>
    <w:p>
      <w:pPr>
        <w:pStyle w:val="10"/>
        <w:spacing w:line="360" w:lineRule="auto"/>
        <w:rPr>
          <w:color w:val="auto"/>
        </w:rPr>
      </w:pPr>
      <w:r>
        <w:rPr>
          <w:rFonts w:hint="eastAsia"/>
          <w:color w:val="auto"/>
        </w:rPr>
        <w:t>5</w:t>
      </w:r>
      <w:r>
        <w:rPr>
          <w:color w:val="auto"/>
        </w:rPr>
        <w:t>.6.4.1源头控制</w:t>
      </w:r>
    </w:p>
    <w:p>
      <w:pPr>
        <w:ind w:firstLine="480"/>
        <w:rPr>
          <w:color w:val="auto"/>
        </w:rPr>
      </w:pPr>
      <w:r>
        <w:rPr>
          <w:color w:val="auto"/>
        </w:rPr>
        <w:t>主要包括在工艺、管道、设备、污水产生及储存构筑物采取相应措施，防止和降低污染物跑、冒、滴、漏，将污染物泄漏的环境风险事故降到最低程度；管线敷设尽量采用“可视化”原则，即管道尽可能地上敷设，做到污染物“早发现、早处理”，减少由于埋地管道泄漏而造成的土壤污染。</w:t>
      </w:r>
    </w:p>
    <w:p>
      <w:pPr>
        <w:pStyle w:val="10"/>
        <w:spacing w:line="360" w:lineRule="auto"/>
        <w:rPr>
          <w:color w:val="auto"/>
        </w:rPr>
      </w:pPr>
      <w:r>
        <w:rPr>
          <w:rFonts w:hint="eastAsia"/>
          <w:color w:val="auto"/>
        </w:rPr>
        <w:t>5</w:t>
      </w:r>
      <w:r>
        <w:rPr>
          <w:color w:val="auto"/>
        </w:rPr>
        <w:t>.6.4.2过程防控</w:t>
      </w:r>
    </w:p>
    <w:p>
      <w:pPr>
        <w:pStyle w:val="2"/>
        <w:spacing w:after="0" w:line="360" w:lineRule="auto"/>
        <w:ind w:firstLine="480"/>
        <w:rPr>
          <w:color w:val="auto"/>
        </w:rPr>
      </w:pPr>
      <w:r>
        <w:rPr>
          <w:color w:val="auto"/>
        </w:rPr>
        <w:t>污染物可以通过多种途径进入土壤，主要类型有以下三种：</w:t>
      </w:r>
    </w:p>
    <w:p>
      <w:pPr>
        <w:pStyle w:val="2"/>
        <w:spacing w:after="0" w:line="360" w:lineRule="auto"/>
        <w:ind w:firstLine="480"/>
        <w:rPr>
          <w:color w:val="auto"/>
        </w:rPr>
      </w:pPr>
      <w:r>
        <w:rPr>
          <w:color w:val="auto"/>
        </w:rPr>
        <w:t>1、大气污染型：污染物来源于被污染的大气，主要集中在土壤表层，主要污染物是大气中的颗粒物，它们降落到地表可引起土壤土质发生变化，破坏土壤肥力与生态系统的平衡。</w:t>
      </w:r>
      <w:r>
        <w:rPr>
          <w:rFonts w:hint="eastAsia"/>
          <w:color w:val="auto"/>
        </w:rPr>
        <w:t>占地范围内应采取绿化措施，以种植具有较强吸附能力的植物为主。</w:t>
      </w:r>
    </w:p>
    <w:p>
      <w:pPr>
        <w:pStyle w:val="2"/>
        <w:spacing w:after="0" w:line="360" w:lineRule="auto"/>
        <w:ind w:firstLine="480"/>
        <w:rPr>
          <w:color w:val="auto"/>
        </w:rPr>
      </w:pPr>
      <w:r>
        <w:rPr>
          <w:color w:val="auto"/>
        </w:rPr>
        <w:t>2、水污染型：项目废水事故状态下不能循环利用直接排入外环境，或发生泄漏，致使土壤受到无机盐、有机物和病原体的污染。</w:t>
      </w:r>
      <w:r>
        <w:rPr>
          <w:rFonts w:hint="eastAsia"/>
          <w:color w:val="auto"/>
        </w:rPr>
        <w:t>根据项目所在地的地形特点优化地面布局，必要时设置地面硬化，围堰或围墙，以防治土壤环境污染。</w:t>
      </w:r>
    </w:p>
    <w:p>
      <w:pPr>
        <w:pStyle w:val="2"/>
        <w:spacing w:after="0" w:line="360" w:lineRule="auto"/>
        <w:ind w:firstLine="480"/>
        <w:rPr>
          <w:color w:val="auto"/>
        </w:rPr>
      </w:pPr>
      <w:r>
        <w:rPr>
          <w:color w:val="auto"/>
        </w:rPr>
        <w:t>3、固体废物污染型：项目产生的固废在运输、堆放过程中通过扩散、降水淋洗等直接或间接的影响土壤。</w:t>
      </w:r>
      <w:r>
        <w:rPr>
          <w:rFonts w:hint="eastAsia"/>
          <w:color w:val="auto"/>
        </w:rPr>
        <w:t>涉及到入渗影响的，应根据相关标准规范要求，对设备设施采取相应的防渗措施，以防止土壤环境污染。</w:t>
      </w:r>
    </w:p>
    <w:p>
      <w:pPr>
        <w:spacing w:line="360" w:lineRule="auto"/>
        <w:ind w:firstLine="480"/>
        <w:rPr>
          <w:color w:val="auto"/>
        </w:rPr>
      </w:pPr>
      <w:r>
        <w:rPr>
          <w:color w:val="auto"/>
        </w:rPr>
        <w:t>根据</w:t>
      </w:r>
      <w:r>
        <w:rPr>
          <w:rFonts w:hint="eastAsia"/>
          <w:color w:val="auto"/>
        </w:rPr>
        <w:t>拟建项目</w:t>
      </w:r>
      <w:r>
        <w:rPr>
          <w:color w:val="auto"/>
        </w:rPr>
        <w:t>工程分析，本项目固体废物全部实现无害化处置，且</w:t>
      </w:r>
      <w:r>
        <w:rPr>
          <w:rFonts w:hint="eastAsia"/>
          <w:color w:val="auto"/>
        </w:rPr>
        <w:t>一般工业固废</w:t>
      </w:r>
      <w:r>
        <w:rPr>
          <w:color w:val="auto"/>
        </w:rPr>
        <w:t>和危废仓库均已按照相应要求做好防渗措施；项目排放的废气主要为粉尘、VOCs。在落实本次环评提出的各项环保措施的情况下，项目各类污染物均能达标排放，正常工况下进入土壤的污染物较少，对土壤环境质量影响较小；</w:t>
      </w:r>
      <w:r>
        <w:rPr>
          <w:rFonts w:hint="eastAsia"/>
          <w:color w:val="auto"/>
        </w:rPr>
        <w:t>项目废水经厂区污水处理站处理后排入光大水务（淄博）有限公司</w:t>
      </w:r>
      <w:r>
        <w:rPr>
          <w:rFonts w:hint="eastAsia"/>
          <w:color w:val="auto"/>
          <w:lang w:eastAsia="zh-CN"/>
        </w:rPr>
        <w:t>三分厂</w:t>
      </w:r>
      <w:r>
        <w:rPr>
          <w:rFonts w:hint="eastAsia"/>
          <w:color w:val="auto"/>
        </w:rPr>
        <w:t>深度处理达标后排放；</w:t>
      </w:r>
      <w:r>
        <w:rPr>
          <w:color w:val="auto"/>
        </w:rPr>
        <w:t>事故状态下废水或固废进入土壤会对土壤环境质量造成不良影响，项目设置事故水池并做好环境管理工作，在确保事故状态无污染物外排的情况下，对区域土壤环境质量影响较小。</w:t>
      </w:r>
    </w:p>
    <w:p>
      <w:pPr>
        <w:spacing w:line="360" w:lineRule="auto"/>
        <w:ind w:firstLine="480"/>
        <w:rPr>
          <w:color w:val="auto"/>
        </w:rPr>
      </w:pPr>
      <w:r>
        <w:rPr>
          <w:color w:val="auto"/>
        </w:rPr>
        <w:t>2016年5月28日国务院发布《关于印发土壤污染防治行动计划的通知》（国发[2016]31号）、《土壤污染防治行动计划》指出，防范建设用地新增污染，排放重点污染物的建设项目，在开展环境影响评价时，要增加对土壤环境影响评价内容，提出防范土壤污染的具体措施。本项目进行了厂址土壤监测数据并进行了评价，评价结果表明，厂址土壤环境质量满足《土壤环境质量建设用地土壤污染风险管控标准（试行）》（GB36600-2018）第二类用地用地风险筛选值标准要求。</w:t>
      </w:r>
    </w:p>
    <w:p>
      <w:pPr>
        <w:spacing w:line="360" w:lineRule="auto"/>
        <w:ind w:firstLine="480"/>
        <w:rPr>
          <w:color w:val="auto"/>
        </w:rPr>
      </w:pPr>
      <w:r>
        <w:rPr>
          <w:color w:val="auto"/>
        </w:rPr>
        <w:t>根据《土壤污染防治行动计划》（国发[2016]31号）、《工矿用地土壤环境管理办法（试行）》（部令第3号）要求，为减小项目对土壤的污染，应采取以下防治措施：</w:t>
      </w:r>
    </w:p>
    <w:p>
      <w:pPr>
        <w:spacing w:line="360" w:lineRule="auto"/>
        <w:ind w:firstLine="480"/>
        <w:rPr>
          <w:color w:val="auto"/>
        </w:rPr>
      </w:pPr>
      <w:r>
        <w:rPr>
          <w:color w:val="auto"/>
        </w:rPr>
        <w:t>1、控制拟建项目污染物的排放。大力推广闭路循环、清洁工艺，以减少污染物；控制污染物排放的数量和浓度，使之符合排放标准和总量控制要求。</w:t>
      </w:r>
    </w:p>
    <w:p>
      <w:pPr>
        <w:spacing w:line="360" w:lineRule="auto"/>
        <w:ind w:firstLine="480"/>
        <w:rPr>
          <w:color w:val="auto"/>
        </w:rPr>
      </w:pPr>
      <w:r>
        <w:rPr>
          <w:color w:val="auto"/>
        </w:rPr>
        <w:t>2、依托厂区现有事故水池，事故状态下产生的事故废水暂贮存于事故水池。</w:t>
      </w:r>
    </w:p>
    <w:p>
      <w:pPr>
        <w:spacing w:line="360" w:lineRule="auto"/>
        <w:ind w:firstLine="480"/>
        <w:rPr>
          <w:color w:val="auto"/>
        </w:rPr>
      </w:pPr>
      <w:r>
        <w:rPr>
          <w:color w:val="auto"/>
        </w:rPr>
        <w:t>3、在今后的生产过程中，做好设备的维护、检修，杜绝跑、冒、滴、漏现象。同时，加强污染物产生主要环节的安全防护、报警措施，以便及时发现事故隐患，采取有效的应对措施。</w:t>
      </w:r>
    </w:p>
    <w:p>
      <w:pPr>
        <w:spacing w:line="360" w:lineRule="auto"/>
        <w:ind w:firstLine="480"/>
        <w:rPr>
          <w:color w:val="auto"/>
        </w:rPr>
      </w:pPr>
      <w:r>
        <w:rPr>
          <w:color w:val="auto"/>
        </w:rPr>
        <w:t>4、建立土壤污染隐患排查治理制度，定期对重点区域、重点设施开展隐患排查。发现污染隐患的，应当制定整改方案，及时采取技术、管理措施消除隐患。隐患排查、治理情况应当如实记录并建立档案。</w:t>
      </w:r>
    </w:p>
    <w:p>
      <w:pPr>
        <w:spacing w:line="360" w:lineRule="auto"/>
        <w:ind w:firstLine="480"/>
        <w:rPr>
          <w:color w:val="auto"/>
        </w:rPr>
      </w:pPr>
      <w:r>
        <w:rPr>
          <w:color w:val="auto"/>
        </w:rPr>
        <w:t>5、按照相关技术规范要求，自行或者委托第三方定期开展土壤监测，重点监测存在污染隐患的区域和设施周边的土壤、地下水，并按照规定公开相关信息。</w:t>
      </w:r>
    </w:p>
    <w:p>
      <w:pPr>
        <w:pStyle w:val="2"/>
        <w:spacing w:after="0"/>
        <w:ind w:firstLine="480"/>
        <w:rPr>
          <w:color w:val="auto"/>
        </w:rPr>
      </w:pPr>
      <w:r>
        <w:rPr>
          <w:color w:val="auto"/>
        </w:rPr>
        <w:t>6、在隐患排查、监测等活动中发现项目用地土壤存在污染迹象的，应当排查污染源，查明污染原因，采取措施防止新增污染，并参照污染地块土壤环境管理有关规定及时开展土壤环境调查与风险评估，根据调查与风险评估结果采取风险管控或者治理与修复等措施。</w:t>
      </w:r>
    </w:p>
    <w:p>
      <w:pPr>
        <w:spacing w:line="360" w:lineRule="auto"/>
        <w:ind w:firstLine="480"/>
        <w:rPr>
          <w:color w:val="auto"/>
        </w:rPr>
      </w:pPr>
      <w:r>
        <w:rPr>
          <w:color w:val="auto"/>
        </w:rPr>
        <w:t>本项目为所用原料、产品及中间产品等不涉及重金属，项目生产区、罐区、危废暂存间、事故水池等采取严格防渗措施，加强生产管理，避免生产过程中物料洒落侵入土壤，从而造成土壤污染，另外项目设置三级防控体系，事故状态下废水得到妥善处置，因此，项目正常生产对厂区内土壤不会造成明显的环境影响。</w:t>
      </w:r>
    </w:p>
    <w:p>
      <w:pPr>
        <w:pStyle w:val="9"/>
        <w:spacing w:before="0" w:beforeLines="0" w:after="0" w:afterLines="0" w:line="360" w:lineRule="auto"/>
        <w:rPr>
          <w:color w:val="auto"/>
        </w:rPr>
      </w:pPr>
      <w:r>
        <w:rPr>
          <w:rFonts w:hint="eastAsia"/>
          <w:color w:val="auto"/>
        </w:rPr>
        <w:t>5</w:t>
      </w:r>
      <w:r>
        <w:rPr>
          <w:color w:val="auto"/>
        </w:rPr>
        <w:t>.6.5跟踪监测</w:t>
      </w:r>
    </w:p>
    <w:p>
      <w:pPr>
        <w:ind w:firstLine="480"/>
        <w:rPr>
          <w:rFonts w:hint="default" w:eastAsia="宋体"/>
          <w:color w:val="auto"/>
          <w:lang w:val="en-US" w:eastAsia="zh-CN"/>
        </w:rPr>
      </w:pPr>
      <w:r>
        <w:rPr>
          <w:color w:val="auto"/>
        </w:rPr>
        <w:t>根据《环境影响评价技术导则 土壤环境（试行）》（HJ964-2018）要求，建设单位需建立土壤环境跟踪监测措施。</w:t>
      </w:r>
      <w:r>
        <w:rPr>
          <w:rFonts w:hint="default" w:ascii="Times New Roman" w:hAnsi="Times New Roman" w:cs="Times New Roman"/>
          <w:color w:val="auto"/>
          <w:highlight w:val="none"/>
        </w:rPr>
        <w:t>评价工作等级为</w:t>
      </w:r>
      <w:r>
        <w:rPr>
          <w:rFonts w:hint="default" w:ascii="Times New Roman" w:hAnsi="Times New Roman" w:cs="Times New Roman"/>
          <w:color w:val="auto"/>
          <w:highlight w:val="none"/>
          <w:lang w:eastAsia="zh-CN"/>
        </w:rPr>
        <w:t>二</w:t>
      </w:r>
      <w:r>
        <w:rPr>
          <w:rFonts w:hint="default" w:ascii="Times New Roman" w:hAnsi="Times New Roman" w:cs="Times New Roman"/>
          <w:color w:val="auto"/>
          <w:highlight w:val="none"/>
        </w:rPr>
        <w:t>级的建设项目一般每5年内开展1次监测工作。</w:t>
      </w:r>
      <w:r>
        <w:rPr>
          <w:rFonts w:hint="default" w:ascii="Times New Roman" w:hAnsi="Times New Roman" w:cs="Times New Roman"/>
          <w:color w:val="auto"/>
          <w:highlight w:val="none"/>
          <w:lang w:eastAsia="zh-CN"/>
        </w:rPr>
        <w:t>企业</w:t>
      </w:r>
      <w:r>
        <w:rPr>
          <w:rFonts w:hint="eastAsia" w:ascii="Times New Roman" w:hAnsi="Times New Roman" w:cs="Times New Roman"/>
          <w:color w:val="auto"/>
          <w:highlight w:val="none"/>
          <w:lang w:val="en-US" w:eastAsia="zh-CN"/>
        </w:rPr>
        <w:t>尚未</w:t>
      </w:r>
      <w:r>
        <w:rPr>
          <w:rFonts w:hint="default" w:ascii="Times New Roman" w:hAnsi="Times New Roman" w:cs="Times New Roman"/>
          <w:color w:val="auto"/>
          <w:highlight w:val="none"/>
          <w:lang w:eastAsia="zh-CN"/>
        </w:rPr>
        <w:t>纳入</w:t>
      </w:r>
      <w:r>
        <w:rPr>
          <w:rFonts w:hint="default" w:ascii="Times New Roman" w:hAnsi="Times New Roman" w:cs="Times New Roman"/>
          <w:color w:val="auto"/>
          <w:highlight w:val="none"/>
        </w:rPr>
        <w:t>淄博市土壤污染重点监管单位名录</w:t>
      </w:r>
      <w:r>
        <w:rPr>
          <w:rFonts w:hint="default"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若后期纳入</w:t>
      </w:r>
      <w:r>
        <w:rPr>
          <w:rFonts w:hint="default" w:ascii="Times New Roman" w:hAnsi="Times New Roman" w:cs="Times New Roman"/>
          <w:color w:val="auto"/>
          <w:highlight w:val="none"/>
        </w:rPr>
        <w:t>淄博市土壤污染重点监管单位名录</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lang w:eastAsia="zh-CN"/>
        </w:rPr>
        <w:t>应按照土壤污染重点监管单位的相关要求</w:t>
      </w:r>
      <w:r>
        <w:rPr>
          <w:rFonts w:hint="eastAsia" w:ascii="Times New Roman" w:hAnsi="Times New Roman" w:cs="Times New Roman"/>
          <w:color w:val="auto"/>
          <w:highlight w:val="none"/>
          <w:lang w:val="en-US" w:eastAsia="zh-CN"/>
        </w:rPr>
        <w:t>开展监测</w:t>
      </w:r>
      <w:r>
        <w:rPr>
          <w:rFonts w:hint="default" w:ascii="Times New Roman" w:hAnsi="Times New Roman" w:cs="Times New Roman"/>
          <w:color w:val="auto"/>
          <w:highlight w:val="none"/>
          <w:lang w:eastAsia="zh-CN"/>
        </w:rPr>
        <w:t>。</w:t>
      </w:r>
    </w:p>
    <w:p>
      <w:pPr>
        <w:ind w:firstLine="480"/>
        <w:rPr>
          <w:color w:val="auto"/>
        </w:rPr>
      </w:pPr>
      <w:r>
        <w:rPr>
          <w:color w:val="auto"/>
        </w:rPr>
        <w:t>本次评价严格按照要求制定了本项目的污染源监测计划。具体见表</w:t>
      </w:r>
      <w:r>
        <w:rPr>
          <w:rFonts w:hint="eastAsia"/>
          <w:color w:val="auto"/>
        </w:rPr>
        <w:t>5</w:t>
      </w:r>
      <w:r>
        <w:rPr>
          <w:color w:val="auto"/>
        </w:rPr>
        <w:t>.6-</w:t>
      </w:r>
      <w:r>
        <w:rPr>
          <w:rFonts w:hint="eastAsia"/>
          <w:color w:val="auto"/>
          <w:lang w:val="en-US" w:eastAsia="zh-CN"/>
        </w:rPr>
        <w:t>7</w:t>
      </w:r>
      <w:r>
        <w:rPr>
          <w:color w:val="auto"/>
        </w:rPr>
        <w:t>。</w:t>
      </w:r>
    </w:p>
    <w:p>
      <w:pPr>
        <w:ind w:firstLine="0" w:firstLineChars="0"/>
        <w:jc w:val="center"/>
        <w:rPr>
          <w:rFonts w:eastAsia="黑体"/>
          <w:b/>
          <w:color w:val="auto"/>
          <w:sz w:val="21"/>
          <w:szCs w:val="21"/>
        </w:rPr>
      </w:pPr>
    </w:p>
    <w:p>
      <w:pPr>
        <w:ind w:firstLine="0" w:firstLineChars="0"/>
        <w:jc w:val="center"/>
        <w:rPr>
          <w:rFonts w:eastAsia="黑体"/>
          <w:b/>
          <w:color w:val="auto"/>
          <w:sz w:val="21"/>
          <w:szCs w:val="21"/>
        </w:rPr>
      </w:pPr>
      <w:r>
        <w:rPr>
          <w:rFonts w:eastAsia="黑体"/>
          <w:b/>
          <w:color w:val="auto"/>
          <w:sz w:val="21"/>
          <w:szCs w:val="21"/>
        </w:rPr>
        <w:t>表</w:t>
      </w:r>
      <w:r>
        <w:rPr>
          <w:rFonts w:hint="eastAsia" w:eastAsia="黑体"/>
          <w:b/>
          <w:color w:val="auto"/>
          <w:sz w:val="21"/>
          <w:szCs w:val="21"/>
        </w:rPr>
        <w:t>5</w:t>
      </w:r>
      <w:r>
        <w:rPr>
          <w:rFonts w:eastAsia="黑体"/>
          <w:b/>
          <w:color w:val="auto"/>
          <w:sz w:val="21"/>
          <w:szCs w:val="21"/>
        </w:rPr>
        <w:t>.6-</w:t>
      </w:r>
      <w:r>
        <w:rPr>
          <w:rFonts w:hint="eastAsia" w:eastAsia="黑体"/>
          <w:b/>
          <w:color w:val="auto"/>
          <w:sz w:val="21"/>
          <w:szCs w:val="21"/>
          <w:lang w:val="en-US" w:eastAsia="zh-CN"/>
        </w:rPr>
        <w:t>7</w:t>
      </w:r>
      <w:r>
        <w:rPr>
          <w:rFonts w:eastAsia="黑体"/>
          <w:b/>
          <w:color w:val="auto"/>
          <w:sz w:val="21"/>
          <w:szCs w:val="21"/>
        </w:rPr>
        <w:t>本项目土壤环境跟踪监测计划</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15" w:type="dxa"/>
          <w:left w:w="15" w:type="dxa"/>
          <w:bottom w:w="15" w:type="dxa"/>
          <w:right w:w="15" w:type="dxa"/>
        </w:tblCellMar>
      </w:tblPr>
      <w:tblGrid>
        <w:gridCol w:w="3134"/>
        <w:gridCol w:w="2837"/>
        <w:gridCol w:w="31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16" w:hRule="atLeast"/>
        </w:trPr>
        <w:tc>
          <w:tcPr>
            <w:tcW w:w="1721" w:type="pct"/>
            <w:vAlign w:val="center"/>
          </w:tcPr>
          <w:p>
            <w:pPr>
              <w:pStyle w:val="47"/>
              <w:spacing w:line="240" w:lineRule="auto"/>
              <w:rPr>
                <w:b/>
                <w:color w:val="auto"/>
              </w:rPr>
            </w:pPr>
            <w:r>
              <w:rPr>
                <w:b/>
                <w:color w:val="auto"/>
              </w:rPr>
              <w:t>监测点位</w:t>
            </w:r>
          </w:p>
        </w:tc>
        <w:tc>
          <w:tcPr>
            <w:tcW w:w="1558" w:type="pct"/>
            <w:vAlign w:val="center"/>
          </w:tcPr>
          <w:p>
            <w:pPr>
              <w:pStyle w:val="47"/>
              <w:spacing w:line="240" w:lineRule="auto"/>
              <w:rPr>
                <w:b/>
                <w:color w:val="auto"/>
              </w:rPr>
            </w:pPr>
            <w:r>
              <w:rPr>
                <w:b/>
                <w:color w:val="auto"/>
              </w:rPr>
              <w:t>监测指标</w:t>
            </w:r>
          </w:p>
        </w:tc>
        <w:tc>
          <w:tcPr>
            <w:tcW w:w="1719" w:type="pct"/>
            <w:vAlign w:val="center"/>
          </w:tcPr>
          <w:p>
            <w:pPr>
              <w:pStyle w:val="47"/>
              <w:spacing w:line="240" w:lineRule="auto"/>
              <w:rPr>
                <w:b/>
                <w:color w:val="auto"/>
              </w:rPr>
            </w:pPr>
            <w:r>
              <w:rPr>
                <w:b/>
                <w:color w:val="auto"/>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16" w:hRule="atLeast"/>
        </w:trPr>
        <w:tc>
          <w:tcPr>
            <w:tcW w:w="1721" w:type="pct"/>
            <w:vAlign w:val="center"/>
          </w:tcPr>
          <w:p>
            <w:pPr>
              <w:pStyle w:val="47"/>
              <w:spacing w:line="240" w:lineRule="auto"/>
              <w:rPr>
                <w:color w:val="auto"/>
              </w:rPr>
            </w:pPr>
            <w:r>
              <w:rPr>
                <w:rFonts w:hint="eastAsia"/>
                <w:color w:val="auto"/>
              </w:rPr>
              <w:t>2</w:t>
            </w:r>
            <w:r>
              <w:rPr>
                <w:color w:val="auto"/>
              </w:rPr>
              <w:t>#监测点（见图</w:t>
            </w:r>
            <w:r>
              <w:rPr>
                <w:rFonts w:hint="eastAsia"/>
                <w:color w:val="auto"/>
              </w:rPr>
              <w:t>4</w:t>
            </w:r>
            <w:r>
              <w:rPr>
                <w:color w:val="auto"/>
              </w:rPr>
              <w:t>.5-3）</w:t>
            </w:r>
          </w:p>
        </w:tc>
        <w:tc>
          <w:tcPr>
            <w:tcW w:w="1558" w:type="pct"/>
            <w:vAlign w:val="center"/>
          </w:tcPr>
          <w:p>
            <w:pPr>
              <w:pStyle w:val="47"/>
              <w:spacing w:line="240" w:lineRule="auto"/>
              <w:rPr>
                <w:color w:val="auto"/>
              </w:rPr>
            </w:pPr>
            <w:r>
              <w:rPr>
                <w:color w:val="auto"/>
              </w:rPr>
              <w:t>pH、石油烃</w:t>
            </w:r>
            <w:r>
              <w:rPr>
                <w:rFonts w:hint="eastAsia"/>
                <w:color w:val="auto"/>
                <w:lang w:eastAsia="zh-CN"/>
              </w:rPr>
              <w:t>、</w:t>
            </w:r>
            <w:r>
              <w:rPr>
                <w:rFonts w:hint="eastAsia"/>
                <w:color w:val="auto"/>
                <w:sz w:val="21"/>
                <w:szCs w:val="21"/>
              </w:rPr>
              <w:t>钛、锌、铁</w:t>
            </w:r>
            <w:r>
              <w:rPr>
                <w:rFonts w:hint="eastAsia" w:cs="Times New Roman"/>
                <w:color w:val="auto"/>
                <w:sz w:val="21"/>
                <w:szCs w:val="16"/>
                <w:highlight w:val="none"/>
                <w:lang w:val="en-US" w:eastAsia="zh-CN"/>
              </w:rPr>
              <w:t>+常规45项</w:t>
            </w:r>
          </w:p>
        </w:tc>
        <w:tc>
          <w:tcPr>
            <w:tcW w:w="1719" w:type="pct"/>
            <w:vAlign w:val="center"/>
          </w:tcPr>
          <w:p>
            <w:pPr>
              <w:pStyle w:val="47"/>
              <w:spacing w:line="240" w:lineRule="auto"/>
              <w:rPr>
                <w:color w:val="auto"/>
              </w:rPr>
            </w:pPr>
            <w:r>
              <w:rPr>
                <w:color w:val="auto"/>
              </w:rPr>
              <w:t>每5年内开展1次监测</w:t>
            </w:r>
          </w:p>
        </w:tc>
      </w:tr>
    </w:tbl>
    <w:p>
      <w:pPr>
        <w:pStyle w:val="2"/>
        <w:spacing w:after="0" w:line="360" w:lineRule="auto"/>
        <w:ind w:firstLine="480"/>
        <w:rPr>
          <w:color w:val="auto"/>
        </w:rPr>
      </w:pPr>
      <w:r>
        <w:rPr>
          <w:color w:val="auto"/>
        </w:rPr>
        <w:t>根据《环境影响评价技术导则 土壤环境（试行）》（HJ964-2018）要求，建设单位监测土壤环境跟踪监测计划的电子版、监测结果等内容在建设单位官方网站或其他公众便于知晓的方式进行信息公开。</w:t>
      </w:r>
    </w:p>
    <w:p>
      <w:pPr>
        <w:pStyle w:val="9"/>
        <w:spacing w:before="0" w:beforeLines="0" w:after="0" w:afterLines="0" w:line="360" w:lineRule="auto"/>
        <w:rPr>
          <w:color w:val="auto"/>
        </w:rPr>
      </w:pPr>
      <w:r>
        <w:rPr>
          <w:rFonts w:hint="eastAsia"/>
          <w:color w:val="auto"/>
        </w:rPr>
        <w:t>5</w:t>
      </w:r>
      <w:r>
        <w:rPr>
          <w:color w:val="auto"/>
        </w:rPr>
        <w:t>.6.6评价结论</w:t>
      </w:r>
    </w:p>
    <w:p>
      <w:pPr>
        <w:pStyle w:val="2"/>
        <w:spacing w:after="0" w:line="360" w:lineRule="auto"/>
        <w:ind w:firstLine="480"/>
        <w:rPr>
          <w:color w:val="auto"/>
        </w:rPr>
      </w:pPr>
      <w:r>
        <w:rPr>
          <w:color w:val="auto"/>
        </w:rPr>
        <w:t>1、评价等级：</w:t>
      </w:r>
      <w:r>
        <w:rPr>
          <w:rFonts w:hint="eastAsia"/>
          <w:color w:val="auto"/>
        </w:rPr>
        <w:t>拟建项目</w:t>
      </w:r>
      <w:r>
        <w:rPr>
          <w:color w:val="auto"/>
        </w:rPr>
        <w:t>为污染性建设项目，土壤环境评价等级为二级；</w:t>
      </w:r>
    </w:p>
    <w:p>
      <w:pPr>
        <w:pStyle w:val="2"/>
        <w:spacing w:after="0" w:line="360" w:lineRule="auto"/>
        <w:ind w:firstLine="480"/>
        <w:rPr>
          <w:color w:val="auto"/>
        </w:rPr>
      </w:pPr>
      <w:r>
        <w:rPr>
          <w:color w:val="auto"/>
        </w:rPr>
        <w:t>2、土壤环境质量现状：根据土壤环境现状监测结果，该项目各土壤监测点各监测因子均能达到《土壤环境质量 建设用地土壤污染风险管控标准（试行）》（GB36600-2018）第二类用地筛选值要求。</w:t>
      </w:r>
    </w:p>
    <w:p>
      <w:pPr>
        <w:pStyle w:val="2"/>
        <w:spacing w:after="0" w:line="360" w:lineRule="auto"/>
        <w:ind w:firstLine="480"/>
        <w:rPr>
          <w:color w:val="auto"/>
        </w:rPr>
      </w:pPr>
      <w:r>
        <w:rPr>
          <w:color w:val="auto"/>
        </w:rPr>
        <w:t>3、土壤环境影响预测：根据类比分析结果可知，</w:t>
      </w:r>
      <w:r>
        <w:rPr>
          <w:rFonts w:hint="eastAsia"/>
          <w:color w:val="auto"/>
        </w:rPr>
        <w:t>拟建项目</w:t>
      </w:r>
      <w:r>
        <w:rPr>
          <w:color w:val="auto"/>
        </w:rPr>
        <w:t>在做好土壤环境保护措施的前提下，正常情况下，</w:t>
      </w:r>
      <w:r>
        <w:rPr>
          <w:rFonts w:hint="eastAsia"/>
          <w:color w:val="auto"/>
        </w:rPr>
        <w:t>拟建项目</w:t>
      </w:r>
      <w:r>
        <w:rPr>
          <w:color w:val="auto"/>
        </w:rPr>
        <w:t>运行对项目区及周边土壤环境影响较小。</w:t>
      </w:r>
    </w:p>
    <w:p>
      <w:pPr>
        <w:pStyle w:val="2"/>
        <w:spacing w:after="0" w:line="360" w:lineRule="auto"/>
        <w:ind w:firstLine="480"/>
        <w:rPr>
          <w:color w:val="auto"/>
        </w:rPr>
      </w:pPr>
      <w:r>
        <w:rPr>
          <w:color w:val="auto"/>
        </w:rPr>
        <w:t>4、土壤环境保护措施：项目建设过程参照《给水排水构筑物工程施工及验收规范》（GB50141）、《给水排水管道工程施工及验收规范》（GB50268）以及《石油化工工程防渗技术规范》（GB/T50934）等国家颁布的防渗技术规范执行，以减少污染物进入土壤层的机会和数量。同时建立土壤环境监测计划，做好土壤环境保护与污染防治对策，尽最大努力避免和减轻土壤污染造成的损失。</w:t>
      </w:r>
    </w:p>
    <w:p>
      <w:pPr>
        <w:pStyle w:val="2"/>
        <w:spacing w:after="0" w:line="360" w:lineRule="auto"/>
        <w:ind w:firstLine="480"/>
        <w:rPr>
          <w:color w:val="auto"/>
        </w:rPr>
      </w:pPr>
      <w:r>
        <w:rPr>
          <w:color w:val="auto"/>
        </w:rPr>
        <w:t>5、土壤环境影响评价结论：结合项目特点、土壤环境影响结果及土壤环境保护措施，从土壤环境影响角度综合考虑，</w:t>
      </w:r>
      <w:r>
        <w:rPr>
          <w:rFonts w:hint="eastAsia"/>
          <w:color w:val="auto"/>
        </w:rPr>
        <w:t>拟建项目</w:t>
      </w:r>
      <w:r>
        <w:rPr>
          <w:color w:val="auto"/>
        </w:rPr>
        <w:t>建设适宜性评价为基本适宜，建设项目对区域土壤环境的影响可以接受。</w:t>
      </w:r>
    </w:p>
    <w:p>
      <w:pPr>
        <w:pStyle w:val="2"/>
        <w:spacing w:after="0" w:line="360" w:lineRule="auto"/>
        <w:ind w:firstLine="480"/>
        <w:rPr>
          <w:color w:val="auto"/>
        </w:rPr>
      </w:pPr>
      <w:r>
        <w:rPr>
          <w:rFonts w:hint="eastAsia"/>
          <w:color w:val="auto"/>
        </w:rPr>
        <w:t>拟建项目</w:t>
      </w:r>
      <w:r>
        <w:rPr>
          <w:color w:val="auto"/>
        </w:rPr>
        <w:t>土壤环境影响评价自查表见表</w:t>
      </w:r>
      <w:r>
        <w:rPr>
          <w:rFonts w:hint="eastAsia"/>
          <w:color w:val="auto"/>
          <w:lang w:val="en-US" w:eastAsia="zh-CN"/>
        </w:rPr>
        <w:t>5</w:t>
      </w:r>
      <w:r>
        <w:rPr>
          <w:color w:val="auto"/>
        </w:rPr>
        <w:t>.6-</w:t>
      </w:r>
      <w:r>
        <w:rPr>
          <w:rFonts w:hint="eastAsia"/>
          <w:color w:val="auto"/>
          <w:lang w:val="en-US" w:eastAsia="zh-CN"/>
        </w:rPr>
        <w:t>8</w:t>
      </w:r>
      <w:r>
        <w:rPr>
          <w:color w:val="auto"/>
        </w:rPr>
        <w:t>。</w:t>
      </w:r>
    </w:p>
    <w:p>
      <w:pPr>
        <w:pStyle w:val="2"/>
        <w:spacing w:after="0" w:line="360" w:lineRule="auto"/>
        <w:ind w:firstLine="0" w:firstLineChars="0"/>
        <w:jc w:val="center"/>
        <w:rPr>
          <w:rFonts w:eastAsia="黑体"/>
          <w:b/>
          <w:color w:val="auto"/>
          <w:sz w:val="21"/>
          <w:szCs w:val="21"/>
        </w:rPr>
      </w:pPr>
      <w:r>
        <w:rPr>
          <w:rFonts w:eastAsia="黑体"/>
          <w:b/>
          <w:color w:val="auto"/>
          <w:sz w:val="21"/>
          <w:szCs w:val="21"/>
        </w:rPr>
        <w:t>表</w:t>
      </w:r>
      <w:r>
        <w:rPr>
          <w:rFonts w:hint="eastAsia" w:eastAsia="黑体"/>
          <w:b/>
          <w:color w:val="auto"/>
          <w:sz w:val="21"/>
          <w:szCs w:val="21"/>
          <w:lang w:val="en-US" w:eastAsia="zh-CN"/>
        </w:rPr>
        <w:t>5.6-8</w:t>
      </w:r>
      <w:r>
        <w:rPr>
          <w:rFonts w:eastAsia="黑体"/>
          <w:b/>
          <w:color w:val="auto"/>
          <w:sz w:val="21"/>
          <w:szCs w:val="21"/>
        </w:rPr>
        <w:t xml:space="preserve"> 本项目土壤环境影响评价自查表</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87"/>
        <w:gridCol w:w="1748"/>
        <w:gridCol w:w="1597"/>
        <w:gridCol w:w="357"/>
        <w:gridCol w:w="1081"/>
        <w:gridCol w:w="615"/>
        <w:gridCol w:w="774"/>
        <w:gridCol w:w="1441"/>
        <w:gridCol w:w="78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420" w:type="pct"/>
            <w:gridSpan w:val="2"/>
            <w:vAlign w:val="center"/>
          </w:tcPr>
          <w:p>
            <w:pPr>
              <w:spacing w:line="240" w:lineRule="auto"/>
              <w:ind w:firstLine="0" w:firstLineChars="0"/>
              <w:jc w:val="center"/>
              <w:rPr>
                <w:b/>
                <w:color w:val="auto"/>
                <w:sz w:val="21"/>
                <w:szCs w:val="21"/>
              </w:rPr>
            </w:pPr>
            <w:r>
              <w:rPr>
                <w:b/>
                <w:color w:val="auto"/>
                <w:sz w:val="21"/>
                <w:szCs w:val="21"/>
              </w:rPr>
              <w:t>工作内容</w:t>
            </w:r>
          </w:p>
        </w:tc>
        <w:tc>
          <w:tcPr>
            <w:tcW w:w="3158" w:type="pct"/>
            <w:gridSpan w:val="6"/>
            <w:vAlign w:val="center"/>
          </w:tcPr>
          <w:p>
            <w:pPr>
              <w:spacing w:line="240" w:lineRule="auto"/>
              <w:ind w:firstLine="0" w:firstLineChars="0"/>
              <w:jc w:val="center"/>
              <w:rPr>
                <w:b/>
                <w:color w:val="auto"/>
                <w:sz w:val="21"/>
                <w:szCs w:val="21"/>
              </w:rPr>
            </w:pPr>
            <w:r>
              <w:rPr>
                <w:b/>
                <w:color w:val="auto"/>
                <w:sz w:val="21"/>
                <w:szCs w:val="21"/>
              </w:rPr>
              <w:t>完成情况</w:t>
            </w:r>
          </w:p>
        </w:tc>
        <w:tc>
          <w:tcPr>
            <w:tcW w:w="421" w:type="pct"/>
            <w:vAlign w:val="center"/>
          </w:tcPr>
          <w:p>
            <w:pPr>
              <w:spacing w:line="240" w:lineRule="auto"/>
              <w:ind w:firstLine="0" w:firstLineChars="0"/>
              <w:jc w:val="center"/>
              <w:rPr>
                <w:b/>
                <w:color w:val="auto"/>
                <w:sz w:val="21"/>
                <w:szCs w:val="21"/>
              </w:rPr>
            </w:pPr>
            <w:r>
              <w:rPr>
                <w:b/>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restart"/>
            <w:vAlign w:val="center"/>
          </w:tcPr>
          <w:p>
            <w:pPr>
              <w:spacing w:line="240" w:lineRule="auto"/>
              <w:ind w:firstLine="0" w:firstLineChars="0"/>
              <w:jc w:val="center"/>
              <w:rPr>
                <w:color w:val="auto"/>
                <w:sz w:val="21"/>
                <w:szCs w:val="21"/>
              </w:rPr>
            </w:pPr>
            <w:r>
              <w:rPr>
                <w:color w:val="auto"/>
                <w:sz w:val="21"/>
                <w:szCs w:val="21"/>
              </w:rPr>
              <w:t>影响识别</w:t>
            </w:r>
          </w:p>
        </w:tc>
        <w:tc>
          <w:tcPr>
            <w:tcW w:w="941" w:type="pct"/>
            <w:vAlign w:val="center"/>
          </w:tcPr>
          <w:p>
            <w:pPr>
              <w:spacing w:line="240" w:lineRule="auto"/>
              <w:ind w:firstLine="0" w:firstLineChars="0"/>
              <w:jc w:val="center"/>
              <w:rPr>
                <w:color w:val="auto"/>
                <w:sz w:val="21"/>
                <w:szCs w:val="21"/>
              </w:rPr>
            </w:pPr>
            <w:r>
              <w:rPr>
                <w:color w:val="auto"/>
                <w:sz w:val="21"/>
                <w:szCs w:val="21"/>
              </w:rPr>
              <w:t>影响类型</w:t>
            </w:r>
          </w:p>
        </w:tc>
        <w:tc>
          <w:tcPr>
            <w:tcW w:w="3158" w:type="pct"/>
            <w:gridSpan w:val="6"/>
            <w:vAlign w:val="center"/>
          </w:tcPr>
          <w:p>
            <w:pPr>
              <w:spacing w:line="240" w:lineRule="auto"/>
              <w:ind w:firstLine="0" w:firstLineChars="0"/>
              <w:jc w:val="center"/>
              <w:rPr>
                <w:color w:val="auto"/>
                <w:sz w:val="21"/>
                <w:szCs w:val="21"/>
              </w:rPr>
            </w:pPr>
            <w:r>
              <w:rPr>
                <w:color w:val="auto"/>
                <w:sz w:val="21"/>
                <w:szCs w:val="21"/>
              </w:rPr>
              <w:t>污染影响型</w:t>
            </w:r>
            <w:r>
              <w:rPr>
                <w:b/>
                <w:bCs/>
                <w:color w:val="auto"/>
                <w:sz w:val="16"/>
                <w:szCs w:val="16"/>
                <w:bdr w:val="single" w:color="auto" w:sz="4" w:space="0"/>
              </w:rPr>
              <w:t>√</w:t>
            </w:r>
            <w:r>
              <w:rPr>
                <w:color w:val="auto"/>
                <w:sz w:val="21"/>
                <w:szCs w:val="21"/>
              </w:rPr>
              <w:t>；生态影响型□；两种兼有□</w:t>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continue"/>
            <w:vAlign w:val="center"/>
          </w:tcPr>
          <w:p>
            <w:pPr>
              <w:spacing w:line="240" w:lineRule="auto"/>
              <w:ind w:firstLine="0" w:firstLineChars="0"/>
              <w:jc w:val="center"/>
              <w:rPr>
                <w:color w:val="auto"/>
                <w:sz w:val="21"/>
                <w:szCs w:val="21"/>
              </w:rPr>
            </w:pPr>
          </w:p>
        </w:tc>
        <w:tc>
          <w:tcPr>
            <w:tcW w:w="941" w:type="pct"/>
            <w:vAlign w:val="center"/>
          </w:tcPr>
          <w:p>
            <w:pPr>
              <w:spacing w:line="240" w:lineRule="auto"/>
              <w:ind w:firstLine="0" w:firstLineChars="0"/>
              <w:jc w:val="center"/>
              <w:rPr>
                <w:color w:val="auto"/>
                <w:sz w:val="21"/>
                <w:szCs w:val="21"/>
              </w:rPr>
            </w:pPr>
            <w:r>
              <w:rPr>
                <w:color w:val="auto"/>
                <w:sz w:val="21"/>
                <w:szCs w:val="21"/>
              </w:rPr>
              <w:t>土地利用类型</w:t>
            </w:r>
          </w:p>
        </w:tc>
        <w:tc>
          <w:tcPr>
            <w:tcW w:w="3158" w:type="pct"/>
            <w:gridSpan w:val="6"/>
            <w:vAlign w:val="center"/>
          </w:tcPr>
          <w:p>
            <w:pPr>
              <w:spacing w:line="240" w:lineRule="auto"/>
              <w:ind w:firstLine="0" w:firstLineChars="0"/>
              <w:jc w:val="center"/>
              <w:rPr>
                <w:color w:val="auto"/>
                <w:sz w:val="21"/>
                <w:szCs w:val="21"/>
              </w:rPr>
            </w:pPr>
            <w:r>
              <w:rPr>
                <w:color w:val="auto"/>
                <w:sz w:val="21"/>
                <w:szCs w:val="21"/>
              </w:rPr>
              <w:t>建设用地</w:t>
            </w:r>
            <w:r>
              <w:rPr>
                <w:b/>
                <w:bCs/>
                <w:color w:val="auto"/>
                <w:sz w:val="16"/>
                <w:szCs w:val="16"/>
                <w:bdr w:val="single" w:color="auto" w:sz="4" w:space="0"/>
              </w:rPr>
              <w:t>√</w:t>
            </w:r>
            <w:r>
              <w:rPr>
                <w:color w:val="auto"/>
                <w:sz w:val="21"/>
                <w:szCs w:val="21"/>
              </w:rPr>
              <w:t>；农用地□；未利用地□</w:t>
            </w:r>
          </w:p>
        </w:tc>
        <w:tc>
          <w:tcPr>
            <w:tcW w:w="421" w:type="pct"/>
            <w:vAlign w:val="center"/>
          </w:tcPr>
          <w:p>
            <w:pPr>
              <w:spacing w:line="240" w:lineRule="auto"/>
              <w:ind w:firstLine="0" w:firstLineChars="0"/>
              <w:jc w:val="center"/>
              <w:rPr>
                <w:color w:val="auto"/>
                <w:sz w:val="21"/>
                <w:szCs w:val="21"/>
              </w:rPr>
            </w:pPr>
            <w:r>
              <w:rPr>
                <w:color w:val="auto"/>
                <w:sz w:val="21"/>
                <w:szCs w:val="21"/>
              </w:rPr>
              <w:t>土地利用</w:t>
            </w:r>
            <w:r>
              <w:rPr>
                <w:rFonts w:hint="eastAsia"/>
                <w:color w:val="auto"/>
                <w:sz w:val="21"/>
                <w:szCs w:val="21"/>
                <w:lang w:val="en-US" w:eastAsia="zh-CN"/>
              </w:rPr>
              <w:t>现状</w:t>
            </w:r>
            <w:r>
              <w:rPr>
                <w:color w:val="auto"/>
                <w:sz w:val="21"/>
                <w:szCs w:val="21"/>
              </w:rPr>
              <w:t>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continue"/>
            <w:vAlign w:val="center"/>
          </w:tcPr>
          <w:p>
            <w:pPr>
              <w:spacing w:line="240" w:lineRule="auto"/>
              <w:ind w:firstLine="0" w:firstLineChars="0"/>
              <w:jc w:val="center"/>
              <w:rPr>
                <w:color w:val="auto"/>
                <w:sz w:val="21"/>
                <w:szCs w:val="21"/>
              </w:rPr>
            </w:pPr>
          </w:p>
        </w:tc>
        <w:tc>
          <w:tcPr>
            <w:tcW w:w="941" w:type="pct"/>
            <w:vAlign w:val="center"/>
          </w:tcPr>
          <w:p>
            <w:pPr>
              <w:spacing w:line="240" w:lineRule="auto"/>
              <w:ind w:firstLine="0" w:firstLineChars="0"/>
              <w:jc w:val="center"/>
              <w:rPr>
                <w:color w:val="auto"/>
                <w:sz w:val="21"/>
                <w:szCs w:val="21"/>
              </w:rPr>
            </w:pPr>
            <w:r>
              <w:rPr>
                <w:color w:val="auto"/>
                <w:sz w:val="21"/>
                <w:szCs w:val="21"/>
              </w:rPr>
              <w:t>占地规模</w:t>
            </w:r>
          </w:p>
        </w:tc>
        <w:tc>
          <w:tcPr>
            <w:tcW w:w="3158" w:type="pct"/>
            <w:gridSpan w:val="6"/>
            <w:vAlign w:val="center"/>
          </w:tcPr>
          <w:p>
            <w:pPr>
              <w:spacing w:line="240" w:lineRule="auto"/>
              <w:ind w:firstLine="0" w:firstLineChars="0"/>
              <w:jc w:val="center"/>
              <w:rPr>
                <w:color w:val="auto"/>
                <w:sz w:val="21"/>
                <w:szCs w:val="21"/>
              </w:rPr>
            </w:pPr>
            <w:r>
              <w:rPr>
                <w:color w:val="auto"/>
                <w:sz w:val="21"/>
                <w:szCs w:val="21"/>
              </w:rPr>
              <w:t>（</w:t>
            </w:r>
            <w:r>
              <w:rPr>
                <w:rFonts w:hint="eastAsia"/>
                <w:color w:val="auto"/>
                <w:sz w:val="21"/>
                <w:szCs w:val="21"/>
              </w:rPr>
              <w:t>1.34</w:t>
            </w:r>
            <w:r>
              <w:rPr>
                <w:color w:val="auto"/>
                <w:sz w:val="21"/>
                <w:szCs w:val="21"/>
              </w:rPr>
              <w:t>）hm</w:t>
            </w:r>
            <w:r>
              <w:rPr>
                <w:color w:val="auto"/>
                <w:sz w:val="21"/>
                <w:szCs w:val="21"/>
                <w:vertAlign w:val="superscript"/>
              </w:rPr>
              <w:t>2</w:t>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continue"/>
            <w:vAlign w:val="center"/>
          </w:tcPr>
          <w:p>
            <w:pPr>
              <w:spacing w:line="240" w:lineRule="auto"/>
              <w:ind w:firstLine="0" w:firstLineChars="0"/>
              <w:jc w:val="center"/>
              <w:rPr>
                <w:color w:val="auto"/>
                <w:sz w:val="21"/>
                <w:szCs w:val="21"/>
              </w:rPr>
            </w:pPr>
          </w:p>
        </w:tc>
        <w:tc>
          <w:tcPr>
            <w:tcW w:w="941" w:type="pct"/>
            <w:vAlign w:val="center"/>
          </w:tcPr>
          <w:p>
            <w:pPr>
              <w:spacing w:line="240" w:lineRule="auto"/>
              <w:ind w:firstLine="0" w:firstLineChars="0"/>
              <w:jc w:val="center"/>
              <w:rPr>
                <w:color w:val="auto"/>
                <w:sz w:val="21"/>
                <w:szCs w:val="21"/>
              </w:rPr>
            </w:pPr>
            <w:r>
              <w:rPr>
                <w:color w:val="auto"/>
                <w:sz w:val="21"/>
                <w:szCs w:val="21"/>
              </w:rPr>
              <w:t>敏感目标信息</w:t>
            </w:r>
          </w:p>
        </w:tc>
        <w:tc>
          <w:tcPr>
            <w:tcW w:w="3158" w:type="pct"/>
            <w:gridSpan w:val="6"/>
            <w:vAlign w:val="center"/>
          </w:tcPr>
          <w:p>
            <w:pPr>
              <w:spacing w:line="240" w:lineRule="auto"/>
              <w:ind w:firstLine="0" w:firstLineChars="0"/>
              <w:jc w:val="center"/>
              <w:rPr>
                <w:color w:val="auto"/>
                <w:sz w:val="21"/>
                <w:szCs w:val="21"/>
              </w:rPr>
            </w:pPr>
            <w:r>
              <w:rPr>
                <w:color w:val="auto"/>
                <w:sz w:val="21"/>
                <w:szCs w:val="21"/>
              </w:rPr>
              <w:t>敏感目标（林地</w:t>
            </w:r>
            <w:r>
              <w:rPr>
                <w:rFonts w:hint="eastAsia"/>
                <w:color w:val="auto"/>
                <w:sz w:val="21"/>
                <w:szCs w:val="21"/>
              </w:rPr>
              <w:t>、居民区</w:t>
            </w:r>
            <w:r>
              <w:rPr>
                <w:color w:val="auto"/>
                <w:sz w:val="21"/>
                <w:szCs w:val="21"/>
              </w:rPr>
              <w:t>）、方位（</w:t>
            </w:r>
            <w:r>
              <w:rPr>
                <w:rFonts w:hint="eastAsia"/>
                <w:color w:val="auto"/>
                <w:sz w:val="21"/>
                <w:szCs w:val="21"/>
              </w:rPr>
              <w:t>W、WN</w:t>
            </w:r>
            <w:r>
              <w:rPr>
                <w:color w:val="auto"/>
                <w:sz w:val="21"/>
                <w:szCs w:val="21"/>
              </w:rPr>
              <w:t>）、距离（</w:t>
            </w:r>
            <w:r>
              <w:rPr>
                <w:rFonts w:hint="eastAsia"/>
                <w:color w:val="auto"/>
                <w:sz w:val="21"/>
                <w:szCs w:val="21"/>
              </w:rPr>
              <w:t>165</w:t>
            </w:r>
            <w:r>
              <w:rPr>
                <w:color w:val="auto"/>
                <w:sz w:val="21"/>
                <w:szCs w:val="21"/>
              </w:rPr>
              <w:t>m</w:t>
            </w:r>
            <w:r>
              <w:rPr>
                <w:rFonts w:hint="eastAsia"/>
                <w:color w:val="auto"/>
                <w:sz w:val="21"/>
                <w:szCs w:val="21"/>
              </w:rPr>
              <w:t>、180m</w:t>
            </w:r>
            <w:r>
              <w:rPr>
                <w:color w:val="auto"/>
                <w:sz w:val="21"/>
                <w:szCs w:val="21"/>
              </w:rPr>
              <w:t>）</w:t>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continue"/>
            <w:vAlign w:val="center"/>
          </w:tcPr>
          <w:p>
            <w:pPr>
              <w:spacing w:line="240" w:lineRule="auto"/>
              <w:ind w:firstLine="0" w:firstLineChars="0"/>
              <w:jc w:val="center"/>
              <w:rPr>
                <w:color w:val="auto"/>
                <w:sz w:val="21"/>
                <w:szCs w:val="21"/>
              </w:rPr>
            </w:pPr>
          </w:p>
        </w:tc>
        <w:tc>
          <w:tcPr>
            <w:tcW w:w="941" w:type="pct"/>
            <w:vAlign w:val="center"/>
          </w:tcPr>
          <w:p>
            <w:pPr>
              <w:spacing w:line="240" w:lineRule="auto"/>
              <w:ind w:firstLine="0" w:firstLineChars="0"/>
              <w:jc w:val="center"/>
              <w:rPr>
                <w:color w:val="auto"/>
                <w:sz w:val="21"/>
                <w:szCs w:val="21"/>
              </w:rPr>
            </w:pPr>
            <w:r>
              <w:rPr>
                <w:color w:val="auto"/>
                <w:sz w:val="21"/>
                <w:szCs w:val="21"/>
              </w:rPr>
              <w:t>影响途径</w:t>
            </w:r>
          </w:p>
        </w:tc>
        <w:tc>
          <w:tcPr>
            <w:tcW w:w="3158" w:type="pct"/>
            <w:gridSpan w:val="6"/>
            <w:vAlign w:val="center"/>
          </w:tcPr>
          <w:p>
            <w:pPr>
              <w:spacing w:line="240" w:lineRule="auto"/>
              <w:ind w:firstLine="0" w:firstLineChars="0"/>
              <w:jc w:val="center"/>
              <w:rPr>
                <w:color w:val="auto"/>
                <w:sz w:val="21"/>
                <w:szCs w:val="21"/>
              </w:rPr>
            </w:pPr>
            <w:r>
              <w:rPr>
                <w:color w:val="auto"/>
                <w:sz w:val="21"/>
                <w:szCs w:val="21"/>
              </w:rPr>
              <w:t>大气沉降</w:t>
            </w:r>
            <w:r>
              <w:rPr>
                <w:color w:val="auto"/>
                <w:sz w:val="21"/>
                <w:szCs w:val="21"/>
              </w:rPr>
              <w:sym w:font="Wingdings 2" w:char="0052"/>
            </w:r>
            <w:r>
              <w:rPr>
                <w:color w:val="auto"/>
                <w:sz w:val="21"/>
                <w:szCs w:val="21"/>
              </w:rPr>
              <w:t>；地面漫流</w:t>
            </w:r>
            <w:r>
              <w:rPr>
                <w:b/>
                <w:bCs/>
                <w:color w:val="auto"/>
                <w:sz w:val="16"/>
                <w:szCs w:val="16"/>
                <w:bdr w:val="single" w:color="auto" w:sz="4" w:space="0"/>
              </w:rPr>
              <w:t>√</w:t>
            </w:r>
            <w:r>
              <w:rPr>
                <w:color w:val="auto"/>
                <w:sz w:val="21"/>
                <w:szCs w:val="21"/>
              </w:rPr>
              <w:t>；垂直入渗</w:t>
            </w:r>
            <w:r>
              <w:rPr>
                <w:b/>
                <w:bCs/>
                <w:color w:val="auto"/>
                <w:sz w:val="16"/>
                <w:szCs w:val="16"/>
                <w:bdr w:val="single" w:color="auto" w:sz="4" w:space="0"/>
              </w:rPr>
              <w:t>√</w:t>
            </w:r>
            <w:r>
              <w:rPr>
                <w:color w:val="auto"/>
                <w:sz w:val="21"/>
                <w:szCs w:val="21"/>
              </w:rPr>
              <w:t>；地下水位</w:t>
            </w:r>
            <w:r>
              <w:rPr>
                <w:color w:val="auto"/>
                <w:sz w:val="21"/>
                <w:szCs w:val="21"/>
              </w:rPr>
              <w:sym w:font="Wingdings 2" w:char="00A3"/>
            </w:r>
            <w:r>
              <w:rPr>
                <w:color w:val="auto"/>
                <w:sz w:val="21"/>
                <w:szCs w:val="21"/>
              </w:rPr>
              <w:t>；其他（ ）</w:t>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continue"/>
            <w:vAlign w:val="center"/>
          </w:tcPr>
          <w:p>
            <w:pPr>
              <w:spacing w:line="240" w:lineRule="auto"/>
              <w:ind w:firstLine="0" w:firstLineChars="0"/>
              <w:jc w:val="center"/>
              <w:rPr>
                <w:color w:val="auto"/>
                <w:sz w:val="21"/>
                <w:szCs w:val="21"/>
              </w:rPr>
            </w:pPr>
          </w:p>
        </w:tc>
        <w:tc>
          <w:tcPr>
            <w:tcW w:w="941" w:type="pct"/>
            <w:vAlign w:val="center"/>
          </w:tcPr>
          <w:p>
            <w:pPr>
              <w:spacing w:line="240" w:lineRule="auto"/>
              <w:ind w:firstLine="0" w:firstLineChars="0"/>
              <w:jc w:val="center"/>
              <w:rPr>
                <w:color w:val="auto"/>
                <w:sz w:val="21"/>
                <w:szCs w:val="21"/>
              </w:rPr>
            </w:pPr>
            <w:r>
              <w:rPr>
                <w:color w:val="auto"/>
                <w:sz w:val="21"/>
                <w:szCs w:val="21"/>
              </w:rPr>
              <w:t>全部污染物</w:t>
            </w:r>
          </w:p>
        </w:tc>
        <w:tc>
          <w:tcPr>
            <w:tcW w:w="3158" w:type="pct"/>
            <w:gridSpan w:val="6"/>
            <w:vAlign w:val="center"/>
          </w:tcPr>
          <w:p>
            <w:pPr>
              <w:spacing w:line="240" w:lineRule="auto"/>
              <w:ind w:firstLine="0" w:firstLineChars="0"/>
              <w:jc w:val="center"/>
              <w:rPr>
                <w:rFonts w:hint="eastAsia" w:eastAsia="宋体"/>
                <w:color w:val="auto"/>
                <w:sz w:val="21"/>
                <w:szCs w:val="21"/>
                <w:lang w:eastAsia="zh-CN"/>
              </w:rPr>
            </w:pPr>
            <w:r>
              <w:rPr>
                <w:rFonts w:hint="eastAsia" w:ascii="Times New Roman" w:hAnsi="Times New Roman" w:eastAsia="宋体" w:cs="Times New Roman"/>
                <w:color w:val="auto"/>
                <w:sz w:val="21"/>
                <w:szCs w:val="21"/>
                <w:highlight w:val="none"/>
                <w:lang w:val="en-US" w:eastAsia="zh-CN"/>
              </w:rPr>
              <w:t>SO</w:t>
            </w:r>
            <w:r>
              <w:rPr>
                <w:rFonts w:hint="eastAsia" w:ascii="Times New Roman" w:hAnsi="Times New Roman" w:eastAsia="宋体" w:cs="Times New Roman"/>
                <w:color w:val="auto"/>
                <w:sz w:val="21"/>
                <w:szCs w:val="21"/>
                <w:highlight w:val="none"/>
                <w:vertAlign w:val="subscript"/>
                <w:lang w:val="en-US" w:eastAsia="zh-CN"/>
              </w:rPr>
              <w:t>2</w:t>
            </w:r>
            <w:r>
              <w:rPr>
                <w:rFonts w:hint="eastAsia" w:ascii="Times New Roman" w:hAnsi="Times New Roman" w:eastAsia="宋体" w:cs="Times New Roman"/>
                <w:color w:val="auto"/>
                <w:sz w:val="21"/>
                <w:szCs w:val="21"/>
                <w:highlight w:val="none"/>
                <w:lang w:val="en-US" w:eastAsia="zh-CN"/>
              </w:rPr>
              <w:t>、NOx、颗粒物、氨、硫化氢、VOCs、</w:t>
            </w:r>
            <w:r>
              <w:rPr>
                <w:color w:val="auto"/>
                <w:sz w:val="21"/>
                <w:szCs w:val="21"/>
              </w:rPr>
              <w:t>石油烃</w:t>
            </w:r>
            <w:r>
              <w:rPr>
                <w:rFonts w:hint="eastAsia"/>
                <w:color w:val="auto"/>
                <w:sz w:val="21"/>
                <w:szCs w:val="21"/>
                <w:lang w:eastAsia="zh-CN"/>
              </w:rPr>
              <w:t>、</w:t>
            </w:r>
            <w:r>
              <w:rPr>
                <w:rFonts w:hint="eastAsia" w:ascii="Times New Roman" w:hAnsi="Times New Roman" w:eastAsia="宋体" w:cs="Times New Roman"/>
                <w:color w:val="auto"/>
                <w:sz w:val="21"/>
                <w:szCs w:val="21"/>
                <w:highlight w:val="none"/>
                <w:lang w:val="en-US" w:eastAsia="zh-CN"/>
              </w:rPr>
              <w:t>COD、氨氮</w:t>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continue"/>
            <w:vAlign w:val="center"/>
          </w:tcPr>
          <w:p>
            <w:pPr>
              <w:spacing w:line="240" w:lineRule="auto"/>
              <w:ind w:firstLine="0" w:firstLineChars="0"/>
              <w:jc w:val="center"/>
              <w:rPr>
                <w:color w:val="auto"/>
                <w:sz w:val="21"/>
                <w:szCs w:val="21"/>
              </w:rPr>
            </w:pPr>
          </w:p>
        </w:tc>
        <w:tc>
          <w:tcPr>
            <w:tcW w:w="941" w:type="pct"/>
            <w:vAlign w:val="center"/>
          </w:tcPr>
          <w:p>
            <w:pPr>
              <w:spacing w:line="240" w:lineRule="auto"/>
              <w:ind w:firstLine="0" w:firstLineChars="0"/>
              <w:jc w:val="center"/>
              <w:rPr>
                <w:color w:val="auto"/>
                <w:sz w:val="21"/>
                <w:szCs w:val="21"/>
              </w:rPr>
            </w:pPr>
            <w:r>
              <w:rPr>
                <w:color w:val="auto"/>
                <w:sz w:val="21"/>
                <w:szCs w:val="21"/>
              </w:rPr>
              <w:t>特征因子</w:t>
            </w:r>
          </w:p>
        </w:tc>
        <w:tc>
          <w:tcPr>
            <w:tcW w:w="3158" w:type="pct"/>
            <w:gridSpan w:val="6"/>
            <w:vAlign w:val="center"/>
          </w:tcPr>
          <w:p>
            <w:pPr>
              <w:spacing w:line="240" w:lineRule="auto"/>
              <w:ind w:firstLine="0" w:firstLineChars="0"/>
              <w:jc w:val="center"/>
              <w:rPr>
                <w:color w:val="auto"/>
                <w:sz w:val="21"/>
                <w:szCs w:val="21"/>
              </w:rPr>
            </w:pPr>
            <w:r>
              <w:rPr>
                <w:color w:val="auto"/>
                <w:sz w:val="21"/>
                <w:szCs w:val="21"/>
              </w:rPr>
              <w:t>石油烃</w:t>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42" w:hRule="atLeast"/>
          <w:jc w:val="center"/>
        </w:trPr>
        <w:tc>
          <w:tcPr>
            <w:tcW w:w="478" w:type="pct"/>
            <w:vMerge w:val="continue"/>
            <w:vAlign w:val="center"/>
          </w:tcPr>
          <w:p>
            <w:pPr>
              <w:spacing w:line="240" w:lineRule="auto"/>
              <w:ind w:firstLine="0" w:firstLineChars="0"/>
              <w:jc w:val="center"/>
              <w:rPr>
                <w:color w:val="auto"/>
                <w:sz w:val="21"/>
                <w:szCs w:val="21"/>
              </w:rPr>
            </w:pPr>
          </w:p>
        </w:tc>
        <w:tc>
          <w:tcPr>
            <w:tcW w:w="941" w:type="pct"/>
            <w:vAlign w:val="center"/>
          </w:tcPr>
          <w:p>
            <w:pPr>
              <w:spacing w:line="240" w:lineRule="auto"/>
              <w:ind w:firstLine="0" w:firstLineChars="0"/>
              <w:jc w:val="center"/>
              <w:rPr>
                <w:color w:val="auto"/>
                <w:sz w:val="21"/>
                <w:szCs w:val="21"/>
              </w:rPr>
            </w:pPr>
            <w:r>
              <w:rPr>
                <w:color w:val="auto"/>
                <w:sz w:val="21"/>
                <w:szCs w:val="21"/>
              </w:rPr>
              <w:t>所属土壤环境影响评价项目类别</w:t>
            </w:r>
          </w:p>
        </w:tc>
        <w:tc>
          <w:tcPr>
            <w:tcW w:w="3158" w:type="pct"/>
            <w:gridSpan w:val="6"/>
            <w:vAlign w:val="center"/>
          </w:tcPr>
          <w:p>
            <w:pPr>
              <w:spacing w:line="240" w:lineRule="auto"/>
              <w:ind w:firstLine="0" w:firstLineChars="0"/>
              <w:jc w:val="center"/>
              <w:rPr>
                <w:color w:val="auto"/>
                <w:sz w:val="21"/>
                <w:szCs w:val="21"/>
              </w:rPr>
            </w:pPr>
            <w:r>
              <w:rPr>
                <w:color w:val="auto"/>
                <w:sz w:val="21"/>
                <w:szCs w:val="21"/>
              </w:rPr>
              <w:t>Ⅰ类□；Ⅱ类</w:t>
            </w:r>
            <w:r>
              <w:rPr>
                <w:color w:val="auto"/>
                <w:sz w:val="21"/>
                <w:szCs w:val="21"/>
              </w:rPr>
              <w:sym w:font="Wingdings 2" w:char="0052"/>
            </w:r>
            <w:r>
              <w:rPr>
                <w:color w:val="auto"/>
                <w:sz w:val="21"/>
                <w:szCs w:val="21"/>
              </w:rPr>
              <w:t>；Ⅲ类□；Ⅳ类□</w:t>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continue"/>
            <w:vAlign w:val="center"/>
          </w:tcPr>
          <w:p>
            <w:pPr>
              <w:spacing w:line="240" w:lineRule="auto"/>
              <w:ind w:firstLine="0" w:firstLineChars="0"/>
              <w:jc w:val="center"/>
              <w:rPr>
                <w:color w:val="auto"/>
                <w:sz w:val="21"/>
                <w:szCs w:val="21"/>
              </w:rPr>
            </w:pPr>
          </w:p>
        </w:tc>
        <w:tc>
          <w:tcPr>
            <w:tcW w:w="941" w:type="pct"/>
            <w:vAlign w:val="center"/>
          </w:tcPr>
          <w:p>
            <w:pPr>
              <w:spacing w:line="240" w:lineRule="auto"/>
              <w:ind w:firstLine="0" w:firstLineChars="0"/>
              <w:jc w:val="center"/>
              <w:rPr>
                <w:color w:val="auto"/>
                <w:sz w:val="21"/>
                <w:szCs w:val="21"/>
              </w:rPr>
            </w:pPr>
            <w:r>
              <w:rPr>
                <w:color w:val="auto"/>
                <w:sz w:val="21"/>
                <w:szCs w:val="21"/>
              </w:rPr>
              <w:t>敏感程度</w:t>
            </w:r>
          </w:p>
        </w:tc>
        <w:tc>
          <w:tcPr>
            <w:tcW w:w="3158" w:type="pct"/>
            <w:gridSpan w:val="6"/>
            <w:vAlign w:val="center"/>
          </w:tcPr>
          <w:p>
            <w:pPr>
              <w:spacing w:line="240" w:lineRule="auto"/>
              <w:ind w:firstLine="0" w:firstLineChars="0"/>
              <w:jc w:val="center"/>
              <w:rPr>
                <w:color w:val="auto"/>
                <w:sz w:val="21"/>
                <w:szCs w:val="21"/>
              </w:rPr>
            </w:pPr>
            <w:r>
              <w:rPr>
                <w:color w:val="auto"/>
                <w:sz w:val="21"/>
                <w:szCs w:val="21"/>
              </w:rPr>
              <w:t>敏感</w:t>
            </w:r>
            <w:r>
              <w:rPr>
                <w:color w:val="auto"/>
                <w:sz w:val="21"/>
                <w:szCs w:val="21"/>
              </w:rPr>
              <w:sym w:font="Wingdings 2" w:char="0052"/>
            </w:r>
            <w:r>
              <w:rPr>
                <w:color w:val="auto"/>
                <w:sz w:val="21"/>
                <w:szCs w:val="21"/>
              </w:rPr>
              <w:t>；较敏感</w:t>
            </w:r>
            <w:r>
              <w:rPr>
                <w:color w:val="auto"/>
                <w:sz w:val="21"/>
                <w:szCs w:val="21"/>
              </w:rPr>
              <w:sym w:font="Wingdings 2" w:char="00A3"/>
            </w:r>
            <w:r>
              <w:rPr>
                <w:color w:val="auto"/>
                <w:sz w:val="21"/>
                <w:szCs w:val="21"/>
              </w:rPr>
              <w:t>；不敏感</w:t>
            </w:r>
            <w:r>
              <w:rPr>
                <w:color w:val="auto"/>
                <w:sz w:val="21"/>
                <w:szCs w:val="21"/>
              </w:rPr>
              <w:sym w:font="Wingdings 2" w:char="00A3"/>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continue"/>
            <w:vAlign w:val="center"/>
          </w:tcPr>
          <w:p>
            <w:pPr>
              <w:spacing w:line="240" w:lineRule="auto"/>
              <w:ind w:firstLine="0" w:firstLineChars="0"/>
              <w:jc w:val="center"/>
              <w:rPr>
                <w:color w:val="auto"/>
                <w:sz w:val="21"/>
                <w:szCs w:val="21"/>
              </w:rPr>
            </w:pPr>
          </w:p>
        </w:tc>
        <w:tc>
          <w:tcPr>
            <w:tcW w:w="941" w:type="pct"/>
            <w:vAlign w:val="center"/>
          </w:tcPr>
          <w:p>
            <w:pPr>
              <w:spacing w:line="240" w:lineRule="auto"/>
              <w:ind w:firstLine="0" w:firstLineChars="0"/>
              <w:jc w:val="center"/>
              <w:rPr>
                <w:color w:val="auto"/>
                <w:sz w:val="21"/>
                <w:szCs w:val="21"/>
              </w:rPr>
            </w:pPr>
            <w:r>
              <w:rPr>
                <w:color w:val="auto"/>
                <w:sz w:val="21"/>
                <w:szCs w:val="21"/>
              </w:rPr>
              <w:t>评价工作等级</w:t>
            </w:r>
          </w:p>
        </w:tc>
        <w:tc>
          <w:tcPr>
            <w:tcW w:w="3158" w:type="pct"/>
            <w:gridSpan w:val="6"/>
            <w:vAlign w:val="center"/>
          </w:tcPr>
          <w:p>
            <w:pPr>
              <w:spacing w:line="240" w:lineRule="auto"/>
              <w:ind w:firstLine="0" w:firstLineChars="0"/>
              <w:jc w:val="center"/>
              <w:rPr>
                <w:color w:val="auto"/>
                <w:sz w:val="21"/>
                <w:szCs w:val="21"/>
              </w:rPr>
            </w:pPr>
            <w:r>
              <w:rPr>
                <w:color w:val="auto"/>
                <w:sz w:val="21"/>
                <w:szCs w:val="21"/>
              </w:rPr>
              <w:t>一级</w:t>
            </w:r>
            <w:r>
              <w:rPr>
                <w:color w:val="auto"/>
                <w:sz w:val="21"/>
                <w:szCs w:val="21"/>
              </w:rPr>
              <w:sym w:font="Wingdings 2" w:char="00A3"/>
            </w:r>
            <w:r>
              <w:rPr>
                <w:color w:val="auto"/>
                <w:sz w:val="21"/>
                <w:szCs w:val="21"/>
              </w:rPr>
              <w:t>；二级</w:t>
            </w:r>
            <w:r>
              <w:rPr>
                <w:color w:val="auto"/>
                <w:sz w:val="21"/>
                <w:szCs w:val="21"/>
              </w:rPr>
              <w:sym w:font="Wingdings 2" w:char="0052"/>
            </w:r>
            <w:r>
              <w:rPr>
                <w:color w:val="auto"/>
                <w:sz w:val="21"/>
                <w:szCs w:val="21"/>
              </w:rPr>
              <w:t>；三级□</w:t>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restart"/>
            <w:vAlign w:val="center"/>
          </w:tcPr>
          <w:p>
            <w:pPr>
              <w:spacing w:line="240" w:lineRule="auto"/>
              <w:ind w:firstLine="0" w:firstLineChars="0"/>
              <w:jc w:val="center"/>
              <w:rPr>
                <w:color w:val="auto"/>
                <w:sz w:val="21"/>
                <w:szCs w:val="21"/>
              </w:rPr>
            </w:pPr>
            <w:r>
              <w:rPr>
                <w:color w:val="auto"/>
                <w:sz w:val="21"/>
                <w:szCs w:val="21"/>
              </w:rPr>
              <w:t>理化性质</w:t>
            </w:r>
          </w:p>
        </w:tc>
        <w:tc>
          <w:tcPr>
            <w:tcW w:w="941" w:type="pct"/>
            <w:vAlign w:val="center"/>
          </w:tcPr>
          <w:p>
            <w:pPr>
              <w:spacing w:line="240" w:lineRule="auto"/>
              <w:ind w:firstLine="0" w:firstLineChars="0"/>
              <w:jc w:val="center"/>
              <w:rPr>
                <w:color w:val="auto"/>
                <w:sz w:val="21"/>
                <w:szCs w:val="21"/>
              </w:rPr>
            </w:pPr>
            <w:r>
              <w:rPr>
                <w:color w:val="auto"/>
                <w:sz w:val="21"/>
                <w:szCs w:val="21"/>
              </w:rPr>
              <w:t>资料收集</w:t>
            </w:r>
          </w:p>
        </w:tc>
        <w:tc>
          <w:tcPr>
            <w:tcW w:w="3158" w:type="pct"/>
            <w:gridSpan w:val="6"/>
            <w:vAlign w:val="center"/>
          </w:tcPr>
          <w:p>
            <w:pPr>
              <w:spacing w:line="240" w:lineRule="auto"/>
              <w:ind w:firstLine="0" w:firstLineChars="0"/>
              <w:jc w:val="center"/>
              <w:rPr>
                <w:color w:val="auto"/>
                <w:sz w:val="21"/>
                <w:szCs w:val="21"/>
              </w:rPr>
            </w:pPr>
            <w:r>
              <w:rPr>
                <w:color w:val="auto"/>
                <w:sz w:val="21"/>
                <w:szCs w:val="21"/>
              </w:rPr>
              <w:t>a）</w:t>
            </w:r>
            <w:r>
              <w:rPr>
                <w:b/>
                <w:bCs/>
                <w:color w:val="auto"/>
                <w:sz w:val="16"/>
                <w:szCs w:val="16"/>
                <w:bdr w:val="single" w:color="auto" w:sz="4" w:space="0"/>
              </w:rPr>
              <w:t>√</w:t>
            </w:r>
            <w:r>
              <w:rPr>
                <w:color w:val="auto"/>
                <w:sz w:val="21"/>
                <w:szCs w:val="21"/>
              </w:rPr>
              <w:t>；b）</w:t>
            </w:r>
            <w:r>
              <w:rPr>
                <w:b/>
                <w:bCs/>
                <w:color w:val="auto"/>
                <w:sz w:val="16"/>
                <w:szCs w:val="16"/>
                <w:bdr w:val="single" w:color="auto" w:sz="4" w:space="0"/>
              </w:rPr>
              <w:t>√</w:t>
            </w:r>
            <w:r>
              <w:rPr>
                <w:color w:val="auto"/>
                <w:sz w:val="21"/>
                <w:szCs w:val="21"/>
              </w:rPr>
              <w:t>；c）</w:t>
            </w:r>
            <w:r>
              <w:rPr>
                <w:b/>
                <w:bCs/>
                <w:color w:val="auto"/>
                <w:sz w:val="16"/>
                <w:szCs w:val="16"/>
                <w:bdr w:val="single" w:color="auto" w:sz="4" w:space="0"/>
              </w:rPr>
              <w:t>√</w:t>
            </w:r>
            <w:r>
              <w:rPr>
                <w:color w:val="auto"/>
                <w:sz w:val="21"/>
                <w:szCs w:val="21"/>
              </w:rPr>
              <w:t>；d）□</w:t>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478" w:type="pct"/>
            <w:vMerge w:val="continue"/>
            <w:vAlign w:val="center"/>
          </w:tcPr>
          <w:p>
            <w:pPr>
              <w:spacing w:line="240" w:lineRule="auto"/>
              <w:ind w:firstLine="0" w:firstLineChars="0"/>
              <w:jc w:val="center"/>
              <w:rPr>
                <w:color w:val="auto"/>
                <w:sz w:val="21"/>
                <w:szCs w:val="21"/>
              </w:rPr>
            </w:pPr>
          </w:p>
        </w:tc>
        <w:tc>
          <w:tcPr>
            <w:tcW w:w="941" w:type="pct"/>
            <w:vAlign w:val="center"/>
          </w:tcPr>
          <w:p>
            <w:pPr>
              <w:spacing w:line="240" w:lineRule="auto"/>
              <w:ind w:firstLine="0" w:firstLineChars="0"/>
              <w:jc w:val="center"/>
              <w:rPr>
                <w:color w:val="auto"/>
                <w:sz w:val="21"/>
                <w:szCs w:val="21"/>
              </w:rPr>
            </w:pPr>
            <w:r>
              <w:rPr>
                <w:color w:val="auto"/>
                <w:sz w:val="21"/>
                <w:szCs w:val="21"/>
              </w:rPr>
              <w:t>理化性质</w:t>
            </w:r>
          </w:p>
        </w:tc>
        <w:tc>
          <w:tcPr>
            <w:tcW w:w="3158" w:type="pct"/>
            <w:gridSpan w:val="6"/>
            <w:vAlign w:val="center"/>
          </w:tcPr>
          <w:p>
            <w:pPr>
              <w:spacing w:line="240" w:lineRule="auto"/>
              <w:ind w:firstLine="0" w:firstLineChars="0"/>
              <w:jc w:val="center"/>
              <w:rPr>
                <w:color w:val="auto"/>
                <w:sz w:val="21"/>
                <w:szCs w:val="21"/>
              </w:rPr>
            </w:pPr>
            <w:r>
              <w:rPr>
                <w:color w:val="auto"/>
                <w:sz w:val="21"/>
                <w:szCs w:val="21"/>
              </w:rPr>
              <w:t>土壤类型为粉土和粉质黏土，黄褐色，土质不均匀；pH8.5，阳离子交换量16.1cmol/kg，孔隙度为49.1%，土壤容重1.56</w:t>
            </w:r>
            <w:r>
              <w:rPr>
                <w:rFonts w:eastAsia="Times New Roman"/>
                <w:color w:val="auto"/>
                <w:sz w:val="21"/>
                <w:szCs w:val="21"/>
              </w:rPr>
              <w:t>g/cm</w:t>
            </w:r>
            <w:r>
              <w:rPr>
                <w:rFonts w:eastAsia="Times New Roman"/>
                <w:color w:val="auto"/>
                <w:sz w:val="21"/>
                <w:szCs w:val="21"/>
                <w:vertAlign w:val="superscript"/>
              </w:rPr>
              <w:t>3</w:t>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continue"/>
            <w:vAlign w:val="center"/>
          </w:tcPr>
          <w:p>
            <w:pPr>
              <w:spacing w:line="240" w:lineRule="auto"/>
              <w:ind w:firstLine="0" w:firstLineChars="0"/>
              <w:jc w:val="center"/>
              <w:rPr>
                <w:color w:val="auto"/>
                <w:sz w:val="21"/>
                <w:szCs w:val="21"/>
              </w:rPr>
            </w:pPr>
          </w:p>
        </w:tc>
        <w:tc>
          <w:tcPr>
            <w:tcW w:w="941" w:type="pct"/>
            <w:vMerge w:val="restart"/>
            <w:vAlign w:val="center"/>
          </w:tcPr>
          <w:p>
            <w:pPr>
              <w:spacing w:line="240" w:lineRule="auto"/>
              <w:ind w:firstLine="0" w:firstLineChars="0"/>
              <w:jc w:val="center"/>
              <w:rPr>
                <w:color w:val="auto"/>
                <w:sz w:val="21"/>
                <w:szCs w:val="21"/>
              </w:rPr>
            </w:pPr>
            <w:r>
              <w:rPr>
                <w:color w:val="auto"/>
                <w:sz w:val="21"/>
                <w:szCs w:val="21"/>
              </w:rPr>
              <w:t>现状监测点位</w:t>
            </w:r>
          </w:p>
        </w:tc>
        <w:tc>
          <w:tcPr>
            <w:tcW w:w="860" w:type="pct"/>
            <w:vAlign w:val="center"/>
          </w:tcPr>
          <w:p>
            <w:pPr>
              <w:spacing w:line="240" w:lineRule="auto"/>
              <w:ind w:firstLine="0" w:firstLineChars="0"/>
              <w:jc w:val="center"/>
              <w:rPr>
                <w:color w:val="auto"/>
                <w:sz w:val="21"/>
                <w:szCs w:val="21"/>
              </w:rPr>
            </w:pPr>
          </w:p>
        </w:tc>
        <w:tc>
          <w:tcPr>
            <w:tcW w:w="774" w:type="pct"/>
            <w:gridSpan w:val="2"/>
            <w:vAlign w:val="center"/>
          </w:tcPr>
          <w:p>
            <w:pPr>
              <w:spacing w:line="240" w:lineRule="auto"/>
              <w:ind w:firstLine="0" w:firstLineChars="0"/>
              <w:jc w:val="center"/>
              <w:rPr>
                <w:color w:val="auto"/>
                <w:sz w:val="21"/>
                <w:szCs w:val="21"/>
              </w:rPr>
            </w:pPr>
            <w:r>
              <w:rPr>
                <w:color w:val="auto"/>
                <w:sz w:val="21"/>
                <w:szCs w:val="21"/>
              </w:rPr>
              <w:t>占地范围内</w:t>
            </w:r>
          </w:p>
        </w:tc>
        <w:tc>
          <w:tcPr>
            <w:tcW w:w="748" w:type="pct"/>
            <w:gridSpan w:val="2"/>
            <w:vAlign w:val="center"/>
          </w:tcPr>
          <w:p>
            <w:pPr>
              <w:spacing w:line="240" w:lineRule="auto"/>
              <w:ind w:firstLine="0" w:firstLineChars="0"/>
              <w:jc w:val="center"/>
              <w:rPr>
                <w:color w:val="auto"/>
                <w:sz w:val="21"/>
                <w:szCs w:val="21"/>
              </w:rPr>
            </w:pPr>
            <w:r>
              <w:rPr>
                <w:color w:val="auto"/>
                <w:sz w:val="21"/>
                <w:szCs w:val="21"/>
              </w:rPr>
              <w:t>占地方位外</w:t>
            </w:r>
          </w:p>
        </w:tc>
        <w:tc>
          <w:tcPr>
            <w:tcW w:w="775" w:type="pct"/>
            <w:vAlign w:val="center"/>
          </w:tcPr>
          <w:p>
            <w:pPr>
              <w:spacing w:line="240" w:lineRule="auto"/>
              <w:ind w:firstLine="0" w:firstLineChars="0"/>
              <w:jc w:val="center"/>
              <w:rPr>
                <w:color w:val="auto"/>
                <w:sz w:val="21"/>
                <w:szCs w:val="21"/>
              </w:rPr>
            </w:pPr>
            <w:r>
              <w:rPr>
                <w:color w:val="auto"/>
                <w:sz w:val="21"/>
                <w:szCs w:val="21"/>
              </w:rPr>
              <w:t>深度</w:t>
            </w:r>
          </w:p>
        </w:tc>
        <w:tc>
          <w:tcPr>
            <w:tcW w:w="421" w:type="pct"/>
            <w:vMerge w:val="restart"/>
            <w:vAlign w:val="center"/>
          </w:tcPr>
          <w:p>
            <w:pPr>
              <w:spacing w:line="240" w:lineRule="auto"/>
              <w:ind w:firstLine="0" w:firstLineChars="0"/>
              <w:jc w:val="center"/>
              <w:rPr>
                <w:color w:val="auto"/>
                <w:sz w:val="21"/>
                <w:szCs w:val="21"/>
              </w:rPr>
            </w:pPr>
            <w:r>
              <w:rPr>
                <w:color w:val="auto"/>
                <w:sz w:val="21"/>
                <w:szCs w:val="21"/>
              </w:rPr>
              <w:t>点位布置图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continue"/>
            <w:vAlign w:val="center"/>
          </w:tcPr>
          <w:p>
            <w:pPr>
              <w:spacing w:line="240" w:lineRule="auto"/>
              <w:ind w:firstLine="0" w:firstLineChars="0"/>
              <w:jc w:val="center"/>
              <w:rPr>
                <w:color w:val="auto"/>
                <w:sz w:val="21"/>
                <w:szCs w:val="21"/>
              </w:rPr>
            </w:pPr>
          </w:p>
        </w:tc>
        <w:tc>
          <w:tcPr>
            <w:tcW w:w="941" w:type="pct"/>
            <w:vMerge w:val="continue"/>
            <w:vAlign w:val="center"/>
          </w:tcPr>
          <w:p>
            <w:pPr>
              <w:spacing w:line="240" w:lineRule="auto"/>
              <w:ind w:firstLine="0" w:firstLineChars="0"/>
              <w:jc w:val="center"/>
              <w:rPr>
                <w:color w:val="auto"/>
                <w:sz w:val="21"/>
                <w:szCs w:val="21"/>
              </w:rPr>
            </w:pPr>
          </w:p>
        </w:tc>
        <w:tc>
          <w:tcPr>
            <w:tcW w:w="860" w:type="pct"/>
            <w:vAlign w:val="center"/>
          </w:tcPr>
          <w:p>
            <w:pPr>
              <w:spacing w:line="240" w:lineRule="auto"/>
              <w:ind w:firstLine="0" w:firstLineChars="0"/>
              <w:jc w:val="center"/>
              <w:rPr>
                <w:color w:val="auto"/>
                <w:sz w:val="21"/>
                <w:szCs w:val="21"/>
              </w:rPr>
            </w:pPr>
            <w:r>
              <w:rPr>
                <w:color w:val="auto"/>
                <w:sz w:val="21"/>
                <w:szCs w:val="21"/>
              </w:rPr>
              <w:t>表层样点</w:t>
            </w:r>
          </w:p>
        </w:tc>
        <w:tc>
          <w:tcPr>
            <w:tcW w:w="774" w:type="pct"/>
            <w:gridSpan w:val="2"/>
            <w:vAlign w:val="center"/>
          </w:tcPr>
          <w:p>
            <w:pPr>
              <w:spacing w:line="240" w:lineRule="auto"/>
              <w:ind w:firstLine="0" w:firstLineChars="0"/>
              <w:jc w:val="center"/>
              <w:rPr>
                <w:color w:val="auto"/>
                <w:sz w:val="21"/>
                <w:szCs w:val="21"/>
              </w:rPr>
            </w:pPr>
            <w:r>
              <w:rPr>
                <w:color w:val="auto"/>
                <w:sz w:val="21"/>
                <w:szCs w:val="21"/>
              </w:rPr>
              <w:t>1</w:t>
            </w:r>
          </w:p>
        </w:tc>
        <w:tc>
          <w:tcPr>
            <w:tcW w:w="748" w:type="pct"/>
            <w:gridSpan w:val="2"/>
            <w:vAlign w:val="center"/>
          </w:tcPr>
          <w:p>
            <w:pPr>
              <w:spacing w:line="240" w:lineRule="auto"/>
              <w:ind w:firstLine="0" w:firstLineChars="0"/>
              <w:jc w:val="center"/>
              <w:rPr>
                <w:color w:val="auto"/>
                <w:sz w:val="21"/>
                <w:szCs w:val="21"/>
              </w:rPr>
            </w:pPr>
            <w:r>
              <w:rPr>
                <w:color w:val="auto"/>
                <w:sz w:val="21"/>
                <w:szCs w:val="21"/>
              </w:rPr>
              <w:t>2</w:t>
            </w:r>
          </w:p>
        </w:tc>
        <w:tc>
          <w:tcPr>
            <w:tcW w:w="775" w:type="pct"/>
            <w:vAlign w:val="center"/>
          </w:tcPr>
          <w:p>
            <w:pPr>
              <w:spacing w:line="240" w:lineRule="auto"/>
              <w:ind w:firstLine="0" w:firstLineChars="0"/>
              <w:jc w:val="center"/>
              <w:rPr>
                <w:color w:val="auto"/>
                <w:sz w:val="21"/>
                <w:szCs w:val="21"/>
              </w:rPr>
            </w:pPr>
            <w:r>
              <w:rPr>
                <w:color w:val="auto"/>
                <w:sz w:val="21"/>
                <w:szCs w:val="21"/>
              </w:rPr>
              <w:t>0.2m</w:t>
            </w:r>
          </w:p>
        </w:tc>
        <w:tc>
          <w:tcPr>
            <w:tcW w:w="421" w:type="pct"/>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continue"/>
            <w:vAlign w:val="center"/>
          </w:tcPr>
          <w:p>
            <w:pPr>
              <w:spacing w:line="240" w:lineRule="auto"/>
              <w:ind w:firstLine="0" w:firstLineChars="0"/>
              <w:jc w:val="center"/>
              <w:rPr>
                <w:color w:val="auto"/>
                <w:sz w:val="21"/>
                <w:szCs w:val="21"/>
              </w:rPr>
            </w:pPr>
          </w:p>
        </w:tc>
        <w:tc>
          <w:tcPr>
            <w:tcW w:w="941" w:type="pct"/>
            <w:vMerge w:val="continue"/>
            <w:vAlign w:val="center"/>
          </w:tcPr>
          <w:p>
            <w:pPr>
              <w:spacing w:line="240" w:lineRule="auto"/>
              <w:ind w:firstLine="0" w:firstLineChars="0"/>
              <w:jc w:val="center"/>
              <w:rPr>
                <w:color w:val="auto"/>
                <w:sz w:val="21"/>
                <w:szCs w:val="21"/>
              </w:rPr>
            </w:pPr>
          </w:p>
        </w:tc>
        <w:tc>
          <w:tcPr>
            <w:tcW w:w="860" w:type="pct"/>
            <w:vAlign w:val="center"/>
          </w:tcPr>
          <w:p>
            <w:pPr>
              <w:spacing w:line="240" w:lineRule="auto"/>
              <w:ind w:firstLine="0" w:firstLineChars="0"/>
              <w:jc w:val="center"/>
              <w:rPr>
                <w:color w:val="auto"/>
                <w:sz w:val="21"/>
                <w:szCs w:val="21"/>
              </w:rPr>
            </w:pPr>
            <w:r>
              <w:rPr>
                <w:color w:val="auto"/>
                <w:sz w:val="21"/>
                <w:szCs w:val="21"/>
              </w:rPr>
              <w:t>柱状样点</w:t>
            </w:r>
          </w:p>
        </w:tc>
        <w:tc>
          <w:tcPr>
            <w:tcW w:w="774" w:type="pct"/>
            <w:gridSpan w:val="2"/>
            <w:vAlign w:val="center"/>
          </w:tcPr>
          <w:p>
            <w:pPr>
              <w:spacing w:line="240" w:lineRule="auto"/>
              <w:ind w:firstLine="0" w:firstLineChars="0"/>
              <w:jc w:val="center"/>
              <w:rPr>
                <w:color w:val="auto"/>
                <w:sz w:val="21"/>
                <w:szCs w:val="21"/>
              </w:rPr>
            </w:pPr>
            <w:r>
              <w:rPr>
                <w:color w:val="auto"/>
                <w:sz w:val="21"/>
                <w:szCs w:val="21"/>
              </w:rPr>
              <w:t>3</w:t>
            </w:r>
          </w:p>
        </w:tc>
        <w:tc>
          <w:tcPr>
            <w:tcW w:w="748" w:type="pct"/>
            <w:gridSpan w:val="2"/>
            <w:vAlign w:val="center"/>
          </w:tcPr>
          <w:p>
            <w:pPr>
              <w:spacing w:line="240" w:lineRule="auto"/>
              <w:ind w:firstLine="0" w:firstLineChars="0"/>
              <w:jc w:val="center"/>
              <w:rPr>
                <w:color w:val="auto"/>
                <w:sz w:val="21"/>
                <w:szCs w:val="21"/>
              </w:rPr>
            </w:pPr>
            <w:r>
              <w:rPr>
                <w:color w:val="auto"/>
                <w:sz w:val="21"/>
                <w:szCs w:val="21"/>
              </w:rPr>
              <w:t>/</w:t>
            </w:r>
          </w:p>
        </w:tc>
        <w:tc>
          <w:tcPr>
            <w:tcW w:w="775" w:type="pct"/>
            <w:vAlign w:val="center"/>
          </w:tcPr>
          <w:p>
            <w:pPr>
              <w:spacing w:line="240" w:lineRule="auto"/>
              <w:ind w:firstLine="0" w:firstLineChars="0"/>
              <w:jc w:val="center"/>
              <w:rPr>
                <w:color w:val="auto"/>
                <w:sz w:val="21"/>
                <w:szCs w:val="21"/>
              </w:rPr>
            </w:pPr>
            <w:r>
              <w:rPr>
                <w:color w:val="auto"/>
                <w:sz w:val="21"/>
                <w:szCs w:val="21"/>
              </w:rPr>
              <w:t>3.0</w:t>
            </w:r>
          </w:p>
        </w:tc>
        <w:tc>
          <w:tcPr>
            <w:tcW w:w="421" w:type="pct"/>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478" w:type="pct"/>
            <w:vMerge w:val="continue"/>
            <w:vAlign w:val="center"/>
          </w:tcPr>
          <w:p>
            <w:pPr>
              <w:spacing w:line="240" w:lineRule="auto"/>
              <w:ind w:firstLine="0" w:firstLineChars="0"/>
              <w:jc w:val="center"/>
              <w:rPr>
                <w:color w:val="auto"/>
                <w:sz w:val="21"/>
                <w:szCs w:val="21"/>
              </w:rPr>
            </w:pPr>
          </w:p>
        </w:tc>
        <w:tc>
          <w:tcPr>
            <w:tcW w:w="941" w:type="pct"/>
            <w:vAlign w:val="center"/>
          </w:tcPr>
          <w:p>
            <w:pPr>
              <w:spacing w:line="240" w:lineRule="auto"/>
              <w:ind w:firstLine="0" w:firstLineChars="0"/>
              <w:jc w:val="center"/>
              <w:rPr>
                <w:color w:val="auto"/>
                <w:sz w:val="21"/>
                <w:szCs w:val="21"/>
              </w:rPr>
            </w:pPr>
            <w:r>
              <w:rPr>
                <w:color w:val="auto"/>
                <w:sz w:val="21"/>
                <w:szCs w:val="21"/>
              </w:rPr>
              <w:t>现状监测因子</w:t>
            </w:r>
          </w:p>
        </w:tc>
        <w:tc>
          <w:tcPr>
            <w:tcW w:w="3158" w:type="pct"/>
            <w:gridSpan w:val="6"/>
            <w:vAlign w:val="center"/>
          </w:tcPr>
          <w:p>
            <w:pPr>
              <w:spacing w:line="240" w:lineRule="auto"/>
              <w:ind w:firstLine="0" w:firstLineChars="0"/>
              <w:jc w:val="center"/>
              <w:rPr>
                <w:color w:val="auto"/>
                <w:sz w:val="21"/>
                <w:szCs w:val="21"/>
              </w:rPr>
            </w:pPr>
            <w:r>
              <w:rPr>
                <w:color w:val="auto"/>
                <w:sz w:val="21"/>
                <w:szCs w:val="21"/>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萤蒽、苯并[k]萤蒽、䓛、二苯并[a,h]蒽、茚并[1,2,3-cd]芘、萘、</w:t>
            </w:r>
            <w:r>
              <w:rPr>
                <w:rFonts w:hint="eastAsia"/>
                <w:color w:val="auto"/>
                <w:sz w:val="21"/>
                <w:szCs w:val="21"/>
              </w:rPr>
              <w:t>pH、石油烃、钛、锌、铁</w:t>
            </w:r>
            <w:r>
              <w:rPr>
                <w:color w:val="auto"/>
                <w:sz w:val="21"/>
                <w:szCs w:val="21"/>
              </w:rPr>
              <w:t>共</w:t>
            </w:r>
            <w:r>
              <w:rPr>
                <w:rFonts w:hint="eastAsia"/>
                <w:color w:val="auto"/>
                <w:sz w:val="21"/>
                <w:szCs w:val="21"/>
              </w:rPr>
              <w:t>5</w:t>
            </w:r>
            <w:r>
              <w:rPr>
                <w:rFonts w:hint="eastAsia"/>
                <w:color w:val="auto"/>
                <w:sz w:val="21"/>
                <w:szCs w:val="21"/>
                <w:lang w:val="en-US" w:eastAsia="zh-CN"/>
              </w:rPr>
              <w:t>0</w:t>
            </w:r>
            <w:r>
              <w:rPr>
                <w:color w:val="auto"/>
                <w:sz w:val="21"/>
                <w:szCs w:val="21"/>
              </w:rPr>
              <w:t>项</w:t>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restart"/>
            <w:vAlign w:val="center"/>
          </w:tcPr>
          <w:p>
            <w:pPr>
              <w:spacing w:line="240" w:lineRule="auto"/>
              <w:ind w:firstLine="0" w:firstLineChars="0"/>
              <w:jc w:val="center"/>
              <w:rPr>
                <w:color w:val="auto"/>
                <w:sz w:val="21"/>
                <w:szCs w:val="21"/>
              </w:rPr>
            </w:pPr>
            <w:r>
              <w:rPr>
                <w:color w:val="auto"/>
                <w:sz w:val="21"/>
                <w:szCs w:val="21"/>
              </w:rPr>
              <w:t>现状评价</w:t>
            </w:r>
          </w:p>
        </w:tc>
        <w:tc>
          <w:tcPr>
            <w:tcW w:w="941" w:type="pct"/>
            <w:vAlign w:val="center"/>
          </w:tcPr>
          <w:p>
            <w:pPr>
              <w:spacing w:line="240" w:lineRule="auto"/>
              <w:ind w:firstLine="0" w:firstLineChars="0"/>
              <w:jc w:val="center"/>
              <w:rPr>
                <w:color w:val="auto"/>
                <w:sz w:val="21"/>
                <w:szCs w:val="21"/>
              </w:rPr>
            </w:pPr>
            <w:r>
              <w:rPr>
                <w:color w:val="auto"/>
                <w:sz w:val="21"/>
                <w:szCs w:val="21"/>
              </w:rPr>
              <w:t>评价因子</w:t>
            </w:r>
          </w:p>
        </w:tc>
        <w:tc>
          <w:tcPr>
            <w:tcW w:w="3158" w:type="pct"/>
            <w:gridSpan w:val="6"/>
            <w:vAlign w:val="center"/>
          </w:tcPr>
          <w:p>
            <w:pPr>
              <w:spacing w:line="240" w:lineRule="auto"/>
              <w:ind w:firstLine="0" w:firstLineChars="0"/>
              <w:jc w:val="center"/>
              <w:rPr>
                <w:color w:val="auto"/>
                <w:sz w:val="21"/>
                <w:szCs w:val="21"/>
              </w:rPr>
            </w:pPr>
            <w:r>
              <w:rPr>
                <w:color w:val="auto"/>
                <w:sz w:val="21"/>
                <w:szCs w:val="21"/>
              </w:rPr>
              <w:t>全部监测因子</w:t>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continue"/>
            <w:vAlign w:val="center"/>
          </w:tcPr>
          <w:p>
            <w:pPr>
              <w:spacing w:line="240" w:lineRule="auto"/>
              <w:ind w:firstLine="0" w:firstLineChars="0"/>
              <w:jc w:val="center"/>
              <w:rPr>
                <w:color w:val="auto"/>
                <w:sz w:val="21"/>
                <w:szCs w:val="21"/>
              </w:rPr>
            </w:pPr>
          </w:p>
        </w:tc>
        <w:tc>
          <w:tcPr>
            <w:tcW w:w="941" w:type="pct"/>
            <w:vAlign w:val="center"/>
          </w:tcPr>
          <w:p>
            <w:pPr>
              <w:spacing w:line="240" w:lineRule="auto"/>
              <w:ind w:firstLine="0" w:firstLineChars="0"/>
              <w:jc w:val="center"/>
              <w:rPr>
                <w:color w:val="auto"/>
                <w:sz w:val="21"/>
                <w:szCs w:val="21"/>
              </w:rPr>
            </w:pPr>
            <w:r>
              <w:rPr>
                <w:color w:val="auto"/>
                <w:sz w:val="21"/>
                <w:szCs w:val="21"/>
              </w:rPr>
              <w:t>评价标准</w:t>
            </w:r>
          </w:p>
        </w:tc>
        <w:tc>
          <w:tcPr>
            <w:tcW w:w="3158" w:type="pct"/>
            <w:gridSpan w:val="6"/>
            <w:vAlign w:val="center"/>
          </w:tcPr>
          <w:p>
            <w:pPr>
              <w:spacing w:line="240" w:lineRule="auto"/>
              <w:ind w:firstLine="0" w:firstLineChars="0"/>
              <w:jc w:val="center"/>
              <w:rPr>
                <w:color w:val="auto"/>
                <w:sz w:val="21"/>
                <w:szCs w:val="21"/>
              </w:rPr>
            </w:pPr>
            <w:r>
              <w:rPr>
                <w:color w:val="auto"/>
                <w:sz w:val="21"/>
                <w:szCs w:val="21"/>
              </w:rPr>
              <w:t>GB 15618 □；GB 36600</w:t>
            </w:r>
            <w:r>
              <w:rPr>
                <w:b/>
                <w:bCs/>
                <w:color w:val="auto"/>
                <w:sz w:val="16"/>
                <w:szCs w:val="16"/>
                <w:bdr w:val="single" w:color="auto" w:sz="4" w:space="0"/>
              </w:rPr>
              <w:t>√</w:t>
            </w:r>
            <w:r>
              <w:rPr>
                <w:color w:val="auto"/>
                <w:sz w:val="21"/>
                <w:szCs w:val="21"/>
              </w:rPr>
              <w:t>；表D.1□；表D.2□；其他（ ）</w:t>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continue"/>
            <w:vAlign w:val="center"/>
          </w:tcPr>
          <w:p>
            <w:pPr>
              <w:spacing w:line="240" w:lineRule="auto"/>
              <w:ind w:firstLine="0" w:firstLineChars="0"/>
              <w:jc w:val="center"/>
              <w:rPr>
                <w:color w:val="auto"/>
                <w:sz w:val="21"/>
                <w:szCs w:val="21"/>
              </w:rPr>
            </w:pPr>
          </w:p>
        </w:tc>
        <w:tc>
          <w:tcPr>
            <w:tcW w:w="941" w:type="pct"/>
            <w:vAlign w:val="center"/>
          </w:tcPr>
          <w:p>
            <w:pPr>
              <w:spacing w:line="240" w:lineRule="auto"/>
              <w:ind w:firstLine="0" w:firstLineChars="0"/>
              <w:jc w:val="center"/>
              <w:rPr>
                <w:color w:val="auto"/>
                <w:sz w:val="21"/>
                <w:szCs w:val="21"/>
              </w:rPr>
            </w:pPr>
            <w:r>
              <w:rPr>
                <w:color w:val="auto"/>
                <w:sz w:val="21"/>
                <w:szCs w:val="21"/>
              </w:rPr>
              <w:t>现状评价结论</w:t>
            </w:r>
          </w:p>
        </w:tc>
        <w:tc>
          <w:tcPr>
            <w:tcW w:w="3158" w:type="pct"/>
            <w:gridSpan w:val="6"/>
            <w:vAlign w:val="center"/>
          </w:tcPr>
          <w:p>
            <w:pPr>
              <w:spacing w:line="240" w:lineRule="auto"/>
              <w:ind w:firstLine="0" w:firstLineChars="0"/>
              <w:jc w:val="center"/>
              <w:rPr>
                <w:color w:val="auto"/>
                <w:sz w:val="21"/>
                <w:szCs w:val="21"/>
              </w:rPr>
            </w:pPr>
            <w:r>
              <w:rPr>
                <w:color w:val="auto"/>
                <w:sz w:val="21"/>
                <w:szCs w:val="21"/>
              </w:rPr>
              <w:t>土壤监测点各监测因子均能达到 GB36600-2018 第二类用地筛选值要求</w:t>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restart"/>
            <w:vAlign w:val="center"/>
          </w:tcPr>
          <w:p>
            <w:pPr>
              <w:spacing w:line="240" w:lineRule="auto"/>
              <w:ind w:firstLine="0" w:firstLineChars="0"/>
              <w:jc w:val="center"/>
              <w:rPr>
                <w:color w:val="auto"/>
                <w:sz w:val="21"/>
                <w:szCs w:val="21"/>
              </w:rPr>
            </w:pPr>
            <w:r>
              <w:rPr>
                <w:color w:val="auto"/>
                <w:sz w:val="21"/>
                <w:szCs w:val="21"/>
              </w:rPr>
              <w:t>影响预测</w:t>
            </w:r>
          </w:p>
        </w:tc>
        <w:tc>
          <w:tcPr>
            <w:tcW w:w="941" w:type="pct"/>
            <w:vAlign w:val="center"/>
          </w:tcPr>
          <w:p>
            <w:pPr>
              <w:spacing w:line="240" w:lineRule="auto"/>
              <w:ind w:firstLine="0" w:firstLineChars="0"/>
              <w:jc w:val="center"/>
              <w:rPr>
                <w:color w:val="auto"/>
                <w:sz w:val="21"/>
                <w:szCs w:val="21"/>
              </w:rPr>
            </w:pPr>
            <w:r>
              <w:rPr>
                <w:color w:val="auto"/>
                <w:sz w:val="21"/>
                <w:szCs w:val="21"/>
              </w:rPr>
              <w:t>预测因子</w:t>
            </w:r>
          </w:p>
        </w:tc>
        <w:tc>
          <w:tcPr>
            <w:tcW w:w="3158" w:type="pct"/>
            <w:gridSpan w:val="6"/>
            <w:vAlign w:val="center"/>
          </w:tcPr>
          <w:p>
            <w:pPr>
              <w:spacing w:line="240" w:lineRule="auto"/>
              <w:ind w:firstLine="0" w:firstLineChars="0"/>
              <w:jc w:val="center"/>
              <w:rPr>
                <w:color w:val="auto"/>
                <w:sz w:val="21"/>
                <w:szCs w:val="21"/>
              </w:rPr>
            </w:pPr>
            <w:r>
              <w:rPr>
                <w:color w:val="auto"/>
                <w:sz w:val="21"/>
                <w:szCs w:val="21"/>
              </w:rPr>
              <w:t>石油烃</w:t>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continue"/>
            <w:vAlign w:val="center"/>
          </w:tcPr>
          <w:p>
            <w:pPr>
              <w:spacing w:line="240" w:lineRule="auto"/>
              <w:ind w:firstLine="0" w:firstLineChars="0"/>
              <w:jc w:val="center"/>
              <w:rPr>
                <w:color w:val="auto"/>
                <w:sz w:val="21"/>
                <w:szCs w:val="21"/>
              </w:rPr>
            </w:pPr>
          </w:p>
        </w:tc>
        <w:tc>
          <w:tcPr>
            <w:tcW w:w="941" w:type="pct"/>
            <w:vAlign w:val="center"/>
          </w:tcPr>
          <w:p>
            <w:pPr>
              <w:spacing w:line="240" w:lineRule="auto"/>
              <w:ind w:firstLine="0" w:firstLineChars="0"/>
              <w:jc w:val="center"/>
              <w:rPr>
                <w:color w:val="auto"/>
                <w:sz w:val="21"/>
                <w:szCs w:val="21"/>
              </w:rPr>
            </w:pPr>
            <w:r>
              <w:rPr>
                <w:color w:val="auto"/>
                <w:sz w:val="21"/>
                <w:szCs w:val="21"/>
              </w:rPr>
              <w:t>预测方法</w:t>
            </w:r>
          </w:p>
        </w:tc>
        <w:tc>
          <w:tcPr>
            <w:tcW w:w="3158" w:type="pct"/>
            <w:gridSpan w:val="6"/>
            <w:vAlign w:val="center"/>
          </w:tcPr>
          <w:p>
            <w:pPr>
              <w:spacing w:line="240" w:lineRule="auto"/>
              <w:ind w:firstLine="0" w:firstLineChars="0"/>
              <w:jc w:val="center"/>
              <w:rPr>
                <w:color w:val="auto"/>
                <w:sz w:val="21"/>
                <w:szCs w:val="21"/>
              </w:rPr>
            </w:pPr>
            <w:r>
              <w:rPr>
                <w:color w:val="auto"/>
                <w:sz w:val="21"/>
                <w:szCs w:val="21"/>
              </w:rPr>
              <w:t>附录E</w:t>
            </w:r>
            <w:r>
              <w:rPr>
                <w:b/>
                <w:bCs/>
                <w:color w:val="auto"/>
                <w:sz w:val="16"/>
                <w:szCs w:val="16"/>
                <w:bdr w:val="single" w:color="auto" w:sz="4" w:space="0"/>
              </w:rPr>
              <w:t>√</w:t>
            </w:r>
            <w:r>
              <w:rPr>
                <w:color w:val="auto"/>
                <w:sz w:val="21"/>
                <w:szCs w:val="21"/>
              </w:rPr>
              <w:t>；附录F□；其他（类比分析法 ）</w:t>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continue"/>
            <w:vAlign w:val="center"/>
          </w:tcPr>
          <w:p>
            <w:pPr>
              <w:spacing w:line="240" w:lineRule="auto"/>
              <w:ind w:firstLine="0" w:firstLineChars="0"/>
              <w:jc w:val="center"/>
              <w:rPr>
                <w:color w:val="auto"/>
                <w:sz w:val="21"/>
                <w:szCs w:val="21"/>
              </w:rPr>
            </w:pPr>
          </w:p>
        </w:tc>
        <w:tc>
          <w:tcPr>
            <w:tcW w:w="941" w:type="pct"/>
            <w:vAlign w:val="center"/>
          </w:tcPr>
          <w:p>
            <w:pPr>
              <w:spacing w:line="240" w:lineRule="auto"/>
              <w:ind w:firstLine="0" w:firstLineChars="0"/>
              <w:jc w:val="center"/>
              <w:rPr>
                <w:color w:val="auto"/>
                <w:sz w:val="21"/>
                <w:szCs w:val="21"/>
              </w:rPr>
            </w:pPr>
            <w:r>
              <w:rPr>
                <w:color w:val="auto"/>
                <w:sz w:val="21"/>
                <w:szCs w:val="21"/>
              </w:rPr>
              <w:t>预测分析内容</w:t>
            </w:r>
          </w:p>
        </w:tc>
        <w:tc>
          <w:tcPr>
            <w:tcW w:w="3158" w:type="pct"/>
            <w:gridSpan w:val="6"/>
            <w:vAlign w:val="center"/>
          </w:tcPr>
          <w:p>
            <w:pPr>
              <w:spacing w:line="240" w:lineRule="auto"/>
              <w:ind w:firstLine="0" w:firstLineChars="0"/>
              <w:jc w:val="center"/>
              <w:rPr>
                <w:color w:val="auto"/>
                <w:sz w:val="21"/>
                <w:szCs w:val="21"/>
              </w:rPr>
            </w:pPr>
            <w:r>
              <w:rPr>
                <w:color w:val="auto"/>
                <w:sz w:val="21"/>
                <w:szCs w:val="21"/>
              </w:rPr>
              <w:t>影响范围（较小）；影响程度（较小 ）</w:t>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continue"/>
            <w:vAlign w:val="center"/>
          </w:tcPr>
          <w:p>
            <w:pPr>
              <w:spacing w:line="240" w:lineRule="auto"/>
              <w:ind w:firstLine="0" w:firstLineChars="0"/>
              <w:jc w:val="center"/>
              <w:rPr>
                <w:color w:val="auto"/>
                <w:sz w:val="21"/>
                <w:szCs w:val="21"/>
              </w:rPr>
            </w:pPr>
          </w:p>
        </w:tc>
        <w:tc>
          <w:tcPr>
            <w:tcW w:w="941" w:type="pct"/>
            <w:vAlign w:val="center"/>
          </w:tcPr>
          <w:p>
            <w:pPr>
              <w:spacing w:line="240" w:lineRule="auto"/>
              <w:ind w:firstLine="0" w:firstLineChars="0"/>
              <w:jc w:val="center"/>
              <w:rPr>
                <w:color w:val="auto"/>
                <w:sz w:val="21"/>
                <w:szCs w:val="21"/>
              </w:rPr>
            </w:pPr>
            <w:r>
              <w:rPr>
                <w:color w:val="auto"/>
                <w:sz w:val="21"/>
                <w:szCs w:val="21"/>
              </w:rPr>
              <w:t>预测结论</w:t>
            </w:r>
          </w:p>
        </w:tc>
        <w:tc>
          <w:tcPr>
            <w:tcW w:w="3158" w:type="pct"/>
            <w:gridSpan w:val="6"/>
            <w:vAlign w:val="center"/>
          </w:tcPr>
          <w:p>
            <w:pPr>
              <w:spacing w:line="240" w:lineRule="auto"/>
              <w:ind w:firstLine="0" w:firstLineChars="0"/>
              <w:jc w:val="center"/>
              <w:rPr>
                <w:color w:val="auto"/>
                <w:sz w:val="21"/>
                <w:szCs w:val="21"/>
              </w:rPr>
            </w:pPr>
            <w:r>
              <w:rPr>
                <w:color w:val="auto"/>
                <w:sz w:val="21"/>
                <w:szCs w:val="21"/>
              </w:rPr>
              <w:t>达标结论：a）</w:t>
            </w:r>
            <w:r>
              <w:rPr>
                <w:b/>
                <w:bCs/>
                <w:color w:val="auto"/>
                <w:sz w:val="16"/>
                <w:szCs w:val="16"/>
                <w:bdr w:val="single" w:color="auto" w:sz="4" w:space="0"/>
              </w:rPr>
              <w:t>√</w:t>
            </w:r>
            <w:r>
              <w:rPr>
                <w:color w:val="auto"/>
                <w:sz w:val="21"/>
                <w:szCs w:val="21"/>
              </w:rPr>
              <w:t xml:space="preserve">；b）□；c）□ </w:t>
            </w:r>
          </w:p>
          <w:p>
            <w:pPr>
              <w:spacing w:line="240" w:lineRule="auto"/>
              <w:ind w:firstLine="0" w:firstLineChars="0"/>
              <w:jc w:val="center"/>
              <w:rPr>
                <w:color w:val="auto"/>
                <w:sz w:val="21"/>
                <w:szCs w:val="21"/>
              </w:rPr>
            </w:pPr>
            <w:r>
              <w:rPr>
                <w:color w:val="auto"/>
                <w:sz w:val="21"/>
                <w:szCs w:val="21"/>
              </w:rPr>
              <w:t>不达标结论：a）□；b）□</w:t>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restart"/>
            <w:vAlign w:val="center"/>
          </w:tcPr>
          <w:p>
            <w:pPr>
              <w:spacing w:line="240" w:lineRule="auto"/>
              <w:ind w:firstLine="0" w:firstLineChars="0"/>
              <w:jc w:val="center"/>
              <w:rPr>
                <w:color w:val="auto"/>
                <w:sz w:val="21"/>
                <w:szCs w:val="21"/>
              </w:rPr>
            </w:pPr>
            <w:r>
              <w:rPr>
                <w:color w:val="auto"/>
                <w:sz w:val="21"/>
                <w:szCs w:val="21"/>
              </w:rPr>
              <w:t>防治措施</w:t>
            </w:r>
          </w:p>
        </w:tc>
        <w:tc>
          <w:tcPr>
            <w:tcW w:w="941" w:type="pct"/>
            <w:vAlign w:val="center"/>
          </w:tcPr>
          <w:p>
            <w:pPr>
              <w:spacing w:line="240" w:lineRule="auto"/>
              <w:ind w:firstLine="0" w:firstLineChars="0"/>
              <w:jc w:val="center"/>
              <w:rPr>
                <w:color w:val="auto"/>
                <w:sz w:val="21"/>
                <w:szCs w:val="21"/>
              </w:rPr>
            </w:pPr>
            <w:r>
              <w:rPr>
                <w:color w:val="auto"/>
                <w:sz w:val="21"/>
                <w:szCs w:val="21"/>
              </w:rPr>
              <w:t>防控措施</w:t>
            </w:r>
          </w:p>
        </w:tc>
        <w:tc>
          <w:tcPr>
            <w:tcW w:w="3158" w:type="pct"/>
            <w:gridSpan w:val="6"/>
            <w:vAlign w:val="center"/>
          </w:tcPr>
          <w:p>
            <w:pPr>
              <w:spacing w:line="240" w:lineRule="auto"/>
              <w:ind w:firstLine="0" w:firstLineChars="0"/>
              <w:jc w:val="center"/>
              <w:rPr>
                <w:color w:val="auto"/>
                <w:sz w:val="21"/>
                <w:szCs w:val="21"/>
              </w:rPr>
            </w:pPr>
            <w:r>
              <w:rPr>
                <w:color w:val="auto"/>
                <w:sz w:val="21"/>
                <w:szCs w:val="21"/>
              </w:rPr>
              <w:t>土壤环境质量现状保障□；源头控制</w:t>
            </w:r>
            <w:r>
              <w:rPr>
                <w:b/>
                <w:bCs/>
                <w:color w:val="auto"/>
                <w:sz w:val="16"/>
                <w:szCs w:val="16"/>
                <w:bdr w:val="single" w:color="auto" w:sz="4" w:space="0"/>
              </w:rPr>
              <w:t>√</w:t>
            </w:r>
            <w:r>
              <w:rPr>
                <w:color w:val="auto"/>
                <w:sz w:val="21"/>
                <w:szCs w:val="21"/>
              </w:rPr>
              <w:t>；过程防控</w:t>
            </w:r>
            <w:r>
              <w:rPr>
                <w:b/>
                <w:bCs/>
                <w:color w:val="auto"/>
                <w:sz w:val="16"/>
                <w:szCs w:val="16"/>
                <w:bdr w:val="single" w:color="auto" w:sz="4" w:space="0"/>
              </w:rPr>
              <w:t>√</w:t>
            </w:r>
            <w:r>
              <w:rPr>
                <w:color w:val="auto"/>
                <w:sz w:val="21"/>
                <w:szCs w:val="21"/>
              </w:rPr>
              <w:t>；其他（跟踪监测</w:t>
            </w:r>
            <w:r>
              <w:rPr>
                <w:b/>
                <w:bCs/>
                <w:color w:val="auto"/>
                <w:sz w:val="16"/>
                <w:szCs w:val="16"/>
                <w:bdr w:val="single" w:color="auto" w:sz="4" w:space="0"/>
              </w:rPr>
              <w:t>√</w:t>
            </w:r>
            <w:r>
              <w:rPr>
                <w:color w:val="auto"/>
                <w:sz w:val="21"/>
                <w:szCs w:val="21"/>
              </w:rPr>
              <w:t>）</w:t>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continue"/>
            <w:vAlign w:val="center"/>
          </w:tcPr>
          <w:p>
            <w:pPr>
              <w:spacing w:line="240" w:lineRule="auto"/>
              <w:ind w:firstLine="0" w:firstLineChars="0"/>
              <w:jc w:val="center"/>
              <w:rPr>
                <w:color w:val="auto"/>
                <w:sz w:val="21"/>
                <w:szCs w:val="21"/>
              </w:rPr>
            </w:pPr>
          </w:p>
        </w:tc>
        <w:tc>
          <w:tcPr>
            <w:tcW w:w="941" w:type="pct"/>
            <w:vMerge w:val="restart"/>
            <w:vAlign w:val="center"/>
          </w:tcPr>
          <w:p>
            <w:pPr>
              <w:spacing w:line="240" w:lineRule="auto"/>
              <w:ind w:firstLine="0" w:firstLineChars="0"/>
              <w:jc w:val="center"/>
              <w:rPr>
                <w:color w:val="auto"/>
                <w:sz w:val="21"/>
                <w:szCs w:val="21"/>
              </w:rPr>
            </w:pPr>
            <w:r>
              <w:rPr>
                <w:color w:val="auto"/>
                <w:sz w:val="21"/>
                <w:szCs w:val="21"/>
              </w:rPr>
              <w:t>跟踪监测</w:t>
            </w:r>
          </w:p>
        </w:tc>
        <w:tc>
          <w:tcPr>
            <w:tcW w:w="1052" w:type="pct"/>
            <w:gridSpan w:val="2"/>
            <w:vAlign w:val="center"/>
          </w:tcPr>
          <w:p>
            <w:pPr>
              <w:spacing w:line="240" w:lineRule="auto"/>
              <w:ind w:firstLine="0" w:firstLineChars="0"/>
              <w:jc w:val="center"/>
              <w:rPr>
                <w:color w:val="auto"/>
                <w:sz w:val="21"/>
                <w:szCs w:val="21"/>
              </w:rPr>
            </w:pPr>
            <w:r>
              <w:rPr>
                <w:color w:val="auto"/>
                <w:sz w:val="21"/>
                <w:szCs w:val="21"/>
              </w:rPr>
              <w:t>监测点数</w:t>
            </w:r>
          </w:p>
        </w:tc>
        <w:tc>
          <w:tcPr>
            <w:tcW w:w="913" w:type="pct"/>
            <w:gridSpan w:val="2"/>
            <w:vAlign w:val="center"/>
          </w:tcPr>
          <w:p>
            <w:pPr>
              <w:spacing w:line="240" w:lineRule="auto"/>
              <w:ind w:firstLine="0" w:firstLineChars="0"/>
              <w:jc w:val="center"/>
              <w:rPr>
                <w:color w:val="auto"/>
                <w:sz w:val="21"/>
                <w:szCs w:val="21"/>
              </w:rPr>
            </w:pPr>
            <w:r>
              <w:rPr>
                <w:color w:val="auto"/>
                <w:sz w:val="21"/>
                <w:szCs w:val="21"/>
              </w:rPr>
              <w:t>监测指标</w:t>
            </w:r>
          </w:p>
        </w:tc>
        <w:tc>
          <w:tcPr>
            <w:tcW w:w="1191" w:type="pct"/>
            <w:gridSpan w:val="2"/>
            <w:vAlign w:val="center"/>
          </w:tcPr>
          <w:p>
            <w:pPr>
              <w:spacing w:line="240" w:lineRule="auto"/>
              <w:ind w:firstLine="0" w:firstLineChars="0"/>
              <w:jc w:val="center"/>
              <w:rPr>
                <w:color w:val="auto"/>
                <w:sz w:val="21"/>
                <w:szCs w:val="21"/>
              </w:rPr>
            </w:pPr>
            <w:r>
              <w:rPr>
                <w:color w:val="auto"/>
                <w:sz w:val="21"/>
                <w:szCs w:val="21"/>
              </w:rPr>
              <w:t>监测频次</w:t>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continue"/>
            <w:vAlign w:val="center"/>
          </w:tcPr>
          <w:p>
            <w:pPr>
              <w:spacing w:line="240" w:lineRule="auto"/>
              <w:ind w:firstLine="0" w:firstLineChars="0"/>
              <w:jc w:val="center"/>
              <w:rPr>
                <w:color w:val="auto"/>
                <w:sz w:val="21"/>
                <w:szCs w:val="21"/>
              </w:rPr>
            </w:pPr>
          </w:p>
        </w:tc>
        <w:tc>
          <w:tcPr>
            <w:tcW w:w="941" w:type="pct"/>
            <w:vMerge w:val="continue"/>
            <w:vAlign w:val="center"/>
          </w:tcPr>
          <w:p>
            <w:pPr>
              <w:spacing w:line="240" w:lineRule="auto"/>
              <w:ind w:firstLine="0" w:firstLineChars="0"/>
              <w:jc w:val="center"/>
              <w:rPr>
                <w:color w:val="auto"/>
                <w:sz w:val="21"/>
                <w:szCs w:val="21"/>
              </w:rPr>
            </w:pPr>
          </w:p>
        </w:tc>
        <w:tc>
          <w:tcPr>
            <w:tcW w:w="1052" w:type="pct"/>
            <w:gridSpan w:val="2"/>
            <w:vAlign w:val="center"/>
          </w:tcPr>
          <w:p>
            <w:pPr>
              <w:spacing w:line="240" w:lineRule="auto"/>
              <w:ind w:firstLine="0" w:firstLineChars="0"/>
              <w:jc w:val="center"/>
              <w:rPr>
                <w:color w:val="auto"/>
                <w:sz w:val="21"/>
                <w:szCs w:val="21"/>
              </w:rPr>
            </w:pPr>
            <w:r>
              <w:rPr>
                <w:color w:val="auto"/>
                <w:sz w:val="21"/>
                <w:szCs w:val="21"/>
              </w:rPr>
              <w:t>1</w:t>
            </w:r>
          </w:p>
        </w:tc>
        <w:tc>
          <w:tcPr>
            <w:tcW w:w="913" w:type="pct"/>
            <w:gridSpan w:val="2"/>
            <w:vAlign w:val="center"/>
          </w:tcPr>
          <w:p>
            <w:pPr>
              <w:spacing w:line="240" w:lineRule="auto"/>
              <w:ind w:firstLine="0" w:firstLineChars="0"/>
              <w:jc w:val="center"/>
              <w:rPr>
                <w:color w:val="auto"/>
                <w:sz w:val="21"/>
                <w:szCs w:val="21"/>
              </w:rPr>
            </w:pPr>
            <w:r>
              <w:rPr>
                <w:rFonts w:ascii="Times New Roman" w:hAnsi="Times New Roman" w:eastAsia="宋体" w:cs="Times New Roman"/>
                <w:color w:val="auto"/>
                <w:sz w:val="21"/>
                <w:szCs w:val="21"/>
              </w:rPr>
              <w:t>pH、石油烃</w:t>
            </w:r>
            <w:r>
              <w:rPr>
                <w:rFonts w:hint="eastAsia" w:ascii="Times New Roman" w:hAnsi="Times New Roman" w:eastAsia="宋体" w:cs="Times New Roman"/>
                <w:color w:val="auto"/>
                <w:sz w:val="21"/>
                <w:szCs w:val="21"/>
                <w:lang w:eastAsia="zh-CN"/>
              </w:rPr>
              <w:t>、</w:t>
            </w:r>
            <w:r>
              <w:rPr>
                <w:rFonts w:hint="eastAsia"/>
                <w:color w:val="auto"/>
                <w:sz w:val="21"/>
                <w:szCs w:val="21"/>
              </w:rPr>
              <w:t>钛、锌、铁</w:t>
            </w:r>
            <w:r>
              <w:rPr>
                <w:rFonts w:hint="eastAsia" w:ascii="Times New Roman" w:hAnsi="Times New Roman" w:eastAsia="宋体" w:cs="Times New Roman"/>
                <w:color w:val="auto"/>
                <w:sz w:val="21"/>
                <w:szCs w:val="21"/>
                <w:lang w:val="en-US" w:eastAsia="zh-CN"/>
              </w:rPr>
              <w:t>+常规45项</w:t>
            </w:r>
            <w:r>
              <w:rPr>
                <w:color w:val="auto"/>
                <w:sz w:val="21"/>
                <w:szCs w:val="21"/>
              </w:rPr>
              <w:t>等</w:t>
            </w:r>
          </w:p>
        </w:tc>
        <w:tc>
          <w:tcPr>
            <w:tcW w:w="1191" w:type="pct"/>
            <w:gridSpan w:val="2"/>
            <w:vAlign w:val="center"/>
          </w:tcPr>
          <w:p>
            <w:pPr>
              <w:spacing w:line="240" w:lineRule="auto"/>
              <w:ind w:firstLine="0" w:firstLineChars="0"/>
              <w:jc w:val="center"/>
              <w:rPr>
                <w:color w:val="auto"/>
                <w:sz w:val="21"/>
                <w:szCs w:val="21"/>
              </w:rPr>
            </w:pPr>
            <w:r>
              <w:rPr>
                <w:color w:val="auto"/>
                <w:sz w:val="21"/>
                <w:szCs w:val="21"/>
              </w:rPr>
              <w:t>每5年内开展1次</w:t>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78" w:type="pct"/>
            <w:vMerge w:val="continue"/>
            <w:vAlign w:val="center"/>
          </w:tcPr>
          <w:p>
            <w:pPr>
              <w:spacing w:line="240" w:lineRule="auto"/>
              <w:ind w:firstLine="0" w:firstLineChars="0"/>
              <w:jc w:val="center"/>
              <w:rPr>
                <w:color w:val="auto"/>
                <w:sz w:val="21"/>
                <w:szCs w:val="21"/>
              </w:rPr>
            </w:pPr>
          </w:p>
        </w:tc>
        <w:tc>
          <w:tcPr>
            <w:tcW w:w="941" w:type="pct"/>
            <w:vAlign w:val="center"/>
          </w:tcPr>
          <w:p>
            <w:pPr>
              <w:spacing w:line="240" w:lineRule="auto"/>
              <w:ind w:firstLine="0" w:firstLineChars="0"/>
              <w:jc w:val="center"/>
              <w:rPr>
                <w:color w:val="auto"/>
                <w:sz w:val="21"/>
                <w:szCs w:val="21"/>
              </w:rPr>
            </w:pPr>
            <w:r>
              <w:rPr>
                <w:color w:val="auto"/>
                <w:sz w:val="21"/>
                <w:szCs w:val="21"/>
              </w:rPr>
              <w:t>信息公开指标</w:t>
            </w:r>
          </w:p>
        </w:tc>
        <w:tc>
          <w:tcPr>
            <w:tcW w:w="3158" w:type="pct"/>
            <w:gridSpan w:val="6"/>
            <w:vAlign w:val="center"/>
          </w:tcPr>
          <w:p>
            <w:pPr>
              <w:spacing w:line="240" w:lineRule="auto"/>
              <w:ind w:firstLine="0" w:firstLineChars="0"/>
              <w:jc w:val="center"/>
              <w:rPr>
                <w:color w:val="auto"/>
                <w:sz w:val="21"/>
                <w:szCs w:val="21"/>
              </w:rPr>
            </w:pPr>
            <w:r>
              <w:rPr>
                <w:color w:val="auto"/>
                <w:sz w:val="21"/>
                <w:szCs w:val="21"/>
              </w:rPr>
              <w:t>监测计划、监测结果</w:t>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420" w:type="pct"/>
            <w:gridSpan w:val="2"/>
            <w:vAlign w:val="center"/>
          </w:tcPr>
          <w:p>
            <w:pPr>
              <w:spacing w:line="240" w:lineRule="auto"/>
              <w:ind w:firstLine="0" w:firstLineChars="0"/>
              <w:jc w:val="center"/>
              <w:rPr>
                <w:color w:val="auto"/>
                <w:sz w:val="21"/>
                <w:szCs w:val="21"/>
              </w:rPr>
            </w:pPr>
            <w:r>
              <w:rPr>
                <w:color w:val="auto"/>
                <w:sz w:val="21"/>
                <w:szCs w:val="21"/>
              </w:rPr>
              <w:t>评价结论</w:t>
            </w:r>
          </w:p>
        </w:tc>
        <w:tc>
          <w:tcPr>
            <w:tcW w:w="3158" w:type="pct"/>
            <w:gridSpan w:val="6"/>
            <w:vAlign w:val="center"/>
          </w:tcPr>
          <w:p>
            <w:pPr>
              <w:spacing w:line="240" w:lineRule="auto"/>
              <w:ind w:firstLine="0" w:firstLineChars="0"/>
              <w:jc w:val="center"/>
              <w:rPr>
                <w:color w:val="auto"/>
                <w:sz w:val="21"/>
                <w:szCs w:val="21"/>
              </w:rPr>
            </w:pPr>
            <w:r>
              <w:rPr>
                <w:color w:val="auto"/>
                <w:sz w:val="21"/>
                <w:szCs w:val="21"/>
              </w:rPr>
              <w:t>从土壤环境影响的角度，总结项目建设的可行。</w:t>
            </w:r>
          </w:p>
        </w:tc>
        <w:tc>
          <w:tcPr>
            <w:tcW w:w="421"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9"/>
            <w:vAlign w:val="center"/>
          </w:tcPr>
          <w:p>
            <w:pPr>
              <w:spacing w:line="240" w:lineRule="auto"/>
              <w:ind w:firstLine="420"/>
              <w:jc w:val="left"/>
              <w:rPr>
                <w:color w:val="auto"/>
                <w:sz w:val="21"/>
                <w:szCs w:val="21"/>
              </w:rPr>
            </w:pPr>
            <w:r>
              <w:rPr>
                <w:color w:val="auto"/>
                <w:sz w:val="21"/>
                <w:szCs w:val="21"/>
              </w:rPr>
              <w:t xml:space="preserve">注1：“□”为勾选项，可√；“（ ）”为内容填写项；“备注”为其他补充内容。 </w:t>
            </w:r>
          </w:p>
          <w:p>
            <w:pPr>
              <w:spacing w:line="240" w:lineRule="auto"/>
              <w:ind w:firstLine="420"/>
              <w:jc w:val="left"/>
              <w:rPr>
                <w:color w:val="auto"/>
                <w:sz w:val="21"/>
                <w:szCs w:val="21"/>
              </w:rPr>
            </w:pPr>
            <w:r>
              <w:rPr>
                <w:color w:val="auto"/>
                <w:sz w:val="21"/>
                <w:szCs w:val="21"/>
              </w:rPr>
              <w:t>注2：需要分别开展土壤环境影响评级工作的，分别填写自查表。</w:t>
            </w:r>
          </w:p>
        </w:tc>
      </w:tr>
    </w:tbl>
    <w:p>
      <w:pPr>
        <w:ind w:firstLine="480"/>
        <w:rPr>
          <w:color w:val="auto"/>
        </w:rPr>
        <w:sectPr>
          <w:headerReference r:id="rId45" w:type="default"/>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pPr>
        <w:pStyle w:val="8"/>
        <w:spacing w:before="0" w:beforeLines="0" w:after="0" w:afterLines="0" w:line="360" w:lineRule="auto"/>
        <w:rPr>
          <w:color w:val="auto"/>
        </w:rPr>
      </w:pPr>
      <w:bookmarkStart w:id="340" w:name="_Toc9643"/>
      <w:bookmarkStart w:id="341" w:name="_Toc13624"/>
      <w:r>
        <w:rPr>
          <w:rFonts w:hint="eastAsia"/>
          <w:color w:val="auto"/>
        </w:rPr>
        <w:t>5</w:t>
      </w:r>
      <w:r>
        <w:rPr>
          <w:color w:val="auto"/>
        </w:rPr>
        <w:t>.7绿化方案</w:t>
      </w:r>
      <w:bookmarkEnd w:id="340"/>
      <w:bookmarkEnd w:id="341"/>
    </w:p>
    <w:p>
      <w:pPr>
        <w:ind w:firstLine="480"/>
        <w:rPr>
          <w:color w:val="auto"/>
        </w:rPr>
      </w:pPr>
      <w:r>
        <w:rPr>
          <w:color w:val="auto"/>
        </w:rPr>
        <w:t>为改善生态环境，减少工业企业对周边的环境危害和景观破坏，形成绿色屏障，本项目需通过工业场地的绿化来进行生态恢复、补偿绿化。</w:t>
      </w:r>
    </w:p>
    <w:p>
      <w:pPr>
        <w:ind w:firstLine="480"/>
        <w:rPr>
          <w:color w:val="auto"/>
        </w:rPr>
      </w:pPr>
      <w:r>
        <w:rPr>
          <w:color w:val="auto"/>
        </w:rPr>
        <w:t>厂区内绿化布置采用点、线、面结合的方式，重点在办公区绿化，做到绿化层次分明。主要道路两侧利用乔木、灌木及草本植物组成绿化带，充分发挥对道路两侧的遮荫、美化等方面的作用。</w:t>
      </w:r>
    </w:p>
    <w:p>
      <w:pPr>
        <w:ind w:firstLine="480"/>
        <w:rPr>
          <w:color w:val="auto"/>
        </w:rPr>
      </w:pPr>
      <w:r>
        <w:rPr>
          <w:color w:val="auto"/>
        </w:rPr>
        <w:t>建设单位指定绿化措施负责人，负责厂区绿化措施的日常维护管理，并形成日常管理文件。在起到美化环境的同时，能够有效地覆盖裸露地表，减弱土壤侵蚀，起到保持水土的作用。</w:t>
      </w:r>
    </w:p>
    <w:p>
      <w:pPr>
        <w:ind w:firstLine="480"/>
        <w:rPr>
          <w:color w:val="auto"/>
        </w:rPr>
      </w:pPr>
      <w:r>
        <w:rPr>
          <w:color w:val="auto"/>
        </w:rPr>
        <w:t>本项目根据厂区平面布局，充分考虑景观与实用相结合，绿化植物选择以乔、灌、草结合为原则。建议选择抗污染、吸尘防噪、喜凉爽的植被种类，在工业场地内采取乔、灌、草相结合的立体式防护体系，譬如在工业场地布置大量草皮、绿篱和花卉，并配以有观赏价值的常绿树种进行绿化；在工业场地围墙周围布置绿化带，并以小乔木和灌木互相配合，组成防护林体系，既可以防尘也可以消音，尽可能削除对周边环境的影响。生产区绿化时以有利于生产、不妨碍交通和采光通风为原则，选择耐瘠薄、耐修剪、抗风、抗污染、吸尘、防噪作用大，并符合绿化美化要求的物种。</w:t>
      </w:r>
    </w:p>
    <w:p>
      <w:pPr>
        <w:pStyle w:val="2"/>
        <w:spacing w:after="0"/>
        <w:ind w:firstLine="480"/>
        <w:rPr>
          <w:color w:val="auto"/>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r>
        <w:rPr>
          <w:color w:val="auto"/>
        </w:rPr>
        <w:t>本项目区域绿化点、线、面相结合，树种选择乔、灌、草相结合，不仅起到美化厂区景观的效果，而且可以有效抑制扬尘的排放，为员工创造良好健康的工作环境，对区域景观协调也有积极的作用。</w:t>
      </w:r>
    </w:p>
    <w:p>
      <w:pPr>
        <w:pStyle w:val="8"/>
        <w:spacing w:before="0" w:beforeLines="0" w:after="0" w:afterLines="0" w:line="360" w:lineRule="auto"/>
        <w:rPr>
          <w:color w:val="auto"/>
        </w:rPr>
      </w:pPr>
      <w:bookmarkStart w:id="342" w:name="_Toc4942"/>
      <w:bookmarkStart w:id="343" w:name="_Toc22316"/>
      <w:r>
        <w:rPr>
          <w:rFonts w:hint="eastAsia"/>
          <w:color w:val="auto"/>
        </w:rPr>
        <w:t>5</w:t>
      </w:r>
      <w:r>
        <w:rPr>
          <w:color w:val="auto"/>
        </w:rPr>
        <w:t>.8生态环境影响分析</w:t>
      </w:r>
      <w:bookmarkEnd w:id="342"/>
      <w:bookmarkEnd w:id="343"/>
    </w:p>
    <w:p>
      <w:pPr>
        <w:ind w:firstLine="480"/>
        <w:rPr>
          <w:color w:val="auto"/>
        </w:rPr>
      </w:pPr>
      <w:r>
        <w:rPr>
          <w:color w:val="auto"/>
        </w:rPr>
        <w:t>1、对区域生态功能的影响分析</w:t>
      </w:r>
    </w:p>
    <w:p>
      <w:pPr>
        <w:ind w:firstLine="480"/>
        <w:rPr>
          <w:color w:val="auto"/>
        </w:rPr>
      </w:pPr>
      <w:r>
        <w:rPr>
          <w:rFonts w:hint="eastAsia"/>
          <w:color w:val="auto"/>
        </w:rPr>
        <w:t>拟建项目</w:t>
      </w:r>
      <w:r>
        <w:rPr>
          <w:rFonts w:hint="eastAsia"/>
          <w:color w:val="auto"/>
          <w:lang w:val="en-US" w:eastAsia="zh-CN"/>
        </w:rPr>
        <w:t>租赁现有厂区，不新增用地</w:t>
      </w:r>
      <w:r>
        <w:rPr>
          <w:color w:val="auto"/>
        </w:rPr>
        <w:t>，对生态影响较小。</w:t>
      </w:r>
    </w:p>
    <w:p>
      <w:pPr>
        <w:ind w:firstLine="480"/>
        <w:rPr>
          <w:color w:val="auto"/>
        </w:rPr>
      </w:pPr>
      <w:r>
        <w:rPr>
          <w:color w:val="auto"/>
        </w:rPr>
        <w:t>2、对植物多样性的影响</w:t>
      </w:r>
    </w:p>
    <w:p>
      <w:pPr>
        <w:ind w:firstLine="480"/>
        <w:rPr>
          <w:color w:val="auto"/>
        </w:rPr>
      </w:pPr>
      <w:r>
        <w:rPr>
          <w:rFonts w:hint="eastAsia"/>
          <w:color w:val="auto"/>
        </w:rPr>
        <w:t>拟建项目</w:t>
      </w:r>
      <w:r>
        <w:rPr>
          <w:rFonts w:hint="eastAsia"/>
          <w:color w:val="auto"/>
          <w:lang w:val="en-US" w:eastAsia="zh-CN"/>
        </w:rPr>
        <w:t>租赁现有厂区，不新增用地</w:t>
      </w:r>
      <w:r>
        <w:rPr>
          <w:color w:val="auto"/>
        </w:rPr>
        <w:t>，对生态影响较小。开发所破坏的植物种类均为评价区内外大区域的常见种类，无国家重点保护的珍稀濒危植物和野生植物。因此，项目建设对所依托的大区域植物区系、植被类型的影响不大，不会导致植物种类的消失灭绝，且随着绿化建设，将引进多种观赏、防护等植物，一定程度上增加区域内植物的多样性，植被破坏会得到逐步恢复。</w:t>
      </w:r>
    </w:p>
    <w:p>
      <w:pPr>
        <w:ind w:firstLine="480"/>
        <w:rPr>
          <w:color w:val="auto"/>
        </w:rPr>
      </w:pPr>
      <w:r>
        <w:rPr>
          <w:color w:val="auto"/>
        </w:rPr>
        <w:t>3、生物量分析</w:t>
      </w:r>
    </w:p>
    <w:p>
      <w:pPr>
        <w:ind w:firstLine="480"/>
        <w:rPr>
          <w:color w:val="auto"/>
        </w:rPr>
      </w:pPr>
      <w:r>
        <w:rPr>
          <w:color w:val="auto"/>
        </w:rPr>
        <w:t>项目建设初期，由于原有植被遭到破坏，新种植的乔木、灌木和草本植物还没有得到长成，生物群落的生物量和生长量会有很大降低；项目建成后，人工绿地面积大幅度增加，其生物量和生长量将会有所增加。</w:t>
      </w:r>
    </w:p>
    <w:p>
      <w:pPr>
        <w:ind w:firstLine="480"/>
        <w:rPr>
          <w:color w:val="auto"/>
        </w:rPr>
      </w:pPr>
      <w:r>
        <w:rPr>
          <w:color w:val="auto"/>
        </w:rPr>
        <w:t>4、对生态保护目标的影响</w:t>
      </w:r>
    </w:p>
    <w:p>
      <w:pPr>
        <w:ind w:firstLine="480"/>
        <w:rPr>
          <w:color w:val="auto"/>
        </w:rPr>
      </w:pPr>
      <w:r>
        <w:rPr>
          <w:color w:val="auto"/>
        </w:rPr>
        <w:t>（1）对地表水体的影响</w:t>
      </w:r>
    </w:p>
    <w:p>
      <w:pPr>
        <w:ind w:firstLine="480"/>
        <w:rPr>
          <w:color w:val="auto"/>
        </w:rPr>
      </w:pPr>
      <w:r>
        <w:rPr>
          <w:color w:val="auto"/>
        </w:rPr>
        <w:t>项目外排废水满足标准要求，对区域地表水体的影响较小。</w:t>
      </w:r>
    </w:p>
    <w:p>
      <w:pPr>
        <w:ind w:firstLine="480"/>
        <w:rPr>
          <w:color w:val="auto"/>
        </w:rPr>
      </w:pPr>
      <w:r>
        <w:rPr>
          <w:color w:val="auto"/>
        </w:rPr>
        <w:t>（2）对地下水的影响</w:t>
      </w:r>
    </w:p>
    <w:p>
      <w:pPr>
        <w:ind w:firstLine="480"/>
        <w:rPr>
          <w:color w:val="auto"/>
        </w:rPr>
      </w:pPr>
      <w:r>
        <w:rPr>
          <w:color w:val="auto"/>
        </w:rPr>
        <w:t>根据地下水环境影响评价结论，正常情况下，项目区落实严格的防渗措施，并保证重点污染防治区域防渗层的防渗性能不应低于6.0m厚渗透系数为1.0×10</w:t>
      </w:r>
      <w:r>
        <w:rPr>
          <w:color w:val="auto"/>
          <w:vertAlign w:val="superscript"/>
        </w:rPr>
        <w:t>-7</w:t>
      </w:r>
      <w:r>
        <w:rPr>
          <w:color w:val="auto"/>
        </w:rPr>
        <w:t>cm/s的黏土层的防渗性能，一般防渗区防渗层的防渗性能不应低于1.5m厚防渗系数为1.0×10</w:t>
      </w:r>
      <w:r>
        <w:rPr>
          <w:color w:val="auto"/>
          <w:vertAlign w:val="superscript"/>
        </w:rPr>
        <w:t>-7</w:t>
      </w:r>
      <w:r>
        <w:rPr>
          <w:color w:val="auto"/>
        </w:rPr>
        <w:t>cm/s的粘土层的防渗性能，采取以上的防渗措施后对地下水的影响较小。</w:t>
      </w:r>
    </w:p>
    <w:p>
      <w:pPr>
        <w:ind w:firstLine="480"/>
        <w:rPr>
          <w:color w:val="auto"/>
        </w:rPr>
      </w:pPr>
      <w:r>
        <w:rPr>
          <w:color w:val="auto"/>
        </w:rPr>
        <w:t>（3）项目对周围土壤的影响分析</w:t>
      </w:r>
    </w:p>
    <w:p>
      <w:pPr>
        <w:ind w:firstLine="480"/>
        <w:rPr>
          <w:color w:val="auto"/>
        </w:rPr>
      </w:pPr>
      <w:r>
        <w:rPr>
          <w:color w:val="auto"/>
        </w:rPr>
        <w:t>造成土壤污染的主要途径是污染物的渗透，因此，在做好废气、废水和固体废物的污染防治工作的同时，做好装置区的地面防渗工作，可有效防止对土壤环境的影响。</w:t>
      </w:r>
    </w:p>
    <w:p>
      <w:pPr>
        <w:ind w:firstLine="480"/>
        <w:rPr>
          <w:color w:val="auto"/>
        </w:rPr>
      </w:pPr>
      <w:r>
        <w:rPr>
          <w:color w:val="auto"/>
        </w:rPr>
        <w:t>（4）对区域植被生长发育的影响</w:t>
      </w:r>
    </w:p>
    <w:p>
      <w:pPr>
        <w:ind w:firstLine="480"/>
        <w:rPr>
          <w:color w:val="auto"/>
        </w:rPr>
      </w:pPr>
      <w:r>
        <w:rPr>
          <w:color w:val="auto"/>
        </w:rPr>
        <w:t>项目建成后，将不可避免产生一定的废水，这些废水在事故状态下若排入周围环境，被植物吸收后可能对植物产生不利的影响。</w:t>
      </w:r>
    </w:p>
    <w:p>
      <w:pPr>
        <w:ind w:firstLine="480"/>
        <w:rPr>
          <w:color w:val="auto"/>
        </w:rPr>
      </w:pPr>
      <w:r>
        <w:rPr>
          <w:color w:val="auto"/>
        </w:rPr>
        <w:t>项目应保证废水、废气各项污染物稳定达标排放，能够保证事故废水得到及时有效的处理。采取合理的防范措施后，对区域植物生长影响较小</w:t>
      </w:r>
      <w:r>
        <w:rPr>
          <w:rFonts w:hint="eastAsia"/>
          <w:color w:val="auto"/>
        </w:rPr>
        <w:t>。</w:t>
      </w:r>
    </w:p>
    <w:p>
      <w:pPr>
        <w:pStyle w:val="2"/>
        <w:spacing w:after="0"/>
        <w:ind w:firstLine="480"/>
        <w:rPr>
          <w:color w:val="auto"/>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pPr>
        <w:pStyle w:val="7"/>
        <w:spacing w:before="0" w:beforeLines="0" w:after="0" w:afterLines="0"/>
        <w:rPr>
          <w:rFonts w:cs="Times New Roman"/>
          <w:color w:val="auto"/>
          <w:lang w:val="en-US"/>
        </w:rPr>
      </w:pPr>
      <w:bookmarkStart w:id="344" w:name="_Toc30615"/>
      <w:r>
        <w:rPr>
          <w:rFonts w:hint="eastAsia" w:cs="Times New Roman"/>
          <w:color w:val="auto"/>
          <w:lang w:val="en-US"/>
        </w:rPr>
        <w:t>6 环境风险评价</w:t>
      </w:r>
      <w:bookmarkEnd w:id="344"/>
    </w:p>
    <w:p>
      <w:pPr>
        <w:ind w:firstLine="482" w:firstLineChars="0"/>
        <w:rPr>
          <w:color w:val="auto"/>
        </w:rPr>
      </w:pPr>
      <w:r>
        <w:rPr>
          <w:color w:val="auto"/>
        </w:rPr>
        <w:t>本次评价遵照《关于进一步加强环境影响评价管理防范环境风险的通知》（环发[2012]77号文）和《关于切实加强风险防范严格环境影响评价管理的通知》（环发[2012]98号文）精神，以《建设项目环境风险评价技术导则》（HJ169-2018）为指导，同时结合《山东省人民政府办公厅关</w:t>
      </w:r>
      <w:r>
        <w:rPr>
          <w:rFonts w:hint="eastAsia"/>
          <w:color w:val="auto"/>
        </w:rPr>
        <w:t xml:space="preserve"> 关</w:t>
      </w:r>
      <w:r>
        <w:rPr>
          <w:color w:val="auto"/>
        </w:rPr>
        <w:t>于进一步加强危险化学品安全生产工作的意见》（鲁政办发[2008]68号）相关要求，通过对本项目进行风险识别、源项分析及风险事故影响分析，提出风险防范措施和应急预案，为环境管理提供资料和依据，达到降低危险、减少危害的目的。</w:t>
      </w:r>
    </w:p>
    <w:p>
      <w:pPr>
        <w:pStyle w:val="8"/>
        <w:spacing w:before="0" w:beforeLines="0" w:after="0" w:afterLines="0" w:line="360" w:lineRule="auto"/>
        <w:rPr>
          <w:color w:val="auto"/>
        </w:rPr>
      </w:pPr>
      <w:bookmarkStart w:id="345" w:name="_Toc9072"/>
      <w:r>
        <w:rPr>
          <w:rFonts w:hint="eastAsia"/>
          <w:color w:val="auto"/>
        </w:rPr>
        <w:t>6.1风险调查</w:t>
      </w:r>
      <w:bookmarkEnd w:id="345"/>
    </w:p>
    <w:p>
      <w:pPr>
        <w:pStyle w:val="9"/>
        <w:spacing w:before="0" w:beforeLines="0" w:after="0" w:afterLines="0" w:line="360" w:lineRule="auto"/>
        <w:rPr>
          <w:color w:val="auto"/>
        </w:rPr>
      </w:pPr>
      <w:r>
        <w:rPr>
          <w:rFonts w:hint="eastAsia"/>
          <w:color w:val="auto"/>
        </w:rPr>
        <w:t>6.1.1风险源调查</w:t>
      </w:r>
    </w:p>
    <w:p>
      <w:pPr>
        <w:ind w:firstLine="480"/>
        <w:rPr>
          <w:color w:val="auto"/>
        </w:rPr>
      </w:pPr>
      <w:r>
        <w:rPr>
          <w:rFonts w:hint="eastAsia"/>
          <w:color w:val="auto"/>
        </w:rPr>
        <w:t>拟建项目涉及的环境风险物质为导热油、废润滑油、天然气等，</w:t>
      </w:r>
      <w:r>
        <w:rPr>
          <w:color w:val="auto"/>
        </w:rPr>
        <w:t>根据《建设项目环境风险评价技术导则》（HJ169-2018）附录B，识别出本次风险评价的主要危险物质是</w:t>
      </w:r>
      <w:r>
        <w:rPr>
          <w:rFonts w:hint="eastAsia"/>
          <w:color w:val="auto"/>
        </w:rPr>
        <w:t>导热油。</w:t>
      </w:r>
    </w:p>
    <w:p>
      <w:pPr>
        <w:ind w:firstLine="480"/>
        <w:rPr>
          <w:color w:val="auto"/>
        </w:rPr>
      </w:pPr>
      <w:r>
        <w:rPr>
          <w:rFonts w:hint="eastAsia"/>
          <w:color w:val="auto"/>
        </w:rPr>
        <w:t>本项目危险物质数量和分布情况具体见表6.1-1。</w:t>
      </w:r>
    </w:p>
    <w:p>
      <w:pPr>
        <w:pStyle w:val="2"/>
        <w:spacing w:after="0"/>
        <w:ind w:firstLine="0" w:firstLineChars="0"/>
        <w:jc w:val="center"/>
        <w:rPr>
          <w:rFonts w:eastAsia="黑体"/>
          <w:b/>
          <w:snapToGrid w:val="0"/>
          <w:color w:val="auto"/>
          <w:spacing w:val="10"/>
          <w:kern w:val="0"/>
          <w:sz w:val="21"/>
          <w:szCs w:val="20"/>
        </w:rPr>
      </w:pPr>
      <w:r>
        <w:rPr>
          <w:rFonts w:hint="eastAsia" w:eastAsia="黑体"/>
          <w:b/>
          <w:snapToGrid w:val="0"/>
          <w:color w:val="auto"/>
          <w:spacing w:val="10"/>
          <w:kern w:val="0"/>
          <w:sz w:val="21"/>
          <w:szCs w:val="20"/>
        </w:rPr>
        <w:t>表6.1-1 本项目危险物质数量和分布情况</w:t>
      </w:r>
    </w:p>
    <w:tbl>
      <w:tblPr>
        <w:tblStyle w:val="23"/>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18"/>
        <w:gridCol w:w="2319"/>
        <w:gridCol w:w="2321"/>
        <w:gridCol w:w="23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pPr>
              <w:ind w:firstLine="0" w:firstLineChars="0"/>
              <w:jc w:val="center"/>
              <w:rPr>
                <w:b/>
                <w:bCs/>
                <w:color w:val="auto"/>
                <w:sz w:val="21"/>
                <w:szCs w:val="21"/>
              </w:rPr>
            </w:pPr>
            <w:r>
              <w:rPr>
                <w:b/>
                <w:bCs/>
                <w:color w:val="auto"/>
                <w:sz w:val="21"/>
                <w:szCs w:val="21"/>
              </w:rPr>
              <w:t>物质名称</w:t>
            </w:r>
          </w:p>
        </w:tc>
        <w:tc>
          <w:tcPr>
            <w:tcW w:w="1249" w:type="pct"/>
            <w:tcBorders>
              <w:tl2br w:val="nil"/>
              <w:tr2bl w:val="nil"/>
            </w:tcBorders>
            <w:vAlign w:val="center"/>
          </w:tcPr>
          <w:p>
            <w:pPr>
              <w:ind w:firstLine="0" w:firstLineChars="0"/>
              <w:jc w:val="center"/>
              <w:rPr>
                <w:b/>
                <w:bCs/>
                <w:color w:val="auto"/>
                <w:sz w:val="21"/>
                <w:szCs w:val="21"/>
              </w:rPr>
            </w:pPr>
            <w:r>
              <w:rPr>
                <w:b/>
                <w:bCs/>
                <w:color w:val="auto"/>
                <w:sz w:val="21"/>
                <w:szCs w:val="21"/>
              </w:rPr>
              <w:t>CAS号</w:t>
            </w:r>
          </w:p>
        </w:tc>
        <w:tc>
          <w:tcPr>
            <w:tcW w:w="1250" w:type="pct"/>
            <w:tcBorders>
              <w:tl2br w:val="nil"/>
              <w:tr2bl w:val="nil"/>
            </w:tcBorders>
            <w:vAlign w:val="center"/>
          </w:tcPr>
          <w:p>
            <w:pPr>
              <w:ind w:firstLine="0" w:firstLineChars="0"/>
              <w:jc w:val="center"/>
              <w:rPr>
                <w:b/>
                <w:bCs/>
                <w:color w:val="auto"/>
                <w:sz w:val="21"/>
                <w:szCs w:val="21"/>
              </w:rPr>
            </w:pPr>
            <w:r>
              <w:rPr>
                <w:b/>
                <w:bCs/>
                <w:color w:val="auto"/>
                <w:sz w:val="21"/>
                <w:szCs w:val="21"/>
              </w:rPr>
              <w:t>位置</w:t>
            </w:r>
          </w:p>
        </w:tc>
        <w:tc>
          <w:tcPr>
            <w:tcW w:w="1250" w:type="pct"/>
            <w:tcBorders>
              <w:tl2br w:val="nil"/>
              <w:tr2bl w:val="nil"/>
            </w:tcBorders>
            <w:vAlign w:val="center"/>
          </w:tcPr>
          <w:p>
            <w:pPr>
              <w:ind w:firstLine="0" w:firstLineChars="0"/>
              <w:jc w:val="center"/>
              <w:rPr>
                <w:b/>
                <w:bCs/>
                <w:color w:val="auto"/>
                <w:sz w:val="21"/>
                <w:szCs w:val="21"/>
              </w:rPr>
            </w:pPr>
            <w:r>
              <w:rPr>
                <w:b/>
                <w:bCs/>
                <w:color w:val="auto"/>
                <w:sz w:val="21"/>
                <w:szCs w:val="21"/>
              </w:rPr>
              <w:t>最大贮存量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pPr>
              <w:ind w:firstLine="0" w:firstLineChars="0"/>
              <w:jc w:val="center"/>
              <w:rPr>
                <w:color w:val="auto"/>
                <w:sz w:val="21"/>
                <w:szCs w:val="21"/>
              </w:rPr>
            </w:pPr>
            <w:r>
              <w:rPr>
                <w:rFonts w:hint="eastAsia"/>
                <w:color w:val="auto"/>
                <w:sz w:val="21"/>
                <w:szCs w:val="21"/>
              </w:rPr>
              <w:t>导热油</w:t>
            </w:r>
          </w:p>
        </w:tc>
        <w:tc>
          <w:tcPr>
            <w:tcW w:w="1249" w:type="pct"/>
            <w:tcBorders>
              <w:tl2br w:val="nil"/>
              <w:tr2bl w:val="nil"/>
            </w:tcBorders>
            <w:vAlign w:val="center"/>
          </w:tcPr>
          <w:p>
            <w:pPr>
              <w:ind w:firstLine="0" w:firstLineChars="0"/>
              <w:jc w:val="center"/>
              <w:rPr>
                <w:color w:val="auto"/>
                <w:sz w:val="21"/>
                <w:szCs w:val="21"/>
              </w:rPr>
            </w:pPr>
            <w:r>
              <w:rPr>
                <w:rFonts w:hint="eastAsia"/>
                <w:color w:val="auto"/>
                <w:sz w:val="21"/>
                <w:szCs w:val="21"/>
              </w:rPr>
              <w:t>/</w:t>
            </w:r>
          </w:p>
        </w:tc>
        <w:tc>
          <w:tcPr>
            <w:tcW w:w="1250" w:type="pct"/>
            <w:tcBorders>
              <w:tl2br w:val="nil"/>
              <w:tr2bl w:val="nil"/>
            </w:tcBorders>
            <w:vAlign w:val="center"/>
          </w:tcPr>
          <w:p>
            <w:pPr>
              <w:ind w:firstLine="0" w:firstLineChars="0"/>
              <w:jc w:val="center"/>
              <w:rPr>
                <w:color w:val="auto"/>
                <w:sz w:val="21"/>
                <w:szCs w:val="21"/>
              </w:rPr>
            </w:pPr>
            <w:r>
              <w:rPr>
                <w:color w:val="auto"/>
                <w:sz w:val="21"/>
                <w:szCs w:val="21"/>
              </w:rPr>
              <w:t>锅炉房</w:t>
            </w:r>
          </w:p>
        </w:tc>
        <w:tc>
          <w:tcPr>
            <w:tcW w:w="1250" w:type="pct"/>
            <w:tcBorders>
              <w:tl2br w:val="nil"/>
              <w:tr2bl w:val="nil"/>
            </w:tcBorders>
            <w:vAlign w:val="center"/>
          </w:tcPr>
          <w:p>
            <w:pPr>
              <w:ind w:firstLine="0" w:firstLineChars="0"/>
              <w:jc w:val="center"/>
              <w:rPr>
                <w:color w:val="auto"/>
                <w:sz w:val="21"/>
                <w:szCs w:val="21"/>
              </w:rPr>
            </w:pPr>
            <w:r>
              <w:rPr>
                <w:rFonts w:hint="eastAsia"/>
                <w:color w:val="auto"/>
                <w:sz w:val="21"/>
                <w:szCs w:val="21"/>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pPr>
              <w:ind w:firstLine="0" w:firstLineChars="0"/>
              <w:jc w:val="center"/>
              <w:rPr>
                <w:color w:val="auto"/>
                <w:sz w:val="21"/>
                <w:szCs w:val="21"/>
              </w:rPr>
            </w:pPr>
            <w:r>
              <w:rPr>
                <w:rFonts w:hint="eastAsia"/>
                <w:color w:val="auto"/>
                <w:sz w:val="21"/>
                <w:szCs w:val="21"/>
              </w:rPr>
              <w:t>废</w:t>
            </w:r>
            <w:r>
              <w:rPr>
                <w:color w:val="auto"/>
                <w:sz w:val="21"/>
                <w:szCs w:val="21"/>
              </w:rPr>
              <w:t>润滑油</w:t>
            </w:r>
          </w:p>
        </w:tc>
        <w:tc>
          <w:tcPr>
            <w:tcW w:w="1249" w:type="pct"/>
            <w:tcBorders>
              <w:tl2br w:val="nil"/>
              <w:tr2bl w:val="nil"/>
            </w:tcBorders>
            <w:vAlign w:val="center"/>
          </w:tcPr>
          <w:p>
            <w:pPr>
              <w:ind w:firstLine="0" w:firstLineChars="0"/>
              <w:jc w:val="center"/>
              <w:rPr>
                <w:color w:val="auto"/>
                <w:sz w:val="21"/>
                <w:szCs w:val="21"/>
              </w:rPr>
            </w:pPr>
            <w:r>
              <w:rPr>
                <w:color w:val="auto"/>
                <w:sz w:val="21"/>
                <w:szCs w:val="21"/>
              </w:rPr>
              <w:t>/</w:t>
            </w:r>
          </w:p>
        </w:tc>
        <w:tc>
          <w:tcPr>
            <w:tcW w:w="1250" w:type="pct"/>
            <w:tcBorders>
              <w:tl2br w:val="nil"/>
              <w:tr2bl w:val="nil"/>
            </w:tcBorders>
            <w:vAlign w:val="center"/>
          </w:tcPr>
          <w:p>
            <w:pPr>
              <w:ind w:firstLine="0" w:firstLineChars="0"/>
              <w:jc w:val="center"/>
              <w:rPr>
                <w:color w:val="auto"/>
                <w:sz w:val="21"/>
                <w:szCs w:val="21"/>
              </w:rPr>
            </w:pPr>
            <w:r>
              <w:rPr>
                <w:color w:val="auto"/>
                <w:sz w:val="21"/>
                <w:szCs w:val="21"/>
              </w:rPr>
              <w:t>危废暂存间</w:t>
            </w:r>
          </w:p>
        </w:tc>
        <w:tc>
          <w:tcPr>
            <w:tcW w:w="1250" w:type="pct"/>
            <w:tcBorders>
              <w:tl2br w:val="nil"/>
              <w:tr2bl w:val="nil"/>
            </w:tcBorders>
            <w:vAlign w:val="center"/>
          </w:tcPr>
          <w:p>
            <w:pPr>
              <w:ind w:firstLine="0" w:firstLineChars="0"/>
              <w:jc w:val="center"/>
              <w:rPr>
                <w:color w:val="auto"/>
                <w:sz w:val="21"/>
                <w:szCs w:val="21"/>
              </w:rPr>
            </w:pPr>
            <w:r>
              <w:rPr>
                <w:color w:val="auto"/>
                <w:sz w:val="21"/>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pPr>
              <w:ind w:firstLine="0" w:firstLineChars="0"/>
              <w:jc w:val="center"/>
              <w:rPr>
                <w:color w:val="auto"/>
                <w:sz w:val="21"/>
                <w:szCs w:val="21"/>
              </w:rPr>
            </w:pPr>
            <w:r>
              <w:rPr>
                <w:rFonts w:hint="eastAsia"/>
                <w:color w:val="auto"/>
                <w:sz w:val="21"/>
                <w:szCs w:val="21"/>
              </w:rPr>
              <w:t>甲烷（天然气）</w:t>
            </w:r>
          </w:p>
        </w:tc>
        <w:tc>
          <w:tcPr>
            <w:tcW w:w="1249" w:type="pct"/>
            <w:tcBorders>
              <w:tl2br w:val="nil"/>
              <w:tr2bl w:val="nil"/>
            </w:tcBorders>
            <w:vAlign w:val="center"/>
          </w:tcPr>
          <w:p>
            <w:pPr>
              <w:ind w:firstLine="0" w:firstLineChars="0"/>
              <w:jc w:val="center"/>
              <w:rPr>
                <w:color w:val="auto"/>
                <w:sz w:val="21"/>
                <w:szCs w:val="21"/>
              </w:rPr>
            </w:pPr>
            <w:r>
              <w:rPr>
                <w:rFonts w:hint="eastAsia"/>
                <w:color w:val="auto"/>
                <w:sz w:val="21"/>
                <w:szCs w:val="21"/>
              </w:rPr>
              <w:t>74-82-8</w:t>
            </w:r>
          </w:p>
        </w:tc>
        <w:tc>
          <w:tcPr>
            <w:tcW w:w="1250" w:type="pct"/>
            <w:tcBorders>
              <w:tl2br w:val="nil"/>
              <w:tr2bl w:val="nil"/>
            </w:tcBorders>
            <w:vAlign w:val="center"/>
          </w:tcPr>
          <w:p>
            <w:pPr>
              <w:ind w:firstLine="0" w:firstLineChars="0"/>
              <w:jc w:val="center"/>
              <w:rPr>
                <w:color w:val="auto"/>
                <w:sz w:val="21"/>
                <w:szCs w:val="21"/>
              </w:rPr>
            </w:pPr>
            <w:r>
              <w:rPr>
                <w:color w:val="auto"/>
                <w:sz w:val="21"/>
                <w:szCs w:val="21"/>
              </w:rPr>
              <w:t>锅炉房</w:t>
            </w:r>
          </w:p>
        </w:tc>
        <w:tc>
          <w:tcPr>
            <w:tcW w:w="1250" w:type="pct"/>
            <w:tcBorders>
              <w:tl2br w:val="nil"/>
              <w:tr2bl w:val="nil"/>
            </w:tcBorders>
            <w:vAlign w:val="center"/>
          </w:tcPr>
          <w:p>
            <w:pPr>
              <w:ind w:firstLine="0" w:firstLineChars="0"/>
              <w:jc w:val="center"/>
              <w:rPr>
                <w:rFonts w:hint="default"/>
                <w:color w:val="auto"/>
                <w:sz w:val="21"/>
                <w:szCs w:val="21"/>
                <w:lang w:val="en-US"/>
              </w:rPr>
            </w:pPr>
            <w:r>
              <w:rPr>
                <w:rFonts w:hint="eastAsia"/>
                <w:color w:val="auto"/>
                <w:sz w:val="21"/>
                <w:szCs w:val="21"/>
                <w:lang w:val="en-US" w:eastAsia="zh-CN"/>
              </w:rPr>
              <w:t>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12" w:lineRule="exact"/>
              <w:ind w:firstLine="0" w:firstLineChars="0"/>
              <w:jc w:val="left"/>
              <w:textAlignment w:val="auto"/>
              <w:rPr>
                <w:rFonts w:hint="eastAsia"/>
                <w:color w:val="auto"/>
                <w:sz w:val="21"/>
                <w:szCs w:val="21"/>
              </w:rPr>
            </w:pPr>
            <w:r>
              <w:rPr>
                <w:rFonts w:hint="eastAsia"/>
                <w:color w:val="auto"/>
                <w:sz w:val="21"/>
                <w:szCs w:val="21"/>
                <w:highlight w:val="none"/>
                <w:vertAlign w:val="baseline"/>
                <w:lang w:val="en-US" w:eastAsia="zh-CN"/>
              </w:rPr>
              <w:t>注：天然气的主要成分是甲烷，厂区内天然气管道150m，</w:t>
            </w:r>
            <w:r>
              <w:rPr>
                <w:rFonts w:hint="default" w:ascii="Times New Roman" w:hAnsi="Times New Roman" w:cs="Times New Roman"/>
                <w:color w:val="auto"/>
                <w:sz w:val="21"/>
                <w:szCs w:val="18"/>
                <w:highlight w:val="none"/>
              </w:rPr>
              <w:t>内径0.4m</w:t>
            </w:r>
            <w:r>
              <w:rPr>
                <w:rFonts w:hint="eastAsia" w:ascii="Times New Roman" w:hAnsi="Times New Roman" w:cs="Times New Roman"/>
                <w:color w:val="auto"/>
                <w:sz w:val="21"/>
                <w:szCs w:val="18"/>
                <w:highlight w:val="none"/>
                <w:lang w:eastAsia="zh-CN"/>
              </w:rPr>
              <w:t>，</w:t>
            </w:r>
            <w:r>
              <w:rPr>
                <w:rFonts w:hint="default" w:ascii="Times New Roman" w:hAnsi="Times New Roman" w:cs="Times New Roman"/>
                <w:color w:val="auto"/>
                <w:sz w:val="21"/>
                <w:szCs w:val="18"/>
                <w:highlight w:val="none"/>
              </w:rPr>
              <w:t>8Mpa压力下气态天然气密度5.76 kg/m</w:t>
            </w:r>
            <w:r>
              <w:rPr>
                <w:rFonts w:hint="default" w:ascii="Times New Roman" w:hAnsi="Times New Roman" w:cs="Times New Roman"/>
                <w:color w:val="auto"/>
                <w:sz w:val="21"/>
                <w:szCs w:val="18"/>
                <w:highlight w:val="none"/>
                <w:vertAlign w:val="superscript"/>
              </w:rPr>
              <w:t>3</w:t>
            </w:r>
            <w:r>
              <w:rPr>
                <w:rFonts w:hint="eastAsia" w:ascii="Times New Roman" w:hAnsi="Times New Roman" w:cs="Times New Roman"/>
                <w:color w:val="auto"/>
                <w:sz w:val="21"/>
                <w:szCs w:val="18"/>
                <w:highlight w:val="none"/>
                <w:lang w:eastAsia="zh-CN"/>
              </w:rPr>
              <w:t>，</w:t>
            </w:r>
            <w:r>
              <w:rPr>
                <w:rFonts w:hint="eastAsia" w:ascii="Times New Roman" w:hAnsi="Times New Roman" w:cs="Times New Roman"/>
                <w:color w:val="auto"/>
                <w:sz w:val="21"/>
                <w:szCs w:val="18"/>
                <w:highlight w:val="none"/>
                <w:lang w:val="en-US" w:eastAsia="zh-CN"/>
              </w:rPr>
              <w:t>按照管道天然气在线量折算成甲烷的量进行计算。</w:t>
            </w:r>
          </w:p>
        </w:tc>
      </w:tr>
    </w:tbl>
    <w:p>
      <w:pPr>
        <w:ind w:firstLine="482" w:firstLineChars="0"/>
        <w:rPr>
          <w:color w:val="auto"/>
        </w:rPr>
      </w:pPr>
      <w:r>
        <w:rPr>
          <w:color w:val="auto"/>
        </w:rPr>
        <w:t>本项目物料、产品等物化性质、毒理性质及其危害特性具体见表</w:t>
      </w:r>
      <w:r>
        <w:rPr>
          <w:rFonts w:hint="eastAsia"/>
          <w:color w:val="auto"/>
        </w:rPr>
        <w:t>6.1-2</w:t>
      </w:r>
      <w:r>
        <w:rPr>
          <w:color w:val="auto"/>
        </w:rPr>
        <w:t>～表</w:t>
      </w:r>
      <w:r>
        <w:rPr>
          <w:rFonts w:hint="eastAsia"/>
          <w:color w:val="auto"/>
        </w:rPr>
        <w:t>6.1</w:t>
      </w:r>
      <w:r>
        <w:rPr>
          <w:color w:val="auto"/>
        </w:rPr>
        <w:t>-6。</w:t>
      </w:r>
    </w:p>
    <w:p>
      <w:pPr>
        <w:ind w:firstLine="480"/>
        <w:rPr>
          <w:color w:val="auto"/>
        </w:rPr>
      </w:pPr>
      <w:r>
        <w:rPr>
          <w:rFonts w:hint="eastAsia"/>
          <w:color w:val="auto"/>
        </w:rPr>
        <w:t>1、导热油</w:t>
      </w:r>
    </w:p>
    <w:p>
      <w:pPr>
        <w:pStyle w:val="48"/>
        <w:rPr>
          <w:b/>
          <w:color w:val="auto"/>
        </w:rPr>
      </w:pPr>
      <w:r>
        <w:rPr>
          <w:b/>
          <w:color w:val="auto"/>
        </w:rPr>
        <w:t>表</w:t>
      </w:r>
      <w:r>
        <w:rPr>
          <w:rFonts w:hint="eastAsia"/>
          <w:b/>
          <w:color w:val="auto"/>
        </w:rPr>
        <w:t>6.1</w:t>
      </w:r>
      <w:r>
        <w:rPr>
          <w:b/>
          <w:color w:val="auto"/>
        </w:rPr>
        <w:t>-</w:t>
      </w:r>
      <w:r>
        <w:rPr>
          <w:rFonts w:hint="eastAsia"/>
          <w:b/>
          <w:color w:val="auto"/>
        </w:rPr>
        <w:t>2</w:t>
      </w:r>
      <w:r>
        <w:rPr>
          <w:b/>
          <w:color w:val="auto"/>
        </w:rPr>
        <w:t xml:space="preserve"> </w:t>
      </w:r>
      <w:r>
        <w:rPr>
          <w:rFonts w:hint="eastAsia"/>
          <w:b/>
          <w:color w:val="auto"/>
        </w:rPr>
        <w:t>导热油</w:t>
      </w:r>
      <w:r>
        <w:rPr>
          <w:b/>
          <w:color w:val="auto"/>
        </w:rPr>
        <w:t>的理化性质一览表</w:t>
      </w:r>
    </w:p>
    <w:tbl>
      <w:tblPr>
        <w:tblStyle w:val="22"/>
        <w:tblW w:w="4997" w:type="pct"/>
        <w:tblInd w:w="0" w:type="dxa"/>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1835"/>
        <w:gridCol w:w="2990"/>
        <w:gridCol w:w="2040"/>
        <w:gridCol w:w="2202"/>
      </w:tblGrid>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5000" w:type="pct"/>
            <w:gridSpan w:val="4"/>
            <w:tcBorders>
              <w:bottom w:val="single" w:color="auto" w:sz="4" w:space="0"/>
              <w:right w:val="nil"/>
            </w:tcBorders>
            <w:vAlign w:val="center"/>
          </w:tcPr>
          <w:p>
            <w:pPr>
              <w:spacing w:line="240" w:lineRule="auto"/>
              <w:ind w:firstLine="0" w:firstLineChars="0"/>
              <w:jc w:val="left"/>
              <w:rPr>
                <w:color w:val="auto"/>
                <w:sz w:val="21"/>
                <w:szCs w:val="21"/>
                <w:lang w:bidi="zh-CN"/>
              </w:rPr>
            </w:pPr>
            <w:r>
              <w:rPr>
                <w:rFonts w:hint="eastAsia"/>
                <w:b/>
                <w:bCs/>
                <w:color w:val="auto"/>
                <w:sz w:val="21"/>
                <w:szCs w:val="21"/>
                <w:lang w:bidi="zh-CN"/>
              </w:rPr>
              <w:t>标识</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1012" w:type="pct"/>
            <w:tcBorders>
              <w:top w:val="single" w:color="auto" w:sz="4"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中文名：</w:t>
            </w:r>
          </w:p>
        </w:tc>
        <w:tc>
          <w:tcPr>
            <w:tcW w:w="3987" w:type="pct"/>
            <w:gridSpan w:val="3"/>
            <w:tcBorders>
              <w:top w:val="single" w:color="auto" w:sz="4" w:space="0"/>
              <w:left w:val="single" w:color="000000" w:sz="2" w:space="0"/>
              <w:bottom w:val="single" w:color="000000" w:sz="2" w:space="0"/>
              <w:right w:val="nil"/>
            </w:tcBorders>
            <w:vAlign w:val="center"/>
          </w:tcPr>
          <w:p>
            <w:pPr>
              <w:spacing w:line="240" w:lineRule="auto"/>
              <w:ind w:firstLine="0" w:firstLineChars="0"/>
              <w:jc w:val="center"/>
              <w:rPr>
                <w:color w:val="auto"/>
                <w:sz w:val="21"/>
                <w:szCs w:val="21"/>
                <w:lang w:val="zh-CN" w:bidi="zh-CN"/>
              </w:rPr>
            </w:pPr>
            <w:r>
              <w:rPr>
                <w:rFonts w:hint="eastAsia"/>
                <w:color w:val="auto"/>
                <w:sz w:val="21"/>
                <w:szCs w:val="21"/>
                <w:lang w:bidi="zh-CN"/>
              </w:rPr>
              <w:t>导热油（</w:t>
            </w:r>
            <w:r>
              <w:rPr>
                <w:color w:val="auto"/>
                <w:sz w:val="21"/>
                <w:szCs w:val="21"/>
                <w:lang w:val="zh-CN" w:bidi="zh-CN"/>
              </w:rPr>
              <w:t>高温有机热载体</w:t>
            </w:r>
            <w:r>
              <w:rPr>
                <w:rFonts w:hint="eastAsia"/>
                <w:color w:val="auto"/>
                <w:sz w:val="21"/>
                <w:szCs w:val="21"/>
                <w:lang w:bidi="zh-CN"/>
              </w:rPr>
              <w:t>）</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9" w:hRule="atLeast"/>
        </w:trPr>
        <w:tc>
          <w:tcPr>
            <w:tcW w:w="1012" w:type="pct"/>
            <w:tcBorders>
              <w:top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英文名：</w:t>
            </w:r>
          </w:p>
        </w:tc>
        <w:tc>
          <w:tcPr>
            <w:tcW w:w="3987" w:type="pct"/>
            <w:gridSpan w:val="3"/>
            <w:tcBorders>
              <w:top w:val="single" w:color="000000" w:sz="2" w:space="0"/>
              <w:left w:val="single" w:color="000000" w:sz="2" w:space="0"/>
              <w:bottom w:val="single" w:color="000000" w:sz="2" w:space="0"/>
              <w:right w:val="nil"/>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7" w:hRule="atLeast"/>
        </w:trPr>
        <w:tc>
          <w:tcPr>
            <w:tcW w:w="5000" w:type="pct"/>
            <w:gridSpan w:val="4"/>
            <w:tcBorders>
              <w:top w:val="single" w:color="000000" w:sz="2" w:space="0"/>
              <w:bottom w:val="single" w:color="000000" w:sz="2" w:space="0"/>
              <w:right w:val="nil"/>
            </w:tcBorders>
            <w:vAlign w:val="center"/>
          </w:tcPr>
          <w:p>
            <w:pPr>
              <w:spacing w:line="240" w:lineRule="auto"/>
              <w:ind w:firstLine="0" w:firstLineChars="0"/>
              <w:jc w:val="left"/>
              <w:rPr>
                <w:color w:val="auto"/>
                <w:sz w:val="21"/>
                <w:szCs w:val="21"/>
                <w:lang w:val="zh-CN" w:bidi="zh-CN"/>
              </w:rPr>
            </w:pPr>
            <w:r>
              <w:rPr>
                <w:rFonts w:hint="eastAsia"/>
                <w:b/>
                <w:bCs/>
                <w:color w:val="auto"/>
                <w:sz w:val="21"/>
                <w:szCs w:val="21"/>
                <w:lang w:bidi="zh-CN"/>
              </w:rPr>
              <w:t>理化性质</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7" w:hRule="atLeast"/>
        </w:trPr>
        <w:tc>
          <w:tcPr>
            <w:tcW w:w="1012" w:type="pct"/>
            <w:tcBorders>
              <w:top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外观与性状：</w:t>
            </w:r>
          </w:p>
        </w:tc>
        <w:tc>
          <w:tcPr>
            <w:tcW w:w="3987" w:type="pct"/>
            <w:gridSpan w:val="3"/>
            <w:tcBorders>
              <w:top w:val="single" w:color="000000" w:sz="2" w:space="0"/>
              <w:left w:val="single" w:color="000000" w:sz="2" w:space="0"/>
              <w:bottom w:val="single" w:color="000000" w:sz="2" w:space="0"/>
              <w:right w:val="nil"/>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琥珀色，室温下液体</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9" w:hRule="atLeast"/>
        </w:trPr>
        <w:tc>
          <w:tcPr>
            <w:tcW w:w="1012" w:type="pct"/>
            <w:tcBorders>
              <w:top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熔点(℃)：</w:t>
            </w:r>
          </w:p>
        </w:tc>
        <w:tc>
          <w:tcPr>
            <w:tcW w:w="1649" w:type="pct"/>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w:t>
            </w:r>
          </w:p>
        </w:tc>
        <w:tc>
          <w:tcPr>
            <w:tcW w:w="1125" w:type="pct"/>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沸点(℃)：</w:t>
            </w:r>
          </w:p>
        </w:tc>
        <w:tc>
          <w:tcPr>
            <w:tcW w:w="1212" w:type="pct"/>
            <w:tcBorders>
              <w:top w:val="single" w:color="000000" w:sz="2" w:space="0"/>
              <w:left w:val="single" w:color="000000" w:sz="2" w:space="0"/>
              <w:bottom w:val="single" w:color="000000" w:sz="2" w:space="0"/>
              <w:right w:val="nil"/>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&gt; 280 °C</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1012" w:type="pct"/>
            <w:tcBorders>
              <w:top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相对密度(水=1)：</w:t>
            </w:r>
          </w:p>
        </w:tc>
        <w:tc>
          <w:tcPr>
            <w:tcW w:w="1649" w:type="pct"/>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890 kg/m</w:t>
            </w:r>
            <w:r>
              <w:rPr>
                <w:color w:val="auto"/>
                <w:sz w:val="21"/>
                <w:szCs w:val="21"/>
                <w:vertAlign w:val="superscript"/>
                <w:lang w:val="zh-CN" w:bidi="zh-CN"/>
              </w:rPr>
              <w:t>3</w:t>
            </w:r>
            <w:r>
              <w:rPr>
                <w:color w:val="auto"/>
                <w:sz w:val="21"/>
                <w:szCs w:val="21"/>
                <w:lang w:val="zh-CN" w:bidi="zh-CN"/>
              </w:rPr>
              <w:t>（15</w:t>
            </w:r>
            <w:r>
              <w:rPr>
                <w:color w:val="auto"/>
                <w:spacing w:val="51"/>
                <w:sz w:val="21"/>
                <w:szCs w:val="21"/>
                <w:lang w:val="zh-CN" w:bidi="zh-CN"/>
              </w:rPr>
              <w:t xml:space="preserve"> </w:t>
            </w:r>
            <w:r>
              <w:rPr>
                <w:color w:val="auto"/>
                <w:sz w:val="21"/>
                <w:szCs w:val="21"/>
                <w:lang w:val="zh-CN" w:bidi="zh-CN"/>
              </w:rPr>
              <w:t>℃）</w:t>
            </w:r>
          </w:p>
        </w:tc>
        <w:tc>
          <w:tcPr>
            <w:tcW w:w="1125" w:type="pct"/>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相对密度(空气=1)：</w:t>
            </w:r>
          </w:p>
        </w:tc>
        <w:tc>
          <w:tcPr>
            <w:tcW w:w="1212" w:type="pct"/>
            <w:tcBorders>
              <w:top w:val="single" w:color="000000" w:sz="2" w:space="0"/>
              <w:left w:val="single" w:color="000000" w:sz="2" w:space="0"/>
              <w:bottom w:val="single" w:color="000000" w:sz="2" w:space="0"/>
              <w:right w:val="nil"/>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&gt; 1</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9" w:hRule="atLeast"/>
        </w:trPr>
        <w:tc>
          <w:tcPr>
            <w:tcW w:w="1012" w:type="pct"/>
            <w:tcBorders>
              <w:top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饱和蒸汽压(</w:t>
            </w:r>
            <w:r>
              <w:rPr>
                <w:rFonts w:hint="eastAsia"/>
                <w:color w:val="auto"/>
                <w:sz w:val="21"/>
                <w:szCs w:val="21"/>
                <w:lang w:val="zh-CN" w:bidi="zh-CN"/>
              </w:rPr>
              <w:t>kPa</w:t>
            </w:r>
            <w:r>
              <w:rPr>
                <w:color w:val="auto"/>
                <w:sz w:val="21"/>
                <w:szCs w:val="21"/>
                <w:lang w:val="zh-CN" w:bidi="zh-CN"/>
              </w:rPr>
              <w:t>)：</w:t>
            </w:r>
          </w:p>
        </w:tc>
        <w:tc>
          <w:tcPr>
            <w:tcW w:w="1649" w:type="pct"/>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&lt; 0.5 Pa（20℃）</w:t>
            </w:r>
          </w:p>
        </w:tc>
        <w:tc>
          <w:tcPr>
            <w:tcW w:w="1125" w:type="pct"/>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溶解性：</w:t>
            </w:r>
          </w:p>
        </w:tc>
        <w:tc>
          <w:tcPr>
            <w:tcW w:w="1212" w:type="pct"/>
            <w:tcBorders>
              <w:top w:val="single" w:color="000000" w:sz="2" w:space="0"/>
              <w:left w:val="single" w:color="000000" w:sz="2" w:space="0"/>
              <w:bottom w:val="single" w:color="000000" w:sz="2" w:space="0"/>
              <w:right w:val="nil"/>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可忽略</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1012" w:type="pct"/>
            <w:tcBorders>
              <w:top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临界温度(℃)：</w:t>
            </w:r>
          </w:p>
        </w:tc>
        <w:tc>
          <w:tcPr>
            <w:tcW w:w="1649" w:type="pct"/>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w:t>
            </w:r>
          </w:p>
        </w:tc>
        <w:tc>
          <w:tcPr>
            <w:tcW w:w="1125" w:type="pct"/>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临界压力(MPa)：</w:t>
            </w:r>
          </w:p>
        </w:tc>
        <w:tc>
          <w:tcPr>
            <w:tcW w:w="1212" w:type="pct"/>
            <w:tcBorders>
              <w:top w:val="single" w:color="000000" w:sz="2" w:space="0"/>
              <w:left w:val="single" w:color="000000" w:sz="2" w:space="0"/>
              <w:bottom w:val="single" w:color="000000" w:sz="2" w:space="0"/>
              <w:right w:val="nil"/>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9" w:hRule="atLeast"/>
        </w:trPr>
        <w:tc>
          <w:tcPr>
            <w:tcW w:w="1012" w:type="pct"/>
            <w:tcBorders>
              <w:top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燃烧热(kj/mol)：</w:t>
            </w:r>
          </w:p>
        </w:tc>
        <w:tc>
          <w:tcPr>
            <w:tcW w:w="3987" w:type="pct"/>
            <w:gridSpan w:val="3"/>
            <w:tcBorders>
              <w:top w:val="single" w:color="000000" w:sz="2" w:space="0"/>
              <w:left w:val="single" w:color="000000" w:sz="2" w:space="0"/>
              <w:bottom w:val="single" w:color="000000" w:sz="2" w:space="0"/>
              <w:right w:val="nil"/>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8" w:hRule="atLeast"/>
        </w:trPr>
        <w:tc>
          <w:tcPr>
            <w:tcW w:w="5000" w:type="pct"/>
            <w:gridSpan w:val="4"/>
            <w:tcBorders>
              <w:top w:val="single" w:color="000000" w:sz="2" w:space="0"/>
              <w:bottom w:val="single" w:color="000000" w:sz="2" w:space="0"/>
              <w:right w:val="nil"/>
            </w:tcBorders>
            <w:vAlign w:val="center"/>
          </w:tcPr>
          <w:p>
            <w:pPr>
              <w:spacing w:line="240" w:lineRule="auto"/>
              <w:ind w:firstLine="0" w:firstLineChars="0"/>
              <w:jc w:val="left"/>
              <w:rPr>
                <w:color w:val="auto"/>
                <w:sz w:val="21"/>
                <w:szCs w:val="21"/>
                <w:lang w:val="zh-CN" w:bidi="zh-CN"/>
              </w:rPr>
            </w:pPr>
            <w:r>
              <w:rPr>
                <w:rFonts w:hint="eastAsia"/>
                <w:b/>
                <w:bCs/>
                <w:color w:val="auto"/>
                <w:sz w:val="21"/>
                <w:szCs w:val="21"/>
                <w:lang w:bidi="zh-CN"/>
              </w:rPr>
              <w:t>燃烧爆炸</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8" w:hRule="atLeast"/>
        </w:trPr>
        <w:tc>
          <w:tcPr>
            <w:tcW w:w="1012" w:type="pct"/>
            <w:tcBorders>
              <w:top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避免接触的条件：</w:t>
            </w:r>
          </w:p>
        </w:tc>
        <w:tc>
          <w:tcPr>
            <w:tcW w:w="3987" w:type="pct"/>
            <w:gridSpan w:val="3"/>
            <w:tcBorders>
              <w:top w:val="single" w:color="000000" w:sz="2" w:space="0"/>
              <w:left w:val="single" w:color="000000" w:sz="2" w:space="0"/>
              <w:bottom w:val="single" w:color="000000" w:sz="2" w:space="0"/>
              <w:right w:val="nil"/>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极端温度及阳光直晒</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4" w:hRule="atLeast"/>
        </w:trPr>
        <w:tc>
          <w:tcPr>
            <w:tcW w:w="1012" w:type="pct"/>
            <w:tcBorders>
              <w:top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燃烧性：</w:t>
            </w:r>
          </w:p>
        </w:tc>
        <w:tc>
          <w:tcPr>
            <w:tcW w:w="1649" w:type="pct"/>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未被评为可燃物，但会燃烧。</w:t>
            </w:r>
          </w:p>
        </w:tc>
        <w:tc>
          <w:tcPr>
            <w:tcW w:w="1125" w:type="pct"/>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火灾危险类别：</w:t>
            </w:r>
          </w:p>
        </w:tc>
        <w:tc>
          <w:tcPr>
            <w:tcW w:w="1212" w:type="pct"/>
            <w:tcBorders>
              <w:top w:val="single" w:color="000000" w:sz="2" w:space="0"/>
              <w:left w:val="single" w:color="000000" w:sz="2" w:space="0"/>
              <w:bottom w:val="single" w:color="000000" w:sz="2" w:space="0"/>
              <w:right w:val="nil"/>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5" w:hRule="atLeast"/>
        </w:trPr>
        <w:tc>
          <w:tcPr>
            <w:tcW w:w="1012" w:type="pct"/>
            <w:tcBorders>
              <w:top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闪点(℃)：</w:t>
            </w:r>
          </w:p>
        </w:tc>
        <w:tc>
          <w:tcPr>
            <w:tcW w:w="1649" w:type="pct"/>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216 °C</w:t>
            </w:r>
          </w:p>
        </w:tc>
        <w:tc>
          <w:tcPr>
            <w:tcW w:w="1125" w:type="pct"/>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自燃温度(℃)：</w:t>
            </w:r>
          </w:p>
        </w:tc>
        <w:tc>
          <w:tcPr>
            <w:tcW w:w="1212" w:type="pct"/>
            <w:tcBorders>
              <w:top w:val="single" w:color="000000" w:sz="2" w:space="0"/>
              <w:left w:val="single" w:color="000000" w:sz="2" w:space="0"/>
              <w:bottom w:val="single" w:color="000000" w:sz="2" w:space="0"/>
              <w:right w:val="nil"/>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&gt; 320 °C</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7" w:hRule="atLeast"/>
        </w:trPr>
        <w:tc>
          <w:tcPr>
            <w:tcW w:w="1012" w:type="pct"/>
            <w:tcBorders>
              <w:top w:val="single" w:color="000000" w:sz="2" w:space="0"/>
              <w:bottom w:val="single" w:color="auto" w:sz="4"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爆炸下限(V%)：</w:t>
            </w:r>
          </w:p>
        </w:tc>
        <w:tc>
          <w:tcPr>
            <w:tcW w:w="1649" w:type="pct"/>
            <w:tcBorders>
              <w:top w:val="single" w:color="000000" w:sz="2" w:space="0"/>
              <w:left w:val="single" w:color="000000" w:sz="2" w:space="0"/>
              <w:bottom w:val="single" w:color="auto" w:sz="4"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w:t>
            </w:r>
          </w:p>
        </w:tc>
        <w:tc>
          <w:tcPr>
            <w:tcW w:w="1125" w:type="pct"/>
            <w:tcBorders>
              <w:top w:val="single" w:color="000000" w:sz="2" w:space="0"/>
              <w:left w:val="single" w:color="000000" w:sz="2" w:space="0"/>
              <w:bottom w:val="single" w:color="auto" w:sz="4"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爆炸上限(V%)：</w:t>
            </w:r>
          </w:p>
        </w:tc>
        <w:tc>
          <w:tcPr>
            <w:tcW w:w="1212" w:type="pct"/>
            <w:tcBorders>
              <w:top w:val="single" w:color="000000" w:sz="2" w:space="0"/>
              <w:left w:val="single" w:color="000000" w:sz="2" w:space="0"/>
              <w:bottom w:val="single" w:color="auto" w:sz="4" w:space="0"/>
              <w:right w:val="nil"/>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5000" w:type="pct"/>
            <w:gridSpan w:val="4"/>
            <w:tcBorders>
              <w:top w:val="single" w:color="auto" w:sz="4" w:space="0"/>
              <w:bottom w:val="single" w:color="000000" w:sz="2" w:space="0"/>
              <w:right w:val="nil"/>
            </w:tcBorders>
            <w:vAlign w:val="center"/>
          </w:tcPr>
          <w:p>
            <w:pPr>
              <w:spacing w:line="240" w:lineRule="auto"/>
              <w:ind w:firstLine="0" w:firstLineChars="0"/>
              <w:jc w:val="left"/>
              <w:rPr>
                <w:color w:val="auto"/>
                <w:sz w:val="21"/>
                <w:szCs w:val="21"/>
                <w:lang w:val="zh-CN" w:bidi="zh-CN"/>
              </w:rPr>
            </w:pPr>
            <w:r>
              <w:rPr>
                <w:rFonts w:hint="eastAsia"/>
                <w:b/>
                <w:bCs/>
                <w:color w:val="auto"/>
                <w:sz w:val="21"/>
                <w:szCs w:val="21"/>
                <w:lang w:bidi="zh-CN"/>
              </w:rPr>
              <w:t>危险性</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17" w:hRule="atLeast"/>
        </w:trPr>
        <w:tc>
          <w:tcPr>
            <w:tcW w:w="1012" w:type="pct"/>
            <w:tcBorders>
              <w:top w:val="single" w:color="auto" w:sz="4"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燃烧(分解)产物：</w:t>
            </w:r>
          </w:p>
        </w:tc>
        <w:tc>
          <w:tcPr>
            <w:tcW w:w="1649" w:type="pct"/>
            <w:tcBorders>
              <w:top w:val="single" w:color="auto" w:sz="4" w:space="0"/>
              <w:left w:val="single" w:color="000000" w:sz="2" w:space="0"/>
              <w:bottom w:val="single" w:color="000000" w:sz="2" w:space="0"/>
              <w:right w:val="single" w:color="000000" w:sz="2" w:space="0"/>
            </w:tcBorders>
            <w:vAlign w:val="center"/>
          </w:tcPr>
          <w:p>
            <w:pPr>
              <w:spacing w:line="240" w:lineRule="auto"/>
              <w:ind w:firstLine="0" w:firstLineChars="0"/>
              <w:rPr>
                <w:color w:val="auto"/>
                <w:sz w:val="21"/>
                <w:szCs w:val="21"/>
                <w:lang w:val="zh-CN" w:bidi="zh-CN"/>
              </w:rPr>
            </w:pPr>
            <w:r>
              <w:rPr>
                <w:color w:val="auto"/>
                <w:sz w:val="21"/>
                <w:szCs w:val="21"/>
                <w:lang w:val="zh-CN" w:bidi="zh-CN"/>
              </w:rPr>
              <w:t>气载固体与液体微粒及气体（烟）的复杂混合物。一氧化碳。</w:t>
            </w:r>
          </w:p>
        </w:tc>
        <w:tc>
          <w:tcPr>
            <w:tcW w:w="1125" w:type="pct"/>
            <w:tcBorders>
              <w:top w:val="single" w:color="auto" w:sz="4" w:space="0"/>
              <w:left w:val="single" w:color="000000" w:sz="2" w:space="0"/>
              <w:bottom w:val="single" w:color="000000" w:sz="2" w:space="0"/>
              <w:right w:val="single" w:color="000000" w:sz="2" w:space="0"/>
            </w:tcBorders>
            <w:vAlign w:val="center"/>
          </w:tcPr>
          <w:p>
            <w:pPr>
              <w:spacing w:line="240" w:lineRule="auto"/>
              <w:ind w:firstLine="0" w:firstLineChars="0"/>
              <w:rPr>
                <w:color w:val="auto"/>
                <w:sz w:val="21"/>
                <w:szCs w:val="21"/>
                <w:lang w:val="zh-CN" w:bidi="zh-CN"/>
              </w:rPr>
            </w:pPr>
            <w:r>
              <w:rPr>
                <w:color w:val="auto"/>
                <w:sz w:val="21"/>
                <w:szCs w:val="21"/>
                <w:lang w:val="zh-CN" w:bidi="zh-CN"/>
              </w:rPr>
              <w:t>禁忌物：</w:t>
            </w:r>
          </w:p>
        </w:tc>
        <w:tc>
          <w:tcPr>
            <w:tcW w:w="1212" w:type="pct"/>
            <w:tcBorders>
              <w:top w:val="single" w:color="auto" w:sz="4" w:space="0"/>
              <w:left w:val="single" w:color="000000" w:sz="2" w:space="0"/>
              <w:bottom w:val="single" w:color="000000" w:sz="2" w:space="0"/>
              <w:right w:val="nil"/>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强氧化剂</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1012" w:type="pct"/>
            <w:tcBorders>
              <w:top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灭火方法：</w:t>
            </w:r>
          </w:p>
        </w:tc>
        <w:tc>
          <w:tcPr>
            <w:tcW w:w="3987" w:type="pct"/>
            <w:gridSpan w:val="3"/>
            <w:tcBorders>
              <w:top w:val="single" w:color="000000" w:sz="2" w:space="0"/>
              <w:left w:val="single" w:color="000000" w:sz="2" w:space="0"/>
              <w:bottom w:val="single" w:color="000000" w:sz="2" w:space="0"/>
              <w:right w:val="nil"/>
            </w:tcBorders>
            <w:vAlign w:val="center"/>
          </w:tcPr>
          <w:p>
            <w:pPr>
              <w:spacing w:line="240" w:lineRule="auto"/>
              <w:ind w:firstLine="0" w:firstLineChars="0"/>
              <w:rPr>
                <w:color w:val="auto"/>
                <w:sz w:val="21"/>
                <w:szCs w:val="21"/>
                <w:lang w:val="zh-CN" w:bidi="zh-CN"/>
              </w:rPr>
            </w:pPr>
            <w:r>
              <w:rPr>
                <w:color w:val="auto"/>
                <w:sz w:val="21"/>
                <w:szCs w:val="21"/>
                <w:lang w:val="zh-CN" w:bidi="zh-CN"/>
              </w:rPr>
              <w:t>泡沫，洒水或喷雾。干化学灭火粉、二氧化碳、沙或泥土仅宜用于小规模火灾。</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5000" w:type="pct"/>
            <w:gridSpan w:val="4"/>
            <w:tcBorders>
              <w:top w:val="single" w:color="000000" w:sz="2" w:space="0"/>
              <w:bottom w:val="single" w:color="000000" w:sz="2" w:space="0"/>
              <w:right w:val="nil"/>
            </w:tcBorders>
            <w:vAlign w:val="center"/>
          </w:tcPr>
          <w:p>
            <w:pPr>
              <w:spacing w:line="240" w:lineRule="auto"/>
              <w:ind w:firstLine="362"/>
              <w:rPr>
                <w:b/>
                <w:bCs/>
                <w:color w:val="auto"/>
                <w:spacing w:val="-15"/>
                <w:sz w:val="21"/>
                <w:szCs w:val="21"/>
                <w:lang w:bidi="zh-CN"/>
              </w:rPr>
            </w:pPr>
            <w:r>
              <w:rPr>
                <w:rFonts w:hint="eastAsia"/>
                <w:b/>
                <w:bCs/>
                <w:color w:val="auto"/>
                <w:spacing w:val="-15"/>
                <w:sz w:val="21"/>
                <w:szCs w:val="21"/>
                <w:lang w:bidi="zh-CN"/>
              </w:rPr>
              <w:t>储运注意事项</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5000" w:type="pct"/>
            <w:gridSpan w:val="4"/>
            <w:tcBorders>
              <w:top w:val="single" w:color="000000" w:sz="2" w:space="0"/>
              <w:bottom w:val="single" w:color="000000" w:sz="2" w:space="0"/>
              <w:right w:val="nil"/>
            </w:tcBorders>
            <w:vAlign w:val="center"/>
          </w:tcPr>
          <w:p>
            <w:pPr>
              <w:spacing w:line="240" w:lineRule="auto"/>
              <w:ind w:firstLine="0" w:firstLineChars="0"/>
              <w:rPr>
                <w:color w:val="auto"/>
                <w:sz w:val="21"/>
                <w:szCs w:val="21"/>
                <w:lang w:val="zh-CN" w:bidi="zh-CN"/>
              </w:rPr>
            </w:pPr>
            <w:r>
              <w:rPr>
                <w:color w:val="auto"/>
                <w:spacing w:val="-15"/>
                <w:sz w:val="21"/>
                <w:szCs w:val="21"/>
                <w:lang w:val="zh-CN" w:bidi="zh-CN"/>
              </w:rPr>
              <w:t>密闭容器，放在凉爽、通风良好的地方</w:t>
            </w:r>
            <w:r>
              <w:rPr>
                <w:color w:val="auto"/>
                <w:sz w:val="21"/>
                <w:szCs w:val="21"/>
                <w:lang w:val="zh-CN" w:bidi="zh-CN"/>
              </w:rPr>
              <w:t>,</w:t>
            </w:r>
            <w:r>
              <w:rPr>
                <w:color w:val="auto"/>
                <w:spacing w:val="-1"/>
                <w:sz w:val="21"/>
                <w:szCs w:val="21"/>
                <w:lang w:val="zh-CN" w:bidi="zh-CN"/>
              </w:rPr>
              <w:t>使用适当加注标签及可封闭的容器。</w:t>
            </w:r>
            <w:r>
              <w:rPr>
                <w:color w:val="auto"/>
                <w:sz w:val="21"/>
                <w:szCs w:val="21"/>
                <w:lang w:val="zh-CN" w:bidi="zh-CN"/>
              </w:rPr>
              <w:t>储存温度：长期储存（3 个月以上）-15～50℃；短期储存-20～60℃。</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5000" w:type="pct"/>
            <w:gridSpan w:val="4"/>
            <w:tcBorders>
              <w:top w:val="single" w:color="000000" w:sz="2" w:space="0"/>
              <w:bottom w:val="single" w:color="000000" w:sz="2" w:space="0"/>
              <w:right w:val="nil"/>
            </w:tcBorders>
            <w:vAlign w:val="center"/>
          </w:tcPr>
          <w:p>
            <w:pPr>
              <w:spacing w:line="240" w:lineRule="auto"/>
              <w:ind w:firstLine="0" w:firstLineChars="0"/>
              <w:jc w:val="left"/>
              <w:rPr>
                <w:b/>
                <w:bCs/>
                <w:color w:val="auto"/>
                <w:spacing w:val="-15"/>
                <w:sz w:val="21"/>
                <w:szCs w:val="21"/>
                <w:lang w:bidi="zh-CN"/>
              </w:rPr>
            </w:pPr>
            <w:r>
              <w:rPr>
                <w:rFonts w:hint="eastAsia"/>
                <w:b/>
                <w:bCs/>
                <w:color w:val="auto"/>
                <w:spacing w:val="-15"/>
                <w:sz w:val="21"/>
                <w:szCs w:val="21"/>
                <w:lang w:bidi="zh-CN"/>
              </w:rPr>
              <w:t>毒性危害性</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1012" w:type="pct"/>
            <w:tcBorders>
              <w:top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接触限值：</w:t>
            </w:r>
          </w:p>
        </w:tc>
        <w:tc>
          <w:tcPr>
            <w:tcW w:w="3987" w:type="pct"/>
            <w:gridSpan w:val="3"/>
            <w:tcBorders>
              <w:top w:val="single" w:color="000000" w:sz="2" w:space="0"/>
              <w:left w:val="single" w:color="000000" w:sz="2" w:space="0"/>
              <w:bottom w:val="single" w:color="000000" w:sz="2" w:space="0"/>
              <w:right w:val="nil"/>
            </w:tcBorders>
            <w:vAlign w:val="center"/>
          </w:tcPr>
          <w:p>
            <w:pPr>
              <w:spacing w:line="240" w:lineRule="auto"/>
              <w:ind w:firstLine="0" w:firstLineChars="0"/>
              <w:rPr>
                <w:color w:val="auto"/>
                <w:sz w:val="21"/>
                <w:szCs w:val="21"/>
                <w:lang w:val="zh-CN" w:bidi="zh-CN"/>
              </w:rPr>
            </w:pPr>
            <w:r>
              <w:rPr>
                <w:color w:val="auto"/>
                <w:sz w:val="21"/>
                <w:szCs w:val="21"/>
                <w:lang w:val="zh-CN" w:bidi="zh-CN"/>
              </w:rPr>
              <w:t>TWA：5mg/m</w:t>
            </w:r>
            <w:r>
              <w:rPr>
                <w:color w:val="auto"/>
                <w:sz w:val="21"/>
                <w:szCs w:val="21"/>
                <w:vertAlign w:val="superscript"/>
                <w:lang w:val="zh-CN" w:bidi="zh-CN"/>
              </w:rPr>
              <w:t>3</w:t>
            </w:r>
            <w:r>
              <w:rPr>
                <w:color w:val="auto"/>
                <w:sz w:val="21"/>
                <w:szCs w:val="21"/>
                <w:lang w:val="zh-CN" w:bidi="zh-CN"/>
              </w:rPr>
              <w:t>；STEL：10mg/m</w:t>
            </w:r>
            <w:r>
              <w:rPr>
                <w:color w:val="auto"/>
                <w:sz w:val="21"/>
                <w:szCs w:val="21"/>
                <w:vertAlign w:val="superscript"/>
                <w:lang w:val="zh-CN" w:bidi="zh-CN"/>
              </w:rPr>
              <w:t>3</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9" w:hRule="atLeast"/>
        </w:trPr>
        <w:tc>
          <w:tcPr>
            <w:tcW w:w="1012" w:type="pct"/>
            <w:tcBorders>
              <w:top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毒性：</w:t>
            </w:r>
          </w:p>
        </w:tc>
        <w:tc>
          <w:tcPr>
            <w:tcW w:w="3987" w:type="pct"/>
            <w:gridSpan w:val="3"/>
            <w:tcBorders>
              <w:top w:val="single" w:color="000000" w:sz="2" w:space="0"/>
              <w:left w:val="single" w:color="000000" w:sz="2" w:space="0"/>
              <w:bottom w:val="single" w:color="000000" w:sz="2" w:space="0"/>
              <w:right w:val="nil"/>
            </w:tcBorders>
            <w:vAlign w:val="center"/>
          </w:tcPr>
          <w:p>
            <w:pPr>
              <w:spacing w:line="240" w:lineRule="auto"/>
              <w:ind w:firstLine="0" w:firstLineChars="0"/>
              <w:rPr>
                <w:color w:val="auto"/>
                <w:sz w:val="21"/>
                <w:szCs w:val="21"/>
                <w:lang w:val="zh-CN" w:bidi="zh-CN"/>
              </w:rPr>
            </w:pPr>
            <w:r>
              <w:rPr>
                <w:color w:val="auto"/>
                <w:sz w:val="21"/>
                <w:szCs w:val="21"/>
                <w:lang w:val="zh-CN" w:bidi="zh-CN"/>
              </w:rPr>
              <w:t>LD</w:t>
            </w:r>
            <w:r>
              <w:rPr>
                <w:color w:val="auto"/>
                <w:sz w:val="21"/>
                <w:szCs w:val="21"/>
                <w:vertAlign w:val="subscript"/>
                <w:lang w:val="zh-CN" w:bidi="zh-CN"/>
              </w:rPr>
              <w:t>50</w:t>
            </w:r>
            <w:r>
              <w:rPr>
                <w:color w:val="auto"/>
                <w:sz w:val="21"/>
                <w:szCs w:val="21"/>
                <w:lang w:val="zh-CN" w:bidi="zh-CN"/>
              </w:rPr>
              <w:t xml:space="preserve"> &gt; 5000 mg/kg</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17" w:hRule="atLeast"/>
        </w:trPr>
        <w:tc>
          <w:tcPr>
            <w:tcW w:w="1012" w:type="pct"/>
            <w:tcBorders>
              <w:top w:val="single" w:color="000000" w:sz="2" w:space="0"/>
              <w:bottom w:val="single" w:color="000000" w:sz="2" w:space="0"/>
              <w:right w:val="single" w:color="000000" w:sz="2" w:space="0"/>
            </w:tcBorders>
            <w:vAlign w:val="center"/>
          </w:tcPr>
          <w:p>
            <w:pPr>
              <w:spacing w:line="240" w:lineRule="auto"/>
              <w:ind w:firstLine="0" w:firstLineChars="0"/>
              <w:jc w:val="center"/>
              <w:rPr>
                <w:color w:val="auto"/>
                <w:sz w:val="21"/>
                <w:szCs w:val="21"/>
                <w:lang w:val="zh-CN" w:bidi="zh-CN"/>
              </w:rPr>
            </w:pPr>
            <w:r>
              <w:rPr>
                <w:color w:val="auto"/>
                <w:sz w:val="21"/>
                <w:szCs w:val="21"/>
                <w:lang w:val="zh-CN" w:bidi="zh-CN"/>
              </w:rPr>
              <w:t>健康危害：</w:t>
            </w:r>
          </w:p>
        </w:tc>
        <w:tc>
          <w:tcPr>
            <w:tcW w:w="3987" w:type="pct"/>
            <w:gridSpan w:val="3"/>
            <w:tcBorders>
              <w:top w:val="single" w:color="000000" w:sz="2" w:space="0"/>
              <w:left w:val="single" w:color="000000" w:sz="2" w:space="0"/>
              <w:bottom w:val="single" w:color="000000" w:sz="2" w:space="0"/>
              <w:right w:val="nil"/>
            </w:tcBorders>
            <w:vAlign w:val="center"/>
          </w:tcPr>
          <w:p>
            <w:pPr>
              <w:spacing w:line="240" w:lineRule="auto"/>
              <w:ind w:firstLine="0" w:firstLineChars="0"/>
              <w:rPr>
                <w:color w:val="auto"/>
                <w:sz w:val="21"/>
                <w:szCs w:val="21"/>
                <w:lang w:val="zh-CN" w:bidi="zh-CN"/>
              </w:rPr>
            </w:pPr>
            <w:r>
              <w:rPr>
                <w:color w:val="auto"/>
                <w:sz w:val="21"/>
                <w:szCs w:val="21"/>
                <w:lang w:val="zh-CN" w:bidi="zh-CN"/>
              </w:rPr>
              <w:t>在正常条件下使用不应会成为健康危险源。长期或持续接触皮肤，而不适当清洗，可能会阻塞皮肤毛孔，导致油脂性粉刺／毛囊炎等疾病。用过的油可能包含有害杂质。</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5000" w:type="pct"/>
            <w:gridSpan w:val="4"/>
            <w:tcBorders>
              <w:top w:val="single" w:color="000000" w:sz="2" w:space="0"/>
              <w:bottom w:val="single" w:color="auto" w:sz="4" w:space="0"/>
              <w:right w:val="nil"/>
            </w:tcBorders>
            <w:vAlign w:val="center"/>
          </w:tcPr>
          <w:p>
            <w:pPr>
              <w:spacing w:line="240" w:lineRule="auto"/>
              <w:ind w:firstLine="0" w:firstLineChars="0"/>
              <w:rPr>
                <w:b/>
                <w:bCs/>
                <w:color w:val="auto"/>
                <w:sz w:val="21"/>
                <w:szCs w:val="21"/>
                <w:lang w:bidi="zh-CN"/>
              </w:rPr>
            </w:pPr>
            <w:r>
              <w:rPr>
                <w:rFonts w:hint="eastAsia"/>
                <w:b/>
                <w:bCs/>
                <w:color w:val="auto"/>
                <w:sz w:val="21"/>
                <w:szCs w:val="21"/>
                <w:lang w:bidi="zh-CN"/>
              </w:rPr>
              <w:t>泄露处置</w:t>
            </w:r>
          </w:p>
        </w:tc>
      </w:tr>
      <w:tr>
        <w:tblPrEx>
          <w:tblBorders>
            <w:top w:val="single" w:color="000000" w:sz="12" w:space="0"/>
            <w:left w:val="none" w:color="auto" w:sz="0"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906" w:hRule="atLeast"/>
        </w:trPr>
        <w:tc>
          <w:tcPr>
            <w:tcW w:w="5000" w:type="pct"/>
            <w:gridSpan w:val="4"/>
            <w:tcBorders>
              <w:top w:val="single" w:color="auto" w:sz="4" w:space="0"/>
              <w:right w:val="nil"/>
            </w:tcBorders>
            <w:vAlign w:val="center"/>
          </w:tcPr>
          <w:p>
            <w:pPr>
              <w:spacing w:line="240" w:lineRule="auto"/>
              <w:ind w:firstLine="0" w:firstLineChars="0"/>
              <w:rPr>
                <w:color w:val="auto"/>
                <w:sz w:val="21"/>
                <w:szCs w:val="21"/>
                <w:lang w:val="zh-CN" w:bidi="zh-CN"/>
              </w:rPr>
            </w:pPr>
            <w:r>
              <w:rPr>
                <w:color w:val="auto"/>
                <w:sz w:val="21"/>
                <w:szCs w:val="21"/>
                <w:lang w:val="zh-CN" w:bidi="zh-CN"/>
              </w:rPr>
              <w:t>避免沾及皮肤及眼睛。</w:t>
            </w:r>
          </w:p>
          <w:p>
            <w:pPr>
              <w:spacing w:line="240" w:lineRule="auto"/>
              <w:ind w:firstLine="0" w:firstLineChars="0"/>
              <w:rPr>
                <w:color w:val="auto"/>
                <w:sz w:val="21"/>
                <w:szCs w:val="21"/>
                <w:lang w:val="zh-CN" w:bidi="zh-CN"/>
              </w:rPr>
            </w:pPr>
            <w:r>
              <w:rPr>
                <w:color w:val="auto"/>
                <w:sz w:val="21"/>
                <w:szCs w:val="21"/>
                <w:lang w:val="zh-CN" w:bidi="zh-CN"/>
              </w:rPr>
              <w:t>使用合适的防扩散措施，以免污染环境。用沙、泥土或其它适合的障碍物来防止扩散或进入排水道、阴沟或河流。</w:t>
            </w:r>
          </w:p>
          <w:p>
            <w:pPr>
              <w:spacing w:line="240" w:lineRule="auto"/>
              <w:ind w:firstLine="0" w:firstLineChars="0"/>
              <w:rPr>
                <w:color w:val="auto"/>
                <w:sz w:val="21"/>
                <w:szCs w:val="21"/>
                <w:lang w:val="zh-CN" w:bidi="zh-CN"/>
              </w:rPr>
            </w:pPr>
            <w:r>
              <w:rPr>
                <w:color w:val="auto"/>
                <w:sz w:val="21"/>
                <w:szCs w:val="21"/>
                <w:lang w:val="zh-CN" w:bidi="zh-CN"/>
              </w:rPr>
              <w:t>溢出后，地面非常光滑。为避免事故，应立即清洁。</w:t>
            </w:r>
          </w:p>
          <w:p>
            <w:pPr>
              <w:spacing w:line="240" w:lineRule="auto"/>
              <w:ind w:firstLine="0" w:firstLineChars="0"/>
              <w:rPr>
                <w:color w:val="auto"/>
                <w:sz w:val="21"/>
                <w:szCs w:val="21"/>
                <w:lang w:val="zh-CN" w:bidi="zh-CN"/>
              </w:rPr>
            </w:pPr>
            <w:r>
              <w:rPr>
                <w:color w:val="auto"/>
                <w:sz w:val="21"/>
                <w:szCs w:val="21"/>
                <w:lang w:val="zh-CN" w:bidi="zh-CN"/>
              </w:rPr>
              <w:t>用沙、泥土或其它可用来栏堵的材料设置障碍，以防止扩散。直接回收</w:t>
            </w:r>
            <w:r>
              <w:rPr>
                <w:color w:val="auto"/>
                <w:spacing w:val="-13"/>
                <w:sz w:val="21"/>
                <w:szCs w:val="21"/>
                <w:lang w:val="zh-CN" w:bidi="zh-CN"/>
              </w:rPr>
              <w:t xml:space="preserve">液体或存放于吸收剂中。用粘土、沙或其它适当的吸附材料来吸收残余物， </w:t>
            </w:r>
            <w:r>
              <w:rPr>
                <w:color w:val="auto"/>
                <w:sz w:val="21"/>
                <w:szCs w:val="21"/>
                <w:lang w:val="zh-CN" w:bidi="zh-CN"/>
              </w:rPr>
              <w:t>然后予以适当的弃置。</w:t>
            </w:r>
          </w:p>
        </w:tc>
      </w:tr>
    </w:tbl>
    <w:p>
      <w:pPr>
        <w:pStyle w:val="9"/>
        <w:spacing w:before="0" w:beforeLines="0" w:after="0" w:afterLines="0"/>
        <w:jc w:val="center"/>
        <w:rPr>
          <w:color w:val="auto"/>
          <w:sz w:val="21"/>
          <w:szCs w:val="21"/>
        </w:rPr>
      </w:pPr>
      <w:r>
        <w:rPr>
          <w:rFonts w:hint="eastAsia"/>
          <w:color w:val="auto"/>
          <w:sz w:val="21"/>
          <w:szCs w:val="21"/>
        </w:rPr>
        <w:t>表6.1-</w:t>
      </w:r>
      <w:r>
        <w:rPr>
          <w:rFonts w:hint="eastAsia"/>
          <w:color w:val="auto"/>
          <w:sz w:val="21"/>
          <w:szCs w:val="21"/>
          <w:lang w:val="en-US" w:eastAsia="zh-CN"/>
        </w:rPr>
        <w:t>3</w:t>
      </w:r>
      <w:r>
        <w:rPr>
          <w:rFonts w:hint="eastAsia"/>
          <w:color w:val="auto"/>
          <w:sz w:val="21"/>
          <w:szCs w:val="21"/>
        </w:rPr>
        <w:t xml:space="preserve">  废润滑油的理化性质</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992"/>
        <w:gridCol w:w="1977"/>
        <w:gridCol w:w="358"/>
        <w:gridCol w:w="1799"/>
        <w:gridCol w:w="536"/>
        <w:gridCol w:w="252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312" w:lineRule="exact"/>
              <w:ind w:firstLine="0" w:firstLineChars="0"/>
              <w:textAlignment w:val="center"/>
              <w:rPr>
                <w:b/>
                <w:bCs/>
                <w:color w:val="auto"/>
                <w:sz w:val="21"/>
                <w:szCs w:val="21"/>
              </w:rPr>
            </w:pPr>
            <w:r>
              <w:rPr>
                <w:b/>
                <w:bCs/>
                <w:color w:val="auto"/>
                <w:sz w:val="21"/>
                <w:szCs w:val="21"/>
              </w:rPr>
              <w:t>标识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jc w:val="center"/>
              <w:textAlignment w:val="center"/>
              <w:rPr>
                <w:bCs/>
                <w:color w:val="auto"/>
                <w:sz w:val="21"/>
                <w:szCs w:val="21"/>
              </w:rPr>
            </w:pPr>
            <w:r>
              <w:rPr>
                <w:bCs/>
                <w:color w:val="auto"/>
                <w:sz w:val="21"/>
                <w:szCs w:val="21"/>
              </w:rPr>
              <w:t>中文名</w:t>
            </w:r>
          </w:p>
        </w:tc>
        <w:tc>
          <w:tcPr>
            <w:tcW w:w="1076" w:type="pct"/>
            <w:tcMar>
              <w:top w:w="57" w:type="dxa"/>
              <w:left w:w="57" w:type="dxa"/>
              <w:bottom w:w="57" w:type="dxa"/>
              <w:right w:w="57" w:type="dxa"/>
            </w:tcMar>
            <w:vAlign w:val="center"/>
          </w:tcPr>
          <w:p>
            <w:pPr>
              <w:spacing w:line="312" w:lineRule="exact"/>
              <w:ind w:firstLine="0" w:firstLineChars="0"/>
              <w:jc w:val="center"/>
              <w:textAlignment w:val="center"/>
              <w:rPr>
                <w:b/>
                <w:bCs/>
                <w:color w:val="auto"/>
                <w:sz w:val="21"/>
                <w:szCs w:val="21"/>
              </w:rPr>
            </w:pPr>
            <w:r>
              <w:rPr>
                <w:rFonts w:hint="eastAsia"/>
                <w:color w:val="auto"/>
                <w:sz w:val="21"/>
                <w:szCs w:val="21"/>
              </w:rPr>
              <w:t>废矿物油</w:t>
            </w:r>
          </w:p>
        </w:tc>
        <w:tc>
          <w:tcPr>
            <w:tcW w:w="1174" w:type="pct"/>
            <w:gridSpan w:val="2"/>
            <w:tcMar>
              <w:top w:w="57" w:type="dxa"/>
              <w:left w:w="57" w:type="dxa"/>
              <w:bottom w:w="57" w:type="dxa"/>
              <w:right w:w="57" w:type="dxa"/>
            </w:tcMar>
            <w:vAlign w:val="center"/>
          </w:tcPr>
          <w:p>
            <w:pPr>
              <w:spacing w:line="312" w:lineRule="exact"/>
              <w:ind w:firstLine="0" w:firstLineChars="0"/>
              <w:jc w:val="center"/>
              <w:textAlignment w:val="center"/>
              <w:rPr>
                <w:bCs/>
                <w:color w:val="auto"/>
                <w:sz w:val="21"/>
                <w:szCs w:val="21"/>
              </w:rPr>
            </w:pPr>
            <w:r>
              <w:rPr>
                <w:bCs/>
                <w:color w:val="auto"/>
                <w:sz w:val="21"/>
                <w:szCs w:val="21"/>
              </w:rPr>
              <w:t>英文名</w:t>
            </w:r>
          </w:p>
        </w:tc>
        <w:tc>
          <w:tcPr>
            <w:tcW w:w="1664" w:type="pct"/>
            <w:gridSpan w:val="2"/>
            <w:tcMar>
              <w:top w:w="57" w:type="dxa"/>
              <w:left w:w="57" w:type="dxa"/>
              <w:bottom w:w="57" w:type="dxa"/>
              <w:right w:w="57" w:type="dxa"/>
            </w:tcMar>
            <w:vAlign w:val="center"/>
          </w:tcPr>
          <w:p>
            <w:pPr>
              <w:spacing w:line="312" w:lineRule="exact"/>
              <w:ind w:firstLine="0" w:firstLineChars="0"/>
              <w:jc w:val="center"/>
              <w:textAlignment w:val="center"/>
              <w:rPr>
                <w:b/>
                <w:bCs/>
                <w:color w:val="auto"/>
                <w:sz w:val="21"/>
                <w:szCs w:val="21"/>
              </w:rPr>
            </w:pPr>
            <w:r>
              <w:rPr>
                <w:color w:val="auto"/>
                <w:sz w:val="21"/>
                <w:szCs w:val="21"/>
              </w:rPr>
              <w:t>lubricating oil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jc w:val="center"/>
              <w:textAlignment w:val="center"/>
              <w:rPr>
                <w:bCs/>
                <w:color w:val="auto"/>
                <w:sz w:val="21"/>
                <w:szCs w:val="21"/>
              </w:rPr>
            </w:pPr>
            <w:r>
              <w:rPr>
                <w:bCs/>
                <w:color w:val="auto"/>
                <w:sz w:val="21"/>
                <w:szCs w:val="21"/>
              </w:rPr>
              <w:t>CAS号</w:t>
            </w:r>
          </w:p>
        </w:tc>
        <w:tc>
          <w:tcPr>
            <w:tcW w:w="1076" w:type="pct"/>
            <w:tcMar>
              <w:top w:w="57" w:type="dxa"/>
              <w:left w:w="57" w:type="dxa"/>
              <w:bottom w:w="57" w:type="dxa"/>
              <w:right w:w="57" w:type="dxa"/>
            </w:tcMar>
            <w:vAlign w:val="center"/>
          </w:tcPr>
          <w:p>
            <w:pPr>
              <w:spacing w:line="312" w:lineRule="exact"/>
              <w:ind w:firstLine="0" w:firstLineChars="0"/>
              <w:jc w:val="center"/>
              <w:textAlignment w:val="center"/>
              <w:rPr>
                <w:bCs/>
                <w:color w:val="auto"/>
                <w:sz w:val="21"/>
                <w:szCs w:val="21"/>
              </w:rPr>
            </w:pPr>
            <w:r>
              <w:rPr>
                <w:rFonts w:hint="eastAsia"/>
                <w:bCs/>
                <w:color w:val="auto"/>
                <w:sz w:val="21"/>
                <w:szCs w:val="21"/>
              </w:rPr>
              <w:t>/</w:t>
            </w:r>
          </w:p>
        </w:tc>
        <w:tc>
          <w:tcPr>
            <w:tcW w:w="1174" w:type="pct"/>
            <w:gridSpan w:val="2"/>
            <w:tcMar>
              <w:top w:w="57" w:type="dxa"/>
              <w:left w:w="57" w:type="dxa"/>
              <w:bottom w:w="57" w:type="dxa"/>
              <w:right w:w="57" w:type="dxa"/>
            </w:tcMar>
            <w:vAlign w:val="center"/>
          </w:tcPr>
          <w:p>
            <w:pPr>
              <w:spacing w:line="312" w:lineRule="exact"/>
              <w:ind w:firstLine="0" w:firstLineChars="0"/>
              <w:jc w:val="center"/>
              <w:textAlignment w:val="center"/>
              <w:rPr>
                <w:bCs/>
                <w:color w:val="auto"/>
                <w:sz w:val="21"/>
                <w:szCs w:val="21"/>
              </w:rPr>
            </w:pPr>
            <w:r>
              <w:rPr>
                <w:bCs/>
                <w:color w:val="auto"/>
                <w:sz w:val="21"/>
                <w:szCs w:val="21"/>
              </w:rPr>
              <w:t>危险性类别</w:t>
            </w:r>
          </w:p>
        </w:tc>
        <w:tc>
          <w:tcPr>
            <w:tcW w:w="1664" w:type="pct"/>
            <w:gridSpan w:val="2"/>
            <w:tcMar>
              <w:top w:w="57" w:type="dxa"/>
              <w:left w:w="57" w:type="dxa"/>
              <w:bottom w:w="57" w:type="dxa"/>
              <w:right w:w="57" w:type="dxa"/>
            </w:tcMar>
            <w:vAlign w:val="center"/>
          </w:tcPr>
          <w:p>
            <w:pPr>
              <w:spacing w:line="312" w:lineRule="exact"/>
              <w:ind w:firstLine="0" w:firstLineChars="0"/>
              <w:jc w:val="center"/>
              <w:textAlignment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jc w:val="center"/>
              <w:textAlignment w:val="center"/>
              <w:rPr>
                <w:bCs/>
                <w:color w:val="auto"/>
                <w:sz w:val="21"/>
                <w:szCs w:val="21"/>
              </w:rPr>
            </w:pPr>
            <w:r>
              <w:rPr>
                <w:bCs/>
                <w:color w:val="auto"/>
                <w:sz w:val="21"/>
                <w:szCs w:val="21"/>
              </w:rPr>
              <w:t>危险货物编号</w:t>
            </w:r>
          </w:p>
        </w:tc>
        <w:tc>
          <w:tcPr>
            <w:tcW w:w="1076" w:type="pct"/>
            <w:tcMar>
              <w:top w:w="57" w:type="dxa"/>
              <w:left w:w="57" w:type="dxa"/>
              <w:bottom w:w="57" w:type="dxa"/>
              <w:right w:w="57" w:type="dxa"/>
            </w:tcMar>
            <w:vAlign w:val="center"/>
          </w:tcPr>
          <w:p>
            <w:pPr>
              <w:spacing w:line="312" w:lineRule="exact"/>
              <w:ind w:firstLine="0" w:firstLineChars="0"/>
              <w:jc w:val="center"/>
              <w:textAlignment w:val="center"/>
              <w:rPr>
                <w:color w:val="auto"/>
                <w:sz w:val="21"/>
                <w:szCs w:val="21"/>
              </w:rPr>
            </w:pPr>
            <w:r>
              <w:rPr>
                <w:color w:val="auto"/>
                <w:sz w:val="21"/>
                <w:szCs w:val="21"/>
              </w:rPr>
              <w:t>无资料</w:t>
            </w:r>
          </w:p>
        </w:tc>
        <w:tc>
          <w:tcPr>
            <w:tcW w:w="1174" w:type="pct"/>
            <w:gridSpan w:val="2"/>
            <w:tcMar>
              <w:top w:w="57" w:type="dxa"/>
              <w:left w:w="57" w:type="dxa"/>
              <w:bottom w:w="57" w:type="dxa"/>
              <w:right w:w="57" w:type="dxa"/>
            </w:tcMar>
            <w:vAlign w:val="center"/>
          </w:tcPr>
          <w:p>
            <w:pPr>
              <w:spacing w:line="312" w:lineRule="exact"/>
              <w:ind w:firstLine="0" w:firstLineChars="0"/>
              <w:jc w:val="center"/>
              <w:textAlignment w:val="center"/>
              <w:rPr>
                <w:bCs/>
                <w:color w:val="auto"/>
                <w:sz w:val="21"/>
                <w:szCs w:val="21"/>
              </w:rPr>
            </w:pPr>
            <w:r>
              <w:rPr>
                <w:bCs/>
                <w:color w:val="auto"/>
                <w:sz w:val="21"/>
                <w:szCs w:val="21"/>
              </w:rPr>
              <w:t>UN编号</w:t>
            </w:r>
          </w:p>
        </w:tc>
        <w:tc>
          <w:tcPr>
            <w:tcW w:w="1664" w:type="pct"/>
            <w:gridSpan w:val="2"/>
            <w:tcMar>
              <w:top w:w="57" w:type="dxa"/>
              <w:left w:w="57" w:type="dxa"/>
              <w:bottom w:w="57" w:type="dxa"/>
              <w:right w:w="57" w:type="dxa"/>
            </w:tcMar>
            <w:vAlign w:val="center"/>
          </w:tcPr>
          <w:p>
            <w:pPr>
              <w:spacing w:line="312" w:lineRule="exact"/>
              <w:ind w:firstLine="0" w:firstLineChars="0"/>
              <w:jc w:val="center"/>
              <w:textAlignment w:val="center"/>
              <w:rPr>
                <w:color w:val="auto"/>
                <w:sz w:val="21"/>
                <w:szCs w:val="21"/>
              </w:rPr>
            </w:pPr>
            <w:r>
              <w:rPr>
                <w:color w:val="auto"/>
                <w:sz w:val="21"/>
                <w:szCs w:val="21"/>
              </w:rPr>
              <w:t>无资料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jc w:val="center"/>
              <w:textAlignment w:val="center"/>
              <w:rPr>
                <w:bCs/>
                <w:color w:val="auto"/>
                <w:sz w:val="21"/>
                <w:szCs w:val="21"/>
              </w:rPr>
            </w:pPr>
            <w:r>
              <w:rPr>
                <w:bCs/>
                <w:color w:val="auto"/>
                <w:sz w:val="21"/>
                <w:szCs w:val="21"/>
              </w:rPr>
              <w:t>包装标志</w:t>
            </w:r>
          </w:p>
        </w:tc>
        <w:tc>
          <w:tcPr>
            <w:tcW w:w="1076" w:type="pct"/>
            <w:tcMar>
              <w:top w:w="57" w:type="dxa"/>
              <w:left w:w="57" w:type="dxa"/>
              <w:bottom w:w="57" w:type="dxa"/>
              <w:right w:w="57" w:type="dxa"/>
            </w:tcMar>
            <w:vAlign w:val="center"/>
          </w:tcPr>
          <w:p>
            <w:pPr>
              <w:spacing w:line="312" w:lineRule="exact"/>
              <w:ind w:firstLine="0" w:firstLineChars="0"/>
              <w:jc w:val="center"/>
              <w:textAlignment w:val="center"/>
              <w:rPr>
                <w:color w:val="auto"/>
                <w:sz w:val="21"/>
                <w:szCs w:val="21"/>
              </w:rPr>
            </w:pPr>
            <w:r>
              <w:rPr>
                <w:color w:val="auto"/>
                <w:sz w:val="21"/>
                <w:szCs w:val="21"/>
              </w:rPr>
              <w:t>无资料</w:t>
            </w:r>
          </w:p>
        </w:tc>
        <w:tc>
          <w:tcPr>
            <w:tcW w:w="1174" w:type="pct"/>
            <w:gridSpan w:val="2"/>
            <w:tcMar>
              <w:top w:w="57" w:type="dxa"/>
              <w:left w:w="57" w:type="dxa"/>
              <w:bottom w:w="57" w:type="dxa"/>
              <w:right w:w="57" w:type="dxa"/>
            </w:tcMar>
            <w:vAlign w:val="center"/>
          </w:tcPr>
          <w:p>
            <w:pPr>
              <w:spacing w:line="312" w:lineRule="exact"/>
              <w:ind w:firstLine="0" w:firstLineChars="0"/>
              <w:jc w:val="center"/>
              <w:textAlignment w:val="center"/>
              <w:rPr>
                <w:bCs/>
                <w:color w:val="auto"/>
                <w:sz w:val="21"/>
                <w:szCs w:val="21"/>
              </w:rPr>
            </w:pPr>
            <w:r>
              <w:rPr>
                <w:bCs/>
                <w:color w:val="auto"/>
                <w:sz w:val="21"/>
                <w:szCs w:val="21"/>
              </w:rPr>
              <w:t>包装类别</w:t>
            </w:r>
          </w:p>
        </w:tc>
        <w:tc>
          <w:tcPr>
            <w:tcW w:w="1664" w:type="pct"/>
            <w:gridSpan w:val="2"/>
            <w:tcMar>
              <w:top w:w="57" w:type="dxa"/>
              <w:left w:w="57" w:type="dxa"/>
              <w:bottom w:w="57" w:type="dxa"/>
              <w:right w:w="57" w:type="dxa"/>
            </w:tcMar>
            <w:vAlign w:val="center"/>
          </w:tcPr>
          <w:p>
            <w:pPr>
              <w:spacing w:line="312" w:lineRule="exact"/>
              <w:ind w:firstLine="0" w:firstLineChars="0"/>
              <w:jc w:val="center"/>
              <w:textAlignment w:val="center"/>
              <w:rPr>
                <w:color w:val="auto"/>
                <w:sz w:val="21"/>
                <w:szCs w:val="21"/>
              </w:rPr>
            </w:pPr>
            <w:r>
              <w:rPr>
                <w:color w:val="auto"/>
                <w:sz w:val="21"/>
                <w:szCs w:val="21"/>
              </w:rPr>
              <w:t>Z01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312" w:lineRule="exact"/>
              <w:ind w:firstLine="0" w:firstLineChars="0"/>
              <w:textAlignment w:val="center"/>
              <w:rPr>
                <w:b/>
                <w:color w:val="auto"/>
                <w:sz w:val="21"/>
                <w:szCs w:val="21"/>
              </w:rPr>
            </w:pPr>
            <w:r>
              <w:rPr>
                <w:b/>
                <w:color w:val="auto"/>
                <w:sz w:val="21"/>
                <w:szCs w:val="21"/>
              </w:rPr>
              <w:t>主要组成与性状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textAlignment w:val="center"/>
              <w:rPr>
                <w:bCs/>
                <w:color w:val="auto"/>
                <w:sz w:val="21"/>
                <w:szCs w:val="21"/>
              </w:rPr>
            </w:pPr>
            <w:r>
              <w:rPr>
                <w:bCs/>
                <w:color w:val="auto"/>
                <w:sz w:val="21"/>
                <w:szCs w:val="21"/>
              </w:rPr>
              <w:t>外观与性状</w:t>
            </w:r>
          </w:p>
        </w:tc>
        <w:tc>
          <w:tcPr>
            <w:tcW w:w="3915" w:type="pct"/>
            <w:gridSpan w:val="5"/>
            <w:tcMar>
              <w:top w:w="57" w:type="dxa"/>
              <w:left w:w="57" w:type="dxa"/>
              <w:bottom w:w="57" w:type="dxa"/>
              <w:right w:w="57" w:type="dxa"/>
            </w:tcMar>
            <w:vAlign w:val="center"/>
          </w:tcPr>
          <w:p>
            <w:pPr>
              <w:spacing w:line="312" w:lineRule="exact"/>
              <w:ind w:firstLine="0" w:firstLineChars="0"/>
              <w:textAlignment w:val="center"/>
              <w:rPr>
                <w:b/>
                <w:bCs/>
                <w:color w:val="auto"/>
                <w:sz w:val="21"/>
                <w:szCs w:val="21"/>
              </w:rPr>
            </w:pPr>
            <w:r>
              <w:rPr>
                <w:color w:val="auto"/>
                <w:sz w:val="21"/>
                <w:szCs w:val="21"/>
              </w:rPr>
              <w:t>油状液体,淡黄色至褐色,无气味或略带异味。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312" w:lineRule="exact"/>
              <w:ind w:firstLine="0" w:firstLineChars="0"/>
              <w:textAlignment w:val="center"/>
              <w:rPr>
                <w:color w:val="auto"/>
                <w:sz w:val="21"/>
                <w:szCs w:val="21"/>
              </w:rPr>
            </w:pPr>
            <w:r>
              <w:rPr>
                <w:b/>
                <w:bCs/>
                <w:color w:val="auto"/>
                <w:sz w:val="21"/>
                <w:szCs w:val="21"/>
              </w:rPr>
              <w:t>健康危害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textAlignment w:val="center"/>
              <w:rPr>
                <w:bCs/>
                <w:color w:val="auto"/>
                <w:sz w:val="21"/>
                <w:szCs w:val="21"/>
              </w:rPr>
            </w:pPr>
            <w:r>
              <w:rPr>
                <w:bCs/>
                <w:color w:val="auto"/>
                <w:sz w:val="21"/>
                <w:szCs w:val="21"/>
              </w:rPr>
              <w:t>侵入途径</w:t>
            </w:r>
          </w:p>
        </w:tc>
        <w:tc>
          <w:tcPr>
            <w:tcW w:w="3915" w:type="pct"/>
            <w:gridSpan w:val="5"/>
            <w:tcMar>
              <w:top w:w="57" w:type="dxa"/>
              <w:left w:w="57" w:type="dxa"/>
              <w:bottom w:w="57" w:type="dxa"/>
              <w:right w:w="57" w:type="dxa"/>
            </w:tcMar>
            <w:vAlign w:val="center"/>
          </w:tcPr>
          <w:p>
            <w:pPr>
              <w:spacing w:line="312" w:lineRule="exact"/>
              <w:ind w:firstLine="0" w:firstLineChars="0"/>
              <w:textAlignment w:val="center"/>
              <w:rPr>
                <w:b/>
                <w:bCs/>
                <w:color w:val="auto"/>
                <w:sz w:val="21"/>
                <w:szCs w:val="21"/>
              </w:rPr>
            </w:pPr>
            <w:r>
              <w:rPr>
                <w:color w:val="auto"/>
                <w:sz w:val="21"/>
                <w:szCs w:val="21"/>
              </w:rPr>
              <w:t>吸入、食入、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健康危害</w:t>
            </w:r>
          </w:p>
        </w:tc>
        <w:tc>
          <w:tcPr>
            <w:tcW w:w="3915" w:type="pct"/>
            <w:gridSpan w:val="5"/>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急性吸入，可出现乏力、头晕、头痛、恶心，严重者可引起油脂性肺炎。</w:t>
            </w:r>
          </w:p>
          <w:p>
            <w:pPr>
              <w:spacing w:line="312" w:lineRule="exact"/>
              <w:ind w:firstLine="0" w:firstLineChars="0"/>
              <w:rPr>
                <w:color w:val="auto"/>
                <w:sz w:val="21"/>
                <w:szCs w:val="21"/>
              </w:rPr>
            </w:pPr>
            <w:r>
              <w:rPr>
                <w:color w:val="auto"/>
                <w:sz w:val="21"/>
                <w:szCs w:val="21"/>
              </w:rPr>
              <w:t>慢接触者，暴露部位可发生油性痤疮和接触性皮炎。可引起神经衰弱综合征，呼吸道和眼刺激症状及慢性油脂性肺炎。有资料报道，接触石油润滑油类的工人，有致癌的病例报告。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textAlignment w:val="center"/>
              <w:rPr>
                <w:bCs/>
                <w:color w:val="auto"/>
                <w:sz w:val="21"/>
                <w:szCs w:val="21"/>
              </w:rPr>
            </w:pPr>
            <w:r>
              <w:rPr>
                <w:bCs/>
                <w:color w:val="auto"/>
                <w:sz w:val="21"/>
                <w:szCs w:val="21"/>
              </w:rPr>
              <w:t>危险特性</w:t>
            </w:r>
          </w:p>
        </w:tc>
        <w:tc>
          <w:tcPr>
            <w:tcW w:w="3915" w:type="pct"/>
            <w:gridSpan w:val="5"/>
            <w:tcMar>
              <w:top w:w="57" w:type="dxa"/>
              <w:left w:w="57" w:type="dxa"/>
              <w:bottom w:w="57" w:type="dxa"/>
              <w:right w:w="57" w:type="dxa"/>
            </w:tcMar>
            <w:vAlign w:val="center"/>
          </w:tcPr>
          <w:p>
            <w:pPr>
              <w:spacing w:line="312" w:lineRule="exact"/>
              <w:ind w:firstLine="0" w:firstLineChars="0"/>
              <w:textAlignment w:val="center"/>
              <w:rPr>
                <w:color w:val="auto"/>
                <w:sz w:val="21"/>
                <w:szCs w:val="21"/>
              </w:rPr>
            </w:pPr>
            <w:r>
              <w:rPr>
                <w:color w:val="auto"/>
                <w:sz w:val="21"/>
                <w:szCs w:val="21"/>
              </w:rPr>
              <w:t>遇明火、高热可燃。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textAlignment w:val="center"/>
              <w:rPr>
                <w:bCs/>
                <w:color w:val="auto"/>
                <w:sz w:val="21"/>
                <w:szCs w:val="21"/>
              </w:rPr>
            </w:pPr>
            <w:r>
              <w:rPr>
                <w:bCs/>
                <w:color w:val="auto"/>
                <w:sz w:val="21"/>
                <w:szCs w:val="21"/>
              </w:rPr>
              <w:t>燃爆危险</w:t>
            </w:r>
          </w:p>
        </w:tc>
        <w:tc>
          <w:tcPr>
            <w:tcW w:w="3915" w:type="pct"/>
            <w:gridSpan w:val="5"/>
            <w:tcMar>
              <w:top w:w="57" w:type="dxa"/>
              <w:left w:w="57" w:type="dxa"/>
              <w:bottom w:w="57" w:type="dxa"/>
              <w:right w:w="57" w:type="dxa"/>
            </w:tcMar>
            <w:vAlign w:val="center"/>
          </w:tcPr>
          <w:p>
            <w:pPr>
              <w:spacing w:line="312" w:lineRule="exact"/>
              <w:ind w:firstLine="0" w:firstLineChars="0"/>
              <w:textAlignment w:val="center"/>
              <w:rPr>
                <w:color w:val="auto"/>
                <w:sz w:val="21"/>
                <w:szCs w:val="21"/>
              </w:rPr>
            </w:pPr>
            <w:r>
              <w:rPr>
                <w:color w:val="auto"/>
                <w:sz w:val="21"/>
                <w:szCs w:val="21"/>
              </w:rPr>
              <w:t>本品可燃，具刺激性。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textAlignment w:val="center"/>
              <w:rPr>
                <w:bCs/>
                <w:color w:val="auto"/>
                <w:sz w:val="21"/>
                <w:szCs w:val="21"/>
              </w:rPr>
            </w:pPr>
            <w:r>
              <w:rPr>
                <w:bCs/>
                <w:color w:val="auto"/>
                <w:sz w:val="21"/>
                <w:szCs w:val="21"/>
              </w:rPr>
              <w:t>灭火方法</w:t>
            </w:r>
          </w:p>
        </w:tc>
        <w:tc>
          <w:tcPr>
            <w:tcW w:w="3915" w:type="pct"/>
            <w:gridSpan w:val="5"/>
            <w:tcMar>
              <w:top w:w="57" w:type="dxa"/>
              <w:left w:w="57" w:type="dxa"/>
              <w:bottom w:w="57" w:type="dxa"/>
              <w:right w:w="57" w:type="dxa"/>
            </w:tcMar>
            <w:vAlign w:val="center"/>
          </w:tcPr>
          <w:p>
            <w:pPr>
              <w:spacing w:line="312" w:lineRule="exact"/>
              <w:ind w:firstLine="0" w:firstLineChars="0"/>
              <w:textAlignment w:val="center"/>
              <w:rPr>
                <w:b/>
                <w:bCs/>
                <w:color w:val="auto"/>
                <w:sz w:val="21"/>
                <w:szCs w:val="21"/>
              </w:rPr>
            </w:pPr>
            <w:r>
              <w:rPr>
                <w:color w:val="auto"/>
                <w:sz w:val="21"/>
                <w:szCs w:val="21"/>
              </w:rPr>
              <w:t>消防人员须佩戴防毒面具、穿全身消防服，在上风向灭火。尽可能将容器从火场移至空旷处。喷水保持火场容器冷却，直至灭火结束。处在火场中的容器若已变色或从安全泄压装置中产生声音，必须马上撤离。灭火剂：雾状水、泡沫、干粉、二氧化碳、砂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1084" w:type="pct"/>
            <w:tcMar>
              <w:top w:w="57" w:type="dxa"/>
              <w:left w:w="57" w:type="dxa"/>
              <w:bottom w:w="57" w:type="dxa"/>
              <w:right w:w="57" w:type="dxa"/>
            </w:tcMar>
            <w:vAlign w:val="center"/>
          </w:tcPr>
          <w:p>
            <w:pPr>
              <w:spacing w:line="312" w:lineRule="exact"/>
              <w:ind w:firstLine="0" w:firstLineChars="0"/>
              <w:textAlignment w:val="center"/>
              <w:rPr>
                <w:bCs/>
                <w:color w:val="auto"/>
                <w:sz w:val="21"/>
                <w:szCs w:val="21"/>
              </w:rPr>
            </w:pPr>
            <w:r>
              <w:rPr>
                <w:bCs/>
                <w:color w:val="auto"/>
                <w:sz w:val="21"/>
                <w:szCs w:val="21"/>
              </w:rPr>
              <w:t>环境危害</w:t>
            </w:r>
          </w:p>
        </w:tc>
        <w:tc>
          <w:tcPr>
            <w:tcW w:w="3915" w:type="pct"/>
            <w:gridSpan w:val="5"/>
            <w:tcMar>
              <w:top w:w="57" w:type="dxa"/>
              <w:left w:w="57" w:type="dxa"/>
              <w:bottom w:w="57" w:type="dxa"/>
              <w:right w:w="57" w:type="dxa"/>
            </w:tcMar>
            <w:vAlign w:val="center"/>
          </w:tcPr>
          <w:p>
            <w:pPr>
              <w:spacing w:line="312" w:lineRule="exact"/>
              <w:ind w:firstLine="0" w:firstLineChars="0"/>
              <w:textAlignment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有害燃烧产物</w:t>
            </w:r>
          </w:p>
        </w:tc>
        <w:tc>
          <w:tcPr>
            <w:tcW w:w="3915" w:type="pct"/>
            <w:gridSpan w:val="5"/>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一氧化碳、二氧化碳。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312" w:lineRule="exact"/>
              <w:ind w:firstLine="0" w:firstLineChars="0"/>
              <w:rPr>
                <w:color w:val="auto"/>
                <w:sz w:val="21"/>
                <w:szCs w:val="21"/>
              </w:rPr>
            </w:pPr>
            <w:r>
              <w:rPr>
                <w:b/>
                <w:color w:val="auto"/>
                <w:sz w:val="21"/>
                <w:szCs w:val="21"/>
              </w:rPr>
              <w:t>毒理学资料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急性毒性</w:t>
            </w:r>
          </w:p>
        </w:tc>
        <w:tc>
          <w:tcPr>
            <w:tcW w:w="3915" w:type="pct"/>
            <w:gridSpan w:val="5"/>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LD</w:t>
            </w:r>
            <w:r>
              <w:rPr>
                <w:color w:val="auto"/>
                <w:sz w:val="21"/>
                <w:szCs w:val="21"/>
                <w:vertAlign w:val="subscript"/>
              </w:rPr>
              <w:t>50</w:t>
            </w:r>
            <w:r>
              <w:rPr>
                <w:color w:val="auto"/>
                <w:sz w:val="21"/>
                <w:szCs w:val="21"/>
              </w:rPr>
              <w:t>：无资料 ；LC</w:t>
            </w:r>
            <w:r>
              <w:rPr>
                <w:color w:val="auto"/>
                <w:sz w:val="21"/>
                <w:szCs w:val="21"/>
                <w:vertAlign w:val="subscript"/>
              </w:rPr>
              <w:t>50</w:t>
            </w:r>
            <w:r>
              <w:rPr>
                <w:color w:val="auto"/>
                <w:sz w:val="21"/>
                <w:szCs w:val="21"/>
              </w:rPr>
              <w:t>：无资料。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刺激性</w:t>
            </w:r>
          </w:p>
        </w:tc>
        <w:tc>
          <w:tcPr>
            <w:tcW w:w="3915" w:type="pct"/>
            <w:gridSpan w:val="5"/>
            <w:tcMar>
              <w:top w:w="57" w:type="dxa"/>
              <w:left w:w="57" w:type="dxa"/>
              <w:bottom w:w="57" w:type="dxa"/>
              <w:right w:w="57" w:type="dxa"/>
            </w:tcMar>
            <w:vAlign w:val="center"/>
          </w:tcPr>
          <w:p>
            <w:pPr>
              <w:spacing w:line="312" w:lineRule="exact"/>
              <w:ind w:firstLine="0" w:firstLineChars="0"/>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312" w:lineRule="exact"/>
              <w:ind w:firstLine="0" w:firstLineChars="0"/>
              <w:rPr>
                <w:color w:val="auto"/>
                <w:sz w:val="21"/>
                <w:szCs w:val="21"/>
              </w:rPr>
            </w:pPr>
            <w:r>
              <w:rPr>
                <w:b/>
                <w:color w:val="auto"/>
                <w:sz w:val="21"/>
                <w:szCs w:val="21"/>
              </w:rPr>
              <w:t>接触控制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职业接触限值</w:t>
            </w:r>
          </w:p>
        </w:tc>
        <w:tc>
          <w:tcPr>
            <w:tcW w:w="3915" w:type="pct"/>
            <w:gridSpan w:val="5"/>
            <w:tcMar>
              <w:top w:w="57" w:type="dxa"/>
              <w:left w:w="57" w:type="dxa"/>
              <w:bottom w:w="57" w:type="dxa"/>
              <w:right w:w="57" w:type="dxa"/>
            </w:tcMar>
            <w:vAlign w:val="center"/>
          </w:tcPr>
          <w:p>
            <w:pPr>
              <w:spacing w:line="312" w:lineRule="exact"/>
              <w:ind w:firstLine="0" w:firstLineChars="0"/>
              <w:rPr>
                <w:color w:val="auto"/>
                <w:sz w:val="21"/>
                <w:szCs w:val="21"/>
              </w:rPr>
            </w:pPr>
            <w:r>
              <w:rPr>
                <w:bCs/>
                <w:color w:val="auto"/>
                <w:sz w:val="21"/>
                <w:szCs w:val="21"/>
              </w:rPr>
              <w:t>MAC(mg/m</w:t>
            </w:r>
            <w:r>
              <w:rPr>
                <w:bCs/>
                <w:color w:val="auto"/>
                <w:sz w:val="21"/>
                <w:szCs w:val="21"/>
                <w:vertAlign w:val="superscript"/>
              </w:rPr>
              <w:t>3</w:t>
            </w:r>
            <w:r>
              <w:rPr>
                <w:bCs/>
                <w:color w:val="auto"/>
                <w:sz w:val="21"/>
                <w:szCs w:val="21"/>
              </w:rPr>
              <w:t>)：</w:t>
            </w:r>
            <w:r>
              <w:rPr>
                <w:color w:val="auto"/>
                <w:sz w:val="21"/>
                <w:szCs w:val="21"/>
              </w:rPr>
              <w:t xml:space="preserve">未制定标准  </w:t>
            </w:r>
            <w:r>
              <w:rPr>
                <w:bCs/>
                <w:color w:val="auto"/>
                <w:sz w:val="21"/>
                <w:szCs w:val="21"/>
              </w:rPr>
              <w:t>TWA(mg/m</w:t>
            </w:r>
            <w:r>
              <w:rPr>
                <w:bCs/>
                <w:color w:val="auto"/>
                <w:sz w:val="21"/>
                <w:szCs w:val="21"/>
                <w:vertAlign w:val="superscript"/>
              </w:rPr>
              <w:t>3</w:t>
            </w:r>
            <w:r>
              <w:rPr>
                <w:bCs/>
                <w:color w:val="auto"/>
                <w:sz w:val="21"/>
                <w:szCs w:val="21"/>
              </w:rPr>
              <w:t>)：</w:t>
            </w:r>
            <w:r>
              <w:rPr>
                <w:color w:val="auto"/>
                <w:sz w:val="21"/>
                <w:szCs w:val="21"/>
              </w:rPr>
              <w:t xml:space="preserve">#TWA#  </w:t>
            </w:r>
            <w:r>
              <w:rPr>
                <w:bCs/>
                <w:color w:val="auto"/>
                <w:sz w:val="21"/>
                <w:szCs w:val="21"/>
              </w:rPr>
              <w:t>STEL(mg/m</w:t>
            </w:r>
            <w:r>
              <w:rPr>
                <w:bCs/>
                <w:color w:val="auto"/>
                <w:sz w:val="21"/>
                <w:szCs w:val="21"/>
                <w:vertAlign w:val="superscript"/>
              </w:rPr>
              <w:t>3</w:t>
            </w:r>
            <w:r>
              <w:rPr>
                <w:bCs/>
                <w:color w:val="auto"/>
                <w:sz w:val="21"/>
                <w:szCs w:val="21"/>
              </w:rPr>
              <w:t>)：</w:t>
            </w:r>
            <w:r>
              <w:rPr>
                <w:color w:val="auto"/>
                <w:sz w:val="21"/>
                <w:szCs w:val="21"/>
              </w:rPr>
              <w:t>#STEL#。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工程控制</w:t>
            </w:r>
          </w:p>
        </w:tc>
        <w:tc>
          <w:tcPr>
            <w:tcW w:w="3915" w:type="pct"/>
            <w:gridSpan w:val="5"/>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密闭操作，注意通风。</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312" w:lineRule="exact"/>
              <w:ind w:firstLine="0" w:firstLineChars="0"/>
              <w:rPr>
                <w:b/>
                <w:color w:val="auto"/>
                <w:sz w:val="21"/>
                <w:szCs w:val="21"/>
              </w:rPr>
            </w:pPr>
            <w:r>
              <w:rPr>
                <w:b/>
                <w:color w:val="auto"/>
                <w:sz w:val="21"/>
                <w:szCs w:val="21"/>
              </w:rPr>
              <w:t>防护措施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呼吸系统防护</w:t>
            </w:r>
          </w:p>
        </w:tc>
        <w:tc>
          <w:tcPr>
            <w:tcW w:w="3915" w:type="pct"/>
            <w:gridSpan w:val="5"/>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空气中浓度超标时，必须佩戴自吸过滤式防毒面具（半面罩）。紧急事态抢救或撤离时，应该佩戴空气呼吸器。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眼睛防护</w:t>
            </w:r>
          </w:p>
        </w:tc>
        <w:tc>
          <w:tcPr>
            <w:tcW w:w="3915" w:type="pct"/>
            <w:gridSpan w:val="5"/>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戴化学安全防护眼镜。</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身体防护</w:t>
            </w:r>
          </w:p>
        </w:tc>
        <w:tc>
          <w:tcPr>
            <w:tcW w:w="3915" w:type="pct"/>
            <w:gridSpan w:val="5"/>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穿防毒物渗透工作服。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手防护</w:t>
            </w:r>
          </w:p>
        </w:tc>
        <w:tc>
          <w:tcPr>
            <w:tcW w:w="3915" w:type="pct"/>
            <w:gridSpan w:val="5"/>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戴橡胶耐油手套。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其它</w:t>
            </w:r>
          </w:p>
        </w:tc>
        <w:tc>
          <w:tcPr>
            <w:tcW w:w="3915" w:type="pct"/>
            <w:gridSpan w:val="5"/>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工作现场严禁吸烟。避免长期反复接触。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312" w:lineRule="exact"/>
              <w:ind w:firstLine="0" w:firstLineChars="0"/>
              <w:rPr>
                <w:color w:val="auto"/>
                <w:sz w:val="21"/>
                <w:szCs w:val="21"/>
              </w:rPr>
            </w:pPr>
            <w:r>
              <w:rPr>
                <w:b/>
                <w:color w:val="auto"/>
                <w:sz w:val="21"/>
                <w:szCs w:val="21"/>
              </w:rPr>
              <w:t>急救措施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皮肤接触</w:t>
            </w:r>
          </w:p>
        </w:tc>
        <w:tc>
          <w:tcPr>
            <w:tcW w:w="3915" w:type="pct"/>
            <w:gridSpan w:val="5"/>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脱去污染的衣着，用大量流动清水冲洗。就医。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眼睛接触</w:t>
            </w:r>
          </w:p>
        </w:tc>
        <w:tc>
          <w:tcPr>
            <w:tcW w:w="3915" w:type="pct"/>
            <w:gridSpan w:val="5"/>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提起眼睑，用流动清水或生理盐水冲洗。就医。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吸入</w:t>
            </w:r>
          </w:p>
        </w:tc>
        <w:tc>
          <w:tcPr>
            <w:tcW w:w="3915" w:type="pct"/>
            <w:gridSpan w:val="5"/>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迅速脱离现场至空气新鲜处。保持呼吸道通畅。如呼吸困难，给输氧。如呼吸停止，立即进行人工呼吸。就医。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食入</w:t>
            </w:r>
          </w:p>
        </w:tc>
        <w:tc>
          <w:tcPr>
            <w:tcW w:w="3915" w:type="pct"/>
            <w:gridSpan w:val="5"/>
            <w:tcMar>
              <w:top w:w="57" w:type="dxa"/>
              <w:left w:w="57" w:type="dxa"/>
              <w:bottom w:w="57" w:type="dxa"/>
              <w:right w:w="57" w:type="dxa"/>
            </w:tcMar>
            <w:vAlign w:val="center"/>
          </w:tcPr>
          <w:p>
            <w:pPr>
              <w:spacing w:line="312" w:lineRule="exact"/>
              <w:ind w:firstLine="0" w:firstLineChars="0"/>
              <w:rPr>
                <w:color w:val="auto"/>
                <w:sz w:val="21"/>
                <w:szCs w:val="21"/>
              </w:rPr>
            </w:pPr>
            <w:r>
              <w:rPr>
                <w:color w:val="auto"/>
                <w:sz w:val="21"/>
                <w:szCs w:val="21"/>
              </w:rPr>
              <w:t>饮足量温水，催吐。就医。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312" w:lineRule="exact"/>
              <w:ind w:firstLine="0" w:firstLineChars="0"/>
              <w:rPr>
                <w:b/>
                <w:color w:val="auto"/>
                <w:sz w:val="21"/>
                <w:szCs w:val="21"/>
              </w:rPr>
            </w:pPr>
            <w:r>
              <w:rPr>
                <w:b/>
                <w:color w:val="auto"/>
                <w:sz w:val="21"/>
                <w:szCs w:val="21"/>
              </w:rPr>
              <w:t>理化性质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tcPr>
          <w:p>
            <w:pPr>
              <w:spacing w:line="312" w:lineRule="exact"/>
              <w:ind w:firstLine="0" w:firstLineChars="0"/>
              <w:textAlignment w:val="center"/>
              <w:rPr>
                <w:bCs/>
                <w:color w:val="auto"/>
                <w:sz w:val="21"/>
                <w:szCs w:val="21"/>
              </w:rPr>
            </w:pPr>
            <w:r>
              <w:rPr>
                <w:bCs/>
                <w:color w:val="auto"/>
                <w:sz w:val="21"/>
                <w:szCs w:val="21"/>
              </w:rPr>
              <w:t>熔点（</w:t>
            </w:r>
            <w:r>
              <w:rPr>
                <w:rFonts w:hint="eastAsia" w:ascii="宋体" w:hAnsi="宋体" w:cs="宋体"/>
                <w:bCs/>
                <w:color w:val="auto"/>
                <w:sz w:val="21"/>
                <w:szCs w:val="21"/>
              </w:rPr>
              <w:t>℃</w:t>
            </w:r>
            <w:r>
              <w:rPr>
                <w:bCs/>
                <w:color w:val="auto"/>
                <w:sz w:val="21"/>
                <w:szCs w:val="21"/>
              </w:rPr>
              <w:t>）</w:t>
            </w:r>
          </w:p>
        </w:tc>
        <w:tc>
          <w:tcPr>
            <w:tcW w:w="1076" w:type="pct"/>
            <w:tcMar>
              <w:top w:w="57" w:type="dxa"/>
              <w:left w:w="57" w:type="dxa"/>
              <w:bottom w:w="57" w:type="dxa"/>
              <w:right w:w="57" w:type="dxa"/>
            </w:tcMar>
          </w:tcPr>
          <w:p>
            <w:pPr>
              <w:spacing w:line="312" w:lineRule="exact"/>
              <w:ind w:firstLine="0" w:firstLineChars="0"/>
              <w:textAlignment w:val="center"/>
              <w:rPr>
                <w:bCs/>
                <w:color w:val="auto"/>
                <w:sz w:val="21"/>
                <w:szCs w:val="21"/>
              </w:rPr>
            </w:pPr>
            <w:r>
              <w:rPr>
                <w:color w:val="auto"/>
                <w:sz w:val="21"/>
                <w:szCs w:val="21"/>
              </w:rPr>
              <w:t>无资料</w:t>
            </w:r>
          </w:p>
        </w:tc>
        <w:tc>
          <w:tcPr>
            <w:tcW w:w="1174" w:type="pct"/>
            <w:gridSpan w:val="2"/>
            <w:tcMar>
              <w:top w:w="57" w:type="dxa"/>
              <w:left w:w="57" w:type="dxa"/>
              <w:bottom w:w="57" w:type="dxa"/>
              <w:right w:w="57" w:type="dxa"/>
            </w:tcMar>
          </w:tcPr>
          <w:p>
            <w:pPr>
              <w:spacing w:line="312" w:lineRule="exact"/>
              <w:ind w:firstLine="0" w:firstLineChars="0"/>
              <w:textAlignment w:val="center"/>
              <w:rPr>
                <w:bCs/>
                <w:color w:val="auto"/>
                <w:sz w:val="21"/>
                <w:szCs w:val="21"/>
              </w:rPr>
            </w:pPr>
            <w:r>
              <w:rPr>
                <w:bCs/>
                <w:color w:val="auto"/>
                <w:sz w:val="21"/>
                <w:szCs w:val="21"/>
              </w:rPr>
              <w:t>沸点（</w:t>
            </w:r>
            <w:r>
              <w:rPr>
                <w:rFonts w:hint="eastAsia" w:ascii="宋体" w:hAnsi="宋体" w:cs="宋体"/>
                <w:bCs/>
                <w:color w:val="auto"/>
                <w:sz w:val="21"/>
                <w:szCs w:val="21"/>
              </w:rPr>
              <w:t>℃</w:t>
            </w:r>
            <w:r>
              <w:rPr>
                <w:bCs/>
                <w:color w:val="auto"/>
                <w:sz w:val="21"/>
                <w:szCs w:val="21"/>
              </w:rPr>
              <w:t>）</w:t>
            </w:r>
          </w:p>
        </w:tc>
        <w:tc>
          <w:tcPr>
            <w:tcW w:w="1664" w:type="pct"/>
            <w:gridSpan w:val="2"/>
            <w:tcMar>
              <w:top w:w="57" w:type="dxa"/>
              <w:left w:w="57" w:type="dxa"/>
              <w:bottom w:w="57" w:type="dxa"/>
              <w:right w:w="57" w:type="dxa"/>
            </w:tcMar>
          </w:tcPr>
          <w:p>
            <w:pPr>
              <w:spacing w:line="312" w:lineRule="exact"/>
              <w:ind w:firstLine="0" w:firstLineChars="0"/>
              <w:textAlignment w:val="center"/>
              <w:rPr>
                <w:bCs/>
                <w:color w:val="auto"/>
                <w:sz w:val="21"/>
                <w:szCs w:val="21"/>
              </w:rPr>
            </w:pPr>
            <w:r>
              <w:rPr>
                <w:color w:val="auto"/>
                <w:sz w:val="21"/>
                <w:szCs w:val="21"/>
              </w:rPr>
              <w:t>无资料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tcPr>
          <w:p>
            <w:pPr>
              <w:spacing w:line="312" w:lineRule="exact"/>
              <w:ind w:firstLine="0" w:firstLineChars="0"/>
              <w:textAlignment w:val="center"/>
              <w:rPr>
                <w:bCs/>
                <w:color w:val="auto"/>
                <w:sz w:val="21"/>
                <w:szCs w:val="21"/>
              </w:rPr>
            </w:pPr>
            <w:r>
              <w:rPr>
                <w:bCs/>
                <w:color w:val="auto"/>
                <w:sz w:val="21"/>
                <w:szCs w:val="21"/>
              </w:rPr>
              <w:t>闪点（</w:t>
            </w:r>
            <w:r>
              <w:rPr>
                <w:rFonts w:hint="eastAsia" w:ascii="宋体" w:hAnsi="宋体" w:cs="宋体"/>
                <w:bCs/>
                <w:color w:val="auto"/>
                <w:sz w:val="21"/>
                <w:szCs w:val="21"/>
              </w:rPr>
              <w:t>℃</w:t>
            </w:r>
            <w:r>
              <w:rPr>
                <w:bCs/>
                <w:color w:val="auto"/>
                <w:sz w:val="21"/>
                <w:szCs w:val="21"/>
              </w:rPr>
              <w:t>）</w:t>
            </w:r>
          </w:p>
        </w:tc>
        <w:tc>
          <w:tcPr>
            <w:tcW w:w="1076" w:type="pct"/>
            <w:tcMar>
              <w:top w:w="57" w:type="dxa"/>
              <w:left w:w="57" w:type="dxa"/>
              <w:bottom w:w="57" w:type="dxa"/>
              <w:right w:w="57" w:type="dxa"/>
            </w:tcMar>
          </w:tcPr>
          <w:p>
            <w:pPr>
              <w:spacing w:line="312" w:lineRule="exact"/>
              <w:ind w:firstLine="0" w:firstLineChars="0"/>
              <w:textAlignment w:val="center"/>
              <w:rPr>
                <w:color w:val="auto"/>
                <w:sz w:val="21"/>
                <w:szCs w:val="21"/>
              </w:rPr>
            </w:pPr>
            <w:r>
              <w:rPr>
                <w:color w:val="auto"/>
                <w:sz w:val="21"/>
                <w:szCs w:val="21"/>
              </w:rPr>
              <w:t>76</w:t>
            </w:r>
          </w:p>
        </w:tc>
        <w:tc>
          <w:tcPr>
            <w:tcW w:w="1174" w:type="pct"/>
            <w:gridSpan w:val="2"/>
            <w:tcMar>
              <w:top w:w="57" w:type="dxa"/>
              <w:left w:w="57" w:type="dxa"/>
              <w:bottom w:w="57" w:type="dxa"/>
              <w:right w:w="57" w:type="dxa"/>
            </w:tcMar>
          </w:tcPr>
          <w:p>
            <w:pPr>
              <w:spacing w:line="312" w:lineRule="exact"/>
              <w:ind w:firstLine="0" w:firstLineChars="0"/>
              <w:textAlignment w:val="center"/>
              <w:rPr>
                <w:bCs/>
                <w:color w:val="auto"/>
                <w:sz w:val="21"/>
                <w:szCs w:val="21"/>
              </w:rPr>
            </w:pPr>
            <w:r>
              <w:rPr>
                <w:bCs/>
                <w:color w:val="auto"/>
                <w:sz w:val="21"/>
                <w:szCs w:val="21"/>
              </w:rPr>
              <w:t>引燃温度（</w:t>
            </w:r>
            <w:r>
              <w:rPr>
                <w:rFonts w:hint="eastAsia" w:ascii="宋体" w:hAnsi="宋体" w:cs="宋体"/>
                <w:bCs/>
                <w:color w:val="auto"/>
                <w:sz w:val="21"/>
                <w:szCs w:val="21"/>
              </w:rPr>
              <w:t>℃</w:t>
            </w:r>
            <w:r>
              <w:rPr>
                <w:bCs/>
                <w:color w:val="auto"/>
                <w:sz w:val="21"/>
                <w:szCs w:val="21"/>
              </w:rPr>
              <w:t>）</w:t>
            </w:r>
          </w:p>
        </w:tc>
        <w:tc>
          <w:tcPr>
            <w:tcW w:w="1664" w:type="pct"/>
            <w:gridSpan w:val="2"/>
            <w:tcMar>
              <w:top w:w="57" w:type="dxa"/>
              <w:left w:w="57" w:type="dxa"/>
              <w:bottom w:w="57" w:type="dxa"/>
              <w:right w:w="57" w:type="dxa"/>
            </w:tcMar>
          </w:tcPr>
          <w:p>
            <w:pPr>
              <w:spacing w:line="312" w:lineRule="exact"/>
              <w:ind w:firstLine="0" w:firstLineChars="0"/>
              <w:textAlignment w:val="center"/>
              <w:rPr>
                <w:color w:val="auto"/>
                <w:sz w:val="21"/>
                <w:szCs w:val="21"/>
              </w:rPr>
            </w:pPr>
            <w:r>
              <w:rPr>
                <w:color w:val="auto"/>
                <w:sz w:val="21"/>
                <w:szCs w:val="21"/>
              </w:rPr>
              <w:t>248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tcPr>
          <w:p>
            <w:pPr>
              <w:spacing w:line="312" w:lineRule="exact"/>
              <w:ind w:firstLine="0" w:firstLineChars="0"/>
              <w:textAlignment w:val="center"/>
              <w:rPr>
                <w:bCs/>
                <w:color w:val="auto"/>
                <w:sz w:val="21"/>
                <w:szCs w:val="21"/>
              </w:rPr>
            </w:pPr>
            <w:r>
              <w:rPr>
                <w:bCs/>
                <w:color w:val="auto"/>
                <w:sz w:val="21"/>
                <w:szCs w:val="21"/>
              </w:rPr>
              <w:t>相对密度（水＝1）</w:t>
            </w:r>
          </w:p>
        </w:tc>
        <w:tc>
          <w:tcPr>
            <w:tcW w:w="1076" w:type="pct"/>
            <w:tcMar>
              <w:top w:w="57" w:type="dxa"/>
              <w:left w:w="57" w:type="dxa"/>
              <w:bottom w:w="57" w:type="dxa"/>
              <w:right w:w="57" w:type="dxa"/>
            </w:tcMar>
          </w:tcPr>
          <w:p>
            <w:pPr>
              <w:spacing w:line="312" w:lineRule="exact"/>
              <w:ind w:firstLine="0" w:firstLineChars="0"/>
              <w:textAlignment w:val="center"/>
              <w:rPr>
                <w:bCs/>
                <w:color w:val="auto"/>
                <w:sz w:val="21"/>
                <w:szCs w:val="21"/>
              </w:rPr>
            </w:pPr>
            <w:r>
              <w:rPr>
                <w:color w:val="auto"/>
                <w:sz w:val="21"/>
                <w:szCs w:val="21"/>
              </w:rPr>
              <w:t>〈1</w:t>
            </w:r>
          </w:p>
        </w:tc>
        <w:tc>
          <w:tcPr>
            <w:tcW w:w="1174" w:type="pct"/>
            <w:gridSpan w:val="2"/>
            <w:tcMar>
              <w:top w:w="57" w:type="dxa"/>
              <w:left w:w="57" w:type="dxa"/>
              <w:bottom w:w="57" w:type="dxa"/>
              <w:right w:w="57" w:type="dxa"/>
            </w:tcMar>
          </w:tcPr>
          <w:p>
            <w:pPr>
              <w:spacing w:line="312" w:lineRule="exact"/>
              <w:ind w:firstLine="0" w:firstLineChars="0"/>
              <w:textAlignment w:val="center"/>
              <w:rPr>
                <w:bCs/>
                <w:color w:val="auto"/>
                <w:sz w:val="21"/>
                <w:szCs w:val="21"/>
              </w:rPr>
            </w:pPr>
            <w:r>
              <w:rPr>
                <w:bCs/>
                <w:color w:val="auto"/>
                <w:sz w:val="21"/>
                <w:szCs w:val="21"/>
              </w:rPr>
              <w:t>相对密度（空气＝1）</w:t>
            </w:r>
          </w:p>
        </w:tc>
        <w:tc>
          <w:tcPr>
            <w:tcW w:w="1664" w:type="pct"/>
            <w:gridSpan w:val="2"/>
            <w:tcMar>
              <w:top w:w="57" w:type="dxa"/>
              <w:left w:w="57" w:type="dxa"/>
              <w:bottom w:w="57" w:type="dxa"/>
              <w:right w:w="57" w:type="dxa"/>
            </w:tcMar>
          </w:tcPr>
          <w:p>
            <w:pPr>
              <w:spacing w:line="312" w:lineRule="exact"/>
              <w:ind w:firstLine="0" w:firstLineChars="0"/>
              <w:textAlignment w:val="center"/>
              <w:rPr>
                <w:bCs/>
                <w:color w:val="auto"/>
                <w:sz w:val="21"/>
                <w:szCs w:val="21"/>
              </w:rPr>
            </w:pPr>
            <w:r>
              <w:rPr>
                <w:color w:val="auto"/>
                <w:sz w:val="21"/>
                <w:szCs w:val="21"/>
              </w:rPr>
              <w:t>无资料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tcPr>
          <w:p>
            <w:pPr>
              <w:spacing w:line="312" w:lineRule="exact"/>
              <w:ind w:firstLine="0" w:firstLineChars="0"/>
              <w:textAlignment w:val="center"/>
              <w:rPr>
                <w:bCs/>
                <w:color w:val="auto"/>
                <w:sz w:val="21"/>
                <w:szCs w:val="21"/>
              </w:rPr>
            </w:pPr>
            <w:r>
              <w:rPr>
                <w:bCs/>
                <w:color w:val="auto"/>
                <w:sz w:val="21"/>
                <w:szCs w:val="21"/>
              </w:rPr>
              <w:t>pH值</w:t>
            </w:r>
          </w:p>
        </w:tc>
        <w:tc>
          <w:tcPr>
            <w:tcW w:w="1076" w:type="pct"/>
            <w:tcMar>
              <w:top w:w="57" w:type="dxa"/>
              <w:left w:w="57" w:type="dxa"/>
              <w:bottom w:w="57" w:type="dxa"/>
              <w:right w:w="57" w:type="dxa"/>
            </w:tcMar>
          </w:tcPr>
          <w:p>
            <w:pPr>
              <w:spacing w:line="312" w:lineRule="exact"/>
              <w:ind w:firstLine="0" w:firstLineChars="0"/>
              <w:textAlignment w:val="center"/>
              <w:rPr>
                <w:color w:val="auto"/>
                <w:sz w:val="21"/>
                <w:szCs w:val="21"/>
              </w:rPr>
            </w:pPr>
            <w:r>
              <w:rPr>
                <w:color w:val="auto"/>
                <w:sz w:val="21"/>
                <w:szCs w:val="21"/>
              </w:rPr>
              <w:t>无意义</w:t>
            </w:r>
          </w:p>
        </w:tc>
        <w:tc>
          <w:tcPr>
            <w:tcW w:w="1174" w:type="pct"/>
            <w:gridSpan w:val="2"/>
            <w:tcMar>
              <w:top w:w="57" w:type="dxa"/>
              <w:left w:w="57" w:type="dxa"/>
              <w:bottom w:w="57" w:type="dxa"/>
              <w:right w:w="57" w:type="dxa"/>
            </w:tcMar>
          </w:tcPr>
          <w:p>
            <w:pPr>
              <w:spacing w:line="312" w:lineRule="exact"/>
              <w:ind w:firstLine="0" w:firstLineChars="0"/>
              <w:textAlignment w:val="center"/>
              <w:rPr>
                <w:bCs/>
                <w:color w:val="auto"/>
                <w:sz w:val="21"/>
                <w:szCs w:val="21"/>
              </w:rPr>
            </w:pPr>
            <w:r>
              <w:rPr>
                <w:bCs/>
                <w:color w:val="auto"/>
                <w:sz w:val="21"/>
                <w:szCs w:val="21"/>
              </w:rPr>
              <w:t>辛醇/水分配系数</w:t>
            </w:r>
          </w:p>
        </w:tc>
        <w:tc>
          <w:tcPr>
            <w:tcW w:w="1664" w:type="pct"/>
            <w:gridSpan w:val="2"/>
            <w:tcMar>
              <w:top w:w="57" w:type="dxa"/>
              <w:left w:w="57" w:type="dxa"/>
              <w:bottom w:w="57" w:type="dxa"/>
              <w:right w:w="57" w:type="dxa"/>
            </w:tcMar>
          </w:tcPr>
          <w:p>
            <w:pPr>
              <w:spacing w:line="312" w:lineRule="exact"/>
              <w:ind w:firstLine="0" w:firstLineChars="0"/>
              <w:textAlignment w:val="center"/>
              <w:rPr>
                <w:color w:val="auto"/>
                <w:sz w:val="21"/>
                <w:szCs w:val="21"/>
              </w:rPr>
            </w:pPr>
            <w:r>
              <w:rPr>
                <w:color w:val="auto"/>
                <w:sz w:val="21"/>
                <w:szCs w:val="21"/>
              </w:rPr>
              <w:t>无资料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tcPr>
          <w:p>
            <w:pPr>
              <w:spacing w:line="312" w:lineRule="exact"/>
              <w:ind w:firstLine="0" w:firstLineChars="0"/>
              <w:textAlignment w:val="center"/>
              <w:rPr>
                <w:bCs/>
                <w:color w:val="auto"/>
                <w:sz w:val="21"/>
                <w:szCs w:val="21"/>
              </w:rPr>
            </w:pPr>
            <w:r>
              <w:rPr>
                <w:bCs/>
                <w:color w:val="auto"/>
                <w:sz w:val="21"/>
                <w:szCs w:val="21"/>
              </w:rPr>
              <w:t>爆炸上限％（V/V）</w:t>
            </w:r>
          </w:p>
        </w:tc>
        <w:tc>
          <w:tcPr>
            <w:tcW w:w="1076" w:type="pct"/>
            <w:tcMar>
              <w:top w:w="57" w:type="dxa"/>
              <w:left w:w="57" w:type="dxa"/>
              <w:bottom w:w="57" w:type="dxa"/>
              <w:right w:w="57" w:type="dxa"/>
            </w:tcMar>
          </w:tcPr>
          <w:p>
            <w:pPr>
              <w:spacing w:line="312" w:lineRule="exact"/>
              <w:ind w:firstLine="0" w:firstLineChars="0"/>
              <w:textAlignment w:val="center"/>
              <w:rPr>
                <w:bCs/>
                <w:color w:val="auto"/>
                <w:sz w:val="21"/>
                <w:szCs w:val="21"/>
              </w:rPr>
            </w:pPr>
            <w:r>
              <w:rPr>
                <w:color w:val="auto"/>
                <w:sz w:val="21"/>
                <w:szCs w:val="21"/>
              </w:rPr>
              <w:t>无资料</w:t>
            </w:r>
          </w:p>
        </w:tc>
        <w:tc>
          <w:tcPr>
            <w:tcW w:w="1174" w:type="pct"/>
            <w:gridSpan w:val="2"/>
            <w:tcMar>
              <w:top w:w="57" w:type="dxa"/>
              <w:left w:w="57" w:type="dxa"/>
              <w:bottom w:w="57" w:type="dxa"/>
              <w:right w:w="57" w:type="dxa"/>
            </w:tcMar>
          </w:tcPr>
          <w:p>
            <w:pPr>
              <w:spacing w:line="312" w:lineRule="exact"/>
              <w:ind w:firstLine="0" w:firstLineChars="0"/>
              <w:textAlignment w:val="center"/>
              <w:rPr>
                <w:bCs/>
                <w:color w:val="auto"/>
                <w:sz w:val="21"/>
                <w:szCs w:val="21"/>
              </w:rPr>
            </w:pPr>
            <w:r>
              <w:rPr>
                <w:bCs/>
                <w:color w:val="auto"/>
                <w:sz w:val="21"/>
                <w:szCs w:val="21"/>
              </w:rPr>
              <w:t>爆炸下限％（V/V）</w:t>
            </w:r>
          </w:p>
        </w:tc>
        <w:tc>
          <w:tcPr>
            <w:tcW w:w="1664" w:type="pct"/>
            <w:gridSpan w:val="2"/>
            <w:tcMar>
              <w:top w:w="57" w:type="dxa"/>
              <w:left w:w="57" w:type="dxa"/>
              <w:bottom w:w="57" w:type="dxa"/>
              <w:right w:w="57" w:type="dxa"/>
            </w:tcMar>
          </w:tcPr>
          <w:p>
            <w:pPr>
              <w:spacing w:line="312" w:lineRule="exact"/>
              <w:ind w:firstLine="0" w:firstLineChars="0"/>
              <w:textAlignment w:val="center"/>
              <w:rPr>
                <w:bCs/>
                <w:color w:val="auto"/>
                <w:sz w:val="21"/>
                <w:szCs w:val="21"/>
              </w:rPr>
            </w:pPr>
            <w:r>
              <w:rPr>
                <w:color w:val="auto"/>
                <w:sz w:val="21"/>
                <w:szCs w:val="21"/>
              </w:rPr>
              <w:t>无资料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tcPr>
          <w:p>
            <w:pPr>
              <w:spacing w:line="312" w:lineRule="exact"/>
              <w:ind w:firstLine="0" w:firstLineChars="0"/>
              <w:textAlignment w:val="center"/>
              <w:rPr>
                <w:bCs/>
                <w:color w:val="auto"/>
                <w:sz w:val="21"/>
                <w:szCs w:val="21"/>
              </w:rPr>
            </w:pPr>
            <w:r>
              <w:rPr>
                <w:bCs/>
                <w:color w:val="auto"/>
                <w:sz w:val="21"/>
                <w:szCs w:val="21"/>
              </w:rPr>
              <w:t>燃烧热（kJ/mol）</w:t>
            </w:r>
          </w:p>
        </w:tc>
        <w:tc>
          <w:tcPr>
            <w:tcW w:w="1076" w:type="pct"/>
            <w:tcMar>
              <w:top w:w="57" w:type="dxa"/>
              <w:left w:w="57" w:type="dxa"/>
              <w:bottom w:w="57" w:type="dxa"/>
              <w:right w:w="57" w:type="dxa"/>
            </w:tcMar>
          </w:tcPr>
          <w:p>
            <w:pPr>
              <w:spacing w:line="312" w:lineRule="exact"/>
              <w:ind w:firstLine="0" w:firstLineChars="0"/>
              <w:textAlignment w:val="center"/>
              <w:rPr>
                <w:bCs/>
                <w:color w:val="auto"/>
                <w:sz w:val="21"/>
                <w:szCs w:val="21"/>
              </w:rPr>
            </w:pPr>
            <w:r>
              <w:rPr>
                <w:color w:val="auto"/>
                <w:sz w:val="21"/>
                <w:szCs w:val="21"/>
              </w:rPr>
              <w:t>无资料</w:t>
            </w:r>
          </w:p>
        </w:tc>
        <w:tc>
          <w:tcPr>
            <w:tcW w:w="1174" w:type="pct"/>
            <w:gridSpan w:val="2"/>
            <w:tcMar>
              <w:top w:w="57" w:type="dxa"/>
              <w:left w:w="57" w:type="dxa"/>
              <w:bottom w:w="57" w:type="dxa"/>
              <w:right w:w="57" w:type="dxa"/>
            </w:tcMar>
          </w:tcPr>
          <w:p>
            <w:pPr>
              <w:spacing w:line="312" w:lineRule="exact"/>
              <w:ind w:firstLine="0" w:firstLineChars="0"/>
              <w:textAlignment w:val="center"/>
              <w:rPr>
                <w:bCs/>
                <w:color w:val="auto"/>
                <w:sz w:val="21"/>
                <w:szCs w:val="21"/>
              </w:rPr>
            </w:pPr>
            <w:r>
              <w:rPr>
                <w:bCs/>
                <w:color w:val="auto"/>
                <w:sz w:val="21"/>
                <w:szCs w:val="21"/>
              </w:rPr>
              <w:t>临界温度（</w:t>
            </w:r>
            <w:r>
              <w:rPr>
                <w:rFonts w:hint="eastAsia" w:ascii="宋体" w:hAnsi="宋体" w:cs="宋体"/>
                <w:bCs/>
                <w:color w:val="auto"/>
                <w:sz w:val="21"/>
                <w:szCs w:val="21"/>
              </w:rPr>
              <w:t>℃</w:t>
            </w:r>
            <w:r>
              <w:rPr>
                <w:bCs/>
                <w:color w:val="auto"/>
                <w:sz w:val="21"/>
                <w:szCs w:val="21"/>
              </w:rPr>
              <w:t>）</w:t>
            </w:r>
          </w:p>
        </w:tc>
        <w:tc>
          <w:tcPr>
            <w:tcW w:w="1664" w:type="pct"/>
            <w:gridSpan w:val="2"/>
            <w:tcMar>
              <w:top w:w="57" w:type="dxa"/>
              <w:left w:w="57" w:type="dxa"/>
              <w:bottom w:w="57" w:type="dxa"/>
              <w:right w:w="57" w:type="dxa"/>
            </w:tcMar>
          </w:tcPr>
          <w:p>
            <w:pPr>
              <w:spacing w:line="312" w:lineRule="exact"/>
              <w:ind w:firstLine="0" w:firstLineChars="0"/>
              <w:textAlignment w:val="center"/>
              <w:rPr>
                <w:bCs/>
                <w:color w:val="auto"/>
                <w:sz w:val="21"/>
                <w:szCs w:val="21"/>
              </w:rPr>
            </w:pPr>
            <w:r>
              <w:rPr>
                <w:color w:val="auto"/>
                <w:sz w:val="21"/>
                <w:szCs w:val="21"/>
              </w:rPr>
              <w:t>无资料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tcPr>
          <w:p>
            <w:pPr>
              <w:spacing w:line="312" w:lineRule="exact"/>
              <w:ind w:firstLine="0" w:firstLineChars="0"/>
              <w:textAlignment w:val="center"/>
              <w:rPr>
                <w:b/>
                <w:bCs/>
                <w:color w:val="auto"/>
                <w:sz w:val="21"/>
                <w:szCs w:val="21"/>
              </w:rPr>
            </w:pPr>
            <w:r>
              <w:rPr>
                <w:bCs/>
                <w:color w:val="auto"/>
                <w:sz w:val="21"/>
                <w:szCs w:val="21"/>
              </w:rPr>
              <w:t>临界压力（MPa）</w:t>
            </w:r>
          </w:p>
        </w:tc>
        <w:tc>
          <w:tcPr>
            <w:tcW w:w="3915" w:type="pct"/>
            <w:gridSpan w:val="5"/>
            <w:tcMar>
              <w:top w:w="57" w:type="dxa"/>
              <w:left w:w="57" w:type="dxa"/>
              <w:bottom w:w="57" w:type="dxa"/>
              <w:right w:w="57" w:type="dxa"/>
            </w:tcMar>
          </w:tcPr>
          <w:p>
            <w:pPr>
              <w:spacing w:line="312" w:lineRule="exact"/>
              <w:ind w:firstLine="0" w:firstLineChars="0"/>
              <w:textAlignment w:val="center"/>
              <w:rPr>
                <w:b/>
                <w:bCs/>
                <w:color w:val="auto"/>
                <w:sz w:val="21"/>
                <w:szCs w:val="21"/>
              </w:rPr>
            </w:pPr>
            <w:r>
              <w:rPr>
                <w:color w:val="auto"/>
                <w:sz w:val="21"/>
                <w:szCs w:val="21"/>
              </w:rPr>
              <w:t>无资料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tcPr>
          <w:p>
            <w:pPr>
              <w:spacing w:line="312" w:lineRule="exact"/>
              <w:ind w:firstLine="0" w:firstLineChars="0"/>
              <w:textAlignment w:val="center"/>
              <w:rPr>
                <w:b/>
                <w:bCs/>
                <w:color w:val="auto"/>
                <w:sz w:val="21"/>
                <w:szCs w:val="21"/>
              </w:rPr>
            </w:pPr>
            <w:r>
              <w:rPr>
                <w:bCs/>
                <w:color w:val="auto"/>
                <w:sz w:val="21"/>
                <w:szCs w:val="21"/>
              </w:rPr>
              <w:t>溶解性</w:t>
            </w:r>
          </w:p>
        </w:tc>
        <w:tc>
          <w:tcPr>
            <w:tcW w:w="3915" w:type="pct"/>
            <w:gridSpan w:val="5"/>
            <w:tcMar>
              <w:top w:w="57" w:type="dxa"/>
              <w:left w:w="57" w:type="dxa"/>
              <w:bottom w:w="57" w:type="dxa"/>
              <w:right w:w="57" w:type="dxa"/>
            </w:tcMar>
          </w:tcPr>
          <w:p>
            <w:pPr>
              <w:spacing w:line="312" w:lineRule="exact"/>
              <w:ind w:firstLine="0" w:firstLineChars="0"/>
              <w:textAlignment w:val="center"/>
              <w:rPr>
                <w:b/>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tcPr>
          <w:p>
            <w:pPr>
              <w:spacing w:line="312" w:lineRule="exact"/>
              <w:ind w:firstLine="0" w:firstLineChars="0"/>
              <w:textAlignment w:val="center"/>
              <w:rPr>
                <w:b/>
                <w:bCs/>
                <w:color w:val="auto"/>
                <w:sz w:val="21"/>
                <w:szCs w:val="21"/>
              </w:rPr>
            </w:pPr>
            <w:r>
              <w:rPr>
                <w:bCs/>
                <w:color w:val="auto"/>
                <w:sz w:val="21"/>
                <w:szCs w:val="21"/>
              </w:rPr>
              <w:t>主要用途</w:t>
            </w:r>
            <w:r>
              <w:rPr>
                <w:b/>
                <w:bCs/>
                <w:color w:val="auto"/>
                <w:sz w:val="21"/>
                <w:szCs w:val="21"/>
              </w:rPr>
              <w:t xml:space="preserve"> </w:t>
            </w:r>
          </w:p>
        </w:tc>
        <w:tc>
          <w:tcPr>
            <w:tcW w:w="3915" w:type="pct"/>
            <w:gridSpan w:val="5"/>
            <w:tcMar>
              <w:top w:w="57" w:type="dxa"/>
              <w:left w:w="57" w:type="dxa"/>
              <w:bottom w:w="57" w:type="dxa"/>
              <w:right w:w="57" w:type="dxa"/>
            </w:tcMar>
          </w:tcPr>
          <w:p>
            <w:pPr>
              <w:spacing w:line="312" w:lineRule="exact"/>
              <w:ind w:firstLine="0" w:firstLineChars="0"/>
              <w:textAlignment w:val="center"/>
              <w:rPr>
                <w:color w:val="auto"/>
                <w:sz w:val="21"/>
                <w:szCs w:val="21"/>
              </w:rPr>
            </w:pPr>
            <w:r>
              <w:rPr>
                <w:color w:val="auto"/>
                <w:sz w:val="21"/>
                <w:szCs w:val="21"/>
              </w:rPr>
              <w:t>用于机械的摩擦部分, 起润滑、冷却和密封作用。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tcPr>
          <w:p>
            <w:pPr>
              <w:spacing w:line="312" w:lineRule="exact"/>
              <w:ind w:firstLine="0" w:firstLineChars="0"/>
              <w:textAlignment w:val="center"/>
              <w:rPr>
                <w:b/>
                <w:bCs/>
                <w:color w:val="auto"/>
                <w:sz w:val="21"/>
                <w:szCs w:val="21"/>
              </w:rPr>
            </w:pPr>
            <w:r>
              <w:rPr>
                <w:b/>
                <w:bCs/>
                <w:color w:val="auto"/>
                <w:sz w:val="21"/>
                <w:szCs w:val="21"/>
              </w:rPr>
              <w:t>稳定性和反应活性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tcPr>
          <w:p>
            <w:pPr>
              <w:spacing w:line="312" w:lineRule="exact"/>
              <w:ind w:firstLine="0" w:firstLineChars="0"/>
              <w:textAlignment w:val="center"/>
              <w:rPr>
                <w:bCs/>
                <w:color w:val="auto"/>
                <w:sz w:val="21"/>
                <w:szCs w:val="21"/>
              </w:rPr>
            </w:pPr>
            <w:r>
              <w:rPr>
                <w:bCs/>
                <w:color w:val="auto"/>
                <w:sz w:val="21"/>
                <w:szCs w:val="21"/>
              </w:rPr>
              <w:t>稳定性</w:t>
            </w:r>
          </w:p>
        </w:tc>
        <w:tc>
          <w:tcPr>
            <w:tcW w:w="1271" w:type="pct"/>
            <w:gridSpan w:val="2"/>
            <w:tcMar>
              <w:top w:w="57" w:type="dxa"/>
              <w:left w:w="57" w:type="dxa"/>
              <w:bottom w:w="57" w:type="dxa"/>
              <w:right w:w="57" w:type="dxa"/>
            </w:tcMar>
          </w:tcPr>
          <w:p>
            <w:pPr>
              <w:spacing w:line="312" w:lineRule="exact"/>
              <w:ind w:firstLine="0" w:firstLineChars="0"/>
              <w:textAlignment w:val="center"/>
              <w:rPr>
                <w:bCs/>
                <w:color w:val="auto"/>
                <w:sz w:val="21"/>
                <w:szCs w:val="21"/>
              </w:rPr>
            </w:pPr>
            <w:r>
              <w:rPr>
                <w:color w:val="auto"/>
                <w:sz w:val="21"/>
                <w:szCs w:val="21"/>
              </w:rPr>
              <w:t>稳定</w:t>
            </w:r>
          </w:p>
        </w:tc>
        <w:tc>
          <w:tcPr>
            <w:tcW w:w="1271" w:type="pct"/>
            <w:gridSpan w:val="2"/>
            <w:tcMar>
              <w:top w:w="57" w:type="dxa"/>
              <w:left w:w="57" w:type="dxa"/>
              <w:bottom w:w="57" w:type="dxa"/>
              <w:right w:w="57" w:type="dxa"/>
            </w:tcMar>
          </w:tcPr>
          <w:p>
            <w:pPr>
              <w:spacing w:line="312" w:lineRule="exact"/>
              <w:ind w:firstLine="0" w:firstLineChars="0"/>
              <w:textAlignment w:val="center"/>
              <w:rPr>
                <w:bCs/>
                <w:color w:val="auto"/>
                <w:sz w:val="21"/>
                <w:szCs w:val="21"/>
              </w:rPr>
            </w:pPr>
            <w:r>
              <w:rPr>
                <w:bCs/>
                <w:color w:val="auto"/>
                <w:sz w:val="21"/>
                <w:szCs w:val="21"/>
              </w:rPr>
              <w:t>聚合危害</w:t>
            </w:r>
          </w:p>
        </w:tc>
        <w:tc>
          <w:tcPr>
            <w:tcW w:w="1371" w:type="pct"/>
            <w:tcMar>
              <w:top w:w="57" w:type="dxa"/>
              <w:left w:w="57" w:type="dxa"/>
              <w:bottom w:w="57" w:type="dxa"/>
              <w:right w:w="57" w:type="dxa"/>
            </w:tcMar>
          </w:tcPr>
          <w:p>
            <w:pPr>
              <w:spacing w:line="312" w:lineRule="exact"/>
              <w:ind w:firstLine="0" w:firstLineChars="0"/>
              <w:textAlignment w:val="center"/>
              <w:rPr>
                <w:bCs/>
                <w:color w:val="auto"/>
                <w:sz w:val="21"/>
                <w:szCs w:val="21"/>
              </w:rPr>
            </w:pPr>
            <w:r>
              <w:rPr>
                <w:color w:val="auto"/>
                <w:sz w:val="21"/>
                <w:szCs w:val="21"/>
              </w:rPr>
              <w:t>不聚合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4" w:type="pct"/>
            <w:tcMar>
              <w:top w:w="57" w:type="dxa"/>
              <w:left w:w="57" w:type="dxa"/>
              <w:bottom w:w="57" w:type="dxa"/>
              <w:right w:w="57" w:type="dxa"/>
            </w:tcMar>
          </w:tcPr>
          <w:p>
            <w:pPr>
              <w:spacing w:line="312" w:lineRule="exact"/>
              <w:ind w:firstLine="0" w:firstLineChars="0"/>
              <w:textAlignment w:val="center"/>
              <w:rPr>
                <w:bCs/>
                <w:color w:val="auto"/>
                <w:sz w:val="21"/>
                <w:szCs w:val="21"/>
              </w:rPr>
            </w:pPr>
            <w:r>
              <w:rPr>
                <w:bCs/>
                <w:color w:val="auto"/>
                <w:sz w:val="21"/>
                <w:szCs w:val="21"/>
              </w:rPr>
              <w:t>禁忌物</w:t>
            </w:r>
          </w:p>
        </w:tc>
        <w:tc>
          <w:tcPr>
            <w:tcW w:w="3915" w:type="pct"/>
            <w:gridSpan w:val="5"/>
            <w:tcMar>
              <w:top w:w="57" w:type="dxa"/>
              <w:left w:w="57" w:type="dxa"/>
              <w:bottom w:w="57" w:type="dxa"/>
              <w:right w:w="57" w:type="dxa"/>
            </w:tcMar>
          </w:tcPr>
          <w:p>
            <w:pPr>
              <w:spacing w:line="312" w:lineRule="exact"/>
              <w:ind w:firstLine="0" w:firstLineChars="0"/>
              <w:textAlignment w:val="center"/>
              <w:rPr>
                <w:bCs/>
                <w:color w:val="auto"/>
                <w:sz w:val="21"/>
                <w:szCs w:val="21"/>
              </w:rPr>
            </w:pPr>
            <w:r>
              <w:rPr>
                <w:color w:val="auto"/>
                <w:sz w:val="21"/>
                <w:szCs w:val="21"/>
              </w:rPr>
              <w:t>强氧化剂。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tcPr>
          <w:p>
            <w:pPr>
              <w:spacing w:line="312" w:lineRule="exact"/>
              <w:ind w:firstLine="0" w:firstLineChars="0"/>
              <w:textAlignment w:val="center"/>
              <w:rPr>
                <w:bCs/>
                <w:color w:val="auto"/>
                <w:sz w:val="21"/>
                <w:szCs w:val="21"/>
              </w:rPr>
            </w:pPr>
            <w:r>
              <w:rPr>
                <w:b/>
                <w:bCs/>
                <w:color w:val="auto"/>
                <w:sz w:val="21"/>
                <w:szCs w:val="21"/>
              </w:rPr>
              <w:t>操作处置注意事项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tcPr>
          <w:p>
            <w:pPr>
              <w:spacing w:line="312" w:lineRule="exact"/>
              <w:ind w:firstLine="0" w:firstLineChars="0"/>
              <w:textAlignment w:val="center"/>
              <w:rPr>
                <w:b/>
                <w:bCs/>
                <w:color w:val="auto"/>
                <w:sz w:val="21"/>
                <w:szCs w:val="21"/>
              </w:rPr>
            </w:pPr>
            <w:r>
              <w:rPr>
                <w:color w:val="auto"/>
                <w:sz w:val="21"/>
                <w:szCs w:val="21"/>
              </w:rPr>
              <w:t>密闭操作，注意通风。操作人员必须经过专门培训，严格遵守操作规程。建议操作人员佩戴自吸过滤式防毒面具（半面罩），戴化学安全防护眼镜，穿防毒物渗透工作服，戴橡胶耐油手套。远离火种、热源，工作场所严禁吸烟。使用防爆型的通风系统和设备。防止蒸气泄漏到工作场所空气中。避免与氧化剂接触。搬运时要轻装轻卸，防止包装及容器损坏。配备相应品种和数量的消防器材及泄漏应急处理设备。倒空的容器可能残留有害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tcPr>
          <w:p>
            <w:pPr>
              <w:spacing w:line="312" w:lineRule="exact"/>
              <w:ind w:firstLine="0" w:firstLineChars="0"/>
              <w:textAlignment w:val="center"/>
              <w:rPr>
                <w:b/>
                <w:bCs/>
                <w:color w:val="auto"/>
                <w:sz w:val="21"/>
                <w:szCs w:val="21"/>
              </w:rPr>
            </w:pPr>
            <w:r>
              <w:rPr>
                <w:b/>
                <w:bCs/>
                <w:color w:val="auto"/>
                <w:sz w:val="21"/>
                <w:szCs w:val="21"/>
              </w:rPr>
              <w:t>废弃处置方法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tcPr>
          <w:p>
            <w:pPr>
              <w:spacing w:line="312" w:lineRule="exact"/>
              <w:ind w:firstLine="0" w:firstLineChars="0"/>
              <w:textAlignment w:val="center"/>
              <w:rPr>
                <w:b/>
                <w:bCs/>
                <w:color w:val="auto"/>
                <w:sz w:val="21"/>
                <w:szCs w:val="21"/>
              </w:rPr>
            </w:pPr>
            <w:r>
              <w:rPr>
                <w:color w:val="auto"/>
                <w:sz w:val="21"/>
                <w:szCs w:val="21"/>
              </w:rPr>
              <w:t>处置前应参阅国家和地方有关法规。建议用焚烧法处置。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tcPr>
          <w:p>
            <w:pPr>
              <w:spacing w:line="312" w:lineRule="exact"/>
              <w:ind w:firstLine="0" w:firstLineChars="0"/>
              <w:textAlignment w:val="center"/>
              <w:rPr>
                <w:b/>
                <w:bCs/>
                <w:color w:val="auto"/>
                <w:sz w:val="21"/>
                <w:szCs w:val="21"/>
              </w:rPr>
            </w:pPr>
            <w:r>
              <w:rPr>
                <w:b/>
                <w:bCs/>
                <w:color w:val="auto"/>
                <w:sz w:val="21"/>
                <w:szCs w:val="21"/>
              </w:rPr>
              <w:t>泄漏应急处理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tcPr>
          <w:p>
            <w:pPr>
              <w:spacing w:line="312" w:lineRule="exact"/>
              <w:ind w:firstLine="0" w:firstLineChars="0"/>
              <w:textAlignment w:val="center"/>
              <w:rPr>
                <w:b/>
                <w:bCs/>
                <w:color w:val="auto"/>
                <w:sz w:val="21"/>
                <w:szCs w:val="21"/>
              </w:rPr>
            </w:pPr>
            <w:r>
              <w:rPr>
                <w:color w:val="auto"/>
                <w:sz w:val="21"/>
                <w:szCs w:val="21"/>
              </w:rPr>
              <w:t>迅速撤离泄漏污染区人员至安全区，并进行隔离，严格限制出入。切断火源。建议应急处理人员戴自给正压式呼吸器，穿防毒服。尽可能切断泄漏源。防止流入下水道、排洪沟等限制性空间。小量泄漏：用砂土或其它不燃材料吸附或吸收。大量泄漏：构筑围堤或挖坑收容。用泵转移至槽车或专用收集器内，回收或运至废物处理场所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tcPr>
          <w:p>
            <w:pPr>
              <w:spacing w:line="312" w:lineRule="exact"/>
              <w:ind w:firstLine="0" w:firstLineChars="0"/>
              <w:textAlignment w:val="center"/>
              <w:rPr>
                <w:b/>
                <w:bCs/>
                <w:color w:val="auto"/>
                <w:sz w:val="21"/>
                <w:szCs w:val="21"/>
              </w:rPr>
            </w:pPr>
            <w:r>
              <w:rPr>
                <w:b/>
                <w:bCs/>
                <w:color w:val="auto"/>
                <w:sz w:val="21"/>
                <w:szCs w:val="21"/>
              </w:rPr>
              <w:t>储存注意事项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tcPr>
          <w:p>
            <w:pPr>
              <w:spacing w:line="312" w:lineRule="exact"/>
              <w:ind w:firstLine="0" w:firstLineChars="0"/>
              <w:textAlignment w:val="center"/>
              <w:rPr>
                <w:b/>
                <w:bCs/>
                <w:color w:val="auto"/>
                <w:sz w:val="21"/>
                <w:szCs w:val="21"/>
              </w:rPr>
            </w:pPr>
            <w:r>
              <w:rPr>
                <w:color w:val="auto"/>
                <w:sz w:val="21"/>
                <w:szCs w:val="21"/>
              </w:rPr>
              <w:t>储存于阴凉、通风的库房。远离火种、热源。应与氧化剂分开存放，切忌混储。配备相应品种和数量的消防器材。储区应备有泄漏应急处理设备和合适的收容材料。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tcPr>
          <w:p>
            <w:pPr>
              <w:spacing w:line="312" w:lineRule="exact"/>
              <w:ind w:firstLine="0" w:firstLineChars="0"/>
              <w:textAlignment w:val="center"/>
              <w:rPr>
                <w:b/>
                <w:bCs/>
                <w:color w:val="auto"/>
                <w:sz w:val="21"/>
                <w:szCs w:val="21"/>
              </w:rPr>
            </w:pPr>
            <w:r>
              <w:rPr>
                <w:b/>
                <w:bCs/>
                <w:color w:val="auto"/>
                <w:sz w:val="21"/>
                <w:szCs w:val="21"/>
              </w:rPr>
              <w:t>包装方法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tcPr>
          <w:p>
            <w:pPr>
              <w:spacing w:line="312" w:lineRule="exact"/>
              <w:ind w:firstLine="0" w:firstLineChars="0"/>
              <w:textAlignment w:val="center"/>
              <w:rPr>
                <w:b/>
                <w:bCs/>
                <w:color w:val="auto"/>
                <w:sz w:val="21"/>
                <w:szCs w:val="21"/>
              </w:rPr>
            </w:pPr>
            <w:r>
              <w:rPr>
                <w:color w:val="auto"/>
                <w:sz w:val="21"/>
                <w:szCs w:val="21"/>
              </w:rPr>
              <w:t>无资料。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tcPr>
          <w:p>
            <w:pPr>
              <w:spacing w:line="312" w:lineRule="exact"/>
              <w:ind w:firstLine="0" w:firstLineChars="0"/>
              <w:textAlignment w:val="center"/>
              <w:rPr>
                <w:color w:val="auto"/>
                <w:sz w:val="21"/>
                <w:szCs w:val="21"/>
              </w:rPr>
            </w:pPr>
            <w:r>
              <w:rPr>
                <w:b/>
                <w:bCs/>
                <w:color w:val="auto"/>
                <w:sz w:val="21"/>
                <w:szCs w:val="21"/>
              </w:rPr>
              <w:t>运输注意事项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tcPr>
          <w:p>
            <w:pPr>
              <w:spacing w:line="312" w:lineRule="exact"/>
              <w:ind w:firstLine="0" w:firstLineChars="0"/>
              <w:textAlignment w:val="center"/>
              <w:rPr>
                <w:b/>
                <w:bCs/>
                <w:color w:val="auto"/>
                <w:sz w:val="21"/>
                <w:szCs w:val="21"/>
              </w:rPr>
            </w:pPr>
            <w:r>
              <w:rPr>
                <w:color w:val="auto"/>
                <w:sz w:val="21"/>
                <w:szCs w:val="21"/>
              </w:rPr>
              <w:t>运输前应先检查包装容器是否完整、密封，运输过程中要确保容器不泄漏、不倒塌、不坠落、不损坏。严禁与氧化剂、食用化学品等混装混运。运输车船必须彻底清洗、消毒，否则不得装运其它物品。船运时，配装位置应远离卧室、厨房，并与机舱、电源、火源等部位隔离。公路运输时要按规定路线行驶。</w:t>
            </w:r>
          </w:p>
        </w:tc>
      </w:tr>
    </w:tbl>
    <w:p>
      <w:pPr>
        <w:pStyle w:val="9"/>
        <w:spacing w:before="0" w:beforeLines="0" w:after="0" w:afterLines="0"/>
        <w:jc w:val="center"/>
        <w:rPr>
          <w:color w:val="auto"/>
          <w:sz w:val="21"/>
          <w:szCs w:val="21"/>
        </w:rPr>
      </w:pPr>
      <w:r>
        <w:rPr>
          <w:rFonts w:hint="eastAsia"/>
          <w:color w:val="auto"/>
          <w:sz w:val="21"/>
          <w:szCs w:val="21"/>
        </w:rPr>
        <w:t>表</w:t>
      </w:r>
      <w:r>
        <w:rPr>
          <w:rFonts w:hint="eastAsia"/>
          <w:color w:val="auto"/>
          <w:sz w:val="21"/>
          <w:szCs w:val="21"/>
          <w:lang w:val="en-US" w:eastAsia="zh-CN"/>
        </w:rPr>
        <w:t>6.1-4</w:t>
      </w:r>
      <w:r>
        <w:rPr>
          <w:rFonts w:hint="eastAsia"/>
          <w:color w:val="auto"/>
          <w:sz w:val="21"/>
          <w:szCs w:val="21"/>
        </w:rPr>
        <w:t xml:space="preserve">  甲烷的理化性质</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88"/>
        <w:gridCol w:w="1977"/>
        <w:gridCol w:w="356"/>
        <w:gridCol w:w="1799"/>
        <w:gridCol w:w="536"/>
        <w:gridCol w:w="25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240" w:lineRule="auto"/>
              <w:ind w:firstLine="0" w:firstLineChars="0"/>
              <w:jc w:val="left"/>
              <w:textAlignment w:val="center"/>
              <w:rPr>
                <w:b/>
                <w:bCs/>
                <w:color w:val="auto"/>
                <w:sz w:val="21"/>
                <w:szCs w:val="21"/>
              </w:rPr>
            </w:pPr>
            <w:r>
              <w:rPr>
                <w:b/>
                <w:bCs/>
                <w:color w:val="auto"/>
                <w:sz w:val="21"/>
                <w:szCs w:val="21"/>
              </w:rPr>
              <w:t>标识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中文名</w:t>
            </w:r>
          </w:p>
        </w:tc>
        <w:tc>
          <w:tcPr>
            <w:tcW w:w="1076" w:type="pct"/>
            <w:tcMar>
              <w:top w:w="57" w:type="dxa"/>
              <w:left w:w="57" w:type="dxa"/>
              <w:bottom w:w="57" w:type="dxa"/>
              <w:right w:w="57" w:type="dxa"/>
            </w:tcMar>
            <w:vAlign w:val="center"/>
          </w:tcPr>
          <w:p>
            <w:pPr>
              <w:spacing w:line="240" w:lineRule="auto"/>
              <w:ind w:firstLine="0" w:firstLineChars="0"/>
              <w:jc w:val="center"/>
              <w:textAlignment w:val="center"/>
              <w:rPr>
                <w:b/>
                <w:bCs/>
                <w:color w:val="auto"/>
                <w:sz w:val="21"/>
                <w:szCs w:val="21"/>
              </w:rPr>
            </w:pPr>
            <w:r>
              <w:rPr>
                <w:bCs/>
                <w:color w:val="auto"/>
                <w:sz w:val="21"/>
                <w:szCs w:val="21"/>
              </w:rPr>
              <w:t>甲烷</w:t>
            </w:r>
          </w:p>
        </w:tc>
        <w:tc>
          <w:tcPr>
            <w:tcW w:w="1173" w:type="pct"/>
            <w:gridSpan w:val="2"/>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英文名</w:t>
            </w:r>
          </w:p>
        </w:tc>
        <w:tc>
          <w:tcPr>
            <w:tcW w:w="1668" w:type="pct"/>
            <w:gridSpan w:val="2"/>
            <w:tcMar>
              <w:top w:w="57" w:type="dxa"/>
              <w:left w:w="57" w:type="dxa"/>
              <w:bottom w:w="57" w:type="dxa"/>
              <w:right w:w="57" w:type="dxa"/>
            </w:tcMar>
            <w:vAlign w:val="center"/>
          </w:tcPr>
          <w:p>
            <w:pPr>
              <w:spacing w:line="240" w:lineRule="auto"/>
              <w:ind w:firstLine="0" w:firstLineChars="0"/>
              <w:jc w:val="center"/>
              <w:textAlignment w:val="center"/>
              <w:rPr>
                <w:b/>
                <w:bCs/>
                <w:color w:val="auto"/>
                <w:sz w:val="21"/>
                <w:szCs w:val="21"/>
              </w:rPr>
            </w:pPr>
            <w:r>
              <w:rPr>
                <w:color w:val="auto"/>
                <w:sz w:val="21"/>
                <w:szCs w:val="21"/>
              </w:rPr>
              <w:t>methane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CAS号</w:t>
            </w:r>
          </w:p>
        </w:tc>
        <w:tc>
          <w:tcPr>
            <w:tcW w:w="1076"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color w:val="auto"/>
                <w:sz w:val="21"/>
                <w:szCs w:val="21"/>
              </w:rPr>
              <w:t>74-82-8</w:t>
            </w:r>
          </w:p>
        </w:tc>
        <w:tc>
          <w:tcPr>
            <w:tcW w:w="1173" w:type="pct"/>
            <w:gridSpan w:val="2"/>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危险性类别</w:t>
            </w:r>
          </w:p>
        </w:tc>
        <w:tc>
          <w:tcPr>
            <w:tcW w:w="1668" w:type="pct"/>
            <w:gridSpan w:val="2"/>
            <w:tcMar>
              <w:top w:w="57" w:type="dxa"/>
              <w:left w:w="57" w:type="dxa"/>
              <w:bottom w:w="57" w:type="dxa"/>
              <w:right w:w="57" w:type="dxa"/>
            </w:tcMar>
            <w:vAlign w:val="center"/>
          </w:tcPr>
          <w:p>
            <w:pPr>
              <w:spacing w:line="240" w:lineRule="auto"/>
              <w:ind w:firstLine="0" w:firstLineChars="0"/>
              <w:jc w:val="center"/>
              <w:textAlignment w:val="center"/>
              <w:rPr>
                <w:color w:val="auto"/>
                <w:sz w:val="21"/>
                <w:szCs w:val="21"/>
              </w:rPr>
            </w:pPr>
            <w:r>
              <w:rPr>
                <w:color w:val="auto"/>
                <w:sz w:val="21"/>
                <w:szCs w:val="21"/>
              </w:rPr>
              <w:t>第2.1类 易燃气体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危险货物编号</w:t>
            </w:r>
          </w:p>
        </w:tc>
        <w:tc>
          <w:tcPr>
            <w:tcW w:w="1076" w:type="pct"/>
            <w:tcMar>
              <w:top w:w="57" w:type="dxa"/>
              <w:left w:w="57" w:type="dxa"/>
              <w:bottom w:w="57" w:type="dxa"/>
              <w:right w:w="57" w:type="dxa"/>
            </w:tcMar>
            <w:vAlign w:val="center"/>
          </w:tcPr>
          <w:p>
            <w:pPr>
              <w:spacing w:line="240" w:lineRule="auto"/>
              <w:ind w:firstLine="0" w:firstLineChars="0"/>
              <w:jc w:val="center"/>
              <w:textAlignment w:val="center"/>
              <w:rPr>
                <w:color w:val="auto"/>
                <w:sz w:val="21"/>
                <w:szCs w:val="21"/>
              </w:rPr>
            </w:pPr>
            <w:r>
              <w:rPr>
                <w:color w:val="auto"/>
                <w:sz w:val="21"/>
                <w:szCs w:val="21"/>
              </w:rPr>
              <w:t>21007</w:t>
            </w:r>
          </w:p>
        </w:tc>
        <w:tc>
          <w:tcPr>
            <w:tcW w:w="1173" w:type="pct"/>
            <w:gridSpan w:val="2"/>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UN编号</w:t>
            </w:r>
          </w:p>
        </w:tc>
        <w:tc>
          <w:tcPr>
            <w:tcW w:w="1668" w:type="pct"/>
            <w:gridSpan w:val="2"/>
            <w:tcMar>
              <w:top w:w="57" w:type="dxa"/>
              <w:left w:w="57" w:type="dxa"/>
              <w:bottom w:w="57" w:type="dxa"/>
              <w:right w:w="57" w:type="dxa"/>
            </w:tcMar>
            <w:vAlign w:val="center"/>
          </w:tcPr>
          <w:p>
            <w:pPr>
              <w:spacing w:line="240" w:lineRule="auto"/>
              <w:ind w:firstLine="0" w:firstLineChars="0"/>
              <w:jc w:val="center"/>
              <w:textAlignment w:val="center"/>
              <w:rPr>
                <w:color w:val="auto"/>
                <w:sz w:val="21"/>
                <w:szCs w:val="21"/>
              </w:rPr>
            </w:pPr>
            <w:r>
              <w:rPr>
                <w:color w:val="auto"/>
                <w:sz w:val="21"/>
                <w:szCs w:val="21"/>
              </w:rPr>
              <w:t>1971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包装标志</w:t>
            </w:r>
          </w:p>
        </w:tc>
        <w:tc>
          <w:tcPr>
            <w:tcW w:w="1076" w:type="pct"/>
            <w:tcMar>
              <w:top w:w="57" w:type="dxa"/>
              <w:left w:w="57" w:type="dxa"/>
              <w:bottom w:w="57" w:type="dxa"/>
              <w:right w:w="57" w:type="dxa"/>
            </w:tcMar>
            <w:vAlign w:val="center"/>
          </w:tcPr>
          <w:p>
            <w:pPr>
              <w:spacing w:line="240" w:lineRule="auto"/>
              <w:ind w:firstLine="0" w:firstLineChars="0"/>
              <w:jc w:val="center"/>
              <w:textAlignment w:val="center"/>
              <w:rPr>
                <w:color w:val="auto"/>
                <w:sz w:val="21"/>
                <w:szCs w:val="21"/>
              </w:rPr>
            </w:pPr>
            <w:r>
              <w:rPr>
                <w:color w:val="auto"/>
                <w:sz w:val="21"/>
                <w:szCs w:val="21"/>
              </w:rPr>
              <w:t>易燃气体</w:t>
            </w:r>
          </w:p>
        </w:tc>
        <w:tc>
          <w:tcPr>
            <w:tcW w:w="1173" w:type="pct"/>
            <w:gridSpan w:val="2"/>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包装类别</w:t>
            </w:r>
          </w:p>
        </w:tc>
        <w:tc>
          <w:tcPr>
            <w:tcW w:w="1668" w:type="pct"/>
            <w:gridSpan w:val="2"/>
            <w:tcMar>
              <w:top w:w="57" w:type="dxa"/>
              <w:left w:w="57" w:type="dxa"/>
              <w:bottom w:w="57" w:type="dxa"/>
              <w:right w:w="57" w:type="dxa"/>
            </w:tcMar>
            <w:vAlign w:val="center"/>
          </w:tcPr>
          <w:p>
            <w:pPr>
              <w:spacing w:line="240" w:lineRule="auto"/>
              <w:ind w:firstLine="0" w:firstLineChars="0"/>
              <w:jc w:val="center"/>
              <w:textAlignment w:val="center"/>
              <w:rPr>
                <w:color w:val="auto"/>
                <w:sz w:val="21"/>
                <w:szCs w:val="21"/>
              </w:rPr>
            </w:pPr>
            <w:r>
              <w:rPr>
                <w:color w:val="auto"/>
                <w:sz w:val="21"/>
                <w:szCs w:val="21"/>
              </w:rPr>
              <w:t>O52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240" w:lineRule="auto"/>
              <w:ind w:firstLine="0" w:firstLineChars="0"/>
              <w:jc w:val="left"/>
              <w:textAlignment w:val="center"/>
              <w:rPr>
                <w:b/>
                <w:color w:val="auto"/>
                <w:sz w:val="21"/>
                <w:szCs w:val="21"/>
              </w:rPr>
            </w:pPr>
            <w:r>
              <w:rPr>
                <w:b/>
                <w:color w:val="auto"/>
                <w:sz w:val="21"/>
                <w:szCs w:val="21"/>
              </w:rPr>
              <w:t>主要组成与性状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外观与性状</w:t>
            </w:r>
          </w:p>
        </w:tc>
        <w:tc>
          <w:tcPr>
            <w:tcW w:w="3917" w:type="pct"/>
            <w:gridSpan w:val="5"/>
            <w:tcMar>
              <w:top w:w="57" w:type="dxa"/>
              <w:left w:w="57" w:type="dxa"/>
              <w:bottom w:w="57" w:type="dxa"/>
              <w:right w:w="57" w:type="dxa"/>
            </w:tcMar>
            <w:vAlign w:val="center"/>
          </w:tcPr>
          <w:p>
            <w:pPr>
              <w:spacing w:line="240" w:lineRule="auto"/>
              <w:ind w:firstLine="0" w:firstLineChars="0"/>
              <w:jc w:val="center"/>
              <w:textAlignment w:val="center"/>
              <w:rPr>
                <w:b/>
                <w:bCs/>
                <w:color w:val="auto"/>
                <w:sz w:val="21"/>
                <w:szCs w:val="21"/>
              </w:rPr>
            </w:pPr>
            <w:r>
              <w:rPr>
                <w:color w:val="auto"/>
                <w:sz w:val="21"/>
                <w:szCs w:val="21"/>
              </w:rPr>
              <w:t>无色无臭气体。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240" w:lineRule="auto"/>
              <w:ind w:firstLine="0" w:firstLineChars="0"/>
              <w:jc w:val="left"/>
              <w:textAlignment w:val="center"/>
              <w:rPr>
                <w:color w:val="auto"/>
                <w:sz w:val="21"/>
                <w:szCs w:val="21"/>
              </w:rPr>
            </w:pPr>
            <w:r>
              <w:rPr>
                <w:b/>
                <w:bCs/>
                <w:color w:val="auto"/>
                <w:sz w:val="21"/>
                <w:szCs w:val="21"/>
              </w:rPr>
              <w:t>健康危害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侵入途径</w:t>
            </w:r>
          </w:p>
        </w:tc>
        <w:tc>
          <w:tcPr>
            <w:tcW w:w="3917" w:type="pct"/>
            <w:gridSpan w:val="5"/>
            <w:tcMar>
              <w:top w:w="57" w:type="dxa"/>
              <w:left w:w="57" w:type="dxa"/>
              <w:bottom w:w="57" w:type="dxa"/>
              <w:right w:w="57" w:type="dxa"/>
            </w:tcMar>
            <w:vAlign w:val="center"/>
          </w:tcPr>
          <w:p>
            <w:pPr>
              <w:spacing w:line="240" w:lineRule="auto"/>
              <w:ind w:firstLine="0" w:firstLineChars="0"/>
              <w:jc w:val="center"/>
              <w:textAlignment w:val="center"/>
              <w:rPr>
                <w:b/>
                <w:bCs/>
                <w:color w:val="auto"/>
                <w:sz w:val="21"/>
                <w:szCs w:val="21"/>
              </w:rPr>
            </w:pPr>
            <w:r>
              <w:rPr>
                <w:color w:val="auto"/>
                <w:sz w:val="21"/>
                <w:szCs w:val="21"/>
              </w:rPr>
              <w:t>吸入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健康危害</w:t>
            </w:r>
          </w:p>
        </w:tc>
        <w:tc>
          <w:tcPr>
            <w:tcW w:w="3917" w:type="pct"/>
            <w:gridSpan w:val="5"/>
            <w:tcMar>
              <w:top w:w="57" w:type="dxa"/>
              <w:left w:w="57" w:type="dxa"/>
              <w:bottom w:w="57" w:type="dxa"/>
              <w:right w:w="57" w:type="dxa"/>
            </w:tcMar>
            <w:vAlign w:val="center"/>
          </w:tcPr>
          <w:p>
            <w:pPr>
              <w:spacing w:line="240" w:lineRule="auto"/>
              <w:ind w:firstLine="0" w:firstLineChars="0"/>
              <w:rPr>
                <w:color w:val="auto"/>
                <w:sz w:val="21"/>
                <w:szCs w:val="21"/>
              </w:rPr>
            </w:pPr>
            <w:r>
              <w:rPr>
                <w:color w:val="auto"/>
                <w:sz w:val="21"/>
                <w:szCs w:val="21"/>
              </w:rPr>
              <w:t>甲烷对人基本无毒，但浓度过高时，使空气中氧含量明显降低，使人窒息。当空气中甲烷达25％～30％时，可引起头痛、头晕、乏力、注意力不集中、呼吸和心跳加速、共济失调。若不及时脱离，可致窒息死亡。皮肤接触液化本品，可致冻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危险特性</w:t>
            </w:r>
          </w:p>
        </w:tc>
        <w:tc>
          <w:tcPr>
            <w:tcW w:w="3917" w:type="pct"/>
            <w:gridSpan w:val="5"/>
            <w:tcMar>
              <w:top w:w="57" w:type="dxa"/>
              <w:left w:w="57" w:type="dxa"/>
              <w:bottom w:w="57" w:type="dxa"/>
              <w:right w:w="57" w:type="dxa"/>
            </w:tcMar>
            <w:vAlign w:val="center"/>
          </w:tcPr>
          <w:p>
            <w:pPr>
              <w:spacing w:line="240" w:lineRule="auto"/>
              <w:ind w:firstLine="0" w:firstLineChars="0"/>
              <w:textAlignment w:val="center"/>
              <w:rPr>
                <w:color w:val="auto"/>
                <w:sz w:val="21"/>
                <w:szCs w:val="21"/>
              </w:rPr>
            </w:pPr>
            <w:r>
              <w:rPr>
                <w:color w:val="auto"/>
                <w:sz w:val="21"/>
                <w:szCs w:val="21"/>
              </w:rPr>
              <w:t>易燃，与空气混合能形成爆炸性混合物，遇热源和明火有燃烧爆炸的危险。与五氧化溴、氯气、次氯酸、三氟化氮、液氧、二氟化氧及其它强氧化剂接触剧烈反应。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危险特性</w:t>
            </w:r>
          </w:p>
        </w:tc>
        <w:tc>
          <w:tcPr>
            <w:tcW w:w="3917" w:type="pct"/>
            <w:gridSpan w:val="5"/>
            <w:tcMar>
              <w:top w:w="57" w:type="dxa"/>
              <w:left w:w="57" w:type="dxa"/>
              <w:bottom w:w="57" w:type="dxa"/>
              <w:right w:w="57" w:type="dxa"/>
            </w:tcMar>
            <w:vAlign w:val="center"/>
          </w:tcPr>
          <w:p>
            <w:pPr>
              <w:spacing w:line="240" w:lineRule="auto"/>
              <w:ind w:firstLine="0" w:firstLineChars="0"/>
              <w:textAlignment w:val="center"/>
              <w:rPr>
                <w:color w:val="auto"/>
                <w:sz w:val="21"/>
                <w:szCs w:val="21"/>
              </w:rPr>
            </w:pPr>
            <w:r>
              <w:rPr>
                <w:color w:val="auto"/>
                <w:sz w:val="21"/>
                <w:szCs w:val="21"/>
              </w:rPr>
              <w:t>易燃，与空气混合能形成爆炸性混合物，遇热源和明火有燃烧爆炸的危险。与五氧化溴、氯气、次氯酸、三氟化氮、液氧、二氟化氧及其它强氧化剂接触剧烈反应。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燃爆危险</w:t>
            </w:r>
          </w:p>
        </w:tc>
        <w:tc>
          <w:tcPr>
            <w:tcW w:w="3917" w:type="pct"/>
            <w:gridSpan w:val="5"/>
            <w:tcMar>
              <w:top w:w="57" w:type="dxa"/>
              <w:left w:w="57" w:type="dxa"/>
              <w:bottom w:w="57" w:type="dxa"/>
              <w:right w:w="57" w:type="dxa"/>
            </w:tcMar>
            <w:vAlign w:val="center"/>
          </w:tcPr>
          <w:p>
            <w:pPr>
              <w:spacing w:line="240" w:lineRule="auto"/>
              <w:ind w:firstLine="0" w:firstLineChars="0"/>
              <w:textAlignment w:val="center"/>
              <w:rPr>
                <w:color w:val="auto"/>
                <w:sz w:val="21"/>
                <w:szCs w:val="21"/>
              </w:rPr>
            </w:pPr>
            <w:r>
              <w:rPr>
                <w:color w:val="auto"/>
                <w:sz w:val="21"/>
                <w:szCs w:val="21"/>
              </w:rPr>
              <w:t>本品易燃，具窒息性。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灭火方法</w:t>
            </w:r>
          </w:p>
        </w:tc>
        <w:tc>
          <w:tcPr>
            <w:tcW w:w="3917" w:type="pct"/>
            <w:gridSpan w:val="5"/>
            <w:tcMar>
              <w:top w:w="57" w:type="dxa"/>
              <w:left w:w="57" w:type="dxa"/>
              <w:bottom w:w="57" w:type="dxa"/>
              <w:right w:w="57" w:type="dxa"/>
            </w:tcMar>
            <w:vAlign w:val="center"/>
          </w:tcPr>
          <w:p>
            <w:pPr>
              <w:spacing w:line="240" w:lineRule="auto"/>
              <w:ind w:firstLine="0" w:firstLineChars="0"/>
              <w:textAlignment w:val="center"/>
              <w:rPr>
                <w:b/>
                <w:bCs/>
                <w:color w:val="auto"/>
                <w:sz w:val="21"/>
                <w:szCs w:val="21"/>
              </w:rPr>
            </w:pPr>
            <w:r>
              <w:rPr>
                <w:color w:val="auto"/>
                <w:sz w:val="21"/>
                <w:szCs w:val="21"/>
              </w:rPr>
              <w:t>切断气源。若不能切断气源，则不允许熄灭泄漏处的火焰。喷水冷却容器，可能的话将容器从火场移至空旷处。灭火剂：雾状水、泡沫、二氧化碳、干粉。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环境危害</w:t>
            </w:r>
          </w:p>
        </w:tc>
        <w:tc>
          <w:tcPr>
            <w:tcW w:w="3917" w:type="pct"/>
            <w:gridSpan w:val="5"/>
            <w:tcMar>
              <w:top w:w="57" w:type="dxa"/>
              <w:left w:w="57" w:type="dxa"/>
              <w:bottom w:w="57" w:type="dxa"/>
              <w:right w:w="57" w:type="dxa"/>
            </w:tcMar>
            <w:vAlign w:val="center"/>
          </w:tcPr>
          <w:p>
            <w:pPr>
              <w:spacing w:line="240" w:lineRule="auto"/>
              <w:ind w:firstLine="0" w:firstLineChars="0"/>
              <w:jc w:val="center"/>
              <w:textAlignment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有害燃烧产物</w:t>
            </w:r>
          </w:p>
        </w:tc>
        <w:tc>
          <w:tcPr>
            <w:tcW w:w="3917" w:type="pct"/>
            <w:gridSpan w:val="5"/>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一氧化碳、二氧化碳。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240" w:lineRule="auto"/>
              <w:ind w:firstLine="0" w:firstLineChars="0"/>
              <w:jc w:val="left"/>
              <w:rPr>
                <w:color w:val="auto"/>
                <w:sz w:val="21"/>
                <w:szCs w:val="21"/>
              </w:rPr>
            </w:pPr>
            <w:r>
              <w:rPr>
                <w:b/>
                <w:color w:val="auto"/>
                <w:sz w:val="21"/>
                <w:szCs w:val="21"/>
              </w:rPr>
              <w:t>毒理学资料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急性毒性</w:t>
            </w:r>
          </w:p>
        </w:tc>
        <w:tc>
          <w:tcPr>
            <w:tcW w:w="3917" w:type="pct"/>
            <w:gridSpan w:val="5"/>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LD</w:t>
            </w:r>
            <w:r>
              <w:rPr>
                <w:color w:val="auto"/>
                <w:sz w:val="21"/>
                <w:szCs w:val="21"/>
                <w:vertAlign w:val="subscript"/>
              </w:rPr>
              <w:t>50</w:t>
            </w:r>
            <w:r>
              <w:rPr>
                <w:color w:val="auto"/>
                <w:sz w:val="21"/>
                <w:szCs w:val="21"/>
              </w:rPr>
              <w:t>：无资料 ；LC</w:t>
            </w:r>
            <w:r>
              <w:rPr>
                <w:color w:val="auto"/>
                <w:sz w:val="21"/>
                <w:szCs w:val="21"/>
                <w:vertAlign w:val="subscript"/>
              </w:rPr>
              <w:t>50</w:t>
            </w:r>
            <w:r>
              <w:rPr>
                <w:color w:val="auto"/>
                <w:sz w:val="21"/>
                <w:szCs w:val="21"/>
              </w:rPr>
              <w:t>：无资料。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240" w:lineRule="auto"/>
              <w:ind w:firstLine="0" w:firstLineChars="0"/>
              <w:jc w:val="left"/>
              <w:rPr>
                <w:color w:val="auto"/>
                <w:sz w:val="21"/>
                <w:szCs w:val="21"/>
              </w:rPr>
            </w:pPr>
            <w:r>
              <w:rPr>
                <w:b/>
                <w:color w:val="auto"/>
                <w:sz w:val="21"/>
                <w:szCs w:val="21"/>
              </w:rPr>
              <w:t>接触控制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职业接触限值</w:t>
            </w:r>
          </w:p>
        </w:tc>
        <w:tc>
          <w:tcPr>
            <w:tcW w:w="3917" w:type="pct"/>
            <w:gridSpan w:val="5"/>
            <w:tcMar>
              <w:top w:w="57" w:type="dxa"/>
              <w:left w:w="57" w:type="dxa"/>
              <w:bottom w:w="57" w:type="dxa"/>
              <w:right w:w="57" w:type="dxa"/>
            </w:tcMar>
            <w:vAlign w:val="center"/>
          </w:tcPr>
          <w:p>
            <w:pPr>
              <w:spacing w:line="240" w:lineRule="auto"/>
              <w:ind w:firstLine="0" w:firstLineChars="0"/>
              <w:rPr>
                <w:color w:val="auto"/>
                <w:sz w:val="21"/>
                <w:szCs w:val="21"/>
              </w:rPr>
            </w:pPr>
            <w:r>
              <w:rPr>
                <w:bCs/>
                <w:color w:val="auto"/>
                <w:sz w:val="21"/>
                <w:szCs w:val="21"/>
              </w:rPr>
              <w:t>MAC(mg/m</w:t>
            </w:r>
            <w:r>
              <w:rPr>
                <w:bCs/>
                <w:color w:val="auto"/>
                <w:sz w:val="21"/>
                <w:szCs w:val="21"/>
                <w:vertAlign w:val="superscript"/>
              </w:rPr>
              <w:t>3</w:t>
            </w:r>
            <w:r>
              <w:rPr>
                <w:bCs/>
                <w:color w:val="auto"/>
                <w:sz w:val="21"/>
                <w:szCs w:val="21"/>
              </w:rPr>
              <w:t>)：</w:t>
            </w:r>
            <w:r>
              <w:rPr>
                <w:color w:val="auto"/>
                <w:sz w:val="21"/>
                <w:szCs w:val="21"/>
              </w:rPr>
              <w:t xml:space="preserve">未制定标准  </w:t>
            </w:r>
            <w:r>
              <w:rPr>
                <w:bCs/>
                <w:color w:val="auto"/>
                <w:sz w:val="21"/>
                <w:szCs w:val="21"/>
              </w:rPr>
              <w:t>TWA(mg/m</w:t>
            </w:r>
            <w:r>
              <w:rPr>
                <w:bCs/>
                <w:color w:val="auto"/>
                <w:sz w:val="21"/>
                <w:szCs w:val="21"/>
                <w:vertAlign w:val="superscript"/>
              </w:rPr>
              <w:t>3</w:t>
            </w:r>
            <w:r>
              <w:rPr>
                <w:bCs/>
                <w:color w:val="auto"/>
                <w:sz w:val="21"/>
                <w:szCs w:val="21"/>
              </w:rPr>
              <w:t>)：</w:t>
            </w:r>
            <w:r>
              <w:rPr>
                <w:color w:val="auto"/>
                <w:sz w:val="21"/>
                <w:szCs w:val="21"/>
              </w:rPr>
              <w:t xml:space="preserve">#TWA#  </w:t>
            </w:r>
            <w:r>
              <w:rPr>
                <w:bCs/>
                <w:color w:val="auto"/>
                <w:sz w:val="21"/>
                <w:szCs w:val="21"/>
              </w:rPr>
              <w:t>STEL(mg/m</w:t>
            </w:r>
            <w:r>
              <w:rPr>
                <w:bCs/>
                <w:color w:val="auto"/>
                <w:sz w:val="21"/>
                <w:szCs w:val="21"/>
                <w:vertAlign w:val="superscript"/>
              </w:rPr>
              <w:t>3</w:t>
            </w:r>
            <w:r>
              <w:rPr>
                <w:bCs/>
                <w:color w:val="auto"/>
                <w:sz w:val="21"/>
                <w:szCs w:val="21"/>
              </w:rPr>
              <w:t>)：</w:t>
            </w:r>
            <w:r>
              <w:rPr>
                <w:color w:val="auto"/>
                <w:sz w:val="21"/>
                <w:szCs w:val="21"/>
              </w:rPr>
              <w:t>#STEL#。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工程控制</w:t>
            </w:r>
          </w:p>
        </w:tc>
        <w:tc>
          <w:tcPr>
            <w:tcW w:w="3917" w:type="pct"/>
            <w:gridSpan w:val="5"/>
            <w:tcMar>
              <w:top w:w="57" w:type="dxa"/>
              <w:left w:w="57" w:type="dxa"/>
              <w:bottom w:w="57" w:type="dxa"/>
              <w:right w:w="57" w:type="dxa"/>
            </w:tcMar>
            <w:vAlign w:val="center"/>
          </w:tcPr>
          <w:p>
            <w:pPr>
              <w:spacing w:line="240" w:lineRule="auto"/>
              <w:ind w:firstLine="0" w:firstLineChars="0"/>
              <w:rPr>
                <w:color w:val="auto"/>
                <w:sz w:val="21"/>
                <w:szCs w:val="21"/>
              </w:rPr>
            </w:pPr>
            <w:r>
              <w:rPr>
                <w:color w:val="auto"/>
                <w:sz w:val="21"/>
                <w:szCs w:val="21"/>
              </w:rPr>
              <w:t>生产过程密闭，全面通风。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240" w:lineRule="auto"/>
              <w:ind w:firstLine="0" w:firstLineChars="0"/>
              <w:jc w:val="left"/>
              <w:rPr>
                <w:b/>
                <w:color w:val="auto"/>
                <w:sz w:val="21"/>
                <w:szCs w:val="21"/>
              </w:rPr>
            </w:pPr>
            <w:r>
              <w:rPr>
                <w:b/>
                <w:color w:val="auto"/>
                <w:sz w:val="21"/>
                <w:szCs w:val="21"/>
              </w:rPr>
              <w:t>防护措施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呼吸系统防护</w:t>
            </w:r>
          </w:p>
        </w:tc>
        <w:tc>
          <w:tcPr>
            <w:tcW w:w="3917" w:type="pct"/>
            <w:gridSpan w:val="5"/>
            <w:tcMar>
              <w:top w:w="57" w:type="dxa"/>
              <w:left w:w="57" w:type="dxa"/>
              <w:bottom w:w="57" w:type="dxa"/>
              <w:right w:w="57" w:type="dxa"/>
            </w:tcMar>
            <w:vAlign w:val="center"/>
          </w:tcPr>
          <w:p>
            <w:pPr>
              <w:spacing w:line="240" w:lineRule="auto"/>
              <w:ind w:firstLine="0" w:firstLineChars="0"/>
              <w:rPr>
                <w:color w:val="auto"/>
                <w:sz w:val="21"/>
                <w:szCs w:val="21"/>
              </w:rPr>
            </w:pPr>
            <w:r>
              <w:rPr>
                <w:color w:val="auto"/>
                <w:sz w:val="21"/>
                <w:szCs w:val="21"/>
              </w:rPr>
              <w:t>一般不需要特殊防护，但建议特殊情况下，佩戴自吸过滤式防毒面具（半面罩）。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眼睛防护</w:t>
            </w:r>
          </w:p>
        </w:tc>
        <w:tc>
          <w:tcPr>
            <w:tcW w:w="3917" w:type="pct"/>
            <w:gridSpan w:val="5"/>
            <w:tcMar>
              <w:top w:w="57" w:type="dxa"/>
              <w:left w:w="57" w:type="dxa"/>
              <w:bottom w:w="57" w:type="dxa"/>
              <w:right w:w="57" w:type="dxa"/>
            </w:tcMar>
            <w:vAlign w:val="center"/>
          </w:tcPr>
          <w:p>
            <w:pPr>
              <w:spacing w:line="240" w:lineRule="auto"/>
              <w:ind w:firstLine="0" w:firstLineChars="0"/>
              <w:rPr>
                <w:color w:val="auto"/>
                <w:sz w:val="21"/>
                <w:szCs w:val="21"/>
              </w:rPr>
            </w:pPr>
            <w:r>
              <w:rPr>
                <w:color w:val="auto"/>
                <w:sz w:val="21"/>
                <w:szCs w:val="21"/>
              </w:rPr>
              <w:t>一般不需要特殊防护，高浓度接触时可戴安全防护眼镜。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身体防护</w:t>
            </w:r>
          </w:p>
        </w:tc>
        <w:tc>
          <w:tcPr>
            <w:tcW w:w="3917" w:type="pct"/>
            <w:gridSpan w:val="5"/>
            <w:tcMar>
              <w:top w:w="57" w:type="dxa"/>
              <w:left w:w="57" w:type="dxa"/>
              <w:bottom w:w="57" w:type="dxa"/>
              <w:right w:w="57" w:type="dxa"/>
            </w:tcMar>
            <w:vAlign w:val="center"/>
          </w:tcPr>
          <w:p>
            <w:pPr>
              <w:spacing w:line="240" w:lineRule="auto"/>
              <w:ind w:firstLine="0" w:firstLineChars="0"/>
              <w:rPr>
                <w:color w:val="auto"/>
                <w:sz w:val="21"/>
                <w:szCs w:val="21"/>
              </w:rPr>
            </w:pPr>
            <w:r>
              <w:rPr>
                <w:color w:val="auto"/>
                <w:sz w:val="21"/>
                <w:szCs w:val="21"/>
              </w:rPr>
              <w:t>穿防静电工作服。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手防护</w:t>
            </w:r>
          </w:p>
        </w:tc>
        <w:tc>
          <w:tcPr>
            <w:tcW w:w="3917" w:type="pct"/>
            <w:gridSpan w:val="5"/>
            <w:tcMar>
              <w:top w:w="57" w:type="dxa"/>
              <w:left w:w="57" w:type="dxa"/>
              <w:bottom w:w="57" w:type="dxa"/>
              <w:right w:w="57" w:type="dxa"/>
            </w:tcMar>
            <w:vAlign w:val="center"/>
          </w:tcPr>
          <w:p>
            <w:pPr>
              <w:spacing w:line="240" w:lineRule="auto"/>
              <w:ind w:firstLine="0" w:firstLineChars="0"/>
              <w:rPr>
                <w:color w:val="auto"/>
                <w:sz w:val="21"/>
                <w:szCs w:val="21"/>
              </w:rPr>
            </w:pPr>
            <w:r>
              <w:rPr>
                <w:color w:val="auto"/>
                <w:sz w:val="21"/>
                <w:szCs w:val="21"/>
              </w:rPr>
              <w:t>戴一般作业防护手套。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其它</w:t>
            </w:r>
          </w:p>
        </w:tc>
        <w:tc>
          <w:tcPr>
            <w:tcW w:w="3917" w:type="pct"/>
            <w:gridSpan w:val="5"/>
            <w:tcMar>
              <w:top w:w="57" w:type="dxa"/>
              <w:left w:w="57" w:type="dxa"/>
              <w:bottom w:w="57" w:type="dxa"/>
              <w:right w:w="57" w:type="dxa"/>
            </w:tcMar>
            <w:vAlign w:val="center"/>
          </w:tcPr>
          <w:p>
            <w:pPr>
              <w:spacing w:line="240" w:lineRule="auto"/>
              <w:ind w:firstLine="0" w:firstLineChars="0"/>
              <w:rPr>
                <w:color w:val="auto"/>
                <w:sz w:val="21"/>
                <w:szCs w:val="21"/>
              </w:rPr>
            </w:pPr>
            <w:r>
              <w:rPr>
                <w:color w:val="auto"/>
                <w:sz w:val="21"/>
                <w:szCs w:val="21"/>
              </w:rPr>
              <w:t>工作现场严禁吸烟。避免长期反复接触。进入罐、限制性空间或其它高浓度区作业，须有人监护。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240" w:lineRule="auto"/>
              <w:ind w:firstLine="0" w:firstLineChars="0"/>
              <w:jc w:val="left"/>
              <w:rPr>
                <w:color w:val="auto"/>
                <w:sz w:val="21"/>
                <w:szCs w:val="21"/>
              </w:rPr>
            </w:pPr>
            <w:r>
              <w:rPr>
                <w:b/>
                <w:color w:val="auto"/>
                <w:sz w:val="21"/>
                <w:szCs w:val="21"/>
              </w:rPr>
              <w:t>急救措施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皮肤接触</w:t>
            </w:r>
          </w:p>
        </w:tc>
        <w:tc>
          <w:tcPr>
            <w:tcW w:w="3917" w:type="pct"/>
            <w:gridSpan w:val="5"/>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若有冻伤，就医治疗。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吸入</w:t>
            </w:r>
          </w:p>
        </w:tc>
        <w:tc>
          <w:tcPr>
            <w:tcW w:w="3917" w:type="pct"/>
            <w:gridSpan w:val="5"/>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迅速脱离现场至空气新鲜处。保持呼吸道通畅。如呼吸困难，给输氧。如呼吸停止，立即进行人工呼吸。就医。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240" w:lineRule="auto"/>
              <w:ind w:firstLine="0" w:firstLineChars="0"/>
              <w:jc w:val="left"/>
              <w:rPr>
                <w:b/>
                <w:color w:val="auto"/>
                <w:sz w:val="21"/>
                <w:szCs w:val="21"/>
              </w:rPr>
            </w:pPr>
            <w:r>
              <w:rPr>
                <w:b/>
                <w:color w:val="auto"/>
                <w:sz w:val="21"/>
                <w:szCs w:val="21"/>
              </w:rPr>
              <w:t>理化性质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分子式</w:t>
            </w:r>
          </w:p>
        </w:tc>
        <w:tc>
          <w:tcPr>
            <w:tcW w:w="1076"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color w:val="auto"/>
                <w:sz w:val="21"/>
                <w:szCs w:val="21"/>
              </w:rPr>
              <w:t>CH</w:t>
            </w:r>
            <w:r>
              <w:rPr>
                <w:color w:val="auto"/>
                <w:sz w:val="21"/>
                <w:szCs w:val="21"/>
                <w:vertAlign w:val="subscript"/>
              </w:rPr>
              <w:t>4</w:t>
            </w:r>
          </w:p>
        </w:tc>
        <w:tc>
          <w:tcPr>
            <w:tcW w:w="1173" w:type="pct"/>
            <w:gridSpan w:val="2"/>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分子量</w:t>
            </w:r>
          </w:p>
        </w:tc>
        <w:tc>
          <w:tcPr>
            <w:tcW w:w="1668" w:type="pct"/>
            <w:gridSpan w:val="2"/>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color w:val="auto"/>
                <w:sz w:val="21"/>
                <w:szCs w:val="21"/>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熔点（℃）</w:t>
            </w:r>
          </w:p>
        </w:tc>
        <w:tc>
          <w:tcPr>
            <w:tcW w:w="1076"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color w:val="auto"/>
                <w:sz w:val="21"/>
                <w:szCs w:val="21"/>
              </w:rPr>
              <w:t>-182.5</w:t>
            </w:r>
          </w:p>
        </w:tc>
        <w:tc>
          <w:tcPr>
            <w:tcW w:w="1173" w:type="pct"/>
            <w:gridSpan w:val="2"/>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沸点（℃）</w:t>
            </w:r>
          </w:p>
        </w:tc>
        <w:tc>
          <w:tcPr>
            <w:tcW w:w="1668" w:type="pct"/>
            <w:gridSpan w:val="2"/>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color w:val="auto"/>
                <w:sz w:val="21"/>
                <w:szCs w:val="21"/>
              </w:rPr>
              <w:t>-161.5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闪点（℃）</w:t>
            </w:r>
          </w:p>
        </w:tc>
        <w:tc>
          <w:tcPr>
            <w:tcW w:w="1076" w:type="pct"/>
            <w:tcMar>
              <w:top w:w="57" w:type="dxa"/>
              <w:left w:w="57" w:type="dxa"/>
              <w:bottom w:w="57" w:type="dxa"/>
              <w:right w:w="57" w:type="dxa"/>
            </w:tcMar>
            <w:vAlign w:val="center"/>
          </w:tcPr>
          <w:p>
            <w:pPr>
              <w:spacing w:line="240" w:lineRule="auto"/>
              <w:ind w:firstLine="0" w:firstLineChars="0"/>
              <w:jc w:val="center"/>
              <w:textAlignment w:val="center"/>
              <w:rPr>
                <w:color w:val="auto"/>
                <w:sz w:val="21"/>
                <w:szCs w:val="21"/>
              </w:rPr>
            </w:pPr>
            <w:r>
              <w:rPr>
                <w:color w:val="auto"/>
                <w:sz w:val="21"/>
                <w:szCs w:val="21"/>
              </w:rPr>
              <w:t>-188</w:t>
            </w:r>
          </w:p>
        </w:tc>
        <w:tc>
          <w:tcPr>
            <w:tcW w:w="1173" w:type="pct"/>
            <w:gridSpan w:val="2"/>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引燃温度（℃）</w:t>
            </w:r>
          </w:p>
        </w:tc>
        <w:tc>
          <w:tcPr>
            <w:tcW w:w="1668" w:type="pct"/>
            <w:gridSpan w:val="2"/>
            <w:tcMar>
              <w:top w:w="57" w:type="dxa"/>
              <w:left w:w="57" w:type="dxa"/>
              <w:bottom w:w="57" w:type="dxa"/>
              <w:right w:w="57" w:type="dxa"/>
            </w:tcMar>
            <w:vAlign w:val="center"/>
          </w:tcPr>
          <w:p>
            <w:pPr>
              <w:spacing w:line="240" w:lineRule="auto"/>
              <w:ind w:firstLine="0" w:firstLineChars="0"/>
              <w:jc w:val="center"/>
              <w:textAlignment w:val="center"/>
              <w:rPr>
                <w:color w:val="auto"/>
                <w:sz w:val="21"/>
                <w:szCs w:val="21"/>
              </w:rPr>
            </w:pPr>
            <w:r>
              <w:rPr>
                <w:color w:val="auto"/>
                <w:sz w:val="21"/>
                <w:szCs w:val="21"/>
              </w:rPr>
              <w:t>538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相对密度（水＝1）</w:t>
            </w:r>
          </w:p>
        </w:tc>
        <w:tc>
          <w:tcPr>
            <w:tcW w:w="1076"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color w:val="auto"/>
                <w:sz w:val="21"/>
                <w:szCs w:val="21"/>
              </w:rPr>
              <w:t>0.42(-164℃)</w:t>
            </w:r>
          </w:p>
        </w:tc>
        <w:tc>
          <w:tcPr>
            <w:tcW w:w="1173" w:type="pct"/>
            <w:gridSpan w:val="2"/>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相对密度（空气＝1）</w:t>
            </w:r>
          </w:p>
        </w:tc>
        <w:tc>
          <w:tcPr>
            <w:tcW w:w="1668" w:type="pct"/>
            <w:gridSpan w:val="2"/>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color w:val="auto"/>
                <w:sz w:val="21"/>
                <w:szCs w:val="21"/>
              </w:rPr>
              <w:t>0.55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pH值</w:t>
            </w:r>
          </w:p>
        </w:tc>
        <w:tc>
          <w:tcPr>
            <w:tcW w:w="1076" w:type="pct"/>
            <w:tcMar>
              <w:top w:w="57" w:type="dxa"/>
              <w:left w:w="57" w:type="dxa"/>
              <w:bottom w:w="57" w:type="dxa"/>
              <w:right w:w="57" w:type="dxa"/>
            </w:tcMar>
            <w:vAlign w:val="center"/>
          </w:tcPr>
          <w:p>
            <w:pPr>
              <w:spacing w:line="240" w:lineRule="auto"/>
              <w:ind w:firstLine="0" w:firstLineChars="0"/>
              <w:jc w:val="center"/>
              <w:textAlignment w:val="center"/>
              <w:rPr>
                <w:color w:val="auto"/>
                <w:sz w:val="21"/>
                <w:szCs w:val="21"/>
              </w:rPr>
            </w:pPr>
            <w:r>
              <w:rPr>
                <w:color w:val="auto"/>
                <w:sz w:val="21"/>
                <w:szCs w:val="21"/>
              </w:rPr>
              <w:t>无意义</w:t>
            </w:r>
          </w:p>
        </w:tc>
        <w:tc>
          <w:tcPr>
            <w:tcW w:w="1173" w:type="pct"/>
            <w:gridSpan w:val="2"/>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辛醇/水分配系数</w:t>
            </w:r>
          </w:p>
        </w:tc>
        <w:tc>
          <w:tcPr>
            <w:tcW w:w="1668" w:type="pct"/>
            <w:gridSpan w:val="2"/>
            <w:tcMar>
              <w:top w:w="57" w:type="dxa"/>
              <w:left w:w="57" w:type="dxa"/>
              <w:bottom w:w="57" w:type="dxa"/>
              <w:right w:w="57" w:type="dxa"/>
            </w:tcMar>
            <w:vAlign w:val="center"/>
          </w:tcPr>
          <w:p>
            <w:pPr>
              <w:spacing w:line="240" w:lineRule="auto"/>
              <w:ind w:firstLine="0" w:firstLineChars="0"/>
              <w:jc w:val="center"/>
              <w:textAlignment w:val="center"/>
              <w:rPr>
                <w:color w:val="auto"/>
                <w:sz w:val="21"/>
                <w:szCs w:val="21"/>
              </w:rPr>
            </w:pPr>
            <w:r>
              <w:rPr>
                <w:color w:val="auto"/>
                <w:sz w:val="21"/>
                <w:szCs w:val="21"/>
              </w:rPr>
              <w:t>无资料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爆炸上限％（V/V）</w:t>
            </w:r>
          </w:p>
        </w:tc>
        <w:tc>
          <w:tcPr>
            <w:tcW w:w="1076"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color w:val="auto"/>
                <w:sz w:val="21"/>
                <w:szCs w:val="21"/>
              </w:rPr>
              <w:t>15</w:t>
            </w:r>
          </w:p>
        </w:tc>
        <w:tc>
          <w:tcPr>
            <w:tcW w:w="1173" w:type="pct"/>
            <w:gridSpan w:val="2"/>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爆炸下限％（V/V）</w:t>
            </w:r>
          </w:p>
        </w:tc>
        <w:tc>
          <w:tcPr>
            <w:tcW w:w="1668" w:type="pct"/>
            <w:gridSpan w:val="2"/>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color w:val="auto"/>
                <w:sz w:val="21"/>
                <w:szCs w:val="21"/>
              </w:rPr>
              <w:t>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燃烧热（kJ/mol）</w:t>
            </w:r>
          </w:p>
        </w:tc>
        <w:tc>
          <w:tcPr>
            <w:tcW w:w="1076"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color w:val="auto"/>
                <w:sz w:val="21"/>
                <w:szCs w:val="21"/>
              </w:rPr>
              <w:t>889.5</w:t>
            </w:r>
          </w:p>
        </w:tc>
        <w:tc>
          <w:tcPr>
            <w:tcW w:w="1173" w:type="pct"/>
            <w:gridSpan w:val="2"/>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临界温度（℃）</w:t>
            </w:r>
          </w:p>
        </w:tc>
        <w:tc>
          <w:tcPr>
            <w:tcW w:w="1668" w:type="pct"/>
            <w:gridSpan w:val="2"/>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color w:val="auto"/>
                <w:sz w:val="21"/>
                <w:szCs w:val="21"/>
              </w:rPr>
              <w:t>-82.6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textAlignment w:val="center"/>
              <w:rPr>
                <w:b/>
                <w:bCs/>
                <w:color w:val="auto"/>
                <w:sz w:val="21"/>
                <w:szCs w:val="21"/>
              </w:rPr>
            </w:pPr>
            <w:r>
              <w:rPr>
                <w:bCs/>
                <w:color w:val="auto"/>
                <w:sz w:val="21"/>
                <w:szCs w:val="21"/>
              </w:rPr>
              <w:t>临界压力（MPa）</w:t>
            </w:r>
          </w:p>
        </w:tc>
        <w:tc>
          <w:tcPr>
            <w:tcW w:w="3917" w:type="pct"/>
            <w:gridSpan w:val="5"/>
            <w:tcMar>
              <w:top w:w="57" w:type="dxa"/>
              <w:left w:w="57" w:type="dxa"/>
              <w:bottom w:w="57" w:type="dxa"/>
              <w:right w:w="57" w:type="dxa"/>
            </w:tcMar>
            <w:vAlign w:val="center"/>
          </w:tcPr>
          <w:p>
            <w:pPr>
              <w:spacing w:line="240" w:lineRule="auto"/>
              <w:ind w:firstLine="0" w:firstLineChars="0"/>
              <w:jc w:val="center"/>
              <w:textAlignment w:val="center"/>
              <w:rPr>
                <w:b/>
                <w:bCs/>
                <w:color w:val="auto"/>
                <w:sz w:val="21"/>
                <w:szCs w:val="21"/>
              </w:rPr>
            </w:pPr>
            <w:r>
              <w:rPr>
                <w:color w:val="auto"/>
                <w:sz w:val="21"/>
                <w:szCs w:val="21"/>
              </w:rPr>
              <w:t>4.59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textAlignment w:val="center"/>
              <w:rPr>
                <w:b/>
                <w:bCs/>
                <w:color w:val="auto"/>
                <w:sz w:val="21"/>
                <w:szCs w:val="21"/>
              </w:rPr>
            </w:pPr>
            <w:r>
              <w:rPr>
                <w:bCs/>
                <w:color w:val="auto"/>
                <w:sz w:val="21"/>
                <w:szCs w:val="21"/>
              </w:rPr>
              <w:t>溶解性</w:t>
            </w:r>
          </w:p>
        </w:tc>
        <w:tc>
          <w:tcPr>
            <w:tcW w:w="3917" w:type="pct"/>
            <w:gridSpan w:val="5"/>
            <w:tcMar>
              <w:top w:w="57" w:type="dxa"/>
              <w:left w:w="57" w:type="dxa"/>
              <w:bottom w:w="57" w:type="dxa"/>
              <w:right w:w="57" w:type="dxa"/>
            </w:tcMar>
            <w:vAlign w:val="center"/>
          </w:tcPr>
          <w:p>
            <w:pPr>
              <w:spacing w:line="240" w:lineRule="auto"/>
              <w:ind w:firstLine="0" w:firstLineChars="0"/>
              <w:textAlignment w:val="center"/>
              <w:rPr>
                <w:b/>
                <w:bCs/>
                <w:color w:val="auto"/>
                <w:sz w:val="21"/>
                <w:szCs w:val="21"/>
              </w:rPr>
            </w:pPr>
            <w:r>
              <w:rPr>
                <w:color w:val="auto"/>
                <w:sz w:val="21"/>
                <w:szCs w:val="21"/>
              </w:rPr>
              <w:t>微溶于水，溶于醇、乙醚。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textAlignment w:val="center"/>
              <w:rPr>
                <w:b/>
                <w:bCs/>
                <w:color w:val="auto"/>
                <w:sz w:val="21"/>
                <w:szCs w:val="21"/>
              </w:rPr>
            </w:pPr>
            <w:r>
              <w:rPr>
                <w:bCs/>
                <w:color w:val="auto"/>
                <w:sz w:val="21"/>
                <w:szCs w:val="21"/>
              </w:rPr>
              <w:t>主要用途</w:t>
            </w:r>
            <w:r>
              <w:rPr>
                <w:b/>
                <w:bCs/>
                <w:color w:val="auto"/>
                <w:sz w:val="21"/>
                <w:szCs w:val="21"/>
              </w:rPr>
              <w:t xml:space="preserve"> </w:t>
            </w:r>
          </w:p>
        </w:tc>
        <w:tc>
          <w:tcPr>
            <w:tcW w:w="3917" w:type="pct"/>
            <w:gridSpan w:val="5"/>
            <w:tcMar>
              <w:top w:w="57" w:type="dxa"/>
              <w:left w:w="57" w:type="dxa"/>
              <w:bottom w:w="57" w:type="dxa"/>
              <w:right w:w="57" w:type="dxa"/>
            </w:tcMar>
            <w:vAlign w:val="center"/>
          </w:tcPr>
          <w:p>
            <w:pPr>
              <w:spacing w:line="240" w:lineRule="auto"/>
              <w:ind w:firstLine="0" w:firstLineChars="0"/>
              <w:textAlignment w:val="center"/>
              <w:rPr>
                <w:color w:val="auto"/>
                <w:sz w:val="21"/>
                <w:szCs w:val="21"/>
              </w:rPr>
            </w:pPr>
            <w:r>
              <w:rPr>
                <w:color w:val="auto"/>
                <w:sz w:val="21"/>
                <w:szCs w:val="21"/>
              </w:rPr>
              <w:t>用作燃料和用于炭黑、氢、乙炔、甲醛等的制造。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240" w:lineRule="auto"/>
              <w:ind w:firstLine="0" w:firstLineChars="0"/>
              <w:jc w:val="left"/>
              <w:textAlignment w:val="center"/>
              <w:rPr>
                <w:b/>
                <w:bCs/>
                <w:color w:val="auto"/>
                <w:sz w:val="21"/>
                <w:szCs w:val="21"/>
              </w:rPr>
            </w:pPr>
            <w:r>
              <w:rPr>
                <w:b/>
                <w:bCs/>
                <w:color w:val="auto"/>
                <w:sz w:val="21"/>
                <w:szCs w:val="21"/>
              </w:rPr>
              <w:t>稳定性和反应活性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稳定性</w:t>
            </w:r>
          </w:p>
        </w:tc>
        <w:tc>
          <w:tcPr>
            <w:tcW w:w="1270" w:type="pct"/>
            <w:gridSpan w:val="2"/>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color w:val="auto"/>
                <w:sz w:val="21"/>
                <w:szCs w:val="21"/>
              </w:rPr>
              <w:t>稳定</w:t>
            </w:r>
          </w:p>
        </w:tc>
        <w:tc>
          <w:tcPr>
            <w:tcW w:w="1271" w:type="pct"/>
            <w:gridSpan w:val="2"/>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聚合危害</w:t>
            </w:r>
          </w:p>
        </w:tc>
        <w:tc>
          <w:tcPr>
            <w:tcW w:w="1375"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color w:val="auto"/>
                <w:sz w:val="21"/>
                <w:szCs w:val="21"/>
              </w:rPr>
              <w:t>不聚合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bCs/>
                <w:color w:val="auto"/>
                <w:sz w:val="21"/>
                <w:szCs w:val="21"/>
              </w:rPr>
              <w:t>禁忌物</w:t>
            </w:r>
          </w:p>
        </w:tc>
        <w:tc>
          <w:tcPr>
            <w:tcW w:w="3917" w:type="pct"/>
            <w:gridSpan w:val="5"/>
            <w:tcMar>
              <w:top w:w="57" w:type="dxa"/>
              <w:left w:w="57" w:type="dxa"/>
              <w:bottom w:w="57" w:type="dxa"/>
              <w:right w:w="57" w:type="dxa"/>
            </w:tcMar>
            <w:vAlign w:val="center"/>
          </w:tcPr>
          <w:p>
            <w:pPr>
              <w:spacing w:line="240" w:lineRule="auto"/>
              <w:ind w:firstLine="0" w:firstLineChars="0"/>
              <w:jc w:val="center"/>
              <w:textAlignment w:val="center"/>
              <w:rPr>
                <w:bCs/>
                <w:color w:val="auto"/>
                <w:sz w:val="21"/>
                <w:szCs w:val="21"/>
              </w:rPr>
            </w:pPr>
            <w:r>
              <w:rPr>
                <w:color w:val="auto"/>
                <w:sz w:val="21"/>
                <w:szCs w:val="21"/>
              </w:rPr>
              <w:t>强氧化剂、氟、氯。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240" w:lineRule="auto"/>
              <w:ind w:firstLine="0" w:firstLineChars="0"/>
              <w:jc w:val="left"/>
              <w:textAlignment w:val="center"/>
              <w:rPr>
                <w:bCs/>
                <w:color w:val="auto"/>
                <w:sz w:val="21"/>
                <w:szCs w:val="21"/>
              </w:rPr>
            </w:pPr>
            <w:r>
              <w:rPr>
                <w:b/>
                <w:bCs/>
                <w:color w:val="auto"/>
                <w:sz w:val="21"/>
                <w:szCs w:val="21"/>
              </w:rPr>
              <w:t>操作处置注意事项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240" w:lineRule="auto"/>
              <w:ind w:firstLine="0" w:firstLineChars="0"/>
              <w:textAlignment w:val="center"/>
              <w:rPr>
                <w:b/>
                <w:bCs/>
                <w:color w:val="auto"/>
                <w:sz w:val="21"/>
                <w:szCs w:val="21"/>
              </w:rPr>
            </w:pPr>
            <w:r>
              <w:rPr>
                <w:color w:val="auto"/>
                <w:sz w:val="21"/>
                <w:szCs w:val="21"/>
              </w:rPr>
              <w:t>密闭操作，全面通风。操作人员必须经过专门培训，严格遵守操作规程。远离火种、热源，工作场所严禁吸烟。使用防爆型的通风系统和设备。防止气体泄漏到工作场所空气中。避免与氧化剂接触。在传送过程中，钢瓶和容器必须接地和跨接，防止产生静电。搬运时轻装轻卸，防止钢瓶及附件破损。配备相应品种和数量的消防器材及泄漏应急处理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240" w:lineRule="auto"/>
              <w:ind w:firstLine="0" w:firstLineChars="0"/>
              <w:textAlignment w:val="center"/>
              <w:rPr>
                <w:b/>
                <w:bCs/>
                <w:color w:val="auto"/>
                <w:sz w:val="21"/>
                <w:szCs w:val="21"/>
              </w:rPr>
            </w:pPr>
            <w:r>
              <w:rPr>
                <w:b/>
                <w:bCs/>
                <w:color w:val="auto"/>
                <w:sz w:val="21"/>
                <w:szCs w:val="21"/>
              </w:rPr>
              <w:t>废弃处置方法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240" w:lineRule="auto"/>
              <w:ind w:firstLine="0" w:firstLineChars="0"/>
              <w:textAlignment w:val="center"/>
              <w:rPr>
                <w:b/>
                <w:bCs/>
                <w:color w:val="auto"/>
                <w:sz w:val="21"/>
                <w:szCs w:val="21"/>
              </w:rPr>
            </w:pPr>
            <w:r>
              <w:rPr>
                <w:color w:val="auto"/>
                <w:sz w:val="21"/>
                <w:szCs w:val="21"/>
              </w:rPr>
              <w:t>处置前应参阅国家和地方有关法规。建议用焚烧法处置。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240" w:lineRule="auto"/>
              <w:ind w:firstLine="0" w:firstLineChars="0"/>
              <w:textAlignment w:val="center"/>
              <w:rPr>
                <w:b/>
                <w:bCs/>
                <w:color w:val="auto"/>
                <w:sz w:val="21"/>
                <w:szCs w:val="21"/>
              </w:rPr>
            </w:pPr>
            <w:r>
              <w:rPr>
                <w:b/>
                <w:bCs/>
                <w:color w:val="auto"/>
                <w:sz w:val="21"/>
                <w:szCs w:val="21"/>
              </w:rPr>
              <w:t>泄漏应急处理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240" w:lineRule="auto"/>
              <w:ind w:firstLine="0" w:firstLineChars="0"/>
              <w:textAlignment w:val="center"/>
              <w:rPr>
                <w:b/>
                <w:bCs/>
                <w:color w:val="auto"/>
                <w:sz w:val="21"/>
                <w:szCs w:val="21"/>
              </w:rPr>
            </w:pPr>
            <w:r>
              <w:rPr>
                <w:color w:val="auto"/>
                <w:sz w:val="21"/>
                <w:szCs w:val="21"/>
              </w:rPr>
              <w:t>迅速撤离泄漏污染区人员至上风处，并进行隔离，严格限制出入。切断火源。建议应急处理人员戴自给正压式呼吸器，穿防静电工作服。尽可能切断泄漏源。合理通风，加速扩散。喷雾状水稀释、溶解。构筑围堤或挖坑收容产生的大量废水。如有可能，将漏出气用排风机送至空旷地方或装设适当喷头烧掉。也可以将漏气的容器移至空旷处，注意通风。漏气容器要妥善处理，修复、检验后再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240" w:lineRule="auto"/>
              <w:ind w:firstLine="0" w:firstLineChars="0"/>
              <w:textAlignment w:val="center"/>
              <w:rPr>
                <w:b/>
                <w:bCs/>
                <w:color w:val="auto"/>
                <w:sz w:val="21"/>
                <w:szCs w:val="21"/>
              </w:rPr>
            </w:pPr>
            <w:r>
              <w:rPr>
                <w:b/>
                <w:bCs/>
                <w:color w:val="auto"/>
                <w:sz w:val="21"/>
                <w:szCs w:val="21"/>
              </w:rPr>
              <w:t>储存注意事项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240" w:lineRule="auto"/>
              <w:ind w:firstLine="0" w:firstLineChars="0"/>
              <w:textAlignment w:val="center"/>
              <w:rPr>
                <w:b/>
                <w:bCs/>
                <w:color w:val="auto"/>
                <w:sz w:val="21"/>
                <w:szCs w:val="21"/>
              </w:rPr>
            </w:pPr>
            <w:r>
              <w:rPr>
                <w:color w:val="auto"/>
                <w:sz w:val="21"/>
                <w:szCs w:val="21"/>
              </w:rPr>
              <w:t>储存于阴凉、通风的库房。远离火种、热源。库温不宜超过30℃。应与氧化剂等分开存放，切忌混储。采用防爆型照明、通风设施。禁止使用易产生火花的机械设备和工具。储区应备有泄漏应急处理设备。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240" w:lineRule="auto"/>
              <w:ind w:firstLine="0" w:firstLineChars="0"/>
              <w:textAlignment w:val="center"/>
              <w:rPr>
                <w:b/>
                <w:bCs/>
                <w:color w:val="auto"/>
                <w:sz w:val="21"/>
                <w:szCs w:val="21"/>
              </w:rPr>
            </w:pPr>
            <w:r>
              <w:rPr>
                <w:b/>
                <w:bCs/>
                <w:color w:val="auto"/>
                <w:sz w:val="21"/>
                <w:szCs w:val="21"/>
              </w:rPr>
              <w:t>包装方法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240" w:lineRule="auto"/>
              <w:ind w:firstLine="0" w:firstLineChars="0"/>
              <w:textAlignment w:val="center"/>
              <w:rPr>
                <w:b/>
                <w:bCs/>
                <w:color w:val="auto"/>
                <w:sz w:val="21"/>
                <w:szCs w:val="21"/>
              </w:rPr>
            </w:pPr>
            <w:r>
              <w:rPr>
                <w:color w:val="auto"/>
                <w:sz w:val="21"/>
                <w:szCs w:val="21"/>
              </w:rPr>
              <w:t>钢质气瓶。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240" w:lineRule="auto"/>
              <w:ind w:firstLine="0" w:firstLineChars="0"/>
              <w:textAlignment w:val="center"/>
              <w:rPr>
                <w:color w:val="auto"/>
                <w:sz w:val="21"/>
                <w:szCs w:val="21"/>
              </w:rPr>
            </w:pPr>
            <w:r>
              <w:rPr>
                <w:b/>
                <w:bCs/>
                <w:color w:val="auto"/>
                <w:sz w:val="21"/>
                <w:szCs w:val="21"/>
              </w:rPr>
              <w:t>运输注意事项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6"/>
            <w:tcMar>
              <w:top w:w="57" w:type="dxa"/>
              <w:left w:w="57" w:type="dxa"/>
              <w:bottom w:w="57" w:type="dxa"/>
              <w:right w:w="57" w:type="dxa"/>
            </w:tcMar>
            <w:vAlign w:val="center"/>
          </w:tcPr>
          <w:p>
            <w:pPr>
              <w:spacing w:line="240" w:lineRule="auto"/>
              <w:ind w:firstLine="0" w:firstLineChars="0"/>
              <w:textAlignment w:val="center"/>
              <w:rPr>
                <w:b/>
                <w:bCs/>
                <w:color w:val="auto"/>
                <w:sz w:val="21"/>
                <w:szCs w:val="21"/>
              </w:rPr>
            </w:pPr>
            <w:r>
              <w:rPr>
                <w:color w:val="auto"/>
                <w:sz w:val="21"/>
                <w:szCs w:val="21"/>
              </w:rPr>
              <w:t>采用刚瓶运输时必须戴好钢瓶上的安全帽。钢瓶一般平放，并应将瓶口朝同一方向，不可交叉；高度不得超过车辆的防护栏板，并用三角木垫卡牢，防止滚动。运输时运输车辆应配备相应品种和数量的消防器材。装运该物品的车辆排气管必须配备阻火装置，禁止使用易产生火花的机械设备和工具装卸。严禁与氧化剂等混装混运。夏季应早晚运输，防止日光曝晒。中途停留时应远离火种、热源。公路运输时要按规定路线行驶，勿在居民区和人口稠密区停留。铁路运输时要禁止溜放。</w:t>
            </w:r>
          </w:p>
        </w:tc>
      </w:tr>
    </w:tbl>
    <w:p>
      <w:pPr>
        <w:pStyle w:val="9"/>
        <w:spacing w:before="0" w:beforeLines="0" w:after="0" w:afterLines="0" w:line="360" w:lineRule="auto"/>
        <w:rPr>
          <w:color w:val="auto"/>
        </w:rPr>
      </w:pPr>
      <w:r>
        <w:rPr>
          <w:rFonts w:hint="eastAsia"/>
          <w:color w:val="auto"/>
        </w:rPr>
        <w:t>6.1.2环境敏感目标调查</w:t>
      </w:r>
    </w:p>
    <w:p>
      <w:pPr>
        <w:ind w:firstLine="480"/>
        <w:rPr>
          <w:bCs/>
          <w:color w:val="auto"/>
        </w:rPr>
      </w:pPr>
      <w:r>
        <w:rPr>
          <w:bCs/>
          <w:color w:val="auto"/>
        </w:rPr>
        <w:t>环境敏感目标见表</w:t>
      </w:r>
      <w:r>
        <w:rPr>
          <w:rFonts w:hint="eastAsia"/>
          <w:bCs/>
          <w:color w:val="auto"/>
        </w:rPr>
        <w:t>6.1</w:t>
      </w:r>
      <w:r>
        <w:rPr>
          <w:bCs/>
          <w:color w:val="auto"/>
        </w:rPr>
        <w:t>-</w:t>
      </w:r>
      <w:r>
        <w:rPr>
          <w:rFonts w:hint="eastAsia"/>
          <w:bCs/>
          <w:color w:val="auto"/>
          <w:lang w:val="en-US" w:eastAsia="zh-CN"/>
        </w:rPr>
        <w:t>5</w:t>
      </w:r>
      <w:r>
        <w:rPr>
          <w:bCs/>
          <w:color w:val="auto"/>
        </w:rPr>
        <w:t>，环境敏感目标位置图见图1.7-1。</w:t>
      </w:r>
    </w:p>
    <w:p>
      <w:pPr>
        <w:ind w:firstLine="0" w:firstLineChars="0"/>
        <w:jc w:val="center"/>
        <w:rPr>
          <w:rFonts w:eastAsia="黑体"/>
          <w:b/>
          <w:bCs/>
          <w:color w:val="auto"/>
          <w:sz w:val="21"/>
          <w:szCs w:val="21"/>
        </w:rPr>
      </w:pPr>
      <w:r>
        <w:rPr>
          <w:rFonts w:eastAsia="黑体"/>
          <w:b/>
          <w:bCs/>
          <w:color w:val="auto"/>
          <w:sz w:val="21"/>
          <w:szCs w:val="21"/>
        </w:rPr>
        <w:t>表</w:t>
      </w:r>
      <w:r>
        <w:rPr>
          <w:rFonts w:hint="eastAsia" w:eastAsia="黑体"/>
          <w:b/>
          <w:bCs/>
          <w:color w:val="auto"/>
          <w:sz w:val="21"/>
          <w:szCs w:val="21"/>
        </w:rPr>
        <w:t>6.1-</w:t>
      </w:r>
      <w:r>
        <w:rPr>
          <w:rFonts w:hint="eastAsia" w:eastAsia="黑体"/>
          <w:b/>
          <w:bCs/>
          <w:color w:val="auto"/>
          <w:sz w:val="21"/>
          <w:szCs w:val="21"/>
          <w:lang w:val="en-US" w:eastAsia="zh-CN"/>
        </w:rPr>
        <w:t>5</w:t>
      </w:r>
      <w:r>
        <w:rPr>
          <w:rFonts w:eastAsia="黑体"/>
          <w:b/>
          <w:bCs/>
          <w:color w:val="auto"/>
          <w:sz w:val="21"/>
          <w:szCs w:val="21"/>
        </w:rPr>
        <w:t xml:space="preserve">  环境敏感目标特征表</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23"/>
        <w:gridCol w:w="593"/>
        <w:gridCol w:w="2846"/>
        <w:gridCol w:w="1167"/>
        <w:gridCol w:w="48"/>
        <w:gridCol w:w="556"/>
        <w:gridCol w:w="427"/>
        <w:gridCol w:w="308"/>
        <w:gridCol w:w="1022"/>
        <w:gridCol w:w="13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97" w:hRule="exact"/>
          <w:jc w:val="center"/>
        </w:trPr>
        <w:tc>
          <w:tcPr>
            <w:tcW w:w="497" w:type="pct"/>
            <w:vAlign w:val="center"/>
          </w:tcPr>
          <w:p>
            <w:pPr>
              <w:spacing w:line="240" w:lineRule="auto"/>
              <w:ind w:firstLine="0" w:firstLineChars="0"/>
              <w:jc w:val="center"/>
              <w:rPr>
                <w:b/>
                <w:color w:val="auto"/>
                <w:sz w:val="21"/>
                <w:szCs w:val="21"/>
              </w:rPr>
            </w:pPr>
            <w:r>
              <w:rPr>
                <w:b/>
                <w:color w:val="auto"/>
                <w:sz w:val="21"/>
                <w:szCs w:val="21"/>
              </w:rPr>
              <w:t>类别</w:t>
            </w:r>
          </w:p>
        </w:tc>
        <w:tc>
          <w:tcPr>
            <w:tcW w:w="4502" w:type="pct"/>
            <w:gridSpan w:val="9"/>
            <w:vAlign w:val="center"/>
          </w:tcPr>
          <w:p>
            <w:pPr>
              <w:spacing w:line="240" w:lineRule="auto"/>
              <w:ind w:firstLine="0" w:firstLineChars="0"/>
              <w:jc w:val="center"/>
              <w:rPr>
                <w:b/>
                <w:color w:val="auto"/>
                <w:sz w:val="21"/>
                <w:szCs w:val="21"/>
              </w:rPr>
            </w:pPr>
            <w:r>
              <w:rPr>
                <w:b/>
                <w:color w:val="auto"/>
                <w:sz w:val="21"/>
                <w:szCs w:val="21"/>
              </w:rPr>
              <w:t>环境敏感特征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restart"/>
            <w:vAlign w:val="center"/>
          </w:tcPr>
          <w:p>
            <w:pPr>
              <w:spacing w:line="240" w:lineRule="auto"/>
              <w:ind w:firstLine="0" w:firstLineChars="0"/>
              <w:jc w:val="center"/>
              <w:rPr>
                <w:color w:val="auto"/>
                <w:sz w:val="21"/>
                <w:szCs w:val="21"/>
              </w:rPr>
            </w:pPr>
            <w:r>
              <w:rPr>
                <w:color w:val="auto"/>
                <w:sz w:val="21"/>
                <w:szCs w:val="21"/>
              </w:rPr>
              <w:t>环境空气</w:t>
            </w:r>
          </w:p>
        </w:tc>
        <w:tc>
          <w:tcPr>
            <w:tcW w:w="4502" w:type="pct"/>
            <w:gridSpan w:val="9"/>
            <w:vAlign w:val="center"/>
          </w:tcPr>
          <w:p>
            <w:pPr>
              <w:spacing w:line="240" w:lineRule="auto"/>
              <w:ind w:firstLine="0" w:firstLineChars="0"/>
              <w:jc w:val="center"/>
              <w:rPr>
                <w:color w:val="auto"/>
                <w:sz w:val="21"/>
                <w:szCs w:val="21"/>
              </w:rPr>
            </w:pPr>
            <w:r>
              <w:rPr>
                <w:color w:val="auto"/>
                <w:sz w:val="21"/>
                <w:szCs w:val="21"/>
              </w:rPr>
              <w:t>厂址周边</w:t>
            </w:r>
            <w:r>
              <w:rPr>
                <w:rFonts w:hint="eastAsia"/>
                <w:color w:val="auto"/>
                <w:sz w:val="21"/>
                <w:szCs w:val="21"/>
              </w:rPr>
              <w:t>3</w:t>
            </w:r>
            <w:r>
              <w:rPr>
                <w:color w:val="auto"/>
                <w:sz w:val="21"/>
                <w:szCs w:val="21"/>
              </w:rPr>
              <w:t>km范围内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20"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adjustRightInd w:val="0"/>
              <w:snapToGrid w:val="0"/>
              <w:spacing w:line="240" w:lineRule="auto"/>
              <w:ind w:firstLine="0" w:firstLineChars="0"/>
              <w:jc w:val="center"/>
              <w:rPr>
                <w:color w:val="auto"/>
                <w:sz w:val="21"/>
                <w:szCs w:val="21"/>
              </w:rPr>
            </w:pPr>
            <w:r>
              <w:rPr>
                <w:color w:val="auto"/>
                <w:sz w:val="21"/>
                <w:szCs w:val="21"/>
              </w:rPr>
              <w:t>序号</w:t>
            </w:r>
          </w:p>
        </w:tc>
        <w:tc>
          <w:tcPr>
            <w:tcW w:w="1532" w:type="pct"/>
            <w:vAlign w:val="center"/>
          </w:tcPr>
          <w:p>
            <w:pPr>
              <w:adjustRightInd w:val="0"/>
              <w:snapToGrid w:val="0"/>
              <w:spacing w:line="240" w:lineRule="auto"/>
              <w:ind w:firstLine="0" w:firstLineChars="0"/>
              <w:jc w:val="center"/>
              <w:rPr>
                <w:color w:val="auto"/>
                <w:sz w:val="21"/>
                <w:szCs w:val="21"/>
              </w:rPr>
            </w:pPr>
            <w:r>
              <w:rPr>
                <w:color w:val="auto"/>
                <w:sz w:val="21"/>
                <w:szCs w:val="21"/>
              </w:rPr>
              <w:t>敏感目标名称</w:t>
            </w:r>
          </w:p>
        </w:tc>
        <w:tc>
          <w:tcPr>
            <w:tcW w:w="654" w:type="pct"/>
            <w:gridSpan w:val="2"/>
            <w:vAlign w:val="center"/>
          </w:tcPr>
          <w:p>
            <w:pPr>
              <w:adjustRightInd w:val="0"/>
              <w:snapToGrid w:val="0"/>
              <w:spacing w:line="240" w:lineRule="auto"/>
              <w:ind w:firstLine="0" w:firstLineChars="0"/>
              <w:jc w:val="center"/>
              <w:rPr>
                <w:color w:val="auto"/>
                <w:sz w:val="21"/>
                <w:szCs w:val="21"/>
              </w:rPr>
            </w:pPr>
            <w:r>
              <w:rPr>
                <w:color w:val="auto"/>
                <w:sz w:val="21"/>
                <w:szCs w:val="21"/>
              </w:rPr>
              <w:t>相对方位</w:t>
            </w:r>
          </w:p>
        </w:tc>
        <w:tc>
          <w:tcPr>
            <w:tcW w:w="529" w:type="pct"/>
            <w:gridSpan w:val="2"/>
            <w:vAlign w:val="center"/>
          </w:tcPr>
          <w:p>
            <w:pPr>
              <w:adjustRightInd w:val="0"/>
              <w:snapToGrid w:val="0"/>
              <w:spacing w:line="240" w:lineRule="auto"/>
              <w:ind w:firstLine="0" w:firstLineChars="0"/>
              <w:jc w:val="center"/>
              <w:rPr>
                <w:color w:val="auto"/>
                <w:sz w:val="21"/>
                <w:szCs w:val="21"/>
              </w:rPr>
            </w:pPr>
            <w:r>
              <w:rPr>
                <w:color w:val="auto"/>
                <w:sz w:val="21"/>
                <w:szCs w:val="21"/>
              </w:rPr>
              <w:t>距离/m</w:t>
            </w:r>
          </w:p>
        </w:tc>
        <w:tc>
          <w:tcPr>
            <w:tcW w:w="714" w:type="pct"/>
            <w:gridSpan w:val="2"/>
            <w:vAlign w:val="center"/>
          </w:tcPr>
          <w:p>
            <w:pPr>
              <w:spacing w:line="240" w:lineRule="auto"/>
              <w:ind w:firstLine="0" w:firstLineChars="0"/>
              <w:jc w:val="center"/>
              <w:rPr>
                <w:color w:val="auto"/>
                <w:sz w:val="21"/>
                <w:szCs w:val="21"/>
              </w:rPr>
            </w:pPr>
            <w:r>
              <w:rPr>
                <w:color w:val="auto"/>
                <w:sz w:val="21"/>
                <w:szCs w:val="21"/>
              </w:rPr>
              <w:t>属性</w:t>
            </w:r>
          </w:p>
        </w:tc>
        <w:tc>
          <w:tcPr>
            <w:tcW w:w="752" w:type="pct"/>
            <w:vAlign w:val="center"/>
          </w:tcPr>
          <w:p>
            <w:pPr>
              <w:spacing w:line="240" w:lineRule="auto"/>
              <w:ind w:firstLine="0" w:firstLineChars="0"/>
              <w:jc w:val="center"/>
              <w:rPr>
                <w:color w:val="auto"/>
                <w:sz w:val="21"/>
                <w:szCs w:val="21"/>
              </w:rPr>
            </w:pPr>
            <w:r>
              <w:rPr>
                <w:color w:val="auto"/>
                <w:sz w:val="21"/>
                <w:szCs w:val="21"/>
              </w:rPr>
              <w:t>人口数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1</w:t>
            </w:r>
          </w:p>
        </w:tc>
        <w:tc>
          <w:tcPr>
            <w:tcW w:w="1532" w:type="pct"/>
            <w:vAlign w:val="center"/>
          </w:tcPr>
          <w:p>
            <w:pPr>
              <w:pStyle w:val="47"/>
              <w:rPr>
                <w:color w:val="auto"/>
                <w:szCs w:val="24"/>
              </w:rPr>
            </w:pPr>
            <w:r>
              <w:rPr>
                <w:color w:val="auto"/>
                <w:szCs w:val="24"/>
              </w:rPr>
              <w:t>解营村</w:t>
            </w:r>
          </w:p>
        </w:tc>
        <w:tc>
          <w:tcPr>
            <w:tcW w:w="654" w:type="pct"/>
            <w:gridSpan w:val="2"/>
            <w:vAlign w:val="center"/>
          </w:tcPr>
          <w:p>
            <w:pPr>
              <w:pStyle w:val="47"/>
              <w:rPr>
                <w:color w:val="auto"/>
                <w:szCs w:val="24"/>
              </w:rPr>
            </w:pPr>
            <w:r>
              <w:rPr>
                <w:color w:val="auto"/>
              </w:rPr>
              <w:t>N</w:t>
            </w:r>
            <w:r>
              <w:rPr>
                <w:rFonts w:hint="eastAsia"/>
                <w:color w:val="auto"/>
              </w:rPr>
              <w:t>W</w:t>
            </w:r>
          </w:p>
        </w:tc>
        <w:tc>
          <w:tcPr>
            <w:tcW w:w="529" w:type="pct"/>
            <w:gridSpan w:val="2"/>
            <w:vAlign w:val="center"/>
          </w:tcPr>
          <w:p>
            <w:pPr>
              <w:pStyle w:val="47"/>
              <w:rPr>
                <w:color w:val="auto"/>
                <w:szCs w:val="24"/>
              </w:rPr>
            </w:pPr>
            <w:r>
              <w:rPr>
                <w:rFonts w:hint="eastAsia"/>
                <w:color w:val="auto"/>
              </w:rPr>
              <w:t>180</w:t>
            </w:r>
          </w:p>
        </w:tc>
        <w:tc>
          <w:tcPr>
            <w:tcW w:w="714" w:type="pct"/>
            <w:gridSpan w:val="2"/>
            <w:vAlign w:val="center"/>
          </w:tcPr>
          <w:p>
            <w:pPr>
              <w:pStyle w:val="47"/>
              <w:rPr>
                <w:color w:val="auto"/>
                <w:szCs w:val="24"/>
              </w:rPr>
            </w:pPr>
            <w:r>
              <w:rPr>
                <w:color w:val="auto"/>
              </w:rPr>
              <w:t>村庄</w:t>
            </w:r>
          </w:p>
        </w:tc>
        <w:tc>
          <w:tcPr>
            <w:tcW w:w="752" w:type="pct"/>
            <w:vAlign w:val="center"/>
          </w:tcPr>
          <w:p>
            <w:pPr>
              <w:pStyle w:val="47"/>
              <w:rPr>
                <w:color w:val="auto"/>
                <w:szCs w:val="24"/>
              </w:rPr>
            </w:pPr>
            <w:r>
              <w:rPr>
                <w:rFonts w:hint="eastAsia"/>
                <w:color w:val="auto"/>
              </w:rPr>
              <w:t>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2</w:t>
            </w:r>
          </w:p>
        </w:tc>
        <w:tc>
          <w:tcPr>
            <w:tcW w:w="1532" w:type="pct"/>
            <w:vAlign w:val="center"/>
          </w:tcPr>
          <w:p>
            <w:pPr>
              <w:pStyle w:val="47"/>
              <w:rPr>
                <w:color w:val="auto"/>
                <w:szCs w:val="24"/>
              </w:rPr>
            </w:pPr>
            <w:r>
              <w:rPr>
                <w:color w:val="auto"/>
                <w:szCs w:val="24"/>
              </w:rPr>
              <w:t xml:space="preserve">曹营村 </w:t>
            </w:r>
          </w:p>
        </w:tc>
        <w:tc>
          <w:tcPr>
            <w:tcW w:w="654" w:type="pct"/>
            <w:gridSpan w:val="2"/>
            <w:vAlign w:val="center"/>
          </w:tcPr>
          <w:p>
            <w:pPr>
              <w:pStyle w:val="47"/>
              <w:rPr>
                <w:color w:val="auto"/>
                <w:szCs w:val="24"/>
              </w:rPr>
            </w:pPr>
            <w:r>
              <w:rPr>
                <w:color w:val="auto"/>
              </w:rPr>
              <w:t>N</w:t>
            </w:r>
          </w:p>
        </w:tc>
        <w:tc>
          <w:tcPr>
            <w:tcW w:w="529" w:type="pct"/>
            <w:gridSpan w:val="2"/>
            <w:vAlign w:val="center"/>
          </w:tcPr>
          <w:p>
            <w:pPr>
              <w:pStyle w:val="47"/>
              <w:rPr>
                <w:color w:val="auto"/>
                <w:szCs w:val="24"/>
              </w:rPr>
            </w:pPr>
            <w:r>
              <w:rPr>
                <w:rFonts w:hint="eastAsia"/>
                <w:color w:val="auto"/>
              </w:rPr>
              <w:t>880</w:t>
            </w:r>
          </w:p>
        </w:tc>
        <w:tc>
          <w:tcPr>
            <w:tcW w:w="714" w:type="pct"/>
            <w:gridSpan w:val="2"/>
            <w:vAlign w:val="center"/>
          </w:tcPr>
          <w:p>
            <w:pPr>
              <w:pStyle w:val="47"/>
              <w:rPr>
                <w:color w:val="auto"/>
                <w:szCs w:val="24"/>
              </w:rPr>
            </w:pPr>
            <w:r>
              <w:rPr>
                <w:color w:val="auto"/>
              </w:rPr>
              <w:t>村庄</w:t>
            </w:r>
          </w:p>
        </w:tc>
        <w:tc>
          <w:tcPr>
            <w:tcW w:w="752" w:type="pct"/>
            <w:vAlign w:val="center"/>
          </w:tcPr>
          <w:p>
            <w:pPr>
              <w:pStyle w:val="47"/>
              <w:rPr>
                <w:color w:val="auto"/>
                <w:szCs w:val="24"/>
              </w:rPr>
            </w:pPr>
            <w:r>
              <w:rPr>
                <w:rFonts w:hint="eastAsia"/>
                <w:color w:val="auto"/>
              </w:rPr>
              <w:t>1563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3</w:t>
            </w:r>
          </w:p>
        </w:tc>
        <w:tc>
          <w:tcPr>
            <w:tcW w:w="1532" w:type="pct"/>
            <w:vAlign w:val="center"/>
          </w:tcPr>
          <w:p>
            <w:pPr>
              <w:pStyle w:val="47"/>
              <w:rPr>
                <w:color w:val="auto"/>
                <w:szCs w:val="24"/>
              </w:rPr>
            </w:pPr>
            <w:r>
              <w:rPr>
                <w:color w:val="auto"/>
                <w:szCs w:val="24"/>
              </w:rPr>
              <w:t>庆隆幼儿园</w:t>
            </w:r>
          </w:p>
        </w:tc>
        <w:tc>
          <w:tcPr>
            <w:tcW w:w="654" w:type="pct"/>
            <w:gridSpan w:val="2"/>
            <w:vAlign w:val="center"/>
          </w:tcPr>
          <w:p>
            <w:pPr>
              <w:pStyle w:val="47"/>
              <w:rPr>
                <w:color w:val="auto"/>
                <w:szCs w:val="24"/>
              </w:rPr>
            </w:pPr>
            <w:r>
              <w:rPr>
                <w:color w:val="auto"/>
              </w:rPr>
              <w:t>NE</w:t>
            </w:r>
          </w:p>
        </w:tc>
        <w:tc>
          <w:tcPr>
            <w:tcW w:w="529" w:type="pct"/>
            <w:gridSpan w:val="2"/>
            <w:vAlign w:val="center"/>
          </w:tcPr>
          <w:p>
            <w:pPr>
              <w:pStyle w:val="47"/>
              <w:rPr>
                <w:color w:val="auto"/>
                <w:szCs w:val="24"/>
              </w:rPr>
            </w:pPr>
            <w:r>
              <w:rPr>
                <w:rFonts w:hint="eastAsia"/>
                <w:color w:val="auto"/>
              </w:rPr>
              <w:t>730</w:t>
            </w:r>
          </w:p>
        </w:tc>
        <w:tc>
          <w:tcPr>
            <w:tcW w:w="714" w:type="pct"/>
            <w:gridSpan w:val="2"/>
            <w:vAlign w:val="center"/>
          </w:tcPr>
          <w:p>
            <w:pPr>
              <w:pStyle w:val="47"/>
              <w:rPr>
                <w:color w:val="auto"/>
                <w:szCs w:val="24"/>
              </w:rPr>
            </w:pPr>
            <w:r>
              <w:rPr>
                <w:rFonts w:hint="eastAsia"/>
                <w:color w:val="auto"/>
              </w:rPr>
              <w:t>学校</w:t>
            </w:r>
          </w:p>
        </w:tc>
        <w:tc>
          <w:tcPr>
            <w:tcW w:w="752" w:type="pct"/>
            <w:vAlign w:val="center"/>
          </w:tcPr>
          <w:p>
            <w:pPr>
              <w:pStyle w:val="47"/>
              <w:rPr>
                <w:color w:val="auto"/>
                <w:szCs w:val="24"/>
              </w:rPr>
            </w:pPr>
            <w:r>
              <w:rPr>
                <w:rFonts w:hint="eastAsia"/>
                <w:color w:val="auto"/>
              </w:rPr>
              <w:t>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4</w:t>
            </w:r>
          </w:p>
        </w:tc>
        <w:tc>
          <w:tcPr>
            <w:tcW w:w="1532" w:type="pct"/>
            <w:vAlign w:val="center"/>
          </w:tcPr>
          <w:p>
            <w:pPr>
              <w:pStyle w:val="47"/>
              <w:rPr>
                <w:color w:val="auto"/>
                <w:szCs w:val="24"/>
              </w:rPr>
            </w:pPr>
            <w:r>
              <w:rPr>
                <w:color w:val="auto"/>
                <w:szCs w:val="24"/>
              </w:rPr>
              <w:t>西吕村</w:t>
            </w:r>
          </w:p>
        </w:tc>
        <w:tc>
          <w:tcPr>
            <w:tcW w:w="654" w:type="pct"/>
            <w:gridSpan w:val="2"/>
            <w:vAlign w:val="center"/>
          </w:tcPr>
          <w:p>
            <w:pPr>
              <w:pStyle w:val="47"/>
              <w:rPr>
                <w:color w:val="auto"/>
                <w:szCs w:val="24"/>
              </w:rPr>
            </w:pPr>
            <w:r>
              <w:rPr>
                <w:color w:val="auto"/>
              </w:rPr>
              <w:t>N</w:t>
            </w:r>
            <w:r>
              <w:rPr>
                <w:rFonts w:hint="eastAsia"/>
                <w:color w:val="auto"/>
              </w:rPr>
              <w:t>W</w:t>
            </w:r>
          </w:p>
        </w:tc>
        <w:tc>
          <w:tcPr>
            <w:tcW w:w="529" w:type="pct"/>
            <w:gridSpan w:val="2"/>
            <w:vAlign w:val="center"/>
          </w:tcPr>
          <w:p>
            <w:pPr>
              <w:pStyle w:val="47"/>
              <w:rPr>
                <w:color w:val="auto"/>
                <w:szCs w:val="24"/>
              </w:rPr>
            </w:pPr>
            <w:r>
              <w:rPr>
                <w:rFonts w:hint="eastAsia"/>
                <w:color w:val="auto"/>
              </w:rPr>
              <w:t>1640</w:t>
            </w:r>
          </w:p>
        </w:tc>
        <w:tc>
          <w:tcPr>
            <w:tcW w:w="714" w:type="pct"/>
            <w:gridSpan w:val="2"/>
            <w:vAlign w:val="center"/>
          </w:tcPr>
          <w:p>
            <w:pPr>
              <w:pStyle w:val="47"/>
              <w:rPr>
                <w:color w:val="auto"/>
                <w:szCs w:val="24"/>
              </w:rPr>
            </w:pPr>
            <w:r>
              <w:rPr>
                <w:color w:val="auto"/>
              </w:rPr>
              <w:t>村庄</w:t>
            </w:r>
          </w:p>
        </w:tc>
        <w:tc>
          <w:tcPr>
            <w:tcW w:w="752" w:type="pct"/>
            <w:vAlign w:val="center"/>
          </w:tcPr>
          <w:p>
            <w:pPr>
              <w:pStyle w:val="47"/>
              <w:rPr>
                <w:color w:val="auto"/>
                <w:szCs w:val="24"/>
              </w:rPr>
            </w:pPr>
            <w:r>
              <w:rPr>
                <w:rFonts w:hint="eastAsia"/>
                <w:color w:val="auto"/>
              </w:rPr>
              <w:t>750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5</w:t>
            </w:r>
          </w:p>
        </w:tc>
        <w:tc>
          <w:tcPr>
            <w:tcW w:w="1532" w:type="pct"/>
            <w:vAlign w:val="center"/>
          </w:tcPr>
          <w:p>
            <w:pPr>
              <w:pStyle w:val="47"/>
              <w:rPr>
                <w:color w:val="auto"/>
                <w:szCs w:val="24"/>
              </w:rPr>
            </w:pPr>
            <w:r>
              <w:rPr>
                <w:rFonts w:hint="eastAsia"/>
                <w:color w:val="auto"/>
                <w:szCs w:val="24"/>
              </w:rPr>
              <w:t>碧桂园中房天玺</w:t>
            </w:r>
          </w:p>
        </w:tc>
        <w:tc>
          <w:tcPr>
            <w:tcW w:w="654" w:type="pct"/>
            <w:gridSpan w:val="2"/>
            <w:vAlign w:val="center"/>
          </w:tcPr>
          <w:p>
            <w:pPr>
              <w:pStyle w:val="47"/>
              <w:rPr>
                <w:color w:val="auto"/>
                <w:szCs w:val="24"/>
              </w:rPr>
            </w:pPr>
            <w:r>
              <w:rPr>
                <w:color w:val="auto"/>
              </w:rPr>
              <w:t>N</w:t>
            </w:r>
            <w:r>
              <w:rPr>
                <w:rFonts w:hint="eastAsia"/>
                <w:color w:val="auto"/>
              </w:rPr>
              <w:t>W</w:t>
            </w:r>
          </w:p>
        </w:tc>
        <w:tc>
          <w:tcPr>
            <w:tcW w:w="529" w:type="pct"/>
            <w:gridSpan w:val="2"/>
            <w:vAlign w:val="center"/>
          </w:tcPr>
          <w:p>
            <w:pPr>
              <w:pStyle w:val="47"/>
              <w:rPr>
                <w:color w:val="auto"/>
                <w:szCs w:val="24"/>
              </w:rPr>
            </w:pPr>
            <w:r>
              <w:rPr>
                <w:color w:val="auto"/>
              </w:rPr>
              <w:t>370</w:t>
            </w:r>
          </w:p>
        </w:tc>
        <w:tc>
          <w:tcPr>
            <w:tcW w:w="714" w:type="pct"/>
            <w:gridSpan w:val="2"/>
            <w:vAlign w:val="center"/>
          </w:tcPr>
          <w:p>
            <w:pPr>
              <w:pStyle w:val="47"/>
              <w:rPr>
                <w:color w:val="auto"/>
                <w:szCs w:val="24"/>
              </w:rPr>
            </w:pPr>
            <w:r>
              <w:rPr>
                <w:color w:val="auto"/>
              </w:rPr>
              <w:t>村庄</w:t>
            </w:r>
          </w:p>
        </w:tc>
        <w:tc>
          <w:tcPr>
            <w:tcW w:w="752" w:type="pct"/>
            <w:vAlign w:val="center"/>
          </w:tcPr>
          <w:p>
            <w:pPr>
              <w:pStyle w:val="47"/>
              <w:rPr>
                <w:color w:val="auto"/>
                <w:szCs w:val="24"/>
              </w:rPr>
            </w:pPr>
            <w:r>
              <w:rPr>
                <w:rFonts w:hint="eastAsia"/>
                <w:color w:val="auto"/>
              </w:rPr>
              <w:t>830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6</w:t>
            </w:r>
          </w:p>
        </w:tc>
        <w:tc>
          <w:tcPr>
            <w:tcW w:w="1532" w:type="pct"/>
            <w:vAlign w:val="center"/>
          </w:tcPr>
          <w:p>
            <w:pPr>
              <w:pStyle w:val="47"/>
              <w:rPr>
                <w:color w:val="auto"/>
                <w:szCs w:val="24"/>
              </w:rPr>
            </w:pPr>
            <w:r>
              <w:rPr>
                <w:color w:val="auto"/>
                <w:szCs w:val="24"/>
              </w:rPr>
              <w:t>于营村</w:t>
            </w:r>
          </w:p>
        </w:tc>
        <w:tc>
          <w:tcPr>
            <w:tcW w:w="654" w:type="pct"/>
            <w:gridSpan w:val="2"/>
            <w:vAlign w:val="center"/>
          </w:tcPr>
          <w:p>
            <w:pPr>
              <w:pStyle w:val="47"/>
              <w:rPr>
                <w:color w:val="auto"/>
                <w:szCs w:val="24"/>
              </w:rPr>
            </w:pPr>
            <w:r>
              <w:rPr>
                <w:color w:val="auto"/>
              </w:rPr>
              <w:t>N</w:t>
            </w:r>
            <w:r>
              <w:rPr>
                <w:rFonts w:hint="eastAsia"/>
                <w:color w:val="auto"/>
              </w:rPr>
              <w:t>W</w:t>
            </w:r>
          </w:p>
        </w:tc>
        <w:tc>
          <w:tcPr>
            <w:tcW w:w="529" w:type="pct"/>
            <w:gridSpan w:val="2"/>
            <w:vAlign w:val="center"/>
          </w:tcPr>
          <w:p>
            <w:pPr>
              <w:pStyle w:val="47"/>
              <w:rPr>
                <w:color w:val="auto"/>
                <w:szCs w:val="24"/>
              </w:rPr>
            </w:pPr>
            <w:r>
              <w:rPr>
                <w:rFonts w:hint="eastAsia"/>
                <w:color w:val="auto"/>
              </w:rPr>
              <w:t>1660</w:t>
            </w:r>
          </w:p>
        </w:tc>
        <w:tc>
          <w:tcPr>
            <w:tcW w:w="714" w:type="pct"/>
            <w:gridSpan w:val="2"/>
            <w:vAlign w:val="center"/>
          </w:tcPr>
          <w:p>
            <w:pPr>
              <w:pStyle w:val="47"/>
              <w:rPr>
                <w:color w:val="auto"/>
                <w:szCs w:val="24"/>
              </w:rPr>
            </w:pPr>
            <w:r>
              <w:rPr>
                <w:color w:val="auto"/>
              </w:rPr>
              <w:t>村庄</w:t>
            </w:r>
          </w:p>
        </w:tc>
        <w:tc>
          <w:tcPr>
            <w:tcW w:w="752" w:type="pct"/>
            <w:vAlign w:val="center"/>
          </w:tcPr>
          <w:p>
            <w:pPr>
              <w:pStyle w:val="47"/>
              <w:rPr>
                <w:color w:val="auto"/>
                <w:szCs w:val="24"/>
              </w:rPr>
            </w:pPr>
            <w:r>
              <w:rPr>
                <w:color w:val="auto"/>
              </w:rPr>
              <w:t>113</w:t>
            </w:r>
            <w:r>
              <w:rPr>
                <w:rFonts w:hint="eastAsia"/>
                <w:color w:val="auto"/>
              </w:rPr>
              <w:t>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7</w:t>
            </w:r>
          </w:p>
        </w:tc>
        <w:tc>
          <w:tcPr>
            <w:tcW w:w="1532" w:type="pct"/>
            <w:vAlign w:val="center"/>
          </w:tcPr>
          <w:p>
            <w:pPr>
              <w:pStyle w:val="47"/>
              <w:rPr>
                <w:color w:val="auto"/>
                <w:szCs w:val="24"/>
              </w:rPr>
            </w:pPr>
            <w:r>
              <w:rPr>
                <w:rFonts w:hint="eastAsia"/>
                <w:color w:val="auto"/>
                <w:szCs w:val="24"/>
              </w:rPr>
              <w:t>幸福家园</w:t>
            </w:r>
            <w:r>
              <w:rPr>
                <w:color w:val="auto"/>
                <w:szCs w:val="24"/>
              </w:rPr>
              <w:t xml:space="preserve"> </w:t>
            </w:r>
          </w:p>
        </w:tc>
        <w:tc>
          <w:tcPr>
            <w:tcW w:w="654" w:type="pct"/>
            <w:gridSpan w:val="2"/>
            <w:vAlign w:val="center"/>
          </w:tcPr>
          <w:p>
            <w:pPr>
              <w:pStyle w:val="47"/>
              <w:rPr>
                <w:color w:val="auto"/>
                <w:szCs w:val="24"/>
              </w:rPr>
            </w:pPr>
            <w:r>
              <w:rPr>
                <w:color w:val="auto"/>
              </w:rPr>
              <w:t>N</w:t>
            </w:r>
            <w:r>
              <w:rPr>
                <w:rFonts w:hint="eastAsia"/>
                <w:color w:val="auto"/>
              </w:rPr>
              <w:t>W</w:t>
            </w:r>
          </w:p>
        </w:tc>
        <w:tc>
          <w:tcPr>
            <w:tcW w:w="529" w:type="pct"/>
            <w:gridSpan w:val="2"/>
            <w:vAlign w:val="center"/>
          </w:tcPr>
          <w:p>
            <w:pPr>
              <w:pStyle w:val="47"/>
              <w:rPr>
                <w:color w:val="auto"/>
                <w:szCs w:val="24"/>
              </w:rPr>
            </w:pPr>
            <w:r>
              <w:rPr>
                <w:rFonts w:hint="eastAsia"/>
                <w:color w:val="auto"/>
              </w:rPr>
              <w:t>2330</w:t>
            </w:r>
          </w:p>
        </w:tc>
        <w:tc>
          <w:tcPr>
            <w:tcW w:w="714" w:type="pct"/>
            <w:gridSpan w:val="2"/>
            <w:vAlign w:val="center"/>
          </w:tcPr>
          <w:p>
            <w:pPr>
              <w:pStyle w:val="47"/>
              <w:rPr>
                <w:color w:val="auto"/>
                <w:szCs w:val="24"/>
              </w:rPr>
            </w:pPr>
            <w:r>
              <w:rPr>
                <w:color w:val="auto"/>
              </w:rPr>
              <w:t>村庄</w:t>
            </w:r>
          </w:p>
        </w:tc>
        <w:tc>
          <w:tcPr>
            <w:tcW w:w="752" w:type="pct"/>
            <w:vAlign w:val="center"/>
          </w:tcPr>
          <w:p>
            <w:pPr>
              <w:pStyle w:val="47"/>
              <w:rPr>
                <w:color w:val="auto"/>
                <w:szCs w:val="24"/>
              </w:rPr>
            </w:pPr>
            <w:r>
              <w:rPr>
                <w:rFonts w:hint="eastAsia"/>
                <w:color w:val="auto"/>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8</w:t>
            </w:r>
          </w:p>
        </w:tc>
        <w:tc>
          <w:tcPr>
            <w:tcW w:w="1532" w:type="pct"/>
            <w:vAlign w:val="center"/>
          </w:tcPr>
          <w:p>
            <w:pPr>
              <w:pStyle w:val="47"/>
              <w:rPr>
                <w:color w:val="auto"/>
                <w:szCs w:val="24"/>
              </w:rPr>
            </w:pPr>
            <w:r>
              <w:rPr>
                <w:rFonts w:hint="eastAsia"/>
                <w:color w:val="auto"/>
                <w:szCs w:val="24"/>
              </w:rPr>
              <w:t>太平锦绣花园</w:t>
            </w:r>
          </w:p>
        </w:tc>
        <w:tc>
          <w:tcPr>
            <w:tcW w:w="654" w:type="pct"/>
            <w:gridSpan w:val="2"/>
            <w:vAlign w:val="center"/>
          </w:tcPr>
          <w:p>
            <w:pPr>
              <w:pStyle w:val="47"/>
              <w:rPr>
                <w:color w:val="auto"/>
                <w:szCs w:val="24"/>
              </w:rPr>
            </w:pPr>
            <w:r>
              <w:rPr>
                <w:color w:val="auto"/>
              </w:rPr>
              <w:t>N</w:t>
            </w:r>
            <w:r>
              <w:rPr>
                <w:rFonts w:hint="eastAsia"/>
                <w:color w:val="auto"/>
              </w:rPr>
              <w:t>W</w:t>
            </w:r>
          </w:p>
        </w:tc>
        <w:tc>
          <w:tcPr>
            <w:tcW w:w="529" w:type="pct"/>
            <w:gridSpan w:val="2"/>
            <w:vAlign w:val="center"/>
          </w:tcPr>
          <w:p>
            <w:pPr>
              <w:pStyle w:val="47"/>
              <w:rPr>
                <w:color w:val="auto"/>
                <w:szCs w:val="24"/>
              </w:rPr>
            </w:pPr>
            <w:r>
              <w:rPr>
                <w:rFonts w:hint="eastAsia"/>
                <w:color w:val="auto"/>
              </w:rPr>
              <w:t>2730</w:t>
            </w:r>
          </w:p>
        </w:tc>
        <w:tc>
          <w:tcPr>
            <w:tcW w:w="714" w:type="pct"/>
            <w:gridSpan w:val="2"/>
            <w:vAlign w:val="center"/>
          </w:tcPr>
          <w:p>
            <w:pPr>
              <w:pStyle w:val="47"/>
              <w:rPr>
                <w:color w:val="auto"/>
                <w:szCs w:val="24"/>
              </w:rPr>
            </w:pPr>
            <w:r>
              <w:rPr>
                <w:color w:val="auto"/>
              </w:rPr>
              <w:t>村庄</w:t>
            </w:r>
          </w:p>
        </w:tc>
        <w:tc>
          <w:tcPr>
            <w:tcW w:w="752" w:type="pct"/>
            <w:vAlign w:val="center"/>
          </w:tcPr>
          <w:p>
            <w:pPr>
              <w:pStyle w:val="47"/>
              <w:rPr>
                <w:color w:val="auto"/>
                <w:szCs w:val="24"/>
              </w:rPr>
            </w:pPr>
            <w:r>
              <w:rPr>
                <w:rFonts w:hint="eastAsia"/>
                <w:color w:val="auto"/>
              </w:rPr>
              <w:t>610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9</w:t>
            </w:r>
          </w:p>
        </w:tc>
        <w:tc>
          <w:tcPr>
            <w:tcW w:w="1532" w:type="pct"/>
            <w:vAlign w:val="center"/>
          </w:tcPr>
          <w:p>
            <w:pPr>
              <w:pStyle w:val="47"/>
              <w:rPr>
                <w:color w:val="auto"/>
                <w:szCs w:val="24"/>
              </w:rPr>
            </w:pPr>
            <w:r>
              <w:rPr>
                <w:rFonts w:hint="eastAsia"/>
                <w:color w:val="auto"/>
                <w:szCs w:val="24"/>
              </w:rPr>
              <w:t>荷塘月色</w:t>
            </w:r>
            <w:r>
              <w:rPr>
                <w:color w:val="auto"/>
                <w:szCs w:val="24"/>
              </w:rPr>
              <w:t xml:space="preserve"> </w:t>
            </w:r>
          </w:p>
        </w:tc>
        <w:tc>
          <w:tcPr>
            <w:tcW w:w="654" w:type="pct"/>
            <w:gridSpan w:val="2"/>
            <w:vAlign w:val="center"/>
          </w:tcPr>
          <w:p>
            <w:pPr>
              <w:pStyle w:val="47"/>
              <w:rPr>
                <w:color w:val="auto"/>
                <w:szCs w:val="24"/>
              </w:rPr>
            </w:pPr>
            <w:r>
              <w:rPr>
                <w:color w:val="auto"/>
              </w:rPr>
              <w:t>N</w:t>
            </w:r>
            <w:r>
              <w:rPr>
                <w:rFonts w:hint="eastAsia"/>
                <w:color w:val="auto"/>
              </w:rPr>
              <w:t>W</w:t>
            </w:r>
          </w:p>
        </w:tc>
        <w:tc>
          <w:tcPr>
            <w:tcW w:w="529" w:type="pct"/>
            <w:gridSpan w:val="2"/>
            <w:vAlign w:val="center"/>
          </w:tcPr>
          <w:p>
            <w:pPr>
              <w:pStyle w:val="47"/>
              <w:rPr>
                <w:color w:val="auto"/>
                <w:szCs w:val="24"/>
              </w:rPr>
            </w:pPr>
            <w:r>
              <w:rPr>
                <w:rFonts w:hint="eastAsia"/>
                <w:color w:val="auto"/>
              </w:rPr>
              <w:t>2980</w:t>
            </w:r>
          </w:p>
        </w:tc>
        <w:tc>
          <w:tcPr>
            <w:tcW w:w="714" w:type="pct"/>
            <w:gridSpan w:val="2"/>
            <w:vAlign w:val="center"/>
          </w:tcPr>
          <w:p>
            <w:pPr>
              <w:pStyle w:val="47"/>
              <w:rPr>
                <w:color w:val="auto"/>
                <w:szCs w:val="24"/>
              </w:rPr>
            </w:pPr>
            <w:r>
              <w:rPr>
                <w:color w:val="auto"/>
              </w:rPr>
              <w:t>村庄</w:t>
            </w:r>
          </w:p>
        </w:tc>
        <w:tc>
          <w:tcPr>
            <w:tcW w:w="752" w:type="pct"/>
            <w:vAlign w:val="center"/>
          </w:tcPr>
          <w:p>
            <w:pPr>
              <w:pStyle w:val="47"/>
              <w:rPr>
                <w:color w:val="auto"/>
                <w:szCs w:val="24"/>
              </w:rPr>
            </w:pPr>
            <w:r>
              <w:rPr>
                <w:rFonts w:hint="eastAsia"/>
                <w:color w:val="auto"/>
              </w:rPr>
              <w:t>700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10</w:t>
            </w:r>
          </w:p>
        </w:tc>
        <w:tc>
          <w:tcPr>
            <w:tcW w:w="1532" w:type="pct"/>
            <w:vAlign w:val="center"/>
          </w:tcPr>
          <w:p>
            <w:pPr>
              <w:pStyle w:val="47"/>
              <w:rPr>
                <w:color w:val="auto"/>
                <w:szCs w:val="24"/>
              </w:rPr>
            </w:pPr>
            <w:r>
              <w:rPr>
                <w:rFonts w:hint="eastAsia"/>
                <w:color w:val="auto"/>
                <w:szCs w:val="24"/>
              </w:rPr>
              <w:t>荷塘月色幼儿院</w:t>
            </w:r>
          </w:p>
        </w:tc>
        <w:tc>
          <w:tcPr>
            <w:tcW w:w="654" w:type="pct"/>
            <w:gridSpan w:val="2"/>
            <w:vAlign w:val="center"/>
          </w:tcPr>
          <w:p>
            <w:pPr>
              <w:pStyle w:val="47"/>
              <w:rPr>
                <w:color w:val="auto"/>
                <w:szCs w:val="24"/>
              </w:rPr>
            </w:pPr>
            <w:r>
              <w:rPr>
                <w:color w:val="auto"/>
              </w:rPr>
              <w:t>N</w:t>
            </w:r>
            <w:r>
              <w:rPr>
                <w:rFonts w:hint="eastAsia"/>
                <w:color w:val="auto"/>
              </w:rPr>
              <w:t>W</w:t>
            </w:r>
          </w:p>
        </w:tc>
        <w:tc>
          <w:tcPr>
            <w:tcW w:w="529" w:type="pct"/>
            <w:gridSpan w:val="2"/>
            <w:vAlign w:val="center"/>
          </w:tcPr>
          <w:p>
            <w:pPr>
              <w:pStyle w:val="47"/>
              <w:rPr>
                <w:color w:val="auto"/>
                <w:szCs w:val="24"/>
              </w:rPr>
            </w:pPr>
            <w:r>
              <w:rPr>
                <w:rFonts w:hint="eastAsia"/>
                <w:color w:val="auto"/>
              </w:rPr>
              <w:t>2990</w:t>
            </w:r>
          </w:p>
        </w:tc>
        <w:tc>
          <w:tcPr>
            <w:tcW w:w="714" w:type="pct"/>
            <w:gridSpan w:val="2"/>
            <w:vAlign w:val="center"/>
          </w:tcPr>
          <w:p>
            <w:pPr>
              <w:pStyle w:val="47"/>
              <w:rPr>
                <w:color w:val="auto"/>
                <w:szCs w:val="24"/>
              </w:rPr>
            </w:pPr>
            <w:r>
              <w:rPr>
                <w:rFonts w:hint="eastAsia"/>
                <w:color w:val="auto"/>
                <w:szCs w:val="24"/>
              </w:rPr>
              <w:t>学校</w:t>
            </w:r>
          </w:p>
        </w:tc>
        <w:tc>
          <w:tcPr>
            <w:tcW w:w="752" w:type="pct"/>
            <w:vAlign w:val="center"/>
          </w:tcPr>
          <w:p>
            <w:pPr>
              <w:pStyle w:val="47"/>
              <w:rPr>
                <w:color w:val="auto"/>
                <w:szCs w:val="24"/>
              </w:rPr>
            </w:pPr>
            <w:r>
              <w:rPr>
                <w:rFonts w:hint="eastAsia"/>
                <w:color w:val="auto"/>
              </w:rPr>
              <w:t>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11</w:t>
            </w:r>
          </w:p>
        </w:tc>
        <w:tc>
          <w:tcPr>
            <w:tcW w:w="1532" w:type="pct"/>
            <w:vAlign w:val="center"/>
          </w:tcPr>
          <w:p>
            <w:pPr>
              <w:pStyle w:val="47"/>
              <w:rPr>
                <w:color w:val="auto"/>
                <w:szCs w:val="24"/>
              </w:rPr>
            </w:pPr>
            <w:r>
              <w:rPr>
                <w:color w:val="auto"/>
                <w:szCs w:val="24"/>
              </w:rPr>
              <w:t>惠泽苑</w:t>
            </w:r>
          </w:p>
        </w:tc>
        <w:tc>
          <w:tcPr>
            <w:tcW w:w="654" w:type="pct"/>
            <w:gridSpan w:val="2"/>
            <w:vAlign w:val="center"/>
          </w:tcPr>
          <w:p>
            <w:pPr>
              <w:pStyle w:val="47"/>
              <w:rPr>
                <w:color w:val="auto"/>
                <w:szCs w:val="24"/>
              </w:rPr>
            </w:pPr>
            <w:r>
              <w:rPr>
                <w:color w:val="auto"/>
              </w:rPr>
              <w:t>NNE</w:t>
            </w:r>
          </w:p>
        </w:tc>
        <w:tc>
          <w:tcPr>
            <w:tcW w:w="529" w:type="pct"/>
            <w:gridSpan w:val="2"/>
            <w:vAlign w:val="center"/>
          </w:tcPr>
          <w:p>
            <w:pPr>
              <w:pStyle w:val="47"/>
              <w:rPr>
                <w:color w:val="auto"/>
                <w:szCs w:val="24"/>
              </w:rPr>
            </w:pPr>
            <w:r>
              <w:rPr>
                <w:rFonts w:hint="eastAsia"/>
                <w:color w:val="auto"/>
              </w:rPr>
              <w:t>3000</w:t>
            </w:r>
          </w:p>
        </w:tc>
        <w:tc>
          <w:tcPr>
            <w:tcW w:w="714" w:type="pct"/>
            <w:gridSpan w:val="2"/>
            <w:vAlign w:val="center"/>
          </w:tcPr>
          <w:p>
            <w:pPr>
              <w:pStyle w:val="47"/>
              <w:rPr>
                <w:color w:val="auto"/>
                <w:szCs w:val="24"/>
              </w:rPr>
            </w:pPr>
            <w:r>
              <w:rPr>
                <w:color w:val="auto"/>
              </w:rPr>
              <w:t>村庄</w:t>
            </w:r>
          </w:p>
        </w:tc>
        <w:tc>
          <w:tcPr>
            <w:tcW w:w="752" w:type="pct"/>
            <w:vAlign w:val="center"/>
          </w:tcPr>
          <w:p>
            <w:pPr>
              <w:pStyle w:val="47"/>
              <w:rPr>
                <w:color w:val="auto"/>
                <w:szCs w:val="24"/>
              </w:rPr>
            </w:pPr>
            <w:r>
              <w:rPr>
                <w:rFonts w:hint="eastAsia"/>
                <w:color w:val="auto"/>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12</w:t>
            </w:r>
          </w:p>
        </w:tc>
        <w:tc>
          <w:tcPr>
            <w:tcW w:w="1532" w:type="pct"/>
            <w:vAlign w:val="center"/>
          </w:tcPr>
          <w:p>
            <w:pPr>
              <w:pStyle w:val="47"/>
              <w:rPr>
                <w:color w:val="auto"/>
                <w:szCs w:val="24"/>
              </w:rPr>
            </w:pPr>
            <w:r>
              <w:rPr>
                <w:rFonts w:hint="eastAsia"/>
                <w:color w:val="auto"/>
                <w:szCs w:val="24"/>
              </w:rPr>
              <w:t>香溪新城</w:t>
            </w:r>
          </w:p>
        </w:tc>
        <w:tc>
          <w:tcPr>
            <w:tcW w:w="654" w:type="pct"/>
            <w:gridSpan w:val="2"/>
            <w:vAlign w:val="center"/>
          </w:tcPr>
          <w:p>
            <w:pPr>
              <w:pStyle w:val="47"/>
              <w:rPr>
                <w:color w:val="auto"/>
                <w:szCs w:val="24"/>
              </w:rPr>
            </w:pPr>
            <w:r>
              <w:rPr>
                <w:color w:val="auto"/>
              </w:rPr>
              <w:t>NE</w:t>
            </w:r>
          </w:p>
        </w:tc>
        <w:tc>
          <w:tcPr>
            <w:tcW w:w="529" w:type="pct"/>
            <w:gridSpan w:val="2"/>
            <w:vAlign w:val="center"/>
          </w:tcPr>
          <w:p>
            <w:pPr>
              <w:pStyle w:val="47"/>
              <w:rPr>
                <w:color w:val="auto"/>
                <w:szCs w:val="24"/>
              </w:rPr>
            </w:pPr>
            <w:r>
              <w:rPr>
                <w:rFonts w:hint="eastAsia"/>
                <w:color w:val="auto"/>
              </w:rPr>
              <w:t>810</w:t>
            </w:r>
          </w:p>
        </w:tc>
        <w:tc>
          <w:tcPr>
            <w:tcW w:w="714" w:type="pct"/>
            <w:gridSpan w:val="2"/>
            <w:vAlign w:val="center"/>
          </w:tcPr>
          <w:p>
            <w:pPr>
              <w:pStyle w:val="47"/>
              <w:rPr>
                <w:color w:val="auto"/>
                <w:szCs w:val="24"/>
              </w:rPr>
            </w:pPr>
            <w:r>
              <w:rPr>
                <w:color w:val="auto"/>
              </w:rPr>
              <w:t>村庄</w:t>
            </w:r>
          </w:p>
        </w:tc>
        <w:tc>
          <w:tcPr>
            <w:tcW w:w="752" w:type="pct"/>
            <w:vAlign w:val="center"/>
          </w:tcPr>
          <w:p>
            <w:pPr>
              <w:pStyle w:val="47"/>
              <w:rPr>
                <w:color w:val="auto"/>
                <w:szCs w:val="24"/>
              </w:rPr>
            </w:pPr>
            <w:r>
              <w:rPr>
                <w:rFonts w:hint="eastAsia"/>
                <w:color w:val="auto"/>
              </w:rPr>
              <w:t>1000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13</w:t>
            </w:r>
          </w:p>
        </w:tc>
        <w:tc>
          <w:tcPr>
            <w:tcW w:w="1532" w:type="pct"/>
            <w:vAlign w:val="center"/>
          </w:tcPr>
          <w:p>
            <w:pPr>
              <w:pStyle w:val="47"/>
              <w:rPr>
                <w:color w:val="auto"/>
                <w:szCs w:val="24"/>
              </w:rPr>
            </w:pPr>
            <w:r>
              <w:rPr>
                <w:rFonts w:hint="eastAsia"/>
                <w:color w:val="auto"/>
                <w:szCs w:val="24"/>
              </w:rPr>
              <w:t>恒大林溪郡</w:t>
            </w:r>
          </w:p>
        </w:tc>
        <w:tc>
          <w:tcPr>
            <w:tcW w:w="654" w:type="pct"/>
            <w:gridSpan w:val="2"/>
            <w:vAlign w:val="center"/>
          </w:tcPr>
          <w:p>
            <w:pPr>
              <w:pStyle w:val="47"/>
              <w:rPr>
                <w:color w:val="auto"/>
                <w:szCs w:val="24"/>
              </w:rPr>
            </w:pPr>
            <w:r>
              <w:rPr>
                <w:color w:val="auto"/>
              </w:rPr>
              <w:t>NE</w:t>
            </w:r>
          </w:p>
        </w:tc>
        <w:tc>
          <w:tcPr>
            <w:tcW w:w="529" w:type="pct"/>
            <w:gridSpan w:val="2"/>
            <w:vAlign w:val="center"/>
          </w:tcPr>
          <w:p>
            <w:pPr>
              <w:pStyle w:val="47"/>
              <w:rPr>
                <w:color w:val="auto"/>
                <w:szCs w:val="24"/>
              </w:rPr>
            </w:pPr>
            <w:r>
              <w:rPr>
                <w:rFonts w:hint="eastAsia"/>
                <w:color w:val="auto"/>
              </w:rPr>
              <w:t>1180</w:t>
            </w:r>
          </w:p>
        </w:tc>
        <w:tc>
          <w:tcPr>
            <w:tcW w:w="714" w:type="pct"/>
            <w:gridSpan w:val="2"/>
            <w:vAlign w:val="center"/>
          </w:tcPr>
          <w:p>
            <w:pPr>
              <w:pStyle w:val="47"/>
              <w:rPr>
                <w:color w:val="auto"/>
                <w:szCs w:val="24"/>
              </w:rPr>
            </w:pPr>
            <w:r>
              <w:rPr>
                <w:color w:val="auto"/>
              </w:rPr>
              <w:t>村庄</w:t>
            </w:r>
          </w:p>
        </w:tc>
        <w:tc>
          <w:tcPr>
            <w:tcW w:w="752" w:type="pct"/>
            <w:vAlign w:val="center"/>
          </w:tcPr>
          <w:p>
            <w:pPr>
              <w:pStyle w:val="47"/>
              <w:rPr>
                <w:color w:val="auto"/>
                <w:szCs w:val="24"/>
              </w:rPr>
            </w:pPr>
            <w:r>
              <w:rPr>
                <w:rFonts w:hint="eastAsia"/>
                <w:color w:val="auto"/>
              </w:rPr>
              <w:t>1540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14</w:t>
            </w:r>
          </w:p>
        </w:tc>
        <w:tc>
          <w:tcPr>
            <w:tcW w:w="1532" w:type="pct"/>
            <w:vAlign w:val="center"/>
          </w:tcPr>
          <w:p>
            <w:pPr>
              <w:pStyle w:val="47"/>
              <w:rPr>
                <w:color w:val="auto"/>
                <w:szCs w:val="24"/>
              </w:rPr>
            </w:pPr>
            <w:r>
              <w:rPr>
                <w:rFonts w:hint="eastAsia"/>
                <w:color w:val="auto"/>
                <w:szCs w:val="24"/>
              </w:rPr>
              <w:t>恒大正承世家</w:t>
            </w:r>
          </w:p>
        </w:tc>
        <w:tc>
          <w:tcPr>
            <w:tcW w:w="654" w:type="pct"/>
            <w:gridSpan w:val="2"/>
            <w:vAlign w:val="center"/>
          </w:tcPr>
          <w:p>
            <w:pPr>
              <w:pStyle w:val="47"/>
              <w:rPr>
                <w:color w:val="auto"/>
                <w:szCs w:val="24"/>
              </w:rPr>
            </w:pPr>
            <w:r>
              <w:rPr>
                <w:color w:val="auto"/>
              </w:rPr>
              <w:t>NE</w:t>
            </w:r>
          </w:p>
        </w:tc>
        <w:tc>
          <w:tcPr>
            <w:tcW w:w="529" w:type="pct"/>
            <w:gridSpan w:val="2"/>
            <w:vAlign w:val="center"/>
          </w:tcPr>
          <w:p>
            <w:pPr>
              <w:pStyle w:val="47"/>
              <w:rPr>
                <w:color w:val="auto"/>
                <w:szCs w:val="24"/>
              </w:rPr>
            </w:pPr>
            <w:r>
              <w:rPr>
                <w:rFonts w:hint="eastAsia"/>
                <w:color w:val="auto"/>
              </w:rPr>
              <w:t>1580</w:t>
            </w:r>
          </w:p>
        </w:tc>
        <w:tc>
          <w:tcPr>
            <w:tcW w:w="714" w:type="pct"/>
            <w:gridSpan w:val="2"/>
            <w:vAlign w:val="center"/>
          </w:tcPr>
          <w:p>
            <w:pPr>
              <w:pStyle w:val="47"/>
              <w:rPr>
                <w:color w:val="auto"/>
                <w:szCs w:val="24"/>
              </w:rPr>
            </w:pPr>
            <w:r>
              <w:rPr>
                <w:color w:val="auto"/>
              </w:rPr>
              <w:t>村庄</w:t>
            </w:r>
          </w:p>
        </w:tc>
        <w:tc>
          <w:tcPr>
            <w:tcW w:w="752" w:type="pct"/>
            <w:vAlign w:val="center"/>
          </w:tcPr>
          <w:p>
            <w:pPr>
              <w:pStyle w:val="47"/>
              <w:rPr>
                <w:color w:val="auto"/>
                <w:szCs w:val="24"/>
              </w:rPr>
            </w:pPr>
            <w:r>
              <w:rPr>
                <w:rFonts w:hint="eastAsia"/>
                <w:color w:val="auto"/>
              </w:rPr>
              <w:t>1350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15</w:t>
            </w:r>
          </w:p>
        </w:tc>
        <w:tc>
          <w:tcPr>
            <w:tcW w:w="1532" w:type="pct"/>
            <w:vAlign w:val="center"/>
          </w:tcPr>
          <w:p>
            <w:pPr>
              <w:pStyle w:val="47"/>
              <w:rPr>
                <w:color w:val="auto"/>
                <w:szCs w:val="24"/>
              </w:rPr>
            </w:pPr>
            <w:r>
              <w:rPr>
                <w:rFonts w:hint="eastAsia"/>
                <w:color w:val="auto"/>
                <w:szCs w:val="24"/>
              </w:rPr>
              <w:t>国信国际公馆</w:t>
            </w:r>
          </w:p>
        </w:tc>
        <w:tc>
          <w:tcPr>
            <w:tcW w:w="654" w:type="pct"/>
            <w:gridSpan w:val="2"/>
            <w:vAlign w:val="center"/>
          </w:tcPr>
          <w:p>
            <w:pPr>
              <w:pStyle w:val="47"/>
              <w:rPr>
                <w:color w:val="auto"/>
                <w:szCs w:val="24"/>
              </w:rPr>
            </w:pPr>
            <w:r>
              <w:rPr>
                <w:color w:val="auto"/>
              </w:rPr>
              <w:t>NE</w:t>
            </w:r>
          </w:p>
        </w:tc>
        <w:tc>
          <w:tcPr>
            <w:tcW w:w="529" w:type="pct"/>
            <w:gridSpan w:val="2"/>
            <w:vAlign w:val="center"/>
          </w:tcPr>
          <w:p>
            <w:pPr>
              <w:pStyle w:val="47"/>
              <w:rPr>
                <w:color w:val="auto"/>
                <w:szCs w:val="24"/>
              </w:rPr>
            </w:pPr>
            <w:r>
              <w:rPr>
                <w:rFonts w:hint="eastAsia"/>
                <w:color w:val="auto"/>
              </w:rPr>
              <w:t>1310</w:t>
            </w:r>
          </w:p>
        </w:tc>
        <w:tc>
          <w:tcPr>
            <w:tcW w:w="714" w:type="pct"/>
            <w:gridSpan w:val="2"/>
            <w:vAlign w:val="center"/>
          </w:tcPr>
          <w:p>
            <w:pPr>
              <w:pStyle w:val="47"/>
              <w:rPr>
                <w:color w:val="auto"/>
                <w:szCs w:val="24"/>
              </w:rPr>
            </w:pPr>
            <w:r>
              <w:rPr>
                <w:color w:val="auto"/>
              </w:rPr>
              <w:t>村庄</w:t>
            </w:r>
          </w:p>
        </w:tc>
        <w:tc>
          <w:tcPr>
            <w:tcW w:w="752" w:type="pct"/>
            <w:vAlign w:val="center"/>
          </w:tcPr>
          <w:p>
            <w:pPr>
              <w:pStyle w:val="47"/>
              <w:rPr>
                <w:color w:val="auto"/>
                <w:szCs w:val="24"/>
              </w:rPr>
            </w:pPr>
            <w:r>
              <w:rPr>
                <w:rFonts w:hint="eastAsia"/>
                <w:color w:val="auto"/>
              </w:rPr>
              <w:t>650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16</w:t>
            </w:r>
          </w:p>
        </w:tc>
        <w:tc>
          <w:tcPr>
            <w:tcW w:w="1532" w:type="pct"/>
            <w:vAlign w:val="center"/>
          </w:tcPr>
          <w:p>
            <w:pPr>
              <w:pStyle w:val="47"/>
              <w:rPr>
                <w:color w:val="auto"/>
                <w:szCs w:val="24"/>
              </w:rPr>
            </w:pPr>
            <w:r>
              <w:rPr>
                <w:rFonts w:hint="eastAsia"/>
                <w:color w:val="auto"/>
                <w:szCs w:val="24"/>
              </w:rPr>
              <w:t>王埠村</w:t>
            </w:r>
          </w:p>
        </w:tc>
        <w:tc>
          <w:tcPr>
            <w:tcW w:w="654" w:type="pct"/>
            <w:gridSpan w:val="2"/>
            <w:vAlign w:val="center"/>
          </w:tcPr>
          <w:p>
            <w:pPr>
              <w:pStyle w:val="47"/>
              <w:rPr>
                <w:color w:val="auto"/>
              </w:rPr>
            </w:pPr>
            <w:r>
              <w:rPr>
                <w:rFonts w:hint="eastAsia"/>
                <w:color w:val="auto"/>
              </w:rPr>
              <w:t>N</w:t>
            </w:r>
            <w:r>
              <w:rPr>
                <w:color w:val="auto"/>
              </w:rPr>
              <w:t>E</w:t>
            </w:r>
          </w:p>
        </w:tc>
        <w:tc>
          <w:tcPr>
            <w:tcW w:w="529" w:type="pct"/>
            <w:gridSpan w:val="2"/>
            <w:vAlign w:val="center"/>
          </w:tcPr>
          <w:p>
            <w:pPr>
              <w:pStyle w:val="47"/>
              <w:rPr>
                <w:color w:val="auto"/>
                <w:szCs w:val="24"/>
              </w:rPr>
            </w:pPr>
            <w:r>
              <w:rPr>
                <w:rFonts w:hint="eastAsia"/>
                <w:color w:val="auto"/>
              </w:rPr>
              <w:t>2100</w:t>
            </w:r>
          </w:p>
        </w:tc>
        <w:tc>
          <w:tcPr>
            <w:tcW w:w="714" w:type="pct"/>
            <w:gridSpan w:val="2"/>
            <w:vAlign w:val="center"/>
          </w:tcPr>
          <w:p>
            <w:pPr>
              <w:pStyle w:val="47"/>
              <w:rPr>
                <w:color w:val="auto"/>
                <w:szCs w:val="24"/>
              </w:rPr>
            </w:pPr>
            <w:r>
              <w:rPr>
                <w:color w:val="auto"/>
              </w:rPr>
              <w:t>村庄</w:t>
            </w:r>
          </w:p>
        </w:tc>
        <w:tc>
          <w:tcPr>
            <w:tcW w:w="752" w:type="pct"/>
            <w:vAlign w:val="center"/>
          </w:tcPr>
          <w:p>
            <w:pPr>
              <w:pStyle w:val="47"/>
              <w:rPr>
                <w:color w:val="auto"/>
                <w:szCs w:val="24"/>
              </w:rPr>
            </w:pPr>
            <w:r>
              <w:rPr>
                <w:rFonts w:hint="eastAsia"/>
                <w:color w:val="auto"/>
              </w:rPr>
              <w:t>105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17</w:t>
            </w:r>
          </w:p>
        </w:tc>
        <w:tc>
          <w:tcPr>
            <w:tcW w:w="1532" w:type="pct"/>
            <w:vAlign w:val="center"/>
          </w:tcPr>
          <w:p>
            <w:pPr>
              <w:pStyle w:val="47"/>
              <w:rPr>
                <w:color w:val="auto"/>
                <w:szCs w:val="24"/>
              </w:rPr>
            </w:pPr>
            <w:r>
              <w:rPr>
                <w:rFonts w:hint="eastAsia"/>
                <w:color w:val="auto"/>
                <w:szCs w:val="24"/>
              </w:rPr>
              <w:t>安居花园</w:t>
            </w:r>
          </w:p>
        </w:tc>
        <w:tc>
          <w:tcPr>
            <w:tcW w:w="654" w:type="pct"/>
            <w:gridSpan w:val="2"/>
            <w:vAlign w:val="center"/>
          </w:tcPr>
          <w:p>
            <w:pPr>
              <w:pStyle w:val="47"/>
              <w:rPr>
                <w:color w:val="auto"/>
              </w:rPr>
            </w:pPr>
            <w:r>
              <w:rPr>
                <w:rFonts w:hint="eastAsia"/>
                <w:color w:val="auto"/>
              </w:rPr>
              <w:t>N</w:t>
            </w:r>
            <w:r>
              <w:rPr>
                <w:color w:val="auto"/>
              </w:rPr>
              <w:t>E</w:t>
            </w:r>
          </w:p>
        </w:tc>
        <w:tc>
          <w:tcPr>
            <w:tcW w:w="529" w:type="pct"/>
            <w:gridSpan w:val="2"/>
            <w:vAlign w:val="center"/>
          </w:tcPr>
          <w:p>
            <w:pPr>
              <w:pStyle w:val="47"/>
              <w:rPr>
                <w:color w:val="auto"/>
                <w:szCs w:val="24"/>
              </w:rPr>
            </w:pPr>
            <w:r>
              <w:rPr>
                <w:rFonts w:hint="eastAsia"/>
                <w:color w:val="auto"/>
              </w:rPr>
              <w:t>2080</w:t>
            </w:r>
          </w:p>
        </w:tc>
        <w:tc>
          <w:tcPr>
            <w:tcW w:w="714" w:type="pct"/>
            <w:gridSpan w:val="2"/>
            <w:vAlign w:val="center"/>
          </w:tcPr>
          <w:p>
            <w:pPr>
              <w:pStyle w:val="47"/>
              <w:rPr>
                <w:color w:val="auto"/>
                <w:szCs w:val="24"/>
              </w:rPr>
            </w:pPr>
            <w:r>
              <w:rPr>
                <w:color w:val="auto"/>
              </w:rPr>
              <w:t>村庄</w:t>
            </w:r>
          </w:p>
        </w:tc>
        <w:tc>
          <w:tcPr>
            <w:tcW w:w="752" w:type="pct"/>
            <w:vAlign w:val="center"/>
          </w:tcPr>
          <w:p>
            <w:pPr>
              <w:pStyle w:val="47"/>
              <w:rPr>
                <w:color w:val="auto"/>
                <w:szCs w:val="24"/>
              </w:rPr>
            </w:pPr>
            <w:r>
              <w:rPr>
                <w:rFonts w:hint="eastAsia"/>
                <w:color w:val="auto"/>
              </w:rPr>
              <w:t>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18</w:t>
            </w:r>
          </w:p>
        </w:tc>
        <w:tc>
          <w:tcPr>
            <w:tcW w:w="1532" w:type="pct"/>
            <w:vAlign w:val="center"/>
          </w:tcPr>
          <w:p>
            <w:pPr>
              <w:pStyle w:val="47"/>
              <w:rPr>
                <w:color w:val="auto"/>
                <w:szCs w:val="24"/>
              </w:rPr>
            </w:pPr>
            <w:r>
              <w:rPr>
                <w:rFonts w:hint="eastAsia"/>
                <w:color w:val="auto"/>
              </w:rPr>
              <w:t>石榴苑</w:t>
            </w:r>
          </w:p>
        </w:tc>
        <w:tc>
          <w:tcPr>
            <w:tcW w:w="654" w:type="pct"/>
            <w:gridSpan w:val="2"/>
            <w:vAlign w:val="center"/>
          </w:tcPr>
          <w:p>
            <w:pPr>
              <w:pStyle w:val="47"/>
              <w:rPr>
                <w:color w:val="auto"/>
              </w:rPr>
            </w:pPr>
            <w:r>
              <w:rPr>
                <w:rFonts w:hint="eastAsia"/>
                <w:color w:val="auto"/>
              </w:rPr>
              <w:t>N</w:t>
            </w:r>
            <w:r>
              <w:rPr>
                <w:color w:val="auto"/>
              </w:rPr>
              <w:t>E</w:t>
            </w:r>
          </w:p>
        </w:tc>
        <w:tc>
          <w:tcPr>
            <w:tcW w:w="529" w:type="pct"/>
            <w:gridSpan w:val="2"/>
            <w:vAlign w:val="center"/>
          </w:tcPr>
          <w:p>
            <w:pPr>
              <w:pStyle w:val="47"/>
              <w:rPr>
                <w:color w:val="auto"/>
                <w:szCs w:val="24"/>
              </w:rPr>
            </w:pPr>
            <w:r>
              <w:rPr>
                <w:rFonts w:hint="eastAsia"/>
                <w:color w:val="auto"/>
              </w:rPr>
              <w:t>2200</w:t>
            </w:r>
          </w:p>
        </w:tc>
        <w:tc>
          <w:tcPr>
            <w:tcW w:w="714" w:type="pct"/>
            <w:gridSpan w:val="2"/>
            <w:vAlign w:val="center"/>
          </w:tcPr>
          <w:p>
            <w:pPr>
              <w:pStyle w:val="47"/>
              <w:rPr>
                <w:color w:val="auto"/>
                <w:szCs w:val="24"/>
              </w:rPr>
            </w:pPr>
            <w:r>
              <w:rPr>
                <w:rFonts w:hint="eastAsia"/>
                <w:color w:val="auto"/>
              </w:rPr>
              <w:t>村庄</w:t>
            </w:r>
          </w:p>
        </w:tc>
        <w:tc>
          <w:tcPr>
            <w:tcW w:w="752" w:type="pct"/>
            <w:vAlign w:val="center"/>
          </w:tcPr>
          <w:p>
            <w:pPr>
              <w:pStyle w:val="47"/>
              <w:rPr>
                <w:color w:val="auto"/>
                <w:szCs w:val="24"/>
              </w:rPr>
            </w:pPr>
            <w:r>
              <w:rPr>
                <w:rFonts w:hint="eastAsia"/>
                <w:color w:val="auto"/>
              </w:rPr>
              <w:t>260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19</w:t>
            </w:r>
          </w:p>
        </w:tc>
        <w:tc>
          <w:tcPr>
            <w:tcW w:w="1532" w:type="pct"/>
            <w:vAlign w:val="center"/>
          </w:tcPr>
          <w:p>
            <w:pPr>
              <w:pStyle w:val="47"/>
              <w:rPr>
                <w:color w:val="auto"/>
                <w:szCs w:val="24"/>
              </w:rPr>
            </w:pPr>
            <w:r>
              <w:rPr>
                <w:rFonts w:hint="eastAsia"/>
                <w:color w:val="auto"/>
                <w:szCs w:val="24"/>
              </w:rPr>
              <w:t>淄博高新区第三小学</w:t>
            </w:r>
          </w:p>
        </w:tc>
        <w:tc>
          <w:tcPr>
            <w:tcW w:w="654" w:type="pct"/>
            <w:gridSpan w:val="2"/>
            <w:vAlign w:val="center"/>
          </w:tcPr>
          <w:p>
            <w:pPr>
              <w:pStyle w:val="47"/>
              <w:rPr>
                <w:color w:val="auto"/>
              </w:rPr>
            </w:pPr>
            <w:r>
              <w:rPr>
                <w:rFonts w:hint="eastAsia"/>
                <w:color w:val="auto"/>
              </w:rPr>
              <w:t>N</w:t>
            </w:r>
            <w:r>
              <w:rPr>
                <w:color w:val="auto"/>
              </w:rPr>
              <w:t>E</w:t>
            </w:r>
          </w:p>
        </w:tc>
        <w:tc>
          <w:tcPr>
            <w:tcW w:w="529" w:type="pct"/>
            <w:gridSpan w:val="2"/>
            <w:vAlign w:val="center"/>
          </w:tcPr>
          <w:p>
            <w:pPr>
              <w:pStyle w:val="47"/>
              <w:rPr>
                <w:color w:val="auto"/>
                <w:szCs w:val="24"/>
              </w:rPr>
            </w:pPr>
            <w:r>
              <w:rPr>
                <w:rFonts w:hint="eastAsia"/>
                <w:color w:val="auto"/>
              </w:rPr>
              <w:t>2160</w:t>
            </w:r>
          </w:p>
        </w:tc>
        <w:tc>
          <w:tcPr>
            <w:tcW w:w="714" w:type="pct"/>
            <w:gridSpan w:val="2"/>
            <w:vAlign w:val="center"/>
          </w:tcPr>
          <w:p>
            <w:pPr>
              <w:pStyle w:val="47"/>
              <w:rPr>
                <w:color w:val="auto"/>
                <w:szCs w:val="24"/>
              </w:rPr>
            </w:pPr>
            <w:r>
              <w:rPr>
                <w:rFonts w:hint="eastAsia"/>
                <w:color w:val="auto"/>
              </w:rPr>
              <w:t>学校</w:t>
            </w:r>
          </w:p>
        </w:tc>
        <w:tc>
          <w:tcPr>
            <w:tcW w:w="752" w:type="pct"/>
            <w:vAlign w:val="center"/>
          </w:tcPr>
          <w:p>
            <w:pPr>
              <w:pStyle w:val="47"/>
              <w:rPr>
                <w:color w:val="auto"/>
                <w:szCs w:val="24"/>
              </w:rPr>
            </w:pPr>
            <w:r>
              <w:rPr>
                <w:rFonts w:hint="eastAsia"/>
                <w:color w:val="auto"/>
              </w:rPr>
              <w:t>420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20</w:t>
            </w:r>
          </w:p>
        </w:tc>
        <w:tc>
          <w:tcPr>
            <w:tcW w:w="1532" w:type="pct"/>
            <w:vAlign w:val="center"/>
          </w:tcPr>
          <w:p>
            <w:pPr>
              <w:pStyle w:val="47"/>
              <w:rPr>
                <w:color w:val="auto"/>
                <w:szCs w:val="24"/>
              </w:rPr>
            </w:pPr>
            <w:r>
              <w:rPr>
                <w:rFonts w:hint="eastAsia"/>
                <w:color w:val="auto"/>
                <w:szCs w:val="24"/>
              </w:rPr>
              <w:t>祥和苑</w:t>
            </w:r>
          </w:p>
        </w:tc>
        <w:tc>
          <w:tcPr>
            <w:tcW w:w="654" w:type="pct"/>
            <w:gridSpan w:val="2"/>
            <w:vAlign w:val="center"/>
          </w:tcPr>
          <w:p>
            <w:pPr>
              <w:pStyle w:val="47"/>
              <w:rPr>
                <w:color w:val="auto"/>
              </w:rPr>
            </w:pPr>
            <w:r>
              <w:rPr>
                <w:rFonts w:hint="eastAsia"/>
                <w:color w:val="auto"/>
              </w:rPr>
              <w:t>N</w:t>
            </w:r>
            <w:r>
              <w:rPr>
                <w:color w:val="auto"/>
              </w:rPr>
              <w:t>E</w:t>
            </w:r>
          </w:p>
        </w:tc>
        <w:tc>
          <w:tcPr>
            <w:tcW w:w="529" w:type="pct"/>
            <w:gridSpan w:val="2"/>
            <w:vAlign w:val="center"/>
          </w:tcPr>
          <w:p>
            <w:pPr>
              <w:pStyle w:val="47"/>
              <w:rPr>
                <w:color w:val="auto"/>
                <w:szCs w:val="24"/>
              </w:rPr>
            </w:pPr>
            <w:r>
              <w:rPr>
                <w:rFonts w:hint="eastAsia"/>
                <w:color w:val="auto"/>
              </w:rPr>
              <w:t>2255</w:t>
            </w:r>
          </w:p>
        </w:tc>
        <w:tc>
          <w:tcPr>
            <w:tcW w:w="714" w:type="pct"/>
            <w:gridSpan w:val="2"/>
            <w:vAlign w:val="center"/>
          </w:tcPr>
          <w:p>
            <w:pPr>
              <w:pStyle w:val="47"/>
              <w:rPr>
                <w:color w:val="auto"/>
                <w:szCs w:val="24"/>
              </w:rPr>
            </w:pPr>
            <w:r>
              <w:rPr>
                <w:color w:val="auto"/>
              </w:rPr>
              <w:t>村庄</w:t>
            </w:r>
          </w:p>
        </w:tc>
        <w:tc>
          <w:tcPr>
            <w:tcW w:w="752" w:type="pct"/>
            <w:vAlign w:val="center"/>
          </w:tcPr>
          <w:p>
            <w:pPr>
              <w:pStyle w:val="47"/>
              <w:rPr>
                <w:color w:val="auto"/>
                <w:szCs w:val="24"/>
              </w:rPr>
            </w:pPr>
            <w:r>
              <w:rPr>
                <w:rFonts w:hint="eastAsia"/>
                <w:color w:val="auto"/>
              </w:rPr>
              <w:t>950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21</w:t>
            </w:r>
          </w:p>
        </w:tc>
        <w:tc>
          <w:tcPr>
            <w:tcW w:w="1532" w:type="pct"/>
            <w:vAlign w:val="center"/>
          </w:tcPr>
          <w:p>
            <w:pPr>
              <w:pStyle w:val="47"/>
              <w:rPr>
                <w:color w:val="auto"/>
                <w:szCs w:val="24"/>
              </w:rPr>
            </w:pPr>
            <w:r>
              <w:rPr>
                <w:rFonts w:hint="eastAsia"/>
                <w:color w:val="auto"/>
                <w:szCs w:val="24"/>
              </w:rPr>
              <w:t>马店村</w:t>
            </w:r>
          </w:p>
        </w:tc>
        <w:tc>
          <w:tcPr>
            <w:tcW w:w="654" w:type="pct"/>
            <w:gridSpan w:val="2"/>
            <w:vAlign w:val="center"/>
          </w:tcPr>
          <w:p>
            <w:pPr>
              <w:pStyle w:val="47"/>
              <w:rPr>
                <w:color w:val="auto"/>
              </w:rPr>
            </w:pPr>
            <w:r>
              <w:rPr>
                <w:rFonts w:hint="eastAsia"/>
                <w:color w:val="auto"/>
              </w:rPr>
              <w:t>N</w:t>
            </w:r>
            <w:r>
              <w:rPr>
                <w:color w:val="auto"/>
              </w:rPr>
              <w:t>E</w:t>
            </w:r>
          </w:p>
        </w:tc>
        <w:tc>
          <w:tcPr>
            <w:tcW w:w="529" w:type="pct"/>
            <w:gridSpan w:val="2"/>
            <w:vAlign w:val="center"/>
          </w:tcPr>
          <w:p>
            <w:pPr>
              <w:pStyle w:val="47"/>
              <w:rPr>
                <w:color w:val="auto"/>
                <w:szCs w:val="24"/>
              </w:rPr>
            </w:pPr>
            <w:r>
              <w:rPr>
                <w:rFonts w:hint="eastAsia"/>
                <w:color w:val="auto"/>
              </w:rPr>
              <w:t>2880</w:t>
            </w:r>
          </w:p>
        </w:tc>
        <w:tc>
          <w:tcPr>
            <w:tcW w:w="714" w:type="pct"/>
            <w:gridSpan w:val="2"/>
            <w:vAlign w:val="center"/>
          </w:tcPr>
          <w:p>
            <w:pPr>
              <w:pStyle w:val="47"/>
              <w:rPr>
                <w:color w:val="auto"/>
                <w:szCs w:val="24"/>
              </w:rPr>
            </w:pPr>
            <w:r>
              <w:rPr>
                <w:color w:val="auto"/>
              </w:rPr>
              <w:t>村庄</w:t>
            </w:r>
          </w:p>
        </w:tc>
        <w:tc>
          <w:tcPr>
            <w:tcW w:w="752" w:type="pct"/>
            <w:vAlign w:val="center"/>
          </w:tcPr>
          <w:p>
            <w:pPr>
              <w:pStyle w:val="47"/>
              <w:rPr>
                <w:color w:val="auto"/>
                <w:szCs w:val="24"/>
              </w:rPr>
            </w:pPr>
            <w:r>
              <w:rPr>
                <w:color w:val="auto"/>
              </w:rPr>
              <w:t>1622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22</w:t>
            </w:r>
          </w:p>
        </w:tc>
        <w:tc>
          <w:tcPr>
            <w:tcW w:w="1532" w:type="pct"/>
            <w:vAlign w:val="center"/>
          </w:tcPr>
          <w:p>
            <w:pPr>
              <w:pStyle w:val="47"/>
              <w:rPr>
                <w:color w:val="auto"/>
                <w:szCs w:val="24"/>
              </w:rPr>
            </w:pPr>
            <w:r>
              <w:rPr>
                <w:rFonts w:hint="eastAsia"/>
                <w:color w:val="auto"/>
                <w:szCs w:val="24"/>
              </w:rPr>
              <w:t>北石桥</w:t>
            </w:r>
          </w:p>
        </w:tc>
        <w:tc>
          <w:tcPr>
            <w:tcW w:w="654" w:type="pct"/>
            <w:gridSpan w:val="2"/>
            <w:vAlign w:val="center"/>
          </w:tcPr>
          <w:p>
            <w:pPr>
              <w:pStyle w:val="47"/>
              <w:rPr>
                <w:color w:val="auto"/>
              </w:rPr>
            </w:pPr>
            <w:r>
              <w:rPr>
                <w:rFonts w:hint="eastAsia"/>
                <w:color w:val="auto"/>
              </w:rPr>
              <w:t>N</w:t>
            </w:r>
            <w:r>
              <w:rPr>
                <w:color w:val="auto"/>
              </w:rPr>
              <w:t>E</w:t>
            </w:r>
          </w:p>
        </w:tc>
        <w:tc>
          <w:tcPr>
            <w:tcW w:w="529" w:type="pct"/>
            <w:gridSpan w:val="2"/>
            <w:vAlign w:val="center"/>
          </w:tcPr>
          <w:p>
            <w:pPr>
              <w:pStyle w:val="47"/>
              <w:rPr>
                <w:color w:val="auto"/>
                <w:szCs w:val="24"/>
              </w:rPr>
            </w:pPr>
            <w:r>
              <w:rPr>
                <w:rFonts w:hint="eastAsia"/>
                <w:color w:val="auto"/>
              </w:rPr>
              <w:t>2900</w:t>
            </w:r>
          </w:p>
        </w:tc>
        <w:tc>
          <w:tcPr>
            <w:tcW w:w="714" w:type="pct"/>
            <w:gridSpan w:val="2"/>
            <w:vAlign w:val="center"/>
          </w:tcPr>
          <w:p>
            <w:pPr>
              <w:pStyle w:val="47"/>
              <w:rPr>
                <w:color w:val="auto"/>
                <w:szCs w:val="24"/>
              </w:rPr>
            </w:pPr>
            <w:r>
              <w:rPr>
                <w:rFonts w:hint="eastAsia"/>
                <w:color w:val="auto"/>
              </w:rPr>
              <w:t>村庄</w:t>
            </w:r>
          </w:p>
        </w:tc>
        <w:tc>
          <w:tcPr>
            <w:tcW w:w="752" w:type="pct"/>
            <w:vAlign w:val="center"/>
          </w:tcPr>
          <w:p>
            <w:pPr>
              <w:pStyle w:val="47"/>
              <w:rPr>
                <w:color w:val="auto"/>
                <w:szCs w:val="24"/>
              </w:rPr>
            </w:pPr>
            <w:r>
              <w:rPr>
                <w:color w:val="auto"/>
              </w:rPr>
              <w:t>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23</w:t>
            </w:r>
          </w:p>
        </w:tc>
        <w:tc>
          <w:tcPr>
            <w:tcW w:w="1532" w:type="pct"/>
            <w:vAlign w:val="center"/>
          </w:tcPr>
          <w:p>
            <w:pPr>
              <w:pStyle w:val="47"/>
              <w:rPr>
                <w:color w:val="auto"/>
                <w:szCs w:val="24"/>
              </w:rPr>
            </w:pPr>
            <w:r>
              <w:rPr>
                <w:rFonts w:hint="eastAsia"/>
                <w:color w:val="auto"/>
                <w:szCs w:val="24"/>
              </w:rPr>
              <w:t>淄博高新区第四小学</w:t>
            </w:r>
          </w:p>
        </w:tc>
        <w:tc>
          <w:tcPr>
            <w:tcW w:w="654" w:type="pct"/>
            <w:gridSpan w:val="2"/>
            <w:vAlign w:val="center"/>
          </w:tcPr>
          <w:p>
            <w:pPr>
              <w:pStyle w:val="47"/>
              <w:rPr>
                <w:color w:val="auto"/>
              </w:rPr>
            </w:pPr>
            <w:r>
              <w:rPr>
                <w:rFonts w:hint="eastAsia"/>
                <w:color w:val="auto"/>
              </w:rPr>
              <w:t>N</w:t>
            </w:r>
            <w:r>
              <w:rPr>
                <w:color w:val="auto"/>
              </w:rPr>
              <w:t>E</w:t>
            </w:r>
          </w:p>
        </w:tc>
        <w:tc>
          <w:tcPr>
            <w:tcW w:w="529" w:type="pct"/>
            <w:gridSpan w:val="2"/>
            <w:vAlign w:val="center"/>
          </w:tcPr>
          <w:p>
            <w:pPr>
              <w:pStyle w:val="47"/>
              <w:rPr>
                <w:color w:val="auto"/>
                <w:szCs w:val="24"/>
              </w:rPr>
            </w:pPr>
            <w:r>
              <w:rPr>
                <w:rFonts w:hint="eastAsia"/>
                <w:color w:val="auto"/>
              </w:rPr>
              <w:t>3000</w:t>
            </w:r>
          </w:p>
        </w:tc>
        <w:tc>
          <w:tcPr>
            <w:tcW w:w="714" w:type="pct"/>
            <w:gridSpan w:val="2"/>
            <w:vAlign w:val="center"/>
          </w:tcPr>
          <w:p>
            <w:pPr>
              <w:pStyle w:val="47"/>
              <w:rPr>
                <w:color w:val="auto"/>
                <w:szCs w:val="24"/>
              </w:rPr>
            </w:pPr>
            <w:r>
              <w:rPr>
                <w:rFonts w:hint="eastAsia"/>
                <w:color w:val="auto"/>
              </w:rPr>
              <w:t>学校</w:t>
            </w:r>
          </w:p>
        </w:tc>
        <w:tc>
          <w:tcPr>
            <w:tcW w:w="752" w:type="pct"/>
            <w:vAlign w:val="center"/>
          </w:tcPr>
          <w:p>
            <w:pPr>
              <w:pStyle w:val="47"/>
              <w:rPr>
                <w:color w:val="auto"/>
                <w:szCs w:val="24"/>
              </w:rPr>
            </w:pPr>
            <w:r>
              <w:rPr>
                <w:rFonts w:hint="eastAsia"/>
                <w:color w:val="auto"/>
              </w:rPr>
              <w:t>240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24</w:t>
            </w:r>
          </w:p>
        </w:tc>
        <w:tc>
          <w:tcPr>
            <w:tcW w:w="1532" w:type="pct"/>
            <w:vAlign w:val="center"/>
          </w:tcPr>
          <w:p>
            <w:pPr>
              <w:pStyle w:val="47"/>
              <w:rPr>
                <w:color w:val="auto"/>
                <w:szCs w:val="24"/>
              </w:rPr>
            </w:pPr>
            <w:r>
              <w:rPr>
                <w:rFonts w:hint="eastAsia"/>
                <w:color w:val="auto"/>
                <w:szCs w:val="24"/>
              </w:rPr>
              <w:t>南石社区</w:t>
            </w:r>
          </w:p>
        </w:tc>
        <w:tc>
          <w:tcPr>
            <w:tcW w:w="654" w:type="pct"/>
            <w:gridSpan w:val="2"/>
            <w:vAlign w:val="center"/>
          </w:tcPr>
          <w:p>
            <w:pPr>
              <w:pStyle w:val="47"/>
              <w:rPr>
                <w:color w:val="auto"/>
              </w:rPr>
            </w:pPr>
            <w:r>
              <w:rPr>
                <w:rFonts w:hint="eastAsia"/>
                <w:color w:val="auto"/>
              </w:rPr>
              <w:t>N</w:t>
            </w:r>
            <w:r>
              <w:rPr>
                <w:color w:val="auto"/>
              </w:rPr>
              <w:t>E</w:t>
            </w:r>
          </w:p>
        </w:tc>
        <w:tc>
          <w:tcPr>
            <w:tcW w:w="529" w:type="pct"/>
            <w:gridSpan w:val="2"/>
            <w:vAlign w:val="center"/>
          </w:tcPr>
          <w:p>
            <w:pPr>
              <w:pStyle w:val="47"/>
              <w:rPr>
                <w:color w:val="auto"/>
                <w:szCs w:val="24"/>
              </w:rPr>
            </w:pPr>
            <w:r>
              <w:rPr>
                <w:rFonts w:hint="eastAsia"/>
                <w:color w:val="auto"/>
              </w:rPr>
              <w:t>1950</w:t>
            </w:r>
          </w:p>
        </w:tc>
        <w:tc>
          <w:tcPr>
            <w:tcW w:w="714" w:type="pct"/>
            <w:gridSpan w:val="2"/>
            <w:vAlign w:val="center"/>
          </w:tcPr>
          <w:p>
            <w:pPr>
              <w:pStyle w:val="47"/>
              <w:rPr>
                <w:color w:val="auto"/>
                <w:szCs w:val="24"/>
              </w:rPr>
            </w:pPr>
            <w:r>
              <w:rPr>
                <w:color w:val="auto"/>
              </w:rPr>
              <w:t>村庄</w:t>
            </w:r>
          </w:p>
        </w:tc>
        <w:tc>
          <w:tcPr>
            <w:tcW w:w="752" w:type="pct"/>
            <w:vAlign w:val="center"/>
          </w:tcPr>
          <w:p>
            <w:pPr>
              <w:pStyle w:val="47"/>
              <w:rPr>
                <w:color w:val="auto"/>
                <w:szCs w:val="24"/>
              </w:rPr>
            </w:pPr>
            <w:r>
              <w:rPr>
                <w:rFonts w:hint="eastAsia"/>
                <w:color w:val="auto"/>
              </w:rPr>
              <w:t>1850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25</w:t>
            </w:r>
          </w:p>
        </w:tc>
        <w:tc>
          <w:tcPr>
            <w:tcW w:w="1532" w:type="pct"/>
            <w:vAlign w:val="center"/>
          </w:tcPr>
          <w:p>
            <w:pPr>
              <w:pStyle w:val="47"/>
              <w:rPr>
                <w:color w:val="auto"/>
                <w:szCs w:val="24"/>
              </w:rPr>
            </w:pPr>
            <w:r>
              <w:rPr>
                <w:rFonts w:hint="eastAsia"/>
                <w:color w:val="auto"/>
                <w:szCs w:val="24"/>
              </w:rPr>
              <w:t>金贝儿幼儿园</w:t>
            </w:r>
          </w:p>
        </w:tc>
        <w:tc>
          <w:tcPr>
            <w:tcW w:w="654" w:type="pct"/>
            <w:gridSpan w:val="2"/>
            <w:vAlign w:val="center"/>
          </w:tcPr>
          <w:p>
            <w:pPr>
              <w:pStyle w:val="47"/>
              <w:rPr>
                <w:color w:val="auto"/>
                <w:szCs w:val="24"/>
              </w:rPr>
            </w:pPr>
            <w:r>
              <w:rPr>
                <w:rFonts w:hint="eastAsia"/>
                <w:color w:val="auto"/>
              </w:rPr>
              <w:t>N</w:t>
            </w:r>
            <w:r>
              <w:rPr>
                <w:color w:val="auto"/>
              </w:rPr>
              <w:t>E</w:t>
            </w:r>
          </w:p>
        </w:tc>
        <w:tc>
          <w:tcPr>
            <w:tcW w:w="529" w:type="pct"/>
            <w:gridSpan w:val="2"/>
            <w:vAlign w:val="center"/>
          </w:tcPr>
          <w:p>
            <w:pPr>
              <w:pStyle w:val="47"/>
              <w:rPr>
                <w:color w:val="auto"/>
                <w:szCs w:val="24"/>
              </w:rPr>
            </w:pPr>
            <w:r>
              <w:rPr>
                <w:rFonts w:hint="eastAsia"/>
                <w:color w:val="auto"/>
              </w:rPr>
              <w:t>2100</w:t>
            </w:r>
          </w:p>
        </w:tc>
        <w:tc>
          <w:tcPr>
            <w:tcW w:w="714" w:type="pct"/>
            <w:gridSpan w:val="2"/>
            <w:vAlign w:val="center"/>
          </w:tcPr>
          <w:p>
            <w:pPr>
              <w:pStyle w:val="47"/>
              <w:rPr>
                <w:color w:val="auto"/>
                <w:szCs w:val="24"/>
              </w:rPr>
            </w:pPr>
            <w:r>
              <w:rPr>
                <w:rFonts w:hint="eastAsia"/>
                <w:color w:val="auto"/>
              </w:rPr>
              <w:t>学校</w:t>
            </w:r>
          </w:p>
        </w:tc>
        <w:tc>
          <w:tcPr>
            <w:tcW w:w="752" w:type="pct"/>
            <w:vAlign w:val="center"/>
          </w:tcPr>
          <w:p>
            <w:pPr>
              <w:pStyle w:val="47"/>
              <w:rPr>
                <w:color w:val="auto"/>
                <w:szCs w:val="24"/>
              </w:rPr>
            </w:pPr>
            <w:r>
              <w:rPr>
                <w:rFonts w:hint="eastAsia"/>
                <w:color w:val="auto"/>
              </w:rPr>
              <w:t>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26</w:t>
            </w:r>
          </w:p>
        </w:tc>
        <w:tc>
          <w:tcPr>
            <w:tcW w:w="1532" w:type="pct"/>
            <w:vAlign w:val="center"/>
          </w:tcPr>
          <w:p>
            <w:pPr>
              <w:pStyle w:val="47"/>
              <w:rPr>
                <w:color w:val="auto"/>
                <w:szCs w:val="24"/>
              </w:rPr>
            </w:pPr>
            <w:r>
              <w:rPr>
                <w:rFonts w:hint="eastAsia"/>
                <w:color w:val="auto"/>
                <w:szCs w:val="24"/>
              </w:rPr>
              <w:t>汇景苑</w:t>
            </w:r>
          </w:p>
        </w:tc>
        <w:tc>
          <w:tcPr>
            <w:tcW w:w="654" w:type="pct"/>
            <w:gridSpan w:val="2"/>
            <w:vAlign w:val="center"/>
          </w:tcPr>
          <w:p>
            <w:pPr>
              <w:pStyle w:val="47"/>
              <w:rPr>
                <w:color w:val="auto"/>
                <w:szCs w:val="24"/>
              </w:rPr>
            </w:pPr>
            <w:r>
              <w:rPr>
                <w:color w:val="auto"/>
              </w:rPr>
              <w:t>E</w:t>
            </w:r>
          </w:p>
        </w:tc>
        <w:tc>
          <w:tcPr>
            <w:tcW w:w="529" w:type="pct"/>
            <w:gridSpan w:val="2"/>
            <w:vAlign w:val="center"/>
          </w:tcPr>
          <w:p>
            <w:pPr>
              <w:pStyle w:val="47"/>
              <w:rPr>
                <w:color w:val="auto"/>
                <w:szCs w:val="24"/>
              </w:rPr>
            </w:pPr>
            <w:r>
              <w:rPr>
                <w:rFonts w:hint="eastAsia"/>
                <w:color w:val="auto"/>
              </w:rPr>
              <w:t>2260</w:t>
            </w:r>
          </w:p>
        </w:tc>
        <w:tc>
          <w:tcPr>
            <w:tcW w:w="714" w:type="pct"/>
            <w:gridSpan w:val="2"/>
            <w:vAlign w:val="center"/>
          </w:tcPr>
          <w:p>
            <w:pPr>
              <w:pStyle w:val="47"/>
              <w:rPr>
                <w:color w:val="auto"/>
                <w:szCs w:val="24"/>
              </w:rPr>
            </w:pPr>
            <w:r>
              <w:rPr>
                <w:rFonts w:hint="eastAsia"/>
                <w:color w:val="auto"/>
              </w:rPr>
              <w:t>村庄</w:t>
            </w:r>
          </w:p>
        </w:tc>
        <w:tc>
          <w:tcPr>
            <w:tcW w:w="752" w:type="pct"/>
            <w:vAlign w:val="center"/>
          </w:tcPr>
          <w:p>
            <w:pPr>
              <w:pStyle w:val="47"/>
              <w:rPr>
                <w:color w:val="auto"/>
                <w:szCs w:val="24"/>
              </w:rPr>
            </w:pPr>
            <w:r>
              <w:rPr>
                <w:rFonts w:hint="eastAsia"/>
                <w:color w:val="auto"/>
              </w:rPr>
              <w:t>1560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27</w:t>
            </w:r>
          </w:p>
        </w:tc>
        <w:tc>
          <w:tcPr>
            <w:tcW w:w="1532" w:type="pct"/>
            <w:vAlign w:val="center"/>
          </w:tcPr>
          <w:p>
            <w:pPr>
              <w:pStyle w:val="47"/>
              <w:rPr>
                <w:color w:val="auto"/>
                <w:szCs w:val="24"/>
              </w:rPr>
            </w:pPr>
            <w:r>
              <w:rPr>
                <w:rFonts w:hint="eastAsia"/>
                <w:color w:val="auto"/>
                <w:szCs w:val="24"/>
              </w:rPr>
              <w:t>董家村</w:t>
            </w:r>
          </w:p>
        </w:tc>
        <w:tc>
          <w:tcPr>
            <w:tcW w:w="654" w:type="pct"/>
            <w:gridSpan w:val="2"/>
            <w:vAlign w:val="center"/>
          </w:tcPr>
          <w:p>
            <w:pPr>
              <w:pStyle w:val="47"/>
              <w:rPr>
                <w:color w:val="auto"/>
                <w:szCs w:val="24"/>
              </w:rPr>
            </w:pPr>
            <w:r>
              <w:rPr>
                <w:color w:val="auto"/>
              </w:rPr>
              <w:t>S</w:t>
            </w:r>
            <w:r>
              <w:rPr>
                <w:rFonts w:hint="eastAsia"/>
                <w:color w:val="auto"/>
              </w:rPr>
              <w:t>W</w:t>
            </w:r>
          </w:p>
        </w:tc>
        <w:tc>
          <w:tcPr>
            <w:tcW w:w="529" w:type="pct"/>
            <w:gridSpan w:val="2"/>
            <w:vAlign w:val="center"/>
          </w:tcPr>
          <w:p>
            <w:pPr>
              <w:pStyle w:val="47"/>
              <w:rPr>
                <w:color w:val="auto"/>
                <w:szCs w:val="24"/>
              </w:rPr>
            </w:pPr>
            <w:r>
              <w:rPr>
                <w:rFonts w:hint="eastAsia"/>
                <w:color w:val="auto"/>
              </w:rPr>
              <w:t>1170</w:t>
            </w:r>
          </w:p>
        </w:tc>
        <w:tc>
          <w:tcPr>
            <w:tcW w:w="714" w:type="pct"/>
            <w:gridSpan w:val="2"/>
            <w:vAlign w:val="center"/>
          </w:tcPr>
          <w:p>
            <w:pPr>
              <w:pStyle w:val="47"/>
              <w:rPr>
                <w:color w:val="auto"/>
                <w:szCs w:val="24"/>
              </w:rPr>
            </w:pPr>
            <w:r>
              <w:rPr>
                <w:rFonts w:hint="eastAsia"/>
                <w:color w:val="auto"/>
              </w:rPr>
              <w:t>村庄</w:t>
            </w:r>
          </w:p>
        </w:tc>
        <w:tc>
          <w:tcPr>
            <w:tcW w:w="752" w:type="pct"/>
            <w:vAlign w:val="center"/>
          </w:tcPr>
          <w:p>
            <w:pPr>
              <w:pStyle w:val="47"/>
              <w:rPr>
                <w:color w:val="auto"/>
                <w:szCs w:val="24"/>
              </w:rPr>
            </w:pPr>
            <w:r>
              <w:rPr>
                <w:rFonts w:hint="eastAsia"/>
                <w:color w:val="auto"/>
              </w:rPr>
              <w:t>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28</w:t>
            </w:r>
          </w:p>
        </w:tc>
        <w:tc>
          <w:tcPr>
            <w:tcW w:w="1532" w:type="pct"/>
            <w:vAlign w:val="center"/>
          </w:tcPr>
          <w:p>
            <w:pPr>
              <w:pStyle w:val="47"/>
              <w:rPr>
                <w:color w:val="auto"/>
                <w:szCs w:val="24"/>
              </w:rPr>
            </w:pPr>
            <w:r>
              <w:rPr>
                <w:rFonts w:hint="eastAsia"/>
                <w:color w:val="auto"/>
                <w:szCs w:val="24"/>
              </w:rPr>
              <w:t>大张社区</w:t>
            </w:r>
          </w:p>
        </w:tc>
        <w:tc>
          <w:tcPr>
            <w:tcW w:w="654" w:type="pct"/>
            <w:gridSpan w:val="2"/>
            <w:vAlign w:val="center"/>
          </w:tcPr>
          <w:p>
            <w:pPr>
              <w:pStyle w:val="47"/>
              <w:rPr>
                <w:color w:val="auto"/>
                <w:szCs w:val="24"/>
              </w:rPr>
            </w:pPr>
            <w:r>
              <w:rPr>
                <w:color w:val="auto"/>
              </w:rPr>
              <w:t>SE</w:t>
            </w:r>
          </w:p>
        </w:tc>
        <w:tc>
          <w:tcPr>
            <w:tcW w:w="529" w:type="pct"/>
            <w:gridSpan w:val="2"/>
            <w:vAlign w:val="center"/>
          </w:tcPr>
          <w:p>
            <w:pPr>
              <w:pStyle w:val="47"/>
              <w:rPr>
                <w:color w:val="auto"/>
                <w:szCs w:val="24"/>
              </w:rPr>
            </w:pPr>
            <w:r>
              <w:rPr>
                <w:rFonts w:hint="eastAsia"/>
                <w:color w:val="auto"/>
              </w:rPr>
              <w:t>1120</w:t>
            </w:r>
          </w:p>
        </w:tc>
        <w:tc>
          <w:tcPr>
            <w:tcW w:w="714" w:type="pct"/>
            <w:gridSpan w:val="2"/>
            <w:vAlign w:val="center"/>
          </w:tcPr>
          <w:p>
            <w:pPr>
              <w:pStyle w:val="47"/>
              <w:rPr>
                <w:color w:val="auto"/>
                <w:szCs w:val="24"/>
              </w:rPr>
            </w:pPr>
            <w:r>
              <w:rPr>
                <w:color w:val="auto"/>
              </w:rPr>
              <w:t>村庄</w:t>
            </w:r>
          </w:p>
        </w:tc>
        <w:tc>
          <w:tcPr>
            <w:tcW w:w="752" w:type="pct"/>
            <w:vAlign w:val="center"/>
          </w:tcPr>
          <w:p>
            <w:pPr>
              <w:pStyle w:val="47"/>
              <w:rPr>
                <w:color w:val="auto"/>
                <w:szCs w:val="24"/>
              </w:rPr>
            </w:pPr>
            <w:r>
              <w:rPr>
                <w:rFonts w:hint="eastAsia"/>
                <w:color w:val="auto"/>
              </w:rPr>
              <w:t>530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29</w:t>
            </w:r>
          </w:p>
        </w:tc>
        <w:tc>
          <w:tcPr>
            <w:tcW w:w="1532" w:type="pct"/>
            <w:vAlign w:val="center"/>
          </w:tcPr>
          <w:p>
            <w:pPr>
              <w:pStyle w:val="47"/>
              <w:rPr>
                <w:color w:val="auto"/>
                <w:szCs w:val="24"/>
              </w:rPr>
            </w:pPr>
            <w:r>
              <w:rPr>
                <w:rFonts w:hint="eastAsia"/>
                <w:color w:val="auto"/>
                <w:szCs w:val="24"/>
              </w:rPr>
              <w:t>高新区第一中学</w:t>
            </w:r>
          </w:p>
        </w:tc>
        <w:tc>
          <w:tcPr>
            <w:tcW w:w="654" w:type="pct"/>
            <w:gridSpan w:val="2"/>
            <w:vAlign w:val="center"/>
          </w:tcPr>
          <w:p>
            <w:pPr>
              <w:pStyle w:val="47"/>
              <w:rPr>
                <w:color w:val="auto"/>
                <w:szCs w:val="24"/>
              </w:rPr>
            </w:pPr>
            <w:r>
              <w:rPr>
                <w:color w:val="auto"/>
              </w:rPr>
              <w:t>SE</w:t>
            </w:r>
          </w:p>
        </w:tc>
        <w:tc>
          <w:tcPr>
            <w:tcW w:w="529" w:type="pct"/>
            <w:gridSpan w:val="2"/>
            <w:vAlign w:val="center"/>
          </w:tcPr>
          <w:p>
            <w:pPr>
              <w:pStyle w:val="47"/>
              <w:rPr>
                <w:color w:val="auto"/>
                <w:szCs w:val="24"/>
              </w:rPr>
            </w:pPr>
            <w:r>
              <w:rPr>
                <w:rFonts w:hint="eastAsia"/>
                <w:color w:val="auto"/>
              </w:rPr>
              <w:t>2409</w:t>
            </w:r>
          </w:p>
        </w:tc>
        <w:tc>
          <w:tcPr>
            <w:tcW w:w="714" w:type="pct"/>
            <w:gridSpan w:val="2"/>
            <w:vAlign w:val="center"/>
          </w:tcPr>
          <w:p>
            <w:pPr>
              <w:pStyle w:val="47"/>
              <w:rPr>
                <w:color w:val="auto"/>
                <w:szCs w:val="24"/>
              </w:rPr>
            </w:pPr>
            <w:r>
              <w:rPr>
                <w:rFonts w:hint="eastAsia"/>
                <w:color w:val="auto"/>
              </w:rPr>
              <w:t>学校</w:t>
            </w:r>
          </w:p>
        </w:tc>
        <w:tc>
          <w:tcPr>
            <w:tcW w:w="752" w:type="pct"/>
            <w:vAlign w:val="center"/>
          </w:tcPr>
          <w:p>
            <w:pPr>
              <w:pStyle w:val="47"/>
              <w:rPr>
                <w:color w:val="auto"/>
                <w:szCs w:val="24"/>
              </w:rPr>
            </w:pPr>
            <w:r>
              <w:rPr>
                <w:rFonts w:hint="eastAsia"/>
                <w:color w:val="auto"/>
              </w:rPr>
              <w:t>2140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30</w:t>
            </w:r>
          </w:p>
        </w:tc>
        <w:tc>
          <w:tcPr>
            <w:tcW w:w="1532" w:type="pct"/>
            <w:vAlign w:val="center"/>
          </w:tcPr>
          <w:p>
            <w:pPr>
              <w:pStyle w:val="47"/>
              <w:rPr>
                <w:color w:val="auto"/>
                <w:szCs w:val="24"/>
              </w:rPr>
            </w:pPr>
            <w:r>
              <w:rPr>
                <w:rFonts w:hint="eastAsia"/>
                <w:color w:val="auto"/>
                <w:szCs w:val="24"/>
              </w:rPr>
              <w:t>金润香榭居</w:t>
            </w:r>
          </w:p>
        </w:tc>
        <w:tc>
          <w:tcPr>
            <w:tcW w:w="654" w:type="pct"/>
            <w:gridSpan w:val="2"/>
            <w:vAlign w:val="center"/>
          </w:tcPr>
          <w:p>
            <w:pPr>
              <w:pStyle w:val="47"/>
              <w:rPr>
                <w:color w:val="auto"/>
                <w:szCs w:val="24"/>
              </w:rPr>
            </w:pPr>
            <w:r>
              <w:rPr>
                <w:color w:val="auto"/>
              </w:rPr>
              <w:t>SE</w:t>
            </w:r>
          </w:p>
        </w:tc>
        <w:tc>
          <w:tcPr>
            <w:tcW w:w="529" w:type="pct"/>
            <w:gridSpan w:val="2"/>
            <w:vAlign w:val="center"/>
          </w:tcPr>
          <w:p>
            <w:pPr>
              <w:pStyle w:val="47"/>
              <w:rPr>
                <w:color w:val="auto"/>
                <w:szCs w:val="24"/>
              </w:rPr>
            </w:pPr>
            <w:r>
              <w:rPr>
                <w:rFonts w:hint="eastAsia"/>
                <w:color w:val="auto"/>
              </w:rPr>
              <w:t>2161</w:t>
            </w:r>
          </w:p>
        </w:tc>
        <w:tc>
          <w:tcPr>
            <w:tcW w:w="714" w:type="pct"/>
            <w:gridSpan w:val="2"/>
            <w:vAlign w:val="center"/>
          </w:tcPr>
          <w:p>
            <w:pPr>
              <w:pStyle w:val="47"/>
              <w:rPr>
                <w:color w:val="auto"/>
                <w:szCs w:val="24"/>
              </w:rPr>
            </w:pPr>
            <w:r>
              <w:rPr>
                <w:color w:val="auto"/>
              </w:rPr>
              <w:t>村庄</w:t>
            </w:r>
          </w:p>
        </w:tc>
        <w:tc>
          <w:tcPr>
            <w:tcW w:w="752" w:type="pct"/>
            <w:vAlign w:val="center"/>
          </w:tcPr>
          <w:p>
            <w:pPr>
              <w:pStyle w:val="47"/>
              <w:rPr>
                <w:color w:val="auto"/>
                <w:szCs w:val="24"/>
              </w:rPr>
            </w:pPr>
            <w:r>
              <w:rPr>
                <w:rFonts w:hint="eastAsia"/>
                <w:color w:val="auto"/>
              </w:rPr>
              <w:t>340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31</w:t>
            </w:r>
          </w:p>
        </w:tc>
        <w:tc>
          <w:tcPr>
            <w:tcW w:w="1532" w:type="pct"/>
            <w:vAlign w:val="center"/>
          </w:tcPr>
          <w:p>
            <w:pPr>
              <w:pStyle w:val="47"/>
              <w:rPr>
                <w:color w:val="auto"/>
                <w:szCs w:val="24"/>
              </w:rPr>
            </w:pPr>
            <w:r>
              <w:rPr>
                <w:color w:val="auto"/>
                <w:szCs w:val="24"/>
              </w:rPr>
              <w:t xml:space="preserve"> </w:t>
            </w:r>
            <w:r>
              <w:rPr>
                <w:rFonts w:hint="eastAsia"/>
                <w:color w:val="auto"/>
                <w:szCs w:val="24"/>
              </w:rPr>
              <w:t>名尚国际</w:t>
            </w:r>
          </w:p>
        </w:tc>
        <w:tc>
          <w:tcPr>
            <w:tcW w:w="654" w:type="pct"/>
            <w:gridSpan w:val="2"/>
            <w:vAlign w:val="center"/>
          </w:tcPr>
          <w:p>
            <w:pPr>
              <w:pStyle w:val="47"/>
              <w:rPr>
                <w:color w:val="auto"/>
                <w:szCs w:val="24"/>
              </w:rPr>
            </w:pPr>
            <w:r>
              <w:rPr>
                <w:color w:val="auto"/>
              </w:rPr>
              <w:t>SE</w:t>
            </w:r>
          </w:p>
        </w:tc>
        <w:tc>
          <w:tcPr>
            <w:tcW w:w="529" w:type="pct"/>
            <w:gridSpan w:val="2"/>
            <w:vAlign w:val="center"/>
          </w:tcPr>
          <w:p>
            <w:pPr>
              <w:pStyle w:val="47"/>
              <w:rPr>
                <w:color w:val="auto"/>
                <w:szCs w:val="24"/>
              </w:rPr>
            </w:pPr>
            <w:r>
              <w:rPr>
                <w:rFonts w:hint="eastAsia"/>
                <w:color w:val="auto"/>
              </w:rPr>
              <w:t>2315</w:t>
            </w:r>
          </w:p>
        </w:tc>
        <w:tc>
          <w:tcPr>
            <w:tcW w:w="714" w:type="pct"/>
            <w:gridSpan w:val="2"/>
            <w:vAlign w:val="center"/>
          </w:tcPr>
          <w:p>
            <w:pPr>
              <w:pStyle w:val="47"/>
              <w:rPr>
                <w:color w:val="auto"/>
                <w:szCs w:val="24"/>
              </w:rPr>
            </w:pPr>
            <w:r>
              <w:rPr>
                <w:color w:val="auto"/>
              </w:rPr>
              <w:t>村庄</w:t>
            </w:r>
          </w:p>
        </w:tc>
        <w:tc>
          <w:tcPr>
            <w:tcW w:w="752" w:type="pct"/>
            <w:vAlign w:val="center"/>
          </w:tcPr>
          <w:p>
            <w:pPr>
              <w:pStyle w:val="47"/>
              <w:rPr>
                <w:color w:val="auto"/>
                <w:szCs w:val="24"/>
              </w:rPr>
            </w:pPr>
            <w:r>
              <w:rPr>
                <w:rFonts w:hint="eastAsia"/>
                <w:color w:val="auto"/>
              </w:rPr>
              <w:t>625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32</w:t>
            </w:r>
          </w:p>
        </w:tc>
        <w:tc>
          <w:tcPr>
            <w:tcW w:w="1532" w:type="pct"/>
            <w:vAlign w:val="center"/>
          </w:tcPr>
          <w:p>
            <w:pPr>
              <w:pStyle w:val="47"/>
              <w:rPr>
                <w:color w:val="auto"/>
                <w:szCs w:val="24"/>
              </w:rPr>
            </w:pPr>
            <w:r>
              <w:rPr>
                <w:rFonts w:hint="eastAsia"/>
                <w:color w:val="auto"/>
                <w:szCs w:val="24"/>
              </w:rPr>
              <w:t>阳光幼儿园</w:t>
            </w:r>
          </w:p>
        </w:tc>
        <w:tc>
          <w:tcPr>
            <w:tcW w:w="654" w:type="pct"/>
            <w:gridSpan w:val="2"/>
            <w:vAlign w:val="center"/>
          </w:tcPr>
          <w:p>
            <w:pPr>
              <w:pStyle w:val="47"/>
              <w:rPr>
                <w:color w:val="auto"/>
                <w:szCs w:val="24"/>
              </w:rPr>
            </w:pPr>
            <w:r>
              <w:rPr>
                <w:color w:val="auto"/>
              </w:rPr>
              <w:t>SE</w:t>
            </w:r>
          </w:p>
        </w:tc>
        <w:tc>
          <w:tcPr>
            <w:tcW w:w="529" w:type="pct"/>
            <w:gridSpan w:val="2"/>
            <w:vAlign w:val="center"/>
          </w:tcPr>
          <w:p>
            <w:pPr>
              <w:pStyle w:val="47"/>
              <w:rPr>
                <w:color w:val="auto"/>
                <w:szCs w:val="24"/>
              </w:rPr>
            </w:pPr>
            <w:r>
              <w:rPr>
                <w:rFonts w:hint="eastAsia"/>
                <w:color w:val="auto"/>
              </w:rPr>
              <w:t>2915</w:t>
            </w:r>
          </w:p>
        </w:tc>
        <w:tc>
          <w:tcPr>
            <w:tcW w:w="714" w:type="pct"/>
            <w:gridSpan w:val="2"/>
            <w:vAlign w:val="center"/>
          </w:tcPr>
          <w:p>
            <w:pPr>
              <w:pStyle w:val="47"/>
              <w:rPr>
                <w:color w:val="auto"/>
                <w:szCs w:val="24"/>
              </w:rPr>
            </w:pPr>
            <w:r>
              <w:rPr>
                <w:color w:val="auto"/>
              </w:rPr>
              <w:t>学校</w:t>
            </w:r>
          </w:p>
        </w:tc>
        <w:tc>
          <w:tcPr>
            <w:tcW w:w="752" w:type="pct"/>
            <w:vAlign w:val="center"/>
          </w:tcPr>
          <w:p>
            <w:pPr>
              <w:pStyle w:val="47"/>
              <w:rPr>
                <w:color w:val="auto"/>
                <w:szCs w:val="24"/>
              </w:rPr>
            </w:pPr>
            <w:r>
              <w:rPr>
                <w:rFonts w:hint="eastAsia"/>
                <w:color w:val="auto"/>
                <w:szCs w:val="24"/>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33</w:t>
            </w:r>
          </w:p>
        </w:tc>
        <w:tc>
          <w:tcPr>
            <w:tcW w:w="1532" w:type="pct"/>
            <w:vAlign w:val="center"/>
          </w:tcPr>
          <w:p>
            <w:pPr>
              <w:pStyle w:val="47"/>
              <w:rPr>
                <w:color w:val="auto"/>
                <w:szCs w:val="24"/>
              </w:rPr>
            </w:pPr>
            <w:r>
              <w:rPr>
                <w:rFonts w:hint="eastAsia"/>
                <w:color w:val="auto"/>
                <w:szCs w:val="24"/>
              </w:rPr>
              <w:t>小庄村</w:t>
            </w:r>
          </w:p>
        </w:tc>
        <w:tc>
          <w:tcPr>
            <w:tcW w:w="654" w:type="pct"/>
            <w:gridSpan w:val="2"/>
            <w:vAlign w:val="center"/>
          </w:tcPr>
          <w:p>
            <w:pPr>
              <w:pStyle w:val="47"/>
              <w:rPr>
                <w:color w:val="auto"/>
                <w:szCs w:val="24"/>
              </w:rPr>
            </w:pPr>
            <w:r>
              <w:rPr>
                <w:color w:val="auto"/>
              </w:rPr>
              <w:t>SE</w:t>
            </w:r>
          </w:p>
        </w:tc>
        <w:tc>
          <w:tcPr>
            <w:tcW w:w="529" w:type="pct"/>
            <w:gridSpan w:val="2"/>
            <w:vAlign w:val="center"/>
          </w:tcPr>
          <w:p>
            <w:pPr>
              <w:pStyle w:val="47"/>
              <w:rPr>
                <w:color w:val="auto"/>
                <w:szCs w:val="24"/>
              </w:rPr>
            </w:pPr>
            <w:r>
              <w:rPr>
                <w:rFonts w:hint="eastAsia"/>
                <w:color w:val="auto"/>
              </w:rPr>
              <w:t>2895</w:t>
            </w:r>
          </w:p>
        </w:tc>
        <w:tc>
          <w:tcPr>
            <w:tcW w:w="714" w:type="pct"/>
            <w:gridSpan w:val="2"/>
            <w:vAlign w:val="center"/>
          </w:tcPr>
          <w:p>
            <w:pPr>
              <w:pStyle w:val="47"/>
              <w:rPr>
                <w:color w:val="auto"/>
                <w:szCs w:val="24"/>
              </w:rPr>
            </w:pPr>
            <w:r>
              <w:rPr>
                <w:color w:val="auto"/>
              </w:rPr>
              <w:t>村庄</w:t>
            </w:r>
          </w:p>
        </w:tc>
        <w:tc>
          <w:tcPr>
            <w:tcW w:w="752" w:type="pct"/>
            <w:vAlign w:val="center"/>
          </w:tcPr>
          <w:p>
            <w:pPr>
              <w:pStyle w:val="47"/>
              <w:rPr>
                <w:color w:val="auto"/>
                <w:szCs w:val="24"/>
              </w:rPr>
            </w:pPr>
            <w:r>
              <w:rPr>
                <w:rFonts w:hint="eastAsia"/>
                <w:color w:val="auto"/>
              </w:rPr>
              <w:t>640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34</w:t>
            </w:r>
          </w:p>
        </w:tc>
        <w:tc>
          <w:tcPr>
            <w:tcW w:w="1532" w:type="pct"/>
            <w:vAlign w:val="center"/>
          </w:tcPr>
          <w:p>
            <w:pPr>
              <w:pStyle w:val="47"/>
              <w:rPr>
                <w:color w:val="auto"/>
                <w:szCs w:val="24"/>
              </w:rPr>
            </w:pPr>
            <w:r>
              <w:rPr>
                <w:rFonts w:hint="eastAsia"/>
                <w:color w:val="auto"/>
                <w:szCs w:val="24"/>
              </w:rPr>
              <w:t>高新区七彩虹幼儿园</w:t>
            </w:r>
          </w:p>
        </w:tc>
        <w:tc>
          <w:tcPr>
            <w:tcW w:w="654" w:type="pct"/>
            <w:gridSpan w:val="2"/>
            <w:vAlign w:val="center"/>
          </w:tcPr>
          <w:p>
            <w:pPr>
              <w:pStyle w:val="47"/>
              <w:rPr>
                <w:color w:val="auto"/>
                <w:szCs w:val="24"/>
              </w:rPr>
            </w:pPr>
            <w:r>
              <w:rPr>
                <w:color w:val="auto"/>
              </w:rPr>
              <w:t>SE</w:t>
            </w:r>
          </w:p>
        </w:tc>
        <w:tc>
          <w:tcPr>
            <w:tcW w:w="529" w:type="pct"/>
            <w:gridSpan w:val="2"/>
            <w:vAlign w:val="center"/>
          </w:tcPr>
          <w:p>
            <w:pPr>
              <w:pStyle w:val="47"/>
              <w:rPr>
                <w:color w:val="auto"/>
                <w:szCs w:val="24"/>
              </w:rPr>
            </w:pPr>
            <w:r>
              <w:rPr>
                <w:rFonts w:hint="eastAsia"/>
                <w:color w:val="auto"/>
              </w:rPr>
              <w:t>3345</w:t>
            </w:r>
          </w:p>
        </w:tc>
        <w:tc>
          <w:tcPr>
            <w:tcW w:w="714" w:type="pct"/>
            <w:gridSpan w:val="2"/>
            <w:vAlign w:val="center"/>
          </w:tcPr>
          <w:p>
            <w:pPr>
              <w:pStyle w:val="47"/>
              <w:rPr>
                <w:color w:val="auto"/>
                <w:szCs w:val="24"/>
              </w:rPr>
            </w:pPr>
            <w:r>
              <w:rPr>
                <w:color w:val="auto"/>
              </w:rPr>
              <w:t>学校</w:t>
            </w:r>
          </w:p>
        </w:tc>
        <w:tc>
          <w:tcPr>
            <w:tcW w:w="752" w:type="pct"/>
            <w:vAlign w:val="center"/>
          </w:tcPr>
          <w:p>
            <w:pPr>
              <w:pStyle w:val="47"/>
              <w:rPr>
                <w:color w:val="auto"/>
                <w:szCs w:val="24"/>
              </w:rPr>
            </w:pPr>
            <w:r>
              <w:rPr>
                <w:rFonts w:hint="eastAsia"/>
                <w:color w:val="auto"/>
              </w:rPr>
              <w:t>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35</w:t>
            </w:r>
          </w:p>
        </w:tc>
        <w:tc>
          <w:tcPr>
            <w:tcW w:w="1532" w:type="pct"/>
            <w:vAlign w:val="center"/>
          </w:tcPr>
          <w:p>
            <w:pPr>
              <w:pStyle w:val="47"/>
              <w:rPr>
                <w:color w:val="auto"/>
                <w:szCs w:val="24"/>
              </w:rPr>
            </w:pPr>
            <w:r>
              <w:rPr>
                <w:rFonts w:hint="eastAsia"/>
                <w:color w:val="auto"/>
                <w:szCs w:val="24"/>
              </w:rPr>
              <w:t>淄博高新区华侨城小学</w:t>
            </w:r>
          </w:p>
        </w:tc>
        <w:tc>
          <w:tcPr>
            <w:tcW w:w="654" w:type="pct"/>
            <w:gridSpan w:val="2"/>
            <w:vAlign w:val="center"/>
          </w:tcPr>
          <w:p>
            <w:pPr>
              <w:pStyle w:val="47"/>
              <w:rPr>
                <w:color w:val="auto"/>
                <w:szCs w:val="24"/>
              </w:rPr>
            </w:pPr>
            <w:r>
              <w:rPr>
                <w:color w:val="auto"/>
              </w:rPr>
              <w:t>SE</w:t>
            </w:r>
          </w:p>
        </w:tc>
        <w:tc>
          <w:tcPr>
            <w:tcW w:w="529" w:type="pct"/>
            <w:gridSpan w:val="2"/>
            <w:vAlign w:val="center"/>
          </w:tcPr>
          <w:p>
            <w:pPr>
              <w:pStyle w:val="47"/>
              <w:rPr>
                <w:color w:val="auto"/>
                <w:szCs w:val="24"/>
              </w:rPr>
            </w:pPr>
            <w:r>
              <w:rPr>
                <w:rFonts w:hint="eastAsia"/>
                <w:color w:val="auto"/>
              </w:rPr>
              <w:t>3100</w:t>
            </w:r>
          </w:p>
        </w:tc>
        <w:tc>
          <w:tcPr>
            <w:tcW w:w="714" w:type="pct"/>
            <w:gridSpan w:val="2"/>
            <w:vAlign w:val="center"/>
          </w:tcPr>
          <w:p>
            <w:pPr>
              <w:pStyle w:val="47"/>
              <w:rPr>
                <w:color w:val="auto"/>
                <w:szCs w:val="24"/>
              </w:rPr>
            </w:pPr>
            <w:r>
              <w:rPr>
                <w:color w:val="auto"/>
              </w:rPr>
              <w:t>学校</w:t>
            </w:r>
          </w:p>
        </w:tc>
        <w:tc>
          <w:tcPr>
            <w:tcW w:w="752" w:type="pct"/>
            <w:vAlign w:val="center"/>
          </w:tcPr>
          <w:p>
            <w:pPr>
              <w:pStyle w:val="47"/>
              <w:rPr>
                <w:color w:val="auto"/>
                <w:szCs w:val="24"/>
              </w:rPr>
            </w:pPr>
            <w:r>
              <w:rPr>
                <w:rFonts w:hint="eastAsia"/>
                <w:color w:val="auto"/>
              </w:rPr>
              <w:t>848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36</w:t>
            </w:r>
          </w:p>
        </w:tc>
        <w:tc>
          <w:tcPr>
            <w:tcW w:w="1532" w:type="pct"/>
            <w:vAlign w:val="center"/>
          </w:tcPr>
          <w:p>
            <w:pPr>
              <w:pStyle w:val="47"/>
              <w:rPr>
                <w:color w:val="auto"/>
                <w:szCs w:val="24"/>
              </w:rPr>
            </w:pPr>
            <w:r>
              <w:rPr>
                <w:rFonts w:hint="eastAsia"/>
                <w:color w:val="auto"/>
                <w:szCs w:val="24"/>
              </w:rPr>
              <w:t>八音河国际幼稚园</w:t>
            </w:r>
          </w:p>
        </w:tc>
        <w:tc>
          <w:tcPr>
            <w:tcW w:w="654" w:type="pct"/>
            <w:gridSpan w:val="2"/>
            <w:vAlign w:val="center"/>
          </w:tcPr>
          <w:p>
            <w:pPr>
              <w:pStyle w:val="47"/>
              <w:rPr>
                <w:color w:val="auto"/>
                <w:szCs w:val="24"/>
              </w:rPr>
            </w:pPr>
            <w:r>
              <w:rPr>
                <w:color w:val="auto"/>
              </w:rPr>
              <w:t>SE</w:t>
            </w:r>
          </w:p>
        </w:tc>
        <w:tc>
          <w:tcPr>
            <w:tcW w:w="529" w:type="pct"/>
            <w:gridSpan w:val="2"/>
            <w:vAlign w:val="center"/>
          </w:tcPr>
          <w:p>
            <w:pPr>
              <w:pStyle w:val="47"/>
              <w:rPr>
                <w:color w:val="auto"/>
                <w:szCs w:val="24"/>
              </w:rPr>
            </w:pPr>
            <w:r>
              <w:rPr>
                <w:rFonts w:hint="eastAsia"/>
                <w:color w:val="auto"/>
              </w:rPr>
              <w:t>3572</w:t>
            </w:r>
          </w:p>
        </w:tc>
        <w:tc>
          <w:tcPr>
            <w:tcW w:w="714" w:type="pct"/>
            <w:gridSpan w:val="2"/>
            <w:vAlign w:val="center"/>
          </w:tcPr>
          <w:p>
            <w:pPr>
              <w:pStyle w:val="47"/>
              <w:rPr>
                <w:color w:val="auto"/>
                <w:szCs w:val="24"/>
              </w:rPr>
            </w:pPr>
            <w:r>
              <w:rPr>
                <w:color w:val="auto"/>
              </w:rPr>
              <w:t>学校</w:t>
            </w:r>
          </w:p>
        </w:tc>
        <w:tc>
          <w:tcPr>
            <w:tcW w:w="752" w:type="pct"/>
            <w:vAlign w:val="center"/>
          </w:tcPr>
          <w:p>
            <w:pPr>
              <w:pStyle w:val="47"/>
              <w:rPr>
                <w:color w:val="auto"/>
                <w:szCs w:val="24"/>
              </w:rPr>
            </w:pPr>
            <w:r>
              <w:rPr>
                <w:rFonts w:hint="eastAsia"/>
                <w:color w:val="auto"/>
              </w:rPr>
              <w:t>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37</w:t>
            </w:r>
          </w:p>
        </w:tc>
        <w:tc>
          <w:tcPr>
            <w:tcW w:w="1532" w:type="pct"/>
            <w:vAlign w:val="center"/>
          </w:tcPr>
          <w:p>
            <w:pPr>
              <w:pStyle w:val="47"/>
              <w:rPr>
                <w:color w:val="auto"/>
                <w:szCs w:val="24"/>
              </w:rPr>
            </w:pPr>
            <w:r>
              <w:rPr>
                <w:rFonts w:hint="eastAsia"/>
                <w:color w:val="auto"/>
                <w:szCs w:val="24"/>
              </w:rPr>
              <w:t>淄博莲池妇婴医院</w:t>
            </w:r>
          </w:p>
        </w:tc>
        <w:tc>
          <w:tcPr>
            <w:tcW w:w="654" w:type="pct"/>
            <w:gridSpan w:val="2"/>
            <w:vAlign w:val="center"/>
          </w:tcPr>
          <w:p>
            <w:pPr>
              <w:pStyle w:val="47"/>
              <w:rPr>
                <w:color w:val="auto"/>
                <w:szCs w:val="24"/>
              </w:rPr>
            </w:pPr>
            <w:r>
              <w:rPr>
                <w:color w:val="auto"/>
              </w:rPr>
              <w:t>SE</w:t>
            </w:r>
          </w:p>
        </w:tc>
        <w:tc>
          <w:tcPr>
            <w:tcW w:w="529" w:type="pct"/>
            <w:gridSpan w:val="2"/>
            <w:vAlign w:val="center"/>
          </w:tcPr>
          <w:p>
            <w:pPr>
              <w:pStyle w:val="47"/>
              <w:rPr>
                <w:color w:val="auto"/>
                <w:szCs w:val="24"/>
              </w:rPr>
            </w:pPr>
            <w:r>
              <w:rPr>
                <w:rFonts w:hint="eastAsia"/>
                <w:color w:val="auto"/>
              </w:rPr>
              <w:t>3651</w:t>
            </w:r>
          </w:p>
        </w:tc>
        <w:tc>
          <w:tcPr>
            <w:tcW w:w="714" w:type="pct"/>
            <w:gridSpan w:val="2"/>
            <w:vAlign w:val="center"/>
          </w:tcPr>
          <w:p>
            <w:pPr>
              <w:pStyle w:val="47"/>
              <w:rPr>
                <w:color w:val="auto"/>
                <w:szCs w:val="24"/>
              </w:rPr>
            </w:pPr>
            <w:r>
              <w:rPr>
                <w:rFonts w:hint="eastAsia"/>
                <w:color w:val="auto"/>
              </w:rPr>
              <w:t>医院</w:t>
            </w:r>
          </w:p>
        </w:tc>
        <w:tc>
          <w:tcPr>
            <w:tcW w:w="752" w:type="pct"/>
            <w:vAlign w:val="center"/>
          </w:tcPr>
          <w:p>
            <w:pPr>
              <w:pStyle w:val="47"/>
              <w:rPr>
                <w:color w:val="auto"/>
                <w:szCs w:val="24"/>
              </w:rPr>
            </w:pPr>
            <w:r>
              <w:rPr>
                <w:rFonts w:hint="eastAsia"/>
                <w:color w:val="auto"/>
              </w:rPr>
              <w:t>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38</w:t>
            </w:r>
          </w:p>
        </w:tc>
        <w:tc>
          <w:tcPr>
            <w:tcW w:w="1532" w:type="pct"/>
            <w:vAlign w:val="center"/>
          </w:tcPr>
          <w:p>
            <w:pPr>
              <w:pStyle w:val="47"/>
              <w:rPr>
                <w:color w:val="auto"/>
                <w:szCs w:val="24"/>
              </w:rPr>
            </w:pPr>
            <w:r>
              <w:rPr>
                <w:rFonts w:hint="eastAsia"/>
                <w:color w:val="auto"/>
                <w:szCs w:val="24"/>
              </w:rPr>
              <w:t>中育海嘉华侨城幼儿园</w:t>
            </w:r>
          </w:p>
        </w:tc>
        <w:tc>
          <w:tcPr>
            <w:tcW w:w="654" w:type="pct"/>
            <w:gridSpan w:val="2"/>
            <w:vAlign w:val="center"/>
          </w:tcPr>
          <w:p>
            <w:pPr>
              <w:pStyle w:val="47"/>
              <w:rPr>
                <w:color w:val="auto"/>
                <w:szCs w:val="24"/>
              </w:rPr>
            </w:pPr>
            <w:r>
              <w:rPr>
                <w:color w:val="auto"/>
              </w:rPr>
              <w:t>SE</w:t>
            </w:r>
          </w:p>
        </w:tc>
        <w:tc>
          <w:tcPr>
            <w:tcW w:w="529" w:type="pct"/>
            <w:gridSpan w:val="2"/>
            <w:vAlign w:val="center"/>
          </w:tcPr>
          <w:p>
            <w:pPr>
              <w:pStyle w:val="47"/>
              <w:rPr>
                <w:color w:val="auto"/>
                <w:szCs w:val="24"/>
              </w:rPr>
            </w:pPr>
            <w:r>
              <w:rPr>
                <w:rFonts w:hint="eastAsia"/>
                <w:color w:val="auto"/>
              </w:rPr>
              <w:t>2562</w:t>
            </w:r>
          </w:p>
        </w:tc>
        <w:tc>
          <w:tcPr>
            <w:tcW w:w="714" w:type="pct"/>
            <w:gridSpan w:val="2"/>
            <w:vAlign w:val="center"/>
          </w:tcPr>
          <w:p>
            <w:pPr>
              <w:pStyle w:val="47"/>
              <w:rPr>
                <w:color w:val="auto"/>
                <w:szCs w:val="24"/>
              </w:rPr>
            </w:pPr>
            <w:r>
              <w:rPr>
                <w:color w:val="auto"/>
              </w:rPr>
              <w:t>学校</w:t>
            </w:r>
          </w:p>
        </w:tc>
        <w:tc>
          <w:tcPr>
            <w:tcW w:w="752" w:type="pct"/>
            <w:vAlign w:val="center"/>
          </w:tcPr>
          <w:p>
            <w:pPr>
              <w:pStyle w:val="47"/>
              <w:rPr>
                <w:color w:val="auto"/>
                <w:szCs w:val="24"/>
              </w:rPr>
            </w:pPr>
            <w:r>
              <w:rPr>
                <w:rFonts w:hint="eastAsia"/>
                <w:color w:val="auto"/>
              </w:rPr>
              <w:t>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39</w:t>
            </w:r>
          </w:p>
        </w:tc>
        <w:tc>
          <w:tcPr>
            <w:tcW w:w="1532" w:type="pct"/>
            <w:vAlign w:val="center"/>
          </w:tcPr>
          <w:p>
            <w:pPr>
              <w:pStyle w:val="47"/>
              <w:rPr>
                <w:color w:val="auto"/>
                <w:szCs w:val="24"/>
              </w:rPr>
            </w:pPr>
            <w:r>
              <w:rPr>
                <w:rFonts w:hint="eastAsia"/>
                <w:color w:val="auto"/>
                <w:szCs w:val="24"/>
              </w:rPr>
              <w:t>世纪花园幼儿园北园</w:t>
            </w:r>
          </w:p>
        </w:tc>
        <w:tc>
          <w:tcPr>
            <w:tcW w:w="654" w:type="pct"/>
            <w:gridSpan w:val="2"/>
            <w:vAlign w:val="center"/>
          </w:tcPr>
          <w:p>
            <w:pPr>
              <w:pStyle w:val="47"/>
              <w:rPr>
                <w:color w:val="auto"/>
                <w:szCs w:val="24"/>
              </w:rPr>
            </w:pPr>
            <w:r>
              <w:rPr>
                <w:color w:val="auto"/>
              </w:rPr>
              <w:t>SE</w:t>
            </w:r>
          </w:p>
        </w:tc>
        <w:tc>
          <w:tcPr>
            <w:tcW w:w="529" w:type="pct"/>
            <w:gridSpan w:val="2"/>
            <w:vAlign w:val="center"/>
          </w:tcPr>
          <w:p>
            <w:pPr>
              <w:pStyle w:val="47"/>
              <w:rPr>
                <w:color w:val="auto"/>
                <w:szCs w:val="24"/>
              </w:rPr>
            </w:pPr>
            <w:r>
              <w:rPr>
                <w:rFonts w:hint="eastAsia"/>
                <w:color w:val="auto"/>
              </w:rPr>
              <w:t>2667</w:t>
            </w:r>
          </w:p>
        </w:tc>
        <w:tc>
          <w:tcPr>
            <w:tcW w:w="714" w:type="pct"/>
            <w:gridSpan w:val="2"/>
            <w:vAlign w:val="center"/>
          </w:tcPr>
          <w:p>
            <w:pPr>
              <w:pStyle w:val="47"/>
              <w:rPr>
                <w:color w:val="auto"/>
                <w:szCs w:val="24"/>
              </w:rPr>
            </w:pPr>
            <w:r>
              <w:rPr>
                <w:color w:val="auto"/>
              </w:rPr>
              <w:t>学校</w:t>
            </w:r>
          </w:p>
        </w:tc>
        <w:tc>
          <w:tcPr>
            <w:tcW w:w="752" w:type="pct"/>
            <w:vAlign w:val="center"/>
          </w:tcPr>
          <w:p>
            <w:pPr>
              <w:pStyle w:val="47"/>
              <w:rPr>
                <w:color w:val="auto"/>
                <w:szCs w:val="24"/>
              </w:rPr>
            </w:pPr>
            <w:r>
              <w:rPr>
                <w:rFonts w:hint="eastAsia"/>
                <w:color w:val="auto"/>
              </w:rPr>
              <w:t>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40</w:t>
            </w:r>
          </w:p>
        </w:tc>
        <w:tc>
          <w:tcPr>
            <w:tcW w:w="1532" w:type="pct"/>
            <w:vAlign w:val="center"/>
          </w:tcPr>
          <w:p>
            <w:pPr>
              <w:pStyle w:val="47"/>
              <w:rPr>
                <w:color w:val="auto"/>
                <w:szCs w:val="24"/>
              </w:rPr>
            </w:pPr>
            <w:r>
              <w:rPr>
                <w:rFonts w:hint="eastAsia"/>
                <w:color w:val="auto"/>
                <w:szCs w:val="24"/>
              </w:rPr>
              <w:t>世纪花园幼儿园南园</w:t>
            </w:r>
          </w:p>
        </w:tc>
        <w:tc>
          <w:tcPr>
            <w:tcW w:w="654" w:type="pct"/>
            <w:gridSpan w:val="2"/>
            <w:vAlign w:val="center"/>
          </w:tcPr>
          <w:p>
            <w:pPr>
              <w:pStyle w:val="47"/>
              <w:rPr>
                <w:color w:val="auto"/>
                <w:szCs w:val="24"/>
              </w:rPr>
            </w:pPr>
            <w:r>
              <w:rPr>
                <w:color w:val="auto"/>
              </w:rPr>
              <w:t>SE</w:t>
            </w:r>
          </w:p>
        </w:tc>
        <w:tc>
          <w:tcPr>
            <w:tcW w:w="529" w:type="pct"/>
            <w:gridSpan w:val="2"/>
            <w:vAlign w:val="center"/>
          </w:tcPr>
          <w:p>
            <w:pPr>
              <w:pStyle w:val="47"/>
              <w:rPr>
                <w:color w:val="auto"/>
                <w:szCs w:val="24"/>
              </w:rPr>
            </w:pPr>
            <w:r>
              <w:rPr>
                <w:rFonts w:hint="eastAsia"/>
                <w:color w:val="auto"/>
              </w:rPr>
              <w:t>3100</w:t>
            </w:r>
          </w:p>
        </w:tc>
        <w:tc>
          <w:tcPr>
            <w:tcW w:w="714" w:type="pct"/>
            <w:gridSpan w:val="2"/>
            <w:vAlign w:val="center"/>
          </w:tcPr>
          <w:p>
            <w:pPr>
              <w:pStyle w:val="47"/>
              <w:rPr>
                <w:color w:val="auto"/>
                <w:szCs w:val="24"/>
              </w:rPr>
            </w:pPr>
            <w:r>
              <w:rPr>
                <w:color w:val="auto"/>
              </w:rPr>
              <w:t>学校</w:t>
            </w:r>
          </w:p>
        </w:tc>
        <w:tc>
          <w:tcPr>
            <w:tcW w:w="752" w:type="pct"/>
            <w:vAlign w:val="center"/>
          </w:tcPr>
          <w:p>
            <w:pPr>
              <w:pStyle w:val="47"/>
              <w:rPr>
                <w:color w:val="auto"/>
                <w:szCs w:val="24"/>
              </w:rPr>
            </w:pPr>
            <w:r>
              <w:rPr>
                <w:rFonts w:hint="eastAsia"/>
                <w:color w:val="auto"/>
              </w:rPr>
              <w:t>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41</w:t>
            </w:r>
          </w:p>
        </w:tc>
        <w:tc>
          <w:tcPr>
            <w:tcW w:w="1532" w:type="pct"/>
            <w:vAlign w:val="center"/>
          </w:tcPr>
          <w:p>
            <w:pPr>
              <w:pStyle w:val="47"/>
              <w:rPr>
                <w:color w:val="auto"/>
                <w:szCs w:val="24"/>
              </w:rPr>
            </w:pPr>
            <w:r>
              <w:rPr>
                <w:rFonts w:hint="eastAsia"/>
                <w:color w:val="auto"/>
                <w:szCs w:val="24"/>
              </w:rPr>
              <w:t>张店区重庆路小学</w:t>
            </w:r>
          </w:p>
        </w:tc>
        <w:tc>
          <w:tcPr>
            <w:tcW w:w="654" w:type="pct"/>
            <w:gridSpan w:val="2"/>
            <w:vAlign w:val="center"/>
          </w:tcPr>
          <w:p>
            <w:pPr>
              <w:pStyle w:val="47"/>
              <w:rPr>
                <w:color w:val="auto"/>
                <w:szCs w:val="24"/>
              </w:rPr>
            </w:pPr>
            <w:r>
              <w:rPr>
                <w:color w:val="auto"/>
              </w:rPr>
              <w:t>S</w:t>
            </w:r>
          </w:p>
        </w:tc>
        <w:tc>
          <w:tcPr>
            <w:tcW w:w="529" w:type="pct"/>
            <w:gridSpan w:val="2"/>
            <w:vAlign w:val="center"/>
          </w:tcPr>
          <w:p>
            <w:pPr>
              <w:pStyle w:val="47"/>
              <w:rPr>
                <w:color w:val="auto"/>
                <w:szCs w:val="24"/>
              </w:rPr>
            </w:pPr>
            <w:r>
              <w:rPr>
                <w:rFonts w:hint="eastAsia"/>
                <w:color w:val="auto"/>
              </w:rPr>
              <w:t>1847</w:t>
            </w:r>
          </w:p>
        </w:tc>
        <w:tc>
          <w:tcPr>
            <w:tcW w:w="714" w:type="pct"/>
            <w:gridSpan w:val="2"/>
            <w:vAlign w:val="center"/>
          </w:tcPr>
          <w:p>
            <w:pPr>
              <w:pStyle w:val="47"/>
              <w:rPr>
                <w:color w:val="auto"/>
                <w:szCs w:val="24"/>
              </w:rPr>
            </w:pPr>
            <w:r>
              <w:rPr>
                <w:color w:val="auto"/>
              </w:rPr>
              <w:t>学校</w:t>
            </w:r>
          </w:p>
        </w:tc>
        <w:tc>
          <w:tcPr>
            <w:tcW w:w="752" w:type="pct"/>
            <w:vAlign w:val="center"/>
          </w:tcPr>
          <w:p>
            <w:pPr>
              <w:pStyle w:val="47"/>
              <w:rPr>
                <w:color w:val="auto"/>
                <w:szCs w:val="24"/>
              </w:rPr>
            </w:pPr>
            <w:r>
              <w:rPr>
                <w:color w:val="auto"/>
              </w:rPr>
              <w:t>756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42</w:t>
            </w:r>
          </w:p>
        </w:tc>
        <w:tc>
          <w:tcPr>
            <w:tcW w:w="1532" w:type="pct"/>
            <w:vAlign w:val="center"/>
          </w:tcPr>
          <w:p>
            <w:pPr>
              <w:pStyle w:val="47"/>
              <w:rPr>
                <w:color w:val="auto"/>
                <w:szCs w:val="24"/>
              </w:rPr>
            </w:pPr>
            <w:r>
              <w:rPr>
                <w:rFonts w:hint="eastAsia"/>
                <w:color w:val="auto"/>
                <w:szCs w:val="24"/>
              </w:rPr>
              <w:t>淄博市第六人民医院</w:t>
            </w:r>
          </w:p>
        </w:tc>
        <w:tc>
          <w:tcPr>
            <w:tcW w:w="654" w:type="pct"/>
            <w:gridSpan w:val="2"/>
            <w:vAlign w:val="center"/>
          </w:tcPr>
          <w:p>
            <w:pPr>
              <w:pStyle w:val="47"/>
              <w:rPr>
                <w:color w:val="auto"/>
                <w:szCs w:val="24"/>
              </w:rPr>
            </w:pPr>
            <w:r>
              <w:rPr>
                <w:color w:val="auto"/>
              </w:rPr>
              <w:t>S</w:t>
            </w:r>
          </w:p>
        </w:tc>
        <w:tc>
          <w:tcPr>
            <w:tcW w:w="529" w:type="pct"/>
            <w:gridSpan w:val="2"/>
            <w:vAlign w:val="center"/>
          </w:tcPr>
          <w:p>
            <w:pPr>
              <w:pStyle w:val="47"/>
              <w:rPr>
                <w:color w:val="auto"/>
                <w:szCs w:val="24"/>
              </w:rPr>
            </w:pPr>
            <w:r>
              <w:rPr>
                <w:rFonts w:hint="eastAsia"/>
                <w:color w:val="auto"/>
              </w:rPr>
              <w:t>2642</w:t>
            </w:r>
          </w:p>
        </w:tc>
        <w:tc>
          <w:tcPr>
            <w:tcW w:w="714" w:type="pct"/>
            <w:gridSpan w:val="2"/>
            <w:vAlign w:val="center"/>
          </w:tcPr>
          <w:p>
            <w:pPr>
              <w:pStyle w:val="47"/>
              <w:rPr>
                <w:color w:val="auto"/>
                <w:szCs w:val="24"/>
              </w:rPr>
            </w:pPr>
            <w:r>
              <w:rPr>
                <w:rFonts w:hint="eastAsia"/>
                <w:color w:val="auto"/>
              </w:rPr>
              <w:t>医院</w:t>
            </w:r>
          </w:p>
        </w:tc>
        <w:tc>
          <w:tcPr>
            <w:tcW w:w="752" w:type="pct"/>
            <w:vAlign w:val="center"/>
          </w:tcPr>
          <w:p>
            <w:pPr>
              <w:pStyle w:val="47"/>
              <w:rPr>
                <w:color w:val="auto"/>
                <w:szCs w:val="24"/>
              </w:rPr>
            </w:pPr>
            <w:r>
              <w:rPr>
                <w:color w:val="auto"/>
              </w:rPr>
              <w:t>521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43</w:t>
            </w:r>
          </w:p>
        </w:tc>
        <w:tc>
          <w:tcPr>
            <w:tcW w:w="1532" w:type="pct"/>
            <w:vAlign w:val="center"/>
          </w:tcPr>
          <w:p>
            <w:pPr>
              <w:pStyle w:val="47"/>
              <w:rPr>
                <w:color w:val="auto"/>
                <w:szCs w:val="24"/>
              </w:rPr>
            </w:pPr>
            <w:r>
              <w:rPr>
                <w:rFonts w:hint="eastAsia"/>
                <w:color w:val="auto"/>
                <w:szCs w:val="24"/>
              </w:rPr>
              <w:t>龙泰医院</w:t>
            </w:r>
          </w:p>
        </w:tc>
        <w:tc>
          <w:tcPr>
            <w:tcW w:w="654" w:type="pct"/>
            <w:gridSpan w:val="2"/>
            <w:vAlign w:val="center"/>
          </w:tcPr>
          <w:p>
            <w:pPr>
              <w:pStyle w:val="47"/>
              <w:rPr>
                <w:color w:val="auto"/>
                <w:szCs w:val="24"/>
              </w:rPr>
            </w:pPr>
            <w:r>
              <w:rPr>
                <w:color w:val="auto"/>
              </w:rPr>
              <w:t>S</w:t>
            </w:r>
          </w:p>
        </w:tc>
        <w:tc>
          <w:tcPr>
            <w:tcW w:w="529" w:type="pct"/>
            <w:gridSpan w:val="2"/>
            <w:vAlign w:val="center"/>
          </w:tcPr>
          <w:p>
            <w:pPr>
              <w:pStyle w:val="47"/>
              <w:rPr>
                <w:color w:val="auto"/>
                <w:szCs w:val="24"/>
              </w:rPr>
            </w:pPr>
            <w:r>
              <w:rPr>
                <w:rFonts w:hint="eastAsia"/>
                <w:color w:val="auto"/>
              </w:rPr>
              <w:t>2968</w:t>
            </w:r>
          </w:p>
        </w:tc>
        <w:tc>
          <w:tcPr>
            <w:tcW w:w="714" w:type="pct"/>
            <w:gridSpan w:val="2"/>
            <w:vAlign w:val="center"/>
          </w:tcPr>
          <w:p>
            <w:pPr>
              <w:pStyle w:val="47"/>
              <w:rPr>
                <w:color w:val="auto"/>
                <w:szCs w:val="24"/>
              </w:rPr>
            </w:pPr>
            <w:r>
              <w:rPr>
                <w:rFonts w:hint="eastAsia"/>
                <w:color w:val="auto"/>
              </w:rPr>
              <w:t>医院</w:t>
            </w:r>
          </w:p>
        </w:tc>
        <w:tc>
          <w:tcPr>
            <w:tcW w:w="752" w:type="pct"/>
            <w:vAlign w:val="center"/>
          </w:tcPr>
          <w:p>
            <w:pPr>
              <w:pStyle w:val="47"/>
              <w:rPr>
                <w:color w:val="auto"/>
                <w:szCs w:val="24"/>
              </w:rPr>
            </w:pPr>
            <w:r>
              <w:rPr>
                <w:color w:val="auto"/>
              </w:rPr>
              <w:t>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44</w:t>
            </w:r>
          </w:p>
        </w:tc>
        <w:tc>
          <w:tcPr>
            <w:tcW w:w="1532" w:type="pct"/>
            <w:vAlign w:val="center"/>
          </w:tcPr>
          <w:p>
            <w:pPr>
              <w:pStyle w:val="47"/>
              <w:rPr>
                <w:color w:val="auto"/>
                <w:szCs w:val="24"/>
              </w:rPr>
            </w:pPr>
            <w:r>
              <w:rPr>
                <w:rFonts w:hint="eastAsia"/>
                <w:color w:val="auto"/>
                <w:szCs w:val="24"/>
              </w:rPr>
              <w:t>淄博市市直机关第二幼儿园</w:t>
            </w:r>
          </w:p>
        </w:tc>
        <w:tc>
          <w:tcPr>
            <w:tcW w:w="654" w:type="pct"/>
            <w:gridSpan w:val="2"/>
            <w:vAlign w:val="center"/>
          </w:tcPr>
          <w:p>
            <w:pPr>
              <w:pStyle w:val="47"/>
              <w:rPr>
                <w:color w:val="auto"/>
                <w:szCs w:val="24"/>
              </w:rPr>
            </w:pPr>
            <w:r>
              <w:rPr>
                <w:color w:val="auto"/>
              </w:rPr>
              <w:t>S</w:t>
            </w:r>
          </w:p>
        </w:tc>
        <w:tc>
          <w:tcPr>
            <w:tcW w:w="529" w:type="pct"/>
            <w:gridSpan w:val="2"/>
            <w:vAlign w:val="center"/>
          </w:tcPr>
          <w:p>
            <w:pPr>
              <w:pStyle w:val="47"/>
              <w:rPr>
                <w:color w:val="auto"/>
                <w:szCs w:val="24"/>
              </w:rPr>
            </w:pPr>
            <w:r>
              <w:rPr>
                <w:rFonts w:hint="eastAsia"/>
                <w:color w:val="auto"/>
              </w:rPr>
              <w:t>2900</w:t>
            </w:r>
          </w:p>
        </w:tc>
        <w:tc>
          <w:tcPr>
            <w:tcW w:w="714" w:type="pct"/>
            <w:gridSpan w:val="2"/>
            <w:vAlign w:val="center"/>
          </w:tcPr>
          <w:p>
            <w:pPr>
              <w:pStyle w:val="47"/>
              <w:rPr>
                <w:color w:val="auto"/>
                <w:szCs w:val="24"/>
              </w:rPr>
            </w:pPr>
            <w:r>
              <w:rPr>
                <w:color w:val="auto"/>
              </w:rPr>
              <w:t>学校</w:t>
            </w:r>
          </w:p>
        </w:tc>
        <w:tc>
          <w:tcPr>
            <w:tcW w:w="752" w:type="pct"/>
            <w:vAlign w:val="center"/>
          </w:tcPr>
          <w:p>
            <w:pPr>
              <w:pStyle w:val="47"/>
              <w:rPr>
                <w:color w:val="auto"/>
                <w:szCs w:val="24"/>
              </w:rPr>
            </w:pPr>
            <w:r>
              <w:rPr>
                <w:color w:val="auto"/>
              </w:rPr>
              <w:t>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45</w:t>
            </w:r>
          </w:p>
        </w:tc>
        <w:tc>
          <w:tcPr>
            <w:tcW w:w="1532" w:type="pct"/>
            <w:vAlign w:val="center"/>
          </w:tcPr>
          <w:p>
            <w:pPr>
              <w:pStyle w:val="47"/>
              <w:rPr>
                <w:color w:val="auto"/>
                <w:szCs w:val="24"/>
              </w:rPr>
            </w:pPr>
            <w:r>
              <w:rPr>
                <w:rFonts w:hint="eastAsia"/>
                <w:color w:val="auto"/>
                <w:szCs w:val="24"/>
              </w:rPr>
              <w:t>淄博市妇幼保健院</w:t>
            </w:r>
          </w:p>
        </w:tc>
        <w:tc>
          <w:tcPr>
            <w:tcW w:w="654" w:type="pct"/>
            <w:gridSpan w:val="2"/>
            <w:vAlign w:val="center"/>
          </w:tcPr>
          <w:p>
            <w:pPr>
              <w:pStyle w:val="47"/>
              <w:rPr>
                <w:color w:val="auto"/>
                <w:szCs w:val="24"/>
              </w:rPr>
            </w:pPr>
            <w:r>
              <w:rPr>
                <w:color w:val="auto"/>
              </w:rPr>
              <w:t>SW</w:t>
            </w:r>
          </w:p>
        </w:tc>
        <w:tc>
          <w:tcPr>
            <w:tcW w:w="529" w:type="pct"/>
            <w:gridSpan w:val="2"/>
            <w:vAlign w:val="center"/>
          </w:tcPr>
          <w:p>
            <w:pPr>
              <w:pStyle w:val="47"/>
              <w:rPr>
                <w:color w:val="auto"/>
                <w:szCs w:val="24"/>
              </w:rPr>
            </w:pPr>
            <w:r>
              <w:rPr>
                <w:rFonts w:hint="eastAsia"/>
                <w:color w:val="auto"/>
              </w:rPr>
              <w:t>3291</w:t>
            </w:r>
          </w:p>
        </w:tc>
        <w:tc>
          <w:tcPr>
            <w:tcW w:w="714" w:type="pct"/>
            <w:gridSpan w:val="2"/>
            <w:vAlign w:val="center"/>
          </w:tcPr>
          <w:p>
            <w:pPr>
              <w:pStyle w:val="47"/>
              <w:rPr>
                <w:color w:val="auto"/>
                <w:szCs w:val="24"/>
              </w:rPr>
            </w:pPr>
            <w:r>
              <w:rPr>
                <w:rFonts w:hint="eastAsia"/>
                <w:color w:val="auto"/>
              </w:rPr>
              <w:t>医院</w:t>
            </w:r>
          </w:p>
        </w:tc>
        <w:tc>
          <w:tcPr>
            <w:tcW w:w="752" w:type="pct"/>
            <w:vAlign w:val="center"/>
          </w:tcPr>
          <w:p>
            <w:pPr>
              <w:pStyle w:val="47"/>
              <w:rPr>
                <w:color w:val="auto"/>
                <w:szCs w:val="24"/>
              </w:rPr>
            </w:pPr>
            <w:r>
              <w:rPr>
                <w:color w:val="auto"/>
              </w:rPr>
              <w:t>612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pStyle w:val="47"/>
              <w:rPr>
                <w:color w:val="auto"/>
                <w:szCs w:val="24"/>
              </w:rPr>
            </w:pPr>
            <w:r>
              <w:rPr>
                <w:color w:val="auto"/>
              </w:rPr>
              <w:t>46</w:t>
            </w:r>
          </w:p>
        </w:tc>
        <w:tc>
          <w:tcPr>
            <w:tcW w:w="1532" w:type="pct"/>
            <w:vAlign w:val="center"/>
          </w:tcPr>
          <w:p>
            <w:pPr>
              <w:pStyle w:val="47"/>
              <w:rPr>
                <w:color w:val="auto"/>
                <w:szCs w:val="24"/>
              </w:rPr>
            </w:pPr>
            <w:r>
              <w:rPr>
                <w:rFonts w:hint="eastAsia"/>
                <w:color w:val="auto"/>
                <w:szCs w:val="24"/>
              </w:rPr>
              <w:t>张店城区</w:t>
            </w:r>
          </w:p>
        </w:tc>
        <w:tc>
          <w:tcPr>
            <w:tcW w:w="654" w:type="pct"/>
            <w:gridSpan w:val="2"/>
            <w:vAlign w:val="center"/>
          </w:tcPr>
          <w:p>
            <w:pPr>
              <w:pStyle w:val="47"/>
              <w:rPr>
                <w:color w:val="auto"/>
                <w:szCs w:val="24"/>
              </w:rPr>
            </w:pPr>
            <w:r>
              <w:rPr>
                <w:color w:val="auto"/>
              </w:rPr>
              <w:t>S</w:t>
            </w:r>
          </w:p>
        </w:tc>
        <w:tc>
          <w:tcPr>
            <w:tcW w:w="529" w:type="pct"/>
            <w:gridSpan w:val="2"/>
            <w:vAlign w:val="center"/>
          </w:tcPr>
          <w:p>
            <w:pPr>
              <w:pStyle w:val="47"/>
              <w:rPr>
                <w:color w:val="auto"/>
                <w:szCs w:val="24"/>
              </w:rPr>
            </w:pPr>
            <w:r>
              <w:rPr>
                <w:rFonts w:hint="eastAsia"/>
                <w:color w:val="auto"/>
              </w:rPr>
              <w:t>1186</w:t>
            </w:r>
          </w:p>
        </w:tc>
        <w:tc>
          <w:tcPr>
            <w:tcW w:w="714" w:type="pct"/>
            <w:gridSpan w:val="2"/>
            <w:vAlign w:val="center"/>
          </w:tcPr>
          <w:p>
            <w:pPr>
              <w:pStyle w:val="47"/>
              <w:rPr>
                <w:color w:val="auto"/>
                <w:szCs w:val="24"/>
              </w:rPr>
            </w:pPr>
            <w:r>
              <w:rPr>
                <w:rFonts w:hint="eastAsia"/>
                <w:color w:val="auto"/>
              </w:rPr>
              <w:t>城区</w:t>
            </w:r>
          </w:p>
        </w:tc>
        <w:tc>
          <w:tcPr>
            <w:tcW w:w="752" w:type="pct"/>
            <w:vAlign w:val="center"/>
          </w:tcPr>
          <w:p>
            <w:pPr>
              <w:pStyle w:val="47"/>
              <w:rPr>
                <w:color w:val="auto"/>
                <w:szCs w:val="24"/>
              </w:rPr>
            </w:pPr>
            <w:r>
              <w:rPr>
                <w:rFonts w:hint="eastAsia"/>
                <w:color w:val="auto"/>
              </w:rPr>
              <w:t>18000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750" w:type="pct"/>
            <w:gridSpan w:val="8"/>
            <w:vAlign w:val="center"/>
          </w:tcPr>
          <w:p>
            <w:pPr>
              <w:spacing w:line="240" w:lineRule="auto"/>
              <w:ind w:firstLine="0" w:firstLineChars="0"/>
              <w:jc w:val="center"/>
              <w:rPr>
                <w:color w:val="auto"/>
                <w:sz w:val="21"/>
                <w:szCs w:val="21"/>
              </w:rPr>
            </w:pPr>
            <w:r>
              <w:rPr>
                <w:color w:val="auto"/>
                <w:sz w:val="21"/>
                <w:szCs w:val="21"/>
              </w:rPr>
              <w:t>厂址周边500 m 范围内人口数小计</w:t>
            </w:r>
          </w:p>
        </w:tc>
        <w:tc>
          <w:tcPr>
            <w:tcW w:w="752" w:type="pct"/>
            <w:vAlign w:val="center"/>
          </w:tcPr>
          <w:p>
            <w:pPr>
              <w:spacing w:line="240" w:lineRule="auto"/>
              <w:ind w:firstLine="0" w:firstLineChars="0"/>
              <w:jc w:val="center"/>
              <w:rPr>
                <w:color w:val="auto"/>
                <w:sz w:val="21"/>
                <w:szCs w:val="21"/>
              </w:rPr>
            </w:pPr>
            <w:r>
              <w:rPr>
                <w:rFonts w:hint="eastAsia"/>
                <w:color w:val="auto"/>
                <w:sz w:val="21"/>
                <w:szCs w:val="21"/>
              </w:rPr>
              <w:t>1190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750" w:type="pct"/>
            <w:gridSpan w:val="8"/>
            <w:vAlign w:val="center"/>
          </w:tcPr>
          <w:p>
            <w:pPr>
              <w:spacing w:line="240" w:lineRule="auto"/>
              <w:ind w:firstLine="0" w:firstLineChars="0"/>
              <w:jc w:val="center"/>
              <w:rPr>
                <w:color w:val="auto"/>
                <w:sz w:val="21"/>
                <w:szCs w:val="21"/>
              </w:rPr>
            </w:pPr>
            <w:r>
              <w:rPr>
                <w:color w:val="auto"/>
                <w:sz w:val="21"/>
                <w:szCs w:val="21"/>
              </w:rPr>
              <w:t>厂址周边5 km 范围内人口数小计</w:t>
            </w:r>
          </w:p>
        </w:tc>
        <w:tc>
          <w:tcPr>
            <w:tcW w:w="752" w:type="pct"/>
            <w:vAlign w:val="center"/>
          </w:tcPr>
          <w:p>
            <w:pPr>
              <w:spacing w:line="240" w:lineRule="auto"/>
              <w:ind w:firstLine="0" w:firstLineChars="0"/>
              <w:jc w:val="center"/>
              <w:rPr>
                <w:color w:val="auto"/>
                <w:sz w:val="21"/>
                <w:szCs w:val="21"/>
              </w:rPr>
            </w:pPr>
            <w:r>
              <w:rPr>
                <w:rFonts w:hint="eastAsia"/>
                <w:color w:val="auto"/>
                <w:sz w:val="21"/>
                <w:szCs w:val="21"/>
              </w:rPr>
              <w:t>45099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adjustRightInd w:val="0"/>
              <w:snapToGrid w:val="0"/>
              <w:spacing w:line="240" w:lineRule="auto"/>
              <w:ind w:firstLine="0" w:firstLineChars="0"/>
              <w:jc w:val="center"/>
              <w:rPr>
                <w:color w:val="auto"/>
                <w:sz w:val="21"/>
                <w:szCs w:val="21"/>
              </w:rPr>
            </w:pPr>
            <w:r>
              <w:rPr>
                <w:color w:val="auto"/>
                <w:sz w:val="21"/>
                <w:szCs w:val="21"/>
              </w:rPr>
              <w:t>序号</w:t>
            </w:r>
          </w:p>
        </w:tc>
        <w:tc>
          <w:tcPr>
            <w:tcW w:w="1532" w:type="pct"/>
            <w:vAlign w:val="center"/>
          </w:tcPr>
          <w:p>
            <w:pPr>
              <w:adjustRightInd w:val="0"/>
              <w:snapToGrid w:val="0"/>
              <w:spacing w:line="240" w:lineRule="auto"/>
              <w:ind w:firstLine="0" w:firstLineChars="0"/>
              <w:jc w:val="center"/>
              <w:rPr>
                <w:color w:val="auto"/>
                <w:sz w:val="21"/>
                <w:szCs w:val="21"/>
              </w:rPr>
            </w:pPr>
            <w:r>
              <w:rPr>
                <w:color w:val="auto"/>
                <w:sz w:val="21"/>
                <w:szCs w:val="21"/>
              </w:rPr>
              <w:t>敏感目标名称</w:t>
            </w:r>
          </w:p>
        </w:tc>
        <w:tc>
          <w:tcPr>
            <w:tcW w:w="654" w:type="pct"/>
            <w:gridSpan w:val="2"/>
            <w:vAlign w:val="center"/>
          </w:tcPr>
          <w:p>
            <w:pPr>
              <w:adjustRightInd w:val="0"/>
              <w:snapToGrid w:val="0"/>
              <w:spacing w:line="240" w:lineRule="auto"/>
              <w:ind w:firstLine="0" w:firstLineChars="0"/>
              <w:jc w:val="center"/>
              <w:rPr>
                <w:color w:val="auto"/>
                <w:sz w:val="21"/>
                <w:szCs w:val="21"/>
              </w:rPr>
            </w:pPr>
            <w:r>
              <w:rPr>
                <w:color w:val="auto"/>
                <w:sz w:val="21"/>
                <w:szCs w:val="21"/>
              </w:rPr>
              <w:t>相对方位</w:t>
            </w:r>
          </w:p>
        </w:tc>
        <w:tc>
          <w:tcPr>
            <w:tcW w:w="529" w:type="pct"/>
            <w:gridSpan w:val="2"/>
            <w:vAlign w:val="center"/>
          </w:tcPr>
          <w:p>
            <w:pPr>
              <w:adjustRightInd w:val="0"/>
              <w:snapToGrid w:val="0"/>
              <w:spacing w:line="240" w:lineRule="auto"/>
              <w:ind w:firstLine="0" w:firstLineChars="0"/>
              <w:jc w:val="center"/>
              <w:rPr>
                <w:color w:val="auto"/>
                <w:sz w:val="21"/>
                <w:szCs w:val="21"/>
              </w:rPr>
            </w:pPr>
            <w:r>
              <w:rPr>
                <w:color w:val="auto"/>
                <w:sz w:val="21"/>
                <w:szCs w:val="21"/>
              </w:rPr>
              <w:t>距离/m</w:t>
            </w:r>
          </w:p>
        </w:tc>
        <w:tc>
          <w:tcPr>
            <w:tcW w:w="714" w:type="pct"/>
            <w:gridSpan w:val="2"/>
            <w:vAlign w:val="center"/>
          </w:tcPr>
          <w:p>
            <w:pPr>
              <w:spacing w:line="240" w:lineRule="auto"/>
              <w:ind w:firstLine="0" w:firstLineChars="0"/>
              <w:jc w:val="center"/>
              <w:rPr>
                <w:color w:val="auto"/>
                <w:sz w:val="21"/>
                <w:szCs w:val="21"/>
              </w:rPr>
            </w:pPr>
            <w:r>
              <w:rPr>
                <w:color w:val="auto"/>
                <w:sz w:val="21"/>
                <w:szCs w:val="21"/>
              </w:rPr>
              <w:t>属性</w:t>
            </w:r>
          </w:p>
        </w:tc>
        <w:tc>
          <w:tcPr>
            <w:tcW w:w="752" w:type="pct"/>
            <w:vAlign w:val="center"/>
          </w:tcPr>
          <w:p>
            <w:pPr>
              <w:spacing w:line="240" w:lineRule="auto"/>
              <w:ind w:firstLine="0" w:firstLineChars="0"/>
              <w:jc w:val="center"/>
              <w:rPr>
                <w:color w:val="auto"/>
                <w:sz w:val="21"/>
                <w:szCs w:val="21"/>
              </w:rPr>
            </w:pPr>
            <w:r>
              <w:rPr>
                <w:color w:val="auto"/>
                <w:sz w:val="21"/>
                <w:szCs w:val="21"/>
              </w:rPr>
              <w:t>人口数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spacing w:line="240" w:lineRule="auto"/>
              <w:ind w:firstLine="0" w:firstLineChars="0"/>
              <w:jc w:val="center"/>
              <w:rPr>
                <w:color w:val="auto"/>
                <w:sz w:val="21"/>
                <w:szCs w:val="21"/>
              </w:rPr>
            </w:pPr>
            <w:r>
              <w:rPr>
                <w:color w:val="auto"/>
                <w:sz w:val="21"/>
                <w:szCs w:val="21"/>
              </w:rPr>
              <w:t>/</w:t>
            </w:r>
          </w:p>
        </w:tc>
        <w:tc>
          <w:tcPr>
            <w:tcW w:w="1532" w:type="pct"/>
            <w:vAlign w:val="center"/>
          </w:tcPr>
          <w:p>
            <w:pPr>
              <w:spacing w:line="240" w:lineRule="auto"/>
              <w:ind w:firstLine="0" w:firstLineChars="0"/>
              <w:jc w:val="center"/>
              <w:rPr>
                <w:color w:val="auto"/>
                <w:sz w:val="21"/>
                <w:szCs w:val="21"/>
              </w:rPr>
            </w:pPr>
            <w:r>
              <w:rPr>
                <w:color w:val="auto"/>
                <w:sz w:val="21"/>
                <w:szCs w:val="21"/>
              </w:rPr>
              <w:t>/</w:t>
            </w:r>
          </w:p>
        </w:tc>
        <w:tc>
          <w:tcPr>
            <w:tcW w:w="654" w:type="pct"/>
            <w:gridSpan w:val="2"/>
            <w:vAlign w:val="center"/>
          </w:tcPr>
          <w:p>
            <w:pPr>
              <w:spacing w:line="240" w:lineRule="auto"/>
              <w:ind w:firstLine="0" w:firstLineChars="0"/>
              <w:jc w:val="center"/>
              <w:rPr>
                <w:color w:val="auto"/>
                <w:sz w:val="21"/>
                <w:szCs w:val="21"/>
              </w:rPr>
            </w:pPr>
            <w:r>
              <w:rPr>
                <w:color w:val="auto"/>
                <w:sz w:val="21"/>
                <w:szCs w:val="21"/>
              </w:rPr>
              <w:t>/</w:t>
            </w:r>
          </w:p>
        </w:tc>
        <w:tc>
          <w:tcPr>
            <w:tcW w:w="529" w:type="pct"/>
            <w:gridSpan w:val="2"/>
            <w:vAlign w:val="center"/>
          </w:tcPr>
          <w:p>
            <w:pPr>
              <w:spacing w:line="240" w:lineRule="auto"/>
              <w:ind w:firstLine="0" w:firstLineChars="0"/>
              <w:jc w:val="center"/>
              <w:rPr>
                <w:color w:val="auto"/>
                <w:sz w:val="21"/>
                <w:szCs w:val="21"/>
              </w:rPr>
            </w:pPr>
            <w:r>
              <w:rPr>
                <w:color w:val="auto"/>
                <w:sz w:val="21"/>
                <w:szCs w:val="21"/>
              </w:rPr>
              <w:t>/</w:t>
            </w:r>
          </w:p>
        </w:tc>
        <w:tc>
          <w:tcPr>
            <w:tcW w:w="714" w:type="pct"/>
            <w:gridSpan w:val="2"/>
            <w:vAlign w:val="center"/>
          </w:tcPr>
          <w:p>
            <w:pPr>
              <w:spacing w:line="240" w:lineRule="auto"/>
              <w:ind w:firstLine="0" w:firstLineChars="0"/>
              <w:jc w:val="center"/>
              <w:rPr>
                <w:color w:val="auto"/>
                <w:sz w:val="21"/>
                <w:szCs w:val="21"/>
              </w:rPr>
            </w:pPr>
            <w:r>
              <w:rPr>
                <w:color w:val="auto"/>
                <w:sz w:val="21"/>
                <w:szCs w:val="21"/>
              </w:rPr>
              <w:t>/</w:t>
            </w:r>
          </w:p>
        </w:tc>
        <w:tc>
          <w:tcPr>
            <w:tcW w:w="752" w:type="pct"/>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750" w:type="pct"/>
            <w:gridSpan w:val="8"/>
            <w:vAlign w:val="center"/>
          </w:tcPr>
          <w:p>
            <w:pPr>
              <w:spacing w:line="240" w:lineRule="auto"/>
              <w:ind w:firstLine="0" w:firstLineChars="0"/>
              <w:jc w:val="center"/>
              <w:rPr>
                <w:color w:val="auto"/>
                <w:sz w:val="21"/>
                <w:szCs w:val="21"/>
              </w:rPr>
            </w:pPr>
            <w:r>
              <w:rPr>
                <w:color w:val="auto"/>
                <w:sz w:val="21"/>
                <w:szCs w:val="21"/>
              </w:rPr>
              <w:t>每公里管段人口数（最大）</w:t>
            </w:r>
          </w:p>
        </w:tc>
        <w:tc>
          <w:tcPr>
            <w:tcW w:w="752" w:type="pct"/>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750" w:type="pct"/>
            <w:gridSpan w:val="8"/>
            <w:vAlign w:val="center"/>
          </w:tcPr>
          <w:p>
            <w:pPr>
              <w:spacing w:line="240" w:lineRule="auto"/>
              <w:ind w:firstLine="0" w:firstLineChars="0"/>
              <w:jc w:val="center"/>
              <w:rPr>
                <w:color w:val="auto"/>
                <w:sz w:val="21"/>
                <w:szCs w:val="21"/>
              </w:rPr>
            </w:pPr>
            <w:r>
              <w:rPr>
                <w:color w:val="auto"/>
                <w:sz w:val="21"/>
                <w:szCs w:val="21"/>
              </w:rPr>
              <w:t>大气环境敏感程度E值</w:t>
            </w:r>
          </w:p>
        </w:tc>
        <w:tc>
          <w:tcPr>
            <w:tcW w:w="752" w:type="pct"/>
            <w:vAlign w:val="center"/>
          </w:tcPr>
          <w:p>
            <w:pPr>
              <w:spacing w:line="240" w:lineRule="auto"/>
              <w:ind w:firstLine="0" w:firstLineChars="0"/>
              <w:jc w:val="center"/>
              <w:rPr>
                <w:color w:val="auto"/>
                <w:sz w:val="21"/>
                <w:szCs w:val="21"/>
              </w:rPr>
            </w:pPr>
            <w:r>
              <w:rPr>
                <w:color w:val="auto"/>
                <w:sz w:val="21"/>
                <w:szCs w:val="21"/>
              </w:rPr>
              <w:t>E1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restart"/>
            <w:vAlign w:val="center"/>
          </w:tcPr>
          <w:p>
            <w:pPr>
              <w:spacing w:line="240" w:lineRule="auto"/>
              <w:ind w:firstLine="0" w:firstLineChars="0"/>
              <w:jc w:val="center"/>
              <w:rPr>
                <w:color w:val="auto"/>
                <w:sz w:val="21"/>
                <w:szCs w:val="21"/>
              </w:rPr>
            </w:pPr>
            <w:r>
              <w:rPr>
                <w:color w:val="auto"/>
                <w:sz w:val="21"/>
                <w:szCs w:val="21"/>
              </w:rPr>
              <w:t>地表水</w:t>
            </w:r>
          </w:p>
        </w:tc>
        <w:tc>
          <w:tcPr>
            <w:tcW w:w="4502" w:type="pct"/>
            <w:gridSpan w:val="9"/>
            <w:vAlign w:val="center"/>
          </w:tcPr>
          <w:p>
            <w:pPr>
              <w:spacing w:line="240" w:lineRule="auto"/>
              <w:ind w:firstLine="0" w:firstLineChars="0"/>
              <w:jc w:val="center"/>
              <w:rPr>
                <w:color w:val="auto"/>
                <w:sz w:val="21"/>
                <w:szCs w:val="21"/>
              </w:rPr>
            </w:pPr>
            <w:r>
              <w:rPr>
                <w:color w:val="auto"/>
                <w:sz w:val="21"/>
                <w:szCs w:val="21"/>
              </w:rPr>
              <w:t>受纳水体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spacing w:line="240" w:lineRule="auto"/>
              <w:ind w:firstLine="0" w:firstLineChars="0"/>
              <w:jc w:val="center"/>
              <w:rPr>
                <w:color w:val="auto"/>
                <w:sz w:val="21"/>
                <w:szCs w:val="21"/>
              </w:rPr>
            </w:pPr>
            <w:r>
              <w:rPr>
                <w:color w:val="auto"/>
                <w:sz w:val="21"/>
                <w:szCs w:val="21"/>
              </w:rPr>
              <w:t>序号</w:t>
            </w:r>
          </w:p>
        </w:tc>
        <w:tc>
          <w:tcPr>
            <w:tcW w:w="1532" w:type="pct"/>
            <w:vAlign w:val="center"/>
          </w:tcPr>
          <w:p>
            <w:pPr>
              <w:spacing w:line="240" w:lineRule="auto"/>
              <w:ind w:firstLine="0" w:firstLineChars="0"/>
              <w:jc w:val="center"/>
              <w:rPr>
                <w:color w:val="auto"/>
                <w:sz w:val="21"/>
                <w:szCs w:val="21"/>
              </w:rPr>
            </w:pPr>
            <w:r>
              <w:rPr>
                <w:color w:val="auto"/>
                <w:sz w:val="21"/>
                <w:szCs w:val="21"/>
              </w:rPr>
              <w:t>受纳水体名称</w:t>
            </w:r>
          </w:p>
        </w:tc>
        <w:tc>
          <w:tcPr>
            <w:tcW w:w="1349" w:type="pct"/>
            <w:gridSpan w:val="5"/>
            <w:vAlign w:val="center"/>
          </w:tcPr>
          <w:p>
            <w:pPr>
              <w:spacing w:line="240" w:lineRule="auto"/>
              <w:ind w:firstLine="0" w:firstLineChars="0"/>
              <w:jc w:val="center"/>
              <w:rPr>
                <w:color w:val="auto"/>
                <w:sz w:val="21"/>
                <w:szCs w:val="21"/>
              </w:rPr>
            </w:pPr>
            <w:r>
              <w:rPr>
                <w:color w:val="auto"/>
                <w:sz w:val="21"/>
                <w:szCs w:val="21"/>
              </w:rPr>
              <w:t>排放点水域环境功能</w:t>
            </w:r>
          </w:p>
        </w:tc>
        <w:tc>
          <w:tcPr>
            <w:tcW w:w="1301" w:type="pct"/>
            <w:gridSpan w:val="2"/>
            <w:vAlign w:val="center"/>
          </w:tcPr>
          <w:p>
            <w:pPr>
              <w:spacing w:line="240" w:lineRule="auto"/>
              <w:ind w:firstLine="0" w:firstLineChars="0"/>
              <w:jc w:val="center"/>
              <w:rPr>
                <w:color w:val="auto"/>
                <w:sz w:val="21"/>
                <w:szCs w:val="21"/>
              </w:rPr>
            </w:pPr>
            <w:r>
              <w:rPr>
                <w:color w:val="auto"/>
                <w:sz w:val="21"/>
                <w:szCs w:val="21"/>
              </w:rPr>
              <w:t>24h内流经范围/km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spacing w:line="240" w:lineRule="auto"/>
              <w:ind w:firstLine="0" w:firstLineChars="0"/>
              <w:jc w:val="center"/>
              <w:rPr>
                <w:color w:val="auto"/>
                <w:sz w:val="21"/>
                <w:szCs w:val="21"/>
              </w:rPr>
            </w:pPr>
            <w:r>
              <w:rPr>
                <w:color w:val="auto"/>
                <w:sz w:val="21"/>
                <w:szCs w:val="21"/>
              </w:rPr>
              <w:t>1</w:t>
            </w:r>
          </w:p>
        </w:tc>
        <w:tc>
          <w:tcPr>
            <w:tcW w:w="1532" w:type="pct"/>
            <w:vAlign w:val="center"/>
          </w:tcPr>
          <w:p>
            <w:pPr>
              <w:spacing w:line="240" w:lineRule="auto"/>
              <w:ind w:firstLine="0" w:firstLineChars="0"/>
              <w:jc w:val="center"/>
              <w:rPr>
                <w:color w:val="auto"/>
                <w:sz w:val="21"/>
                <w:szCs w:val="21"/>
              </w:rPr>
            </w:pPr>
            <w:r>
              <w:rPr>
                <w:rFonts w:hint="eastAsia"/>
                <w:color w:val="auto"/>
                <w:sz w:val="21"/>
                <w:szCs w:val="21"/>
              </w:rPr>
              <w:t>猪龙河</w:t>
            </w:r>
          </w:p>
        </w:tc>
        <w:tc>
          <w:tcPr>
            <w:tcW w:w="1349" w:type="pct"/>
            <w:gridSpan w:val="5"/>
            <w:vAlign w:val="center"/>
          </w:tcPr>
          <w:p>
            <w:pPr>
              <w:spacing w:line="240" w:lineRule="auto"/>
              <w:ind w:firstLine="0" w:firstLineChars="0"/>
              <w:jc w:val="center"/>
              <w:rPr>
                <w:color w:val="auto"/>
                <w:kern w:val="0"/>
                <w:sz w:val="21"/>
                <w:szCs w:val="21"/>
              </w:rPr>
            </w:pPr>
            <w:r>
              <w:rPr>
                <w:color w:val="auto"/>
                <w:kern w:val="0"/>
                <w:sz w:val="21"/>
                <w:szCs w:val="21"/>
              </w:rPr>
              <w:t>GB3838-2002</w:t>
            </w:r>
            <w:r>
              <w:rPr>
                <w:color w:val="auto"/>
              </w:rPr>
              <w:t>IV</w:t>
            </w:r>
            <w:r>
              <w:rPr>
                <w:color w:val="auto"/>
                <w:sz w:val="21"/>
                <w:szCs w:val="21"/>
              </w:rPr>
              <w:t>类</w:t>
            </w:r>
          </w:p>
        </w:tc>
        <w:tc>
          <w:tcPr>
            <w:tcW w:w="1301" w:type="pct"/>
            <w:gridSpan w:val="2"/>
            <w:vAlign w:val="center"/>
          </w:tcPr>
          <w:p>
            <w:pPr>
              <w:spacing w:line="240" w:lineRule="auto"/>
              <w:ind w:firstLine="0" w:firstLineChars="0"/>
              <w:jc w:val="center"/>
              <w:rPr>
                <w:color w:val="auto"/>
                <w:sz w:val="21"/>
                <w:szCs w:val="21"/>
              </w:rPr>
            </w:pPr>
            <w:r>
              <w:rPr>
                <w:color w:val="auto"/>
                <w:sz w:val="21"/>
                <w:szCs w:val="21"/>
              </w:rPr>
              <w:t>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4502" w:type="pct"/>
            <w:gridSpan w:val="9"/>
            <w:vAlign w:val="center"/>
          </w:tcPr>
          <w:p>
            <w:pPr>
              <w:spacing w:line="240" w:lineRule="auto"/>
              <w:ind w:firstLine="0" w:firstLineChars="0"/>
              <w:jc w:val="center"/>
              <w:rPr>
                <w:color w:val="auto"/>
                <w:sz w:val="21"/>
                <w:szCs w:val="21"/>
              </w:rPr>
            </w:pPr>
            <w:r>
              <w:rPr>
                <w:color w:val="auto"/>
                <w:sz w:val="21"/>
                <w:szCs w:val="21"/>
              </w:rPr>
              <w:t>内陆水体排放点下游10 km（近岸海域一个潮周期最大水平距离两倍）范围内敏感目标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spacing w:line="240" w:lineRule="auto"/>
              <w:ind w:firstLine="0" w:firstLineChars="0"/>
              <w:jc w:val="center"/>
              <w:rPr>
                <w:color w:val="auto"/>
                <w:sz w:val="21"/>
                <w:szCs w:val="21"/>
              </w:rPr>
            </w:pPr>
            <w:r>
              <w:rPr>
                <w:color w:val="auto"/>
                <w:sz w:val="21"/>
                <w:szCs w:val="21"/>
              </w:rPr>
              <w:t>序号</w:t>
            </w:r>
          </w:p>
        </w:tc>
        <w:tc>
          <w:tcPr>
            <w:tcW w:w="1532" w:type="pct"/>
            <w:vAlign w:val="center"/>
          </w:tcPr>
          <w:p>
            <w:pPr>
              <w:spacing w:line="240" w:lineRule="auto"/>
              <w:ind w:firstLine="0" w:firstLineChars="0"/>
              <w:jc w:val="center"/>
              <w:rPr>
                <w:color w:val="auto"/>
                <w:sz w:val="21"/>
                <w:szCs w:val="21"/>
              </w:rPr>
            </w:pPr>
            <w:r>
              <w:rPr>
                <w:color w:val="auto"/>
                <w:sz w:val="21"/>
                <w:szCs w:val="21"/>
              </w:rPr>
              <w:t>敏感目标名称</w:t>
            </w:r>
          </w:p>
        </w:tc>
        <w:tc>
          <w:tcPr>
            <w:tcW w:w="628" w:type="pct"/>
            <w:vAlign w:val="center"/>
          </w:tcPr>
          <w:p>
            <w:pPr>
              <w:spacing w:line="240" w:lineRule="auto"/>
              <w:ind w:firstLine="0" w:firstLineChars="0"/>
              <w:jc w:val="center"/>
              <w:rPr>
                <w:color w:val="auto"/>
                <w:sz w:val="21"/>
                <w:szCs w:val="21"/>
              </w:rPr>
            </w:pPr>
            <w:r>
              <w:rPr>
                <w:color w:val="auto"/>
                <w:sz w:val="21"/>
                <w:szCs w:val="21"/>
              </w:rPr>
              <w:t>环境敏感特征</w:t>
            </w:r>
          </w:p>
        </w:tc>
        <w:tc>
          <w:tcPr>
            <w:tcW w:w="1270" w:type="pct"/>
            <w:gridSpan w:val="5"/>
            <w:vAlign w:val="center"/>
          </w:tcPr>
          <w:p>
            <w:pPr>
              <w:spacing w:line="240" w:lineRule="auto"/>
              <w:ind w:firstLine="0" w:firstLineChars="0"/>
              <w:jc w:val="center"/>
              <w:rPr>
                <w:color w:val="auto"/>
                <w:sz w:val="21"/>
                <w:szCs w:val="21"/>
              </w:rPr>
            </w:pPr>
            <w:r>
              <w:rPr>
                <w:color w:val="auto"/>
                <w:sz w:val="21"/>
                <w:szCs w:val="21"/>
              </w:rPr>
              <w:t>水质目标</w:t>
            </w:r>
          </w:p>
        </w:tc>
        <w:tc>
          <w:tcPr>
            <w:tcW w:w="752" w:type="pct"/>
            <w:vAlign w:val="center"/>
          </w:tcPr>
          <w:p>
            <w:pPr>
              <w:spacing w:line="240" w:lineRule="auto"/>
              <w:ind w:firstLine="0" w:firstLineChars="0"/>
              <w:jc w:val="center"/>
              <w:rPr>
                <w:color w:val="auto"/>
                <w:sz w:val="21"/>
                <w:szCs w:val="21"/>
              </w:rPr>
            </w:pPr>
            <w:r>
              <w:rPr>
                <w:color w:val="auto"/>
                <w:sz w:val="21"/>
                <w:szCs w:val="21"/>
              </w:rPr>
              <w:t>与排放点距离/m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spacing w:line="240" w:lineRule="auto"/>
              <w:ind w:firstLine="0" w:firstLineChars="0"/>
              <w:jc w:val="center"/>
              <w:rPr>
                <w:color w:val="auto"/>
                <w:sz w:val="21"/>
                <w:szCs w:val="21"/>
              </w:rPr>
            </w:pPr>
            <w:r>
              <w:rPr>
                <w:color w:val="auto"/>
                <w:sz w:val="21"/>
                <w:szCs w:val="21"/>
              </w:rPr>
              <w:t>1</w:t>
            </w:r>
          </w:p>
        </w:tc>
        <w:tc>
          <w:tcPr>
            <w:tcW w:w="1532" w:type="pct"/>
            <w:vAlign w:val="center"/>
          </w:tcPr>
          <w:p>
            <w:pPr>
              <w:spacing w:line="240" w:lineRule="auto"/>
              <w:ind w:firstLine="0" w:firstLineChars="0"/>
              <w:jc w:val="center"/>
              <w:rPr>
                <w:color w:val="auto"/>
                <w:sz w:val="21"/>
                <w:szCs w:val="21"/>
              </w:rPr>
            </w:pPr>
            <w:r>
              <w:rPr>
                <w:color w:val="auto"/>
                <w:sz w:val="21"/>
                <w:szCs w:val="21"/>
              </w:rPr>
              <w:t>/</w:t>
            </w:r>
          </w:p>
        </w:tc>
        <w:tc>
          <w:tcPr>
            <w:tcW w:w="628" w:type="pct"/>
            <w:vAlign w:val="center"/>
          </w:tcPr>
          <w:p>
            <w:pPr>
              <w:spacing w:line="240" w:lineRule="auto"/>
              <w:ind w:firstLine="0" w:firstLineChars="0"/>
              <w:jc w:val="center"/>
              <w:rPr>
                <w:color w:val="auto"/>
                <w:sz w:val="21"/>
                <w:szCs w:val="21"/>
              </w:rPr>
            </w:pPr>
            <w:r>
              <w:rPr>
                <w:color w:val="auto"/>
                <w:sz w:val="21"/>
                <w:szCs w:val="21"/>
              </w:rPr>
              <w:t>低敏感F3</w:t>
            </w:r>
          </w:p>
        </w:tc>
        <w:tc>
          <w:tcPr>
            <w:tcW w:w="1270" w:type="pct"/>
            <w:gridSpan w:val="5"/>
            <w:vAlign w:val="center"/>
          </w:tcPr>
          <w:p>
            <w:pPr>
              <w:spacing w:line="240" w:lineRule="auto"/>
              <w:ind w:firstLine="0" w:firstLineChars="0"/>
              <w:jc w:val="center"/>
              <w:rPr>
                <w:color w:val="auto"/>
                <w:sz w:val="21"/>
                <w:szCs w:val="21"/>
              </w:rPr>
            </w:pPr>
            <w:r>
              <w:rPr>
                <w:color w:val="auto"/>
              </w:rPr>
              <w:t>IV</w:t>
            </w:r>
            <w:r>
              <w:rPr>
                <w:color w:val="auto"/>
                <w:sz w:val="21"/>
                <w:szCs w:val="21"/>
              </w:rPr>
              <w:t>类</w:t>
            </w:r>
          </w:p>
        </w:tc>
        <w:tc>
          <w:tcPr>
            <w:tcW w:w="752" w:type="pct"/>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750" w:type="pct"/>
            <w:gridSpan w:val="8"/>
            <w:vAlign w:val="center"/>
          </w:tcPr>
          <w:p>
            <w:pPr>
              <w:spacing w:line="240" w:lineRule="auto"/>
              <w:ind w:firstLine="0" w:firstLineChars="0"/>
              <w:jc w:val="center"/>
              <w:rPr>
                <w:color w:val="auto"/>
                <w:sz w:val="21"/>
                <w:szCs w:val="21"/>
              </w:rPr>
            </w:pPr>
            <w:r>
              <w:rPr>
                <w:color w:val="auto"/>
                <w:sz w:val="21"/>
                <w:szCs w:val="21"/>
              </w:rPr>
              <w:t>地表水环境敏感程度E值</w:t>
            </w:r>
          </w:p>
        </w:tc>
        <w:tc>
          <w:tcPr>
            <w:tcW w:w="752" w:type="pct"/>
            <w:vAlign w:val="center"/>
          </w:tcPr>
          <w:p>
            <w:pPr>
              <w:spacing w:line="240" w:lineRule="auto"/>
              <w:ind w:firstLine="0" w:firstLineChars="0"/>
              <w:jc w:val="center"/>
              <w:rPr>
                <w:color w:val="auto"/>
                <w:sz w:val="21"/>
                <w:szCs w:val="21"/>
              </w:rPr>
            </w:pPr>
            <w:r>
              <w:rPr>
                <w:color w:val="auto"/>
                <w:sz w:val="21"/>
                <w:szCs w:val="21"/>
              </w:rPr>
              <w:t>E3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restart"/>
            <w:vAlign w:val="center"/>
          </w:tcPr>
          <w:p>
            <w:pPr>
              <w:spacing w:line="240" w:lineRule="auto"/>
              <w:ind w:firstLine="0" w:firstLineChars="0"/>
              <w:jc w:val="center"/>
              <w:rPr>
                <w:color w:val="auto"/>
                <w:sz w:val="21"/>
                <w:szCs w:val="21"/>
              </w:rPr>
            </w:pPr>
            <w:r>
              <w:rPr>
                <w:color w:val="auto"/>
                <w:sz w:val="21"/>
                <w:szCs w:val="21"/>
              </w:rPr>
              <w:t>地下水</w:t>
            </w:r>
          </w:p>
        </w:tc>
        <w:tc>
          <w:tcPr>
            <w:tcW w:w="319" w:type="pct"/>
            <w:vAlign w:val="center"/>
          </w:tcPr>
          <w:p>
            <w:pPr>
              <w:spacing w:line="240" w:lineRule="auto"/>
              <w:ind w:firstLine="0" w:firstLineChars="0"/>
              <w:jc w:val="center"/>
              <w:rPr>
                <w:color w:val="auto"/>
                <w:sz w:val="21"/>
                <w:szCs w:val="21"/>
              </w:rPr>
            </w:pPr>
            <w:r>
              <w:rPr>
                <w:color w:val="auto"/>
                <w:sz w:val="21"/>
                <w:szCs w:val="21"/>
              </w:rPr>
              <w:t>序号</w:t>
            </w:r>
          </w:p>
        </w:tc>
        <w:tc>
          <w:tcPr>
            <w:tcW w:w="1532" w:type="pct"/>
            <w:vAlign w:val="center"/>
          </w:tcPr>
          <w:p>
            <w:pPr>
              <w:spacing w:line="240" w:lineRule="auto"/>
              <w:ind w:firstLine="0" w:firstLineChars="0"/>
              <w:jc w:val="center"/>
              <w:rPr>
                <w:color w:val="auto"/>
                <w:sz w:val="21"/>
                <w:szCs w:val="21"/>
              </w:rPr>
            </w:pPr>
            <w:r>
              <w:rPr>
                <w:color w:val="auto"/>
                <w:sz w:val="21"/>
                <w:szCs w:val="21"/>
              </w:rPr>
              <w:t>敏感目标名称</w:t>
            </w:r>
          </w:p>
        </w:tc>
        <w:tc>
          <w:tcPr>
            <w:tcW w:w="654" w:type="pct"/>
            <w:gridSpan w:val="2"/>
            <w:vAlign w:val="center"/>
          </w:tcPr>
          <w:p>
            <w:pPr>
              <w:spacing w:line="240" w:lineRule="auto"/>
              <w:ind w:firstLine="0" w:firstLineChars="0"/>
              <w:jc w:val="center"/>
              <w:rPr>
                <w:color w:val="auto"/>
                <w:sz w:val="21"/>
                <w:szCs w:val="21"/>
              </w:rPr>
            </w:pPr>
            <w:r>
              <w:rPr>
                <w:color w:val="auto"/>
                <w:sz w:val="21"/>
                <w:szCs w:val="21"/>
              </w:rPr>
              <w:t>环境敏感特征</w:t>
            </w:r>
          </w:p>
        </w:tc>
        <w:tc>
          <w:tcPr>
            <w:tcW w:w="299" w:type="pct"/>
            <w:vAlign w:val="center"/>
          </w:tcPr>
          <w:p>
            <w:pPr>
              <w:spacing w:line="240" w:lineRule="auto"/>
              <w:ind w:firstLine="0" w:firstLineChars="0"/>
              <w:jc w:val="center"/>
              <w:rPr>
                <w:color w:val="auto"/>
                <w:sz w:val="21"/>
                <w:szCs w:val="21"/>
              </w:rPr>
            </w:pPr>
            <w:r>
              <w:rPr>
                <w:color w:val="auto"/>
                <w:sz w:val="21"/>
                <w:szCs w:val="21"/>
              </w:rPr>
              <w:t>水质目标</w:t>
            </w:r>
          </w:p>
        </w:tc>
        <w:tc>
          <w:tcPr>
            <w:tcW w:w="944" w:type="pct"/>
            <w:gridSpan w:val="3"/>
            <w:vAlign w:val="center"/>
          </w:tcPr>
          <w:p>
            <w:pPr>
              <w:spacing w:line="240" w:lineRule="auto"/>
              <w:ind w:firstLine="0" w:firstLineChars="0"/>
              <w:jc w:val="center"/>
              <w:rPr>
                <w:color w:val="auto"/>
                <w:sz w:val="21"/>
                <w:szCs w:val="21"/>
              </w:rPr>
            </w:pPr>
            <w:r>
              <w:rPr>
                <w:color w:val="auto"/>
                <w:sz w:val="21"/>
                <w:szCs w:val="21"/>
              </w:rPr>
              <w:t>包气带防污性能</w:t>
            </w:r>
          </w:p>
        </w:tc>
        <w:tc>
          <w:tcPr>
            <w:tcW w:w="752" w:type="pct"/>
            <w:vAlign w:val="center"/>
          </w:tcPr>
          <w:p>
            <w:pPr>
              <w:spacing w:line="240" w:lineRule="auto"/>
              <w:ind w:firstLine="0" w:firstLineChars="0"/>
              <w:jc w:val="center"/>
              <w:rPr>
                <w:color w:val="auto"/>
                <w:sz w:val="21"/>
                <w:szCs w:val="21"/>
              </w:rPr>
            </w:pPr>
            <w:r>
              <w:rPr>
                <w:color w:val="auto"/>
                <w:sz w:val="21"/>
                <w:szCs w:val="21"/>
              </w:rPr>
              <w:t>与下游厂界距离/m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19" w:type="pct"/>
            <w:vAlign w:val="center"/>
          </w:tcPr>
          <w:p>
            <w:pPr>
              <w:spacing w:line="240" w:lineRule="auto"/>
              <w:ind w:firstLine="0" w:firstLineChars="0"/>
              <w:jc w:val="center"/>
              <w:rPr>
                <w:color w:val="auto"/>
                <w:sz w:val="21"/>
                <w:szCs w:val="21"/>
              </w:rPr>
            </w:pPr>
            <w:r>
              <w:rPr>
                <w:color w:val="auto"/>
                <w:sz w:val="21"/>
                <w:szCs w:val="21"/>
              </w:rPr>
              <w:t>1</w:t>
            </w:r>
          </w:p>
        </w:tc>
        <w:tc>
          <w:tcPr>
            <w:tcW w:w="1532" w:type="pct"/>
            <w:vAlign w:val="center"/>
          </w:tcPr>
          <w:p>
            <w:pPr>
              <w:spacing w:line="240" w:lineRule="auto"/>
              <w:ind w:firstLine="0" w:firstLineChars="0"/>
              <w:jc w:val="center"/>
              <w:rPr>
                <w:color w:val="auto"/>
                <w:sz w:val="21"/>
                <w:szCs w:val="21"/>
              </w:rPr>
            </w:pPr>
            <w:r>
              <w:rPr>
                <w:color w:val="auto"/>
                <w:sz w:val="21"/>
                <w:szCs w:val="21"/>
              </w:rPr>
              <w:t>/</w:t>
            </w:r>
          </w:p>
        </w:tc>
        <w:tc>
          <w:tcPr>
            <w:tcW w:w="654" w:type="pct"/>
            <w:gridSpan w:val="2"/>
            <w:vAlign w:val="center"/>
          </w:tcPr>
          <w:p>
            <w:pPr>
              <w:spacing w:line="240" w:lineRule="auto"/>
              <w:ind w:firstLine="0" w:firstLineChars="0"/>
              <w:jc w:val="center"/>
              <w:rPr>
                <w:color w:val="auto"/>
                <w:sz w:val="21"/>
                <w:szCs w:val="21"/>
              </w:rPr>
            </w:pPr>
            <w:r>
              <w:rPr>
                <w:color w:val="auto"/>
                <w:sz w:val="21"/>
                <w:szCs w:val="21"/>
              </w:rPr>
              <w:t>不敏感G3</w:t>
            </w:r>
          </w:p>
        </w:tc>
        <w:tc>
          <w:tcPr>
            <w:tcW w:w="299" w:type="pct"/>
            <w:vAlign w:val="center"/>
          </w:tcPr>
          <w:p>
            <w:pPr>
              <w:spacing w:line="240" w:lineRule="auto"/>
              <w:ind w:firstLine="0" w:firstLineChars="0"/>
              <w:jc w:val="center"/>
              <w:rPr>
                <w:color w:val="auto"/>
                <w:sz w:val="21"/>
                <w:szCs w:val="21"/>
              </w:rPr>
            </w:pPr>
            <w:r>
              <w:rPr>
                <w:color w:val="auto"/>
                <w:sz w:val="21"/>
                <w:szCs w:val="21"/>
              </w:rPr>
              <w:t>Ⅲ类</w:t>
            </w:r>
          </w:p>
        </w:tc>
        <w:tc>
          <w:tcPr>
            <w:tcW w:w="944" w:type="pct"/>
            <w:gridSpan w:val="3"/>
            <w:vAlign w:val="center"/>
          </w:tcPr>
          <w:p>
            <w:pPr>
              <w:spacing w:line="240" w:lineRule="auto"/>
              <w:ind w:firstLine="0" w:firstLineChars="0"/>
              <w:jc w:val="center"/>
              <w:rPr>
                <w:color w:val="auto"/>
                <w:sz w:val="21"/>
                <w:szCs w:val="21"/>
              </w:rPr>
            </w:pPr>
            <w:r>
              <w:rPr>
                <w:color w:val="auto"/>
                <w:sz w:val="21"/>
                <w:szCs w:val="21"/>
              </w:rPr>
              <w:t>/</w:t>
            </w:r>
          </w:p>
        </w:tc>
        <w:tc>
          <w:tcPr>
            <w:tcW w:w="752" w:type="pct"/>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7" w:type="pct"/>
            <w:vMerge w:val="continue"/>
            <w:vAlign w:val="center"/>
          </w:tcPr>
          <w:p>
            <w:pPr>
              <w:spacing w:line="240" w:lineRule="auto"/>
              <w:ind w:firstLine="0" w:firstLineChars="0"/>
              <w:jc w:val="center"/>
              <w:rPr>
                <w:color w:val="auto"/>
                <w:sz w:val="21"/>
                <w:szCs w:val="21"/>
              </w:rPr>
            </w:pPr>
          </w:p>
        </w:tc>
        <w:tc>
          <w:tcPr>
            <w:tcW w:w="3750" w:type="pct"/>
            <w:gridSpan w:val="8"/>
            <w:vAlign w:val="center"/>
          </w:tcPr>
          <w:p>
            <w:pPr>
              <w:spacing w:line="240" w:lineRule="auto"/>
              <w:ind w:firstLine="0" w:firstLineChars="0"/>
              <w:jc w:val="center"/>
              <w:rPr>
                <w:color w:val="auto"/>
                <w:sz w:val="21"/>
                <w:szCs w:val="21"/>
              </w:rPr>
            </w:pPr>
            <w:r>
              <w:rPr>
                <w:color w:val="auto"/>
                <w:sz w:val="21"/>
                <w:szCs w:val="21"/>
              </w:rPr>
              <w:t>地下水环境敏感程度E值</w:t>
            </w:r>
          </w:p>
        </w:tc>
        <w:tc>
          <w:tcPr>
            <w:tcW w:w="752" w:type="pct"/>
            <w:vAlign w:val="center"/>
          </w:tcPr>
          <w:p>
            <w:pPr>
              <w:spacing w:line="240" w:lineRule="auto"/>
              <w:ind w:firstLine="0" w:firstLineChars="0"/>
              <w:jc w:val="center"/>
              <w:rPr>
                <w:color w:val="auto"/>
                <w:sz w:val="21"/>
                <w:szCs w:val="21"/>
              </w:rPr>
            </w:pPr>
            <w:r>
              <w:rPr>
                <w:color w:val="auto"/>
                <w:sz w:val="21"/>
                <w:szCs w:val="21"/>
              </w:rPr>
              <w:t>E3</w:t>
            </w:r>
          </w:p>
        </w:tc>
      </w:tr>
    </w:tbl>
    <w:p>
      <w:pPr>
        <w:pStyle w:val="8"/>
        <w:spacing w:before="0" w:beforeLines="0" w:after="0" w:afterLines="0"/>
        <w:rPr>
          <w:color w:val="auto"/>
        </w:rPr>
      </w:pPr>
      <w:bookmarkStart w:id="346" w:name="_Toc11827"/>
      <w:bookmarkStart w:id="347" w:name="_Toc22726"/>
      <w:bookmarkStart w:id="348" w:name="_Toc15002"/>
      <w:r>
        <w:rPr>
          <w:rFonts w:hint="eastAsia"/>
          <w:color w:val="auto"/>
        </w:rPr>
        <w:t>6</w:t>
      </w:r>
      <w:r>
        <w:rPr>
          <w:color w:val="auto"/>
        </w:rPr>
        <w:t>.</w:t>
      </w:r>
      <w:r>
        <w:rPr>
          <w:rFonts w:hint="eastAsia"/>
          <w:color w:val="auto"/>
        </w:rPr>
        <w:t>2</w:t>
      </w:r>
      <w:r>
        <w:rPr>
          <w:color w:val="auto"/>
        </w:rPr>
        <w:t>环境风险潜势初判</w:t>
      </w:r>
      <w:bookmarkEnd w:id="346"/>
      <w:bookmarkEnd w:id="347"/>
      <w:bookmarkEnd w:id="348"/>
    </w:p>
    <w:p>
      <w:pPr>
        <w:pStyle w:val="9"/>
        <w:spacing w:before="0" w:beforeLines="0" w:after="0" w:afterLines="0"/>
        <w:rPr>
          <w:color w:val="auto"/>
        </w:rPr>
      </w:pPr>
      <w:r>
        <w:rPr>
          <w:rFonts w:hint="eastAsia"/>
          <w:color w:val="auto"/>
        </w:rPr>
        <w:t>6</w:t>
      </w:r>
      <w:r>
        <w:rPr>
          <w:color w:val="auto"/>
        </w:rPr>
        <w:t>.</w:t>
      </w:r>
      <w:r>
        <w:rPr>
          <w:rFonts w:hint="eastAsia"/>
          <w:color w:val="auto"/>
        </w:rPr>
        <w:t>2</w:t>
      </w:r>
      <w:r>
        <w:rPr>
          <w:color w:val="auto"/>
        </w:rPr>
        <w:t>.1危险物质及工艺系统危险性（P）分级</w:t>
      </w:r>
    </w:p>
    <w:p>
      <w:pPr>
        <w:pStyle w:val="10"/>
        <w:rPr>
          <w:color w:val="auto"/>
        </w:rPr>
      </w:pPr>
      <w:r>
        <w:rPr>
          <w:rFonts w:hint="eastAsia"/>
          <w:color w:val="auto"/>
        </w:rPr>
        <w:t>6</w:t>
      </w:r>
      <w:r>
        <w:rPr>
          <w:color w:val="auto"/>
        </w:rPr>
        <w:t>.</w:t>
      </w:r>
      <w:r>
        <w:rPr>
          <w:rFonts w:hint="eastAsia"/>
          <w:color w:val="auto"/>
        </w:rPr>
        <w:t>2</w:t>
      </w:r>
      <w:r>
        <w:rPr>
          <w:color w:val="auto"/>
        </w:rPr>
        <w:t>.1.1危险物质数量与临界量比值（Q）</w:t>
      </w:r>
    </w:p>
    <w:p>
      <w:pPr>
        <w:adjustRightInd w:val="0"/>
        <w:snapToGrid w:val="0"/>
        <w:ind w:firstLine="480"/>
        <w:rPr>
          <w:color w:val="auto"/>
          <w:szCs w:val="22"/>
        </w:rPr>
      </w:pPr>
      <w:r>
        <w:rPr>
          <w:color w:val="auto"/>
          <w:szCs w:val="22"/>
        </w:rPr>
        <w:t>（1）计算公式</w:t>
      </w:r>
    </w:p>
    <w:p>
      <w:pPr>
        <w:adjustRightInd w:val="0"/>
        <w:snapToGrid w:val="0"/>
        <w:ind w:firstLine="480"/>
        <w:rPr>
          <w:color w:val="auto"/>
          <w:szCs w:val="22"/>
        </w:rPr>
      </w:pPr>
      <w:r>
        <w:rPr>
          <w:color w:val="auto"/>
          <w:szCs w:val="22"/>
        </w:rPr>
        <w:t>当只涉及一种危险物质时，计算该物质的总量与其临界量比值，即为Q；</w:t>
      </w:r>
    </w:p>
    <w:p>
      <w:pPr>
        <w:adjustRightInd w:val="0"/>
        <w:snapToGrid w:val="0"/>
        <w:ind w:firstLine="480"/>
        <w:rPr>
          <w:color w:val="auto"/>
          <w:szCs w:val="22"/>
        </w:rPr>
      </w:pPr>
      <w:r>
        <w:rPr>
          <w:color w:val="auto"/>
          <w:szCs w:val="22"/>
        </w:rPr>
        <w:t>当存在多种危险物质时，则按下列公式计算物质总量与其临界量比值（Q）：</w:t>
      </w:r>
    </w:p>
    <w:p>
      <w:pPr>
        <w:adjustRightInd w:val="0"/>
        <w:snapToGrid w:val="0"/>
        <w:spacing w:line="240" w:lineRule="auto"/>
        <w:ind w:firstLine="0" w:firstLineChars="0"/>
        <w:jc w:val="center"/>
        <w:rPr>
          <w:color w:val="auto"/>
          <w:szCs w:val="22"/>
        </w:rPr>
      </w:pPr>
      <w:r>
        <w:rPr>
          <w:color w:val="auto"/>
          <w:sz w:val="21"/>
          <w:szCs w:val="22"/>
        </w:rPr>
        <w:drawing>
          <wp:inline distT="0" distB="0" distL="114300" distR="114300">
            <wp:extent cx="1786890" cy="531495"/>
            <wp:effectExtent l="0" t="0" r="3810" b="1905"/>
            <wp:docPr id="9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
                    <pic:cNvPicPr>
                      <a:picLocks noChangeAspect="1"/>
                    </pic:cNvPicPr>
                  </pic:nvPicPr>
                  <pic:blipFill>
                    <a:blip r:embed="rId131"/>
                    <a:stretch>
                      <a:fillRect/>
                    </a:stretch>
                  </pic:blipFill>
                  <pic:spPr>
                    <a:xfrm>
                      <a:off x="0" y="0"/>
                      <a:ext cx="1786890" cy="531495"/>
                    </a:xfrm>
                    <a:prstGeom prst="rect">
                      <a:avLst/>
                    </a:prstGeom>
                    <a:noFill/>
                    <a:ln>
                      <a:noFill/>
                    </a:ln>
                  </pic:spPr>
                </pic:pic>
              </a:graphicData>
            </a:graphic>
          </wp:inline>
        </w:drawing>
      </w:r>
    </w:p>
    <w:p>
      <w:pPr>
        <w:adjustRightInd w:val="0"/>
        <w:snapToGrid w:val="0"/>
        <w:ind w:firstLine="480"/>
        <w:rPr>
          <w:color w:val="auto"/>
          <w:szCs w:val="22"/>
        </w:rPr>
      </w:pPr>
      <w:r>
        <w:rPr>
          <w:color w:val="auto"/>
          <w:szCs w:val="22"/>
        </w:rPr>
        <w:t>式中：</w:t>
      </w:r>
    </w:p>
    <w:p>
      <w:pPr>
        <w:adjustRightInd w:val="0"/>
        <w:snapToGrid w:val="0"/>
        <w:ind w:firstLine="480"/>
        <w:rPr>
          <w:color w:val="auto"/>
          <w:szCs w:val="22"/>
        </w:rPr>
      </w:pPr>
      <w:r>
        <w:rPr>
          <w:color w:val="auto"/>
          <w:szCs w:val="22"/>
        </w:rPr>
        <w:t>q</w:t>
      </w:r>
      <w:r>
        <w:rPr>
          <w:color w:val="auto"/>
          <w:szCs w:val="22"/>
          <w:vertAlign w:val="subscript"/>
        </w:rPr>
        <w:t>1</w:t>
      </w:r>
      <w:r>
        <w:rPr>
          <w:color w:val="auto"/>
          <w:szCs w:val="22"/>
        </w:rPr>
        <w:t>、q</w:t>
      </w:r>
      <w:r>
        <w:rPr>
          <w:color w:val="auto"/>
          <w:szCs w:val="22"/>
          <w:vertAlign w:val="subscript"/>
        </w:rPr>
        <w:t xml:space="preserve">2   </w:t>
      </w:r>
      <w:r>
        <w:rPr>
          <w:color w:val="auto"/>
          <w:szCs w:val="22"/>
        </w:rPr>
        <w:t>…，q</w:t>
      </w:r>
      <w:r>
        <w:rPr>
          <w:color w:val="auto"/>
          <w:szCs w:val="22"/>
          <w:vertAlign w:val="subscript"/>
        </w:rPr>
        <w:t>n</w:t>
      </w:r>
      <w:r>
        <w:rPr>
          <w:color w:val="auto"/>
          <w:szCs w:val="22"/>
        </w:rPr>
        <w:t>----每种危险物质的最大存在总量，t；</w:t>
      </w:r>
    </w:p>
    <w:p>
      <w:pPr>
        <w:adjustRightInd w:val="0"/>
        <w:snapToGrid w:val="0"/>
        <w:ind w:firstLine="480"/>
        <w:rPr>
          <w:color w:val="auto"/>
          <w:szCs w:val="22"/>
        </w:rPr>
      </w:pPr>
      <w:r>
        <w:rPr>
          <w:color w:val="auto"/>
          <w:szCs w:val="22"/>
        </w:rPr>
        <w:t>Q</w:t>
      </w:r>
      <w:r>
        <w:rPr>
          <w:color w:val="auto"/>
          <w:szCs w:val="22"/>
          <w:vertAlign w:val="subscript"/>
        </w:rPr>
        <w:t>1</w:t>
      </w:r>
      <w:r>
        <w:rPr>
          <w:color w:val="auto"/>
          <w:szCs w:val="22"/>
        </w:rPr>
        <w:t>、Q</w:t>
      </w:r>
      <w:r>
        <w:rPr>
          <w:color w:val="auto"/>
          <w:szCs w:val="22"/>
          <w:vertAlign w:val="subscript"/>
        </w:rPr>
        <w:t xml:space="preserve">2   </w:t>
      </w:r>
      <w:r>
        <w:rPr>
          <w:color w:val="auto"/>
          <w:szCs w:val="22"/>
        </w:rPr>
        <w:t>…… Q</w:t>
      </w:r>
      <w:r>
        <w:rPr>
          <w:color w:val="auto"/>
          <w:szCs w:val="22"/>
          <w:vertAlign w:val="subscript"/>
        </w:rPr>
        <w:t>n</w:t>
      </w:r>
      <w:r>
        <w:rPr>
          <w:color w:val="auto"/>
          <w:szCs w:val="22"/>
        </w:rPr>
        <w:t>----每种危险物质的临界量，t。</w:t>
      </w:r>
    </w:p>
    <w:p>
      <w:pPr>
        <w:adjustRightInd w:val="0"/>
        <w:snapToGrid w:val="0"/>
        <w:ind w:firstLine="480"/>
        <w:rPr>
          <w:color w:val="auto"/>
          <w:szCs w:val="22"/>
        </w:rPr>
      </w:pPr>
      <w:r>
        <w:rPr>
          <w:color w:val="auto"/>
          <w:szCs w:val="22"/>
        </w:rPr>
        <w:t>计算出Q值后：</w:t>
      </w:r>
    </w:p>
    <w:p>
      <w:pPr>
        <w:adjustRightInd w:val="0"/>
        <w:snapToGrid w:val="0"/>
        <w:ind w:firstLine="480"/>
        <w:rPr>
          <w:color w:val="auto"/>
          <w:szCs w:val="22"/>
        </w:rPr>
      </w:pPr>
      <w:r>
        <w:rPr>
          <w:color w:val="auto"/>
          <w:szCs w:val="22"/>
        </w:rPr>
        <w:t>当Q＜1时，该项目环境风险潜势为I。</w:t>
      </w:r>
    </w:p>
    <w:p>
      <w:pPr>
        <w:adjustRightInd w:val="0"/>
        <w:snapToGrid w:val="0"/>
        <w:ind w:firstLine="480"/>
        <w:rPr>
          <w:color w:val="auto"/>
          <w:szCs w:val="22"/>
        </w:rPr>
      </w:pPr>
      <w:r>
        <w:rPr>
          <w:color w:val="auto"/>
          <w:szCs w:val="22"/>
        </w:rPr>
        <w:t>当Q≥1时，将Q值划分为：①1≤Q＜10；②10≤Q＜100；③Q≥100。</w:t>
      </w:r>
    </w:p>
    <w:p>
      <w:pPr>
        <w:ind w:firstLine="480"/>
        <w:rPr>
          <w:color w:val="auto"/>
        </w:rPr>
      </w:pPr>
      <w:r>
        <w:rPr>
          <w:color w:val="auto"/>
        </w:rPr>
        <w:t>（2）参数选择</w:t>
      </w:r>
    </w:p>
    <w:p>
      <w:pPr>
        <w:ind w:firstLine="480"/>
        <w:rPr>
          <w:color w:val="auto"/>
        </w:rPr>
      </w:pPr>
      <w:r>
        <w:rPr>
          <w:rFonts w:hint="eastAsia"/>
          <w:color w:val="auto"/>
        </w:rPr>
        <w:t>拟建</w:t>
      </w:r>
      <w:r>
        <w:rPr>
          <w:color w:val="auto"/>
        </w:rPr>
        <w:t>项目涉及的化学品包括</w:t>
      </w:r>
      <w:r>
        <w:rPr>
          <w:rFonts w:hint="eastAsia"/>
          <w:color w:val="auto"/>
        </w:rPr>
        <w:t>原辅料乳酸、</w:t>
      </w:r>
      <w:r>
        <w:rPr>
          <w:rFonts w:hint="eastAsia"/>
          <w:color w:val="auto"/>
          <w:lang w:eastAsia="zh-CN"/>
        </w:rPr>
        <w:t>催化剂</w:t>
      </w:r>
      <w:r>
        <w:rPr>
          <w:rFonts w:hint="eastAsia"/>
          <w:color w:val="auto"/>
        </w:rPr>
        <w:t>、</w:t>
      </w:r>
      <w:r>
        <w:rPr>
          <w:rFonts w:hint="eastAsia"/>
          <w:color w:val="auto"/>
          <w:lang w:eastAsia="zh-CN"/>
        </w:rPr>
        <w:t>催化剂</w:t>
      </w:r>
      <w:r>
        <w:rPr>
          <w:rFonts w:hint="eastAsia"/>
          <w:color w:val="auto"/>
        </w:rPr>
        <w:t>、</w:t>
      </w:r>
      <w:r>
        <w:rPr>
          <w:rFonts w:hint="eastAsia"/>
          <w:color w:val="auto"/>
          <w:lang w:eastAsia="zh-CN"/>
        </w:rPr>
        <w:t>催化剂</w:t>
      </w:r>
      <w:r>
        <w:rPr>
          <w:rFonts w:hint="eastAsia"/>
          <w:color w:val="auto"/>
        </w:rPr>
        <w:t>、</w:t>
      </w:r>
      <w:r>
        <w:rPr>
          <w:rFonts w:hint="eastAsia"/>
          <w:color w:val="auto"/>
          <w:lang w:eastAsia="zh-CN"/>
        </w:rPr>
        <w:t>催化剂</w:t>
      </w:r>
      <w:r>
        <w:rPr>
          <w:rFonts w:hint="eastAsia"/>
          <w:color w:val="auto"/>
        </w:rPr>
        <w:t>、</w:t>
      </w:r>
      <w:r>
        <w:rPr>
          <w:rFonts w:hint="eastAsia"/>
          <w:color w:val="auto"/>
          <w:lang w:eastAsia="zh-CN"/>
        </w:rPr>
        <w:t>催化剂</w:t>
      </w:r>
      <w:r>
        <w:rPr>
          <w:rFonts w:hint="eastAsia"/>
          <w:color w:val="auto"/>
        </w:rPr>
        <w:t>、导热油、润滑油</w:t>
      </w:r>
      <w:r>
        <w:rPr>
          <w:rFonts w:hint="eastAsia"/>
          <w:color w:val="auto"/>
          <w:lang w:eastAsia="zh-CN"/>
        </w:rPr>
        <w:t>、</w:t>
      </w:r>
      <w:r>
        <w:rPr>
          <w:rFonts w:hint="eastAsia"/>
          <w:color w:val="auto"/>
          <w:lang w:val="en-US" w:eastAsia="zh-CN"/>
        </w:rPr>
        <w:t>甲烷</w:t>
      </w:r>
      <w:r>
        <w:rPr>
          <w:color w:val="auto"/>
        </w:rPr>
        <w:t>等</w:t>
      </w:r>
      <w:r>
        <w:rPr>
          <w:rFonts w:hint="eastAsia"/>
          <w:color w:val="auto"/>
          <w:lang w:val="en-US" w:eastAsia="zh-CN"/>
        </w:rPr>
        <w:t>9</w:t>
      </w:r>
      <w:r>
        <w:rPr>
          <w:color w:val="auto"/>
        </w:rPr>
        <w:t>种</w:t>
      </w:r>
      <w:r>
        <w:rPr>
          <w:rFonts w:hint="eastAsia"/>
          <w:color w:val="auto"/>
        </w:rPr>
        <w:t>，产品及中间产品3种</w:t>
      </w:r>
      <w:r>
        <w:rPr>
          <w:color w:val="auto"/>
        </w:rPr>
        <w:t>。</w:t>
      </w:r>
    </w:p>
    <w:p>
      <w:pPr>
        <w:ind w:firstLine="482" w:firstLineChars="0"/>
        <w:rPr>
          <w:color w:val="auto"/>
        </w:rPr>
      </w:pPr>
      <w:r>
        <w:rPr>
          <w:color w:val="auto"/>
        </w:rPr>
        <w:t>对照《建设项目环境风险评价技术导则》（HJ169-2018），本项目列入其中的化学品包含</w:t>
      </w:r>
      <w:r>
        <w:rPr>
          <w:rFonts w:hint="eastAsia"/>
          <w:color w:val="auto"/>
        </w:rPr>
        <w:t>导热油、润滑油</w:t>
      </w:r>
      <w:r>
        <w:rPr>
          <w:rFonts w:hint="eastAsia"/>
          <w:color w:val="auto"/>
          <w:lang w:eastAsia="zh-CN"/>
        </w:rPr>
        <w:t>、</w:t>
      </w:r>
      <w:r>
        <w:rPr>
          <w:rFonts w:hint="eastAsia"/>
          <w:color w:val="auto"/>
          <w:lang w:val="en-US" w:eastAsia="zh-CN"/>
        </w:rPr>
        <w:t>甲烷</w:t>
      </w:r>
      <w:r>
        <w:rPr>
          <w:color w:val="auto"/>
        </w:rPr>
        <w:t>等。</w:t>
      </w:r>
    </w:p>
    <w:p>
      <w:pPr>
        <w:pStyle w:val="2"/>
        <w:spacing w:after="0"/>
        <w:ind w:firstLine="480"/>
        <w:rPr>
          <w:color w:val="auto"/>
          <w:szCs w:val="20"/>
        </w:rPr>
      </w:pPr>
      <w:r>
        <w:rPr>
          <w:color w:val="auto"/>
          <w:szCs w:val="20"/>
        </w:rPr>
        <w:t>综上，</w:t>
      </w:r>
      <w:r>
        <w:rPr>
          <w:rFonts w:hint="eastAsia"/>
          <w:color w:val="auto"/>
          <w:szCs w:val="20"/>
        </w:rPr>
        <w:t>拟建</w:t>
      </w:r>
      <w:r>
        <w:rPr>
          <w:color w:val="auto"/>
          <w:szCs w:val="20"/>
        </w:rPr>
        <w:t>项目危险物质Q值见表</w:t>
      </w:r>
      <w:r>
        <w:rPr>
          <w:rFonts w:hint="eastAsia"/>
          <w:color w:val="auto"/>
          <w:szCs w:val="20"/>
        </w:rPr>
        <w:t>6</w:t>
      </w:r>
      <w:r>
        <w:rPr>
          <w:color w:val="auto"/>
          <w:szCs w:val="20"/>
        </w:rPr>
        <w:t>.</w:t>
      </w:r>
      <w:r>
        <w:rPr>
          <w:rFonts w:hint="eastAsia"/>
          <w:color w:val="auto"/>
          <w:szCs w:val="20"/>
        </w:rPr>
        <w:t>2</w:t>
      </w:r>
      <w:r>
        <w:rPr>
          <w:color w:val="auto"/>
          <w:szCs w:val="20"/>
        </w:rPr>
        <w:t>-1</w:t>
      </w:r>
      <w:r>
        <w:rPr>
          <w:rFonts w:hint="eastAsia"/>
          <w:color w:val="auto"/>
          <w:szCs w:val="20"/>
        </w:rPr>
        <w:t>：</w:t>
      </w:r>
    </w:p>
    <w:p>
      <w:pPr>
        <w:pStyle w:val="48"/>
        <w:rPr>
          <w:color w:val="auto"/>
        </w:rPr>
      </w:pPr>
    </w:p>
    <w:p>
      <w:pPr>
        <w:pStyle w:val="48"/>
        <w:rPr>
          <w:color w:val="auto"/>
        </w:rPr>
      </w:pPr>
      <w:r>
        <w:rPr>
          <w:color w:val="auto"/>
        </w:rPr>
        <w:t>表</w:t>
      </w:r>
      <w:r>
        <w:rPr>
          <w:rFonts w:hint="eastAsia"/>
          <w:color w:val="auto"/>
        </w:rPr>
        <w:t>6</w:t>
      </w:r>
      <w:r>
        <w:rPr>
          <w:color w:val="auto"/>
        </w:rPr>
        <w:t>.</w:t>
      </w:r>
      <w:r>
        <w:rPr>
          <w:rFonts w:hint="eastAsia"/>
          <w:color w:val="auto"/>
        </w:rPr>
        <w:t>2</w:t>
      </w:r>
      <w:r>
        <w:rPr>
          <w:color w:val="auto"/>
        </w:rPr>
        <w:t>-1  建设项目Q 值确定表</w:t>
      </w:r>
    </w:p>
    <w:tbl>
      <w:tblPr>
        <w:tblStyle w:val="2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847"/>
        <w:gridCol w:w="1857"/>
        <w:gridCol w:w="1857"/>
        <w:gridCol w:w="1864"/>
        <w:gridCol w:w="185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95" w:type="pct"/>
            <w:vAlign w:val="center"/>
          </w:tcPr>
          <w:p>
            <w:pPr>
              <w:spacing w:line="240" w:lineRule="auto"/>
              <w:ind w:firstLine="0" w:firstLineChars="0"/>
              <w:jc w:val="center"/>
              <w:rPr>
                <w:b/>
                <w:color w:val="auto"/>
                <w:sz w:val="21"/>
                <w:szCs w:val="21"/>
              </w:rPr>
            </w:pPr>
            <w:r>
              <w:rPr>
                <w:b/>
                <w:color w:val="auto"/>
                <w:sz w:val="21"/>
                <w:szCs w:val="21"/>
              </w:rPr>
              <w:t>物质名称</w:t>
            </w:r>
          </w:p>
        </w:tc>
        <w:tc>
          <w:tcPr>
            <w:tcW w:w="1000" w:type="pct"/>
            <w:vAlign w:val="center"/>
          </w:tcPr>
          <w:p>
            <w:pPr>
              <w:spacing w:line="240" w:lineRule="auto"/>
              <w:ind w:firstLine="0" w:firstLineChars="0"/>
              <w:jc w:val="center"/>
              <w:rPr>
                <w:b/>
                <w:color w:val="auto"/>
                <w:sz w:val="21"/>
                <w:szCs w:val="21"/>
              </w:rPr>
            </w:pPr>
            <w:r>
              <w:rPr>
                <w:b/>
                <w:color w:val="auto"/>
                <w:sz w:val="21"/>
                <w:szCs w:val="21"/>
              </w:rPr>
              <w:t>CAS号</w:t>
            </w:r>
          </w:p>
        </w:tc>
        <w:tc>
          <w:tcPr>
            <w:tcW w:w="1000" w:type="pct"/>
            <w:vAlign w:val="center"/>
          </w:tcPr>
          <w:p>
            <w:pPr>
              <w:spacing w:line="240" w:lineRule="auto"/>
              <w:ind w:firstLine="0" w:firstLineChars="0"/>
              <w:jc w:val="center"/>
              <w:rPr>
                <w:b/>
                <w:color w:val="auto"/>
                <w:sz w:val="21"/>
                <w:szCs w:val="21"/>
              </w:rPr>
            </w:pPr>
            <w:r>
              <w:rPr>
                <w:b/>
                <w:color w:val="auto"/>
                <w:sz w:val="21"/>
                <w:szCs w:val="21"/>
              </w:rPr>
              <w:t>最大存</w:t>
            </w:r>
            <w:r>
              <w:rPr>
                <w:rFonts w:hint="eastAsia"/>
                <w:b/>
                <w:color w:val="auto"/>
                <w:sz w:val="21"/>
                <w:szCs w:val="21"/>
              </w:rPr>
              <w:t>在总</w:t>
            </w:r>
            <w:r>
              <w:rPr>
                <w:b/>
                <w:color w:val="auto"/>
                <w:sz w:val="21"/>
                <w:szCs w:val="21"/>
              </w:rPr>
              <w:t>量q</w:t>
            </w:r>
            <w:r>
              <w:rPr>
                <w:b/>
                <w:color w:val="auto"/>
                <w:sz w:val="21"/>
                <w:szCs w:val="21"/>
                <w:vertAlign w:val="subscript"/>
              </w:rPr>
              <w:t>n</w:t>
            </w:r>
            <w:r>
              <w:rPr>
                <w:b/>
                <w:color w:val="auto"/>
                <w:sz w:val="21"/>
                <w:szCs w:val="21"/>
              </w:rPr>
              <w:t>/t</w:t>
            </w:r>
          </w:p>
        </w:tc>
        <w:tc>
          <w:tcPr>
            <w:tcW w:w="1003" w:type="pct"/>
            <w:vAlign w:val="center"/>
          </w:tcPr>
          <w:p>
            <w:pPr>
              <w:spacing w:line="240" w:lineRule="auto"/>
              <w:ind w:firstLine="0" w:firstLineChars="0"/>
              <w:jc w:val="center"/>
              <w:rPr>
                <w:b/>
                <w:color w:val="auto"/>
                <w:sz w:val="21"/>
                <w:szCs w:val="21"/>
              </w:rPr>
            </w:pPr>
            <w:r>
              <w:rPr>
                <w:rFonts w:hint="eastAsia"/>
                <w:b/>
                <w:color w:val="auto"/>
                <w:sz w:val="21"/>
                <w:szCs w:val="21"/>
              </w:rPr>
              <w:t>临界量</w:t>
            </w:r>
            <w:r>
              <w:rPr>
                <w:b/>
                <w:color w:val="auto"/>
                <w:sz w:val="21"/>
                <w:szCs w:val="21"/>
              </w:rPr>
              <w:t>Q</w:t>
            </w:r>
            <w:r>
              <w:rPr>
                <w:b/>
                <w:color w:val="auto"/>
                <w:sz w:val="21"/>
                <w:szCs w:val="21"/>
                <w:vertAlign w:val="subscript"/>
              </w:rPr>
              <w:t>n</w:t>
            </w:r>
            <w:r>
              <w:rPr>
                <w:b/>
                <w:color w:val="auto"/>
                <w:sz w:val="21"/>
                <w:szCs w:val="21"/>
              </w:rPr>
              <w:t>/t</w:t>
            </w:r>
          </w:p>
        </w:tc>
        <w:tc>
          <w:tcPr>
            <w:tcW w:w="1000" w:type="pct"/>
            <w:vAlign w:val="center"/>
          </w:tcPr>
          <w:p>
            <w:pPr>
              <w:spacing w:line="240" w:lineRule="auto"/>
              <w:ind w:firstLine="0" w:firstLineChars="0"/>
              <w:jc w:val="center"/>
              <w:rPr>
                <w:b/>
                <w:color w:val="auto"/>
                <w:sz w:val="21"/>
                <w:szCs w:val="21"/>
              </w:rPr>
            </w:pPr>
            <w:r>
              <w:rPr>
                <w:b/>
                <w:color w:val="auto"/>
                <w:sz w:val="21"/>
                <w:szCs w:val="21"/>
              </w:rPr>
              <w:t>该种物质Q值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95" w:type="pct"/>
            <w:vAlign w:val="center"/>
          </w:tcPr>
          <w:p>
            <w:pPr>
              <w:widowControl/>
              <w:spacing w:line="240" w:lineRule="auto"/>
              <w:ind w:firstLine="0" w:firstLineChars="0"/>
              <w:jc w:val="center"/>
              <w:textAlignment w:val="center"/>
              <w:rPr>
                <w:rFonts w:ascii="宋体" w:hAnsi="宋体" w:cs="宋体"/>
                <w:color w:val="auto"/>
                <w:sz w:val="21"/>
                <w:szCs w:val="21"/>
              </w:rPr>
            </w:pPr>
            <w:r>
              <w:rPr>
                <w:rFonts w:hint="eastAsia" w:ascii="宋体" w:hAnsi="宋体" w:cs="宋体"/>
                <w:color w:val="auto"/>
                <w:kern w:val="0"/>
                <w:sz w:val="21"/>
                <w:szCs w:val="21"/>
                <w:lang w:bidi="ar"/>
              </w:rPr>
              <w:t>导热油</w:t>
            </w:r>
          </w:p>
        </w:tc>
        <w:tc>
          <w:tcPr>
            <w:tcW w:w="1000" w:type="pct"/>
            <w:vAlign w:val="center"/>
          </w:tcPr>
          <w:p>
            <w:pPr>
              <w:widowControl/>
              <w:spacing w:line="240" w:lineRule="auto"/>
              <w:ind w:firstLine="0" w:firstLineChars="0"/>
              <w:jc w:val="center"/>
              <w:textAlignment w:val="top"/>
              <w:rPr>
                <w:color w:val="auto"/>
                <w:sz w:val="21"/>
                <w:szCs w:val="21"/>
              </w:rPr>
            </w:pPr>
            <w:r>
              <w:rPr>
                <w:rFonts w:hint="eastAsia"/>
                <w:color w:val="auto"/>
                <w:kern w:val="0"/>
                <w:sz w:val="21"/>
                <w:szCs w:val="21"/>
                <w:lang w:bidi="ar"/>
              </w:rPr>
              <w:t>/</w:t>
            </w:r>
          </w:p>
        </w:tc>
        <w:tc>
          <w:tcPr>
            <w:tcW w:w="1000" w:type="pct"/>
            <w:vAlign w:val="center"/>
          </w:tcPr>
          <w:p>
            <w:pPr>
              <w:widowControl/>
              <w:spacing w:line="240" w:lineRule="auto"/>
              <w:ind w:firstLine="0" w:firstLineChars="0"/>
              <w:jc w:val="center"/>
              <w:textAlignment w:val="center"/>
              <w:rPr>
                <w:color w:val="auto"/>
                <w:sz w:val="21"/>
                <w:szCs w:val="21"/>
              </w:rPr>
            </w:pPr>
            <w:r>
              <w:rPr>
                <w:rFonts w:hint="eastAsia"/>
                <w:color w:val="auto"/>
                <w:kern w:val="0"/>
                <w:sz w:val="21"/>
                <w:szCs w:val="21"/>
                <w:lang w:bidi="ar"/>
              </w:rPr>
              <w:t>15</w:t>
            </w:r>
          </w:p>
        </w:tc>
        <w:tc>
          <w:tcPr>
            <w:tcW w:w="1003" w:type="pct"/>
            <w:vAlign w:val="center"/>
          </w:tcPr>
          <w:p>
            <w:pPr>
              <w:widowControl/>
              <w:spacing w:line="240" w:lineRule="auto"/>
              <w:ind w:firstLine="0" w:firstLineChars="0"/>
              <w:jc w:val="center"/>
              <w:textAlignment w:val="center"/>
              <w:rPr>
                <w:color w:val="auto"/>
                <w:sz w:val="21"/>
                <w:szCs w:val="21"/>
              </w:rPr>
            </w:pPr>
            <w:r>
              <w:rPr>
                <w:rFonts w:hint="eastAsia"/>
                <w:color w:val="auto"/>
                <w:kern w:val="0"/>
                <w:sz w:val="21"/>
                <w:szCs w:val="21"/>
                <w:lang w:bidi="ar"/>
              </w:rPr>
              <w:t>2500</w:t>
            </w:r>
          </w:p>
        </w:tc>
        <w:tc>
          <w:tcPr>
            <w:tcW w:w="1000" w:type="pct"/>
            <w:vAlign w:val="center"/>
          </w:tcPr>
          <w:p>
            <w:pPr>
              <w:widowControl/>
              <w:spacing w:line="240" w:lineRule="auto"/>
              <w:ind w:firstLine="0" w:firstLineChars="0"/>
              <w:jc w:val="center"/>
              <w:textAlignment w:val="center"/>
              <w:rPr>
                <w:color w:val="auto"/>
                <w:kern w:val="0"/>
                <w:sz w:val="21"/>
                <w:szCs w:val="21"/>
                <w:lang w:bidi="ar"/>
              </w:rPr>
            </w:pPr>
            <w:r>
              <w:rPr>
                <w:rFonts w:hint="eastAsia"/>
                <w:color w:val="auto"/>
                <w:kern w:val="0"/>
                <w:sz w:val="21"/>
                <w:szCs w:val="21"/>
                <w:lang w:bidi="ar"/>
              </w:rPr>
              <w:t>0.006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95" w:type="pct"/>
            <w:vAlign w:val="center"/>
          </w:tcPr>
          <w:p>
            <w:pPr>
              <w:widowControl/>
              <w:spacing w:line="240" w:lineRule="auto"/>
              <w:ind w:firstLine="0" w:firstLineChars="0"/>
              <w:jc w:val="center"/>
              <w:textAlignment w:val="center"/>
              <w:rPr>
                <w:rFonts w:ascii="宋体" w:hAnsi="宋体" w:cs="宋体"/>
                <w:color w:val="auto"/>
                <w:sz w:val="21"/>
                <w:szCs w:val="21"/>
              </w:rPr>
            </w:pPr>
            <w:r>
              <w:rPr>
                <w:rFonts w:hint="eastAsia" w:ascii="宋体" w:hAnsi="宋体" w:cs="宋体"/>
                <w:color w:val="auto"/>
                <w:kern w:val="0"/>
                <w:sz w:val="21"/>
                <w:szCs w:val="21"/>
                <w:lang w:bidi="ar"/>
              </w:rPr>
              <w:t>润滑油</w:t>
            </w:r>
          </w:p>
        </w:tc>
        <w:tc>
          <w:tcPr>
            <w:tcW w:w="1000" w:type="pct"/>
            <w:vAlign w:val="center"/>
          </w:tcPr>
          <w:p>
            <w:pPr>
              <w:widowControl/>
              <w:spacing w:line="240" w:lineRule="auto"/>
              <w:ind w:firstLine="0" w:firstLineChars="0"/>
              <w:jc w:val="center"/>
              <w:textAlignment w:val="center"/>
              <w:rPr>
                <w:color w:val="auto"/>
                <w:sz w:val="21"/>
                <w:szCs w:val="21"/>
              </w:rPr>
            </w:pPr>
            <w:r>
              <w:rPr>
                <w:rFonts w:hint="eastAsia"/>
                <w:color w:val="auto"/>
                <w:kern w:val="0"/>
                <w:sz w:val="21"/>
                <w:szCs w:val="21"/>
                <w:lang w:bidi="ar"/>
              </w:rPr>
              <w:t>/</w:t>
            </w:r>
          </w:p>
        </w:tc>
        <w:tc>
          <w:tcPr>
            <w:tcW w:w="1000" w:type="pct"/>
            <w:vAlign w:val="center"/>
          </w:tcPr>
          <w:p>
            <w:pPr>
              <w:widowControl/>
              <w:spacing w:line="240" w:lineRule="auto"/>
              <w:ind w:firstLine="0" w:firstLineChars="0"/>
              <w:jc w:val="center"/>
              <w:textAlignment w:val="center"/>
              <w:rPr>
                <w:color w:val="auto"/>
                <w:sz w:val="21"/>
                <w:szCs w:val="21"/>
              </w:rPr>
            </w:pPr>
            <w:r>
              <w:rPr>
                <w:rFonts w:hint="eastAsia"/>
                <w:color w:val="auto"/>
                <w:kern w:val="0"/>
                <w:sz w:val="21"/>
                <w:szCs w:val="21"/>
                <w:lang w:bidi="ar"/>
              </w:rPr>
              <w:t>0.05</w:t>
            </w:r>
          </w:p>
        </w:tc>
        <w:tc>
          <w:tcPr>
            <w:tcW w:w="1003" w:type="pct"/>
            <w:vAlign w:val="center"/>
          </w:tcPr>
          <w:p>
            <w:pPr>
              <w:widowControl/>
              <w:spacing w:line="240" w:lineRule="auto"/>
              <w:ind w:firstLine="0" w:firstLineChars="0"/>
              <w:jc w:val="center"/>
              <w:textAlignment w:val="center"/>
              <w:rPr>
                <w:color w:val="auto"/>
                <w:sz w:val="21"/>
                <w:szCs w:val="21"/>
              </w:rPr>
            </w:pPr>
            <w:r>
              <w:rPr>
                <w:rFonts w:hint="eastAsia"/>
                <w:color w:val="auto"/>
                <w:kern w:val="0"/>
                <w:sz w:val="21"/>
                <w:szCs w:val="21"/>
                <w:lang w:bidi="ar"/>
              </w:rPr>
              <w:t>2500</w:t>
            </w:r>
          </w:p>
        </w:tc>
        <w:tc>
          <w:tcPr>
            <w:tcW w:w="1000" w:type="pct"/>
            <w:vAlign w:val="center"/>
          </w:tcPr>
          <w:p>
            <w:pPr>
              <w:widowControl/>
              <w:spacing w:line="240" w:lineRule="auto"/>
              <w:ind w:firstLine="0" w:firstLineChars="0"/>
              <w:jc w:val="center"/>
              <w:textAlignment w:val="center"/>
              <w:rPr>
                <w:color w:val="auto"/>
                <w:kern w:val="0"/>
                <w:sz w:val="21"/>
                <w:szCs w:val="21"/>
                <w:lang w:bidi="ar"/>
              </w:rPr>
            </w:pPr>
            <w:r>
              <w:rPr>
                <w:rFonts w:hint="eastAsia"/>
                <w:color w:val="auto"/>
                <w:kern w:val="0"/>
                <w:sz w:val="21"/>
                <w:szCs w:val="21"/>
                <w:lang w:bidi="ar"/>
              </w:rPr>
              <w:t>0.00002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95" w:type="pct"/>
            <w:vAlign w:val="center"/>
          </w:tcPr>
          <w:p>
            <w:pPr>
              <w:widowControl/>
              <w:spacing w:line="240" w:lineRule="auto"/>
              <w:ind w:firstLine="0" w:firstLineChars="0"/>
              <w:jc w:val="center"/>
              <w:textAlignment w:val="center"/>
              <w:rPr>
                <w:rFonts w:hint="eastAsia" w:ascii="宋体" w:hAnsi="宋体" w:eastAsia="宋体" w:cs="宋体"/>
                <w:color w:val="auto"/>
                <w:kern w:val="0"/>
                <w:sz w:val="21"/>
                <w:szCs w:val="21"/>
                <w:lang w:val="en-US" w:eastAsia="zh-CN" w:bidi="ar"/>
              </w:rPr>
            </w:pPr>
            <w:r>
              <w:rPr>
                <w:rFonts w:hint="eastAsia" w:ascii="宋体" w:hAnsi="宋体" w:cs="宋体"/>
                <w:color w:val="auto"/>
                <w:kern w:val="0"/>
                <w:sz w:val="21"/>
                <w:szCs w:val="21"/>
                <w:lang w:val="en-US" w:eastAsia="zh-CN" w:bidi="ar"/>
              </w:rPr>
              <w:t>甲烷</w:t>
            </w:r>
          </w:p>
        </w:tc>
        <w:tc>
          <w:tcPr>
            <w:tcW w:w="1000" w:type="pct"/>
            <w:vAlign w:val="center"/>
          </w:tcPr>
          <w:p>
            <w:pPr>
              <w:widowControl/>
              <w:spacing w:line="240" w:lineRule="auto"/>
              <w:ind w:firstLine="0" w:firstLineChars="0"/>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74-82-8</w:t>
            </w:r>
          </w:p>
        </w:tc>
        <w:tc>
          <w:tcPr>
            <w:tcW w:w="1000" w:type="pct"/>
            <w:vAlign w:val="center"/>
          </w:tcPr>
          <w:p>
            <w:pPr>
              <w:widowControl/>
              <w:spacing w:line="240" w:lineRule="auto"/>
              <w:ind w:firstLine="0" w:firstLineChars="0"/>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0.11</w:t>
            </w:r>
          </w:p>
        </w:tc>
        <w:tc>
          <w:tcPr>
            <w:tcW w:w="1003" w:type="pct"/>
            <w:vAlign w:val="center"/>
          </w:tcPr>
          <w:p>
            <w:pPr>
              <w:widowControl/>
              <w:spacing w:line="240" w:lineRule="auto"/>
              <w:ind w:firstLine="0" w:firstLineChars="0"/>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10</w:t>
            </w:r>
          </w:p>
        </w:tc>
        <w:tc>
          <w:tcPr>
            <w:tcW w:w="1000" w:type="pct"/>
            <w:vAlign w:val="center"/>
          </w:tcPr>
          <w:p>
            <w:pPr>
              <w:widowControl/>
              <w:spacing w:line="240" w:lineRule="auto"/>
              <w:ind w:firstLine="0" w:firstLineChars="0"/>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0.011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999" w:type="pct"/>
            <w:gridSpan w:val="4"/>
            <w:vAlign w:val="center"/>
          </w:tcPr>
          <w:p>
            <w:pPr>
              <w:widowControl/>
              <w:spacing w:line="240" w:lineRule="auto"/>
              <w:ind w:firstLine="0" w:firstLineChars="0"/>
              <w:jc w:val="center"/>
              <w:textAlignment w:val="center"/>
              <w:rPr>
                <w:color w:val="auto"/>
                <w:kern w:val="0"/>
                <w:sz w:val="21"/>
                <w:szCs w:val="21"/>
                <w:lang w:bidi="ar"/>
              </w:rPr>
            </w:pPr>
            <w:r>
              <w:rPr>
                <w:color w:val="auto"/>
                <w:sz w:val="21"/>
                <w:szCs w:val="21"/>
              </w:rPr>
              <w:t>项目Q值∑</w:t>
            </w:r>
          </w:p>
        </w:tc>
        <w:tc>
          <w:tcPr>
            <w:tcW w:w="1000" w:type="pct"/>
            <w:vAlign w:val="center"/>
          </w:tcPr>
          <w:p>
            <w:pPr>
              <w:widowControl/>
              <w:spacing w:line="240" w:lineRule="auto"/>
              <w:ind w:firstLine="0" w:firstLineChars="0"/>
              <w:jc w:val="center"/>
              <w:textAlignment w:val="center"/>
              <w:rPr>
                <w:rFonts w:hint="default" w:eastAsia="宋体"/>
                <w:color w:val="auto"/>
                <w:kern w:val="0"/>
                <w:sz w:val="21"/>
                <w:szCs w:val="21"/>
                <w:lang w:val="en-US" w:eastAsia="zh-CN" w:bidi="ar"/>
              </w:rPr>
            </w:pPr>
            <w:r>
              <w:rPr>
                <w:rFonts w:hint="eastAsia"/>
                <w:color w:val="auto"/>
                <w:kern w:val="0"/>
                <w:sz w:val="21"/>
                <w:szCs w:val="21"/>
                <w:lang w:bidi="ar"/>
              </w:rPr>
              <w:t>0.0</w:t>
            </w:r>
            <w:r>
              <w:rPr>
                <w:rFonts w:hint="eastAsia"/>
                <w:color w:val="auto"/>
                <w:kern w:val="0"/>
                <w:sz w:val="21"/>
                <w:szCs w:val="21"/>
                <w:lang w:val="en-US" w:eastAsia="zh-CN" w:bidi="ar"/>
              </w:rPr>
              <w:t>1702</w:t>
            </w:r>
          </w:p>
        </w:tc>
      </w:tr>
    </w:tbl>
    <w:p>
      <w:pPr>
        <w:ind w:firstLine="480"/>
        <w:rPr>
          <w:color w:val="auto"/>
        </w:rPr>
      </w:pPr>
      <w:r>
        <w:rPr>
          <w:color w:val="auto"/>
        </w:rPr>
        <w:t>由表</w:t>
      </w:r>
      <w:r>
        <w:rPr>
          <w:rFonts w:hint="eastAsia"/>
          <w:color w:val="auto"/>
        </w:rPr>
        <w:t>6</w:t>
      </w:r>
      <w:r>
        <w:rPr>
          <w:color w:val="auto"/>
        </w:rPr>
        <w:t>.</w:t>
      </w:r>
      <w:r>
        <w:rPr>
          <w:rFonts w:hint="eastAsia"/>
          <w:color w:val="auto"/>
        </w:rPr>
        <w:t>2</w:t>
      </w:r>
      <w:r>
        <w:rPr>
          <w:color w:val="auto"/>
        </w:rPr>
        <w:t>-1可知，</w:t>
      </w:r>
      <w:r>
        <w:rPr>
          <w:rFonts w:hint="eastAsia"/>
          <w:color w:val="auto"/>
        </w:rPr>
        <w:t>拟建</w:t>
      </w:r>
      <w:r>
        <w:rPr>
          <w:color w:val="auto"/>
        </w:rPr>
        <w:t>项目环境危险物质最大存</w:t>
      </w:r>
      <w:r>
        <w:rPr>
          <w:rFonts w:hint="eastAsia"/>
          <w:color w:val="auto"/>
        </w:rPr>
        <w:t>在</w:t>
      </w:r>
      <w:r>
        <w:rPr>
          <w:color w:val="auto"/>
        </w:rPr>
        <w:t>量与临界量比值Q=</w:t>
      </w:r>
      <w:r>
        <w:rPr>
          <w:rFonts w:hint="eastAsia"/>
          <w:color w:val="auto"/>
          <w:lang w:eastAsia="zh-CN"/>
        </w:rPr>
        <w:t>0.01702</w:t>
      </w:r>
      <w:r>
        <w:rPr>
          <w:color w:val="auto"/>
        </w:rPr>
        <w:t>。</w:t>
      </w:r>
    </w:p>
    <w:p>
      <w:pPr>
        <w:pStyle w:val="9"/>
        <w:spacing w:before="0" w:beforeLines="0" w:after="0" w:afterLines="0"/>
        <w:rPr>
          <w:color w:val="auto"/>
        </w:rPr>
      </w:pPr>
      <w:r>
        <w:rPr>
          <w:rFonts w:hint="eastAsia"/>
          <w:color w:val="auto"/>
        </w:rPr>
        <w:t>6</w:t>
      </w:r>
      <w:r>
        <w:rPr>
          <w:color w:val="auto"/>
        </w:rPr>
        <w:t>.</w:t>
      </w:r>
      <w:r>
        <w:rPr>
          <w:rFonts w:hint="eastAsia"/>
          <w:color w:val="auto"/>
        </w:rPr>
        <w:t>2</w:t>
      </w:r>
      <w:r>
        <w:rPr>
          <w:color w:val="auto"/>
        </w:rPr>
        <w:t>.</w:t>
      </w:r>
      <w:r>
        <w:rPr>
          <w:rFonts w:hint="eastAsia"/>
          <w:color w:val="auto"/>
        </w:rPr>
        <w:t>2</w:t>
      </w:r>
      <w:r>
        <w:rPr>
          <w:color w:val="auto"/>
        </w:rPr>
        <w:t>环境风险潜势判断</w:t>
      </w:r>
    </w:p>
    <w:p>
      <w:pPr>
        <w:ind w:firstLine="482" w:firstLineChars="0"/>
        <w:rPr>
          <w:color w:val="auto"/>
        </w:rPr>
      </w:pPr>
      <w:r>
        <w:rPr>
          <w:color w:val="auto"/>
        </w:rPr>
        <w:t>建设项目环境风险潜势划分为Ⅰ、Ⅱ、Ⅲ、Ⅳ/Ⅳ</w:t>
      </w:r>
      <w:r>
        <w:rPr>
          <w:color w:val="auto"/>
          <w:vertAlign w:val="superscript"/>
        </w:rPr>
        <w:t>+</w:t>
      </w:r>
      <w:r>
        <w:rPr>
          <w:color w:val="auto"/>
        </w:rPr>
        <w:t>级。</w:t>
      </w:r>
    </w:p>
    <w:p>
      <w:pPr>
        <w:ind w:firstLine="482" w:firstLineChars="0"/>
        <w:rPr>
          <w:color w:val="auto"/>
        </w:rPr>
      </w:pPr>
      <w:r>
        <w:rPr>
          <w:color w:val="auto"/>
        </w:rPr>
        <w:t>根据建设项目涉及的物质和工艺系统的危险性及其所在地的环境敏感程度，结合事故情形下环境影响途径，对建设项目潜在环境危害程度进行概化分析，环境风险潜势的确定见表</w:t>
      </w:r>
      <w:r>
        <w:rPr>
          <w:rFonts w:hint="eastAsia"/>
          <w:color w:val="auto"/>
        </w:rPr>
        <w:t>6</w:t>
      </w:r>
      <w:r>
        <w:rPr>
          <w:color w:val="auto"/>
        </w:rPr>
        <w:t>.</w:t>
      </w:r>
      <w:r>
        <w:rPr>
          <w:rFonts w:hint="eastAsia"/>
          <w:color w:val="auto"/>
        </w:rPr>
        <w:t>2</w:t>
      </w:r>
      <w:r>
        <w:rPr>
          <w:color w:val="auto"/>
        </w:rPr>
        <w:t>-2。</w:t>
      </w:r>
    </w:p>
    <w:p>
      <w:pPr>
        <w:pStyle w:val="48"/>
        <w:rPr>
          <w:color w:val="auto"/>
        </w:rPr>
      </w:pPr>
      <w:r>
        <w:rPr>
          <w:color w:val="auto"/>
        </w:rPr>
        <w:t>表</w:t>
      </w:r>
      <w:r>
        <w:rPr>
          <w:rFonts w:hint="eastAsia"/>
          <w:color w:val="auto"/>
        </w:rPr>
        <w:t>6</w:t>
      </w:r>
      <w:r>
        <w:rPr>
          <w:color w:val="auto"/>
        </w:rPr>
        <w:t>.</w:t>
      </w:r>
      <w:r>
        <w:rPr>
          <w:rFonts w:hint="eastAsia"/>
          <w:color w:val="auto"/>
        </w:rPr>
        <w:t>2</w:t>
      </w:r>
      <w:r>
        <w:rPr>
          <w:color w:val="auto"/>
        </w:rPr>
        <w:t>-2  建设项目环境风险潜势划分</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855"/>
        <w:gridCol w:w="1856"/>
        <w:gridCol w:w="1856"/>
        <w:gridCol w:w="1858"/>
        <w:gridCol w:w="186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9" w:type="pct"/>
            <w:vMerge w:val="restart"/>
            <w:vAlign w:val="center"/>
          </w:tcPr>
          <w:p>
            <w:pPr>
              <w:spacing w:line="240" w:lineRule="auto"/>
              <w:ind w:firstLine="0" w:firstLineChars="0"/>
              <w:jc w:val="center"/>
              <w:rPr>
                <w:b/>
                <w:color w:val="auto"/>
                <w:sz w:val="21"/>
                <w:szCs w:val="21"/>
              </w:rPr>
            </w:pPr>
            <w:r>
              <w:rPr>
                <w:b/>
                <w:color w:val="auto"/>
                <w:sz w:val="21"/>
                <w:szCs w:val="21"/>
              </w:rPr>
              <w:t>环境敏感程度（E）</w:t>
            </w:r>
          </w:p>
        </w:tc>
        <w:tc>
          <w:tcPr>
            <w:tcW w:w="4000" w:type="pct"/>
            <w:gridSpan w:val="4"/>
            <w:vAlign w:val="center"/>
          </w:tcPr>
          <w:p>
            <w:pPr>
              <w:spacing w:line="240" w:lineRule="auto"/>
              <w:ind w:firstLine="0" w:firstLineChars="0"/>
              <w:jc w:val="center"/>
              <w:rPr>
                <w:b/>
                <w:color w:val="auto"/>
                <w:sz w:val="21"/>
                <w:szCs w:val="21"/>
              </w:rPr>
            </w:pPr>
            <w:r>
              <w:rPr>
                <w:b/>
                <w:color w:val="auto"/>
                <w:sz w:val="21"/>
                <w:szCs w:val="21"/>
              </w:rPr>
              <w:t>危险物质及工艺系统危险性（P）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9" w:type="pct"/>
            <w:vMerge w:val="continue"/>
            <w:vAlign w:val="center"/>
          </w:tcPr>
          <w:p>
            <w:pPr>
              <w:spacing w:line="240" w:lineRule="auto"/>
              <w:ind w:firstLine="0" w:firstLineChars="0"/>
              <w:jc w:val="center"/>
              <w:rPr>
                <w:b/>
                <w:color w:val="auto"/>
                <w:sz w:val="21"/>
                <w:szCs w:val="21"/>
              </w:rPr>
            </w:pPr>
          </w:p>
        </w:tc>
        <w:tc>
          <w:tcPr>
            <w:tcW w:w="999" w:type="pct"/>
            <w:vAlign w:val="center"/>
          </w:tcPr>
          <w:p>
            <w:pPr>
              <w:spacing w:line="240" w:lineRule="auto"/>
              <w:ind w:firstLine="0" w:firstLineChars="0"/>
              <w:jc w:val="center"/>
              <w:rPr>
                <w:b/>
                <w:color w:val="auto"/>
                <w:sz w:val="21"/>
                <w:szCs w:val="21"/>
              </w:rPr>
            </w:pPr>
            <w:r>
              <w:rPr>
                <w:b/>
                <w:color w:val="auto"/>
                <w:sz w:val="21"/>
                <w:szCs w:val="21"/>
              </w:rPr>
              <w:t>极高危害（P1）</w:t>
            </w:r>
          </w:p>
        </w:tc>
        <w:tc>
          <w:tcPr>
            <w:tcW w:w="999" w:type="pct"/>
            <w:vAlign w:val="center"/>
          </w:tcPr>
          <w:p>
            <w:pPr>
              <w:spacing w:line="240" w:lineRule="auto"/>
              <w:ind w:firstLine="0" w:firstLineChars="0"/>
              <w:jc w:val="center"/>
              <w:rPr>
                <w:b/>
                <w:color w:val="auto"/>
                <w:sz w:val="21"/>
                <w:szCs w:val="21"/>
              </w:rPr>
            </w:pPr>
            <w:r>
              <w:rPr>
                <w:b/>
                <w:color w:val="auto"/>
                <w:sz w:val="21"/>
                <w:szCs w:val="21"/>
              </w:rPr>
              <w:t>高度危害（P2）</w:t>
            </w:r>
          </w:p>
        </w:tc>
        <w:tc>
          <w:tcPr>
            <w:tcW w:w="1000" w:type="pct"/>
            <w:vAlign w:val="center"/>
          </w:tcPr>
          <w:p>
            <w:pPr>
              <w:spacing w:line="240" w:lineRule="auto"/>
              <w:ind w:firstLine="0" w:firstLineChars="0"/>
              <w:jc w:val="center"/>
              <w:rPr>
                <w:b/>
                <w:color w:val="auto"/>
                <w:sz w:val="21"/>
                <w:szCs w:val="21"/>
              </w:rPr>
            </w:pPr>
            <w:r>
              <w:rPr>
                <w:b/>
                <w:color w:val="auto"/>
                <w:sz w:val="21"/>
                <w:szCs w:val="21"/>
              </w:rPr>
              <w:t>中度危害（P3）</w:t>
            </w:r>
          </w:p>
        </w:tc>
        <w:tc>
          <w:tcPr>
            <w:tcW w:w="1000" w:type="pct"/>
            <w:vAlign w:val="center"/>
          </w:tcPr>
          <w:p>
            <w:pPr>
              <w:spacing w:line="240" w:lineRule="auto"/>
              <w:ind w:firstLine="0" w:firstLineChars="0"/>
              <w:jc w:val="center"/>
              <w:rPr>
                <w:b/>
                <w:color w:val="auto"/>
                <w:sz w:val="21"/>
                <w:szCs w:val="21"/>
              </w:rPr>
            </w:pPr>
            <w:r>
              <w:rPr>
                <w:b/>
                <w:color w:val="auto"/>
                <w:sz w:val="21"/>
                <w:szCs w:val="21"/>
              </w:rPr>
              <w:t>轻度危害（P4）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9" w:type="pct"/>
            <w:vAlign w:val="center"/>
          </w:tcPr>
          <w:p>
            <w:pPr>
              <w:spacing w:line="240" w:lineRule="auto"/>
              <w:ind w:firstLine="0" w:firstLineChars="0"/>
              <w:jc w:val="center"/>
              <w:rPr>
                <w:color w:val="auto"/>
                <w:sz w:val="21"/>
                <w:szCs w:val="21"/>
              </w:rPr>
            </w:pPr>
            <w:r>
              <w:rPr>
                <w:color w:val="auto"/>
                <w:sz w:val="21"/>
                <w:szCs w:val="21"/>
              </w:rPr>
              <w:t>环境高度敏感区（E1</w:t>
            </w:r>
          </w:p>
        </w:tc>
        <w:tc>
          <w:tcPr>
            <w:tcW w:w="999" w:type="pct"/>
            <w:vAlign w:val="center"/>
          </w:tcPr>
          <w:p>
            <w:pPr>
              <w:spacing w:line="240" w:lineRule="auto"/>
              <w:ind w:firstLine="0" w:firstLineChars="0"/>
              <w:jc w:val="center"/>
              <w:rPr>
                <w:color w:val="auto"/>
                <w:sz w:val="21"/>
                <w:szCs w:val="22"/>
              </w:rPr>
            </w:pPr>
            <w:r>
              <w:rPr>
                <w:color w:val="auto"/>
                <w:sz w:val="21"/>
                <w:szCs w:val="21"/>
              </w:rPr>
              <w:t>Ⅳ</w:t>
            </w:r>
            <w:r>
              <w:rPr>
                <w:color w:val="auto"/>
                <w:sz w:val="21"/>
                <w:szCs w:val="21"/>
                <w:vertAlign w:val="superscript"/>
              </w:rPr>
              <w:t>+</w:t>
            </w:r>
          </w:p>
        </w:tc>
        <w:tc>
          <w:tcPr>
            <w:tcW w:w="999" w:type="pct"/>
            <w:vAlign w:val="center"/>
          </w:tcPr>
          <w:p>
            <w:pPr>
              <w:spacing w:line="240" w:lineRule="auto"/>
              <w:ind w:firstLine="0" w:firstLineChars="0"/>
              <w:jc w:val="center"/>
              <w:rPr>
                <w:color w:val="auto"/>
                <w:sz w:val="21"/>
                <w:szCs w:val="22"/>
              </w:rPr>
            </w:pPr>
            <w:r>
              <w:rPr>
                <w:color w:val="auto"/>
                <w:sz w:val="21"/>
                <w:szCs w:val="22"/>
              </w:rPr>
              <w:t>Ⅳ</w:t>
            </w:r>
          </w:p>
        </w:tc>
        <w:tc>
          <w:tcPr>
            <w:tcW w:w="1000" w:type="pct"/>
            <w:vAlign w:val="center"/>
          </w:tcPr>
          <w:p>
            <w:pPr>
              <w:spacing w:line="240" w:lineRule="auto"/>
              <w:ind w:firstLine="0" w:firstLineChars="0"/>
              <w:jc w:val="center"/>
              <w:rPr>
                <w:color w:val="auto"/>
                <w:sz w:val="21"/>
                <w:szCs w:val="22"/>
              </w:rPr>
            </w:pPr>
            <w:r>
              <w:rPr>
                <w:color w:val="auto"/>
                <w:sz w:val="21"/>
                <w:szCs w:val="22"/>
              </w:rPr>
              <w:t>Ⅲ</w:t>
            </w:r>
          </w:p>
        </w:tc>
        <w:tc>
          <w:tcPr>
            <w:tcW w:w="1000" w:type="pct"/>
            <w:vAlign w:val="center"/>
          </w:tcPr>
          <w:p>
            <w:pPr>
              <w:spacing w:line="240" w:lineRule="auto"/>
              <w:ind w:firstLine="0" w:firstLineChars="0"/>
              <w:jc w:val="center"/>
              <w:rPr>
                <w:color w:val="auto"/>
                <w:sz w:val="21"/>
                <w:szCs w:val="22"/>
              </w:rPr>
            </w:pPr>
            <w:r>
              <w:rPr>
                <w:color w:val="auto"/>
                <w:sz w:val="21"/>
                <w:szCs w:val="22"/>
              </w:rPr>
              <w:t>Ⅲ</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9" w:type="pct"/>
            <w:vAlign w:val="center"/>
          </w:tcPr>
          <w:p>
            <w:pPr>
              <w:spacing w:line="240" w:lineRule="auto"/>
              <w:ind w:firstLine="0" w:firstLineChars="0"/>
              <w:jc w:val="center"/>
              <w:rPr>
                <w:color w:val="auto"/>
                <w:sz w:val="21"/>
                <w:szCs w:val="21"/>
              </w:rPr>
            </w:pPr>
            <w:r>
              <w:rPr>
                <w:color w:val="auto"/>
                <w:sz w:val="21"/>
                <w:szCs w:val="21"/>
              </w:rPr>
              <w:t>环境中度敏感区（E2）</w:t>
            </w:r>
          </w:p>
        </w:tc>
        <w:tc>
          <w:tcPr>
            <w:tcW w:w="999" w:type="pct"/>
            <w:vAlign w:val="center"/>
          </w:tcPr>
          <w:p>
            <w:pPr>
              <w:spacing w:line="240" w:lineRule="auto"/>
              <w:ind w:firstLine="0" w:firstLineChars="0"/>
              <w:jc w:val="center"/>
              <w:rPr>
                <w:color w:val="auto"/>
                <w:sz w:val="21"/>
                <w:szCs w:val="22"/>
              </w:rPr>
            </w:pPr>
            <w:r>
              <w:rPr>
                <w:color w:val="auto"/>
                <w:sz w:val="21"/>
                <w:szCs w:val="22"/>
              </w:rPr>
              <w:t>Ⅳ</w:t>
            </w:r>
          </w:p>
        </w:tc>
        <w:tc>
          <w:tcPr>
            <w:tcW w:w="999" w:type="pct"/>
            <w:vAlign w:val="center"/>
          </w:tcPr>
          <w:p>
            <w:pPr>
              <w:spacing w:line="240" w:lineRule="auto"/>
              <w:ind w:firstLine="0" w:firstLineChars="0"/>
              <w:jc w:val="center"/>
              <w:rPr>
                <w:color w:val="auto"/>
                <w:sz w:val="21"/>
                <w:szCs w:val="22"/>
              </w:rPr>
            </w:pPr>
            <w:r>
              <w:rPr>
                <w:color w:val="auto"/>
                <w:sz w:val="21"/>
                <w:szCs w:val="22"/>
              </w:rPr>
              <w:t>Ⅲ</w:t>
            </w:r>
          </w:p>
        </w:tc>
        <w:tc>
          <w:tcPr>
            <w:tcW w:w="1000" w:type="pct"/>
            <w:vAlign w:val="center"/>
          </w:tcPr>
          <w:p>
            <w:pPr>
              <w:spacing w:line="240" w:lineRule="auto"/>
              <w:ind w:firstLine="0" w:firstLineChars="0"/>
              <w:jc w:val="center"/>
              <w:rPr>
                <w:color w:val="auto"/>
                <w:sz w:val="21"/>
                <w:szCs w:val="22"/>
              </w:rPr>
            </w:pPr>
            <w:r>
              <w:rPr>
                <w:color w:val="auto"/>
                <w:sz w:val="21"/>
                <w:szCs w:val="22"/>
              </w:rPr>
              <w:t>Ⅲ</w:t>
            </w:r>
          </w:p>
        </w:tc>
        <w:tc>
          <w:tcPr>
            <w:tcW w:w="1000" w:type="pct"/>
            <w:vAlign w:val="center"/>
          </w:tcPr>
          <w:p>
            <w:pPr>
              <w:spacing w:line="240" w:lineRule="auto"/>
              <w:ind w:firstLine="0" w:firstLineChars="0"/>
              <w:jc w:val="center"/>
              <w:rPr>
                <w:color w:val="auto"/>
                <w:sz w:val="21"/>
                <w:szCs w:val="22"/>
              </w:rPr>
            </w:pPr>
            <w:r>
              <w:rPr>
                <w:color w:val="auto"/>
                <w:sz w:val="21"/>
                <w:szCs w:val="22"/>
              </w:rPr>
              <w:t>Ⅱ</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999" w:type="pct"/>
            <w:shd w:val="clear" w:color="auto" w:fill="auto"/>
            <w:vAlign w:val="center"/>
          </w:tcPr>
          <w:p>
            <w:pPr>
              <w:spacing w:line="240" w:lineRule="auto"/>
              <w:ind w:firstLine="0" w:firstLineChars="0"/>
              <w:jc w:val="center"/>
              <w:rPr>
                <w:color w:val="auto"/>
                <w:sz w:val="21"/>
                <w:szCs w:val="21"/>
              </w:rPr>
            </w:pPr>
            <w:r>
              <w:rPr>
                <w:color w:val="auto"/>
                <w:sz w:val="21"/>
                <w:szCs w:val="21"/>
              </w:rPr>
              <w:t>环境低度敏感区（E3）</w:t>
            </w:r>
          </w:p>
        </w:tc>
        <w:tc>
          <w:tcPr>
            <w:tcW w:w="999" w:type="pct"/>
            <w:shd w:val="clear" w:color="auto" w:fill="auto"/>
            <w:vAlign w:val="center"/>
          </w:tcPr>
          <w:p>
            <w:pPr>
              <w:spacing w:line="240" w:lineRule="auto"/>
              <w:ind w:firstLine="0" w:firstLineChars="0"/>
              <w:jc w:val="center"/>
              <w:rPr>
                <w:color w:val="auto"/>
                <w:sz w:val="21"/>
                <w:szCs w:val="22"/>
              </w:rPr>
            </w:pPr>
            <w:r>
              <w:rPr>
                <w:color w:val="auto"/>
                <w:sz w:val="21"/>
                <w:szCs w:val="22"/>
              </w:rPr>
              <w:t>Ⅲ</w:t>
            </w:r>
          </w:p>
        </w:tc>
        <w:tc>
          <w:tcPr>
            <w:tcW w:w="999" w:type="pct"/>
            <w:shd w:val="clear" w:color="auto" w:fill="auto"/>
            <w:vAlign w:val="center"/>
          </w:tcPr>
          <w:p>
            <w:pPr>
              <w:spacing w:line="240" w:lineRule="auto"/>
              <w:ind w:firstLine="0" w:firstLineChars="0"/>
              <w:jc w:val="center"/>
              <w:rPr>
                <w:color w:val="auto"/>
                <w:sz w:val="21"/>
                <w:szCs w:val="22"/>
              </w:rPr>
            </w:pPr>
            <w:r>
              <w:rPr>
                <w:color w:val="auto"/>
                <w:sz w:val="21"/>
                <w:szCs w:val="22"/>
              </w:rPr>
              <w:t>Ⅲ</w:t>
            </w:r>
          </w:p>
        </w:tc>
        <w:tc>
          <w:tcPr>
            <w:tcW w:w="1000" w:type="pct"/>
            <w:shd w:val="clear" w:color="auto" w:fill="auto"/>
            <w:vAlign w:val="center"/>
          </w:tcPr>
          <w:p>
            <w:pPr>
              <w:spacing w:line="240" w:lineRule="auto"/>
              <w:ind w:firstLine="0" w:firstLineChars="0"/>
              <w:jc w:val="center"/>
              <w:rPr>
                <w:color w:val="auto"/>
                <w:sz w:val="21"/>
                <w:szCs w:val="22"/>
              </w:rPr>
            </w:pPr>
            <w:r>
              <w:rPr>
                <w:color w:val="auto"/>
                <w:sz w:val="21"/>
                <w:szCs w:val="22"/>
              </w:rPr>
              <w:t>Ⅱ</w:t>
            </w:r>
          </w:p>
        </w:tc>
        <w:tc>
          <w:tcPr>
            <w:tcW w:w="1000" w:type="pct"/>
            <w:shd w:val="clear" w:color="auto" w:fill="D7D7D7"/>
            <w:vAlign w:val="center"/>
          </w:tcPr>
          <w:p>
            <w:pPr>
              <w:spacing w:line="240" w:lineRule="auto"/>
              <w:ind w:firstLine="0" w:firstLineChars="0"/>
              <w:jc w:val="center"/>
              <w:rPr>
                <w:color w:val="auto"/>
                <w:sz w:val="21"/>
                <w:szCs w:val="22"/>
              </w:rPr>
            </w:pPr>
            <w:r>
              <w:rPr>
                <w:color w:val="auto"/>
                <w:sz w:val="21"/>
                <w:szCs w:val="22"/>
              </w:rPr>
              <w:t>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00" w:type="pct"/>
            <w:gridSpan w:val="5"/>
            <w:vAlign w:val="center"/>
          </w:tcPr>
          <w:p>
            <w:pPr>
              <w:spacing w:line="240" w:lineRule="auto"/>
              <w:ind w:firstLine="0" w:firstLineChars="0"/>
              <w:jc w:val="left"/>
              <w:rPr>
                <w:color w:val="auto"/>
                <w:sz w:val="21"/>
                <w:szCs w:val="22"/>
              </w:rPr>
            </w:pPr>
            <w:r>
              <w:rPr>
                <w:color w:val="auto"/>
                <w:sz w:val="21"/>
                <w:szCs w:val="21"/>
              </w:rPr>
              <w:t>注Ⅳ</w:t>
            </w:r>
            <w:r>
              <w:rPr>
                <w:color w:val="auto"/>
                <w:sz w:val="21"/>
                <w:szCs w:val="21"/>
                <w:vertAlign w:val="superscript"/>
              </w:rPr>
              <w:t>+</w:t>
            </w:r>
            <w:r>
              <w:rPr>
                <w:color w:val="auto"/>
                <w:sz w:val="21"/>
                <w:szCs w:val="21"/>
              </w:rPr>
              <w:t>为极高环境风险。</w:t>
            </w:r>
          </w:p>
        </w:tc>
      </w:tr>
    </w:tbl>
    <w:p>
      <w:pPr>
        <w:ind w:firstLine="482" w:firstLineChars="0"/>
        <w:rPr>
          <w:color w:val="auto"/>
        </w:rPr>
      </w:pPr>
      <w:r>
        <w:rPr>
          <w:rFonts w:hint="eastAsia"/>
          <w:color w:val="auto"/>
        </w:rPr>
        <w:t>拟建</w:t>
      </w:r>
      <w:r>
        <w:rPr>
          <w:color w:val="auto"/>
        </w:rPr>
        <w:t>项目环境危险物质最大存</w:t>
      </w:r>
      <w:r>
        <w:rPr>
          <w:rFonts w:hint="eastAsia"/>
          <w:color w:val="auto"/>
        </w:rPr>
        <w:t>在</w:t>
      </w:r>
      <w:r>
        <w:rPr>
          <w:color w:val="auto"/>
        </w:rPr>
        <w:t>量与临界量比值Q=</w:t>
      </w:r>
      <w:r>
        <w:rPr>
          <w:rFonts w:hint="eastAsia"/>
          <w:color w:val="auto"/>
          <w:lang w:eastAsia="zh-CN"/>
        </w:rPr>
        <w:t>0.01702</w:t>
      </w:r>
      <w:r>
        <w:rPr>
          <w:rFonts w:hint="eastAsia"/>
          <w:color w:val="auto"/>
        </w:rPr>
        <w:t>＜1，该项目的环境风险潜势为Ⅰ。</w:t>
      </w:r>
    </w:p>
    <w:p>
      <w:pPr>
        <w:pStyle w:val="8"/>
        <w:spacing w:before="0" w:beforeLines="0" w:after="0" w:afterLines="0"/>
        <w:rPr>
          <w:color w:val="auto"/>
        </w:rPr>
      </w:pPr>
      <w:bookmarkStart w:id="349" w:name="_Toc1344"/>
      <w:bookmarkStart w:id="350" w:name="_Toc11666"/>
      <w:bookmarkStart w:id="351" w:name="_Toc11409"/>
      <w:r>
        <w:rPr>
          <w:rFonts w:hint="eastAsia"/>
          <w:color w:val="auto"/>
        </w:rPr>
        <w:t>6</w:t>
      </w:r>
      <w:r>
        <w:rPr>
          <w:color w:val="auto"/>
        </w:rPr>
        <w:t>.</w:t>
      </w:r>
      <w:r>
        <w:rPr>
          <w:rFonts w:hint="eastAsia"/>
          <w:color w:val="auto"/>
        </w:rPr>
        <w:t>3</w:t>
      </w:r>
      <w:r>
        <w:rPr>
          <w:color w:val="auto"/>
        </w:rPr>
        <w:t>评价工作等级确定</w:t>
      </w:r>
      <w:bookmarkEnd w:id="349"/>
      <w:bookmarkEnd w:id="350"/>
      <w:bookmarkEnd w:id="351"/>
    </w:p>
    <w:p>
      <w:pPr>
        <w:ind w:firstLine="482" w:firstLineChars="0"/>
        <w:rPr>
          <w:color w:val="auto"/>
        </w:rPr>
      </w:pPr>
      <w:r>
        <w:rPr>
          <w:color w:val="auto"/>
        </w:rPr>
        <w:t>环境风险评价工作等级划分为一级、二级、三级。根据建设项目涉及的物质及工艺系统危险性和所在地的环境敏感性确定环境风险潜势，按照表</w:t>
      </w:r>
      <w:r>
        <w:rPr>
          <w:rFonts w:hint="eastAsia"/>
          <w:color w:val="auto"/>
        </w:rPr>
        <w:t>6</w:t>
      </w:r>
      <w:r>
        <w:rPr>
          <w:color w:val="auto"/>
        </w:rPr>
        <w:t>.</w:t>
      </w:r>
      <w:r>
        <w:rPr>
          <w:rFonts w:hint="eastAsia"/>
          <w:color w:val="auto"/>
        </w:rPr>
        <w:t>3</w:t>
      </w:r>
      <w:r>
        <w:rPr>
          <w:color w:val="auto"/>
        </w:rPr>
        <w:t>-1确定评价工作等级。</w:t>
      </w:r>
    </w:p>
    <w:p>
      <w:pPr>
        <w:pStyle w:val="48"/>
        <w:rPr>
          <w:color w:val="auto"/>
        </w:rPr>
      </w:pPr>
      <w:r>
        <w:rPr>
          <w:color w:val="auto"/>
        </w:rPr>
        <w:t>表</w:t>
      </w:r>
      <w:r>
        <w:rPr>
          <w:rFonts w:hint="eastAsia"/>
          <w:color w:val="auto"/>
        </w:rPr>
        <w:t>6</w:t>
      </w:r>
      <w:r>
        <w:rPr>
          <w:color w:val="auto"/>
        </w:rPr>
        <w:t>.</w:t>
      </w:r>
      <w:r>
        <w:rPr>
          <w:rFonts w:hint="eastAsia"/>
          <w:color w:val="auto"/>
        </w:rPr>
        <w:t>3</w:t>
      </w:r>
      <w:r>
        <w:rPr>
          <w:color w:val="auto"/>
        </w:rPr>
        <w:t>-1  评价工作等级划分</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855"/>
        <w:gridCol w:w="1856"/>
        <w:gridCol w:w="1856"/>
        <w:gridCol w:w="1858"/>
        <w:gridCol w:w="186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9" w:type="pct"/>
            <w:vAlign w:val="center"/>
          </w:tcPr>
          <w:p>
            <w:pPr>
              <w:spacing w:line="240" w:lineRule="auto"/>
              <w:ind w:firstLine="0" w:firstLineChars="0"/>
              <w:jc w:val="center"/>
              <w:rPr>
                <w:b/>
                <w:color w:val="auto"/>
                <w:sz w:val="21"/>
                <w:szCs w:val="21"/>
              </w:rPr>
            </w:pPr>
            <w:r>
              <w:rPr>
                <w:b/>
                <w:color w:val="auto"/>
                <w:sz w:val="21"/>
                <w:szCs w:val="21"/>
              </w:rPr>
              <w:t>环境风险潜势</w:t>
            </w:r>
          </w:p>
        </w:tc>
        <w:tc>
          <w:tcPr>
            <w:tcW w:w="999" w:type="pct"/>
            <w:vAlign w:val="center"/>
          </w:tcPr>
          <w:p>
            <w:pPr>
              <w:spacing w:line="240" w:lineRule="auto"/>
              <w:ind w:firstLine="0" w:firstLineChars="0"/>
              <w:jc w:val="center"/>
              <w:rPr>
                <w:b/>
                <w:color w:val="auto"/>
                <w:sz w:val="21"/>
                <w:szCs w:val="22"/>
              </w:rPr>
            </w:pPr>
            <w:r>
              <w:rPr>
                <w:b/>
                <w:color w:val="auto"/>
                <w:sz w:val="21"/>
                <w:szCs w:val="22"/>
              </w:rPr>
              <w:t>Ⅳ、</w:t>
            </w:r>
            <w:r>
              <w:rPr>
                <w:b/>
                <w:color w:val="auto"/>
                <w:sz w:val="21"/>
                <w:szCs w:val="21"/>
              </w:rPr>
              <w:t>Ⅳ</w:t>
            </w:r>
            <w:r>
              <w:rPr>
                <w:b/>
                <w:color w:val="auto"/>
                <w:sz w:val="21"/>
                <w:szCs w:val="21"/>
                <w:vertAlign w:val="superscript"/>
              </w:rPr>
              <w:t>+</w:t>
            </w:r>
          </w:p>
        </w:tc>
        <w:tc>
          <w:tcPr>
            <w:tcW w:w="999" w:type="pct"/>
            <w:vAlign w:val="center"/>
          </w:tcPr>
          <w:p>
            <w:pPr>
              <w:spacing w:line="240" w:lineRule="auto"/>
              <w:ind w:firstLine="0" w:firstLineChars="0"/>
              <w:jc w:val="center"/>
              <w:rPr>
                <w:b/>
                <w:color w:val="auto"/>
                <w:sz w:val="21"/>
                <w:szCs w:val="22"/>
              </w:rPr>
            </w:pPr>
            <w:r>
              <w:rPr>
                <w:b/>
                <w:color w:val="auto"/>
                <w:sz w:val="21"/>
                <w:szCs w:val="22"/>
              </w:rPr>
              <w:t>Ⅲ</w:t>
            </w:r>
          </w:p>
        </w:tc>
        <w:tc>
          <w:tcPr>
            <w:tcW w:w="1000" w:type="pct"/>
            <w:vAlign w:val="center"/>
          </w:tcPr>
          <w:p>
            <w:pPr>
              <w:spacing w:line="240" w:lineRule="auto"/>
              <w:ind w:firstLine="0" w:firstLineChars="0"/>
              <w:jc w:val="center"/>
              <w:rPr>
                <w:b/>
                <w:color w:val="auto"/>
                <w:sz w:val="21"/>
                <w:szCs w:val="22"/>
              </w:rPr>
            </w:pPr>
            <w:r>
              <w:rPr>
                <w:b/>
                <w:color w:val="auto"/>
                <w:sz w:val="21"/>
                <w:szCs w:val="22"/>
              </w:rPr>
              <w:t>Ⅱ</w:t>
            </w:r>
          </w:p>
        </w:tc>
        <w:tc>
          <w:tcPr>
            <w:tcW w:w="1000" w:type="pct"/>
            <w:vAlign w:val="center"/>
          </w:tcPr>
          <w:p>
            <w:pPr>
              <w:spacing w:line="240" w:lineRule="auto"/>
              <w:ind w:firstLine="0" w:firstLineChars="0"/>
              <w:jc w:val="center"/>
              <w:rPr>
                <w:b/>
                <w:color w:val="auto"/>
                <w:sz w:val="21"/>
                <w:szCs w:val="22"/>
              </w:rPr>
            </w:pPr>
            <w:r>
              <w:rPr>
                <w:b/>
                <w:color w:val="auto"/>
                <w:sz w:val="21"/>
                <w:szCs w:val="22"/>
              </w:rPr>
              <w:t>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9" w:type="pct"/>
            <w:shd w:val="clear" w:color="auto" w:fill="auto"/>
            <w:vAlign w:val="center"/>
          </w:tcPr>
          <w:p>
            <w:pPr>
              <w:spacing w:line="240" w:lineRule="auto"/>
              <w:ind w:firstLine="0" w:firstLineChars="0"/>
              <w:jc w:val="center"/>
              <w:rPr>
                <w:color w:val="auto"/>
                <w:sz w:val="21"/>
                <w:szCs w:val="21"/>
              </w:rPr>
            </w:pPr>
            <w:r>
              <w:rPr>
                <w:color w:val="auto"/>
                <w:sz w:val="21"/>
                <w:szCs w:val="21"/>
              </w:rPr>
              <w:t>评价工作等级</w:t>
            </w:r>
          </w:p>
        </w:tc>
        <w:tc>
          <w:tcPr>
            <w:tcW w:w="999" w:type="pct"/>
            <w:shd w:val="clear" w:color="auto" w:fill="auto"/>
            <w:vAlign w:val="center"/>
          </w:tcPr>
          <w:p>
            <w:pPr>
              <w:spacing w:line="240" w:lineRule="auto"/>
              <w:ind w:firstLine="0" w:firstLineChars="0"/>
              <w:jc w:val="center"/>
              <w:rPr>
                <w:color w:val="auto"/>
                <w:sz w:val="21"/>
                <w:szCs w:val="22"/>
              </w:rPr>
            </w:pPr>
            <w:r>
              <w:rPr>
                <w:color w:val="auto"/>
                <w:sz w:val="21"/>
                <w:szCs w:val="22"/>
              </w:rPr>
              <w:t>一</w:t>
            </w:r>
          </w:p>
        </w:tc>
        <w:tc>
          <w:tcPr>
            <w:tcW w:w="999" w:type="pct"/>
            <w:shd w:val="clear" w:color="auto" w:fill="auto"/>
            <w:vAlign w:val="center"/>
          </w:tcPr>
          <w:p>
            <w:pPr>
              <w:spacing w:line="240" w:lineRule="auto"/>
              <w:ind w:firstLine="0" w:firstLineChars="0"/>
              <w:jc w:val="center"/>
              <w:rPr>
                <w:color w:val="auto"/>
                <w:sz w:val="21"/>
                <w:szCs w:val="22"/>
              </w:rPr>
            </w:pPr>
            <w:r>
              <w:rPr>
                <w:color w:val="auto"/>
                <w:sz w:val="21"/>
                <w:szCs w:val="22"/>
              </w:rPr>
              <w:t>二</w:t>
            </w:r>
          </w:p>
        </w:tc>
        <w:tc>
          <w:tcPr>
            <w:tcW w:w="1000" w:type="pct"/>
            <w:shd w:val="clear" w:color="auto" w:fill="auto"/>
            <w:vAlign w:val="center"/>
          </w:tcPr>
          <w:p>
            <w:pPr>
              <w:spacing w:line="240" w:lineRule="auto"/>
              <w:ind w:firstLine="0" w:firstLineChars="0"/>
              <w:jc w:val="center"/>
              <w:rPr>
                <w:color w:val="auto"/>
                <w:sz w:val="21"/>
                <w:szCs w:val="22"/>
              </w:rPr>
            </w:pPr>
            <w:r>
              <w:rPr>
                <w:color w:val="auto"/>
                <w:sz w:val="21"/>
                <w:szCs w:val="22"/>
              </w:rPr>
              <w:t>三</w:t>
            </w:r>
          </w:p>
        </w:tc>
        <w:tc>
          <w:tcPr>
            <w:tcW w:w="1000" w:type="pct"/>
            <w:shd w:val="clear" w:color="auto" w:fill="D7D7D7"/>
            <w:vAlign w:val="center"/>
          </w:tcPr>
          <w:p>
            <w:pPr>
              <w:spacing w:line="240" w:lineRule="auto"/>
              <w:ind w:firstLine="0" w:firstLineChars="0"/>
              <w:jc w:val="center"/>
              <w:rPr>
                <w:color w:val="auto"/>
                <w:sz w:val="21"/>
                <w:szCs w:val="22"/>
              </w:rPr>
            </w:pPr>
            <w:r>
              <w:rPr>
                <w:color w:val="auto"/>
                <w:sz w:val="21"/>
                <w:szCs w:val="22"/>
              </w:rPr>
              <w:t>简单分析</w:t>
            </w:r>
            <w:r>
              <w:rPr>
                <w:color w:val="auto"/>
                <w:sz w:val="21"/>
                <w:szCs w:val="22"/>
                <w:vertAlign w:val="superscript"/>
              </w:rPr>
              <w: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00" w:type="pct"/>
            <w:gridSpan w:val="5"/>
            <w:vAlign w:val="center"/>
          </w:tcPr>
          <w:p>
            <w:pPr>
              <w:spacing w:line="240" w:lineRule="auto"/>
              <w:ind w:firstLine="0" w:firstLineChars="0"/>
              <w:jc w:val="left"/>
              <w:rPr>
                <w:color w:val="auto"/>
                <w:sz w:val="21"/>
                <w:szCs w:val="22"/>
              </w:rPr>
            </w:pPr>
            <w:r>
              <w:rPr>
                <w:color w:val="auto"/>
                <w:sz w:val="21"/>
                <w:szCs w:val="22"/>
                <w:vertAlign w:val="superscript"/>
              </w:rPr>
              <w:t xml:space="preserve">a </w:t>
            </w:r>
            <w:r>
              <w:rPr>
                <w:color w:val="auto"/>
                <w:sz w:val="21"/>
                <w:szCs w:val="22"/>
              </w:rPr>
              <w:t>是相对于详细评价工作内容而言，在描述危险物质、环境影响途径、环境危害后果、风险防范措施等方面给出定性的说明。</w:t>
            </w:r>
          </w:p>
        </w:tc>
      </w:tr>
    </w:tbl>
    <w:p>
      <w:pPr>
        <w:ind w:firstLine="480"/>
        <w:rPr>
          <w:color w:val="auto"/>
          <w:szCs w:val="22"/>
        </w:rPr>
      </w:pPr>
      <w:r>
        <w:rPr>
          <w:color w:val="auto"/>
          <w:szCs w:val="22"/>
        </w:rPr>
        <w:t>根据表</w:t>
      </w:r>
      <w:r>
        <w:rPr>
          <w:rFonts w:hint="eastAsia"/>
          <w:color w:val="auto"/>
          <w:szCs w:val="22"/>
        </w:rPr>
        <w:t>6</w:t>
      </w:r>
      <w:r>
        <w:rPr>
          <w:color w:val="auto"/>
          <w:szCs w:val="22"/>
        </w:rPr>
        <w:t>.</w:t>
      </w:r>
      <w:r>
        <w:rPr>
          <w:rFonts w:hint="eastAsia"/>
          <w:color w:val="auto"/>
          <w:szCs w:val="22"/>
        </w:rPr>
        <w:t>3</w:t>
      </w:r>
      <w:r>
        <w:rPr>
          <w:color w:val="auto"/>
          <w:szCs w:val="22"/>
        </w:rPr>
        <w:t>-1，建设项目环境风险潜势综合等级为Ⅰ级，属于</w:t>
      </w:r>
      <w:r>
        <w:rPr>
          <w:rFonts w:hint="eastAsia"/>
          <w:color w:val="auto"/>
          <w:szCs w:val="22"/>
        </w:rPr>
        <w:t>低</w:t>
      </w:r>
      <w:r>
        <w:rPr>
          <w:color w:val="auto"/>
          <w:szCs w:val="22"/>
        </w:rPr>
        <w:t>环境风险，项目的环境风险评价等级为</w:t>
      </w:r>
      <w:r>
        <w:rPr>
          <w:rFonts w:hint="eastAsia"/>
          <w:color w:val="auto"/>
          <w:szCs w:val="22"/>
        </w:rPr>
        <w:t>简单分析</w:t>
      </w:r>
      <w:r>
        <w:rPr>
          <w:color w:val="auto"/>
          <w:szCs w:val="22"/>
        </w:rPr>
        <w:t>。</w:t>
      </w:r>
    </w:p>
    <w:p>
      <w:pPr>
        <w:pStyle w:val="8"/>
        <w:spacing w:before="0" w:beforeLines="0" w:after="0" w:afterLines="0" w:line="360" w:lineRule="auto"/>
        <w:rPr>
          <w:color w:val="auto"/>
        </w:rPr>
      </w:pPr>
      <w:bookmarkStart w:id="352" w:name="_Toc17595"/>
      <w:bookmarkStart w:id="353" w:name="_Toc7009"/>
      <w:bookmarkStart w:id="354" w:name="_Toc12920"/>
      <w:r>
        <w:rPr>
          <w:rFonts w:hint="eastAsia"/>
          <w:color w:val="auto"/>
        </w:rPr>
        <w:t>6</w:t>
      </w:r>
      <w:r>
        <w:rPr>
          <w:color w:val="auto"/>
        </w:rPr>
        <w:t>.</w:t>
      </w:r>
      <w:r>
        <w:rPr>
          <w:rFonts w:hint="eastAsia"/>
          <w:color w:val="auto"/>
        </w:rPr>
        <w:t>4</w:t>
      </w:r>
      <w:r>
        <w:rPr>
          <w:color w:val="auto"/>
        </w:rPr>
        <w:t>环境风险识别</w:t>
      </w:r>
      <w:bookmarkEnd w:id="352"/>
      <w:bookmarkEnd w:id="353"/>
      <w:bookmarkEnd w:id="354"/>
    </w:p>
    <w:p>
      <w:pPr>
        <w:pStyle w:val="9"/>
        <w:spacing w:before="0" w:beforeLines="0" w:after="0" w:afterLines="0"/>
        <w:rPr>
          <w:color w:val="auto"/>
        </w:rPr>
      </w:pPr>
      <w:r>
        <w:rPr>
          <w:rFonts w:hint="eastAsia"/>
          <w:color w:val="auto"/>
        </w:rPr>
        <w:t>6</w:t>
      </w:r>
      <w:r>
        <w:rPr>
          <w:color w:val="auto"/>
        </w:rPr>
        <w:t>.</w:t>
      </w:r>
      <w:r>
        <w:rPr>
          <w:rFonts w:hint="eastAsia"/>
          <w:color w:val="auto"/>
        </w:rPr>
        <w:t>4</w:t>
      </w:r>
      <w:r>
        <w:rPr>
          <w:color w:val="auto"/>
        </w:rPr>
        <w:t>.1风险识别的内容</w:t>
      </w:r>
    </w:p>
    <w:p>
      <w:pPr>
        <w:ind w:firstLine="480"/>
        <w:rPr>
          <w:color w:val="auto"/>
        </w:rPr>
      </w:pPr>
      <w:r>
        <w:rPr>
          <w:color w:val="auto"/>
        </w:rPr>
        <w:t>1、物质危险性识别，包括主要原辅材料、燃料、中间产品、副产品、最终产品、污染物、火灾和爆炸伴生/次生物等。</w:t>
      </w:r>
    </w:p>
    <w:p>
      <w:pPr>
        <w:ind w:firstLine="480"/>
        <w:rPr>
          <w:color w:val="auto"/>
        </w:rPr>
      </w:pPr>
      <w:r>
        <w:rPr>
          <w:color w:val="auto"/>
        </w:rPr>
        <w:t>2、生产系统危险性识别，包括主要生产装置、储运设施、公用工程和辅助生产设施，以及环境保护设施等。</w:t>
      </w:r>
    </w:p>
    <w:p>
      <w:pPr>
        <w:ind w:firstLine="480"/>
        <w:rPr>
          <w:color w:val="auto"/>
        </w:rPr>
      </w:pPr>
      <w:r>
        <w:rPr>
          <w:color w:val="auto"/>
        </w:rPr>
        <w:t>3、危险物质向环境转移的途径识别，包括分析危险物质特性及可能的环境风险类型，识别危险物质影响环境的途径，分析可能影响的环境敏感目标。</w:t>
      </w:r>
    </w:p>
    <w:p>
      <w:pPr>
        <w:pStyle w:val="9"/>
        <w:spacing w:before="0" w:beforeLines="0" w:after="0" w:afterLines="0"/>
        <w:rPr>
          <w:color w:val="auto"/>
        </w:rPr>
      </w:pPr>
      <w:r>
        <w:rPr>
          <w:rFonts w:hint="eastAsia"/>
          <w:color w:val="auto"/>
        </w:rPr>
        <w:t>6</w:t>
      </w:r>
      <w:r>
        <w:rPr>
          <w:color w:val="auto"/>
        </w:rPr>
        <w:t>.</w:t>
      </w:r>
      <w:r>
        <w:rPr>
          <w:rFonts w:hint="eastAsia"/>
          <w:color w:val="auto"/>
        </w:rPr>
        <w:t>4</w:t>
      </w:r>
      <w:r>
        <w:rPr>
          <w:color w:val="auto"/>
        </w:rPr>
        <w:t>.2风险事故可能发生的条件</w:t>
      </w:r>
    </w:p>
    <w:p>
      <w:pPr>
        <w:ind w:firstLine="480"/>
        <w:rPr>
          <w:color w:val="auto"/>
        </w:rPr>
      </w:pPr>
      <w:r>
        <w:rPr>
          <w:color w:val="auto"/>
        </w:rPr>
        <w:t>环境风险类型包括危险物质泄漏，以及火灾、爆炸等引发的伴生/次生污染物排放。</w:t>
      </w:r>
    </w:p>
    <w:p>
      <w:pPr>
        <w:ind w:firstLine="480"/>
        <w:rPr>
          <w:bCs/>
          <w:color w:val="auto"/>
        </w:rPr>
      </w:pPr>
      <w:r>
        <w:rPr>
          <w:bCs/>
          <w:color w:val="auto"/>
        </w:rPr>
        <w:t>1、火灾爆炸的必要条件</w:t>
      </w:r>
    </w:p>
    <w:p>
      <w:pPr>
        <w:ind w:firstLine="480"/>
        <w:rPr>
          <w:color w:val="auto"/>
        </w:rPr>
      </w:pPr>
      <w:r>
        <w:rPr>
          <w:color w:val="auto"/>
        </w:rPr>
        <w:t>火灾爆炸必须具备以下三个条件：（1）要有可燃物质；（2）要有助燃物质；（3）要有火源，着火源有电火花、静电火花、高温表面、热辐射、明火、自然着火、冲击、摩擦、绝热压缩及雷击等。</w:t>
      </w:r>
    </w:p>
    <w:p>
      <w:pPr>
        <w:ind w:firstLine="480"/>
        <w:rPr>
          <w:bCs/>
          <w:color w:val="auto"/>
        </w:rPr>
      </w:pPr>
      <w:r>
        <w:rPr>
          <w:bCs/>
          <w:color w:val="auto"/>
        </w:rPr>
        <w:t>2、泄漏的必要条件</w:t>
      </w:r>
    </w:p>
    <w:p>
      <w:pPr>
        <w:ind w:firstLine="480"/>
        <w:rPr>
          <w:color w:val="auto"/>
        </w:rPr>
      </w:pPr>
      <w:r>
        <w:rPr>
          <w:color w:val="auto"/>
        </w:rPr>
        <w:t>容易发生泄漏的设备主要有管道、接头、阀门、反应器、储罐等。可能发生泄漏事故的主要原因有：</w:t>
      </w:r>
    </w:p>
    <w:p>
      <w:pPr>
        <w:ind w:firstLine="480"/>
        <w:rPr>
          <w:color w:val="auto"/>
        </w:rPr>
      </w:pPr>
      <w:r>
        <w:rPr>
          <w:color w:val="auto"/>
        </w:rPr>
        <w:t>（1）罐体腐蚀破裂；</w:t>
      </w:r>
    </w:p>
    <w:p>
      <w:pPr>
        <w:ind w:firstLine="480"/>
        <w:rPr>
          <w:color w:val="auto"/>
        </w:rPr>
      </w:pPr>
      <w:r>
        <w:rPr>
          <w:color w:val="auto"/>
        </w:rPr>
        <w:t>（2）罐体焊缝开裂；</w:t>
      </w:r>
    </w:p>
    <w:p>
      <w:pPr>
        <w:ind w:firstLine="480"/>
        <w:rPr>
          <w:color w:val="auto"/>
        </w:rPr>
      </w:pPr>
      <w:r>
        <w:rPr>
          <w:color w:val="auto"/>
        </w:rPr>
        <w:t>（3）罐体与线接头密封损坏或螺丝松动；</w:t>
      </w:r>
    </w:p>
    <w:p>
      <w:pPr>
        <w:ind w:firstLine="480"/>
        <w:rPr>
          <w:color w:val="auto"/>
        </w:rPr>
      </w:pPr>
      <w:r>
        <w:rPr>
          <w:color w:val="auto"/>
        </w:rPr>
        <w:t>（4）进料口阀门密封不严或螺丝松动；</w:t>
      </w:r>
    </w:p>
    <w:p>
      <w:pPr>
        <w:ind w:firstLine="480"/>
        <w:rPr>
          <w:color w:val="auto"/>
        </w:rPr>
      </w:pPr>
      <w:r>
        <w:rPr>
          <w:color w:val="auto"/>
        </w:rPr>
        <w:t>（5）输送管道破裂。</w:t>
      </w:r>
    </w:p>
    <w:p>
      <w:pPr>
        <w:pStyle w:val="2"/>
        <w:spacing w:after="0"/>
        <w:ind w:firstLine="480"/>
        <w:rPr>
          <w:color w:val="auto"/>
        </w:rPr>
      </w:pPr>
      <w:r>
        <w:rPr>
          <w:color w:val="auto"/>
        </w:rPr>
        <w:t>以上可能发生泄漏的原因中，（1）、（2）项设备腐蚀发生破裂的情况，可以在安装设备前通过对设备质量的严格检查使其发生的可能性降至最小。（3）、（4）、（5）项均与设备相互连接处的密封有关，也是工艺装置在生产中最容易出现事故的方面，其中以输送管线接头破裂或阀门螺丝松动可能性较大。</w:t>
      </w:r>
    </w:p>
    <w:p>
      <w:pPr>
        <w:pStyle w:val="9"/>
        <w:spacing w:before="0" w:beforeLines="0" w:after="0" w:afterLines="0"/>
        <w:rPr>
          <w:color w:val="auto"/>
        </w:rPr>
      </w:pPr>
      <w:r>
        <w:rPr>
          <w:rFonts w:hint="eastAsia"/>
          <w:color w:val="auto"/>
        </w:rPr>
        <w:t>6</w:t>
      </w:r>
      <w:r>
        <w:rPr>
          <w:color w:val="auto"/>
        </w:rPr>
        <w:t>.</w:t>
      </w:r>
      <w:r>
        <w:rPr>
          <w:rFonts w:hint="eastAsia"/>
          <w:color w:val="auto"/>
        </w:rPr>
        <w:t>4</w:t>
      </w:r>
      <w:r>
        <w:rPr>
          <w:color w:val="auto"/>
        </w:rPr>
        <w:t>.3风险事故类型</w:t>
      </w:r>
    </w:p>
    <w:p>
      <w:pPr>
        <w:ind w:firstLine="482" w:firstLineChars="0"/>
        <w:rPr>
          <w:color w:val="auto"/>
        </w:rPr>
      </w:pPr>
      <w:r>
        <w:rPr>
          <w:color w:val="auto"/>
        </w:rPr>
        <w:t>根据对我国化工企业目前的安全技术状况所做出的综合分析，毒物泄漏扩散事故一般可以划分为小型、中型、大型三个等级。</w:t>
      </w:r>
    </w:p>
    <w:p>
      <w:pPr>
        <w:ind w:firstLine="482" w:firstLineChars="0"/>
        <w:rPr>
          <w:color w:val="auto"/>
        </w:rPr>
      </w:pPr>
      <w:r>
        <w:rPr>
          <w:color w:val="auto"/>
        </w:rPr>
        <w:t>1、小型泄漏事故</w:t>
      </w:r>
    </w:p>
    <w:p>
      <w:pPr>
        <w:ind w:firstLine="482" w:firstLineChars="0"/>
        <w:rPr>
          <w:color w:val="auto"/>
        </w:rPr>
      </w:pPr>
      <w:r>
        <w:rPr>
          <w:color w:val="auto"/>
        </w:rPr>
        <w:t>毒物泄漏量较小，泄漏时间较短的事故称为小型泄漏事故。如：因密封材料失效引起冒滴漏造成的蒸气逸散；或因装卸过满造成溢漏等。</w:t>
      </w:r>
    </w:p>
    <w:p>
      <w:pPr>
        <w:ind w:firstLine="482" w:firstLineChars="0"/>
        <w:rPr>
          <w:color w:val="auto"/>
        </w:rPr>
      </w:pPr>
      <w:r>
        <w:rPr>
          <w:color w:val="auto"/>
        </w:rPr>
        <w:t>对大多数物料而言，小型泄漏事故中形成的有毒蒸气逸散量不大，因此扩散危险较小，往往不会引起生产区内环境发生重大变化。</w:t>
      </w:r>
    </w:p>
    <w:p>
      <w:pPr>
        <w:ind w:firstLine="482" w:firstLineChars="0"/>
        <w:rPr>
          <w:color w:val="auto"/>
        </w:rPr>
      </w:pPr>
      <w:r>
        <w:rPr>
          <w:color w:val="auto"/>
        </w:rPr>
        <w:t>根据目前的安全技术水平判断，小型泄漏事故的发生频率较高。</w:t>
      </w:r>
    </w:p>
    <w:p>
      <w:pPr>
        <w:ind w:firstLine="482" w:firstLineChars="0"/>
        <w:rPr>
          <w:color w:val="auto"/>
        </w:rPr>
      </w:pPr>
      <w:r>
        <w:rPr>
          <w:color w:val="auto"/>
        </w:rPr>
        <w:t>2、中型泄漏事故</w:t>
      </w:r>
    </w:p>
    <w:p>
      <w:pPr>
        <w:ind w:firstLine="482" w:firstLineChars="0"/>
        <w:rPr>
          <w:color w:val="auto"/>
        </w:rPr>
      </w:pPr>
      <w:r>
        <w:rPr>
          <w:color w:val="auto"/>
        </w:rPr>
        <w:t>毒物泄漏量较大，泄漏时间中等的事故称为中型泄漏事故。如：输送管线破裂等。</w:t>
      </w:r>
    </w:p>
    <w:p>
      <w:pPr>
        <w:ind w:firstLine="482" w:firstLineChars="0"/>
        <w:rPr>
          <w:color w:val="auto"/>
        </w:rPr>
      </w:pPr>
      <w:r>
        <w:rPr>
          <w:color w:val="auto"/>
        </w:rPr>
        <w:t>中型泄漏事故可能生产区内受到明显影响，并有可能恶化临近区域的职业安全卫生状况，如：引起火灾爆炸事故和损害作业人员身体健康等。中型泄漏事故对厂区环境造成危害的程度及其范围会比较明显。</w:t>
      </w:r>
    </w:p>
    <w:p>
      <w:pPr>
        <w:ind w:firstLine="482" w:firstLineChars="0"/>
        <w:rPr>
          <w:color w:val="auto"/>
        </w:rPr>
      </w:pPr>
      <w:r>
        <w:rPr>
          <w:color w:val="auto"/>
        </w:rPr>
        <w:t>按照我国目前的安全管理水平，只要采取了系统有效的化工区安全生产管理措施，就可以明显减少厂区内发生中型泄漏事故的可能性。因此，中型泄漏事故发生概率较小。</w:t>
      </w:r>
    </w:p>
    <w:p>
      <w:pPr>
        <w:ind w:firstLine="482" w:firstLineChars="0"/>
        <w:rPr>
          <w:color w:val="auto"/>
        </w:rPr>
      </w:pPr>
      <w:r>
        <w:rPr>
          <w:color w:val="auto"/>
        </w:rPr>
        <w:t>3、大型泄漏事故</w:t>
      </w:r>
    </w:p>
    <w:p>
      <w:pPr>
        <w:ind w:firstLine="482" w:firstLineChars="0"/>
        <w:rPr>
          <w:color w:val="auto"/>
        </w:rPr>
      </w:pPr>
      <w:r>
        <w:rPr>
          <w:color w:val="auto"/>
        </w:rPr>
        <w:t>毒物泄漏量很大，泄漏时间较长的事故称为大型泄漏事故。如：运输工具及其它场所起火爆炸，引起大量毒物泄漏于陆地或大气。</w:t>
      </w:r>
    </w:p>
    <w:p>
      <w:pPr>
        <w:ind w:firstLine="480"/>
        <w:rPr>
          <w:color w:val="auto"/>
        </w:rPr>
      </w:pPr>
      <w:r>
        <w:rPr>
          <w:color w:val="auto"/>
        </w:rPr>
        <w:t>大型泄漏事故一旦发生，项目生产在一定时间内很可能陷于瘫痪，并且往往伴有人员伤亡和财产损失。与此同时，起火爆炸和相应的管路、贮槽破损所引起的溢漏、扩散及燃烧等，有可能严重恶化拟建项目临近区域的空气质量。因此，大型泄漏事故是对周围环境安全和构成严重威胁的灾难性重大事故。</w:t>
      </w:r>
    </w:p>
    <w:p>
      <w:pPr>
        <w:pStyle w:val="9"/>
        <w:spacing w:before="0" w:beforeLines="0" w:after="0" w:afterLines="0"/>
        <w:rPr>
          <w:color w:val="auto"/>
        </w:rPr>
      </w:pPr>
      <w:r>
        <w:rPr>
          <w:rFonts w:hint="eastAsia"/>
          <w:color w:val="auto"/>
        </w:rPr>
        <w:t>6</w:t>
      </w:r>
      <w:r>
        <w:rPr>
          <w:color w:val="auto"/>
        </w:rPr>
        <w:t>.</w:t>
      </w:r>
      <w:r>
        <w:rPr>
          <w:rFonts w:hint="eastAsia"/>
          <w:color w:val="auto"/>
        </w:rPr>
        <w:t>4</w:t>
      </w:r>
      <w:r>
        <w:rPr>
          <w:color w:val="auto"/>
        </w:rPr>
        <w:t>.4事故连锁效应和事故重叠引发继发事故的可能性和后果</w:t>
      </w:r>
    </w:p>
    <w:p>
      <w:pPr>
        <w:ind w:firstLine="480"/>
        <w:rPr>
          <w:bCs/>
          <w:color w:val="auto"/>
        </w:rPr>
      </w:pPr>
      <w:r>
        <w:rPr>
          <w:bCs/>
          <w:color w:val="auto"/>
        </w:rPr>
        <w:t>在化工企业中火灾和爆炸事故存在引起继发事故和此生灾害的可能性，这种危险性表现在：</w:t>
      </w:r>
    </w:p>
    <w:p>
      <w:pPr>
        <w:ind w:firstLine="480"/>
        <w:rPr>
          <w:bCs/>
          <w:color w:val="auto"/>
        </w:rPr>
      </w:pPr>
      <w:r>
        <w:rPr>
          <w:bCs/>
          <w:color w:val="auto"/>
        </w:rPr>
        <w:t>1、生产装置系统</w:t>
      </w:r>
    </w:p>
    <w:p>
      <w:pPr>
        <w:ind w:firstLine="480"/>
        <w:rPr>
          <w:bCs/>
          <w:color w:val="auto"/>
        </w:rPr>
      </w:pPr>
      <w:r>
        <w:rPr>
          <w:bCs/>
          <w:color w:val="auto"/>
        </w:rPr>
        <w:t>生产装置存在易燃物质，如果泄漏造成火灾爆炸，其热辐射可能会引起临近设备表面达到燃烧温度，可能会发生事故连锁反应和继发事故。</w:t>
      </w:r>
    </w:p>
    <w:p>
      <w:pPr>
        <w:ind w:firstLine="480"/>
        <w:rPr>
          <w:bCs/>
          <w:color w:val="auto"/>
        </w:rPr>
      </w:pPr>
      <w:r>
        <w:rPr>
          <w:bCs/>
          <w:color w:val="auto"/>
        </w:rPr>
        <w:t>2、贮运系统</w:t>
      </w:r>
    </w:p>
    <w:p>
      <w:pPr>
        <w:ind w:firstLine="480"/>
        <w:rPr>
          <w:bCs/>
          <w:color w:val="auto"/>
        </w:rPr>
      </w:pPr>
      <w:r>
        <w:rPr>
          <w:bCs/>
          <w:color w:val="auto"/>
        </w:rPr>
        <w:t>罐区如果泄漏会造成污染事故，如果防范措施不当或措施不利，可能会进入排水系统或大气环境，造成事故连锁效应和继发事故。</w:t>
      </w:r>
    </w:p>
    <w:p>
      <w:pPr>
        <w:ind w:firstLine="480"/>
        <w:rPr>
          <w:bCs/>
          <w:color w:val="auto"/>
        </w:rPr>
      </w:pPr>
      <w:r>
        <w:rPr>
          <w:bCs/>
          <w:color w:val="auto"/>
        </w:rPr>
        <w:t>事故原因及事故类型见图</w:t>
      </w:r>
      <w:r>
        <w:rPr>
          <w:rFonts w:hint="eastAsia"/>
          <w:bCs/>
          <w:color w:val="auto"/>
        </w:rPr>
        <w:t>6</w:t>
      </w:r>
      <w:r>
        <w:rPr>
          <w:bCs/>
          <w:color w:val="auto"/>
        </w:rPr>
        <w:t>.</w:t>
      </w:r>
      <w:r>
        <w:rPr>
          <w:rFonts w:hint="eastAsia"/>
          <w:bCs/>
          <w:color w:val="auto"/>
        </w:rPr>
        <w:t>4</w:t>
      </w:r>
      <w:r>
        <w:rPr>
          <w:bCs/>
          <w:color w:val="auto"/>
        </w:rPr>
        <w:t>-1。</w:t>
      </w:r>
    </w:p>
    <w:p>
      <w:pPr>
        <w:spacing w:line="240" w:lineRule="auto"/>
        <w:ind w:firstLine="0" w:firstLineChars="0"/>
        <w:jc w:val="center"/>
        <w:rPr>
          <w:color w:val="auto"/>
          <w:sz w:val="21"/>
        </w:rPr>
      </w:pPr>
      <w:r>
        <w:rPr>
          <w:color w:val="auto"/>
          <w:sz w:val="21"/>
        </w:rPr>
        <w:drawing>
          <wp:inline distT="0" distB="0" distL="114300" distR="114300">
            <wp:extent cx="4938395" cy="2110105"/>
            <wp:effectExtent l="0" t="0" r="14605" b="4445"/>
            <wp:docPr id="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
                    <pic:cNvPicPr>
                      <a:picLocks noChangeAspect="1"/>
                    </pic:cNvPicPr>
                  </pic:nvPicPr>
                  <pic:blipFill>
                    <a:blip r:embed="rId132"/>
                    <a:stretch>
                      <a:fillRect/>
                    </a:stretch>
                  </pic:blipFill>
                  <pic:spPr>
                    <a:xfrm>
                      <a:off x="0" y="0"/>
                      <a:ext cx="4938395" cy="2110105"/>
                    </a:xfrm>
                    <a:prstGeom prst="rect">
                      <a:avLst/>
                    </a:prstGeom>
                    <a:noFill/>
                    <a:ln>
                      <a:noFill/>
                    </a:ln>
                  </pic:spPr>
                </pic:pic>
              </a:graphicData>
            </a:graphic>
          </wp:inline>
        </w:drawing>
      </w:r>
    </w:p>
    <w:p>
      <w:pPr>
        <w:pStyle w:val="48"/>
        <w:rPr>
          <w:b/>
          <w:bCs/>
          <w:color w:val="auto"/>
        </w:rPr>
      </w:pPr>
      <w:r>
        <w:rPr>
          <w:b/>
          <w:bCs/>
          <w:color w:val="auto"/>
        </w:rPr>
        <w:t>图</w:t>
      </w:r>
      <w:r>
        <w:rPr>
          <w:rFonts w:hint="eastAsia"/>
          <w:b/>
          <w:bCs/>
          <w:color w:val="auto"/>
        </w:rPr>
        <w:t>6</w:t>
      </w:r>
      <w:r>
        <w:rPr>
          <w:b/>
          <w:bCs/>
          <w:color w:val="auto"/>
        </w:rPr>
        <w:t>.</w:t>
      </w:r>
      <w:r>
        <w:rPr>
          <w:rFonts w:hint="eastAsia"/>
          <w:b/>
          <w:bCs/>
          <w:color w:val="auto"/>
        </w:rPr>
        <w:t>4</w:t>
      </w:r>
      <w:r>
        <w:rPr>
          <w:b/>
          <w:bCs/>
          <w:color w:val="auto"/>
        </w:rPr>
        <w:t>-1  事故原因及事故类型关联图</w:t>
      </w:r>
    </w:p>
    <w:p>
      <w:pPr>
        <w:pStyle w:val="9"/>
        <w:spacing w:before="0" w:beforeLines="0" w:after="0" w:afterLines="0"/>
        <w:rPr>
          <w:color w:val="auto"/>
        </w:rPr>
      </w:pPr>
      <w:r>
        <w:rPr>
          <w:rFonts w:hint="eastAsia"/>
          <w:color w:val="auto"/>
        </w:rPr>
        <w:t>6</w:t>
      </w:r>
      <w:r>
        <w:rPr>
          <w:color w:val="auto"/>
        </w:rPr>
        <w:t>.</w:t>
      </w:r>
      <w:r>
        <w:rPr>
          <w:rFonts w:hint="eastAsia"/>
          <w:color w:val="auto"/>
        </w:rPr>
        <w:t>4</w:t>
      </w:r>
      <w:r>
        <w:rPr>
          <w:color w:val="auto"/>
        </w:rPr>
        <w:t>.</w:t>
      </w:r>
      <w:r>
        <w:rPr>
          <w:rFonts w:hint="eastAsia"/>
          <w:color w:val="auto"/>
          <w:lang w:val="en-US" w:eastAsia="zh-CN"/>
        </w:rPr>
        <w:t>5</w:t>
      </w:r>
      <w:r>
        <w:rPr>
          <w:color w:val="auto"/>
        </w:rPr>
        <w:t>重点事故案例原因分析</w:t>
      </w:r>
    </w:p>
    <w:p>
      <w:pPr>
        <w:ind w:firstLine="480"/>
        <w:rPr>
          <w:bCs/>
          <w:color w:val="auto"/>
        </w:rPr>
      </w:pPr>
      <w:r>
        <w:rPr>
          <w:bCs/>
          <w:color w:val="auto"/>
        </w:rPr>
        <w:t>根据资料报道，在95个国家登记的化学品事故中，发生突发性化学品事故的化学品物质形态比例及事故原因分析见表</w:t>
      </w:r>
      <w:r>
        <w:rPr>
          <w:rFonts w:hint="eastAsia"/>
          <w:bCs/>
          <w:color w:val="auto"/>
        </w:rPr>
        <w:t>6</w:t>
      </w:r>
      <w:r>
        <w:rPr>
          <w:bCs/>
          <w:color w:val="auto"/>
        </w:rPr>
        <w:t>.</w:t>
      </w:r>
      <w:r>
        <w:rPr>
          <w:rFonts w:hint="eastAsia"/>
          <w:bCs/>
          <w:color w:val="auto"/>
        </w:rPr>
        <w:t>4</w:t>
      </w:r>
      <w:r>
        <w:rPr>
          <w:bCs/>
          <w:color w:val="auto"/>
        </w:rPr>
        <w:t>-1。</w:t>
      </w:r>
    </w:p>
    <w:p>
      <w:pPr>
        <w:pStyle w:val="48"/>
        <w:rPr>
          <w:color w:val="auto"/>
        </w:rPr>
      </w:pPr>
      <w:r>
        <w:rPr>
          <w:color w:val="auto"/>
        </w:rPr>
        <w:t>表</w:t>
      </w:r>
      <w:r>
        <w:rPr>
          <w:rFonts w:hint="eastAsia"/>
          <w:color w:val="auto"/>
        </w:rPr>
        <w:t>6</w:t>
      </w:r>
      <w:r>
        <w:rPr>
          <w:color w:val="auto"/>
        </w:rPr>
        <w:t>.</w:t>
      </w:r>
      <w:r>
        <w:rPr>
          <w:rFonts w:hint="eastAsia"/>
          <w:color w:val="auto"/>
        </w:rPr>
        <w:t>4</w:t>
      </w:r>
      <w:r>
        <w:rPr>
          <w:color w:val="auto"/>
        </w:rPr>
        <w:t>-1  化学品事故分类情况</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095"/>
        <w:gridCol w:w="3095"/>
        <w:gridCol w:w="309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6" w:type="pct"/>
            <w:vAlign w:val="center"/>
          </w:tcPr>
          <w:p>
            <w:pPr>
              <w:spacing w:line="240" w:lineRule="auto"/>
              <w:ind w:firstLine="0" w:firstLineChars="0"/>
              <w:jc w:val="center"/>
              <w:rPr>
                <w:b/>
                <w:bCs/>
                <w:color w:val="auto"/>
                <w:sz w:val="21"/>
                <w:szCs w:val="21"/>
              </w:rPr>
            </w:pPr>
            <w:r>
              <w:rPr>
                <w:b/>
                <w:bCs/>
                <w:color w:val="auto"/>
                <w:sz w:val="21"/>
                <w:szCs w:val="21"/>
              </w:rPr>
              <w:t>类别</w:t>
            </w:r>
          </w:p>
        </w:tc>
        <w:tc>
          <w:tcPr>
            <w:tcW w:w="1666" w:type="pct"/>
            <w:vAlign w:val="center"/>
          </w:tcPr>
          <w:p>
            <w:pPr>
              <w:spacing w:line="240" w:lineRule="auto"/>
              <w:ind w:firstLine="0" w:firstLineChars="0"/>
              <w:jc w:val="center"/>
              <w:rPr>
                <w:b/>
                <w:bCs/>
                <w:color w:val="auto"/>
                <w:sz w:val="21"/>
                <w:szCs w:val="21"/>
              </w:rPr>
            </w:pPr>
            <w:r>
              <w:rPr>
                <w:b/>
                <w:bCs/>
                <w:color w:val="auto"/>
                <w:sz w:val="21"/>
                <w:szCs w:val="21"/>
              </w:rPr>
              <w:t>名称</w:t>
            </w:r>
          </w:p>
        </w:tc>
        <w:tc>
          <w:tcPr>
            <w:tcW w:w="1667" w:type="pct"/>
            <w:vAlign w:val="center"/>
          </w:tcPr>
          <w:p>
            <w:pPr>
              <w:spacing w:line="240" w:lineRule="auto"/>
              <w:ind w:firstLine="0" w:firstLineChars="0"/>
              <w:jc w:val="center"/>
              <w:rPr>
                <w:b/>
                <w:bCs/>
                <w:color w:val="auto"/>
                <w:sz w:val="21"/>
                <w:szCs w:val="21"/>
              </w:rPr>
            </w:pPr>
            <w:r>
              <w:rPr>
                <w:b/>
                <w:bCs/>
                <w:color w:val="auto"/>
                <w:sz w:val="21"/>
                <w:szCs w:val="21"/>
              </w:rPr>
              <w:t>百分数（%）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6" w:type="pct"/>
            <w:vMerge w:val="restart"/>
            <w:vAlign w:val="center"/>
          </w:tcPr>
          <w:p>
            <w:pPr>
              <w:spacing w:line="240" w:lineRule="auto"/>
              <w:ind w:firstLine="0" w:firstLineChars="0"/>
              <w:jc w:val="center"/>
              <w:rPr>
                <w:bCs/>
                <w:color w:val="auto"/>
                <w:sz w:val="21"/>
                <w:szCs w:val="21"/>
              </w:rPr>
            </w:pPr>
            <w:r>
              <w:rPr>
                <w:bCs/>
                <w:color w:val="auto"/>
                <w:sz w:val="21"/>
                <w:szCs w:val="21"/>
              </w:rPr>
              <w:t>化学品的物质形态</w:t>
            </w:r>
          </w:p>
        </w:tc>
        <w:tc>
          <w:tcPr>
            <w:tcW w:w="1666" w:type="pct"/>
            <w:vAlign w:val="center"/>
          </w:tcPr>
          <w:p>
            <w:pPr>
              <w:spacing w:line="240" w:lineRule="auto"/>
              <w:ind w:firstLine="0" w:firstLineChars="0"/>
              <w:jc w:val="center"/>
              <w:rPr>
                <w:bCs/>
                <w:color w:val="auto"/>
                <w:sz w:val="21"/>
                <w:szCs w:val="21"/>
              </w:rPr>
            </w:pPr>
            <w:r>
              <w:rPr>
                <w:bCs/>
                <w:color w:val="auto"/>
                <w:sz w:val="21"/>
                <w:szCs w:val="21"/>
              </w:rPr>
              <w:t>液体</w:t>
            </w:r>
          </w:p>
        </w:tc>
        <w:tc>
          <w:tcPr>
            <w:tcW w:w="1667" w:type="pct"/>
            <w:vAlign w:val="center"/>
          </w:tcPr>
          <w:p>
            <w:pPr>
              <w:spacing w:line="240" w:lineRule="auto"/>
              <w:ind w:firstLine="0" w:firstLineChars="0"/>
              <w:jc w:val="center"/>
              <w:rPr>
                <w:bCs/>
                <w:color w:val="auto"/>
                <w:sz w:val="21"/>
                <w:szCs w:val="21"/>
              </w:rPr>
            </w:pPr>
            <w:r>
              <w:rPr>
                <w:bCs/>
                <w:color w:val="auto"/>
                <w:sz w:val="21"/>
                <w:szCs w:val="21"/>
              </w:rPr>
              <w:t>45.4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6" w:type="pct"/>
            <w:vMerge w:val="continue"/>
            <w:vAlign w:val="center"/>
          </w:tcPr>
          <w:p>
            <w:pPr>
              <w:spacing w:line="240" w:lineRule="auto"/>
              <w:ind w:firstLine="0" w:firstLineChars="0"/>
              <w:jc w:val="center"/>
              <w:rPr>
                <w:bCs/>
                <w:color w:val="auto"/>
                <w:sz w:val="21"/>
                <w:szCs w:val="21"/>
              </w:rPr>
            </w:pPr>
          </w:p>
        </w:tc>
        <w:tc>
          <w:tcPr>
            <w:tcW w:w="1666" w:type="pct"/>
            <w:vAlign w:val="center"/>
          </w:tcPr>
          <w:p>
            <w:pPr>
              <w:spacing w:line="240" w:lineRule="auto"/>
              <w:ind w:firstLine="0" w:firstLineChars="0"/>
              <w:jc w:val="center"/>
              <w:rPr>
                <w:bCs/>
                <w:color w:val="auto"/>
                <w:sz w:val="21"/>
                <w:szCs w:val="21"/>
              </w:rPr>
            </w:pPr>
            <w:r>
              <w:rPr>
                <w:bCs/>
                <w:color w:val="auto"/>
                <w:sz w:val="21"/>
                <w:szCs w:val="21"/>
              </w:rPr>
              <w:t>液化气</w:t>
            </w:r>
          </w:p>
        </w:tc>
        <w:tc>
          <w:tcPr>
            <w:tcW w:w="1667" w:type="pct"/>
            <w:vAlign w:val="center"/>
          </w:tcPr>
          <w:p>
            <w:pPr>
              <w:spacing w:line="240" w:lineRule="auto"/>
              <w:ind w:firstLine="0" w:firstLineChars="0"/>
              <w:jc w:val="center"/>
              <w:rPr>
                <w:bCs/>
                <w:color w:val="auto"/>
                <w:sz w:val="21"/>
                <w:szCs w:val="21"/>
              </w:rPr>
            </w:pPr>
            <w:r>
              <w:rPr>
                <w:bCs/>
                <w:color w:val="auto"/>
                <w:sz w:val="21"/>
                <w:szCs w:val="21"/>
              </w:rPr>
              <w:t>27.6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6" w:type="pct"/>
            <w:vMerge w:val="continue"/>
            <w:vAlign w:val="center"/>
          </w:tcPr>
          <w:p>
            <w:pPr>
              <w:spacing w:line="240" w:lineRule="auto"/>
              <w:ind w:firstLine="0" w:firstLineChars="0"/>
              <w:jc w:val="center"/>
              <w:rPr>
                <w:bCs/>
                <w:color w:val="auto"/>
                <w:sz w:val="21"/>
                <w:szCs w:val="21"/>
              </w:rPr>
            </w:pPr>
          </w:p>
        </w:tc>
        <w:tc>
          <w:tcPr>
            <w:tcW w:w="1666" w:type="pct"/>
            <w:vAlign w:val="center"/>
          </w:tcPr>
          <w:p>
            <w:pPr>
              <w:spacing w:line="240" w:lineRule="auto"/>
              <w:ind w:firstLine="0" w:firstLineChars="0"/>
              <w:jc w:val="center"/>
              <w:rPr>
                <w:bCs/>
                <w:color w:val="auto"/>
                <w:sz w:val="21"/>
                <w:szCs w:val="21"/>
              </w:rPr>
            </w:pPr>
            <w:r>
              <w:rPr>
                <w:bCs/>
                <w:color w:val="auto"/>
                <w:sz w:val="21"/>
                <w:szCs w:val="21"/>
              </w:rPr>
              <w:t>气体</w:t>
            </w:r>
          </w:p>
        </w:tc>
        <w:tc>
          <w:tcPr>
            <w:tcW w:w="1667" w:type="pct"/>
            <w:vAlign w:val="center"/>
          </w:tcPr>
          <w:p>
            <w:pPr>
              <w:spacing w:line="240" w:lineRule="auto"/>
              <w:ind w:firstLine="0" w:firstLineChars="0"/>
              <w:jc w:val="center"/>
              <w:rPr>
                <w:bCs/>
                <w:color w:val="auto"/>
                <w:sz w:val="21"/>
                <w:szCs w:val="21"/>
              </w:rPr>
            </w:pPr>
            <w:r>
              <w:rPr>
                <w:bCs/>
                <w:color w:val="auto"/>
                <w:sz w:val="21"/>
                <w:szCs w:val="21"/>
              </w:rPr>
              <w:t>18.8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6" w:type="pct"/>
            <w:vMerge w:val="continue"/>
            <w:vAlign w:val="center"/>
          </w:tcPr>
          <w:p>
            <w:pPr>
              <w:spacing w:line="240" w:lineRule="auto"/>
              <w:ind w:firstLine="0" w:firstLineChars="0"/>
              <w:jc w:val="center"/>
              <w:rPr>
                <w:bCs/>
                <w:color w:val="auto"/>
                <w:sz w:val="21"/>
                <w:szCs w:val="21"/>
              </w:rPr>
            </w:pPr>
          </w:p>
        </w:tc>
        <w:tc>
          <w:tcPr>
            <w:tcW w:w="1666" w:type="pct"/>
            <w:vAlign w:val="center"/>
          </w:tcPr>
          <w:p>
            <w:pPr>
              <w:spacing w:line="240" w:lineRule="auto"/>
              <w:ind w:firstLine="0" w:firstLineChars="0"/>
              <w:jc w:val="center"/>
              <w:rPr>
                <w:bCs/>
                <w:color w:val="auto"/>
                <w:sz w:val="21"/>
                <w:szCs w:val="21"/>
              </w:rPr>
            </w:pPr>
            <w:r>
              <w:rPr>
                <w:bCs/>
                <w:color w:val="auto"/>
                <w:sz w:val="21"/>
                <w:szCs w:val="21"/>
              </w:rPr>
              <w:t>固体</w:t>
            </w:r>
          </w:p>
        </w:tc>
        <w:tc>
          <w:tcPr>
            <w:tcW w:w="1667" w:type="pct"/>
            <w:vAlign w:val="center"/>
          </w:tcPr>
          <w:p>
            <w:pPr>
              <w:spacing w:line="240" w:lineRule="auto"/>
              <w:ind w:firstLine="0" w:firstLineChars="0"/>
              <w:jc w:val="center"/>
              <w:rPr>
                <w:bCs/>
                <w:color w:val="auto"/>
                <w:sz w:val="21"/>
                <w:szCs w:val="21"/>
              </w:rPr>
            </w:pPr>
            <w:r>
              <w:rPr>
                <w:bCs/>
                <w:color w:val="auto"/>
                <w:sz w:val="21"/>
                <w:szCs w:val="21"/>
              </w:rPr>
              <w:t>8.2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6" w:type="pct"/>
            <w:vMerge w:val="restart"/>
            <w:vAlign w:val="center"/>
          </w:tcPr>
          <w:p>
            <w:pPr>
              <w:spacing w:line="240" w:lineRule="auto"/>
              <w:ind w:firstLine="0" w:firstLineChars="0"/>
              <w:jc w:val="center"/>
              <w:rPr>
                <w:bCs/>
                <w:color w:val="auto"/>
                <w:sz w:val="21"/>
                <w:szCs w:val="21"/>
              </w:rPr>
            </w:pPr>
            <w:r>
              <w:rPr>
                <w:bCs/>
                <w:color w:val="auto"/>
                <w:sz w:val="21"/>
                <w:szCs w:val="21"/>
              </w:rPr>
              <w:t>事故来源</w:t>
            </w:r>
          </w:p>
        </w:tc>
        <w:tc>
          <w:tcPr>
            <w:tcW w:w="1666" w:type="pct"/>
            <w:vAlign w:val="center"/>
          </w:tcPr>
          <w:p>
            <w:pPr>
              <w:spacing w:line="240" w:lineRule="auto"/>
              <w:ind w:firstLine="0" w:firstLineChars="0"/>
              <w:jc w:val="center"/>
              <w:rPr>
                <w:bCs/>
                <w:color w:val="auto"/>
                <w:sz w:val="21"/>
                <w:szCs w:val="21"/>
              </w:rPr>
            </w:pPr>
            <w:r>
              <w:rPr>
                <w:bCs/>
                <w:color w:val="auto"/>
                <w:sz w:val="21"/>
                <w:szCs w:val="21"/>
              </w:rPr>
              <w:t>机械故障</w:t>
            </w:r>
          </w:p>
        </w:tc>
        <w:tc>
          <w:tcPr>
            <w:tcW w:w="1667" w:type="pct"/>
            <w:vAlign w:val="center"/>
          </w:tcPr>
          <w:p>
            <w:pPr>
              <w:spacing w:line="240" w:lineRule="auto"/>
              <w:ind w:firstLine="0" w:firstLineChars="0"/>
              <w:jc w:val="center"/>
              <w:rPr>
                <w:bCs/>
                <w:color w:val="auto"/>
                <w:sz w:val="21"/>
                <w:szCs w:val="21"/>
              </w:rPr>
            </w:pPr>
            <w:r>
              <w:rPr>
                <w:bCs/>
                <w:color w:val="auto"/>
                <w:sz w:val="21"/>
                <w:szCs w:val="21"/>
              </w:rPr>
              <w:t>34.2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6" w:type="pct"/>
            <w:vMerge w:val="continue"/>
            <w:vAlign w:val="center"/>
          </w:tcPr>
          <w:p>
            <w:pPr>
              <w:spacing w:line="240" w:lineRule="auto"/>
              <w:ind w:firstLine="0" w:firstLineChars="0"/>
              <w:jc w:val="center"/>
              <w:rPr>
                <w:bCs/>
                <w:color w:val="auto"/>
                <w:sz w:val="21"/>
                <w:szCs w:val="21"/>
              </w:rPr>
            </w:pPr>
          </w:p>
        </w:tc>
        <w:tc>
          <w:tcPr>
            <w:tcW w:w="1666" w:type="pct"/>
            <w:vAlign w:val="center"/>
          </w:tcPr>
          <w:p>
            <w:pPr>
              <w:spacing w:line="240" w:lineRule="auto"/>
              <w:ind w:firstLine="0" w:firstLineChars="0"/>
              <w:jc w:val="center"/>
              <w:rPr>
                <w:bCs/>
                <w:color w:val="auto"/>
                <w:sz w:val="21"/>
                <w:szCs w:val="21"/>
              </w:rPr>
            </w:pPr>
            <w:r>
              <w:rPr>
                <w:bCs/>
                <w:color w:val="auto"/>
                <w:sz w:val="21"/>
                <w:szCs w:val="21"/>
              </w:rPr>
              <w:t>碰撞事故</w:t>
            </w:r>
          </w:p>
        </w:tc>
        <w:tc>
          <w:tcPr>
            <w:tcW w:w="1667" w:type="pct"/>
            <w:vAlign w:val="center"/>
          </w:tcPr>
          <w:p>
            <w:pPr>
              <w:spacing w:line="240" w:lineRule="auto"/>
              <w:ind w:firstLine="0" w:firstLineChars="0"/>
              <w:jc w:val="center"/>
              <w:rPr>
                <w:bCs/>
                <w:color w:val="auto"/>
                <w:sz w:val="21"/>
                <w:szCs w:val="21"/>
              </w:rPr>
            </w:pPr>
            <w:r>
              <w:rPr>
                <w:bCs/>
                <w:color w:val="auto"/>
                <w:sz w:val="21"/>
                <w:szCs w:val="21"/>
              </w:rPr>
              <w:t>26.8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6" w:type="pct"/>
            <w:vMerge w:val="continue"/>
            <w:vAlign w:val="center"/>
          </w:tcPr>
          <w:p>
            <w:pPr>
              <w:spacing w:line="240" w:lineRule="auto"/>
              <w:ind w:firstLine="0" w:firstLineChars="0"/>
              <w:jc w:val="center"/>
              <w:rPr>
                <w:bCs/>
                <w:color w:val="auto"/>
                <w:sz w:val="21"/>
                <w:szCs w:val="21"/>
              </w:rPr>
            </w:pPr>
          </w:p>
        </w:tc>
        <w:tc>
          <w:tcPr>
            <w:tcW w:w="1666" w:type="pct"/>
            <w:vAlign w:val="center"/>
          </w:tcPr>
          <w:p>
            <w:pPr>
              <w:spacing w:line="240" w:lineRule="auto"/>
              <w:ind w:firstLine="0" w:firstLineChars="0"/>
              <w:jc w:val="center"/>
              <w:rPr>
                <w:bCs/>
                <w:color w:val="auto"/>
                <w:sz w:val="21"/>
                <w:szCs w:val="21"/>
              </w:rPr>
            </w:pPr>
            <w:r>
              <w:rPr>
                <w:bCs/>
                <w:color w:val="auto"/>
                <w:sz w:val="21"/>
                <w:szCs w:val="21"/>
              </w:rPr>
              <w:t>人为因素</w:t>
            </w:r>
          </w:p>
        </w:tc>
        <w:tc>
          <w:tcPr>
            <w:tcW w:w="1667" w:type="pct"/>
            <w:vAlign w:val="center"/>
          </w:tcPr>
          <w:p>
            <w:pPr>
              <w:spacing w:line="240" w:lineRule="auto"/>
              <w:ind w:firstLine="0" w:firstLineChars="0"/>
              <w:jc w:val="center"/>
              <w:rPr>
                <w:bCs/>
                <w:color w:val="auto"/>
                <w:sz w:val="21"/>
                <w:szCs w:val="21"/>
              </w:rPr>
            </w:pPr>
            <w:r>
              <w:rPr>
                <w:bCs/>
                <w:color w:val="auto"/>
                <w:sz w:val="21"/>
                <w:szCs w:val="21"/>
              </w:rPr>
              <w:t>22.8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6" w:type="pct"/>
            <w:vMerge w:val="continue"/>
            <w:vAlign w:val="center"/>
          </w:tcPr>
          <w:p>
            <w:pPr>
              <w:spacing w:line="240" w:lineRule="auto"/>
              <w:ind w:firstLine="0" w:firstLineChars="0"/>
              <w:jc w:val="center"/>
              <w:rPr>
                <w:bCs/>
                <w:color w:val="auto"/>
                <w:sz w:val="21"/>
                <w:szCs w:val="21"/>
              </w:rPr>
            </w:pPr>
          </w:p>
        </w:tc>
        <w:tc>
          <w:tcPr>
            <w:tcW w:w="1666" w:type="pct"/>
            <w:vAlign w:val="center"/>
          </w:tcPr>
          <w:p>
            <w:pPr>
              <w:spacing w:line="240" w:lineRule="auto"/>
              <w:ind w:firstLine="0" w:firstLineChars="0"/>
              <w:jc w:val="center"/>
              <w:rPr>
                <w:bCs/>
                <w:color w:val="auto"/>
                <w:sz w:val="21"/>
                <w:szCs w:val="21"/>
              </w:rPr>
            </w:pPr>
            <w:r>
              <w:rPr>
                <w:bCs/>
                <w:color w:val="auto"/>
                <w:sz w:val="21"/>
                <w:szCs w:val="21"/>
              </w:rPr>
              <w:t>外部因素</w:t>
            </w:r>
          </w:p>
        </w:tc>
        <w:tc>
          <w:tcPr>
            <w:tcW w:w="1667" w:type="pct"/>
            <w:vAlign w:val="center"/>
          </w:tcPr>
          <w:p>
            <w:pPr>
              <w:spacing w:line="240" w:lineRule="auto"/>
              <w:ind w:firstLine="0" w:firstLineChars="0"/>
              <w:jc w:val="center"/>
              <w:rPr>
                <w:bCs/>
                <w:color w:val="auto"/>
                <w:sz w:val="21"/>
                <w:szCs w:val="21"/>
              </w:rPr>
            </w:pPr>
            <w:r>
              <w:rPr>
                <w:bCs/>
                <w:color w:val="auto"/>
                <w:sz w:val="21"/>
                <w:szCs w:val="21"/>
              </w:rPr>
              <w:t>16.2</w:t>
            </w:r>
          </w:p>
        </w:tc>
      </w:tr>
    </w:tbl>
    <w:p>
      <w:pPr>
        <w:ind w:firstLine="480"/>
        <w:rPr>
          <w:bCs/>
          <w:color w:val="auto"/>
        </w:rPr>
      </w:pPr>
      <w:r>
        <w:rPr>
          <w:bCs/>
          <w:color w:val="auto"/>
        </w:rPr>
        <w:t>从表</w:t>
      </w:r>
      <w:r>
        <w:rPr>
          <w:rFonts w:hint="eastAsia"/>
          <w:bCs/>
          <w:color w:val="auto"/>
        </w:rPr>
        <w:t>6</w:t>
      </w:r>
      <w:r>
        <w:rPr>
          <w:bCs/>
          <w:color w:val="auto"/>
        </w:rPr>
        <w:t>.</w:t>
      </w:r>
      <w:r>
        <w:rPr>
          <w:rFonts w:hint="eastAsia"/>
          <w:bCs/>
          <w:color w:val="auto"/>
        </w:rPr>
        <w:t>4</w:t>
      </w:r>
      <w:r>
        <w:rPr>
          <w:bCs/>
          <w:color w:val="auto"/>
        </w:rPr>
        <w:t>-1可看出，液体化学品最易发生事故，机械故障最容易导致事故发生。</w:t>
      </w:r>
    </w:p>
    <w:p>
      <w:pPr>
        <w:ind w:firstLine="480"/>
        <w:rPr>
          <w:bCs/>
          <w:color w:val="auto"/>
        </w:rPr>
      </w:pPr>
      <w:r>
        <w:rPr>
          <w:bCs/>
          <w:color w:val="auto"/>
        </w:rPr>
        <w:t>近几年国内化工行业116次主要事故原因统计分析结果见表</w:t>
      </w:r>
      <w:r>
        <w:rPr>
          <w:rFonts w:hint="eastAsia"/>
          <w:bCs/>
          <w:color w:val="auto"/>
        </w:rPr>
        <w:t>6</w:t>
      </w:r>
      <w:r>
        <w:rPr>
          <w:bCs/>
          <w:color w:val="auto"/>
        </w:rPr>
        <w:t>.</w:t>
      </w:r>
      <w:r>
        <w:rPr>
          <w:rFonts w:hint="eastAsia"/>
          <w:bCs/>
          <w:color w:val="auto"/>
        </w:rPr>
        <w:t>4</w:t>
      </w:r>
      <w:r>
        <w:rPr>
          <w:bCs/>
          <w:color w:val="auto"/>
        </w:rPr>
        <w:t>-2。</w:t>
      </w:r>
    </w:p>
    <w:p>
      <w:pPr>
        <w:pStyle w:val="48"/>
        <w:rPr>
          <w:color w:val="auto"/>
        </w:rPr>
      </w:pPr>
      <w:r>
        <w:rPr>
          <w:color w:val="auto"/>
        </w:rPr>
        <w:t>表</w:t>
      </w:r>
      <w:r>
        <w:rPr>
          <w:rFonts w:hint="eastAsia"/>
          <w:color w:val="auto"/>
        </w:rPr>
        <w:t>6</w:t>
      </w:r>
      <w:r>
        <w:rPr>
          <w:color w:val="auto"/>
        </w:rPr>
        <w:t>.</w:t>
      </w:r>
      <w:r>
        <w:rPr>
          <w:rFonts w:hint="eastAsia"/>
          <w:color w:val="auto"/>
        </w:rPr>
        <w:t>4</w:t>
      </w:r>
      <w:r>
        <w:rPr>
          <w:color w:val="auto"/>
        </w:rPr>
        <w:t>-2  国内主要化工事故原因统计结果（引自《全国化工事故案例集》）</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43"/>
        <w:gridCol w:w="3401"/>
        <w:gridCol w:w="2322"/>
        <w:gridCol w:w="232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9" w:type="pct"/>
            <w:vAlign w:val="center"/>
          </w:tcPr>
          <w:p>
            <w:pPr>
              <w:spacing w:line="240" w:lineRule="auto"/>
              <w:ind w:firstLine="0" w:firstLineChars="0"/>
              <w:jc w:val="center"/>
              <w:rPr>
                <w:b/>
                <w:bCs/>
                <w:color w:val="auto"/>
                <w:sz w:val="21"/>
                <w:szCs w:val="21"/>
              </w:rPr>
            </w:pPr>
            <w:r>
              <w:rPr>
                <w:b/>
                <w:bCs/>
                <w:color w:val="auto"/>
                <w:sz w:val="21"/>
                <w:szCs w:val="21"/>
              </w:rPr>
              <w:t>序号</w:t>
            </w:r>
          </w:p>
        </w:tc>
        <w:tc>
          <w:tcPr>
            <w:tcW w:w="1831" w:type="pct"/>
            <w:vAlign w:val="center"/>
          </w:tcPr>
          <w:p>
            <w:pPr>
              <w:spacing w:line="240" w:lineRule="auto"/>
              <w:ind w:firstLine="0" w:firstLineChars="0"/>
              <w:jc w:val="center"/>
              <w:rPr>
                <w:b/>
                <w:bCs/>
                <w:color w:val="auto"/>
                <w:sz w:val="21"/>
                <w:szCs w:val="21"/>
              </w:rPr>
            </w:pPr>
            <w:r>
              <w:rPr>
                <w:b/>
                <w:bCs/>
                <w:color w:val="auto"/>
                <w:sz w:val="21"/>
                <w:szCs w:val="21"/>
              </w:rPr>
              <w:t>主要事故原因</w:t>
            </w:r>
          </w:p>
        </w:tc>
        <w:tc>
          <w:tcPr>
            <w:tcW w:w="1250" w:type="pct"/>
            <w:vAlign w:val="center"/>
          </w:tcPr>
          <w:p>
            <w:pPr>
              <w:spacing w:line="240" w:lineRule="auto"/>
              <w:ind w:firstLine="0" w:firstLineChars="0"/>
              <w:jc w:val="center"/>
              <w:rPr>
                <w:b/>
                <w:bCs/>
                <w:color w:val="auto"/>
                <w:sz w:val="21"/>
                <w:szCs w:val="21"/>
              </w:rPr>
            </w:pPr>
            <w:r>
              <w:rPr>
                <w:b/>
                <w:bCs/>
                <w:color w:val="auto"/>
                <w:sz w:val="21"/>
                <w:szCs w:val="21"/>
              </w:rPr>
              <w:t>出现次数</w:t>
            </w:r>
          </w:p>
        </w:tc>
        <w:tc>
          <w:tcPr>
            <w:tcW w:w="1250" w:type="pct"/>
            <w:vAlign w:val="center"/>
          </w:tcPr>
          <w:p>
            <w:pPr>
              <w:spacing w:line="240" w:lineRule="auto"/>
              <w:ind w:firstLine="0" w:firstLineChars="0"/>
              <w:jc w:val="center"/>
              <w:rPr>
                <w:b/>
                <w:bCs/>
                <w:color w:val="auto"/>
                <w:sz w:val="21"/>
                <w:szCs w:val="21"/>
              </w:rPr>
            </w:pPr>
            <w:r>
              <w:rPr>
                <w:b/>
                <w:bCs/>
                <w:color w:val="auto"/>
                <w:sz w:val="21"/>
                <w:szCs w:val="21"/>
              </w:rPr>
              <w:t>所占百分比（%）</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9" w:type="pct"/>
            <w:vAlign w:val="center"/>
          </w:tcPr>
          <w:p>
            <w:pPr>
              <w:spacing w:line="240" w:lineRule="auto"/>
              <w:ind w:firstLine="0" w:firstLineChars="0"/>
              <w:jc w:val="center"/>
              <w:rPr>
                <w:bCs/>
                <w:color w:val="auto"/>
                <w:sz w:val="21"/>
                <w:szCs w:val="21"/>
              </w:rPr>
            </w:pPr>
            <w:r>
              <w:rPr>
                <w:bCs/>
                <w:color w:val="auto"/>
                <w:sz w:val="21"/>
                <w:szCs w:val="21"/>
              </w:rPr>
              <w:t>1</w:t>
            </w:r>
          </w:p>
        </w:tc>
        <w:tc>
          <w:tcPr>
            <w:tcW w:w="1831" w:type="pct"/>
            <w:vAlign w:val="center"/>
          </w:tcPr>
          <w:p>
            <w:pPr>
              <w:spacing w:line="240" w:lineRule="auto"/>
              <w:ind w:firstLine="0" w:firstLineChars="0"/>
              <w:jc w:val="center"/>
              <w:rPr>
                <w:bCs/>
                <w:color w:val="auto"/>
                <w:sz w:val="21"/>
                <w:szCs w:val="21"/>
              </w:rPr>
            </w:pPr>
            <w:r>
              <w:rPr>
                <w:bCs/>
                <w:color w:val="auto"/>
                <w:sz w:val="21"/>
                <w:szCs w:val="21"/>
              </w:rPr>
              <w:t>违反操作规程</w:t>
            </w:r>
          </w:p>
        </w:tc>
        <w:tc>
          <w:tcPr>
            <w:tcW w:w="1250" w:type="pct"/>
            <w:vAlign w:val="center"/>
          </w:tcPr>
          <w:p>
            <w:pPr>
              <w:spacing w:line="240" w:lineRule="auto"/>
              <w:ind w:firstLine="0" w:firstLineChars="0"/>
              <w:jc w:val="center"/>
              <w:rPr>
                <w:bCs/>
                <w:color w:val="auto"/>
                <w:sz w:val="21"/>
                <w:szCs w:val="21"/>
              </w:rPr>
            </w:pPr>
            <w:r>
              <w:rPr>
                <w:bCs/>
                <w:color w:val="auto"/>
                <w:sz w:val="21"/>
                <w:szCs w:val="21"/>
              </w:rPr>
              <w:t>60</w:t>
            </w:r>
          </w:p>
        </w:tc>
        <w:tc>
          <w:tcPr>
            <w:tcW w:w="1250" w:type="pct"/>
            <w:vAlign w:val="center"/>
          </w:tcPr>
          <w:p>
            <w:pPr>
              <w:spacing w:line="240" w:lineRule="auto"/>
              <w:ind w:firstLine="0" w:firstLineChars="0"/>
              <w:jc w:val="center"/>
              <w:rPr>
                <w:bCs/>
                <w:color w:val="auto"/>
                <w:sz w:val="21"/>
                <w:szCs w:val="21"/>
              </w:rPr>
            </w:pPr>
            <w:r>
              <w:rPr>
                <w:bCs/>
                <w:color w:val="auto"/>
                <w:sz w:val="21"/>
                <w:szCs w:val="21"/>
              </w:rPr>
              <w:t>51.7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9" w:type="pct"/>
            <w:vAlign w:val="center"/>
          </w:tcPr>
          <w:p>
            <w:pPr>
              <w:spacing w:line="240" w:lineRule="auto"/>
              <w:ind w:firstLine="0" w:firstLineChars="0"/>
              <w:jc w:val="center"/>
              <w:rPr>
                <w:bCs/>
                <w:color w:val="auto"/>
                <w:sz w:val="21"/>
                <w:szCs w:val="21"/>
              </w:rPr>
            </w:pPr>
            <w:r>
              <w:rPr>
                <w:bCs/>
                <w:color w:val="auto"/>
                <w:sz w:val="21"/>
                <w:szCs w:val="21"/>
              </w:rPr>
              <w:t>2</w:t>
            </w:r>
          </w:p>
        </w:tc>
        <w:tc>
          <w:tcPr>
            <w:tcW w:w="1831" w:type="pct"/>
            <w:vAlign w:val="center"/>
          </w:tcPr>
          <w:p>
            <w:pPr>
              <w:spacing w:line="240" w:lineRule="auto"/>
              <w:ind w:firstLine="0" w:firstLineChars="0"/>
              <w:jc w:val="center"/>
              <w:rPr>
                <w:bCs/>
                <w:color w:val="auto"/>
                <w:sz w:val="21"/>
                <w:szCs w:val="21"/>
              </w:rPr>
            </w:pPr>
            <w:r>
              <w:rPr>
                <w:bCs/>
                <w:color w:val="auto"/>
                <w:sz w:val="21"/>
                <w:szCs w:val="21"/>
              </w:rPr>
              <w:t>不懂技术操作</w:t>
            </w:r>
          </w:p>
        </w:tc>
        <w:tc>
          <w:tcPr>
            <w:tcW w:w="1250" w:type="pct"/>
            <w:vAlign w:val="center"/>
          </w:tcPr>
          <w:p>
            <w:pPr>
              <w:spacing w:line="240" w:lineRule="auto"/>
              <w:ind w:firstLine="0" w:firstLineChars="0"/>
              <w:jc w:val="center"/>
              <w:rPr>
                <w:bCs/>
                <w:color w:val="auto"/>
                <w:sz w:val="21"/>
                <w:szCs w:val="21"/>
              </w:rPr>
            </w:pPr>
            <w:r>
              <w:rPr>
                <w:bCs/>
                <w:color w:val="auto"/>
                <w:sz w:val="21"/>
                <w:szCs w:val="21"/>
              </w:rPr>
              <w:t>7</w:t>
            </w:r>
          </w:p>
        </w:tc>
        <w:tc>
          <w:tcPr>
            <w:tcW w:w="1250" w:type="pct"/>
            <w:vAlign w:val="center"/>
          </w:tcPr>
          <w:p>
            <w:pPr>
              <w:spacing w:line="240" w:lineRule="auto"/>
              <w:ind w:firstLine="0" w:firstLineChars="0"/>
              <w:jc w:val="center"/>
              <w:rPr>
                <w:bCs/>
                <w:color w:val="auto"/>
                <w:sz w:val="21"/>
                <w:szCs w:val="21"/>
              </w:rPr>
            </w:pPr>
            <w:r>
              <w:rPr>
                <w:bCs/>
                <w:color w:val="auto"/>
                <w:sz w:val="21"/>
                <w:szCs w:val="21"/>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669" w:type="pct"/>
            <w:vAlign w:val="center"/>
          </w:tcPr>
          <w:p>
            <w:pPr>
              <w:spacing w:line="240" w:lineRule="auto"/>
              <w:ind w:firstLine="0" w:firstLineChars="0"/>
              <w:jc w:val="center"/>
              <w:rPr>
                <w:bCs/>
                <w:color w:val="auto"/>
                <w:sz w:val="21"/>
                <w:szCs w:val="21"/>
              </w:rPr>
            </w:pPr>
            <w:r>
              <w:rPr>
                <w:bCs/>
                <w:color w:val="auto"/>
                <w:sz w:val="21"/>
                <w:szCs w:val="21"/>
              </w:rPr>
              <w:t>3</w:t>
            </w:r>
          </w:p>
        </w:tc>
        <w:tc>
          <w:tcPr>
            <w:tcW w:w="1831" w:type="pct"/>
            <w:vAlign w:val="center"/>
          </w:tcPr>
          <w:p>
            <w:pPr>
              <w:spacing w:line="240" w:lineRule="auto"/>
              <w:ind w:firstLine="0" w:firstLineChars="0"/>
              <w:jc w:val="center"/>
              <w:rPr>
                <w:bCs/>
                <w:color w:val="auto"/>
                <w:sz w:val="21"/>
                <w:szCs w:val="21"/>
              </w:rPr>
            </w:pPr>
            <w:r>
              <w:rPr>
                <w:bCs/>
                <w:color w:val="auto"/>
                <w:sz w:val="21"/>
                <w:szCs w:val="21"/>
              </w:rPr>
              <w:t>违反劳动纪律</w:t>
            </w:r>
          </w:p>
        </w:tc>
        <w:tc>
          <w:tcPr>
            <w:tcW w:w="1250" w:type="pct"/>
            <w:vAlign w:val="center"/>
          </w:tcPr>
          <w:p>
            <w:pPr>
              <w:spacing w:line="240" w:lineRule="auto"/>
              <w:ind w:firstLine="0" w:firstLineChars="0"/>
              <w:jc w:val="center"/>
              <w:rPr>
                <w:bCs/>
                <w:color w:val="auto"/>
                <w:sz w:val="21"/>
                <w:szCs w:val="21"/>
              </w:rPr>
            </w:pPr>
            <w:r>
              <w:rPr>
                <w:bCs/>
                <w:color w:val="auto"/>
                <w:sz w:val="21"/>
                <w:szCs w:val="21"/>
              </w:rPr>
              <w:t>5</w:t>
            </w:r>
          </w:p>
        </w:tc>
        <w:tc>
          <w:tcPr>
            <w:tcW w:w="1250" w:type="pct"/>
            <w:vAlign w:val="center"/>
          </w:tcPr>
          <w:p>
            <w:pPr>
              <w:spacing w:line="240" w:lineRule="auto"/>
              <w:ind w:firstLine="0" w:firstLineChars="0"/>
              <w:jc w:val="center"/>
              <w:rPr>
                <w:bCs/>
                <w:color w:val="auto"/>
                <w:sz w:val="21"/>
                <w:szCs w:val="21"/>
              </w:rPr>
            </w:pPr>
            <w:r>
              <w:rPr>
                <w:bCs/>
                <w:color w:val="auto"/>
                <w:sz w:val="21"/>
                <w:szCs w:val="21"/>
              </w:rPr>
              <w:t>4.3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9" w:type="pct"/>
            <w:vAlign w:val="center"/>
          </w:tcPr>
          <w:p>
            <w:pPr>
              <w:spacing w:line="240" w:lineRule="auto"/>
              <w:ind w:firstLine="0" w:firstLineChars="0"/>
              <w:jc w:val="center"/>
              <w:rPr>
                <w:bCs/>
                <w:color w:val="auto"/>
                <w:sz w:val="21"/>
                <w:szCs w:val="21"/>
              </w:rPr>
            </w:pPr>
            <w:r>
              <w:rPr>
                <w:bCs/>
                <w:color w:val="auto"/>
                <w:sz w:val="21"/>
                <w:szCs w:val="21"/>
              </w:rPr>
              <w:t>4</w:t>
            </w:r>
          </w:p>
        </w:tc>
        <w:tc>
          <w:tcPr>
            <w:tcW w:w="1831" w:type="pct"/>
            <w:vAlign w:val="center"/>
          </w:tcPr>
          <w:p>
            <w:pPr>
              <w:spacing w:line="240" w:lineRule="auto"/>
              <w:ind w:firstLine="0" w:firstLineChars="0"/>
              <w:jc w:val="center"/>
              <w:rPr>
                <w:bCs/>
                <w:color w:val="auto"/>
                <w:sz w:val="21"/>
                <w:szCs w:val="21"/>
              </w:rPr>
            </w:pPr>
            <w:r>
              <w:rPr>
                <w:bCs/>
                <w:color w:val="auto"/>
                <w:sz w:val="21"/>
                <w:szCs w:val="21"/>
              </w:rPr>
              <w:t>指挥失误</w:t>
            </w:r>
          </w:p>
        </w:tc>
        <w:tc>
          <w:tcPr>
            <w:tcW w:w="1250" w:type="pct"/>
            <w:vAlign w:val="center"/>
          </w:tcPr>
          <w:p>
            <w:pPr>
              <w:spacing w:line="240" w:lineRule="auto"/>
              <w:ind w:firstLine="0" w:firstLineChars="0"/>
              <w:jc w:val="center"/>
              <w:rPr>
                <w:bCs/>
                <w:color w:val="auto"/>
                <w:sz w:val="21"/>
                <w:szCs w:val="21"/>
              </w:rPr>
            </w:pPr>
            <w:r>
              <w:rPr>
                <w:bCs/>
                <w:color w:val="auto"/>
                <w:sz w:val="21"/>
                <w:szCs w:val="21"/>
              </w:rPr>
              <w:t>2</w:t>
            </w:r>
          </w:p>
        </w:tc>
        <w:tc>
          <w:tcPr>
            <w:tcW w:w="1250" w:type="pct"/>
            <w:vAlign w:val="center"/>
          </w:tcPr>
          <w:p>
            <w:pPr>
              <w:spacing w:line="240" w:lineRule="auto"/>
              <w:ind w:firstLine="0" w:firstLineChars="0"/>
              <w:jc w:val="center"/>
              <w:rPr>
                <w:bCs/>
                <w:color w:val="auto"/>
                <w:sz w:val="21"/>
                <w:szCs w:val="21"/>
              </w:rPr>
            </w:pPr>
            <w:r>
              <w:rPr>
                <w:bCs/>
                <w:color w:val="auto"/>
                <w:sz w:val="21"/>
                <w:szCs w:val="21"/>
              </w:rPr>
              <w:t>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9" w:type="pct"/>
            <w:vAlign w:val="center"/>
          </w:tcPr>
          <w:p>
            <w:pPr>
              <w:spacing w:line="240" w:lineRule="auto"/>
              <w:ind w:firstLine="0" w:firstLineChars="0"/>
              <w:jc w:val="center"/>
              <w:rPr>
                <w:bCs/>
                <w:color w:val="auto"/>
                <w:sz w:val="21"/>
                <w:szCs w:val="21"/>
              </w:rPr>
            </w:pPr>
            <w:r>
              <w:rPr>
                <w:bCs/>
                <w:color w:val="auto"/>
                <w:sz w:val="21"/>
                <w:szCs w:val="21"/>
              </w:rPr>
              <w:t>5</w:t>
            </w:r>
          </w:p>
        </w:tc>
        <w:tc>
          <w:tcPr>
            <w:tcW w:w="1831" w:type="pct"/>
            <w:vAlign w:val="center"/>
          </w:tcPr>
          <w:p>
            <w:pPr>
              <w:spacing w:line="240" w:lineRule="auto"/>
              <w:ind w:firstLine="0" w:firstLineChars="0"/>
              <w:jc w:val="center"/>
              <w:rPr>
                <w:bCs/>
                <w:color w:val="auto"/>
                <w:sz w:val="21"/>
                <w:szCs w:val="21"/>
              </w:rPr>
            </w:pPr>
            <w:r>
              <w:rPr>
                <w:bCs/>
                <w:color w:val="auto"/>
                <w:sz w:val="21"/>
                <w:szCs w:val="21"/>
              </w:rPr>
              <w:t>缺乏现场检查</w:t>
            </w:r>
          </w:p>
        </w:tc>
        <w:tc>
          <w:tcPr>
            <w:tcW w:w="1250" w:type="pct"/>
            <w:vAlign w:val="center"/>
          </w:tcPr>
          <w:p>
            <w:pPr>
              <w:spacing w:line="240" w:lineRule="auto"/>
              <w:ind w:firstLine="0" w:firstLineChars="0"/>
              <w:jc w:val="center"/>
              <w:rPr>
                <w:bCs/>
                <w:color w:val="auto"/>
                <w:sz w:val="21"/>
                <w:szCs w:val="21"/>
              </w:rPr>
            </w:pPr>
            <w:r>
              <w:rPr>
                <w:bCs/>
                <w:color w:val="auto"/>
                <w:sz w:val="21"/>
                <w:szCs w:val="21"/>
              </w:rPr>
              <w:t>2</w:t>
            </w:r>
          </w:p>
        </w:tc>
        <w:tc>
          <w:tcPr>
            <w:tcW w:w="1250" w:type="pct"/>
            <w:vAlign w:val="center"/>
          </w:tcPr>
          <w:p>
            <w:pPr>
              <w:spacing w:line="240" w:lineRule="auto"/>
              <w:ind w:firstLine="0" w:firstLineChars="0"/>
              <w:jc w:val="center"/>
              <w:rPr>
                <w:bCs/>
                <w:color w:val="auto"/>
                <w:sz w:val="21"/>
                <w:szCs w:val="21"/>
              </w:rPr>
            </w:pPr>
            <w:r>
              <w:rPr>
                <w:bCs/>
                <w:color w:val="auto"/>
                <w:sz w:val="21"/>
                <w:szCs w:val="21"/>
              </w:rPr>
              <w:t>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9" w:type="pct"/>
            <w:vAlign w:val="center"/>
          </w:tcPr>
          <w:p>
            <w:pPr>
              <w:spacing w:line="240" w:lineRule="auto"/>
              <w:ind w:firstLine="0" w:firstLineChars="0"/>
              <w:jc w:val="center"/>
              <w:rPr>
                <w:bCs/>
                <w:color w:val="auto"/>
                <w:sz w:val="21"/>
                <w:szCs w:val="21"/>
              </w:rPr>
            </w:pPr>
            <w:r>
              <w:rPr>
                <w:bCs/>
                <w:color w:val="auto"/>
                <w:sz w:val="21"/>
                <w:szCs w:val="21"/>
              </w:rPr>
              <w:t>6</w:t>
            </w:r>
          </w:p>
        </w:tc>
        <w:tc>
          <w:tcPr>
            <w:tcW w:w="1831" w:type="pct"/>
            <w:vAlign w:val="center"/>
          </w:tcPr>
          <w:p>
            <w:pPr>
              <w:spacing w:line="240" w:lineRule="auto"/>
              <w:ind w:firstLine="0" w:firstLineChars="0"/>
              <w:jc w:val="center"/>
              <w:rPr>
                <w:bCs/>
                <w:color w:val="auto"/>
                <w:sz w:val="21"/>
                <w:szCs w:val="21"/>
              </w:rPr>
            </w:pPr>
            <w:r>
              <w:rPr>
                <w:bCs/>
                <w:color w:val="auto"/>
                <w:sz w:val="21"/>
                <w:szCs w:val="21"/>
              </w:rPr>
              <w:t>个人防护用具缺陷</w:t>
            </w:r>
          </w:p>
        </w:tc>
        <w:tc>
          <w:tcPr>
            <w:tcW w:w="1250" w:type="pct"/>
            <w:vAlign w:val="center"/>
          </w:tcPr>
          <w:p>
            <w:pPr>
              <w:spacing w:line="240" w:lineRule="auto"/>
              <w:ind w:firstLine="0" w:firstLineChars="0"/>
              <w:jc w:val="center"/>
              <w:rPr>
                <w:bCs/>
                <w:color w:val="auto"/>
                <w:sz w:val="21"/>
                <w:szCs w:val="21"/>
              </w:rPr>
            </w:pPr>
            <w:r>
              <w:rPr>
                <w:bCs/>
                <w:color w:val="auto"/>
                <w:sz w:val="21"/>
                <w:szCs w:val="21"/>
              </w:rPr>
              <w:t>1</w:t>
            </w:r>
          </w:p>
        </w:tc>
        <w:tc>
          <w:tcPr>
            <w:tcW w:w="1250" w:type="pct"/>
            <w:vAlign w:val="center"/>
          </w:tcPr>
          <w:p>
            <w:pPr>
              <w:spacing w:line="240" w:lineRule="auto"/>
              <w:ind w:firstLine="0" w:firstLineChars="0"/>
              <w:jc w:val="center"/>
              <w:rPr>
                <w:bCs/>
                <w:color w:val="auto"/>
                <w:sz w:val="21"/>
                <w:szCs w:val="21"/>
              </w:rPr>
            </w:pPr>
            <w:r>
              <w:rPr>
                <w:bCs/>
                <w:color w:val="auto"/>
                <w:sz w:val="21"/>
                <w:szCs w:val="21"/>
              </w:rPr>
              <w:t>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9" w:type="pct"/>
            <w:vAlign w:val="center"/>
          </w:tcPr>
          <w:p>
            <w:pPr>
              <w:spacing w:line="240" w:lineRule="auto"/>
              <w:ind w:firstLine="0" w:firstLineChars="0"/>
              <w:jc w:val="center"/>
              <w:rPr>
                <w:bCs/>
                <w:color w:val="auto"/>
                <w:sz w:val="21"/>
                <w:szCs w:val="21"/>
              </w:rPr>
            </w:pPr>
            <w:r>
              <w:rPr>
                <w:bCs/>
                <w:color w:val="auto"/>
                <w:sz w:val="21"/>
                <w:szCs w:val="21"/>
              </w:rPr>
              <w:t>7</w:t>
            </w:r>
          </w:p>
        </w:tc>
        <w:tc>
          <w:tcPr>
            <w:tcW w:w="1831" w:type="pct"/>
            <w:vAlign w:val="center"/>
          </w:tcPr>
          <w:p>
            <w:pPr>
              <w:spacing w:line="240" w:lineRule="auto"/>
              <w:ind w:firstLine="0" w:firstLineChars="0"/>
              <w:jc w:val="center"/>
              <w:rPr>
                <w:bCs/>
                <w:color w:val="auto"/>
                <w:sz w:val="21"/>
                <w:szCs w:val="21"/>
              </w:rPr>
            </w:pPr>
            <w:r>
              <w:rPr>
                <w:bCs/>
                <w:color w:val="auto"/>
                <w:sz w:val="21"/>
                <w:szCs w:val="21"/>
              </w:rPr>
              <w:t>设备缺陷</w:t>
            </w:r>
          </w:p>
        </w:tc>
        <w:tc>
          <w:tcPr>
            <w:tcW w:w="1250" w:type="pct"/>
            <w:vAlign w:val="center"/>
          </w:tcPr>
          <w:p>
            <w:pPr>
              <w:spacing w:line="240" w:lineRule="auto"/>
              <w:ind w:firstLine="0" w:firstLineChars="0"/>
              <w:jc w:val="center"/>
              <w:rPr>
                <w:bCs/>
                <w:color w:val="auto"/>
                <w:sz w:val="21"/>
                <w:szCs w:val="21"/>
              </w:rPr>
            </w:pPr>
            <w:r>
              <w:rPr>
                <w:bCs/>
                <w:color w:val="auto"/>
                <w:sz w:val="21"/>
                <w:szCs w:val="21"/>
              </w:rPr>
              <w:t>25</w:t>
            </w:r>
          </w:p>
        </w:tc>
        <w:tc>
          <w:tcPr>
            <w:tcW w:w="1250" w:type="pct"/>
            <w:vAlign w:val="center"/>
          </w:tcPr>
          <w:p>
            <w:pPr>
              <w:spacing w:line="240" w:lineRule="auto"/>
              <w:ind w:firstLine="0" w:firstLineChars="0"/>
              <w:jc w:val="center"/>
              <w:rPr>
                <w:bCs/>
                <w:color w:val="auto"/>
                <w:sz w:val="21"/>
                <w:szCs w:val="21"/>
              </w:rPr>
            </w:pPr>
            <w:r>
              <w:rPr>
                <w:bCs/>
                <w:color w:val="auto"/>
                <w:sz w:val="21"/>
                <w:szCs w:val="21"/>
              </w:rPr>
              <w:t>21.6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9" w:type="pct"/>
            <w:vAlign w:val="center"/>
          </w:tcPr>
          <w:p>
            <w:pPr>
              <w:spacing w:line="240" w:lineRule="auto"/>
              <w:ind w:firstLine="0" w:firstLineChars="0"/>
              <w:jc w:val="center"/>
              <w:rPr>
                <w:bCs/>
                <w:color w:val="auto"/>
                <w:sz w:val="21"/>
                <w:szCs w:val="21"/>
              </w:rPr>
            </w:pPr>
            <w:r>
              <w:rPr>
                <w:bCs/>
                <w:color w:val="auto"/>
                <w:sz w:val="21"/>
                <w:szCs w:val="21"/>
              </w:rPr>
              <w:t>8</w:t>
            </w:r>
          </w:p>
        </w:tc>
        <w:tc>
          <w:tcPr>
            <w:tcW w:w="1831" w:type="pct"/>
            <w:vAlign w:val="center"/>
          </w:tcPr>
          <w:p>
            <w:pPr>
              <w:spacing w:line="240" w:lineRule="auto"/>
              <w:ind w:firstLine="0" w:firstLineChars="0"/>
              <w:jc w:val="center"/>
              <w:rPr>
                <w:bCs/>
                <w:color w:val="auto"/>
                <w:sz w:val="21"/>
                <w:szCs w:val="21"/>
              </w:rPr>
            </w:pPr>
            <w:r>
              <w:rPr>
                <w:bCs/>
                <w:color w:val="auto"/>
                <w:sz w:val="21"/>
                <w:szCs w:val="21"/>
              </w:rPr>
              <w:t>个人防护用品缺乏</w:t>
            </w:r>
          </w:p>
        </w:tc>
        <w:tc>
          <w:tcPr>
            <w:tcW w:w="1250" w:type="pct"/>
            <w:vAlign w:val="center"/>
          </w:tcPr>
          <w:p>
            <w:pPr>
              <w:spacing w:line="240" w:lineRule="auto"/>
              <w:ind w:firstLine="0" w:firstLineChars="0"/>
              <w:jc w:val="center"/>
              <w:rPr>
                <w:bCs/>
                <w:color w:val="auto"/>
                <w:sz w:val="21"/>
                <w:szCs w:val="21"/>
              </w:rPr>
            </w:pPr>
            <w:r>
              <w:rPr>
                <w:bCs/>
                <w:color w:val="auto"/>
                <w:sz w:val="21"/>
                <w:szCs w:val="21"/>
              </w:rPr>
              <w:t>9</w:t>
            </w:r>
          </w:p>
        </w:tc>
        <w:tc>
          <w:tcPr>
            <w:tcW w:w="1250" w:type="pct"/>
            <w:vAlign w:val="center"/>
          </w:tcPr>
          <w:p>
            <w:pPr>
              <w:spacing w:line="240" w:lineRule="auto"/>
              <w:ind w:firstLine="0" w:firstLineChars="0"/>
              <w:jc w:val="center"/>
              <w:rPr>
                <w:bCs/>
                <w:color w:val="auto"/>
                <w:sz w:val="21"/>
                <w:szCs w:val="21"/>
              </w:rPr>
            </w:pPr>
            <w:r>
              <w:rPr>
                <w:bCs/>
                <w:color w:val="auto"/>
                <w:sz w:val="21"/>
                <w:szCs w:val="21"/>
              </w:rPr>
              <w:t>7.8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9" w:type="pct"/>
            <w:vAlign w:val="center"/>
          </w:tcPr>
          <w:p>
            <w:pPr>
              <w:spacing w:line="240" w:lineRule="auto"/>
              <w:ind w:firstLine="0" w:firstLineChars="0"/>
              <w:jc w:val="center"/>
              <w:rPr>
                <w:bCs/>
                <w:color w:val="auto"/>
                <w:sz w:val="21"/>
                <w:szCs w:val="21"/>
              </w:rPr>
            </w:pPr>
            <w:r>
              <w:rPr>
                <w:bCs/>
                <w:color w:val="auto"/>
                <w:sz w:val="21"/>
                <w:szCs w:val="21"/>
              </w:rPr>
              <w:t>9</w:t>
            </w:r>
          </w:p>
        </w:tc>
        <w:tc>
          <w:tcPr>
            <w:tcW w:w="1831" w:type="pct"/>
            <w:vAlign w:val="center"/>
          </w:tcPr>
          <w:p>
            <w:pPr>
              <w:spacing w:line="240" w:lineRule="auto"/>
              <w:ind w:firstLine="0" w:firstLineChars="0"/>
              <w:jc w:val="center"/>
              <w:rPr>
                <w:bCs/>
                <w:color w:val="auto"/>
                <w:sz w:val="21"/>
                <w:szCs w:val="21"/>
              </w:rPr>
            </w:pPr>
            <w:r>
              <w:rPr>
                <w:bCs/>
                <w:color w:val="auto"/>
                <w:sz w:val="21"/>
                <w:szCs w:val="21"/>
              </w:rPr>
              <w:t>设计缺陷</w:t>
            </w:r>
          </w:p>
        </w:tc>
        <w:tc>
          <w:tcPr>
            <w:tcW w:w="1250" w:type="pct"/>
            <w:vAlign w:val="center"/>
          </w:tcPr>
          <w:p>
            <w:pPr>
              <w:spacing w:line="240" w:lineRule="auto"/>
              <w:ind w:firstLine="0" w:firstLineChars="0"/>
              <w:jc w:val="center"/>
              <w:rPr>
                <w:bCs/>
                <w:color w:val="auto"/>
                <w:sz w:val="21"/>
                <w:szCs w:val="21"/>
              </w:rPr>
            </w:pPr>
            <w:r>
              <w:rPr>
                <w:bCs/>
                <w:color w:val="auto"/>
                <w:sz w:val="21"/>
                <w:szCs w:val="21"/>
              </w:rPr>
              <w:t>2</w:t>
            </w:r>
          </w:p>
        </w:tc>
        <w:tc>
          <w:tcPr>
            <w:tcW w:w="1250" w:type="pct"/>
            <w:vAlign w:val="center"/>
          </w:tcPr>
          <w:p>
            <w:pPr>
              <w:spacing w:line="240" w:lineRule="auto"/>
              <w:ind w:firstLine="0" w:firstLineChars="0"/>
              <w:jc w:val="center"/>
              <w:rPr>
                <w:bCs/>
                <w:color w:val="auto"/>
                <w:sz w:val="21"/>
                <w:szCs w:val="21"/>
              </w:rPr>
            </w:pPr>
            <w:r>
              <w:rPr>
                <w:bCs/>
                <w:color w:val="auto"/>
                <w:sz w:val="21"/>
                <w:szCs w:val="21"/>
              </w:rPr>
              <w:t>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9" w:type="pct"/>
            <w:vAlign w:val="center"/>
          </w:tcPr>
          <w:p>
            <w:pPr>
              <w:spacing w:line="240" w:lineRule="auto"/>
              <w:ind w:firstLine="0" w:firstLineChars="0"/>
              <w:jc w:val="center"/>
              <w:rPr>
                <w:bCs/>
                <w:color w:val="auto"/>
                <w:sz w:val="21"/>
                <w:szCs w:val="21"/>
              </w:rPr>
            </w:pPr>
            <w:r>
              <w:rPr>
                <w:bCs/>
                <w:color w:val="auto"/>
                <w:sz w:val="21"/>
                <w:szCs w:val="21"/>
              </w:rPr>
              <w:t>10</w:t>
            </w:r>
          </w:p>
        </w:tc>
        <w:tc>
          <w:tcPr>
            <w:tcW w:w="1831" w:type="pct"/>
            <w:vAlign w:val="center"/>
          </w:tcPr>
          <w:p>
            <w:pPr>
              <w:spacing w:line="240" w:lineRule="auto"/>
              <w:ind w:firstLine="0" w:firstLineChars="0"/>
              <w:jc w:val="center"/>
              <w:rPr>
                <w:bCs/>
                <w:color w:val="auto"/>
                <w:sz w:val="21"/>
                <w:szCs w:val="21"/>
              </w:rPr>
            </w:pPr>
            <w:r>
              <w:rPr>
                <w:bCs/>
                <w:color w:val="auto"/>
                <w:sz w:val="21"/>
                <w:szCs w:val="21"/>
              </w:rPr>
              <w:t>原料质量控制不严</w:t>
            </w:r>
          </w:p>
        </w:tc>
        <w:tc>
          <w:tcPr>
            <w:tcW w:w="1250" w:type="pct"/>
            <w:vAlign w:val="center"/>
          </w:tcPr>
          <w:p>
            <w:pPr>
              <w:spacing w:line="240" w:lineRule="auto"/>
              <w:ind w:firstLine="0" w:firstLineChars="0"/>
              <w:jc w:val="center"/>
              <w:rPr>
                <w:bCs/>
                <w:color w:val="auto"/>
                <w:sz w:val="21"/>
                <w:szCs w:val="21"/>
              </w:rPr>
            </w:pPr>
            <w:r>
              <w:rPr>
                <w:bCs/>
                <w:color w:val="auto"/>
                <w:sz w:val="21"/>
                <w:szCs w:val="21"/>
              </w:rPr>
              <w:t>1</w:t>
            </w:r>
          </w:p>
        </w:tc>
        <w:tc>
          <w:tcPr>
            <w:tcW w:w="1250" w:type="pct"/>
            <w:vAlign w:val="center"/>
          </w:tcPr>
          <w:p>
            <w:pPr>
              <w:spacing w:line="240" w:lineRule="auto"/>
              <w:ind w:firstLine="0" w:firstLineChars="0"/>
              <w:jc w:val="center"/>
              <w:rPr>
                <w:bCs/>
                <w:color w:val="auto"/>
                <w:sz w:val="21"/>
                <w:szCs w:val="21"/>
              </w:rPr>
            </w:pPr>
            <w:r>
              <w:rPr>
                <w:bCs/>
                <w:color w:val="auto"/>
                <w:sz w:val="21"/>
                <w:szCs w:val="21"/>
              </w:rPr>
              <w:t>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9" w:type="pct"/>
            <w:vAlign w:val="center"/>
          </w:tcPr>
          <w:p>
            <w:pPr>
              <w:spacing w:line="240" w:lineRule="auto"/>
              <w:ind w:firstLine="0" w:firstLineChars="0"/>
              <w:jc w:val="center"/>
              <w:rPr>
                <w:bCs/>
                <w:color w:val="auto"/>
                <w:sz w:val="21"/>
                <w:szCs w:val="21"/>
              </w:rPr>
            </w:pPr>
            <w:r>
              <w:rPr>
                <w:bCs/>
                <w:color w:val="auto"/>
                <w:sz w:val="21"/>
                <w:szCs w:val="21"/>
              </w:rPr>
              <w:t>11</w:t>
            </w:r>
          </w:p>
        </w:tc>
        <w:tc>
          <w:tcPr>
            <w:tcW w:w="1831" w:type="pct"/>
            <w:vAlign w:val="center"/>
          </w:tcPr>
          <w:p>
            <w:pPr>
              <w:spacing w:line="240" w:lineRule="auto"/>
              <w:ind w:firstLine="0" w:firstLineChars="0"/>
              <w:jc w:val="center"/>
              <w:rPr>
                <w:bCs/>
                <w:color w:val="auto"/>
                <w:sz w:val="21"/>
                <w:szCs w:val="21"/>
              </w:rPr>
            </w:pPr>
            <w:r>
              <w:rPr>
                <w:bCs/>
                <w:color w:val="auto"/>
                <w:sz w:val="21"/>
                <w:szCs w:val="21"/>
              </w:rPr>
              <w:t>操作失灵</w:t>
            </w:r>
          </w:p>
        </w:tc>
        <w:tc>
          <w:tcPr>
            <w:tcW w:w="1250" w:type="pct"/>
            <w:vAlign w:val="center"/>
          </w:tcPr>
          <w:p>
            <w:pPr>
              <w:spacing w:line="240" w:lineRule="auto"/>
              <w:ind w:firstLine="0" w:firstLineChars="0"/>
              <w:jc w:val="center"/>
              <w:rPr>
                <w:bCs/>
                <w:color w:val="auto"/>
                <w:sz w:val="21"/>
                <w:szCs w:val="21"/>
              </w:rPr>
            </w:pPr>
            <w:r>
              <w:rPr>
                <w:bCs/>
                <w:color w:val="auto"/>
                <w:sz w:val="21"/>
                <w:szCs w:val="21"/>
              </w:rPr>
              <w:t>1</w:t>
            </w:r>
          </w:p>
        </w:tc>
        <w:tc>
          <w:tcPr>
            <w:tcW w:w="1250" w:type="pct"/>
            <w:vAlign w:val="center"/>
          </w:tcPr>
          <w:p>
            <w:pPr>
              <w:spacing w:line="240" w:lineRule="auto"/>
              <w:ind w:firstLine="0" w:firstLineChars="0"/>
              <w:jc w:val="center"/>
              <w:rPr>
                <w:bCs/>
                <w:color w:val="auto"/>
                <w:sz w:val="21"/>
                <w:szCs w:val="21"/>
              </w:rPr>
            </w:pPr>
            <w:r>
              <w:rPr>
                <w:bCs/>
                <w:color w:val="auto"/>
                <w:sz w:val="21"/>
                <w:szCs w:val="21"/>
              </w:rPr>
              <w:t>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9" w:type="pct"/>
            <w:vAlign w:val="center"/>
          </w:tcPr>
          <w:p>
            <w:pPr>
              <w:spacing w:line="240" w:lineRule="auto"/>
              <w:ind w:firstLine="0" w:firstLineChars="0"/>
              <w:jc w:val="center"/>
              <w:rPr>
                <w:bCs/>
                <w:color w:val="auto"/>
                <w:sz w:val="21"/>
                <w:szCs w:val="21"/>
              </w:rPr>
            </w:pPr>
            <w:r>
              <w:rPr>
                <w:bCs/>
                <w:color w:val="auto"/>
                <w:sz w:val="21"/>
                <w:szCs w:val="21"/>
              </w:rPr>
              <w:t>12</w:t>
            </w:r>
          </w:p>
        </w:tc>
        <w:tc>
          <w:tcPr>
            <w:tcW w:w="1831" w:type="pct"/>
            <w:vAlign w:val="center"/>
          </w:tcPr>
          <w:p>
            <w:pPr>
              <w:spacing w:line="240" w:lineRule="auto"/>
              <w:ind w:firstLine="0" w:firstLineChars="0"/>
              <w:jc w:val="center"/>
              <w:rPr>
                <w:bCs/>
                <w:color w:val="auto"/>
                <w:sz w:val="21"/>
                <w:szCs w:val="21"/>
              </w:rPr>
            </w:pPr>
            <w:r>
              <w:rPr>
                <w:bCs/>
                <w:color w:val="auto"/>
                <w:sz w:val="21"/>
                <w:szCs w:val="21"/>
              </w:rPr>
              <w:t>没有安全规程</w:t>
            </w:r>
          </w:p>
        </w:tc>
        <w:tc>
          <w:tcPr>
            <w:tcW w:w="1250" w:type="pct"/>
            <w:vAlign w:val="center"/>
          </w:tcPr>
          <w:p>
            <w:pPr>
              <w:spacing w:line="240" w:lineRule="auto"/>
              <w:ind w:firstLine="0" w:firstLineChars="0"/>
              <w:jc w:val="center"/>
              <w:rPr>
                <w:bCs/>
                <w:color w:val="auto"/>
                <w:sz w:val="21"/>
                <w:szCs w:val="21"/>
              </w:rPr>
            </w:pPr>
            <w:r>
              <w:rPr>
                <w:bCs/>
                <w:color w:val="auto"/>
                <w:sz w:val="21"/>
                <w:szCs w:val="21"/>
              </w:rPr>
              <w:t>1</w:t>
            </w:r>
          </w:p>
        </w:tc>
        <w:tc>
          <w:tcPr>
            <w:tcW w:w="1250" w:type="pct"/>
            <w:vAlign w:val="center"/>
          </w:tcPr>
          <w:p>
            <w:pPr>
              <w:spacing w:line="240" w:lineRule="auto"/>
              <w:ind w:firstLine="0" w:firstLineChars="0"/>
              <w:jc w:val="center"/>
              <w:rPr>
                <w:bCs/>
                <w:color w:val="auto"/>
                <w:sz w:val="21"/>
                <w:szCs w:val="21"/>
              </w:rPr>
            </w:pPr>
            <w:r>
              <w:rPr>
                <w:bCs/>
                <w:color w:val="auto"/>
                <w:sz w:val="21"/>
                <w:szCs w:val="21"/>
              </w:rPr>
              <w:t>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9" w:type="pct"/>
            <w:vAlign w:val="center"/>
          </w:tcPr>
          <w:p>
            <w:pPr>
              <w:spacing w:line="240" w:lineRule="auto"/>
              <w:ind w:firstLine="0" w:firstLineChars="0"/>
              <w:jc w:val="center"/>
              <w:rPr>
                <w:bCs/>
                <w:color w:val="auto"/>
                <w:sz w:val="21"/>
                <w:szCs w:val="21"/>
              </w:rPr>
            </w:pPr>
            <w:r>
              <w:rPr>
                <w:bCs/>
                <w:color w:val="auto"/>
                <w:sz w:val="21"/>
                <w:szCs w:val="21"/>
              </w:rPr>
              <w:t>13</w:t>
            </w:r>
          </w:p>
        </w:tc>
        <w:tc>
          <w:tcPr>
            <w:tcW w:w="1831" w:type="pct"/>
            <w:vAlign w:val="center"/>
          </w:tcPr>
          <w:p>
            <w:pPr>
              <w:spacing w:line="240" w:lineRule="auto"/>
              <w:ind w:firstLine="0" w:firstLineChars="0"/>
              <w:jc w:val="center"/>
              <w:rPr>
                <w:bCs/>
                <w:color w:val="auto"/>
                <w:sz w:val="21"/>
                <w:szCs w:val="21"/>
              </w:rPr>
            </w:pPr>
            <w:r>
              <w:rPr>
                <w:bCs/>
                <w:color w:val="auto"/>
                <w:sz w:val="21"/>
                <w:szCs w:val="21"/>
              </w:rPr>
              <w:t>合计</w:t>
            </w:r>
          </w:p>
        </w:tc>
        <w:tc>
          <w:tcPr>
            <w:tcW w:w="1250" w:type="pct"/>
            <w:vAlign w:val="center"/>
          </w:tcPr>
          <w:p>
            <w:pPr>
              <w:spacing w:line="240" w:lineRule="auto"/>
              <w:ind w:firstLine="0" w:firstLineChars="0"/>
              <w:jc w:val="center"/>
              <w:rPr>
                <w:bCs/>
                <w:color w:val="auto"/>
                <w:sz w:val="21"/>
                <w:szCs w:val="21"/>
              </w:rPr>
            </w:pPr>
            <w:r>
              <w:rPr>
                <w:bCs/>
                <w:color w:val="auto"/>
                <w:sz w:val="21"/>
                <w:szCs w:val="21"/>
              </w:rPr>
              <w:t>116</w:t>
            </w:r>
          </w:p>
        </w:tc>
        <w:tc>
          <w:tcPr>
            <w:tcW w:w="1250" w:type="pct"/>
            <w:vAlign w:val="center"/>
          </w:tcPr>
          <w:p>
            <w:pPr>
              <w:spacing w:line="240" w:lineRule="auto"/>
              <w:ind w:firstLine="0" w:firstLineChars="0"/>
              <w:jc w:val="center"/>
              <w:rPr>
                <w:bCs/>
                <w:color w:val="auto"/>
                <w:sz w:val="21"/>
                <w:szCs w:val="21"/>
              </w:rPr>
            </w:pPr>
            <w:r>
              <w:rPr>
                <w:bCs/>
                <w:color w:val="auto"/>
                <w:sz w:val="21"/>
                <w:szCs w:val="21"/>
              </w:rPr>
              <w:t>100</w:t>
            </w:r>
          </w:p>
        </w:tc>
      </w:tr>
    </w:tbl>
    <w:p>
      <w:pPr>
        <w:ind w:firstLine="480"/>
        <w:rPr>
          <w:bCs/>
          <w:color w:val="auto"/>
        </w:rPr>
      </w:pPr>
      <w:r>
        <w:rPr>
          <w:bCs/>
          <w:color w:val="auto"/>
        </w:rPr>
        <w:t>由表</w:t>
      </w:r>
      <w:r>
        <w:rPr>
          <w:rFonts w:hint="eastAsia"/>
          <w:bCs/>
          <w:color w:val="auto"/>
        </w:rPr>
        <w:t>6</w:t>
      </w:r>
      <w:r>
        <w:rPr>
          <w:bCs/>
          <w:color w:val="auto"/>
        </w:rPr>
        <w:t>.</w:t>
      </w:r>
      <w:r>
        <w:rPr>
          <w:rFonts w:hint="eastAsia"/>
          <w:bCs/>
          <w:color w:val="auto"/>
        </w:rPr>
        <w:t>4</w:t>
      </w:r>
      <w:r>
        <w:rPr>
          <w:bCs/>
          <w:color w:val="auto"/>
        </w:rPr>
        <w:t>-2可见，由于违反操作规程、违反劳动纪律、不懂技术操作等人为因素发生的事故最多，占65%以上，因设备缺陷、设计缺陷等引起事故次数约占23.3%。</w:t>
      </w:r>
    </w:p>
    <w:p>
      <w:pPr>
        <w:pStyle w:val="9"/>
        <w:spacing w:before="0" w:beforeLines="0" w:after="0" w:afterLines="0"/>
        <w:rPr>
          <w:color w:val="auto"/>
        </w:rPr>
      </w:pPr>
      <w:r>
        <w:rPr>
          <w:rFonts w:hint="eastAsia"/>
          <w:color w:val="auto"/>
        </w:rPr>
        <w:t>6</w:t>
      </w:r>
      <w:r>
        <w:rPr>
          <w:color w:val="auto"/>
        </w:rPr>
        <w:t>.</w:t>
      </w:r>
      <w:r>
        <w:rPr>
          <w:rFonts w:hint="eastAsia"/>
          <w:color w:val="auto"/>
        </w:rPr>
        <w:t>4</w:t>
      </w:r>
      <w:r>
        <w:rPr>
          <w:color w:val="auto"/>
        </w:rPr>
        <w:t>.</w:t>
      </w:r>
      <w:r>
        <w:rPr>
          <w:rFonts w:hint="eastAsia"/>
          <w:color w:val="auto"/>
          <w:lang w:val="en-US" w:eastAsia="zh-CN"/>
        </w:rPr>
        <w:t>6</w:t>
      </w:r>
      <w:r>
        <w:rPr>
          <w:color w:val="auto"/>
        </w:rPr>
        <w:t>物质危险性识别</w:t>
      </w:r>
    </w:p>
    <w:p>
      <w:pPr>
        <w:adjustRightInd w:val="0"/>
        <w:snapToGrid w:val="0"/>
        <w:ind w:firstLine="480"/>
        <w:rPr>
          <w:color w:val="auto"/>
          <w:szCs w:val="22"/>
        </w:rPr>
      </w:pPr>
      <w:r>
        <w:rPr>
          <w:rFonts w:hint="eastAsia"/>
          <w:color w:val="auto"/>
          <w:szCs w:val="22"/>
        </w:rPr>
        <w:t>拟建</w:t>
      </w:r>
      <w:r>
        <w:rPr>
          <w:color w:val="auto"/>
          <w:szCs w:val="22"/>
          <w:lang w:val="zh-CN"/>
        </w:rPr>
        <w:t>项目涉及的危险物质主要为</w:t>
      </w:r>
      <w:r>
        <w:rPr>
          <w:rFonts w:hint="eastAsia"/>
          <w:color w:val="auto"/>
          <w:szCs w:val="22"/>
          <w:lang w:val="zh-CN"/>
        </w:rPr>
        <w:t>导热油、废润滑、</w:t>
      </w:r>
      <w:r>
        <w:rPr>
          <w:rFonts w:hint="eastAsia"/>
          <w:color w:val="auto"/>
          <w:szCs w:val="22"/>
          <w:lang w:val="en-US" w:eastAsia="zh-CN"/>
        </w:rPr>
        <w:t>甲烷</w:t>
      </w:r>
      <w:r>
        <w:rPr>
          <w:rFonts w:hint="eastAsia"/>
          <w:color w:val="auto"/>
          <w:szCs w:val="22"/>
          <w:lang w:val="zh-CN"/>
        </w:rPr>
        <w:t>，</w:t>
      </w:r>
      <w:r>
        <w:rPr>
          <w:color w:val="auto"/>
          <w:szCs w:val="22"/>
          <w:lang w:val="zh-CN"/>
        </w:rPr>
        <w:t>被列入《危险化学品目录（2015版）》。</w:t>
      </w:r>
      <w:r>
        <w:rPr>
          <w:rFonts w:hint="eastAsia"/>
          <w:color w:val="auto"/>
          <w:szCs w:val="22"/>
        </w:rPr>
        <w:t>本项目涉及</w:t>
      </w:r>
      <w:r>
        <w:rPr>
          <w:color w:val="auto"/>
          <w:szCs w:val="22"/>
          <w:lang w:val="zh-CN"/>
        </w:rPr>
        <w:t>物质危险特征及毒性特征见表</w:t>
      </w:r>
      <w:r>
        <w:rPr>
          <w:rFonts w:hint="eastAsia"/>
          <w:color w:val="auto"/>
          <w:szCs w:val="22"/>
        </w:rPr>
        <w:t>6.1-2。</w:t>
      </w:r>
      <w:r>
        <w:rPr>
          <w:rFonts w:hint="eastAsia"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w:t>
      </w:r>
      <w:r>
        <w:rPr>
          <w:rFonts w:hint="eastAsia" w:ascii="Times New Roman" w:hAnsi="Times New Roman" w:cs="Times New Roman"/>
          <w:color w:val="auto"/>
          <w:highlight w:val="none"/>
          <w:lang w:val="en-US" w:eastAsia="zh-CN"/>
        </w:rPr>
        <w:t>不</w:t>
      </w:r>
      <w:r>
        <w:rPr>
          <w:rFonts w:hint="default" w:ascii="Times New Roman" w:hAnsi="Times New Roman" w:cs="Times New Roman"/>
          <w:color w:val="auto"/>
          <w:highlight w:val="none"/>
        </w:rPr>
        <w:t>涉及重点监管的危险化工工艺</w:t>
      </w:r>
    </w:p>
    <w:p>
      <w:pPr>
        <w:pStyle w:val="9"/>
        <w:spacing w:before="0" w:beforeLines="0" w:after="0" w:afterLines="0"/>
        <w:rPr>
          <w:color w:val="auto"/>
        </w:rPr>
      </w:pPr>
      <w:r>
        <w:rPr>
          <w:rFonts w:hint="eastAsia"/>
          <w:color w:val="auto"/>
        </w:rPr>
        <w:t>6</w:t>
      </w:r>
      <w:r>
        <w:rPr>
          <w:color w:val="auto"/>
        </w:rPr>
        <w:t>.</w:t>
      </w:r>
      <w:r>
        <w:rPr>
          <w:rFonts w:hint="eastAsia"/>
          <w:color w:val="auto"/>
        </w:rPr>
        <w:t>4</w:t>
      </w:r>
      <w:r>
        <w:rPr>
          <w:color w:val="auto"/>
        </w:rPr>
        <w:t>.</w:t>
      </w:r>
      <w:r>
        <w:rPr>
          <w:rFonts w:hint="eastAsia"/>
          <w:color w:val="auto"/>
          <w:lang w:val="en-US" w:eastAsia="zh-CN"/>
        </w:rPr>
        <w:t>7</w:t>
      </w:r>
      <w:r>
        <w:rPr>
          <w:color w:val="auto"/>
        </w:rPr>
        <w:t>生产</w:t>
      </w:r>
      <w:r>
        <w:rPr>
          <w:rFonts w:hint="eastAsia"/>
          <w:color w:val="auto"/>
        </w:rPr>
        <w:t>系统危险性</w:t>
      </w:r>
      <w:r>
        <w:rPr>
          <w:color w:val="auto"/>
        </w:rPr>
        <w:t>识别</w:t>
      </w:r>
    </w:p>
    <w:p>
      <w:pPr>
        <w:pStyle w:val="10"/>
        <w:keepNext/>
        <w:keepLines/>
        <w:pageBreakBefore w:val="0"/>
        <w:widowControl w:val="0"/>
        <w:kinsoku/>
        <w:wordWrap/>
        <w:overflowPunct/>
        <w:topLinePunct w:val="0"/>
        <w:autoSpaceDE/>
        <w:autoSpaceDN/>
        <w:bidi w:val="0"/>
        <w:adjustRightInd w:val="0"/>
        <w:snapToGrid w:val="0"/>
        <w:spacing w:before="157" w:beforeLines="50" w:after="0" w:line="240" w:lineRule="auto"/>
        <w:ind w:firstLine="0" w:firstLineChars="0"/>
        <w:textAlignment w:val="auto"/>
        <w:rPr>
          <w:rFonts w:hint="eastAsia"/>
          <w:color w:val="auto"/>
          <w:highlight w:val="none"/>
          <w:lang w:val="en-US" w:eastAsia="zh-CN"/>
        </w:rPr>
      </w:pPr>
      <w:r>
        <w:rPr>
          <w:rFonts w:hint="eastAsia"/>
          <w:color w:val="auto"/>
          <w:highlight w:val="none"/>
          <w:lang w:val="en-US" w:eastAsia="zh-CN"/>
        </w:rPr>
        <w:t>6.4.7.1 生产工艺危险性识别</w:t>
      </w:r>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t>根据国家安全监管总局《重点监管危险化工工艺目录》（2013 年完整版）</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w:t>
      </w:r>
      <w:r>
        <w:rPr>
          <w:rFonts w:hint="eastAsia" w:ascii="Times New Roman" w:hAnsi="Times New Roman" w:cs="Times New Roman"/>
          <w:color w:val="auto"/>
          <w:highlight w:val="none"/>
          <w:lang w:val="en-US" w:eastAsia="zh-CN"/>
        </w:rPr>
        <w:t>不</w:t>
      </w:r>
      <w:r>
        <w:rPr>
          <w:rFonts w:hint="default" w:ascii="Times New Roman" w:hAnsi="Times New Roman" w:cs="Times New Roman"/>
          <w:color w:val="auto"/>
          <w:highlight w:val="none"/>
        </w:rPr>
        <w:t>涉及重点监管的危险化工工艺。</w:t>
      </w:r>
    </w:p>
    <w:p>
      <w:pPr>
        <w:pStyle w:val="10"/>
        <w:keepNext/>
        <w:keepLines/>
        <w:pageBreakBefore w:val="0"/>
        <w:widowControl w:val="0"/>
        <w:kinsoku/>
        <w:wordWrap/>
        <w:overflowPunct/>
        <w:topLinePunct w:val="0"/>
        <w:autoSpaceDE/>
        <w:autoSpaceDN/>
        <w:bidi w:val="0"/>
        <w:adjustRightInd w:val="0"/>
        <w:snapToGrid w:val="0"/>
        <w:spacing w:before="157" w:beforeLines="50" w:after="0" w:line="240" w:lineRule="auto"/>
        <w:ind w:firstLine="0" w:firstLineChars="0"/>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6.</w:t>
      </w:r>
      <w:r>
        <w:rPr>
          <w:rFonts w:hint="eastAsia" w:cs="Times New Roman"/>
          <w:color w:val="auto"/>
          <w:highlight w:val="none"/>
          <w:lang w:val="en-US" w:eastAsia="zh-CN"/>
        </w:rPr>
        <w:t>4.7.2</w:t>
      </w:r>
      <w:r>
        <w:rPr>
          <w:rFonts w:hint="eastAsia" w:ascii="Times New Roman" w:hAnsi="Times New Roman" w:cs="Times New Roman"/>
          <w:color w:val="auto"/>
          <w:highlight w:val="none"/>
          <w:lang w:val="en-US" w:eastAsia="zh-CN"/>
        </w:rPr>
        <w:t xml:space="preserve"> 生产装置危险性识别</w:t>
      </w:r>
    </w:p>
    <w:p>
      <w:pPr>
        <w:pStyle w:val="2"/>
        <w:keepNext w:val="0"/>
        <w:keepLines w:val="0"/>
        <w:pageBreakBefore w:val="0"/>
        <w:widowControl w:val="0"/>
        <w:kinsoku/>
        <w:wordWrap/>
        <w:overflowPunct/>
        <w:topLinePunct w:val="0"/>
        <w:autoSpaceDE/>
        <w:autoSpaceDN/>
        <w:bidi w:val="0"/>
        <w:adjustRightInd/>
        <w:snapToGrid/>
        <w:spacing w:after="0"/>
        <w:ind w:left="0" w:leftChars="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本项目生产装置环境风险识别详见表</w:t>
      </w:r>
      <w:r>
        <w:rPr>
          <w:rFonts w:hint="eastAsia" w:ascii="Times New Roman" w:hAnsi="Times New Roman" w:cs="Times New Roman"/>
          <w:color w:val="auto"/>
          <w:highlight w:val="none"/>
          <w:lang w:val="en-US" w:eastAsia="zh-CN"/>
        </w:rPr>
        <w:t>6.</w:t>
      </w:r>
      <w:r>
        <w:rPr>
          <w:rFonts w:hint="eastAsia" w:cs="Times New Roman"/>
          <w:color w:val="auto"/>
          <w:highlight w:val="none"/>
          <w:lang w:val="en-US" w:eastAsia="zh-CN"/>
        </w:rPr>
        <w:t>4</w:t>
      </w: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rPr>
        <w:t>。</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黑体" w:cs="Times New Roman"/>
          <w:b w:val="0"/>
          <w:bCs/>
          <w:color w:val="auto"/>
          <w:sz w:val="21"/>
          <w:szCs w:val="21"/>
          <w:highlight w:val="none"/>
          <w:lang w:val="en-US" w:eastAsia="zh-CN"/>
        </w:rPr>
      </w:pPr>
      <w:r>
        <w:rPr>
          <w:rFonts w:hint="default" w:ascii="Times New Roman" w:hAnsi="Times New Roman" w:eastAsia="黑体" w:cs="Times New Roman"/>
          <w:b w:val="0"/>
          <w:bCs/>
          <w:color w:val="auto"/>
          <w:sz w:val="21"/>
          <w:szCs w:val="21"/>
          <w:highlight w:val="none"/>
          <w:lang w:val="zh-CN"/>
        </w:rPr>
        <w:t>表</w:t>
      </w:r>
      <w:r>
        <w:rPr>
          <w:rFonts w:hint="eastAsia" w:ascii="Times New Roman" w:hAnsi="Times New Roman" w:eastAsia="黑体" w:cs="Times New Roman"/>
          <w:b w:val="0"/>
          <w:bCs/>
          <w:color w:val="auto"/>
          <w:sz w:val="21"/>
          <w:szCs w:val="21"/>
          <w:highlight w:val="none"/>
          <w:lang w:val="en-US" w:eastAsia="zh-CN"/>
        </w:rPr>
        <w:t>6.</w:t>
      </w:r>
      <w:r>
        <w:rPr>
          <w:rFonts w:hint="eastAsia" w:eastAsia="黑体" w:cs="Times New Roman"/>
          <w:b w:val="0"/>
          <w:bCs/>
          <w:color w:val="auto"/>
          <w:sz w:val="21"/>
          <w:szCs w:val="21"/>
          <w:highlight w:val="none"/>
          <w:lang w:val="en-US" w:eastAsia="zh-CN"/>
        </w:rPr>
        <w:t>4</w:t>
      </w:r>
      <w:r>
        <w:rPr>
          <w:rFonts w:hint="eastAsia" w:ascii="Times New Roman" w:hAnsi="Times New Roman" w:eastAsia="黑体" w:cs="Times New Roman"/>
          <w:b w:val="0"/>
          <w:bCs/>
          <w:color w:val="auto"/>
          <w:sz w:val="21"/>
          <w:szCs w:val="21"/>
          <w:highlight w:val="none"/>
          <w:lang w:val="en-US" w:eastAsia="zh-CN"/>
        </w:rPr>
        <w:t>-3  本项目生产装置环境风险识别一览表</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77"/>
        <w:gridCol w:w="1178"/>
        <w:gridCol w:w="1195"/>
        <w:gridCol w:w="2939"/>
        <w:gridCol w:w="24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5"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生产装置</w:t>
            </w:r>
          </w:p>
        </w:tc>
        <w:tc>
          <w:tcPr>
            <w:tcW w:w="634"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天然气</w:t>
            </w:r>
          </w:p>
        </w:tc>
        <w:tc>
          <w:tcPr>
            <w:tcW w:w="643"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导热油</w:t>
            </w:r>
          </w:p>
        </w:tc>
        <w:tc>
          <w:tcPr>
            <w:tcW w:w="1582"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环境风险类型</w:t>
            </w:r>
          </w:p>
        </w:tc>
        <w:tc>
          <w:tcPr>
            <w:tcW w:w="1343"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环境影响途径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5"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导热油罐</w:t>
            </w:r>
          </w:p>
        </w:tc>
        <w:tc>
          <w:tcPr>
            <w:tcW w:w="634"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p>
        </w:tc>
        <w:tc>
          <w:tcPr>
            <w:tcW w:w="643"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default" w:ascii="Arial" w:hAnsi="Arial" w:cs="Arial"/>
                <w:color w:val="auto"/>
                <w:sz w:val="21"/>
                <w:szCs w:val="21"/>
                <w:highlight w:val="none"/>
                <w:vertAlign w:val="baseline"/>
                <w:lang w:val="en-US" w:eastAsia="zh-CN"/>
              </w:rPr>
              <w:t>√</w:t>
            </w:r>
          </w:p>
        </w:tc>
        <w:tc>
          <w:tcPr>
            <w:tcW w:w="1582" w:type="pct"/>
            <w:vMerge w:val="restar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Arial" w:hAnsi="Arial" w:cs="Arial"/>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rPr>
              <w:t>泄漏</w:t>
            </w:r>
            <w:r>
              <w:rPr>
                <w:rFonts w:hint="eastAsia"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rPr>
              <w:t>火灾爆炸引发次生/伴生污染物排放</w:t>
            </w:r>
          </w:p>
        </w:tc>
        <w:tc>
          <w:tcPr>
            <w:tcW w:w="1343" w:type="pct"/>
            <w:vMerge w:val="restar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rPr>
              <w:t>大气</w:t>
            </w:r>
            <w:r>
              <w:rPr>
                <w:rFonts w:hint="eastAsia" w:ascii="Times New Roman" w:hAnsi="Times New Roman" w:eastAsia="宋体" w:cs="Times New Roman"/>
                <w:color w:val="auto"/>
                <w:sz w:val="21"/>
                <w:szCs w:val="21"/>
                <w:highlight w:val="none"/>
                <w:vertAlign w:val="baseline"/>
                <w:lang w:val="en-US" w:eastAsia="zh-CN"/>
              </w:rPr>
              <w:t>扩散</w:t>
            </w:r>
            <w:r>
              <w:rPr>
                <w:rFonts w:hint="default" w:ascii="Times New Roman" w:hAnsi="Times New Roman" w:eastAsia="宋体" w:cs="Times New Roman"/>
                <w:color w:val="auto"/>
                <w:sz w:val="21"/>
                <w:szCs w:val="21"/>
                <w:highlight w:val="none"/>
                <w:vertAlign w:val="baseline"/>
              </w:rPr>
              <w:t>、地表</w:t>
            </w:r>
            <w:r>
              <w:rPr>
                <w:rFonts w:hint="eastAsia" w:ascii="Times New Roman" w:hAnsi="Times New Roman" w:eastAsia="宋体" w:cs="Times New Roman"/>
                <w:color w:val="auto"/>
                <w:sz w:val="21"/>
                <w:szCs w:val="21"/>
                <w:highlight w:val="none"/>
                <w:vertAlign w:val="baseline"/>
                <w:lang w:val="en-US" w:eastAsia="zh-CN"/>
              </w:rPr>
              <w:t>水径流</w:t>
            </w:r>
            <w:r>
              <w:rPr>
                <w:rFonts w:hint="default" w:ascii="Times New Roman" w:hAnsi="Times New Roman" w:eastAsia="宋体" w:cs="Times New Roman"/>
                <w:color w:val="auto"/>
                <w:sz w:val="21"/>
                <w:szCs w:val="21"/>
                <w:highlight w:val="none"/>
                <w:vertAlign w:val="baseline"/>
              </w:rPr>
              <w:t>、</w:t>
            </w:r>
            <w:r>
              <w:rPr>
                <w:rFonts w:hint="eastAsia" w:ascii="Times New Roman" w:hAnsi="Times New Roman" w:eastAsia="宋体" w:cs="Times New Roman"/>
                <w:color w:val="auto"/>
                <w:sz w:val="21"/>
                <w:szCs w:val="21"/>
                <w:highlight w:val="none"/>
                <w:vertAlign w:val="baseline"/>
                <w:lang w:val="en-US" w:eastAsia="zh-CN"/>
              </w:rPr>
              <w:t>垂直入渗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5"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锅炉</w:t>
            </w:r>
          </w:p>
        </w:tc>
        <w:tc>
          <w:tcPr>
            <w:tcW w:w="634"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Arial" w:hAnsi="Arial" w:cs="Arial"/>
                <w:color w:val="auto"/>
                <w:sz w:val="21"/>
                <w:szCs w:val="21"/>
                <w:highlight w:val="none"/>
                <w:vertAlign w:val="baseline"/>
                <w:lang w:val="en-US" w:eastAsia="zh-CN"/>
              </w:rPr>
            </w:pPr>
            <w:r>
              <w:rPr>
                <w:rFonts w:hint="default" w:ascii="Arial" w:hAnsi="Arial" w:cs="Arial"/>
                <w:color w:val="auto"/>
                <w:sz w:val="21"/>
                <w:szCs w:val="21"/>
                <w:highlight w:val="none"/>
                <w:vertAlign w:val="baseline"/>
                <w:lang w:val="en-US" w:eastAsia="zh-CN"/>
              </w:rPr>
              <w:t>√</w:t>
            </w:r>
          </w:p>
        </w:tc>
        <w:tc>
          <w:tcPr>
            <w:tcW w:w="643"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Arial" w:hAnsi="Arial" w:cs="Arial"/>
                <w:color w:val="auto"/>
                <w:sz w:val="21"/>
                <w:szCs w:val="21"/>
                <w:highlight w:val="none"/>
                <w:vertAlign w:val="baseline"/>
                <w:lang w:val="en-US" w:eastAsia="zh-CN"/>
              </w:rPr>
            </w:pPr>
          </w:p>
        </w:tc>
        <w:tc>
          <w:tcPr>
            <w:tcW w:w="1582" w:type="pct"/>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rPr>
            </w:pPr>
          </w:p>
        </w:tc>
        <w:tc>
          <w:tcPr>
            <w:tcW w:w="1343" w:type="pct"/>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rPr>
            </w:pPr>
          </w:p>
        </w:tc>
      </w:tr>
    </w:tbl>
    <w:p>
      <w:pPr>
        <w:keepNext w:val="0"/>
        <w:keepLines w:val="0"/>
        <w:pageBreakBefore w:val="0"/>
        <w:widowControl w:val="0"/>
        <w:kinsoku/>
        <w:wordWrap/>
        <w:overflowPunct/>
        <w:topLinePunct w:val="0"/>
        <w:autoSpaceDE/>
        <w:autoSpaceDN/>
        <w:bidi w:val="0"/>
        <w:adjustRightInd/>
        <w:snapToGrid/>
        <w:ind w:left="0" w:leftChars="0" w:firstLine="480" w:firstLineChars="200"/>
        <w:jc w:val="both"/>
        <w:textAlignment w:val="auto"/>
        <w:rPr>
          <w:rFonts w:hint="default"/>
          <w:color w:val="auto"/>
          <w:highlight w:val="none"/>
        </w:rPr>
      </w:pPr>
      <w:r>
        <w:rPr>
          <w:rFonts w:hint="default"/>
          <w:color w:val="auto"/>
          <w:highlight w:val="none"/>
        </w:rPr>
        <w:t>由</w:t>
      </w:r>
      <w:r>
        <w:rPr>
          <w:rFonts w:hint="eastAsia"/>
          <w:color w:val="auto"/>
          <w:highlight w:val="none"/>
          <w:lang w:val="en-US" w:eastAsia="zh-CN"/>
        </w:rPr>
        <w:t>上表</w:t>
      </w:r>
      <w:r>
        <w:rPr>
          <w:rFonts w:hint="default"/>
          <w:color w:val="auto"/>
          <w:highlight w:val="none"/>
        </w:rPr>
        <w:t>风险识别结果可以看出，本项目</w:t>
      </w:r>
      <w:r>
        <w:rPr>
          <w:rFonts w:hint="eastAsia"/>
          <w:color w:val="auto"/>
          <w:highlight w:val="none"/>
          <w:lang w:val="en-US" w:eastAsia="zh-CN"/>
        </w:rPr>
        <w:t>生产</w:t>
      </w:r>
      <w:r>
        <w:rPr>
          <w:rFonts w:hint="default"/>
          <w:color w:val="auto"/>
          <w:highlight w:val="none"/>
        </w:rPr>
        <w:t>装置环境风险类型主要为危险物质</w:t>
      </w:r>
      <w:r>
        <w:rPr>
          <w:rFonts w:hint="eastAsia"/>
          <w:color w:val="auto"/>
          <w:highlight w:val="none"/>
          <w:lang w:val="en-US" w:eastAsia="zh-CN"/>
        </w:rPr>
        <w:t>泄漏、物料焚烧</w:t>
      </w:r>
      <w:r>
        <w:rPr>
          <w:rFonts w:hint="default"/>
          <w:color w:val="auto"/>
          <w:highlight w:val="none"/>
        </w:rPr>
        <w:t>对环境造成的直接污染，以及火灾、爆炸等引发的伴生/次生污染物排放对环境的次生/伴生污染。</w:t>
      </w:r>
      <w:r>
        <w:rPr>
          <w:rFonts w:hint="eastAsia"/>
          <w:color w:val="auto"/>
          <w:highlight w:val="none"/>
          <w:lang w:val="en-US" w:eastAsia="zh-CN"/>
        </w:rPr>
        <w:t>在生产运行中存在着设备失修、误操作等原因导致设备泄漏，以及由于静电积聚、管道接口/阀门/机泵等泄漏、误操作和明火引起火灾爆炸事故的可能性。</w:t>
      </w:r>
      <w:r>
        <w:rPr>
          <w:rFonts w:hint="default"/>
          <w:color w:val="auto"/>
          <w:highlight w:val="none"/>
        </w:rPr>
        <w:t>事故发生后，污染物可能通过扩散、下渗、地表径流、地下径流等污染周围环境。</w:t>
      </w:r>
    </w:p>
    <w:p>
      <w:pPr>
        <w:pStyle w:val="10"/>
        <w:keepNext/>
        <w:keepLines/>
        <w:pageBreakBefore w:val="0"/>
        <w:widowControl w:val="0"/>
        <w:kinsoku/>
        <w:wordWrap/>
        <w:overflowPunct/>
        <w:topLinePunct w:val="0"/>
        <w:autoSpaceDE/>
        <w:autoSpaceDN/>
        <w:bidi w:val="0"/>
        <w:adjustRightInd w:val="0"/>
        <w:snapToGrid w:val="0"/>
        <w:spacing w:before="157" w:beforeLines="50" w:after="0" w:line="240" w:lineRule="auto"/>
        <w:ind w:firstLine="0" w:firstLineChars="0"/>
        <w:textAlignment w:val="auto"/>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6.</w:t>
      </w:r>
      <w:r>
        <w:rPr>
          <w:rFonts w:hint="eastAsia" w:cs="Times New Roman"/>
          <w:color w:val="auto"/>
          <w:highlight w:val="none"/>
          <w:lang w:val="en-US" w:eastAsia="zh-CN"/>
        </w:rPr>
        <w:t>4.7.3</w:t>
      </w:r>
      <w:r>
        <w:rPr>
          <w:rFonts w:hint="eastAsia" w:ascii="Times New Roman" w:hAnsi="Times New Roman" w:cs="Times New Roman"/>
          <w:color w:val="auto"/>
          <w:highlight w:val="none"/>
          <w:lang w:val="en-US" w:eastAsia="zh-CN"/>
        </w:rPr>
        <w:t xml:space="preserve"> 储运设施危险性识别</w:t>
      </w:r>
    </w:p>
    <w:p>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通过对企业储运设施进行识别，危废仓库和天然气管道存在危险性，环境风险识别详见表</w:t>
      </w:r>
      <w:r>
        <w:rPr>
          <w:rFonts w:hint="eastAsia" w:cs="Times New Roman"/>
          <w:color w:val="auto"/>
          <w:kern w:val="0"/>
          <w:sz w:val="24"/>
          <w:szCs w:val="24"/>
          <w:highlight w:val="none"/>
          <w:lang w:val="en-US" w:eastAsia="zh-CN" w:bidi="ar"/>
        </w:rPr>
        <w:t>6.4-4</w:t>
      </w:r>
      <w:r>
        <w:rPr>
          <w:rFonts w:hint="eastAsia" w:ascii="Times New Roman" w:hAnsi="Times New Roman" w:eastAsia="宋体" w:cs="Times New Roman"/>
          <w:color w:val="auto"/>
          <w:kern w:val="0"/>
          <w:sz w:val="24"/>
          <w:szCs w:val="24"/>
          <w:highlight w:val="none"/>
          <w:lang w:val="en-US" w:eastAsia="zh-CN" w:bidi="ar"/>
        </w:rPr>
        <w:t>。</w:t>
      </w:r>
    </w:p>
    <w:p>
      <w:pPr>
        <w:pStyle w:val="2"/>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黑体" w:cs="Times New Roman"/>
          <w:color w:val="auto"/>
          <w:kern w:val="0"/>
          <w:sz w:val="21"/>
          <w:szCs w:val="21"/>
          <w:highlight w:val="none"/>
          <w:lang w:val="en-US" w:eastAsia="zh-CN" w:bidi="ar"/>
        </w:rPr>
      </w:pPr>
      <w:r>
        <w:rPr>
          <w:rFonts w:hint="default" w:ascii="Times New Roman" w:hAnsi="Times New Roman" w:eastAsia="黑体" w:cs="Times New Roman"/>
          <w:color w:val="auto"/>
          <w:kern w:val="0"/>
          <w:sz w:val="21"/>
          <w:szCs w:val="21"/>
          <w:highlight w:val="none"/>
          <w:lang w:val="en-US" w:eastAsia="zh-CN" w:bidi="ar"/>
        </w:rPr>
        <w:t>表6.</w:t>
      </w:r>
      <w:r>
        <w:rPr>
          <w:rFonts w:hint="eastAsia" w:eastAsia="黑体" w:cs="Times New Roman"/>
          <w:color w:val="auto"/>
          <w:kern w:val="0"/>
          <w:sz w:val="21"/>
          <w:szCs w:val="21"/>
          <w:highlight w:val="none"/>
          <w:lang w:val="en-US" w:eastAsia="zh-CN" w:bidi="ar"/>
        </w:rPr>
        <w:t>4-4</w:t>
      </w:r>
      <w:r>
        <w:rPr>
          <w:rFonts w:hint="default" w:ascii="Times New Roman" w:hAnsi="Times New Roman" w:eastAsia="黑体" w:cs="Times New Roman"/>
          <w:color w:val="auto"/>
          <w:kern w:val="0"/>
          <w:sz w:val="21"/>
          <w:szCs w:val="21"/>
          <w:highlight w:val="none"/>
          <w:lang w:val="en-US" w:eastAsia="zh-CN" w:bidi="ar"/>
        </w:rPr>
        <w:t xml:space="preserve">  本项目储运设施环境风险识别一览表</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33"/>
        <w:gridCol w:w="1116"/>
        <w:gridCol w:w="959"/>
        <w:gridCol w:w="1287"/>
        <w:gridCol w:w="1904"/>
        <w:gridCol w:w="18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148"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储运设施</w:t>
            </w:r>
          </w:p>
        </w:tc>
        <w:tc>
          <w:tcPr>
            <w:tcW w:w="601"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天然气</w:t>
            </w:r>
          </w:p>
        </w:tc>
        <w:tc>
          <w:tcPr>
            <w:tcW w:w="516"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导热油</w:t>
            </w:r>
          </w:p>
        </w:tc>
        <w:tc>
          <w:tcPr>
            <w:tcW w:w="693"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废润滑油</w:t>
            </w:r>
          </w:p>
        </w:tc>
        <w:tc>
          <w:tcPr>
            <w:tcW w:w="1025"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环境风险类型</w:t>
            </w:r>
          </w:p>
        </w:tc>
        <w:tc>
          <w:tcPr>
            <w:tcW w:w="1015"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环境影响途径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148"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危废仓库</w:t>
            </w:r>
          </w:p>
        </w:tc>
        <w:tc>
          <w:tcPr>
            <w:tcW w:w="601"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p>
        </w:tc>
        <w:tc>
          <w:tcPr>
            <w:tcW w:w="516"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p>
        </w:tc>
        <w:tc>
          <w:tcPr>
            <w:tcW w:w="693"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default" w:ascii="Arial" w:hAnsi="Arial" w:cs="Arial"/>
                <w:color w:val="auto"/>
                <w:sz w:val="21"/>
                <w:szCs w:val="21"/>
                <w:highlight w:val="none"/>
                <w:vertAlign w:val="baseline"/>
                <w:lang w:val="en-US" w:eastAsia="zh-CN"/>
              </w:rPr>
              <w:t>√</w:t>
            </w:r>
          </w:p>
        </w:tc>
        <w:tc>
          <w:tcPr>
            <w:tcW w:w="1025" w:type="pct"/>
            <w:vMerge w:val="restar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Arial" w:hAnsi="Arial" w:cs="Arial"/>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rPr>
              <w:t>泄漏</w:t>
            </w:r>
            <w:r>
              <w:rPr>
                <w:rFonts w:hint="eastAsia"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rPr>
              <w:t>火灾爆炸引发次生/伴生污染物排放</w:t>
            </w:r>
          </w:p>
        </w:tc>
        <w:tc>
          <w:tcPr>
            <w:tcW w:w="1015" w:type="pct"/>
            <w:vMerge w:val="restar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rPr>
              <w:t>大气</w:t>
            </w:r>
            <w:r>
              <w:rPr>
                <w:rFonts w:hint="eastAsia" w:ascii="Times New Roman" w:hAnsi="Times New Roman" w:eastAsia="宋体" w:cs="Times New Roman"/>
                <w:color w:val="auto"/>
                <w:sz w:val="21"/>
                <w:szCs w:val="21"/>
                <w:highlight w:val="none"/>
                <w:vertAlign w:val="baseline"/>
                <w:lang w:val="en-US" w:eastAsia="zh-CN"/>
              </w:rPr>
              <w:t>扩散</w:t>
            </w:r>
            <w:r>
              <w:rPr>
                <w:rFonts w:hint="default" w:ascii="Times New Roman" w:hAnsi="Times New Roman" w:eastAsia="宋体" w:cs="Times New Roman"/>
                <w:color w:val="auto"/>
                <w:sz w:val="21"/>
                <w:szCs w:val="21"/>
                <w:highlight w:val="none"/>
                <w:vertAlign w:val="baseline"/>
              </w:rPr>
              <w:t>、地表</w:t>
            </w:r>
            <w:r>
              <w:rPr>
                <w:rFonts w:hint="eastAsia" w:ascii="Times New Roman" w:hAnsi="Times New Roman" w:eastAsia="宋体" w:cs="Times New Roman"/>
                <w:color w:val="auto"/>
                <w:sz w:val="21"/>
                <w:szCs w:val="21"/>
                <w:highlight w:val="none"/>
                <w:vertAlign w:val="baseline"/>
                <w:lang w:val="en-US" w:eastAsia="zh-CN"/>
              </w:rPr>
              <w:t>水径流</w:t>
            </w:r>
            <w:r>
              <w:rPr>
                <w:rFonts w:hint="default" w:ascii="Times New Roman" w:hAnsi="Times New Roman" w:eastAsia="宋体" w:cs="Times New Roman"/>
                <w:color w:val="auto"/>
                <w:sz w:val="21"/>
                <w:szCs w:val="21"/>
                <w:highlight w:val="none"/>
                <w:vertAlign w:val="baseline"/>
              </w:rPr>
              <w:t>、</w:t>
            </w:r>
            <w:r>
              <w:rPr>
                <w:rFonts w:hint="eastAsia" w:ascii="Times New Roman" w:hAnsi="Times New Roman" w:eastAsia="宋体" w:cs="Times New Roman"/>
                <w:color w:val="auto"/>
                <w:sz w:val="21"/>
                <w:szCs w:val="21"/>
                <w:highlight w:val="none"/>
                <w:vertAlign w:val="baseline"/>
                <w:lang w:val="en-US" w:eastAsia="zh-CN"/>
              </w:rPr>
              <w:t>垂直入渗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148"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天然气管道</w:t>
            </w:r>
          </w:p>
        </w:tc>
        <w:tc>
          <w:tcPr>
            <w:tcW w:w="601"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Arial" w:hAnsi="Arial" w:cs="Arial"/>
                <w:color w:val="auto"/>
                <w:sz w:val="21"/>
                <w:szCs w:val="21"/>
                <w:highlight w:val="none"/>
                <w:vertAlign w:val="baseline"/>
                <w:lang w:val="en-US" w:eastAsia="zh-CN"/>
              </w:rPr>
            </w:pPr>
            <w:r>
              <w:rPr>
                <w:rFonts w:hint="default" w:ascii="Arial" w:hAnsi="Arial" w:cs="Arial"/>
                <w:color w:val="auto"/>
                <w:sz w:val="21"/>
                <w:szCs w:val="21"/>
                <w:highlight w:val="none"/>
                <w:vertAlign w:val="baseline"/>
                <w:lang w:val="en-US" w:eastAsia="zh-CN"/>
              </w:rPr>
              <w:t>√</w:t>
            </w:r>
          </w:p>
        </w:tc>
        <w:tc>
          <w:tcPr>
            <w:tcW w:w="516"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Arial" w:hAnsi="Arial" w:cs="Arial"/>
                <w:color w:val="auto"/>
                <w:sz w:val="21"/>
                <w:szCs w:val="21"/>
                <w:highlight w:val="none"/>
                <w:vertAlign w:val="baseline"/>
                <w:lang w:val="en-US" w:eastAsia="zh-CN"/>
              </w:rPr>
            </w:pPr>
          </w:p>
        </w:tc>
        <w:tc>
          <w:tcPr>
            <w:tcW w:w="693"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Arial" w:hAnsi="Arial" w:cs="Arial"/>
                <w:color w:val="auto"/>
                <w:sz w:val="21"/>
                <w:szCs w:val="21"/>
                <w:highlight w:val="none"/>
                <w:vertAlign w:val="baseline"/>
                <w:lang w:val="en-US" w:eastAsia="zh-CN"/>
              </w:rPr>
            </w:pPr>
          </w:p>
        </w:tc>
        <w:tc>
          <w:tcPr>
            <w:tcW w:w="1025" w:type="pct"/>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rPr>
            </w:pPr>
          </w:p>
        </w:tc>
        <w:tc>
          <w:tcPr>
            <w:tcW w:w="1015" w:type="pct"/>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148"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导热油罐</w:t>
            </w:r>
          </w:p>
        </w:tc>
        <w:tc>
          <w:tcPr>
            <w:tcW w:w="601"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Arial" w:hAnsi="Arial" w:cs="Arial"/>
                <w:color w:val="auto"/>
                <w:sz w:val="21"/>
                <w:szCs w:val="21"/>
                <w:highlight w:val="none"/>
                <w:vertAlign w:val="baseline"/>
                <w:lang w:val="en-US" w:eastAsia="zh-CN"/>
              </w:rPr>
            </w:pPr>
          </w:p>
        </w:tc>
        <w:tc>
          <w:tcPr>
            <w:tcW w:w="516"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Arial" w:hAnsi="Arial" w:cs="Arial"/>
                <w:color w:val="auto"/>
                <w:sz w:val="21"/>
                <w:szCs w:val="21"/>
                <w:highlight w:val="none"/>
                <w:vertAlign w:val="baseline"/>
                <w:lang w:val="en-US" w:eastAsia="zh-CN"/>
              </w:rPr>
            </w:pPr>
            <w:r>
              <w:rPr>
                <w:rFonts w:hint="default" w:ascii="Arial" w:hAnsi="Arial" w:cs="Arial"/>
                <w:color w:val="auto"/>
                <w:sz w:val="21"/>
                <w:szCs w:val="21"/>
                <w:highlight w:val="none"/>
                <w:vertAlign w:val="baseline"/>
                <w:lang w:val="en-US" w:eastAsia="zh-CN"/>
              </w:rPr>
              <w:t>√</w:t>
            </w:r>
          </w:p>
        </w:tc>
        <w:tc>
          <w:tcPr>
            <w:tcW w:w="693"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Arial" w:hAnsi="Arial" w:cs="Arial"/>
                <w:color w:val="auto"/>
                <w:sz w:val="21"/>
                <w:szCs w:val="21"/>
                <w:highlight w:val="none"/>
                <w:vertAlign w:val="baseline"/>
                <w:lang w:val="en-US" w:eastAsia="zh-CN"/>
              </w:rPr>
            </w:pPr>
          </w:p>
        </w:tc>
        <w:tc>
          <w:tcPr>
            <w:tcW w:w="1025" w:type="pct"/>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rPr>
            </w:pPr>
          </w:p>
        </w:tc>
        <w:tc>
          <w:tcPr>
            <w:tcW w:w="1015" w:type="pct"/>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312" w:lineRule="atLeast"/>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rPr>
            </w:pPr>
          </w:p>
        </w:tc>
      </w:tr>
    </w:tbl>
    <w:p>
      <w:pPr>
        <w:pStyle w:val="10"/>
        <w:spacing w:line="360" w:lineRule="auto"/>
        <w:rPr>
          <w:rFonts w:eastAsia="黑体"/>
          <w:color w:val="auto"/>
        </w:rPr>
      </w:pPr>
      <w:r>
        <w:rPr>
          <w:rFonts w:hint="eastAsia" w:eastAsia="黑体"/>
          <w:color w:val="auto"/>
        </w:rPr>
        <w:t>6</w:t>
      </w:r>
      <w:r>
        <w:rPr>
          <w:rFonts w:eastAsia="黑体"/>
          <w:color w:val="auto"/>
        </w:rPr>
        <w:t>.</w:t>
      </w:r>
      <w:r>
        <w:rPr>
          <w:rFonts w:hint="eastAsia" w:eastAsia="黑体"/>
          <w:color w:val="auto"/>
        </w:rPr>
        <w:t>4</w:t>
      </w:r>
      <w:r>
        <w:rPr>
          <w:rFonts w:eastAsia="黑体"/>
          <w:color w:val="auto"/>
        </w:rPr>
        <w:t>.</w:t>
      </w:r>
      <w:r>
        <w:rPr>
          <w:rFonts w:hint="eastAsia" w:eastAsia="黑体"/>
          <w:color w:val="auto"/>
          <w:lang w:val="en-US" w:eastAsia="zh-CN"/>
        </w:rPr>
        <w:t>7.4</w:t>
      </w:r>
      <w:r>
        <w:rPr>
          <w:rFonts w:hint="eastAsia" w:eastAsia="黑体"/>
          <w:color w:val="auto"/>
        </w:rPr>
        <w:t>其他辅助设施风险识别</w:t>
      </w:r>
    </w:p>
    <w:p>
      <w:pPr>
        <w:ind w:firstLine="480"/>
        <w:rPr>
          <w:color w:val="auto"/>
        </w:rPr>
      </w:pPr>
      <w:r>
        <w:rPr>
          <w:rFonts w:hint="eastAsia"/>
          <w:color w:val="auto"/>
        </w:rPr>
        <w:t>拟建项目废水最终经厂区内污水处理站处理后排入市政污水管网。本项目污水收集管线及污水池发生破裂、或防渗层破损，可能导致含有毒有害物质的废水排放至地表水体，或渗入土壤污染地下水。</w:t>
      </w:r>
    </w:p>
    <w:p>
      <w:pPr>
        <w:pStyle w:val="2"/>
        <w:spacing w:after="0" w:line="360" w:lineRule="auto"/>
        <w:ind w:firstLine="480"/>
        <w:rPr>
          <w:color w:val="auto"/>
        </w:rPr>
      </w:pPr>
      <w:r>
        <w:rPr>
          <w:rFonts w:hint="eastAsia"/>
          <w:color w:val="auto"/>
        </w:rPr>
        <w:t>拟建项目废气处理装置主要包括喷淋塔+活性炭装置等，发生故障的情况下，会造成废气超标外排，对周围环境产生影响。</w:t>
      </w:r>
    </w:p>
    <w:p>
      <w:pPr>
        <w:ind w:firstLine="480"/>
        <w:rPr>
          <w:color w:val="auto"/>
        </w:rPr>
      </w:pPr>
      <w:r>
        <w:rPr>
          <w:rFonts w:hint="eastAsia"/>
          <w:color w:val="auto"/>
        </w:rPr>
        <w:t>危险单元分布图见图6.4-2。</w:t>
      </w:r>
    </w:p>
    <w:p>
      <w:pPr>
        <w:pStyle w:val="2"/>
        <w:spacing w:after="0" w:line="240" w:lineRule="auto"/>
        <w:jc w:val="center"/>
        <w:rPr>
          <w:rFonts w:eastAsia="黑体"/>
          <w:color w:val="auto"/>
          <w:sz w:val="21"/>
          <w:szCs w:val="21"/>
        </w:rPr>
      </w:pPr>
      <w:r>
        <w:rPr>
          <w:rFonts w:eastAsia="黑体"/>
          <w:color w:val="auto"/>
          <w:sz w:val="21"/>
          <w:szCs w:val="21"/>
        </w:rPr>
        <w:drawing>
          <wp:inline distT="0" distB="0" distL="114300" distR="114300">
            <wp:extent cx="5758180" cy="5730240"/>
            <wp:effectExtent l="9525" t="9525" r="23495" b="13335"/>
            <wp:docPr id="27" name="图片 27" descr="166064039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660640390438"/>
                    <pic:cNvPicPr>
                      <a:picLocks noChangeAspect="1"/>
                    </pic:cNvPicPr>
                  </pic:nvPicPr>
                  <pic:blipFill>
                    <a:blip r:embed="rId120"/>
                    <a:stretch>
                      <a:fillRect/>
                    </a:stretch>
                  </pic:blipFill>
                  <pic:spPr>
                    <a:xfrm>
                      <a:off x="0" y="0"/>
                      <a:ext cx="5758180" cy="5730240"/>
                    </a:xfrm>
                    <a:prstGeom prst="rect">
                      <a:avLst/>
                    </a:prstGeom>
                    <a:ln>
                      <a:solidFill>
                        <a:schemeClr val="tx1"/>
                      </a:solidFill>
                    </a:ln>
                  </pic:spPr>
                </pic:pic>
              </a:graphicData>
            </a:graphic>
          </wp:inline>
        </w:drawing>
      </w:r>
      <w:r>
        <w:rPr>
          <w:rFonts w:eastAsia="黑体"/>
          <w:color w:val="auto"/>
          <w:sz w:val="21"/>
          <w:szCs w:val="21"/>
        </w:rPr>
        <w:t>图6.4-2 厂区危险单元分布图</w:t>
      </w:r>
    </w:p>
    <w:p>
      <w:pPr>
        <w:pStyle w:val="8"/>
        <w:spacing w:before="0" w:beforeLines="0" w:after="0" w:afterLines="0"/>
        <w:rPr>
          <w:color w:val="auto"/>
        </w:rPr>
      </w:pPr>
      <w:bookmarkStart w:id="355" w:name="_Toc3738"/>
      <w:bookmarkStart w:id="356" w:name="_Toc13528"/>
      <w:bookmarkStart w:id="357" w:name="_Toc20037"/>
      <w:r>
        <w:rPr>
          <w:rFonts w:hint="eastAsia"/>
          <w:color w:val="auto"/>
        </w:rPr>
        <w:t>6</w:t>
      </w:r>
      <w:r>
        <w:rPr>
          <w:color w:val="auto"/>
        </w:rPr>
        <w:t>.</w:t>
      </w:r>
      <w:r>
        <w:rPr>
          <w:rFonts w:hint="eastAsia"/>
          <w:color w:val="auto"/>
        </w:rPr>
        <w:t>5</w:t>
      </w:r>
      <w:r>
        <w:rPr>
          <w:color w:val="auto"/>
        </w:rPr>
        <w:t xml:space="preserve"> </w:t>
      </w:r>
      <w:bookmarkEnd w:id="355"/>
      <w:r>
        <w:rPr>
          <w:color w:val="auto"/>
        </w:rPr>
        <w:t>环境风险分析</w:t>
      </w:r>
      <w:bookmarkEnd w:id="356"/>
      <w:bookmarkEnd w:id="357"/>
    </w:p>
    <w:p>
      <w:pPr>
        <w:pStyle w:val="9"/>
        <w:spacing w:before="0" w:beforeLines="0" w:after="0" w:afterLines="0"/>
        <w:rPr>
          <w:color w:val="auto"/>
        </w:rPr>
      </w:pPr>
      <w:r>
        <w:rPr>
          <w:rFonts w:hint="eastAsia"/>
          <w:color w:val="auto"/>
        </w:rPr>
        <w:t>6</w:t>
      </w:r>
      <w:r>
        <w:rPr>
          <w:color w:val="auto"/>
        </w:rPr>
        <w:t>.</w:t>
      </w:r>
      <w:r>
        <w:rPr>
          <w:rFonts w:hint="eastAsia"/>
          <w:color w:val="auto"/>
        </w:rPr>
        <w:t>5</w:t>
      </w:r>
      <w:r>
        <w:rPr>
          <w:color w:val="auto"/>
        </w:rPr>
        <w:t>.1 大气环境风险分析</w:t>
      </w:r>
    </w:p>
    <w:p>
      <w:pPr>
        <w:ind w:firstLine="480"/>
        <w:rPr>
          <w:color w:val="auto"/>
        </w:rPr>
      </w:pPr>
      <w:r>
        <w:rPr>
          <w:color w:val="auto"/>
        </w:rPr>
        <w:t>拟建项目涉及的危险化学品主要有</w:t>
      </w:r>
      <w:r>
        <w:rPr>
          <w:rFonts w:hint="eastAsia"/>
          <w:color w:val="auto"/>
        </w:rPr>
        <w:t>导热油、润滑油、天然气</w:t>
      </w:r>
      <w:r>
        <w:rPr>
          <w:color w:val="auto"/>
        </w:rPr>
        <w:t>等，具有</w:t>
      </w:r>
      <w:r>
        <w:rPr>
          <w:rFonts w:hint="eastAsia"/>
          <w:color w:val="auto"/>
        </w:rPr>
        <w:t>可</w:t>
      </w:r>
      <w:r>
        <w:rPr>
          <w:color w:val="auto"/>
        </w:rPr>
        <w:t>燃性、毒性，一旦发生危险化学品泄漏、废气治理设施发生故障导致废气未经处理直接排放等情况发生时，会对项目区及周围环境空气造成突发污染，危害企业职工、周边居民、周围企业的健康。</w:t>
      </w:r>
    </w:p>
    <w:p>
      <w:pPr>
        <w:ind w:firstLine="480"/>
        <w:rPr>
          <w:color w:val="auto"/>
        </w:rPr>
      </w:pPr>
      <w:r>
        <w:rPr>
          <w:color w:val="auto"/>
        </w:rPr>
        <w:t>拟建项目为</w:t>
      </w:r>
      <w:r>
        <w:rPr>
          <w:rFonts w:hint="eastAsia"/>
          <w:color w:val="auto"/>
        </w:rPr>
        <w:t>丙交酯及聚乳酸生产项目</w:t>
      </w:r>
      <w:r>
        <w:rPr>
          <w:color w:val="auto"/>
        </w:rPr>
        <w:t>，危险化学品储存量很小，发生风险事故的概率极低，主要局限于</w:t>
      </w:r>
      <w:r>
        <w:rPr>
          <w:rFonts w:hint="eastAsia"/>
          <w:color w:val="auto"/>
        </w:rPr>
        <w:t>原料</w:t>
      </w:r>
      <w:r>
        <w:rPr>
          <w:color w:val="auto"/>
        </w:rPr>
        <w:t>库、</w:t>
      </w:r>
      <w:r>
        <w:rPr>
          <w:rFonts w:hint="eastAsia"/>
          <w:color w:val="auto"/>
        </w:rPr>
        <w:t>生产</w:t>
      </w:r>
      <w:r>
        <w:rPr>
          <w:color w:val="auto"/>
        </w:rPr>
        <w:t>车间范围内，如果防范措施得当，对事故的预先判断准确及时，并采取正确的方法应对，则风险事故对周围大气环境的影响将大大降低。</w:t>
      </w:r>
    </w:p>
    <w:p>
      <w:pPr>
        <w:pStyle w:val="9"/>
        <w:spacing w:before="0" w:beforeLines="0" w:after="0" w:afterLines="0"/>
        <w:rPr>
          <w:color w:val="auto"/>
        </w:rPr>
      </w:pPr>
      <w:r>
        <w:rPr>
          <w:rFonts w:hint="eastAsia"/>
          <w:color w:val="auto"/>
        </w:rPr>
        <w:t>6</w:t>
      </w:r>
      <w:r>
        <w:rPr>
          <w:color w:val="auto"/>
        </w:rPr>
        <w:t>.</w:t>
      </w:r>
      <w:r>
        <w:rPr>
          <w:rFonts w:hint="eastAsia"/>
          <w:color w:val="auto"/>
        </w:rPr>
        <w:t>5</w:t>
      </w:r>
      <w:r>
        <w:rPr>
          <w:color w:val="auto"/>
        </w:rPr>
        <w:t>.</w:t>
      </w:r>
      <w:r>
        <w:rPr>
          <w:rFonts w:hint="eastAsia"/>
          <w:color w:val="auto"/>
        </w:rPr>
        <w:t>2</w:t>
      </w:r>
      <w:r>
        <w:rPr>
          <w:color w:val="auto"/>
        </w:rPr>
        <w:t xml:space="preserve"> 水环境风险分析</w:t>
      </w:r>
    </w:p>
    <w:p>
      <w:pPr>
        <w:ind w:firstLine="480"/>
        <w:rPr>
          <w:color w:val="auto"/>
        </w:rPr>
      </w:pPr>
      <w:r>
        <w:rPr>
          <w:color w:val="auto"/>
        </w:rPr>
        <w:t>本项目地表水受影响的保护目标为项目区</w:t>
      </w:r>
      <w:r>
        <w:rPr>
          <w:rFonts w:hint="eastAsia"/>
          <w:color w:val="auto"/>
        </w:rPr>
        <w:t>东</w:t>
      </w:r>
      <w:r>
        <w:rPr>
          <w:color w:val="auto"/>
        </w:rPr>
        <w:t>侧</w:t>
      </w:r>
      <w:r>
        <w:rPr>
          <w:rFonts w:hint="eastAsia"/>
          <w:color w:val="auto"/>
        </w:rPr>
        <w:t>猪龙河</w:t>
      </w:r>
      <w:r>
        <w:rPr>
          <w:color w:val="auto"/>
        </w:rPr>
        <w:t>，地下水受影响的保护目标为项目区及周围地下水资源。</w:t>
      </w:r>
    </w:p>
    <w:p>
      <w:pPr>
        <w:ind w:firstLine="480"/>
        <w:rPr>
          <w:color w:val="auto"/>
        </w:rPr>
      </w:pPr>
      <w:r>
        <w:rPr>
          <w:color w:val="auto"/>
        </w:rPr>
        <w:t>营运期间，若化粪池、污水管道等设备损坏导致污水外漏，或危险化学品、危险废物储存场所地面防渗措施不当导致危险废液外漏，均将可能造成项目区附近地表水、地下水水质的各污染物超过相应的环境质量标准，造成水环境突发污染。</w:t>
      </w:r>
    </w:p>
    <w:p>
      <w:pPr>
        <w:ind w:firstLine="480"/>
        <w:rPr>
          <w:color w:val="auto"/>
        </w:rPr>
      </w:pPr>
      <w:r>
        <w:rPr>
          <w:color w:val="auto"/>
        </w:rPr>
        <w:t>拟建项目在雨水、污水总排口处均设置了闸门，发生事故时及时关闭闸门，防止泄漏液体流出项目区，将其可能产生的环境影响控制在项目区之内。此外，项目拟建</w:t>
      </w:r>
      <w:r>
        <w:rPr>
          <w:rFonts w:hint="eastAsia"/>
          <w:color w:val="auto"/>
        </w:rPr>
        <w:t>450</w:t>
      </w:r>
      <w:r>
        <w:rPr>
          <w:color w:val="auto"/>
        </w:rPr>
        <w:t>m</w:t>
      </w:r>
      <w:r>
        <w:rPr>
          <w:color w:val="auto"/>
          <w:vertAlign w:val="superscript"/>
        </w:rPr>
        <w:t>3</w:t>
      </w:r>
      <w:r>
        <w:rPr>
          <w:color w:val="auto"/>
        </w:rPr>
        <w:t>事故水池（位于</w:t>
      </w:r>
      <w:r>
        <w:rPr>
          <w:rFonts w:hint="eastAsia"/>
          <w:color w:val="auto"/>
        </w:rPr>
        <w:t>厂</w:t>
      </w:r>
      <w:r>
        <w:rPr>
          <w:color w:val="auto"/>
        </w:rPr>
        <w:t>区</w:t>
      </w:r>
      <w:r>
        <w:rPr>
          <w:rFonts w:hint="eastAsia"/>
          <w:color w:val="auto"/>
        </w:rPr>
        <w:t>南</w:t>
      </w:r>
      <w:r>
        <w:rPr>
          <w:color w:val="auto"/>
        </w:rPr>
        <w:t>侧），在发生泄漏或火灾时收集冲洗、清洗以及消防过程产生的废水，该废水需经处理达标后排放。</w:t>
      </w:r>
    </w:p>
    <w:p>
      <w:pPr>
        <w:ind w:firstLine="480"/>
        <w:rPr>
          <w:color w:val="auto"/>
        </w:rPr>
      </w:pPr>
      <w:r>
        <w:rPr>
          <w:color w:val="auto"/>
        </w:rPr>
        <w:t>拟建项目发生风险事故的概率极低，建设单位落实以上措施后，发生事故后将对</w:t>
      </w:r>
      <w:r>
        <w:rPr>
          <w:rFonts w:hint="eastAsia"/>
          <w:color w:val="auto"/>
        </w:rPr>
        <w:t>东</w:t>
      </w:r>
      <w:r>
        <w:rPr>
          <w:color w:val="auto"/>
        </w:rPr>
        <w:t>侧</w:t>
      </w:r>
      <w:r>
        <w:rPr>
          <w:rFonts w:hint="eastAsia"/>
          <w:color w:val="auto"/>
        </w:rPr>
        <w:t>猪龙河</w:t>
      </w:r>
      <w:r>
        <w:rPr>
          <w:color w:val="auto"/>
        </w:rPr>
        <w:t>水质产生的影响较小，其环境风险在可接受的范围之内。</w:t>
      </w:r>
    </w:p>
    <w:p>
      <w:pPr>
        <w:pStyle w:val="9"/>
        <w:spacing w:before="0" w:beforeLines="0" w:after="0" w:afterLines="0"/>
        <w:rPr>
          <w:color w:val="auto"/>
        </w:rPr>
      </w:pPr>
      <w:r>
        <w:rPr>
          <w:rFonts w:hint="eastAsia"/>
          <w:color w:val="auto"/>
        </w:rPr>
        <w:t>6</w:t>
      </w:r>
      <w:r>
        <w:rPr>
          <w:color w:val="auto"/>
        </w:rPr>
        <w:t>.</w:t>
      </w:r>
      <w:r>
        <w:rPr>
          <w:rFonts w:hint="eastAsia"/>
          <w:color w:val="auto"/>
        </w:rPr>
        <w:t>5</w:t>
      </w:r>
      <w:r>
        <w:rPr>
          <w:color w:val="auto"/>
        </w:rPr>
        <w:t>.</w:t>
      </w:r>
      <w:r>
        <w:rPr>
          <w:rFonts w:hint="eastAsia"/>
          <w:color w:val="auto"/>
        </w:rPr>
        <w:t>3</w:t>
      </w:r>
      <w:r>
        <w:rPr>
          <w:color w:val="auto"/>
        </w:rPr>
        <w:t xml:space="preserve"> 土壤环境风险分析</w:t>
      </w:r>
    </w:p>
    <w:p>
      <w:pPr>
        <w:ind w:firstLine="480"/>
        <w:rPr>
          <w:color w:val="auto"/>
        </w:rPr>
      </w:pPr>
      <w:r>
        <w:rPr>
          <w:color w:val="auto"/>
        </w:rPr>
        <w:t>本项目土壤受影响的保护目标为项目区域土壤环境，一旦环境风险事故发生，将一定程度地影响项目区域土壤环境，严重可导致土壤质量恶化。</w:t>
      </w:r>
    </w:p>
    <w:p>
      <w:pPr>
        <w:pStyle w:val="8"/>
        <w:spacing w:before="0" w:beforeLines="0" w:after="0" w:afterLines="0" w:line="360" w:lineRule="auto"/>
        <w:rPr>
          <w:color w:val="auto"/>
        </w:rPr>
      </w:pPr>
      <w:bookmarkStart w:id="358" w:name="_Toc6924"/>
      <w:bookmarkStart w:id="359" w:name="_Toc27059"/>
      <w:bookmarkStart w:id="360" w:name="_Toc3923"/>
      <w:r>
        <w:rPr>
          <w:rFonts w:hint="eastAsia"/>
          <w:color w:val="auto"/>
        </w:rPr>
        <w:t>6</w:t>
      </w:r>
      <w:r>
        <w:rPr>
          <w:color w:val="auto"/>
        </w:rPr>
        <w:t>.</w:t>
      </w:r>
      <w:r>
        <w:rPr>
          <w:rFonts w:hint="eastAsia"/>
          <w:color w:val="auto"/>
        </w:rPr>
        <w:t>6</w:t>
      </w:r>
      <w:r>
        <w:rPr>
          <w:color w:val="auto"/>
        </w:rPr>
        <w:t>环境风险管理</w:t>
      </w:r>
      <w:bookmarkEnd w:id="358"/>
      <w:bookmarkEnd w:id="359"/>
      <w:bookmarkEnd w:id="360"/>
    </w:p>
    <w:p>
      <w:pPr>
        <w:pStyle w:val="9"/>
        <w:spacing w:before="0" w:beforeLines="0" w:after="0" w:afterLines="0" w:line="360" w:lineRule="auto"/>
        <w:rPr>
          <w:color w:val="auto"/>
        </w:rPr>
      </w:pPr>
      <w:r>
        <w:rPr>
          <w:rFonts w:hint="eastAsia"/>
          <w:color w:val="auto"/>
        </w:rPr>
        <w:t>6</w:t>
      </w:r>
      <w:r>
        <w:rPr>
          <w:color w:val="auto"/>
        </w:rPr>
        <w:t>.</w:t>
      </w:r>
      <w:r>
        <w:rPr>
          <w:rFonts w:hint="eastAsia"/>
          <w:color w:val="auto"/>
        </w:rPr>
        <w:t>6</w:t>
      </w:r>
      <w:r>
        <w:rPr>
          <w:color w:val="auto"/>
        </w:rPr>
        <w:t>.1环境风险管理目标</w:t>
      </w:r>
    </w:p>
    <w:p>
      <w:pPr>
        <w:ind w:firstLine="480"/>
        <w:rPr>
          <w:color w:val="auto"/>
        </w:rPr>
      </w:pPr>
      <w:r>
        <w:rPr>
          <w:color w:val="auto"/>
        </w:rPr>
        <w:t>环境风险管理目标是采用最低合理可行原则管控环境风险。采取的环境风险防范措施应与社会经济技术发展水平相适应，运用科学的技术手段和管理方法，对环境风险进行有效的预防、监控、响应。</w:t>
      </w:r>
    </w:p>
    <w:p>
      <w:pPr>
        <w:ind w:firstLine="480"/>
        <w:rPr>
          <w:color w:val="auto"/>
        </w:rPr>
      </w:pPr>
      <w:r>
        <w:rPr>
          <w:color w:val="auto"/>
        </w:rPr>
        <w:t>严密制订防范措施，以保证系统运行的安全性，减少事故的发生，使事故发生的概率最小，并拟订应急计划，一旦发生事故时，有充分的应对能力，以遏制和控制事故危害的扩大，及时控制有害物质向环境扩散，抢救受害人员，指导防护和撤离，组织救援，减少影响。</w:t>
      </w:r>
    </w:p>
    <w:p>
      <w:pPr>
        <w:pStyle w:val="9"/>
        <w:spacing w:before="0" w:beforeLines="0" w:after="0" w:afterLines="0" w:line="360" w:lineRule="auto"/>
        <w:rPr>
          <w:color w:val="auto"/>
        </w:rPr>
      </w:pPr>
      <w:r>
        <w:rPr>
          <w:rFonts w:hint="eastAsia"/>
          <w:color w:val="auto"/>
        </w:rPr>
        <w:t>6</w:t>
      </w:r>
      <w:r>
        <w:rPr>
          <w:color w:val="auto"/>
        </w:rPr>
        <w:t>.</w:t>
      </w:r>
      <w:r>
        <w:rPr>
          <w:rFonts w:hint="eastAsia"/>
          <w:color w:val="auto"/>
        </w:rPr>
        <w:t>6</w:t>
      </w:r>
      <w:r>
        <w:rPr>
          <w:color w:val="auto"/>
        </w:rPr>
        <w:t>.2事故隐患分析管理</w:t>
      </w:r>
    </w:p>
    <w:p>
      <w:pPr>
        <w:ind w:firstLine="480"/>
        <w:rPr>
          <w:bCs/>
          <w:color w:val="auto"/>
        </w:rPr>
      </w:pPr>
      <w:r>
        <w:rPr>
          <w:bCs/>
          <w:color w:val="auto"/>
        </w:rPr>
        <w:t>事故隐患分析是防范事故风险的基础，企业应根据危险化学品贮运情况，综合考虑在装卸、运送、仓储环节发生事故的可能性、人员暴露在这些环境中的频率以及一旦发生事故所产生后果的严重性三方面因素，编制事故隐患分析名录，并召集有关工作人员认真学习，做到未雨绸缪、防患于未然。事故隐患分析见表</w:t>
      </w:r>
      <w:r>
        <w:rPr>
          <w:rFonts w:hint="eastAsia"/>
          <w:bCs/>
          <w:color w:val="auto"/>
        </w:rPr>
        <w:t>6.6-1</w:t>
      </w:r>
      <w:r>
        <w:rPr>
          <w:bCs/>
          <w:color w:val="auto"/>
        </w:rPr>
        <w:t>。</w:t>
      </w:r>
    </w:p>
    <w:p>
      <w:pPr>
        <w:pStyle w:val="48"/>
        <w:rPr>
          <w:b/>
          <w:color w:val="auto"/>
          <w:szCs w:val="21"/>
          <w:lang w:val="zh-CN"/>
        </w:rPr>
      </w:pPr>
      <w:r>
        <w:rPr>
          <w:b/>
          <w:color w:val="auto"/>
          <w:szCs w:val="21"/>
          <w:lang w:val="zh-CN"/>
        </w:rPr>
        <w:t>表</w:t>
      </w:r>
      <w:r>
        <w:rPr>
          <w:rFonts w:hint="eastAsia"/>
          <w:b/>
          <w:color w:val="auto"/>
          <w:szCs w:val="21"/>
        </w:rPr>
        <w:t>6.6-1</w:t>
      </w:r>
      <w:r>
        <w:rPr>
          <w:b/>
          <w:color w:val="auto"/>
          <w:szCs w:val="21"/>
          <w:lang w:val="zh-CN"/>
        </w:rPr>
        <w:t xml:space="preserve">  事故隐患分析一览表</w:t>
      </w:r>
    </w:p>
    <w:tbl>
      <w:tblPr>
        <w:tblStyle w:val="63"/>
        <w:tblW w:w="4999"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686"/>
        <w:gridCol w:w="838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65" w:hRule="atLeast"/>
        </w:trPr>
        <w:tc>
          <w:tcPr>
            <w:tcW w:w="378" w:type="pct"/>
            <w:tcBorders>
              <w:tl2br w:val="nil"/>
              <w:tr2bl w:val="nil"/>
            </w:tcBorders>
            <w:vAlign w:val="center"/>
          </w:tcPr>
          <w:p>
            <w:pPr>
              <w:spacing w:line="240" w:lineRule="auto"/>
              <w:ind w:firstLine="0" w:firstLineChars="0"/>
              <w:jc w:val="center"/>
              <w:rPr>
                <w:b/>
                <w:bCs/>
                <w:color w:val="auto"/>
                <w:sz w:val="21"/>
                <w:szCs w:val="21"/>
              </w:rPr>
            </w:pPr>
            <w:r>
              <w:rPr>
                <w:b/>
                <w:bCs/>
                <w:color w:val="auto"/>
                <w:spacing w:val="-2"/>
                <w:sz w:val="21"/>
                <w:szCs w:val="21"/>
              </w:rPr>
              <w:t>序号</w:t>
            </w:r>
          </w:p>
        </w:tc>
        <w:tc>
          <w:tcPr>
            <w:tcW w:w="4621" w:type="pct"/>
            <w:tcBorders>
              <w:tl2br w:val="nil"/>
              <w:tr2bl w:val="nil"/>
            </w:tcBorders>
            <w:vAlign w:val="center"/>
          </w:tcPr>
          <w:p>
            <w:pPr>
              <w:spacing w:line="240" w:lineRule="auto"/>
              <w:ind w:firstLine="0" w:firstLineChars="0"/>
              <w:jc w:val="center"/>
              <w:rPr>
                <w:b/>
                <w:bCs/>
                <w:color w:val="auto"/>
                <w:sz w:val="21"/>
                <w:szCs w:val="21"/>
              </w:rPr>
            </w:pPr>
            <w:r>
              <w:rPr>
                <w:b/>
                <w:bCs/>
                <w:color w:val="auto"/>
                <w:sz w:val="21"/>
                <w:szCs w:val="21"/>
              </w:rPr>
              <w:t>事故或危险情况发生可能性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9" w:hRule="atLeast"/>
        </w:trPr>
        <w:tc>
          <w:tcPr>
            <w:tcW w:w="378"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w:t>
            </w:r>
          </w:p>
        </w:tc>
        <w:tc>
          <w:tcPr>
            <w:tcW w:w="4621" w:type="pct"/>
            <w:tcBorders>
              <w:tl2br w:val="nil"/>
              <w:tr2bl w:val="nil"/>
            </w:tcBorders>
            <w:vAlign w:val="center"/>
          </w:tcPr>
          <w:p>
            <w:pPr>
              <w:spacing w:line="240" w:lineRule="auto"/>
              <w:ind w:firstLine="0" w:firstLineChars="0"/>
              <w:rPr>
                <w:color w:val="auto"/>
                <w:sz w:val="21"/>
                <w:szCs w:val="21"/>
              </w:rPr>
            </w:pPr>
            <w:r>
              <w:rPr>
                <w:color w:val="auto"/>
                <w:spacing w:val="-13"/>
                <w:sz w:val="21"/>
                <w:szCs w:val="21"/>
              </w:rPr>
              <w:t>绝对可能：实际情况已经极其严重地违反了安全规定，不采取紧急措施，事故马上就将产</w:t>
            </w:r>
            <w:r>
              <w:rPr>
                <w:color w:val="auto"/>
                <w:spacing w:val="-1"/>
                <w:sz w:val="21"/>
                <w:szCs w:val="21"/>
              </w:rPr>
              <w:t>生，是种极端特殊的情况，事故的发生完全被预料到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378"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2</w:t>
            </w:r>
          </w:p>
        </w:tc>
        <w:tc>
          <w:tcPr>
            <w:tcW w:w="4621" w:type="pct"/>
            <w:tcBorders>
              <w:tl2br w:val="nil"/>
              <w:tr2bl w:val="nil"/>
            </w:tcBorders>
            <w:vAlign w:val="center"/>
          </w:tcPr>
          <w:p>
            <w:pPr>
              <w:spacing w:line="240" w:lineRule="auto"/>
              <w:ind w:firstLine="0" w:firstLineChars="0"/>
              <w:rPr>
                <w:color w:val="auto"/>
                <w:sz w:val="21"/>
                <w:szCs w:val="21"/>
              </w:rPr>
            </w:pPr>
            <w:r>
              <w:rPr>
                <w:color w:val="auto"/>
                <w:spacing w:val="-9"/>
                <w:sz w:val="21"/>
                <w:szCs w:val="21"/>
              </w:rPr>
              <w:t>极有可能：实际情况已经比较严重地违反了安全规定，并且在同行业中极其相似的情况下</w:t>
            </w:r>
            <w:r>
              <w:rPr>
                <w:color w:val="auto"/>
                <w:spacing w:val="-1"/>
                <w:sz w:val="21"/>
                <w:szCs w:val="21"/>
              </w:rPr>
              <w:t>发生过多起类似事故，容易预测近期要发生事故</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378"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3</w:t>
            </w:r>
          </w:p>
        </w:tc>
        <w:tc>
          <w:tcPr>
            <w:tcW w:w="4621" w:type="pct"/>
            <w:tcBorders>
              <w:tl2br w:val="nil"/>
              <w:tr2bl w:val="nil"/>
            </w:tcBorders>
            <w:vAlign w:val="center"/>
          </w:tcPr>
          <w:p>
            <w:pPr>
              <w:spacing w:line="240" w:lineRule="auto"/>
              <w:ind w:firstLine="0" w:firstLineChars="0"/>
              <w:rPr>
                <w:color w:val="auto"/>
                <w:sz w:val="21"/>
                <w:szCs w:val="21"/>
              </w:rPr>
            </w:pPr>
            <w:r>
              <w:rPr>
                <w:color w:val="auto"/>
                <w:spacing w:val="-13"/>
                <w:sz w:val="21"/>
                <w:szCs w:val="21"/>
              </w:rPr>
              <w:t>相当可能：实际情况已经违反了安全规定，并且在历史上本行业中曾经发生类似事故，但</w:t>
            </w:r>
            <w:r>
              <w:rPr>
                <w:color w:val="auto"/>
                <w:spacing w:val="-8"/>
                <w:sz w:val="21"/>
                <w:szCs w:val="21"/>
              </w:rPr>
              <w:t>又不完全相同，</w:t>
            </w:r>
            <w:r>
              <w:rPr>
                <w:color w:val="auto"/>
                <w:spacing w:val="58"/>
                <w:sz w:val="21"/>
                <w:szCs w:val="21"/>
              </w:rPr>
              <w:t xml:space="preserve"> </w:t>
            </w:r>
            <w:r>
              <w:rPr>
                <w:color w:val="auto"/>
                <w:spacing w:val="-8"/>
                <w:sz w:val="21"/>
                <w:szCs w:val="21"/>
              </w:rPr>
              <w:t>预计在近期可能会发生类似事故</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378"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4</w:t>
            </w:r>
          </w:p>
        </w:tc>
        <w:tc>
          <w:tcPr>
            <w:tcW w:w="4621" w:type="pct"/>
            <w:tcBorders>
              <w:tl2br w:val="nil"/>
              <w:tr2bl w:val="nil"/>
            </w:tcBorders>
            <w:vAlign w:val="center"/>
          </w:tcPr>
          <w:p>
            <w:pPr>
              <w:spacing w:line="240" w:lineRule="auto"/>
              <w:ind w:firstLine="0" w:firstLineChars="0"/>
              <w:rPr>
                <w:color w:val="auto"/>
                <w:sz w:val="21"/>
                <w:szCs w:val="21"/>
              </w:rPr>
            </w:pPr>
            <w:r>
              <w:rPr>
                <w:color w:val="auto"/>
                <w:spacing w:val="-5"/>
                <w:sz w:val="21"/>
                <w:szCs w:val="21"/>
              </w:rPr>
              <w:t>可能：实际情况稍微超出安全管理规定或规范，所统计同行业在3～5年内曾发生过类似</w:t>
            </w:r>
            <w:r>
              <w:rPr>
                <w:color w:val="auto"/>
                <w:spacing w:val="-2"/>
                <w:sz w:val="21"/>
                <w:szCs w:val="21"/>
              </w:rPr>
              <w:t>事故</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378"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5</w:t>
            </w:r>
          </w:p>
        </w:tc>
        <w:tc>
          <w:tcPr>
            <w:tcW w:w="4621" w:type="pct"/>
            <w:tcBorders>
              <w:tl2br w:val="nil"/>
              <w:tr2bl w:val="nil"/>
            </w:tcBorders>
            <w:vAlign w:val="center"/>
          </w:tcPr>
          <w:p>
            <w:pPr>
              <w:spacing w:line="240" w:lineRule="auto"/>
              <w:ind w:firstLine="0" w:firstLineChars="0"/>
              <w:rPr>
                <w:color w:val="auto"/>
                <w:sz w:val="21"/>
                <w:szCs w:val="21"/>
              </w:rPr>
            </w:pPr>
            <w:r>
              <w:rPr>
                <w:color w:val="auto"/>
                <w:spacing w:val="-10"/>
                <w:sz w:val="21"/>
                <w:szCs w:val="21"/>
              </w:rPr>
              <w:t>有可能：实际情况不符合新颁布的安全管理规定或规范，但符合前几年的国家规定或标准，</w:t>
            </w:r>
            <w:r>
              <w:rPr>
                <w:color w:val="auto"/>
                <w:spacing w:val="-3"/>
                <w:sz w:val="21"/>
                <w:szCs w:val="21"/>
              </w:rPr>
              <w:t>据统计在近10年内曾有类似事故发生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378"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6</w:t>
            </w:r>
          </w:p>
        </w:tc>
        <w:tc>
          <w:tcPr>
            <w:tcW w:w="4621" w:type="pct"/>
            <w:tcBorders>
              <w:tl2br w:val="nil"/>
              <w:tr2bl w:val="nil"/>
            </w:tcBorders>
            <w:vAlign w:val="center"/>
          </w:tcPr>
          <w:p>
            <w:pPr>
              <w:spacing w:line="240" w:lineRule="auto"/>
              <w:ind w:firstLine="0" w:firstLineChars="0"/>
              <w:rPr>
                <w:color w:val="auto"/>
                <w:sz w:val="21"/>
                <w:szCs w:val="21"/>
              </w:rPr>
            </w:pPr>
            <w:r>
              <w:rPr>
                <w:color w:val="auto"/>
                <w:spacing w:val="-5"/>
                <w:sz w:val="21"/>
                <w:szCs w:val="21"/>
              </w:rPr>
              <w:t>可能性极小：国家或企业没有专业的安全管理规定或规范，据统计，在过去的10～20年</w:t>
            </w:r>
            <w:r>
              <w:rPr>
                <w:color w:val="auto"/>
                <w:spacing w:val="-7"/>
                <w:sz w:val="21"/>
                <w:szCs w:val="21"/>
              </w:rPr>
              <w:t>中，曾有类似事故发生，属于不经常，但可能发生事故的情况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378"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7</w:t>
            </w:r>
          </w:p>
        </w:tc>
        <w:tc>
          <w:tcPr>
            <w:tcW w:w="4621" w:type="pct"/>
            <w:tcBorders>
              <w:tl2br w:val="nil"/>
              <w:tr2bl w:val="nil"/>
            </w:tcBorders>
            <w:vAlign w:val="center"/>
          </w:tcPr>
          <w:p>
            <w:pPr>
              <w:spacing w:line="240" w:lineRule="auto"/>
              <w:ind w:firstLine="0" w:firstLineChars="0"/>
              <w:rPr>
                <w:color w:val="auto"/>
                <w:sz w:val="21"/>
                <w:szCs w:val="21"/>
              </w:rPr>
            </w:pPr>
            <w:r>
              <w:rPr>
                <w:color w:val="auto"/>
                <w:spacing w:val="-9"/>
                <w:sz w:val="21"/>
                <w:szCs w:val="21"/>
              </w:rPr>
              <w:t>很少可能：实际情况基本符合国家安全管理规定或规范，在发生管理失误或由于人的不安</w:t>
            </w:r>
            <w:r>
              <w:rPr>
                <w:color w:val="auto"/>
                <w:spacing w:val="-8"/>
                <w:sz w:val="21"/>
                <w:szCs w:val="21"/>
              </w:rPr>
              <w:t>全行为时可能诱发事故，未见有类似事故发生的报道</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63" w:hRule="atLeast"/>
        </w:trPr>
        <w:tc>
          <w:tcPr>
            <w:tcW w:w="378"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8</w:t>
            </w:r>
          </w:p>
        </w:tc>
        <w:tc>
          <w:tcPr>
            <w:tcW w:w="4621" w:type="pct"/>
            <w:tcBorders>
              <w:tl2br w:val="nil"/>
              <w:tr2bl w:val="nil"/>
            </w:tcBorders>
            <w:vAlign w:val="center"/>
          </w:tcPr>
          <w:p>
            <w:pPr>
              <w:spacing w:line="240" w:lineRule="auto"/>
              <w:ind w:firstLine="0" w:firstLineChars="0"/>
              <w:rPr>
                <w:color w:val="auto"/>
                <w:sz w:val="21"/>
                <w:szCs w:val="21"/>
              </w:rPr>
            </w:pPr>
            <w:r>
              <w:rPr>
                <w:color w:val="auto"/>
                <w:spacing w:val="-19"/>
                <w:sz w:val="21"/>
                <w:szCs w:val="21"/>
              </w:rPr>
              <w:t>极少可能，完全意外</w:t>
            </w:r>
          </w:p>
        </w:tc>
      </w:tr>
    </w:tbl>
    <w:p>
      <w:pPr>
        <w:pStyle w:val="9"/>
        <w:spacing w:before="0" w:beforeLines="0" w:after="0" w:afterLines="0" w:line="360" w:lineRule="auto"/>
        <w:rPr>
          <w:color w:val="auto"/>
        </w:rPr>
      </w:pPr>
      <w:r>
        <w:rPr>
          <w:rFonts w:hint="eastAsia"/>
          <w:color w:val="auto"/>
        </w:rPr>
        <w:t>6</w:t>
      </w:r>
      <w:r>
        <w:rPr>
          <w:color w:val="auto"/>
        </w:rPr>
        <w:t>.</w:t>
      </w:r>
      <w:r>
        <w:rPr>
          <w:rFonts w:hint="eastAsia"/>
          <w:color w:val="auto"/>
        </w:rPr>
        <w:t>6</w:t>
      </w:r>
      <w:r>
        <w:rPr>
          <w:color w:val="auto"/>
        </w:rPr>
        <w:t>.</w:t>
      </w:r>
      <w:r>
        <w:rPr>
          <w:rFonts w:hint="eastAsia"/>
          <w:color w:val="auto"/>
        </w:rPr>
        <w:t>3</w:t>
      </w:r>
      <w:r>
        <w:rPr>
          <w:color w:val="auto"/>
        </w:rPr>
        <w:t>风险防范措施</w:t>
      </w:r>
    </w:p>
    <w:p>
      <w:pPr>
        <w:ind w:firstLine="480"/>
        <w:rPr>
          <w:bCs/>
          <w:color w:val="auto"/>
        </w:rPr>
      </w:pPr>
      <w:r>
        <w:rPr>
          <w:rFonts w:hint="eastAsia"/>
          <w:bCs/>
          <w:color w:val="auto"/>
        </w:rPr>
        <w:t>山东朗净新材料科技有限公司</w:t>
      </w:r>
      <w:r>
        <w:rPr>
          <w:bCs/>
          <w:color w:val="auto"/>
        </w:rPr>
        <w:t>设置安环</w:t>
      </w:r>
      <w:r>
        <w:rPr>
          <w:rFonts w:hint="eastAsia"/>
          <w:bCs/>
          <w:color w:val="auto"/>
        </w:rPr>
        <w:t>科</w:t>
      </w:r>
      <w:r>
        <w:rPr>
          <w:bCs/>
          <w:color w:val="auto"/>
        </w:rPr>
        <w:t>，统一负责该公司的安全、环保管理工作，制定相应的管理制度、巡视制度等规章制度，制定应急预案，</w:t>
      </w:r>
      <w:r>
        <w:rPr>
          <w:rFonts w:hint="eastAsia"/>
          <w:bCs/>
          <w:color w:val="auto"/>
        </w:rPr>
        <w:t>加强本项目环境风险管理</w:t>
      </w:r>
      <w:r>
        <w:rPr>
          <w:bCs/>
          <w:color w:val="auto"/>
        </w:rPr>
        <w:t>。</w:t>
      </w:r>
    </w:p>
    <w:p>
      <w:pPr>
        <w:ind w:firstLine="480"/>
        <w:rPr>
          <w:bCs/>
          <w:color w:val="auto"/>
        </w:rPr>
      </w:pPr>
      <w:r>
        <w:rPr>
          <w:bCs/>
          <w:color w:val="auto"/>
        </w:rPr>
        <w:t>（1）大气环境风险防范措施</w:t>
      </w:r>
    </w:p>
    <w:p>
      <w:pPr>
        <w:ind w:firstLine="480"/>
        <w:rPr>
          <w:bCs/>
          <w:color w:val="auto"/>
        </w:rPr>
      </w:pPr>
      <w:r>
        <w:rPr>
          <w:bCs/>
          <w:color w:val="auto"/>
        </w:rPr>
        <w:t>①</w:t>
      </w:r>
      <w:r>
        <w:rPr>
          <w:rFonts w:hint="eastAsia"/>
          <w:bCs/>
          <w:color w:val="auto"/>
        </w:rPr>
        <w:t>原料</w:t>
      </w:r>
      <w:r>
        <w:rPr>
          <w:bCs/>
          <w:color w:val="auto"/>
        </w:rPr>
        <w:t>仓库、危废</w:t>
      </w:r>
      <w:r>
        <w:rPr>
          <w:rFonts w:hint="eastAsia"/>
          <w:bCs/>
          <w:color w:val="auto"/>
        </w:rPr>
        <w:t>间</w:t>
      </w:r>
      <w:r>
        <w:rPr>
          <w:bCs/>
          <w:color w:val="auto"/>
        </w:rPr>
        <w:t>及</w:t>
      </w:r>
      <w:r>
        <w:rPr>
          <w:rFonts w:hint="eastAsia"/>
          <w:bCs/>
          <w:color w:val="auto"/>
        </w:rPr>
        <w:t>生产</w:t>
      </w:r>
      <w:r>
        <w:rPr>
          <w:bCs/>
          <w:color w:val="auto"/>
        </w:rPr>
        <w:t>车间设置有毒、可燃气体泄露报警仪，实时对车间、仓库进行监控。</w:t>
      </w:r>
    </w:p>
    <w:p>
      <w:pPr>
        <w:ind w:firstLine="480"/>
        <w:rPr>
          <w:bCs/>
          <w:color w:val="auto"/>
        </w:rPr>
      </w:pPr>
      <w:r>
        <w:rPr>
          <w:bCs/>
          <w:color w:val="auto"/>
        </w:rPr>
        <w:t>②车间、仓库、危废</w:t>
      </w:r>
      <w:r>
        <w:rPr>
          <w:rFonts w:hint="eastAsia"/>
          <w:bCs/>
          <w:color w:val="auto"/>
        </w:rPr>
        <w:t>间</w:t>
      </w:r>
      <w:r>
        <w:rPr>
          <w:bCs/>
          <w:color w:val="auto"/>
        </w:rPr>
        <w:t>均设置视频监控探头，专人负责项目的环境风险事故排查，每日定期对车间、仓库、危废</w:t>
      </w:r>
      <w:r>
        <w:rPr>
          <w:rFonts w:hint="eastAsia"/>
          <w:bCs/>
          <w:color w:val="auto"/>
        </w:rPr>
        <w:t>间</w:t>
      </w:r>
      <w:r>
        <w:rPr>
          <w:bCs/>
          <w:color w:val="auto"/>
        </w:rPr>
        <w:t>等风险源进行排查，及时发现事故风险隐患，降低项目的环境风险</w:t>
      </w:r>
      <w:r>
        <w:rPr>
          <w:rFonts w:hint="eastAsia"/>
          <w:bCs/>
          <w:color w:val="auto"/>
        </w:rPr>
        <w:t>，</w:t>
      </w:r>
      <w:r>
        <w:rPr>
          <w:bCs/>
          <w:color w:val="auto"/>
        </w:rPr>
        <w:t>生产场所配备可燃气体报警仪，预防火灾。配备灭火器，及时灭火，减缓火灾影响。</w:t>
      </w:r>
    </w:p>
    <w:p>
      <w:pPr>
        <w:ind w:firstLine="480"/>
        <w:rPr>
          <w:bCs/>
          <w:color w:val="auto"/>
        </w:rPr>
      </w:pPr>
      <w:r>
        <w:rPr>
          <w:bCs/>
          <w:color w:val="auto"/>
        </w:rPr>
        <w:t>（2）事故废水污染防治措施</w:t>
      </w:r>
    </w:p>
    <w:p>
      <w:pPr>
        <w:ind w:firstLine="480"/>
        <w:rPr>
          <w:bCs/>
          <w:color w:val="auto"/>
        </w:rPr>
      </w:pPr>
      <w:r>
        <w:rPr>
          <w:bCs/>
          <w:color w:val="auto"/>
        </w:rPr>
        <w:t>①截流措施</w:t>
      </w:r>
    </w:p>
    <w:p>
      <w:pPr>
        <w:ind w:firstLine="480"/>
        <w:rPr>
          <w:bCs/>
          <w:color w:val="auto"/>
        </w:rPr>
      </w:pPr>
      <w:r>
        <w:rPr>
          <w:bCs/>
          <w:color w:val="auto"/>
        </w:rPr>
        <w:t>拟建项目的一级防控主要考虑从源头预防事故的发生，并设置事故收集设施，具体措施为：</w:t>
      </w:r>
      <w:r>
        <w:rPr>
          <w:rFonts w:hint="eastAsia"/>
          <w:bCs/>
          <w:color w:val="auto"/>
        </w:rPr>
        <w:t>生产</w:t>
      </w:r>
      <w:r>
        <w:rPr>
          <w:bCs/>
          <w:color w:val="auto"/>
        </w:rPr>
        <w:t>车间</w:t>
      </w:r>
      <w:r>
        <w:rPr>
          <w:rFonts w:hint="eastAsia"/>
          <w:bCs/>
          <w:color w:val="auto"/>
        </w:rPr>
        <w:t>一层</w:t>
      </w:r>
      <w:r>
        <w:rPr>
          <w:bCs/>
          <w:color w:val="auto"/>
        </w:rPr>
        <w:t>设置管沟及集水池，</w:t>
      </w:r>
      <w:r>
        <w:rPr>
          <w:rFonts w:hint="eastAsia"/>
          <w:bCs/>
          <w:color w:val="auto"/>
        </w:rPr>
        <w:t>仓库、</w:t>
      </w:r>
      <w:r>
        <w:rPr>
          <w:bCs/>
          <w:color w:val="auto"/>
        </w:rPr>
        <w:t>危废间设置导流沟和集液池，通过以上措施，可确保发生事故时，泄漏的物料可完全被收集处理，不会通过渗透和地表径流污染地下水和地表水。</w:t>
      </w:r>
    </w:p>
    <w:p>
      <w:pPr>
        <w:ind w:firstLine="480"/>
        <w:rPr>
          <w:bCs/>
          <w:color w:val="auto"/>
        </w:rPr>
      </w:pPr>
      <w:r>
        <w:rPr>
          <w:bCs/>
          <w:color w:val="auto"/>
        </w:rPr>
        <w:t>另外项目设有单独的初期雨水池（位于</w:t>
      </w:r>
      <w:r>
        <w:rPr>
          <w:rFonts w:hint="eastAsia"/>
          <w:bCs/>
          <w:color w:val="auto"/>
        </w:rPr>
        <w:t>厂</w:t>
      </w:r>
      <w:r>
        <w:rPr>
          <w:bCs/>
          <w:color w:val="auto"/>
        </w:rPr>
        <w:t>区</w:t>
      </w:r>
      <w:r>
        <w:rPr>
          <w:rFonts w:hint="eastAsia"/>
          <w:bCs/>
          <w:color w:val="auto"/>
        </w:rPr>
        <w:t>南部</w:t>
      </w:r>
      <w:r>
        <w:rPr>
          <w:bCs/>
          <w:color w:val="auto"/>
        </w:rPr>
        <w:t>），可保证对初期雨水、消防废水进行有效收集。</w:t>
      </w:r>
    </w:p>
    <w:p>
      <w:pPr>
        <w:ind w:firstLine="480"/>
        <w:rPr>
          <w:bCs/>
          <w:color w:val="auto"/>
        </w:rPr>
      </w:pPr>
      <w:r>
        <w:rPr>
          <w:bCs/>
          <w:color w:val="auto"/>
        </w:rPr>
        <w:t>②事故排水收集措施</w:t>
      </w:r>
    </w:p>
    <w:p>
      <w:pPr>
        <w:ind w:firstLine="480"/>
        <w:rPr>
          <w:bCs/>
          <w:color w:val="auto"/>
        </w:rPr>
      </w:pPr>
      <w:r>
        <w:rPr>
          <w:bCs/>
          <w:color w:val="auto"/>
        </w:rPr>
        <w:t>项目的二级防控主要是设置事故废水暂存设施，避免事故废水肆意外排，污染周围的水环境。</w:t>
      </w:r>
    </w:p>
    <w:p>
      <w:pPr>
        <w:ind w:firstLine="480"/>
        <w:rPr>
          <w:bCs/>
          <w:color w:val="auto"/>
        </w:rPr>
      </w:pPr>
      <w:r>
        <w:rPr>
          <w:bCs/>
          <w:color w:val="auto"/>
        </w:rPr>
        <w:t>拟建项目在厂区</w:t>
      </w:r>
      <w:r>
        <w:rPr>
          <w:rFonts w:hint="eastAsia"/>
          <w:bCs/>
          <w:color w:val="auto"/>
        </w:rPr>
        <w:t>东</w:t>
      </w:r>
      <w:r>
        <w:rPr>
          <w:bCs/>
          <w:color w:val="auto"/>
        </w:rPr>
        <w:t>北角设置事故水池，有效容积为</w:t>
      </w:r>
      <w:r>
        <w:rPr>
          <w:rFonts w:hint="eastAsia"/>
          <w:bCs/>
          <w:color w:val="auto"/>
        </w:rPr>
        <w:t>450</w:t>
      </w:r>
      <w:r>
        <w:rPr>
          <w:bCs/>
          <w:color w:val="auto"/>
        </w:rPr>
        <w:t>m</w:t>
      </w:r>
      <w:r>
        <w:rPr>
          <w:bCs/>
          <w:color w:val="auto"/>
          <w:vertAlign w:val="superscript"/>
        </w:rPr>
        <w:t>3</w:t>
      </w:r>
      <w:r>
        <w:rPr>
          <w:bCs/>
          <w:color w:val="auto"/>
        </w:rPr>
        <w:t>。用以容纳事物状态下厂内消防废水、泄漏物和污水处理站废水等，满足项目收集泄漏物料、污染消防水等的需要。</w:t>
      </w:r>
    </w:p>
    <w:p>
      <w:pPr>
        <w:ind w:firstLine="480"/>
        <w:rPr>
          <w:bCs/>
          <w:color w:val="auto"/>
        </w:rPr>
      </w:pPr>
      <w:r>
        <w:rPr>
          <w:bCs/>
          <w:color w:val="auto"/>
        </w:rPr>
        <w:t>③事故水池容积核算</w:t>
      </w:r>
    </w:p>
    <w:p>
      <w:pPr>
        <w:spacing w:line="360" w:lineRule="auto"/>
        <w:ind w:firstLine="468"/>
        <w:rPr>
          <w:rFonts w:ascii="宋体" w:hAnsi="宋体" w:cs="宋体"/>
          <w:color w:val="auto"/>
          <w:szCs w:val="24"/>
        </w:rPr>
      </w:pPr>
      <w:r>
        <w:rPr>
          <w:rFonts w:ascii="宋体" w:hAnsi="宋体" w:cs="宋体"/>
          <w:color w:val="auto"/>
          <w:spacing w:val="-3"/>
          <w:szCs w:val="24"/>
        </w:rPr>
        <w:t>参照《化工建设项目环境保护设计规范》（</w:t>
      </w:r>
      <w:r>
        <w:rPr>
          <w:rFonts w:eastAsia="Times New Roman"/>
          <w:color w:val="auto"/>
          <w:spacing w:val="-3"/>
          <w:szCs w:val="24"/>
        </w:rPr>
        <w:t>GB50483-2009</w:t>
      </w:r>
      <w:r>
        <w:rPr>
          <w:rFonts w:ascii="宋体" w:hAnsi="宋体" w:cs="宋体"/>
          <w:color w:val="auto"/>
          <w:spacing w:val="-3"/>
          <w:szCs w:val="24"/>
        </w:rPr>
        <w:t>）和中石化《水体污染防</w:t>
      </w:r>
      <w:r>
        <w:rPr>
          <w:rFonts w:ascii="宋体" w:hAnsi="宋体" w:cs="宋体"/>
          <w:color w:val="auto"/>
          <w:spacing w:val="-6"/>
          <w:szCs w:val="24"/>
        </w:rPr>
        <w:t>控紧急措施设计导则》的有关要求，对事故水池有效容积进行核算。事故池容积计算公</w:t>
      </w:r>
      <w:r>
        <w:rPr>
          <w:rFonts w:ascii="宋体" w:hAnsi="宋体" w:cs="宋体"/>
          <w:color w:val="auto"/>
          <w:spacing w:val="-9"/>
          <w:szCs w:val="24"/>
        </w:rPr>
        <w:t>式如下：</w:t>
      </w:r>
    </w:p>
    <w:p>
      <w:pPr>
        <w:spacing w:line="360" w:lineRule="auto"/>
        <w:ind w:firstLine="476"/>
        <w:rPr>
          <w:rFonts w:eastAsia="Times New Roman"/>
          <w:color w:val="auto"/>
          <w:sz w:val="16"/>
          <w:szCs w:val="16"/>
        </w:rPr>
      </w:pPr>
      <w:r>
        <w:rPr>
          <w:rFonts w:eastAsia="Times New Roman"/>
          <w:color w:val="auto"/>
          <w:spacing w:val="-1"/>
          <w:szCs w:val="24"/>
        </w:rPr>
        <w:t>V</w:t>
      </w:r>
      <w:r>
        <w:rPr>
          <w:rFonts w:ascii="宋体" w:hAnsi="宋体" w:cs="宋体"/>
          <w:color w:val="auto"/>
          <w:spacing w:val="-1"/>
          <w:sz w:val="12"/>
          <w:szCs w:val="12"/>
        </w:rPr>
        <w:t>总</w:t>
      </w:r>
      <w:r>
        <w:rPr>
          <w:rFonts w:eastAsia="Times New Roman"/>
          <w:color w:val="auto"/>
          <w:spacing w:val="-1"/>
          <w:szCs w:val="24"/>
        </w:rPr>
        <w:t>=[(V</w:t>
      </w:r>
      <w:r>
        <w:rPr>
          <w:rFonts w:eastAsia="Times New Roman"/>
          <w:color w:val="auto"/>
          <w:spacing w:val="-1"/>
          <w:position w:val="-1"/>
          <w:sz w:val="16"/>
          <w:szCs w:val="16"/>
        </w:rPr>
        <w:t>1</w:t>
      </w:r>
      <w:r>
        <w:rPr>
          <w:rFonts w:eastAsia="Times New Roman"/>
          <w:color w:val="auto"/>
          <w:spacing w:val="-1"/>
          <w:szCs w:val="24"/>
        </w:rPr>
        <w:t>+V</w:t>
      </w:r>
      <w:r>
        <w:rPr>
          <w:rFonts w:eastAsia="Times New Roman"/>
          <w:color w:val="auto"/>
          <w:spacing w:val="-1"/>
          <w:position w:val="-1"/>
          <w:sz w:val="16"/>
          <w:szCs w:val="16"/>
        </w:rPr>
        <w:t>2</w:t>
      </w:r>
      <w:r>
        <w:rPr>
          <w:rFonts w:eastAsia="Times New Roman"/>
          <w:color w:val="auto"/>
          <w:spacing w:val="-1"/>
          <w:szCs w:val="24"/>
        </w:rPr>
        <w:t>-V</w:t>
      </w:r>
      <w:r>
        <w:rPr>
          <w:rFonts w:eastAsia="Times New Roman"/>
          <w:color w:val="auto"/>
          <w:spacing w:val="-1"/>
          <w:position w:val="-1"/>
          <w:sz w:val="16"/>
          <w:szCs w:val="16"/>
        </w:rPr>
        <w:t>3</w:t>
      </w:r>
      <w:r>
        <w:rPr>
          <w:rFonts w:eastAsia="Times New Roman"/>
          <w:color w:val="auto"/>
          <w:spacing w:val="-1"/>
          <w:szCs w:val="24"/>
        </w:rPr>
        <w:t>)</w:t>
      </w:r>
      <w:r>
        <w:rPr>
          <w:rFonts w:eastAsia="Times New Roman"/>
          <w:color w:val="auto"/>
          <w:spacing w:val="-1"/>
          <w:position w:val="-1"/>
          <w:sz w:val="16"/>
          <w:szCs w:val="16"/>
        </w:rPr>
        <w:t>max</w:t>
      </w:r>
      <w:r>
        <w:rPr>
          <w:rFonts w:eastAsia="Times New Roman"/>
          <w:color w:val="auto"/>
          <w:spacing w:val="-1"/>
          <w:szCs w:val="24"/>
        </w:rPr>
        <w:t>]</w:t>
      </w:r>
      <w:r>
        <w:rPr>
          <w:rFonts w:eastAsia="Times New Roman"/>
          <w:color w:val="auto"/>
          <w:spacing w:val="-1"/>
          <w:sz w:val="16"/>
          <w:szCs w:val="16"/>
        </w:rPr>
        <w:t>max</w:t>
      </w:r>
      <w:r>
        <w:rPr>
          <w:rFonts w:eastAsia="Times New Roman"/>
          <w:color w:val="auto"/>
          <w:spacing w:val="-1"/>
          <w:szCs w:val="24"/>
        </w:rPr>
        <w:t>+V</w:t>
      </w:r>
      <w:r>
        <w:rPr>
          <w:rFonts w:eastAsia="Times New Roman"/>
          <w:color w:val="auto"/>
          <w:spacing w:val="-1"/>
          <w:position w:val="-1"/>
          <w:sz w:val="16"/>
          <w:szCs w:val="16"/>
        </w:rPr>
        <w:t>4</w:t>
      </w:r>
      <w:r>
        <w:rPr>
          <w:rFonts w:eastAsia="Times New Roman"/>
          <w:color w:val="auto"/>
          <w:spacing w:val="-1"/>
          <w:szCs w:val="24"/>
        </w:rPr>
        <w:t>+V</w:t>
      </w:r>
      <w:r>
        <w:rPr>
          <w:rFonts w:eastAsia="Times New Roman"/>
          <w:color w:val="auto"/>
          <w:spacing w:val="-1"/>
          <w:position w:val="-1"/>
          <w:sz w:val="16"/>
          <w:szCs w:val="16"/>
        </w:rPr>
        <w:t>5</w:t>
      </w:r>
    </w:p>
    <w:p>
      <w:pPr>
        <w:widowControl/>
        <w:adjustRightInd w:val="0"/>
        <w:ind w:firstLine="480"/>
        <w:jc w:val="left"/>
        <w:rPr>
          <w:color w:val="auto"/>
        </w:rPr>
      </w:pPr>
      <w:r>
        <w:rPr>
          <w:color w:val="auto"/>
        </w:rPr>
        <w:t>注：计算应急事故废水量时，装置区或贮罐区事故不作同时发生考虑，取其中的最大值。</w:t>
      </w:r>
    </w:p>
    <w:p>
      <w:pPr>
        <w:widowControl/>
        <w:adjustRightInd w:val="0"/>
        <w:ind w:firstLine="480"/>
        <w:jc w:val="left"/>
        <w:rPr>
          <w:color w:val="auto"/>
        </w:rPr>
      </w:pPr>
      <w:r>
        <w:rPr>
          <w:color w:val="auto"/>
        </w:rPr>
        <w:t>V</w:t>
      </w:r>
      <w:r>
        <w:rPr>
          <w:color w:val="auto"/>
          <w:vertAlign w:val="subscript"/>
        </w:rPr>
        <w:t>1</w:t>
      </w:r>
      <w:r>
        <w:rPr>
          <w:color w:val="auto"/>
        </w:rPr>
        <w:t>——收集系统内发生事故时一个罐组或装置最大物料泄漏量；罐组事故泄漏量按最大储罐容量、装置事故泄漏量按最大反应容器容量计</w:t>
      </w:r>
      <w:r>
        <w:rPr>
          <w:rFonts w:hint="eastAsia"/>
          <w:color w:val="auto"/>
        </w:rPr>
        <w:t>。</w:t>
      </w:r>
    </w:p>
    <w:p>
      <w:pPr>
        <w:widowControl/>
        <w:adjustRightInd w:val="0"/>
        <w:ind w:firstLine="480"/>
        <w:jc w:val="left"/>
        <w:rPr>
          <w:color w:val="auto"/>
        </w:rPr>
      </w:pPr>
      <w:r>
        <w:rPr>
          <w:color w:val="auto"/>
        </w:rPr>
        <w:t>V</w:t>
      </w:r>
      <w:r>
        <w:rPr>
          <w:color w:val="auto"/>
          <w:vertAlign w:val="subscript"/>
        </w:rPr>
        <w:t>2</w:t>
      </w:r>
      <w:r>
        <w:rPr>
          <w:color w:val="auto"/>
        </w:rPr>
        <w:t>——</w:t>
      </w:r>
      <w:r>
        <w:rPr>
          <w:color w:val="auto"/>
          <w:szCs w:val="22"/>
        </w:rPr>
        <w:t>发生事故的储罐或装置的消防水量（m</w:t>
      </w:r>
      <w:r>
        <w:rPr>
          <w:color w:val="auto"/>
          <w:szCs w:val="22"/>
          <w:vertAlign w:val="superscript"/>
        </w:rPr>
        <w:t>3</w:t>
      </w:r>
      <w:r>
        <w:rPr>
          <w:color w:val="auto"/>
          <w:szCs w:val="22"/>
        </w:rPr>
        <w:t>）</w:t>
      </w:r>
    </w:p>
    <w:p>
      <w:pPr>
        <w:widowControl/>
        <w:adjustRightInd w:val="0"/>
        <w:spacing w:line="240" w:lineRule="auto"/>
        <w:ind w:firstLine="480"/>
        <w:jc w:val="center"/>
        <w:rPr>
          <w:color w:val="auto"/>
        </w:rPr>
      </w:pPr>
      <w:r>
        <w:rPr>
          <w:color w:val="auto"/>
        </w:rPr>
        <w:drawing>
          <wp:inline distT="0" distB="0" distL="114300" distR="114300">
            <wp:extent cx="874395" cy="278130"/>
            <wp:effectExtent l="0" t="0" r="0" b="6350"/>
            <wp:docPr id="10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
                    <pic:cNvPicPr>
                      <a:picLocks noChangeAspect="1"/>
                    </pic:cNvPicPr>
                  </pic:nvPicPr>
                  <pic:blipFill>
                    <a:blip r:embed="rId133"/>
                    <a:stretch>
                      <a:fillRect/>
                    </a:stretch>
                  </pic:blipFill>
                  <pic:spPr>
                    <a:xfrm>
                      <a:off x="0" y="0"/>
                      <a:ext cx="874395" cy="278130"/>
                    </a:xfrm>
                    <a:prstGeom prst="rect">
                      <a:avLst/>
                    </a:prstGeom>
                    <a:noFill/>
                    <a:ln>
                      <a:noFill/>
                    </a:ln>
                  </pic:spPr>
                </pic:pic>
              </a:graphicData>
            </a:graphic>
          </wp:inline>
        </w:drawing>
      </w:r>
    </w:p>
    <w:p>
      <w:pPr>
        <w:widowControl/>
        <w:adjustRightInd w:val="0"/>
        <w:ind w:firstLine="480"/>
        <w:jc w:val="left"/>
        <w:rPr>
          <w:color w:val="auto"/>
        </w:rPr>
      </w:pPr>
      <w:r>
        <w:rPr>
          <w:color w:val="auto"/>
        </w:rPr>
        <w:t>Q</w:t>
      </w:r>
      <w:r>
        <w:rPr>
          <w:color w:val="auto"/>
          <w:vertAlign w:val="subscript"/>
        </w:rPr>
        <w:t>消</w:t>
      </w:r>
      <w:r>
        <w:rPr>
          <w:color w:val="auto"/>
        </w:rPr>
        <w:t>——发生事故的储罐或装置的同时使用的消防设施给水流量，m</w:t>
      </w:r>
      <w:r>
        <w:rPr>
          <w:color w:val="auto"/>
          <w:vertAlign w:val="superscript"/>
        </w:rPr>
        <w:t>3</w:t>
      </w:r>
      <w:r>
        <w:rPr>
          <w:color w:val="auto"/>
        </w:rPr>
        <w:t xml:space="preserve">/h； </w:t>
      </w:r>
    </w:p>
    <w:p>
      <w:pPr>
        <w:widowControl/>
        <w:adjustRightInd w:val="0"/>
        <w:ind w:firstLine="480"/>
        <w:rPr>
          <w:color w:val="auto"/>
          <w:szCs w:val="24"/>
        </w:rPr>
      </w:pPr>
      <w:r>
        <w:rPr>
          <w:color w:val="auto"/>
          <w:szCs w:val="24"/>
        </w:rPr>
        <w:t>t</w:t>
      </w:r>
      <w:r>
        <w:rPr>
          <w:color w:val="auto"/>
          <w:szCs w:val="24"/>
          <w:vertAlign w:val="subscript"/>
        </w:rPr>
        <w:t>消</w:t>
      </w:r>
      <w:r>
        <w:rPr>
          <w:color w:val="auto"/>
          <w:szCs w:val="24"/>
        </w:rPr>
        <w:t>——消防设施对应的设计消防历时，h；</w:t>
      </w:r>
    </w:p>
    <w:p>
      <w:pPr>
        <w:widowControl/>
        <w:adjustRightInd w:val="0"/>
        <w:ind w:firstLine="480"/>
        <w:jc w:val="left"/>
        <w:rPr>
          <w:color w:val="auto"/>
          <w:kern w:val="0"/>
          <w:szCs w:val="24"/>
        </w:rPr>
      </w:pPr>
      <w:r>
        <w:rPr>
          <w:rFonts w:hint="eastAsia"/>
          <w:color w:val="auto"/>
        </w:rPr>
        <w:t>拟建项目乳酸罐区围堰有效容积为176m</w:t>
      </w:r>
      <w:r>
        <w:rPr>
          <w:rFonts w:hint="eastAsia"/>
          <w:color w:val="auto"/>
          <w:vertAlign w:val="superscript"/>
        </w:rPr>
        <w:t>3</w:t>
      </w:r>
      <w:r>
        <w:rPr>
          <w:rFonts w:hint="eastAsia"/>
          <w:color w:val="auto"/>
        </w:rPr>
        <w:t>，乳酸罐区最大泄露量为150m</w:t>
      </w:r>
      <w:r>
        <w:rPr>
          <w:rFonts w:hint="eastAsia"/>
          <w:color w:val="auto"/>
          <w:vertAlign w:val="superscript"/>
        </w:rPr>
        <w:t>3</w:t>
      </w:r>
      <w:r>
        <w:rPr>
          <w:rFonts w:hint="eastAsia"/>
          <w:color w:val="auto"/>
        </w:rPr>
        <w:t>，因此罐区发生事故围堰可全部拦截。</w:t>
      </w:r>
      <w:r>
        <w:rPr>
          <w:color w:val="auto"/>
        </w:rPr>
        <w:t>根据《建筑设计防火规范》（GB50016-2014）（2018年版）、《石油化工企业设计防火标准》（GB50160-2008）（2018年版）、《消防给水及消火栓系统技术规范》（GB50974-2014）等规范</w:t>
      </w:r>
      <w:r>
        <w:rPr>
          <w:rFonts w:hint="eastAsia"/>
          <w:color w:val="auto"/>
        </w:rPr>
        <w:t>，</w:t>
      </w:r>
      <w:r>
        <w:rPr>
          <w:color w:val="auto"/>
        </w:rPr>
        <w:t>拟建项目的生产装置属于小型装置</w:t>
      </w:r>
      <w:r>
        <w:rPr>
          <w:rFonts w:hint="eastAsia"/>
          <w:color w:val="auto"/>
        </w:rPr>
        <w:t>，</w:t>
      </w:r>
      <w:r>
        <w:rPr>
          <w:rFonts w:hint="eastAsia"/>
          <w:color w:val="auto"/>
          <w:kern w:val="0"/>
          <w:szCs w:val="24"/>
        </w:rPr>
        <w:t>厂区</w:t>
      </w:r>
      <w:r>
        <w:rPr>
          <w:color w:val="auto"/>
          <w:kern w:val="0"/>
          <w:szCs w:val="24"/>
        </w:rPr>
        <w:t>火灾时用水量为</w:t>
      </w:r>
      <w:r>
        <w:rPr>
          <w:rFonts w:hint="eastAsia"/>
          <w:color w:val="auto"/>
          <w:kern w:val="0"/>
          <w:szCs w:val="24"/>
        </w:rPr>
        <w:t>40</w:t>
      </w:r>
      <w:r>
        <w:rPr>
          <w:color w:val="auto"/>
          <w:kern w:val="0"/>
          <w:szCs w:val="24"/>
        </w:rPr>
        <w:t>L/s，火灾延续</w:t>
      </w:r>
      <w:r>
        <w:rPr>
          <w:rFonts w:hint="eastAsia"/>
          <w:color w:val="auto"/>
          <w:kern w:val="0"/>
          <w:szCs w:val="24"/>
        </w:rPr>
        <w:t>3</w:t>
      </w:r>
      <w:r>
        <w:rPr>
          <w:color w:val="auto"/>
          <w:kern w:val="0"/>
          <w:szCs w:val="24"/>
        </w:rPr>
        <w:t>h，则设计消防用水量为</w:t>
      </w:r>
      <w:r>
        <w:rPr>
          <w:rFonts w:hint="eastAsia"/>
          <w:color w:val="auto"/>
          <w:kern w:val="0"/>
          <w:szCs w:val="24"/>
        </w:rPr>
        <w:t>432</w:t>
      </w:r>
      <w:r>
        <w:rPr>
          <w:color w:val="auto"/>
          <w:kern w:val="0"/>
          <w:szCs w:val="24"/>
        </w:rPr>
        <w:t>m</w:t>
      </w:r>
      <w:r>
        <w:rPr>
          <w:color w:val="auto"/>
          <w:kern w:val="0"/>
          <w:szCs w:val="24"/>
          <w:vertAlign w:val="superscript"/>
        </w:rPr>
        <w:t>3</w:t>
      </w:r>
      <w:r>
        <w:rPr>
          <w:color w:val="auto"/>
          <w:kern w:val="0"/>
          <w:szCs w:val="24"/>
        </w:rPr>
        <w:t>。</w:t>
      </w:r>
      <w:r>
        <w:rPr>
          <w:rFonts w:hint="eastAsia"/>
          <w:color w:val="auto"/>
          <w:kern w:val="0"/>
          <w:szCs w:val="24"/>
        </w:rPr>
        <w:t>考虑最大事故水量为432</w:t>
      </w:r>
      <w:r>
        <w:rPr>
          <w:color w:val="auto"/>
          <w:kern w:val="0"/>
          <w:szCs w:val="24"/>
        </w:rPr>
        <w:t>m</w:t>
      </w:r>
      <w:r>
        <w:rPr>
          <w:color w:val="auto"/>
          <w:kern w:val="0"/>
          <w:szCs w:val="24"/>
          <w:vertAlign w:val="superscript"/>
        </w:rPr>
        <w:t>3</w:t>
      </w:r>
      <w:r>
        <w:rPr>
          <w:rFonts w:hint="eastAsia"/>
          <w:color w:val="auto"/>
          <w:kern w:val="0"/>
          <w:szCs w:val="24"/>
        </w:rPr>
        <w:t>。</w:t>
      </w:r>
    </w:p>
    <w:p>
      <w:pPr>
        <w:ind w:firstLine="480"/>
        <w:rPr>
          <w:bCs/>
          <w:color w:val="auto"/>
        </w:rPr>
      </w:pPr>
      <w:r>
        <w:rPr>
          <w:bCs/>
          <w:color w:val="auto"/>
        </w:rPr>
        <w:t>V</w:t>
      </w:r>
      <w:r>
        <w:rPr>
          <w:bCs/>
          <w:color w:val="auto"/>
          <w:vertAlign w:val="subscript"/>
        </w:rPr>
        <w:t>3</w:t>
      </w:r>
      <w:r>
        <w:rPr>
          <w:bCs/>
          <w:color w:val="auto"/>
        </w:rPr>
        <w:t>：发生事故时物料转移至其他容器及单元量，V</w:t>
      </w:r>
      <w:r>
        <w:rPr>
          <w:bCs/>
          <w:color w:val="auto"/>
          <w:vertAlign w:val="subscript"/>
        </w:rPr>
        <w:t>3</w:t>
      </w:r>
      <w:r>
        <w:rPr>
          <w:bCs/>
          <w:color w:val="auto"/>
        </w:rPr>
        <w:t>=</w:t>
      </w:r>
      <w:r>
        <w:rPr>
          <w:rFonts w:hint="eastAsia"/>
          <w:bCs/>
          <w:color w:val="auto"/>
        </w:rPr>
        <w:t>150</w:t>
      </w:r>
      <w:r>
        <w:rPr>
          <w:bCs/>
          <w:color w:val="auto"/>
        </w:rPr>
        <w:t>。</w:t>
      </w:r>
    </w:p>
    <w:p>
      <w:pPr>
        <w:ind w:firstLine="480"/>
        <w:rPr>
          <w:bCs/>
          <w:color w:val="auto"/>
        </w:rPr>
      </w:pPr>
      <w:r>
        <w:rPr>
          <w:bCs/>
          <w:color w:val="auto"/>
        </w:rPr>
        <w:t>V</w:t>
      </w:r>
      <w:r>
        <w:rPr>
          <w:bCs/>
          <w:color w:val="auto"/>
          <w:vertAlign w:val="subscript"/>
        </w:rPr>
        <w:t>4</w:t>
      </w:r>
      <w:r>
        <w:rPr>
          <w:bCs/>
          <w:color w:val="auto"/>
        </w:rPr>
        <w:t>：发生事故时必须进入该系统的生产废水量V</w:t>
      </w:r>
      <w:r>
        <w:rPr>
          <w:bCs/>
          <w:color w:val="auto"/>
          <w:vertAlign w:val="subscript"/>
        </w:rPr>
        <w:t>4</w:t>
      </w:r>
      <w:r>
        <w:rPr>
          <w:bCs/>
          <w:color w:val="auto"/>
        </w:rPr>
        <w:t>=0。</w:t>
      </w:r>
    </w:p>
    <w:p>
      <w:pPr>
        <w:ind w:firstLine="480"/>
        <w:rPr>
          <w:color w:val="auto"/>
        </w:rPr>
      </w:pPr>
      <w:r>
        <w:rPr>
          <w:bCs/>
          <w:color w:val="auto"/>
        </w:rPr>
        <w:t>V</w:t>
      </w:r>
      <w:r>
        <w:rPr>
          <w:bCs/>
          <w:color w:val="auto"/>
          <w:vertAlign w:val="subscript"/>
        </w:rPr>
        <w:t>5</w:t>
      </w:r>
      <w:r>
        <w:rPr>
          <w:bCs/>
          <w:color w:val="auto"/>
        </w:rPr>
        <w:t>：</w:t>
      </w:r>
      <w:r>
        <w:rPr>
          <w:color w:val="auto"/>
          <w:szCs w:val="22"/>
        </w:rPr>
        <w:t>发生事故时可能进入该系统的雨水量，</w:t>
      </w:r>
      <w:r>
        <w:rPr>
          <w:color w:val="auto"/>
          <w:szCs w:val="24"/>
        </w:rPr>
        <w:t>根据</w:t>
      </w:r>
      <w:r>
        <w:rPr>
          <w:rFonts w:hint="eastAsia"/>
          <w:color w:val="auto"/>
          <w:szCs w:val="24"/>
        </w:rPr>
        <w:t>淄博市</w:t>
      </w:r>
      <w:r>
        <w:rPr>
          <w:color w:val="auto"/>
          <w:szCs w:val="24"/>
        </w:rPr>
        <w:t>年平均降雨量为</w:t>
      </w:r>
      <w:r>
        <w:rPr>
          <w:color w:val="auto"/>
          <w:szCs w:val="22"/>
        </w:rPr>
        <w:t>648.4</w:t>
      </w:r>
      <w:r>
        <w:rPr>
          <w:color w:val="auto"/>
          <w:szCs w:val="24"/>
        </w:rPr>
        <w:t>mm，平均降雨天数为62天，则降雨强度为q=q</w:t>
      </w:r>
      <w:r>
        <w:rPr>
          <w:color w:val="auto"/>
          <w:szCs w:val="24"/>
          <w:vertAlign w:val="subscript"/>
        </w:rPr>
        <w:t>a</w:t>
      </w:r>
      <w:r>
        <w:rPr>
          <w:color w:val="auto"/>
          <w:szCs w:val="24"/>
        </w:rPr>
        <w:t>/n=</w:t>
      </w:r>
      <w:r>
        <w:rPr>
          <w:rFonts w:hint="eastAsia"/>
          <w:color w:val="auto"/>
          <w:szCs w:val="24"/>
        </w:rPr>
        <w:t>10.46</w:t>
      </w:r>
      <w:r>
        <w:rPr>
          <w:color w:val="auto"/>
          <w:szCs w:val="24"/>
        </w:rPr>
        <w:t>mm，</w:t>
      </w:r>
      <w:r>
        <w:rPr>
          <w:rFonts w:hint="eastAsia"/>
          <w:color w:val="auto"/>
          <w:szCs w:val="24"/>
        </w:rPr>
        <w:t>F</w:t>
      </w:r>
      <w:r>
        <w:rPr>
          <w:color w:val="auto"/>
          <w:szCs w:val="24"/>
        </w:rPr>
        <w:t>为必须进入事故废水收集系统的雨水汇水面积，本项目罐区面积为</w:t>
      </w:r>
      <w:r>
        <w:rPr>
          <w:rFonts w:hint="eastAsia"/>
          <w:color w:val="auto"/>
          <w:szCs w:val="24"/>
        </w:rPr>
        <w:t>142.5</w:t>
      </w:r>
      <w:r>
        <w:rPr>
          <w:color w:val="auto"/>
          <w:szCs w:val="22"/>
        </w:rPr>
        <w:t>m</w:t>
      </w:r>
      <w:r>
        <w:rPr>
          <w:rFonts w:hint="eastAsia"/>
          <w:color w:val="auto"/>
          <w:szCs w:val="22"/>
          <w:vertAlign w:val="superscript"/>
        </w:rPr>
        <w:t>2</w:t>
      </w:r>
      <w:r>
        <w:rPr>
          <w:color w:val="auto"/>
          <w:szCs w:val="24"/>
        </w:rPr>
        <w:t>，即0.</w:t>
      </w:r>
      <w:r>
        <w:rPr>
          <w:rFonts w:hint="eastAsia"/>
          <w:color w:val="auto"/>
          <w:szCs w:val="24"/>
        </w:rPr>
        <w:t>01425</w:t>
      </w:r>
      <w:r>
        <w:rPr>
          <w:color w:val="auto"/>
          <w:szCs w:val="24"/>
        </w:rPr>
        <w:t>ha，计算得出V</w:t>
      </w:r>
      <w:r>
        <w:rPr>
          <w:color w:val="auto"/>
          <w:szCs w:val="24"/>
          <w:vertAlign w:val="subscript"/>
        </w:rPr>
        <w:t>5</w:t>
      </w:r>
      <w:r>
        <w:rPr>
          <w:color w:val="auto"/>
          <w:szCs w:val="24"/>
        </w:rPr>
        <w:t>=10q</w:t>
      </w:r>
      <w:r>
        <w:rPr>
          <w:rFonts w:hint="eastAsia"/>
          <w:color w:val="auto"/>
          <w:szCs w:val="24"/>
        </w:rPr>
        <w:t>F</w:t>
      </w:r>
      <w:r>
        <w:rPr>
          <w:color w:val="auto"/>
          <w:szCs w:val="24"/>
        </w:rPr>
        <w:t>=10×</w:t>
      </w:r>
      <w:r>
        <w:rPr>
          <w:rFonts w:hint="eastAsia"/>
          <w:color w:val="auto"/>
          <w:szCs w:val="24"/>
        </w:rPr>
        <w:t>10.46</w:t>
      </w:r>
      <w:r>
        <w:rPr>
          <w:color w:val="auto"/>
          <w:szCs w:val="24"/>
        </w:rPr>
        <w:t>×0.</w:t>
      </w:r>
      <w:r>
        <w:rPr>
          <w:rFonts w:hint="eastAsia"/>
          <w:color w:val="auto"/>
          <w:szCs w:val="24"/>
        </w:rPr>
        <w:t>01425</w:t>
      </w:r>
      <w:r>
        <w:rPr>
          <w:color w:val="auto"/>
          <w:szCs w:val="24"/>
        </w:rPr>
        <w:t>=</w:t>
      </w:r>
      <w:r>
        <w:rPr>
          <w:rFonts w:hint="eastAsia"/>
          <w:color w:val="auto"/>
          <w:szCs w:val="24"/>
        </w:rPr>
        <w:t>1.49</w:t>
      </w:r>
      <w:r>
        <w:rPr>
          <w:color w:val="auto"/>
          <w:szCs w:val="24"/>
        </w:rPr>
        <w:t>m³</w:t>
      </w:r>
      <w:r>
        <w:rPr>
          <w:color w:val="auto"/>
        </w:rPr>
        <w:t>。</w:t>
      </w:r>
    </w:p>
    <w:p>
      <w:pPr>
        <w:widowControl/>
        <w:adjustRightInd w:val="0"/>
        <w:ind w:firstLine="480"/>
        <w:jc w:val="left"/>
        <w:rPr>
          <w:color w:val="auto"/>
        </w:rPr>
      </w:pPr>
      <w:r>
        <w:rPr>
          <w:color w:val="auto"/>
        </w:rPr>
        <w:t>通过以上基础数据可计算得本项目的事故池容积约为：</w:t>
      </w:r>
    </w:p>
    <w:p>
      <w:pPr>
        <w:widowControl/>
        <w:adjustRightInd w:val="0"/>
        <w:ind w:firstLine="480"/>
        <w:jc w:val="center"/>
        <w:rPr>
          <w:color w:val="auto"/>
        </w:rPr>
      </w:pPr>
      <w:r>
        <w:rPr>
          <w:color w:val="auto"/>
        </w:rPr>
        <w:t>V</w:t>
      </w:r>
      <w:r>
        <w:rPr>
          <w:color w:val="auto"/>
          <w:vertAlign w:val="subscript"/>
        </w:rPr>
        <w:t>总</w:t>
      </w:r>
      <w:r>
        <w:rPr>
          <w:color w:val="auto"/>
        </w:rPr>
        <w:t>＝（V</w:t>
      </w:r>
      <w:r>
        <w:rPr>
          <w:color w:val="auto"/>
          <w:vertAlign w:val="subscript"/>
        </w:rPr>
        <w:t>1</w:t>
      </w:r>
      <w:r>
        <w:rPr>
          <w:color w:val="auto"/>
        </w:rPr>
        <w:t>＋V</w:t>
      </w:r>
      <w:r>
        <w:rPr>
          <w:color w:val="auto"/>
          <w:vertAlign w:val="subscript"/>
        </w:rPr>
        <w:t>2</w:t>
      </w:r>
      <w:r>
        <w:rPr>
          <w:rFonts w:hint="eastAsia"/>
          <w:color w:val="auto"/>
          <w:vertAlign w:val="subscript"/>
        </w:rPr>
        <w:t>-</w:t>
      </w:r>
      <w:r>
        <w:rPr>
          <w:color w:val="auto"/>
        </w:rPr>
        <w:t>V</w:t>
      </w:r>
      <w:r>
        <w:rPr>
          <w:color w:val="auto"/>
          <w:vertAlign w:val="subscript"/>
        </w:rPr>
        <w:t>3</w:t>
      </w:r>
      <w:r>
        <w:rPr>
          <w:color w:val="auto"/>
        </w:rPr>
        <w:t>）</w:t>
      </w:r>
      <w:r>
        <w:rPr>
          <w:color w:val="auto"/>
          <w:vertAlign w:val="subscript"/>
        </w:rPr>
        <w:t>max</w:t>
      </w:r>
      <w:r>
        <w:rPr>
          <w:rFonts w:hint="eastAsia"/>
          <w:color w:val="auto"/>
          <w:vertAlign w:val="subscript"/>
        </w:rPr>
        <w:t>+</w:t>
      </w:r>
      <w:r>
        <w:rPr>
          <w:color w:val="auto"/>
        </w:rPr>
        <w:t>V</w:t>
      </w:r>
      <w:r>
        <w:rPr>
          <w:color w:val="auto"/>
          <w:vertAlign w:val="subscript"/>
        </w:rPr>
        <w:t>4</w:t>
      </w:r>
      <w:r>
        <w:rPr>
          <w:rFonts w:hint="eastAsia"/>
          <w:color w:val="auto"/>
          <w:vertAlign w:val="subscript"/>
        </w:rPr>
        <w:t>+</w:t>
      </w:r>
      <w:r>
        <w:rPr>
          <w:color w:val="auto"/>
        </w:rPr>
        <w:t>V</w:t>
      </w:r>
      <w:r>
        <w:rPr>
          <w:color w:val="auto"/>
          <w:vertAlign w:val="subscript"/>
        </w:rPr>
        <w:t>5</w:t>
      </w:r>
      <w:r>
        <w:rPr>
          <w:color w:val="auto"/>
        </w:rPr>
        <w:t>＝</w:t>
      </w:r>
      <w:r>
        <w:rPr>
          <w:rFonts w:hint="eastAsia"/>
          <w:color w:val="auto"/>
        </w:rPr>
        <w:t>150+432-150+1.49=433.49</w:t>
      </w:r>
      <w:r>
        <w:rPr>
          <w:color w:val="auto"/>
        </w:rPr>
        <w:t>m</w:t>
      </w:r>
      <w:r>
        <w:rPr>
          <w:color w:val="auto"/>
          <w:vertAlign w:val="superscript"/>
        </w:rPr>
        <w:t>3</w:t>
      </w:r>
    </w:p>
    <w:p>
      <w:pPr>
        <w:ind w:firstLine="480"/>
        <w:rPr>
          <w:color w:val="auto"/>
          <w:vertAlign w:val="superscript"/>
        </w:rPr>
      </w:pPr>
      <w:r>
        <w:rPr>
          <w:color w:val="auto"/>
        </w:rPr>
        <w:t>综上所述，本项目</w:t>
      </w:r>
      <w:r>
        <w:rPr>
          <w:rFonts w:hint="eastAsia"/>
          <w:color w:val="auto"/>
        </w:rPr>
        <w:t>所需</w:t>
      </w:r>
      <w:r>
        <w:rPr>
          <w:color w:val="auto"/>
        </w:rPr>
        <w:t>事故池容积V</w:t>
      </w:r>
      <w:r>
        <w:rPr>
          <w:color w:val="auto"/>
          <w:vertAlign w:val="subscript"/>
        </w:rPr>
        <w:t>总</w:t>
      </w:r>
      <w:r>
        <w:rPr>
          <w:color w:val="auto"/>
        </w:rPr>
        <w:t>=</w:t>
      </w:r>
      <w:r>
        <w:rPr>
          <w:rFonts w:hint="eastAsia"/>
          <w:color w:val="auto"/>
        </w:rPr>
        <w:t>433.49</w:t>
      </w:r>
      <w:r>
        <w:rPr>
          <w:color w:val="auto"/>
        </w:rPr>
        <w:t>m</w:t>
      </w:r>
      <w:r>
        <w:rPr>
          <w:color w:val="auto"/>
          <w:vertAlign w:val="superscript"/>
        </w:rPr>
        <w:t>3</w:t>
      </w:r>
    </w:p>
    <w:p>
      <w:pPr>
        <w:spacing w:line="360" w:lineRule="auto"/>
        <w:ind w:firstLine="452"/>
        <w:rPr>
          <w:color w:val="auto"/>
          <w:szCs w:val="24"/>
        </w:rPr>
      </w:pPr>
      <w:r>
        <w:rPr>
          <w:color w:val="auto"/>
          <w:spacing w:val="-7"/>
          <w:szCs w:val="24"/>
        </w:rPr>
        <w:t>本项目事故水池有效容积见表</w:t>
      </w:r>
      <w:r>
        <w:rPr>
          <w:color w:val="auto"/>
          <w:spacing w:val="-14"/>
          <w:szCs w:val="24"/>
        </w:rPr>
        <w:t>6.6-2</w:t>
      </w:r>
      <w:r>
        <w:rPr>
          <w:color w:val="auto"/>
          <w:spacing w:val="-7"/>
          <w:szCs w:val="24"/>
        </w:rPr>
        <w:t>，根据核算结果，本项目事故水池容积能满足</w:t>
      </w:r>
      <w:r>
        <w:rPr>
          <w:color w:val="auto"/>
          <w:spacing w:val="-3"/>
          <w:szCs w:val="24"/>
        </w:rPr>
        <w:t>事故水储存要求。</w:t>
      </w:r>
    </w:p>
    <w:p>
      <w:pPr>
        <w:pStyle w:val="48"/>
        <w:rPr>
          <w:b/>
          <w:color w:val="auto"/>
          <w:szCs w:val="21"/>
          <w:lang w:val="zh-CN"/>
        </w:rPr>
      </w:pPr>
      <w:r>
        <w:rPr>
          <w:b/>
          <w:color w:val="auto"/>
          <w:szCs w:val="21"/>
          <w:lang w:val="zh-CN"/>
        </w:rPr>
        <w:t>表</w:t>
      </w:r>
      <w:r>
        <w:rPr>
          <w:rFonts w:hint="eastAsia"/>
          <w:b/>
          <w:color w:val="auto"/>
          <w:szCs w:val="21"/>
        </w:rPr>
        <w:t>6.6-2</w:t>
      </w:r>
      <w:r>
        <w:rPr>
          <w:b/>
          <w:color w:val="auto"/>
          <w:szCs w:val="21"/>
          <w:lang w:val="zh-CN"/>
        </w:rPr>
        <w:t xml:space="preserve">  消防事故池有效容积可行性分析表</w:t>
      </w:r>
    </w:p>
    <w:tbl>
      <w:tblPr>
        <w:tblStyle w:val="63"/>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947"/>
        <w:gridCol w:w="2941"/>
        <w:gridCol w:w="2910"/>
        <w:gridCol w:w="227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6" w:hRule="atLeast"/>
        </w:trPr>
        <w:tc>
          <w:tcPr>
            <w:tcW w:w="522" w:type="pct"/>
            <w:tcBorders>
              <w:tl2br w:val="nil"/>
              <w:tr2bl w:val="nil"/>
            </w:tcBorders>
            <w:vAlign w:val="center"/>
          </w:tcPr>
          <w:p>
            <w:pPr>
              <w:spacing w:line="240" w:lineRule="auto"/>
              <w:ind w:firstLine="0" w:firstLineChars="0"/>
              <w:jc w:val="center"/>
              <w:rPr>
                <w:b/>
                <w:bCs/>
                <w:color w:val="auto"/>
                <w:sz w:val="21"/>
                <w:szCs w:val="21"/>
              </w:rPr>
            </w:pPr>
            <w:r>
              <w:rPr>
                <w:b/>
                <w:bCs/>
                <w:color w:val="auto"/>
                <w:spacing w:val="-2"/>
                <w:sz w:val="21"/>
                <w:szCs w:val="21"/>
              </w:rPr>
              <w:t>符号</w:t>
            </w:r>
          </w:p>
        </w:tc>
        <w:tc>
          <w:tcPr>
            <w:tcW w:w="1621" w:type="pct"/>
            <w:tcBorders>
              <w:tl2br w:val="nil"/>
              <w:tr2bl w:val="nil"/>
            </w:tcBorders>
            <w:vAlign w:val="center"/>
          </w:tcPr>
          <w:p>
            <w:pPr>
              <w:spacing w:line="240" w:lineRule="auto"/>
              <w:ind w:firstLine="0" w:firstLineChars="0"/>
              <w:jc w:val="center"/>
              <w:rPr>
                <w:b/>
                <w:bCs/>
                <w:color w:val="auto"/>
                <w:sz w:val="21"/>
                <w:szCs w:val="21"/>
              </w:rPr>
            </w:pPr>
            <w:r>
              <w:rPr>
                <w:b/>
                <w:bCs/>
                <w:color w:val="auto"/>
                <w:spacing w:val="-3"/>
                <w:sz w:val="21"/>
                <w:szCs w:val="21"/>
              </w:rPr>
              <w:t>意义</w:t>
            </w:r>
          </w:p>
        </w:tc>
        <w:tc>
          <w:tcPr>
            <w:tcW w:w="1604" w:type="pct"/>
            <w:tcBorders>
              <w:tl2br w:val="nil"/>
              <w:tr2bl w:val="nil"/>
            </w:tcBorders>
            <w:vAlign w:val="center"/>
          </w:tcPr>
          <w:p>
            <w:pPr>
              <w:spacing w:line="240" w:lineRule="auto"/>
              <w:ind w:firstLine="0" w:firstLineChars="0"/>
              <w:jc w:val="center"/>
              <w:rPr>
                <w:b/>
                <w:bCs/>
                <w:color w:val="auto"/>
                <w:sz w:val="21"/>
                <w:szCs w:val="21"/>
              </w:rPr>
            </w:pPr>
            <w:r>
              <w:rPr>
                <w:b/>
                <w:bCs/>
                <w:color w:val="auto"/>
                <w:spacing w:val="-2"/>
                <w:sz w:val="21"/>
                <w:szCs w:val="21"/>
              </w:rPr>
              <w:t>取值依据</w:t>
            </w:r>
          </w:p>
        </w:tc>
        <w:tc>
          <w:tcPr>
            <w:tcW w:w="1251" w:type="pct"/>
            <w:tcBorders>
              <w:tl2br w:val="nil"/>
              <w:tr2bl w:val="nil"/>
            </w:tcBorders>
            <w:vAlign w:val="center"/>
          </w:tcPr>
          <w:p>
            <w:pPr>
              <w:spacing w:line="240" w:lineRule="auto"/>
              <w:ind w:firstLine="0" w:firstLineChars="0"/>
              <w:jc w:val="center"/>
              <w:rPr>
                <w:b/>
                <w:bCs/>
                <w:color w:val="auto"/>
                <w:sz w:val="21"/>
                <w:szCs w:val="21"/>
              </w:rPr>
            </w:pPr>
            <w:r>
              <w:rPr>
                <w:b/>
                <w:bCs/>
                <w:color w:val="auto"/>
                <w:spacing w:val="22"/>
                <w:sz w:val="21"/>
                <w:szCs w:val="21"/>
              </w:rPr>
              <w:t>数值</w:t>
            </w:r>
            <w:r>
              <w:rPr>
                <w:b/>
                <w:bCs/>
                <w:color w:val="auto"/>
                <w:spacing w:val="-44"/>
                <w:sz w:val="21"/>
                <w:szCs w:val="21"/>
              </w:rPr>
              <w:t xml:space="preserve"> </w:t>
            </w:r>
            <w:r>
              <w:rPr>
                <w:b/>
                <w:bCs/>
                <w:color w:val="auto"/>
                <w:spacing w:val="22"/>
                <w:sz w:val="21"/>
                <w:szCs w:val="21"/>
              </w:rPr>
              <w:t>m³</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86" w:hRule="atLeast"/>
        </w:trPr>
        <w:tc>
          <w:tcPr>
            <w:tcW w:w="52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V</w:t>
            </w:r>
            <w:r>
              <w:rPr>
                <w:color w:val="auto"/>
                <w:sz w:val="21"/>
                <w:szCs w:val="21"/>
                <w:vertAlign w:val="subscript"/>
              </w:rPr>
              <w:t>1</w:t>
            </w:r>
          </w:p>
        </w:tc>
        <w:tc>
          <w:tcPr>
            <w:tcW w:w="1621"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事故的一个罐组或一套装置的</w:t>
            </w:r>
            <w:r>
              <w:rPr>
                <w:color w:val="auto"/>
                <w:spacing w:val="-2"/>
                <w:sz w:val="21"/>
                <w:szCs w:val="21"/>
              </w:rPr>
              <w:t>物料量</w:t>
            </w:r>
          </w:p>
        </w:tc>
        <w:tc>
          <w:tcPr>
            <w:tcW w:w="1604" w:type="pct"/>
            <w:tcBorders>
              <w:tl2br w:val="nil"/>
              <w:tr2bl w:val="nil"/>
            </w:tcBorders>
            <w:vAlign w:val="center"/>
          </w:tcPr>
          <w:p>
            <w:pPr>
              <w:spacing w:line="240" w:lineRule="auto"/>
              <w:ind w:firstLine="0" w:firstLineChars="0"/>
              <w:jc w:val="center"/>
              <w:rPr>
                <w:color w:val="auto"/>
                <w:sz w:val="21"/>
                <w:szCs w:val="21"/>
              </w:rPr>
            </w:pPr>
            <w:r>
              <w:rPr>
                <w:color w:val="auto"/>
                <w:spacing w:val="-3"/>
                <w:sz w:val="21"/>
                <w:szCs w:val="21"/>
              </w:rPr>
              <w:t>最大反应容器</w:t>
            </w:r>
          </w:p>
        </w:tc>
        <w:tc>
          <w:tcPr>
            <w:tcW w:w="125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1" w:hRule="atLeast"/>
        </w:trPr>
        <w:tc>
          <w:tcPr>
            <w:tcW w:w="52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V</w:t>
            </w:r>
            <w:r>
              <w:rPr>
                <w:color w:val="auto"/>
                <w:sz w:val="21"/>
                <w:szCs w:val="21"/>
                <w:vertAlign w:val="subscript"/>
              </w:rPr>
              <w:t>2</w:t>
            </w:r>
          </w:p>
        </w:tc>
        <w:tc>
          <w:tcPr>
            <w:tcW w:w="1621"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事故的储罐或装置的消防水量</w:t>
            </w:r>
          </w:p>
        </w:tc>
        <w:tc>
          <w:tcPr>
            <w:tcW w:w="1604"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一次最大消防用水量</w:t>
            </w:r>
          </w:p>
        </w:tc>
        <w:tc>
          <w:tcPr>
            <w:tcW w:w="125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432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85" w:hRule="atLeast"/>
        </w:trPr>
        <w:tc>
          <w:tcPr>
            <w:tcW w:w="52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V</w:t>
            </w:r>
            <w:r>
              <w:rPr>
                <w:color w:val="auto"/>
                <w:sz w:val="21"/>
                <w:szCs w:val="21"/>
                <w:vertAlign w:val="subscript"/>
              </w:rPr>
              <w:t>3</w:t>
            </w:r>
          </w:p>
        </w:tc>
        <w:tc>
          <w:tcPr>
            <w:tcW w:w="1621"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发生事故时可以转输到其他储存或处理设施的物料量</w:t>
            </w:r>
          </w:p>
        </w:tc>
        <w:tc>
          <w:tcPr>
            <w:tcW w:w="1604"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不考虑可以转输到其他储存或</w:t>
            </w:r>
            <w:r>
              <w:rPr>
                <w:color w:val="auto"/>
                <w:spacing w:val="-2"/>
                <w:sz w:val="21"/>
                <w:szCs w:val="21"/>
              </w:rPr>
              <w:t>处理设施的物料量</w:t>
            </w:r>
          </w:p>
        </w:tc>
        <w:tc>
          <w:tcPr>
            <w:tcW w:w="125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83" w:hRule="atLeast"/>
        </w:trPr>
        <w:tc>
          <w:tcPr>
            <w:tcW w:w="52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V</w:t>
            </w:r>
            <w:r>
              <w:rPr>
                <w:color w:val="auto"/>
                <w:sz w:val="21"/>
                <w:szCs w:val="21"/>
                <w:vertAlign w:val="subscript"/>
              </w:rPr>
              <w:t>4</w:t>
            </w:r>
          </w:p>
        </w:tc>
        <w:tc>
          <w:tcPr>
            <w:tcW w:w="1621"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发生事故时仍必须进入该收集</w:t>
            </w:r>
            <w:r>
              <w:rPr>
                <w:color w:val="auto"/>
                <w:spacing w:val="-2"/>
                <w:sz w:val="21"/>
                <w:szCs w:val="21"/>
              </w:rPr>
              <w:t>系统的生产废水量</w:t>
            </w:r>
          </w:p>
        </w:tc>
        <w:tc>
          <w:tcPr>
            <w:tcW w:w="1604"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生产废水经管道送至厂区污水</w:t>
            </w:r>
            <w:r>
              <w:rPr>
                <w:color w:val="auto"/>
                <w:spacing w:val="-2"/>
                <w:sz w:val="21"/>
                <w:szCs w:val="21"/>
              </w:rPr>
              <w:t>处理站</w:t>
            </w:r>
          </w:p>
        </w:tc>
        <w:tc>
          <w:tcPr>
            <w:tcW w:w="125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85" w:hRule="atLeast"/>
        </w:trPr>
        <w:tc>
          <w:tcPr>
            <w:tcW w:w="52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V</w:t>
            </w:r>
            <w:r>
              <w:rPr>
                <w:color w:val="auto"/>
                <w:sz w:val="21"/>
                <w:szCs w:val="21"/>
                <w:vertAlign w:val="subscript"/>
              </w:rPr>
              <w:t>5</w:t>
            </w:r>
          </w:p>
        </w:tc>
        <w:tc>
          <w:tcPr>
            <w:tcW w:w="1621"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发生事故时可能进入该收集系统的降雨量</w:t>
            </w:r>
          </w:p>
        </w:tc>
        <w:tc>
          <w:tcPr>
            <w:tcW w:w="160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w:t>
            </w:r>
          </w:p>
        </w:tc>
        <w:tc>
          <w:tcPr>
            <w:tcW w:w="125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1.49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84" w:hRule="atLeast"/>
        </w:trPr>
        <w:tc>
          <w:tcPr>
            <w:tcW w:w="522"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V</w:t>
            </w:r>
            <w:r>
              <w:rPr>
                <w:color w:val="auto"/>
                <w:spacing w:val="-1"/>
                <w:sz w:val="21"/>
                <w:szCs w:val="21"/>
                <w:vertAlign w:val="subscript"/>
              </w:rPr>
              <w:t>总</w:t>
            </w:r>
          </w:p>
        </w:tc>
        <w:tc>
          <w:tcPr>
            <w:tcW w:w="1621" w:type="pct"/>
            <w:tcBorders>
              <w:tl2br w:val="nil"/>
              <w:tr2bl w:val="nil"/>
            </w:tcBorders>
            <w:vAlign w:val="center"/>
          </w:tcPr>
          <w:p>
            <w:pPr>
              <w:spacing w:line="240" w:lineRule="auto"/>
              <w:ind w:firstLine="0" w:firstLineChars="0"/>
              <w:jc w:val="center"/>
              <w:rPr>
                <w:color w:val="auto"/>
                <w:sz w:val="21"/>
                <w:szCs w:val="21"/>
              </w:rPr>
            </w:pPr>
            <w:r>
              <w:rPr>
                <w:color w:val="auto"/>
                <w:spacing w:val="-3"/>
                <w:sz w:val="21"/>
                <w:szCs w:val="21"/>
              </w:rPr>
              <w:t>V</w:t>
            </w:r>
            <w:r>
              <w:rPr>
                <w:color w:val="auto"/>
                <w:spacing w:val="-3"/>
                <w:sz w:val="21"/>
                <w:szCs w:val="21"/>
                <w:vertAlign w:val="subscript"/>
              </w:rPr>
              <w:t>总</w:t>
            </w:r>
            <w:r>
              <w:rPr>
                <w:color w:val="auto"/>
                <w:spacing w:val="-3"/>
                <w:sz w:val="21"/>
                <w:szCs w:val="21"/>
              </w:rPr>
              <w:t>=（V</w:t>
            </w:r>
            <w:r>
              <w:rPr>
                <w:color w:val="auto"/>
                <w:spacing w:val="-3"/>
                <w:sz w:val="21"/>
                <w:szCs w:val="21"/>
                <w:vertAlign w:val="subscript"/>
              </w:rPr>
              <w:t>1</w:t>
            </w:r>
            <w:r>
              <w:rPr>
                <w:color w:val="auto"/>
                <w:spacing w:val="-3"/>
                <w:sz w:val="21"/>
                <w:szCs w:val="21"/>
              </w:rPr>
              <w:t>＋V</w:t>
            </w:r>
            <w:r>
              <w:rPr>
                <w:color w:val="auto"/>
                <w:spacing w:val="-3"/>
                <w:sz w:val="21"/>
                <w:szCs w:val="21"/>
                <w:vertAlign w:val="subscript"/>
              </w:rPr>
              <w:t>2</w:t>
            </w:r>
            <w:r>
              <w:rPr>
                <w:color w:val="auto"/>
                <w:spacing w:val="-3"/>
                <w:sz w:val="21"/>
                <w:szCs w:val="21"/>
              </w:rPr>
              <w:t>－V</w:t>
            </w:r>
            <w:r>
              <w:rPr>
                <w:color w:val="auto"/>
                <w:spacing w:val="-3"/>
                <w:sz w:val="21"/>
                <w:szCs w:val="21"/>
                <w:vertAlign w:val="subscript"/>
              </w:rPr>
              <w:t>3</w:t>
            </w:r>
            <w:r>
              <w:rPr>
                <w:color w:val="auto"/>
                <w:spacing w:val="-3"/>
                <w:sz w:val="21"/>
                <w:szCs w:val="21"/>
              </w:rPr>
              <w:t>）</w:t>
            </w:r>
            <w:r>
              <w:rPr>
                <w:color w:val="auto"/>
                <w:spacing w:val="-3"/>
                <w:sz w:val="21"/>
                <w:szCs w:val="21"/>
                <w:vertAlign w:val="subscript"/>
              </w:rPr>
              <w:t>max</w:t>
            </w:r>
            <w:r>
              <w:rPr>
                <w:color w:val="auto"/>
                <w:spacing w:val="-3"/>
                <w:sz w:val="21"/>
                <w:szCs w:val="21"/>
              </w:rPr>
              <w:t>＋</w:t>
            </w:r>
            <w:r>
              <w:rPr>
                <w:color w:val="auto"/>
                <w:spacing w:val="-1"/>
                <w:sz w:val="21"/>
                <w:szCs w:val="21"/>
              </w:rPr>
              <w:t>V</w:t>
            </w:r>
            <w:r>
              <w:rPr>
                <w:color w:val="auto"/>
                <w:spacing w:val="-1"/>
                <w:sz w:val="21"/>
                <w:szCs w:val="21"/>
                <w:vertAlign w:val="subscript"/>
              </w:rPr>
              <w:t>4</w:t>
            </w:r>
            <w:r>
              <w:rPr>
                <w:color w:val="auto"/>
                <w:spacing w:val="-1"/>
                <w:sz w:val="21"/>
                <w:szCs w:val="21"/>
              </w:rPr>
              <w:t>+V</w:t>
            </w:r>
            <w:r>
              <w:rPr>
                <w:color w:val="auto"/>
                <w:spacing w:val="-1"/>
                <w:sz w:val="21"/>
                <w:szCs w:val="21"/>
                <w:vertAlign w:val="subscript"/>
              </w:rPr>
              <w:t>5</w:t>
            </w:r>
          </w:p>
        </w:tc>
        <w:tc>
          <w:tcPr>
            <w:tcW w:w="160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w:t>
            </w:r>
          </w:p>
        </w:tc>
        <w:tc>
          <w:tcPr>
            <w:tcW w:w="125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428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522" w:type="pct"/>
            <w:tcBorders>
              <w:tl2br w:val="nil"/>
              <w:tr2bl w:val="nil"/>
            </w:tcBorders>
            <w:vAlign w:val="center"/>
          </w:tcPr>
          <w:p>
            <w:pPr>
              <w:spacing w:line="240" w:lineRule="auto"/>
              <w:ind w:firstLine="0" w:firstLineChars="0"/>
              <w:jc w:val="center"/>
              <w:rPr>
                <w:color w:val="auto"/>
                <w:sz w:val="21"/>
                <w:szCs w:val="21"/>
              </w:rPr>
            </w:pPr>
            <w:r>
              <w:rPr>
                <w:color w:val="auto"/>
                <w:spacing w:val="-3"/>
                <w:sz w:val="21"/>
                <w:szCs w:val="21"/>
              </w:rPr>
              <w:t>结论</w:t>
            </w:r>
          </w:p>
        </w:tc>
        <w:tc>
          <w:tcPr>
            <w:tcW w:w="1621"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w:t>
            </w:r>
          </w:p>
        </w:tc>
        <w:tc>
          <w:tcPr>
            <w:tcW w:w="160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w:t>
            </w:r>
          </w:p>
        </w:tc>
        <w:tc>
          <w:tcPr>
            <w:tcW w:w="1251" w:type="pct"/>
            <w:tcBorders>
              <w:tl2br w:val="nil"/>
              <w:tr2bl w:val="nil"/>
            </w:tcBorders>
            <w:vAlign w:val="center"/>
          </w:tcPr>
          <w:p>
            <w:pPr>
              <w:spacing w:line="240" w:lineRule="auto"/>
              <w:ind w:firstLine="0" w:firstLineChars="0"/>
              <w:jc w:val="center"/>
              <w:rPr>
                <w:color w:val="auto"/>
                <w:sz w:val="21"/>
                <w:szCs w:val="21"/>
              </w:rPr>
            </w:pPr>
            <w:r>
              <w:rPr>
                <w:rFonts w:hint="eastAsia"/>
                <w:color w:val="auto"/>
              </w:rPr>
              <w:t>433.49</w:t>
            </w:r>
            <w:r>
              <w:rPr>
                <w:color w:val="auto"/>
                <w:spacing w:val="-2"/>
                <w:sz w:val="21"/>
                <w:szCs w:val="21"/>
              </w:rPr>
              <w:t>＜</w:t>
            </w:r>
            <w:r>
              <w:rPr>
                <w:rFonts w:hint="eastAsia"/>
                <w:color w:val="auto"/>
                <w:spacing w:val="-2"/>
                <w:sz w:val="21"/>
                <w:szCs w:val="21"/>
              </w:rPr>
              <w:t>450</w:t>
            </w:r>
          </w:p>
        </w:tc>
      </w:tr>
    </w:tbl>
    <w:p>
      <w:pPr>
        <w:ind w:firstLine="480"/>
        <w:rPr>
          <w:bCs/>
          <w:color w:val="auto"/>
        </w:rPr>
      </w:pPr>
      <w:r>
        <w:rPr>
          <w:bCs/>
          <w:color w:val="auto"/>
        </w:rPr>
        <w:t>则经过上面公式计算，拟建项目发生事故时，废水产生量为</w:t>
      </w:r>
      <w:r>
        <w:rPr>
          <w:rFonts w:hint="eastAsia"/>
          <w:color w:val="auto"/>
        </w:rPr>
        <w:t>433.49</w:t>
      </w:r>
      <w:r>
        <w:rPr>
          <w:bCs/>
          <w:color w:val="auto"/>
        </w:rPr>
        <w:t>m</w:t>
      </w:r>
      <w:r>
        <w:rPr>
          <w:bCs/>
          <w:color w:val="auto"/>
          <w:vertAlign w:val="superscript"/>
        </w:rPr>
        <w:t>3</w:t>
      </w:r>
      <w:r>
        <w:rPr>
          <w:bCs/>
          <w:color w:val="auto"/>
        </w:rPr>
        <w:t>，拟建项目事故水池总有效容积设计为</w:t>
      </w:r>
      <w:r>
        <w:rPr>
          <w:rFonts w:hint="eastAsia"/>
          <w:bCs/>
          <w:color w:val="auto"/>
        </w:rPr>
        <w:t>450</w:t>
      </w:r>
      <w:r>
        <w:rPr>
          <w:bCs/>
          <w:color w:val="auto"/>
        </w:rPr>
        <w:t>m</w:t>
      </w:r>
      <w:r>
        <w:rPr>
          <w:bCs/>
          <w:color w:val="auto"/>
          <w:vertAlign w:val="superscript"/>
        </w:rPr>
        <w:t>3</w:t>
      </w:r>
      <w:r>
        <w:rPr>
          <w:bCs/>
          <w:color w:val="auto"/>
        </w:rPr>
        <w:t>，可以满足事故状态下废水暂存需要。厂区雨污管网图见图</w:t>
      </w:r>
      <w:r>
        <w:rPr>
          <w:rFonts w:hint="eastAsia"/>
          <w:bCs/>
          <w:color w:val="auto"/>
        </w:rPr>
        <w:t>2.2-1</w:t>
      </w:r>
      <w:r>
        <w:rPr>
          <w:bCs/>
          <w:color w:val="auto"/>
        </w:rPr>
        <w:t>。</w:t>
      </w:r>
    </w:p>
    <w:p>
      <w:pPr>
        <w:ind w:firstLine="480"/>
        <w:rPr>
          <w:bCs/>
          <w:color w:val="auto"/>
        </w:rPr>
      </w:pPr>
      <w:r>
        <w:rPr>
          <w:bCs/>
          <w:color w:val="auto"/>
        </w:rPr>
        <w:t>④三级防控</w:t>
      </w:r>
    </w:p>
    <w:p>
      <w:pPr>
        <w:ind w:firstLine="480"/>
        <w:rPr>
          <w:bCs/>
          <w:color w:val="auto"/>
        </w:rPr>
      </w:pPr>
      <w:r>
        <w:rPr>
          <w:rFonts w:hint="eastAsia"/>
          <w:bCs/>
          <w:color w:val="auto"/>
        </w:rPr>
        <w:t>拟建</w:t>
      </w:r>
      <w:r>
        <w:rPr>
          <w:bCs/>
          <w:color w:val="auto"/>
        </w:rPr>
        <w:t>项目的三级防控主要是对事故废水进行消化、处理，保证其不排入外环境，具体措施为：</w:t>
      </w:r>
    </w:p>
    <w:p>
      <w:pPr>
        <w:ind w:firstLine="480"/>
        <w:rPr>
          <w:bCs/>
          <w:color w:val="auto"/>
        </w:rPr>
      </w:pPr>
      <w:r>
        <w:rPr>
          <w:bCs/>
          <w:color w:val="auto"/>
        </w:rPr>
        <w:t>事故发生时，及时关闭总排污口和雨水阀，避免雨水、消防废水等排入外环境。</w:t>
      </w:r>
    </w:p>
    <w:p>
      <w:pPr>
        <w:ind w:firstLine="480"/>
        <w:rPr>
          <w:bCs/>
          <w:color w:val="auto"/>
        </w:rPr>
      </w:pPr>
      <w:r>
        <w:rPr>
          <w:bCs/>
          <w:color w:val="auto"/>
        </w:rPr>
        <w:t>拟建项目厂区设有一处理能力为</w:t>
      </w:r>
      <w:r>
        <w:rPr>
          <w:rFonts w:hint="eastAsia"/>
          <w:bCs/>
          <w:color w:val="auto"/>
        </w:rPr>
        <w:t>20</w:t>
      </w:r>
      <w:r>
        <w:rPr>
          <w:bCs/>
          <w:color w:val="auto"/>
        </w:rPr>
        <w:t>m</w:t>
      </w:r>
      <w:r>
        <w:rPr>
          <w:bCs/>
          <w:color w:val="auto"/>
          <w:vertAlign w:val="superscript"/>
        </w:rPr>
        <w:t>3</w:t>
      </w:r>
      <w:r>
        <w:rPr>
          <w:bCs/>
          <w:color w:val="auto"/>
        </w:rPr>
        <w:t>/d的污水处理站，事故发生后，将事故水池收集的废水分次少量的泵入污水处理站处理，处理达标后排入市政污水管网。</w:t>
      </w:r>
    </w:p>
    <w:p>
      <w:pPr>
        <w:ind w:firstLine="480"/>
        <w:rPr>
          <w:bCs/>
          <w:color w:val="auto"/>
        </w:rPr>
      </w:pPr>
      <w:r>
        <w:rPr>
          <w:bCs/>
          <w:color w:val="auto"/>
        </w:rPr>
        <w:t>拟建项目事故废水“三级防控”系统见图</w:t>
      </w:r>
      <w:r>
        <w:rPr>
          <w:rFonts w:hint="eastAsia"/>
          <w:bCs/>
          <w:color w:val="auto"/>
        </w:rPr>
        <w:t>6.6-2</w:t>
      </w:r>
      <w:r>
        <w:rPr>
          <w:bCs/>
          <w:color w:val="auto"/>
        </w:rPr>
        <w:t>。</w:t>
      </w:r>
    </w:p>
    <w:p>
      <w:pPr>
        <w:spacing w:line="240" w:lineRule="auto"/>
        <w:ind w:firstLine="0" w:firstLineChars="0"/>
        <w:jc w:val="center"/>
        <w:rPr>
          <w:color w:val="auto"/>
        </w:rPr>
      </w:pPr>
      <w:bookmarkStart w:id="361" w:name="OLE_LINK2"/>
      <w:bookmarkStart w:id="362" w:name="OLE_LINK1"/>
      <w:r>
        <w:rPr>
          <w:color w:val="auto"/>
          <w:sz w:val="24"/>
          <w:highlight w:val="none"/>
        </w:rPr>
        <mc:AlternateContent>
          <mc:Choice Requires="wps">
            <w:drawing>
              <wp:anchor distT="0" distB="0" distL="114300" distR="114300" simplePos="0" relativeHeight="251770880" behindDoc="0" locked="0" layoutInCell="1" allowOverlap="1">
                <wp:simplePos x="0" y="0"/>
                <wp:positionH relativeFrom="column">
                  <wp:posOffset>4516120</wp:posOffset>
                </wp:positionH>
                <wp:positionV relativeFrom="paragraph">
                  <wp:posOffset>2765425</wp:posOffset>
                </wp:positionV>
                <wp:extent cx="1323975" cy="535305"/>
                <wp:effectExtent l="5080" t="4445" r="4445" b="12700"/>
                <wp:wrapNone/>
                <wp:docPr id="192" name="文本框 192"/>
                <wp:cNvGraphicFramePr/>
                <a:graphic xmlns:a="http://schemas.openxmlformats.org/drawingml/2006/main">
                  <a:graphicData uri="http://schemas.microsoft.com/office/word/2010/wordprocessingShape">
                    <wps:wsp>
                      <wps:cNvSpPr txBox="1"/>
                      <wps:spPr>
                        <a:xfrm>
                          <a:off x="0" y="0"/>
                          <a:ext cx="1323975" cy="535305"/>
                        </a:xfrm>
                        <a:prstGeom prst="rect">
                          <a:avLst/>
                        </a:prstGeom>
                        <a:solidFill>
                          <a:srgbClr val="FFFFFF"/>
                        </a:solidFill>
                        <a:ln w="6350" cap="flat" cmpd="sng">
                          <a:solidFill>
                            <a:srgbClr val="000000"/>
                          </a:solidFill>
                          <a:prstDash val="solid"/>
                          <a:miter/>
                          <a:headEnd type="none" w="med" len="med"/>
                          <a:tailEnd type="none" w="med" len="med"/>
                        </a:ln>
                      </wps:spPr>
                      <wps:txbx>
                        <w:txbxContent>
                          <w:p>
                            <w:pPr>
                              <w:spacing w:line="240" w:lineRule="auto"/>
                              <w:ind w:left="0" w:leftChars="0" w:firstLine="0" w:firstLineChars="0"/>
                              <w:rPr>
                                <w:rFonts w:hint="eastAsia" w:eastAsia="宋体"/>
                                <w:sz w:val="24"/>
                                <w:szCs w:val="20"/>
                                <w:lang w:val="en-US" w:eastAsia="zh-CN"/>
                              </w:rPr>
                            </w:pPr>
                            <w:r>
                              <w:rPr>
                                <w:rFonts w:hint="eastAsia"/>
                                <w:color w:val="auto"/>
                                <w:sz w:val="18"/>
                                <w:szCs w:val="18"/>
                              </w:rPr>
                              <w:t>光大水务（淄博）有限公司水质净化</w:t>
                            </w:r>
                            <w:r>
                              <w:rPr>
                                <w:rFonts w:hint="eastAsia"/>
                                <w:color w:val="auto"/>
                                <w:sz w:val="18"/>
                                <w:szCs w:val="18"/>
                                <w:lang w:eastAsia="zh-CN"/>
                              </w:rPr>
                              <w:t>三分厂</w:t>
                            </w:r>
                          </w:p>
                        </w:txbxContent>
                      </wps:txbx>
                      <wps:bodyPr upright="1"/>
                    </wps:wsp>
                  </a:graphicData>
                </a:graphic>
              </wp:anchor>
            </w:drawing>
          </mc:Choice>
          <mc:Fallback>
            <w:pict>
              <v:shape id="_x0000_s1026" o:spid="_x0000_s1026" o:spt="202" type="#_x0000_t202" style="position:absolute;left:0pt;margin-left:355.6pt;margin-top:217.75pt;height:42.15pt;width:104.25pt;z-index:251770880;mso-width-relative:page;mso-height-relative:page;" fillcolor="#FFFFFF" filled="t" stroked="t" coordsize="21600,21600" o:gfxdata="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Ge7FPZAAAACwEAAA8AAAAAAAAAAQAg&#10;AAAAIgAAAGRycy9kb3ducmV2LnhtbFBLAQIUABQAAAAIAIdO4kD1zq5nDQIAADoEAAAOAAAAAAAA&#10;AAEAIAAAACgBAABkcnMvZTJvRG9jLnhtbFBLBQYAAAAABgAGAFkBAACnBQAAAAA=&#10;">
                <v:fill on="t" focussize="0,0"/>
                <v:stroke weight="0.5pt" color="#000000" joinstyle="miter"/>
                <v:imagedata o:title=""/>
                <o:lock v:ext="edit" aspectratio="f"/>
                <v:textbox>
                  <w:txbxContent>
                    <w:p>
                      <w:pPr>
                        <w:spacing w:line="240" w:lineRule="auto"/>
                        <w:ind w:left="0" w:leftChars="0" w:firstLine="0" w:firstLineChars="0"/>
                        <w:rPr>
                          <w:rFonts w:hint="eastAsia" w:eastAsia="宋体"/>
                          <w:sz w:val="24"/>
                          <w:szCs w:val="20"/>
                          <w:lang w:val="en-US" w:eastAsia="zh-CN"/>
                        </w:rPr>
                      </w:pPr>
                      <w:r>
                        <w:rPr>
                          <w:rFonts w:hint="eastAsia"/>
                          <w:color w:val="auto"/>
                          <w:sz w:val="18"/>
                          <w:szCs w:val="18"/>
                        </w:rPr>
                        <w:t>光大水务（淄博）有限公司水质净化</w:t>
                      </w:r>
                      <w:r>
                        <w:rPr>
                          <w:rFonts w:hint="eastAsia"/>
                          <w:color w:val="auto"/>
                          <w:sz w:val="18"/>
                          <w:szCs w:val="18"/>
                          <w:lang w:eastAsia="zh-CN"/>
                        </w:rPr>
                        <w:t>三分厂</w:t>
                      </w:r>
                    </w:p>
                  </w:txbxContent>
                </v:textbox>
              </v:shape>
            </w:pict>
          </mc:Fallback>
        </mc:AlternateContent>
      </w:r>
      <w:r>
        <w:rPr>
          <w:color w:val="auto"/>
          <w:highlight w:val="none"/>
        </w:rPr>
        <w:drawing>
          <wp:inline distT="0" distB="0" distL="114300" distR="114300">
            <wp:extent cx="5805170" cy="3154045"/>
            <wp:effectExtent l="0" t="0" r="5080" b="8255"/>
            <wp:docPr id="1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7"/>
                    <pic:cNvPicPr>
                      <a:picLocks noChangeAspect="1"/>
                    </pic:cNvPicPr>
                  </pic:nvPicPr>
                  <pic:blipFill>
                    <a:blip r:embed="rId134"/>
                    <a:stretch>
                      <a:fillRect/>
                    </a:stretch>
                  </pic:blipFill>
                  <pic:spPr>
                    <a:xfrm>
                      <a:off x="0" y="0"/>
                      <a:ext cx="5805170" cy="3154045"/>
                    </a:xfrm>
                    <a:prstGeom prst="rect">
                      <a:avLst/>
                    </a:prstGeom>
                    <a:noFill/>
                    <a:ln>
                      <a:noFill/>
                    </a:ln>
                  </pic:spPr>
                </pic:pic>
              </a:graphicData>
            </a:graphic>
          </wp:inline>
        </w:drawing>
      </w:r>
    </w:p>
    <w:p>
      <w:pPr>
        <w:spacing w:line="240" w:lineRule="auto"/>
        <w:ind w:firstLine="0" w:firstLineChars="0"/>
        <w:jc w:val="center"/>
        <w:rPr>
          <w:rFonts w:eastAsia="黑体"/>
          <w:b/>
          <w:snapToGrid w:val="0"/>
          <w:color w:val="auto"/>
          <w:spacing w:val="10"/>
          <w:kern w:val="0"/>
          <w:sz w:val="21"/>
          <w:szCs w:val="24"/>
        </w:rPr>
      </w:pPr>
      <w:r>
        <w:rPr>
          <w:rFonts w:eastAsia="黑体"/>
          <w:b/>
          <w:snapToGrid w:val="0"/>
          <w:color w:val="auto"/>
          <w:spacing w:val="10"/>
          <w:kern w:val="0"/>
          <w:sz w:val="21"/>
          <w:szCs w:val="24"/>
        </w:rPr>
        <w:t>图</w:t>
      </w:r>
      <w:r>
        <w:rPr>
          <w:rFonts w:hint="eastAsia" w:eastAsia="黑体"/>
          <w:b/>
          <w:snapToGrid w:val="0"/>
          <w:color w:val="auto"/>
          <w:spacing w:val="10"/>
          <w:kern w:val="0"/>
          <w:sz w:val="21"/>
          <w:szCs w:val="24"/>
        </w:rPr>
        <w:t>6.6-2</w:t>
      </w:r>
      <w:r>
        <w:rPr>
          <w:rFonts w:eastAsia="黑体"/>
          <w:b/>
          <w:snapToGrid w:val="0"/>
          <w:color w:val="auto"/>
          <w:spacing w:val="10"/>
          <w:kern w:val="0"/>
          <w:sz w:val="21"/>
          <w:szCs w:val="24"/>
        </w:rPr>
        <w:t xml:space="preserve">  </w:t>
      </w:r>
      <w:r>
        <w:rPr>
          <w:rFonts w:hint="eastAsia" w:eastAsia="黑体"/>
          <w:b/>
          <w:snapToGrid w:val="0"/>
          <w:color w:val="auto"/>
          <w:spacing w:val="10"/>
          <w:kern w:val="0"/>
          <w:sz w:val="21"/>
          <w:szCs w:val="24"/>
        </w:rPr>
        <w:t>拟建</w:t>
      </w:r>
      <w:r>
        <w:rPr>
          <w:rFonts w:eastAsia="黑体"/>
          <w:b/>
          <w:snapToGrid w:val="0"/>
          <w:color w:val="auto"/>
          <w:spacing w:val="10"/>
          <w:kern w:val="0"/>
          <w:sz w:val="21"/>
          <w:szCs w:val="24"/>
        </w:rPr>
        <w:t>项目三级防控体系</w:t>
      </w:r>
      <w:bookmarkEnd w:id="361"/>
      <w:bookmarkEnd w:id="362"/>
      <w:r>
        <w:rPr>
          <w:rFonts w:eastAsia="黑体"/>
          <w:b/>
          <w:snapToGrid w:val="0"/>
          <w:color w:val="auto"/>
          <w:spacing w:val="10"/>
          <w:kern w:val="0"/>
          <w:sz w:val="21"/>
          <w:szCs w:val="24"/>
        </w:rPr>
        <w:t>图</w:t>
      </w:r>
    </w:p>
    <w:p>
      <w:pPr>
        <w:ind w:firstLine="480"/>
        <w:rPr>
          <w:bCs/>
          <w:color w:val="auto"/>
        </w:rPr>
      </w:pPr>
      <w:r>
        <w:rPr>
          <w:bCs/>
          <w:color w:val="auto"/>
        </w:rPr>
        <w:t>（3）地下水环境风险防范措施</w:t>
      </w:r>
    </w:p>
    <w:p>
      <w:pPr>
        <w:ind w:firstLine="480"/>
        <w:rPr>
          <w:bCs/>
          <w:color w:val="auto"/>
        </w:rPr>
      </w:pPr>
      <w:r>
        <w:rPr>
          <w:bCs/>
          <w:color w:val="auto"/>
        </w:rPr>
        <w:t>地下水环境风险防范采取源头控制和分区防渗措施，详见地下水污染防治措施</w:t>
      </w:r>
      <w:r>
        <w:rPr>
          <w:rFonts w:hint="eastAsia"/>
          <w:bCs/>
          <w:color w:val="auto"/>
        </w:rPr>
        <w:t>章节</w:t>
      </w:r>
      <w:r>
        <w:rPr>
          <w:bCs/>
          <w:color w:val="auto"/>
        </w:rPr>
        <w:t>。加强地下水环境的监控、预警，厂区设置地下水监控井，定期对厂区的地下水监控井进行监测，实时监控厂区内的地下水环境污染水平。</w:t>
      </w:r>
    </w:p>
    <w:p>
      <w:pPr>
        <w:ind w:firstLine="480"/>
        <w:rPr>
          <w:bCs/>
          <w:color w:val="auto"/>
        </w:rPr>
      </w:pPr>
      <w:r>
        <w:rPr>
          <w:bCs/>
          <w:color w:val="auto"/>
        </w:rPr>
        <w:t>（4）风险源风险防范措施</w:t>
      </w:r>
    </w:p>
    <w:p>
      <w:pPr>
        <w:ind w:firstLine="480"/>
        <w:rPr>
          <w:bCs/>
          <w:color w:val="auto"/>
        </w:rPr>
      </w:pPr>
      <w:r>
        <w:rPr>
          <w:bCs/>
          <w:color w:val="auto"/>
        </w:rPr>
        <w:t>为了及时掌握风险源的情况，对突发环境事件做到早发现早处理，降低或避免突发环境事件造成的危害，对容易引发突发环境事件的风险单元（生产车间、污水处理站、</w:t>
      </w:r>
      <w:r>
        <w:rPr>
          <w:rFonts w:hint="eastAsia"/>
          <w:bCs/>
          <w:color w:val="auto"/>
        </w:rPr>
        <w:t>原料</w:t>
      </w:r>
      <w:r>
        <w:rPr>
          <w:bCs/>
          <w:color w:val="auto"/>
        </w:rPr>
        <w:t>库、危废</w:t>
      </w:r>
      <w:r>
        <w:rPr>
          <w:rFonts w:hint="eastAsia"/>
          <w:bCs/>
          <w:color w:val="auto"/>
        </w:rPr>
        <w:t>间</w:t>
      </w:r>
      <w:r>
        <w:rPr>
          <w:bCs/>
          <w:color w:val="auto"/>
        </w:rPr>
        <w:t>等）实行管理责任制，落实到具体部门与具体负责人，管理部门每天组织进行检查和维护，做好检查记录，对突发事件进行预防。本项目风险源风险防范措施具体如下：</w:t>
      </w:r>
    </w:p>
    <w:p>
      <w:pPr>
        <w:adjustRightInd w:val="0"/>
        <w:snapToGrid w:val="0"/>
        <w:ind w:firstLine="0" w:firstLineChars="0"/>
        <w:jc w:val="center"/>
        <w:rPr>
          <w:rFonts w:eastAsia="黑体"/>
          <w:b/>
          <w:color w:val="auto"/>
          <w:sz w:val="21"/>
          <w:szCs w:val="21"/>
          <w:lang w:val="zh-CN"/>
        </w:rPr>
      </w:pPr>
    </w:p>
    <w:p>
      <w:pPr>
        <w:adjustRightInd w:val="0"/>
        <w:snapToGrid w:val="0"/>
        <w:ind w:firstLine="0" w:firstLineChars="0"/>
        <w:jc w:val="center"/>
        <w:rPr>
          <w:rFonts w:eastAsia="黑体"/>
          <w:b/>
          <w:color w:val="auto"/>
          <w:sz w:val="21"/>
          <w:szCs w:val="21"/>
          <w:lang w:val="zh-CN"/>
        </w:rPr>
      </w:pPr>
    </w:p>
    <w:p>
      <w:pPr>
        <w:adjustRightInd w:val="0"/>
        <w:snapToGrid w:val="0"/>
        <w:ind w:firstLine="0" w:firstLineChars="0"/>
        <w:jc w:val="center"/>
        <w:rPr>
          <w:rFonts w:eastAsia="黑体"/>
          <w:b/>
          <w:color w:val="auto"/>
          <w:sz w:val="21"/>
          <w:szCs w:val="21"/>
          <w:lang w:val="zh-CN"/>
        </w:rPr>
      </w:pPr>
    </w:p>
    <w:p>
      <w:pPr>
        <w:adjustRightInd w:val="0"/>
        <w:snapToGrid w:val="0"/>
        <w:ind w:firstLine="0" w:firstLineChars="0"/>
        <w:jc w:val="center"/>
        <w:rPr>
          <w:rFonts w:eastAsia="黑体"/>
          <w:b/>
          <w:color w:val="auto"/>
          <w:sz w:val="21"/>
          <w:szCs w:val="21"/>
          <w:lang w:val="zh-CN"/>
        </w:rPr>
      </w:pPr>
    </w:p>
    <w:p>
      <w:pPr>
        <w:adjustRightInd w:val="0"/>
        <w:snapToGrid w:val="0"/>
        <w:ind w:firstLine="0" w:firstLineChars="0"/>
        <w:jc w:val="center"/>
        <w:rPr>
          <w:rFonts w:eastAsia="黑体"/>
          <w:b/>
          <w:color w:val="auto"/>
          <w:sz w:val="21"/>
          <w:szCs w:val="21"/>
          <w:lang w:val="zh-CN"/>
        </w:rPr>
      </w:pPr>
    </w:p>
    <w:p>
      <w:pPr>
        <w:adjustRightInd w:val="0"/>
        <w:snapToGrid w:val="0"/>
        <w:ind w:firstLine="0" w:firstLineChars="0"/>
        <w:jc w:val="center"/>
        <w:rPr>
          <w:rFonts w:eastAsia="黑体"/>
          <w:b/>
          <w:color w:val="auto"/>
          <w:sz w:val="21"/>
          <w:szCs w:val="21"/>
          <w:lang w:val="zh-CN"/>
        </w:rPr>
      </w:pPr>
    </w:p>
    <w:p>
      <w:pPr>
        <w:adjustRightInd w:val="0"/>
        <w:snapToGrid w:val="0"/>
        <w:ind w:firstLine="0" w:firstLineChars="0"/>
        <w:jc w:val="center"/>
        <w:rPr>
          <w:rFonts w:eastAsia="黑体"/>
          <w:b/>
          <w:color w:val="auto"/>
          <w:sz w:val="21"/>
          <w:szCs w:val="21"/>
          <w:lang w:val="zh-CN"/>
        </w:rPr>
      </w:pPr>
    </w:p>
    <w:p>
      <w:pPr>
        <w:adjustRightInd w:val="0"/>
        <w:snapToGrid w:val="0"/>
        <w:ind w:firstLine="0" w:firstLineChars="0"/>
        <w:jc w:val="center"/>
        <w:rPr>
          <w:rFonts w:eastAsia="黑体"/>
          <w:b/>
          <w:color w:val="auto"/>
          <w:sz w:val="21"/>
          <w:szCs w:val="21"/>
          <w:lang w:val="zh-CN"/>
        </w:rPr>
      </w:pPr>
    </w:p>
    <w:p>
      <w:pPr>
        <w:adjustRightInd w:val="0"/>
        <w:snapToGrid w:val="0"/>
        <w:ind w:firstLine="0" w:firstLineChars="0"/>
        <w:jc w:val="center"/>
        <w:rPr>
          <w:rFonts w:eastAsia="黑体"/>
          <w:b/>
          <w:color w:val="auto"/>
          <w:sz w:val="21"/>
          <w:szCs w:val="21"/>
          <w:lang w:val="zh-CN"/>
        </w:rPr>
      </w:pPr>
      <w:r>
        <w:rPr>
          <w:rFonts w:eastAsia="黑体"/>
          <w:b/>
          <w:color w:val="auto"/>
          <w:sz w:val="21"/>
          <w:szCs w:val="21"/>
          <w:lang w:val="zh-CN"/>
        </w:rPr>
        <w:t>表</w:t>
      </w:r>
      <w:r>
        <w:rPr>
          <w:rFonts w:hint="eastAsia" w:eastAsia="黑体"/>
          <w:b/>
          <w:color w:val="auto"/>
          <w:sz w:val="21"/>
          <w:szCs w:val="21"/>
        </w:rPr>
        <w:t>6.6-3</w:t>
      </w:r>
      <w:r>
        <w:rPr>
          <w:rFonts w:eastAsia="黑体"/>
          <w:b/>
          <w:color w:val="auto"/>
          <w:sz w:val="21"/>
          <w:szCs w:val="21"/>
          <w:lang w:val="zh-CN"/>
        </w:rPr>
        <w:t xml:space="preserve">  风险源风险防范措施</w:t>
      </w:r>
    </w:p>
    <w:tbl>
      <w:tblPr>
        <w:tblStyle w:val="63"/>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596"/>
        <w:gridCol w:w="747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7" w:hRule="atLeast"/>
        </w:trPr>
        <w:tc>
          <w:tcPr>
            <w:tcW w:w="880" w:type="pct"/>
            <w:tcBorders>
              <w:tl2br w:val="nil"/>
              <w:tr2bl w:val="nil"/>
            </w:tcBorders>
            <w:vAlign w:val="center"/>
          </w:tcPr>
          <w:p>
            <w:pPr>
              <w:spacing w:line="240" w:lineRule="auto"/>
              <w:ind w:firstLine="0" w:firstLineChars="0"/>
              <w:jc w:val="center"/>
              <w:rPr>
                <w:b/>
                <w:bCs/>
                <w:color w:val="auto"/>
                <w:sz w:val="21"/>
                <w:szCs w:val="21"/>
              </w:rPr>
            </w:pPr>
            <w:r>
              <w:rPr>
                <w:b/>
                <w:bCs/>
                <w:color w:val="auto"/>
                <w:spacing w:val="-2"/>
                <w:sz w:val="21"/>
                <w:szCs w:val="21"/>
              </w:rPr>
              <w:t>环境风</w:t>
            </w:r>
            <w:r>
              <w:rPr>
                <w:b/>
                <w:bCs/>
                <w:color w:val="auto"/>
                <w:spacing w:val="-6"/>
                <w:sz w:val="21"/>
                <w:szCs w:val="21"/>
              </w:rPr>
              <w:t>险单元</w:t>
            </w:r>
          </w:p>
        </w:tc>
        <w:tc>
          <w:tcPr>
            <w:tcW w:w="4119" w:type="pct"/>
            <w:tcBorders>
              <w:tl2br w:val="nil"/>
              <w:tr2bl w:val="nil"/>
            </w:tcBorders>
            <w:vAlign w:val="center"/>
          </w:tcPr>
          <w:p>
            <w:pPr>
              <w:spacing w:line="240" w:lineRule="auto"/>
              <w:ind w:firstLine="0" w:firstLineChars="0"/>
              <w:jc w:val="center"/>
              <w:rPr>
                <w:b/>
                <w:bCs/>
                <w:color w:val="auto"/>
                <w:sz w:val="21"/>
                <w:szCs w:val="21"/>
              </w:rPr>
            </w:pPr>
            <w:r>
              <w:rPr>
                <w:b/>
                <w:bCs/>
                <w:color w:val="auto"/>
                <w:spacing w:val="-1"/>
                <w:sz w:val="21"/>
                <w:szCs w:val="21"/>
              </w:rPr>
              <w:t>风险防控措施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90" w:hRule="atLeast"/>
        </w:trPr>
        <w:tc>
          <w:tcPr>
            <w:tcW w:w="88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生产车间</w:t>
            </w:r>
          </w:p>
        </w:tc>
        <w:tc>
          <w:tcPr>
            <w:tcW w:w="4119" w:type="pct"/>
            <w:tcBorders>
              <w:tl2br w:val="nil"/>
              <w:tr2bl w:val="nil"/>
            </w:tcBorders>
            <w:vAlign w:val="center"/>
          </w:tcPr>
          <w:p>
            <w:pPr>
              <w:spacing w:line="240" w:lineRule="auto"/>
              <w:ind w:firstLine="0" w:firstLineChars="0"/>
              <w:jc w:val="left"/>
              <w:rPr>
                <w:color w:val="auto"/>
                <w:spacing w:val="-3"/>
                <w:sz w:val="21"/>
                <w:szCs w:val="21"/>
              </w:rPr>
            </w:pPr>
            <w:r>
              <w:rPr>
                <w:color w:val="auto"/>
                <w:spacing w:val="-5"/>
                <w:sz w:val="21"/>
                <w:szCs w:val="21"/>
              </w:rPr>
              <w:t>生产车间可能发生的环境污染事件有火灾爆炸事故以及化学品泄漏事故，为最大限度的降低</w:t>
            </w:r>
            <w:r>
              <w:rPr>
                <w:color w:val="auto"/>
                <w:spacing w:val="-3"/>
                <w:sz w:val="21"/>
                <w:szCs w:val="21"/>
              </w:rPr>
              <w:t>车间突发环境事件的发生，制定以下措施：</w:t>
            </w:r>
          </w:p>
          <w:p>
            <w:pPr>
              <w:spacing w:line="240" w:lineRule="auto"/>
              <w:ind w:firstLine="0" w:firstLineChars="0"/>
              <w:jc w:val="left"/>
              <w:rPr>
                <w:color w:val="auto"/>
                <w:sz w:val="21"/>
                <w:szCs w:val="21"/>
              </w:rPr>
            </w:pPr>
            <w:r>
              <w:rPr>
                <w:color w:val="auto"/>
                <w:spacing w:val="-1"/>
                <w:sz w:val="21"/>
                <w:szCs w:val="21"/>
              </w:rPr>
              <w:t>1、制定各种化学品使用、储存过程的合理操作规范，防止在使用过程中由于操作不当引起</w:t>
            </w:r>
            <w:r>
              <w:rPr>
                <w:color w:val="auto"/>
                <w:spacing w:val="-2"/>
                <w:sz w:val="21"/>
                <w:szCs w:val="21"/>
              </w:rPr>
              <w:t>大面积泄露；</w:t>
            </w:r>
          </w:p>
          <w:p>
            <w:pPr>
              <w:spacing w:line="240" w:lineRule="auto"/>
              <w:ind w:firstLine="0" w:firstLineChars="0"/>
              <w:rPr>
                <w:color w:val="auto"/>
                <w:sz w:val="21"/>
                <w:szCs w:val="21"/>
              </w:rPr>
            </w:pPr>
            <w:r>
              <w:rPr>
                <w:color w:val="auto"/>
                <w:spacing w:val="-1"/>
                <w:sz w:val="21"/>
                <w:szCs w:val="21"/>
              </w:rPr>
              <w:t>2、严格执行公司的各项环境安全管理制度；</w:t>
            </w:r>
          </w:p>
          <w:p>
            <w:pPr>
              <w:spacing w:line="240" w:lineRule="auto"/>
              <w:ind w:firstLine="0" w:firstLineChars="0"/>
              <w:rPr>
                <w:color w:val="auto"/>
                <w:sz w:val="21"/>
                <w:szCs w:val="21"/>
              </w:rPr>
            </w:pPr>
            <w:r>
              <w:rPr>
                <w:color w:val="auto"/>
                <w:spacing w:val="-7"/>
                <w:sz w:val="21"/>
                <w:szCs w:val="21"/>
              </w:rPr>
              <w:t>3、加强操作工人培训，通过测试和考核后持证上岗；</w:t>
            </w:r>
          </w:p>
          <w:p>
            <w:pPr>
              <w:spacing w:line="240" w:lineRule="auto"/>
              <w:ind w:firstLine="0" w:firstLineChars="0"/>
              <w:rPr>
                <w:color w:val="auto"/>
                <w:sz w:val="21"/>
                <w:szCs w:val="21"/>
              </w:rPr>
            </w:pPr>
            <w:r>
              <w:rPr>
                <w:color w:val="auto"/>
                <w:sz w:val="21"/>
                <w:szCs w:val="21"/>
              </w:rPr>
              <w:t>4、制定操作规程卡片张贴在显要位置；</w:t>
            </w:r>
          </w:p>
          <w:p>
            <w:pPr>
              <w:spacing w:line="240" w:lineRule="auto"/>
              <w:ind w:firstLine="0" w:firstLineChars="0"/>
              <w:rPr>
                <w:color w:val="auto"/>
                <w:sz w:val="21"/>
                <w:szCs w:val="21"/>
              </w:rPr>
            </w:pPr>
            <w:r>
              <w:rPr>
                <w:color w:val="auto"/>
                <w:spacing w:val="-8"/>
                <w:sz w:val="21"/>
                <w:szCs w:val="21"/>
              </w:rPr>
              <w:t>5、安排生产负责人定期、不定期监督检查，对于违规操作进行及时更正，并进行相应处罚；</w:t>
            </w:r>
          </w:p>
          <w:p>
            <w:pPr>
              <w:spacing w:line="240" w:lineRule="auto"/>
              <w:ind w:firstLine="0" w:firstLineChars="0"/>
              <w:rPr>
                <w:color w:val="auto"/>
                <w:sz w:val="21"/>
                <w:szCs w:val="21"/>
              </w:rPr>
            </w:pPr>
            <w:r>
              <w:rPr>
                <w:color w:val="auto"/>
                <w:spacing w:val="-2"/>
                <w:sz w:val="21"/>
                <w:szCs w:val="21"/>
              </w:rPr>
              <w:t>6、生产车间进行防火设计，工人操作过程严格执行防火规程；</w:t>
            </w:r>
          </w:p>
          <w:p>
            <w:pPr>
              <w:spacing w:line="240" w:lineRule="auto"/>
              <w:ind w:firstLine="0" w:firstLineChars="0"/>
              <w:rPr>
                <w:color w:val="auto"/>
                <w:sz w:val="21"/>
                <w:szCs w:val="21"/>
              </w:rPr>
            </w:pPr>
            <w:r>
              <w:rPr>
                <w:color w:val="auto"/>
                <w:spacing w:val="-9"/>
                <w:sz w:val="21"/>
                <w:szCs w:val="21"/>
              </w:rPr>
              <w:t>7、公司制定一系列生产环境安全方面的管理制度，为了有效管理，公司在实际生产过程中</w:t>
            </w:r>
            <w:r>
              <w:rPr>
                <w:color w:val="auto"/>
                <w:spacing w:val="-5"/>
                <w:sz w:val="21"/>
                <w:szCs w:val="21"/>
              </w:rPr>
              <w:t>严格落实。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93" w:hRule="atLeast"/>
        </w:trPr>
        <w:tc>
          <w:tcPr>
            <w:tcW w:w="880" w:type="pct"/>
            <w:tcBorders>
              <w:tl2br w:val="nil"/>
              <w:tr2bl w:val="nil"/>
            </w:tcBorders>
            <w:vAlign w:val="center"/>
          </w:tcPr>
          <w:p>
            <w:pPr>
              <w:spacing w:line="240" w:lineRule="auto"/>
              <w:ind w:firstLine="0" w:firstLineChars="0"/>
              <w:jc w:val="center"/>
              <w:rPr>
                <w:color w:val="auto"/>
                <w:sz w:val="21"/>
                <w:szCs w:val="21"/>
              </w:rPr>
            </w:pPr>
            <w:r>
              <w:rPr>
                <w:color w:val="auto"/>
                <w:spacing w:val="-2"/>
                <w:sz w:val="21"/>
                <w:szCs w:val="21"/>
              </w:rPr>
              <w:t>仓库</w:t>
            </w:r>
          </w:p>
        </w:tc>
        <w:tc>
          <w:tcPr>
            <w:tcW w:w="4119" w:type="pct"/>
            <w:tcBorders>
              <w:tl2br w:val="nil"/>
              <w:tr2bl w:val="nil"/>
            </w:tcBorders>
            <w:vAlign w:val="center"/>
          </w:tcPr>
          <w:p>
            <w:pPr>
              <w:spacing w:line="240" w:lineRule="auto"/>
              <w:ind w:firstLine="0" w:firstLineChars="0"/>
              <w:rPr>
                <w:color w:val="auto"/>
                <w:sz w:val="21"/>
                <w:szCs w:val="21"/>
              </w:rPr>
            </w:pPr>
            <w:r>
              <w:rPr>
                <w:color w:val="auto"/>
                <w:spacing w:val="-2"/>
                <w:sz w:val="21"/>
                <w:szCs w:val="21"/>
              </w:rPr>
              <w:t>1、化学品库设置有化学品标识牌、安全告知牌、严禁烟火警示牌；</w:t>
            </w:r>
          </w:p>
          <w:p>
            <w:pPr>
              <w:spacing w:line="240" w:lineRule="auto"/>
              <w:ind w:firstLine="0" w:firstLineChars="0"/>
              <w:rPr>
                <w:color w:val="auto"/>
                <w:sz w:val="21"/>
                <w:szCs w:val="21"/>
              </w:rPr>
            </w:pPr>
            <w:r>
              <w:rPr>
                <w:color w:val="auto"/>
                <w:spacing w:val="-6"/>
                <w:sz w:val="21"/>
                <w:szCs w:val="21"/>
              </w:rPr>
              <w:t>2、化学品入库前检查化学品容器有无泄露、变形及标签是否完好，办理化学品出入手续，记录齐全；</w:t>
            </w:r>
          </w:p>
          <w:p>
            <w:pPr>
              <w:spacing w:line="240" w:lineRule="auto"/>
              <w:ind w:firstLine="0" w:firstLineChars="0"/>
              <w:rPr>
                <w:color w:val="auto"/>
                <w:sz w:val="21"/>
                <w:szCs w:val="21"/>
              </w:rPr>
            </w:pPr>
            <w:r>
              <w:rPr>
                <w:color w:val="auto"/>
                <w:spacing w:val="-1"/>
                <w:sz w:val="21"/>
                <w:szCs w:val="21"/>
              </w:rPr>
              <w:t>3、对各类化学品分类、分区放置，各个放置区域悬挂名称标识、化学品MSDS</w:t>
            </w:r>
            <w:r>
              <w:rPr>
                <w:rFonts w:hint="eastAsia"/>
                <w:color w:val="auto"/>
                <w:spacing w:val="-1"/>
                <w:sz w:val="21"/>
                <w:szCs w:val="21"/>
              </w:rPr>
              <w:t>清单</w:t>
            </w:r>
            <w:r>
              <w:rPr>
                <w:color w:val="auto"/>
                <w:spacing w:val="-1"/>
                <w:sz w:val="21"/>
                <w:szCs w:val="21"/>
              </w:rPr>
              <w:t>，各分区间</w:t>
            </w:r>
            <w:r>
              <w:rPr>
                <w:color w:val="auto"/>
                <w:spacing w:val="-14"/>
                <w:sz w:val="21"/>
                <w:szCs w:val="21"/>
              </w:rPr>
              <w:t>保持一定距离，有序摆放；</w:t>
            </w:r>
          </w:p>
          <w:p>
            <w:pPr>
              <w:spacing w:line="240" w:lineRule="auto"/>
              <w:ind w:firstLine="0" w:firstLineChars="0"/>
              <w:rPr>
                <w:color w:val="auto"/>
                <w:sz w:val="21"/>
                <w:szCs w:val="21"/>
              </w:rPr>
            </w:pPr>
            <w:r>
              <w:rPr>
                <w:color w:val="auto"/>
                <w:spacing w:val="-5"/>
                <w:sz w:val="21"/>
                <w:szCs w:val="21"/>
              </w:rPr>
              <w:t>4、每天检查仓库内化学品是否泄露、撒漏，化学品</w:t>
            </w:r>
            <w:r>
              <w:rPr>
                <w:rFonts w:hint="eastAsia"/>
                <w:color w:val="auto"/>
                <w:spacing w:val="-5"/>
                <w:sz w:val="21"/>
                <w:szCs w:val="21"/>
              </w:rPr>
              <w:t>箱</w:t>
            </w:r>
            <w:r>
              <w:rPr>
                <w:color w:val="auto"/>
                <w:spacing w:val="-5"/>
                <w:sz w:val="21"/>
                <w:szCs w:val="21"/>
              </w:rPr>
              <w:t>直立放置，不得倒放，严禁挤压；</w:t>
            </w:r>
          </w:p>
          <w:p>
            <w:pPr>
              <w:spacing w:line="240" w:lineRule="auto"/>
              <w:ind w:firstLine="0" w:firstLineChars="0"/>
              <w:rPr>
                <w:color w:val="auto"/>
                <w:sz w:val="21"/>
                <w:szCs w:val="21"/>
              </w:rPr>
            </w:pPr>
            <w:r>
              <w:rPr>
                <w:color w:val="auto"/>
                <w:spacing w:val="-9"/>
                <w:sz w:val="21"/>
                <w:szCs w:val="21"/>
              </w:rPr>
              <w:t>5、保证仓库内通风良好，每天检查仓库电气设备完好性，电气设备开关均为防爆型，满足防爆要求；</w:t>
            </w:r>
          </w:p>
          <w:p>
            <w:pPr>
              <w:spacing w:line="240" w:lineRule="auto"/>
              <w:ind w:firstLine="0" w:firstLineChars="0"/>
              <w:rPr>
                <w:color w:val="auto"/>
                <w:sz w:val="21"/>
                <w:szCs w:val="21"/>
              </w:rPr>
            </w:pPr>
            <w:r>
              <w:rPr>
                <w:color w:val="auto"/>
                <w:spacing w:val="-10"/>
                <w:sz w:val="21"/>
                <w:szCs w:val="21"/>
              </w:rPr>
              <w:t>6、每天检查消防器材，保证完好，严禁挪用，相关责任人能够熟练使用灭火器材；</w:t>
            </w:r>
          </w:p>
          <w:p>
            <w:pPr>
              <w:spacing w:line="240" w:lineRule="auto"/>
              <w:ind w:firstLine="0" w:firstLineChars="0"/>
              <w:rPr>
                <w:color w:val="auto"/>
                <w:sz w:val="21"/>
                <w:szCs w:val="21"/>
              </w:rPr>
            </w:pPr>
            <w:r>
              <w:rPr>
                <w:color w:val="auto"/>
                <w:spacing w:val="-1"/>
                <w:sz w:val="21"/>
                <w:szCs w:val="21"/>
              </w:rPr>
              <w:t>7、原料库及周围十米内严禁烟火，许可的动火作业要严格执行“安全作业许可书制度”；</w:t>
            </w:r>
          </w:p>
          <w:p>
            <w:pPr>
              <w:spacing w:line="240" w:lineRule="auto"/>
              <w:ind w:firstLine="0" w:firstLineChars="0"/>
              <w:rPr>
                <w:color w:val="auto"/>
                <w:sz w:val="21"/>
                <w:szCs w:val="21"/>
              </w:rPr>
            </w:pPr>
            <w:r>
              <w:rPr>
                <w:color w:val="auto"/>
                <w:spacing w:val="-2"/>
                <w:sz w:val="21"/>
                <w:szCs w:val="21"/>
              </w:rPr>
              <w:t>8、每天清理仓库及周围环境，保持整洁。</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07" w:hRule="atLeast"/>
        </w:trPr>
        <w:tc>
          <w:tcPr>
            <w:tcW w:w="880" w:type="pct"/>
            <w:tcBorders>
              <w:tl2br w:val="nil"/>
              <w:tr2bl w:val="nil"/>
            </w:tcBorders>
            <w:vAlign w:val="center"/>
          </w:tcPr>
          <w:p>
            <w:pPr>
              <w:spacing w:line="240" w:lineRule="auto"/>
              <w:ind w:firstLine="0" w:firstLineChars="0"/>
              <w:rPr>
                <w:color w:val="auto"/>
                <w:spacing w:val="-9"/>
                <w:sz w:val="21"/>
                <w:szCs w:val="21"/>
              </w:rPr>
            </w:pPr>
            <w:r>
              <w:rPr>
                <w:color w:val="auto"/>
                <w:spacing w:val="-9"/>
                <w:sz w:val="21"/>
                <w:szCs w:val="21"/>
              </w:rPr>
              <w:t>污水处理站</w:t>
            </w:r>
          </w:p>
        </w:tc>
        <w:tc>
          <w:tcPr>
            <w:tcW w:w="4119" w:type="pct"/>
            <w:tcBorders>
              <w:tl2br w:val="nil"/>
              <w:tr2bl w:val="nil"/>
            </w:tcBorders>
            <w:vAlign w:val="center"/>
          </w:tcPr>
          <w:p>
            <w:pPr>
              <w:spacing w:line="240" w:lineRule="auto"/>
              <w:ind w:firstLine="0" w:firstLineChars="0"/>
              <w:rPr>
                <w:color w:val="auto"/>
                <w:spacing w:val="-9"/>
                <w:sz w:val="21"/>
                <w:szCs w:val="21"/>
              </w:rPr>
            </w:pPr>
            <w:r>
              <w:rPr>
                <w:color w:val="auto"/>
                <w:spacing w:val="-9"/>
                <w:sz w:val="21"/>
                <w:szCs w:val="21"/>
              </w:rPr>
              <w:t>1、定期检查污水站管线、阀门、罐体是否有泄露，药剂是否有撒漏；</w:t>
            </w:r>
          </w:p>
          <w:p>
            <w:pPr>
              <w:spacing w:line="240" w:lineRule="auto"/>
              <w:ind w:firstLine="0" w:firstLineChars="0"/>
              <w:rPr>
                <w:color w:val="auto"/>
                <w:spacing w:val="-9"/>
                <w:sz w:val="21"/>
                <w:szCs w:val="21"/>
              </w:rPr>
            </w:pPr>
            <w:r>
              <w:rPr>
                <w:color w:val="auto"/>
                <w:spacing w:val="-9"/>
                <w:sz w:val="21"/>
                <w:szCs w:val="21"/>
              </w:rPr>
              <w:t>2、定期检查污水站管线、阀门、泵类电气设备完好性，电气设备开关均为防爆型，满足防爆要求；</w:t>
            </w:r>
          </w:p>
          <w:p>
            <w:pPr>
              <w:spacing w:line="240" w:lineRule="auto"/>
              <w:ind w:firstLine="0" w:firstLineChars="0"/>
              <w:rPr>
                <w:color w:val="auto"/>
                <w:spacing w:val="-9"/>
                <w:sz w:val="21"/>
                <w:szCs w:val="21"/>
              </w:rPr>
            </w:pPr>
            <w:r>
              <w:rPr>
                <w:color w:val="auto"/>
                <w:spacing w:val="-9"/>
                <w:sz w:val="21"/>
                <w:szCs w:val="21"/>
              </w:rPr>
              <w:t>3、每天检查消防器材，保证完好，严禁挪用；</w:t>
            </w:r>
          </w:p>
          <w:p>
            <w:pPr>
              <w:spacing w:line="240" w:lineRule="auto"/>
              <w:ind w:firstLine="0" w:firstLineChars="0"/>
              <w:rPr>
                <w:color w:val="auto"/>
                <w:spacing w:val="-9"/>
                <w:sz w:val="21"/>
                <w:szCs w:val="21"/>
              </w:rPr>
            </w:pPr>
            <w:r>
              <w:rPr>
                <w:rFonts w:hint="eastAsia"/>
                <w:color w:val="auto"/>
                <w:spacing w:val="-9"/>
                <w:sz w:val="21"/>
                <w:szCs w:val="21"/>
              </w:rPr>
              <w:t>4、</w:t>
            </w:r>
            <w:r>
              <w:rPr>
                <w:color w:val="auto"/>
                <w:spacing w:val="-9"/>
                <w:sz w:val="21"/>
                <w:szCs w:val="21"/>
              </w:rPr>
              <w:t>每天清理污水站环境，保持整洁；</w:t>
            </w:r>
          </w:p>
          <w:p>
            <w:pPr>
              <w:spacing w:line="240" w:lineRule="auto"/>
              <w:ind w:firstLine="0" w:firstLineChars="0"/>
              <w:rPr>
                <w:color w:val="auto"/>
                <w:spacing w:val="-9"/>
                <w:sz w:val="21"/>
                <w:szCs w:val="21"/>
              </w:rPr>
            </w:pPr>
            <w:r>
              <w:rPr>
                <w:color w:val="auto"/>
                <w:spacing w:val="-9"/>
                <w:sz w:val="21"/>
                <w:szCs w:val="21"/>
              </w:rPr>
              <w:t>5、每两小时检查</w:t>
            </w:r>
            <w:r>
              <w:rPr>
                <w:rFonts w:hint="eastAsia"/>
                <w:color w:val="auto"/>
                <w:spacing w:val="-9"/>
                <w:sz w:val="21"/>
                <w:szCs w:val="21"/>
              </w:rPr>
              <w:t>各污水池</w:t>
            </w:r>
            <w:r>
              <w:rPr>
                <w:color w:val="auto"/>
                <w:spacing w:val="-9"/>
                <w:sz w:val="21"/>
                <w:szCs w:val="21"/>
              </w:rPr>
              <w:t>的运行情况，发现异常及时处理，并向上级报告相关情况。</w:t>
            </w:r>
          </w:p>
        </w:tc>
      </w:tr>
    </w:tbl>
    <w:p>
      <w:pPr>
        <w:pStyle w:val="9"/>
        <w:spacing w:before="0" w:beforeLines="0" w:after="0" w:afterLines="0" w:line="360" w:lineRule="auto"/>
        <w:rPr>
          <w:color w:val="auto"/>
        </w:rPr>
      </w:pPr>
      <w:r>
        <w:rPr>
          <w:rFonts w:hint="eastAsia"/>
          <w:color w:val="auto"/>
        </w:rPr>
        <w:t>6</w:t>
      </w:r>
      <w:r>
        <w:rPr>
          <w:color w:val="auto"/>
        </w:rPr>
        <w:t>.</w:t>
      </w:r>
      <w:r>
        <w:rPr>
          <w:rFonts w:hint="eastAsia"/>
          <w:color w:val="auto"/>
        </w:rPr>
        <w:t>6</w:t>
      </w:r>
      <w:r>
        <w:rPr>
          <w:color w:val="auto"/>
        </w:rPr>
        <w:t>.</w:t>
      </w:r>
      <w:r>
        <w:rPr>
          <w:rFonts w:hint="eastAsia"/>
          <w:color w:val="auto"/>
        </w:rPr>
        <w:t>4应急</w:t>
      </w:r>
      <w:r>
        <w:rPr>
          <w:color w:val="auto"/>
        </w:rPr>
        <w:t>措施</w:t>
      </w:r>
    </w:p>
    <w:p>
      <w:pPr>
        <w:ind w:firstLine="480"/>
        <w:rPr>
          <w:bCs/>
          <w:color w:val="auto"/>
        </w:rPr>
      </w:pPr>
      <w:r>
        <w:rPr>
          <w:bCs/>
          <w:color w:val="auto"/>
        </w:rPr>
        <w:t>为保证发生突发环境事故时，能以最快的速度有序的实施救援，降低事故造成的危害，落实相应的事故风险防范措施，建设单位需要根据《建设项目环境风险评价技术导则》、《关于加强环境应急管理工作的意见》（环发[2009]130号）等要求，制定突发环境事故应急预案，并报送当地环境保护行政主管部门备案。</w:t>
      </w:r>
    </w:p>
    <w:p>
      <w:pPr>
        <w:spacing w:line="202" w:lineRule="auto"/>
        <w:ind w:firstLine="468"/>
        <w:rPr>
          <w:color w:val="auto"/>
          <w:szCs w:val="24"/>
        </w:rPr>
      </w:pPr>
      <w:r>
        <w:rPr>
          <w:color w:val="auto"/>
          <w:spacing w:val="-3"/>
          <w:szCs w:val="24"/>
        </w:rPr>
        <w:t>应急预案主要内容见表</w:t>
      </w:r>
      <w:r>
        <w:rPr>
          <w:color w:val="auto"/>
          <w:spacing w:val="-19"/>
          <w:szCs w:val="24"/>
        </w:rPr>
        <w:t>6.6-4</w:t>
      </w:r>
      <w:r>
        <w:rPr>
          <w:color w:val="auto"/>
          <w:spacing w:val="-3"/>
          <w:szCs w:val="24"/>
        </w:rPr>
        <w:t>。</w:t>
      </w:r>
    </w:p>
    <w:p>
      <w:pPr>
        <w:adjustRightInd w:val="0"/>
        <w:snapToGrid w:val="0"/>
        <w:ind w:firstLine="0" w:firstLineChars="0"/>
        <w:jc w:val="center"/>
        <w:rPr>
          <w:rFonts w:eastAsia="黑体"/>
          <w:b/>
          <w:color w:val="auto"/>
          <w:sz w:val="21"/>
          <w:szCs w:val="21"/>
          <w:lang w:val="zh-CN"/>
        </w:rPr>
      </w:pPr>
      <w:r>
        <w:rPr>
          <w:rFonts w:eastAsia="黑体"/>
          <w:b/>
          <w:color w:val="auto"/>
          <w:sz w:val="21"/>
          <w:szCs w:val="21"/>
          <w:lang w:val="zh-CN"/>
        </w:rPr>
        <w:t>表</w:t>
      </w:r>
      <w:r>
        <w:rPr>
          <w:rFonts w:hint="eastAsia" w:eastAsia="黑体"/>
          <w:b/>
          <w:color w:val="auto"/>
          <w:sz w:val="21"/>
          <w:szCs w:val="21"/>
        </w:rPr>
        <w:t>6.6-4</w:t>
      </w:r>
      <w:r>
        <w:rPr>
          <w:rFonts w:eastAsia="黑体"/>
          <w:b/>
          <w:color w:val="auto"/>
          <w:sz w:val="21"/>
          <w:szCs w:val="21"/>
          <w:lang w:val="zh-CN"/>
        </w:rPr>
        <w:t xml:space="preserve">  环境风险事故应急预案主要内容</w:t>
      </w:r>
    </w:p>
    <w:tbl>
      <w:tblPr>
        <w:tblStyle w:val="63"/>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735"/>
        <w:gridCol w:w="2445"/>
        <w:gridCol w:w="588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63" w:hRule="atLeast"/>
        </w:trPr>
        <w:tc>
          <w:tcPr>
            <w:tcW w:w="405" w:type="pct"/>
            <w:tcBorders>
              <w:tl2br w:val="nil"/>
              <w:tr2bl w:val="nil"/>
            </w:tcBorders>
            <w:vAlign w:val="center"/>
          </w:tcPr>
          <w:p>
            <w:pPr>
              <w:spacing w:line="240" w:lineRule="auto"/>
              <w:ind w:firstLine="0" w:firstLineChars="0"/>
              <w:jc w:val="center"/>
              <w:rPr>
                <w:b/>
                <w:bCs/>
                <w:color w:val="auto"/>
                <w:sz w:val="21"/>
                <w:szCs w:val="21"/>
              </w:rPr>
            </w:pPr>
            <w:r>
              <w:rPr>
                <w:b/>
                <w:bCs/>
                <w:color w:val="auto"/>
                <w:spacing w:val="-2"/>
                <w:sz w:val="21"/>
                <w:szCs w:val="21"/>
              </w:rPr>
              <w:t>序号</w:t>
            </w:r>
          </w:p>
        </w:tc>
        <w:tc>
          <w:tcPr>
            <w:tcW w:w="1348" w:type="pct"/>
            <w:tcBorders>
              <w:tl2br w:val="nil"/>
              <w:tr2bl w:val="nil"/>
            </w:tcBorders>
            <w:vAlign w:val="center"/>
          </w:tcPr>
          <w:p>
            <w:pPr>
              <w:spacing w:line="240" w:lineRule="auto"/>
              <w:ind w:firstLine="0" w:firstLineChars="0"/>
              <w:jc w:val="center"/>
              <w:rPr>
                <w:b/>
                <w:bCs/>
                <w:color w:val="auto"/>
                <w:sz w:val="21"/>
                <w:szCs w:val="21"/>
              </w:rPr>
            </w:pPr>
            <w:r>
              <w:rPr>
                <w:b/>
                <w:bCs/>
                <w:color w:val="auto"/>
                <w:spacing w:val="-3"/>
                <w:sz w:val="21"/>
                <w:szCs w:val="21"/>
              </w:rPr>
              <w:t>项目</w:t>
            </w:r>
          </w:p>
        </w:tc>
        <w:tc>
          <w:tcPr>
            <w:tcW w:w="3246" w:type="pct"/>
            <w:tcBorders>
              <w:tl2br w:val="nil"/>
              <w:tr2bl w:val="nil"/>
            </w:tcBorders>
            <w:vAlign w:val="center"/>
          </w:tcPr>
          <w:p>
            <w:pPr>
              <w:spacing w:line="240" w:lineRule="auto"/>
              <w:ind w:firstLine="0" w:firstLineChars="0"/>
              <w:jc w:val="center"/>
              <w:rPr>
                <w:b/>
                <w:bCs/>
                <w:color w:val="auto"/>
                <w:sz w:val="21"/>
                <w:szCs w:val="21"/>
              </w:rPr>
            </w:pPr>
            <w:r>
              <w:rPr>
                <w:b/>
                <w:bCs/>
                <w:color w:val="auto"/>
                <w:spacing w:val="-5"/>
                <w:sz w:val="21"/>
                <w:szCs w:val="21"/>
              </w:rPr>
              <w:t>内容及要求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405"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w:t>
            </w:r>
          </w:p>
        </w:tc>
        <w:tc>
          <w:tcPr>
            <w:tcW w:w="1348"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应急计划区</w:t>
            </w:r>
          </w:p>
        </w:tc>
        <w:tc>
          <w:tcPr>
            <w:tcW w:w="3246" w:type="pct"/>
            <w:tcBorders>
              <w:tl2br w:val="nil"/>
              <w:tr2bl w:val="nil"/>
            </w:tcBorders>
            <w:vAlign w:val="center"/>
          </w:tcPr>
          <w:p>
            <w:pPr>
              <w:spacing w:line="240" w:lineRule="auto"/>
              <w:ind w:firstLine="0" w:firstLineChars="0"/>
              <w:jc w:val="center"/>
              <w:rPr>
                <w:color w:val="auto"/>
                <w:sz w:val="21"/>
                <w:szCs w:val="21"/>
              </w:rPr>
            </w:pPr>
            <w:r>
              <w:rPr>
                <w:color w:val="auto"/>
                <w:spacing w:val="-17"/>
                <w:sz w:val="21"/>
                <w:szCs w:val="21"/>
              </w:rPr>
              <w:t>危险目标：</w:t>
            </w:r>
            <w:r>
              <w:rPr>
                <w:rFonts w:hint="eastAsia"/>
                <w:color w:val="auto"/>
                <w:spacing w:val="-17"/>
                <w:sz w:val="21"/>
                <w:szCs w:val="21"/>
              </w:rPr>
              <w:t>生产</w:t>
            </w:r>
            <w:r>
              <w:rPr>
                <w:color w:val="auto"/>
                <w:spacing w:val="-17"/>
                <w:sz w:val="21"/>
                <w:szCs w:val="21"/>
              </w:rPr>
              <w:t>区、库区</w:t>
            </w:r>
            <w:r>
              <w:rPr>
                <w:rFonts w:hint="eastAsia"/>
                <w:color w:val="auto"/>
                <w:spacing w:val="-17"/>
                <w:sz w:val="21"/>
                <w:szCs w:val="21"/>
              </w:rPr>
              <w:t>、</w:t>
            </w:r>
            <w:r>
              <w:rPr>
                <w:color w:val="auto"/>
                <w:spacing w:val="-17"/>
                <w:sz w:val="21"/>
                <w:szCs w:val="21"/>
              </w:rPr>
              <w:t>环境保护目标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405"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2</w:t>
            </w:r>
          </w:p>
        </w:tc>
        <w:tc>
          <w:tcPr>
            <w:tcW w:w="1348"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应急组织机构、人员</w:t>
            </w:r>
          </w:p>
        </w:tc>
        <w:tc>
          <w:tcPr>
            <w:tcW w:w="3246" w:type="pct"/>
            <w:tcBorders>
              <w:tl2br w:val="nil"/>
              <w:tr2bl w:val="nil"/>
            </w:tcBorders>
            <w:vAlign w:val="center"/>
          </w:tcPr>
          <w:p>
            <w:pPr>
              <w:spacing w:line="240" w:lineRule="auto"/>
              <w:ind w:firstLine="0" w:firstLineChars="0"/>
              <w:jc w:val="center"/>
              <w:rPr>
                <w:color w:val="auto"/>
                <w:sz w:val="21"/>
                <w:szCs w:val="21"/>
              </w:rPr>
            </w:pPr>
            <w:r>
              <w:rPr>
                <w:color w:val="auto"/>
                <w:spacing w:val="-2"/>
                <w:sz w:val="21"/>
                <w:szCs w:val="21"/>
              </w:rPr>
              <w:t>工厂和地区应急组织机构、人员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405"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3</w:t>
            </w:r>
          </w:p>
        </w:tc>
        <w:tc>
          <w:tcPr>
            <w:tcW w:w="1348"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预案分级响应条件</w:t>
            </w:r>
          </w:p>
        </w:tc>
        <w:tc>
          <w:tcPr>
            <w:tcW w:w="3246"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规定预案的级别及分级响应程序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458" w:hRule="atLeast"/>
        </w:trPr>
        <w:tc>
          <w:tcPr>
            <w:tcW w:w="405"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4</w:t>
            </w:r>
          </w:p>
        </w:tc>
        <w:tc>
          <w:tcPr>
            <w:tcW w:w="1348"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应急救援保障</w:t>
            </w:r>
          </w:p>
        </w:tc>
        <w:tc>
          <w:tcPr>
            <w:tcW w:w="3246"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应急设施、设备与器材等</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405"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5</w:t>
            </w:r>
          </w:p>
        </w:tc>
        <w:tc>
          <w:tcPr>
            <w:tcW w:w="1348"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报警、通讯联络方式</w:t>
            </w:r>
          </w:p>
        </w:tc>
        <w:tc>
          <w:tcPr>
            <w:tcW w:w="3246"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规定应急状态下的报警通讯方式，通知方式和交通保障、管制</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83" w:hRule="atLeast"/>
        </w:trPr>
        <w:tc>
          <w:tcPr>
            <w:tcW w:w="405"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6</w:t>
            </w:r>
          </w:p>
        </w:tc>
        <w:tc>
          <w:tcPr>
            <w:tcW w:w="1348" w:type="pct"/>
            <w:tcBorders>
              <w:tl2br w:val="nil"/>
              <w:tr2bl w:val="nil"/>
            </w:tcBorders>
            <w:vAlign w:val="center"/>
          </w:tcPr>
          <w:p>
            <w:pPr>
              <w:spacing w:line="240" w:lineRule="auto"/>
              <w:ind w:firstLine="0" w:firstLineChars="0"/>
              <w:jc w:val="center"/>
              <w:rPr>
                <w:color w:val="auto"/>
                <w:sz w:val="21"/>
                <w:szCs w:val="21"/>
              </w:rPr>
            </w:pPr>
            <w:r>
              <w:rPr>
                <w:color w:val="auto"/>
                <w:spacing w:val="-2"/>
                <w:sz w:val="21"/>
                <w:szCs w:val="21"/>
              </w:rPr>
              <w:t>应急环境监测、抢险、救</w:t>
            </w:r>
            <w:r>
              <w:rPr>
                <w:color w:val="auto"/>
                <w:spacing w:val="-1"/>
                <w:sz w:val="21"/>
                <w:szCs w:val="21"/>
              </w:rPr>
              <w:t>援及控制措施</w:t>
            </w:r>
          </w:p>
        </w:tc>
        <w:tc>
          <w:tcPr>
            <w:tcW w:w="3246" w:type="pct"/>
            <w:tcBorders>
              <w:tl2br w:val="nil"/>
              <w:tr2bl w:val="nil"/>
            </w:tcBorders>
            <w:vAlign w:val="center"/>
          </w:tcPr>
          <w:p>
            <w:pPr>
              <w:spacing w:line="240" w:lineRule="auto"/>
              <w:ind w:firstLine="0" w:firstLineChars="0"/>
              <w:jc w:val="center"/>
              <w:rPr>
                <w:color w:val="auto"/>
                <w:sz w:val="21"/>
                <w:szCs w:val="21"/>
              </w:rPr>
            </w:pPr>
            <w:r>
              <w:rPr>
                <w:color w:val="auto"/>
                <w:spacing w:val="-7"/>
                <w:sz w:val="21"/>
                <w:szCs w:val="21"/>
              </w:rPr>
              <w:t>由专业队伍负责对事故现场进行侦查监测，对事故性质、参数与</w:t>
            </w:r>
            <w:r>
              <w:rPr>
                <w:color w:val="auto"/>
                <w:spacing w:val="-10"/>
                <w:sz w:val="21"/>
                <w:szCs w:val="21"/>
              </w:rPr>
              <w:t>后果进行评估，为指挥部门提供决策依据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86" w:hRule="atLeast"/>
        </w:trPr>
        <w:tc>
          <w:tcPr>
            <w:tcW w:w="405"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7</w:t>
            </w:r>
          </w:p>
        </w:tc>
        <w:tc>
          <w:tcPr>
            <w:tcW w:w="1348" w:type="pct"/>
            <w:tcBorders>
              <w:tl2br w:val="nil"/>
              <w:tr2bl w:val="nil"/>
            </w:tcBorders>
            <w:vAlign w:val="center"/>
          </w:tcPr>
          <w:p>
            <w:pPr>
              <w:spacing w:line="240" w:lineRule="auto"/>
              <w:ind w:firstLine="0" w:firstLineChars="0"/>
              <w:jc w:val="center"/>
              <w:rPr>
                <w:color w:val="auto"/>
                <w:sz w:val="21"/>
                <w:szCs w:val="21"/>
              </w:rPr>
            </w:pPr>
            <w:r>
              <w:rPr>
                <w:color w:val="auto"/>
                <w:spacing w:val="-2"/>
                <w:sz w:val="21"/>
                <w:szCs w:val="21"/>
              </w:rPr>
              <w:t>应急检测、防护措施、清</w:t>
            </w:r>
            <w:r>
              <w:rPr>
                <w:color w:val="auto"/>
                <w:spacing w:val="-4"/>
                <w:sz w:val="21"/>
                <w:szCs w:val="21"/>
              </w:rPr>
              <w:t>除措施和器材</w:t>
            </w:r>
          </w:p>
        </w:tc>
        <w:tc>
          <w:tcPr>
            <w:tcW w:w="3246"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事故现场、邻近区域、控制防火区域、控制和清除污染措施及相</w:t>
            </w:r>
            <w:r>
              <w:rPr>
                <w:color w:val="auto"/>
                <w:spacing w:val="-2"/>
                <w:sz w:val="21"/>
                <w:szCs w:val="21"/>
              </w:rPr>
              <w:t>应设备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995" w:hRule="atLeast"/>
        </w:trPr>
        <w:tc>
          <w:tcPr>
            <w:tcW w:w="405"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8</w:t>
            </w:r>
          </w:p>
        </w:tc>
        <w:tc>
          <w:tcPr>
            <w:tcW w:w="1348"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人员紧急撤离、疏散，应急剂量控制、撤离组织计</w:t>
            </w:r>
            <w:r>
              <w:rPr>
                <w:color w:val="auto"/>
                <w:sz w:val="21"/>
                <w:szCs w:val="21"/>
              </w:rPr>
              <w:t>划</w:t>
            </w:r>
          </w:p>
        </w:tc>
        <w:tc>
          <w:tcPr>
            <w:tcW w:w="3246"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事故现场、工厂邻近区、受事故影响的区域人员及公众对毒物应</w:t>
            </w:r>
            <w:r>
              <w:rPr>
                <w:color w:val="auto"/>
                <w:spacing w:val="15"/>
                <w:sz w:val="21"/>
                <w:szCs w:val="21"/>
              </w:rPr>
              <w:t xml:space="preserve"> </w:t>
            </w:r>
            <w:r>
              <w:rPr>
                <w:color w:val="auto"/>
                <w:spacing w:val="-7"/>
                <w:sz w:val="21"/>
                <w:szCs w:val="21"/>
              </w:rPr>
              <w:t>急剂量控制规定，撤离组织计划及救护，医疗救护与公众健康</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86" w:hRule="atLeast"/>
        </w:trPr>
        <w:tc>
          <w:tcPr>
            <w:tcW w:w="405"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9</w:t>
            </w:r>
          </w:p>
        </w:tc>
        <w:tc>
          <w:tcPr>
            <w:tcW w:w="1348"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事故应急救援关闭程序与</w:t>
            </w:r>
            <w:r>
              <w:rPr>
                <w:color w:val="auto"/>
                <w:spacing w:val="6"/>
                <w:sz w:val="21"/>
                <w:szCs w:val="21"/>
              </w:rPr>
              <w:t xml:space="preserve"> </w:t>
            </w:r>
            <w:r>
              <w:rPr>
                <w:color w:val="auto"/>
                <w:spacing w:val="-2"/>
                <w:sz w:val="21"/>
                <w:szCs w:val="21"/>
              </w:rPr>
              <w:t>恢复措施</w:t>
            </w:r>
          </w:p>
        </w:tc>
        <w:tc>
          <w:tcPr>
            <w:tcW w:w="3246" w:type="pct"/>
            <w:tcBorders>
              <w:tl2br w:val="nil"/>
              <w:tr2bl w:val="nil"/>
            </w:tcBorders>
            <w:vAlign w:val="center"/>
          </w:tcPr>
          <w:p>
            <w:pPr>
              <w:spacing w:line="240" w:lineRule="auto"/>
              <w:ind w:firstLine="0" w:firstLineChars="0"/>
              <w:jc w:val="center"/>
              <w:rPr>
                <w:color w:val="auto"/>
                <w:sz w:val="21"/>
                <w:szCs w:val="21"/>
              </w:rPr>
            </w:pPr>
            <w:r>
              <w:rPr>
                <w:color w:val="auto"/>
                <w:spacing w:val="-18"/>
                <w:sz w:val="21"/>
                <w:szCs w:val="21"/>
              </w:rPr>
              <w:t>规定应急状态终止程序；事故现场善后处理，恢复措施</w:t>
            </w:r>
            <w:r>
              <w:rPr>
                <w:rFonts w:hint="eastAsia"/>
                <w:color w:val="auto"/>
                <w:spacing w:val="-18"/>
                <w:sz w:val="21"/>
                <w:szCs w:val="21"/>
              </w:rPr>
              <w:t>，</w:t>
            </w:r>
            <w:r>
              <w:rPr>
                <w:color w:val="auto"/>
                <w:spacing w:val="-18"/>
                <w:sz w:val="21"/>
                <w:szCs w:val="21"/>
              </w:rPr>
              <w:t>邻近区</w:t>
            </w:r>
            <w:r>
              <w:rPr>
                <w:color w:val="auto"/>
                <w:spacing w:val="-1"/>
                <w:sz w:val="21"/>
                <w:szCs w:val="21"/>
              </w:rPr>
              <w:t>域解除事故警戒及善后恢复措施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5" w:hRule="atLeast"/>
        </w:trPr>
        <w:tc>
          <w:tcPr>
            <w:tcW w:w="405" w:type="pct"/>
            <w:tcBorders>
              <w:tl2br w:val="nil"/>
              <w:tr2bl w:val="nil"/>
            </w:tcBorders>
            <w:vAlign w:val="center"/>
          </w:tcPr>
          <w:p>
            <w:pPr>
              <w:spacing w:line="240" w:lineRule="auto"/>
              <w:ind w:firstLine="0" w:firstLineChars="0"/>
              <w:jc w:val="center"/>
              <w:rPr>
                <w:color w:val="auto"/>
                <w:sz w:val="21"/>
                <w:szCs w:val="21"/>
              </w:rPr>
            </w:pPr>
            <w:r>
              <w:rPr>
                <w:color w:val="auto"/>
                <w:spacing w:val="-6"/>
                <w:sz w:val="21"/>
                <w:szCs w:val="21"/>
              </w:rPr>
              <w:t>10</w:t>
            </w:r>
          </w:p>
        </w:tc>
        <w:tc>
          <w:tcPr>
            <w:tcW w:w="1348"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应急培训计划</w:t>
            </w:r>
          </w:p>
        </w:tc>
        <w:tc>
          <w:tcPr>
            <w:tcW w:w="3246"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应急计划制定后，平时安排人员培训与演练</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65" w:hRule="atLeast"/>
        </w:trPr>
        <w:tc>
          <w:tcPr>
            <w:tcW w:w="405" w:type="pct"/>
            <w:tcBorders>
              <w:tl2br w:val="nil"/>
              <w:tr2bl w:val="nil"/>
            </w:tcBorders>
            <w:vAlign w:val="center"/>
          </w:tcPr>
          <w:p>
            <w:pPr>
              <w:spacing w:line="240" w:lineRule="auto"/>
              <w:ind w:firstLine="0" w:firstLineChars="0"/>
              <w:jc w:val="center"/>
              <w:rPr>
                <w:color w:val="auto"/>
                <w:sz w:val="21"/>
                <w:szCs w:val="21"/>
              </w:rPr>
            </w:pPr>
            <w:r>
              <w:rPr>
                <w:color w:val="auto"/>
                <w:spacing w:val="-6"/>
                <w:sz w:val="21"/>
                <w:szCs w:val="21"/>
              </w:rPr>
              <w:t>11</w:t>
            </w:r>
          </w:p>
        </w:tc>
        <w:tc>
          <w:tcPr>
            <w:tcW w:w="1348" w:type="pct"/>
            <w:tcBorders>
              <w:tl2br w:val="nil"/>
              <w:tr2bl w:val="nil"/>
            </w:tcBorders>
            <w:vAlign w:val="center"/>
          </w:tcPr>
          <w:p>
            <w:pPr>
              <w:spacing w:line="240" w:lineRule="auto"/>
              <w:ind w:firstLine="0" w:firstLineChars="0"/>
              <w:jc w:val="center"/>
              <w:rPr>
                <w:color w:val="auto"/>
                <w:sz w:val="21"/>
                <w:szCs w:val="21"/>
              </w:rPr>
            </w:pPr>
            <w:r>
              <w:rPr>
                <w:color w:val="auto"/>
                <w:spacing w:val="-2"/>
                <w:sz w:val="21"/>
                <w:szCs w:val="21"/>
              </w:rPr>
              <w:t>公众教育和信息</w:t>
            </w:r>
          </w:p>
        </w:tc>
        <w:tc>
          <w:tcPr>
            <w:tcW w:w="3246"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对工厂邻近地区开展公众教育、培训和发布有关信息</w:t>
            </w:r>
          </w:p>
        </w:tc>
      </w:tr>
    </w:tbl>
    <w:p>
      <w:pPr>
        <w:ind w:firstLine="480"/>
        <w:rPr>
          <w:bCs/>
          <w:color w:val="auto"/>
        </w:rPr>
      </w:pPr>
      <w:r>
        <w:rPr>
          <w:bCs/>
          <w:color w:val="auto"/>
        </w:rPr>
        <w:t>（1）应急计划区</w:t>
      </w:r>
    </w:p>
    <w:p>
      <w:pPr>
        <w:ind w:firstLine="480"/>
        <w:rPr>
          <w:bCs/>
          <w:color w:val="auto"/>
        </w:rPr>
      </w:pPr>
      <w:r>
        <w:rPr>
          <w:bCs/>
          <w:color w:val="auto"/>
        </w:rPr>
        <w:t>拟建项目危险目标主要包括</w:t>
      </w:r>
      <w:r>
        <w:rPr>
          <w:rFonts w:hint="eastAsia"/>
          <w:bCs/>
          <w:color w:val="auto"/>
        </w:rPr>
        <w:t>生产</w:t>
      </w:r>
      <w:r>
        <w:rPr>
          <w:bCs/>
          <w:color w:val="auto"/>
        </w:rPr>
        <w:t>车间、</w:t>
      </w:r>
      <w:r>
        <w:rPr>
          <w:rFonts w:hint="eastAsia"/>
          <w:bCs/>
          <w:color w:val="auto"/>
        </w:rPr>
        <w:t>原料</w:t>
      </w:r>
      <w:r>
        <w:rPr>
          <w:bCs/>
          <w:color w:val="auto"/>
        </w:rPr>
        <w:t>仓库、危废</w:t>
      </w:r>
      <w:r>
        <w:rPr>
          <w:rFonts w:hint="eastAsia"/>
          <w:bCs/>
          <w:color w:val="auto"/>
        </w:rPr>
        <w:t>间</w:t>
      </w:r>
      <w:r>
        <w:rPr>
          <w:bCs/>
          <w:color w:val="auto"/>
        </w:rPr>
        <w:t>和污水处理站等，主要环境保护目标为办公区和项目区外敏感点。对于危险有害场所确保有明显的安全警示标志，设置防护栏并悬挂醒目的标志。</w:t>
      </w:r>
    </w:p>
    <w:p>
      <w:pPr>
        <w:ind w:firstLine="480"/>
        <w:rPr>
          <w:bCs/>
          <w:color w:val="auto"/>
        </w:rPr>
      </w:pPr>
      <w:r>
        <w:rPr>
          <w:bCs/>
          <w:color w:val="auto"/>
        </w:rPr>
        <w:t>（2）应急组织机构、人员</w:t>
      </w:r>
    </w:p>
    <w:p>
      <w:pPr>
        <w:ind w:firstLine="480"/>
        <w:rPr>
          <w:bCs/>
          <w:color w:val="auto"/>
        </w:rPr>
      </w:pPr>
      <w:r>
        <w:rPr>
          <w:rFonts w:hint="eastAsia"/>
          <w:bCs/>
          <w:color w:val="auto"/>
        </w:rPr>
        <w:t>山东朗净新材料科技有限公司</w:t>
      </w:r>
      <w:r>
        <w:rPr>
          <w:bCs/>
          <w:color w:val="auto"/>
        </w:rPr>
        <w:t>设立了应急组织机构，具体见图</w:t>
      </w:r>
      <w:r>
        <w:rPr>
          <w:rFonts w:hint="eastAsia"/>
          <w:bCs/>
          <w:color w:val="auto"/>
        </w:rPr>
        <w:t>6.6-3</w:t>
      </w:r>
      <w:r>
        <w:rPr>
          <w:bCs/>
          <w:color w:val="auto"/>
        </w:rPr>
        <w:t>。</w:t>
      </w:r>
    </w:p>
    <w:p>
      <w:pPr>
        <w:pStyle w:val="2"/>
        <w:spacing w:after="0" w:line="240" w:lineRule="auto"/>
        <w:ind w:firstLine="0" w:firstLineChars="0"/>
        <w:jc w:val="center"/>
        <w:rPr>
          <w:b/>
          <w:bCs/>
          <w:color w:val="auto"/>
        </w:rPr>
      </w:pPr>
      <w:r>
        <w:rPr>
          <w:b/>
          <w:bCs/>
          <w:color w:val="auto"/>
        </w:rPr>
        <w:object>
          <v:shape id="_x0000_i1035" o:spt="75" type="#_x0000_t75" style="height:282pt;width:264pt;" o:ole="t" filled="f" o:preferrelative="t" stroked="f" coordsize="21600,21600">
            <v:path/>
            <v:fill on="f" focussize="0,0"/>
            <v:stroke on="f" joinstyle="miter"/>
            <v:imagedata r:id="rId136" o:title=""/>
            <o:lock v:ext="edit" aspectratio="f"/>
            <w10:wrap type="none"/>
            <w10:anchorlock/>
          </v:shape>
          <o:OLEObject Type="Embed" ProgID="Visio.Drawing.11" ShapeID="_x0000_i1035" DrawAspect="Content" ObjectID="_1468075738" r:id="rId135">
            <o:LockedField>false</o:LockedField>
          </o:OLEObject>
        </w:object>
      </w:r>
    </w:p>
    <w:p>
      <w:pPr>
        <w:ind w:firstLine="422"/>
        <w:jc w:val="center"/>
        <w:rPr>
          <w:bCs/>
          <w:color w:val="auto"/>
        </w:rPr>
      </w:pPr>
      <w:r>
        <w:rPr>
          <w:rFonts w:eastAsia="黑体"/>
          <w:b/>
          <w:bCs/>
          <w:color w:val="auto"/>
          <w:sz w:val="21"/>
          <w:szCs w:val="21"/>
        </w:rPr>
        <w:t>图</w:t>
      </w:r>
      <w:r>
        <w:rPr>
          <w:rFonts w:hint="eastAsia" w:eastAsia="黑体"/>
          <w:b/>
          <w:bCs/>
          <w:color w:val="auto"/>
          <w:sz w:val="21"/>
          <w:szCs w:val="21"/>
        </w:rPr>
        <w:t>6.6-3</w:t>
      </w:r>
      <w:r>
        <w:rPr>
          <w:rFonts w:eastAsia="黑体"/>
          <w:b/>
          <w:bCs/>
          <w:color w:val="auto"/>
          <w:sz w:val="21"/>
          <w:szCs w:val="21"/>
        </w:rPr>
        <w:t xml:space="preserve"> 应急救援组织机构图</w:t>
      </w:r>
    </w:p>
    <w:p>
      <w:pPr>
        <w:ind w:firstLine="480"/>
        <w:rPr>
          <w:bCs/>
          <w:color w:val="auto"/>
        </w:rPr>
      </w:pPr>
      <w:r>
        <w:rPr>
          <w:bCs/>
          <w:color w:val="auto"/>
        </w:rPr>
        <w:t>（3）预案分级响应条件</w:t>
      </w:r>
    </w:p>
    <w:p>
      <w:pPr>
        <w:ind w:firstLine="480"/>
        <w:rPr>
          <w:bCs/>
          <w:color w:val="auto"/>
        </w:rPr>
      </w:pPr>
      <w:r>
        <w:rPr>
          <w:bCs/>
          <w:color w:val="auto"/>
        </w:rPr>
        <w:t>根据突发环境事故的实际情况，分级实施响应。</w:t>
      </w:r>
    </w:p>
    <w:p>
      <w:pPr>
        <w:ind w:firstLine="480"/>
        <w:rPr>
          <w:bCs/>
          <w:color w:val="auto"/>
        </w:rPr>
      </w:pPr>
      <w:r>
        <w:rPr>
          <w:bCs/>
          <w:color w:val="auto"/>
        </w:rPr>
        <w:t>（4）应急救援保障</w:t>
      </w:r>
    </w:p>
    <w:p>
      <w:pPr>
        <w:ind w:firstLine="480"/>
        <w:rPr>
          <w:bCs/>
          <w:color w:val="auto"/>
        </w:rPr>
      </w:pPr>
      <w:r>
        <w:rPr>
          <w:bCs/>
          <w:color w:val="auto"/>
        </w:rPr>
        <w:t>拟建项目区应设置灭火器、消防栓箱、紧急照明、标示灯、防毒口罩，防毒面具、氧气呼吸器、护目镜等应急救援保障设施，并加强日常管理和维护。</w:t>
      </w:r>
    </w:p>
    <w:p>
      <w:pPr>
        <w:ind w:firstLine="480"/>
        <w:rPr>
          <w:bCs/>
          <w:color w:val="auto"/>
        </w:rPr>
      </w:pPr>
      <w:r>
        <w:rPr>
          <w:bCs/>
          <w:color w:val="auto"/>
        </w:rPr>
        <w:t>（5）报警、通讯联络方式</w:t>
      </w:r>
    </w:p>
    <w:p>
      <w:pPr>
        <w:ind w:firstLine="480"/>
        <w:rPr>
          <w:bCs/>
          <w:color w:val="auto"/>
        </w:rPr>
      </w:pPr>
      <w:r>
        <w:rPr>
          <w:bCs/>
          <w:color w:val="auto"/>
        </w:rPr>
        <w:t>事故发生后，现场人员根据应急处理程序，一面进行现场抢救，一面拔打区域内119联动报警，然后向上级报告，同时指挥现场抢险，上级部门根据事故情况通知相关部门采取应急措施。</w:t>
      </w:r>
    </w:p>
    <w:p>
      <w:pPr>
        <w:ind w:firstLine="480"/>
        <w:rPr>
          <w:bCs/>
          <w:color w:val="auto"/>
        </w:rPr>
      </w:pPr>
      <w:r>
        <w:rPr>
          <w:bCs/>
          <w:color w:val="auto"/>
        </w:rPr>
        <w:t>（6）应急环境监测、抢险、救援及控制措施</w:t>
      </w:r>
    </w:p>
    <w:p>
      <w:pPr>
        <w:ind w:firstLine="480"/>
        <w:rPr>
          <w:bCs/>
          <w:color w:val="auto"/>
        </w:rPr>
      </w:pPr>
      <w:r>
        <w:rPr>
          <w:bCs/>
          <w:color w:val="auto"/>
        </w:rPr>
        <w:t>当发生突发性环境污染事故时，需要进行应急监测。根据事故发生的时间、地点、原因、污染物种类、性质、数量、污染范围、影响程度和事发地地理概况等情况，组织应急监测小组进行应急监测，如果不能独立完成，则向上级汇报或请求其他部门协助。随时向应急指挥部报告应急监测的情况，报告内容包括：污染事故发生地点、时间、污染物种类和浓度、污染的程度与范围。应急监测小组要对污染状况进行跟踪监测，根据监测数据，预测污染迁移强度、速度和影响范围，并向领导小组汇报，直至事故污染消失、警报解除。</w:t>
      </w:r>
    </w:p>
    <w:p>
      <w:pPr>
        <w:spacing w:line="185" w:lineRule="auto"/>
        <w:ind w:firstLine="468"/>
        <w:rPr>
          <w:rFonts w:ascii="宋体" w:hAnsi="宋体" w:cs="宋体"/>
          <w:color w:val="auto"/>
          <w:szCs w:val="24"/>
        </w:rPr>
      </w:pPr>
      <w:r>
        <w:rPr>
          <w:color w:val="auto"/>
          <w:spacing w:val="-3"/>
          <w:szCs w:val="24"/>
        </w:rPr>
        <w:t>拟建应急监测计划见表</w:t>
      </w:r>
      <w:r>
        <w:rPr>
          <w:color w:val="auto"/>
          <w:spacing w:val="-19"/>
          <w:szCs w:val="24"/>
        </w:rPr>
        <w:t>6.6-5</w:t>
      </w:r>
      <w:r>
        <w:rPr>
          <w:color w:val="auto"/>
          <w:spacing w:val="-3"/>
          <w:szCs w:val="24"/>
        </w:rPr>
        <w:t>。</w:t>
      </w:r>
    </w:p>
    <w:p>
      <w:pPr>
        <w:ind w:firstLine="422"/>
        <w:jc w:val="center"/>
        <w:rPr>
          <w:rFonts w:eastAsia="黑体"/>
          <w:b/>
          <w:bCs/>
          <w:color w:val="auto"/>
          <w:sz w:val="21"/>
          <w:szCs w:val="21"/>
        </w:rPr>
      </w:pPr>
      <w:r>
        <w:rPr>
          <w:rFonts w:eastAsia="黑体"/>
          <w:b/>
          <w:bCs/>
          <w:color w:val="auto"/>
          <w:sz w:val="21"/>
          <w:szCs w:val="21"/>
        </w:rPr>
        <w:t>表</w:t>
      </w:r>
      <w:r>
        <w:rPr>
          <w:rFonts w:hint="eastAsia" w:eastAsia="黑体"/>
          <w:b/>
          <w:bCs/>
          <w:color w:val="auto"/>
          <w:sz w:val="21"/>
          <w:szCs w:val="21"/>
        </w:rPr>
        <w:t>6.6-5</w:t>
      </w:r>
      <w:r>
        <w:rPr>
          <w:rFonts w:eastAsia="黑体"/>
          <w:b/>
          <w:bCs/>
          <w:color w:val="auto"/>
          <w:sz w:val="21"/>
          <w:szCs w:val="21"/>
        </w:rPr>
        <w:t xml:space="preserve">  拟建项目应急监测计划</w:t>
      </w:r>
    </w:p>
    <w:tbl>
      <w:tblPr>
        <w:tblStyle w:val="63"/>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493"/>
        <w:gridCol w:w="1611"/>
        <w:gridCol w:w="4613"/>
        <w:gridCol w:w="235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7" w:hRule="atLeast"/>
        </w:trPr>
        <w:tc>
          <w:tcPr>
            <w:tcW w:w="272" w:type="pct"/>
            <w:tcBorders>
              <w:tl2br w:val="nil"/>
              <w:tr2bl w:val="nil"/>
            </w:tcBorders>
            <w:vAlign w:val="center"/>
          </w:tcPr>
          <w:p>
            <w:pPr>
              <w:spacing w:line="240" w:lineRule="auto"/>
              <w:ind w:firstLine="0" w:firstLineChars="0"/>
              <w:jc w:val="center"/>
              <w:rPr>
                <w:b/>
                <w:bCs/>
                <w:color w:val="auto"/>
                <w:sz w:val="21"/>
                <w:szCs w:val="21"/>
              </w:rPr>
            </w:pPr>
            <w:r>
              <w:rPr>
                <w:b/>
                <w:bCs/>
                <w:color w:val="auto"/>
                <w:spacing w:val="-3"/>
                <w:sz w:val="21"/>
                <w:szCs w:val="21"/>
              </w:rPr>
              <w:t>项目</w:t>
            </w:r>
          </w:p>
        </w:tc>
        <w:tc>
          <w:tcPr>
            <w:tcW w:w="888" w:type="pct"/>
            <w:tcBorders>
              <w:tl2br w:val="nil"/>
              <w:tr2bl w:val="nil"/>
            </w:tcBorders>
            <w:vAlign w:val="center"/>
          </w:tcPr>
          <w:p>
            <w:pPr>
              <w:spacing w:line="240" w:lineRule="auto"/>
              <w:ind w:firstLine="0" w:firstLineChars="0"/>
              <w:jc w:val="center"/>
              <w:rPr>
                <w:b/>
                <w:bCs/>
                <w:color w:val="auto"/>
                <w:sz w:val="21"/>
                <w:szCs w:val="21"/>
              </w:rPr>
            </w:pPr>
            <w:r>
              <w:rPr>
                <w:b/>
                <w:bCs/>
                <w:color w:val="auto"/>
                <w:spacing w:val="-1"/>
                <w:sz w:val="21"/>
                <w:szCs w:val="21"/>
              </w:rPr>
              <w:t>监测位置</w:t>
            </w:r>
          </w:p>
        </w:tc>
        <w:tc>
          <w:tcPr>
            <w:tcW w:w="2543" w:type="pct"/>
            <w:tcBorders>
              <w:tl2br w:val="nil"/>
              <w:tr2bl w:val="nil"/>
            </w:tcBorders>
            <w:vAlign w:val="center"/>
          </w:tcPr>
          <w:p>
            <w:pPr>
              <w:spacing w:line="240" w:lineRule="auto"/>
              <w:ind w:firstLine="0" w:firstLineChars="0"/>
              <w:jc w:val="center"/>
              <w:rPr>
                <w:b/>
                <w:bCs/>
                <w:color w:val="auto"/>
                <w:sz w:val="21"/>
                <w:szCs w:val="21"/>
                <w:highlight w:val="yellow"/>
              </w:rPr>
            </w:pPr>
            <w:r>
              <w:rPr>
                <w:b/>
                <w:bCs/>
                <w:color w:val="auto"/>
                <w:spacing w:val="-1"/>
                <w:sz w:val="21"/>
                <w:szCs w:val="21"/>
              </w:rPr>
              <w:t>监测因子</w:t>
            </w:r>
          </w:p>
        </w:tc>
        <w:tc>
          <w:tcPr>
            <w:tcW w:w="1296" w:type="pct"/>
            <w:tcBorders>
              <w:tl2br w:val="nil"/>
              <w:tr2bl w:val="nil"/>
            </w:tcBorders>
            <w:vAlign w:val="center"/>
          </w:tcPr>
          <w:p>
            <w:pPr>
              <w:spacing w:line="240" w:lineRule="auto"/>
              <w:ind w:firstLine="0" w:firstLineChars="0"/>
              <w:jc w:val="center"/>
              <w:rPr>
                <w:b/>
                <w:bCs/>
                <w:color w:val="auto"/>
                <w:sz w:val="21"/>
                <w:szCs w:val="21"/>
              </w:rPr>
            </w:pPr>
            <w:r>
              <w:rPr>
                <w:b/>
                <w:bCs/>
                <w:color w:val="auto"/>
                <w:spacing w:val="-1"/>
                <w:sz w:val="21"/>
                <w:szCs w:val="21"/>
              </w:rPr>
              <w:t>监测频率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272" w:type="pct"/>
            <w:vMerge w:val="restart"/>
            <w:tcBorders>
              <w:tl2br w:val="nil"/>
              <w:tr2bl w:val="nil"/>
            </w:tcBorders>
            <w:vAlign w:val="center"/>
          </w:tcPr>
          <w:p>
            <w:pPr>
              <w:spacing w:line="240" w:lineRule="auto"/>
              <w:ind w:firstLine="0" w:firstLineChars="0"/>
              <w:jc w:val="center"/>
              <w:rPr>
                <w:color w:val="auto"/>
                <w:sz w:val="21"/>
                <w:szCs w:val="21"/>
              </w:rPr>
            </w:pPr>
            <w:r>
              <w:rPr>
                <w:color w:val="auto"/>
                <w:spacing w:val="-2"/>
                <w:sz w:val="21"/>
                <w:szCs w:val="21"/>
              </w:rPr>
              <w:t>废气</w:t>
            </w:r>
          </w:p>
        </w:tc>
        <w:tc>
          <w:tcPr>
            <w:tcW w:w="888" w:type="pct"/>
            <w:tcBorders>
              <w:tl2br w:val="nil"/>
              <w:tr2bl w:val="nil"/>
            </w:tcBorders>
            <w:vAlign w:val="center"/>
          </w:tcPr>
          <w:p>
            <w:pPr>
              <w:spacing w:line="240" w:lineRule="auto"/>
              <w:ind w:firstLine="0" w:firstLineChars="0"/>
              <w:jc w:val="center"/>
              <w:rPr>
                <w:color w:val="auto"/>
                <w:sz w:val="21"/>
                <w:szCs w:val="21"/>
              </w:rPr>
            </w:pPr>
            <w:r>
              <w:rPr>
                <w:color w:val="auto"/>
                <w:spacing w:val="-3"/>
                <w:sz w:val="21"/>
                <w:szCs w:val="21"/>
              </w:rPr>
              <w:t>厂界</w:t>
            </w:r>
          </w:p>
        </w:tc>
        <w:tc>
          <w:tcPr>
            <w:tcW w:w="2543" w:type="pct"/>
            <w:vMerge w:val="restart"/>
            <w:tcBorders>
              <w:tl2br w:val="nil"/>
              <w:tr2bl w:val="nil"/>
            </w:tcBorders>
            <w:vAlign w:val="center"/>
          </w:tcPr>
          <w:p>
            <w:pPr>
              <w:spacing w:line="240" w:lineRule="auto"/>
              <w:ind w:firstLine="0" w:firstLineChars="0"/>
              <w:jc w:val="center"/>
              <w:rPr>
                <w:color w:val="auto"/>
                <w:sz w:val="21"/>
                <w:szCs w:val="21"/>
                <w:highlight w:val="yellow"/>
              </w:rPr>
            </w:pPr>
            <w:r>
              <w:rPr>
                <w:color w:val="auto"/>
                <w:spacing w:val="-8"/>
                <w:sz w:val="21"/>
                <w:szCs w:val="21"/>
              </w:rPr>
              <w:t>VOCs</w:t>
            </w:r>
            <w:r>
              <w:rPr>
                <w:rFonts w:hint="eastAsia"/>
                <w:color w:val="auto"/>
                <w:spacing w:val="-8"/>
                <w:sz w:val="21"/>
                <w:szCs w:val="21"/>
              </w:rPr>
              <w:t>、</w:t>
            </w:r>
            <w:r>
              <w:rPr>
                <w:color w:val="auto"/>
                <w:spacing w:val="-8"/>
                <w:sz w:val="21"/>
                <w:szCs w:val="21"/>
              </w:rPr>
              <w:t>氮氧化物</w:t>
            </w:r>
            <w:r>
              <w:rPr>
                <w:color w:val="auto"/>
                <w:spacing w:val="-5"/>
                <w:sz w:val="21"/>
                <w:szCs w:val="21"/>
              </w:rPr>
              <w:t>等</w:t>
            </w:r>
          </w:p>
        </w:tc>
        <w:tc>
          <w:tcPr>
            <w:tcW w:w="1296" w:type="pct"/>
            <w:vMerge w:val="restart"/>
            <w:tcBorders>
              <w:tl2br w:val="nil"/>
              <w:tr2bl w:val="nil"/>
            </w:tcBorders>
            <w:vAlign w:val="center"/>
          </w:tcPr>
          <w:p>
            <w:pPr>
              <w:spacing w:line="240" w:lineRule="auto"/>
              <w:ind w:firstLine="0" w:firstLineChars="0"/>
              <w:jc w:val="center"/>
              <w:rPr>
                <w:color w:val="auto"/>
                <w:sz w:val="21"/>
                <w:szCs w:val="21"/>
              </w:rPr>
            </w:pPr>
            <w:r>
              <w:rPr>
                <w:color w:val="auto"/>
                <w:spacing w:val="-4"/>
                <w:sz w:val="21"/>
                <w:szCs w:val="21"/>
              </w:rPr>
              <w:t>事故发生及处理过程中进行时时监测，</w:t>
            </w:r>
            <w:r>
              <w:rPr>
                <w:color w:val="auto"/>
                <w:spacing w:val="-2"/>
                <w:sz w:val="21"/>
                <w:szCs w:val="21"/>
              </w:rPr>
              <w:t>过后</w:t>
            </w:r>
            <w:r>
              <w:rPr>
                <w:rFonts w:hint="eastAsia"/>
                <w:color w:val="auto"/>
                <w:spacing w:val="-43"/>
                <w:sz w:val="21"/>
                <w:szCs w:val="21"/>
              </w:rPr>
              <w:t>20</w:t>
            </w:r>
            <w:r>
              <w:rPr>
                <w:color w:val="auto"/>
                <w:spacing w:val="-2"/>
                <w:sz w:val="21"/>
                <w:szCs w:val="21"/>
              </w:rPr>
              <w:t>分钟一次直至应急结束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272" w:type="pct"/>
            <w:vMerge w:val="continue"/>
            <w:tcBorders>
              <w:tl2br w:val="nil"/>
              <w:tr2bl w:val="nil"/>
            </w:tcBorders>
            <w:vAlign w:val="center"/>
          </w:tcPr>
          <w:p>
            <w:pPr>
              <w:spacing w:line="240" w:lineRule="auto"/>
              <w:ind w:firstLine="0" w:firstLineChars="0"/>
              <w:jc w:val="center"/>
              <w:rPr>
                <w:color w:val="auto"/>
                <w:sz w:val="21"/>
                <w:szCs w:val="21"/>
              </w:rPr>
            </w:pPr>
          </w:p>
        </w:tc>
        <w:tc>
          <w:tcPr>
            <w:tcW w:w="888"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事故发生时下风向较近村庄</w:t>
            </w:r>
          </w:p>
        </w:tc>
        <w:tc>
          <w:tcPr>
            <w:tcW w:w="2543" w:type="pct"/>
            <w:vMerge w:val="continue"/>
            <w:tcBorders>
              <w:tl2br w:val="nil"/>
              <w:tr2bl w:val="nil"/>
            </w:tcBorders>
            <w:vAlign w:val="center"/>
          </w:tcPr>
          <w:p>
            <w:pPr>
              <w:spacing w:line="240" w:lineRule="auto"/>
              <w:ind w:firstLine="0" w:firstLineChars="0"/>
              <w:jc w:val="center"/>
              <w:rPr>
                <w:color w:val="auto"/>
                <w:sz w:val="21"/>
                <w:szCs w:val="21"/>
                <w:highlight w:val="yellow"/>
              </w:rPr>
            </w:pPr>
          </w:p>
        </w:tc>
        <w:tc>
          <w:tcPr>
            <w:tcW w:w="1296"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34" w:hRule="atLeast"/>
        </w:trPr>
        <w:tc>
          <w:tcPr>
            <w:tcW w:w="272" w:type="pct"/>
            <w:vMerge w:val="restart"/>
            <w:tcBorders>
              <w:tl2br w:val="nil"/>
              <w:tr2bl w:val="nil"/>
            </w:tcBorders>
            <w:vAlign w:val="center"/>
          </w:tcPr>
          <w:p>
            <w:pPr>
              <w:spacing w:line="240" w:lineRule="auto"/>
              <w:ind w:firstLine="0" w:firstLineChars="0"/>
              <w:jc w:val="center"/>
              <w:rPr>
                <w:color w:val="auto"/>
                <w:sz w:val="21"/>
                <w:szCs w:val="21"/>
              </w:rPr>
            </w:pPr>
            <w:r>
              <w:rPr>
                <w:color w:val="auto"/>
                <w:spacing w:val="-2"/>
                <w:sz w:val="21"/>
                <w:szCs w:val="21"/>
              </w:rPr>
              <w:t>废水</w:t>
            </w:r>
          </w:p>
        </w:tc>
        <w:tc>
          <w:tcPr>
            <w:tcW w:w="88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pacing w:val="-2"/>
                <w:sz w:val="21"/>
                <w:szCs w:val="21"/>
              </w:rPr>
              <w:t>猪龙河</w:t>
            </w:r>
          </w:p>
        </w:tc>
        <w:tc>
          <w:tcPr>
            <w:tcW w:w="2543" w:type="pct"/>
            <w:vMerge w:val="restart"/>
            <w:tcBorders>
              <w:tl2br w:val="nil"/>
              <w:tr2bl w:val="nil"/>
            </w:tcBorders>
            <w:vAlign w:val="center"/>
          </w:tcPr>
          <w:p>
            <w:pPr>
              <w:spacing w:line="240" w:lineRule="auto"/>
              <w:ind w:firstLine="0" w:firstLineChars="0"/>
              <w:jc w:val="center"/>
              <w:rPr>
                <w:color w:val="auto"/>
                <w:sz w:val="21"/>
                <w:szCs w:val="21"/>
                <w:highlight w:val="yellow"/>
              </w:rPr>
            </w:pPr>
            <w:r>
              <w:rPr>
                <w:color w:val="auto"/>
                <w:spacing w:val="-3"/>
                <w:sz w:val="21"/>
                <w:szCs w:val="21"/>
              </w:rPr>
              <w:t>pH、COD、氨氮</w:t>
            </w:r>
            <w:r>
              <w:rPr>
                <w:rFonts w:hint="eastAsia"/>
                <w:color w:val="auto"/>
                <w:spacing w:val="-8"/>
                <w:sz w:val="21"/>
                <w:szCs w:val="21"/>
              </w:rPr>
              <w:t>等</w:t>
            </w:r>
          </w:p>
        </w:tc>
        <w:tc>
          <w:tcPr>
            <w:tcW w:w="1296" w:type="pct"/>
            <w:vMerge w:val="restart"/>
            <w:tcBorders>
              <w:tl2br w:val="nil"/>
              <w:tr2bl w:val="nil"/>
            </w:tcBorders>
            <w:vAlign w:val="center"/>
          </w:tcPr>
          <w:p>
            <w:pPr>
              <w:spacing w:line="240" w:lineRule="auto"/>
              <w:ind w:firstLine="0" w:firstLineChars="0"/>
              <w:jc w:val="center"/>
              <w:rPr>
                <w:color w:val="auto"/>
                <w:sz w:val="21"/>
                <w:szCs w:val="21"/>
              </w:rPr>
            </w:pPr>
            <w:r>
              <w:rPr>
                <w:color w:val="auto"/>
                <w:spacing w:val="-4"/>
                <w:sz w:val="21"/>
                <w:szCs w:val="21"/>
              </w:rPr>
              <w:t>事故发生及处理过程中进行时时监测，</w:t>
            </w:r>
            <w:r>
              <w:rPr>
                <w:color w:val="auto"/>
                <w:spacing w:val="-2"/>
                <w:sz w:val="21"/>
                <w:szCs w:val="21"/>
              </w:rPr>
              <w:t>过后</w:t>
            </w:r>
            <w:r>
              <w:rPr>
                <w:rFonts w:hint="eastAsia"/>
                <w:color w:val="auto"/>
                <w:spacing w:val="-43"/>
                <w:sz w:val="21"/>
                <w:szCs w:val="21"/>
              </w:rPr>
              <w:t>20</w:t>
            </w:r>
            <w:r>
              <w:rPr>
                <w:color w:val="auto"/>
                <w:spacing w:val="-2"/>
                <w:sz w:val="21"/>
                <w:szCs w:val="21"/>
              </w:rPr>
              <w:t>分钟一次直至应急结束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4" w:hRule="atLeast"/>
        </w:trPr>
        <w:tc>
          <w:tcPr>
            <w:tcW w:w="272" w:type="pct"/>
            <w:vMerge w:val="continue"/>
            <w:tcBorders>
              <w:tl2br w:val="nil"/>
              <w:tr2bl w:val="nil"/>
            </w:tcBorders>
            <w:vAlign w:val="center"/>
          </w:tcPr>
          <w:p>
            <w:pPr>
              <w:spacing w:line="240" w:lineRule="auto"/>
              <w:ind w:firstLine="0" w:firstLineChars="0"/>
              <w:jc w:val="center"/>
              <w:rPr>
                <w:color w:val="auto"/>
                <w:sz w:val="21"/>
                <w:szCs w:val="21"/>
              </w:rPr>
            </w:pPr>
          </w:p>
        </w:tc>
        <w:tc>
          <w:tcPr>
            <w:tcW w:w="888" w:type="pct"/>
            <w:tcBorders>
              <w:tl2br w:val="nil"/>
              <w:tr2bl w:val="nil"/>
            </w:tcBorders>
            <w:vAlign w:val="center"/>
          </w:tcPr>
          <w:p>
            <w:pPr>
              <w:spacing w:line="240" w:lineRule="auto"/>
              <w:ind w:firstLine="0" w:firstLineChars="0"/>
              <w:jc w:val="center"/>
              <w:rPr>
                <w:color w:val="auto"/>
                <w:sz w:val="21"/>
                <w:szCs w:val="21"/>
              </w:rPr>
            </w:pPr>
            <w:r>
              <w:rPr>
                <w:color w:val="auto"/>
                <w:spacing w:val="-2"/>
                <w:sz w:val="21"/>
                <w:szCs w:val="21"/>
              </w:rPr>
              <w:t>厂区总排水口</w:t>
            </w:r>
          </w:p>
        </w:tc>
        <w:tc>
          <w:tcPr>
            <w:tcW w:w="2543" w:type="pct"/>
            <w:vMerge w:val="continue"/>
            <w:tcBorders>
              <w:tl2br w:val="nil"/>
              <w:tr2bl w:val="nil"/>
            </w:tcBorders>
            <w:vAlign w:val="center"/>
          </w:tcPr>
          <w:p>
            <w:pPr>
              <w:spacing w:line="240" w:lineRule="auto"/>
              <w:ind w:firstLine="0" w:firstLineChars="0"/>
              <w:jc w:val="center"/>
              <w:rPr>
                <w:color w:val="auto"/>
                <w:sz w:val="21"/>
                <w:szCs w:val="21"/>
              </w:rPr>
            </w:pPr>
          </w:p>
        </w:tc>
        <w:tc>
          <w:tcPr>
            <w:tcW w:w="1296" w:type="pct"/>
            <w:vMerge w:val="continue"/>
            <w:tcBorders>
              <w:tl2br w:val="nil"/>
              <w:tr2bl w:val="nil"/>
            </w:tcBorders>
            <w:vAlign w:val="center"/>
          </w:tcPr>
          <w:p>
            <w:pPr>
              <w:spacing w:line="240" w:lineRule="auto"/>
              <w:ind w:firstLine="0" w:firstLineChars="0"/>
              <w:jc w:val="center"/>
              <w:rPr>
                <w:color w:val="auto"/>
                <w:sz w:val="21"/>
                <w:szCs w:val="21"/>
              </w:rPr>
            </w:pPr>
          </w:p>
        </w:tc>
      </w:tr>
    </w:tbl>
    <w:p>
      <w:pPr>
        <w:pStyle w:val="14"/>
        <w:spacing w:after="0"/>
        <w:ind w:firstLine="480"/>
        <w:rPr>
          <w:bCs/>
          <w:color w:val="auto"/>
          <w:szCs w:val="24"/>
        </w:rPr>
      </w:pPr>
      <w:r>
        <w:rPr>
          <w:bCs/>
          <w:color w:val="auto"/>
          <w:szCs w:val="24"/>
        </w:rPr>
        <w:t>（7）应急检测、防护措施、清除措施和器材</w:t>
      </w:r>
    </w:p>
    <w:p>
      <w:pPr>
        <w:pStyle w:val="14"/>
        <w:spacing w:after="0"/>
        <w:ind w:firstLine="480"/>
        <w:rPr>
          <w:bCs/>
          <w:color w:val="auto"/>
          <w:szCs w:val="24"/>
        </w:rPr>
      </w:pPr>
      <w:r>
        <w:rPr>
          <w:bCs/>
          <w:color w:val="auto"/>
          <w:szCs w:val="24"/>
        </w:rPr>
        <w:t>事故发生后，立即封锁事故现场，并根据需要组织现场及周围人员紧急疏散撤离。对于火灾的防护采取穿着防护服，使用干粉灭火器灭火等措施。</w:t>
      </w:r>
    </w:p>
    <w:p>
      <w:pPr>
        <w:pStyle w:val="14"/>
        <w:spacing w:after="0"/>
        <w:ind w:firstLine="480"/>
        <w:rPr>
          <w:bCs/>
          <w:color w:val="auto"/>
          <w:szCs w:val="24"/>
        </w:rPr>
      </w:pPr>
      <w:r>
        <w:rPr>
          <w:bCs/>
          <w:color w:val="auto"/>
          <w:szCs w:val="24"/>
        </w:rPr>
        <w:t>如遇易燃危险化学品泄漏应迅速撤离泄漏污染区人员至安全区，并进行隔离，严格限制出入。切断火源。应急处理人员戴自给正压式呼吸器，穿防毒服，从上风处进入现场，尽可能切断泄漏源，防止流入下水道、排洪沟等限制性空间。</w:t>
      </w:r>
    </w:p>
    <w:p>
      <w:pPr>
        <w:pStyle w:val="14"/>
        <w:spacing w:after="0"/>
        <w:ind w:firstLine="480"/>
        <w:rPr>
          <w:bCs/>
          <w:color w:val="auto"/>
          <w:szCs w:val="24"/>
        </w:rPr>
      </w:pPr>
      <w:r>
        <w:rPr>
          <w:bCs/>
          <w:color w:val="auto"/>
          <w:szCs w:val="24"/>
        </w:rPr>
        <w:t>小量泄漏：用砂土或其它不燃材料吸附或吸收，也可以用大量水冲洗，洗水稀释后放入废水系统。</w:t>
      </w:r>
    </w:p>
    <w:p>
      <w:pPr>
        <w:pStyle w:val="14"/>
        <w:spacing w:after="0"/>
        <w:ind w:firstLine="480"/>
        <w:rPr>
          <w:bCs/>
          <w:color w:val="auto"/>
          <w:szCs w:val="24"/>
        </w:rPr>
      </w:pPr>
      <w:r>
        <w:rPr>
          <w:bCs/>
          <w:color w:val="auto"/>
          <w:szCs w:val="24"/>
        </w:rPr>
        <w:t>大量泄漏：构筑围堤或挖坑收容。用泡沫覆盖，降低蒸气灾害。喷雾状水或泡沫冷却和稀释蒸汽、保护现场人员。用防爆泵转移至槽车或专用收集器内，回收或运至废物处理场所处置。</w:t>
      </w:r>
    </w:p>
    <w:p>
      <w:pPr>
        <w:ind w:firstLine="480"/>
        <w:rPr>
          <w:color w:val="auto"/>
        </w:rPr>
      </w:pPr>
      <w:r>
        <w:rPr>
          <w:color w:val="auto"/>
        </w:rPr>
        <w:t>抢修堵漏装备：常规检修器具、橡胶皮、木条及堵漏密封装置、收集废物的专用容器等。</w:t>
      </w:r>
    </w:p>
    <w:p>
      <w:pPr>
        <w:pStyle w:val="14"/>
        <w:spacing w:after="0"/>
        <w:ind w:firstLine="480"/>
        <w:rPr>
          <w:bCs/>
          <w:color w:val="auto"/>
          <w:szCs w:val="24"/>
        </w:rPr>
      </w:pPr>
      <w:r>
        <w:rPr>
          <w:bCs/>
          <w:color w:val="auto"/>
          <w:szCs w:val="24"/>
        </w:rPr>
        <w:t>（8）人员紧急撤离、疏散，应急剂量控制、撤离组织计划</w:t>
      </w:r>
    </w:p>
    <w:p>
      <w:pPr>
        <w:pStyle w:val="14"/>
        <w:spacing w:after="0"/>
        <w:ind w:firstLine="480"/>
        <w:rPr>
          <w:bCs/>
          <w:color w:val="auto"/>
          <w:szCs w:val="24"/>
        </w:rPr>
      </w:pPr>
      <w:r>
        <w:rPr>
          <w:bCs/>
          <w:color w:val="auto"/>
          <w:szCs w:val="24"/>
        </w:rPr>
        <w:t>制定有毒有害物质的应急剂量控制、现场及邻近装置人员撤离计划及救护措施，以及交通保障、管制措施。事故现场采用红色警戒布条、拉线封闭。对现场周围道路采取隔离、并设专人现场引导按指定方向通行，进行交通疏通的同时报警。</w:t>
      </w:r>
    </w:p>
    <w:p>
      <w:pPr>
        <w:pStyle w:val="14"/>
        <w:spacing w:after="0"/>
        <w:ind w:firstLine="480"/>
        <w:rPr>
          <w:bCs/>
          <w:color w:val="auto"/>
          <w:szCs w:val="24"/>
        </w:rPr>
      </w:pPr>
      <w:r>
        <w:rPr>
          <w:bCs/>
          <w:color w:val="auto"/>
          <w:szCs w:val="24"/>
        </w:rPr>
        <w:t>（9）事故应急救援关闭程序与恢复措施</w:t>
      </w:r>
    </w:p>
    <w:p>
      <w:pPr>
        <w:pStyle w:val="14"/>
        <w:spacing w:after="0"/>
        <w:ind w:firstLine="480"/>
        <w:rPr>
          <w:bCs/>
          <w:color w:val="auto"/>
          <w:szCs w:val="24"/>
        </w:rPr>
      </w:pPr>
      <w:r>
        <w:rPr>
          <w:bCs/>
          <w:color w:val="auto"/>
          <w:szCs w:val="24"/>
        </w:rPr>
        <w:t>应急终止的条件：事件现场得到控制，事件条件已经消除；污染源的泄漏或释放已降至规定限值以内；事件所造成的危害已经被彻底消除，无继发可能；事件现场的各种专业应急处置行动已无继续的必要；采取了必要的防护措施以保护公众免受再次危害，并使事件可能引起的中长期影响趋于合理且尽量低的水平。</w:t>
      </w:r>
    </w:p>
    <w:p>
      <w:pPr>
        <w:pStyle w:val="14"/>
        <w:spacing w:after="0"/>
        <w:ind w:firstLine="480"/>
        <w:rPr>
          <w:bCs/>
          <w:color w:val="auto"/>
          <w:szCs w:val="24"/>
        </w:rPr>
      </w:pPr>
      <w:r>
        <w:rPr>
          <w:bCs/>
          <w:color w:val="auto"/>
          <w:szCs w:val="24"/>
        </w:rPr>
        <w:t>应急终止的程序：现场救援指挥部确认终止时机，经应急指挥领导小组批准；现场救援指挥部向所属各专业应急救援队伍下达应急终止命令。</w:t>
      </w:r>
    </w:p>
    <w:p>
      <w:pPr>
        <w:pStyle w:val="14"/>
        <w:spacing w:after="0"/>
        <w:ind w:firstLine="480"/>
        <w:rPr>
          <w:bCs/>
          <w:color w:val="auto"/>
          <w:szCs w:val="24"/>
        </w:rPr>
      </w:pPr>
      <w:r>
        <w:rPr>
          <w:bCs/>
          <w:color w:val="auto"/>
          <w:szCs w:val="24"/>
        </w:rPr>
        <w:t>事故现场善后处理工作及恢复措施：有关部门查找事件原因，防止类似问题的重复出现，对应急事故进行记录、建立档案。根据实践经验，组织有关部门对应急预案进行评估，并及时修订环境应急预案；参加应急行动的部门负责组织、指导环境应急队伍维护、保养应急仪器设备，使之始终保持良好的技术状态。</w:t>
      </w:r>
    </w:p>
    <w:p>
      <w:pPr>
        <w:pStyle w:val="14"/>
        <w:spacing w:after="0"/>
        <w:ind w:firstLine="480"/>
        <w:rPr>
          <w:bCs/>
          <w:color w:val="auto"/>
          <w:szCs w:val="24"/>
        </w:rPr>
      </w:pPr>
      <w:r>
        <w:rPr>
          <w:bCs/>
          <w:color w:val="auto"/>
          <w:szCs w:val="24"/>
        </w:rPr>
        <w:t>（10）应急培训计划</w:t>
      </w:r>
    </w:p>
    <w:p>
      <w:pPr>
        <w:pStyle w:val="14"/>
        <w:spacing w:after="0"/>
        <w:ind w:firstLine="480"/>
        <w:rPr>
          <w:bCs/>
          <w:color w:val="auto"/>
          <w:szCs w:val="24"/>
        </w:rPr>
      </w:pPr>
      <w:r>
        <w:rPr>
          <w:bCs/>
          <w:color w:val="auto"/>
          <w:szCs w:val="24"/>
        </w:rPr>
        <w:t>对于环保管理人员和有关操作人员应建立“先培训、后上岗”、“定期培训安全和环保法规、知识以及突发性事故应急处理技术”的制度。定期安排人员进行培训和演练，每年组织一次应急救援演练，以确保有效应对突发安全事故。通过组织相关人员学习现场基本救护知识，掌握常用应急救护方法，必要时可请有关医疗机构专业人员给予现场指导。</w:t>
      </w:r>
    </w:p>
    <w:p>
      <w:pPr>
        <w:pStyle w:val="14"/>
        <w:spacing w:after="0"/>
        <w:ind w:firstLine="480"/>
        <w:rPr>
          <w:bCs/>
          <w:color w:val="auto"/>
          <w:szCs w:val="24"/>
        </w:rPr>
      </w:pPr>
      <w:r>
        <w:rPr>
          <w:bCs/>
          <w:color w:val="auto"/>
          <w:szCs w:val="24"/>
        </w:rPr>
        <w:t>（11）公众教育和信息</w:t>
      </w:r>
    </w:p>
    <w:p>
      <w:pPr>
        <w:pStyle w:val="14"/>
        <w:spacing w:after="0"/>
        <w:ind w:firstLine="480"/>
        <w:rPr>
          <w:bCs/>
          <w:color w:val="auto"/>
          <w:szCs w:val="24"/>
        </w:rPr>
      </w:pPr>
      <w:r>
        <w:rPr>
          <w:bCs/>
          <w:color w:val="auto"/>
          <w:szCs w:val="24"/>
        </w:rPr>
        <w:t>对工厂邻近地区开展公众教育、培训和公开发布有关信息，如实对项目周边的居民说明化学品危害特性，使居民掌握必要的知识和技能以识别危险、辨别事故危险性、了解自身的作用和责任、采取正确措施（包括使用必需的防护措施和紧急疏散），以降低人群健康、财产的损失。</w:t>
      </w:r>
    </w:p>
    <w:p>
      <w:pPr>
        <w:pStyle w:val="9"/>
        <w:spacing w:before="0" w:beforeLines="0" w:after="0" w:afterLines="0" w:line="360" w:lineRule="auto"/>
        <w:rPr>
          <w:color w:val="auto"/>
        </w:rPr>
      </w:pPr>
      <w:r>
        <w:rPr>
          <w:rFonts w:hint="eastAsia"/>
          <w:color w:val="auto"/>
        </w:rPr>
        <w:t>6</w:t>
      </w:r>
      <w:r>
        <w:rPr>
          <w:color w:val="auto"/>
        </w:rPr>
        <w:t>.</w:t>
      </w:r>
      <w:r>
        <w:rPr>
          <w:rFonts w:hint="eastAsia"/>
          <w:color w:val="auto"/>
        </w:rPr>
        <w:t>6</w:t>
      </w:r>
      <w:r>
        <w:rPr>
          <w:color w:val="auto"/>
        </w:rPr>
        <w:t>.</w:t>
      </w:r>
      <w:r>
        <w:rPr>
          <w:rFonts w:hint="eastAsia"/>
          <w:color w:val="auto"/>
        </w:rPr>
        <w:t>5</w:t>
      </w:r>
      <w:r>
        <w:rPr>
          <w:color w:val="auto"/>
        </w:rPr>
        <w:t>区域应急联动</w:t>
      </w:r>
    </w:p>
    <w:p>
      <w:pPr>
        <w:ind w:firstLine="480"/>
        <w:rPr>
          <w:color w:val="auto"/>
        </w:rPr>
      </w:pPr>
      <w:r>
        <w:rPr>
          <w:color w:val="auto"/>
        </w:rPr>
        <w:t>当厂区发生突发环境事件时首先启动企业应急预案进行紧急处理，若污染物扩散出厂界、企业应急预案无法应对时应启动区域应急预案，应与政府进行应急响应，企业应急预案同时保持响应；及时通知</w:t>
      </w:r>
      <w:r>
        <w:rPr>
          <w:rFonts w:hint="eastAsia"/>
          <w:color w:val="auto"/>
        </w:rPr>
        <w:t>张店区</w:t>
      </w:r>
      <w:r>
        <w:rPr>
          <w:color w:val="auto"/>
        </w:rPr>
        <w:t>人民政府、</w:t>
      </w:r>
      <w:r>
        <w:rPr>
          <w:rFonts w:hint="eastAsia"/>
          <w:color w:val="auto"/>
        </w:rPr>
        <w:t>淄博科技工业园园区</w:t>
      </w:r>
      <w:r>
        <w:rPr>
          <w:color w:val="auto"/>
        </w:rPr>
        <w:t>管委会，启动</w:t>
      </w:r>
      <w:r>
        <w:rPr>
          <w:rFonts w:hint="eastAsia"/>
          <w:color w:val="auto"/>
        </w:rPr>
        <w:t>张店区</w:t>
      </w:r>
      <w:r>
        <w:rPr>
          <w:color w:val="auto"/>
        </w:rPr>
        <w:t>突发环境事件应急预案、</w:t>
      </w:r>
      <w:r>
        <w:rPr>
          <w:rFonts w:hint="eastAsia"/>
          <w:color w:val="auto"/>
        </w:rPr>
        <w:t>淄博科技工业园园区</w:t>
      </w:r>
      <w:r>
        <w:rPr>
          <w:color w:val="auto"/>
        </w:rPr>
        <w:t>突发环境事件应急预案，进行</w:t>
      </w:r>
      <w:r>
        <w:rPr>
          <w:rFonts w:hint="eastAsia"/>
          <w:color w:val="auto"/>
        </w:rPr>
        <w:t>张店区</w:t>
      </w:r>
      <w:r>
        <w:rPr>
          <w:color w:val="auto"/>
        </w:rPr>
        <w:t>范围内应急响应，</w:t>
      </w:r>
      <w:r>
        <w:rPr>
          <w:rFonts w:hint="eastAsia"/>
          <w:color w:val="auto"/>
        </w:rPr>
        <w:t>淄博科技工业园</w:t>
      </w:r>
      <w:r>
        <w:rPr>
          <w:color w:val="auto"/>
        </w:rPr>
        <w:t>应急预案和企业应急预案同时保持响应。</w:t>
      </w:r>
    </w:p>
    <w:p>
      <w:pPr>
        <w:ind w:firstLine="480"/>
        <w:rPr>
          <w:color w:val="auto"/>
        </w:rPr>
      </w:pPr>
      <w:r>
        <w:rPr>
          <w:color w:val="auto"/>
        </w:rPr>
        <w:t>公司突发环境事件超出应急处置能力时，需要与政府建立联动机制，弥补自身应急物资和应急人员的不足。应急预案体系从层面上分为三级：政府总体应急预案，部门/行业应急预案，公司突发环境事件应急预案。公司与</w:t>
      </w:r>
      <w:r>
        <w:rPr>
          <w:rFonts w:hint="eastAsia"/>
          <w:color w:val="auto"/>
        </w:rPr>
        <w:t>淄博</w:t>
      </w:r>
      <w:r>
        <w:rPr>
          <w:color w:val="auto"/>
        </w:rPr>
        <w:t>市、</w:t>
      </w:r>
      <w:r>
        <w:rPr>
          <w:rFonts w:hint="eastAsia"/>
          <w:color w:val="auto"/>
        </w:rPr>
        <w:t>张店区</w:t>
      </w:r>
      <w:r>
        <w:rPr>
          <w:color w:val="auto"/>
        </w:rPr>
        <w:t>政府相关预案的衔接情况见图</w:t>
      </w:r>
      <w:r>
        <w:rPr>
          <w:rFonts w:hint="eastAsia"/>
          <w:color w:val="auto"/>
        </w:rPr>
        <w:t>6.6-4</w:t>
      </w:r>
      <w:r>
        <w:rPr>
          <w:color w:val="auto"/>
        </w:rPr>
        <w:t>。</w:t>
      </w:r>
    </w:p>
    <w:p>
      <w:pPr>
        <w:spacing w:line="240" w:lineRule="auto"/>
        <w:ind w:firstLine="0" w:firstLineChars="0"/>
        <w:jc w:val="center"/>
        <w:rPr>
          <w:b/>
          <w:bCs/>
          <w:color w:val="auto"/>
        </w:rPr>
      </w:pPr>
      <w:r>
        <w:rPr>
          <w:rFonts w:hint="eastAsia"/>
          <w:b/>
          <w:bCs/>
          <w:color w:val="auto"/>
        </w:rPr>
        <w:drawing>
          <wp:inline distT="0" distB="0" distL="114300" distR="114300">
            <wp:extent cx="4102100" cy="2370455"/>
            <wp:effectExtent l="0" t="0" r="12700" b="10795"/>
            <wp:docPr id="105" name="图片 105" descr="风险章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风险章节"/>
                    <pic:cNvPicPr>
                      <a:picLocks noChangeAspect="1"/>
                    </pic:cNvPicPr>
                  </pic:nvPicPr>
                  <pic:blipFill>
                    <a:blip r:embed="rId137"/>
                    <a:stretch>
                      <a:fillRect/>
                    </a:stretch>
                  </pic:blipFill>
                  <pic:spPr>
                    <a:xfrm>
                      <a:off x="0" y="0"/>
                      <a:ext cx="4102100" cy="2370455"/>
                    </a:xfrm>
                    <a:prstGeom prst="rect">
                      <a:avLst/>
                    </a:prstGeom>
                  </pic:spPr>
                </pic:pic>
              </a:graphicData>
            </a:graphic>
          </wp:inline>
        </w:drawing>
      </w:r>
    </w:p>
    <w:p>
      <w:pPr>
        <w:ind w:firstLine="0" w:firstLineChars="0"/>
        <w:jc w:val="center"/>
        <w:rPr>
          <w:rFonts w:eastAsia="黑体"/>
          <w:b/>
          <w:bCs/>
          <w:color w:val="auto"/>
          <w:sz w:val="21"/>
          <w:szCs w:val="21"/>
        </w:rPr>
      </w:pPr>
      <w:r>
        <w:rPr>
          <w:rFonts w:eastAsia="黑体"/>
          <w:b/>
          <w:bCs/>
          <w:color w:val="auto"/>
          <w:sz w:val="21"/>
          <w:szCs w:val="21"/>
        </w:rPr>
        <w:t>图</w:t>
      </w:r>
      <w:r>
        <w:rPr>
          <w:rFonts w:hint="eastAsia" w:eastAsia="黑体"/>
          <w:b/>
          <w:bCs/>
          <w:color w:val="auto"/>
          <w:sz w:val="21"/>
          <w:szCs w:val="21"/>
        </w:rPr>
        <w:t>6.6-4</w:t>
      </w:r>
      <w:r>
        <w:rPr>
          <w:rFonts w:eastAsia="黑体"/>
          <w:b/>
          <w:bCs/>
          <w:color w:val="auto"/>
          <w:sz w:val="21"/>
          <w:szCs w:val="21"/>
        </w:rPr>
        <w:t xml:space="preserve"> 公司突发环境事件应急预案与政府相关预案的衔接</w:t>
      </w:r>
    </w:p>
    <w:p>
      <w:pPr>
        <w:ind w:firstLine="480"/>
        <w:rPr>
          <w:color w:val="auto"/>
        </w:rPr>
      </w:pPr>
      <w:r>
        <w:rPr>
          <w:color w:val="auto"/>
        </w:rPr>
        <w:t>当发生火灾时，企业安全预案和突发环境事件应急预案同时启动，安全应急预案关注企业内部和外部的生命安全，突发环境事件应急预案关注火灾事故发生后的环境后果及次生污染危害，两预案相互补充、相互配合，能使企业内部和周围生命财产安全及周边环境得到最大程度的保护。随着火灾增大，安全处置更加关注火势的蔓延及控制情况，环境应急处置需要关注灭火过程中产生的消防废水，防止消防废水漫流出厂界造成污染。一旦废水流出厂界，应及时告知</w:t>
      </w:r>
      <w:r>
        <w:rPr>
          <w:rFonts w:hint="eastAsia"/>
          <w:color w:val="auto"/>
        </w:rPr>
        <w:t>淄博科技工业园园区</w:t>
      </w:r>
      <w:r>
        <w:rPr>
          <w:color w:val="auto"/>
        </w:rPr>
        <w:t>管委会、</w:t>
      </w:r>
      <w:r>
        <w:rPr>
          <w:rFonts w:hint="eastAsia"/>
          <w:color w:val="auto"/>
        </w:rPr>
        <w:t>淄博</w:t>
      </w:r>
      <w:r>
        <w:rPr>
          <w:color w:val="auto"/>
        </w:rPr>
        <w:t>市生态环境局</w:t>
      </w:r>
      <w:r>
        <w:rPr>
          <w:rFonts w:hint="eastAsia"/>
          <w:color w:val="auto"/>
        </w:rPr>
        <w:t>张店</w:t>
      </w:r>
      <w:r>
        <w:rPr>
          <w:color w:val="auto"/>
        </w:rPr>
        <w:t>分局、</w:t>
      </w:r>
      <w:r>
        <w:rPr>
          <w:rFonts w:hint="eastAsia"/>
          <w:color w:val="auto"/>
        </w:rPr>
        <w:t>猪龙河</w:t>
      </w:r>
      <w:r>
        <w:rPr>
          <w:color w:val="auto"/>
        </w:rPr>
        <w:t>水务管理等部门，及时切断</w:t>
      </w:r>
      <w:r>
        <w:rPr>
          <w:rFonts w:hint="eastAsia"/>
          <w:color w:val="auto"/>
        </w:rPr>
        <w:t>淄博科技工业园园区</w:t>
      </w:r>
      <w:r>
        <w:rPr>
          <w:color w:val="auto"/>
        </w:rPr>
        <w:t>雨水管网至</w:t>
      </w:r>
      <w:r>
        <w:rPr>
          <w:rFonts w:hint="eastAsia"/>
          <w:color w:val="auto"/>
        </w:rPr>
        <w:t>猪龙河</w:t>
      </w:r>
      <w:r>
        <w:rPr>
          <w:color w:val="auto"/>
        </w:rPr>
        <w:t>的断面附近的闸阀，切断事故时</w:t>
      </w:r>
      <w:r>
        <w:rPr>
          <w:rFonts w:hint="eastAsia"/>
          <w:color w:val="auto"/>
        </w:rPr>
        <w:t>支脉河</w:t>
      </w:r>
      <w:r>
        <w:rPr>
          <w:color w:val="auto"/>
        </w:rPr>
        <w:t>与下游的水力联系。</w:t>
      </w:r>
    </w:p>
    <w:p>
      <w:pPr>
        <w:pStyle w:val="8"/>
        <w:spacing w:before="0" w:beforeLines="0" w:after="0" w:afterLines="0" w:line="360" w:lineRule="auto"/>
        <w:rPr>
          <w:color w:val="auto"/>
        </w:rPr>
      </w:pPr>
      <w:bookmarkStart w:id="363" w:name="_Toc30700"/>
      <w:bookmarkStart w:id="364" w:name="_Toc2468"/>
      <w:bookmarkStart w:id="365" w:name="_Toc9386"/>
      <w:r>
        <w:rPr>
          <w:rFonts w:hint="eastAsia"/>
          <w:color w:val="auto"/>
        </w:rPr>
        <w:t>6.7</w:t>
      </w:r>
      <w:r>
        <w:rPr>
          <w:color w:val="auto"/>
        </w:rPr>
        <w:t>环境风险评价小结</w:t>
      </w:r>
      <w:bookmarkEnd w:id="363"/>
      <w:bookmarkEnd w:id="364"/>
      <w:bookmarkEnd w:id="365"/>
    </w:p>
    <w:p>
      <w:pPr>
        <w:autoSpaceDE w:val="0"/>
        <w:autoSpaceDN w:val="0"/>
        <w:adjustRightInd w:val="0"/>
        <w:ind w:firstLine="480"/>
        <w:rPr>
          <w:color w:val="auto"/>
          <w:kern w:val="0"/>
        </w:rPr>
      </w:pPr>
      <w:r>
        <w:rPr>
          <w:color w:val="auto"/>
          <w:kern w:val="0"/>
        </w:rPr>
        <w:t>根据分析，拟建项目涉及的环境风险物质为</w:t>
      </w:r>
      <w:r>
        <w:rPr>
          <w:rFonts w:hint="eastAsia"/>
          <w:color w:val="auto"/>
          <w:kern w:val="0"/>
        </w:rPr>
        <w:t>导热油、润滑油、天然气</w:t>
      </w:r>
      <w:r>
        <w:rPr>
          <w:color w:val="auto"/>
          <w:kern w:val="0"/>
        </w:rPr>
        <w:t>，存在泄漏、火灾风险，具有潜在危险性。在突发性的事故状态下，如不采取有效措施，一旦发生泄漏或火灾，势必将危及周围人群的安全和区域的生态环境。</w:t>
      </w:r>
    </w:p>
    <w:p>
      <w:pPr>
        <w:autoSpaceDE w:val="0"/>
        <w:autoSpaceDN w:val="0"/>
        <w:adjustRightInd w:val="0"/>
        <w:ind w:firstLine="480"/>
        <w:rPr>
          <w:color w:val="auto"/>
          <w:kern w:val="0"/>
        </w:rPr>
      </w:pPr>
      <w:r>
        <w:rPr>
          <w:color w:val="auto"/>
          <w:kern w:val="0"/>
        </w:rPr>
        <w:t>拟建工程在设计中充分考虑了各种危险因素和可能造成的危害，并采取了相应的处理措施，可大大减少事故发生概率。同时公司应制定风险应急预案，如一旦发生事故，能迅速采取有力措施，减小对环境污染，其潜在的事故风险是可以防范的。在采取相关风险防范措施后项目的风险是可控的。</w:t>
      </w:r>
    </w:p>
    <w:p>
      <w:pPr>
        <w:spacing w:line="360" w:lineRule="auto"/>
        <w:ind w:firstLine="472"/>
        <w:rPr>
          <w:rFonts w:ascii="宋体" w:hAnsi="宋体" w:cs="宋体"/>
          <w:color w:val="auto"/>
          <w:spacing w:val="-2"/>
          <w:szCs w:val="24"/>
        </w:rPr>
      </w:pPr>
      <w:r>
        <w:rPr>
          <w:rFonts w:ascii="宋体" w:hAnsi="宋体" w:cs="宋体"/>
          <w:color w:val="auto"/>
          <w:spacing w:val="-2"/>
          <w:szCs w:val="24"/>
        </w:rPr>
        <w:t>拟建项目根据附录</w:t>
      </w:r>
      <w:r>
        <w:rPr>
          <w:rFonts w:hint="eastAsia" w:ascii="宋体" w:hAnsi="宋体" w:cs="宋体"/>
          <w:color w:val="auto"/>
          <w:spacing w:val="-43"/>
          <w:szCs w:val="24"/>
        </w:rPr>
        <w:t>A</w:t>
      </w:r>
      <w:r>
        <w:rPr>
          <w:rFonts w:ascii="宋体" w:hAnsi="宋体" w:cs="宋体"/>
          <w:color w:val="auto"/>
          <w:spacing w:val="-2"/>
          <w:szCs w:val="24"/>
        </w:rPr>
        <w:t>开展简单分析，建设项目环境风险简单分析内容表详见下表。</w:t>
      </w:r>
    </w:p>
    <w:p>
      <w:pPr>
        <w:ind w:firstLine="0" w:firstLineChars="0"/>
        <w:jc w:val="center"/>
        <w:rPr>
          <w:rFonts w:eastAsia="黑体"/>
          <w:b/>
          <w:bCs/>
          <w:color w:val="auto"/>
          <w:sz w:val="21"/>
          <w:szCs w:val="21"/>
        </w:rPr>
      </w:pPr>
      <w:r>
        <w:rPr>
          <w:rFonts w:eastAsia="黑体"/>
          <w:b/>
          <w:bCs/>
          <w:color w:val="auto"/>
          <w:sz w:val="21"/>
          <w:szCs w:val="21"/>
        </w:rPr>
        <w:t>表</w:t>
      </w:r>
      <w:r>
        <w:rPr>
          <w:rFonts w:hint="eastAsia" w:eastAsia="黑体"/>
          <w:b/>
          <w:bCs/>
          <w:color w:val="auto"/>
          <w:sz w:val="21"/>
          <w:szCs w:val="21"/>
        </w:rPr>
        <w:t>6.6-6</w:t>
      </w:r>
      <w:r>
        <w:rPr>
          <w:rFonts w:eastAsia="黑体"/>
          <w:b/>
          <w:bCs/>
          <w:color w:val="auto"/>
          <w:sz w:val="21"/>
          <w:szCs w:val="21"/>
        </w:rPr>
        <w:t xml:space="preserve">  建设项目环境风险简单分析内容表</w:t>
      </w:r>
    </w:p>
    <w:tbl>
      <w:tblPr>
        <w:tblStyle w:val="63"/>
        <w:tblW w:w="498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484"/>
        <w:gridCol w:w="756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7" w:hRule="atLeast"/>
        </w:trPr>
        <w:tc>
          <w:tcPr>
            <w:tcW w:w="820" w:type="pct"/>
            <w:tcBorders>
              <w:tl2br w:val="nil"/>
              <w:tr2bl w:val="nil"/>
            </w:tcBorders>
            <w:vAlign w:val="center"/>
          </w:tcPr>
          <w:p>
            <w:pPr>
              <w:spacing w:line="240" w:lineRule="auto"/>
              <w:ind w:firstLine="0" w:firstLineChars="0"/>
              <w:jc w:val="center"/>
              <w:rPr>
                <w:color w:val="auto"/>
                <w:sz w:val="21"/>
                <w:szCs w:val="21"/>
              </w:rPr>
            </w:pPr>
            <w:r>
              <w:rPr>
                <w:color w:val="auto"/>
                <w:spacing w:val="-2"/>
                <w:sz w:val="21"/>
                <w:szCs w:val="21"/>
              </w:rPr>
              <w:t>建设项目名称</w:t>
            </w:r>
          </w:p>
        </w:tc>
        <w:tc>
          <w:tcPr>
            <w:tcW w:w="417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pacing w:val="-1"/>
                <w:sz w:val="21"/>
                <w:szCs w:val="21"/>
              </w:rPr>
              <w:t>年产1200吨丙交酯和1000吨聚乳酸新材料示范线项目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820" w:type="pct"/>
            <w:tcBorders>
              <w:tl2br w:val="nil"/>
              <w:tr2bl w:val="nil"/>
            </w:tcBorders>
            <w:vAlign w:val="center"/>
          </w:tcPr>
          <w:p>
            <w:pPr>
              <w:spacing w:line="240" w:lineRule="auto"/>
              <w:ind w:firstLine="0" w:firstLineChars="0"/>
              <w:jc w:val="center"/>
              <w:rPr>
                <w:color w:val="auto"/>
                <w:sz w:val="21"/>
                <w:szCs w:val="21"/>
              </w:rPr>
            </w:pPr>
            <w:r>
              <w:rPr>
                <w:color w:val="auto"/>
                <w:spacing w:val="-2"/>
                <w:sz w:val="21"/>
                <w:szCs w:val="21"/>
              </w:rPr>
              <w:t>建设地点</w:t>
            </w:r>
          </w:p>
        </w:tc>
        <w:tc>
          <w:tcPr>
            <w:tcW w:w="417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pacing w:val="-1"/>
                <w:sz w:val="21"/>
                <w:szCs w:val="21"/>
              </w:rPr>
              <w:t>山东省</w:t>
            </w:r>
            <w:r>
              <w:rPr>
                <w:color w:val="auto"/>
                <w:spacing w:val="-1"/>
                <w:sz w:val="21"/>
                <w:szCs w:val="21"/>
              </w:rPr>
              <w:t>淄博市</w:t>
            </w:r>
            <w:r>
              <w:rPr>
                <w:rFonts w:hint="eastAsia"/>
                <w:color w:val="auto"/>
                <w:spacing w:val="-1"/>
                <w:sz w:val="21"/>
                <w:szCs w:val="21"/>
              </w:rPr>
              <w:t>张店区房镇镇淄博科技工业园兴源路19号</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820" w:type="pct"/>
            <w:tcBorders>
              <w:tl2br w:val="nil"/>
              <w:tr2bl w:val="nil"/>
            </w:tcBorders>
            <w:vAlign w:val="center"/>
          </w:tcPr>
          <w:p>
            <w:pPr>
              <w:spacing w:line="240" w:lineRule="auto"/>
              <w:ind w:firstLine="0" w:firstLineChars="0"/>
              <w:jc w:val="center"/>
              <w:rPr>
                <w:color w:val="auto"/>
                <w:sz w:val="21"/>
                <w:szCs w:val="21"/>
              </w:rPr>
            </w:pPr>
            <w:r>
              <w:rPr>
                <w:color w:val="auto"/>
                <w:spacing w:val="-2"/>
                <w:sz w:val="21"/>
                <w:szCs w:val="21"/>
              </w:rPr>
              <w:t>地理坐标</w:t>
            </w:r>
          </w:p>
        </w:tc>
        <w:tc>
          <w:tcPr>
            <w:tcW w:w="417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pacing w:val="-1"/>
                <w:sz w:val="21"/>
                <w:szCs w:val="21"/>
              </w:rPr>
              <w:t>中心经纬度</w:t>
            </w:r>
            <w:r>
              <w:rPr>
                <w:color w:val="auto"/>
                <w:spacing w:val="-1"/>
                <w:sz w:val="21"/>
                <w:szCs w:val="21"/>
              </w:rPr>
              <w:t>E118.</w:t>
            </w:r>
            <w:r>
              <w:rPr>
                <w:rFonts w:hint="eastAsia"/>
                <w:color w:val="auto"/>
                <w:spacing w:val="-1"/>
                <w:sz w:val="21"/>
                <w:szCs w:val="21"/>
              </w:rPr>
              <w:t>002306°</w:t>
            </w:r>
            <w:r>
              <w:rPr>
                <w:color w:val="auto"/>
                <w:spacing w:val="-1"/>
                <w:sz w:val="21"/>
                <w:szCs w:val="21"/>
              </w:rPr>
              <w:t>，N36.</w:t>
            </w:r>
            <w:r>
              <w:rPr>
                <w:rFonts w:hint="eastAsia"/>
                <w:color w:val="auto"/>
                <w:spacing w:val="-1"/>
                <w:sz w:val="21"/>
                <w:szCs w:val="21"/>
              </w:rPr>
              <w:t>859949°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78" w:hRule="atLeast"/>
        </w:trPr>
        <w:tc>
          <w:tcPr>
            <w:tcW w:w="820"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主要危险物质及分布</w:t>
            </w:r>
          </w:p>
        </w:tc>
        <w:tc>
          <w:tcPr>
            <w:tcW w:w="4179" w:type="pct"/>
            <w:tcBorders>
              <w:tl2br w:val="nil"/>
              <w:tr2bl w:val="nil"/>
            </w:tcBorders>
            <w:vAlign w:val="center"/>
          </w:tcPr>
          <w:p>
            <w:pPr>
              <w:spacing w:line="240" w:lineRule="auto"/>
              <w:ind w:firstLine="0" w:firstLineChars="0"/>
              <w:rPr>
                <w:color w:val="auto"/>
                <w:sz w:val="21"/>
                <w:szCs w:val="21"/>
              </w:rPr>
            </w:pPr>
            <w:r>
              <w:rPr>
                <w:color w:val="auto"/>
                <w:spacing w:val="-1"/>
                <w:sz w:val="21"/>
                <w:szCs w:val="21"/>
              </w:rPr>
              <w:t>项目主要危险物质包括</w:t>
            </w:r>
            <w:r>
              <w:rPr>
                <w:rFonts w:hint="eastAsia"/>
                <w:color w:val="auto"/>
                <w:spacing w:val="-1"/>
                <w:sz w:val="21"/>
                <w:szCs w:val="21"/>
              </w:rPr>
              <w:t>：导热油、润滑油、天然气，导热油存放于锅炉房中导热油罐中，润滑油存放于危废暂存间，天然气不储存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26" w:hRule="atLeast"/>
        </w:trPr>
        <w:tc>
          <w:tcPr>
            <w:tcW w:w="820"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环境影响途径及危害后果</w:t>
            </w:r>
          </w:p>
        </w:tc>
        <w:tc>
          <w:tcPr>
            <w:tcW w:w="4179" w:type="pct"/>
            <w:tcBorders>
              <w:tl2br w:val="nil"/>
              <w:tr2bl w:val="nil"/>
            </w:tcBorders>
            <w:vAlign w:val="center"/>
          </w:tcPr>
          <w:p>
            <w:pPr>
              <w:spacing w:line="240" w:lineRule="auto"/>
              <w:ind w:firstLine="0" w:firstLineChars="0"/>
              <w:rPr>
                <w:color w:val="auto"/>
                <w:spacing w:val="-1"/>
                <w:sz w:val="21"/>
                <w:szCs w:val="21"/>
              </w:rPr>
            </w:pPr>
            <w:r>
              <w:rPr>
                <w:color w:val="auto"/>
                <w:spacing w:val="-2"/>
                <w:sz w:val="21"/>
                <w:szCs w:val="21"/>
              </w:rPr>
              <w:t>(1)</w:t>
            </w:r>
            <w:r>
              <w:rPr>
                <w:rFonts w:hint="eastAsia"/>
                <w:color w:val="auto"/>
                <w:spacing w:val="-2"/>
                <w:sz w:val="21"/>
                <w:szCs w:val="21"/>
              </w:rPr>
              <w:t>导热油罐</w:t>
            </w:r>
            <w:r>
              <w:rPr>
                <w:color w:val="auto"/>
                <w:spacing w:val="-1"/>
                <w:sz w:val="21"/>
                <w:szCs w:val="21"/>
              </w:rPr>
              <w:t>由于工人操作失误等原因可导致泄漏，若泄漏量较大，且没有得到及时妥善处置，可能造成空气环境、水环境、土壤环境污染事故。</w:t>
            </w:r>
          </w:p>
          <w:p>
            <w:pPr>
              <w:spacing w:line="240" w:lineRule="auto"/>
              <w:ind w:firstLine="0" w:firstLineChars="0"/>
              <w:rPr>
                <w:color w:val="auto"/>
                <w:spacing w:val="-1"/>
                <w:sz w:val="21"/>
                <w:szCs w:val="21"/>
              </w:rPr>
            </w:pPr>
            <w:r>
              <w:rPr>
                <w:color w:val="auto"/>
                <w:spacing w:val="-1"/>
                <w:sz w:val="21"/>
                <w:szCs w:val="21"/>
              </w:rPr>
              <w:t>(2)</w:t>
            </w:r>
            <w:r>
              <w:rPr>
                <w:rFonts w:hint="eastAsia"/>
                <w:color w:val="auto"/>
                <w:spacing w:val="-1"/>
                <w:sz w:val="21"/>
                <w:szCs w:val="21"/>
              </w:rPr>
              <w:t>生产</w:t>
            </w:r>
            <w:r>
              <w:rPr>
                <w:color w:val="auto"/>
                <w:spacing w:val="-1"/>
                <w:sz w:val="21"/>
                <w:szCs w:val="21"/>
              </w:rPr>
              <w:t>过程中使用</w:t>
            </w:r>
            <w:r>
              <w:rPr>
                <w:rFonts w:hint="eastAsia"/>
                <w:color w:val="auto"/>
                <w:spacing w:val="-1"/>
                <w:sz w:val="21"/>
                <w:szCs w:val="21"/>
              </w:rPr>
              <w:t>导热油</w:t>
            </w:r>
            <w:r>
              <w:rPr>
                <w:color w:val="auto"/>
                <w:spacing w:val="-1"/>
                <w:sz w:val="21"/>
                <w:szCs w:val="21"/>
              </w:rPr>
              <w:t>等易燃易爆危险化学品，若操作人员违章使用非防爆物品、电气不防爆、防静电接地、跨接措施不完善等，有发生火灾爆炸的危险。</w:t>
            </w:r>
          </w:p>
          <w:p>
            <w:pPr>
              <w:spacing w:line="240" w:lineRule="auto"/>
              <w:ind w:firstLine="0" w:firstLineChars="0"/>
              <w:rPr>
                <w:color w:val="auto"/>
                <w:spacing w:val="-1"/>
                <w:sz w:val="21"/>
                <w:szCs w:val="21"/>
              </w:rPr>
            </w:pPr>
            <w:r>
              <w:rPr>
                <w:color w:val="auto"/>
                <w:spacing w:val="-1"/>
                <w:sz w:val="21"/>
                <w:szCs w:val="21"/>
              </w:rPr>
              <w:t>(3)易燃易爆危险的生产场所的电气装置、开关、照明、电机不防爆或防爆等级不能满足规范、标准要求，有因电火花引发火灾爆炸的危险。</w:t>
            </w:r>
          </w:p>
          <w:p>
            <w:pPr>
              <w:spacing w:line="240" w:lineRule="auto"/>
              <w:ind w:firstLine="0" w:firstLineChars="0"/>
              <w:rPr>
                <w:color w:val="auto"/>
                <w:sz w:val="21"/>
                <w:szCs w:val="21"/>
              </w:rPr>
            </w:pPr>
            <w:r>
              <w:rPr>
                <w:color w:val="auto"/>
                <w:spacing w:val="-1"/>
                <w:sz w:val="21"/>
                <w:szCs w:val="21"/>
              </w:rPr>
              <w:t>(4)环保设施事故：危废暂存间内可燃的危险废物发生火灾，废气治理设施发生故障，导致废气直排，造成大气环境污染，污水处理站发生故障，导致废水直排，造成水环境污染</w:t>
            </w:r>
            <w:r>
              <w:rPr>
                <w:color w:val="auto"/>
                <w:spacing w:val="-4"/>
                <w:sz w:val="21"/>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05" w:hRule="atLeast"/>
        </w:trPr>
        <w:tc>
          <w:tcPr>
            <w:tcW w:w="820" w:type="pct"/>
            <w:tcBorders>
              <w:tl2br w:val="nil"/>
              <w:tr2bl w:val="nil"/>
            </w:tcBorders>
            <w:vAlign w:val="center"/>
          </w:tcPr>
          <w:p>
            <w:pPr>
              <w:spacing w:line="240" w:lineRule="auto"/>
              <w:ind w:firstLine="0" w:firstLineChars="0"/>
              <w:jc w:val="center"/>
              <w:rPr>
                <w:color w:val="auto"/>
                <w:sz w:val="21"/>
                <w:szCs w:val="21"/>
              </w:rPr>
            </w:pPr>
            <w:r>
              <w:rPr>
                <w:color w:val="auto"/>
                <w:spacing w:val="-1"/>
                <w:sz w:val="21"/>
                <w:szCs w:val="21"/>
              </w:rPr>
              <w:t>风险防范措施要求</w:t>
            </w:r>
          </w:p>
        </w:tc>
        <w:tc>
          <w:tcPr>
            <w:tcW w:w="4179" w:type="pct"/>
            <w:tcBorders>
              <w:tl2br w:val="nil"/>
              <w:tr2bl w:val="nil"/>
            </w:tcBorders>
            <w:vAlign w:val="center"/>
          </w:tcPr>
          <w:p>
            <w:pPr>
              <w:spacing w:line="240" w:lineRule="auto"/>
              <w:ind w:firstLine="0" w:firstLineChars="0"/>
              <w:rPr>
                <w:color w:val="auto"/>
                <w:spacing w:val="-1"/>
                <w:sz w:val="21"/>
                <w:szCs w:val="21"/>
              </w:rPr>
            </w:pPr>
            <w:r>
              <w:rPr>
                <w:rFonts w:hint="eastAsia"/>
                <w:color w:val="auto"/>
                <w:spacing w:val="-4"/>
                <w:sz w:val="21"/>
                <w:szCs w:val="21"/>
              </w:rPr>
              <w:t>（</w:t>
            </w:r>
            <w:r>
              <w:rPr>
                <w:rFonts w:hint="eastAsia"/>
                <w:color w:val="auto"/>
                <w:spacing w:val="-1"/>
                <w:sz w:val="21"/>
                <w:szCs w:val="21"/>
              </w:rPr>
              <w:t>1）</w:t>
            </w:r>
            <w:r>
              <w:rPr>
                <w:color w:val="auto"/>
                <w:spacing w:val="-1"/>
                <w:sz w:val="21"/>
                <w:szCs w:val="21"/>
              </w:rPr>
              <w:t>原料仓库、危废间及生产车间设置有毒、可燃气体泄露报警仪，实时对车间、仓库进行监控</w:t>
            </w:r>
            <w:r>
              <w:rPr>
                <w:rFonts w:hint="eastAsia"/>
                <w:color w:val="auto"/>
                <w:spacing w:val="-1"/>
                <w:sz w:val="21"/>
                <w:szCs w:val="21"/>
              </w:rPr>
              <w:t>；专人负责项目的环境风险事故排查，配备灭火器，及时灭火，减缓火灾影响。</w:t>
            </w:r>
          </w:p>
          <w:p>
            <w:pPr>
              <w:spacing w:line="240" w:lineRule="auto"/>
              <w:ind w:firstLine="0" w:firstLineChars="0"/>
              <w:rPr>
                <w:color w:val="auto"/>
                <w:sz w:val="21"/>
                <w:szCs w:val="21"/>
              </w:rPr>
            </w:pPr>
            <w:r>
              <w:rPr>
                <w:rFonts w:hint="eastAsia"/>
                <w:color w:val="auto"/>
                <w:spacing w:val="-1"/>
                <w:sz w:val="21"/>
                <w:szCs w:val="21"/>
              </w:rPr>
              <w:t>（2）建设三级防控体系，生产车间一层设置管沟及集水池，仓库、危废间设置导流沟和集液池，设置事故废水暂存设施，避免事故废水肆意外排，污染周围的水环境。</w:t>
            </w:r>
            <w:r>
              <w:rPr>
                <w:color w:val="auto"/>
                <w:spacing w:val="-1"/>
                <w:sz w:val="21"/>
                <w:szCs w:val="21"/>
              </w:rPr>
              <w:t>详见本章6.6.3小节</w:t>
            </w:r>
            <w:r>
              <w:rPr>
                <w:rFonts w:hint="eastAsia"/>
                <w:color w:val="auto"/>
                <w:spacing w:val="-1"/>
                <w:sz w:val="21"/>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56" w:hRule="atLeast"/>
        </w:trPr>
        <w:tc>
          <w:tcPr>
            <w:tcW w:w="5000" w:type="pct"/>
            <w:gridSpan w:val="2"/>
            <w:tcBorders>
              <w:tl2br w:val="nil"/>
              <w:tr2bl w:val="nil"/>
            </w:tcBorders>
            <w:vAlign w:val="center"/>
          </w:tcPr>
          <w:p>
            <w:pPr>
              <w:spacing w:line="240" w:lineRule="auto"/>
              <w:ind w:firstLine="0" w:firstLineChars="0"/>
              <w:rPr>
                <w:color w:val="auto"/>
                <w:spacing w:val="-1"/>
                <w:sz w:val="21"/>
                <w:szCs w:val="21"/>
              </w:rPr>
            </w:pPr>
            <w:r>
              <w:rPr>
                <w:color w:val="auto"/>
                <w:spacing w:val="-1"/>
                <w:sz w:val="21"/>
                <w:szCs w:val="21"/>
              </w:rPr>
              <w:t>填报说明：</w:t>
            </w:r>
          </w:p>
          <w:p>
            <w:pPr>
              <w:spacing w:line="240" w:lineRule="auto"/>
              <w:ind w:firstLine="416"/>
              <w:rPr>
                <w:color w:val="auto"/>
                <w:spacing w:val="-1"/>
                <w:sz w:val="21"/>
                <w:szCs w:val="21"/>
                <w:highlight w:val="yellow"/>
              </w:rPr>
            </w:pPr>
            <w:r>
              <w:rPr>
                <w:color w:val="auto"/>
                <w:spacing w:val="-1"/>
                <w:sz w:val="21"/>
                <w:szCs w:val="21"/>
              </w:rPr>
              <w:t>建设内容：本项目投资</w:t>
            </w:r>
            <w:r>
              <w:rPr>
                <w:rFonts w:hint="eastAsia"/>
                <w:color w:val="auto"/>
                <w:spacing w:val="-1"/>
                <w:sz w:val="21"/>
                <w:szCs w:val="21"/>
              </w:rPr>
              <w:t>1.0</w:t>
            </w:r>
            <w:r>
              <w:rPr>
                <w:color w:val="auto"/>
                <w:spacing w:val="-1"/>
                <w:sz w:val="21"/>
                <w:szCs w:val="21"/>
              </w:rPr>
              <w:t>亿元，其中固定资产投资</w:t>
            </w:r>
            <w:r>
              <w:rPr>
                <w:rFonts w:hint="eastAsia"/>
                <w:color w:val="auto"/>
                <w:spacing w:val="-1"/>
                <w:sz w:val="21"/>
                <w:szCs w:val="21"/>
              </w:rPr>
              <w:t>0.8</w:t>
            </w:r>
            <w:r>
              <w:rPr>
                <w:color w:val="auto"/>
                <w:spacing w:val="-1"/>
                <w:sz w:val="21"/>
                <w:szCs w:val="21"/>
              </w:rPr>
              <w:t>亿元，流动资金0.2亿元，占地</w:t>
            </w:r>
            <w:r>
              <w:rPr>
                <w:rStyle w:val="53"/>
                <w:rFonts w:hint="eastAsia"/>
                <w:color w:val="auto"/>
                <w:sz w:val="21"/>
                <w:szCs w:val="21"/>
              </w:rPr>
              <w:t>13443.00</w:t>
            </w:r>
            <w:r>
              <w:rPr>
                <w:color w:val="auto"/>
                <w:sz w:val="21"/>
                <w:szCs w:val="21"/>
              </w:rPr>
              <w:t>m</w:t>
            </w:r>
            <w:r>
              <w:rPr>
                <w:color w:val="auto"/>
                <w:sz w:val="21"/>
                <w:szCs w:val="21"/>
                <w:vertAlign w:val="superscript"/>
              </w:rPr>
              <w:t>2</w:t>
            </w:r>
            <w:r>
              <w:rPr>
                <w:color w:val="auto"/>
                <w:spacing w:val="-1"/>
                <w:sz w:val="21"/>
                <w:szCs w:val="21"/>
              </w:rPr>
              <w:t>，在</w:t>
            </w:r>
            <w:r>
              <w:rPr>
                <w:rFonts w:hint="eastAsia"/>
                <w:color w:val="auto"/>
                <w:spacing w:val="-1"/>
                <w:sz w:val="21"/>
                <w:szCs w:val="21"/>
              </w:rPr>
              <w:t>淄博科技工业园</w:t>
            </w:r>
            <w:r>
              <w:rPr>
                <w:color w:val="auto"/>
                <w:spacing w:val="-1"/>
                <w:sz w:val="21"/>
                <w:szCs w:val="21"/>
              </w:rPr>
              <w:t>建设</w:t>
            </w:r>
            <w:r>
              <w:rPr>
                <w:rFonts w:hint="eastAsia"/>
                <w:color w:val="auto"/>
                <w:spacing w:val="-1"/>
                <w:sz w:val="21"/>
                <w:szCs w:val="21"/>
              </w:rPr>
              <w:t>年产1200吨丙交酯和1000吨聚乳酸新材料示范线项目，主要建设</w:t>
            </w:r>
            <w:r>
              <w:rPr>
                <w:color w:val="auto"/>
                <w:spacing w:val="-1"/>
                <w:sz w:val="21"/>
                <w:szCs w:val="21"/>
              </w:rPr>
              <w:t>实验室、</w:t>
            </w:r>
            <w:r>
              <w:rPr>
                <w:rFonts w:hint="eastAsia"/>
                <w:color w:val="auto"/>
                <w:spacing w:val="-1"/>
                <w:sz w:val="21"/>
                <w:szCs w:val="21"/>
              </w:rPr>
              <w:t>生产车间</w:t>
            </w:r>
            <w:r>
              <w:rPr>
                <w:color w:val="auto"/>
                <w:spacing w:val="-1"/>
                <w:sz w:val="21"/>
                <w:szCs w:val="21"/>
              </w:rPr>
              <w:t>、</w:t>
            </w:r>
            <w:r>
              <w:rPr>
                <w:rFonts w:hint="eastAsia"/>
                <w:color w:val="auto"/>
                <w:spacing w:val="-1"/>
                <w:sz w:val="21"/>
                <w:szCs w:val="21"/>
              </w:rPr>
              <w:t>仓库</w:t>
            </w:r>
            <w:r>
              <w:rPr>
                <w:color w:val="auto"/>
                <w:spacing w:val="-1"/>
                <w:sz w:val="21"/>
                <w:szCs w:val="21"/>
              </w:rPr>
              <w:t>、公用辅助工程等。</w:t>
            </w:r>
            <w:r>
              <w:rPr>
                <w:rFonts w:hint="eastAsia"/>
                <w:color w:val="auto"/>
                <w:spacing w:val="-1"/>
                <w:sz w:val="21"/>
                <w:szCs w:val="21"/>
              </w:rPr>
              <w:t>形成年产</w:t>
            </w:r>
            <w:r>
              <w:rPr>
                <w:rFonts w:hint="eastAsia"/>
                <w:color w:val="auto"/>
                <w:spacing w:val="-1"/>
                <w:sz w:val="21"/>
                <w:szCs w:val="21"/>
                <w:lang w:val="en-US" w:eastAsia="zh-CN"/>
              </w:rPr>
              <w:t>丙交酯1200吨及聚乳酸1000吨的</w:t>
            </w:r>
            <w:r>
              <w:rPr>
                <w:rFonts w:hint="eastAsia"/>
                <w:color w:val="auto"/>
                <w:spacing w:val="-1"/>
                <w:sz w:val="21"/>
                <w:szCs w:val="21"/>
              </w:rPr>
              <w:t>生产能力。</w:t>
            </w:r>
          </w:p>
          <w:p>
            <w:pPr>
              <w:spacing w:line="240" w:lineRule="auto"/>
              <w:ind w:firstLine="416"/>
              <w:rPr>
                <w:color w:val="auto"/>
                <w:spacing w:val="-1"/>
                <w:sz w:val="21"/>
                <w:szCs w:val="21"/>
              </w:rPr>
            </w:pPr>
            <w:r>
              <w:rPr>
                <w:color w:val="auto"/>
                <w:spacing w:val="-1"/>
                <w:sz w:val="21"/>
                <w:szCs w:val="21"/>
              </w:rPr>
              <w:t>建设项目周围主要环境敏感目标分布情况详见</w:t>
            </w:r>
            <w:r>
              <w:rPr>
                <w:rFonts w:hint="eastAsia"/>
                <w:color w:val="auto"/>
                <w:spacing w:val="-1"/>
                <w:sz w:val="21"/>
                <w:szCs w:val="21"/>
              </w:rPr>
              <w:t>1.6</w:t>
            </w:r>
            <w:r>
              <w:rPr>
                <w:color w:val="auto"/>
                <w:spacing w:val="-1"/>
                <w:sz w:val="21"/>
                <w:szCs w:val="21"/>
              </w:rPr>
              <w:t>章节。</w:t>
            </w:r>
          </w:p>
          <w:p>
            <w:pPr>
              <w:spacing w:line="240" w:lineRule="auto"/>
              <w:ind w:firstLine="0" w:firstLineChars="0"/>
              <w:rPr>
                <w:color w:val="auto"/>
                <w:spacing w:val="-1"/>
                <w:sz w:val="21"/>
                <w:szCs w:val="21"/>
              </w:rPr>
            </w:pPr>
            <w:r>
              <w:rPr>
                <w:color w:val="auto"/>
                <w:spacing w:val="-1"/>
                <w:sz w:val="21"/>
                <w:szCs w:val="21"/>
              </w:rPr>
              <w:t>分析结论：</w:t>
            </w:r>
          </w:p>
          <w:p>
            <w:pPr>
              <w:spacing w:line="240" w:lineRule="auto"/>
              <w:ind w:firstLine="416"/>
              <w:rPr>
                <w:color w:val="auto"/>
                <w:sz w:val="21"/>
                <w:szCs w:val="21"/>
              </w:rPr>
            </w:pPr>
            <w:r>
              <w:rPr>
                <w:color w:val="auto"/>
                <w:spacing w:val="-1"/>
                <w:sz w:val="21"/>
                <w:szCs w:val="21"/>
              </w:rPr>
              <w:t>通过采取有效地防范措施，项目在建成后将能有效的减少火灾、中毒等事故的发生，一旦发生事故，依靠安全防护设施和事故应急措施也能及时控制事故，防止事故的蔓延。处理工作应于高处或上风处进行；隔离现场，保持现场通风；禁止触摸泄漏物；喷水减少泄漏物挥发。大量泄漏：围堤处理，紧急启动应急预案，并报告环保部门。对大量泄漏发生区域，设置相应的围堰，妥善处理泄漏事故。因此，只要严格遵守各项安全操作规程和制度，加强安全管理，拟建项目完工后，其环境风险影响是可控的</w:t>
            </w:r>
            <w:r>
              <w:rPr>
                <w:rFonts w:hint="eastAsia"/>
                <w:color w:val="auto"/>
                <w:spacing w:val="-1"/>
                <w:sz w:val="21"/>
                <w:szCs w:val="21"/>
              </w:rPr>
              <w:t>。</w:t>
            </w:r>
          </w:p>
        </w:tc>
      </w:tr>
    </w:tbl>
    <w:p>
      <w:pPr>
        <w:pStyle w:val="2"/>
        <w:spacing w:after="0"/>
        <w:ind w:firstLine="480"/>
        <w:rPr>
          <w:color w:val="auto"/>
        </w:rPr>
      </w:pPr>
    </w:p>
    <w:p>
      <w:pPr>
        <w:pStyle w:val="2"/>
        <w:spacing w:after="0"/>
        <w:ind w:firstLine="700" w:firstLineChars="0"/>
        <w:rPr>
          <w:color w:val="auto"/>
        </w:rPr>
      </w:pPr>
    </w:p>
    <w:p>
      <w:pPr>
        <w:ind w:firstLine="480"/>
        <w:rPr>
          <w:color w:val="auto"/>
        </w:rPr>
        <w:sectPr>
          <w:pgSz w:w="11906" w:h="16838"/>
          <w:pgMar w:top="1417" w:right="1417" w:bottom="1446" w:left="1417" w:header="851" w:footer="992" w:gutter="0"/>
          <w:pgBorders>
            <w:top w:val="none" w:sz="0" w:space="0"/>
            <w:left w:val="none" w:sz="0" w:space="0"/>
            <w:bottom w:val="none" w:sz="0" w:space="0"/>
            <w:right w:val="none" w:sz="0" w:space="0"/>
          </w:pgBorders>
          <w:cols w:space="425" w:num="1"/>
          <w:docGrid w:type="lines" w:linePitch="312" w:charSpace="0"/>
        </w:sectPr>
      </w:pPr>
    </w:p>
    <w:p>
      <w:pPr>
        <w:pStyle w:val="7"/>
        <w:spacing w:before="0" w:beforeLines="0" w:after="0" w:afterLines="0"/>
        <w:rPr>
          <w:rFonts w:cs="Times New Roman"/>
          <w:color w:val="auto"/>
          <w:lang w:val="en-US"/>
        </w:rPr>
      </w:pPr>
      <w:bookmarkStart w:id="366" w:name="_Toc22265"/>
      <w:r>
        <w:rPr>
          <w:rFonts w:hint="eastAsia" w:cs="Times New Roman"/>
          <w:color w:val="auto"/>
          <w:lang w:val="en-US"/>
        </w:rPr>
        <w:t>7 施工期环境影响分析</w:t>
      </w:r>
      <w:bookmarkEnd w:id="366"/>
    </w:p>
    <w:p>
      <w:pPr>
        <w:ind w:firstLine="480"/>
        <w:rPr>
          <w:color w:val="auto"/>
        </w:rPr>
      </w:pPr>
      <w:r>
        <w:rPr>
          <w:color w:val="auto"/>
        </w:rPr>
        <w:t>本工程施工期为12个月。主要施工内容包括厂区地基平整，主厂房等建筑物与构筑物的建设，</w:t>
      </w:r>
      <w:r>
        <w:rPr>
          <w:rFonts w:hint="eastAsia"/>
          <w:color w:val="auto"/>
        </w:rPr>
        <w:t>生产</w:t>
      </w:r>
      <w:r>
        <w:rPr>
          <w:color w:val="auto"/>
        </w:rPr>
        <w:t>设备的安装等，在施工期间各项施工活动对周围环境的影响方面主要有：</w:t>
      </w:r>
      <w:r>
        <w:rPr>
          <w:rFonts w:hint="eastAsia"/>
          <w:color w:val="auto"/>
        </w:rPr>
        <w:t>废水、扬尘废气、噪声、固体废物</w:t>
      </w:r>
      <w:r>
        <w:rPr>
          <w:color w:val="auto"/>
        </w:rPr>
        <w:t>等。</w:t>
      </w:r>
    </w:p>
    <w:p>
      <w:pPr>
        <w:pStyle w:val="8"/>
        <w:spacing w:before="0" w:beforeLines="0" w:after="0" w:afterLines="0"/>
        <w:rPr>
          <w:color w:val="auto"/>
        </w:rPr>
      </w:pPr>
      <w:bookmarkStart w:id="367" w:name="_Toc8077"/>
      <w:bookmarkStart w:id="368" w:name="_Toc22797"/>
      <w:bookmarkStart w:id="369" w:name="_Toc7771"/>
      <w:bookmarkStart w:id="370" w:name="_Toc31884"/>
      <w:bookmarkStart w:id="371" w:name="_Toc1782"/>
      <w:bookmarkStart w:id="372" w:name="_Toc18064"/>
      <w:bookmarkStart w:id="373" w:name="_Toc28016"/>
      <w:r>
        <w:rPr>
          <w:rFonts w:hint="eastAsia"/>
          <w:color w:val="auto"/>
        </w:rPr>
        <w:t>7.1施工期环境影响因素与控制措施</w:t>
      </w:r>
      <w:bookmarkEnd w:id="367"/>
      <w:bookmarkEnd w:id="368"/>
      <w:bookmarkEnd w:id="369"/>
      <w:bookmarkEnd w:id="370"/>
      <w:bookmarkEnd w:id="371"/>
      <w:bookmarkEnd w:id="372"/>
      <w:bookmarkEnd w:id="373"/>
    </w:p>
    <w:p>
      <w:pPr>
        <w:pStyle w:val="9"/>
        <w:tabs>
          <w:tab w:val="left" w:pos="6685"/>
        </w:tabs>
        <w:spacing w:before="0" w:beforeLines="0" w:after="0" w:afterLines="0"/>
        <w:rPr>
          <w:color w:val="auto"/>
        </w:rPr>
      </w:pPr>
      <w:bookmarkStart w:id="374" w:name="_Toc20212"/>
      <w:r>
        <w:rPr>
          <w:rFonts w:hint="eastAsia"/>
          <w:color w:val="auto"/>
        </w:rPr>
        <w:t>7.1.1施工期影响因素</w:t>
      </w:r>
      <w:bookmarkEnd w:id="374"/>
    </w:p>
    <w:p>
      <w:pPr>
        <w:ind w:firstLine="480"/>
        <w:rPr>
          <w:color w:val="auto"/>
        </w:rPr>
      </w:pPr>
      <w:r>
        <w:rPr>
          <w:rFonts w:hint="eastAsia"/>
          <w:color w:val="auto"/>
        </w:rPr>
        <w:t>1、废水</w:t>
      </w:r>
    </w:p>
    <w:p>
      <w:pPr>
        <w:ind w:firstLine="480"/>
        <w:rPr>
          <w:color w:val="auto"/>
        </w:rPr>
      </w:pPr>
      <w:r>
        <w:rPr>
          <w:color w:val="auto"/>
        </w:rPr>
        <w:t>施工期间产生的废水主要是施工现场工人生活区排放的生活污水和施工活动中排放的各类生产废水，如搅拌机清洗水、砂石料系统冲洗水以及车辆的冲洗水等。</w:t>
      </w:r>
    </w:p>
    <w:p>
      <w:pPr>
        <w:ind w:left="480" w:leftChars="200" w:firstLine="0" w:firstLineChars="0"/>
        <w:rPr>
          <w:color w:val="auto"/>
        </w:rPr>
      </w:pPr>
      <w:r>
        <w:rPr>
          <w:rFonts w:hint="eastAsia"/>
          <w:color w:val="auto"/>
        </w:rPr>
        <w:t>2、废气</w:t>
      </w:r>
    </w:p>
    <w:p>
      <w:pPr>
        <w:ind w:firstLine="480"/>
        <w:rPr>
          <w:color w:val="auto"/>
        </w:rPr>
      </w:pPr>
      <w:r>
        <w:rPr>
          <w:color w:val="auto"/>
        </w:rPr>
        <w:t>建材运输起尘、施工场地产生的浮尘、堆土扬尘以及建筑原材料如水泥等的起尘。</w:t>
      </w:r>
    </w:p>
    <w:p>
      <w:pPr>
        <w:numPr>
          <w:ilvl w:val="0"/>
          <w:numId w:val="15"/>
        </w:numPr>
        <w:ind w:firstLine="480"/>
        <w:rPr>
          <w:color w:val="auto"/>
        </w:rPr>
      </w:pPr>
      <w:r>
        <w:rPr>
          <w:rFonts w:hint="eastAsia"/>
          <w:color w:val="auto"/>
        </w:rPr>
        <w:t>噪声</w:t>
      </w:r>
    </w:p>
    <w:p>
      <w:pPr>
        <w:ind w:firstLine="480"/>
        <w:rPr>
          <w:color w:val="auto"/>
        </w:rPr>
      </w:pPr>
      <w:r>
        <w:rPr>
          <w:color w:val="auto"/>
        </w:rPr>
        <w:t>施工场地噪声主要是施工机械噪声、物料装卸碰撞噪声及车辆运输噪声，其中施工机械噪声为主要噪声。在施工过程中，使用的施工机械有挖土机、钻孔机、推土机、打桩机、混凝土搅拌机、振捣棒、电锯、吊车、升降机、运土汽车等，这些设施使用过程中产生噪声。</w:t>
      </w:r>
    </w:p>
    <w:p>
      <w:pPr>
        <w:ind w:firstLine="480"/>
        <w:rPr>
          <w:color w:val="auto"/>
        </w:rPr>
      </w:pPr>
      <w:r>
        <w:rPr>
          <w:rFonts w:hint="eastAsia"/>
          <w:color w:val="auto"/>
        </w:rPr>
        <w:t>4、固体废物</w:t>
      </w:r>
    </w:p>
    <w:p>
      <w:pPr>
        <w:ind w:firstLine="480"/>
        <w:rPr>
          <w:color w:val="auto"/>
        </w:rPr>
      </w:pPr>
      <w:r>
        <w:rPr>
          <w:color w:val="auto"/>
        </w:rPr>
        <w:t>施工期产生的固体废物有土方施工开挖出的渣土及碎石，物料运送过程的物料损耗，包括砂石、混凝土；铺路修整阶段石料、灰渣、建材等的损耗与遗弃，以及施工人员的生活垃圾。</w:t>
      </w:r>
    </w:p>
    <w:p>
      <w:pPr>
        <w:pStyle w:val="9"/>
        <w:tabs>
          <w:tab w:val="left" w:pos="6685"/>
        </w:tabs>
        <w:spacing w:before="0" w:beforeLines="0" w:after="0" w:afterLines="0"/>
        <w:rPr>
          <w:color w:val="auto"/>
        </w:rPr>
      </w:pPr>
      <w:bookmarkStart w:id="375" w:name="_Toc28276"/>
      <w:r>
        <w:rPr>
          <w:rFonts w:hint="eastAsia"/>
          <w:color w:val="auto"/>
        </w:rPr>
        <w:t>7.1.2施工期影响控制措施</w:t>
      </w:r>
      <w:bookmarkEnd w:id="375"/>
    </w:p>
    <w:p>
      <w:pPr>
        <w:ind w:firstLine="480"/>
        <w:rPr>
          <w:color w:val="auto"/>
        </w:rPr>
      </w:pPr>
      <w:r>
        <w:rPr>
          <w:color w:val="auto"/>
        </w:rPr>
        <w:t>为减少施工期对周围环境的影响，施工期采取以下控制措施，将不利影响降到最低。</w:t>
      </w:r>
    </w:p>
    <w:p>
      <w:pPr>
        <w:ind w:firstLine="480"/>
        <w:rPr>
          <w:color w:val="auto"/>
        </w:rPr>
      </w:pPr>
      <w:r>
        <w:rPr>
          <w:rFonts w:hint="eastAsia"/>
          <w:color w:val="auto"/>
        </w:rPr>
        <w:t>1、</w:t>
      </w:r>
      <w:r>
        <w:rPr>
          <w:color w:val="auto"/>
        </w:rPr>
        <w:t>废水控制措施</w:t>
      </w:r>
    </w:p>
    <w:p>
      <w:pPr>
        <w:ind w:firstLine="480"/>
        <w:rPr>
          <w:color w:val="auto"/>
        </w:rPr>
      </w:pPr>
      <w:r>
        <w:rPr>
          <w:color w:val="auto"/>
        </w:rPr>
        <w:t>建设单位和施工单位务必重视施工废水的排放管理，杜绝废水不经处理和无组织排放，防止施工废水排放后对环境的影响。</w:t>
      </w:r>
    </w:p>
    <w:p>
      <w:pPr>
        <w:ind w:firstLine="480"/>
        <w:rPr>
          <w:color w:val="auto"/>
        </w:rPr>
      </w:pPr>
      <w:r>
        <w:rPr>
          <w:color w:val="auto"/>
        </w:rPr>
        <w:t>采取的具体措施：</w:t>
      </w:r>
    </w:p>
    <w:p>
      <w:pPr>
        <w:ind w:firstLine="480"/>
        <w:rPr>
          <w:color w:val="auto"/>
        </w:rPr>
      </w:pPr>
      <w:r>
        <w:rPr>
          <w:color w:val="auto"/>
        </w:rPr>
        <w:t>①修建施工排水沟，确保施工排水有序排放。</w:t>
      </w:r>
    </w:p>
    <w:p>
      <w:pPr>
        <w:ind w:firstLine="480"/>
        <w:rPr>
          <w:color w:val="auto"/>
        </w:rPr>
      </w:pPr>
      <w:r>
        <w:rPr>
          <w:color w:val="auto"/>
        </w:rPr>
        <w:t>②生产废水主要含悬浮物、硅酸盐、油类等，施工现场设废水沉淀池，用于收集各类生产废水，对建筑工地排水收集沉淀后，循环使用。设备机械清洗排水经综合处理装置处理后排放。</w:t>
      </w:r>
    </w:p>
    <w:p>
      <w:pPr>
        <w:ind w:firstLine="480"/>
        <w:rPr>
          <w:color w:val="auto"/>
        </w:rPr>
      </w:pPr>
      <w:r>
        <w:rPr>
          <w:color w:val="auto"/>
        </w:rPr>
        <w:t>③生活污水主要含SS、CODcr和动植物油类等，经化粪池简单处理后。</w:t>
      </w:r>
    </w:p>
    <w:p>
      <w:pPr>
        <w:ind w:firstLine="480"/>
        <w:rPr>
          <w:color w:val="auto"/>
        </w:rPr>
      </w:pPr>
      <w:r>
        <w:rPr>
          <w:rFonts w:hint="eastAsia"/>
          <w:color w:val="auto"/>
        </w:rPr>
        <w:t>2、</w:t>
      </w:r>
      <w:r>
        <w:rPr>
          <w:color w:val="auto"/>
        </w:rPr>
        <w:t>扬尘控制措施</w:t>
      </w:r>
    </w:p>
    <w:p>
      <w:pPr>
        <w:ind w:firstLine="480"/>
        <w:rPr>
          <w:color w:val="auto"/>
        </w:rPr>
      </w:pPr>
      <w:r>
        <w:rPr>
          <w:color w:val="auto"/>
        </w:rPr>
        <w:t>根据《山东省大气污染防治条例》</w:t>
      </w:r>
      <w:r>
        <w:rPr>
          <w:rFonts w:hint="eastAsia"/>
          <w:color w:val="auto"/>
        </w:rPr>
        <w:t>（2018年修订）、《山东省扬尘污染防治管理办法》（2012年3月）</w:t>
      </w:r>
      <w:r>
        <w:rPr>
          <w:color w:val="auto"/>
        </w:rPr>
        <w:t>，为有效防治扬尘污染，在施工期间需采取以下措施。</w:t>
      </w:r>
    </w:p>
    <w:p>
      <w:pPr>
        <w:numPr>
          <w:ilvl w:val="0"/>
          <w:numId w:val="16"/>
        </w:numPr>
        <w:ind w:firstLine="480"/>
        <w:rPr>
          <w:color w:val="auto"/>
        </w:rPr>
      </w:pPr>
      <w:r>
        <w:rPr>
          <w:color w:val="auto"/>
        </w:rPr>
        <w:t>建设单位与施工单位签订的施工承包合同，应当明确施工单位的扬尘污染防治责任。扬尘污染防治费用列入工程造价</w:t>
      </w:r>
      <w:r>
        <w:rPr>
          <w:rFonts w:hint="eastAsia"/>
          <w:color w:val="auto"/>
        </w:rPr>
        <w:t>。</w:t>
      </w:r>
    </w:p>
    <w:p>
      <w:pPr>
        <w:numPr>
          <w:ilvl w:val="0"/>
          <w:numId w:val="16"/>
        </w:numPr>
        <w:ind w:firstLine="480"/>
        <w:rPr>
          <w:color w:val="auto"/>
        </w:rPr>
      </w:pPr>
      <w:r>
        <w:rPr>
          <w:color w:val="auto"/>
        </w:rPr>
        <w:t>施工单位应当制定扬尘污染防治方案，在施工工地采取封闭、围挡、覆盖、喷淋、道路硬化、车辆冲洗与防尘、分段作业、择时施工、绿化等防尘抑尘措施</w:t>
      </w:r>
      <w:r>
        <w:rPr>
          <w:rFonts w:hint="eastAsia"/>
          <w:color w:val="auto"/>
        </w:rPr>
        <w:t>。</w:t>
      </w:r>
    </w:p>
    <w:p>
      <w:pPr>
        <w:ind w:firstLine="480"/>
        <w:rPr>
          <w:color w:val="auto"/>
        </w:rPr>
      </w:pPr>
      <w:r>
        <w:rPr>
          <w:rFonts w:hint="eastAsia"/>
          <w:color w:val="auto"/>
        </w:rPr>
        <w:t>（3）施工工地内车行道路应当采取硬化等降尘措施，裸露地面应当铺设礁渣、细石或者其他功能相当的材料，或者采取覆盖防尘布或者防尘网等措施，保持施工场所和周围环境的清洁。</w:t>
      </w:r>
    </w:p>
    <w:p>
      <w:pPr>
        <w:ind w:firstLine="480"/>
        <w:rPr>
          <w:color w:val="auto"/>
        </w:rPr>
      </w:pPr>
      <w:r>
        <w:rPr>
          <w:color w:val="auto"/>
        </w:rPr>
        <w:t>（</w:t>
      </w:r>
      <w:r>
        <w:rPr>
          <w:rFonts w:hint="eastAsia"/>
          <w:color w:val="auto"/>
        </w:rPr>
        <w:t>4</w:t>
      </w:r>
      <w:r>
        <w:rPr>
          <w:color w:val="auto"/>
        </w:rPr>
        <w:t>）生产建设活动中产生的砂石、土方、废渣等，应当进行资源化处理或者综合利用；不能进行资源化处理或者综合利用的，应当运至专门存放地，并不得向专门存放地以外的地方倾倒。</w:t>
      </w:r>
    </w:p>
    <w:p>
      <w:pPr>
        <w:ind w:firstLine="480"/>
        <w:rPr>
          <w:color w:val="auto"/>
        </w:rPr>
      </w:pPr>
      <w:r>
        <w:rPr>
          <w:color w:val="auto"/>
        </w:rPr>
        <w:t>（</w:t>
      </w:r>
      <w:r>
        <w:rPr>
          <w:rFonts w:hint="eastAsia"/>
          <w:color w:val="auto"/>
        </w:rPr>
        <w:t>5</w:t>
      </w:r>
      <w:r>
        <w:rPr>
          <w:color w:val="auto"/>
        </w:rPr>
        <w:t>）建筑垃圾消纳场应当实施分区作业，采取围挡、覆盖、喷淋、道路硬化或者其他抑尘措施，并设置车辆清洗设施。</w:t>
      </w:r>
    </w:p>
    <w:p>
      <w:pPr>
        <w:ind w:firstLine="480"/>
        <w:rPr>
          <w:color w:val="auto"/>
        </w:rPr>
      </w:pPr>
      <w:r>
        <w:rPr>
          <w:color w:val="auto"/>
        </w:rPr>
        <w:t>（</w:t>
      </w:r>
      <w:r>
        <w:rPr>
          <w:rFonts w:hint="eastAsia"/>
          <w:color w:val="auto"/>
        </w:rPr>
        <w:t>6</w:t>
      </w:r>
      <w:r>
        <w:rPr>
          <w:color w:val="auto"/>
        </w:rPr>
        <w:t>）</w:t>
      </w:r>
      <w:r>
        <w:rPr>
          <w:rFonts w:hint="eastAsia"/>
          <w:color w:val="auto"/>
        </w:rPr>
        <w:t>运输砂石、渣土、土方、垃圾等物料的车辆应当采取蓬盖、密闭等措施，防止在运输过程中因物料遗撒或者泄漏而产生扬尘污染</w:t>
      </w:r>
      <w:r>
        <w:rPr>
          <w:color w:val="auto"/>
        </w:rPr>
        <w:t>。</w:t>
      </w:r>
    </w:p>
    <w:p>
      <w:pPr>
        <w:ind w:firstLine="480"/>
        <w:rPr>
          <w:color w:val="auto"/>
        </w:rPr>
      </w:pPr>
      <w:r>
        <w:rPr>
          <w:rFonts w:hint="eastAsia"/>
          <w:color w:val="auto"/>
        </w:rPr>
        <w:t>（7）露天物料堆存应当：堆场的场坪、路面应当进行硬化处理，并保持路面整洁。堆场周边应当配备高于堆存物料的围挡、防风抑尘网等设施；</w:t>
      </w:r>
    </w:p>
    <w:p>
      <w:pPr>
        <w:ind w:firstLine="480"/>
        <w:rPr>
          <w:color w:val="auto"/>
        </w:rPr>
      </w:pPr>
      <w:r>
        <w:rPr>
          <w:rFonts w:hint="eastAsia"/>
          <w:color w:val="auto"/>
        </w:rPr>
        <w:t>3、</w:t>
      </w:r>
      <w:r>
        <w:rPr>
          <w:color w:val="auto"/>
        </w:rPr>
        <w:t>噪声控制措施</w:t>
      </w:r>
    </w:p>
    <w:p>
      <w:pPr>
        <w:ind w:firstLine="480"/>
        <w:rPr>
          <w:color w:val="auto"/>
        </w:rPr>
      </w:pPr>
      <w:r>
        <w:rPr>
          <w:color w:val="auto"/>
        </w:rPr>
        <w:t>施工期间噪声控制措施具体如下：</w:t>
      </w:r>
    </w:p>
    <w:p>
      <w:pPr>
        <w:ind w:firstLine="480"/>
        <w:rPr>
          <w:color w:val="auto"/>
        </w:rPr>
      </w:pPr>
      <w:r>
        <w:rPr>
          <w:color w:val="auto"/>
        </w:rPr>
        <w:t>①合理安排施工时间：制订施工计划时，避免大量的高噪声设备同时施工，避开周围环境对噪声的敏感时间，避免夜间施工。</w:t>
      </w:r>
    </w:p>
    <w:p>
      <w:pPr>
        <w:ind w:firstLine="480"/>
        <w:rPr>
          <w:color w:val="auto"/>
        </w:rPr>
      </w:pPr>
      <w:r>
        <w:rPr>
          <w:color w:val="auto"/>
        </w:rPr>
        <w:t>②合理布局施工场地</w:t>
      </w:r>
    </w:p>
    <w:p>
      <w:pPr>
        <w:ind w:firstLine="480"/>
        <w:rPr>
          <w:color w:val="auto"/>
        </w:rPr>
      </w:pPr>
      <w:r>
        <w:rPr>
          <w:color w:val="auto"/>
        </w:rPr>
        <w:t>③降低设备声级：选用低噪声的施工机械，通过排气管消声器和隔离发动机振动部件的方法降低噪声，对动力机械设备进行定期的维修、养护，减少易松动部件的振动所造成的噪声，闲置不用的设备立即关闭，运输车辆进入现场减速，并减少鸣笛。</w:t>
      </w:r>
    </w:p>
    <w:p>
      <w:pPr>
        <w:ind w:firstLine="480"/>
        <w:rPr>
          <w:color w:val="auto"/>
        </w:rPr>
      </w:pPr>
      <w:r>
        <w:rPr>
          <w:color w:val="auto"/>
        </w:rPr>
        <w:t>④降低人为噪声：根据当地环保部门制定的噪声防治条例的要求施工，避免影响周围居民的生活。运输车辆在经过居民区时实施禁鸣和限速等措施。</w:t>
      </w:r>
    </w:p>
    <w:p>
      <w:pPr>
        <w:ind w:firstLine="480"/>
        <w:rPr>
          <w:color w:val="auto"/>
        </w:rPr>
      </w:pPr>
      <w:r>
        <w:rPr>
          <w:color w:val="auto"/>
        </w:rPr>
        <w:t>工程设计时，结合实际情况，对于以上各种减噪、降噪措施进行充分的考虑，以满足《建筑施工场界环境噪声排放标准》（GB12523-2011）中对不同施工阶段的要求，以减少对周围声环境的影响。</w:t>
      </w:r>
    </w:p>
    <w:p>
      <w:pPr>
        <w:ind w:firstLine="480"/>
        <w:rPr>
          <w:color w:val="auto"/>
        </w:rPr>
      </w:pPr>
      <w:r>
        <w:rPr>
          <w:rFonts w:hint="eastAsia"/>
          <w:color w:val="auto"/>
        </w:rPr>
        <w:t>4</w:t>
      </w:r>
      <w:r>
        <w:rPr>
          <w:color w:val="auto"/>
        </w:rPr>
        <w:t>、固体废物控制措施</w:t>
      </w:r>
    </w:p>
    <w:p>
      <w:pPr>
        <w:ind w:firstLine="480"/>
        <w:rPr>
          <w:color w:val="auto"/>
        </w:rPr>
      </w:pPr>
      <w:r>
        <w:rPr>
          <w:color w:val="auto"/>
        </w:rPr>
        <w:t>①施工过程中产生的建筑垃圾严格实行定点堆放，并及时清运处理。</w:t>
      </w:r>
    </w:p>
    <w:p>
      <w:pPr>
        <w:ind w:firstLine="480"/>
        <w:rPr>
          <w:color w:val="auto"/>
        </w:rPr>
      </w:pPr>
      <w:r>
        <w:rPr>
          <w:color w:val="auto"/>
        </w:rPr>
        <w:t>②生活垃圾分类回收，做到日产日清，严禁随地丢弃。</w:t>
      </w:r>
    </w:p>
    <w:p>
      <w:pPr>
        <w:ind w:firstLine="480"/>
        <w:rPr>
          <w:color w:val="auto"/>
        </w:rPr>
      </w:pPr>
      <w:r>
        <w:rPr>
          <w:color w:val="auto"/>
        </w:rPr>
        <w:t>③对施工开挖的土壤有计划的分层回填，并尽量将表土回填表层。对于因取土破坏的植被，待施工完成后尽快按厂区绿化方案恢复。</w:t>
      </w:r>
    </w:p>
    <w:p>
      <w:pPr>
        <w:pStyle w:val="8"/>
        <w:spacing w:before="0" w:beforeLines="0" w:after="0" w:afterLines="0"/>
        <w:rPr>
          <w:color w:val="auto"/>
        </w:rPr>
      </w:pPr>
      <w:bookmarkStart w:id="376" w:name="_Toc31802"/>
      <w:bookmarkStart w:id="377" w:name="_Toc22239"/>
      <w:bookmarkStart w:id="378" w:name="_Toc23768"/>
      <w:bookmarkStart w:id="379" w:name="_Toc16423"/>
      <w:bookmarkStart w:id="380" w:name="_Toc5844"/>
      <w:bookmarkStart w:id="381" w:name="_Toc22499"/>
      <w:bookmarkStart w:id="382" w:name="_Toc5144"/>
      <w:r>
        <w:rPr>
          <w:rFonts w:hint="eastAsia"/>
          <w:color w:val="auto"/>
        </w:rPr>
        <w:t>7.2施工期环境影响分析</w:t>
      </w:r>
      <w:bookmarkEnd w:id="376"/>
      <w:bookmarkEnd w:id="377"/>
      <w:bookmarkEnd w:id="378"/>
      <w:bookmarkEnd w:id="379"/>
      <w:bookmarkEnd w:id="380"/>
      <w:bookmarkEnd w:id="381"/>
      <w:bookmarkEnd w:id="382"/>
    </w:p>
    <w:p>
      <w:pPr>
        <w:pStyle w:val="9"/>
        <w:tabs>
          <w:tab w:val="left" w:pos="6685"/>
        </w:tabs>
        <w:spacing w:before="0" w:beforeLines="0" w:after="0" w:afterLines="0"/>
        <w:rPr>
          <w:color w:val="auto"/>
        </w:rPr>
      </w:pPr>
      <w:bookmarkStart w:id="383" w:name="_Toc4224"/>
      <w:r>
        <w:rPr>
          <w:rFonts w:hint="eastAsia"/>
          <w:color w:val="auto"/>
        </w:rPr>
        <w:t>7.2.1施工期环境空气影响分析</w:t>
      </w:r>
      <w:bookmarkEnd w:id="383"/>
    </w:p>
    <w:p>
      <w:pPr>
        <w:ind w:firstLine="480"/>
        <w:rPr>
          <w:color w:val="auto"/>
        </w:rPr>
      </w:pPr>
      <w:r>
        <w:rPr>
          <w:color w:val="auto"/>
        </w:rPr>
        <w:t>施工期间挖掘地基、土地平整等将导致泥土裸露、原材物料的大量堆存、施工区内车辆运输引起的道路扬尘等均会造成地面扬尘污染周围大气环境。其中道路扬尘的起尘量与运输车辆的车速、载重量、轮胎与地面的接触面积、路面条件、空气的相对湿度等因素都有关系；挖掘地基、土地平整、堆放的土石方与原材物料等扬尘量的大小因施工现场工作条件、施工阶段、管理水平、机械化程度及施工季节、土质和天气条件不同而差异较大。</w:t>
      </w:r>
    </w:p>
    <w:p>
      <w:pPr>
        <w:ind w:firstLine="480"/>
        <w:rPr>
          <w:color w:val="auto"/>
        </w:rPr>
      </w:pPr>
      <w:r>
        <w:rPr>
          <w:color w:val="auto"/>
        </w:rPr>
        <w:t>扬尘污染主要影响局部的空气环境，特别是附近的居民和过往行人的呼吸健康，也影响附近的景观，属短期影响，其影响随施工结束而消失。运输扬尘一般在尘源道路两侧30m范围内，扬尘因路而异，比如土路就比水泥路产生的扬尘污染严重，TSP高2～3倍。厂区内道路、施工区与厂区附近道路均为水泥路面，路况较好，因此施工运输车辆引起的路面扬尘将大大减少。</w:t>
      </w:r>
    </w:p>
    <w:p>
      <w:pPr>
        <w:ind w:firstLine="480"/>
        <w:rPr>
          <w:color w:val="auto"/>
        </w:rPr>
      </w:pPr>
      <w:r>
        <w:rPr>
          <w:color w:val="auto"/>
        </w:rPr>
        <w:t>施工期对大气环境产生影响的次要污染源是施工机械和运输车辆燃烧柴油</w:t>
      </w:r>
    </w:p>
    <w:p>
      <w:pPr>
        <w:ind w:firstLine="480"/>
        <w:rPr>
          <w:color w:val="auto"/>
        </w:rPr>
      </w:pPr>
      <w:r>
        <w:rPr>
          <w:color w:val="auto"/>
        </w:rPr>
        <w:t>和汽油排放的废气。由于施工车辆的尾气排放满足有关尾气排放要求，并且施工场地较小，所以废气污染是小范围、短暂的，不会对周围环境产生影响。</w:t>
      </w:r>
    </w:p>
    <w:p>
      <w:pPr>
        <w:pStyle w:val="9"/>
        <w:tabs>
          <w:tab w:val="left" w:pos="6685"/>
        </w:tabs>
        <w:spacing w:before="0" w:beforeLines="0" w:after="0" w:afterLines="0"/>
        <w:rPr>
          <w:color w:val="auto"/>
        </w:rPr>
      </w:pPr>
      <w:bookmarkStart w:id="384" w:name="_Toc26273"/>
      <w:r>
        <w:rPr>
          <w:rFonts w:hint="eastAsia"/>
          <w:color w:val="auto"/>
        </w:rPr>
        <w:t>7.2.2施工期水环境影响分析</w:t>
      </w:r>
      <w:bookmarkEnd w:id="384"/>
    </w:p>
    <w:p>
      <w:pPr>
        <w:ind w:firstLine="480"/>
        <w:rPr>
          <w:color w:val="auto"/>
        </w:rPr>
      </w:pPr>
      <w:r>
        <w:rPr>
          <w:color w:val="auto"/>
        </w:rPr>
        <w:t>施工期产生的废水包括施工人员的生活污水和施工本身产生的废水。施工废水主要包括土石方阶段降水井排水、结构阶段混凝土养护排水以及各种车辆冲洗水。工程场地设临时卫生厕所和化粪池，</w:t>
      </w:r>
      <w:r>
        <w:rPr>
          <w:rFonts w:hint="eastAsia"/>
          <w:color w:val="auto"/>
        </w:rPr>
        <w:t>生活污水经化粪池处理</w:t>
      </w:r>
      <w:r>
        <w:rPr>
          <w:color w:val="auto"/>
        </w:rPr>
        <w:t>；生产废水经废水沉淀池对各类生产废水收集沉淀后作冲洗复用水，由于废水产生量小，水质简单，且形成不了地表径流，所以对水环境的影响很小。</w:t>
      </w:r>
    </w:p>
    <w:p>
      <w:pPr>
        <w:pStyle w:val="9"/>
        <w:tabs>
          <w:tab w:val="left" w:pos="6685"/>
        </w:tabs>
        <w:spacing w:before="0" w:beforeLines="0" w:after="0" w:afterLines="0"/>
        <w:rPr>
          <w:color w:val="auto"/>
        </w:rPr>
      </w:pPr>
      <w:bookmarkStart w:id="385" w:name="_Toc2936"/>
      <w:r>
        <w:rPr>
          <w:rFonts w:hint="eastAsia"/>
          <w:color w:val="auto"/>
        </w:rPr>
        <w:t>7.2.3施工期噪声环境影响分析</w:t>
      </w:r>
      <w:bookmarkEnd w:id="385"/>
    </w:p>
    <w:p>
      <w:pPr>
        <w:ind w:firstLine="480"/>
        <w:rPr>
          <w:color w:val="auto"/>
        </w:rPr>
      </w:pPr>
      <w:r>
        <w:rPr>
          <w:color w:val="auto"/>
        </w:rPr>
        <w:t>施工期的主要噪声源是施工机械作业时产生的噪声以及建筑材料运输车辆产生的噪声。</w:t>
      </w:r>
    </w:p>
    <w:p>
      <w:pPr>
        <w:ind w:firstLine="480"/>
        <w:rPr>
          <w:color w:val="auto"/>
        </w:rPr>
      </w:pPr>
      <w:r>
        <w:rPr>
          <w:color w:val="auto"/>
        </w:rPr>
        <w:t>（1）噪声源强</w:t>
      </w:r>
    </w:p>
    <w:p>
      <w:pPr>
        <w:ind w:firstLine="480"/>
        <w:rPr>
          <w:color w:val="auto"/>
        </w:rPr>
      </w:pPr>
      <w:r>
        <w:rPr>
          <w:color w:val="auto"/>
        </w:rPr>
        <w:t>建筑施工噪声为间断性噪声，声级值较高，声级源强见表</w:t>
      </w:r>
      <w:r>
        <w:rPr>
          <w:rFonts w:hint="eastAsia"/>
          <w:color w:val="auto"/>
        </w:rPr>
        <w:t>7.2-1</w:t>
      </w:r>
      <w:r>
        <w:rPr>
          <w:color w:val="auto"/>
        </w:rPr>
        <w:t>。</w:t>
      </w:r>
    </w:p>
    <w:p>
      <w:pPr>
        <w:pStyle w:val="57"/>
        <w:rPr>
          <w:color w:val="auto"/>
        </w:rPr>
      </w:pPr>
      <w:r>
        <w:rPr>
          <w:rFonts w:hint="eastAsia"/>
          <w:color w:val="auto"/>
        </w:rPr>
        <w:t>表7.2-1  施工机械设备产生噪声声源情况</w:t>
      </w:r>
    </w:p>
    <w:tbl>
      <w:tblPr>
        <w:tblStyle w:val="2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32"/>
        <w:gridCol w:w="2132"/>
        <w:gridCol w:w="2132"/>
        <w:gridCol w:w="21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trPr>
        <w:tc>
          <w:tcPr>
            <w:tcW w:w="2132" w:type="dxa"/>
            <w:tcBorders>
              <w:tl2br w:val="nil"/>
              <w:tr2bl w:val="nil"/>
            </w:tcBorders>
            <w:vAlign w:val="center"/>
          </w:tcPr>
          <w:p>
            <w:pPr>
              <w:pStyle w:val="45"/>
              <w:rPr>
                <w:color w:val="auto"/>
              </w:rPr>
            </w:pPr>
            <w:r>
              <w:rPr>
                <w:rFonts w:hint="eastAsia"/>
                <w:color w:val="auto"/>
              </w:rPr>
              <w:t>施工阶段</w:t>
            </w:r>
          </w:p>
        </w:tc>
        <w:tc>
          <w:tcPr>
            <w:tcW w:w="2132" w:type="dxa"/>
            <w:tcBorders>
              <w:tl2br w:val="nil"/>
              <w:tr2bl w:val="nil"/>
            </w:tcBorders>
            <w:vAlign w:val="center"/>
          </w:tcPr>
          <w:p>
            <w:pPr>
              <w:pStyle w:val="45"/>
              <w:rPr>
                <w:color w:val="auto"/>
              </w:rPr>
            </w:pPr>
            <w:r>
              <w:rPr>
                <w:rFonts w:hint="eastAsia"/>
                <w:color w:val="auto"/>
              </w:rPr>
              <w:t>序号</w:t>
            </w:r>
          </w:p>
        </w:tc>
        <w:tc>
          <w:tcPr>
            <w:tcW w:w="2132" w:type="dxa"/>
            <w:tcBorders>
              <w:tl2br w:val="nil"/>
              <w:tr2bl w:val="nil"/>
            </w:tcBorders>
            <w:vAlign w:val="center"/>
          </w:tcPr>
          <w:p>
            <w:pPr>
              <w:pStyle w:val="45"/>
              <w:rPr>
                <w:color w:val="auto"/>
              </w:rPr>
            </w:pPr>
            <w:r>
              <w:rPr>
                <w:rFonts w:hint="eastAsia"/>
                <w:color w:val="auto"/>
              </w:rPr>
              <w:t>设备名称</w:t>
            </w:r>
          </w:p>
        </w:tc>
        <w:tc>
          <w:tcPr>
            <w:tcW w:w="2132" w:type="dxa"/>
            <w:tcBorders>
              <w:tl2br w:val="nil"/>
              <w:tr2bl w:val="nil"/>
            </w:tcBorders>
            <w:vAlign w:val="center"/>
          </w:tcPr>
          <w:p>
            <w:pPr>
              <w:pStyle w:val="45"/>
              <w:rPr>
                <w:color w:val="auto"/>
              </w:rPr>
            </w:pPr>
            <w:r>
              <w:rPr>
                <w:color w:val="auto"/>
              </w:rPr>
              <w:t>噪声级dB(A)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132" w:type="dxa"/>
            <w:vMerge w:val="restart"/>
            <w:tcBorders>
              <w:tl2br w:val="nil"/>
              <w:tr2bl w:val="nil"/>
            </w:tcBorders>
            <w:vAlign w:val="center"/>
          </w:tcPr>
          <w:p>
            <w:pPr>
              <w:pStyle w:val="45"/>
              <w:rPr>
                <w:color w:val="auto"/>
              </w:rPr>
            </w:pPr>
            <w:r>
              <w:rPr>
                <w:rFonts w:hint="eastAsia"/>
                <w:color w:val="auto"/>
              </w:rPr>
              <w:t>土方</w:t>
            </w:r>
          </w:p>
        </w:tc>
        <w:tc>
          <w:tcPr>
            <w:tcW w:w="2132" w:type="dxa"/>
            <w:tcBorders>
              <w:tl2br w:val="nil"/>
              <w:tr2bl w:val="nil"/>
            </w:tcBorders>
            <w:vAlign w:val="center"/>
          </w:tcPr>
          <w:p>
            <w:pPr>
              <w:pStyle w:val="45"/>
              <w:rPr>
                <w:color w:val="auto"/>
              </w:rPr>
            </w:pPr>
            <w:r>
              <w:rPr>
                <w:rFonts w:hint="eastAsia"/>
                <w:color w:val="auto"/>
              </w:rPr>
              <w:t>1</w:t>
            </w:r>
          </w:p>
        </w:tc>
        <w:tc>
          <w:tcPr>
            <w:tcW w:w="2132" w:type="dxa"/>
            <w:tcBorders>
              <w:tl2br w:val="nil"/>
              <w:tr2bl w:val="nil"/>
            </w:tcBorders>
            <w:vAlign w:val="center"/>
          </w:tcPr>
          <w:p>
            <w:pPr>
              <w:pStyle w:val="45"/>
              <w:rPr>
                <w:color w:val="auto"/>
              </w:rPr>
            </w:pPr>
            <w:r>
              <w:rPr>
                <w:color w:val="auto"/>
              </w:rPr>
              <w:t>挖掘机</w:t>
            </w:r>
          </w:p>
        </w:tc>
        <w:tc>
          <w:tcPr>
            <w:tcW w:w="2132" w:type="dxa"/>
            <w:tcBorders>
              <w:tl2br w:val="nil"/>
              <w:tr2bl w:val="nil"/>
            </w:tcBorders>
            <w:vAlign w:val="center"/>
          </w:tcPr>
          <w:p>
            <w:pPr>
              <w:pStyle w:val="45"/>
              <w:rPr>
                <w:color w:val="auto"/>
              </w:rPr>
            </w:pPr>
            <w:r>
              <w:rPr>
                <w:rFonts w:hint="eastAsia"/>
                <w:color w:val="auto"/>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132" w:type="dxa"/>
            <w:vMerge w:val="continue"/>
            <w:tcBorders>
              <w:tl2br w:val="nil"/>
              <w:tr2bl w:val="nil"/>
            </w:tcBorders>
            <w:vAlign w:val="center"/>
          </w:tcPr>
          <w:p>
            <w:pPr>
              <w:pStyle w:val="45"/>
              <w:rPr>
                <w:color w:val="auto"/>
              </w:rPr>
            </w:pPr>
          </w:p>
        </w:tc>
        <w:tc>
          <w:tcPr>
            <w:tcW w:w="2132" w:type="dxa"/>
            <w:tcBorders>
              <w:tl2br w:val="nil"/>
              <w:tr2bl w:val="nil"/>
            </w:tcBorders>
            <w:vAlign w:val="center"/>
          </w:tcPr>
          <w:p>
            <w:pPr>
              <w:pStyle w:val="45"/>
              <w:rPr>
                <w:color w:val="auto"/>
              </w:rPr>
            </w:pPr>
            <w:r>
              <w:rPr>
                <w:rFonts w:hint="eastAsia"/>
                <w:color w:val="auto"/>
              </w:rPr>
              <w:t>2</w:t>
            </w:r>
          </w:p>
        </w:tc>
        <w:tc>
          <w:tcPr>
            <w:tcW w:w="2132" w:type="dxa"/>
            <w:tcBorders>
              <w:tl2br w:val="nil"/>
              <w:tr2bl w:val="nil"/>
            </w:tcBorders>
            <w:vAlign w:val="center"/>
          </w:tcPr>
          <w:p>
            <w:pPr>
              <w:pStyle w:val="45"/>
              <w:rPr>
                <w:color w:val="auto"/>
              </w:rPr>
            </w:pPr>
            <w:r>
              <w:rPr>
                <w:color w:val="auto"/>
              </w:rPr>
              <w:t>推土机</w:t>
            </w:r>
          </w:p>
        </w:tc>
        <w:tc>
          <w:tcPr>
            <w:tcW w:w="2132" w:type="dxa"/>
            <w:tcBorders>
              <w:tl2br w:val="nil"/>
              <w:tr2bl w:val="nil"/>
            </w:tcBorders>
            <w:vAlign w:val="center"/>
          </w:tcPr>
          <w:p>
            <w:pPr>
              <w:pStyle w:val="45"/>
              <w:rPr>
                <w:color w:val="auto"/>
              </w:rPr>
            </w:pPr>
            <w:r>
              <w:rPr>
                <w:rFonts w:hint="eastAsia"/>
                <w:color w:val="auto"/>
              </w:rPr>
              <w:t>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132" w:type="dxa"/>
            <w:vMerge w:val="continue"/>
            <w:tcBorders>
              <w:tl2br w:val="nil"/>
              <w:tr2bl w:val="nil"/>
            </w:tcBorders>
            <w:vAlign w:val="center"/>
          </w:tcPr>
          <w:p>
            <w:pPr>
              <w:pStyle w:val="45"/>
              <w:rPr>
                <w:color w:val="auto"/>
              </w:rPr>
            </w:pPr>
          </w:p>
        </w:tc>
        <w:tc>
          <w:tcPr>
            <w:tcW w:w="2132" w:type="dxa"/>
            <w:tcBorders>
              <w:tl2br w:val="nil"/>
              <w:tr2bl w:val="nil"/>
            </w:tcBorders>
            <w:vAlign w:val="center"/>
          </w:tcPr>
          <w:p>
            <w:pPr>
              <w:pStyle w:val="45"/>
              <w:rPr>
                <w:color w:val="auto"/>
              </w:rPr>
            </w:pPr>
            <w:r>
              <w:rPr>
                <w:rFonts w:hint="eastAsia"/>
                <w:color w:val="auto"/>
              </w:rPr>
              <w:t>3</w:t>
            </w:r>
          </w:p>
        </w:tc>
        <w:tc>
          <w:tcPr>
            <w:tcW w:w="2132" w:type="dxa"/>
            <w:tcBorders>
              <w:tl2br w:val="nil"/>
              <w:tr2bl w:val="nil"/>
            </w:tcBorders>
            <w:vAlign w:val="center"/>
          </w:tcPr>
          <w:p>
            <w:pPr>
              <w:pStyle w:val="45"/>
              <w:rPr>
                <w:color w:val="auto"/>
              </w:rPr>
            </w:pPr>
            <w:r>
              <w:rPr>
                <w:color w:val="auto"/>
              </w:rPr>
              <w:t>装载机</w:t>
            </w:r>
          </w:p>
        </w:tc>
        <w:tc>
          <w:tcPr>
            <w:tcW w:w="2132" w:type="dxa"/>
            <w:tcBorders>
              <w:tl2br w:val="nil"/>
              <w:tr2bl w:val="nil"/>
            </w:tcBorders>
            <w:vAlign w:val="center"/>
          </w:tcPr>
          <w:p>
            <w:pPr>
              <w:pStyle w:val="45"/>
              <w:rPr>
                <w:color w:val="auto"/>
              </w:rPr>
            </w:pPr>
            <w:r>
              <w:rPr>
                <w:rFonts w:hint="eastAsia"/>
                <w:color w:val="auto"/>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132" w:type="dxa"/>
            <w:vMerge w:val="continue"/>
            <w:tcBorders>
              <w:tl2br w:val="nil"/>
              <w:tr2bl w:val="nil"/>
            </w:tcBorders>
            <w:vAlign w:val="center"/>
          </w:tcPr>
          <w:p>
            <w:pPr>
              <w:pStyle w:val="45"/>
              <w:rPr>
                <w:color w:val="auto"/>
              </w:rPr>
            </w:pPr>
          </w:p>
        </w:tc>
        <w:tc>
          <w:tcPr>
            <w:tcW w:w="2132" w:type="dxa"/>
            <w:tcBorders>
              <w:tl2br w:val="nil"/>
              <w:tr2bl w:val="nil"/>
            </w:tcBorders>
            <w:vAlign w:val="center"/>
          </w:tcPr>
          <w:p>
            <w:pPr>
              <w:pStyle w:val="45"/>
              <w:rPr>
                <w:color w:val="auto"/>
              </w:rPr>
            </w:pPr>
            <w:r>
              <w:rPr>
                <w:rFonts w:hint="eastAsia"/>
                <w:color w:val="auto"/>
              </w:rPr>
              <w:t>4</w:t>
            </w:r>
          </w:p>
        </w:tc>
        <w:tc>
          <w:tcPr>
            <w:tcW w:w="2132" w:type="dxa"/>
            <w:tcBorders>
              <w:tl2br w:val="nil"/>
              <w:tr2bl w:val="nil"/>
            </w:tcBorders>
            <w:vAlign w:val="center"/>
          </w:tcPr>
          <w:p>
            <w:pPr>
              <w:pStyle w:val="45"/>
              <w:rPr>
                <w:color w:val="auto"/>
              </w:rPr>
            </w:pPr>
            <w:r>
              <w:rPr>
                <w:color w:val="auto"/>
              </w:rPr>
              <w:t>载重汽车</w:t>
            </w:r>
          </w:p>
        </w:tc>
        <w:tc>
          <w:tcPr>
            <w:tcW w:w="2132" w:type="dxa"/>
            <w:tcBorders>
              <w:tl2br w:val="nil"/>
              <w:tr2bl w:val="nil"/>
            </w:tcBorders>
            <w:vAlign w:val="center"/>
          </w:tcPr>
          <w:p>
            <w:pPr>
              <w:pStyle w:val="45"/>
              <w:rPr>
                <w:color w:val="auto"/>
              </w:rPr>
            </w:pPr>
            <w:r>
              <w:rPr>
                <w:rFonts w:hint="eastAsia"/>
                <w:color w:val="auto"/>
              </w:rPr>
              <w:t>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132" w:type="dxa"/>
            <w:vMerge w:val="continue"/>
            <w:tcBorders>
              <w:tl2br w:val="nil"/>
              <w:tr2bl w:val="nil"/>
            </w:tcBorders>
            <w:vAlign w:val="center"/>
          </w:tcPr>
          <w:p>
            <w:pPr>
              <w:pStyle w:val="45"/>
              <w:rPr>
                <w:color w:val="auto"/>
              </w:rPr>
            </w:pPr>
          </w:p>
        </w:tc>
        <w:tc>
          <w:tcPr>
            <w:tcW w:w="2132" w:type="dxa"/>
            <w:tcBorders>
              <w:tl2br w:val="nil"/>
              <w:tr2bl w:val="nil"/>
            </w:tcBorders>
            <w:vAlign w:val="center"/>
          </w:tcPr>
          <w:p>
            <w:pPr>
              <w:pStyle w:val="45"/>
              <w:rPr>
                <w:color w:val="auto"/>
              </w:rPr>
            </w:pPr>
            <w:r>
              <w:rPr>
                <w:rFonts w:hint="eastAsia"/>
                <w:color w:val="auto"/>
              </w:rPr>
              <w:t>5</w:t>
            </w:r>
          </w:p>
        </w:tc>
        <w:tc>
          <w:tcPr>
            <w:tcW w:w="2132" w:type="dxa"/>
            <w:tcBorders>
              <w:tl2br w:val="nil"/>
              <w:tr2bl w:val="nil"/>
            </w:tcBorders>
            <w:vAlign w:val="center"/>
          </w:tcPr>
          <w:p>
            <w:pPr>
              <w:pStyle w:val="45"/>
              <w:rPr>
                <w:color w:val="auto"/>
              </w:rPr>
            </w:pPr>
            <w:r>
              <w:rPr>
                <w:color w:val="auto"/>
              </w:rPr>
              <w:t>卷扬机</w:t>
            </w:r>
          </w:p>
        </w:tc>
        <w:tc>
          <w:tcPr>
            <w:tcW w:w="2132" w:type="dxa"/>
            <w:tcBorders>
              <w:tl2br w:val="nil"/>
              <w:tr2bl w:val="nil"/>
            </w:tcBorders>
            <w:vAlign w:val="center"/>
          </w:tcPr>
          <w:p>
            <w:pPr>
              <w:pStyle w:val="45"/>
              <w:rPr>
                <w:color w:val="auto"/>
              </w:rPr>
            </w:pPr>
            <w:r>
              <w:rPr>
                <w:rFonts w:hint="eastAsia"/>
                <w:color w:val="auto"/>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132" w:type="dxa"/>
            <w:vMerge w:val="restart"/>
            <w:tcBorders>
              <w:tl2br w:val="nil"/>
              <w:tr2bl w:val="nil"/>
            </w:tcBorders>
            <w:vAlign w:val="center"/>
          </w:tcPr>
          <w:p>
            <w:pPr>
              <w:pStyle w:val="45"/>
              <w:rPr>
                <w:color w:val="auto"/>
              </w:rPr>
            </w:pPr>
            <w:r>
              <w:rPr>
                <w:rFonts w:hint="eastAsia"/>
                <w:color w:val="auto"/>
              </w:rPr>
              <w:t>结构</w:t>
            </w:r>
          </w:p>
        </w:tc>
        <w:tc>
          <w:tcPr>
            <w:tcW w:w="2132" w:type="dxa"/>
            <w:tcBorders>
              <w:tl2br w:val="nil"/>
              <w:tr2bl w:val="nil"/>
            </w:tcBorders>
            <w:vAlign w:val="center"/>
          </w:tcPr>
          <w:p>
            <w:pPr>
              <w:pStyle w:val="45"/>
              <w:rPr>
                <w:color w:val="auto"/>
              </w:rPr>
            </w:pPr>
            <w:r>
              <w:rPr>
                <w:rFonts w:hint="eastAsia"/>
                <w:color w:val="auto"/>
              </w:rPr>
              <w:t>6</w:t>
            </w:r>
          </w:p>
        </w:tc>
        <w:tc>
          <w:tcPr>
            <w:tcW w:w="2132" w:type="dxa"/>
            <w:tcBorders>
              <w:tl2br w:val="nil"/>
              <w:tr2bl w:val="nil"/>
            </w:tcBorders>
            <w:vAlign w:val="center"/>
          </w:tcPr>
          <w:p>
            <w:pPr>
              <w:pStyle w:val="45"/>
              <w:rPr>
                <w:color w:val="auto"/>
              </w:rPr>
            </w:pPr>
            <w:r>
              <w:rPr>
                <w:color w:val="auto"/>
              </w:rPr>
              <w:t>振捣器</w:t>
            </w:r>
          </w:p>
        </w:tc>
        <w:tc>
          <w:tcPr>
            <w:tcW w:w="2132" w:type="dxa"/>
            <w:tcBorders>
              <w:tl2br w:val="nil"/>
              <w:tr2bl w:val="nil"/>
            </w:tcBorders>
            <w:vAlign w:val="center"/>
          </w:tcPr>
          <w:p>
            <w:pPr>
              <w:pStyle w:val="45"/>
              <w:rPr>
                <w:color w:val="auto"/>
              </w:rPr>
            </w:pPr>
            <w:r>
              <w:rPr>
                <w:rFonts w:hint="eastAsia"/>
                <w:color w:val="auto"/>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132" w:type="dxa"/>
            <w:vMerge w:val="continue"/>
            <w:tcBorders>
              <w:tl2br w:val="nil"/>
              <w:tr2bl w:val="nil"/>
            </w:tcBorders>
            <w:vAlign w:val="center"/>
          </w:tcPr>
          <w:p>
            <w:pPr>
              <w:pStyle w:val="45"/>
              <w:rPr>
                <w:color w:val="auto"/>
              </w:rPr>
            </w:pPr>
          </w:p>
        </w:tc>
        <w:tc>
          <w:tcPr>
            <w:tcW w:w="2132" w:type="dxa"/>
            <w:tcBorders>
              <w:tl2br w:val="nil"/>
              <w:tr2bl w:val="nil"/>
            </w:tcBorders>
            <w:vAlign w:val="center"/>
          </w:tcPr>
          <w:p>
            <w:pPr>
              <w:pStyle w:val="45"/>
              <w:rPr>
                <w:color w:val="auto"/>
              </w:rPr>
            </w:pPr>
            <w:r>
              <w:rPr>
                <w:rFonts w:hint="eastAsia"/>
                <w:color w:val="auto"/>
              </w:rPr>
              <w:t>7</w:t>
            </w:r>
          </w:p>
        </w:tc>
        <w:tc>
          <w:tcPr>
            <w:tcW w:w="2132" w:type="dxa"/>
            <w:tcBorders>
              <w:tl2br w:val="nil"/>
              <w:tr2bl w:val="nil"/>
            </w:tcBorders>
            <w:vAlign w:val="center"/>
          </w:tcPr>
          <w:p>
            <w:pPr>
              <w:pStyle w:val="45"/>
              <w:rPr>
                <w:color w:val="auto"/>
              </w:rPr>
            </w:pPr>
            <w:r>
              <w:rPr>
                <w:color w:val="auto"/>
              </w:rPr>
              <w:t>电锯</w:t>
            </w:r>
          </w:p>
        </w:tc>
        <w:tc>
          <w:tcPr>
            <w:tcW w:w="2132" w:type="dxa"/>
            <w:tcBorders>
              <w:tl2br w:val="nil"/>
              <w:tr2bl w:val="nil"/>
            </w:tcBorders>
            <w:vAlign w:val="center"/>
          </w:tcPr>
          <w:p>
            <w:pPr>
              <w:pStyle w:val="45"/>
              <w:rPr>
                <w:color w:val="auto"/>
              </w:rPr>
            </w:pPr>
            <w:r>
              <w:rPr>
                <w:rFonts w:hint="eastAsia"/>
                <w:color w:val="auto"/>
              </w:rPr>
              <w:t>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132" w:type="dxa"/>
            <w:vMerge w:val="restart"/>
            <w:tcBorders>
              <w:tl2br w:val="nil"/>
              <w:tr2bl w:val="nil"/>
            </w:tcBorders>
            <w:vAlign w:val="center"/>
          </w:tcPr>
          <w:p>
            <w:pPr>
              <w:pStyle w:val="45"/>
              <w:rPr>
                <w:color w:val="auto"/>
              </w:rPr>
            </w:pPr>
            <w:r>
              <w:rPr>
                <w:rFonts w:hint="eastAsia"/>
                <w:color w:val="auto"/>
              </w:rPr>
              <w:t>装修</w:t>
            </w:r>
          </w:p>
        </w:tc>
        <w:tc>
          <w:tcPr>
            <w:tcW w:w="2132" w:type="dxa"/>
            <w:tcBorders>
              <w:tl2br w:val="nil"/>
              <w:tr2bl w:val="nil"/>
            </w:tcBorders>
            <w:vAlign w:val="center"/>
          </w:tcPr>
          <w:p>
            <w:pPr>
              <w:pStyle w:val="45"/>
              <w:rPr>
                <w:color w:val="auto"/>
              </w:rPr>
            </w:pPr>
            <w:r>
              <w:rPr>
                <w:rFonts w:hint="eastAsia"/>
                <w:color w:val="auto"/>
              </w:rPr>
              <w:t>8</w:t>
            </w:r>
          </w:p>
        </w:tc>
        <w:tc>
          <w:tcPr>
            <w:tcW w:w="2132" w:type="dxa"/>
            <w:tcBorders>
              <w:tl2br w:val="nil"/>
              <w:tr2bl w:val="nil"/>
            </w:tcBorders>
            <w:vAlign w:val="center"/>
          </w:tcPr>
          <w:p>
            <w:pPr>
              <w:pStyle w:val="45"/>
              <w:rPr>
                <w:color w:val="auto"/>
              </w:rPr>
            </w:pPr>
            <w:r>
              <w:rPr>
                <w:color w:val="auto"/>
              </w:rPr>
              <w:t>电钻</w:t>
            </w:r>
          </w:p>
        </w:tc>
        <w:tc>
          <w:tcPr>
            <w:tcW w:w="2132" w:type="dxa"/>
            <w:tcBorders>
              <w:tl2br w:val="nil"/>
              <w:tr2bl w:val="nil"/>
            </w:tcBorders>
            <w:vAlign w:val="center"/>
          </w:tcPr>
          <w:p>
            <w:pPr>
              <w:pStyle w:val="45"/>
              <w:rPr>
                <w:color w:val="auto"/>
              </w:rPr>
            </w:pPr>
            <w:r>
              <w:rPr>
                <w:rFonts w:hint="eastAsia"/>
                <w:color w:val="auto"/>
              </w:rPr>
              <w:t>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132" w:type="dxa"/>
            <w:vMerge w:val="continue"/>
            <w:tcBorders>
              <w:tl2br w:val="nil"/>
              <w:tr2bl w:val="nil"/>
            </w:tcBorders>
            <w:vAlign w:val="center"/>
          </w:tcPr>
          <w:p>
            <w:pPr>
              <w:pStyle w:val="45"/>
              <w:rPr>
                <w:color w:val="auto"/>
              </w:rPr>
            </w:pPr>
          </w:p>
        </w:tc>
        <w:tc>
          <w:tcPr>
            <w:tcW w:w="2132" w:type="dxa"/>
            <w:tcBorders>
              <w:tl2br w:val="nil"/>
              <w:tr2bl w:val="nil"/>
            </w:tcBorders>
            <w:vAlign w:val="center"/>
          </w:tcPr>
          <w:p>
            <w:pPr>
              <w:pStyle w:val="45"/>
              <w:rPr>
                <w:color w:val="auto"/>
              </w:rPr>
            </w:pPr>
            <w:r>
              <w:rPr>
                <w:rFonts w:hint="eastAsia"/>
                <w:color w:val="auto"/>
              </w:rPr>
              <w:t>9</w:t>
            </w:r>
          </w:p>
        </w:tc>
        <w:tc>
          <w:tcPr>
            <w:tcW w:w="2132" w:type="dxa"/>
            <w:tcBorders>
              <w:tl2br w:val="nil"/>
              <w:tr2bl w:val="nil"/>
            </w:tcBorders>
            <w:vAlign w:val="center"/>
          </w:tcPr>
          <w:p>
            <w:pPr>
              <w:pStyle w:val="45"/>
              <w:rPr>
                <w:color w:val="auto"/>
              </w:rPr>
            </w:pPr>
            <w:r>
              <w:rPr>
                <w:color w:val="auto"/>
              </w:rPr>
              <w:t>多功能木工刨</w:t>
            </w:r>
          </w:p>
        </w:tc>
        <w:tc>
          <w:tcPr>
            <w:tcW w:w="2132" w:type="dxa"/>
            <w:tcBorders>
              <w:tl2br w:val="nil"/>
              <w:tr2bl w:val="nil"/>
            </w:tcBorders>
            <w:vAlign w:val="center"/>
          </w:tcPr>
          <w:p>
            <w:pPr>
              <w:pStyle w:val="45"/>
              <w:rPr>
                <w:color w:val="auto"/>
              </w:rPr>
            </w:pPr>
            <w:r>
              <w:rPr>
                <w:rFonts w:hint="eastAsia"/>
                <w:color w:val="auto"/>
              </w:rPr>
              <w:t>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132" w:type="dxa"/>
            <w:vMerge w:val="restart"/>
            <w:tcBorders>
              <w:tl2br w:val="nil"/>
              <w:tr2bl w:val="nil"/>
            </w:tcBorders>
            <w:vAlign w:val="center"/>
          </w:tcPr>
          <w:p>
            <w:pPr>
              <w:pStyle w:val="45"/>
              <w:rPr>
                <w:color w:val="auto"/>
              </w:rPr>
            </w:pPr>
            <w:r>
              <w:rPr>
                <w:rFonts w:hint="eastAsia"/>
                <w:color w:val="auto"/>
              </w:rPr>
              <w:t>主路</w:t>
            </w:r>
          </w:p>
        </w:tc>
        <w:tc>
          <w:tcPr>
            <w:tcW w:w="2132" w:type="dxa"/>
            <w:tcBorders>
              <w:tl2br w:val="nil"/>
              <w:tr2bl w:val="nil"/>
            </w:tcBorders>
            <w:vAlign w:val="center"/>
          </w:tcPr>
          <w:p>
            <w:pPr>
              <w:pStyle w:val="45"/>
              <w:rPr>
                <w:color w:val="auto"/>
              </w:rPr>
            </w:pPr>
            <w:r>
              <w:rPr>
                <w:rFonts w:hint="eastAsia"/>
                <w:color w:val="auto"/>
              </w:rPr>
              <w:t>10</w:t>
            </w:r>
          </w:p>
        </w:tc>
        <w:tc>
          <w:tcPr>
            <w:tcW w:w="2132" w:type="dxa"/>
            <w:tcBorders>
              <w:tl2br w:val="nil"/>
              <w:tr2bl w:val="nil"/>
            </w:tcBorders>
            <w:vAlign w:val="center"/>
          </w:tcPr>
          <w:p>
            <w:pPr>
              <w:pStyle w:val="45"/>
              <w:rPr>
                <w:color w:val="auto"/>
              </w:rPr>
            </w:pPr>
            <w:r>
              <w:rPr>
                <w:color w:val="auto"/>
              </w:rPr>
              <w:t>平路机</w:t>
            </w:r>
          </w:p>
        </w:tc>
        <w:tc>
          <w:tcPr>
            <w:tcW w:w="2132" w:type="dxa"/>
            <w:tcBorders>
              <w:tl2br w:val="nil"/>
              <w:tr2bl w:val="nil"/>
            </w:tcBorders>
            <w:vAlign w:val="center"/>
          </w:tcPr>
          <w:p>
            <w:pPr>
              <w:pStyle w:val="45"/>
              <w:rPr>
                <w:color w:val="auto"/>
              </w:rPr>
            </w:pPr>
            <w:r>
              <w:rPr>
                <w:rFonts w:hint="eastAsia"/>
                <w:color w:val="auto"/>
              </w:rPr>
              <w:t>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132" w:type="dxa"/>
            <w:vMerge w:val="continue"/>
            <w:tcBorders>
              <w:tl2br w:val="nil"/>
              <w:tr2bl w:val="nil"/>
            </w:tcBorders>
            <w:vAlign w:val="center"/>
          </w:tcPr>
          <w:p>
            <w:pPr>
              <w:pStyle w:val="45"/>
              <w:rPr>
                <w:color w:val="auto"/>
              </w:rPr>
            </w:pPr>
          </w:p>
        </w:tc>
        <w:tc>
          <w:tcPr>
            <w:tcW w:w="2132" w:type="dxa"/>
            <w:tcBorders>
              <w:tl2br w:val="nil"/>
              <w:tr2bl w:val="nil"/>
            </w:tcBorders>
            <w:vAlign w:val="center"/>
          </w:tcPr>
          <w:p>
            <w:pPr>
              <w:pStyle w:val="45"/>
              <w:rPr>
                <w:color w:val="auto"/>
              </w:rPr>
            </w:pPr>
            <w:r>
              <w:rPr>
                <w:rFonts w:hint="eastAsia"/>
                <w:color w:val="auto"/>
              </w:rPr>
              <w:t>11</w:t>
            </w:r>
          </w:p>
        </w:tc>
        <w:tc>
          <w:tcPr>
            <w:tcW w:w="2132" w:type="dxa"/>
            <w:tcBorders>
              <w:tl2br w:val="nil"/>
              <w:tr2bl w:val="nil"/>
            </w:tcBorders>
            <w:vAlign w:val="center"/>
          </w:tcPr>
          <w:p>
            <w:pPr>
              <w:pStyle w:val="45"/>
              <w:rPr>
                <w:color w:val="auto"/>
              </w:rPr>
            </w:pPr>
            <w:r>
              <w:rPr>
                <w:color w:val="auto"/>
              </w:rPr>
              <w:t>压路机</w:t>
            </w:r>
          </w:p>
        </w:tc>
        <w:tc>
          <w:tcPr>
            <w:tcW w:w="2132" w:type="dxa"/>
            <w:tcBorders>
              <w:tl2br w:val="nil"/>
              <w:tr2bl w:val="nil"/>
            </w:tcBorders>
            <w:vAlign w:val="center"/>
          </w:tcPr>
          <w:p>
            <w:pPr>
              <w:pStyle w:val="45"/>
              <w:rPr>
                <w:color w:val="auto"/>
              </w:rPr>
            </w:pPr>
            <w:r>
              <w:rPr>
                <w:rFonts w:hint="eastAsia"/>
                <w:color w:val="auto"/>
              </w:rPr>
              <w:t>86</w:t>
            </w:r>
          </w:p>
        </w:tc>
      </w:tr>
    </w:tbl>
    <w:p>
      <w:pPr>
        <w:ind w:firstLine="480"/>
        <w:rPr>
          <w:color w:val="auto"/>
        </w:rPr>
      </w:pPr>
      <w:r>
        <w:rPr>
          <w:color w:val="auto"/>
        </w:rPr>
        <w:t>将施工机械作为点声源利用点声源衰减模式计算各种常用施工机械到不同距离处的声级值及达标距离，分析施工期噪声的影响范围和程度。</w:t>
      </w:r>
    </w:p>
    <w:p>
      <w:pPr>
        <w:ind w:firstLine="480"/>
        <w:rPr>
          <w:color w:val="auto"/>
        </w:rPr>
      </w:pPr>
      <w:r>
        <w:rPr>
          <w:color w:val="auto"/>
        </w:rPr>
        <w:t>（2）预测模式</w:t>
      </w:r>
    </w:p>
    <w:p>
      <w:pPr>
        <w:ind w:firstLine="480"/>
        <w:rPr>
          <w:color w:val="auto"/>
        </w:rPr>
      </w:pPr>
      <w:r>
        <w:rPr>
          <w:color w:val="auto"/>
        </w:rPr>
        <w:t>已知点声源r</w:t>
      </w:r>
      <w:r>
        <w:rPr>
          <w:color w:val="auto"/>
          <w:vertAlign w:val="subscript"/>
        </w:rPr>
        <w:t>0</w:t>
      </w:r>
      <w:r>
        <w:rPr>
          <w:color w:val="auto"/>
        </w:rPr>
        <w:t>距离处的A声级L</w:t>
      </w:r>
      <w:r>
        <w:rPr>
          <w:color w:val="auto"/>
          <w:vertAlign w:val="subscript"/>
        </w:rPr>
        <w:t>A</w:t>
      </w:r>
      <w:r>
        <w:rPr>
          <w:color w:val="auto"/>
        </w:rPr>
        <w:t>（r</w:t>
      </w:r>
      <w:r>
        <w:rPr>
          <w:color w:val="auto"/>
          <w:vertAlign w:val="subscript"/>
        </w:rPr>
        <w:t>0</w:t>
      </w:r>
      <w:r>
        <w:rPr>
          <w:color w:val="auto"/>
        </w:rPr>
        <w:t>），距离声源r处的A声级L</w:t>
      </w:r>
      <w:r>
        <w:rPr>
          <w:color w:val="auto"/>
          <w:vertAlign w:val="subscript"/>
        </w:rPr>
        <w:t>A</w:t>
      </w:r>
      <w:r>
        <w:rPr>
          <w:color w:val="auto"/>
        </w:rPr>
        <w:t>（r）可由下面公式求出。</w:t>
      </w:r>
    </w:p>
    <w:p>
      <w:pPr>
        <w:pStyle w:val="2"/>
        <w:spacing w:after="0"/>
        <w:ind w:left="480" w:firstLine="480"/>
        <w:jc w:val="center"/>
        <w:rPr>
          <w:color w:val="auto"/>
        </w:rPr>
      </w:pPr>
      <w:r>
        <w:rPr>
          <w:color w:val="auto"/>
          <w:position w:val="-12"/>
        </w:rPr>
        <w:object>
          <v:shape id="_x0000_i1036" o:spt="75" type="#_x0000_t75" style="height:18pt;width:129pt;" o:ole="t" filled="f" o:preferrelative="t" stroked="f" coordsize="21600,21600">
            <v:path/>
            <v:fill on="f" focussize="0,0"/>
            <v:stroke on="f" joinstyle="miter"/>
            <v:imagedata r:id="rId139" o:title=""/>
            <o:lock v:ext="edit" aspectratio="t"/>
            <w10:wrap type="none"/>
            <w10:anchorlock/>
          </v:shape>
          <o:OLEObject Type="Embed" ProgID="Equation.3" ShapeID="_x0000_i1036" DrawAspect="Content" ObjectID="_1468075739" r:id="rId138">
            <o:LockedField>false</o:LockedField>
          </o:OLEObject>
        </w:object>
      </w:r>
    </w:p>
    <w:p>
      <w:pPr>
        <w:ind w:firstLine="480"/>
        <w:rPr>
          <w:color w:val="auto"/>
        </w:rPr>
      </w:pPr>
      <w:r>
        <w:rPr>
          <w:color w:val="auto"/>
        </w:rPr>
        <w:t>式中：L</w:t>
      </w:r>
      <w:r>
        <w:rPr>
          <w:color w:val="auto"/>
          <w:vertAlign w:val="subscript"/>
        </w:rPr>
        <w:t>A</w:t>
      </w:r>
      <w:r>
        <w:rPr>
          <w:color w:val="auto"/>
        </w:rPr>
        <w:t>（r）—距离声源r处的A声级，dB(A)；</w:t>
      </w:r>
    </w:p>
    <w:p>
      <w:pPr>
        <w:ind w:firstLine="1200" w:firstLineChars="500"/>
        <w:rPr>
          <w:color w:val="auto"/>
        </w:rPr>
      </w:pPr>
      <w:r>
        <w:rPr>
          <w:color w:val="auto"/>
        </w:rPr>
        <w:t>L</w:t>
      </w:r>
      <w:r>
        <w:rPr>
          <w:color w:val="auto"/>
          <w:vertAlign w:val="subscript"/>
        </w:rPr>
        <w:t>A</w:t>
      </w:r>
      <w:r>
        <w:rPr>
          <w:color w:val="auto"/>
        </w:rPr>
        <w:t>（r</w:t>
      </w:r>
      <w:r>
        <w:rPr>
          <w:color w:val="auto"/>
          <w:vertAlign w:val="subscript"/>
        </w:rPr>
        <w:t>0</w:t>
      </w:r>
      <w:r>
        <w:rPr>
          <w:color w:val="auto"/>
        </w:rPr>
        <w:t>）—距离声源r0处的A声级，dB(A)；</w:t>
      </w:r>
    </w:p>
    <w:p>
      <w:pPr>
        <w:ind w:firstLine="1200" w:firstLineChars="500"/>
        <w:rPr>
          <w:color w:val="auto"/>
        </w:rPr>
      </w:pPr>
      <w:r>
        <w:rPr>
          <w:color w:val="auto"/>
        </w:rPr>
        <w:t>r—预测点距声源的距离，m；</w:t>
      </w:r>
    </w:p>
    <w:p>
      <w:pPr>
        <w:ind w:firstLine="1200" w:firstLineChars="500"/>
        <w:rPr>
          <w:color w:val="auto"/>
        </w:rPr>
      </w:pPr>
      <w:r>
        <w:rPr>
          <w:color w:val="auto"/>
        </w:rPr>
        <w:t>r</w:t>
      </w:r>
      <w:r>
        <w:rPr>
          <w:color w:val="auto"/>
          <w:vertAlign w:val="subscript"/>
        </w:rPr>
        <w:t>0</w:t>
      </w:r>
      <w:r>
        <w:rPr>
          <w:color w:val="auto"/>
        </w:rPr>
        <w:t>—参考点距声源的距离，m。</w:t>
      </w:r>
    </w:p>
    <w:p>
      <w:pPr>
        <w:ind w:firstLine="480"/>
        <w:rPr>
          <w:color w:val="auto"/>
        </w:rPr>
      </w:pPr>
      <w:r>
        <w:rPr>
          <w:rFonts w:hint="eastAsia"/>
          <w:color w:val="auto"/>
        </w:rPr>
        <w:t>（3）计算结果</w:t>
      </w:r>
    </w:p>
    <w:p>
      <w:pPr>
        <w:ind w:firstLine="480"/>
        <w:rPr>
          <w:color w:val="auto"/>
        </w:rPr>
      </w:pPr>
      <w:r>
        <w:rPr>
          <w:color w:val="auto"/>
        </w:rPr>
        <w:t>采用以上模式计算结果，施工期间，距各种主要施工机械不同距离处的声级值见表</w:t>
      </w:r>
      <w:r>
        <w:rPr>
          <w:rFonts w:hint="eastAsia"/>
          <w:color w:val="auto"/>
        </w:rPr>
        <w:t>7.2-2</w:t>
      </w:r>
      <w:r>
        <w:rPr>
          <w:color w:val="auto"/>
        </w:rPr>
        <w:t>。</w:t>
      </w:r>
    </w:p>
    <w:p>
      <w:pPr>
        <w:pStyle w:val="57"/>
        <w:rPr>
          <w:color w:val="auto"/>
        </w:rPr>
      </w:pPr>
      <w:r>
        <w:rPr>
          <w:rFonts w:hint="eastAsia"/>
          <w:color w:val="auto"/>
        </w:rPr>
        <w:t>表7.2-2 距施工机械不同距离处的噪声值 单位：dB(A)</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32"/>
        <w:gridCol w:w="1032"/>
        <w:gridCol w:w="1032"/>
        <w:gridCol w:w="1032"/>
        <w:gridCol w:w="1032"/>
        <w:gridCol w:w="1032"/>
        <w:gridCol w:w="1032"/>
        <w:gridCol w:w="1032"/>
        <w:gridCol w:w="10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55" w:type="pct"/>
            <w:tcBorders>
              <w:tl2br w:val="nil"/>
              <w:tr2bl w:val="nil"/>
            </w:tcBorders>
            <w:vAlign w:val="center"/>
          </w:tcPr>
          <w:p>
            <w:pPr>
              <w:pStyle w:val="45"/>
              <w:rPr>
                <w:color w:val="auto"/>
              </w:rPr>
            </w:pPr>
            <w:r>
              <w:rPr>
                <w:rFonts w:hint="eastAsia"/>
                <w:color w:val="auto"/>
              </w:rPr>
              <w:t>设备名称</w:t>
            </w:r>
          </w:p>
        </w:tc>
        <w:tc>
          <w:tcPr>
            <w:tcW w:w="555" w:type="pct"/>
            <w:tcBorders>
              <w:tl2br w:val="nil"/>
              <w:tr2bl w:val="nil"/>
            </w:tcBorders>
            <w:vAlign w:val="center"/>
          </w:tcPr>
          <w:p>
            <w:pPr>
              <w:pStyle w:val="45"/>
              <w:rPr>
                <w:color w:val="auto"/>
              </w:rPr>
            </w:pPr>
            <w:r>
              <w:rPr>
                <w:rFonts w:hint="eastAsia"/>
                <w:color w:val="auto"/>
              </w:rPr>
              <w:t>5m</w:t>
            </w:r>
          </w:p>
        </w:tc>
        <w:tc>
          <w:tcPr>
            <w:tcW w:w="555" w:type="pct"/>
            <w:tcBorders>
              <w:tl2br w:val="nil"/>
              <w:tr2bl w:val="nil"/>
            </w:tcBorders>
            <w:vAlign w:val="center"/>
          </w:tcPr>
          <w:p>
            <w:pPr>
              <w:pStyle w:val="45"/>
              <w:rPr>
                <w:color w:val="auto"/>
              </w:rPr>
            </w:pPr>
            <w:r>
              <w:rPr>
                <w:rFonts w:hint="eastAsia"/>
                <w:color w:val="auto"/>
              </w:rPr>
              <w:t>10m</w:t>
            </w:r>
          </w:p>
        </w:tc>
        <w:tc>
          <w:tcPr>
            <w:tcW w:w="555" w:type="pct"/>
            <w:tcBorders>
              <w:tl2br w:val="nil"/>
              <w:tr2bl w:val="nil"/>
            </w:tcBorders>
            <w:vAlign w:val="center"/>
          </w:tcPr>
          <w:p>
            <w:pPr>
              <w:pStyle w:val="45"/>
              <w:rPr>
                <w:color w:val="auto"/>
              </w:rPr>
            </w:pPr>
            <w:r>
              <w:rPr>
                <w:rFonts w:hint="eastAsia"/>
                <w:color w:val="auto"/>
              </w:rPr>
              <w:t>20m</w:t>
            </w:r>
          </w:p>
        </w:tc>
        <w:tc>
          <w:tcPr>
            <w:tcW w:w="555" w:type="pct"/>
            <w:tcBorders>
              <w:tl2br w:val="nil"/>
              <w:tr2bl w:val="nil"/>
            </w:tcBorders>
            <w:vAlign w:val="center"/>
          </w:tcPr>
          <w:p>
            <w:pPr>
              <w:pStyle w:val="45"/>
              <w:rPr>
                <w:color w:val="auto"/>
              </w:rPr>
            </w:pPr>
            <w:r>
              <w:rPr>
                <w:rFonts w:hint="eastAsia"/>
                <w:color w:val="auto"/>
              </w:rPr>
              <w:t>40m</w:t>
            </w:r>
          </w:p>
        </w:tc>
        <w:tc>
          <w:tcPr>
            <w:tcW w:w="555" w:type="pct"/>
            <w:tcBorders>
              <w:tl2br w:val="nil"/>
              <w:tr2bl w:val="nil"/>
            </w:tcBorders>
            <w:vAlign w:val="center"/>
          </w:tcPr>
          <w:p>
            <w:pPr>
              <w:pStyle w:val="45"/>
              <w:rPr>
                <w:color w:val="auto"/>
              </w:rPr>
            </w:pPr>
            <w:r>
              <w:rPr>
                <w:rFonts w:hint="eastAsia"/>
                <w:color w:val="auto"/>
              </w:rPr>
              <w:t>50m</w:t>
            </w:r>
          </w:p>
        </w:tc>
        <w:tc>
          <w:tcPr>
            <w:tcW w:w="555" w:type="pct"/>
            <w:tcBorders>
              <w:tl2br w:val="nil"/>
              <w:tr2bl w:val="nil"/>
            </w:tcBorders>
            <w:vAlign w:val="center"/>
          </w:tcPr>
          <w:p>
            <w:pPr>
              <w:pStyle w:val="45"/>
              <w:rPr>
                <w:color w:val="auto"/>
              </w:rPr>
            </w:pPr>
            <w:r>
              <w:rPr>
                <w:rFonts w:hint="eastAsia"/>
                <w:color w:val="auto"/>
              </w:rPr>
              <w:t>100m</w:t>
            </w:r>
          </w:p>
        </w:tc>
        <w:tc>
          <w:tcPr>
            <w:tcW w:w="555" w:type="pct"/>
            <w:tcBorders>
              <w:tl2br w:val="nil"/>
              <w:tr2bl w:val="nil"/>
            </w:tcBorders>
            <w:vAlign w:val="center"/>
          </w:tcPr>
          <w:p>
            <w:pPr>
              <w:pStyle w:val="45"/>
              <w:rPr>
                <w:color w:val="auto"/>
              </w:rPr>
            </w:pPr>
            <w:r>
              <w:rPr>
                <w:rFonts w:hint="eastAsia"/>
                <w:color w:val="auto"/>
              </w:rPr>
              <w:t>200m</w:t>
            </w:r>
          </w:p>
        </w:tc>
        <w:tc>
          <w:tcPr>
            <w:tcW w:w="555" w:type="pct"/>
            <w:tcBorders>
              <w:tl2br w:val="nil"/>
              <w:tr2bl w:val="nil"/>
            </w:tcBorders>
            <w:vAlign w:val="center"/>
          </w:tcPr>
          <w:p>
            <w:pPr>
              <w:pStyle w:val="45"/>
              <w:rPr>
                <w:color w:val="auto"/>
              </w:rPr>
            </w:pPr>
            <w:r>
              <w:rPr>
                <w:rFonts w:hint="eastAsia"/>
                <w:color w:val="auto"/>
              </w:rPr>
              <w:t>300m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55" w:type="pct"/>
            <w:tcBorders>
              <w:tl2br w:val="nil"/>
              <w:tr2bl w:val="nil"/>
            </w:tcBorders>
            <w:vAlign w:val="center"/>
          </w:tcPr>
          <w:p>
            <w:pPr>
              <w:pStyle w:val="45"/>
              <w:rPr>
                <w:color w:val="auto"/>
              </w:rPr>
            </w:pPr>
            <w:r>
              <w:rPr>
                <w:color w:val="auto"/>
              </w:rPr>
              <w:t>挖掘机</w:t>
            </w:r>
          </w:p>
        </w:tc>
        <w:tc>
          <w:tcPr>
            <w:tcW w:w="555" w:type="pct"/>
            <w:tcBorders>
              <w:tl2br w:val="nil"/>
              <w:tr2bl w:val="nil"/>
            </w:tcBorders>
            <w:vAlign w:val="center"/>
          </w:tcPr>
          <w:p>
            <w:pPr>
              <w:pStyle w:val="45"/>
              <w:rPr>
                <w:color w:val="auto"/>
              </w:rPr>
            </w:pPr>
            <w:r>
              <w:rPr>
                <w:rFonts w:hint="eastAsia"/>
                <w:color w:val="auto"/>
              </w:rPr>
              <w:t>90</w:t>
            </w:r>
          </w:p>
        </w:tc>
        <w:tc>
          <w:tcPr>
            <w:tcW w:w="555" w:type="pct"/>
            <w:tcBorders>
              <w:tl2br w:val="nil"/>
              <w:tr2bl w:val="nil"/>
            </w:tcBorders>
            <w:vAlign w:val="center"/>
          </w:tcPr>
          <w:p>
            <w:pPr>
              <w:pStyle w:val="45"/>
              <w:rPr>
                <w:color w:val="auto"/>
              </w:rPr>
            </w:pPr>
            <w:r>
              <w:rPr>
                <w:rFonts w:hint="eastAsia"/>
                <w:color w:val="auto"/>
              </w:rPr>
              <w:t>84</w:t>
            </w:r>
          </w:p>
        </w:tc>
        <w:tc>
          <w:tcPr>
            <w:tcW w:w="555" w:type="pct"/>
            <w:tcBorders>
              <w:tl2br w:val="nil"/>
              <w:tr2bl w:val="nil"/>
            </w:tcBorders>
            <w:vAlign w:val="center"/>
          </w:tcPr>
          <w:p>
            <w:pPr>
              <w:pStyle w:val="45"/>
              <w:rPr>
                <w:color w:val="auto"/>
              </w:rPr>
            </w:pPr>
            <w:r>
              <w:rPr>
                <w:rFonts w:hint="eastAsia"/>
                <w:color w:val="auto"/>
              </w:rPr>
              <w:t>78</w:t>
            </w:r>
          </w:p>
        </w:tc>
        <w:tc>
          <w:tcPr>
            <w:tcW w:w="555" w:type="pct"/>
            <w:tcBorders>
              <w:tl2br w:val="nil"/>
              <w:tr2bl w:val="nil"/>
            </w:tcBorders>
            <w:vAlign w:val="center"/>
          </w:tcPr>
          <w:p>
            <w:pPr>
              <w:pStyle w:val="45"/>
              <w:rPr>
                <w:color w:val="auto"/>
              </w:rPr>
            </w:pPr>
            <w:r>
              <w:rPr>
                <w:rFonts w:hint="eastAsia"/>
                <w:color w:val="auto"/>
              </w:rPr>
              <w:t>72</w:t>
            </w:r>
          </w:p>
        </w:tc>
        <w:tc>
          <w:tcPr>
            <w:tcW w:w="555" w:type="pct"/>
            <w:tcBorders>
              <w:tl2br w:val="nil"/>
              <w:tr2bl w:val="nil"/>
            </w:tcBorders>
            <w:vAlign w:val="center"/>
          </w:tcPr>
          <w:p>
            <w:pPr>
              <w:pStyle w:val="45"/>
              <w:rPr>
                <w:color w:val="auto"/>
              </w:rPr>
            </w:pPr>
            <w:r>
              <w:rPr>
                <w:rFonts w:hint="eastAsia"/>
                <w:color w:val="auto"/>
              </w:rPr>
              <w:t>64</w:t>
            </w:r>
          </w:p>
        </w:tc>
        <w:tc>
          <w:tcPr>
            <w:tcW w:w="555" w:type="pct"/>
            <w:tcBorders>
              <w:tl2br w:val="nil"/>
              <w:tr2bl w:val="nil"/>
            </w:tcBorders>
            <w:vAlign w:val="center"/>
          </w:tcPr>
          <w:p>
            <w:pPr>
              <w:pStyle w:val="45"/>
              <w:rPr>
                <w:color w:val="auto"/>
              </w:rPr>
            </w:pPr>
            <w:r>
              <w:rPr>
                <w:rFonts w:hint="eastAsia"/>
                <w:color w:val="auto"/>
              </w:rPr>
              <w:t>58</w:t>
            </w:r>
          </w:p>
        </w:tc>
        <w:tc>
          <w:tcPr>
            <w:tcW w:w="555" w:type="pct"/>
            <w:tcBorders>
              <w:tl2br w:val="nil"/>
              <w:tr2bl w:val="nil"/>
            </w:tcBorders>
            <w:vAlign w:val="center"/>
          </w:tcPr>
          <w:p>
            <w:pPr>
              <w:pStyle w:val="45"/>
              <w:rPr>
                <w:color w:val="auto"/>
              </w:rPr>
            </w:pPr>
            <w:r>
              <w:rPr>
                <w:rFonts w:hint="eastAsia"/>
                <w:color w:val="auto"/>
              </w:rPr>
              <w:t>52</w:t>
            </w:r>
          </w:p>
        </w:tc>
        <w:tc>
          <w:tcPr>
            <w:tcW w:w="555" w:type="pct"/>
            <w:tcBorders>
              <w:tl2br w:val="nil"/>
              <w:tr2bl w:val="nil"/>
            </w:tcBorders>
            <w:vAlign w:val="center"/>
          </w:tcPr>
          <w:p>
            <w:pPr>
              <w:pStyle w:val="45"/>
              <w:rPr>
                <w:color w:val="auto"/>
              </w:rPr>
            </w:pPr>
            <w:r>
              <w:rPr>
                <w:rFonts w:hint="eastAsia"/>
                <w:color w:val="auto"/>
              </w:rPr>
              <w:t>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55" w:type="pct"/>
            <w:tcBorders>
              <w:tl2br w:val="nil"/>
              <w:tr2bl w:val="nil"/>
            </w:tcBorders>
            <w:vAlign w:val="center"/>
          </w:tcPr>
          <w:p>
            <w:pPr>
              <w:pStyle w:val="45"/>
              <w:rPr>
                <w:color w:val="auto"/>
              </w:rPr>
            </w:pPr>
            <w:r>
              <w:rPr>
                <w:color w:val="auto"/>
              </w:rPr>
              <w:t>推土机</w:t>
            </w:r>
          </w:p>
        </w:tc>
        <w:tc>
          <w:tcPr>
            <w:tcW w:w="555" w:type="pct"/>
            <w:tcBorders>
              <w:tl2br w:val="nil"/>
              <w:tr2bl w:val="nil"/>
            </w:tcBorders>
            <w:vAlign w:val="center"/>
          </w:tcPr>
          <w:p>
            <w:pPr>
              <w:pStyle w:val="45"/>
              <w:rPr>
                <w:color w:val="auto"/>
              </w:rPr>
            </w:pPr>
            <w:r>
              <w:rPr>
                <w:rFonts w:hint="eastAsia"/>
                <w:color w:val="auto"/>
              </w:rPr>
              <w:t>86</w:t>
            </w:r>
          </w:p>
        </w:tc>
        <w:tc>
          <w:tcPr>
            <w:tcW w:w="555" w:type="pct"/>
            <w:tcBorders>
              <w:tl2br w:val="nil"/>
              <w:tr2bl w:val="nil"/>
            </w:tcBorders>
            <w:vAlign w:val="center"/>
          </w:tcPr>
          <w:p>
            <w:pPr>
              <w:pStyle w:val="45"/>
              <w:rPr>
                <w:color w:val="auto"/>
              </w:rPr>
            </w:pPr>
            <w:r>
              <w:rPr>
                <w:rFonts w:hint="eastAsia"/>
                <w:color w:val="auto"/>
              </w:rPr>
              <w:t>80</w:t>
            </w:r>
          </w:p>
        </w:tc>
        <w:tc>
          <w:tcPr>
            <w:tcW w:w="555" w:type="pct"/>
            <w:tcBorders>
              <w:tl2br w:val="nil"/>
              <w:tr2bl w:val="nil"/>
            </w:tcBorders>
            <w:vAlign w:val="center"/>
          </w:tcPr>
          <w:p>
            <w:pPr>
              <w:pStyle w:val="45"/>
              <w:rPr>
                <w:color w:val="auto"/>
              </w:rPr>
            </w:pPr>
            <w:r>
              <w:rPr>
                <w:rFonts w:hint="eastAsia"/>
                <w:color w:val="auto"/>
              </w:rPr>
              <w:t>74</w:t>
            </w:r>
          </w:p>
        </w:tc>
        <w:tc>
          <w:tcPr>
            <w:tcW w:w="555" w:type="pct"/>
            <w:tcBorders>
              <w:tl2br w:val="nil"/>
              <w:tr2bl w:val="nil"/>
            </w:tcBorders>
            <w:vAlign w:val="center"/>
          </w:tcPr>
          <w:p>
            <w:pPr>
              <w:pStyle w:val="45"/>
              <w:rPr>
                <w:color w:val="auto"/>
              </w:rPr>
            </w:pPr>
            <w:r>
              <w:rPr>
                <w:rFonts w:hint="eastAsia"/>
                <w:color w:val="auto"/>
              </w:rPr>
              <w:t>68</w:t>
            </w:r>
          </w:p>
        </w:tc>
        <w:tc>
          <w:tcPr>
            <w:tcW w:w="555" w:type="pct"/>
            <w:tcBorders>
              <w:tl2br w:val="nil"/>
              <w:tr2bl w:val="nil"/>
            </w:tcBorders>
            <w:vAlign w:val="center"/>
          </w:tcPr>
          <w:p>
            <w:pPr>
              <w:pStyle w:val="45"/>
              <w:rPr>
                <w:color w:val="auto"/>
              </w:rPr>
            </w:pPr>
            <w:r>
              <w:rPr>
                <w:rFonts w:hint="eastAsia"/>
                <w:color w:val="auto"/>
              </w:rPr>
              <w:t>66</w:t>
            </w:r>
          </w:p>
        </w:tc>
        <w:tc>
          <w:tcPr>
            <w:tcW w:w="555" w:type="pct"/>
            <w:tcBorders>
              <w:tl2br w:val="nil"/>
              <w:tr2bl w:val="nil"/>
            </w:tcBorders>
            <w:vAlign w:val="center"/>
          </w:tcPr>
          <w:p>
            <w:pPr>
              <w:pStyle w:val="45"/>
              <w:rPr>
                <w:color w:val="auto"/>
              </w:rPr>
            </w:pPr>
            <w:r>
              <w:rPr>
                <w:rFonts w:hint="eastAsia"/>
                <w:color w:val="auto"/>
              </w:rPr>
              <w:t>60</w:t>
            </w:r>
          </w:p>
        </w:tc>
        <w:tc>
          <w:tcPr>
            <w:tcW w:w="555" w:type="pct"/>
            <w:tcBorders>
              <w:tl2br w:val="nil"/>
              <w:tr2bl w:val="nil"/>
            </w:tcBorders>
            <w:vAlign w:val="center"/>
          </w:tcPr>
          <w:p>
            <w:pPr>
              <w:pStyle w:val="45"/>
              <w:rPr>
                <w:color w:val="auto"/>
              </w:rPr>
            </w:pPr>
            <w:r>
              <w:rPr>
                <w:rFonts w:hint="eastAsia"/>
                <w:color w:val="auto"/>
              </w:rPr>
              <w:t>54</w:t>
            </w:r>
          </w:p>
        </w:tc>
        <w:tc>
          <w:tcPr>
            <w:tcW w:w="555" w:type="pct"/>
            <w:tcBorders>
              <w:tl2br w:val="nil"/>
              <w:tr2bl w:val="nil"/>
            </w:tcBorders>
            <w:vAlign w:val="center"/>
          </w:tcPr>
          <w:p>
            <w:pPr>
              <w:pStyle w:val="45"/>
              <w:rPr>
                <w:color w:val="auto"/>
              </w:rPr>
            </w:pPr>
            <w:r>
              <w:rPr>
                <w:rFonts w:hint="eastAsia"/>
                <w:color w:val="auto"/>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55" w:type="pct"/>
            <w:tcBorders>
              <w:tl2br w:val="nil"/>
              <w:tr2bl w:val="nil"/>
            </w:tcBorders>
            <w:vAlign w:val="center"/>
          </w:tcPr>
          <w:p>
            <w:pPr>
              <w:pStyle w:val="45"/>
              <w:rPr>
                <w:color w:val="auto"/>
              </w:rPr>
            </w:pPr>
            <w:r>
              <w:rPr>
                <w:color w:val="auto"/>
              </w:rPr>
              <w:t>装载机</w:t>
            </w:r>
          </w:p>
        </w:tc>
        <w:tc>
          <w:tcPr>
            <w:tcW w:w="555" w:type="pct"/>
            <w:tcBorders>
              <w:tl2br w:val="nil"/>
              <w:tr2bl w:val="nil"/>
            </w:tcBorders>
            <w:vAlign w:val="center"/>
          </w:tcPr>
          <w:p>
            <w:pPr>
              <w:pStyle w:val="45"/>
              <w:rPr>
                <w:color w:val="auto"/>
              </w:rPr>
            </w:pPr>
            <w:r>
              <w:rPr>
                <w:rFonts w:hint="eastAsia"/>
                <w:color w:val="auto"/>
              </w:rPr>
              <w:t>90</w:t>
            </w:r>
          </w:p>
        </w:tc>
        <w:tc>
          <w:tcPr>
            <w:tcW w:w="555" w:type="pct"/>
            <w:tcBorders>
              <w:tl2br w:val="nil"/>
              <w:tr2bl w:val="nil"/>
            </w:tcBorders>
            <w:vAlign w:val="center"/>
          </w:tcPr>
          <w:p>
            <w:pPr>
              <w:pStyle w:val="45"/>
              <w:rPr>
                <w:color w:val="auto"/>
              </w:rPr>
            </w:pPr>
            <w:r>
              <w:rPr>
                <w:rFonts w:hint="eastAsia"/>
                <w:color w:val="auto"/>
              </w:rPr>
              <w:t>84</w:t>
            </w:r>
          </w:p>
        </w:tc>
        <w:tc>
          <w:tcPr>
            <w:tcW w:w="555" w:type="pct"/>
            <w:tcBorders>
              <w:tl2br w:val="nil"/>
              <w:tr2bl w:val="nil"/>
            </w:tcBorders>
            <w:vAlign w:val="center"/>
          </w:tcPr>
          <w:p>
            <w:pPr>
              <w:pStyle w:val="45"/>
              <w:rPr>
                <w:color w:val="auto"/>
              </w:rPr>
            </w:pPr>
            <w:r>
              <w:rPr>
                <w:rFonts w:hint="eastAsia"/>
                <w:color w:val="auto"/>
              </w:rPr>
              <w:t>78</w:t>
            </w:r>
          </w:p>
        </w:tc>
        <w:tc>
          <w:tcPr>
            <w:tcW w:w="555" w:type="pct"/>
            <w:tcBorders>
              <w:tl2br w:val="nil"/>
              <w:tr2bl w:val="nil"/>
            </w:tcBorders>
            <w:vAlign w:val="center"/>
          </w:tcPr>
          <w:p>
            <w:pPr>
              <w:pStyle w:val="45"/>
              <w:rPr>
                <w:color w:val="auto"/>
              </w:rPr>
            </w:pPr>
            <w:r>
              <w:rPr>
                <w:rFonts w:hint="eastAsia"/>
                <w:color w:val="auto"/>
              </w:rPr>
              <w:t>72</w:t>
            </w:r>
          </w:p>
        </w:tc>
        <w:tc>
          <w:tcPr>
            <w:tcW w:w="555" w:type="pct"/>
            <w:tcBorders>
              <w:tl2br w:val="nil"/>
              <w:tr2bl w:val="nil"/>
            </w:tcBorders>
            <w:vAlign w:val="center"/>
          </w:tcPr>
          <w:p>
            <w:pPr>
              <w:pStyle w:val="45"/>
              <w:rPr>
                <w:color w:val="auto"/>
              </w:rPr>
            </w:pPr>
            <w:r>
              <w:rPr>
                <w:rFonts w:hint="eastAsia"/>
                <w:color w:val="auto"/>
              </w:rPr>
              <w:t>64</w:t>
            </w:r>
          </w:p>
        </w:tc>
        <w:tc>
          <w:tcPr>
            <w:tcW w:w="555" w:type="pct"/>
            <w:tcBorders>
              <w:tl2br w:val="nil"/>
              <w:tr2bl w:val="nil"/>
            </w:tcBorders>
            <w:vAlign w:val="center"/>
          </w:tcPr>
          <w:p>
            <w:pPr>
              <w:pStyle w:val="45"/>
              <w:rPr>
                <w:color w:val="auto"/>
              </w:rPr>
            </w:pPr>
            <w:r>
              <w:rPr>
                <w:rFonts w:hint="eastAsia"/>
                <w:color w:val="auto"/>
              </w:rPr>
              <w:t>58</w:t>
            </w:r>
          </w:p>
        </w:tc>
        <w:tc>
          <w:tcPr>
            <w:tcW w:w="555" w:type="pct"/>
            <w:tcBorders>
              <w:tl2br w:val="nil"/>
              <w:tr2bl w:val="nil"/>
            </w:tcBorders>
            <w:vAlign w:val="center"/>
          </w:tcPr>
          <w:p>
            <w:pPr>
              <w:pStyle w:val="45"/>
              <w:rPr>
                <w:color w:val="auto"/>
              </w:rPr>
            </w:pPr>
            <w:r>
              <w:rPr>
                <w:rFonts w:hint="eastAsia"/>
                <w:color w:val="auto"/>
              </w:rPr>
              <w:t>54</w:t>
            </w:r>
          </w:p>
        </w:tc>
        <w:tc>
          <w:tcPr>
            <w:tcW w:w="555" w:type="pct"/>
            <w:tcBorders>
              <w:tl2br w:val="nil"/>
              <w:tr2bl w:val="nil"/>
            </w:tcBorders>
            <w:vAlign w:val="center"/>
          </w:tcPr>
          <w:p>
            <w:pPr>
              <w:pStyle w:val="45"/>
              <w:rPr>
                <w:color w:val="auto"/>
              </w:rPr>
            </w:pPr>
            <w:r>
              <w:rPr>
                <w:rFonts w:hint="eastAsia"/>
                <w:color w:val="auto"/>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55" w:type="pct"/>
            <w:tcBorders>
              <w:tl2br w:val="nil"/>
              <w:tr2bl w:val="nil"/>
            </w:tcBorders>
            <w:vAlign w:val="center"/>
          </w:tcPr>
          <w:p>
            <w:pPr>
              <w:pStyle w:val="45"/>
              <w:rPr>
                <w:color w:val="auto"/>
              </w:rPr>
            </w:pPr>
            <w:r>
              <w:rPr>
                <w:color w:val="auto"/>
              </w:rPr>
              <w:t>振捣器</w:t>
            </w:r>
          </w:p>
        </w:tc>
        <w:tc>
          <w:tcPr>
            <w:tcW w:w="555" w:type="pct"/>
            <w:tcBorders>
              <w:tl2br w:val="nil"/>
              <w:tr2bl w:val="nil"/>
            </w:tcBorders>
            <w:vAlign w:val="center"/>
          </w:tcPr>
          <w:p>
            <w:pPr>
              <w:pStyle w:val="45"/>
              <w:rPr>
                <w:color w:val="auto"/>
              </w:rPr>
            </w:pPr>
            <w:r>
              <w:rPr>
                <w:rFonts w:hint="eastAsia"/>
                <w:color w:val="auto"/>
              </w:rPr>
              <w:t>90</w:t>
            </w:r>
          </w:p>
        </w:tc>
        <w:tc>
          <w:tcPr>
            <w:tcW w:w="555" w:type="pct"/>
            <w:tcBorders>
              <w:tl2br w:val="nil"/>
              <w:tr2bl w:val="nil"/>
            </w:tcBorders>
            <w:vAlign w:val="center"/>
          </w:tcPr>
          <w:p>
            <w:pPr>
              <w:pStyle w:val="45"/>
              <w:rPr>
                <w:color w:val="auto"/>
              </w:rPr>
            </w:pPr>
            <w:r>
              <w:rPr>
                <w:rFonts w:hint="eastAsia"/>
                <w:color w:val="auto"/>
              </w:rPr>
              <w:t>84</w:t>
            </w:r>
          </w:p>
        </w:tc>
        <w:tc>
          <w:tcPr>
            <w:tcW w:w="555" w:type="pct"/>
            <w:tcBorders>
              <w:tl2br w:val="nil"/>
              <w:tr2bl w:val="nil"/>
            </w:tcBorders>
            <w:vAlign w:val="center"/>
          </w:tcPr>
          <w:p>
            <w:pPr>
              <w:pStyle w:val="45"/>
              <w:rPr>
                <w:color w:val="auto"/>
              </w:rPr>
            </w:pPr>
            <w:r>
              <w:rPr>
                <w:rFonts w:hint="eastAsia"/>
                <w:color w:val="auto"/>
              </w:rPr>
              <w:t>78</w:t>
            </w:r>
          </w:p>
        </w:tc>
        <w:tc>
          <w:tcPr>
            <w:tcW w:w="555" w:type="pct"/>
            <w:tcBorders>
              <w:tl2br w:val="nil"/>
              <w:tr2bl w:val="nil"/>
            </w:tcBorders>
            <w:vAlign w:val="center"/>
          </w:tcPr>
          <w:p>
            <w:pPr>
              <w:pStyle w:val="45"/>
              <w:rPr>
                <w:color w:val="auto"/>
              </w:rPr>
            </w:pPr>
            <w:r>
              <w:rPr>
                <w:rFonts w:hint="eastAsia"/>
                <w:color w:val="auto"/>
              </w:rPr>
              <w:t>72</w:t>
            </w:r>
          </w:p>
        </w:tc>
        <w:tc>
          <w:tcPr>
            <w:tcW w:w="555" w:type="pct"/>
            <w:tcBorders>
              <w:tl2br w:val="nil"/>
              <w:tr2bl w:val="nil"/>
            </w:tcBorders>
            <w:vAlign w:val="center"/>
          </w:tcPr>
          <w:p>
            <w:pPr>
              <w:pStyle w:val="45"/>
              <w:rPr>
                <w:color w:val="auto"/>
              </w:rPr>
            </w:pPr>
            <w:r>
              <w:rPr>
                <w:rFonts w:hint="eastAsia"/>
                <w:color w:val="auto"/>
              </w:rPr>
              <w:t>70</w:t>
            </w:r>
          </w:p>
        </w:tc>
        <w:tc>
          <w:tcPr>
            <w:tcW w:w="555" w:type="pct"/>
            <w:tcBorders>
              <w:tl2br w:val="nil"/>
              <w:tr2bl w:val="nil"/>
            </w:tcBorders>
            <w:vAlign w:val="center"/>
          </w:tcPr>
          <w:p>
            <w:pPr>
              <w:pStyle w:val="45"/>
              <w:rPr>
                <w:color w:val="auto"/>
              </w:rPr>
            </w:pPr>
            <w:r>
              <w:rPr>
                <w:rFonts w:hint="eastAsia"/>
                <w:color w:val="auto"/>
              </w:rPr>
              <w:t>64</w:t>
            </w:r>
          </w:p>
        </w:tc>
        <w:tc>
          <w:tcPr>
            <w:tcW w:w="555" w:type="pct"/>
            <w:tcBorders>
              <w:tl2br w:val="nil"/>
              <w:tr2bl w:val="nil"/>
            </w:tcBorders>
            <w:vAlign w:val="center"/>
          </w:tcPr>
          <w:p>
            <w:pPr>
              <w:pStyle w:val="45"/>
              <w:rPr>
                <w:color w:val="auto"/>
              </w:rPr>
            </w:pPr>
            <w:r>
              <w:rPr>
                <w:rFonts w:hint="eastAsia"/>
                <w:color w:val="auto"/>
              </w:rPr>
              <w:t>58</w:t>
            </w:r>
          </w:p>
        </w:tc>
        <w:tc>
          <w:tcPr>
            <w:tcW w:w="555" w:type="pct"/>
            <w:tcBorders>
              <w:tl2br w:val="nil"/>
              <w:tr2bl w:val="nil"/>
            </w:tcBorders>
            <w:vAlign w:val="center"/>
          </w:tcPr>
          <w:p>
            <w:pPr>
              <w:pStyle w:val="45"/>
              <w:rPr>
                <w:color w:val="auto"/>
              </w:rPr>
            </w:pPr>
            <w:r>
              <w:rPr>
                <w:rFonts w:hint="eastAsia"/>
                <w:color w:val="auto"/>
              </w:rPr>
              <w:t>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55" w:type="pct"/>
            <w:tcBorders>
              <w:tl2br w:val="nil"/>
              <w:tr2bl w:val="nil"/>
            </w:tcBorders>
            <w:vAlign w:val="center"/>
          </w:tcPr>
          <w:p>
            <w:pPr>
              <w:pStyle w:val="45"/>
              <w:rPr>
                <w:color w:val="auto"/>
              </w:rPr>
            </w:pPr>
            <w:r>
              <w:rPr>
                <w:color w:val="auto"/>
              </w:rPr>
              <w:t>电锯</w:t>
            </w:r>
          </w:p>
        </w:tc>
        <w:tc>
          <w:tcPr>
            <w:tcW w:w="555" w:type="pct"/>
            <w:tcBorders>
              <w:tl2br w:val="nil"/>
              <w:tr2bl w:val="nil"/>
            </w:tcBorders>
            <w:vAlign w:val="center"/>
          </w:tcPr>
          <w:p>
            <w:pPr>
              <w:pStyle w:val="45"/>
              <w:rPr>
                <w:color w:val="auto"/>
              </w:rPr>
            </w:pPr>
            <w:r>
              <w:rPr>
                <w:rFonts w:hint="eastAsia"/>
                <w:color w:val="auto"/>
              </w:rPr>
              <w:t>95</w:t>
            </w:r>
          </w:p>
        </w:tc>
        <w:tc>
          <w:tcPr>
            <w:tcW w:w="555" w:type="pct"/>
            <w:tcBorders>
              <w:tl2br w:val="nil"/>
              <w:tr2bl w:val="nil"/>
            </w:tcBorders>
            <w:vAlign w:val="center"/>
          </w:tcPr>
          <w:p>
            <w:pPr>
              <w:pStyle w:val="45"/>
              <w:rPr>
                <w:color w:val="auto"/>
              </w:rPr>
            </w:pPr>
            <w:r>
              <w:rPr>
                <w:rFonts w:hint="eastAsia"/>
                <w:color w:val="auto"/>
              </w:rPr>
              <w:t>84</w:t>
            </w:r>
          </w:p>
        </w:tc>
        <w:tc>
          <w:tcPr>
            <w:tcW w:w="555" w:type="pct"/>
            <w:tcBorders>
              <w:tl2br w:val="nil"/>
              <w:tr2bl w:val="nil"/>
            </w:tcBorders>
            <w:vAlign w:val="center"/>
          </w:tcPr>
          <w:p>
            <w:pPr>
              <w:pStyle w:val="45"/>
              <w:rPr>
                <w:color w:val="auto"/>
              </w:rPr>
            </w:pPr>
            <w:r>
              <w:rPr>
                <w:rFonts w:hint="eastAsia"/>
                <w:color w:val="auto"/>
              </w:rPr>
              <w:t>74</w:t>
            </w:r>
          </w:p>
        </w:tc>
        <w:tc>
          <w:tcPr>
            <w:tcW w:w="555" w:type="pct"/>
            <w:tcBorders>
              <w:tl2br w:val="nil"/>
              <w:tr2bl w:val="nil"/>
            </w:tcBorders>
            <w:vAlign w:val="center"/>
          </w:tcPr>
          <w:p>
            <w:pPr>
              <w:pStyle w:val="45"/>
              <w:rPr>
                <w:color w:val="auto"/>
              </w:rPr>
            </w:pPr>
            <w:r>
              <w:rPr>
                <w:rFonts w:hint="eastAsia"/>
                <w:color w:val="auto"/>
              </w:rPr>
              <w:t>61</w:t>
            </w:r>
          </w:p>
        </w:tc>
        <w:tc>
          <w:tcPr>
            <w:tcW w:w="555" w:type="pct"/>
            <w:tcBorders>
              <w:tl2br w:val="nil"/>
              <w:tr2bl w:val="nil"/>
            </w:tcBorders>
            <w:vAlign w:val="center"/>
          </w:tcPr>
          <w:p>
            <w:pPr>
              <w:pStyle w:val="45"/>
              <w:rPr>
                <w:color w:val="auto"/>
              </w:rPr>
            </w:pPr>
            <w:r>
              <w:rPr>
                <w:rFonts w:hint="eastAsia"/>
                <w:color w:val="auto"/>
              </w:rPr>
              <w:t>58</w:t>
            </w:r>
          </w:p>
        </w:tc>
        <w:tc>
          <w:tcPr>
            <w:tcW w:w="555" w:type="pct"/>
            <w:tcBorders>
              <w:tl2br w:val="nil"/>
              <w:tr2bl w:val="nil"/>
            </w:tcBorders>
            <w:vAlign w:val="center"/>
          </w:tcPr>
          <w:p>
            <w:pPr>
              <w:pStyle w:val="45"/>
              <w:rPr>
                <w:color w:val="auto"/>
              </w:rPr>
            </w:pPr>
            <w:r>
              <w:rPr>
                <w:rFonts w:hint="eastAsia"/>
                <w:color w:val="auto"/>
              </w:rPr>
              <w:t>54</w:t>
            </w:r>
          </w:p>
        </w:tc>
        <w:tc>
          <w:tcPr>
            <w:tcW w:w="555" w:type="pct"/>
            <w:tcBorders>
              <w:tl2br w:val="nil"/>
              <w:tr2bl w:val="nil"/>
            </w:tcBorders>
            <w:vAlign w:val="center"/>
          </w:tcPr>
          <w:p>
            <w:pPr>
              <w:pStyle w:val="45"/>
              <w:rPr>
                <w:color w:val="auto"/>
              </w:rPr>
            </w:pPr>
            <w:r>
              <w:rPr>
                <w:rFonts w:hint="eastAsia"/>
                <w:color w:val="auto"/>
              </w:rPr>
              <w:t>48</w:t>
            </w:r>
          </w:p>
        </w:tc>
        <w:tc>
          <w:tcPr>
            <w:tcW w:w="555" w:type="pct"/>
            <w:tcBorders>
              <w:tl2br w:val="nil"/>
              <w:tr2bl w:val="nil"/>
            </w:tcBorders>
            <w:vAlign w:val="center"/>
          </w:tcPr>
          <w:p>
            <w:pPr>
              <w:pStyle w:val="45"/>
              <w:rPr>
                <w:color w:val="auto"/>
              </w:rPr>
            </w:pPr>
            <w:r>
              <w:rPr>
                <w:rFonts w:hint="eastAsia"/>
                <w:color w:val="auto"/>
              </w:rPr>
              <w:t>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55" w:type="pct"/>
            <w:tcBorders>
              <w:tl2br w:val="nil"/>
              <w:tr2bl w:val="nil"/>
            </w:tcBorders>
            <w:vAlign w:val="center"/>
          </w:tcPr>
          <w:p>
            <w:pPr>
              <w:pStyle w:val="45"/>
              <w:rPr>
                <w:color w:val="auto"/>
              </w:rPr>
            </w:pPr>
            <w:r>
              <w:rPr>
                <w:color w:val="auto"/>
              </w:rPr>
              <w:t>电钻</w:t>
            </w:r>
          </w:p>
        </w:tc>
        <w:tc>
          <w:tcPr>
            <w:tcW w:w="555" w:type="pct"/>
            <w:tcBorders>
              <w:tl2br w:val="nil"/>
              <w:tr2bl w:val="nil"/>
            </w:tcBorders>
            <w:vAlign w:val="center"/>
          </w:tcPr>
          <w:p>
            <w:pPr>
              <w:pStyle w:val="45"/>
              <w:rPr>
                <w:color w:val="auto"/>
              </w:rPr>
            </w:pPr>
            <w:r>
              <w:rPr>
                <w:rFonts w:hint="eastAsia"/>
                <w:color w:val="auto"/>
              </w:rPr>
              <w:t>92</w:t>
            </w:r>
          </w:p>
        </w:tc>
        <w:tc>
          <w:tcPr>
            <w:tcW w:w="555" w:type="pct"/>
            <w:tcBorders>
              <w:tl2br w:val="nil"/>
              <w:tr2bl w:val="nil"/>
            </w:tcBorders>
            <w:vAlign w:val="center"/>
          </w:tcPr>
          <w:p>
            <w:pPr>
              <w:pStyle w:val="45"/>
              <w:rPr>
                <w:color w:val="auto"/>
              </w:rPr>
            </w:pPr>
            <w:r>
              <w:rPr>
                <w:rFonts w:hint="eastAsia"/>
                <w:color w:val="auto"/>
              </w:rPr>
              <w:t>85</w:t>
            </w:r>
          </w:p>
        </w:tc>
        <w:tc>
          <w:tcPr>
            <w:tcW w:w="555" w:type="pct"/>
            <w:tcBorders>
              <w:tl2br w:val="nil"/>
              <w:tr2bl w:val="nil"/>
            </w:tcBorders>
            <w:vAlign w:val="center"/>
          </w:tcPr>
          <w:p>
            <w:pPr>
              <w:pStyle w:val="45"/>
              <w:rPr>
                <w:color w:val="auto"/>
              </w:rPr>
            </w:pPr>
            <w:r>
              <w:rPr>
                <w:rFonts w:hint="eastAsia"/>
                <w:color w:val="auto"/>
              </w:rPr>
              <w:t>80</w:t>
            </w:r>
          </w:p>
        </w:tc>
        <w:tc>
          <w:tcPr>
            <w:tcW w:w="555" w:type="pct"/>
            <w:tcBorders>
              <w:tl2br w:val="nil"/>
              <w:tr2bl w:val="nil"/>
            </w:tcBorders>
            <w:vAlign w:val="center"/>
          </w:tcPr>
          <w:p>
            <w:pPr>
              <w:pStyle w:val="45"/>
              <w:rPr>
                <w:color w:val="auto"/>
              </w:rPr>
            </w:pPr>
            <w:r>
              <w:rPr>
                <w:rFonts w:hint="eastAsia"/>
                <w:color w:val="auto"/>
              </w:rPr>
              <w:t>65</w:t>
            </w:r>
          </w:p>
        </w:tc>
        <w:tc>
          <w:tcPr>
            <w:tcW w:w="555" w:type="pct"/>
            <w:tcBorders>
              <w:tl2br w:val="nil"/>
              <w:tr2bl w:val="nil"/>
            </w:tcBorders>
            <w:vAlign w:val="center"/>
          </w:tcPr>
          <w:p>
            <w:pPr>
              <w:pStyle w:val="45"/>
              <w:rPr>
                <w:color w:val="auto"/>
              </w:rPr>
            </w:pPr>
            <w:r>
              <w:rPr>
                <w:rFonts w:hint="eastAsia"/>
                <w:color w:val="auto"/>
              </w:rPr>
              <w:t>55</w:t>
            </w:r>
          </w:p>
        </w:tc>
        <w:tc>
          <w:tcPr>
            <w:tcW w:w="555" w:type="pct"/>
            <w:tcBorders>
              <w:tl2br w:val="nil"/>
              <w:tr2bl w:val="nil"/>
            </w:tcBorders>
            <w:vAlign w:val="center"/>
          </w:tcPr>
          <w:p>
            <w:pPr>
              <w:pStyle w:val="45"/>
              <w:rPr>
                <w:color w:val="auto"/>
              </w:rPr>
            </w:pPr>
            <w:r>
              <w:rPr>
                <w:rFonts w:hint="eastAsia"/>
                <w:color w:val="auto"/>
              </w:rPr>
              <w:t>51</w:t>
            </w:r>
          </w:p>
        </w:tc>
        <w:tc>
          <w:tcPr>
            <w:tcW w:w="555" w:type="pct"/>
            <w:tcBorders>
              <w:tl2br w:val="nil"/>
              <w:tr2bl w:val="nil"/>
            </w:tcBorders>
            <w:vAlign w:val="center"/>
          </w:tcPr>
          <w:p>
            <w:pPr>
              <w:pStyle w:val="45"/>
              <w:rPr>
                <w:color w:val="auto"/>
              </w:rPr>
            </w:pPr>
            <w:r>
              <w:rPr>
                <w:rFonts w:hint="eastAsia"/>
                <w:color w:val="auto"/>
              </w:rPr>
              <w:t>47</w:t>
            </w:r>
          </w:p>
        </w:tc>
        <w:tc>
          <w:tcPr>
            <w:tcW w:w="555" w:type="pct"/>
            <w:tcBorders>
              <w:tl2br w:val="nil"/>
              <w:tr2bl w:val="nil"/>
            </w:tcBorders>
            <w:vAlign w:val="center"/>
          </w:tcPr>
          <w:p>
            <w:pPr>
              <w:pStyle w:val="45"/>
              <w:rPr>
                <w:color w:val="auto"/>
              </w:rPr>
            </w:pPr>
            <w:r>
              <w:rPr>
                <w:rFonts w:hint="eastAsia"/>
                <w:color w:val="auto"/>
              </w:rPr>
              <w:t>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55" w:type="pct"/>
            <w:tcBorders>
              <w:tl2br w:val="nil"/>
              <w:tr2bl w:val="nil"/>
            </w:tcBorders>
            <w:vAlign w:val="center"/>
          </w:tcPr>
          <w:p>
            <w:pPr>
              <w:pStyle w:val="45"/>
              <w:rPr>
                <w:color w:val="auto"/>
              </w:rPr>
            </w:pPr>
            <w:r>
              <w:rPr>
                <w:color w:val="auto"/>
              </w:rPr>
              <w:t>多功能木工刨</w:t>
            </w:r>
          </w:p>
        </w:tc>
        <w:tc>
          <w:tcPr>
            <w:tcW w:w="555" w:type="pct"/>
            <w:tcBorders>
              <w:tl2br w:val="nil"/>
              <w:tr2bl w:val="nil"/>
            </w:tcBorders>
            <w:vAlign w:val="center"/>
          </w:tcPr>
          <w:p>
            <w:pPr>
              <w:pStyle w:val="45"/>
              <w:rPr>
                <w:color w:val="auto"/>
              </w:rPr>
            </w:pPr>
            <w:r>
              <w:rPr>
                <w:rFonts w:hint="eastAsia"/>
                <w:color w:val="auto"/>
              </w:rPr>
              <w:t>86</w:t>
            </w:r>
          </w:p>
        </w:tc>
        <w:tc>
          <w:tcPr>
            <w:tcW w:w="555" w:type="pct"/>
            <w:tcBorders>
              <w:tl2br w:val="nil"/>
              <w:tr2bl w:val="nil"/>
            </w:tcBorders>
            <w:vAlign w:val="center"/>
          </w:tcPr>
          <w:p>
            <w:pPr>
              <w:pStyle w:val="45"/>
              <w:rPr>
                <w:color w:val="auto"/>
              </w:rPr>
            </w:pPr>
            <w:r>
              <w:rPr>
                <w:rFonts w:hint="eastAsia"/>
                <w:color w:val="auto"/>
              </w:rPr>
              <w:t>63</w:t>
            </w:r>
          </w:p>
        </w:tc>
        <w:tc>
          <w:tcPr>
            <w:tcW w:w="555" w:type="pct"/>
            <w:tcBorders>
              <w:tl2br w:val="nil"/>
              <w:tr2bl w:val="nil"/>
            </w:tcBorders>
            <w:vAlign w:val="center"/>
          </w:tcPr>
          <w:p>
            <w:pPr>
              <w:pStyle w:val="45"/>
              <w:rPr>
                <w:color w:val="auto"/>
              </w:rPr>
            </w:pPr>
            <w:r>
              <w:rPr>
                <w:rFonts w:hint="eastAsia"/>
                <w:color w:val="auto"/>
              </w:rPr>
              <w:t>89</w:t>
            </w:r>
          </w:p>
        </w:tc>
        <w:tc>
          <w:tcPr>
            <w:tcW w:w="555" w:type="pct"/>
            <w:tcBorders>
              <w:tl2br w:val="nil"/>
              <w:tr2bl w:val="nil"/>
            </w:tcBorders>
            <w:vAlign w:val="center"/>
          </w:tcPr>
          <w:p>
            <w:pPr>
              <w:pStyle w:val="45"/>
              <w:rPr>
                <w:color w:val="auto"/>
              </w:rPr>
            </w:pPr>
            <w:r>
              <w:rPr>
                <w:rFonts w:hint="eastAsia"/>
                <w:color w:val="auto"/>
              </w:rPr>
              <w:t>57</w:t>
            </w:r>
          </w:p>
        </w:tc>
        <w:tc>
          <w:tcPr>
            <w:tcW w:w="555" w:type="pct"/>
            <w:tcBorders>
              <w:tl2br w:val="nil"/>
              <w:tr2bl w:val="nil"/>
            </w:tcBorders>
            <w:vAlign w:val="center"/>
          </w:tcPr>
          <w:p>
            <w:pPr>
              <w:pStyle w:val="45"/>
              <w:rPr>
                <w:color w:val="auto"/>
              </w:rPr>
            </w:pPr>
            <w:r>
              <w:rPr>
                <w:rFonts w:hint="eastAsia"/>
                <w:color w:val="auto"/>
              </w:rPr>
              <w:t>55</w:t>
            </w:r>
          </w:p>
        </w:tc>
        <w:tc>
          <w:tcPr>
            <w:tcW w:w="555" w:type="pct"/>
            <w:tcBorders>
              <w:tl2br w:val="nil"/>
              <w:tr2bl w:val="nil"/>
            </w:tcBorders>
            <w:vAlign w:val="center"/>
          </w:tcPr>
          <w:p>
            <w:pPr>
              <w:pStyle w:val="45"/>
              <w:rPr>
                <w:color w:val="auto"/>
              </w:rPr>
            </w:pPr>
            <w:r>
              <w:rPr>
                <w:rFonts w:hint="eastAsia"/>
                <w:color w:val="auto"/>
              </w:rPr>
              <w:t>51</w:t>
            </w:r>
          </w:p>
        </w:tc>
        <w:tc>
          <w:tcPr>
            <w:tcW w:w="555" w:type="pct"/>
            <w:tcBorders>
              <w:tl2br w:val="nil"/>
              <w:tr2bl w:val="nil"/>
            </w:tcBorders>
            <w:vAlign w:val="center"/>
          </w:tcPr>
          <w:p>
            <w:pPr>
              <w:pStyle w:val="45"/>
              <w:rPr>
                <w:color w:val="auto"/>
              </w:rPr>
            </w:pPr>
            <w:r>
              <w:rPr>
                <w:rFonts w:hint="eastAsia"/>
                <w:color w:val="auto"/>
              </w:rPr>
              <w:t>48</w:t>
            </w:r>
          </w:p>
        </w:tc>
        <w:tc>
          <w:tcPr>
            <w:tcW w:w="555" w:type="pct"/>
            <w:tcBorders>
              <w:tl2br w:val="nil"/>
              <w:tr2bl w:val="nil"/>
            </w:tcBorders>
            <w:vAlign w:val="center"/>
          </w:tcPr>
          <w:p>
            <w:pPr>
              <w:pStyle w:val="45"/>
              <w:rPr>
                <w:color w:val="auto"/>
              </w:rPr>
            </w:pPr>
            <w:r>
              <w:rPr>
                <w:rFonts w:hint="eastAsia"/>
                <w:color w:val="auto"/>
              </w:rPr>
              <w:t>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55" w:type="pct"/>
            <w:tcBorders>
              <w:tl2br w:val="nil"/>
              <w:tr2bl w:val="nil"/>
            </w:tcBorders>
            <w:vAlign w:val="center"/>
          </w:tcPr>
          <w:p>
            <w:pPr>
              <w:pStyle w:val="45"/>
              <w:rPr>
                <w:color w:val="auto"/>
              </w:rPr>
            </w:pPr>
            <w:r>
              <w:rPr>
                <w:color w:val="auto"/>
              </w:rPr>
              <w:t>平路机</w:t>
            </w:r>
          </w:p>
        </w:tc>
        <w:tc>
          <w:tcPr>
            <w:tcW w:w="555" w:type="pct"/>
            <w:tcBorders>
              <w:tl2br w:val="nil"/>
              <w:tr2bl w:val="nil"/>
            </w:tcBorders>
            <w:vAlign w:val="center"/>
          </w:tcPr>
          <w:p>
            <w:pPr>
              <w:pStyle w:val="45"/>
              <w:rPr>
                <w:color w:val="auto"/>
              </w:rPr>
            </w:pPr>
            <w:r>
              <w:rPr>
                <w:rFonts w:hint="eastAsia"/>
                <w:color w:val="auto"/>
              </w:rPr>
              <w:t>86</w:t>
            </w:r>
          </w:p>
        </w:tc>
        <w:tc>
          <w:tcPr>
            <w:tcW w:w="555" w:type="pct"/>
            <w:tcBorders>
              <w:tl2br w:val="nil"/>
              <w:tr2bl w:val="nil"/>
            </w:tcBorders>
            <w:vAlign w:val="center"/>
          </w:tcPr>
          <w:p>
            <w:pPr>
              <w:pStyle w:val="45"/>
              <w:rPr>
                <w:color w:val="auto"/>
              </w:rPr>
            </w:pPr>
            <w:r>
              <w:rPr>
                <w:rFonts w:hint="eastAsia"/>
                <w:color w:val="auto"/>
              </w:rPr>
              <w:t>80</w:t>
            </w:r>
          </w:p>
        </w:tc>
        <w:tc>
          <w:tcPr>
            <w:tcW w:w="555" w:type="pct"/>
            <w:tcBorders>
              <w:tl2br w:val="nil"/>
              <w:tr2bl w:val="nil"/>
            </w:tcBorders>
            <w:vAlign w:val="center"/>
          </w:tcPr>
          <w:p>
            <w:pPr>
              <w:pStyle w:val="45"/>
              <w:rPr>
                <w:color w:val="auto"/>
              </w:rPr>
            </w:pPr>
            <w:r>
              <w:rPr>
                <w:rFonts w:hint="eastAsia"/>
                <w:color w:val="auto"/>
              </w:rPr>
              <w:t>74</w:t>
            </w:r>
          </w:p>
        </w:tc>
        <w:tc>
          <w:tcPr>
            <w:tcW w:w="555" w:type="pct"/>
            <w:tcBorders>
              <w:tl2br w:val="nil"/>
              <w:tr2bl w:val="nil"/>
            </w:tcBorders>
            <w:vAlign w:val="center"/>
          </w:tcPr>
          <w:p>
            <w:pPr>
              <w:pStyle w:val="45"/>
              <w:rPr>
                <w:color w:val="auto"/>
              </w:rPr>
            </w:pPr>
            <w:r>
              <w:rPr>
                <w:rFonts w:hint="eastAsia"/>
                <w:color w:val="auto"/>
              </w:rPr>
              <w:t>68</w:t>
            </w:r>
          </w:p>
        </w:tc>
        <w:tc>
          <w:tcPr>
            <w:tcW w:w="555" w:type="pct"/>
            <w:tcBorders>
              <w:tl2br w:val="nil"/>
              <w:tr2bl w:val="nil"/>
            </w:tcBorders>
            <w:vAlign w:val="center"/>
          </w:tcPr>
          <w:p>
            <w:pPr>
              <w:pStyle w:val="45"/>
              <w:rPr>
                <w:color w:val="auto"/>
              </w:rPr>
            </w:pPr>
            <w:r>
              <w:rPr>
                <w:rFonts w:hint="eastAsia"/>
                <w:color w:val="auto"/>
              </w:rPr>
              <w:t>66</w:t>
            </w:r>
          </w:p>
        </w:tc>
        <w:tc>
          <w:tcPr>
            <w:tcW w:w="555" w:type="pct"/>
            <w:tcBorders>
              <w:tl2br w:val="nil"/>
              <w:tr2bl w:val="nil"/>
            </w:tcBorders>
            <w:vAlign w:val="center"/>
          </w:tcPr>
          <w:p>
            <w:pPr>
              <w:pStyle w:val="45"/>
              <w:rPr>
                <w:color w:val="auto"/>
              </w:rPr>
            </w:pPr>
            <w:r>
              <w:rPr>
                <w:rFonts w:hint="eastAsia"/>
                <w:color w:val="auto"/>
              </w:rPr>
              <w:t>60</w:t>
            </w:r>
          </w:p>
        </w:tc>
        <w:tc>
          <w:tcPr>
            <w:tcW w:w="555" w:type="pct"/>
            <w:tcBorders>
              <w:tl2br w:val="nil"/>
              <w:tr2bl w:val="nil"/>
            </w:tcBorders>
            <w:vAlign w:val="center"/>
          </w:tcPr>
          <w:p>
            <w:pPr>
              <w:pStyle w:val="45"/>
              <w:rPr>
                <w:color w:val="auto"/>
              </w:rPr>
            </w:pPr>
            <w:r>
              <w:rPr>
                <w:rFonts w:hint="eastAsia"/>
                <w:color w:val="auto"/>
              </w:rPr>
              <w:t>54</w:t>
            </w:r>
          </w:p>
        </w:tc>
        <w:tc>
          <w:tcPr>
            <w:tcW w:w="555" w:type="pct"/>
            <w:tcBorders>
              <w:tl2br w:val="nil"/>
              <w:tr2bl w:val="nil"/>
            </w:tcBorders>
            <w:vAlign w:val="center"/>
          </w:tcPr>
          <w:p>
            <w:pPr>
              <w:pStyle w:val="45"/>
              <w:rPr>
                <w:color w:val="auto"/>
              </w:rPr>
            </w:pPr>
            <w:r>
              <w:rPr>
                <w:rFonts w:hint="eastAsia"/>
                <w:color w:val="auto"/>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55" w:type="pct"/>
            <w:tcBorders>
              <w:tl2br w:val="nil"/>
              <w:tr2bl w:val="nil"/>
            </w:tcBorders>
            <w:vAlign w:val="center"/>
          </w:tcPr>
          <w:p>
            <w:pPr>
              <w:pStyle w:val="45"/>
              <w:rPr>
                <w:color w:val="auto"/>
              </w:rPr>
            </w:pPr>
            <w:r>
              <w:rPr>
                <w:color w:val="auto"/>
              </w:rPr>
              <w:t>压路机</w:t>
            </w:r>
          </w:p>
        </w:tc>
        <w:tc>
          <w:tcPr>
            <w:tcW w:w="555" w:type="pct"/>
            <w:tcBorders>
              <w:tl2br w:val="nil"/>
              <w:tr2bl w:val="nil"/>
            </w:tcBorders>
            <w:vAlign w:val="center"/>
          </w:tcPr>
          <w:p>
            <w:pPr>
              <w:pStyle w:val="45"/>
              <w:rPr>
                <w:color w:val="auto"/>
              </w:rPr>
            </w:pPr>
            <w:r>
              <w:rPr>
                <w:rFonts w:hint="eastAsia"/>
                <w:color w:val="auto"/>
              </w:rPr>
              <w:t>86</w:t>
            </w:r>
          </w:p>
        </w:tc>
        <w:tc>
          <w:tcPr>
            <w:tcW w:w="555" w:type="pct"/>
            <w:tcBorders>
              <w:tl2br w:val="nil"/>
              <w:tr2bl w:val="nil"/>
            </w:tcBorders>
            <w:vAlign w:val="center"/>
          </w:tcPr>
          <w:p>
            <w:pPr>
              <w:pStyle w:val="45"/>
              <w:rPr>
                <w:color w:val="auto"/>
              </w:rPr>
            </w:pPr>
            <w:r>
              <w:rPr>
                <w:rFonts w:hint="eastAsia"/>
                <w:color w:val="auto"/>
              </w:rPr>
              <w:t>80</w:t>
            </w:r>
          </w:p>
        </w:tc>
        <w:tc>
          <w:tcPr>
            <w:tcW w:w="555" w:type="pct"/>
            <w:tcBorders>
              <w:tl2br w:val="nil"/>
              <w:tr2bl w:val="nil"/>
            </w:tcBorders>
            <w:vAlign w:val="center"/>
          </w:tcPr>
          <w:p>
            <w:pPr>
              <w:pStyle w:val="45"/>
              <w:rPr>
                <w:color w:val="auto"/>
              </w:rPr>
            </w:pPr>
            <w:r>
              <w:rPr>
                <w:rFonts w:hint="eastAsia"/>
                <w:color w:val="auto"/>
              </w:rPr>
              <w:t>74</w:t>
            </w:r>
          </w:p>
        </w:tc>
        <w:tc>
          <w:tcPr>
            <w:tcW w:w="555" w:type="pct"/>
            <w:tcBorders>
              <w:tl2br w:val="nil"/>
              <w:tr2bl w:val="nil"/>
            </w:tcBorders>
            <w:vAlign w:val="center"/>
          </w:tcPr>
          <w:p>
            <w:pPr>
              <w:pStyle w:val="45"/>
              <w:rPr>
                <w:color w:val="auto"/>
              </w:rPr>
            </w:pPr>
            <w:r>
              <w:rPr>
                <w:rFonts w:hint="eastAsia"/>
                <w:color w:val="auto"/>
              </w:rPr>
              <w:t>68</w:t>
            </w:r>
          </w:p>
        </w:tc>
        <w:tc>
          <w:tcPr>
            <w:tcW w:w="555" w:type="pct"/>
            <w:tcBorders>
              <w:tl2br w:val="nil"/>
              <w:tr2bl w:val="nil"/>
            </w:tcBorders>
            <w:vAlign w:val="center"/>
          </w:tcPr>
          <w:p>
            <w:pPr>
              <w:pStyle w:val="45"/>
              <w:rPr>
                <w:color w:val="auto"/>
              </w:rPr>
            </w:pPr>
            <w:r>
              <w:rPr>
                <w:rFonts w:hint="eastAsia"/>
                <w:color w:val="auto"/>
              </w:rPr>
              <w:t>66</w:t>
            </w:r>
          </w:p>
        </w:tc>
        <w:tc>
          <w:tcPr>
            <w:tcW w:w="555" w:type="pct"/>
            <w:tcBorders>
              <w:tl2br w:val="nil"/>
              <w:tr2bl w:val="nil"/>
            </w:tcBorders>
            <w:vAlign w:val="center"/>
          </w:tcPr>
          <w:p>
            <w:pPr>
              <w:pStyle w:val="45"/>
              <w:rPr>
                <w:color w:val="auto"/>
              </w:rPr>
            </w:pPr>
            <w:r>
              <w:rPr>
                <w:rFonts w:hint="eastAsia"/>
                <w:color w:val="auto"/>
              </w:rPr>
              <w:t>60</w:t>
            </w:r>
          </w:p>
        </w:tc>
        <w:tc>
          <w:tcPr>
            <w:tcW w:w="555" w:type="pct"/>
            <w:tcBorders>
              <w:tl2br w:val="nil"/>
              <w:tr2bl w:val="nil"/>
            </w:tcBorders>
            <w:vAlign w:val="center"/>
          </w:tcPr>
          <w:p>
            <w:pPr>
              <w:pStyle w:val="45"/>
              <w:rPr>
                <w:color w:val="auto"/>
              </w:rPr>
            </w:pPr>
            <w:r>
              <w:rPr>
                <w:rFonts w:hint="eastAsia"/>
                <w:color w:val="auto"/>
              </w:rPr>
              <w:t>54</w:t>
            </w:r>
          </w:p>
        </w:tc>
        <w:tc>
          <w:tcPr>
            <w:tcW w:w="555" w:type="pct"/>
            <w:tcBorders>
              <w:tl2br w:val="nil"/>
              <w:tr2bl w:val="nil"/>
            </w:tcBorders>
            <w:vAlign w:val="center"/>
          </w:tcPr>
          <w:p>
            <w:pPr>
              <w:pStyle w:val="45"/>
              <w:rPr>
                <w:color w:val="auto"/>
              </w:rPr>
            </w:pPr>
            <w:r>
              <w:rPr>
                <w:rFonts w:hint="eastAsia"/>
                <w:color w:val="auto"/>
              </w:rPr>
              <w:t>50</w:t>
            </w:r>
          </w:p>
        </w:tc>
      </w:tr>
    </w:tbl>
    <w:p>
      <w:pPr>
        <w:ind w:firstLine="480"/>
        <w:rPr>
          <w:color w:val="auto"/>
        </w:rPr>
      </w:pPr>
      <w:r>
        <w:rPr>
          <w:color w:val="auto"/>
        </w:rPr>
        <w:t>从</w:t>
      </w:r>
      <w:r>
        <w:rPr>
          <w:rFonts w:hint="eastAsia"/>
          <w:color w:val="auto"/>
        </w:rPr>
        <w:t>上表</w:t>
      </w:r>
      <w:r>
        <w:rPr>
          <w:color w:val="auto"/>
        </w:rPr>
        <w:t>数据可以看出，在未采取降噪措施的情况下，施工机械对周围环境影响较大，白天在距离声源50m的范围内施工噪声超过《建筑施工场界环境噪声排放标准》（GB12523-2011）的规定，夜间施工超标情况出现在200m范围内。</w:t>
      </w:r>
    </w:p>
    <w:p>
      <w:pPr>
        <w:ind w:firstLine="480"/>
        <w:rPr>
          <w:color w:val="auto"/>
        </w:rPr>
      </w:pPr>
      <w:r>
        <w:rPr>
          <w:color w:val="auto"/>
        </w:rPr>
        <w:t>（4）噪声对敏感点的影响分析</w:t>
      </w:r>
    </w:p>
    <w:p>
      <w:pPr>
        <w:ind w:firstLine="480"/>
        <w:rPr>
          <w:color w:val="auto"/>
        </w:rPr>
      </w:pPr>
      <w:r>
        <w:rPr>
          <w:color w:val="auto"/>
        </w:rPr>
        <w:t>根据上述计算结果，主要施工机械噪声昼间、夜间均产生影响，夜间在200m范围内影响居民生活与休息。</w:t>
      </w:r>
      <w:r>
        <w:rPr>
          <w:rFonts w:hint="eastAsia"/>
          <w:color w:val="auto"/>
        </w:rPr>
        <w:t>距离项目最近的环境敏感目标为西北方向180米的解营村，项目建设地点与环境敏感目标相距较近，因此夜间不施工。</w:t>
      </w:r>
    </w:p>
    <w:p>
      <w:pPr>
        <w:pStyle w:val="9"/>
        <w:tabs>
          <w:tab w:val="left" w:pos="6685"/>
        </w:tabs>
        <w:spacing w:before="0" w:beforeLines="0" w:after="0" w:afterLines="0"/>
        <w:rPr>
          <w:color w:val="auto"/>
        </w:rPr>
      </w:pPr>
      <w:bookmarkStart w:id="386" w:name="_Toc3322"/>
      <w:r>
        <w:rPr>
          <w:rFonts w:hint="eastAsia"/>
          <w:color w:val="auto"/>
        </w:rPr>
        <w:t>7.2.4施工期固体废物环境影响分析</w:t>
      </w:r>
      <w:bookmarkEnd w:id="386"/>
    </w:p>
    <w:p>
      <w:pPr>
        <w:pStyle w:val="14"/>
        <w:spacing w:after="0"/>
        <w:ind w:firstLine="480"/>
        <w:rPr>
          <w:color w:val="auto"/>
        </w:rPr>
      </w:pPr>
      <w:r>
        <w:rPr>
          <w:color w:val="auto"/>
        </w:rPr>
        <w:t>施工期固体</w:t>
      </w:r>
      <w:r>
        <w:rPr>
          <w:rFonts w:hint="eastAsia"/>
          <w:color w:val="auto"/>
        </w:rPr>
        <w:t>副产品</w:t>
      </w:r>
      <w:r>
        <w:rPr>
          <w:color w:val="auto"/>
        </w:rPr>
        <w:t>主要是施工人员的生活垃圾、土方施工开挖的渣土、碎石等；物料运送过程的物料损耗，包括砂石、混凝土；铺路修整阶段石料、灰渣、建材等的损耗与遗弃。施工期间，产生的固体</w:t>
      </w:r>
      <w:r>
        <w:rPr>
          <w:rFonts w:hint="eastAsia"/>
          <w:color w:val="auto"/>
        </w:rPr>
        <w:t>副产品</w:t>
      </w:r>
      <w:r>
        <w:rPr>
          <w:color w:val="auto"/>
        </w:rPr>
        <w:t>定点堆放、管理。另外，车辆装载运输时泥土的散落、车轮沾上的泥土会导致运输公路上布满泥土，因此施工中必须注意施工道路遗土的处置，及时清理。施工期生活垃圾及时清理，集中堆放后送往指定的生活垃圾填埋场，由市政环卫部门负责生活垃圾的收运。因此施工固体废物对周围的环境影响甚微。</w:t>
      </w:r>
    </w:p>
    <w:p>
      <w:pPr>
        <w:pStyle w:val="9"/>
        <w:tabs>
          <w:tab w:val="left" w:pos="6685"/>
        </w:tabs>
        <w:spacing w:before="0" w:beforeLines="0" w:after="0" w:afterLines="0"/>
        <w:rPr>
          <w:color w:val="auto"/>
        </w:rPr>
      </w:pPr>
      <w:bookmarkStart w:id="387" w:name="_Toc23743"/>
      <w:r>
        <w:rPr>
          <w:rFonts w:hint="eastAsia"/>
          <w:color w:val="auto"/>
        </w:rPr>
        <w:t>7.2.5施工期生态环境影响分析</w:t>
      </w:r>
      <w:bookmarkEnd w:id="387"/>
    </w:p>
    <w:p>
      <w:pPr>
        <w:ind w:firstLine="480"/>
        <w:rPr>
          <w:color w:val="auto"/>
        </w:rPr>
      </w:pPr>
      <w:r>
        <w:rPr>
          <w:rFonts w:hint="eastAsia"/>
          <w:color w:val="auto"/>
        </w:rPr>
        <w:t>1、</w:t>
      </w:r>
      <w:r>
        <w:rPr>
          <w:color w:val="auto"/>
        </w:rPr>
        <w:t>施工期对植被的影响分析</w:t>
      </w:r>
    </w:p>
    <w:p>
      <w:pPr>
        <w:ind w:firstLine="480"/>
        <w:rPr>
          <w:color w:val="auto"/>
        </w:rPr>
      </w:pPr>
      <w:r>
        <w:rPr>
          <w:color w:val="auto"/>
        </w:rPr>
        <w:t>随着施工的进行，施工范围内的杂草将彻底消失，区域生物受到一定影响。但由于受破坏的植被类型为评价区域的常见类型，且较少，也无国家重点保护的珍稀濒危植物和野生动物，因此，</w:t>
      </w:r>
      <w:r>
        <w:rPr>
          <w:rFonts w:hint="eastAsia"/>
          <w:color w:val="auto"/>
        </w:rPr>
        <w:t>拟建项目</w:t>
      </w:r>
      <w:r>
        <w:rPr>
          <w:color w:val="auto"/>
        </w:rPr>
        <w:t>的建设对植物区系、植被类型的影响不大，不会导致区域内现有种类和植被类型的消失灭绝。</w:t>
      </w:r>
    </w:p>
    <w:p>
      <w:pPr>
        <w:ind w:firstLine="480"/>
        <w:rPr>
          <w:color w:val="auto"/>
        </w:rPr>
      </w:pPr>
      <w:r>
        <w:rPr>
          <w:rFonts w:hint="eastAsia"/>
          <w:color w:val="auto"/>
        </w:rPr>
        <w:t>2、</w:t>
      </w:r>
      <w:r>
        <w:rPr>
          <w:color w:val="auto"/>
        </w:rPr>
        <w:t>施工期对动物的影响分析</w:t>
      </w:r>
    </w:p>
    <w:p>
      <w:pPr>
        <w:ind w:firstLine="480"/>
        <w:rPr>
          <w:color w:val="auto"/>
        </w:rPr>
      </w:pPr>
      <w:r>
        <w:rPr>
          <w:color w:val="auto"/>
        </w:rPr>
        <w:t>施工期对陆生动物的直接影响是施工人员集中活动和工程施工过程对动物的惊扰；间接影响主要是厂房建设破坏植被和土壤。施工区的主要动物是小型兽类、小型常见鸟类和蛙类、常见的蜥蜴类，且数量不多，具有较强的迁移能力，因此，施工期对这些动物的生存影响较小。</w:t>
      </w:r>
    </w:p>
    <w:p>
      <w:pPr>
        <w:ind w:firstLine="480"/>
        <w:rPr>
          <w:color w:val="auto"/>
        </w:rPr>
      </w:pPr>
      <w:r>
        <w:rPr>
          <w:rFonts w:hint="eastAsia"/>
          <w:color w:val="auto"/>
        </w:rPr>
        <w:t>3、</w:t>
      </w:r>
      <w:r>
        <w:rPr>
          <w:color w:val="auto"/>
        </w:rPr>
        <w:t>施工期对其他生态环境的影响分析</w:t>
      </w:r>
    </w:p>
    <w:p>
      <w:pPr>
        <w:ind w:firstLine="480"/>
        <w:rPr>
          <w:color w:val="auto"/>
        </w:rPr>
      </w:pPr>
      <w:r>
        <w:rPr>
          <w:color w:val="auto"/>
        </w:rPr>
        <w:t>在施工场地平整以及建设过程中会产生水土流失。施工用的砂土若随意堆放和场地平整后未及时绿化，在大风天气将产生风蚀，造成环境空气污染，雨季又会产生水蚀，加重地表水体污染；因此必须采取相应的措施。如：施工砂土在室内堆放或搭建顶棚，大风天气设置围档；场地平整后尽快夯实、硬化，大风天气适量洒水等。</w:t>
      </w:r>
    </w:p>
    <w:p>
      <w:pPr>
        <w:ind w:firstLine="480"/>
        <w:rPr>
          <w:color w:val="auto"/>
        </w:rPr>
      </w:pPr>
      <w:r>
        <w:rPr>
          <w:rFonts w:hint="eastAsia"/>
          <w:color w:val="auto"/>
        </w:rPr>
        <w:t>4、</w:t>
      </w:r>
      <w:r>
        <w:rPr>
          <w:color w:val="auto"/>
        </w:rPr>
        <w:t>施工期生态恢复治理措施</w:t>
      </w:r>
    </w:p>
    <w:p>
      <w:pPr>
        <w:ind w:firstLine="480"/>
        <w:rPr>
          <w:color w:val="auto"/>
        </w:rPr>
      </w:pPr>
      <w:r>
        <w:rPr>
          <w:color w:val="auto"/>
        </w:rPr>
        <w:t>①加强施工期环境管理，强化施工人员环保意识，规范施工。</w:t>
      </w:r>
    </w:p>
    <w:p>
      <w:pPr>
        <w:ind w:firstLine="480"/>
        <w:rPr>
          <w:color w:val="auto"/>
        </w:rPr>
      </w:pPr>
      <w:r>
        <w:rPr>
          <w:color w:val="auto"/>
        </w:rPr>
        <w:t>②划定施工作业范围和路线，不得随意扩大，按规定进行操作。严格控制和管理运输车辆及重型机械施工作业范围，尽可能减少对地表植被的破坏。</w:t>
      </w:r>
    </w:p>
    <w:p>
      <w:pPr>
        <w:ind w:firstLine="480"/>
        <w:rPr>
          <w:color w:val="auto"/>
        </w:rPr>
      </w:pPr>
      <w:r>
        <w:rPr>
          <w:color w:val="auto"/>
        </w:rPr>
        <w:t>③为减轻水土流失，工程作业时尽量避免安排在雨季或雨季到来之前。</w:t>
      </w:r>
    </w:p>
    <w:p>
      <w:pPr>
        <w:ind w:firstLine="480"/>
        <w:rPr>
          <w:color w:val="auto"/>
        </w:rPr>
      </w:pPr>
      <w:r>
        <w:rPr>
          <w:color w:val="auto"/>
        </w:rPr>
        <w:t>④对各类临时占地工程完成后及时清理场地、恢复植被。</w:t>
      </w:r>
    </w:p>
    <w:p>
      <w:pPr>
        <w:ind w:firstLine="480"/>
        <w:rPr>
          <w:color w:val="auto"/>
        </w:rPr>
        <w:sectPr>
          <w:pgSz w:w="11906" w:h="16838"/>
          <w:pgMar w:top="1417" w:right="1417" w:bottom="1446" w:left="1417" w:header="851" w:footer="992" w:gutter="0"/>
          <w:pgBorders>
            <w:top w:val="none" w:sz="0" w:space="0"/>
            <w:left w:val="none" w:sz="0" w:space="0"/>
            <w:bottom w:val="none" w:sz="0" w:space="0"/>
            <w:right w:val="none" w:sz="0" w:space="0"/>
          </w:pgBorders>
          <w:cols w:space="425" w:num="1"/>
          <w:docGrid w:type="lines" w:linePitch="312" w:charSpace="0"/>
        </w:sectPr>
      </w:pPr>
    </w:p>
    <w:p>
      <w:pPr>
        <w:pStyle w:val="7"/>
        <w:pageBreakBefore w:val="0"/>
        <w:widowControl w:val="0"/>
        <w:kinsoku/>
        <w:wordWrap/>
        <w:overflowPunct/>
        <w:topLinePunct w:val="0"/>
        <w:autoSpaceDE/>
        <w:autoSpaceDN/>
        <w:bidi w:val="0"/>
        <w:adjustRightInd/>
        <w:snapToGrid/>
        <w:spacing w:before="0" w:beforeLines="0" w:after="0" w:afterLines="0"/>
        <w:textAlignment w:val="auto"/>
        <w:rPr>
          <w:rFonts w:cs="Times New Roman"/>
          <w:color w:val="auto"/>
        </w:rPr>
      </w:pPr>
      <w:bookmarkStart w:id="388" w:name="_Toc11174"/>
      <w:bookmarkStart w:id="389" w:name="_Toc15888"/>
      <w:r>
        <w:rPr>
          <w:rFonts w:cs="Times New Roman"/>
          <w:color w:val="auto"/>
        </w:rPr>
        <w:t>8 环境保护措施及其技术、经济论证</w:t>
      </w:r>
      <w:bookmarkEnd w:id="388"/>
      <w:bookmarkEnd w:id="389"/>
    </w:p>
    <w:p>
      <w:pPr>
        <w:pStyle w:val="8"/>
        <w:pageBreakBefore w:val="0"/>
        <w:widowControl w:val="0"/>
        <w:kinsoku/>
        <w:wordWrap/>
        <w:overflowPunct/>
        <w:topLinePunct w:val="0"/>
        <w:autoSpaceDE/>
        <w:autoSpaceDN/>
        <w:bidi w:val="0"/>
        <w:adjustRightInd/>
        <w:snapToGrid/>
        <w:spacing w:before="0" w:beforeLines="0" w:after="0" w:afterLines="0" w:line="360" w:lineRule="auto"/>
        <w:textAlignment w:val="auto"/>
        <w:rPr>
          <w:color w:val="auto"/>
        </w:rPr>
      </w:pPr>
      <w:bookmarkStart w:id="390" w:name="_Toc2014"/>
      <w:bookmarkStart w:id="391" w:name="_Toc16267"/>
      <w:r>
        <w:rPr>
          <w:color w:val="auto"/>
        </w:rPr>
        <w:t>8.1 废气污染防治措施及</w:t>
      </w:r>
      <w:r>
        <w:rPr>
          <w:rFonts w:hint="eastAsia"/>
          <w:color w:val="auto"/>
        </w:rPr>
        <w:t>其</w:t>
      </w:r>
      <w:r>
        <w:rPr>
          <w:color w:val="auto"/>
        </w:rPr>
        <w:t>技术</w:t>
      </w:r>
      <w:r>
        <w:rPr>
          <w:rFonts w:hint="eastAsia"/>
          <w:color w:val="auto"/>
        </w:rPr>
        <w:t>、</w:t>
      </w:r>
      <w:r>
        <w:rPr>
          <w:color w:val="auto"/>
        </w:rPr>
        <w:t>经济论证</w:t>
      </w:r>
      <w:bookmarkEnd w:id="390"/>
      <w:bookmarkEnd w:id="391"/>
    </w:p>
    <w:p>
      <w:pPr>
        <w:pStyle w:val="9"/>
        <w:pageBreakBefore w:val="0"/>
        <w:widowControl w:val="0"/>
        <w:kinsoku/>
        <w:wordWrap/>
        <w:overflowPunct/>
        <w:topLinePunct w:val="0"/>
        <w:autoSpaceDE/>
        <w:autoSpaceDN/>
        <w:bidi w:val="0"/>
        <w:adjustRightInd/>
        <w:snapToGrid/>
        <w:spacing w:before="0" w:beforeLines="0" w:after="0" w:afterLines="0" w:line="360" w:lineRule="auto"/>
        <w:textAlignment w:val="auto"/>
        <w:rPr>
          <w:color w:val="auto"/>
        </w:rPr>
      </w:pPr>
      <w:r>
        <w:rPr>
          <w:color w:val="auto"/>
        </w:rPr>
        <w:t>8.1.1 废气处理措施</w:t>
      </w:r>
    </w:p>
    <w:p>
      <w:pPr>
        <w:pageBreakBefore w:val="0"/>
        <w:widowControl w:val="0"/>
        <w:kinsoku/>
        <w:wordWrap/>
        <w:overflowPunct/>
        <w:topLinePunct w:val="0"/>
        <w:autoSpaceDE/>
        <w:autoSpaceDN/>
        <w:bidi w:val="0"/>
        <w:adjustRightInd/>
        <w:snapToGrid/>
        <w:ind w:firstLine="482"/>
        <w:textAlignment w:val="auto"/>
        <w:rPr>
          <w:b/>
          <w:color w:val="auto"/>
        </w:rPr>
      </w:pPr>
      <w:r>
        <w:rPr>
          <w:b/>
          <w:color w:val="auto"/>
        </w:rPr>
        <w:t>1、有组织废气</w:t>
      </w:r>
    </w:p>
    <w:p>
      <w:pPr>
        <w:pageBreakBefore w:val="0"/>
        <w:widowControl w:val="0"/>
        <w:kinsoku/>
        <w:wordWrap/>
        <w:overflowPunct/>
        <w:topLinePunct w:val="0"/>
        <w:autoSpaceDE/>
        <w:autoSpaceDN/>
        <w:bidi w:val="0"/>
        <w:adjustRightInd/>
        <w:snapToGrid/>
        <w:spacing w:line="400" w:lineRule="exact"/>
        <w:ind w:firstLine="480"/>
        <w:textAlignment w:val="auto"/>
        <w:rPr>
          <w:color w:val="auto"/>
        </w:rPr>
      </w:pPr>
      <w:r>
        <w:rPr>
          <w:rFonts w:hint="eastAsia"/>
          <w:color w:val="auto"/>
        </w:rPr>
        <w:t>拟建项目</w:t>
      </w:r>
      <w:r>
        <w:rPr>
          <w:color w:val="auto"/>
        </w:rPr>
        <w:t>有组织排放废气为工艺废气，有组织废气产生情况及治理措施见表8.1-1，有组织废气走向见图8.1-1。</w:t>
      </w:r>
    </w:p>
    <w:p>
      <w:pPr>
        <w:ind w:firstLine="0" w:firstLineChars="0"/>
        <w:jc w:val="center"/>
        <w:rPr>
          <w:b/>
          <w:color w:val="auto"/>
        </w:rPr>
      </w:pPr>
      <w:r>
        <w:rPr>
          <w:b/>
          <w:color w:val="auto"/>
        </w:rPr>
        <w:t>表8.1-1  有组织废气产生情况及治理措施一览表</w:t>
      </w:r>
    </w:p>
    <w:tbl>
      <w:tblPr>
        <w:tblStyle w:val="2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181"/>
        <w:gridCol w:w="2612"/>
        <w:gridCol w:w="1612"/>
        <w:gridCol w:w="271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95" w:type="pct"/>
            <w:tcMar>
              <w:left w:w="28" w:type="dxa"/>
              <w:right w:w="28" w:type="dxa"/>
            </w:tcMar>
            <w:vAlign w:val="center"/>
          </w:tcPr>
          <w:p>
            <w:pPr>
              <w:spacing w:before="31" w:beforeLines="10" w:after="31" w:afterLines="10" w:line="240" w:lineRule="auto"/>
              <w:ind w:firstLine="0" w:firstLineChars="0"/>
              <w:contextualSpacing/>
              <w:jc w:val="center"/>
              <w:rPr>
                <w:b/>
                <w:color w:val="auto"/>
                <w:sz w:val="21"/>
                <w:szCs w:val="21"/>
              </w:rPr>
            </w:pPr>
            <w:r>
              <w:rPr>
                <w:b/>
                <w:color w:val="auto"/>
                <w:sz w:val="21"/>
                <w:szCs w:val="21"/>
              </w:rPr>
              <w:t>产污环节</w:t>
            </w:r>
          </w:p>
        </w:tc>
        <w:tc>
          <w:tcPr>
            <w:tcW w:w="1431" w:type="pct"/>
            <w:vAlign w:val="center"/>
          </w:tcPr>
          <w:p>
            <w:pPr>
              <w:spacing w:before="31" w:beforeLines="10" w:after="31" w:afterLines="10" w:line="240" w:lineRule="auto"/>
              <w:ind w:firstLine="0" w:firstLineChars="0"/>
              <w:contextualSpacing/>
              <w:jc w:val="center"/>
              <w:rPr>
                <w:b/>
                <w:color w:val="auto"/>
                <w:sz w:val="21"/>
                <w:szCs w:val="21"/>
              </w:rPr>
            </w:pPr>
            <w:r>
              <w:rPr>
                <w:b/>
                <w:color w:val="auto"/>
                <w:sz w:val="21"/>
                <w:szCs w:val="21"/>
              </w:rPr>
              <w:t>主要污染物</w:t>
            </w:r>
          </w:p>
        </w:tc>
        <w:tc>
          <w:tcPr>
            <w:tcW w:w="883" w:type="pct"/>
            <w:tcMar>
              <w:left w:w="28" w:type="dxa"/>
              <w:right w:w="28" w:type="dxa"/>
            </w:tcMar>
            <w:vAlign w:val="center"/>
          </w:tcPr>
          <w:p>
            <w:pPr>
              <w:spacing w:before="31" w:beforeLines="10" w:after="31" w:afterLines="10" w:line="240" w:lineRule="auto"/>
              <w:ind w:firstLine="0" w:firstLineChars="0"/>
              <w:contextualSpacing/>
              <w:jc w:val="center"/>
              <w:rPr>
                <w:b/>
                <w:color w:val="auto"/>
                <w:sz w:val="21"/>
                <w:szCs w:val="21"/>
              </w:rPr>
            </w:pPr>
            <w:r>
              <w:rPr>
                <w:b/>
                <w:color w:val="auto"/>
                <w:sz w:val="21"/>
                <w:szCs w:val="21"/>
              </w:rPr>
              <w:t>治理措施</w:t>
            </w:r>
          </w:p>
        </w:tc>
        <w:tc>
          <w:tcPr>
            <w:tcW w:w="1489" w:type="pct"/>
            <w:tcMar>
              <w:left w:w="28" w:type="dxa"/>
              <w:right w:w="28" w:type="dxa"/>
            </w:tcMar>
            <w:vAlign w:val="center"/>
          </w:tcPr>
          <w:p>
            <w:pPr>
              <w:spacing w:before="31" w:beforeLines="10" w:after="31" w:afterLines="10" w:line="240" w:lineRule="auto"/>
              <w:ind w:firstLine="0" w:firstLineChars="0"/>
              <w:contextualSpacing/>
              <w:jc w:val="center"/>
              <w:rPr>
                <w:b/>
                <w:color w:val="auto"/>
                <w:sz w:val="21"/>
                <w:szCs w:val="21"/>
              </w:rPr>
            </w:pPr>
            <w:r>
              <w:rPr>
                <w:b/>
                <w:color w:val="auto"/>
                <w:sz w:val="21"/>
                <w:szCs w:val="21"/>
              </w:rPr>
              <w:t>排放方式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95" w:type="pct"/>
            <w:tcMar>
              <w:left w:w="28" w:type="dxa"/>
              <w:right w:w="28" w:type="dxa"/>
            </w:tcMar>
            <w:vAlign w:val="center"/>
          </w:tcPr>
          <w:p>
            <w:pPr>
              <w:spacing w:before="31" w:beforeLines="10" w:after="31" w:afterLines="10" w:line="240" w:lineRule="auto"/>
              <w:ind w:firstLine="0" w:firstLineChars="0"/>
              <w:contextualSpacing/>
              <w:jc w:val="center"/>
              <w:rPr>
                <w:rFonts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脱水冷凝不凝气</w:t>
            </w:r>
          </w:p>
        </w:tc>
        <w:tc>
          <w:tcPr>
            <w:tcW w:w="1431" w:type="pct"/>
            <w:tcMar>
              <w:left w:w="28" w:type="dxa"/>
              <w:right w:w="28" w:type="dxa"/>
            </w:tcMar>
            <w:vAlign w:val="center"/>
          </w:tcPr>
          <w:p>
            <w:pPr>
              <w:spacing w:before="31" w:beforeLines="10" w:after="31" w:afterLines="10" w:line="240" w:lineRule="auto"/>
              <w:ind w:firstLine="0" w:firstLineChars="0"/>
              <w:contextualSpacing/>
              <w:jc w:val="center"/>
              <w:rPr>
                <w:color w:val="auto"/>
                <w:sz w:val="21"/>
              </w:rPr>
            </w:pPr>
            <w:r>
              <w:rPr>
                <w:color w:val="auto"/>
                <w:sz w:val="21"/>
                <w:szCs w:val="21"/>
              </w:rPr>
              <w:t>VOCs</w:t>
            </w:r>
          </w:p>
        </w:tc>
        <w:tc>
          <w:tcPr>
            <w:tcW w:w="883" w:type="pct"/>
            <w:vMerge w:val="restart"/>
            <w:tcMar>
              <w:left w:w="28" w:type="dxa"/>
              <w:right w:w="28" w:type="dxa"/>
            </w:tcMar>
            <w:vAlign w:val="center"/>
          </w:tcPr>
          <w:p>
            <w:pPr>
              <w:spacing w:before="31" w:beforeLines="10" w:after="31" w:afterLines="10" w:line="240" w:lineRule="auto"/>
              <w:ind w:firstLine="0" w:firstLineChars="0"/>
              <w:contextualSpacing/>
              <w:jc w:val="center"/>
              <w:rPr>
                <w:color w:val="auto"/>
                <w:sz w:val="21"/>
                <w:szCs w:val="21"/>
              </w:rPr>
            </w:pPr>
            <w:r>
              <w:rPr>
                <w:rFonts w:hint="eastAsia"/>
                <w:color w:val="auto"/>
                <w:sz w:val="21"/>
                <w:szCs w:val="21"/>
                <w:lang w:eastAsia="zh-CN"/>
              </w:rPr>
              <w:t>碱喷淋</w:t>
            </w:r>
            <w:r>
              <w:rPr>
                <w:rFonts w:hint="eastAsia"/>
                <w:color w:val="auto"/>
                <w:sz w:val="21"/>
                <w:szCs w:val="21"/>
              </w:rPr>
              <w:t>+</w:t>
            </w:r>
            <w:r>
              <w:rPr>
                <w:color w:val="auto"/>
                <w:sz w:val="21"/>
                <w:szCs w:val="21"/>
              </w:rPr>
              <w:t>活性炭吸附</w:t>
            </w:r>
          </w:p>
        </w:tc>
        <w:tc>
          <w:tcPr>
            <w:tcW w:w="1489" w:type="pct"/>
            <w:vMerge w:val="restart"/>
            <w:tcMar>
              <w:left w:w="28" w:type="dxa"/>
              <w:right w:w="28" w:type="dxa"/>
            </w:tcMar>
            <w:vAlign w:val="center"/>
          </w:tcPr>
          <w:p>
            <w:pPr>
              <w:spacing w:before="31" w:beforeLines="10" w:after="31" w:afterLines="10" w:line="240" w:lineRule="auto"/>
              <w:ind w:firstLine="0" w:firstLineChars="0"/>
              <w:contextualSpacing/>
              <w:jc w:val="center"/>
              <w:rPr>
                <w:color w:val="auto"/>
                <w:sz w:val="21"/>
              </w:rPr>
            </w:pPr>
            <w:r>
              <w:rPr>
                <w:color w:val="auto"/>
                <w:sz w:val="21"/>
                <w:szCs w:val="21"/>
              </w:rPr>
              <w:t>15m排气筒（DA00</w:t>
            </w:r>
            <w:r>
              <w:rPr>
                <w:rFonts w:hint="eastAsia"/>
                <w:color w:val="auto"/>
                <w:sz w:val="21"/>
                <w:szCs w:val="21"/>
              </w:rPr>
              <w:t>1</w:t>
            </w:r>
            <w:r>
              <w:rPr>
                <w:color w:val="auto"/>
                <w:sz w:val="21"/>
                <w:szCs w:val="21"/>
              </w:rPr>
              <w:t>）排放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95" w:type="pct"/>
            <w:tcMar>
              <w:left w:w="28" w:type="dxa"/>
              <w:right w:w="28" w:type="dxa"/>
            </w:tcMar>
            <w:vAlign w:val="center"/>
          </w:tcPr>
          <w:p>
            <w:pPr>
              <w:spacing w:before="31" w:beforeLines="10" w:after="31" w:afterLines="10" w:line="240" w:lineRule="auto"/>
              <w:ind w:firstLine="0" w:firstLineChars="0"/>
              <w:contextualSpacing/>
              <w:jc w:val="center"/>
              <w:rPr>
                <w:rFonts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低聚不凝气</w:t>
            </w:r>
          </w:p>
        </w:tc>
        <w:tc>
          <w:tcPr>
            <w:tcW w:w="1431" w:type="pct"/>
            <w:tcMar>
              <w:left w:w="28" w:type="dxa"/>
              <w:right w:w="28" w:type="dxa"/>
            </w:tcMar>
            <w:vAlign w:val="center"/>
          </w:tcPr>
          <w:p>
            <w:pPr>
              <w:spacing w:before="31" w:beforeLines="10" w:after="31" w:afterLines="10" w:line="240" w:lineRule="auto"/>
              <w:ind w:firstLine="0" w:firstLineChars="0"/>
              <w:contextualSpacing/>
              <w:jc w:val="center"/>
              <w:rPr>
                <w:color w:val="auto"/>
                <w:sz w:val="21"/>
              </w:rPr>
            </w:pPr>
            <w:r>
              <w:rPr>
                <w:color w:val="auto"/>
                <w:sz w:val="21"/>
              </w:rPr>
              <w:t>VOCs</w:t>
            </w:r>
          </w:p>
        </w:tc>
        <w:tc>
          <w:tcPr>
            <w:tcW w:w="883" w:type="pct"/>
            <w:vMerge w:val="continue"/>
            <w:tcMar>
              <w:left w:w="28" w:type="dxa"/>
              <w:right w:w="28" w:type="dxa"/>
            </w:tcMar>
            <w:vAlign w:val="center"/>
          </w:tcPr>
          <w:p>
            <w:pPr>
              <w:spacing w:before="31" w:beforeLines="10" w:after="31" w:afterLines="10" w:line="240" w:lineRule="auto"/>
              <w:ind w:firstLine="0" w:firstLineChars="0"/>
              <w:contextualSpacing/>
              <w:jc w:val="center"/>
              <w:rPr>
                <w:color w:val="auto"/>
                <w:sz w:val="21"/>
              </w:rPr>
            </w:pPr>
          </w:p>
        </w:tc>
        <w:tc>
          <w:tcPr>
            <w:tcW w:w="1489" w:type="pct"/>
            <w:vMerge w:val="continue"/>
            <w:tcMar>
              <w:left w:w="28" w:type="dxa"/>
              <w:right w:w="28" w:type="dxa"/>
            </w:tcMar>
            <w:vAlign w:val="center"/>
          </w:tcPr>
          <w:p>
            <w:pPr>
              <w:spacing w:before="31" w:beforeLines="10" w:after="31" w:afterLines="10" w:line="240" w:lineRule="auto"/>
              <w:ind w:firstLine="0" w:firstLineChars="0"/>
              <w:contextualSpacing/>
              <w:jc w:val="center"/>
              <w:rPr>
                <w:color w:val="auto"/>
                <w:sz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95" w:type="pct"/>
            <w:tcMar>
              <w:left w:w="28" w:type="dxa"/>
              <w:right w:w="28" w:type="dxa"/>
            </w:tcMar>
            <w:vAlign w:val="center"/>
          </w:tcPr>
          <w:p>
            <w:pPr>
              <w:spacing w:before="31" w:beforeLines="10" w:after="31" w:afterLines="10" w:line="240" w:lineRule="auto"/>
              <w:ind w:firstLine="0" w:firstLineChars="0"/>
              <w:contextualSpacing/>
              <w:jc w:val="center"/>
              <w:rPr>
                <w:rFonts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酯化冷凝不凝气</w:t>
            </w:r>
          </w:p>
        </w:tc>
        <w:tc>
          <w:tcPr>
            <w:tcW w:w="1431" w:type="pct"/>
            <w:tcMar>
              <w:left w:w="28" w:type="dxa"/>
              <w:right w:w="28" w:type="dxa"/>
            </w:tcMar>
            <w:vAlign w:val="center"/>
          </w:tcPr>
          <w:p>
            <w:pPr>
              <w:spacing w:before="31" w:beforeLines="10" w:after="31" w:afterLines="10" w:line="240" w:lineRule="auto"/>
              <w:ind w:firstLine="0" w:firstLineChars="0"/>
              <w:contextualSpacing/>
              <w:jc w:val="center"/>
              <w:rPr>
                <w:color w:val="auto"/>
                <w:sz w:val="21"/>
              </w:rPr>
            </w:pPr>
            <w:r>
              <w:rPr>
                <w:color w:val="auto"/>
                <w:sz w:val="21"/>
              </w:rPr>
              <w:t>VOCs</w:t>
            </w:r>
          </w:p>
        </w:tc>
        <w:tc>
          <w:tcPr>
            <w:tcW w:w="883" w:type="pct"/>
            <w:vMerge w:val="continue"/>
            <w:tcMar>
              <w:left w:w="28" w:type="dxa"/>
              <w:right w:w="28" w:type="dxa"/>
            </w:tcMar>
            <w:vAlign w:val="center"/>
          </w:tcPr>
          <w:p>
            <w:pPr>
              <w:spacing w:before="31" w:beforeLines="10" w:after="31" w:afterLines="10" w:line="240" w:lineRule="auto"/>
              <w:ind w:firstLine="0" w:firstLineChars="0"/>
              <w:contextualSpacing/>
              <w:jc w:val="center"/>
              <w:rPr>
                <w:color w:val="auto"/>
                <w:sz w:val="21"/>
              </w:rPr>
            </w:pPr>
          </w:p>
        </w:tc>
        <w:tc>
          <w:tcPr>
            <w:tcW w:w="1489" w:type="pct"/>
            <w:vMerge w:val="continue"/>
            <w:tcMar>
              <w:left w:w="28" w:type="dxa"/>
              <w:right w:w="28" w:type="dxa"/>
            </w:tcMar>
            <w:vAlign w:val="center"/>
          </w:tcPr>
          <w:p>
            <w:pPr>
              <w:spacing w:before="31" w:beforeLines="10" w:after="31" w:afterLines="10" w:line="240" w:lineRule="auto"/>
              <w:ind w:firstLine="0" w:firstLineChars="0"/>
              <w:contextualSpacing/>
              <w:jc w:val="center"/>
              <w:rPr>
                <w:color w:val="auto"/>
                <w:sz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95" w:type="pct"/>
            <w:tcMar>
              <w:left w:w="28" w:type="dxa"/>
              <w:right w:w="28" w:type="dxa"/>
            </w:tcMar>
            <w:vAlign w:val="center"/>
          </w:tcPr>
          <w:p>
            <w:pPr>
              <w:spacing w:before="31" w:beforeLines="10" w:after="31" w:afterLines="10" w:line="240" w:lineRule="auto"/>
              <w:ind w:firstLine="0" w:firstLineChars="0"/>
              <w:contextualSpacing/>
              <w:jc w:val="center"/>
              <w:rPr>
                <w:rFonts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精制冷凝不凝气</w:t>
            </w:r>
          </w:p>
        </w:tc>
        <w:tc>
          <w:tcPr>
            <w:tcW w:w="1431" w:type="pct"/>
            <w:tcMar>
              <w:left w:w="28" w:type="dxa"/>
              <w:right w:w="28" w:type="dxa"/>
            </w:tcMar>
            <w:vAlign w:val="center"/>
          </w:tcPr>
          <w:p>
            <w:pPr>
              <w:spacing w:before="31" w:beforeLines="10" w:after="31" w:afterLines="10" w:line="240" w:lineRule="auto"/>
              <w:ind w:firstLine="0" w:firstLineChars="0"/>
              <w:contextualSpacing/>
              <w:jc w:val="center"/>
              <w:rPr>
                <w:color w:val="auto"/>
                <w:sz w:val="21"/>
              </w:rPr>
            </w:pPr>
            <w:r>
              <w:rPr>
                <w:color w:val="auto"/>
                <w:sz w:val="21"/>
              </w:rPr>
              <w:t>VOCs</w:t>
            </w:r>
          </w:p>
        </w:tc>
        <w:tc>
          <w:tcPr>
            <w:tcW w:w="883" w:type="pct"/>
            <w:vMerge w:val="continue"/>
            <w:tcMar>
              <w:left w:w="28" w:type="dxa"/>
              <w:right w:w="28" w:type="dxa"/>
            </w:tcMar>
            <w:vAlign w:val="center"/>
          </w:tcPr>
          <w:p>
            <w:pPr>
              <w:spacing w:before="31" w:beforeLines="10" w:after="31" w:afterLines="10" w:line="240" w:lineRule="auto"/>
              <w:ind w:firstLine="0" w:firstLineChars="0"/>
              <w:contextualSpacing/>
              <w:jc w:val="center"/>
              <w:rPr>
                <w:color w:val="auto"/>
                <w:sz w:val="21"/>
              </w:rPr>
            </w:pPr>
          </w:p>
        </w:tc>
        <w:tc>
          <w:tcPr>
            <w:tcW w:w="1489" w:type="pct"/>
            <w:vMerge w:val="continue"/>
            <w:tcMar>
              <w:left w:w="28" w:type="dxa"/>
              <w:right w:w="28" w:type="dxa"/>
            </w:tcMar>
            <w:vAlign w:val="center"/>
          </w:tcPr>
          <w:p>
            <w:pPr>
              <w:spacing w:before="31" w:beforeLines="10" w:after="31" w:afterLines="10" w:line="240" w:lineRule="auto"/>
              <w:ind w:firstLine="0" w:firstLineChars="0"/>
              <w:contextualSpacing/>
              <w:jc w:val="center"/>
              <w:rPr>
                <w:color w:val="auto"/>
                <w:sz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95" w:type="pct"/>
            <w:tcMar>
              <w:left w:w="28" w:type="dxa"/>
              <w:right w:w="28" w:type="dxa"/>
            </w:tcMar>
            <w:vAlign w:val="center"/>
          </w:tcPr>
          <w:p>
            <w:pPr>
              <w:spacing w:before="31" w:beforeLines="10" w:after="31" w:afterLines="10" w:line="240" w:lineRule="auto"/>
              <w:ind w:firstLine="0" w:firstLineChars="0"/>
              <w:contextualSpacing/>
              <w:jc w:val="center"/>
              <w:rPr>
                <w:rFonts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脱挥废气</w:t>
            </w:r>
          </w:p>
        </w:tc>
        <w:tc>
          <w:tcPr>
            <w:tcW w:w="1431" w:type="pct"/>
            <w:tcMar>
              <w:left w:w="28" w:type="dxa"/>
              <w:right w:w="28" w:type="dxa"/>
            </w:tcMar>
            <w:vAlign w:val="center"/>
          </w:tcPr>
          <w:p>
            <w:pPr>
              <w:spacing w:before="31" w:beforeLines="10" w:after="31" w:afterLines="10" w:line="240" w:lineRule="auto"/>
              <w:ind w:firstLine="0" w:firstLineChars="0"/>
              <w:contextualSpacing/>
              <w:jc w:val="center"/>
              <w:rPr>
                <w:color w:val="auto"/>
                <w:sz w:val="21"/>
              </w:rPr>
            </w:pPr>
            <w:r>
              <w:rPr>
                <w:color w:val="auto"/>
                <w:sz w:val="21"/>
              </w:rPr>
              <w:t>VOCs</w:t>
            </w:r>
          </w:p>
        </w:tc>
        <w:tc>
          <w:tcPr>
            <w:tcW w:w="883" w:type="pct"/>
            <w:vMerge w:val="continue"/>
            <w:tcMar>
              <w:left w:w="28" w:type="dxa"/>
              <w:right w:w="28" w:type="dxa"/>
            </w:tcMar>
            <w:vAlign w:val="center"/>
          </w:tcPr>
          <w:p>
            <w:pPr>
              <w:spacing w:before="31" w:beforeLines="10" w:after="31" w:afterLines="10" w:line="240" w:lineRule="auto"/>
              <w:ind w:firstLine="0" w:firstLineChars="0"/>
              <w:contextualSpacing/>
              <w:jc w:val="center"/>
              <w:rPr>
                <w:color w:val="auto"/>
                <w:sz w:val="21"/>
              </w:rPr>
            </w:pPr>
          </w:p>
        </w:tc>
        <w:tc>
          <w:tcPr>
            <w:tcW w:w="1489" w:type="pct"/>
            <w:vMerge w:val="continue"/>
            <w:tcMar>
              <w:left w:w="28" w:type="dxa"/>
              <w:right w:w="28" w:type="dxa"/>
            </w:tcMar>
            <w:vAlign w:val="center"/>
          </w:tcPr>
          <w:p>
            <w:pPr>
              <w:spacing w:before="31" w:beforeLines="10" w:after="31" w:afterLines="10" w:line="240" w:lineRule="auto"/>
              <w:ind w:firstLine="0" w:firstLineChars="0"/>
              <w:contextualSpacing/>
              <w:jc w:val="center"/>
              <w:rPr>
                <w:color w:val="auto"/>
                <w:sz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95" w:type="pct"/>
            <w:tcMar>
              <w:left w:w="28" w:type="dxa"/>
              <w:right w:w="28" w:type="dxa"/>
            </w:tcMar>
            <w:vAlign w:val="center"/>
          </w:tcPr>
          <w:p>
            <w:pPr>
              <w:spacing w:before="31" w:beforeLines="10" w:after="31" w:afterLines="10" w:line="240" w:lineRule="auto"/>
              <w:ind w:firstLine="0" w:firstLineChars="0"/>
              <w:contextualSpacing/>
              <w:jc w:val="center"/>
              <w:rPr>
                <w:color w:val="auto"/>
                <w:sz w:val="21"/>
                <w:szCs w:val="21"/>
              </w:rPr>
            </w:pPr>
            <w:r>
              <w:rPr>
                <w:rFonts w:hint="eastAsia"/>
                <w:color w:val="auto"/>
                <w:sz w:val="21"/>
                <w:szCs w:val="21"/>
              </w:rPr>
              <w:t>污水处理站废气</w:t>
            </w:r>
          </w:p>
        </w:tc>
        <w:tc>
          <w:tcPr>
            <w:tcW w:w="1431" w:type="pct"/>
            <w:tcMar>
              <w:left w:w="28" w:type="dxa"/>
              <w:right w:w="28" w:type="dxa"/>
            </w:tcMar>
            <w:vAlign w:val="center"/>
          </w:tcPr>
          <w:p>
            <w:pPr>
              <w:spacing w:before="31" w:beforeLines="10" w:after="31" w:afterLines="10" w:line="240" w:lineRule="auto"/>
              <w:ind w:firstLine="0" w:firstLineChars="0"/>
              <w:contextualSpacing/>
              <w:jc w:val="center"/>
              <w:rPr>
                <w:color w:val="auto"/>
                <w:sz w:val="21"/>
              </w:rPr>
            </w:pPr>
            <w:r>
              <w:rPr>
                <w:color w:val="auto"/>
                <w:sz w:val="21"/>
              </w:rPr>
              <w:t>VOCs</w:t>
            </w:r>
            <w:r>
              <w:rPr>
                <w:rFonts w:hint="eastAsia"/>
                <w:color w:val="auto"/>
                <w:sz w:val="21"/>
              </w:rPr>
              <w:t>、氨、硫化氢</w:t>
            </w:r>
          </w:p>
        </w:tc>
        <w:tc>
          <w:tcPr>
            <w:tcW w:w="883" w:type="pct"/>
            <w:vMerge w:val="continue"/>
            <w:tcMar>
              <w:left w:w="28" w:type="dxa"/>
              <w:right w:w="28" w:type="dxa"/>
            </w:tcMar>
            <w:vAlign w:val="center"/>
          </w:tcPr>
          <w:p>
            <w:pPr>
              <w:spacing w:before="31" w:beforeLines="10" w:after="31" w:afterLines="10" w:line="240" w:lineRule="auto"/>
              <w:ind w:firstLine="0" w:firstLineChars="0"/>
              <w:contextualSpacing/>
              <w:jc w:val="center"/>
              <w:rPr>
                <w:color w:val="auto"/>
                <w:sz w:val="21"/>
              </w:rPr>
            </w:pPr>
          </w:p>
        </w:tc>
        <w:tc>
          <w:tcPr>
            <w:tcW w:w="1489" w:type="pct"/>
            <w:vMerge w:val="continue"/>
            <w:tcMar>
              <w:left w:w="28" w:type="dxa"/>
              <w:right w:w="28" w:type="dxa"/>
            </w:tcMar>
            <w:vAlign w:val="center"/>
          </w:tcPr>
          <w:p>
            <w:pPr>
              <w:spacing w:before="31" w:beforeLines="10" w:after="31" w:afterLines="10" w:line="240" w:lineRule="auto"/>
              <w:ind w:firstLine="0" w:firstLineChars="0"/>
              <w:contextualSpacing/>
              <w:jc w:val="center"/>
              <w:rPr>
                <w:color w:val="auto"/>
                <w:sz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95" w:type="pct"/>
            <w:tcMar>
              <w:left w:w="28" w:type="dxa"/>
              <w:right w:w="28" w:type="dxa"/>
            </w:tcMar>
            <w:vAlign w:val="center"/>
          </w:tcPr>
          <w:p>
            <w:pPr>
              <w:spacing w:before="31" w:beforeLines="10" w:after="31" w:afterLines="10" w:line="240" w:lineRule="auto"/>
              <w:ind w:firstLine="0" w:firstLineChars="0"/>
              <w:contextualSpacing/>
              <w:jc w:val="center"/>
              <w:rPr>
                <w:color w:val="auto"/>
                <w:sz w:val="21"/>
                <w:szCs w:val="21"/>
              </w:rPr>
            </w:pPr>
            <w:r>
              <w:rPr>
                <w:rFonts w:hint="eastAsia"/>
                <w:color w:val="auto"/>
                <w:sz w:val="21"/>
                <w:szCs w:val="21"/>
              </w:rPr>
              <w:t>锅炉房废气</w:t>
            </w:r>
          </w:p>
        </w:tc>
        <w:tc>
          <w:tcPr>
            <w:tcW w:w="1431" w:type="pct"/>
            <w:tcMar>
              <w:left w:w="28" w:type="dxa"/>
              <w:right w:w="28" w:type="dxa"/>
            </w:tcMar>
            <w:vAlign w:val="center"/>
          </w:tcPr>
          <w:p>
            <w:pPr>
              <w:spacing w:before="31" w:beforeLines="10" w:after="31" w:afterLines="10" w:line="240" w:lineRule="auto"/>
              <w:ind w:firstLine="0" w:firstLineChars="0"/>
              <w:contextualSpacing/>
              <w:jc w:val="center"/>
              <w:rPr>
                <w:color w:val="auto"/>
                <w:sz w:val="21"/>
              </w:rPr>
            </w:pPr>
            <w:r>
              <w:rPr>
                <w:rFonts w:hint="eastAsia"/>
                <w:color w:val="auto"/>
                <w:sz w:val="21"/>
                <w:szCs w:val="21"/>
              </w:rPr>
              <w:t>SO</w:t>
            </w:r>
            <w:r>
              <w:rPr>
                <w:rFonts w:hint="eastAsia"/>
                <w:color w:val="auto"/>
                <w:sz w:val="21"/>
                <w:szCs w:val="21"/>
                <w:vertAlign w:val="subscript"/>
              </w:rPr>
              <w:t>2</w:t>
            </w:r>
            <w:r>
              <w:rPr>
                <w:rFonts w:hint="eastAsia"/>
                <w:color w:val="auto"/>
                <w:sz w:val="21"/>
                <w:szCs w:val="21"/>
              </w:rPr>
              <w:t>、NOx、颗粒物</w:t>
            </w:r>
          </w:p>
        </w:tc>
        <w:tc>
          <w:tcPr>
            <w:tcW w:w="883" w:type="pct"/>
            <w:tcMar>
              <w:left w:w="28" w:type="dxa"/>
              <w:right w:w="28" w:type="dxa"/>
            </w:tcMar>
            <w:vAlign w:val="center"/>
          </w:tcPr>
          <w:p>
            <w:pPr>
              <w:spacing w:before="31" w:beforeLines="10" w:after="31" w:afterLines="10" w:line="240" w:lineRule="auto"/>
              <w:ind w:firstLine="0" w:firstLineChars="0"/>
              <w:contextualSpacing/>
              <w:jc w:val="center"/>
              <w:rPr>
                <w:color w:val="auto"/>
                <w:sz w:val="21"/>
              </w:rPr>
            </w:pPr>
            <w:r>
              <w:rPr>
                <w:rFonts w:hint="eastAsia"/>
                <w:color w:val="auto"/>
                <w:sz w:val="21"/>
              </w:rPr>
              <w:t>直排</w:t>
            </w:r>
          </w:p>
        </w:tc>
        <w:tc>
          <w:tcPr>
            <w:tcW w:w="1489" w:type="pct"/>
            <w:tcMar>
              <w:left w:w="28" w:type="dxa"/>
              <w:right w:w="28" w:type="dxa"/>
            </w:tcMar>
            <w:vAlign w:val="center"/>
          </w:tcPr>
          <w:p>
            <w:pPr>
              <w:spacing w:before="31" w:beforeLines="10" w:after="31" w:afterLines="10" w:line="240" w:lineRule="auto"/>
              <w:ind w:firstLine="0" w:firstLineChars="0"/>
              <w:contextualSpacing/>
              <w:jc w:val="center"/>
              <w:rPr>
                <w:color w:val="auto"/>
                <w:sz w:val="21"/>
                <w:szCs w:val="21"/>
              </w:rPr>
            </w:pPr>
            <w:r>
              <w:rPr>
                <w:color w:val="auto"/>
                <w:sz w:val="21"/>
                <w:szCs w:val="21"/>
              </w:rPr>
              <w:t>15m排气筒（DA00</w:t>
            </w:r>
            <w:r>
              <w:rPr>
                <w:rFonts w:hint="eastAsia"/>
                <w:color w:val="auto"/>
                <w:sz w:val="21"/>
                <w:szCs w:val="21"/>
                <w:lang w:val="en-US" w:eastAsia="zh-CN"/>
              </w:rPr>
              <w:t>2</w:t>
            </w:r>
            <w:r>
              <w:rPr>
                <w:color w:val="auto"/>
                <w:sz w:val="21"/>
                <w:szCs w:val="21"/>
              </w:rPr>
              <w:t>）排放</w:t>
            </w:r>
          </w:p>
        </w:tc>
      </w:tr>
    </w:tbl>
    <w:p>
      <w:pPr>
        <w:spacing w:line="240" w:lineRule="auto"/>
        <w:ind w:firstLine="0" w:firstLineChars="0"/>
        <w:jc w:val="center"/>
        <w:rPr>
          <w:rFonts w:eastAsia="黑体"/>
          <w:b/>
          <w:color w:val="auto"/>
          <w:sz w:val="21"/>
          <w:szCs w:val="21"/>
        </w:rPr>
      </w:pPr>
      <w:r>
        <w:rPr>
          <w:rFonts w:hint="eastAsia" w:eastAsia="黑体"/>
          <w:b/>
          <w:color w:val="auto"/>
          <w:sz w:val="21"/>
          <w:szCs w:val="21"/>
        </w:rPr>
        <w:drawing>
          <wp:inline distT="0" distB="0" distL="114300" distR="114300">
            <wp:extent cx="4389120" cy="3408680"/>
            <wp:effectExtent l="0" t="0" r="0" b="0"/>
            <wp:docPr id="156" name="ECB019B1-382A-4266-B25C-5B523AA43C14-3" descr="C:/Users/Administrator/AppData/Local/Temp/wps.DscAbn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ECB019B1-382A-4266-B25C-5B523AA43C14-3" descr="C:/Users/Administrator/AppData/Local/Temp/wps.DscAbnwps"/>
                    <pic:cNvPicPr>
                      <a:picLocks noChangeAspect="1"/>
                    </pic:cNvPicPr>
                  </pic:nvPicPr>
                  <pic:blipFill>
                    <a:blip r:embed="rId65"/>
                    <a:stretch>
                      <a:fillRect/>
                    </a:stretch>
                  </pic:blipFill>
                  <pic:spPr>
                    <a:xfrm>
                      <a:off x="0" y="0"/>
                      <a:ext cx="4389120" cy="3408680"/>
                    </a:xfrm>
                    <a:prstGeom prst="rect">
                      <a:avLst/>
                    </a:prstGeom>
                  </pic:spPr>
                </pic:pic>
              </a:graphicData>
            </a:graphic>
          </wp:inline>
        </w:drawing>
      </w:r>
    </w:p>
    <w:p>
      <w:pPr>
        <w:ind w:firstLine="422"/>
        <w:jc w:val="center"/>
        <w:rPr>
          <w:rFonts w:eastAsia="黑体"/>
          <w:b/>
          <w:color w:val="auto"/>
          <w:sz w:val="21"/>
          <w:szCs w:val="21"/>
        </w:rPr>
      </w:pPr>
      <w:r>
        <w:rPr>
          <w:rFonts w:eastAsia="黑体"/>
          <w:b/>
          <w:color w:val="auto"/>
          <w:sz w:val="21"/>
          <w:szCs w:val="21"/>
        </w:rPr>
        <w:t xml:space="preserve">图8.1-1  </w:t>
      </w:r>
      <w:r>
        <w:rPr>
          <w:rFonts w:hint="eastAsia" w:eastAsia="黑体"/>
          <w:b/>
          <w:color w:val="auto"/>
          <w:sz w:val="21"/>
          <w:szCs w:val="21"/>
        </w:rPr>
        <w:t>拟建项目</w:t>
      </w:r>
      <w:r>
        <w:rPr>
          <w:rFonts w:eastAsia="黑体"/>
          <w:b/>
          <w:color w:val="auto"/>
          <w:sz w:val="21"/>
          <w:szCs w:val="21"/>
        </w:rPr>
        <w:t>有组织废气走向图</w:t>
      </w:r>
    </w:p>
    <w:p>
      <w:pPr>
        <w:spacing w:line="400" w:lineRule="exact"/>
        <w:ind w:firstLine="482"/>
        <w:rPr>
          <w:b/>
          <w:color w:val="auto"/>
        </w:rPr>
      </w:pPr>
    </w:p>
    <w:p>
      <w:pPr>
        <w:spacing w:line="400" w:lineRule="exact"/>
        <w:ind w:firstLine="482"/>
        <w:rPr>
          <w:b/>
          <w:color w:val="auto"/>
        </w:rPr>
      </w:pPr>
    </w:p>
    <w:p>
      <w:pPr>
        <w:spacing w:line="400" w:lineRule="exact"/>
        <w:ind w:firstLine="482"/>
        <w:rPr>
          <w:b/>
          <w:color w:val="auto"/>
        </w:rPr>
      </w:pPr>
      <w:r>
        <w:rPr>
          <w:b/>
          <w:color w:val="auto"/>
        </w:rPr>
        <w:t>2、无组织废气</w:t>
      </w:r>
    </w:p>
    <w:p>
      <w:pPr>
        <w:spacing w:line="400" w:lineRule="exact"/>
        <w:ind w:firstLine="480"/>
        <w:rPr>
          <w:color w:val="auto"/>
        </w:rPr>
      </w:pPr>
      <w:r>
        <w:rPr>
          <w:color w:val="auto"/>
        </w:rPr>
        <w:t>企业应加强生产管理和设备维修，及时修、更换破损的管道、机泵、阀门及污染治理设备，减少和防止生产过程中的跑、冒、滴、漏和事故性排放，同时采取以下措施减少无组织废气排放：</w:t>
      </w:r>
    </w:p>
    <w:p>
      <w:pPr>
        <w:spacing w:line="400" w:lineRule="exact"/>
        <w:ind w:firstLine="480"/>
        <w:rPr>
          <w:color w:val="auto"/>
        </w:rPr>
      </w:pPr>
      <w:r>
        <w:rPr>
          <w:color w:val="auto"/>
        </w:rPr>
        <w:t>①在工艺允许的条件下，尽量减少物料输送管线阀门、法兰等连接，液体物料转移采用管道转移。</w:t>
      </w:r>
    </w:p>
    <w:p>
      <w:pPr>
        <w:spacing w:line="400" w:lineRule="exact"/>
        <w:ind w:firstLine="480"/>
        <w:rPr>
          <w:color w:val="auto"/>
        </w:rPr>
      </w:pPr>
      <w:r>
        <w:rPr>
          <w:color w:val="auto"/>
        </w:rPr>
        <w:t>②反应釜与单元设备的水冲泵、尾气放空管应连通，集中进入废气收集系统。</w:t>
      </w:r>
    </w:p>
    <w:p>
      <w:pPr>
        <w:spacing w:line="400" w:lineRule="exact"/>
        <w:ind w:firstLine="480"/>
        <w:rPr>
          <w:color w:val="auto"/>
        </w:rPr>
      </w:pPr>
      <w:r>
        <w:rPr>
          <w:color w:val="auto"/>
        </w:rPr>
        <w:t>③</w:t>
      </w:r>
      <w:r>
        <w:rPr>
          <w:color w:val="auto"/>
          <w:szCs w:val="22"/>
        </w:rPr>
        <w:t>对设备、管道、阀门经常检查、检修，保持装置气密性良好。</w:t>
      </w:r>
    </w:p>
    <w:p>
      <w:pPr>
        <w:spacing w:line="400" w:lineRule="exact"/>
        <w:ind w:firstLine="480"/>
        <w:rPr>
          <w:color w:val="auto"/>
        </w:rPr>
      </w:pPr>
      <w:r>
        <w:rPr>
          <w:color w:val="auto"/>
        </w:rPr>
        <w:t>④投料要求采用浸没式液下投料，液体物料投料口尽量设置在釜底，减少投料时喷溅产生的液体挥发量。</w:t>
      </w:r>
    </w:p>
    <w:p>
      <w:pPr>
        <w:spacing w:line="400" w:lineRule="exact"/>
        <w:ind w:firstLine="480"/>
        <w:jc w:val="left"/>
        <w:rPr>
          <w:color w:val="auto"/>
        </w:rPr>
      </w:pPr>
      <w:r>
        <w:rPr>
          <w:color w:val="auto"/>
        </w:rPr>
        <w:t>⑤对于一些有可能导致废气事故排放的情况，如循环冷却系统失效而导致反应釜内物料大量挥发、物料储罐的泄漏等，企业必须加强管理，采取切实有效的措施以保障安全和防止污染环境。</w:t>
      </w:r>
    </w:p>
    <w:p>
      <w:pPr>
        <w:pStyle w:val="14"/>
        <w:spacing w:after="0"/>
        <w:ind w:firstLine="480"/>
        <w:rPr>
          <w:color w:val="auto"/>
        </w:rPr>
      </w:pPr>
      <w:r>
        <w:rPr>
          <w:color w:val="auto"/>
        </w:rPr>
        <w:t>⑥应加强操作工的培训和管理，以减少人为造成的对环境的污染</w:t>
      </w:r>
      <w:r>
        <w:rPr>
          <w:rFonts w:hint="eastAsia"/>
          <w:color w:val="auto"/>
        </w:rPr>
        <w:t>。</w:t>
      </w:r>
    </w:p>
    <w:p>
      <w:pPr>
        <w:ind w:firstLine="480"/>
        <w:rPr>
          <w:color w:val="auto"/>
        </w:rPr>
        <w:sectPr>
          <w:pgSz w:w="11906" w:h="16838"/>
          <w:pgMar w:top="1417" w:right="1417" w:bottom="1446" w:left="1417" w:header="851" w:footer="992" w:gutter="0"/>
          <w:pgBorders>
            <w:top w:val="none" w:sz="0" w:space="0"/>
            <w:left w:val="none" w:sz="0" w:space="0"/>
            <w:bottom w:val="none" w:sz="0" w:space="0"/>
            <w:right w:val="none" w:sz="0" w:space="0"/>
          </w:pgBorders>
          <w:cols w:space="425" w:num="1"/>
          <w:docGrid w:type="lines" w:linePitch="312" w:charSpace="0"/>
        </w:sectPr>
      </w:pPr>
    </w:p>
    <w:p>
      <w:pPr>
        <w:ind w:firstLine="480"/>
        <w:rPr>
          <w:color w:val="auto"/>
        </w:rPr>
      </w:pPr>
      <w:r>
        <w:rPr>
          <w:color w:val="auto"/>
        </w:rPr>
        <w:t>本次项目无组织废气控制措施按照《挥发性有机物无组织排放控制标准》（GB37822</w:t>
      </w:r>
      <w:r>
        <w:rPr>
          <w:rFonts w:hint="eastAsia"/>
          <w:color w:val="auto"/>
        </w:rPr>
        <w:t>-</w:t>
      </w:r>
      <w:r>
        <w:rPr>
          <w:color w:val="auto"/>
        </w:rPr>
        <w:t>2019）中要求进行设置，见下表。</w:t>
      </w:r>
    </w:p>
    <w:p>
      <w:pPr>
        <w:ind w:firstLine="0" w:firstLineChars="0"/>
        <w:jc w:val="center"/>
        <w:rPr>
          <w:b/>
          <w:color w:val="auto"/>
        </w:rPr>
      </w:pPr>
      <w:r>
        <w:rPr>
          <w:b/>
          <w:color w:val="auto"/>
        </w:rPr>
        <w:t>表</w:t>
      </w:r>
      <w:r>
        <w:rPr>
          <w:rFonts w:hint="eastAsia"/>
          <w:b/>
          <w:color w:val="auto"/>
        </w:rPr>
        <w:t>8.1-2</w:t>
      </w:r>
      <w:r>
        <w:rPr>
          <w:b/>
          <w:color w:val="auto"/>
        </w:rPr>
        <w:t xml:space="preserve">  污染防治措施与</w:t>
      </w:r>
      <w:r>
        <w:rPr>
          <w:rFonts w:hint="eastAsia"/>
          <w:b/>
          <w:color w:val="auto"/>
        </w:rPr>
        <w:t>《</w:t>
      </w:r>
      <w:r>
        <w:rPr>
          <w:b/>
          <w:color w:val="auto"/>
        </w:rPr>
        <w:t>挥发性有机物无组织排放控制标准》（GB37822-2019）一致性分析</w:t>
      </w:r>
    </w:p>
    <w:tbl>
      <w:tblPr>
        <w:tblStyle w:val="23"/>
        <w:tblW w:w="1360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40"/>
        <w:gridCol w:w="9239"/>
        <w:gridCol w:w="27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0" w:type="dxa"/>
            <w:tcBorders>
              <w:tl2br w:val="nil"/>
              <w:tr2bl w:val="nil"/>
            </w:tcBorders>
            <w:vAlign w:val="center"/>
          </w:tcPr>
          <w:p>
            <w:pPr>
              <w:spacing w:line="312" w:lineRule="exact"/>
              <w:ind w:firstLine="0" w:firstLineChars="0"/>
              <w:jc w:val="center"/>
              <w:rPr>
                <w:color w:val="auto"/>
                <w:sz w:val="21"/>
                <w:szCs w:val="21"/>
              </w:rPr>
            </w:pPr>
            <w:r>
              <w:rPr>
                <w:color w:val="auto"/>
                <w:sz w:val="21"/>
                <w:szCs w:val="21"/>
              </w:rPr>
              <w:t>项目</w:t>
            </w:r>
          </w:p>
        </w:tc>
        <w:tc>
          <w:tcPr>
            <w:tcW w:w="9239" w:type="dxa"/>
            <w:tcBorders>
              <w:tl2br w:val="nil"/>
              <w:tr2bl w:val="nil"/>
            </w:tcBorders>
          </w:tcPr>
          <w:p>
            <w:pPr>
              <w:spacing w:line="312" w:lineRule="exact"/>
              <w:ind w:firstLine="0" w:firstLineChars="0"/>
              <w:jc w:val="center"/>
              <w:rPr>
                <w:color w:val="auto"/>
                <w:sz w:val="21"/>
                <w:szCs w:val="21"/>
              </w:rPr>
            </w:pPr>
            <w:r>
              <w:rPr>
                <w:color w:val="auto"/>
                <w:sz w:val="21"/>
                <w:szCs w:val="21"/>
              </w:rPr>
              <w:t>GB37822</w:t>
            </w:r>
            <w:r>
              <w:rPr>
                <w:rFonts w:hint="eastAsia"/>
                <w:color w:val="auto"/>
                <w:sz w:val="21"/>
                <w:szCs w:val="21"/>
              </w:rPr>
              <w:t>-</w:t>
            </w:r>
            <w:r>
              <w:rPr>
                <w:color w:val="auto"/>
                <w:sz w:val="21"/>
                <w:szCs w:val="21"/>
              </w:rPr>
              <w:t>019</w:t>
            </w:r>
          </w:p>
        </w:tc>
        <w:tc>
          <w:tcPr>
            <w:tcW w:w="2727" w:type="dxa"/>
            <w:tcBorders>
              <w:tl2br w:val="nil"/>
              <w:tr2bl w:val="nil"/>
            </w:tcBorders>
            <w:vAlign w:val="center"/>
          </w:tcPr>
          <w:p>
            <w:pPr>
              <w:spacing w:line="312" w:lineRule="exact"/>
              <w:ind w:firstLine="0" w:firstLineChars="0"/>
              <w:jc w:val="center"/>
              <w:rPr>
                <w:color w:val="auto"/>
                <w:sz w:val="21"/>
                <w:szCs w:val="21"/>
              </w:rPr>
            </w:pPr>
            <w:r>
              <w:rPr>
                <w:color w:val="auto"/>
                <w:sz w:val="21"/>
                <w:szCs w:val="21"/>
              </w:rPr>
              <w:t>本项目环评要求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0" w:type="dxa"/>
            <w:tcBorders>
              <w:tl2br w:val="nil"/>
              <w:tr2bl w:val="nil"/>
            </w:tcBorders>
            <w:vAlign w:val="center"/>
          </w:tcPr>
          <w:p>
            <w:pPr>
              <w:spacing w:line="312" w:lineRule="exact"/>
              <w:ind w:firstLine="0" w:firstLineChars="0"/>
              <w:jc w:val="center"/>
              <w:rPr>
                <w:color w:val="auto"/>
                <w:sz w:val="21"/>
                <w:szCs w:val="21"/>
              </w:rPr>
            </w:pPr>
            <w:r>
              <w:rPr>
                <w:color w:val="auto"/>
                <w:sz w:val="21"/>
                <w:szCs w:val="21"/>
              </w:rPr>
              <w:t>5、VOCs物料储存无组织排放控制要求</w:t>
            </w:r>
          </w:p>
          <w:p>
            <w:pPr>
              <w:spacing w:line="312" w:lineRule="exact"/>
              <w:ind w:firstLine="0" w:firstLineChars="0"/>
              <w:jc w:val="center"/>
              <w:rPr>
                <w:color w:val="auto"/>
                <w:sz w:val="21"/>
                <w:szCs w:val="21"/>
              </w:rPr>
            </w:pPr>
          </w:p>
        </w:tc>
        <w:tc>
          <w:tcPr>
            <w:tcW w:w="9239" w:type="dxa"/>
            <w:tcBorders>
              <w:tl2br w:val="nil"/>
              <w:tr2bl w:val="nil"/>
            </w:tcBorders>
          </w:tcPr>
          <w:p>
            <w:pPr>
              <w:spacing w:line="312" w:lineRule="exact"/>
              <w:ind w:firstLine="0" w:firstLineChars="0"/>
              <w:rPr>
                <w:color w:val="auto"/>
                <w:sz w:val="21"/>
                <w:szCs w:val="21"/>
              </w:rPr>
            </w:pPr>
            <w:r>
              <w:rPr>
                <w:color w:val="auto"/>
                <w:sz w:val="21"/>
                <w:szCs w:val="21"/>
              </w:rPr>
              <w:t>5.2.2储罐特别控制要求5.2.2.1储存真实蒸气压≥76.6kPa的挥发性有机液体储罐，应采用低压罐、压力罐或其他等效措施。</w:t>
            </w:r>
          </w:p>
          <w:p>
            <w:pPr>
              <w:spacing w:line="312" w:lineRule="exact"/>
              <w:ind w:firstLine="0" w:firstLineChars="0"/>
              <w:rPr>
                <w:color w:val="auto"/>
                <w:sz w:val="21"/>
                <w:szCs w:val="21"/>
              </w:rPr>
            </w:pPr>
            <w:r>
              <w:rPr>
                <w:color w:val="auto"/>
                <w:sz w:val="21"/>
                <w:szCs w:val="21"/>
              </w:rPr>
              <w:t>5.2.1.1储存真实蒸气压≥76.6kPa且储罐容积≥75m</w:t>
            </w:r>
            <w:r>
              <w:rPr>
                <w:color w:val="auto"/>
                <w:sz w:val="21"/>
                <w:szCs w:val="21"/>
                <w:vertAlign w:val="superscript"/>
              </w:rPr>
              <w:t>3</w:t>
            </w:r>
            <w:r>
              <w:rPr>
                <w:color w:val="auto"/>
                <w:sz w:val="21"/>
                <w:szCs w:val="21"/>
              </w:rPr>
              <w:t>的挥发性有机液体储罐，应采用低压罐、压力罐或其他等效措施。</w:t>
            </w:r>
          </w:p>
          <w:p>
            <w:pPr>
              <w:spacing w:line="312" w:lineRule="exact"/>
              <w:ind w:firstLine="0" w:firstLineChars="0"/>
              <w:rPr>
                <w:color w:val="auto"/>
                <w:sz w:val="21"/>
                <w:szCs w:val="21"/>
              </w:rPr>
            </w:pPr>
            <w:r>
              <w:rPr>
                <w:color w:val="auto"/>
                <w:sz w:val="21"/>
                <w:szCs w:val="21"/>
              </w:rPr>
              <w:t>5.2.2.2 储存真实蒸气压≥27.6kPa但＜76.6kPa且储罐容积≥75m</w:t>
            </w:r>
            <w:r>
              <w:rPr>
                <w:color w:val="auto"/>
                <w:sz w:val="21"/>
                <w:szCs w:val="21"/>
                <w:vertAlign w:val="superscript"/>
              </w:rPr>
              <w:t>3</w:t>
            </w:r>
            <w:r>
              <w:rPr>
                <w:color w:val="auto"/>
                <w:sz w:val="21"/>
                <w:szCs w:val="21"/>
              </w:rPr>
              <w:t>的挥发性有机液体储罐，以及储存真实蒸气压≥5.2kPa但＜27.6kPa且储罐容积≥150m</w:t>
            </w:r>
            <w:r>
              <w:rPr>
                <w:color w:val="auto"/>
                <w:sz w:val="21"/>
                <w:szCs w:val="21"/>
                <w:vertAlign w:val="superscript"/>
              </w:rPr>
              <w:t>3</w:t>
            </w:r>
            <w:r>
              <w:rPr>
                <w:color w:val="auto"/>
                <w:sz w:val="21"/>
                <w:szCs w:val="21"/>
              </w:rPr>
              <w:t>的挥发性有机液体储罐，应符合下列规定之一：a）采用浮顶罐。对于内浮顶罐，浮顶与罐壁之间应采用浸液式密封、机械式鞋形密封等高效密封方式；对于外浮顶罐，浮顶与罐壁之间应采用双重密封，且一次密封应采用浸液式密封、机械式鞋形密 封等高效密封方式。b）采用固定顶罐，排放的废气应收集处理并满足相关行业排放标准的要求（无行业排放标准的应满足GB 16297的要求），或者处理效率不低于90%。c）采用气相平衡系统。d）采取其他等效措施</w:t>
            </w:r>
          </w:p>
        </w:tc>
        <w:tc>
          <w:tcPr>
            <w:tcW w:w="2727" w:type="dxa"/>
            <w:tcBorders>
              <w:tl2br w:val="nil"/>
              <w:tr2bl w:val="nil"/>
            </w:tcBorders>
            <w:vAlign w:val="center"/>
          </w:tcPr>
          <w:p>
            <w:pPr>
              <w:spacing w:line="312" w:lineRule="exact"/>
              <w:ind w:firstLine="0" w:firstLineChars="0"/>
              <w:jc w:val="center"/>
              <w:rPr>
                <w:rFonts w:hint="default"/>
                <w:color w:val="auto"/>
                <w:sz w:val="21"/>
                <w:szCs w:val="21"/>
                <w:lang w:val="en-US"/>
              </w:rPr>
            </w:pPr>
            <w:r>
              <w:rPr>
                <w:rFonts w:hint="eastAsia"/>
                <w:color w:val="auto"/>
                <w:sz w:val="21"/>
                <w:szCs w:val="21"/>
                <w:lang w:val="en-US" w:eastAsia="zh-CN"/>
              </w:rPr>
              <w:t>本项目不涉及</w:t>
            </w:r>
            <w:r>
              <w:rPr>
                <w:color w:val="auto"/>
                <w:sz w:val="21"/>
                <w:szCs w:val="21"/>
              </w:rPr>
              <w:t>挥发性有机液体储罐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40" w:type="dxa"/>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6、VOCs物料转移和输送无组织排放控制要求</w:t>
            </w:r>
          </w:p>
        </w:tc>
        <w:tc>
          <w:tcPr>
            <w:tcW w:w="9239" w:type="dxa"/>
            <w:tcBorders>
              <w:tl2br w:val="nil"/>
              <w:tr2bl w:val="nil"/>
            </w:tcBorders>
          </w:tcPr>
          <w:p>
            <w:pPr>
              <w:spacing w:line="312" w:lineRule="exact"/>
              <w:ind w:firstLine="0" w:firstLineChars="0"/>
              <w:rPr>
                <w:color w:val="auto"/>
                <w:sz w:val="21"/>
                <w:szCs w:val="21"/>
              </w:rPr>
            </w:pPr>
            <w:r>
              <w:rPr>
                <w:color w:val="auto"/>
                <w:sz w:val="21"/>
                <w:szCs w:val="21"/>
              </w:rPr>
              <w:t>6.1基本要求</w:t>
            </w:r>
          </w:p>
          <w:p>
            <w:pPr>
              <w:spacing w:line="312" w:lineRule="exact"/>
              <w:ind w:firstLine="0" w:firstLineChars="0"/>
              <w:rPr>
                <w:color w:val="auto"/>
                <w:sz w:val="21"/>
                <w:szCs w:val="21"/>
              </w:rPr>
            </w:pPr>
            <w:r>
              <w:rPr>
                <w:color w:val="auto"/>
                <w:sz w:val="21"/>
                <w:szCs w:val="21"/>
              </w:rPr>
              <w:t>6.1.1 液态VOCs物料应采用密闭管道输送。采用非管道输送方式转移液态VOCs物料时，应采用密闭容器、罐车。</w:t>
            </w:r>
          </w:p>
          <w:p>
            <w:pPr>
              <w:spacing w:line="312" w:lineRule="exact"/>
              <w:ind w:firstLine="0" w:firstLineChars="0"/>
              <w:rPr>
                <w:color w:val="auto"/>
                <w:sz w:val="21"/>
                <w:szCs w:val="21"/>
              </w:rPr>
            </w:pPr>
            <w:r>
              <w:rPr>
                <w:color w:val="auto"/>
                <w:sz w:val="21"/>
                <w:szCs w:val="21"/>
              </w:rPr>
              <w:t>6.1.2粉状、粒状VOCs物料应采用气力输送设备、管状带式输送机、螺旋输送机等密闭输送方式，或者采用密闭的包装袋、容器或罐车进行物料转移。</w:t>
            </w:r>
          </w:p>
          <w:p>
            <w:pPr>
              <w:spacing w:line="312" w:lineRule="exact"/>
              <w:ind w:firstLine="0" w:firstLineChars="0"/>
              <w:rPr>
                <w:color w:val="auto"/>
                <w:sz w:val="21"/>
                <w:szCs w:val="21"/>
              </w:rPr>
            </w:pPr>
            <w:r>
              <w:rPr>
                <w:color w:val="auto"/>
                <w:sz w:val="21"/>
                <w:szCs w:val="21"/>
              </w:rPr>
              <w:t>6.1.3 对挥发性有机液体进行装载时，应符合6.2条规定。</w:t>
            </w:r>
          </w:p>
        </w:tc>
        <w:tc>
          <w:tcPr>
            <w:tcW w:w="2727" w:type="dxa"/>
            <w:tcBorders>
              <w:tl2br w:val="nil"/>
              <w:tr2bl w:val="nil"/>
            </w:tcBorders>
            <w:vAlign w:val="center"/>
          </w:tcPr>
          <w:p>
            <w:pPr>
              <w:spacing w:line="312" w:lineRule="exact"/>
              <w:ind w:firstLine="0" w:firstLineChars="0"/>
              <w:jc w:val="center"/>
              <w:rPr>
                <w:color w:val="auto"/>
                <w:sz w:val="21"/>
                <w:szCs w:val="21"/>
              </w:rPr>
            </w:pPr>
            <w:r>
              <w:rPr>
                <w:color w:val="auto"/>
                <w:sz w:val="21"/>
                <w:szCs w:val="21"/>
              </w:rPr>
              <w:t>项目原料和产品为液态</w:t>
            </w:r>
            <w:r>
              <w:rPr>
                <w:rFonts w:hint="eastAsia"/>
                <w:color w:val="auto"/>
                <w:sz w:val="21"/>
                <w:szCs w:val="21"/>
                <w:lang w:eastAsia="zh-CN"/>
              </w:rPr>
              <w:t>，</w:t>
            </w:r>
            <w:r>
              <w:rPr>
                <w:rFonts w:hint="eastAsia"/>
                <w:color w:val="auto"/>
                <w:sz w:val="21"/>
                <w:szCs w:val="21"/>
                <w:lang w:val="en-US" w:eastAsia="zh-CN"/>
              </w:rPr>
              <w:t>虽含有有机物但不易挥发，均采用管道输送；粉状物料如催化剂、催化剂、催化剂等均采用密闭包装袋包装</w:t>
            </w: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0" w:type="dxa"/>
            <w:vMerge w:val="continue"/>
            <w:tcBorders>
              <w:tl2br w:val="nil"/>
              <w:tr2bl w:val="nil"/>
            </w:tcBorders>
            <w:vAlign w:val="center"/>
          </w:tcPr>
          <w:p>
            <w:pPr>
              <w:spacing w:line="312" w:lineRule="exact"/>
              <w:ind w:firstLine="0" w:firstLineChars="0"/>
              <w:jc w:val="center"/>
              <w:rPr>
                <w:color w:val="auto"/>
                <w:sz w:val="21"/>
                <w:szCs w:val="21"/>
              </w:rPr>
            </w:pPr>
          </w:p>
        </w:tc>
        <w:tc>
          <w:tcPr>
            <w:tcW w:w="9239" w:type="dxa"/>
            <w:tcBorders>
              <w:tl2br w:val="nil"/>
              <w:tr2bl w:val="nil"/>
            </w:tcBorders>
          </w:tcPr>
          <w:p>
            <w:pPr>
              <w:spacing w:line="312" w:lineRule="exact"/>
              <w:ind w:firstLine="0" w:firstLineChars="0"/>
              <w:rPr>
                <w:color w:val="auto"/>
                <w:sz w:val="21"/>
                <w:szCs w:val="21"/>
              </w:rPr>
            </w:pPr>
            <w:r>
              <w:rPr>
                <w:color w:val="auto"/>
                <w:sz w:val="21"/>
                <w:szCs w:val="21"/>
              </w:rPr>
              <w:t>6.2挥发性有机液体装载</w:t>
            </w:r>
          </w:p>
          <w:p>
            <w:pPr>
              <w:spacing w:line="312" w:lineRule="exact"/>
              <w:ind w:firstLine="0" w:firstLineChars="0"/>
              <w:rPr>
                <w:color w:val="auto"/>
                <w:sz w:val="21"/>
                <w:szCs w:val="21"/>
              </w:rPr>
            </w:pPr>
            <w:r>
              <w:rPr>
                <w:color w:val="auto"/>
                <w:sz w:val="21"/>
                <w:szCs w:val="21"/>
              </w:rPr>
              <w:t>6.2.1装载方式</w:t>
            </w:r>
          </w:p>
          <w:p>
            <w:pPr>
              <w:spacing w:line="312" w:lineRule="exact"/>
              <w:ind w:firstLine="0" w:firstLineChars="0"/>
              <w:rPr>
                <w:color w:val="auto"/>
                <w:sz w:val="21"/>
                <w:szCs w:val="21"/>
              </w:rPr>
            </w:pPr>
            <w:r>
              <w:rPr>
                <w:color w:val="auto"/>
                <w:sz w:val="21"/>
                <w:szCs w:val="21"/>
              </w:rPr>
              <w:t>挥发性有机液体应采用底部装载方式；若采用顶部浸没式装载，出料管口距离槽（罐）底部高度应小于200mm。</w:t>
            </w:r>
          </w:p>
          <w:p>
            <w:pPr>
              <w:spacing w:line="312" w:lineRule="exact"/>
              <w:ind w:firstLine="0" w:firstLineChars="0"/>
              <w:rPr>
                <w:color w:val="auto"/>
                <w:sz w:val="21"/>
                <w:szCs w:val="21"/>
              </w:rPr>
            </w:pPr>
            <w:r>
              <w:rPr>
                <w:color w:val="auto"/>
                <w:sz w:val="21"/>
                <w:szCs w:val="21"/>
              </w:rPr>
              <w:t>6.2.3装载特别控制要求</w:t>
            </w:r>
          </w:p>
          <w:p>
            <w:pPr>
              <w:spacing w:line="312" w:lineRule="exact"/>
              <w:ind w:firstLine="0" w:firstLineChars="0"/>
              <w:rPr>
                <w:color w:val="auto"/>
                <w:sz w:val="21"/>
                <w:szCs w:val="21"/>
              </w:rPr>
            </w:pPr>
            <w:r>
              <w:rPr>
                <w:color w:val="auto"/>
                <w:sz w:val="21"/>
                <w:szCs w:val="21"/>
              </w:rPr>
              <w:t>装载物料真实蒸气压≥27.6kPa且单一装载设施的年装载量≥500m</w:t>
            </w:r>
            <w:r>
              <w:rPr>
                <w:color w:val="auto"/>
                <w:sz w:val="21"/>
                <w:szCs w:val="21"/>
                <w:vertAlign w:val="superscript"/>
              </w:rPr>
              <w:t>3</w:t>
            </w:r>
            <w:r>
              <w:rPr>
                <w:color w:val="auto"/>
                <w:sz w:val="21"/>
                <w:szCs w:val="21"/>
              </w:rPr>
              <w:t>，以及装载物料真实蒸气压≥5.2kPa但＜27.6kPa且单一装载设施的年装载量≥2500m</w:t>
            </w:r>
            <w:r>
              <w:rPr>
                <w:color w:val="auto"/>
                <w:sz w:val="21"/>
                <w:szCs w:val="21"/>
                <w:vertAlign w:val="superscript"/>
              </w:rPr>
              <w:t>3</w:t>
            </w:r>
            <w:r>
              <w:rPr>
                <w:color w:val="auto"/>
                <w:sz w:val="21"/>
                <w:szCs w:val="21"/>
              </w:rPr>
              <w:t>的，装载过程应符合下列规定之一：</w:t>
            </w:r>
          </w:p>
          <w:p>
            <w:pPr>
              <w:spacing w:line="312" w:lineRule="exact"/>
              <w:ind w:firstLine="0" w:firstLineChars="0"/>
              <w:rPr>
                <w:color w:val="auto"/>
                <w:sz w:val="21"/>
                <w:szCs w:val="21"/>
              </w:rPr>
            </w:pPr>
            <w:r>
              <w:rPr>
                <w:color w:val="auto"/>
                <w:sz w:val="21"/>
                <w:szCs w:val="21"/>
              </w:rPr>
              <w:t>a）排放的废气应收集处理并满足相关行业排放标准的要求（无行业排放标准的应满足GB 16297的要求），或者处理效率不低于90%；</w:t>
            </w:r>
          </w:p>
          <w:p>
            <w:pPr>
              <w:spacing w:line="312" w:lineRule="exact"/>
              <w:ind w:firstLine="0" w:firstLineChars="0"/>
              <w:rPr>
                <w:color w:val="auto"/>
                <w:sz w:val="21"/>
                <w:szCs w:val="21"/>
              </w:rPr>
            </w:pPr>
            <w:r>
              <w:rPr>
                <w:color w:val="auto"/>
                <w:sz w:val="21"/>
                <w:szCs w:val="21"/>
              </w:rPr>
              <w:t>b）排放的废气连接至气相平衡系统。</w:t>
            </w:r>
          </w:p>
        </w:tc>
        <w:tc>
          <w:tcPr>
            <w:tcW w:w="2727" w:type="dxa"/>
            <w:tcBorders>
              <w:tl2br w:val="nil"/>
              <w:tr2bl w:val="nil"/>
            </w:tcBorders>
            <w:vAlign w:val="center"/>
          </w:tcPr>
          <w:p>
            <w:pPr>
              <w:spacing w:line="312" w:lineRule="exact"/>
              <w:ind w:firstLine="0" w:firstLineChars="0"/>
              <w:jc w:val="center"/>
              <w:rPr>
                <w:color w:val="auto"/>
                <w:sz w:val="21"/>
                <w:szCs w:val="21"/>
              </w:rPr>
            </w:pPr>
            <w:r>
              <w:rPr>
                <w:rFonts w:hint="eastAsia" w:ascii="Times New Roman" w:hAnsi="Times New Roman" w:eastAsia="宋体" w:cs="Times New Roman"/>
                <w:color w:val="auto"/>
                <w:sz w:val="21"/>
                <w:szCs w:val="21"/>
                <w:lang w:val="en-US" w:eastAsia="zh-CN"/>
              </w:rPr>
              <w:t>本</w:t>
            </w:r>
            <w:r>
              <w:rPr>
                <w:rFonts w:ascii="Times New Roman" w:hAnsi="Times New Roman" w:eastAsia="宋体" w:cs="Times New Roman"/>
                <w:color w:val="auto"/>
                <w:sz w:val="21"/>
                <w:szCs w:val="21"/>
              </w:rPr>
              <w:t>项</w:t>
            </w:r>
            <w:r>
              <w:rPr>
                <w:color w:val="auto"/>
                <w:sz w:val="21"/>
                <w:szCs w:val="21"/>
              </w:rPr>
              <w:t>目原料和产品为液态</w:t>
            </w:r>
            <w:r>
              <w:rPr>
                <w:rFonts w:hint="eastAsia"/>
                <w:color w:val="auto"/>
                <w:sz w:val="21"/>
                <w:szCs w:val="21"/>
                <w:lang w:eastAsia="zh-CN"/>
              </w:rPr>
              <w:t>，</w:t>
            </w:r>
            <w:r>
              <w:rPr>
                <w:rFonts w:hint="eastAsia"/>
                <w:color w:val="auto"/>
                <w:sz w:val="21"/>
                <w:szCs w:val="21"/>
                <w:lang w:val="en-US" w:eastAsia="zh-CN"/>
              </w:rPr>
              <w:t>虽含有有机物但不易挥发</w:t>
            </w: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0" w:type="dxa"/>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7工艺过程VOCs无组织排放控制要求</w:t>
            </w:r>
          </w:p>
        </w:tc>
        <w:tc>
          <w:tcPr>
            <w:tcW w:w="9239" w:type="dxa"/>
            <w:tcBorders>
              <w:tl2br w:val="nil"/>
              <w:tr2bl w:val="nil"/>
            </w:tcBorders>
          </w:tcPr>
          <w:p>
            <w:pPr>
              <w:spacing w:line="312" w:lineRule="exact"/>
              <w:ind w:firstLine="0" w:firstLineChars="0"/>
              <w:rPr>
                <w:color w:val="auto"/>
                <w:sz w:val="21"/>
                <w:szCs w:val="21"/>
              </w:rPr>
            </w:pPr>
            <w:r>
              <w:rPr>
                <w:color w:val="auto"/>
                <w:sz w:val="21"/>
                <w:szCs w:val="21"/>
              </w:rPr>
              <w:t>7.1涉VOCs物料的化工生产过程</w:t>
            </w:r>
          </w:p>
          <w:p>
            <w:pPr>
              <w:spacing w:line="312" w:lineRule="exact"/>
              <w:ind w:firstLine="0" w:firstLineChars="0"/>
              <w:rPr>
                <w:color w:val="auto"/>
                <w:sz w:val="21"/>
                <w:szCs w:val="21"/>
              </w:rPr>
            </w:pPr>
            <w:r>
              <w:rPr>
                <w:color w:val="auto"/>
                <w:sz w:val="21"/>
                <w:szCs w:val="21"/>
              </w:rPr>
              <w:t>7.1.1物料投加和卸放</w:t>
            </w:r>
          </w:p>
          <w:p>
            <w:pPr>
              <w:spacing w:line="312" w:lineRule="exact"/>
              <w:ind w:firstLine="0" w:firstLineChars="0"/>
              <w:rPr>
                <w:color w:val="auto"/>
                <w:sz w:val="21"/>
                <w:szCs w:val="21"/>
              </w:rPr>
            </w:pPr>
            <w:r>
              <w:rPr>
                <w:color w:val="auto"/>
                <w:sz w:val="21"/>
                <w:szCs w:val="21"/>
              </w:rPr>
              <w:t>a）液态VOCs物料应采用密闭管道输送方式或采用高位槽（罐）、桶泵等给料方式密闭投加。无法密闭投加的，应在密闭空间内操作，或进行局部气体收集，废气应排至VOCs废气收集处理系统。</w:t>
            </w:r>
          </w:p>
          <w:p>
            <w:pPr>
              <w:spacing w:line="312" w:lineRule="exact"/>
              <w:ind w:firstLine="0" w:firstLineChars="0"/>
              <w:rPr>
                <w:color w:val="auto"/>
                <w:sz w:val="21"/>
                <w:szCs w:val="21"/>
              </w:rPr>
            </w:pPr>
            <w:r>
              <w:rPr>
                <w:color w:val="auto"/>
                <w:sz w:val="21"/>
                <w:szCs w:val="21"/>
              </w:rPr>
              <w:t>c）VOCs物料卸（出、放）料过程应密闭，卸料废气应排至VOCs废气收集处理系统；无法密闭的，应采取局部气体收集措施，废气应排至VOCs废气收集处理系统。</w:t>
            </w:r>
          </w:p>
        </w:tc>
        <w:tc>
          <w:tcPr>
            <w:tcW w:w="2727" w:type="dxa"/>
            <w:tcBorders>
              <w:tl2br w:val="nil"/>
              <w:tr2bl w:val="nil"/>
            </w:tcBorders>
            <w:vAlign w:val="center"/>
          </w:tcPr>
          <w:p>
            <w:pPr>
              <w:spacing w:line="312" w:lineRule="exact"/>
              <w:ind w:firstLine="0" w:firstLineChars="0"/>
              <w:jc w:val="center"/>
              <w:rPr>
                <w:color w:val="auto"/>
                <w:sz w:val="21"/>
                <w:szCs w:val="21"/>
              </w:rPr>
            </w:pPr>
            <w:r>
              <w:rPr>
                <w:color w:val="auto"/>
                <w:sz w:val="21"/>
                <w:szCs w:val="21"/>
              </w:rPr>
              <w:t>项目液态VOCs物料采用密闭管道输送；整套装置完全封闭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0" w:type="dxa"/>
            <w:vMerge w:val="continue"/>
            <w:tcBorders>
              <w:tl2br w:val="nil"/>
              <w:tr2bl w:val="nil"/>
            </w:tcBorders>
            <w:vAlign w:val="center"/>
          </w:tcPr>
          <w:p>
            <w:pPr>
              <w:spacing w:line="312" w:lineRule="exact"/>
              <w:ind w:firstLine="0" w:firstLineChars="0"/>
              <w:jc w:val="center"/>
              <w:rPr>
                <w:color w:val="auto"/>
                <w:sz w:val="21"/>
                <w:szCs w:val="21"/>
              </w:rPr>
            </w:pPr>
          </w:p>
        </w:tc>
        <w:tc>
          <w:tcPr>
            <w:tcW w:w="9239" w:type="dxa"/>
            <w:tcBorders>
              <w:tl2br w:val="nil"/>
              <w:tr2bl w:val="nil"/>
            </w:tcBorders>
          </w:tcPr>
          <w:p>
            <w:pPr>
              <w:spacing w:line="312" w:lineRule="exact"/>
              <w:ind w:firstLine="0" w:firstLineChars="0"/>
              <w:rPr>
                <w:color w:val="auto"/>
                <w:sz w:val="21"/>
                <w:szCs w:val="21"/>
              </w:rPr>
            </w:pPr>
            <w:r>
              <w:rPr>
                <w:color w:val="auto"/>
                <w:sz w:val="21"/>
                <w:szCs w:val="21"/>
              </w:rPr>
              <w:t>7.1.4真空系统</w:t>
            </w:r>
          </w:p>
          <w:p>
            <w:pPr>
              <w:spacing w:line="312" w:lineRule="exact"/>
              <w:ind w:firstLine="0" w:firstLineChars="0"/>
              <w:rPr>
                <w:color w:val="auto"/>
                <w:sz w:val="21"/>
                <w:szCs w:val="21"/>
              </w:rPr>
            </w:pPr>
            <w:r>
              <w:rPr>
                <w:color w:val="auto"/>
                <w:sz w:val="21"/>
                <w:szCs w:val="21"/>
              </w:rPr>
              <w:t>真空系统应采用干式真空泵，真空排气应排至VOCs废气收集处理系统。若使用液环（水环）真空泵、水（水蒸气）喷射真空泵等，工作介质的循环槽（罐）应密闭，真空排气、循环槽（罐）排气应排至VOCs废气收集处理系统。</w:t>
            </w:r>
          </w:p>
        </w:tc>
        <w:tc>
          <w:tcPr>
            <w:tcW w:w="2727" w:type="dxa"/>
            <w:tcBorders>
              <w:tl2br w:val="nil"/>
              <w:tr2bl w:val="nil"/>
            </w:tcBorders>
            <w:vAlign w:val="center"/>
          </w:tcPr>
          <w:p>
            <w:pPr>
              <w:spacing w:line="312" w:lineRule="exact"/>
              <w:ind w:firstLine="0" w:firstLineChars="0"/>
              <w:jc w:val="center"/>
              <w:rPr>
                <w:color w:val="auto"/>
                <w:sz w:val="21"/>
                <w:szCs w:val="21"/>
              </w:rPr>
            </w:pPr>
            <w:r>
              <w:rPr>
                <w:color w:val="auto"/>
                <w:sz w:val="21"/>
                <w:szCs w:val="21"/>
              </w:rPr>
              <w:t>项目为</w:t>
            </w:r>
            <w:r>
              <w:rPr>
                <w:rFonts w:hint="eastAsia"/>
                <w:color w:val="auto"/>
                <w:sz w:val="21"/>
                <w:szCs w:val="21"/>
                <w:lang w:val="en-US" w:eastAsia="zh-CN"/>
              </w:rPr>
              <w:t>干式</w:t>
            </w:r>
            <w:r>
              <w:rPr>
                <w:color w:val="auto"/>
                <w:sz w:val="21"/>
                <w:szCs w:val="21"/>
              </w:rPr>
              <w:t>真空泵，废气经管道收集后引入</w:t>
            </w:r>
            <w:r>
              <w:rPr>
                <w:rFonts w:hint="eastAsia"/>
                <w:color w:val="auto"/>
                <w:sz w:val="21"/>
                <w:szCs w:val="21"/>
                <w:lang w:eastAsia="zh-CN"/>
              </w:rPr>
              <w:t>碱喷淋</w:t>
            </w:r>
            <w:r>
              <w:rPr>
                <w:rFonts w:hint="eastAsia"/>
                <w:color w:val="auto"/>
                <w:sz w:val="21"/>
                <w:szCs w:val="21"/>
              </w:rPr>
              <w:t>+活性炭吸附系统</w:t>
            </w:r>
            <w:r>
              <w:rPr>
                <w:color w:val="auto"/>
                <w:sz w:val="21"/>
                <w:szCs w:val="21"/>
              </w:rPr>
              <w:t>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0" w:type="dxa"/>
            <w:vMerge w:val="continue"/>
            <w:tcBorders>
              <w:tl2br w:val="nil"/>
              <w:tr2bl w:val="nil"/>
            </w:tcBorders>
            <w:vAlign w:val="center"/>
          </w:tcPr>
          <w:p>
            <w:pPr>
              <w:spacing w:line="312" w:lineRule="exact"/>
              <w:ind w:firstLine="0" w:firstLineChars="0"/>
              <w:jc w:val="center"/>
              <w:rPr>
                <w:color w:val="auto"/>
                <w:sz w:val="21"/>
                <w:szCs w:val="21"/>
              </w:rPr>
            </w:pPr>
          </w:p>
        </w:tc>
        <w:tc>
          <w:tcPr>
            <w:tcW w:w="9239" w:type="dxa"/>
            <w:tcBorders>
              <w:tl2br w:val="nil"/>
              <w:tr2bl w:val="nil"/>
            </w:tcBorders>
          </w:tcPr>
          <w:p>
            <w:pPr>
              <w:spacing w:line="312" w:lineRule="exact"/>
              <w:ind w:firstLine="0" w:firstLineChars="0"/>
              <w:rPr>
                <w:color w:val="auto"/>
                <w:sz w:val="21"/>
                <w:szCs w:val="21"/>
              </w:rPr>
            </w:pPr>
            <w:r>
              <w:rPr>
                <w:color w:val="auto"/>
                <w:sz w:val="21"/>
                <w:szCs w:val="21"/>
              </w:rPr>
              <w:t>7.2含VOCs产品的使用过程</w:t>
            </w:r>
          </w:p>
          <w:p>
            <w:pPr>
              <w:spacing w:line="312" w:lineRule="exact"/>
              <w:ind w:firstLine="0" w:firstLineChars="0"/>
              <w:rPr>
                <w:color w:val="auto"/>
                <w:sz w:val="21"/>
                <w:szCs w:val="21"/>
              </w:rPr>
            </w:pPr>
            <w:r>
              <w:rPr>
                <w:color w:val="auto"/>
                <w:sz w:val="21"/>
                <w:szCs w:val="21"/>
              </w:rPr>
              <w:t>7.2.1VOCs质量占比大于等于10%的含VOCs产品，其使用过程应采用密闭设备或在密闭空间内操作，废气应排至VOCs废气收集处理系统；无法密闭的，应采取局部气体收集措施，废气应排至VOCs废气收集处理系统。</w:t>
            </w:r>
          </w:p>
        </w:tc>
        <w:tc>
          <w:tcPr>
            <w:tcW w:w="2727" w:type="dxa"/>
            <w:tcBorders>
              <w:tl2br w:val="nil"/>
              <w:tr2bl w:val="nil"/>
            </w:tcBorders>
            <w:vAlign w:val="center"/>
          </w:tcPr>
          <w:p>
            <w:pPr>
              <w:spacing w:line="312" w:lineRule="exact"/>
              <w:ind w:firstLine="0" w:firstLineChars="0"/>
              <w:jc w:val="center"/>
              <w:rPr>
                <w:color w:val="auto"/>
                <w:sz w:val="21"/>
                <w:szCs w:val="21"/>
              </w:rPr>
            </w:pPr>
            <w:r>
              <w:rPr>
                <w:color w:val="auto"/>
                <w:sz w:val="21"/>
                <w:szCs w:val="21"/>
              </w:rPr>
              <w:t>项目装置均为密闭装置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0" w:type="dxa"/>
            <w:vMerge w:val="continue"/>
            <w:tcBorders>
              <w:tl2br w:val="nil"/>
              <w:tr2bl w:val="nil"/>
            </w:tcBorders>
            <w:vAlign w:val="center"/>
          </w:tcPr>
          <w:p>
            <w:pPr>
              <w:spacing w:line="312" w:lineRule="exact"/>
              <w:ind w:firstLine="0" w:firstLineChars="0"/>
              <w:jc w:val="center"/>
              <w:rPr>
                <w:color w:val="auto"/>
                <w:sz w:val="21"/>
                <w:szCs w:val="21"/>
              </w:rPr>
            </w:pPr>
          </w:p>
        </w:tc>
        <w:tc>
          <w:tcPr>
            <w:tcW w:w="9239" w:type="dxa"/>
            <w:tcBorders>
              <w:tl2br w:val="nil"/>
              <w:tr2bl w:val="nil"/>
            </w:tcBorders>
          </w:tcPr>
          <w:p>
            <w:pPr>
              <w:spacing w:line="312" w:lineRule="exact"/>
              <w:ind w:firstLine="0" w:firstLineChars="0"/>
              <w:rPr>
                <w:color w:val="auto"/>
                <w:sz w:val="21"/>
                <w:szCs w:val="21"/>
              </w:rPr>
            </w:pPr>
            <w:r>
              <w:rPr>
                <w:color w:val="auto"/>
                <w:sz w:val="21"/>
                <w:szCs w:val="21"/>
              </w:rPr>
              <w:t>7.3其他要求</w:t>
            </w:r>
          </w:p>
          <w:p>
            <w:pPr>
              <w:spacing w:line="312" w:lineRule="exact"/>
              <w:ind w:firstLine="0" w:firstLineChars="0"/>
              <w:rPr>
                <w:color w:val="auto"/>
                <w:sz w:val="21"/>
                <w:szCs w:val="21"/>
              </w:rPr>
            </w:pPr>
            <w:r>
              <w:rPr>
                <w:color w:val="auto"/>
                <w:sz w:val="21"/>
                <w:szCs w:val="21"/>
              </w:rPr>
              <w:t>7.3.1企业应建立台账，记录含VOCs原辅材料和含VOCs产品的名称、使用量、回收量、废弃量、去向以及VOCs含量等信息。台账保存期限不少于3年。</w:t>
            </w:r>
          </w:p>
          <w:p>
            <w:pPr>
              <w:spacing w:line="312" w:lineRule="exact"/>
              <w:ind w:firstLine="0" w:firstLineChars="0"/>
              <w:rPr>
                <w:color w:val="auto"/>
                <w:sz w:val="21"/>
                <w:szCs w:val="21"/>
              </w:rPr>
            </w:pPr>
            <w:r>
              <w:rPr>
                <w:color w:val="auto"/>
                <w:sz w:val="21"/>
                <w:szCs w:val="21"/>
              </w:rPr>
              <w:t>7.3.4工艺过程产生的含VOCs废料（渣、液）应按照第5章、第6章的要求进行储存、转移和输送。盛装过VOCs物料的废包装容器应加盖密闭。</w:t>
            </w:r>
          </w:p>
        </w:tc>
        <w:tc>
          <w:tcPr>
            <w:tcW w:w="2727" w:type="dxa"/>
            <w:tcBorders>
              <w:tl2br w:val="nil"/>
              <w:tr2bl w:val="nil"/>
            </w:tcBorders>
            <w:vAlign w:val="center"/>
          </w:tcPr>
          <w:p>
            <w:pPr>
              <w:spacing w:line="312" w:lineRule="exact"/>
              <w:ind w:firstLine="0" w:firstLineChars="0"/>
              <w:jc w:val="center"/>
              <w:rPr>
                <w:color w:val="auto"/>
                <w:sz w:val="21"/>
                <w:szCs w:val="21"/>
              </w:rPr>
            </w:pPr>
            <w:r>
              <w:rPr>
                <w:color w:val="auto"/>
                <w:sz w:val="21"/>
                <w:szCs w:val="21"/>
              </w:rPr>
              <w:t>1）企业运行过程应该按照要求，建立台账</w:t>
            </w:r>
          </w:p>
          <w:p>
            <w:pPr>
              <w:spacing w:line="312" w:lineRule="exact"/>
              <w:ind w:firstLine="0" w:firstLineChars="0"/>
              <w:jc w:val="center"/>
              <w:rPr>
                <w:color w:val="auto"/>
                <w:sz w:val="21"/>
                <w:szCs w:val="21"/>
              </w:rPr>
            </w:pPr>
            <w:r>
              <w:rPr>
                <w:rFonts w:hint="eastAsia"/>
                <w:color w:val="auto"/>
                <w:sz w:val="21"/>
                <w:szCs w:val="21"/>
              </w:rPr>
              <w:t>2</w:t>
            </w:r>
            <w:r>
              <w:rPr>
                <w:color w:val="auto"/>
                <w:sz w:val="21"/>
                <w:szCs w:val="21"/>
              </w:rPr>
              <w:t>）项目产生的</w:t>
            </w:r>
            <w:r>
              <w:rPr>
                <w:rFonts w:hint="eastAsia"/>
                <w:color w:val="auto"/>
                <w:sz w:val="21"/>
                <w:szCs w:val="21"/>
              </w:rPr>
              <w:t>危废</w:t>
            </w:r>
            <w:r>
              <w:rPr>
                <w:color w:val="auto"/>
                <w:sz w:val="21"/>
                <w:szCs w:val="21"/>
              </w:rPr>
              <w:t>，在危废暂存建暂存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0" w:type="dxa"/>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8 设备与管线组件VOCs泄漏控制要求</w:t>
            </w:r>
          </w:p>
        </w:tc>
        <w:tc>
          <w:tcPr>
            <w:tcW w:w="9239" w:type="dxa"/>
            <w:tcBorders>
              <w:tl2br w:val="nil"/>
              <w:tr2bl w:val="nil"/>
            </w:tcBorders>
            <w:vAlign w:val="top"/>
          </w:tcPr>
          <w:p>
            <w:pPr>
              <w:spacing w:line="312" w:lineRule="exact"/>
              <w:ind w:firstLine="0" w:firstLineChars="0"/>
              <w:rPr>
                <w:color w:val="auto"/>
                <w:sz w:val="21"/>
                <w:szCs w:val="21"/>
              </w:rPr>
            </w:pPr>
            <w:r>
              <w:rPr>
                <w:color w:val="auto"/>
                <w:sz w:val="21"/>
                <w:szCs w:val="21"/>
              </w:rPr>
              <w:t>8.3泄漏检测</w:t>
            </w:r>
          </w:p>
          <w:p>
            <w:pPr>
              <w:spacing w:line="312" w:lineRule="exact"/>
              <w:ind w:firstLine="0" w:firstLineChars="0"/>
              <w:rPr>
                <w:color w:val="auto"/>
                <w:sz w:val="21"/>
                <w:szCs w:val="21"/>
              </w:rPr>
            </w:pPr>
            <w:r>
              <w:rPr>
                <w:color w:val="auto"/>
                <w:sz w:val="21"/>
                <w:szCs w:val="21"/>
              </w:rPr>
              <w:t>8.3.1企业应按下列频次对设备与管线组件的密封点进行VOCs泄漏检测：</w:t>
            </w:r>
          </w:p>
          <w:p>
            <w:pPr>
              <w:spacing w:line="312" w:lineRule="exact"/>
              <w:ind w:firstLine="0" w:firstLineChars="0"/>
              <w:rPr>
                <w:color w:val="auto"/>
                <w:sz w:val="21"/>
                <w:szCs w:val="21"/>
              </w:rPr>
            </w:pPr>
            <w:r>
              <w:rPr>
                <w:color w:val="auto"/>
                <w:sz w:val="21"/>
                <w:szCs w:val="21"/>
              </w:rPr>
              <w:t>a）对设备与管线组件的密封点每周进行目视观察，检查其密封处是否出现可见泄漏现象。</w:t>
            </w:r>
          </w:p>
          <w:p>
            <w:pPr>
              <w:spacing w:line="312" w:lineRule="exact"/>
              <w:ind w:firstLine="0" w:firstLineChars="0"/>
              <w:rPr>
                <w:color w:val="auto"/>
                <w:sz w:val="21"/>
                <w:szCs w:val="21"/>
              </w:rPr>
            </w:pPr>
            <w:r>
              <w:rPr>
                <w:color w:val="auto"/>
                <w:sz w:val="21"/>
                <w:szCs w:val="21"/>
              </w:rPr>
              <w:t>b）泵、压缩机、搅拌器（机）、阀门、开口阀或开口管线、泄压设备、取样连接系统至少每6个月检测一次。</w:t>
            </w:r>
          </w:p>
          <w:p>
            <w:pPr>
              <w:spacing w:line="312" w:lineRule="exact"/>
              <w:ind w:firstLine="0" w:firstLineChars="0"/>
              <w:rPr>
                <w:color w:val="auto"/>
                <w:sz w:val="21"/>
                <w:szCs w:val="21"/>
              </w:rPr>
            </w:pPr>
            <w:r>
              <w:rPr>
                <w:color w:val="auto"/>
                <w:sz w:val="21"/>
                <w:szCs w:val="21"/>
              </w:rPr>
              <w:t>c）法兰及其他连接件、其他密封设备至少每12个月检测一次。</w:t>
            </w:r>
          </w:p>
          <w:p>
            <w:pPr>
              <w:spacing w:line="312" w:lineRule="exact"/>
              <w:ind w:firstLine="0" w:firstLineChars="0"/>
              <w:rPr>
                <w:color w:val="auto"/>
                <w:sz w:val="21"/>
                <w:szCs w:val="21"/>
              </w:rPr>
            </w:pPr>
            <w:r>
              <w:rPr>
                <w:color w:val="auto"/>
                <w:sz w:val="21"/>
                <w:szCs w:val="21"/>
              </w:rPr>
              <w:t>d）对于直接排放的泄压设备，在非泄压状态下进行泄漏检测。直接排放的泄压设备泄压后，应在泄压之日起5个工作日之内，对泄压设备进行泄漏检测。</w:t>
            </w:r>
          </w:p>
          <w:p>
            <w:pPr>
              <w:spacing w:line="312" w:lineRule="exact"/>
              <w:ind w:firstLine="0" w:firstLineChars="0"/>
              <w:rPr>
                <w:color w:val="auto"/>
                <w:sz w:val="21"/>
                <w:szCs w:val="21"/>
              </w:rPr>
            </w:pPr>
            <w:r>
              <w:rPr>
                <w:color w:val="auto"/>
                <w:sz w:val="21"/>
                <w:szCs w:val="21"/>
              </w:rPr>
              <w:t>e）设备与管线组件初次启用或检维修后，应在90d内进行泄漏检测。</w:t>
            </w:r>
          </w:p>
        </w:tc>
        <w:tc>
          <w:tcPr>
            <w:tcW w:w="2727" w:type="dxa"/>
            <w:tcBorders>
              <w:tl2br w:val="nil"/>
              <w:tr2bl w:val="nil"/>
            </w:tcBorders>
            <w:vAlign w:val="center"/>
          </w:tcPr>
          <w:p>
            <w:pPr>
              <w:spacing w:line="312" w:lineRule="exact"/>
              <w:ind w:firstLine="0" w:firstLineChars="0"/>
              <w:jc w:val="center"/>
              <w:rPr>
                <w:color w:val="auto"/>
                <w:sz w:val="21"/>
                <w:szCs w:val="21"/>
              </w:rPr>
            </w:pPr>
            <w:r>
              <w:rPr>
                <w:rFonts w:hint="eastAsia"/>
                <w:color w:val="auto"/>
                <w:sz w:val="21"/>
                <w:szCs w:val="21"/>
              </w:rPr>
              <w:t>拟建项目</w:t>
            </w:r>
            <w:r>
              <w:rPr>
                <w:color w:val="auto"/>
                <w:sz w:val="21"/>
                <w:szCs w:val="21"/>
              </w:rPr>
              <w:t>建成投产后，应参照标准要求进行泄漏检测与修复工作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0" w:type="dxa"/>
            <w:vMerge w:val="continue"/>
            <w:tcBorders>
              <w:tl2br w:val="nil"/>
              <w:tr2bl w:val="nil"/>
            </w:tcBorders>
            <w:vAlign w:val="center"/>
          </w:tcPr>
          <w:p>
            <w:pPr>
              <w:spacing w:line="312" w:lineRule="exact"/>
              <w:ind w:firstLine="0" w:firstLineChars="0"/>
              <w:jc w:val="center"/>
              <w:rPr>
                <w:color w:val="auto"/>
                <w:sz w:val="21"/>
                <w:szCs w:val="21"/>
              </w:rPr>
            </w:pPr>
          </w:p>
        </w:tc>
        <w:tc>
          <w:tcPr>
            <w:tcW w:w="9239" w:type="dxa"/>
            <w:tcBorders>
              <w:tl2br w:val="nil"/>
              <w:tr2bl w:val="nil"/>
            </w:tcBorders>
          </w:tcPr>
          <w:p>
            <w:pPr>
              <w:spacing w:line="312" w:lineRule="exact"/>
              <w:ind w:firstLine="0" w:firstLineChars="0"/>
              <w:rPr>
                <w:color w:val="auto"/>
                <w:sz w:val="21"/>
                <w:szCs w:val="21"/>
              </w:rPr>
            </w:pPr>
            <w:r>
              <w:rPr>
                <w:color w:val="auto"/>
                <w:sz w:val="21"/>
                <w:szCs w:val="21"/>
              </w:rPr>
              <w:t>8.4泄漏源修复</w:t>
            </w:r>
          </w:p>
          <w:p>
            <w:pPr>
              <w:spacing w:line="312" w:lineRule="exact"/>
              <w:ind w:firstLine="0" w:firstLineChars="0"/>
              <w:rPr>
                <w:color w:val="auto"/>
                <w:sz w:val="21"/>
                <w:szCs w:val="21"/>
              </w:rPr>
            </w:pPr>
            <w:r>
              <w:rPr>
                <w:color w:val="auto"/>
                <w:sz w:val="21"/>
                <w:szCs w:val="21"/>
              </w:rPr>
              <w:t>8.4.1当检测到泄漏时，对泄漏源应予以标识并及时修复。发现泄漏之日起5d内应进行首次修复，除8.4.2条规定外，应在发现泄漏之日起15d内完成修复。</w:t>
            </w:r>
          </w:p>
          <w:p>
            <w:pPr>
              <w:spacing w:line="312" w:lineRule="exact"/>
              <w:ind w:firstLine="0" w:firstLineChars="0"/>
              <w:rPr>
                <w:color w:val="auto"/>
                <w:sz w:val="21"/>
                <w:szCs w:val="21"/>
              </w:rPr>
            </w:pPr>
            <w:r>
              <w:rPr>
                <w:color w:val="auto"/>
                <w:sz w:val="21"/>
                <w:szCs w:val="21"/>
              </w:rPr>
              <w:t>8.4.2符合下列条件之一的设备与管线组件可延迟修复。企业应将延迟修复方案报生态环境主管部门备案，并于下次停车（工）检修期间完成修复。a）装置停车（工）条件下才能修复；b）立即修复存在安全风险；c）其他特殊情况。</w:t>
            </w:r>
          </w:p>
        </w:tc>
        <w:tc>
          <w:tcPr>
            <w:tcW w:w="2727" w:type="dxa"/>
            <w:tcBorders>
              <w:tl2br w:val="nil"/>
              <w:tr2bl w:val="nil"/>
            </w:tcBorders>
            <w:vAlign w:val="center"/>
          </w:tcPr>
          <w:p>
            <w:pPr>
              <w:spacing w:line="312" w:lineRule="exact"/>
              <w:ind w:firstLine="0" w:firstLineChars="0"/>
              <w:jc w:val="center"/>
              <w:rPr>
                <w:color w:val="auto"/>
                <w:sz w:val="21"/>
                <w:szCs w:val="21"/>
              </w:rPr>
            </w:pPr>
            <w:r>
              <w:rPr>
                <w:rFonts w:hint="eastAsia"/>
                <w:color w:val="auto"/>
                <w:sz w:val="21"/>
                <w:szCs w:val="21"/>
              </w:rPr>
              <w:t>拟建项目</w:t>
            </w:r>
            <w:r>
              <w:rPr>
                <w:color w:val="auto"/>
                <w:sz w:val="21"/>
                <w:szCs w:val="21"/>
              </w:rPr>
              <w:t>建成投产后，应参照标准要求进行泄漏</w:t>
            </w:r>
            <w:r>
              <w:rPr>
                <w:rFonts w:hint="eastAsia"/>
                <w:color w:val="auto"/>
                <w:sz w:val="21"/>
                <w:szCs w:val="21"/>
                <w:lang w:val="en-US" w:eastAsia="zh-CN"/>
              </w:rPr>
              <w:t>源</w:t>
            </w:r>
            <w:r>
              <w:rPr>
                <w:color w:val="auto"/>
                <w:sz w:val="21"/>
                <w:szCs w:val="21"/>
              </w:rPr>
              <w:t>检测与修复工作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0" w:type="dxa"/>
            <w:vMerge w:val="continue"/>
            <w:tcBorders>
              <w:tl2br w:val="nil"/>
              <w:tr2bl w:val="nil"/>
            </w:tcBorders>
            <w:vAlign w:val="center"/>
          </w:tcPr>
          <w:p>
            <w:pPr>
              <w:spacing w:line="312" w:lineRule="exact"/>
              <w:ind w:firstLine="0" w:firstLineChars="0"/>
              <w:jc w:val="center"/>
              <w:rPr>
                <w:color w:val="auto"/>
                <w:sz w:val="21"/>
                <w:szCs w:val="21"/>
              </w:rPr>
            </w:pPr>
          </w:p>
        </w:tc>
        <w:tc>
          <w:tcPr>
            <w:tcW w:w="9239" w:type="dxa"/>
            <w:tcBorders>
              <w:tl2br w:val="nil"/>
              <w:tr2bl w:val="nil"/>
            </w:tcBorders>
          </w:tcPr>
          <w:p>
            <w:pPr>
              <w:spacing w:line="312" w:lineRule="exact"/>
              <w:ind w:firstLine="0" w:firstLineChars="0"/>
              <w:rPr>
                <w:color w:val="auto"/>
                <w:sz w:val="21"/>
                <w:szCs w:val="21"/>
              </w:rPr>
            </w:pPr>
            <w:r>
              <w:rPr>
                <w:color w:val="auto"/>
                <w:sz w:val="21"/>
                <w:szCs w:val="21"/>
              </w:rPr>
              <w:t>8.5记录要求</w:t>
            </w:r>
          </w:p>
          <w:p>
            <w:pPr>
              <w:spacing w:line="312" w:lineRule="exact"/>
              <w:ind w:firstLine="0" w:firstLineChars="0"/>
              <w:rPr>
                <w:color w:val="auto"/>
                <w:sz w:val="21"/>
                <w:szCs w:val="21"/>
              </w:rPr>
            </w:pPr>
            <w:r>
              <w:rPr>
                <w:color w:val="auto"/>
                <w:sz w:val="21"/>
                <w:szCs w:val="21"/>
              </w:rPr>
              <w:t>泄漏检测应建立台账，记录检测时间、检测仪器读数、修复时间、采取的修复措施、修复后检测仪器读数等。台账保存期限不少于3年。</w:t>
            </w:r>
          </w:p>
        </w:tc>
        <w:tc>
          <w:tcPr>
            <w:tcW w:w="2727" w:type="dxa"/>
            <w:tcBorders>
              <w:tl2br w:val="nil"/>
              <w:tr2bl w:val="nil"/>
            </w:tcBorders>
            <w:vAlign w:val="center"/>
          </w:tcPr>
          <w:p>
            <w:pPr>
              <w:spacing w:line="312" w:lineRule="exact"/>
              <w:ind w:firstLine="0" w:firstLineChars="0"/>
              <w:jc w:val="center"/>
              <w:rPr>
                <w:color w:val="auto"/>
                <w:sz w:val="21"/>
                <w:szCs w:val="21"/>
              </w:rPr>
            </w:pPr>
            <w:r>
              <w:rPr>
                <w:color w:val="auto"/>
                <w:sz w:val="21"/>
                <w:szCs w:val="21"/>
              </w:rPr>
              <w:t>企业应该规范的设置泄漏检测台账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0" w:type="dxa"/>
            <w:vMerge w:val="continue"/>
            <w:tcBorders>
              <w:tl2br w:val="nil"/>
              <w:tr2bl w:val="nil"/>
            </w:tcBorders>
            <w:vAlign w:val="center"/>
          </w:tcPr>
          <w:p>
            <w:pPr>
              <w:spacing w:line="312" w:lineRule="exact"/>
              <w:ind w:firstLine="0" w:firstLineChars="0"/>
              <w:jc w:val="center"/>
              <w:rPr>
                <w:color w:val="auto"/>
                <w:sz w:val="21"/>
                <w:szCs w:val="21"/>
              </w:rPr>
            </w:pPr>
          </w:p>
        </w:tc>
        <w:tc>
          <w:tcPr>
            <w:tcW w:w="9239" w:type="dxa"/>
            <w:tcBorders>
              <w:tl2br w:val="nil"/>
              <w:tr2bl w:val="nil"/>
            </w:tcBorders>
          </w:tcPr>
          <w:p>
            <w:pPr>
              <w:spacing w:line="312" w:lineRule="exact"/>
              <w:ind w:firstLine="0" w:firstLineChars="0"/>
              <w:rPr>
                <w:color w:val="auto"/>
                <w:sz w:val="21"/>
                <w:szCs w:val="21"/>
              </w:rPr>
            </w:pPr>
            <w:r>
              <w:rPr>
                <w:color w:val="auto"/>
                <w:sz w:val="21"/>
                <w:szCs w:val="21"/>
              </w:rPr>
              <w:t>8.6其他要求</w:t>
            </w:r>
          </w:p>
          <w:p>
            <w:pPr>
              <w:spacing w:line="312" w:lineRule="exact"/>
              <w:ind w:firstLine="0" w:firstLineChars="0"/>
              <w:rPr>
                <w:color w:val="auto"/>
                <w:sz w:val="21"/>
                <w:szCs w:val="21"/>
              </w:rPr>
            </w:pPr>
            <w:r>
              <w:rPr>
                <w:color w:val="auto"/>
                <w:sz w:val="21"/>
                <w:szCs w:val="21"/>
              </w:rPr>
              <w:t>8.6.1在工艺和安全许可的条件下，泄压设备泄放的气体应接入VOCs废气收集处理系统。</w:t>
            </w:r>
          </w:p>
          <w:p>
            <w:pPr>
              <w:spacing w:line="312" w:lineRule="exact"/>
              <w:ind w:firstLine="0" w:firstLineChars="0"/>
              <w:rPr>
                <w:color w:val="auto"/>
                <w:sz w:val="21"/>
                <w:szCs w:val="21"/>
              </w:rPr>
            </w:pPr>
            <w:r>
              <w:rPr>
                <w:color w:val="auto"/>
                <w:sz w:val="21"/>
                <w:szCs w:val="21"/>
              </w:rPr>
              <w:t>8.6.2开口阀或开口管线应满足下列要求：</w:t>
            </w:r>
          </w:p>
          <w:p>
            <w:pPr>
              <w:spacing w:line="312" w:lineRule="exact"/>
              <w:ind w:firstLine="0" w:firstLineChars="0"/>
              <w:rPr>
                <w:color w:val="auto"/>
                <w:sz w:val="21"/>
                <w:szCs w:val="21"/>
              </w:rPr>
            </w:pPr>
            <w:r>
              <w:rPr>
                <w:color w:val="auto"/>
                <w:sz w:val="21"/>
                <w:szCs w:val="21"/>
              </w:rPr>
              <w:t>a）配备合适尺寸的盲法兰、盖子、塞子或二次阀；</w:t>
            </w:r>
          </w:p>
          <w:p>
            <w:pPr>
              <w:spacing w:line="312" w:lineRule="exact"/>
              <w:ind w:firstLine="0" w:firstLineChars="0"/>
              <w:rPr>
                <w:color w:val="auto"/>
                <w:sz w:val="21"/>
                <w:szCs w:val="21"/>
              </w:rPr>
            </w:pPr>
            <w:r>
              <w:rPr>
                <w:color w:val="auto"/>
                <w:sz w:val="21"/>
                <w:szCs w:val="21"/>
              </w:rPr>
              <w:t>b）采用二次阀，应在关闭二次阀之前关闭管线上游的阀门。</w:t>
            </w:r>
          </w:p>
          <w:p>
            <w:pPr>
              <w:spacing w:line="312" w:lineRule="exact"/>
              <w:ind w:firstLine="0" w:firstLineChars="0"/>
              <w:rPr>
                <w:color w:val="auto"/>
                <w:sz w:val="21"/>
                <w:szCs w:val="21"/>
              </w:rPr>
            </w:pPr>
            <w:r>
              <w:rPr>
                <w:color w:val="auto"/>
                <w:sz w:val="21"/>
                <w:szCs w:val="21"/>
              </w:rPr>
              <w:t>8.6.3气态VOCs物料和挥发性有机液体取样连接系统应符合下列规定之一：</w:t>
            </w:r>
          </w:p>
          <w:p>
            <w:pPr>
              <w:spacing w:line="312" w:lineRule="exact"/>
              <w:ind w:firstLine="0" w:firstLineChars="0"/>
              <w:rPr>
                <w:color w:val="auto"/>
                <w:sz w:val="21"/>
                <w:szCs w:val="21"/>
              </w:rPr>
            </w:pPr>
            <w:r>
              <w:rPr>
                <w:color w:val="auto"/>
                <w:sz w:val="21"/>
                <w:szCs w:val="21"/>
              </w:rPr>
              <w:t>a）采用在线取样分析系统；</w:t>
            </w:r>
          </w:p>
          <w:p>
            <w:pPr>
              <w:spacing w:line="312" w:lineRule="exact"/>
              <w:ind w:firstLine="0" w:firstLineChars="0"/>
              <w:rPr>
                <w:color w:val="auto"/>
                <w:sz w:val="21"/>
                <w:szCs w:val="21"/>
              </w:rPr>
            </w:pPr>
            <w:r>
              <w:rPr>
                <w:color w:val="auto"/>
                <w:sz w:val="21"/>
                <w:szCs w:val="21"/>
              </w:rPr>
              <w:t>b）采用密闭回路式取样连接系统；</w:t>
            </w:r>
          </w:p>
          <w:p>
            <w:pPr>
              <w:spacing w:line="312" w:lineRule="exact"/>
              <w:ind w:firstLine="0" w:firstLineChars="0"/>
              <w:rPr>
                <w:color w:val="auto"/>
                <w:sz w:val="21"/>
                <w:szCs w:val="21"/>
              </w:rPr>
            </w:pPr>
            <w:r>
              <w:rPr>
                <w:color w:val="auto"/>
                <w:sz w:val="21"/>
                <w:szCs w:val="21"/>
              </w:rPr>
              <w:t>c）取样连接系统接入VOCs废气收集处理系统；</w:t>
            </w:r>
          </w:p>
          <w:p>
            <w:pPr>
              <w:spacing w:line="312" w:lineRule="exact"/>
              <w:ind w:firstLine="0" w:firstLineChars="0"/>
              <w:rPr>
                <w:color w:val="auto"/>
                <w:sz w:val="21"/>
                <w:szCs w:val="21"/>
              </w:rPr>
            </w:pPr>
            <w:r>
              <w:rPr>
                <w:color w:val="auto"/>
                <w:sz w:val="21"/>
                <w:szCs w:val="21"/>
              </w:rPr>
              <w:t>d）采用密闭容器盛装，并记录样品回收量。</w:t>
            </w:r>
          </w:p>
        </w:tc>
        <w:tc>
          <w:tcPr>
            <w:tcW w:w="2727" w:type="dxa"/>
            <w:tcBorders>
              <w:tl2br w:val="nil"/>
              <w:tr2bl w:val="nil"/>
            </w:tcBorders>
            <w:vAlign w:val="center"/>
          </w:tcPr>
          <w:p>
            <w:pPr>
              <w:spacing w:line="312" w:lineRule="exact"/>
              <w:ind w:firstLine="0" w:firstLineChars="0"/>
              <w:jc w:val="center"/>
              <w:rPr>
                <w:color w:val="auto"/>
                <w:sz w:val="21"/>
                <w:szCs w:val="21"/>
              </w:rPr>
            </w:pPr>
            <w:r>
              <w:rPr>
                <w:color w:val="auto"/>
                <w:sz w:val="21"/>
                <w:szCs w:val="21"/>
              </w:rPr>
              <w:t>项目</w:t>
            </w:r>
            <w:r>
              <w:rPr>
                <w:rFonts w:hint="eastAsia"/>
                <w:color w:val="auto"/>
                <w:sz w:val="21"/>
                <w:szCs w:val="21"/>
                <w:lang w:val="en-US" w:eastAsia="zh-CN"/>
              </w:rPr>
              <w:t>干式</w:t>
            </w:r>
            <w:r>
              <w:rPr>
                <w:color w:val="auto"/>
                <w:sz w:val="21"/>
                <w:szCs w:val="21"/>
              </w:rPr>
              <w:t>真空泵</w:t>
            </w:r>
            <w:r>
              <w:rPr>
                <w:rFonts w:hint="eastAsia"/>
                <w:color w:val="auto"/>
                <w:sz w:val="21"/>
                <w:szCs w:val="21"/>
                <w:lang w:val="en-US" w:eastAsia="zh-CN"/>
              </w:rPr>
              <w:t>废气</w:t>
            </w:r>
            <w:r>
              <w:rPr>
                <w:color w:val="auto"/>
                <w:sz w:val="21"/>
                <w:szCs w:val="21"/>
              </w:rPr>
              <w:t>接入</w:t>
            </w:r>
            <w:r>
              <w:rPr>
                <w:rFonts w:hint="eastAsia"/>
                <w:color w:val="auto"/>
                <w:sz w:val="21"/>
                <w:szCs w:val="21"/>
                <w:lang w:eastAsia="zh-CN"/>
              </w:rPr>
              <w:t>碱喷淋</w:t>
            </w:r>
            <w:r>
              <w:rPr>
                <w:rFonts w:hint="eastAsia"/>
                <w:color w:val="auto"/>
                <w:sz w:val="21"/>
                <w:szCs w:val="21"/>
              </w:rPr>
              <w:t>+活性炭吸附系统</w:t>
            </w:r>
            <w:r>
              <w:rPr>
                <w:color w:val="auto"/>
                <w:sz w:val="21"/>
                <w:szCs w:val="21"/>
              </w:rPr>
              <w:t>处理；开口阀或开口管线按照要求配备相应的措施；气态VOCs物料和挥发性有机液体取样需要按照规范要求操作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0" w:type="dxa"/>
            <w:vMerge w:val="restar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10VOCs无组织排放废气收集处理系统要求</w:t>
            </w:r>
          </w:p>
        </w:tc>
        <w:tc>
          <w:tcPr>
            <w:tcW w:w="9239" w:type="dxa"/>
            <w:tcBorders>
              <w:tl2br w:val="nil"/>
              <w:tr2bl w:val="nil"/>
            </w:tcBorders>
          </w:tcPr>
          <w:p>
            <w:pPr>
              <w:spacing w:line="312" w:lineRule="exact"/>
              <w:ind w:firstLine="0" w:firstLineChars="0"/>
              <w:rPr>
                <w:color w:val="auto"/>
                <w:sz w:val="21"/>
                <w:szCs w:val="21"/>
              </w:rPr>
            </w:pPr>
            <w:r>
              <w:rPr>
                <w:color w:val="auto"/>
                <w:sz w:val="21"/>
                <w:szCs w:val="21"/>
              </w:rPr>
              <w:t>10.1基本要求</w:t>
            </w:r>
          </w:p>
          <w:p>
            <w:pPr>
              <w:spacing w:line="312" w:lineRule="exact"/>
              <w:ind w:firstLine="0" w:firstLineChars="0"/>
              <w:rPr>
                <w:color w:val="auto"/>
                <w:sz w:val="21"/>
                <w:szCs w:val="21"/>
              </w:rPr>
            </w:pPr>
            <w:r>
              <w:rPr>
                <w:color w:val="auto"/>
                <w:sz w:val="21"/>
                <w:szCs w:val="21"/>
              </w:rPr>
              <w:t>10.1.1针对VOCs无组织排放设置的废气收集处理系统应满足本章要求。</w:t>
            </w:r>
          </w:p>
          <w:p>
            <w:pPr>
              <w:spacing w:line="312" w:lineRule="exact"/>
              <w:ind w:firstLine="0" w:firstLineChars="0"/>
              <w:rPr>
                <w:color w:val="auto"/>
                <w:sz w:val="21"/>
                <w:szCs w:val="21"/>
              </w:rPr>
            </w:pPr>
            <w:r>
              <w:rPr>
                <w:color w:val="auto"/>
                <w:sz w:val="21"/>
                <w:szCs w:val="21"/>
              </w:rPr>
              <w:t>10.1.2VOCs废气收集处理系统应与生产工艺设备同步运行。VOCs废气收集处理系统发生故障或检修时，对应的生产工艺设备应停止运行，待检修完毕后同步投入使用；生产工艺设备不能停止运行或不能及时停止运行的，应设置废气应急处理设施或采取其他替代措施。</w:t>
            </w:r>
          </w:p>
        </w:tc>
        <w:tc>
          <w:tcPr>
            <w:tcW w:w="2727" w:type="dxa"/>
            <w:tcBorders>
              <w:tl2br w:val="nil"/>
              <w:tr2bl w:val="nil"/>
            </w:tcBorders>
            <w:vAlign w:val="center"/>
          </w:tcPr>
          <w:p>
            <w:pPr>
              <w:spacing w:line="312" w:lineRule="exact"/>
              <w:ind w:firstLine="0" w:firstLineChars="0"/>
              <w:jc w:val="center"/>
              <w:rPr>
                <w:color w:val="auto"/>
                <w:sz w:val="21"/>
                <w:szCs w:val="21"/>
              </w:rPr>
            </w:pPr>
            <w:r>
              <w:rPr>
                <w:color w:val="auto"/>
                <w:sz w:val="21"/>
                <w:szCs w:val="21"/>
              </w:rPr>
              <w:t>项目VOCs废气收集处理系统应与生产工艺设备同步运行。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0" w:type="dxa"/>
            <w:vMerge w:val="continue"/>
            <w:tcBorders>
              <w:tl2br w:val="nil"/>
              <w:tr2bl w:val="nil"/>
            </w:tcBorders>
            <w:vAlign w:val="center"/>
          </w:tcPr>
          <w:p>
            <w:pPr>
              <w:spacing w:line="312" w:lineRule="exact"/>
              <w:ind w:firstLine="0" w:firstLineChars="0"/>
              <w:jc w:val="center"/>
              <w:rPr>
                <w:color w:val="auto"/>
                <w:sz w:val="21"/>
                <w:szCs w:val="21"/>
              </w:rPr>
            </w:pPr>
          </w:p>
        </w:tc>
        <w:tc>
          <w:tcPr>
            <w:tcW w:w="9239" w:type="dxa"/>
            <w:tcBorders>
              <w:tl2br w:val="nil"/>
              <w:tr2bl w:val="nil"/>
            </w:tcBorders>
          </w:tcPr>
          <w:p>
            <w:pPr>
              <w:spacing w:line="312" w:lineRule="exact"/>
              <w:ind w:firstLine="0" w:firstLineChars="0"/>
              <w:rPr>
                <w:color w:val="auto"/>
                <w:sz w:val="21"/>
                <w:szCs w:val="21"/>
              </w:rPr>
            </w:pPr>
            <w:r>
              <w:rPr>
                <w:color w:val="auto"/>
                <w:sz w:val="21"/>
                <w:szCs w:val="21"/>
              </w:rPr>
              <w:t>10.2废气收集系统要求</w:t>
            </w:r>
          </w:p>
          <w:p>
            <w:pPr>
              <w:spacing w:line="312" w:lineRule="exact"/>
              <w:ind w:firstLine="0" w:firstLineChars="0"/>
              <w:rPr>
                <w:color w:val="auto"/>
                <w:sz w:val="21"/>
                <w:szCs w:val="21"/>
              </w:rPr>
            </w:pPr>
            <w:r>
              <w:rPr>
                <w:color w:val="auto"/>
                <w:sz w:val="21"/>
                <w:szCs w:val="21"/>
              </w:rPr>
              <w:t>10.2.1企业应考虑生产工艺、操作方式、废气性质、处理方法等因素，对VOCs废气进行分类收集。</w:t>
            </w:r>
          </w:p>
          <w:p>
            <w:pPr>
              <w:spacing w:line="312" w:lineRule="exact"/>
              <w:ind w:firstLine="0" w:firstLineChars="0"/>
              <w:rPr>
                <w:color w:val="auto"/>
                <w:sz w:val="21"/>
                <w:szCs w:val="21"/>
              </w:rPr>
            </w:pPr>
            <w:r>
              <w:rPr>
                <w:color w:val="auto"/>
                <w:sz w:val="21"/>
                <w:szCs w:val="21"/>
              </w:rPr>
              <w:t>10.2.2废气收集系统排风罩（集气罩）的设置应符合GB/T16758的规定。采用外部排风罩的，应按GB/T16758、AQ/T4274</w:t>
            </w:r>
            <w:r>
              <w:rPr>
                <w:rFonts w:hint="eastAsia"/>
                <w:color w:val="auto"/>
                <w:sz w:val="21"/>
                <w:szCs w:val="21"/>
              </w:rPr>
              <w:t>-</w:t>
            </w:r>
            <w:r>
              <w:rPr>
                <w:color w:val="auto"/>
                <w:sz w:val="21"/>
                <w:szCs w:val="21"/>
              </w:rPr>
              <w:t>2016规定的方法测量控制风速，测量点应选取在距排风罩开口面最远处的VOCs无组织排放位置，控制风速不应低于0.3m/s（行业相关规范有具体规定的，按相关规定执行）。</w:t>
            </w:r>
          </w:p>
          <w:p>
            <w:pPr>
              <w:spacing w:line="312" w:lineRule="exact"/>
              <w:ind w:firstLine="0" w:firstLineChars="0"/>
              <w:rPr>
                <w:color w:val="auto"/>
                <w:sz w:val="21"/>
                <w:szCs w:val="21"/>
              </w:rPr>
            </w:pPr>
            <w:r>
              <w:rPr>
                <w:color w:val="auto"/>
                <w:sz w:val="21"/>
                <w:szCs w:val="21"/>
              </w:rPr>
              <w:t>10.2.3废气收集系统的输送管道应密闭。废气收集系统应在负压下运行，若处于正压状态，应对输送管道组件的密封点进行泄漏检测，泄漏检测值不应超过500mmol/mol，亦不应有感官可察觉泄漏。泄漏检测频次、修复与记录的要求按照第8章规定执行。</w:t>
            </w:r>
          </w:p>
        </w:tc>
        <w:tc>
          <w:tcPr>
            <w:tcW w:w="2727" w:type="dxa"/>
            <w:tcBorders>
              <w:tl2br w:val="nil"/>
              <w:tr2bl w:val="nil"/>
            </w:tcBorders>
            <w:vAlign w:val="center"/>
          </w:tcPr>
          <w:p>
            <w:pPr>
              <w:spacing w:line="312" w:lineRule="exact"/>
              <w:ind w:firstLine="0" w:firstLineChars="0"/>
              <w:jc w:val="center"/>
              <w:rPr>
                <w:color w:val="auto"/>
                <w:sz w:val="21"/>
                <w:szCs w:val="21"/>
              </w:rPr>
            </w:pPr>
            <w:r>
              <w:rPr>
                <w:color w:val="auto"/>
                <w:sz w:val="21"/>
                <w:szCs w:val="21"/>
              </w:rPr>
              <w:t>项目产生的有机废气密闭收集处理。项目VOCs废气收集均位于密闭环境内，建设单位运行过程</w:t>
            </w:r>
            <w:r>
              <w:rPr>
                <w:rFonts w:hint="eastAsia"/>
                <w:color w:val="auto"/>
                <w:sz w:val="21"/>
                <w:szCs w:val="21"/>
                <w:lang w:val="en-US" w:eastAsia="zh-CN"/>
              </w:rPr>
              <w:t>应</w:t>
            </w:r>
            <w:r>
              <w:rPr>
                <w:color w:val="auto"/>
                <w:sz w:val="21"/>
                <w:szCs w:val="21"/>
              </w:rPr>
              <w:t>参照标准要求进行泄漏检测与修复工作，防止收集废气泄漏。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1640" w:type="dxa"/>
            <w:vMerge w:val="continue"/>
            <w:tcBorders>
              <w:tl2br w:val="nil"/>
              <w:tr2bl w:val="nil"/>
            </w:tcBorders>
            <w:vAlign w:val="center"/>
          </w:tcPr>
          <w:p>
            <w:pPr>
              <w:spacing w:line="312" w:lineRule="exact"/>
              <w:ind w:firstLine="0" w:firstLineChars="0"/>
              <w:jc w:val="center"/>
              <w:rPr>
                <w:color w:val="auto"/>
                <w:sz w:val="21"/>
                <w:szCs w:val="21"/>
              </w:rPr>
            </w:pPr>
          </w:p>
        </w:tc>
        <w:tc>
          <w:tcPr>
            <w:tcW w:w="9239" w:type="dxa"/>
            <w:tcBorders>
              <w:tl2br w:val="nil"/>
              <w:tr2bl w:val="nil"/>
            </w:tcBorders>
          </w:tcPr>
          <w:p>
            <w:pPr>
              <w:spacing w:line="312" w:lineRule="exact"/>
              <w:ind w:firstLine="0" w:firstLineChars="0"/>
              <w:rPr>
                <w:color w:val="auto"/>
                <w:sz w:val="21"/>
                <w:szCs w:val="21"/>
              </w:rPr>
            </w:pPr>
            <w:r>
              <w:rPr>
                <w:color w:val="auto"/>
                <w:sz w:val="21"/>
                <w:szCs w:val="21"/>
              </w:rPr>
              <w:t>10.3VOCs排放控制要求</w:t>
            </w:r>
          </w:p>
          <w:p>
            <w:pPr>
              <w:spacing w:line="312" w:lineRule="exact"/>
              <w:ind w:firstLine="0" w:firstLineChars="0"/>
              <w:rPr>
                <w:color w:val="auto"/>
                <w:sz w:val="21"/>
                <w:szCs w:val="21"/>
              </w:rPr>
            </w:pPr>
            <w:r>
              <w:rPr>
                <w:color w:val="auto"/>
                <w:sz w:val="21"/>
                <w:szCs w:val="21"/>
              </w:rPr>
              <w:t>10.3.1VOCs废气收集处理系统污染物排放应符合 GB16297或相关行业排放标准的规定。</w:t>
            </w:r>
          </w:p>
          <w:p>
            <w:pPr>
              <w:spacing w:line="312" w:lineRule="exact"/>
              <w:ind w:firstLine="0" w:firstLineChars="0"/>
              <w:rPr>
                <w:color w:val="auto"/>
                <w:sz w:val="21"/>
                <w:szCs w:val="21"/>
              </w:rPr>
            </w:pPr>
            <w:r>
              <w:rPr>
                <w:color w:val="auto"/>
                <w:sz w:val="21"/>
                <w:szCs w:val="21"/>
              </w:rPr>
              <w:t>10.3.2收集的废气中NMHC初始排放速率≥3kg/h时，应配置VOCs处理设施，处理效率不应低于80%；对于重点地区，收集的废气中NMHC初始排放速率≥2kg/h时，应配置VOCs处理设施，处理效率不应低于 80%；采用的原辅材料符合国家有关低VOCs含量产品规定的除外。</w:t>
            </w:r>
          </w:p>
          <w:p>
            <w:pPr>
              <w:spacing w:line="312" w:lineRule="exact"/>
              <w:ind w:firstLine="0" w:firstLineChars="0"/>
              <w:rPr>
                <w:color w:val="auto"/>
                <w:sz w:val="21"/>
                <w:szCs w:val="21"/>
              </w:rPr>
            </w:pPr>
            <w:r>
              <w:rPr>
                <w:color w:val="auto"/>
                <w:sz w:val="21"/>
                <w:szCs w:val="21"/>
              </w:rPr>
              <w:t>10.3.3进入VOCs燃烧（焚烧、氧化）装置的废气需要补充空气进行燃烧、氧化反应的，排气筒中实测大气污染物排放浓度，应按式（1）换算为基准含氧量为 3%的大气污染物基准排放浓度。利用锅炉、工业炉窑、固废焚烧炉焚烧处理有机废气的，烟气基准含氧量按其排放标准规定执行。</w:t>
            </w:r>
          </w:p>
          <w:p>
            <w:pPr>
              <w:spacing w:line="312" w:lineRule="exact"/>
              <w:ind w:firstLine="0" w:firstLineChars="0"/>
              <w:rPr>
                <w:color w:val="auto"/>
                <w:sz w:val="21"/>
                <w:szCs w:val="21"/>
              </w:rPr>
            </w:pPr>
            <w:r>
              <w:rPr>
                <w:color w:val="auto"/>
                <w:sz w:val="21"/>
                <w:szCs w:val="21"/>
              </w:rPr>
              <w:t>进入VOCs燃烧（焚烧、氧化）装置中废气含氧量可满足自身燃烧、氧化反应需要，不需另外补充空气的（燃烧器需要补充空气助燃的除外），以实测质量浓度作为达标判定依据，但装置出口烟气含氧量不得高于装置进口废气含氧量。吸附、吸收、冷凝、生物、膜分离等其他VOCs处理设施，以实测质量浓度作为达标判定依据，不得稀释排放。</w:t>
            </w:r>
          </w:p>
        </w:tc>
        <w:tc>
          <w:tcPr>
            <w:tcW w:w="2727" w:type="dxa"/>
            <w:tcBorders>
              <w:tl2br w:val="nil"/>
              <w:tr2bl w:val="nil"/>
            </w:tcBorders>
            <w:vAlign w:val="center"/>
          </w:tcPr>
          <w:p>
            <w:pPr>
              <w:spacing w:line="312" w:lineRule="exact"/>
              <w:ind w:firstLine="0" w:firstLineChars="0"/>
              <w:jc w:val="center"/>
              <w:rPr>
                <w:color w:val="auto"/>
                <w:sz w:val="21"/>
                <w:szCs w:val="21"/>
              </w:rPr>
            </w:pPr>
            <w:r>
              <w:rPr>
                <w:color w:val="auto"/>
                <w:sz w:val="21"/>
                <w:szCs w:val="21"/>
              </w:rPr>
              <w:t>装置产生的有机废气进入</w:t>
            </w:r>
            <w:r>
              <w:rPr>
                <w:rFonts w:hint="eastAsia"/>
                <w:color w:val="auto"/>
                <w:sz w:val="21"/>
                <w:szCs w:val="21"/>
                <w:lang w:eastAsia="zh-CN"/>
              </w:rPr>
              <w:t>碱喷淋</w:t>
            </w:r>
            <w:r>
              <w:rPr>
                <w:rFonts w:hint="eastAsia"/>
                <w:color w:val="auto"/>
                <w:sz w:val="21"/>
                <w:szCs w:val="21"/>
              </w:rPr>
              <w:t>+活性炭吸附系统</w:t>
            </w:r>
            <w:r>
              <w:rPr>
                <w:color w:val="auto"/>
                <w:sz w:val="21"/>
                <w:szCs w:val="21"/>
              </w:rPr>
              <w:t>处理</w:t>
            </w:r>
            <w:r>
              <w:rPr>
                <w:rFonts w:hint="eastAsia"/>
                <w:color w:val="auto"/>
                <w:sz w:val="21"/>
                <w:szCs w:val="21"/>
              </w:rPr>
              <w:t>，</w:t>
            </w:r>
            <w:r>
              <w:rPr>
                <w:color w:val="auto"/>
                <w:sz w:val="21"/>
                <w:szCs w:val="21"/>
              </w:rPr>
              <w:t>处理效率</w:t>
            </w:r>
            <w:r>
              <w:rPr>
                <w:rFonts w:hint="eastAsia"/>
                <w:color w:val="auto"/>
                <w:sz w:val="21"/>
                <w:szCs w:val="21"/>
              </w:rPr>
              <w:t>可以达到</w:t>
            </w:r>
            <w:r>
              <w:rPr>
                <w:color w:val="auto"/>
                <w:sz w:val="21"/>
                <w:szCs w:val="21"/>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0" w:type="dxa"/>
            <w:vMerge w:val="continue"/>
            <w:tcBorders>
              <w:tl2br w:val="nil"/>
              <w:tr2bl w:val="nil"/>
            </w:tcBorders>
            <w:vAlign w:val="center"/>
          </w:tcPr>
          <w:p>
            <w:pPr>
              <w:spacing w:line="312" w:lineRule="exact"/>
              <w:ind w:firstLine="0" w:firstLineChars="0"/>
              <w:jc w:val="center"/>
              <w:rPr>
                <w:color w:val="auto"/>
                <w:sz w:val="21"/>
                <w:szCs w:val="21"/>
              </w:rPr>
            </w:pPr>
          </w:p>
        </w:tc>
        <w:tc>
          <w:tcPr>
            <w:tcW w:w="9239" w:type="dxa"/>
            <w:tcBorders>
              <w:tl2br w:val="nil"/>
              <w:tr2bl w:val="nil"/>
            </w:tcBorders>
          </w:tcPr>
          <w:p>
            <w:pPr>
              <w:spacing w:line="312" w:lineRule="exact"/>
              <w:ind w:firstLine="0" w:firstLineChars="0"/>
              <w:rPr>
                <w:color w:val="auto"/>
                <w:sz w:val="21"/>
                <w:szCs w:val="21"/>
              </w:rPr>
            </w:pPr>
            <w:r>
              <w:rPr>
                <w:color w:val="auto"/>
                <w:sz w:val="21"/>
                <w:szCs w:val="21"/>
              </w:rPr>
              <w:t>10.3.4排气筒高度不低于15m（因安全考虑或有特殊工艺要求的除外），具体高度以及与周围建筑物的相对高度关系应根据环境影响评价文件确定。</w:t>
            </w:r>
          </w:p>
          <w:p>
            <w:pPr>
              <w:spacing w:line="312" w:lineRule="exact"/>
              <w:ind w:firstLine="0" w:firstLineChars="0"/>
              <w:rPr>
                <w:color w:val="auto"/>
                <w:sz w:val="21"/>
                <w:szCs w:val="21"/>
              </w:rPr>
            </w:pPr>
            <w:r>
              <w:rPr>
                <w:color w:val="auto"/>
                <w:sz w:val="21"/>
                <w:szCs w:val="21"/>
              </w:rPr>
              <w:t>10.3.5当执行不同排放控制要求的废气合并排气筒排放时，应在废气混合前进行监测，并执行相应的排放控制要求；若可选择的监控位置只能对混合后的废气进行监测，则应按各排放控制要求中最严格的规定执行。</w:t>
            </w:r>
          </w:p>
        </w:tc>
        <w:tc>
          <w:tcPr>
            <w:tcW w:w="2727" w:type="dxa"/>
            <w:tcBorders>
              <w:tl2br w:val="nil"/>
              <w:tr2bl w:val="nil"/>
            </w:tcBorders>
            <w:vAlign w:val="center"/>
          </w:tcPr>
          <w:p>
            <w:pPr>
              <w:spacing w:line="312" w:lineRule="exact"/>
              <w:ind w:firstLine="0" w:firstLineChars="0"/>
              <w:jc w:val="center"/>
              <w:rPr>
                <w:rFonts w:hint="default" w:eastAsia="宋体"/>
                <w:color w:val="auto"/>
                <w:sz w:val="21"/>
                <w:szCs w:val="21"/>
                <w:lang w:val="en-US" w:eastAsia="zh-CN"/>
              </w:rPr>
            </w:pPr>
            <w:r>
              <w:rPr>
                <w:color w:val="auto"/>
                <w:sz w:val="21"/>
                <w:szCs w:val="21"/>
              </w:rPr>
              <w:t>项目排气筒高度为</w:t>
            </w:r>
            <w:r>
              <w:rPr>
                <w:rFonts w:hint="eastAsia"/>
                <w:color w:val="auto"/>
                <w:sz w:val="21"/>
                <w:szCs w:val="21"/>
              </w:rPr>
              <w:t>15</w:t>
            </w:r>
            <w:r>
              <w:rPr>
                <w:color w:val="auto"/>
                <w:sz w:val="21"/>
                <w:szCs w:val="21"/>
              </w:rPr>
              <w:t>米</w:t>
            </w:r>
            <w:r>
              <w:rPr>
                <w:rFonts w:hint="eastAsia"/>
                <w:color w:val="auto"/>
                <w:sz w:val="21"/>
                <w:szCs w:val="21"/>
                <w:lang w:eastAsia="zh-CN"/>
              </w:rPr>
              <w:t>，</w:t>
            </w:r>
            <w:r>
              <w:rPr>
                <w:rFonts w:hint="eastAsia"/>
                <w:color w:val="auto"/>
                <w:sz w:val="21"/>
                <w:szCs w:val="21"/>
                <w:lang w:val="en-US" w:eastAsia="zh-CN"/>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0" w:type="dxa"/>
            <w:vMerge w:val="continue"/>
            <w:tcBorders>
              <w:tl2br w:val="nil"/>
              <w:tr2bl w:val="nil"/>
            </w:tcBorders>
            <w:vAlign w:val="center"/>
          </w:tcPr>
          <w:p>
            <w:pPr>
              <w:spacing w:line="312" w:lineRule="exact"/>
              <w:ind w:firstLine="0" w:firstLineChars="0"/>
              <w:jc w:val="center"/>
              <w:rPr>
                <w:color w:val="auto"/>
                <w:sz w:val="21"/>
                <w:szCs w:val="21"/>
              </w:rPr>
            </w:pPr>
          </w:p>
        </w:tc>
        <w:tc>
          <w:tcPr>
            <w:tcW w:w="9239" w:type="dxa"/>
            <w:tcBorders>
              <w:tl2br w:val="nil"/>
              <w:tr2bl w:val="nil"/>
            </w:tcBorders>
          </w:tcPr>
          <w:p>
            <w:pPr>
              <w:spacing w:line="312" w:lineRule="exact"/>
              <w:ind w:firstLine="0" w:firstLineChars="0"/>
              <w:rPr>
                <w:color w:val="auto"/>
                <w:sz w:val="21"/>
                <w:szCs w:val="21"/>
              </w:rPr>
            </w:pPr>
            <w:r>
              <w:rPr>
                <w:color w:val="auto"/>
                <w:sz w:val="21"/>
                <w:szCs w:val="21"/>
              </w:rPr>
              <w:t>10.4记录要求</w:t>
            </w:r>
          </w:p>
          <w:p>
            <w:pPr>
              <w:spacing w:line="312" w:lineRule="exact"/>
              <w:ind w:firstLine="0" w:firstLineChars="0"/>
              <w:rPr>
                <w:color w:val="auto"/>
                <w:sz w:val="21"/>
                <w:szCs w:val="21"/>
              </w:rPr>
            </w:pPr>
            <w:r>
              <w:rPr>
                <w:color w:val="auto"/>
                <w:sz w:val="21"/>
                <w:szCs w:val="21"/>
              </w:rPr>
              <w:t>企业应建立台账，记录废气收集系统、VOCs处理设施的主要运行和维护信息，如运行时间、废气处理量、操作温度、停留时间、吸附剂再生/更换周期和更换量、催化剂更换周期和更换量、吸收液pH值等关键运行参数。台账保存期限不少于3年。</w:t>
            </w:r>
          </w:p>
        </w:tc>
        <w:tc>
          <w:tcPr>
            <w:tcW w:w="2727" w:type="dxa"/>
            <w:tcBorders>
              <w:tl2br w:val="nil"/>
              <w:tr2bl w:val="nil"/>
            </w:tcBorders>
            <w:vAlign w:val="center"/>
          </w:tcPr>
          <w:p>
            <w:pPr>
              <w:spacing w:line="312" w:lineRule="exact"/>
              <w:ind w:firstLine="0" w:firstLineChars="0"/>
              <w:jc w:val="center"/>
              <w:rPr>
                <w:color w:val="auto"/>
                <w:sz w:val="21"/>
                <w:szCs w:val="21"/>
              </w:rPr>
            </w:pPr>
            <w:r>
              <w:rPr>
                <w:color w:val="auto"/>
                <w:sz w:val="21"/>
                <w:szCs w:val="21"/>
              </w:rPr>
              <w:t>企业在运行过程中，应该按照标准，建立台账制度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0" w:type="dxa"/>
            <w:tcBorders>
              <w:tl2br w:val="nil"/>
              <w:tr2bl w:val="nil"/>
            </w:tcBorders>
            <w:vAlign w:val="center"/>
          </w:tcPr>
          <w:p>
            <w:pPr>
              <w:spacing w:line="312" w:lineRule="exact"/>
              <w:ind w:firstLine="0" w:firstLineChars="0"/>
              <w:jc w:val="center"/>
              <w:rPr>
                <w:color w:val="auto"/>
                <w:sz w:val="21"/>
                <w:szCs w:val="21"/>
              </w:rPr>
            </w:pPr>
            <w:r>
              <w:rPr>
                <w:color w:val="auto"/>
                <w:sz w:val="21"/>
                <w:szCs w:val="21"/>
              </w:rPr>
              <w:t>11企业厂区内及周边污染监控要求</w:t>
            </w:r>
          </w:p>
        </w:tc>
        <w:tc>
          <w:tcPr>
            <w:tcW w:w="9239" w:type="dxa"/>
            <w:tcBorders>
              <w:tl2br w:val="nil"/>
              <w:tr2bl w:val="nil"/>
            </w:tcBorders>
          </w:tcPr>
          <w:p>
            <w:pPr>
              <w:spacing w:line="312" w:lineRule="exact"/>
              <w:ind w:firstLine="0" w:firstLineChars="0"/>
              <w:rPr>
                <w:color w:val="auto"/>
                <w:sz w:val="21"/>
                <w:szCs w:val="21"/>
              </w:rPr>
            </w:pPr>
            <w:r>
              <w:rPr>
                <w:color w:val="auto"/>
                <w:sz w:val="21"/>
                <w:szCs w:val="21"/>
              </w:rPr>
              <w:t>11企业厂区内及周边污染监控要求</w:t>
            </w:r>
          </w:p>
          <w:p>
            <w:pPr>
              <w:spacing w:line="312" w:lineRule="exact"/>
              <w:ind w:firstLine="0" w:firstLineChars="0"/>
              <w:rPr>
                <w:color w:val="auto"/>
                <w:sz w:val="21"/>
                <w:szCs w:val="21"/>
              </w:rPr>
            </w:pPr>
            <w:r>
              <w:rPr>
                <w:color w:val="auto"/>
                <w:sz w:val="21"/>
                <w:szCs w:val="21"/>
              </w:rPr>
              <w:t>11.1企业边界及周边VOCs监控要求执行GB16297或相关行业排放标准的规定。</w:t>
            </w:r>
          </w:p>
        </w:tc>
        <w:tc>
          <w:tcPr>
            <w:tcW w:w="2727" w:type="dxa"/>
            <w:tcBorders>
              <w:tl2br w:val="nil"/>
              <w:tr2bl w:val="nil"/>
            </w:tcBorders>
            <w:vAlign w:val="center"/>
          </w:tcPr>
          <w:p>
            <w:pPr>
              <w:spacing w:line="312" w:lineRule="exact"/>
              <w:ind w:firstLine="0" w:firstLineChars="0"/>
              <w:jc w:val="center"/>
              <w:rPr>
                <w:color w:val="auto"/>
                <w:sz w:val="21"/>
                <w:szCs w:val="21"/>
              </w:rPr>
            </w:pPr>
            <w:r>
              <w:rPr>
                <w:color w:val="auto"/>
                <w:sz w:val="21"/>
                <w:szCs w:val="21"/>
              </w:rPr>
              <w:t>根据预测，厂界VOCs浓度能够满足标准要求。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0" w:type="dxa"/>
            <w:tcBorders>
              <w:tl2br w:val="nil"/>
              <w:tr2bl w:val="nil"/>
            </w:tcBorders>
            <w:vAlign w:val="center"/>
          </w:tcPr>
          <w:p>
            <w:pPr>
              <w:spacing w:line="312" w:lineRule="exact"/>
              <w:ind w:firstLine="0" w:firstLineChars="0"/>
              <w:jc w:val="center"/>
              <w:rPr>
                <w:color w:val="auto"/>
                <w:sz w:val="21"/>
                <w:szCs w:val="21"/>
              </w:rPr>
            </w:pPr>
            <w:r>
              <w:rPr>
                <w:color w:val="auto"/>
                <w:sz w:val="21"/>
                <w:szCs w:val="21"/>
              </w:rPr>
              <w:t>12污染物监测</w:t>
            </w:r>
          </w:p>
          <w:p>
            <w:pPr>
              <w:spacing w:line="312" w:lineRule="exact"/>
              <w:ind w:firstLine="0" w:firstLineChars="0"/>
              <w:jc w:val="center"/>
              <w:rPr>
                <w:color w:val="auto"/>
                <w:sz w:val="21"/>
                <w:szCs w:val="21"/>
              </w:rPr>
            </w:pPr>
            <w:r>
              <w:rPr>
                <w:color w:val="auto"/>
                <w:sz w:val="21"/>
                <w:szCs w:val="21"/>
              </w:rPr>
              <w:t>要求</w:t>
            </w:r>
          </w:p>
        </w:tc>
        <w:tc>
          <w:tcPr>
            <w:tcW w:w="9239" w:type="dxa"/>
            <w:tcBorders>
              <w:tl2br w:val="nil"/>
              <w:tr2bl w:val="nil"/>
            </w:tcBorders>
          </w:tcPr>
          <w:p>
            <w:pPr>
              <w:spacing w:line="312" w:lineRule="exact"/>
              <w:ind w:firstLine="0" w:firstLineChars="0"/>
              <w:rPr>
                <w:color w:val="auto"/>
                <w:sz w:val="21"/>
                <w:szCs w:val="21"/>
              </w:rPr>
            </w:pPr>
            <w:r>
              <w:rPr>
                <w:color w:val="auto"/>
                <w:sz w:val="21"/>
                <w:szCs w:val="21"/>
              </w:rPr>
              <w:t>12污染物监测要求</w:t>
            </w:r>
          </w:p>
          <w:p>
            <w:pPr>
              <w:spacing w:line="312" w:lineRule="exact"/>
              <w:ind w:firstLine="0" w:firstLineChars="0"/>
              <w:rPr>
                <w:color w:val="auto"/>
                <w:sz w:val="21"/>
                <w:szCs w:val="21"/>
              </w:rPr>
            </w:pPr>
            <w:r>
              <w:rPr>
                <w:color w:val="auto"/>
                <w:sz w:val="21"/>
                <w:szCs w:val="21"/>
              </w:rPr>
              <w:t>12.1企业应按照有关法律、《环境监测管理办法》和HJ819等规定，建立企业监测制度，制订监测方案，对污染物排放状况及其对周边环境质量的影响开展自行监测，保存原始监测记录，并公布监测结果。</w:t>
            </w:r>
          </w:p>
          <w:p>
            <w:pPr>
              <w:spacing w:line="312" w:lineRule="exact"/>
              <w:ind w:firstLine="0" w:firstLineChars="0"/>
              <w:rPr>
                <w:color w:val="auto"/>
                <w:sz w:val="21"/>
                <w:szCs w:val="21"/>
              </w:rPr>
            </w:pPr>
            <w:r>
              <w:rPr>
                <w:color w:val="auto"/>
                <w:sz w:val="21"/>
                <w:szCs w:val="21"/>
              </w:rPr>
              <w:t>12.2新建企业和现有企业安装污染物排放自动监控设备的要求，按有关法律和《污染源自动监控管理办法》等规定执行。</w:t>
            </w:r>
          </w:p>
          <w:p>
            <w:pPr>
              <w:spacing w:line="312" w:lineRule="exact"/>
              <w:ind w:firstLine="0" w:firstLineChars="0"/>
              <w:rPr>
                <w:color w:val="auto"/>
                <w:sz w:val="21"/>
                <w:szCs w:val="21"/>
              </w:rPr>
            </w:pPr>
            <w:r>
              <w:rPr>
                <w:color w:val="auto"/>
                <w:sz w:val="21"/>
                <w:szCs w:val="21"/>
              </w:rPr>
              <w:t>12.3对于挥发性有机液体储罐、挥发性有机液体装载设施以及废气收集处理系统的VOCs排放，监测采样和测定方法按GB/T16157、HJ/T397、HJ732以及HJ38、HJ1012、HJ1013的规定执行。对于储罐呼吸排气等排放强度周期性波动的污染源，污染物排放监测时段应涵盖其排放强度大的时段。</w:t>
            </w:r>
          </w:p>
        </w:tc>
        <w:tc>
          <w:tcPr>
            <w:tcW w:w="2727" w:type="dxa"/>
            <w:tcBorders>
              <w:tl2br w:val="nil"/>
              <w:tr2bl w:val="nil"/>
            </w:tcBorders>
            <w:vAlign w:val="center"/>
          </w:tcPr>
          <w:p>
            <w:pPr>
              <w:spacing w:line="312" w:lineRule="exact"/>
              <w:ind w:firstLine="0" w:firstLineChars="0"/>
              <w:jc w:val="center"/>
              <w:rPr>
                <w:color w:val="auto"/>
                <w:sz w:val="21"/>
                <w:szCs w:val="21"/>
              </w:rPr>
            </w:pPr>
            <w:r>
              <w:rPr>
                <w:color w:val="auto"/>
                <w:sz w:val="21"/>
                <w:szCs w:val="21"/>
              </w:rPr>
              <w:t>1）本次环评针对项目特点</w:t>
            </w:r>
            <w:r>
              <w:rPr>
                <w:rFonts w:hint="eastAsia"/>
                <w:color w:val="auto"/>
                <w:sz w:val="21"/>
                <w:szCs w:val="21"/>
              </w:rPr>
              <w:t>制定</w:t>
            </w:r>
            <w:r>
              <w:rPr>
                <w:color w:val="auto"/>
                <w:sz w:val="21"/>
                <w:szCs w:val="21"/>
              </w:rPr>
              <w:t>了监测方案；</w:t>
            </w:r>
          </w:p>
          <w:p>
            <w:pPr>
              <w:spacing w:line="312" w:lineRule="exact"/>
              <w:ind w:firstLine="0" w:firstLineChars="0"/>
              <w:jc w:val="center"/>
              <w:rPr>
                <w:color w:val="auto"/>
                <w:sz w:val="21"/>
                <w:szCs w:val="21"/>
              </w:rPr>
            </w:pPr>
            <w:r>
              <w:rPr>
                <w:color w:val="auto"/>
                <w:sz w:val="21"/>
                <w:szCs w:val="21"/>
              </w:rPr>
              <w:t>2）监测过程中应充分考虑项目特点，确保监测时段涵盖排放强度大的时段</w:t>
            </w:r>
          </w:p>
        </w:tc>
      </w:tr>
    </w:tbl>
    <w:p>
      <w:pPr>
        <w:pStyle w:val="14"/>
        <w:ind w:firstLine="0" w:firstLineChars="0"/>
        <w:rPr>
          <w:color w:val="auto"/>
        </w:rPr>
        <w:sectPr>
          <w:headerReference r:id="rId46" w:type="default"/>
          <w:pgSz w:w="16838" w:h="11906" w:orient="landscape"/>
          <w:pgMar w:top="1417" w:right="1417" w:bottom="1417" w:left="1446" w:header="851" w:footer="992" w:gutter="0"/>
          <w:pgBorders>
            <w:top w:val="none" w:sz="0" w:space="0"/>
            <w:left w:val="none" w:sz="0" w:space="0"/>
            <w:bottom w:val="none" w:sz="0" w:space="0"/>
            <w:right w:val="none" w:sz="0" w:space="0"/>
          </w:pgBorders>
          <w:cols w:space="425" w:num="1"/>
          <w:docGrid w:type="lines" w:linePitch="312" w:charSpace="0"/>
        </w:sectPr>
      </w:pPr>
    </w:p>
    <w:p>
      <w:pPr>
        <w:pStyle w:val="9"/>
        <w:spacing w:before="0" w:beforeLines="0" w:after="0" w:afterLines="0" w:line="360" w:lineRule="auto"/>
        <w:rPr>
          <w:color w:val="auto"/>
        </w:rPr>
      </w:pPr>
      <w:r>
        <w:rPr>
          <w:color w:val="auto"/>
        </w:rPr>
        <w:t>8.1.2废气处理措施可行性分析</w:t>
      </w:r>
    </w:p>
    <w:p>
      <w:pPr>
        <w:pStyle w:val="56"/>
        <w:spacing w:line="360" w:lineRule="auto"/>
        <w:ind w:firstLine="480" w:firstLineChars="200"/>
        <w:jc w:val="both"/>
        <w:rPr>
          <w:rFonts w:ascii="Times New Roman" w:hAnsi="Times New Roman" w:cs="Times New Roman"/>
          <w:color w:val="auto"/>
        </w:rPr>
      </w:pPr>
      <w:r>
        <w:rPr>
          <w:rFonts w:hint="eastAsia" w:ascii="Times New Roman" w:hAnsi="Times New Roman" w:cs="Times New Roman"/>
          <w:color w:val="auto"/>
        </w:rPr>
        <w:t>1、有机废气治理措施方案比选</w:t>
      </w:r>
    </w:p>
    <w:p>
      <w:pPr>
        <w:pStyle w:val="56"/>
        <w:spacing w:line="360" w:lineRule="auto"/>
        <w:ind w:firstLine="480" w:firstLineChars="200"/>
        <w:jc w:val="both"/>
        <w:rPr>
          <w:rFonts w:ascii="Times New Roman" w:hAnsi="Times New Roman" w:cs="Times New Roman"/>
          <w:color w:val="auto"/>
        </w:rPr>
      </w:pPr>
      <w:r>
        <w:rPr>
          <w:rFonts w:hint="eastAsia" w:ascii="Times New Roman" w:hAnsi="Times New Roman" w:cs="Times New Roman"/>
          <w:color w:val="auto"/>
        </w:rPr>
        <w:t>有机废气治理措施方案比选见表8.1-3。</w:t>
      </w:r>
    </w:p>
    <w:p>
      <w:pPr>
        <w:ind w:firstLine="0" w:firstLineChars="0"/>
        <w:jc w:val="center"/>
        <w:rPr>
          <w:rFonts w:eastAsia="黑体"/>
          <w:b/>
          <w:color w:val="auto"/>
          <w:sz w:val="21"/>
          <w:szCs w:val="21"/>
        </w:rPr>
      </w:pPr>
      <w:r>
        <w:rPr>
          <w:rFonts w:hint="eastAsia" w:eastAsia="黑体"/>
          <w:b/>
          <w:color w:val="auto"/>
          <w:sz w:val="21"/>
          <w:szCs w:val="21"/>
        </w:rPr>
        <w:t>表8.1-3 有机废气治理措施方案比选</w:t>
      </w:r>
    </w:p>
    <w:tbl>
      <w:tblPr>
        <w:tblStyle w:val="2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21"/>
        <w:gridCol w:w="2321"/>
        <w:gridCol w:w="2321"/>
        <w:gridCol w:w="23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21" w:type="dxa"/>
            <w:tcBorders>
              <w:tl2br w:val="nil"/>
              <w:tr2bl w:val="nil"/>
            </w:tcBorders>
            <w:vAlign w:val="center"/>
          </w:tcPr>
          <w:p>
            <w:pPr>
              <w:pStyle w:val="56"/>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方案</w:t>
            </w:r>
          </w:p>
        </w:tc>
        <w:tc>
          <w:tcPr>
            <w:tcW w:w="2321" w:type="dxa"/>
            <w:tcBorders>
              <w:tl2br w:val="nil"/>
              <w:tr2bl w:val="nil"/>
            </w:tcBorders>
            <w:vAlign w:val="center"/>
          </w:tcPr>
          <w:p>
            <w:pPr>
              <w:pStyle w:val="56"/>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优点</w:t>
            </w:r>
          </w:p>
        </w:tc>
        <w:tc>
          <w:tcPr>
            <w:tcW w:w="2321" w:type="dxa"/>
            <w:tcBorders>
              <w:tl2br w:val="nil"/>
              <w:tr2bl w:val="nil"/>
            </w:tcBorders>
            <w:vAlign w:val="center"/>
          </w:tcPr>
          <w:p>
            <w:pPr>
              <w:pStyle w:val="56"/>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缺点</w:t>
            </w:r>
          </w:p>
        </w:tc>
        <w:tc>
          <w:tcPr>
            <w:tcW w:w="2321" w:type="dxa"/>
            <w:tcBorders>
              <w:tl2br w:val="nil"/>
              <w:tr2bl w:val="nil"/>
            </w:tcBorders>
            <w:vAlign w:val="center"/>
          </w:tcPr>
          <w:p>
            <w:pPr>
              <w:pStyle w:val="56"/>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适用范围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21" w:type="dxa"/>
            <w:tcBorders>
              <w:tl2br w:val="nil"/>
              <w:tr2bl w:val="nil"/>
            </w:tcBorders>
            <w:vAlign w:val="center"/>
          </w:tcPr>
          <w:p>
            <w:pPr>
              <w:pStyle w:val="56"/>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冷凝技术</w:t>
            </w:r>
          </w:p>
        </w:tc>
        <w:tc>
          <w:tcPr>
            <w:tcW w:w="2321" w:type="dxa"/>
            <w:tcBorders>
              <w:tl2br w:val="nil"/>
              <w:tr2bl w:val="nil"/>
            </w:tcBorders>
            <w:vAlign w:val="center"/>
          </w:tcPr>
          <w:p>
            <w:pPr>
              <w:pStyle w:val="56"/>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浓度大于1%以上时，回收率可达90%以上，</w:t>
            </w:r>
          </w:p>
        </w:tc>
        <w:tc>
          <w:tcPr>
            <w:tcW w:w="2321" w:type="dxa"/>
            <w:tcBorders>
              <w:tl2br w:val="nil"/>
              <w:tr2bl w:val="nil"/>
            </w:tcBorders>
            <w:vAlign w:val="center"/>
          </w:tcPr>
          <w:p>
            <w:pPr>
              <w:pStyle w:val="56"/>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处理成本较高，通常VOCs浓度大于5000mg/m</w:t>
            </w:r>
            <w:r>
              <w:rPr>
                <w:rFonts w:hint="eastAsia" w:ascii="Times New Roman" w:hAnsi="Times New Roman" w:cs="Times New Roman"/>
                <w:color w:val="auto"/>
                <w:sz w:val="21"/>
                <w:szCs w:val="21"/>
                <w:vertAlign w:val="superscript"/>
              </w:rPr>
              <w:t>3</w:t>
            </w:r>
            <w:r>
              <w:rPr>
                <w:rFonts w:hint="eastAsia" w:ascii="Times New Roman" w:hAnsi="Times New Roman" w:cs="Times New Roman"/>
                <w:color w:val="auto"/>
                <w:sz w:val="21"/>
                <w:szCs w:val="21"/>
              </w:rPr>
              <w:t>，方才适用冷凝处理，其处理效率介于50～85%之间。</w:t>
            </w:r>
          </w:p>
        </w:tc>
        <w:tc>
          <w:tcPr>
            <w:tcW w:w="2321" w:type="dxa"/>
            <w:tcBorders>
              <w:tl2br w:val="nil"/>
              <w:tr2bl w:val="nil"/>
            </w:tcBorders>
            <w:vAlign w:val="center"/>
          </w:tcPr>
          <w:p>
            <w:pPr>
              <w:pStyle w:val="56"/>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用于高浓度、单一组分有回收价值的VOCs的处理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21" w:type="dxa"/>
            <w:tcBorders>
              <w:tl2br w:val="nil"/>
              <w:tr2bl w:val="nil"/>
            </w:tcBorders>
            <w:vAlign w:val="center"/>
          </w:tcPr>
          <w:p>
            <w:pPr>
              <w:pStyle w:val="56"/>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吸收技术</w:t>
            </w:r>
          </w:p>
        </w:tc>
        <w:tc>
          <w:tcPr>
            <w:tcW w:w="2321" w:type="dxa"/>
            <w:tcBorders>
              <w:tl2br w:val="nil"/>
              <w:tr2bl w:val="nil"/>
            </w:tcBorders>
            <w:vAlign w:val="center"/>
          </w:tcPr>
          <w:p>
            <w:pPr>
              <w:pStyle w:val="56"/>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技术成熟，可去除气态和颗粒物，投资成本低，占地空间小，传质速率高，对酸性气体高效去除</w:t>
            </w:r>
          </w:p>
        </w:tc>
        <w:tc>
          <w:tcPr>
            <w:tcW w:w="2321" w:type="dxa"/>
            <w:tcBorders>
              <w:tl2br w:val="nil"/>
              <w:tr2bl w:val="nil"/>
            </w:tcBorders>
            <w:vAlign w:val="center"/>
          </w:tcPr>
          <w:p>
            <w:pPr>
              <w:pStyle w:val="56"/>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有后续废水处理问题，颗粒物浓度高会导致塔堵塞，维护费用高，可能冒白烟。</w:t>
            </w:r>
          </w:p>
        </w:tc>
        <w:tc>
          <w:tcPr>
            <w:tcW w:w="2321" w:type="dxa"/>
            <w:tcBorders>
              <w:tl2br w:val="nil"/>
              <w:tr2bl w:val="nil"/>
            </w:tcBorders>
            <w:vAlign w:val="center"/>
          </w:tcPr>
          <w:p>
            <w:pPr>
              <w:pStyle w:val="56"/>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适用于高水溶性VOCs，不适用于低浓度汽体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21" w:type="dxa"/>
            <w:tcBorders>
              <w:tl2br w:val="nil"/>
              <w:tr2bl w:val="nil"/>
            </w:tcBorders>
            <w:vAlign w:val="center"/>
          </w:tcPr>
          <w:p>
            <w:pPr>
              <w:pStyle w:val="56"/>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吸附技术</w:t>
            </w:r>
          </w:p>
        </w:tc>
        <w:tc>
          <w:tcPr>
            <w:tcW w:w="2321" w:type="dxa"/>
            <w:tcBorders>
              <w:tl2br w:val="nil"/>
              <w:tr2bl w:val="nil"/>
            </w:tcBorders>
            <w:vAlign w:val="center"/>
          </w:tcPr>
          <w:p>
            <w:pPr>
              <w:pStyle w:val="56"/>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去除效率高，易于自动化控制</w:t>
            </w:r>
          </w:p>
        </w:tc>
        <w:tc>
          <w:tcPr>
            <w:tcW w:w="2321" w:type="dxa"/>
            <w:tcBorders>
              <w:tl2br w:val="nil"/>
              <w:tr2bl w:val="nil"/>
            </w:tcBorders>
            <w:vAlign w:val="center"/>
          </w:tcPr>
          <w:p>
            <w:pPr>
              <w:pStyle w:val="56"/>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不适用于高浓度、高温的有机废气，且吸附材料需定期更换</w:t>
            </w:r>
          </w:p>
        </w:tc>
        <w:tc>
          <w:tcPr>
            <w:tcW w:w="2321" w:type="dxa"/>
            <w:tcBorders>
              <w:tl2br w:val="nil"/>
              <w:tr2bl w:val="nil"/>
            </w:tcBorders>
            <w:vAlign w:val="center"/>
          </w:tcPr>
          <w:p>
            <w:pPr>
              <w:pStyle w:val="56"/>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中低浓度的VOCs的净化</w:t>
            </w:r>
          </w:p>
        </w:tc>
      </w:tr>
    </w:tbl>
    <w:p>
      <w:pPr>
        <w:pStyle w:val="56"/>
        <w:spacing w:line="360" w:lineRule="auto"/>
        <w:ind w:firstLine="480" w:firstLineChars="200"/>
        <w:jc w:val="both"/>
        <w:rPr>
          <w:rFonts w:ascii="Times New Roman" w:hAnsi="Times New Roman" w:cs="Times New Roman"/>
          <w:color w:val="auto"/>
        </w:rPr>
      </w:pPr>
      <w:r>
        <w:rPr>
          <w:rFonts w:hint="eastAsia" w:ascii="Times New Roman" w:hAnsi="Times New Roman" w:cs="Times New Roman"/>
          <w:color w:val="auto"/>
        </w:rPr>
        <w:t>本</w:t>
      </w:r>
      <w:r>
        <w:rPr>
          <w:rFonts w:ascii="Times New Roman" w:hAnsi="Times New Roman" w:cs="Times New Roman"/>
          <w:color w:val="auto"/>
        </w:rPr>
        <w:t>项目有机废气采用</w:t>
      </w:r>
      <w:r>
        <w:rPr>
          <w:rFonts w:hint="eastAsia" w:ascii="Times New Roman" w:hAnsi="Times New Roman" w:cs="Times New Roman"/>
          <w:color w:val="auto"/>
          <w:lang w:eastAsia="zh-CN"/>
        </w:rPr>
        <w:t>碱喷淋</w:t>
      </w:r>
      <w:r>
        <w:rPr>
          <w:rFonts w:hint="eastAsia" w:ascii="Times New Roman" w:hAnsi="Times New Roman" w:cs="Times New Roman"/>
          <w:color w:val="auto"/>
        </w:rPr>
        <w:t>+</w:t>
      </w:r>
      <w:r>
        <w:rPr>
          <w:rFonts w:ascii="Times New Roman" w:hAnsi="Times New Roman" w:cs="Times New Roman"/>
          <w:color w:val="auto"/>
        </w:rPr>
        <w:t>活性炭吸附</w:t>
      </w:r>
      <w:r>
        <w:rPr>
          <w:rFonts w:hint="eastAsia" w:ascii="Times New Roman" w:hAnsi="Times New Roman" w:cs="Times New Roman"/>
          <w:color w:val="auto"/>
        </w:rPr>
        <w:t>组合工艺，</w:t>
      </w:r>
      <w:r>
        <w:rPr>
          <w:rFonts w:hint="eastAsia" w:ascii="Times New Roman" w:hAnsi="Times New Roman" w:cs="Times New Roman"/>
          <w:color w:val="auto"/>
          <w:lang w:eastAsia="zh-CN"/>
        </w:rPr>
        <w:t>碱喷淋</w:t>
      </w:r>
      <w:r>
        <w:rPr>
          <w:rFonts w:hint="eastAsia" w:ascii="Times New Roman" w:hAnsi="Times New Roman" w:cs="Times New Roman"/>
          <w:color w:val="auto"/>
        </w:rPr>
        <w:t>+</w:t>
      </w:r>
      <w:r>
        <w:rPr>
          <w:rFonts w:ascii="Times New Roman" w:hAnsi="Times New Roman" w:cs="Times New Roman"/>
          <w:color w:val="auto"/>
        </w:rPr>
        <w:t>活性炭吸附活性炭吸附</w:t>
      </w:r>
      <w:r>
        <w:rPr>
          <w:rFonts w:hint="eastAsia" w:ascii="Times New Roman" w:hAnsi="Times New Roman" w:cs="Times New Roman"/>
          <w:color w:val="auto"/>
        </w:rPr>
        <w:t>为</w:t>
      </w:r>
      <w:r>
        <w:rPr>
          <w:rFonts w:ascii="Times New Roman" w:hAnsi="Times New Roman" w:cs="Times New Roman"/>
          <w:color w:val="auto"/>
        </w:rPr>
        <w:t xml:space="preserve">《排污许可证申请与核发技术规范 </w:t>
      </w:r>
      <w:r>
        <w:rPr>
          <w:rFonts w:hint="eastAsia" w:cs="Times New Roman"/>
          <w:color w:val="auto"/>
        </w:rPr>
        <w:t>化学纤维制造业</w:t>
      </w:r>
      <w:r>
        <w:rPr>
          <w:rFonts w:ascii="Times New Roman" w:hAnsi="Times New Roman" w:cs="Times New Roman"/>
          <w:color w:val="auto"/>
        </w:rPr>
        <w:t xml:space="preserve">》（HJ </w:t>
      </w:r>
      <w:r>
        <w:rPr>
          <w:rFonts w:hint="eastAsia" w:cs="Times New Roman"/>
          <w:color w:val="auto"/>
        </w:rPr>
        <w:t>1102</w:t>
      </w:r>
      <w:r>
        <w:rPr>
          <w:rFonts w:ascii="Times New Roman" w:hAnsi="Times New Roman" w:cs="Times New Roman"/>
          <w:color w:val="auto"/>
        </w:rPr>
        <w:t>-20</w:t>
      </w:r>
      <w:r>
        <w:rPr>
          <w:rFonts w:hint="eastAsia" w:cs="Times New Roman"/>
          <w:color w:val="auto"/>
        </w:rPr>
        <w:t>20</w:t>
      </w:r>
      <w:r>
        <w:rPr>
          <w:rFonts w:ascii="Times New Roman" w:hAnsi="Times New Roman" w:cs="Times New Roman"/>
          <w:color w:val="auto"/>
        </w:rPr>
        <w:t>）</w:t>
      </w:r>
      <w:r>
        <w:rPr>
          <w:rFonts w:hint="eastAsia" w:ascii="Times New Roman" w:hAnsi="Times New Roman" w:cs="Times New Roman"/>
          <w:color w:val="auto"/>
        </w:rPr>
        <w:t>附录A表A.1 废气污染防治可行技术参考表中的可行性技术。</w:t>
      </w:r>
    </w:p>
    <w:p>
      <w:pPr>
        <w:ind w:firstLine="480"/>
        <w:rPr>
          <w:color w:val="auto"/>
          <w:kern w:val="0"/>
        </w:rPr>
      </w:pPr>
      <w:r>
        <w:rPr>
          <w:rFonts w:hint="eastAsia"/>
          <w:color w:val="auto"/>
          <w:kern w:val="0"/>
        </w:rPr>
        <w:t>2、废气治理技术分析</w:t>
      </w:r>
    </w:p>
    <w:p>
      <w:pPr>
        <w:pStyle w:val="2"/>
        <w:spacing w:after="0" w:line="360" w:lineRule="auto"/>
        <w:ind w:firstLine="480"/>
        <w:rPr>
          <w:color w:val="auto"/>
        </w:rPr>
      </w:pPr>
      <w:r>
        <w:rPr>
          <w:rFonts w:hint="eastAsia"/>
          <w:color w:val="auto"/>
          <w:lang w:eastAsia="zh-CN"/>
        </w:rPr>
        <w:t>碱喷淋</w:t>
      </w:r>
      <w:r>
        <w:rPr>
          <w:rFonts w:hint="eastAsia"/>
          <w:color w:val="auto"/>
        </w:rPr>
        <w:t>技术分析：</w:t>
      </w:r>
    </w:p>
    <w:p>
      <w:pPr>
        <w:ind w:firstLine="480"/>
        <w:rPr>
          <w:color w:val="auto"/>
        </w:rPr>
      </w:pPr>
      <w:r>
        <w:rPr>
          <w:rFonts w:hint="eastAsia"/>
          <w:color w:val="auto"/>
        </w:rPr>
        <w:t>利用雾化器将液体充分细化，大大提高气液接触面积。</w:t>
      </w:r>
      <w:r>
        <w:rPr>
          <w:rFonts w:hint="eastAsia"/>
          <w:color w:val="auto"/>
          <w:lang w:val="en-US" w:eastAsia="zh-CN"/>
        </w:rPr>
        <w:t>碱性</w:t>
      </w:r>
      <w:r>
        <w:rPr>
          <w:rFonts w:hint="eastAsia"/>
          <w:color w:val="auto"/>
        </w:rPr>
        <w:t>水雾喷洒废气，将废气中的水溶性成分</w:t>
      </w:r>
      <w:r>
        <w:rPr>
          <w:rFonts w:hint="eastAsia"/>
          <w:color w:val="auto"/>
          <w:lang w:val="en-US" w:eastAsia="zh-CN"/>
        </w:rPr>
        <w:t>及酸性成分</w:t>
      </w:r>
      <w:r>
        <w:rPr>
          <w:rFonts w:hint="eastAsia"/>
          <w:color w:val="auto"/>
        </w:rPr>
        <w:t>沉降下来，达到污染物与洁净气体分离的目的。其优点是水资源易得，可循环使用，最大限度降低水资源的浪费，</w:t>
      </w:r>
      <w:r>
        <w:rPr>
          <w:rFonts w:hint="eastAsia"/>
          <w:color w:val="auto"/>
          <w:lang w:eastAsia="zh-CN"/>
        </w:rPr>
        <w:t>碱喷淋</w:t>
      </w:r>
      <w:r>
        <w:rPr>
          <w:rFonts w:hint="eastAsia"/>
          <w:color w:val="auto"/>
        </w:rPr>
        <w:t>在处理水溶性成分</w:t>
      </w:r>
      <w:r>
        <w:rPr>
          <w:rFonts w:hint="eastAsia"/>
          <w:color w:val="auto"/>
          <w:lang w:val="en-US" w:eastAsia="zh-CN"/>
        </w:rPr>
        <w:t>及酸性气体</w:t>
      </w:r>
      <w:r>
        <w:rPr>
          <w:rFonts w:hint="eastAsia"/>
          <w:color w:val="auto"/>
        </w:rPr>
        <w:t>上具有较高的处理效率，本项目有机废气成分多为乳酸，具有较强的水溶性</w:t>
      </w:r>
      <w:r>
        <w:rPr>
          <w:rFonts w:hint="eastAsia"/>
          <w:color w:val="auto"/>
          <w:lang w:val="en-US" w:eastAsia="zh-CN"/>
        </w:rPr>
        <w:t>且为酸性气体</w:t>
      </w:r>
      <w:r>
        <w:rPr>
          <w:rFonts w:hint="eastAsia"/>
          <w:color w:val="auto"/>
        </w:rPr>
        <w:t>。</w:t>
      </w:r>
    </w:p>
    <w:p>
      <w:pPr>
        <w:pStyle w:val="2"/>
        <w:spacing w:after="0"/>
        <w:ind w:firstLine="480"/>
        <w:rPr>
          <w:color w:val="auto"/>
        </w:rPr>
      </w:pPr>
      <w:r>
        <w:rPr>
          <w:rFonts w:hint="eastAsia"/>
          <w:color w:val="auto"/>
        </w:rPr>
        <w:t>活性炭吸附技术分析：</w:t>
      </w:r>
    </w:p>
    <w:p>
      <w:pPr>
        <w:ind w:firstLine="480"/>
        <w:rPr>
          <w:color w:val="auto"/>
        </w:rPr>
      </w:pPr>
      <w:r>
        <w:rPr>
          <w:color w:val="auto"/>
        </w:rPr>
        <w:t>吸附过程：由于固体表面上存在着未平衡和未饱和的分子引力或化学键力，因此当此固体表面与气体接触时，就能吸引气体分子，使其浓聚并保持在固体表面，此现象称为吸附。利用固体表面的吸附能力，使废气与大表面的多孔性固体物质相接触，废气中的污染物被吸附在固体表面上，使其与气体混合物分离，达到净化目的。</w:t>
      </w:r>
    </w:p>
    <w:p>
      <w:pPr>
        <w:ind w:firstLine="480"/>
        <w:rPr>
          <w:color w:val="auto"/>
        </w:rPr>
      </w:pPr>
      <w:r>
        <w:rPr>
          <w:color w:val="auto"/>
        </w:rPr>
        <w:t>活性炭吸附法是利用多孔性的活性炭，使空气中一种或多种物质被吸附在活性炭表面而去除的方法，去除对象包括挥发性的有机物质飘浮颗粒、微生物病毒等，从而实现除臭、空气净化。每克活性炭的内部孔隙如果铺展开来可达到500～1700平方米，正是这种独特的内部构造，使活性炭具有优异的吸附能力，所以活性炭又称碳分子，同时废气治理活性炭具有吸附能力强，易于解吸等特点，使活性炭可吸/脱附循环使用。</w:t>
      </w:r>
    </w:p>
    <w:p>
      <w:pPr>
        <w:ind w:firstLine="480"/>
        <w:rPr>
          <w:color w:val="auto"/>
        </w:rPr>
      </w:pPr>
      <w:r>
        <w:rPr>
          <w:color w:val="auto"/>
        </w:rPr>
        <w:t>本方案活性炭采用煤质柱状炭，具有强度高，吸附速度快，吸附容量高，比表面积较大，孔隙结构发达，孔隙大小在于椰壳活性炭和木质活性炭之间，用于高端空气净化和废气净化均优于其他材质。</w:t>
      </w:r>
    </w:p>
    <w:p>
      <w:pPr>
        <w:pStyle w:val="2"/>
        <w:spacing w:after="0" w:line="360" w:lineRule="auto"/>
        <w:ind w:firstLine="480"/>
        <w:rPr>
          <w:color w:val="auto"/>
        </w:rPr>
      </w:pPr>
      <w:r>
        <w:rPr>
          <w:color w:val="auto"/>
        </w:rPr>
        <w:t>技术特点：</w:t>
      </w:r>
    </w:p>
    <w:p>
      <w:pPr>
        <w:pStyle w:val="2"/>
        <w:spacing w:after="0" w:line="360" w:lineRule="auto"/>
        <w:ind w:firstLine="480"/>
        <w:rPr>
          <w:color w:val="auto"/>
        </w:rPr>
      </w:pPr>
      <w:r>
        <w:rPr>
          <w:color w:val="auto"/>
        </w:rPr>
        <w:t>（1）吸附率高；</w:t>
      </w:r>
    </w:p>
    <w:p>
      <w:pPr>
        <w:pStyle w:val="2"/>
        <w:spacing w:after="0" w:line="360" w:lineRule="auto"/>
        <w:ind w:firstLine="480"/>
        <w:rPr>
          <w:color w:val="auto"/>
        </w:rPr>
      </w:pPr>
      <w:r>
        <w:rPr>
          <w:color w:val="auto"/>
        </w:rPr>
        <w:t>（2）运行能耗低、费用低；</w:t>
      </w:r>
    </w:p>
    <w:p>
      <w:pPr>
        <w:pStyle w:val="2"/>
        <w:spacing w:after="0" w:line="360" w:lineRule="auto"/>
        <w:ind w:firstLine="480"/>
        <w:rPr>
          <w:color w:val="auto"/>
        </w:rPr>
      </w:pPr>
      <w:r>
        <w:rPr>
          <w:color w:val="auto"/>
        </w:rPr>
        <w:t>（3）全自动控制、无人值守运行；</w:t>
      </w:r>
    </w:p>
    <w:p>
      <w:pPr>
        <w:pStyle w:val="2"/>
        <w:spacing w:after="0" w:line="360" w:lineRule="auto"/>
        <w:ind w:firstLine="480"/>
        <w:rPr>
          <w:color w:val="auto"/>
        </w:rPr>
      </w:pPr>
      <w:r>
        <w:rPr>
          <w:color w:val="auto"/>
        </w:rPr>
        <w:t>（4）安全可靠、适用于有爆炸危险场所。</w:t>
      </w:r>
    </w:p>
    <w:p>
      <w:pPr>
        <w:ind w:firstLine="480"/>
        <w:rPr>
          <w:rFonts w:hint="eastAsia"/>
          <w:color w:val="auto"/>
        </w:rPr>
      </w:pPr>
      <w:r>
        <w:rPr>
          <w:color w:val="auto"/>
        </w:rPr>
        <w:t>生产</w:t>
      </w:r>
      <w:r>
        <w:rPr>
          <w:rFonts w:hint="eastAsia"/>
          <w:color w:val="auto"/>
        </w:rPr>
        <w:t>装置</w:t>
      </w:r>
      <w:r>
        <w:rPr>
          <w:color w:val="auto"/>
        </w:rPr>
        <w:t>有机废气进入</w:t>
      </w:r>
      <w:r>
        <w:rPr>
          <w:rFonts w:hint="eastAsia"/>
          <w:color w:val="auto"/>
          <w:lang w:val="en-US" w:eastAsia="zh-CN"/>
        </w:rPr>
        <w:t>碱喷淋+</w:t>
      </w:r>
      <w:r>
        <w:rPr>
          <w:color w:val="auto"/>
        </w:rPr>
        <w:t>活性炭吸附装置，活性炭吸附箱总装填量为</w:t>
      </w:r>
      <w:r>
        <w:rPr>
          <w:rFonts w:hint="eastAsia"/>
          <w:color w:val="auto"/>
          <w:szCs w:val="24"/>
          <w:lang w:val="en-US" w:eastAsia="zh-CN"/>
        </w:rPr>
        <w:t>1.9</w:t>
      </w:r>
      <w:r>
        <w:rPr>
          <w:color w:val="auto"/>
        </w:rPr>
        <w:t>吨，</w:t>
      </w:r>
      <w:r>
        <w:rPr>
          <w:rFonts w:hint="eastAsia"/>
          <w:color w:val="auto"/>
        </w:rPr>
        <w:t>活性炭</w:t>
      </w:r>
      <w:r>
        <w:rPr>
          <w:color w:val="auto"/>
        </w:rPr>
        <w:t>应选择碘值不低于800毫克/克的活性</w:t>
      </w:r>
      <w:r>
        <w:rPr>
          <w:rFonts w:hint="eastAsia"/>
          <w:color w:val="auto"/>
        </w:rPr>
        <w:t>炭；</w:t>
      </w:r>
      <w:r>
        <w:rPr>
          <w:color w:val="auto"/>
        </w:rPr>
        <w:t>每</w:t>
      </w:r>
      <w:r>
        <w:rPr>
          <w:rFonts w:hint="eastAsia"/>
          <w:color w:val="auto"/>
          <w:lang w:val="en-US" w:eastAsia="zh-CN"/>
        </w:rPr>
        <w:t>75天</w:t>
      </w:r>
      <w:r>
        <w:rPr>
          <w:color w:val="auto"/>
        </w:rPr>
        <w:t>更换一次</w:t>
      </w:r>
      <w:r>
        <w:rPr>
          <w:rFonts w:hint="eastAsia"/>
          <w:color w:val="auto"/>
        </w:rPr>
        <w:t>，</w:t>
      </w:r>
      <w:r>
        <w:rPr>
          <w:color w:val="auto"/>
        </w:rPr>
        <w:t>具体更换由活性炭生产厂家负责。废活性炭更换后收集到</w:t>
      </w:r>
      <w:r>
        <w:rPr>
          <w:rFonts w:hint="eastAsia"/>
          <w:color w:val="auto"/>
        </w:rPr>
        <w:t>包装桶内</w:t>
      </w:r>
      <w:r>
        <w:rPr>
          <w:color w:val="auto"/>
        </w:rPr>
        <w:t>，由叉车转运至危废暂存间</w:t>
      </w:r>
      <w:r>
        <w:rPr>
          <w:rFonts w:hint="eastAsia"/>
          <w:color w:val="auto"/>
        </w:rPr>
        <w:t>。</w:t>
      </w:r>
    </w:p>
    <w:p>
      <w:pPr>
        <w:ind w:firstLine="0" w:firstLineChars="0"/>
        <w:jc w:val="center"/>
        <w:rPr>
          <w:color w:val="auto"/>
        </w:rPr>
      </w:pPr>
      <w:r>
        <w:rPr>
          <w:rFonts w:hint="eastAsia"/>
          <w:color w:val="auto"/>
          <w:szCs w:val="22"/>
        </w:rPr>
        <w:drawing>
          <wp:anchor distT="0" distB="0" distL="114300" distR="114300" simplePos="0" relativeHeight="251721728" behindDoc="0" locked="0" layoutInCell="1" allowOverlap="1">
            <wp:simplePos x="0" y="0"/>
            <wp:positionH relativeFrom="column">
              <wp:posOffset>-10160</wp:posOffset>
            </wp:positionH>
            <wp:positionV relativeFrom="paragraph">
              <wp:posOffset>75565</wp:posOffset>
            </wp:positionV>
            <wp:extent cx="5758180" cy="2875915"/>
            <wp:effectExtent l="0" t="0" r="13970" b="635"/>
            <wp:wrapTopAndBottom/>
            <wp:docPr id="157" name="图片 157" descr="1657542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1657542161(1)"/>
                    <pic:cNvPicPr>
                      <a:picLocks noChangeAspect="1"/>
                    </pic:cNvPicPr>
                  </pic:nvPicPr>
                  <pic:blipFill>
                    <a:blip r:embed="rId140"/>
                    <a:stretch>
                      <a:fillRect/>
                    </a:stretch>
                  </pic:blipFill>
                  <pic:spPr>
                    <a:xfrm>
                      <a:off x="0" y="0"/>
                      <a:ext cx="5758180" cy="2875915"/>
                    </a:xfrm>
                    <a:prstGeom prst="rect">
                      <a:avLst/>
                    </a:prstGeom>
                  </pic:spPr>
                </pic:pic>
              </a:graphicData>
            </a:graphic>
          </wp:anchor>
        </w:drawing>
      </w:r>
      <w:bookmarkStart w:id="392" w:name="_Ref287469343"/>
      <w:bookmarkStart w:id="393" w:name="_Ref280176508"/>
      <w:r>
        <w:rPr>
          <w:rFonts w:eastAsia="黑体"/>
          <w:b/>
          <w:color w:val="auto"/>
          <w:sz w:val="21"/>
          <w:szCs w:val="21"/>
        </w:rPr>
        <w:t>图</w:t>
      </w:r>
      <w:bookmarkEnd w:id="392"/>
      <w:r>
        <w:rPr>
          <w:rFonts w:eastAsia="黑体"/>
          <w:b/>
          <w:color w:val="auto"/>
          <w:sz w:val="21"/>
          <w:szCs w:val="21"/>
        </w:rPr>
        <w:t xml:space="preserve">8.1-2  </w:t>
      </w:r>
      <w:r>
        <w:rPr>
          <w:rFonts w:hint="eastAsia" w:eastAsia="黑体"/>
          <w:b/>
          <w:color w:val="auto"/>
          <w:sz w:val="21"/>
          <w:szCs w:val="21"/>
          <w:lang w:eastAsia="zh-CN"/>
        </w:rPr>
        <w:t>碱喷淋</w:t>
      </w:r>
      <w:r>
        <w:rPr>
          <w:rFonts w:hint="eastAsia" w:eastAsia="黑体"/>
          <w:b/>
          <w:color w:val="auto"/>
          <w:sz w:val="21"/>
          <w:szCs w:val="21"/>
        </w:rPr>
        <w:t>+</w:t>
      </w:r>
      <w:r>
        <w:rPr>
          <w:rFonts w:eastAsia="黑体"/>
          <w:b/>
          <w:color w:val="auto"/>
          <w:sz w:val="21"/>
          <w:szCs w:val="21"/>
        </w:rPr>
        <w:t>活性炭吸附结构图</w:t>
      </w:r>
      <w:bookmarkEnd w:id="393"/>
    </w:p>
    <w:p>
      <w:pPr>
        <w:pStyle w:val="2"/>
        <w:ind w:firstLine="480"/>
        <w:rPr>
          <w:color w:val="auto"/>
        </w:rPr>
      </w:pPr>
      <w:r>
        <w:rPr>
          <w:rFonts w:hint="eastAsia" w:eastAsia="仿宋_GB2312"/>
          <w:color w:val="auto"/>
        </w:rPr>
        <w:t>3</w:t>
      </w:r>
      <w:r>
        <w:rPr>
          <w:rFonts w:eastAsia="仿宋_GB2312"/>
          <w:color w:val="auto"/>
        </w:rPr>
        <w:t>、</w:t>
      </w:r>
      <w:r>
        <w:rPr>
          <w:color w:val="auto"/>
        </w:rPr>
        <w:t>达标分析</w:t>
      </w:r>
    </w:p>
    <w:p>
      <w:pPr>
        <w:ind w:firstLine="464"/>
        <w:rPr>
          <w:color w:val="auto"/>
        </w:rPr>
      </w:pPr>
      <w:r>
        <w:rPr>
          <w:color w:val="auto"/>
          <w:spacing w:val="-4"/>
          <w:szCs w:val="21"/>
        </w:rPr>
        <w:t>生产过程中有机废气一起经“</w:t>
      </w:r>
      <w:r>
        <w:rPr>
          <w:rFonts w:hint="eastAsia"/>
          <w:color w:val="auto"/>
          <w:spacing w:val="-4"/>
          <w:szCs w:val="21"/>
          <w:lang w:eastAsia="zh-CN"/>
        </w:rPr>
        <w:t>碱喷淋</w:t>
      </w:r>
      <w:r>
        <w:rPr>
          <w:rFonts w:hint="eastAsia"/>
          <w:color w:val="auto"/>
          <w:spacing w:val="-4"/>
          <w:szCs w:val="21"/>
        </w:rPr>
        <w:t>+</w:t>
      </w:r>
      <w:r>
        <w:rPr>
          <w:color w:val="auto"/>
          <w:spacing w:val="-4"/>
          <w:szCs w:val="21"/>
        </w:rPr>
        <w:t>活性炭吸附”处理后由15m排气筒（DA00</w:t>
      </w:r>
      <w:r>
        <w:rPr>
          <w:rFonts w:hint="eastAsia"/>
          <w:color w:val="auto"/>
          <w:spacing w:val="-4"/>
          <w:szCs w:val="21"/>
        </w:rPr>
        <w:t>1</w:t>
      </w:r>
      <w:r>
        <w:rPr>
          <w:color w:val="auto"/>
          <w:spacing w:val="-4"/>
          <w:szCs w:val="21"/>
        </w:rPr>
        <w:t>）排放，</w:t>
      </w:r>
      <w:r>
        <w:rPr>
          <w:rFonts w:hint="eastAsia"/>
          <w:color w:val="auto"/>
          <w:spacing w:val="-4"/>
          <w:szCs w:val="21"/>
          <w:lang w:eastAsia="zh-CN"/>
        </w:rPr>
        <w:t>碱喷淋</w:t>
      </w:r>
      <w:r>
        <w:rPr>
          <w:rFonts w:hint="eastAsia"/>
          <w:color w:val="auto"/>
          <w:spacing w:val="-4"/>
          <w:szCs w:val="21"/>
        </w:rPr>
        <w:t>+</w:t>
      </w:r>
      <w:r>
        <w:rPr>
          <w:color w:val="auto"/>
          <w:spacing w:val="-4"/>
          <w:szCs w:val="21"/>
        </w:rPr>
        <w:t>活性炭吸附对挥发性有机物的去除效率保守取80%。经计算，</w:t>
      </w:r>
      <w:r>
        <w:rPr>
          <w:color w:val="auto"/>
        </w:rPr>
        <w:t>排气筒（DA00</w:t>
      </w:r>
      <w:r>
        <w:rPr>
          <w:rFonts w:hint="eastAsia"/>
          <w:color w:val="auto"/>
        </w:rPr>
        <w:t>1</w:t>
      </w:r>
      <w:r>
        <w:rPr>
          <w:color w:val="auto"/>
        </w:rPr>
        <w:t>）VOCs排放浓度满足《挥发性有机物排放标准 第6 部分：有机化工行业》（DB37/2801.6-2018）表1 有机化工企业或生产设施VOCs排放限值要求（3.0kg/h，60mg/m</w:t>
      </w:r>
      <w:r>
        <w:rPr>
          <w:color w:val="auto"/>
          <w:vertAlign w:val="superscript"/>
        </w:rPr>
        <w:t>3</w:t>
      </w:r>
      <w:r>
        <w:rPr>
          <w:color w:val="auto"/>
        </w:rPr>
        <w:t>）。</w:t>
      </w:r>
    </w:p>
    <w:p>
      <w:pPr>
        <w:pStyle w:val="9"/>
        <w:spacing w:before="0" w:beforeLines="0" w:after="0" w:afterLines="0" w:line="360" w:lineRule="auto"/>
        <w:rPr>
          <w:color w:val="auto"/>
        </w:rPr>
      </w:pPr>
      <w:r>
        <w:rPr>
          <w:color w:val="auto"/>
        </w:rPr>
        <w:t>8.1.3废气处理设施环保投资分析</w:t>
      </w:r>
    </w:p>
    <w:p>
      <w:pPr>
        <w:ind w:firstLine="480"/>
        <w:rPr>
          <w:color w:val="auto"/>
        </w:rPr>
      </w:pPr>
      <w:r>
        <w:rPr>
          <w:rFonts w:hint="eastAsia"/>
          <w:color w:val="auto"/>
        </w:rPr>
        <w:t>拟建项目</w:t>
      </w:r>
      <w:r>
        <w:rPr>
          <w:color w:val="auto"/>
        </w:rPr>
        <w:t>废气投资合计约</w:t>
      </w:r>
      <w:r>
        <w:rPr>
          <w:rFonts w:hint="eastAsia"/>
          <w:color w:val="auto"/>
        </w:rPr>
        <w:t>200</w:t>
      </w:r>
      <w:r>
        <w:rPr>
          <w:color w:val="auto"/>
        </w:rPr>
        <w:t>万元，占项目总投资</w:t>
      </w:r>
      <w:r>
        <w:rPr>
          <w:rFonts w:hint="eastAsia"/>
          <w:color w:val="auto"/>
        </w:rPr>
        <w:t>2.0</w:t>
      </w:r>
      <w:r>
        <w:rPr>
          <w:color w:val="auto"/>
        </w:rPr>
        <w:t>%。运行费用为主要为电费，合计为4.22万元，占本项目营业收入的0.65％，在企业可承受范围内。因此，从环保和经济方面综合考虑，本项目废气治理方案可行。</w:t>
      </w:r>
    </w:p>
    <w:p>
      <w:pPr>
        <w:ind w:firstLine="480"/>
        <w:rPr>
          <w:color w:val="auto"/>
        </w:rPr>
      </w:pPr>
      <w:r>
        <w:rPr>
          <w:rFonts w:hint="eastAsia"/>
          <w:color w:val="auto"/>
        </w:rPr>
        <w:t>拟建项目</w:t>
      </w:r>
      <w:r>
        <w:rPr>
          <w:color w:val="auto"/>
        </w:rPr>
        <w:t>废气处理运行成本见表8.1-</w:t>
      </w:r>
      <w:r>
        <w:rPr>
          <w:rFonts w:hint="eastAsia"/>
          <w:color w:val="auto"/>
        </w:rPr>
        <w:t>4</w:t>
      </w:r>
      <w:r>
        <w:rPr>
          <w:color w:val="auto"/>
        </w:rPr>
        <w:t>。</w:t>
      </w:r>
    </w:p>
    <w:p>
      <w:pPr>
        <w:ind w:firstLine="0" w:firstLineChars="0"/>
        <w:jc w:val="center"/>
        <w:rPr>
          <w:rFonts w:eastAsia="黑体"/>
          <w:b/>
          <w:color w:val="auto"/>
          <w:sz w:val="21"/>
          <w:szCs w:val="21"/>
        </w:rPr>
      </w:pPr>
      <w:r>
        <w:rPr>
          <w:rFonts w:eastAsia="黑体"/>
          <w:b/>
          <w:color w:val="auto"/>
          <w:sz w:val="21"/>
          <w:szCs w:val="21"/>
        </w:rPr>
        <w:t>表8.1-</w:t>
      </w:r>
      <w:r>
        <w:rPr>
          <w:rFonts w:hint="eastAsia" w:eastAsia="黑体"/>
          <w:b/>
          <w:color w:val="auto"/>
          <w:sz w:val="21"/>
          <w:szCs w:val="21"/>
        </w:rPr>
        <w:t>4</w:t>
      </w:r>
      <w:r>
        <w:rPr>
          <w:rFonts w:eastAsia="黑体"/>
          <w:b/>
          <w:color w:val="auto"/>
          <w:sz w:val="21"/>
          <w:szCs w:val="21"/>
        </w:rPr>
        <w:t xml:space="preserve">  废气处理运行成本一览表</w:t>
      </w:r>
    </w:p>
    <w:tbl>
      <w:tblPr>
        <w:tblStyle w:val="22"/>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53"/>
        <w:gridCol w:w="2048"/>
        <w:gridCol w:w="1265"/>
        <w:gridCol w:w="1376"/>
        <w:gridCol w:w="1376"/>
        <w:gridCol w:w="1376"/>
        <w:gridCol w:w="138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44" w:type="pct"/>
            <w:vAlign w:val="center"/>
          </w:tcPr>
          <w:p>
            <w:pPr>
              <w:spacing w:line="240" w:lineRule="auto"/>
              <w:ind w:firstLine="0" w:firstLineChars="0"/>
              <w:jc w:val="center"/>
              <w:rPr>
                <w:b/>
                <w:color w:val="auto"/>
                <w:sz w:val="21"/>
                <w:szCs w:val="21"/>
              </w:rPr>
            </w:pPr>
            <w:r>
              <w:rPr>
                <w:b/>
                <w:color w:val="auto"/>
                <w:sz w:val="21"/>
                <w:szCs w:val="21"/>
              </w:rPr>
              <w:t>序号</w:t>
            </w:r>
          </w:p>
        </w:tc>
        <w:tc>
          <w:tcPr>
            <w:tcW w:w="1103" w:type="pct"/>
            <w:vAlign w:val="center"/>
          </w:tcPr>
          <w:p>
            <w:pPr>
              <w:spacing w:line="240" w:lineRule="auto"/>
              <w:ind w:firstLine="0" w:firstLineChars="0"/>
              <w:jc w:val="center"/>
              <w:rPr>
                <w:b/>
                <w:color w:val="auto"/>
                <w:sz w:val="21"/>
                <w:szCs w:val="21"/>
              </w:rPr>
            </w:pPr>
            <w:r>
              <w:rPr>
                <w:b/>
                <w:color w:val="auto"/>
                <w:sz w:val="21"/>
                <w:szCs w:val="21"/>
              </w:rPr>
              <w:t>设备名称</w:t>
            </w:r>
          </w:p>
        </w:tc>
        <w:tc>
          <w:tcPr>
            <w:tcW w:w="681" w:type="pct"/>
            <w:vAlign w:val="center"/>
          </w:tcPr>
          <w:p>
            <w:pPr>
              <w:spacing w:line="240" w:lineRule="auto"/>
              <w:ind w:firstLine="0" w:firstLineChars="0"/>
              <w:jc w:val="center"/>
              <w:rPr>
                <w:b/>
                <w:color w:val="auto"/>
                <w:sz w:val="21"/>
                <w:szCs w:val="21"/>
              </w:rPr>
            </w:pPr>
            <w:r>
              <w:rPr>
                <w:b/>
                <w:color w:val="auto"/>
                <w:sz w:val="21"/>
                <w:szCs w:val="21"/>
              </w:rPr>
              <w:t>运行数量（台）</w:t>
            </w:r>
          </w:p>
        </w:tc>
        <w:tc>
          <w:tcPr>
            <w:tcW w:w="741" w:type="pct"/>
            <w:vAlign w:val="center"/>
          </w:tcPr>
          <w:p>
            <w:pPr>
              <w:spacing w:line="240" w:lineRule="auto"/>
              <w:ind w:firstLine="0" w:firstLineChars="0"/>
              <w:jc w:val="center"/>
              <w:rPr>
                <w:b/>
                <w:color w:val="auto"/>
                <w:sz w:val="21"/>
                <w:szCs w:val="21"/>
              </w:rPr>
            </w:pPr>
            <w:r>
              <w:rPr>
                <w:b/>
                <w:color w:val="auto"/>
                <w:sz w:val="21"/>
                <w:szCs w:val="21"/>
              </w:rPr>
              <w:t>功率（KW）</w:t>
            </w:r>
          </w:p>
        </w:tc>
        <w:tc>
          <w:tcPr>
            <w:tcW w:w="741" w:type="pct"/>
            <w:vAlign w:val="center"/>
          </w:tcPr>
          <w:p>
            <w:pPr>
              <w:spacing w:line="240" w:lineRule="auto"/>
              <w:ind w:firstLine="0" w:firstLineChars="0"/>
              <w:jc w:val="center"/>
              <w:rPr>
                <w:b/>
                <w:color w:val="auto"/>
                <w:sz w:val="21"/>
                <w:szCs w:val="21"/>
              </w:rPr>
            </w:pPr>
            <w:r>
              <w:rPr>
                <w:b/>
                <w:color w:val="auto"/>
                <w:sz w:val="21"/>
                <w:szCs w:val="21"/>
              </w:rPr>
              <w:t>运行时间（h/d）</w:t>
            </w:r>
          </w:p>
        </w:tc>
        <w:tc>
          <w:tcPr>
            <w:tcW w:w="741" w:type="pct"/>
            <w:vAlign w:val="center"/>
          </w:tcPr>
          <w:p>
            <w:pPr>
              <w:spacing w:line="240" w:lineRule="auto"/>
              <w:ind w:firstLine="0" w:firstLineChars="0"/>
              <w:jc w:val="center"/>
              <w:rPr>
                <w:b/>
                <w:color w:val="auto"/>
                <w:sz w:val="21"/>
                <w:szCs w:val="21"/>
              </w:rPr>
            </w:pPr>
            <w:r>
              <w:rPr>
                <w:b/>
                <w:color w:val="auto"/>
                <w:sz w:val="21"/>
                <w:szCs w:val="21"/>
              </w:rPr>
              <w:t>工作效率</w:t>
            </w:r>
          </w:p>
        </w:tc>
        <w:tc>
          <w:tcPr>
            <w:tcW w:w="746" w:type="pct"/>
            <w:vAlign w:val="center"/>
          </w:tcPr>
          <w:p>
            <w:pPr>
              <w:spacing w:line="240" w:lineRule="auto"/>
              <w:ind w:firstLine="0" w:firstLineChars="0"/>
              <w:jc w:val="center"/>
              <w:rPr>
                <w:b/>
                <w:color w:val="auto"/>
                <w:sz w:val="21"/>
                <w:szCs w:val="21"/>
              </w:rPr>
            </w:pPr>
            <w:r>
              <w:rPr>
                <w:b/>
                <w:color w:val="auto"/>
                <w:sz w:val="21"/>
                <w:szCs w:val="21"/>
              </w:rPr>
              <w:t>耗电量（Kwh/d）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44" w:type="pct"/>
            <w:vAlign w:val="center"/>
          </w:tcPr>
          <w:p>
            <w:pPr>
              <w:spacing w:line="240" w:lineRule="auto"/>
              <w:ind w:firstLine="0" w:firstLineChars="0"/>
              <w:jc w:val="center"/>
              <w:rPr>
                <w:color w:val="auto"/>
                <w:sz w:val="21"/>
                <w:szCs w:val="21"/>
              </w:rPr>
            </w:pPr>
            <w:r>
              <w:rPr>
                <w:color w:val="auto"/>
                <w:sz w:val="21"/>
                <w:szCs w:val="21"/>
              </w:rPr>
              <w:t>1</w:t>
            </w:r>
          </w:p>
        </w:tc>
        <w:tc>
          <w:tcPr>
            <w:tcW w:w="1103" w:type="pct"/>
            <w:vAlign w:val="center"/>
          </w:tcPr>
          <w:p>
            <w:pPr>
              <w:spacing w:line="240" w:lineRule="auto"/>
              <w:ind w:firstLine="0" w:firstLineChars="0"/>
              <w:jc w:val="center"/>
              <w:rPr>
                <w:snapToGrid w:val="0"/>
                <w:color w:val="auto"/>
                <w:kern w:val="18"/>
                <w:sz w:val="21"/>
                <w:szCs w:val="21"/>
              </w:rPr>
            </w:pPr>
            <w:r>
              <w:rPr>
                <w:snapToGrid w:val="0"/>
                <w:color w:val="auto"/>
                <w:kern w:val="18"/>
                <w:sz w:val="21"/>
                <w:szCs w:val="21"/>
              </w:rPr>
              <w:t>风机</w:t>
            </w:r>
          </w:p>
        </w:tc>
        <w:tc>
          <w:tcPr>
            <w:tcW w:w="681" w:type="pct"/>
            <w:vAlign w:val="center"/>
          </w:tcPr>
          <w:p>
            <w:pPr>
              <w:spacing w:line="240" w:lineRule="auto"/>
              <w:ind w:firstLine="27" w:firstLineChars="0"/>
              <w:jc w:val="center"/>
              <w:rPr>
                <w:color w:val="auto"/>
                <w:sz w:val="21"/>
                <w:szCs w:val="21"/>
              </w:rPr>
            </w:pPr>
            <w:r>
              <w:rPr>
                <w:color w:val="auto"/>
                <w:sz w:val="21"/>
                <w:szCs w:val="21"/>
              </w:rPr>
              <w:t>1</w:t>
            </w:r>
          </w:p>
        </w:tc>
        <w:tc>
          <w:tcPr>
            <w:tcW w:w="741" w:type="pct"/>
            <w:vAlign w:val="center"/>
          </w:tcPr>
          <w:p>
            <w:pPr>
              <w:spacing w:line="240" w:lineRule="auto"/>
              <w:ind w:firstLine="27" w:firstLineChars="0"/>
              <w:jc w:val="center"/>
              <w:rPr>
                <w:color w:val="auto"/>
                <w:sz w:val="21"/>
                <w:szCs w:val="21"/>
              </w:rPr>
            </w:pPr>
            <w:r>
              <w:rPr>
                <w:color w:val="auto"/>
                <w:sz w:val="21"/>
                <w:szCs w:val="21"/>
              </w:rPr>
              <w:t>11</w:t>
            </w:r>
          </w:p>
        </w:tc>
        <w:tc>
          <w:tcPr>
            <w:tcW w:w="741" w:type="pct"/>
            <w:vAlign w:val="center"/>
          </w:tcPr>
          <w:p>
            <w:pPr>
              <w:spacing w:line="240" w:lineRule="auto"/>
              <w:ind w:firstLine="27" w:firstLineChars="0"/>
              <w:jc w:val="center"/>
              <w:rPr>
                <w:color w:val="auto"/>
                <w:sz w:val="21"/>
                <w:szCs w:val="21"/>
              </w:rPr>
            </w:pPr>
            <w:r>
              <w:rPr>
                <w:color w:val="auto"/>
                <w:sz w:val="21"/>
                <w:szCs w:val="21"/>
              </w:rPr>
              <w:t>24</w:t>
            </w:r>
          </w:p>
        </w:tc>
        <w:tc>
          <w:tcPr>
            <w:tcW w:w="741" w:type="pct"/>
            <w:vAlign w:val="center"/>
          </w:tcPr>
          <w:p>
            <w:pPr>
              <w:spacing w:line="240" w:lineRule="auto"/>
              <w:ind w:firstLine="27" w:firstLineChars="0"/>
              <w:jc w:val="center"/>
              <w:rPr>
                <w:color w:val="auto"/>
                <w:sz w:val="21"/>
                <w:szCs w:val="21"/>
              </w:rPr>
            </w:pPr>
            <w:r>
              <w:rPr>
                <w:color w:val="auto"/>
                <w:sz w:val="21"/>
                <w:szCs w:val="21"/>
              </w:rPr>
              <w:t>80%</w:t>
            </w:r>
          </w:p>
        </w:tc>
        <w:tc>
          <w:tcPr>
            <w:tcW w:w="746" w:type="pct"/>
            <w:vAlign w:val="center"/>
          </w:tcPr>
          <w:p>
            <w:pPr>
              <w:spacing w:line="240" w:lineRule="auto"/>
              <w:ind w:firstLine="27" w:firstLineChars="0"/>
              <w:jc w:val="center"/>
              <w:rPr>
                <w:color w:val="auto"/>
                <w:sz w:val="21"/>
                <w:szCs w:val="21"/>
              </w:rPr>
            </w:pPr>
            <w:r>
              <w:rPr>
                <w:color w:val="auto"/>
                <w:sz w:val="21"/>
                <w:szCs w:val="21"/>
              </w:rPr>
              <w:t>211.2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44" w:type="pct"/>
            <w:vAlign w:val="center"/>
          </w:tcPr>
          <w:p>
            <w:pPr>
              <w:spacing w:line="240" w:lineRule="auto"/>
              <w:ind w:firstLine="0" w:firstLineChars="0"/>
              <w:jc w:val="center"/>
              <w:rPr>
                <w:color w:val="auto"/>
                <w:sz w:val="21"/>
                <w:szCs w:val="21"/>
              </w:rPr>
            </w:pPr>
            <w:r>
              <w:rPr>
                <w:color w:val="auto"/>
                <w:sz w:val="21"/>
                <w:szCs w:val="21"/>
              </w:rPr>
              <w:t>2</w:t>
            </w:r>
          </w:p>
        </w:tc>
        <w:tc>
          <w:tcPr>
            <w:tcW w:w="1103" w:type="pct"/>
            <w:vAlign w:val="center"/>
          </w:tcPr>
          <w:p>
            <w:pPr>
              <w:spacing w:line="240" w:lineRule="auto"/>
              <w:ind w:firstLine="0" w:firstLineChars="0"/>
              <w:jc w:val="center"/>
              <w:rPr>
                <w:snapToGrid w:val="0"/>
                <w:color w:val="auto"/>
                <w:kern w:val="18"/>
                <w:sz w:val="21"/>
                <w:szCs w:val="21"/>
              </w:rPr>
            </w:pPr>
            <w:r>
              <w:rPr>
                <w:snapToGrid w:val="0"/>
                <w:color w:val="auto"/>
                <w:kern w:val="18"/>
                <w:sz w:val="21"/>
                <w:szCs w:val="21"/>
              </w:rPr>
              <w:t>小计能耗</w:t>
            </w:r>
          </w:p>
        </w:tc>
        <w:tc>
          <w:tcPr>
            <w:tcW w:w="3651" w:type="pct"/>
            <w:gridSpan w:val="5"/>
            <w:vAlign w:val="center"/>
          </w:tcPr>
          <w:p>
            <w:pPr>
              <w:spacing w:line="240" w:lineRule="auto"/>
              <w:ind w:firstLine="27" w:firstLineChars="0"/>
              <w:jc w:val="center"/>
              <w:rPr>
                <w:color w:val="auto"/>
                <w:sz w:val="21"/>
                <w:szCs w:val="21"/>
              </w:rPr>
            </w:pPr>
            <w:r>
              <w:rPr>
                <w:color w:val="auto"/>
                <w:sz w:val="21"/>
                <w:szCs w:val="21"/>
              </w:rPr>
              <w:t>211.2Kwh/d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44" w:type="pct"/>
            <w:vAlign w:val="center"/>
          </w:tcPr>
          <w:p>
            <w:pPr>
              <w:spacing w:line="240" w:lineRule="auto"/>
              <w:ind w:firstLine="0" w:firstLineChars="0"/>
              <w:jc w:val="center"/>
              <w:rPr>
                <w:color w:val="auto"/>
                <w:sz w:val="21"/>
                <w:szCs w:val="21"/>
              </w:rPr>
            </w:pPr>
            <w:r>
              <w:rPr>
                <w:color w:val="auto"/>
                <w:sz w:val="21"/>
                <w:szCs w:val="21"/>
              </w:rPr>
              <w:t>3</w:t>
            </w:r>
          </w:p>
        </w:tc>
        <w:tc>
          <w:tcPr>
            <w:tcW w:w="1103" w:type="pct"/>
            <w:vAlign w:val="center"/>
          </w:tcPr>
          <w:p>
            <w:pPr>
              <w:spacing w:line="240" w:lineRule="auto"/>
              <w:ind w:firstLine="0" w:firstLineChars="0"/>
              <w:jc w:val="center"/>
              <w:rPr>
                <w:snapToGrid w:val="0"/>
                <w:color w:val="auto"/>
                <w:kern w:val="18"/>
                <w:sz w:val="21"/>
                <w:szCs w:val="21"/>
              </w:rPr>
            </w:pPr>
            <w:r>
              <w:rPr>
                <w:snapToGrid w:val="0"/>
                <w:color w:val="auto"/>
                <w:kern w:val="18"/>
                <w:sz w:val="21"/>
                <w:szCs w:val="21"/>
              </w:rPr>
              <w:t>小计电费</w:t>
            </w:r>
          </w:p>
        </w:tc>
        <w:tc>
          <w:tcPr>
            <w:tcW w:w="3651" w:type="pct"/>
            <w:gridSpan w:val="5"/>
            <w:vAlign w:val="center"/>
          </w:tcPr>
          <w:p>
            <w:pPr>
              <w:spacing w:line="240" w:lineRule="auto"/>
              <w:ind w:firstLine="27" w:firstLineChars="0"/>
              <w:jc w:val="center"/>
              <w:rPr>
                <w:color w:val="auto"/>
                <w:sz w:val="21"/>
                <w:szCs w:val="21"/>
              </w:rPr>
            </w:pPr>
            <w:r>
              <w:rPr>
                <w:color w:val="auto"/>
                <w:sz w:val="21"/>
                <w:szCs w:val="21"/>
              </w:rPr>
              <w:t>168.96元/天，即4.22万元/年（电费以0.8元/Kwh计）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44" w:type="pct"/>
            <w:vAlign w:val="center"/>
          </w:tcPr>
          <w:p>
            <w:pPr>
              <w:spacing w:line="240" w:lineRule="auto"/>
              <w:ind w:firstLine="0" w:firstLineChars="0"/>
              <w:jc w:val="center"/>
              <w:rPr>
                <w:color w:val="auto"/>
                <w:sz w:val="21"/>
                <w:szCs w:val="21"/>
              </w:rPr>
            </w:pPr>
            <w:r>
              <w:rPr>
                <w:color w:val="auto"/>
                <w:sz w:val="21"/>
                <w:szCs w:val="21"/>
              </w:rPr>
              <w:t>4</w:t>
            </w:r>
          </w:p>
        </w:tc>
        <w:tc>
          <w:tcPr>
            <w:tcW w:w="1103" w:type="pct"/>
            <w:vAlign w:val="center"/>
          </w:tcPr>
          <w:p>
            <w:pPr>
              <w:spacing w:line="240" w:lineRule="auto"/>
              <w:ind w:firstLine="0" w:firstLineChars="0"/>
              <w:jc w:val="center"/>
              <w:rPr>
                <w:snapToGrid w:val="0"/>
                <w:color w:val="auto"/>
                <w:kern w:val="18"/>
                <w:sz w:val="21"/>
                <w:szCs w:val="21"/>
              </w:rPr>
            </w:pPr>
            <w:r>
              <w:rPr>
                <w:snapToGrid w:val="0"/>
                <w:color w:val="auto"/>
                <w:kern w:val="18"/>
                <w:sz w:val="21"/>
                <w:szCs w:val="21"/>
              </w:rPr>
              <w:t>人工</w:t>
            </w:r>
          </w:p>
        </w:tc>
        <w:tc>
          <w:tcPr>
            <w:tcW w:w="3651" w:type="pct"/>
            <w:gridSpan w:val="5"/>
            <w:vAlign w:val="center"/>
          </w:tcPr>
          <w:p>
            <w:pPr>
              <w:spacing w:line="240" w:lineRule="auto"/>
              <w:ind w:firstLine="27" w:firstLineChars="0"/>
              <w:jc w:val="center"/>
              <w:rPr>
                <w:color w:val="auto"/>
                <w:sz w:val="21"/>
                <w:szCs w:val="21"/>
              </w:rPr>
            </w:pPr>
            <w:r>
              <w:rPr>
                <w:color w:val="auto"/>
                <w:sz w:val="21"/>
                <w:szCs w:val="21"/>
              </w:rPr>
              <w:t>工厂内员工兼职操作</w:t>
            </w:r>
          </w:p>
        </w:tc>
      </w:tr>
    </w:tbl>
    <w:p>
      <w:pPr>
        <w:pStyle w:val="8"/>
        <w:spacing w:before="0" w:beforeLines="0" w:after="0" w:afterLines="0" w:line="360" w:lineRule="auto"/>
        <w:rPr>
          <w:color w:val="auto"/>
        </w:rPr>
      </w:pPr>
      <w:bookmarkStart w:id="394" w:name="_Toc31292"/>
      <w:bookmarkStart w:id="395" w:name="_Toc16583"/>
      <w:r>
        <w:rPr>
          <w:color w:val="auto"/>
        </w:rPr>
        <w:t>8.2 废水污染防治措施及其技术</w:t>
      </w:r>
      <w:r>
        <w:rPr>
          <w:rFonts w:hint="eastAsia"/>
          <w:color w:val="auto"/>
        </w:rPr>
        <w:t>、</w:t>
      </w:r>
      <w:r>
        <w:rPr>
          <w:color w:val="auto"/>
        </w:rPr>
        <w:t>经济论证</w:t>
      </w:r>
      <w:bookmarkEnd w:id="394"/>
      <w:bookmarkEnd w:id="395"/>
    </w:p>
    <w:p>
      <w:pPr>
        <w:pStyle w:val="9"/>
        <w:spacing w:before="0" w:beforeLines="0" w:after="0" w:afterLines="0" w:line="360" w:lineRule="auto"/>
        <w:rPr>
          <w:color w:val="auto"/>
        </w:rPr>
      </w:pPr>
      <w:r>
        <w:rPr>
          <w:color w:val="auto"/>
        </w:rPr>
        <w:t>8.2.1 废水产生情况</w:t>
      </w:r>
    </w:p>
    <w:p>
      <w:pPr>
        <w:ind w:firstLine="480"/>
        <w:contextualSpacing/>
        <w:rPr>
          <w:bCs/>
          <w:color w:val="auto"/>
          <w:szCs w:val="21"/>
        </w:rPr>
      </w:pPr>
      <w:r>
        <w:rPr>
          <w:rFonts w:hint="eastAsia"/>
          <w:bCs/>
          <w:color w:val="auto"/>
          <w:szCs w:val="21"/>
        </w:rPr>
        <w:t>拟建项目</w:t>
      </w:r>
      <w:r>
        <w:rPr>
          <w:bCs/>
          <w:color w:val="auto"/>
          <w:szCs w:val="21"/>
        </w:rPr>
        <w:t>废水主要为</w:t>
      </w:r>
      <w:r>
        <w:rPr>
          <w:color w:val="auto"/>
        </w:rPr>
        <w:t>循环冷却系统排水</w:t>
      </w:r>
      <w:r>
        <w:rPr>
          <w:bCs/>
          <w:color w:val="auto"/>
          <w:szCs w:val="21"/>
        </w:rPr>
        <w:t>、</w:t>
      </w:r>
      <w:r>
        <w:rPr>
          <w:color w:val="auto"/>
        </w:rPr>
        <w:t>化验室排水</w:t>
      </w:r>
      <w:r>
        <w:rPr>
          <w:rFonts w:hint="eastAsia"/>
          <w:color w:val="auto"/>
        </w:rPr>
        <w:t>、</w:t>
      </w:r>
      <w:r>
        <w:rPr>
          <w:color w:val="auto"/>
          <w:szCs w:val="22"/>
        </w:rPr>
        <w:t>喷淋塔排水</w:t>
      </w:r>
      <w:r>
        <w:rPr>
          <w:rFonts w:hint="eastAsia"/>
          <w:color w:val="auto"/>
          <w:szCs w:val="22"/>
        </w:rPr>
        <w:t>、</w:t>
      </w:r>
      <w:r>
        <w:rPr>
          <w:color w:val="auto"/>
        </w:rPr>
        <w:t>地面清洗废水</w:t>
      </w:r>
      <w:r>
        <w:rPr>
          <w:rFonts w:hint="eastAsia"/>
          <w:color w:val="auto"/>
        </w:rPr>
        <w:t>、生产废水、</w:t>
      </w:r>
      <w:r>
        <w:rPr>
          <w:bCs/>
          <w:color w:val="auto"/>
          <w:szCs w:val="21"/>
        </w:rPr>
        <w:t>生活废水和初期雨水。</w:t>
      </w:r>
    </w:p>
    <w:p>
      <w:pPr>
        <w:ind w:firstLine="480"/>
        <w:contextualSpacing/>
        <w:rPr>
          <w:bCs/>
          <w:color w:val="auto"/>
          <w:szCs w:val="21"/>
        </w:rPr>
      </w:pPr>
      <w:r>
        <w:rPr>
          <w:bCs/>
          <w:color w:val="auto"/>
          <w:szCs w:val="21"/>
        </w:rPr>
        <w:t>本项目废水主要包括：</w:t>
      </w:r>
    </w:p>
    <w:p>
      <w:pPr>
        <w:ind w:firstLine="480"/>
        <w:rPr>
          <w:bCs/>
          <w:color w:val="auto"/>
          <w:szCs w:val="21"/>
        </w:rPr>
      </w:pPr>
      <w:r>
        <w:rPr>
          <w:bCs/>
          <w:color w:val="auto"/>
          <w:szCs w:val="21"/>
        </w:rPr>
        <w:t>（1）循环冷却系统排水（W</w:t>
      </w:r>
      <w:r>
        <w:rPr>
          <w:rFonts w:hint="eastAsia"/>
          <w:bCs/>
          <w:color w:val="auto"/>
          <w:szCs w:val="21"/>
        </w:rPr>
        <w:t>1</w:t>
      </w:r>
      <w:r>
        <w:rPr>
          <w:bCs/>
          <w:color w:val="auto"/>
          <w:szCs w:val="21"/>
        </w:rPr>
        <w:t>）</w:t>
      </w:r>
    </w:p>
    <w:p>
      <w:pPr>
        <w:ind w:firstLine="480"/>
        <w:rPr>
          <w:bCs/>
          <w:color w:val="auto"/>
          <w:szCs w:val="21"/>
        </w:rPr>
      </w:pPr>
      <w:r>
        <w:rPr>
          <w:bCs/>
          <w:color w:val="auto"/>
          <w:szCs w:val="21"/>
        </w:rPr>
        <w:t>（2）化验室废水（W</w:t>
      </w:r>
      <w:r>
        <w:rPr>
          <w:rFonts w:hint="eastAsia"/>
          <w:bCs/>
          <w:color w:val="auto"/>
          <w:szCs w:val="21"/>
        </w:rPr>
        <w:t>2</w:t>
      </w:r>
      <w:r>
        <w:rPr>
          <w:bCs/>
          <w:color w:val="auto"/>
          <w:szCs w:val="21"/>
        </w:rPr>
        <w:t>）</w:t>
      </w:r>
    </w:p>
    <w:p>
      <w:pPr>
        <w:pStyle w:val="2"/>
        <w:spacing w:after="0"/>
        <w:ind w:firstLine="480"/>
        <w:rPr>
          <w:color w:val="auto"/>
        </w:rPr>
      </w:pPr>
      <w:r>
        <w:rPr>
          <w:bCs/>
          <w:color w:val="auto"/>
          <w:szCs w:val="21"/>
        </w:rPr>
        <w:t>（3）喷淋塔排水</w:t>
      </w:r>
      <w:r>
        <w:rPr>
          <w:rFonts w:hint="eastAsia"/>
          <w:bCs/>
          <w:color w:val="auto"/>
          <w:szCs w:val="21"/>
        </w:rPr>
        <w:t>（</w:t>
      </w:r>
      <w:r>
        <w:rPr>
          <w:bCs/>
          <w:color w:val="auto"/>
          <w:szCs w:val="21"/>
        </w:rPr>
        <w:t>W</w:t>
      </w:r>
      <w:r>
        <w:rPr>
          <w:rFonts w:hint="eastAsia"/>
          <w:bCs/>
          <w:color w:val="auto"/>
          <w:szCs w:val="21"/>
        </w:rPr>
        <w:t>3）</w:t>
      </w:r>
    </w:p>
    <w:p>
      <w:pPr>
        <w:ind w:firstLine="480"/>
        <w:rPr>
          <w:bCs/>
          <w:color w:val="auto"/>
          <w:szCs w:val="21"/>
        </w:rPr>
      </w:pPr>
      <w:r>
        <w:rPr>
          <w:bCs/>
          <w:color w:val="auto"/>
          <w:szCs w:val="21"/>
        </w:rPr>
        <w:t>（4）地面清洗废水（W</w:t>
      </w:r>
      <w:r>
        <w:rPr>
          <w:rFonts w:hint="eastAsia"/>
          <w:bCs/>
          <w:color w:val="auto"/>
          <w:szCs w:val="21"/>
        </w:rPr>
        <w:t>4</w:t>
      </w:r>
      <w:r>
        <w:rPr>
          <w:bCs/>
          <w:color w:val="auto"/>
          <w:szCs w:val="21"/>
        </w:rPr>
        <w:t>）</w:t>
      </w:r>
    </w:p>
    <w:p>
      <w:pPr>
        <w:pStyle w:val="2"/>
        <w:spacing w:after="0"/>
        <w:ind w:firstLine="480"/>
        <w:rPr>
          <w:color w:val="auto"/>
        </w:rPr>
      </w:pPr>
      <w:r>
        <w:rPr>
          <w:color w:val="auto"/>
        </w:rPr>
        <w:t>（5）</w:t>
      </w:r>
      <w:r>
        <w:rPr>
          <w:bCs/>
          <w:color w:val="auto"/>
          <w:szCs w:val="21"/>
        </w:rPr>
        <w:t>员工生活污水（W</w:t>
      </w:r>
      <w:r>
        <w:rPr>
          <w:rFonts w:hint="eastAsia"/>
          <w:bCs/>
          <w:color w:val="auto"/>
          <w:szCs w:val="21"/>
        </w:rPr>
        <w:t>5</w:t>
      </w:r>
      <w:r>
        <w:rPr>
          <w:bCs/>
          <w:color w:val="auto"/>
          <w:szCs w:val="21"/>
        </w:rPr>
        <w:t>）</w:t>
      </w:r>
    </w:p>
    <w:p>
      <w:pPr>
        <w:pStyle w:val="2"/>
        <w:spacing w:after="0"/>
        <w:ind w:firstLine="480"/>
        <w:rPr>
          <w:color w:val="auto"/>
        </w:rPr>
      </w:pPr>
      <w:r>
        <w:rPr>
          <w:color w:val="auto"/>
        </w:rPr>
        <w:t>（6）生产废水</w:t>
      </w:r>
      <w:r>
        <w:rPr>
          <w:bCs/>
          <w:color w:val="auto"/>
          <w:szCs w:val="21"/>
        </w:rPr>
        <w:t>（W</w:t>
      </w:r>
      <w:r>
        <w:rPr>
          <w:rFonts w:hint="eastAsia"/>
          <w:bCs/>
          <w:color w:val="auto"/>
          <w:szCs w:val="21"/>
        </w:rPr>
        <w:t>6</w:t>
      </w:r>
      <w:r>
        <w:rPr>
          <w:bCs/>
          <w:color w:val="auto"/>
          <w:szCs w:val="21"/>
        </w:rPr>
        <w:t>）</w:t>
      </w:r>
    </w:p>
    <w:p>
      <w:pPr>
        <w:ind w:firstLine="480"/>
        <w:contextualSpacing/>
        <w:rPr>
          <w:color w:val="auto"/>
        </w:rPr>
      </w:pPr>
      <w:r>
        <w:rPr>
          <w:bCs/>
          <w:color w:val="auto"/>
          <w:szCs w:val="21"/>
        </w:rPr>
        <w:t>本项目废水排放采取“雨污分流”的原则，前期雨水收集后与其他废水一起排入污水处理站，后期雨水排入雨水管网</w:t>
      </w:r>
      <w:r>
        <w:rPr>
          <w:color w:val="auto"/>
        </w:rPr>
        <w:t>。</w:t>
      </w:r>
    </w:p>
    <w:p>
      <w:pPr>
        <w:ind w:firstLine="489" w:firstLineChars="204"/>
        <w:contextualSpacing/>
        <w:rPr>
          <w:color w:val="auto"/>
        </w:rPr>
      </w:pPr>
      <w:r>
        <w:rPr>
          <w:color w:val="auto"/>
        </w:rPr>
        <w:t>本项目废水水质情况见表8.2-1。</w:t>
      </w:r>
    </w:p>
    <w:p>
      <w:pPr>
        <w:pStyle w:val="2"/>
        <w:ind w:firstLine="0" w:firstLineChars="0"/>
        <w:jc w:val="center"/>
        <w:rPr>
          <w:rFonts w:eastAsia="黑体"/>
          <w:b/>
          <w:color w:val="auto"/>
          <w:sz w:val="21"/>
          <w:szCs w:val="21"/>
        </w:rPr>
      </w:pPr>
    </w:p>
    <w:p>
      <w:pPr>
        <w:pStyle w:val="2"/>
        <w:ind w:firstLine="0" w:firstLineChars="0"/>
        <w:jc w:val="center"/>
        <w:rPr>
          <w:rFonts w:eastAsia="黑体"/>
          <w:b/>
          <w:color w:val="auto"/>
          <w:sz w:val="21"/>
          <w:szCs w:val="21"/>
        </w:rPr>
      </w:pPr>
    </w:p>
    <w:p>
      <w:pPr>
        <w:pStyle w:val="2"/>
        <w:ind w:firstLine="0" w:firstLineChars="0"/>
        <w:jc w:val="center"/>
        <w:rPr>
          <w:rFonts w:eastAsia="黑体"/>
          <w:b/>
          <w:color w:val="auto"/>
          <w:sz w:val="21"/>
          <w:szCs w:val="21"/>
        </w:rPr>
      </w:pPr>
      <w:r>
        <w:rPr>
          <w:rFonts w:eastAsia="黑体"/>
          <w:b/>
          <w:color w:val="auto"/>
          <w:sz w:val="21"/>
          <w:szCs w:val="21"/>
        </w:rPr>
        <w:t>表8.2-1  本项目废水水质情况  单位：m</w:t>
      </w:r>
      <w:r>
        <w:rPr>
          <w:rFonts w:eastAsia="黑体"/>
          <w:b/>
          <w:color w:val="auto"/>
          <w:sz w:val="21"/>
          <w:szCs w:val="21"/>
          <w:vertAlign w:val="superscript"/>
        </w:rPr>
        <w:t>3</w:t>
      </w:r>
      <w:r>
        <w:rPr>
          <w:rFonts w:eastAsia="黑体"/>
          <w:b/>
          <w:color w:val="auto"/>
          <w:sz w:val="21"/>
          <w:szCs w:val="21"/>
        </w:rPr>
        <w:t>/a</w:t>
      </w:r>
    </w:p>
    <w:tbl>
      <w:tblPr>
        <w:tblStyle w:val="22"/>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060"/>
        <w:gridCol w:w="752"/>
        <w:gridCol w:w="1004"/>
        <w:gridCol w:w="1009"/>
        <w:gridCol w:w="1363"/>
        <w:gridCol w:w="1031"/>
        <w:gridCol w:w="206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restart"/>
            <w:vAlign w:val="center"/>
          </w:tcPr>
          <w:p>
            <w:pPr>
              <w:adjustRightInd w:val="0"/>
              <w:snapToGrid w:val="0"/>
              <w:spacing w:line="240" w:lineRule="auto"/>
              <w:ind w:firstLine="0" w:firstLineChars="0"/>
              <w:jc w:val="center"/>
              <w:rPr>
                <w:b/>
                <w:color w:val="auto"/>
                <w:sz w:val="21"/>
                <w:szCs w:val="21"/>
              </w:rPr>
            </w:pPr>
            <w:r>
              <w:rPr>
                <w:b/>
                <w:color w:val="auto"/>
                <w:sz w:val="21"/>
                <w:szCs w:val="21"/>
              </w:rPr>
              <w:t>废水来源</w:t>
            </w:r>
          </w:p>
        </w:tc>
        <w:tc>
          <w:tcPr>
            <w:tcW w:w="405" w:type="pct"/>
            <w:vMerge w:val="restart"/>
            <w:vAlign w:val="center"/>
          </w:tcPr>
          <w:p>
            <w:pPr>
              <w:adjustRightInd w:val="0"/>
              <w:snapToGrid w:val="0"/>
              <w:spacing w:line="240" w:lineRule="auto"/>
              <w:ind w:firstLine="0" w:firstLineChars="0"/>
              <w:jc w:val="center"/>
              <w:rPr>
                <w:b/>
                <w:color w:val="auto"/>
                <w:sz w:val="21"/>
                <w:szCs w:val="21"/>
              </w:rPr>
            </w:pPr>
            <w:r>
              <w:rPr>
                <w:b/>
                <w:color w:val="auto"/>
                <w:sz w:val="21"/>
                <w:szCs w:val="21"/>
              </w:rPr>
              <w:t>排放编号</w:t>
            </w:r>
          </w:p>
        </w:tc>
        <w:tc>
          <w:tcPr>
            <w:tcW w:w="540" w:type="pct"/>
            <w:vMerge w:val="restart"/>
            <w:vAlign w:val="center"/>
          </w:tcPr>
          <w:p>
            <w:pPr>
              <w:adjustRightInd w:val="0"/>
              <w:snapToGrid w:val="0"/>
              <w:spacing w:line="240" w:lineRule="auto"/>
              <w:ind w:firstLine="0" w:firstLineChars="0"/>
              <w:jc w:val="center"/>
              <w:rPr>
                <w:b/>
                <w:color w:val="auto"/>
                <w:sz w:val="21"/>
                <w:szCs w:val="21"/>
              </w:rPr>
            </w:pPr>
            <w:r>
              <w:rPr>
                <w:b/>
                <w:color w:val="auto"/>
                <w:sz w:val="21"/>
                <w:szCs w:val="21"/>
              </w:rPr>
              <w:t>排放量</w:t>
            </w:r>
          </w:p>
        </w:tc>
        <w:tc>
          <w:tcPr>
            <w:tcW w:w="543" w:type="pct"/>
            <w:vMerge w:val="restart"/>
            <w:vAlign w:val="center"/>
          </w:tcPr>
          <w:p>
            <w:pPr>
              <w:adjustRightInd w:val="0"/>
              <w:snapToGrid w:val="0"/>
              <w:spacing w:line="240" w:lineRule="auto"/>
              <w:ind w:firstLine="0" w:firstLineChars="0"/>
              <w:jc w:val="center"/>
              <w:rPr>
                <w:b/>
                <w:color w:val="auto"/>
                <w:sz w:val="21"/>
                <w:szCs w:val="21"/>
              </w:rPr>
            </w:pPr>
            <w:r>
              <w:rPr>
                <w:b/>
                <w:color w:val="auto"/>
                <w:sz w:val="21"/>
                <w:szCs w:val="21"/>
              </w:rPr>
              <w:t>污染因子</w:t>
            </w:r>
          </w:p>
        </w:tc>
        <w:tc>
          <w:tcPr>
            <w:tcW w:w="1289" w:type="pct"/>
            <w:gridSpan w:val="2"/>
            <w:vAlign w:val="center"/>
          </w:tcPr>
          <w:p>
            <w:pPr>
              <w:adjustRightInd w:val="0"/>
              <w:snapToGrid w:val="0"/>
              <w:spacing w:line="240" w:lineRule="auto"/>
              <w:ind w:firstLine="0" w:firstLineChars="0"/>
              <w:jc w:val="center"/>
              <w:rPr>
                <w:b/>
                <w:color w:val="auto"/>
                <w:sz w:val="21"/>
                <w:szCs w:val="21"/>
              </w:rPr>
            </w:pPr>
            <w:r>
              <w:rPr>
                <w:b/>
                <w:color w:val="auto"/>
                <w:sz w:val="21"/>
                <w:szCs w:val="21"/>
              </w:rPr>
              <w:t>污染物产生情况</w:t>
            </w:r>
          </w:p>
        </w:tc>
        <w:tc>
          <w:tcPr>
            <w:tcW w:w="1110" w:type="pct"/>
            <w:vMerge w:val="restart"/>
            <w:vAlign w:val="center"/>
          </w:tcPr>
          <w:p>
            <w:pPr>
              <w:adjustRightInd w:val="0"/>
              <w:snapToGrid w:val="0"/>
              <w:spacing w:line="240" w:lineRule="auto"/>
              <w:ind w:firstLine="0" w:firstLineChars="0"/>
              <w:jc w:val="center"/>
              <w:rPr>
                <w:b/>
                <w:color w:val="auto"/>
                <w:sz w:val="21"/>
                <w:szCs w:val="21"/>
              </w:rPr>
            </w:pPr>
            <w:r>
              <w:rPr>
                <w:b/>
                <w:color w:val="auto"/>
                <w:sz w:val="21"/>
                <w:szCs w:val="21"/>
              </w:rPr>
              <w:t>处理措施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b/>
                <w:color w:val="auto"/>
                <w:sz w:val="21"/>
                <w:szCs w:val="21"/>
              </w:rPr>
            </w:pPr>
          </w:p>
        </w:tc>
        <w:tc>
          <w:tcPr>
            <w:tcW w:w="405" w:type="pct"/>
            <w:vMerge w:val="continue"/>
            <w:vAlign w:val="center"/>
          </w:tcPr>
          <w:p>
            <w:pPr>
              <w:adjustRightInd w:val="0"/>
              <w:snapToGrid w:val="0"/>
              <w:spacing w:line="240" w:lineRule="auto"/>
              <w:ind w:firstLine="0" w:firstLineChars="0"/>
              <w:jc w:val="center"/>
              <w:rPr>
                <w:b/>
                <w:color w:val="auto"/>
                <w:sz w:val="21"/>
                <w:szCs w:val="21"/>
              </w:rPr>
            </w:pPr>
          </w:p>
        </w:tc>
        <w:tc>
          <w:tcPr>
            <w:tcW w:w="540" w:type="pct"/>
            <w:vMerge w:val="continue"/>
            <w:vAlign w:val="center"/>
          </w:tcPr>
          <w:p>
            <w:pPr>
              <w:adjustRightInd w:val="0"/>
              <w:snapToGrid w:val="0"/>
              <w:spacing w:line="240" w:lineRule="auto"/>
              <w:ind w:firstLine="0" w:firstLineChars="0"/>
              <w:jc w:val="center"/>
              <w:rPr>
                <w:b/>
                <w:color w:val="auto"/>
                <w:sz w:val="21"/>
                <w:szCs w:val="21"/>
              </w:rPr>
            </w:pPr>
          </w:p>
        </w:tc>
        <w:tc>
          <w:tcPr>
            <w:tcW w:w="543" w:type="pct"/>
            <w:vMerge w:val="continue"/>
            <w:vAlign w:val="center"/>
          </w:tcPr>
          <w:p>
            <w:pPr>
              <w:adjustRightInd w:val="0"/>
              <w:snapToGrid w:val="0"/>
              <w:spacing w:line="240" w:lineRule="auto"/>
              <w:ind w:firstLine="0" w:firstLineChars="0"/>
              <w:jc w:val="center"/>
              <w:rPr>
                <w:b/>
                <w:color w:val="auto"/>
                <w:sz w:val="21"/>
                <w:szCs w:val="21"/>
              </w:rPr>
            </w:pPr>
          </w:p>
        </w:tc>
        <w:tc>
          <w:tcPr>
            <w:tcW w:w="734" w:type="pct"/>
            <w:vAlign w:val="center"/>
          </w:tcPr>
          <w:p>
            <w:pPr>
              <w:tabs>
                <w:tab w:val="left" w:pos="5388"/>
              </w:tabs>
              <w:autoSpaceDE w:val="0"/>
              <w:autoSpaceDN w:val="0"/>
              <w:spacing w:line="240" w:lineRule="auto"/>
              <w:ind w:firstLine="0" w:firstLineChars="0"/>
              <w:jc w:val="center"/>
              <w:rPr>
                <w:b/>
                <w:color w:val="auto"/>
                <w:sz w:val="21"/>
                <w:szCs w:val="21"/>
              </w:rPr>
            </w:pPr>
            <w:r>
              <w:rPr>
                <w:b/>
                <w:color w:val="auto"/>
                <w:sz w:val="21"/>
                <w:szCs w:val="21"/>
              </w:rPr>
              <w:t>浓度（mg/L）</w:t>
            </w:r>
          </w:p>
        </w:tc>
        <w:tc>
          <w:tcPr>
            <w:tcW w:w="555" w:type="pct"/>
            <w:vAlign w:val="center"/>
          </w:tcPr>
          <w:p>
            <w:pPr>
              <w:tabs>
                <w:tab w:val="left" w:pos="5388"/>
              </w:tabs>
              <w:autoSpaceDE w:val="0"/>
              <w:autoSpaceDN w:val="0"/>
              <w:spacing w:line="240" w:lineRule="auto"/>
              <w:ind w:firstLine="0" w:firstLineChars="0"/>
              <w:jc w:val="center"/>
              <w:rPr>
                <w:b/>
                <w:color w:val="auto"/>
                <w:sz w:val="21"/>
                <w:szCs w:val="21"/>
              </w:rPr>
            </w:pPr>
            <w:r>
              <w:rPr>
                <w:b/>
                <w:color w:val="auto"/>
                <w:sz w:val="21"/>
                <w:szCs w:val="21"/>
              </w:rPr>
              <w:t>产生量（t/a）</w:t>
            </w:r>
          </w:p>
        </w:tc>
        <w:tc>
          <w:tcPr>
            <w:tcW w:w="1110" w:type="pct"/>
            <w:vMerge w:val="continue"/>
            <w:vAlign w:val="center"/>
          </w:tcPr>
          <w:p>
            <w:pPr>
              <w:adjustRightInd w:val="0"/>
              <w:snapToGrid w:val="0"/>
              <w:spacing w:line="240" w:lineRule="auto"/>
              <w:ind w:firstLine="0" w:firstLineChars="0"/>
              <w:jc w:val="center"/>
              <w:rPr>
                <w:b/>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109"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循环冷却系统排水</w:t>
            </w:r>
          </w:p>
        </w:tc>
        <w:tc>
          <w:tcPr>
            <w:tcW w:w="405"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W1</w:t>
            </w:r>
          </w:p>
        </w:tc>
        <w:tc>
          <w:tcPr>
            <w:tcW w:w="540"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1440</w:t>
            </w: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COD</w:t>
            </w:r>
          </w:p>
        </w:tc>
        <w:tc>
          <w:tcPr>
            <w:tcW w:w="1363"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150</w:t>
            </w:r>
          </w:p>
        </w:tc>
        <w:tc>
          <w:tcPr>
            <w:tcW w:w="1031"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0.216</w:t>
            </w:r>
          </w:p>
        </w:tc>
        <w:tc>
          <w:tcPr>
            <w:tcW w:w="1110"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进入</w:t>
            </w:r>
            <w:r>
              <w:rPr>
                <w:rFonts w:hint="eastAsia"/>
                <w:color w:val="auto"/>
                <w:sz w:val="21"/>
                <w:szCs w:val="21"/>
              </w:rPr>
              <w:t>厂区</w:t>
            </w:r>
            <w:r>
              <w:rPr>
                <w:color w:val="auto"/>
                <w:sz w:val="21"/>
                <w:szCs w:val="21"/>
              </w:rPr>
              <w:t>污水处理系统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rFonts w:hint="eastAsia"/>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rFonts w:hint="eastAsia"/>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kern w:val="0"/>
                <w:sz w:val="21"/>
                <w:szCs w:val="21"/>
              </w:rPr>
              <w:t>BOD</w:t>
            </w:r>
            <w:r>
              <w:rPr>
                <w:color w:val="auto"/>
                <w:kern w:val="0"/>
                <w:sz w:val="21"/>
                <w:szCs w:val="21"/>
                <w:vertAlign w:val="subscript"/>
              </w:rPr>
              <w:t>5</w:t>
            </w:r>
          </w:p>
        </w:tc>
        <w:tc>
          <w:tcPr>
            <w:tcW w:w="1363"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45</w:t>
            </w:r>
          </w:p>
        </w:tc>
        <w:tc>
          <w:tcPr>
            <w:tcW w:w="1031"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0.065</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bCs/>
                <w:color w:val="auto"/>
                <w:sz w:val="21"/>
                <w:szCs w:val="21"/>
              </w:rPr>
              <w:t>NH</w:t>
            </w:r>
            <w:r>
              <w:rPr>
                <w:bCs/>
                <w:color w:val="auto"/>
                <w:sz w:val="21"/>
                <w:szCs w:val="21"/>
                <w:vertAlign w:val="subscript"/>
              </w:rPr>
              <w:t>3</w:t>
            </w:r>
            <w:r>
              <w:rPr>
                <w:bCs/>
                <w:color w:val="auto"/>
                <w:sz w:val="21"/>
                <w:szCs w:val="21"/>
              </w:rPr>
              <w:t>-N</w:t>
            </w:r>
          </w:p>
        </w:tc>
        <w:tc>
          <w:tcPr>
            <w:tcW w:w="1363"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5</w:t>
            </w:r>
          </w:p>
        </w:tc>
        <w:tc>
          <w:tcPr>
            <w:tcW w:w="1031"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0.0072</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SS</w:t>
            </w:r>
          </w:p>
        </w:tc>
        <w:tc>
          <w:tcPr>
            <w:tcW w:w="1363"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200</w:t>
            </w:r>
          </w:p>
        </w:tc>
        <w:tc>
          <w:tcPr>
            <w:tcW w:w="1031"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0.288</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石油类</w:t>
            </w:r>
          </w:p>
        </w:tc>
        <w:tc>
          <w:tcPr>
            <w:tcW w:w="1363"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5</w:t>
            </w:r>
          </w:p>
        </w:tc>
        <w:tc>
          <w:tcPr>
            <w:tcW w:w="1031"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0.007</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全盐量</w:t>
            </w:r>
          </w:p>
        </w:tc>
        <w:tc>
          <w:tcPr>
            <w:tcW w:w="1363"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1000</w:t>
            </w:r>
          </w:p>
        </w:tc>
        <w:tc>
          <w:tcPr>
            <w:tcW w:w="1031"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1.44</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109"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化验室排水</w:t>
            </w:r>
          </w:p>
        </w:tc>
        <w:tc>
          <w:tcPr>
            <w:tcW w:w="405"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W2</w:t>
            </w:r>
          </w:p>
        </w:tc>
        <w:tc>
          <w:tcPr>
            <w:tcW w:w="540"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120</w:t>
            </w: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PH</w:t>
            </w:r>
          </w:p>
        </w:tc>
        <w:tc>
          <w:tcPr>
            <w:tcW w:w="1363"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6</w:t>
            </w:r>
            <w:r>
              <w:rPr>
                <w:rFonts w:hint="eastAsia"/>
                <w:color w:val="auto"/>
                <w:sz w:val="21"/>
                <w:szCs w:val="21"/>
                <w:lang w:val="en-US" w:eastAsia="zh-CN"/>
              </w:rPr>
              <w:t>～</w:t>
            </w:r>
            <w:r>
              <w:rPr>
                <w:rFonts w:hint="default"/>
                <w:color w:val="auto"/>
                <w:sz w:val="21"/>
                <w:szCs w:val="21"/>
                <w:lang w:val="en-US" w:eastAsia="zh-CN"/>
              </w:rPr>
              <w:t>7</w:t>
            </w:r>
          </w:p>
        </w:tc>
        <w:tc>
          <w:tcPr>
            <w:tcW w:w="1031"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w:t>
            </w:r>
          </w:p>
        </w:tc>
        <w:tc>
          <w:tcPr>
            <w:tcW w:w="1110"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进入</w:t>
            </w:r>
            <w:r>
              <w:rPr>
                <w:rFonts w:hint="eastAsia"/>
                <w:color w:val="auto"/>
                <w:sz w:val="21"/>
                <w:szCs w:val="21"/>
              </w:rPr>
              <w:t>厂区</w:t>
            </w:r>
            <w:r>
              <w:rPr>
                <w:color w:val="auto"/>
                <w:sz w:val="21"/>
                <w:szCs w:val="21"/>
              </w:rPr>
              <w:t>污水处理系统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COD</w:t>
            </w:r>
          </w:p>
        </w:tc>
        <w:tc>
          <w:tcPr>
            <w:tcW w:w="1363"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150</w:t>
            </w:r>
          </w:p>
        </w:tc>
        <w:tc>
          <w:tcPr>
            <w:tcW w:w="1031"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0.018</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bCs/>
                <w:color w:val="auto"/>
                <w:sz w:val="21"/>
                <w:szCs w:val="21"/>
              </w:rPr>
              <w:t>NH</w:t>
            </w:r>
            <w:r>
              <w:rPr>
                <w:bCs/>
                <w:color w:val="auto"/>
                <w:sz w:val="21"/>
                <w:szCs w:val="21"/>
                <w:vertAlign w:val="subscript"/>
              </w:rPr>
              <w:t>3</w:t>
            </w:r>
            <w:r>
              <w:rPr>
                <w:bCs/>
                <w:color w:val="auto"/>
                <w:sz w:val="21"/>
                <w:szCs w:val="21"/>
              </w:rPr>
              <w:t>-N</w:t>
            </w:r>
          </w:p>
        </w:tc>
        <w:tc>
          <w:tcPr>
            <w:tcW w:w="1363"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5</w:t>
            </w:r>
          </w:p>
        </w:tc>
        <w:tc>
          <w:tcPr>
            <w:tcW w:w="1031"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0.0006</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kern w:val="0"/>
                <w:sz w:val="21"/>
                <w:szCs w:val="21"/>
              </w:rPr>
              <w:t>BOD</w:t>
            </w:r>
            <w:r>
              <w:rPr>
                <w:color w:val="auto"/>
                <w:kern w:val="0"/>
                <w:sz w:val="21"/>
                <w:szCs w:val="21"/>
                <w:vertAlign w:val="subscript"/>
              </w:rPr>
              <w:t>5</w:t>
            </w:r>
          </w:p>
        </w:tc>
        <w:tc>
          <w:tcPr>
            <w:tcW w:w="1363"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50</w:t>
            </w:r>
          </w:p>
        </w:tc>
        <w:tc>
          <w:tcPr>
            <w:tcW w:w="1031"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0.006</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SS</w:t>
            </w:r>
          </w:p>
        </w:tc>
        <w:tc>
          <w:tcPr>
            <w:tcW w:w="1363"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200</w:t>
            </w:r>
          </w:p>
        </w:tc>
        <w:tc>
          <w:tcPr>
            <w:tcW w:w="1031"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0.024</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喷淋塔排水</w:t>
            </w:r>
          </w:p>
        </w:tc>
        <w:tc>
          <w:tcPr>
            <w:tcW w:w="405"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W3</w:t>
            </w:r>
          </w:p>
        </w:tc>
        <w:tc>
          <w:tcPr>
            <w:tcW w:w="540"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54</w:t>
            </w:r>
          </w:p>
        </w:tc>
        <w:tc>
          <w:tcPr>
            <w:tcW w:w="543" w:type="pct"/>
            <w:vAlign w:val="center"/>
          </w:tcPr>
          <w:p>
            <w:pPr>
              <w:spacing w:line="312" w:lineRule="exact"/>
              <w:ind w:firstLine="0" w:firstLineChars="0"/>
              <w:jc w:val="center"/>
              <w:rPr>
                <w:color w:val="auto"/>
                <w:sz w:val="21"/>
                <w:szCs w:val="21"/>
              </w:rPr>
            </w:pPr>
            <w:r>
              <w:rPr>
                <w:bCs/>
                <w:color w:val="auto"/>
                <w:sz w:val="21"/>
                <w:szCs w:val="21"/>
              </w:rPr>
              <w:t>pH</w:t>
            </w:r>
          </w:p>
        </w:tc>
        <w:tc>
          <w:tcPr>
            <w:tcW w:w="1363"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7~8</w:t>
            </w:r>
          </w:p>
        </w:tc>
        <w:tc>
          <w:tcPr>
            <w:tcW w:w="1031"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w:t>
            </w:r>
          </w:p>
        </w:tc>
        <w:tc>
          <w:tcPr>
            <w:tcW w:w="1110"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进入</w:t>
            </w:r>
            <w:r>
              <w:rPr>
                <w:rFonts w:hint="eastAsia"/>
                <w:color w:val="auto"/>
                <w:sz w:val="21"/>
                <w:szCs w:val="21"/>
              </w:rPr>
              <w:t>厂区</w:t>
            </w:r>
            <w:r>
              <w:rPr>
                <w:color w:val="auto"/>
                <w:sz w:val="21"/>
                <w:szCs w:val="21"/>
              </w:rPr>
              <w:t>污水处理系统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spacing w:line="312" w:lineRule="exact"/>
              <w:ind w:firstLine="0" w:firstLineChars="0"/>
              <w:jc w:val="center"/>
              <w:rPr>
                <w:color w:val="auto"/>
                <w:sz w:val="21"/>
                <w:szCs w:val="21"/>
              </w:rPr>
            </w:pPr>
            <w:r>
              <w:rPr>
                <w:bCs/>
                <w:color w:val="auto"/>
                <w:sz w:val="21"/>
                <w:szCs w:val="21"/>
              </w:rPr>
              <w:t>COD</w:t>
            </w:r>
          </w:p>
        </w:tc>
        <w:tc>
          <w:tcPr>
            <w:tcW w:w="1363"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2000</w:t>
            </w:r>
          </w:p>
        </w:tc>
        <w:tc>
          <w:tcPr>
            <w:tcW w:w="1031"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0.12</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spacing w:line="312" w:lineRule="exact"/>
              <w:ind w:firstLine="0" w:firstLineChars="0"/>
              <w:jc w:val="center"/>
              <w:rPr>
                <w:bCs/>
                <w:color w:val="auto"/>
                <w:sz w:val="21"/>
                <w:szCs w:val="21"/>
              </w:rPr>
            </w:pPr>
            <w:r>
              <w:rPr>
                <w:color w:val="auto"/>
                <w:kern w:val="0"/>
                <w:sz w:val="21"/>
                <w:szCs w:val="21"/>
              </w:rPr>
              <w:t>BOD</w:t>
            </w:r>
            <w:r>
              <w:rPr>
                <w:color w:val="auto"/>
                <w:kern w:val="0"/>
                <w:sz w:val="21"/>
                <w:szCs w:val="21"/>
                <w:vertAlign w:val="subscript"/>
              </w:rPr>
              <w:t>5</w:t>
            </w:r>
          </w:p>
        </w:tc>
        <w:tc>
          <w:tcPr>
            <w:tcW w:w="1363"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 xml:space="preserve"> </w:t>
            </w:r>
            <w:r>
              <w:rPr>
                <w:rFonts w:hint="default"/>
                <w:color w:val="auto"/>
                <w:sz w:val="21"/>
                <w:szCs w:val="21"/>
                <w:lang w:val="en-US" w:eastAsia="zh-CN"/>
              </w:rPr>
              <w:t>300</w:t>
            </w:r>
          </w:p>
        </w:tc>
        <w:tc>
          <w:tcPr>
            <w:tcW w:w="1031"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0.02</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spacing w:line="312" w:lineRule="exact"/>
              <w:ind w:firstLine="0" w:firstLineChars="0"/>
              <w:jc w:val="center"/>
              <w:rPr>
                <w:color w:val="auto"/>
                <w:sz w:val="21"/>
                <w:szCs w:val="21"/>
              </w:rPr>
            </w:pPr>
            <w:r>
              <w:rPr>
                <w:bCs/>
                <w:color w:val="auto"/>
                <w:sz w:val="21"/>
                <w:szCs w:val="21"/>
              </w:rPr>
              <w:t>NH</w:t>
            </w:r>
            <w:r>
              <w:rPr>
                <w:bCs/>
                <w:color w:val="auto"/>
                <w:sz w:val="21"/>
                <w:szCs w:val="21"/>
                <w:vertAlign w:val="subscript"/>
              </w:rPr>
              <w:t>3</w:t>
            </w:r>
            <w:r>
              <w:rPr>
                <w:bCs/>
                <w:color w:val="auto"/>
                <w:sz w:val="21"/>
                <w:szCs w:val="21"/>
              </w:rPr>
              <w:t>-N</w:t>
            </w:r>
          </w:p>
        </w:tc>
        <w:tc>
          <w:tcPr>
            <w:tcW w:w="1363"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5</w:t>
            </w:r>
          </w:p>
        </w:tc>
        <w:tc>
          <w:tcPr>
            <w:tcW w:w="1031"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0.0003</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地面清洗废水</w:t>
            </w:r>
          </w:p>
        </w:tc>
        <w:tc>
          <w:tcPr>
            <w:tcW w:w="405"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W4</w:t>
            </w:r>
          </w:p>
        </w:tc>
        <w:tc>
          <w:tcPr>
            <w:tcW w:w="540"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139.57</w:t>
            </w: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COD</w:t>
            </w:r>
          </w:p>
        </w:tc>
        <w:tc>
          <w:tcPr>
            <w:tcW w:w="1363"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200</w:t>
            </w:r>
          </w:p>
        </w:tc>
        <w:tc>
          <w:tcPr>
            <w:tcW w:w="1031"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0.055</w:t>
            </w:r>
          </w:p>
        </w:tc>
        <w:tc>
          <w:tcPr>
            <w:tcW w:w="1110"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进入</w:t>
            </w:r>
            <w:r>
              <w:rPr>
                <w:rFonts w:hint="eastAsia"/>
                <w:color w:val="auto"/>
                <w:sz w:val="21"/>
                <w:szCs w:val="21"/>
              </w:rPr>
              <w:t>厂区</w:t>
            </w:r>
            <w:r>
              <w:rPr>
                <w:color w:val="auto"/>
                <w:sz w:val="21"/>
                <w:szCs w:val="21"/>
              </w:rPr>
              <w:t>污水处理系统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bCs/>
                <w:color w:val="auto"/>
                <w:sz w:val="21"/>
                <w:szCs w:val="21"/>
              </w:rPr>
              <w:t>NH</w:t>
            </w:r>
            <w:r>
              <w:rPr>
                <w:bCs/>
                <w:color w:val="auto"/>
                <w:sz w:val="21"/>
                <w:szCs w:val="21"/>
                <w:vertAlign w:val="subscript"/>
              </w:rPr>
              <w:t>3</w:t>
            </w:r>
            <w:r>
              <w:rPr>
                <w:bCs/>
                <w:color w:val="auto"/>
                <w:sz w:val="21"/>
                <w:szCs w:val="21"/>
              </w:rPr>
              <w:t>-N</w:t>
            </w:r>
          </w:p>
        </w:tc>
        <w:tc>
          <w:tcPr>
            <w:tcW w:w="1363"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5</w:t>
            </w:r>
          </w:p>
        </w:tc>
        <w:tc>
          <w:tcPr>
            <w:tcW w:w="1031"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0.0005</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SS</w:t>
            </w:r>
          </w:p>
        </w:tc>
        <w:tc>
          <w:tcPr>
            <w:tcW w:w="1363"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400</w:t>
            </w:r>
          </w:p>
        </w:tc>
        <w:tc>
          <w:tcPr>
            <w:tcW w:w="1031"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0.109</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kern w:val="0"/>
                <w:sz w:val="21"/>
                <w:szCs w:val="21"/>
              </w:rPr>
              <w:t>BOD</w:t>
            </w:r>
            <w:r>
              <w:rPr>
                <w:color w:val="auto"/>
                <w:kern w:val="0"/>
                <w:sz w:val="21"/>
                <w:szCs w:val="21"/>
                <w:vertAlign w:val="subscript"/>
              </w:rPr>
              <w:t>5</w:t>
            </w:r>
          </w:p>
        </w:tc>
        <w:tc>
          <w:tcPr>
            <w:tcW w:w="1363"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80</w:t>
            </w:r>
          </w:p>
        </w:tc>
        <w:tc>
          <w:tcPr>
            <w:tcW w:w="1031"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0.022</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trPr>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石油类</w:t>
            </w:r>
          </w:p>
        </w:tc>
        <w:tc>
          <w:tcPr>
            <w:tcW w:w="1363"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5</w:t>
            </w:r>
          </w:p>
        </w:tc>
        <w:tc>
          <w:tcPr>
            <w:tcW w:w="1031"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0.001</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生产废水</w:t>
            </w:r>
          </w:p>
        </w:tc>
        <w:tc>
          <w:tcPr>
            <w:tcW w:w="405"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W6</w:t>
            </w:r>
          </w:p>
        </w:tc>
        <w:tc>
          <w:tcPr>
            <w:tcW w:w="540" w:type="pct"/>
            <w:vMerge w:val="restart"/>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1272.948</w:t>
            </w:r>
          </w:p>
        </w:tc>
        <w:tc>
          <w:tcPr>
            <w:tcW w:w="543" w:type="pct"/>
            <w:vAlign w:val="center"/>
          </w:tcPr>
          <w:p>
            <w:pPr>
              <w:adjustRightInd w:val="0"/>
              <w:snapToGrid w:val="0"/>
              <w:spacing w:line="240" w:lineRule="auto"/>
              <w:ind w:firstLine="0" w:firstLineChars="0"/>
              <w:jc w:val="center"/>
              <w:rPr>
                <w:color w:val="auto"/>
                <w:sz w:val="21"/>
                <w:szCs w:val="21"/>
              </w:rPr>
            </w:pPr>
            <w:r>
              <w:rPr>
                <w:color w:val="auto"/>
                <w:sz w:val="21"/>
                <w:szCs w:val="21"/>
              </w:rPr>
              <w:t>pH</w:t>
            </w:r>
          </w:p>
        </w:tc>
        <w:tc>
          <w:tcPr>
            <w:tcW w:w="1363"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5~6</w:t>
            </w:r>
          </w:p>
        </w:tc>
        <w:tc>
          <w:tcPr>
            <w:tcW w:w="1031"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w:t>
            </w:r>
          </w:p>
        </w:tc>
        <w:tc>
          <w:tcPr>
            <w:tcW w:w="1110"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进入</w:t>
            </w:r>
            <w:r>
              <w:rPr>
                <w:rFonts w:hint="eastAsia"/>
                <w:color w:val="auto"/>
                <w:sz w:val="21"/>
                <w:szCs w:val="21"/>
              </w:rPr>
              <w:t>厂区</w:t>
            </w:r>
            <w:r>
              <w:rPr>
                <w:color w:val="auto"/>
                <w:sz w:val="21"/>
                <w:szCs w:val="21"/>
              </w:rPr>
              <w:t>污水处理系统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rFonts w:hint="default" w:eastAsia="宋体"/>
                <w:color w:val="auto"/>
                <w:sz w:val="21"/>
                <w:szCs w:val="21"/>
                <w:lang w:val="en-US" w:eastAsia="zh-CN"/>
              </w:rPr>
            </w:pPr>
          </w:p>
        </w:tc>
        <w:tc>
          <w:tcPr>
            <w:tcW w:w="543" w:type="pct"/>
            <w:vAlign w:val="center"/>
          </w:tcPr>
          <w:p>
            <w:pPr>
              <w:adjustRightInd w:val="0"/>
              <w:snapToGrid w:val="0"/>
              <w:spacing w:line="240" w:lineRule="auto"/>
              <w:ind w:firstLine="0" w:firstLineChars="0"/>
              <w:jc w:val="center"/>
              <w:rPr>
                <w:color w:val="auto"/>
                <w:sz w:val="21"/>
                <w:szCs w:val="21"/>
              </w:rPr>
            </w:pPr>
            <w:r>
              <w:rPr>
                <w:color w:val="auto"/>
                <w:sz w:val="21"/>
                <w:szCs w:val="21"/>
              </w:rPr>
              <w:t>COD</w:t>
            </w:r>
          </w:p>
        </w:tc>
        <w:tc>
          <w:tcPr>
            <w:tcW w:w="1363"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12000</w:t>
            </w:r>
          </w:p>
        </w:tc>
        <w:tc>
          <w:tcPr>
            <w:tcW w:w="1031"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15.276</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rFonts w:hint="eastAsia"/>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rFonts w:hint="eastAsia"/>
                <w:color w:val="auto"/>
                <w:sz w:val="21"/>
                <w:szCs w:val="21"/>
                <w:lang w:val="en-US" w:eastAsia="zh-CN"/>
              </w:rPr>
            </w:pPr>
          </w:p>
        </w:tc>
        <w:tc>
          <w:tcPr>
            <w:tcW w:w="543" w:type="pct"/>
            <w:vAlign w:val="center"/>
          </w:tcPr>
          <w:p>
            <w:pPr>
              <w:adjustRightInd w:val="0"/>
              <w:snapToGrid w:val="0"/>
              <w:spacing w:line="240" w:lineRule="auto"/>
              <w:ind w:firstLine="0" w:firstLineChars="0"/>
              <w:jc w:val="center"/>
              <w:rPr>
                <w:color w:val="auto"/>
                <w:sz w:val="21"/>
                <w:szCs w:val="21"/>
              </w:rPr>
            </w:pPr>
            <w:r>
              <w:rPr>
                <w:bCs/>
                <w:color w:val="auto"/>
                <w:sz w:val="21"/>
                <w:szCs w:val="21"/>
              </w:rPr>
              <w:t>NH</w:t>
            </w:r>
            <w:r>
              <w:rPr>
                <w:bCs/>
                <w:color w:val="auto"/>
                <w:sz w:val="21"/>
                <w:szCs w:val="21"/>
                <w:vertAlign w:val="subscript"/>
              </w:rPr>
              <w:t>3</w:t>
            </w:r>
            <w:r>
              <w:rPr>
                <w:bCs/>
                <w:color w:val="auto"/>
                <w:sz w:val="21"/>
                <w:szCs w:val="21"/>
              </w:rPr>
              <w:t>-N</w:t>
            </w:r>
          </w:p>
        </w:tc>
        <w:tc>
          <w:tcPr>
            <w:tcW w:w="1363"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20</w:t>
            </w:r>
          </w:p>
        </w:tc>
        <w:tc>
          <w:tcPr>
            <w:tcW w:w="1031"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0.025</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rFonts w:hint="eastAsia"/>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rFonts w:hint="eastAsia"/>
                <w:color w:val="auto"/>
                <w:sz w:val="21"/>
                <w:szCs w:val="21"/>
                <w:lang w:val="en-US" w:eastAsia="zh-CN"/>
              </w:rPr>
            </w:pPr>
          </w:p>
        </w:tc>
        <w:tc>
          <w:tcPr>
            <w:tcW w:w="543" w:type="pct"/>
            <w:vAlign w:val="center"/>
          </w:tcPr>
          <w:p>
            <w:pPr>
              <w:adjustRightInd w:val="0"/>
              <w:snapToGrid w:val="0"/>
              <w:spacing w:line="240" w:lineRule="auto"/>
              <w:ind w:firstLine="0" w:firstLineChars="0"/>
              <w:jc w:val="center"/>
              <w:rPr>
                <w:bCs/>
                <w:color w:val="auto"/>
                <w:sz w:val="21"/>
                <w:szCs w:val="21"/>
              </w:rPr>
            </w:pPr>
            <w:r>
              <w:rPr>
                <w:color w:val="auto"/>
                <w:kern w:val="0"/>
                <w:sz w:val="21"/>
                <w:szCs w:val="21"/>
              </w:rPr>
              <w:t>BOD</w:t>
            </w:r>
            <w:r>
              <w:rPr>
                <w:color w:val="auto"/>
                <w:kern w:val="0"/>
                <w:sz w:val="21"/>
                <w:szCs w:val="21"/>
                <w:vertAlign w:val="subscript"/>
              </w:rPr>
              <w:t>5</w:t>
            </w:r>
          </w:p>
        </w:tc>
        <w:tc>
          <w:tcPr>
            <w:tcW w:w="1363"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3600</w:t>
            </w:r>
          </w:p>
        </w:tc>
        <w:tc>
          <w:tcPr>
            <w:tcW w:w="1031"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4.58</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进入</w:t>
            </w:r>
            <w:r>
              <w:rPr>
                <w:rFonts w:hint="eastAsia"/>
                <w:color w:val="auto"/>
                <w:sz w:val="21"/>
                <w:szCs w:val="21"/>
                <w:lang w:val="en-US" w:eastAsia="zh-CN"/>
              </w:rPr>
              <w:t>厂区</w:t>
            </w:r>
            <w:r>
              <w:rPr>
                <w:rFonts w:hint="eastAsia"/>
                <w:color w:val="auto"/>
                <w:sz w:val="21"/>
                <w:szCs w:val="21"/>
              </w:rPr>
              <w:t>污水处理</w:t>
            </w:r>
            <w:r>
              <w:rPr>
                <w:rFonts w:hint="eastAsia"/>
                <w:color w:val="auto"/>
                <w:sz w:val="21"/>
                <w:szCs w:val="21"/>
                <w:lang w:val="en-US" w:eastAsia="zh-CN"/>
              </w:rPr>
              <w:t>站</w:t>
            </w:r>
            <w:r>
              <w:rPr>
                <w:color w:val="auto"/>
                <w:sz w:val="21"/>
                <w:szCs w:val="21"/>
              </w:rPr>
              <w:t>综合废水</w:t>
            </w:r>
          </w:p>
        </w:tc>
        <w:tc>
          <w:tcPr>
            <w:tcW w:w="405"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w:t>
            </w:r>
          </w:p>
        </w:tc>
        <w:tc>
          <w:tcPr>
            <w:tcW w:w="540" w:type="pct"/>
            <w:vMerge w:val="restart"/>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3026.518</w:t>
            </w:r>
          </w:p>
        </w:tc>
        <w:tc>
          <w:tcPr>
            <w:tcW w:w="543" w:type="pct"/>
            <w:vAlign w:val="center"/>
          </w:tcPr>
          <w:p>
            <w:pPr>
              <w:adjustRightInd w:val="0"/>
              <w:snapToGrid w:val="0"/>
              <w:spacing w:line="240" w:lineRule="auto"/>
              <w:ind w:firstLine="0" w:firstLineChars="0"/>
              <w:jc w:val="center"/>
              <w:rPr>
                <w:color w:val="auto"/>
                <w:sz w:val="21"/>
                <w:szCs w:val="21"/>
              </w:rPr>
            </w:pPr>
            <w:r>
              <w:rPr>
                <w:color w:val="auto"/>
                <w:sz w:val="21"/>
                <w:szCs w:val="21"/>
              </w:rPr>
              <w:t>pH</w:t>
            </w:r>
          </w:p>
        </w:tc>
        <w:tc>
          <w:tcPr>
            <w:tcW w:w="1363" w:type="dxa"/>
            <w:vAlign w:val="center"/>
          </w:tcPr>
          <w:p>
            <w:pPr>
              <w:adjustRightInd w:val="0"/>
              <w:snapToGrid w:val="0"/>
              <w:spacing w:line="240" w:lineRule="auto"/>
              <w:ind w:firstLine="0" w:firstLineChars="0"/>
              <w:jc w:val="center"/>
              <w:rPr>
                <w:rFonts w:hint="eastAsia"/>
                <w:color w:val="auto"/>
                <w:sz w:val="21"/>
                <w:szCs w:val="21"/>
              </w:rPr>
            </w:pPr>
            <w:r>
              <w:rPr>
                <w:rFonts w:hint="default"/>
                <w:color w:val="auto"/>
                <w:sz w:val="21"/>
                <w:szCs w:val="21"/>
                <w:lang w:val="en-US" w:eastAsia="zh-CN"/>
              </w:rPr>
              <w:t>6</w:t>
            </w:r>
            <w:r>
              <w:rPr>
                <w:rFonts w:hint="eastAsia"/>
                <w:color w:val="auto"/>
                <w:sz w:val="21"/>
                <w:szCs w:val="21"/>
                <w:lang w:val="en-US" w:eastAsia="zh-CN"/>
              </w:rPr>
              <w:t>～</w:t>
            </w:r>
            <w:r>
              <w:rPr>
                <w:rFonts w:hint="default"/>
                <w:color w:val="auto"/>
                <w:sz w:val="21"/>
                <w:szCs w:val="21"/>
                <w:lang w:val="en-US" w:eastAsia="zh-CN"/>
              </w:rPr>
              <w:t>7</w:t>
            </w:r>
          </w:p>
        </w:tc>
        <w:tc>
          <w:tcPr>
            <w:tcW w:w="1031"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w:t>
            </w:r>
          </w:p>
        </w:tc>
        <w:tc>
          <w:tcPr>
            <w:tcW w:w="1110"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进入</w:t>
            </w:r>
            <w:r>
              <w:rPr>
                <w:rFonts w:hint="eastAsia"/>
                <w:color w:val="auto"/>
                <w:sz w:val="21"/>
                <w:szCs w:val="21"/>
              </w:rPr>
              <w:t>厂区</w:t>
            </w:r>
            <w:r>
              <w:rPr>
                <w:color w:val="auto"/>
                <w:sz w:val="21"/>
                <w:szCs w:val="21"/>
              </w:rPr>
              <w:t>污水处理系统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adjustRightInd w:val="0"/>
              <w:snapToGrid w:val="0"/>
              <w:spacing w:line="240" w:lineRule="auto"/>
              <w:ind w:firstLine="0" w:firstLineChars="0"/>
              <w:jc w:val="center"/>
              <w:rPr>
                <w:color w:val="auto"/>
                <w:sz w:val="21"/>
                <w:szCs w:val="21"/>
              </w:rPr>
            </w:pPr>
            <w:r>
              <w:rPr>
                <w:color w:val="auto"/>
                <w:kern w:val="0"/>
                <w:sz w:val="21"/>
                <w:szCs w:val="21"/>
              </w:rPr>
              <w:t>COD</w:t>
            </w:r>
          </w:p>
        </w:tc>
        <w:tc>
          <w:tcPr>
            <w:tcW w:w="1363"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5182.52</w:t>
            </w:r>
          </w:p>
        </w:tc>
        <w:tc>
          <w:tcPr>
            <w:tcW w:w="1031" w:type="dxa"/>
            <w:vAlign w:val="center"/>
          </w:tcPr>
          <w:p>
            <w:pPr>
              <w:adjustRightInd w:val="0"/>
              <w:snapToGrid w:val="0"/>
              <w:spacing w:line="240" w:lineRule="auto"/>
              <w:ind w:firstLine="0" w:firstLineChars="0"/>
              <w:jc w:val="center"/>
              <w:rPr>
                <w:rFonts w:hint="eastAsia"/>
                <w:color w:val="auto"/>
                <w:sz w:val="21"/>
                <w:szCs w:val="21"/>
              </w:rPr>
            </w:pPr>
            <w:r>
              <w:rPr>
                <w:rFonts w:hint="default"/>
                <w:color w:val="auto"/>
                <w:sz w:val="21"/>
                <w:szCs w:val="21"/>
                <w:lang w:val="en-US" w:eastAsia="zh-CN"/>
              </w:rPr>
              <w:t>15.685</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adjustRightInd w:val="0"/>
              <w:snapToGrid w:val="0"/>
              <w:spacing w:line="240" w:lineRule="auto"/>
              <w:ind w:firstLine="0" w:firstLineChars="0"/>
              <w:jc w:val="center"/>
              <w:rPr>
                <w:color w:val="auto"/>
                <w:kern w:val="0"/>
                <w:sz w:val="21"/>
                <w:szCs w:val="21"/>
              </w:rPr>
            </w:pPr>
            <w:r>
              <w:rPr>
                <w:bCs/>
                <w:color w:val="auto"/>
                <w:sz w:val="21"/>
                <w:szCs w:val="21"/>
              </w:rPr>
              <w:t>NH</w:t>
            </w:r>
            <w:r>
              <w:rPr>
                <w:bCs/>
                <w:color w:val="auto"/>
                <w:sz w:val="21"/>
                <w:szCs w:val="21"/>
                <w:vertAlign w:val="subscript"/>
              </w:rPr>
              <w:t>3</w:t>
            </w:r>
            <w:r>
              <w:rPr>
                <w:bCs/>
                <w:color w:val="auto"/>
                <w:sz w:val="21"/>
                <w:szCs w:val="21"/>
              </w:rPr>
              <w:t>-N</w:t>
            </w:r>
          </w:p>
        </w:tc>
        <w:tc>
          <w:tcPr>
            <w:tcW w:w="1363"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11.23</w:t>
            </w:r>
          </w:p>
        </w:tc>
        <w:tc>
          <w:tcPr>
            <w:tcW w:w="1031"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0.034</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adjustRightInd w:val="0"/>
              <w:snapToGrid w:val="0"/>
              <w:spacing w:line="240" w:lineRule="auto"/>
              <w:ind w:firstLine="0" w:firstLineChars="0"/>
              <w:jc w:val="center"/>
              <w:rPr>
                <w:color w:val="auto"/>
                <w:sz w:val="21"/>
                <w:szCs w:val="21"/>
              </w:rPr>
            </w:pPr>
            <w:r>
              <w:rPr>
                <w:color w:val="auto"/>
                <w:kern w:val="0"/>
                <w:sz w:val="21"/>
                <w:szCs w:val="21"/>
              </w:rPr>
              <w:t>BOD</w:t>
            </w:r>
            <w:r>
              <w:rPr>
                <w:color w:val="auto"/>
                <w:kern w:val="0"/>
                <w:sz w:val="21"/>
                <w:szCs w:val="21"/>
                <w:vertAlign w:val="subscript"/>
              </w:rPr>
              <w:t>5</w:t>
            </w:r>
          </w:p>
        </w:tc>
        <w:tc>
          <w:tcPr>
            <w:tcW w:w="1363"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1550.63</w:t>
            </w:r>
          </w:p>
        </w:tc>
        <w:tc>
          <w:tcPr>
            <w:tcW w:w="1031"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4.693</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adjustRightInd w:val="0"/>
              <w:snapToGrid w:val="0"/>
              <w:spacing w:line="240" w:lineRule="auto"/>
              <w:ind w:firstLine="0" w:firstLineChars="0"/>
              <w:jc w:val="center"/>
              <w:rPr>
                <w:color w:val="auto"/>
                <w:sz w:val="21"/>
                <w:szCs w:val="21"/>
              </w:rPr>
            </w:pPr>
            <w:r>
              <w:rPr>
                <w:color w:val="auto"/>
                <w:kern w:val="0"/>
                <w:sz w:val="21"/>
                <w:szCs w:val="21"/>
              </w:rPr>
              <w:t>SS</w:t>
            </w:r>
          </w:p>
        </w:tc>
        <w:tc>
          <w:tcPr>
            <w:tcW w:w="1363"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232.94</w:t>
            </w:r>
          </w:p>
        </w:tc>
        <w:tc>
          <w:tcPr>
            <w:tcW w:w="1031" w:type="dxa"/>
            <w:vAlign w:val="center"/>
          </w:tcPr>
          <w:p>
            <w:pPr>
              <w:adjustRightInd w:val="0"/>
              <w:snapToGrid w:val="0"/>
              <w:spacing w:line="240" w:lineRule="auto"/>
              <w:ind w:firstLine="0" w:firstLineChars="0"/>
              <w:jc w:val="center"/>
              <w:rPr>
                <w:rFonts w:hint="eastAsia"/>
                <w:color w:val="auto"/>
                <w:sz w:val="21"/>
                <w:szCs w:val="21"/>
              </w:rPr>
            </w:pPr>
            <w:r>
              <w:rPr>
                <w:rFonts w:hint="default"/>
                <w:color w:val="auto"/>
                <w:sz w:val="21"/>
                <w:szCs w:val="21"/>
                <w:lang w:val="en-US" w:eastAsia="zh-CN"/>
              </w:rPr>
              <w:t>0.705</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adjustRightInd w:val="0"/>
              <w:snapToGrid w:val="0"/>
              <w:spacing w:line="240" w:lineRule="auto"/>
              <w:ind w:firstLine="0" w:firstLineChars="0"/>
              <w:jc w:val="center"/>
              <w:rPr>
                <w:color w:val="auto"/>
                <w:sz w:val="21"/>
                <w:szCs w:val="21"/>
              </w:rPr>
            </w:pPr>
            <w:r>
              <w:rPr>
                <w:color w:val="auto"/>
                <w:sz w:val="21"/>
                <w:szCs w:val="21"/>
              </w:rPr>
              <w:t>石油类</w:t>
            </w:r>
          </w:p>
        </w:tc>
        <w:tc>
          <w:tcPr>
            <w:tcW w:w="1363"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4.96</w:t>
            </w:r>
          </w:p>
        </w:tc>
        <w:tc>
          <w:tcPr>
            <w:tcW w:w="1031" w:type="dxa"/>
            <w:vAlign w:val="center"/>
          </w:tcPr>
          <w:p>
            <w:pPr>
              <w:adjustRightInd w:val="0"/>
              <w:snapToGrid w:val="0"/>
              <w:spacing w:line="240" w:lineRule="auto"/>
              <w:ind w:firstLine="0" w:firstLineChars="0"/>
              <w:jc w:val="center"/>
              <w:rPr>
                <w:rFonts w:hint="eastAsia"/>
                <w:color w:val="auto"/>
                <w:sz w:val="21"/>
                <w:szCs w:val="21"/>
              </w:rPr>
            </w:pPr>
            <w:r>
              <w:rPr>
                <w:rFonts w:hint="default"/>
                <w:color w:val="auto"/>
                <w:sz w:val="21"/>
                <w:szCs w:val="21"/>
                <w:lang w:val="en-US" w:eastAsia="zh-CN"/>
              </w:rPr>
              <w:t>0.015</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全盐量</w:t>
            </w:r>
          </w:p>
        </w:tc>
        <w:tc>
          <w:tcPr>
            <w:tcW w:w="1363"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951.59</w:t>
            </w:r>
          </w:p>
        </w:tc>
        <w:tc>
          <w:tcPr>
            <w:tcW w:w="1031" w:type="dxa"/>
            <w:vAlign w:val="center"/>
          </w:tcPr>
          <w:p>
            <w:pPr>
              <w:adjustRightInd w:val="0"/>
              <w:snapToGrid w:val="0"/>
              <w:spacing w:line="240" w:lineRule="auto"/>
              <w:ind w:firstLine="0" w:firstLineChars="0"/>
              <w:jc w:val="center"/>
              <w:rPr>
                <w:rFonts w:hint="eastAsia"/>
                <w:color w:val="auto"/>
                <w:sz w:val="21"/>
                <w:szCs w:val="21"/>
              </w:rPr>
            </w:pPr>
            <w:r>
              <w:rPr>
                <w:rFonts w:hint="default"/>
                <w:color w:val="auto"/>
                <w:sz w:val="21"/>
                <w:szCs w:val="21"/>
                <w:lang w:val="en-US" w:eastAsia="zh-CN"/>
              </w:rPr>
              <w:t>2.88</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生活污水</w:t>
            </w:r>
          </w:p>
        </w:tc>
        <w:tc>
          <w:tcPr>
            <w:tcW w:w="405"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W5</w:t>
            </w:r>
          </w:p>
        </w:tc>
        <w:tc>
          <w:tcPr>
            <w:tcW w:w="540" w:type="pct"/>
            <w:vMerge w:val="restart"/>
            <w:vAlign w:val="center"/>
          </w:tcPr>
          <w:p>
            <w:pPr>
              <w:adjustRightInd w:val="0"/>
              <w:snapToGrid w:val="0"/>
              <w:spacing w:line="240" w:lineRule="auto"/>
              <w:ind w:firstLine="0" w:firstLineChars="0"/>
              <w:jc w:val="center"/>
              <w:rPr>
                <w:color w:val="auto"/>
                <w:sz w:val="21"/>
                <w:szCs w:val="21"/>
              </w:rPr>
            </w:pPr>
            <w:r>
              <w:rPr>
                <w:color w:val="auto"/>
                <w:sz w:val="21"/>
                <w:szCs w:val="21"/>
              </w:rPr>
              <w:t>360</w:t>
            </w:r>
          </w:p>
        </w:tc>
        <w:tc>
          <w:tcPr>
            <w:tcW w:w="543" w:type="pct"/>
            <w:vAlign w:val="center"/>
          </w:tcPr>
          <w:p>
            <w:pPr>
              <w:adjustRightInd w:val="0"/>
              <w:snapToGrid w:val="0"/>
              <w:spacing w:line="240" w:lineRule="auto"/>
              <w:ind w:firstLine="0" w:firstLineChars="0"/>
              <w:jc w:val="center"/>
              <w:rPr>
                <w:color w:val="auto"/>
                <w:sz w:val="21"/>
                <w:szCs w:val="21"/>
              </w:rPr>
            </w:pPr>
            <w:r>
              <w:rPr>
                <w:color w:val="auto"/>
                <w:sz w:val="21"/>
                <w:szCs w:val="21"/>
              </w:rPr>
              <w:t>pH</w:t>
            </w:r>
          </w:p>
        </w:tc>
        <w:tc>
          <w:tcPr>
            <w:tcW w:w="734" w:type="pct"/>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7～8</w:t>
            </w:r>
          </w:p>
        </w:tc>
        <w:tc>
          <w:tcPr>
            <w:tcW w:w="555" w:type="pct"/>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w:t>
            </w:r>
          </w:p>
        </w:tc>
        <w:tc>
          <w:tcPr>
            <w:tcW w:w="1110"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排入市政管网后由光大水务（淄博）有限公司水质净化</w:t>
            </w:r>
            <w:r>
              <w:rPr>
                <w:rFonts w:hint="eastAsia"/>
                <w:color w:val="auto"/>
                <w:sz w:val="21"/>
                <w:szCs w:val="21"/>
                <w:lang w:eastAsia="zh-CN"/>
              </w:rPr>
              <w:t>三分厂</w:t>
            </w:r>
            <w:r>
              <w:rPr>
                <w:rFonts w:hint="eastAsia"/>
                <w:color w:val="auto"/>
                <w:sz w:val="21"/>
                <w:szCs w:val="21"/>
              </w:rPr>
              <w:t>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adjustRightInd w:val="0"/>
              <w:snapToGrid w:val="0"/>
              <w:spacing w:line="240" w:lineRule="auto"/>
              <w:ind w:firstLine="0" w:firstLineChars="0"/>
              <w:jc w:val="center"/>
              <w:rPr>
                <w:color w:val="auto"/>
                <w:sz w:val="21"/>
                <w:szCs w:val="21"/>
              </w:rPr>
            </w:pPr>
            <w:r>
              <w:rPr>
                <w:color w:val="auto"/>
                <w:kern w:val="0"/>
                <w:sz w:val="21"/>
                <w:szCs w:val="21"/>
              </w:rPr>
              <w:t>COD</w:t>
            </w:r>
          </w:p>
        </w:tc>
        <w:tc>
          <w:tcPr>
            <w:tcW w:w="734" w:type="pct"/>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400.00</w:t>
            </w:r>
          </w:p>
        </w:tc>
        <w:tc>
          <w:tcPr>
            <w:tcW w:w="555" w:type="pct"/>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0.144</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adjustRightInd w:val="0"/>
              <w:snapToGrid w:val="0"/>
              <w:spacing w:line="240" w:lineRule="auto"/>
              <w:ind w:firstLine="0" w:firstLineChars="0"/>
              <w:jc w:val="center"/>
              <w:rPr>
                <w:color w:val="auto"/>
                <w:sz w:val="21"/>
                <w:szCs w:val="21"/>
              </w:rPr>
            </w:pPr>
            <w:r>
              <w:rPr>
                <w:color w:val="auto"/>
                <w:kern w:val="0"/>
                <w:sz w:val="21"/>
                <w:szCs w:val="21"/>
              </w:rPr>
              <w:t>BOD</w:t>
            </w:r>
            <w:r>
              <w:rPr>
                <w:color w:val="auto"/>
                <w:kern w:val="0"/>
                <w:sz w:val="21"/>
                <w:szCs w:val="21"/>
                <w:vertAlign w:val="subscript"/>
              </w:rPr>
              <w:t>5</w:t>
            </w:r>
          </w:p>
        </w:tc>
        <w:tc>
          <w:tcPr>
            <w:tcW w:w="734" w:type="pct"/>
            <w:vAlign w:val="center"/>
          </w:tcPr>
          <w:p>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300.00</w:t>
            </w:r>
          </w:p>
        </w:tc>
        <w:tc>
          <w:tcPr>
            <w:tcW w:w="555" w:type="pct"/>
            <w:vAlign w:val="center"/>
          </w:tcPr>
          <w:p>
            <w:pPr>
              <w:adjustRightInd w:val="0"/>
              <w:snapToGrid w:val="0"/>
              <w:spacing w:line="240" w:lineRule="auto"/>
              <w:ind w:firstLine="0" w:firstLineChars="0"/>
              <w:jc w:val="center"/>
              <w:rPr>
                <w:rFonts w:hint="eastAsia" w:eastAsia="宋体"/>
                <w:color w:val="auto"/>
                <w:sz w:val="21"/>
                <w:szCs w:val="21"/>
                <w:lang w:eastAsia="zh-CN"/>
              </w:rPr>
            </w:pPr>
            <w:r>
              <w:rPr>
                <w:rFonts w:hint="eastAsia"/>
                <w:color w:val="auto"/>
                <w:sz w:val="21"/>
                <w:szCs w:val="21"/>
              </w:rPr>
              <w:t>0.</w:t>
            </w:r>
            <w:r>
              <w:rPr>
                <w:rFonts w:hint="eastAsia"/>
                <w:color w:val="auto"/>
                <w:sz w:val="21"/>
                <w:szCs w:val="21"/>
                <w:lang w:eastAsia="zh-CN"/>
              </w:rPr>
              <w:t>15</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adjustRightInd w:val="0"/>
              <w:snapToGrid w:val="0"/>
              <w:spacing w:line="240" w:lineRule="auto"/>
              <w:ind w:firstLine="0" w:firstLineChars="0"/>
              <w:jc w:val="center"/>
              <w:rPr>
                <w:color w:val="auto"/>
                <w:sz w:val="21"/>
                <w:szCs w:val="21"/>
              </w:rPr>
            </w:pPr>
            <w:r>
              <w:rPr>
                <w:color w:val="auto"/>
                <w:sz w:val="21"/>
                <w:szCs w:val="21"/>
              </w:rPr>
              <w:t>氨氮</w:t>
            </w:r>
          </w:p>
        </w:tc>
        <w:tc>
          <w:tcPr>
            <w:tcW w:w="734" w:type="pct"/>
            <w:vAlign w:val="center"/>
          </w:tcPr>
          <w:p>
            <w:pPr>
              <w:spacing w:line="240" w:lineRule="auto"/>
              <w:ind w:firstLine="0" w:firstLineChars="0"/>
              <w:jc w:val="center"/>
              <w:rPr>
                <w:color w:val="auto"/>
                <w:sz w:val="21"/>
                <w:szCs w:val="21"/>
              </w:rPr>
            </w:pPr>
            <w:r>
              <w:rPr>
                <w:color w:val="auto"/>
                <w:sz w:val="21"/>
                <w:szCs w:val="21"/>
              </w:rPr>
              <w:t>30.00</w:t>
            </w:r>
          </w:p>
        </w:tc>
        <w:tc>
          <w:tcPr>
            <w:tcW w:w="555" w:type="pct"/>
            <w:vAlign w:val="center"/>
          </w:tcPr>
          <w:p>
            <w:pPr>
              <w:spacing w:line="240" w:lineRule="auto"/>
              <w:ind w:firstLine="0" w:firstLineChars="0"/>
              <w:jc w:val="center"/>
              <w:rPr>
                <w:color w:val="auto"/>
                <w:sz w:val="21"/>
                <w:szCs w:val="21"/>
              </w:rPr>
            </w:pPr>
            <w:r>
              <w:rPr>
                <w:rFonts w:hint="eastAsia"/>
                <w:color w:val="auto"/>
                <w:sz w:val="21"/>
                <w:szCs w:val="21"/>
              </w:rPr>
              <w:t>0.011</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adjustRightInd w:val="0"/>
              <w:snapToGrid w:val="0"/>
              <w:spacing w:line="240" w:lineRule="auto"/>
              <w:ind w:firstLine="0" w:firstLineChars="0"/>
              <w:jc w:val="center"/>
              <w:rPr>
                <w:color w:val="auto"/>
                <w:sz w:val="21"/>
                <w:szCs w:val="21"/>
              </w:rPr>
            </w:pPr>
            <w:r>
              <w:rPr>
                <w:color w:val="auto"/>
                <w:sz w:val="21"/>
                <w:szCs w:val="21"/>
              </w:rPr>
              <w:t>总氮</w:t>
            </w:r>
          </w:p>
        </w:tc>
        <w:tc>
          <w:tcPr>
            <w:tcW w:w="734" w:type="pct"/>
            <w:vAlign w:val="center"/>
          </w:tcPr>
          <w:p>
            <w:pPr>
              <w:spacing w:line="240" w:lineRule="auto"/>
              <w:ind w:firstLine="0" w:firstLineChars="0"/>
              <w:jc w:val="center"/>
              <w:rPr>
                <w:color w:val="auto"/>
                <w:sz w:val="21"/>
                <w:szCs w:val="21"/>
              </w:rPr>
            </w:pPr>
            <w:r>
              <w:rPr>
                <w:color w:val="auto"/>
                <w:sz w:val="21"/>
                <w:szCs w:val="21"/>
              </w:rPr>
              <w:t>50.00</w:t>
            </w:r>
          </w:p>
        </w:tc>
        <w:tc>
          <w:tcPr>
            <w:tcW w:w="555" w:type="pct"/>
            <w:vAlign w:val="center"/>
          </w:tcPr>
          <w:p>
            <w:pPr>
              <w:spacing w:line="240" w:lineRule="auto"/>
              <w:ind w:firstLine="0" w:firstLineChars="0"/>
              <w:jc w:val="center"/>
              <w:rPr>
                <w:color w:val="auto"/>
                <w:sz w:val="21"/>
                <w:szCs w:val="21"/>
              </w:rPr>
            </w:pPr>
            <w:r>
              <w:rPr>
                <w:rFonts w:hint="eastAsia"/>
                <w:color w:val="auto"/>
                <w:sz w:val="21"/>
                <w:szCs w:val="21"/>
              </w:rPr>
              <w:t>0.018</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adjustRightInd w:val="0"/>
              <w:snapToGrid w:val="0"/>
              <w:spacing w:line="240" w:lineRule="auto"/>
              <w:ind w:firstLine="0" w:firstLineChars="0"/>
              <w:jc w:val="center"/>
              <w:rPr>
                <w:color w:val="auto"/>
                <w:sz w:val="21"/>
                <w:szCs w:val="21"/>
              </w:rPr>
            </w:pPr>
            <w:r>
              <w:rPr>
                <w:color w:val="auto"/>
                <w:sz w:val="21"/>
                <w:szCs w:val="21"/>
              </w:rPr>
              <w:t>总磷</w:t>
            </w:r>
          </w:p>
        </w:tc>
        <w:tc>
          <w:tcPr>
            <w:tcW w:w="734" w:type="pct"/>
            <w:vAlign w:val="center"/>
          </w:tcPr>
          <w:p>
            <w:pPr>
              <w:spacing w:line="240" w:lineRule="auto"/>
              <w:ind w:firstLine="0" w:firstLineChars="0"/>
              <w:jc w:val="center"/>
              <w:rPr>
                <w:color w:val="auto"/>
                <w:sz w:val="21"/>
                <w:szCs w:val="21"/>
              </w:rPr>
            </w:pPr>
            <w:r>
              <w:rPr>
                <w:color w:val="auto"/>
                <w:sz w:val="21"/>
                <w:szCs w:val="21"/>
              </w:rPr>
              <w:t>5.0</w:t>
            </w:r>
          </w:p>
        </w:tc>
        <w:tc>
          <w:tcPr>
            <w:tcW w:w="555" w:type="pct"/>
            <w:vAlign w:val="center"/>
          </w:tcPr>
          <w:p>
            <w:pPr>
              <w:spacing w:line="240" w:lineRule="auto"/>
              <w:ind w:firstLine="0" w:firstLineChars="0"/>
              <w:jc w:val="center"/>
              <w:rPr>
                <w:color w:val="auto"/>
                <w:sz w:val="21"/>
                <w:szCs w:val="21"/>
              </w:rPr>
            </w:pPr>
            <w:r>
              <w:rPr>
                <w:rFonts w:hint="eastAsia"/>
                <w:color w:val="auto"/>
                <w:sz w:val="21"/>
                <w:szCs w:val="21"/>
              </w:rPr>
              <w:t>0.002</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9" w:type="pct"/>
            <w:vMerge w:val="continue"/>
            <w:vAlign w:val="center"/>
          </w:tcPr>
          <w:p>
            <w:pPr>
              <w:adjustRightInd w:val="0"/>
              <w:snapToGrid w:val="0"/>
              <w:spacing w:line="240" w:lineRule="auto"/>
              <w:ind w:firstLine="0" w:firstLineChars="0"/>
              <w:jc w:val="center"/>
              <w:rPr>
                <w:color w:val="auto"/>
                <w:sz w:val="21"/>
                <w:szCs w:val="21"/>
              </w:rPr>
            </w:pPr>
          </w:p>
        </w:tc>
        <w:tc>
          <w:tcPr>
            <w:tcW w:w="405" w:type="pct"/>
            <w:vMerge w:val="continue"/>
            <w:vAlign w:val="center"/>
          </w:tcPr>
          <w:p>
            <w:pPr>
              <w:adjustRightInd w:val="0"/>
              <w:snapToGrid w:val="0"/>
              <w:spacing w:line="240" w:lineRule="auto"/>
              <w:ind w:firstLine="0" w:firstLineChars="0"/>
              <w:jc w:val="center"/>
              <w:rPr>
                <w:color w:val="auto"/>
                <w:sz w:val="21"/>
                <w:szCs w:val="21"/>
              </w:rPr>
            </w:pPr>
          </w:p>
        </w:tc>
        <w:tc>
          <w:tcPr>
            <w:tcW w:w="540" w:type="pct"/>
            <w:vMerge w:val="continue"/>
            <w:vAlign w:val="center"/>
          </w:tcPr>
          <w:p>
            <w:pPr>
              <w:adjustRightInd w:val="0"/>
              <w:snapToGrid w:val="0"/>
              <w:spacing w:line="240" w:lineRule="auto"/>
              <w:ind w:firstLine="0" w:firstLineChars="0"/>
              <w:jc w:val="center"/>
              <w:rPr>
                <w:color w:val="auto"/>
                <w:sz w:val="21"/>
                <w:szCs w:val="21"/>
              </w:rPr>
            </w:pPr>
          </w:p>
        </w:tc>
        <w:tc>
          <w:tcPr>
            <w:tcW w:w="543" w:type="pct"/>
            <w:vAlign w:val="center"/>
          </w:tcPr>
          <w:p>
            <w:pPr>
              <w:adjustRightInd w:val="0"/>
              <w:snapToGrid w:val="0"/>
              <w:spacing w:line="240" w:lineRule="auto"/>
              <w:ind w:firstLine="0" w:firstLineChars="0"/>
              <w:jc w:val="center"/>
              <w:rPr>
                <w:color w:val="auto"/>
                <w:sz w:val="21"/>
                <w:szCs w:val="21"/>
              </w:rPr>
            </w:pPr>
            <w:r>
              <w:rPr>
                <w:color w:val="auto"/>
                <w:kern w:val="0"/>
                <w:sz w:val="21"/>
                <w:szCs w:val="21"/>
              </w:rPr>
              <w:t>SS</w:t>
            </w:r>
          </w:p>
        </w:tc>
        <w:tc>
          <w:tcPr>
            <w:tcW w:w="734" w:type="pct"/>
            <w:vAlign w:val="center"/>
          </w:tcPr>
          <w:p>
            <w:pPr>
              <w:spacing w:line="240" w:lineRule="auto"/>
              <w:ind w:firstLine="0" w:firstLineChars="0"/>
              <w:jc w:val="center"/>
              <w:rPr>
                <w:color w:val="auto"/>
                <w:sz w:val="21"/>
                <w:szCs w:val="21"/>
              </w:rPr>
            </w:pPr>
            <w:r>
              <w:rPr>
                <w:color w:val="auto"/>
                <w:sz w:val="21"/>
                <w:szCs w:val="21"/>
              </w:rPr>
              <w:t>300.00</w:t>
            </w:r>
          </w:p>
        </w:tc>
        <w:tc>
          <w:tcPr>
            <w:tcW w:w="555" w:type="pct"/>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rPr>
              <w:t>0.</w:t>
            </w:r>
            <w:r>
              <w:rPr>
                <w:rFonts w:hint="eastAsia"/>
                <w:color w:val="auto"/>
                <w:sz w:val="21"/>
                <w:szCs w:val="21"/>
                <w:lang w:eastAsia="zh-CN"/>
              </w:rPr>
              <w:t>15</w:t>
            </w:r>
          </w:p>
        </w:tc>
        <w:tc>
          <w:tcPr>
            <w:tcW w:w="1110" w:type="pct"/>
            <w:vMerge w:val="continue"/>
            <w:vAlign w:val="center"/>
          </w:tcPr>
          <w:p>
            <w:pPr>
              <w:adjustRightInd w:val="0"/>
              <w:snapToGrid w:val="0"/>
              <w:spacing w:line="240" w:lineRule="auto"/>
              <w:ind w:firstLine="0" w:firstLineChars="0"/>
              <w:jc w:val="center"/>
              <w:rPr>
                <w:color w:val="auto"/>
                <w:sz w:val="21"/>
                <w:szCs w:val="21"/>
              </w:rPr>
            </w:pPr>
          </w:p>
        </w:tc>
      </w:tr>
    </w:tbl>
    <w:p>
      <w:pPr>
        <w:pStyle w:val="9"/>
        <w:spacing w:before="0" w:beforeLines="0" w:after="0" w:afterLines="0" w:line="360" w:lineRule="auto"/>
        <w:rPr>
          <w:color w:val="auto"/>
        </w:rPr>
      </w:pPr>
      <w:r>
        <w:rPr>
          <w:color w:val="auto"/>
        </w:rPr>
        <w:t>8.2.2废水治理措施</w:t>
      </w:r>
    </w:p>
    <w:p>
      <w:pPr>
        <w:pStyle w:val="14"/>
        <w:spacing w:after="0"/>
        <w:ind w:firstLine="480"/>
        <w:rPr>
          <w:color w:val="auto"/>
        </w:rPr>
      </w:pPr>
      <w:r>
        <w:rPr>
          <w:rFonts w:hint="eastAsia"/>
          <w:color w:val="auto"/>
        </w:rPr>
        <w:t>拟建项目</w:t>
      </w:r>
      <w:r>
        <w:rPr>
          <w:color w:val="auto"/>
        </w:rPr>
        <w:t>新上一套一体化污水处理系统，将循环冷却系统排水、化验室排水、</w:t>
      </w:r>
      <w:r>
        <w:rPr>
          <w:rFonts w:hint="eastAsia"/>
          <w:color w:val="auto"/>
        </w:rPr>
        <w:t>喷淋塔排水、</w:t>
      </w:r>
      <w:r>
        <w:rPr>
          <w:color w:val="auto"/>
        </w:rPr>
        <w:t>地面清洗废水和</w:t>
      </w:r>
      <w:r>
        <w:rPr>
          <w:rFonts w:hint="eastAsia"/>
          <w:color w:val="auto"/>
        </w:rPr>
        <w:t>生产废水</w:t>
      </w:r>
      <w:r>
        <w:rPr>
          <w:color w:val="auto"/>
        </w:rPr>
        <w:t>收集后经处理后回用，处理能力</w:t>
      </w:r>
      <w:r>
        <w:rPr>
          <w:rFonts w:hint="eastAsia"/>
          <w:color w:val="auto"/>
        </w:rPr>
        <w:t>0.5</w:t>
      </w:r>
      <w:r>
        <w:rPr>
          <w:color w:val="auto"/>
        </w:rPr>
        <w:t>m</w:t>
      </w:r>
      <w:r>
        <w:rPr>
          <w:color w:val="auto"/>
          <w:vertAlign w:val="superscript"/>
        </w:rPr>
        <w:t>3</w:t>
      </w:r>
      <w:r>
        <w:rPr>
          <w:color w:val="auto"/>
        </w:rPr>
        <w:t>/h，年处理废水</w:t>
      </w:r>
      <w:r>
        <w:rPr>
          <w:rFonts w:hint="eastAsia"/>
          <w:color w:val="auto"/>
        </w:rPr>
        <w:t>3600</w:t>
      </w:r>
      <w:r>
        <w:rPr>
          <w:color w:val="auto"/>
        </w:rPr>
        <w:t>m</w:t>
      </w:r>
      <w:r>
        <w:rPr>
          <w:color w:val="auto"/>
          <w:vertAlign w:val="superscript"/>
        </w:rPr>
        <w:t>3</w:t>
      </w:r>
      <w:r>
        <w:rPr>
          <w:color w:val="auto"/>
        </w:rPr>
        <w:t>。</w:t>
      </w:r>
      <w:r>
        <w:rPr>
          <w:rFonts w:hint="eastAsia"/>
          <w:color w:val="auto"/>
          <w:lang w:val="en-US" w:eastAsia="zh-CN"/>
        </w:rPr>
        <w:t>生产</w:t>
      </w:r>
      <w:r>
        <w:rPr>
          <w:color w:val="auto"/>
        </w:rPr>
        <w:t>废水</w:t>
      </w:r>
      <w:r>
        <w:rPr>
          <w:rFonts w:hint="eastAsia"/>
          <w:color w:val="auto"/>
        </w:rPr>
        <w:t>经过污水处理站处理后</w:t>
      </w:r>
      <w:r>
        <w:rPr>
          <w:rFonts w:hint="eastAsia"/>
          <w:color w:val="auto"/>
          <w:lang w:val="en-US" w:eastAsia="zh-CN"/>
        </w:rPr>
        <w:t>与生活污水汇合后执行《污水综合排放标准》（GB8978-1996）三级标准及光大水务（淄博）有限公司水质净化三分厂纳管水质要求</w:t>
      </w:r>
      <w:r>
        <w:rPr>
          <w:color w:val="auto"/>
        </w:rPr>
        <w:t>。</w:t>
      </w:r>
    </w:p>
    <w:p>
      <w:pPr>
        <w:pStyle w:val="2"/>
        <w:spacing w:after="0" w:line="360" w:lineRule="auto"/>
        <w:ind w:firstLine="480"/>
        <w:rPr>
          <w:color w:val="auto"/>
        </w:rPr>
      </w:pPr>
      <w:r>
        <w:rPr>
          <w:rFonts w:hint="eastAsia"/>
          <w:color w:val="auto"/>
        </w:rPr>
        <w:t>1、</w:t>
      </w:r>
      <w:r>
        <w:rPr>
          <w:color w:val="auto"/>
        </w:rPr>
        <w:t>处理工艺如下：</w:t>
      </w:r>
    </w:p>
    <w:p>
      <w:pPr>
        <w:pStyle w:val="2"/>
        <w:ind w:firstLine="0" w:firstLineChars="0"/>
        <w:jc w:val="center"/>
        <w:rPr>
          <w:color w:val="auto"/>
        </w:rPr>
      </w:pPr>
      <w:r>
        <w:rPr>
          <w:rFonts w:hint="eastAsia" w:cs="宋体" w:asciiTheme="minorEastAsia" w:hAnsiTheme="minorEastAsia"/>
          <w:color w:val="auto"/>
        </w:rPr>
        <w:drawing>
          <wp:anchor distT="0" distB="0" distL="114300" distR="114300" simplePos="0" relativeHeight="251722752" behindDoc="0" locked="0" layoutInCell="1" allowOverlap="1">
            <wp:simplePos x="0" y="0"/>
            <wp:positionH relativeFrom="column">
              <wp:posOffset>843280</wp:posOffset>
            </wp:positionH>
            <wp:positionV relativeFrom="paragraph">
              <wp:posOffset>77470</wp:posOffset>
            </wp:positionV>
            <wp:extent cx="3758565" cy="4348480"/>
            <wp:effectExtent l="0" t="0" r="13335" b="13970"/>
            <wp:wrapTopAndBottom/>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3758565" cy="4348480"/>
                    </a:xfrm>
                    <a:prstGeom prst="rect">
                      <a:avLst/>
                    </a:prstGeom>
                    <a:noFill/>
                    <a:ln>
                      <a:noFill/>
                    </a:ln>
                  </pic:spPr>
                </pic:pic>
              </a:graphicData>
            </a:graphic>
          </wp:anchor>
        </w:drawing>
      </w:r>
      <w:r>
        <w:rPr>
          <w:rFonts w:eastAsia="黑体"/>
          <w:b/>
          <w:color w:val="auto"/>
          <w:sz w:val="21"/>
          <w:szCs w:val="21"/>
        </w:rPr>
        <w:t>图</w:t>
      </w:r>
      <w:r>
        <w:rPr>
          <w:rFonts w:hint="eastAsia" w:eastAsia="黑体"/>
          <w:b/>
          <w:color w:val="auto"/>
          <w:sz w:val="21"/>
          <w:szCs w:val="21"/>
          <w:lang w:val="en-US" w:eastAsia="zh-CN"/>
        </w:rPr>
        <w:t>8.2-1</w:t>
      </w:r>
      <w:r>
        <w:rPr>
          <w:rFonts w:eastAsia="黑体"/>
          <w:b/>
          <w:color w:val="auto"/>
          <w:sz w:val="21"/>
          <w:szCs w:val="21"/>
        </w:rPr>
        <w:t xml:space="preserve">  污水处理工艺流程图</w:t>
      </w:r>
    </w:p>
    <w:p>
      <w:pPr>
        <w:spacing w:line="360" w:lineRule="auto"/>
        <w:ind w:firstLine="480"/>
        <w:rPr>
          <w:rFonts w:cs="宋体" w:asciiTheme="minorEastAsia" w:hAnsiTheme="minorEastAsia"/>
          <w:color w:val="auto"/>
        </w:rPr>
      </w:pPr>
      <w:r>
        <w:rPr>
          <w:bCs/>
          <w:color w:val="auto"/>
          <w:szCs w:val="21"/>
        </w:rPr>
        <w:t>循环冷却系统排水、化验室排水、</w:t>
      </w:r>
      <w:r>
        <w:rPr>
          <w:rFonts w:hint="eastAsia"/>
          <w:bCs/>
          <w:color w:val="auto"/>
          <w:szCs w:val="21"/>
        </w:rPr>
        <w:t>喷淋塔排水、</w:t>
      </w:r>
      <w:r>
        <w:rPr>
          <w:bCs/>
          <w:color w:val="auto"/>
          <w:szCs w:val="21"/>
        </w:rPr>
        <w:t>地面清洗废水和</w:t>
      </w:r>
      <w:r>
        <w:rPr>
          <w:rFonts w:hint="eastAsia"/>
          <w:bCs/>
          <w:color w:val="auto"/>
          <w:szCs w:val="21"/>
        </w:rPr>
        <w:t>生产废水</w:t>
      </w:r>
      <w:r>
        <w:rPr>
          <w:rFonts w:hint="eastAsia" w:cs="宋体" w:asciiTheme="minorEastAsia" w:hAnsiTheme="minorEastAsia"/>
          <w:color w:val="auto"/>
        </w:rPr>
        <w:t>经管道压力流至污水处理站内废水收集池，在废水收集池内暂存均质，以防来水水质水量波动过大对后续处理构筑物的冲击过大，影响后续处理构筑物正常运行。收集池水由泵提升至深度厌氧（水解酸化）池进行生化处理。</w:t>
      </w:r>
    </w:p>
    <w:p>
      <w:pPr>
        <w:spacing w:line="360" w:lineRule="auto"/>
        <w:ind w:firstLine="480"/>
        <w:rPr>
          <w:rFonts w:cs="宋体" w:asciiTheme="minorEastAsia" w:hAnsiTheme="minorEastAsia"/>
          <w:color w:val="auto"/>
        </w:rPr>
      </w:pPr>
      <w:r>
        <w:rPr>
          <w:rFonts w:hint="eastAsia" w:cs="宋体" w:asciiTheme="minorEastAsia" w:hAnsiTheme="minorEastAsia"/>
          <w:color w:val="auto"/>
        </w:rPr>
        <w:t>经生化处理降解水</w:t>
      </w:r>
      <w:r>
        <w:rPr>
          <w:rFonts w:hint="eastAsia" w:cs="宋体" w:asciiTheme="minorEastAsia" w:hAnsiTheme="minorEastAsia"/>
          <w:b w:val="0"/>
          <w:bCs w:val="0"/>
          <w:color w:val="auto"/>
        </w:rPr>
        <w:t>中</w:t>
      </w:r>
      <w:r>
        <w:rPr>
          <w:rFonts w:hint="default" w:ascii="Times New Roman" w:hAnsi="Times New Roman" w:cs="Times New Roman"/>
          <w:b w:val="0"/>
          <w:bCs w:val="0"/>
          <w:color w:val="auto"/>
        </w:rPr>
        <w:t>的COD污染</w:t>
      </w:r>
      <w:r>
        <w:rPr>
          <w:rFonts w:hint="eastAsia" w:cs="宋体" w:asciiTheme="minorEastAsia" w:hAnsiTheme="minorEastAsia"/>
          <w:color w:val="auto"/>
        </w:rPr>
        <w:t>物后自流进入沉淀池，进行固液分离，沉淀池上清液自流至高倍增好氧生物处理池,底部浓缩污泥作为内回流污泥由气提装置回流至深度厌氧（水解酸化）池。</w:t>
      </w:r>
    </w:p>
    <w:p>
      <w:pPr>
        <w:ind w:firstLine="480"/>
        <w:rPr>
          <w:color w:val="auto"/>
        </w:rPr>
      </w:pPr>
      <w:r>
        <w:rPr>
          <w:rFonts w:hint="eastAsia" w:cs="宋体" w:asciiTheme="minorEastAsia" w:hAnsiTheme="minorEastAsia"/>
          <w:color w:val="auto"/>
        </w:rPr>
        <w:t>沉淀池水自流至高倍增好氧生物处理池，进一步</w:t>
      </w:r>
      <w:r>
        <w:rPr>
          <w:rFonts w:hint="eastAsia" w:eastAsia="宋体" w:cs="宋体" w:asciiTheme="minorEastAsia" w:hAnsiTheme="minorEastAsia"/>
          <w:b w:val="0"/>
          <w:bCs w:val="0"/>
          <w:color w:val="auto"/>
        </w:rPr>
        <w:t>降解水</w:t>
      </w:r>
      <w:r>
        <w:rPr>
          <w:rFonts w:hint="eastAsia" w:ascii="Times New Roman" w:hAnsi="Times New Roman" w:eastAsia="宋体" w:cs="Times New Roman"/>
          <w:b w:val="0"/>
          <w:bCs w:val="0"/>
          <w:color w:val="auto"/>
        </w:rPr>
        <w:t>中COD污</w:t>
      </w:r>
      <w:r>
        <w:rPr>
          <w:rFonts w:hint="eastAsia" w:eastAsia="宋体" w:cs="宋体" w:asciiTheme="minorEastAsia" w:hAnsiTheme="minorEastAsia"/>
          <w:b w:val="0"/>
          <w:bCs w:val="0"/>
          <w:color w:val="auto"/>
        </w:rPr>
        <w:t>染物</w:t>
      </w:r>
      <w:r>
        <w:rPr>
          <w:rFonts w:hint="eastAsia" w:cs="宋体" w:asciiTheme="minorEastAsia" w:hAnsiTheme="minorEastAsia"/>
          <w:color w:val="auto"/>
        </w:rPr>
        <w:t>后自流至二沉池。二沉池部分污泥回流至高倍增好氧生物处理池及深度厌氧（水解酸化）池，剩余污泥经泵提升至污泥池，上清液自流至监测排放池，达标后外排。</w:t>
      </w:r>
    </w:p>
    <w:p>
      <w:pPr>
        <w:ind w:firstLine="480"/>
        <w:rPr>
          <w:color w:val="auto"/>
        </w:rPr>
      </w:pPr>
      <w:r>
        <w:rPr>
          <w:rFonts w:hint="eastAsia"/>
          <w:color w:val="auto"/>
        </w:rPr>
        <w:t>2、达标性分析</w:t>
      </w:r>
    </w:p>
    <w:p>
      <w:pPr>
        <w:pStyle w:val="2"/>
        <w:ind w:left="480" w:leftChars="200" w:firstLine="0" w:firstLineChars="0"/>
        <w:rPr>
          <w:color w:val="auto"/>
        </w:rPr>
      </w:pPr>
      <w:r>
        <w:rPr>
          <w:rFonts w:hint="eastAsia"/>
          <w:color w:val="auto"/>
        </w:rPr>
        <w:t>收集废水经处理后出水水质见下表。</w:t>
      </w:r>
    </w:p>
    <w:p>
      <w:pPr>
        <w:adjustRightInd w:val="0"/>
        <w:snapToGrid w:val="0"/>
        <w:ind w:firstLine="0" w:firstLineChars="0"/>
        <w:jc w:val="center"/>
        <w:rPr>
          <w:rFonts w:eastAsia="黑体"/>
          <w:b/>
          <w:color w:val="auto"/>
          <w:sz w:val="21"/>
          <w:szCs w:val="21"/>
        </w:rPr>
      </w:pPr>
      <w:r>
        <w:rPr>
          <w:rFonts w:eastAsia="黑体"/>
          <w:b/>
          <w:color w:val="auto"/>
          <w:sz w:val="21"/>
          <w:szCs w:val="21"/>
        </w:rPr>
        <w:t>表</w:t>
      </w:r>
      <w:r>
        <w:rPr>
          <w:rFonts w:hint="eastAsia" w:eastAsia="黑体"/>
          <w:b/>
          <w:color w:val="auto"/>
          <w:sz w:val="21"/>
          <w:szCs w:val="21"/>
          <w:lang w:val="en-US" w:eastAsia="zh-CN"/>
        </w:rPr>
        <w:t>8.2-2</w:t>
      </w:r>
      <w:r>
        <w:rPr>
          <w:rFonts w:eastAsia="黑体"/>
          <w:b/>
          <w:color w:val="auto"/>
          <w:sz w:val="21"/>
          <w:szCs w:val="21"/>
        </w:rPr>
        <w:t xml:space="preserve">  污水处理站出水水质   单位：mg/L</w:t>
      </w:r>
    </w:p>
    <w:tbl>
      <w:tblPr>
        <w:tblStyle w:val="22"/>
        <w:tblW w:w="4994"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50"/>
        <w:gridCol w:w="1154"/>
        <w:gridCol w:w="1159"/>
        <w:gridCol w:w="1165"/>
        <w:gridCol w:w="1165"/>
        <w:gridCol w:w="1159"/>
        <w:gridCol w:w="1159"/>
        <w:gridCol w:w="116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0" w:type="pct"/>
            <w:vAlign w:val="center"/>
          </w:tcPr>
          <w:p>
            <w:pPr>
              <w:adjustRightInd w:val="0"/>
              <w:snapToGrid w:val="0"/>
              <w:spacing w:line="240" w:lineRule="auto"/>
              <w:ind w:firstLine="0" w:firstLineChars="0"/>
              <w:jc w:val="center"/>
              <w:rPr>
                <w:b/>
                <w:bCs/>
                <w:color w:val="auto"/>
                <w:sz w:val="21"/>
                <w:szCs w:val="21"/>
              </w:rPr>
            </w:pPr>
            <w:r>
              <w:rPr>
                <w:b/>
                <w:bCs/>
                <w:color w:val="auto"/>
                <w:sz w:val="21"/>
                <w:szCs w:val="21"/>
              </w:rPr>
              <w:t>处理单元</w:t>
            </w:r>
          </w:p>
        </w:tc>
        <w:tc>
          <w:tcPr>
            <w:tcW w:w="622" w:type="pct"/>
            <w:vAlign w:val="center"/>
          </w:tcPr>
          <w:p>
            <w:pPr>
              <w:adjustRightInd w:val="0"/>
              <w:snapToGrid w:val="0"/>
              <w:spacing w:line="240" w:lineRule="auto"/>
              <w:ind w:firstLine="0" w:firstLineChars="0"/>
              <w:jc w:val="center"/>
              <w:rPr>
                <w:b/>
                <w:bCs/>
                <w:color w:val="auto"/>
                <w:sz w:val="21"/>
                <w:szCs w:val="21"/>
              </w:rPr>
            </w:pPr>
            <w:r>
              <w:rPr>
                <w:b/>
                <w:bCs/>
                <w:color w:val="auto"/>
                <w:sz w:val="21"/>
                <w:szCs w:val="21"/>
              </w:rPr>
              <w:t>项目</w:t>
            </w:r>
          </w:p>
        </w:tc>
        <w:tc>
          <w:tcPr>
            <w:tcW w:w="625" w:type="pct"/>
            <w:vAlign w:val="center"/>
          </w:tcPr>
          <w:p>
            <w:pPr>
              <w:adjustRightInd w:val="0"/>
              <w:snapToGrid w:val="0"/>
              <w:spacing w:line="240" w:lineRule="auto"/>
              <w:ind w:firstLine="0" w:firstLineChars="0"/>
              <w:jc w:val="center"/>
              <w:rPr>
                <w:b/>
                <w:bCs/>
                <w:color w:val="auto"/>
                <w:sz w:val="21"/>
                <w:szCs w:val="21"/>
              </w:rPr>
            </w:pPr>
            <w:r>
              <w:rPr>
                <w:b/>
                <w:bCs/>
                <w:color w:val="auto"/>
                <w:sz w:val="21"/>
                <w:szCs w:val="21"/>
              </w:rPr>
              <w:t>pH</w:t>
            </w:r>
          </w:p>
        </w:tc>
        <w:tc>
          <w:tcPr>
            <w:tcW w:w="1161" w:type="dxa"/>
            <w:vAlign w:val="center"/>
          </w:tcPr>
          <w:p>
            <w:pPr>
              <w:adjustRightInd w:val="0"/>
              <w:snapToGrid w:val="0"/>
              <w:spacing w:line="240" w:lineRule="auto"/>
              <w:ind w:firstLine="0" w:firstLineChars="0"/>
              <w:jc w:val="center"/>
              <w:rPr>
                <w:b/>
                <w:bCs/>
                <w:color w:val="auto"/>
                <w:sz w:val="21"/>
                <w:szCs w:val="21"/>
              </w:rPr>
            </w:pPr>
            <w:r>
              <w:rPr>
                <w:b/>
                <w:bCs/>
                <w:color w:val="auto"/>
                <w:kern w:val="0"/>
                <w:sz w:val="21"/>
                <w:szCs w:val="21"/>
              </w:rPr>
              <w:t>COD</w:t>
            </w:r>
          </w:p>
        </w:tc>
        <w:tc>
          <w:tcPr>
            <w:tcW w:w="1161" w:type="dxa"/>
            <w:vAlign w:val="center"/>
          </w:tcPr>
          <w:p>
            <w:pPr>
              <w:adjustRightInd w:val="0"/>
              <w:snapToGrid w:val="0"/>
              <w:spacing w:line="240" w:lineRule="auto"/>
              <w:ind w:firstLine="0" w:firstLineChars="0"/>
              <w:jc w:val="center"/>
              <w:rPr>
                <w:b/>
                <w:bCs/>
                <w:color w:val="auto"/>
                <w:sz w:val="21"/>
                <w:szCs w:val="21"/>
              </w:rPr>
            </w:pPr>
            <w:r>
              <w:rPr>
                <w:b/>
                <w:bCs/>
                <w:color w:val="auto"/>
                <w:kern w:val="0"/>
                <w:sz w:val="21"/>
                <w:szCs w:val="21"/>
              </w:rPr>
              <w:t>BOD</w:t>
            </w:r>
            <w:r>
              <w:rPr>
                <w:b/>
                <w:bCs/>
                <w:color w:val="auto"/>
                <w:kern w:val="0"/>
                <w:sz w:val="21"/>
                <w:szCs w:val="21"/>
                <w:vertAlign w:val="subscript"/>
              </w:rPr>
              <w:t>5</w:t>
            </w:r>
          </w:p>
        </w:tc>
        <w:tc>
          <w:tcPr>
            <w:tcW w:w="625" w:type="pct"/>
            <w:vAlign w:val="center"/>
          </w:tcPr>
          <w:p>
            <w:pPr>
              <w:adjustRightInd w:val="0"/>
              <w:snapToGrid w:val="0"/>
              <w:spacing w:line="240" w:lineRule="auto"/>
              <w:ind w:firstLine="0" w:firstLineChars="0"/>
              <w:jc w:val="center"/>
              <w:rPr>
                <w:b/>
                <w:bCs/>
                <w:color w:val="auto"/>
                <w:sz w:val="21"/>
                <w:szCs w:val="21"/>
              </w:rPr>
            </w:pPr>
            <w:r>
              <w:rPr>
                <w:b/>
                <w:bCs/>
                <w:color w:val="auto"/>
                <w:kern w:val="0"/>
                <w:sz w:val="21"/>
                <w:szCs w:val="21"/>
              </w:rPr>
              <w:t>SS</w:t>
            </w:r>
          </w:p>
        </w:tc>
        <w:tc>
          <w:tcPr>
            <w:tcW w:w="625" w:type="pct"/>
            <w:vAlign w:val="center"/>
          </w:tcPr>
          <w:p>
            <w:pPr>
              <w:adjustRightInd w:val="0"/>
              <w:snapToGrid w:val="0"/>
              <w:spacing w:line="240" w:lineRule="auto"/>
              <w:ind w:firstLine="0" w:firstLineChars="0"/>
              <w:jc w:val="center"/>
              <w:rPr>
                <w:b/>
                <w:bCs/>
                <w:color w:val="auto"/>
                <w:sz w:val="21"/>
                <w:szCs w:val="21"/>
              </w:rPr>
            </w:pPr>
            <w:r>
              <w:rPr>
                <w:b/>
                <w:bCs/>
                <w:color w:val="auto"/>
                <w:sz w:val="21"/>
                <w:szCs w:val="21"/>
              </w:rPr>
              <w:t>石油类</w:t>
            </w:r>
          </w:p>
        </w:tc>
        <w:tc>
          <w:tcPr>
            <w:tcW w:w="628" w:type="pct"/>
            <w:vAlign w:val="center"/>
          </w:tcPr>
          <w:p>
            <w:pPr>
              <w:adjustRightInd w:val="0"/>
              <w:snapToGrid w:val="0"/>
              <w:spacing w:line="240" w:lineRule="auto"/>
              <w:ind w:firstLine="0" w:firstLineChars="0"/>
              <w:jc w:val="center"/>
              <w:rPr>
                <w:b/>
                <w:bCs/>
                <w:color w:val="auto"/>
                <w:sz w:val="21"/>
                <w:szCs w:val="21"/>
              </w:rPr>
            </w:pPr>
            <w:r>
              <w:rPr>
                <w:b/>
                <w:bCs/>
                <w:color w:val="auto"/>
                <w:sz w:val="21"/>
                <w:szCs w:val="21"/>
              </w:rPr>
              <w:t>全盐量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53" w:hRule="atLeast"/>
        </w:trPr>
        <w:tc>
          <w:tcPr>
            <w:tcW w:w="620"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水解酸化池</w:t>
            </w:r>
          </w:p>
        </w:tc>
        <w:tc>
          <w:tcPr>
            <w:tcW w:w="622" w:type="pct"/>
            <w:vAlign w:val="center"/>
          </w:tcPr>
          <w:p>
            <w:pPr>
              <w:adjustRightInd w:val="0"/>
              <w:snapToGrid w:val="0"/>
              <w:spacing w:line="240" w:lineRule="auto"/>
              <w:ind w:firstLine="0" w:firstLineChars="0"/>
              <w:jc w:val="center"/>
              <w:rPr>
                <w:color w:val="auto"/>
                <w:sz w:val="21"/>
                <w:szCs w:val="21"/>
              </w:rPr>
            </w:pPr>
            <w:r>
              <w:rPr>
                <w:color w:val="auto"/>
                <w:sz w:val="21"/>
                <w:szCs w:val="21"/>
              </w:rPr>
              <w:t>进水</w:t>
            </w:r>
          </w:p>
        </w:tc>
        <w:tc>
          <w:tcPr>
            <w:tcW w:w="625" w:type="pct"/>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color w:val="auto"/>
                <w:sz w:val="21"/>
                <w:szCs w:val="21"/>
              </w:rPr>
              <w:t>7～8</w:t>
            </w:r>
          </w:p>
        </w:tc>
        <w:tc>
          <w:tcPr>
            <w:tcW w:w="1161" w:type="dxa"/>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rFonts w:hint="default"/>
                <w:color w:val="auto"/>
                <w:sz w:val="21"/>
                <w:szCs w:val="21"/>
                <w:lang w:val="en-US" w:eastAsia="zh-CN"/>
              </w:rPr>
              <w:t>5200</w:t>
            </w:r>
          </w:p>
        </w:tc>
        <w:tc>
          <w:tcPr>
            <w:tcW w:w="1161" w:type="dxa"/>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rFonts w:hint="default"/>
                <w:color w:val="auto"/>
                <w:sz w:val="21"/>
                <w:szCs w:val="21"/>
                <w:lang w:val="en-US" w:eastAsia="zh-CN"/>
              </w:rPr>
              <w:t>1600</w:t>
            </w:r>
          </w:p>
        </w:tc>
        <w:tc>
          <w:tcPr>
            <w:tcW w:w="625" w:type="pct"/>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300</w:t>
            </w:r>
          </w:p>
        </w:tc>
        <w:tc>
          <w:tcPr>
            <w:tcW w:w="625" w:type="pct"/>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w:t>
            </w:r>
          </w:p>
        </w:tc>
        <w:tc>
          <w:tcPr>
            <w:tcW w:w="628" w:type="pct"/>
            <w:vAlign w:val="center"/>
          </w:tcPr>
          <w:p>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3" w:hRule="atLeast"/>
        </w:trPr>
        <w:tc>
          <w:tcPr>
            <w:tcW w:w="620" w:type="pct"/>
            <w:vMerge w:val="continue"/>
            <w:vAlign w:val="center"/>
          </w:tcPr>
          <w:p>
            <w:pPr>
              <w:adjustRightInd w:val="0"/>
              <w:snapToGrid w:val="0"/>
              <w:spacing w:line="240" w:lineRule="auto"/>
              <w:ind w:firstLine="0" w:firstLineChars="0"/>
              <w:jc w:val="center"/>
              <w:rPr>
                <w:rFonts w:hint="eastAsia"/>
                <w:color w:val="auto"/>
                <w:sz w:val="21"/>
                <w:szCs w:val="21"/>
              </w:rPr>
            </w:pPr>
          </w:p>
        </w:tc>
        <w:tc>
          <w:tcPr>
            <w:tcW w:w="622"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去除率（%）</w:t>
            </w:r>
          </w:p>
        </w:tc>
        <w:tc>
          <w:tcPr>
            <w:tcW w:w="625" w:type="pct"/>
            <w:vAlign w:val="center"/>
          </w:tcPr>
          <w:p>
            <w:pPr>
              <w:adjustRightInd w:val="0"/>
              <w:snapToGrid w:val="0"/>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c>
          <w:tcPr>
            <w:tcW w:w="1161"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50%</w:t>
            </w:r>
          </w:p>
        </w:tc>
        <w:tc>
          <w:tcPr>
            <w:tcW w:w="1161"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50%</w:t>
            </w:r>
          </w:p>
        </w:tc>
        <w:tc>
          <w:tcPr>
            <w:tcW w:w="1161"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10%</w:t>
            </w:r>
          </w:p>
        </w:tc>
        <w:tc>
          <w:tcPr>
            <w:tcW w:w="1161"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w:t>
            </w:r>
          </w:p>
        </w:tc>
        <w:tc>
          <w:tcPr>
            <w:tcW w:w="1166" w:type="dxa"/>
            <w:vAlign w:val="center"/>
          </w:tcPr>
          <w:p>
            <w:pPr>
              <w:adjustRightInd w:val="0"/>
              <w:snapToGrid w:val="0"/>
              <w:spacing w:line="240" w:lineRule="auto"/>
              <w:ind w:firstLine="0" w:firstLineChars="0"/>
              <w:jc w:val="center"/>
              <w:rPr>
                <w:rFonts w:hint="eastAsia"/>
                <w:color w:val="auto"/>
                <w:sz w:val="21"/>
                <w:szCs w:val="21"/>
                <w:lang w:val="en-US" w:eastAsia="zh-CN"/>
              </w:rPr>
            </w:pPr>
            <w:r>
              <w:rPr>
                <w:rFonts w:hint="default"/>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0" w:type="pct"/>
            <w:vMerge w:val="continue"/>
            <w:vAlign w:val="center"/>
          </w:tcPr>
          <w:p>
            <w:pPr>
              <w:adjustRightInd w:val="0"/>
              <w:snapToGrid w:val="0"/>
              <w:spacing w:line="240" w:lineRule="auto"/>
              <w:ind w:firstLine="0" w:firstLineChars="0"/>
              <w:jc w:val="center"/>
              <w:rPr>
                <w:color w:val="auto"/>
                <w:sz w:val="21"/>
                <w:szCs w:val="21"/>
              </w:rPr>
            </w:pPr>
          </w:p>
        </w:tc>
        <w:tc>
          <w:tcPr>
            <w:tcW w:w="622" w:type="pct"/>
            <w:vAlign w:val="center"/>
          </w:tcPr>
          <w:p>
            <w:pPr>
              <w:adjustRightInd w:val="0"/>
              <w:snapToGrid w:val="0"/>
              <w:spacing w:line="240" w:lineRule="auto"/>
              <w:ind w:firstLine="0" w:firstLineChars="0"/>
              <w:jc w:val="center"/>
              <w:rPr>
                <w:color w:val="auto"/>
                <w:sz w:val="21"/>
                <w:szCs w:val="21"/>
              </w:rPr>
            </w:pPr>
            <w:r>
              <w:rPr>
                <w:color w:val="auto"/>
                <w:sz w:val="21"/>
                <w:szCs w:val="21"/>
              </w:rPr>
              <w:t>出水</w:t>
            </w:r>
          </w:p>
        </w:tc>
        <w:tc>
          <w:tcPr>
            <w:tcW w:w="625" w:type="pct"/>
            <w:vAlign w:val="center"/>
          </w:tcPr>
          <w:p>
            <w:pPr>
              <w:adjustRightInd w:val="0"/>
              <w:snapToGrid w:val="0"/>
              <w:spacing w:line="240" w:lineRule="auto"/>
              <w:ind w:firstLine="0" w:firstLineChars="0"/>
              <w:jc w:val="center"/>
              <w:rPr>
                <w:color w:val="auto"/>
                <w:sz w:val="21"/>
                <w:szCs w:val="21"/>
              </w:rPr>
            </w:pPr>
            <w:r>
              <w:rPr>
                <w:color w:val="auto"/>
                <w:sz w:val="21"/>
                <w:szCs w:val="21"/>
              </w:rPr>
              <w:t>7～8</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2600</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800</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270</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3.73</w:t>
            </w:r>
          </w:p>
        </w:tc>
        <w:tc>
          <w:tcPr>
            <w:tcW w:w="1166"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716.6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0"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水解沉淀池</w:t>
            </w:r>
          </w:p>
        </w:tc>
        <w:tc>
          <w:tcPr>
            <w:tcW w:w="622" w:type="pct"/>
            <w:vAlign w:val="center"/>
          </w:tcPr>
          <w:p>
            <w:pPr>
              <w:adjustRightInd w:val="0"/>
              <w:snapToGrid w:val="0"/>
              <w:spacing w:line="240" w:lineRule="auto"/>
              <w:ind w:firstLine="0" w:firstLineChars="0"/>
              <w:jc w:val="center"/>
              <w:rPr>
                <w:color w:val="auto"/>
                <w:sz w:val="21"/>
                <w:szCs w:val="21"/>
              </w:rPr>
            </w:pPr>
            <w:r>
              <w:rPr>
                <w:color w:val="auto"/>
                <w:sz w:val="21"/>
                <w:szCs w:val="21"/>
              </w:rPr>
              <w:t>进水</w:t>
            </w:r>
          </w:p>
        </w:tc>
        <w:tc>
          <w:tcPr>
            <w:tcW w:w="625" w:type="pct"/>
            <w:vAlign w:val="center"/>
          </w:tcPr>
          <w:p>
            <w:pPr>
              <w:adjustRightInd w:val="0"/>
              <w:snapToGrid w:val="0"/>
              <w:spacing w:line="240" w:lineRule="auto"/>
              <w:ind w:firstLine="0" w:firstLineChars="0"/>
              <w:jc w:val="center"/>
              <w:rPr>
                <w:color w:val="auto"/>
                <w:sz w:val="21"/>
                <w:szCs w:val="21"/>
              </w:rPr>
            </w:pPr>
            <w:r>
              <w:rPr>
                <w:color w:val="auto"/>
                <w:sz w:val="21"/>
                <w:szCs w:val="21"/>
              </w:rPr>
              <w:t>7～8</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2600</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800</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270</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3.73</w:t>
            </w:r>
          </w:p>
        </w:tc>
        <w:tc>
          <w:tcPr>
            <w:tcW w:w="1166"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716.6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0" w:type="pct"/>
            <w:vMerge w:val="continue"/>
            <w:vAlign w:val="center"/>
          </w:tcPr>
          <w:p>
            <w:pPr>
              <w:adjustRightInd w:val="0"/>
              <w:snapToGrid w:val="0"/>
              <w:spacing w:line="240" w:lineRule="auto"/>
              <w:ind w:firstLine="0" w:firstLineChars="0"/>
              <w:jc w:val="center"/>
              <w:rPr>
                <w:rFonts w:hint="eastAsia"/>
                <w:color w:val="auto"/>
                <w:sz w:val="21"/>
                <w:szCs w:val="21"/>
              </w:rPr>
            </w:pPr>
          </w:p>
        </w:tc>
        <w:tc>
          <w:tcPr>
            <w:tcW w:w="622"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去除率（%）</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w:t>
            </w:r>
          </w:p>
        </w:tc>
        <w:tc>
          <w:tcPr>
            <w:tcW w:w="1161"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15%</w:t>
            </w:r>
          </w:p>
        </w:tc>
        <w:tc>
          <w:tcPr>
            <w:tcW w:w="1161"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15%</w:t>
            </w:r>
          </w:p>
        </w:tc>
        <w:tc>
          <w:tcPr>
            <w:tcW w:w="1161"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20%</w:t>
            </w:r>
          </w:p>
        </w:tc>
        <w:tc>
          <w:tcPr>
            <w:tcW w:w="1161"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30%</w:t>
            </w:r>
          </w:p>
        </w:tc>
        <w:tc>
          <w:tcPr>
            <w:tcW w:w="1166"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0" w:type="pct"/>
            <w:vMerge w:val="continue"/>
            <w:vAlign w:val="center"/>
          </w:tcPr>
          <w:p>
            <w:pPr>
              <w:adjustRightInd w:val="0"/>
              <w:snapToGrid w:val="0"/>
              <w:spacing w:line="240" w:lineRule="auto"/>
              <w:ind w:firstLine="0" w:firstLineChars="0"/>
              <w:jc w:val="center"/>
              <w:rPr>
                <w:color w:val="auto"/>
                <w:sz w:val="21"/>
                <w:szCs w:val="21"/>
              </w:rPr>
            </w:pPr>
          </w:p>
        </w:tc>
        <w:tc>
          <w:tcPr>
            <w:tcW w:w="622" w:type="pct"/>
            <w:vAlign w:val="center"/>
          </w:tcPr>
          <w:p>
            <w:pPr>
              <w:adjustRightInd w:val="0"/>
              <w:snapToGrid w:val="0"/>
              <w:spacing w:line="240" w:lineRule="auto"/>
              <w:ind w:firstLine="0" w:firstLineChars="0"/>
              <w:jc w:val="center"/>
              <w:rPr>
                <w:color w:val="auto"/>
                <w:sz w:val="21"/>
                <w:szCs w:val="21"/>
              </w:rPr>
            </w:pPr>
            <w:r>
              <w:rPr>
                <w:color w:val="auto"/>
                <w:sz w:val="21"/>
                <w:szCs w:val="21"/>
              </w:rPr>
              <w:t>出水</w:t>
            </w:r>
          </w:p>
        </w:tc>
        <w:tc>
          <w:tcPr>
            <w:tcW w:w="625" w:type="pct"/>
            <w:vAlign w:val="center"/>
          </w:tcPr>
          <w:p>
            <w:pPr>
              <w:adjustRightInd w:val="0"/>
              <w:snapToGrid w:val="0"/>
              <w:spacing w:line="240" w:lineRule="auto"/>
              <w:ind w:firstLine="0" w:firstLineChars="0"/>
              <w:jc w:val="center"/>
              <w:rPr>
                <w:color w:val="auto"/>
                <w:sz w:val="21"/>
                <w:szCs w:val="21"/>
              </w:rPr>
            </w:pPr>
            <w:r>
              <w:rPr>
                <w:color w:val="auto"/>
                <w:sz w:val="21"/>
                <w:szCs w:val="21"/>
              </w:rPr>
              <w:t>7～8</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2210</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680</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216</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2.611</w:t>
            </w:r>
          </w:p>
        </w:tc>
        <w:tc>
          <w:tcPr>
            <w:tcW w:w="1166"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644.94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0"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kern w:val="0"/>
                <w:sz w:val="21"/>
                <w:szCs w:val="21"/>
              </w:rPr>
              <w:t>高倍增生物池</w:t>
            </w:r>
          </w:p>
        </w:tc>
        <w:tc>
          <w:tcPr>
            <w:tcW w:w="622" w:type="pct"/>
            <w:vAlign w:val="center"/>
          </w:tcPr>
          <w:p>
            <w:pPr>
              <w:adjustRightInd w:val="0"/>
              <w:snapToGrid w:val="0"/>
              <w:spacing w:line="240" w:lineRule="auto"/>
              <w:ind w:firstLine="0" w:firstLineChars="0"/>
              <w:jc w:val="center"/>
              <w:rPr>
                <w:color w:val="auto"/>
                <w:sz w:val="21"/>
                <w:szCs w:val="21"/>
              </w:rPr>
            </w:pPr>
            <w:r>
              <w:rPr>
                <w:color w:val="auto"/>
                <w:sz w:val="21"/>
                <w:szCs w:val="21"/>
              </w:rPr>
              <w:t>进水</w:t>
            </w:r>
          </w:p>
        </w:tc>
        <w:tc>
          <w:tcPr>
            <w:tcW w:w="625" w:type="pct"/>
            <w:vAlign w:val="center"/>
          </w:tcPr>
          <w:p>
            <w:pPr>
              <w:adjustRightInd w:val="0"/>
              <w:snapToGrid w:val="0"/>
              <w:spacing w:line="240" w:lineRule="auto"/>
              <w:ind w:firstLine="0" w:firstLineChars="0"/>
              <w:jc w:val="center"/>
              <w:rPr>
                <w:color w:val="auto"/>
                <w:sz w:val="21"/>
                <w:szCs w:val="21"/>
              </w:rPr>
            </w:pPr>
            <w:r>
              <w:rPr>
                <w:color w:val="auto"/>
                <w:sz w:val="21"/>
                <w:szCs w:val="21"/>
              </w:rPr>
              <w:t>7～8</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2210</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680</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216</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2.611</w:t>
            </w:r>
          </w:p>
        </w:tc>
        <w:tc>
          <w:tcPr>
            <w:tcW w:w="1166"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644.94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0" w:type="pct"/>
            <w:vMerge w:val="continue"/>
            <w:vAlign w:val="center"/>
          </w:tcPr>
          <w:p>
            <w:pPr>
              <w:adjustRightInd w:val="0"/>
              <w:snapToGrid w:val="0"/>
              <w:spacing w:line="240" w:lineRule="auto"/>
              <w:ind w:firstLine="0" w:firstLineChars="0"/>
              <w:jc w:val="center"/>
              <w:rPr>
                <w:rFonts w:hint="eastAsia"/>
                <w:color w:val="auto"/>
                <w:kern w:val="0"/>
                <w:sz w:val="21"/>
                <w:szCs w:val="21"/>
              </w:rPr>
            </w:pPr>
          </w:p>
        </w:tc>
        <w:tc>
          <w:tcPr>
            <w:tcW w:w="622"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去除率（%）</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w:t>
            </w:r>
          </w:p>
        </w:tc>
        <w:tc>
          <w:tcPr>
            <w:tcW w:w="1161"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60%</w:t>
            </w:r>
          </w:p>
        </w:tc>
        <w:tc>
          <w:tcPr>
            <w:tcW w:w="1161"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60%</w:t>
            </w:r>
          </w:p>
        </w:tc>
        <w:tc>
          <w:tcPr>
            <w:tcW w:w="1161"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40%</w:t>
            </w:r>
          </w:p>
        </w:tc>
        <w:tc>
          <w:tcPr>
            <w:tcW w:w="1161"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10%</w:t>
            </w:r>
          </w:p>
        </w:tc>
        <w:tc>
          <w:tcPr>
            <w:tcW w:w="1166"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0" w:type="pct"/>
            <w:vMerge w:val="continue"/>
            <w:vAlign w:val="center"/>
          </w:tcPr>
          <w:p>
            <w:pPr>
              <w:adjustRightInd w:val="0"/>
              <w:snapToGrid w:val="0"/>
              <w:spacing w:line="240" w:lineRule="auto"/>
              <w:ind w:firstLine="0" w:firstLineChars="0"/>
              <w:jc w:val="center"/>
              <w:rPr>
                <w:color w:val="auto"/>
                <w:sz w:val="21"/>
                <w:szCs w:val="21"/>
              </w:rPr>
            </w:pPr>
          </w:p>
        </w:tc>
        <w:tc>
          <w:tcPr>
            <w:tcW w:w="622" w:type="pct"/>
            <w:vAlign w:val="center"/>
          </w:tcPr>
          <w:p>
            <w:pPr>
              <w:adjustRightInd w:val="0"/>
              <w:snapToGrid w:val="0"/>
              <w:spacing w:line="240" w:lineRule="auto"/>
              <w:ind w:firstLine="0" w:firstLineChars="0"/>
              <w:jc w:val="center"/>
              <w:rPr>
                <w:color w:val="auto"/>
                <w:sz w:val="21"/>
                <w:szCs w:val="21"/>
              </w:rPr>
            </w:pPr>
            <w:r>
              <w:rPr>
                <w:color w:val="auto"/>
                <w:sz w:val="21"/>
                <w:szCs w:val="21"/>
              </w:rPr>
              <w:t>出水</w:t>
            </w:r>
          </w:p>
        </w:tc>
        <w:tc>
          <w:tcPr>
            <w:tcW w:w="625" w:type="pct"/>
            <w:vAlign w:val="center"/>
          </w:tcPr>
          <w:p>
            <w:pPr>
              <w:adjustRightInd w:val="0"/>
              <w:snapToGrid w:val="0"/>
              <w:spacing w:line="240" w:lineRule="auto"/>
              <w:ind w:firstLine="0" w:firstLineChars="0"/>
              <w:jc w:val="center"/>
              <w:rPr>
                <w:color w:val="auto"/>
                <w:sz w:val="21"/>
                <w:szCs w:val="21"/>
              </w:rPr>
            </w:pPr>
            <w:r>
              <w:rPr>
                <w:color w:val="auto"/>
                <w:sz w:val="21"/>
                <w:szCs w:val="21"/>
              </w:rPr>
              <w:t>7～8</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884</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272</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129.6</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2.3499</w:t>
            </w:r>
          </w:p>
        </w:tc>
        <w:tc>
          <w:tcPr>
            <w:tcW w:w="1166"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580.446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0" w:type="pct"/>
            <w:vMerge w:val="restart"/>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二沉池</w:t>
            </w:r>
          </w:p>
        </w:tc>
        <w:tc>
          <w:tcPr>
            <w:tcW w:w="622" w:type="pct"/>
            <w:vAlign w:val="center"/>
          </w:tcPr>
          <w:p>
            <w:pPr>
              <w:adjustRightInd w:val="0"/>
              <w:snapToGrid w:val="0"/>
              <w:spacing w:line="240" w:lineRule="auto"/>
              <w:ind w:firstLine="0" w:firstLineChars="0"/>
              <w:jc w:val="center"/>
              <w:rPr>
                <w:color w:val="auto"/>
                <w:sz w:val="21"/>
                <w:szCs w:val="21"/>
              </w:rPr>
            </w:pPr>
            <w:r>
              <w:rPr>
                <w:color w:val="auto"/>
                <w:sz w:val="21"/>
                <w:szCs w:val="21"/>
              </w:rPr>
              <w:t>进水</w:t>
            </w:r>
          </w:p>
        </w:tc>
        <w:tc>
          <w:tcPr>
            <w:tcW w:w="625" w:type="pct"/>
            <w:vAlign w:val="center"/>
          </w:tcPr>
          <w:p>
            <w:pPr>
              <w:adjustRightInd w:val="0"/>
              <w:snapToGrid w:val="0"/>
              <w:spacing w:line="240" w:lineRule="auto"/>
              <w:ind w:firstLine="0" w:firstLineChars="0"/>
              <w:jc w:val="center"/>
              <w:rPr>
                <w:color w:val="auto"/>
                <w:sz w:val="21"/>
                <w:szCs w:val="21"/>
              </w:rPr>
            </w:pPr>
            <w:r>
              <w:rPr>
                <w:color w:val="auto"/>
                <w:sz w:val="21"/>
                <w:szCs w:val="21"/>
              </w:rPr>
              <w:t>7～8</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884</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272</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129.6</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2.3499</w:t>
            </w:r>
          </w:p>
        </w:tc>
        <w:tc>
          <w:tcPr>
            <w:tcW w:w="1166"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580.446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0" w:type="pct"/>
            <w:vMerge w:val="continue"/>
            <w:vAlign w:val="center"/>
          </w:tcPr>
          <w:p>
            <w:pPr>
              <w:adjustRightInd w:val="0"/>
              <w:snapToGrid w:val="0"/>
              <w:spacing w:line="240" w:lineRule="auto"/>
              <w:ind w:firstLine="0" w:firstLineChars="0"/>
              <w:jc w:val="center"/>
              <w:rPr>
                <w:rFonts w:hint="eastAsia"/>
                <w:color w:val="auto"/>
                <w:sz w:val="21"/>
                <w:szCs w:val="21"/>
              </w:rPr>
            </w:pPr>
          </w:p>
        </w:tc>
        <w:tc>
          <w:tcPr>
            <w:tcW w:w="622"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去除率（%）</w:t>
            </w:r>
          </w:p>
        </w:tc>
        <w:tc>
          <w:tcPr>
            <w:tcW w:w="625" w:type="pct"/>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w:t>
            </w:r>
          </w:p>
        </w:tc>
        <w:tc>
          <w:tcPr>
            <w:tcW w:w="1161"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50%</w:t>
            </w:r>
          </w:p>
        </w:tc>
        <w:tc>
          <w:tcPr>
            <w:tcW w:w="1161"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50%</w:t>
            </w:r>
          </w:p>
        </w:tc>
        <w:tc>
          <w:tcPr>
            <w:tcW w:w="1161"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70%</w:t>
            </w:r>
          </w:p>
        </w:tc>
        <w:tc>
          <w:tcPr>
            <w:tcW w:w="1161"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10%</w:t>
            </w:r>
          </w:p>
        </w:tc>
        <w:tc>
          <w:tcPr>
            <w:tcW w:w="1166" w:type="dxa"/>
            <w:vAlign w:val="center"/>
          </w:tcPr>
          <w:p>
            <w:pPr>
              <w:adjustRightInd w:val="0"/>
              <w:snapToGrid w:val="0"/>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0" w:type="pct"/>
            <w:vMerge w:val="continue"/>
            <w:vAlign w:val="center"/>
          </w:tcPr>
          <w:p>
            <w:pPr>
              <w:adjustRightInd w:val="0"/>
              <w:snapToGrid w:val="0"/>
              <w:spacing w:line="240" w:lineRule="auto"/>
              <w:ind w:firstLine="0" w:firstLineChars="0"/>
              <w:jc w:val="center"/>
              <w:rPr>
                <w:color w:val="auto"/>
                <w:sz w:val="21"/>
                <w:szCs w:val="21"/>
              </w:rPr>
            </w:pPr>
          </w:p>
        </w:tc>
        <w:tc>
          <w:tcPr>
            <w:tcW w:w="622" w:type="pct"/>
            <w:vAlign w:val="center"/>
          </w:tcPr>
          <w:p>
            <w:pPr>
              <w:adjustRightInd w:val="0"/>
              <w:snapToGrid w:val="0"/>
              <w:spacing w:line="240" w:lineRule="auto"/>
              <w:ind w:firstLine="0" w:firstLineChars="0"/>
              <w:jc w:val="center"/>
              <w:rPr>
                <w:color w:val="auto"/>
                <w:sz w:val="21"/>
                <w:szCs w:val="21"/>
              </w:rPr>
            </w:pPr>
            <w:r>
              <w:rPr>
                <w:color w:val="auto"/>
                <w:sz w:val="21"/>
                <w:szCs w:val="21"/>
              </w:rPr>
              <w:t>出水</w:t>
            </w:r>
          </w:p>
        </w:tc>
        <w:tc>
          <w:tcPr>
            <w:tcW w:w="625" w:type="pct"/>
            <w:vAlign w:val="center"/>
          </w:tcPr>
          <w:p>
            <w:pPr>
              <w:adjustRightInd w:val="0"/>
              <w:snapToGrid w:val="0"/>
              <w:spacing w:line="240" w:lineRule="auto"/>
              <w:ind w:firstLine="0" w:firstLineChars="0"/>
              <w:jc w:val="center"/>
              <w:rPr>
                <w:color w:val="auto"/>
                <w:sz w:val="21"/>
                <w:szCs w:val="21"/>
              </w:rPr>
            </w:pPr>
            <w:r>
              <w:rPr>
                <w:color w:val="auto"/>
                <w:sz w:val="21"/>
                <w:szCs w:val="21"/>
              </w:rPr>
              <w:t>7～8</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442</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136</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38.88</w:t>
            </w:r>
          </w:p>
        </w:tc>
        <w:tc>
          <w:tcPr>
            <w:tcW w:w="1161"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2.11491</w:t>
            </w:r>
          </w:p>
        </w:tc>
        <w:tc>
          <w:tcPr>
            <w:tcW w:w="1166" w:type="dxa"/>
            <w:vAlign w:val="center"/>
          </w:tcPr>
          <w:p>
            <w:pPr>
              <w:adjustRightInd w:val="0"/>
              <w:snapToGrid w:val="0"/>
              <w:spacing w:line="240" w:lineRule="auto"/>
              <w:ind w:firstLine="0" w:firstLineChars="0"/>
              <w:jc w:val="center"/>
              <w:rPr>
                <w:color w:val="auto"/>
                <w:sz w:val="21"/>
                <w:szCs w:val="21"/>
              </w:rPr>
            </w:pPr>
            <w:r>
              <w:rPr>
                <w:rFonts w:hint="default"/>
                <w:color w:val="auto"/>
                <w:sz w:val="21"/>
                <w:szCs w:val="21"/>
                <w:lang w:val="en-US" w:eastAsia="zh-CN"/>
              </w:rPr>
              <w:t>522.4014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trPr>
        <w:tc>
          <w:tcPr>
            <w:tcW w:w="1242" w:type="pct"/>
            <w:gridSpan w:val="2"/>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出水标准</w:t>
            </w:r>
          </w:p>
        </w:tc>
        <w:tc>
          <w:tcPr>
            <w:tcW w:w="625" w:type="pct"/>
            <w:vAlign w:val="center"/>
          </w:tcPr>
          <w:p>
            <w:pPr>
              <w:tabs>
                <w:tab w:val="left" w:pos="5388"/>
              </w:tabs>
              <w:autoSpaceDE w:val="0"/>
              <w:autoSpaceDN w:val="0"/>
              <w:spacing w:line="240" w:lineRule="auto"/>
              <w:ind w:firstLine="0" w:firstLineChars="0"/>
              <w:jc w:val="center"/>
              <w:rPr>
                <w:rFonts w:hint="eastAsia" w:eastAsia="宋体"/>
                <w:color w:val="auto"/>
                <w:sz w:val="21"/>
                <w:szCs w:val="21"/>
                <w:lang w:eastAsia="zh-CN"/>
              </w:rPr>
            </w:pPr>
            <w:r>
              <w:rPr>
                <w:color w:val="auto"/>
                <w:sz w:val="21"/>
                <w:szCs w:val="21"/>
              </w:rPr>
              <w:t>6.</w:t>
            </w:r>
            <w:r>
              <w:rPr>
                <w:rFonts w:hint="eastAsia"/>
                <w:color w:val="auto"/>
                <w:sz w:val="21"/>
                <w:szCs w:val="21"/>
                <w:lang w:val="en-US" w:eastAsia="zh-CN"/>
              </w:rPr>
              <w:t>5</w:t>
            </w:r>
            <w:r>
              <w:rPr>
                <w:color w:val="auto"/>
                <w:sz w:val="21"/>
                <w:szCs w:val="21"/>
              </w:rPr>
              <w:t>～9.</w:t>
            </w:r>
            <w:r>
              <w:rPr>
                <w:rFonts w:hint="eastAsia"/>
                <w:color w:val="auto"/>
                <w:sz w:val="21"/>
                <w:szCs w:val="21"/>
                <w:lang w:val="en-US" w:eastAsia="zh-CN"/>
              </w:rPr>
              <w:t>5</w:t>
            </w:r>
          </w:p>
        </w:tc>
        <w:tc>
          <w:tcPr>
            <w:tcW w:w="1161" w:type="dxa"/>
            <w:vAlign w:val="center"/>
          </w:tcPr>
          <w:p>
            <w:pPr>
              <w:tabs>
                <w:tab w:val="left" w:pos="5388"/>
              </w:tabs>
              <w:autoSpaceDE w:val="0"/>
              <w:autoSpaceDN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500</w:t>
            </w:r>
          </w:p>
        </w:tc>
        <w:tc>
          <w:tcPr>
            <w:tcW w:w="1161" w:type="dxa"/>
            <w:vAlign w:val="center"/>
          </w:tcPr>
          <w:p>
            <w:pPr>
              <w:tabs>
                <w:tab w:val="left" w:pos="5388"/>
              </w:tabs>
              <w:autoSpaceDE w:val="0"/>
              <w:autoSpaceDN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150</w:t>
            </w:r>
          </w:p>
        </w:tc>
        <w:tc>
          <w:tcPr>
            <w:tcW w:w="625" w:type="pct"/>
            <w:vAlign w:val="center"/>
          </w:tcPr>
          <w:p>
            <w:pPr>
              <w:tabs>
                <w:tab w:val="left" w:pos="5388"/>
              </w:tabs>
              <w:autoSpaceDE w:val="0"/>
              <w:autoSpaceDN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400</w:t>
            </w:r>
          </w:p>
        </w:tc>
        <w:tc>
          <w:tcPr>
            <w:tcW w:w="625" w:type="pct"/>
            <w:vAlign w:val="center"/>
          </w:tcPr>
          <w:p>
            <w:pPr>
              <w:tabs>
                <w:tab w:val="left" w:pos="5388"/>
              </w:tabs>
              <w:autoSpaceDE w:val="0"/>
              <w:autoSpaceDN w:val="0"/>
              <w:spacing w:line="240" w:lineRule="auto"/>
              <w:ind w:firstLine="0" w:firstLineChars="0"/>
              <w:jc w:val="center"/>
              <w:rPr>
                <w:color w:val="auto"/>
                <w:sz w:val="21"/>
                <w:szCs w:val="21"/>
              </w:rPr>
            </w:pPr>
            <w:r>
              <w:rPr>
                <w:color w:val="auto"/>
                <w:sz w:val="21"/>
                <w:szCs w:val="21"/>
              </w:rPr>
              <w:t>/</w:t>
            </w:r>
          </w:p>
        </w:tc>
        <w:tc>
          <w:tcPr>
            <w:tcW w:w="628" w:type="pct"/>
            <w:vAlign w:val="center"/>
          </w:tcPr>
          <w:p>
            <w:pPr>
              <w:tabs>
                <w:tab w:val="left" w:pos="5388"/>
              </w:tabs>
              <w:autoSpaceDE w:val="0"/>
              <w:autoSpaceDN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1600</w:t>
            </w:r>
          </w:p>
        </w:tc>
      </w:tr>
    </w:tbl>
    <w:p>
      <w:pPr>
        <w:ind w:firstLine="480"/>
        <w:rPr>
          <w:color w:val="auto"/>
        </w:rPr>
      </w:pPr>
      <w:r>
        <w:rPr>
          <w:color w:val="auto"/>
        </w:rPr>
        <w:t>由表</w:t>
      </w:r>
      <w:r>
        <w:rPr>
          <w:rFonts w:hint="eastAsia"/>
          <w:color w:val="auto"/>
          <w:lang w:val="en-US" w:eastAsia="zh-CN"/>
        </w:rPr>
        <w:t>8.2-2</w:t>
      </w:r>
      <w:r>
        <w:rPr>
          <w:color w:val="auto"/>
        </w:rPr>
        <w:t>可以看出，污水站出水能够满足</w:t>
      </w:r>
      <w:r>
        <w:rPr>
          <w:rFonts w:hint="eastAsia"/>
          <w:color w:val="auto"/>
          <w:lang w:val="en-US" w:eastAsia="zh-CN"/>
        </w:rPr>
        <w:t>《污水综合排放标准》（GB8978-1996）三级标准及光大水务（淄博）有限公司水质净化三分厂纳管水质要求</w:t>
      </w:r>
      <w:r>
        <w:rPr>
          <w:color w:val="auto"/>
        </w:rPr>
        <w:t>。</w:t>
      </w:r>
    </w:p>
    <w:p>
      <w:pPr>
        <w:pStyle w:val="2"/>
        <w:spacing w:after="0" w:line="360" w:lineRule="auto"/>
        <w:ind w:firstLine="480"/>
        <w:rPr>
          <w:color w:val="auto"/>
        </w:rPr>
      </w:pPr>
      <w:r>
        <w:rPr>
          <w:color w:val="auto"/>
        </w:rPr>
        <w:t>根据设计单位测算，全套设备造价</w:t>
      </w:r>
      <w:r>
        <w:rPr>
          <w:rFonts w:hint="eastAsia"/>
          <w:color w:val="auto"/>
        </w:rPr>
        <w:t>50</w:t>
      </w:r>
      <w:r>
        <w:rPr>
          <w:color w:val="auto"/>
        </w:rPr>
        <w:t>万元，处理成本为</w:t>
      </w:r>
      <w:r>
        <w:rPr>
          <w:rFonts w:hint="eastAsia"/>
          <w:color w:val="auto"/>
        </w:rPr>
        <w:t>3.6</w:t>
      </w:r>
      <w:r>
        <w:rPr>
          <w:color w:val="auto"/>
        </w:rPr>
        <w:t>元/m</w:t>
      </w:r>
      <w:r>
        <w:rPr>
          <w:color w:val="auto"/>
          <w:vertAlign w:val="superscript"/>
        </w:rPr>
        <w:t>3</w:t>
      </w:r>
      <w:r>
        <w:rPr>
          <w:color w:val="auto"/>
        </w:rPr>
        <w:t>，运行费用约为0.55万元，不但节约新鲜水，同时还实现污染物的减排，因此，从环保和经济方面综合考虑，本项目建设污水处理系统方案可行。</w:t>
      </w:r>
    </w:p>
    <w:p>
      <w:pPr>
        <w:pStyle w:val="8"/>
        <w:spacing w:before="0" w:beforeLines="0" w:after="0" w:afterLines="0" w:line="360" w:lineRule="auto"/>
        <w:rPr>
          <w:color w:val="auto"/>
        </w:rPr>
      </w:pPr>
      <w:bookmarkStart w:id="396" w:name="_Toc8189"/>
      <w:bookmarkStart w:id="397" w:name="_Toc11075"/>
      <w:r>
        <w:rPr>
          <w:color w:val="auto"/>
        </w:rPr>
        <w:t>8.3固体废物处置措施及经济可行性分析</w:t>
      </w:r>
      <w:bookmarkEnd w:id="396"/>
      <w:bookmarkEnd w:id="397"/>
    </w:p>
    <w:p>
      <w:pPr>
        <w:pStyle w:val="9"/>
        <w:spacing w:before="0" w:beforeLines="0" w:after="0" w:afterLines="0" w:line="360" w:lineRule="auto"/>
        <w:rPr>
          <w:color w:val="auto"/>
        </w:rPr>
      </w:pPr>
      <w:r>
        <w:rPr>
          <w:color w:val="auto"/>
        </w:rPr>
        <w:t>8.3.1固体废物处置措施分析</w:t>
      </w:r>
    </w:p>
    <w:p>
      <w:pPr>
        <w:ind w:firstLine="480"/>
        <w:rPr>
          <w:color w:val="auto"/>
        </w:rPr>
      </w:pPr>
      <w:r>
        <w:rPr>
          <w:rFonts w:hint="eastAsia"/>
          <w:color w:val="auto"/>
          <w:lang w:eastAsia="zh-CN"/>
        </w:rPr>
        <w:t>拟建项目主要固废包括废包装袋、废包装桶、高沸物、</w:t>
      </w:r>
      <w:r>
        <w:rPr>
          <w:rFonts w:hint="eastAsia"/>
          <w:color w:val="auto"/>
          <w:lang w:val="en-US" w:eastAsia="zh-CN"/>
        </w:rPr>
        <w:t>罐底残渣、</w:t>
      </w:r>
      <w:r>
        <w:rPr>
          <w:rFonts w:hint="eastAsia"/>
          <w:color w:val="auto"/>
          <w:lang w:eastAsia="zh-CN"/>
        </w:rPr>
        <w:t>废活性炭、废润滑油、化验室废试剂瓶、化验室废液、</w:t>
      </w:r>
      <w:r>
        <w:rPr>
          <w:rFonts w:hint="eastAsia"/>
          <w:color w:val="auto"/>
          <w:lang w:val="en-US" w:eastAsia="zh-CN"/>
        </w:rPr>
        <w:t>废导热油、</w:t>
      </w:r>
      <w:r>
        <w:rPr>
          <w:rFonts w:hint="eastAsia"/>
          <w:color w:val="auto"/>
          <w:lang w:eastAsia="zh-CN"/>
        </w:rPr>
        <w:t>污水站污泥、生活垃圾等。</w:t>
      </w:r>
      <w:r>
        <w:rPr>
          <w:rFonts w:hint="eastAsia"/>
          <w:color w:val="auto"/>
        </w:rPr>
        <w:t>拟建项目</w:t>
      </w:r>
      <w:r>
        <w:rPr>
          <w:color w:val="auto"/>
        </w:rPr>
        <w:t>产生的</w:t>
      </w:r>
      <w:r>
        <w:rPr>
          <w:rFonts w:hint="eastAsia"/>
          <w:color w:val="auto"/>
        </w:rPr>
        <w:t>一般工业固废</w:t>
      </w:r>
      <w:r>
        <w:rPr>
          <w:color w:val="auto"/>
        </w:rPr>
        <w:t>主要是废包装袋、废包装桶、污水站污泥</w:t>
      </w:r>
      <w:r>
        <w:rPr>
          <w:rFonts w:hint="eastAsia"/>
          <w:color w:val="auto"/>
        </w:rPr>
        <w:t>及生活垃圾</w:t>
      </w:r>
      <w:r>
        <w:rPr>
          <w:color w:val="auto"/>
        </w:rPr>
        <w:t>。废包装袋、废包装桶暂存于</w:t>
      </w:r>
      <w:r>
        <w:rPr>
          <w:rFonts w:hint="eastAsia"/>
          <w:color w:val="auto"/>
        </w:rPr>
        <w:t>一般工业固废</w:t>
      </w:r>
      <w:r>
        <w:rPr>
          <w:color w:val="auto"/>
        </w:rPr>
        <w:t>仓库，</w:t>
      </w:r>
      <w:r>
        <w:rPr>
          <w:rFonts w:hint="eastAsia"/>
          <w:color w:val="auto"/>
        </w:rPr>
        <w:t>定期统一</w:t>
      </w:r>
      <w:r>
        <w:rPr>
          <w:rFonts w:hint="eastAsia"/>
          <w:color w:val="auto"/>
          <w:lang w:val="en-US" w:eastAsia="zh-CN"/>
        </w:rPr>
        <w:t>由厂家回收</w:t>
      </w:r>
      <w:r>
        <w:rPr>
          <w:color w:val="auto"/>
        </w:rPr>
        <w:t>，污水站污泥</w:t>
      </w:r>
      <w:r>
        <w:rPr>
          <w:rFonts w:hint="eastAsia"/>
          <w:color w:val="auto"/>
        </w:rPr>
        <w:t>委托处置，</w:t>
      </w:r>
      <w:r>
        <w:rPr>
          <w:color w:val="auto"/>
        </w:rPr>
        <w:t>生活垃圾定期由环卫部门清运。</w:t>
      </w:r>
    </w:p>
    <w:p>
      <w:pPr>
        <w:ind w:firstLine="480"/>
        <w:rPr>
          <w:color w:val="auto"/>
        </w:rPr>
      </w:pPr>
      <w:r>
        <w:rPr>
          <w:color w:val="auto"/>
        </w:rPr>
        <w:t>本项目废润滑油</w:t>
      </w:r>
      <w:r>
        <w:rPr>
          <w:rFonts w:hint="eastAsia"/>
          <w:color w:val="auto"/>
          <w:lang w:eastAsia="zh-CN"/>
        </w:rPr>
        <w:t>、高沸物、</w:t>
      </w:r>
      <w:r>
        <w:rPr>
          <w:rFonts w:hint="eastAsia"/>
          <w:color w:val="auto"/>
          <w:lang w:val="en-US" w:eastAsia="zh-CN"/>
        </w:rPr>
        <w:t>罐底残渣、</w:t>
      </w:r>
      <w:r>
        <w:rPr>
          <w:color w:val="auto"/>
        </w:rPr>
        <w:t>定期更换后收集至包装桶，由叉车转运至危废暂存间；化验室废液装桶后与废试剂瓶转运至危废暂存间；废活性炭更换后收集到</w:t>
      </w:r>
      <w:r>
        <w:rPr>
          <w:rFonts w:hint="eastAsia"/>
          <w:color w:val="auto"/>
        </w:rPr>
        <w:t>包装桶内</w:t>
      </w:r>
      <w:r>
        <w:rPr>
          <w:color w:val="auto"/>
        </w:rPr>
        <w:t>，由叉车转运至危废暂存间</w:t>
      </w:r>
      <w:r>
        <w:rPr>
          <w:rFonts w:hint="eastAsia"/>
          <w:color w:val="auto"/>
        </w:rPr>
        <w:t>，</w:t>
      </w:r>
      <w:r>
        <w:rPr>
          <w:rFonts w:hint="eastAsia"/>
          <w:color w:val="auto"/>
          <w:lang w:val="en-US" w:eastAsia="zh-CN"/>
        </w:rPr>
        <w:t>废导热油每四年更换一次，由有资质单位处置，</w:t>
      </w:r>
      <w:r>
        <w:rPr>
          <w:color w:val="auto"/>
        </w:rPr>
        <w:t>所产危废均委托有资质单位处置。</w:t>
      </w:r>
    </w:p>
    <w:p>
      <w:pPr>
        <w:pStyle w:val="2"/>
        <w:ind w:firstLine="480"/>
        <w:rPr>
          <w:color w:val="auto"/>
        </w:rPr>
      </w:pPr>
      <w:r>
        <w:rPr>
          <w:rFonts w:hint="eastAsia"/>
          <w:color w:val="auto"/>
        </w:rPr>
        <w:t>淄博市能够收集贮存、利用HW08（900-217-08）、HW49（</w:t>
      </w:r>
      <w:r>
        <w:rPr>
          <w:color w:val="auto"/>
        </w:rPr>
        <w:t>900-039-49</w:t>
      </w:r>
      <w:r>
        <w:rPr>
          <w:rFonts w:hint="eastAsia"/>
          <w:color w:val="auto"/>
        </w:rPr>
        <w:t>、</w:t>
      </w:r>
      <w:r>
        <w:rPr>
          <w:color w:val="auto"/>
        </w:rPr>
        <w:t>900-047-49</w:t>
      </w:r>
      <w:r>
        <w:rPr>
          <w:rFonts w:hint="eastAsia"/>
          <w:color w:val="auto"/>
        </w:rPr>
        <w:t>）</w:t>
      </w:r>
      <w:r>
        <w:rPr>
          <w:rFonts w:hint="eastAsia"/>
          <w:color w:val="auto"/>
          <w:lang w:eastAsia="zh-CN"/>
        </w:rPr>
        <w:t>、</w:t>
      </w:r>
      <w:r>
        <w:rPr>
          <w:rFonts w:hint="eastAsia"/>
          <w:color w:val="auto"/>
          <w:lang w:val="en-US" w:eastAsia="zh-CN"/>
        </w:rPr>
        <w:t>HW50（900-048-50）</w:t>
      </w:r>
      <w:r>
        <w:rPr>
          <w:rFonts w:hint="eastAsia"/>
          <w:color w:val="auto"/>
        </w:rPr>
        <w:t>危险废物经营单位有淄博晨越宝山环保科技有限公司（山东省淄博市淄川区岭子镇宋家村）、淄博重山思沃瑞环保科技有限公司（山东省淄博市淄川区罗村镇南韩村）、光大环保危废处置（淄博）有限公司（淄博市</w:t>
      </w:r>
      <w:r>
        <w:rPr>
          <w:rFonts w:hint="eastAsia"/>
          <w:color w:val="auto"/>
          <w:lang w:eastAsia="zh-CN"/>
        </w:rPr>
        <w:t>张店</w:t>
      </w:r>
      <w:r>
        <w:rPr>
          <w:rFonts w:hint="eastAsia"/>
          <w:color w:val="auto"/>
        </w:rPr>
        <w:t>区金山镇冯北路878号）、淄博凌真经贸有限公司（淄博市桓台县索镇寿济路4499甲19号）、山东绿川环保科技有限公司（淄博市博山区经济开发区徐雅村工业园）、淄博首拓环境科技有限公司（淄博市</w:t>
      </w:r>
      <w:r>
        <w:rPr>
          <w:rFonts w:hint="eastAsia"/>
          <w:color w:val="auto"/>
          <w:lang w:eastAsia="zh-CN"/>
        </w:rPr>
        <w:t>张店</w:t>
      </w:r>
      <w:r>
        <w:rPr>
          <w:rFonts w:hint="eastAsia"/>
          <w:color w:val="auto"/>
        </w:rPr>
        <w:t>区金山镇齐鲁化学工业区金山创新创业产业区）、</w:t>
      </w:r>
      <w:r>
        <w:rPr>
          <w:rFonts w:hint="eastAsia"/>
          <w:color w:val="auto"/>
          <w:lang w:val="en-US" w:eastAsia="zh-CN"/>
        </w:rPr>
        <w:t>淄</w:t>
      </w:r>
      <w:r>
        <w:rPr>
          <w:rFonts w:hint="eastAsia"/>
          <w:color w:val="auto"/>
        </w:rPr>
        <w:t>博祖天环保科技有限公司（山东省淄博市淄川区龙泉镇圈子村东首）、淄博资沅环保科技有限公司（淄博市博山区山头街道南环路199号甲2）、淄博汇泉环保科技有限公司（淄博市文昌湖区萌水镇三衣工业园）、淄博利赛环保科技有限公司（淄博市淄川区罗村镇罗村村秀川大道84号），</w:t>
      </w:r>
      <w:r>
        <w:rPr>
          <w:color w:val="auto"/>
        </w:rPr>
        <w:t>建设单位可根据距离、价格、处理量等各方面考量选择适合本单位的危废处置厂家。</w:t>
      </w:r>
    </w:p>
    <w:p>
      <w:pPr>
        <w:pStyle w:val="9"/>
        <w:spacing w:before="0" w:beforeLines="0" w:after="0" w:afterLines="0" w:line="360" w:lineRule="auto"/>
        <w:rPr>
          <w:color w:val="auto"/>
        </w:rPr>
      </w:pPr>
      <w:r>
        <w:rPr>
          <w:color w:val="auto"/>
        </w:rPr>
        <w:t>8.3.2固体废物处置经济分析</w:t>
      </w:r>
    </w:p>
    <w:p>
      <w:pPr>
        <w:tabs>
          <w:tab w:val="left" w:pos="600"/>
        </w:tabs>
        <w:ind w:firstLine="480"/>
        <w:rPr>
          <w:color w:val="auto"/>
          <w:szCs w:val="22"/>
        </w:rPr>
      </w:pPr>
      <w:r>
        <w:rPr>
          <w:color w:val="auto"/>
          <w:szCs w:val="22"/>
        </w:rPr>
        <w:t>结合项目固废产生及治理情况可知，本项目固废治理措施运行费用主要为危险固废委托处理的费用，根据企业盈利情况，企业可支付固废年运行费用，</w:t>
      </w:r>
      <w:r>
        <w:rPr>
          <w:color w:val="auto"/>
        </w:rPr>
        <w:t>从环保和经济方面综合考虑，本项目固废治理方案是可行的</w:t>
      </w:r>
      <w:r>
        <w:rPr>
          <w:color w:val="auto"/>
          <w:szCs w:val="22"/>
        </w:rPr>
        <w:t>。</w:t>
      </w:r>
    </w:p>
    <w:p>
      <w:pPr>
        <w:adjustRightInd w:val="0"/>
        <w:snapToGrid w:val="0"/>
        <w:ind w:firstLine="0" w:firstLineChars="0"/>
        <w:jc w:val="center"/>
        <w:rPr>
          <w:rFonts w:eastAsia="黑体"/>
          <w:b/>
          <w:color w:val="auto"/>
          <w:sz w:val="21"/>
          <w:szCs w:val="21"/>
        </w:rPr>
      </w:pPr>
      <w:r>
        <w:rPr>
          <w:rFonts w:eastAsia="黑体"/>
          <w:b/>
          <w:color w:val="auto"/>
          <w:sz w:val="21"/>
          <w:szCs w:val="21"/>
        </w:rPr>
        <w:t>表8.3-1  本项目固废处理方案主要经济指标一览表</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40"/>
        <w:gridCol w:w="13"/>
        <w:gridCol w:w="2625"/>
        <w:gridCol w:w="2257"/>
        <w:gridCol w:w="21"/>
        <w:gridCol w:w="22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9" w:type="pct"/>
            <w:gridSpan w:val="2"/>
            <w:vAlign w:val="center"/>
          </w:tcPr>
          <w:p>
            <w:pPr>
              <w:spacing w:line="240" w:lineRule="auto"/>
              <w:ind w:firstLine="0" w:firstLineChars="0"/>
              <w:jc w:val="center"/>
              <w:rPr>
                <w:b/>
                <w:color w:val="auto"/>
                <w:sz w:val="21"/>
                <w:szCs w:val="21"/>
              </w:rPr>
            </w:pPr>
            <w:r>
              <w:rPr>
                <w:b/>
                <w:color w:val="auto"/>
                <w:sz w:val="21"/>
                <w:szCs w:val="21"/>
              </w:rPr>
              <w:t>固废类别</w:t>
            </w:r>
          </w:p>
        </w:tc>
        <w:tc>
          <w:tcPr>
            <w:tcW w:w="1413" w:type="pct"/>
            <w:vAlign w:val="center"/>
          </w:tcPr>
          <w:p>
            <w:pPr>
              <w:spacing w:line="240" w:lineRule="auto"/>
              <w:ind w:firstLine="0" w:firstLineChars="0"/>
              <w:jc w:val="center"/>
              <w:rPr>
                <w:b/>
                <w:color w:val="auto"/>
                <w:sz w:val="21"/>
                <w:szCs w:val="21"/>
              </w:rPr>
            </w:pPr>
            <w:r>
              <w:rPr>
                <w:b/>
                <w:color w:val="auto"/>
                <w:sz w:val="21"/>
                <w:szCs w:val="21"/>
              </w:rPr>
              <w:t>固废数量（吨/年）</w:t>
            </w:r>
          </w:p>
        </w:tc>
        <w:tc>
          <w:tcPr>
            <w:tcW w:w="1226" w:type="pct"/>
            <w:gridSpan w:val="2"/>
            <w:vAlign w:val="center"/>
          </w:tcPr>
          <w:p>
            <w:pPr>
              <w:spacing w:line="240" w:lineRule="auto"/>
              <w:ind w:firstLine="0" w:firstLineChars="0"/>
              <w:jc w:val="center"/>
              <w:rPr>
                <w:b/>
                <w:color w:val="auto"/>
                <w:sz w:val="21"/>
                <w:szCs w:val="21"/>
              </w:rPr>
            </w:pPr>
            <w:r>
              <w:rPr>
                <w:b/>
                <w:color w:val="auto"/>
                <w:sz w:val="21"/>
                <w:szCs w:val="21"/>
              </w:rPr>
              <w:t>处置单价</w:t>
            </w:r>
          </w:p>
          <w:p>
            <w:pPr>
              <w:spacing w:line="240" w:lineRule="auto"/>
              <w:ind w:firstLine="0" w:firstLineChars="0"/>
              <w:jc w:val="center"/>
              <w:rPr>
                <w:b/>
                <w:color w:val="auto"/>
                <w:sz w:val="21"/>
                <w:szCs w:val="21"/>
              </w:rPr>
            </w:pPr>
            <w:r>
              <w:rPr>
                <w:b/>
                <w:color w:val="auto"/>
                <w:sz w:val="21"/>
                <w:szCs w:val="21"/>
              </w:rPr>
              <w:t>（元/吨）</w:t>
            </w:r>
          </w:p>
        </w:tc>
        <w:tc>
          <w:tcPr>
            <w:tcW w:w="1201" w:type="pct"/>
            <w:vAlign w:val="center"/>
          </w:tcPr>
          <w:p>
            <w:pPr>
              <w:spacing w:line="240" w:lineRule="auto"/>
              <w:ind w:firstLine="0" w:firstLineChars="0"/>
              <w:jc w:val="center"/>
              <w:rPr>
                <w:b/>
                <w:color w:val="auto"/>
                <w:sz w:val="21"/>
                <w:szCs w:val="21"/>
              </w:rPr>
            </w:pPr>
            <w:r>
              <w:rPr>
                <w:b/>
                <w:color w:val="auto"/>
                <w:sz w:val="21"/>
                <w:szCs w:val="21"/>
              </w:rPr>
              <w:t>总费用</w:t>
            </w:r>
          </w:p>
          <w:p>
            <w:pPr>
              <w:spacing w:line="240" w:lineRule="auto"/>
              <w:ind w:firstLine="0" w:firstLineChars="0"/>
              <w:jc w:val="center"/>
              <w:rPr>
                <w:b/>
                <w:color w:val="auto"/>
                <w:sz w:val="21"/>
                <w:szCs w:val="21"/>
              </w:rPr>
            </w:pPr>
            <w:r>
              <w:rPr>
                <w:b/>
                <w:color w:val="auto"/>
                <w:sz w:val="21"/>
                <w:szCs w:val="21"/>
              </w:rPr>
              <w:t>（元）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9" w:type="pct"/>
            <w:gridSpan w:val="2"/>
            <w:vAlign w:val="center"/>
          </w:tcPr>
          <w:p>
            <w:pPr>
              <w:spacing w:line="312" w:lineRule="exact"/>
              <w:ind w:firstLine="0" w:firstLineChars="0"/>
              <w:jc w:val="center"/>
              <w:rPr>
                <w:color w:val="auto"/>
                <w:sz w:val="21"/>
                <w:szCs w:val="21"/>
              </w:rPr>
            </w:pPr>
            <w:r>
              <w:rPr>
                <w:rFonts w:hint="eastAsia"/>
                <w:color w:val="auto"/>
                <w:kern w:val="0"/>
                <w:sz w:val="21"/>
                <w:szCs w:val="21"/>
              </w:rPr>
              <w:t>废活性炭</w:t>
            </w:r>
          </w:p>
        </w:tc>
        <w:tc>
          <w:tcPr>
            <w:tcW w:w="1413" w:type="pct"/>
            <w:vAlign w:val="center"/>
          </w:tcPr>
          <w:p>
            <w:pPr>
              <w:spacing w:line="312" w:lineRule="exact"/>
              <w:ind w:firstLine="0" w:firstLineChars="0"/>
              <w:jc w:val="center"/>
              <w:rPr>
                <w:rFonts w:hint="eastAsia" w:eastAsia="宋体"/>
                <w:color w:val="auto"/>
                <w:kern w:val="0"/>
                <w:sz w:val="21"/>
                <w:szCs w:val="21"/>
                <w:lang w:eastAsia="zh-CN"/>
              </w:rPr>
            </w:pPr>
            <w:r>
              <w:rPr>
                <w:rFonts w:hint="eastAsia"/>
                <w:color w:val="auto"/>
                <w:sz w:val="21"/>
                <w:szCs w:val="21"/>
                <w:lang w:eastAsia="zh-CN"/>
              </w:rPr>
              <w:t>8.64</w:t>
            </w:r>
          </w:p>
        </w:tc>
        <w:tc>
          <w:tcPr>
            <w:tcW w:w="1226" w:type="pct"/>
            <w:gridSpan w:val="2"/>
            <w:vAlign w:val="center"/>
          </w:tcPr>
          <w:p>
            <w:pPr>
              <w:spacing w:line="240" w:lineRule="auto"/>
              <w:ind w:firstLine="0" w:firstLineChars="0"/>
              <w:jc w:val="center"/>
              <w:rPr>
                <w:color w:val="auto"/>
                <w:sz w:val="21"/>
                <w:szCs w:val="21"/>
              </w:rPr>
            </w:pPr>
            <w:r>
              <w:rPr>
                <w:rFonts w:hint="eastAsia"/>
                <w:color w:val="auto"/>
                <w:sz w:val="21"/>
                <w:szCs w:val="21"/>
              </w:rPr>
              <w:t>3500</w:t>
            </w:r>
          </w:p>
        </w:tc>
        <w:tc>
          <w:tcPr>
            <w:tcW w:w="1201" w:type="pct"/>
            <w:vAlign w:val="center"/>
          </w:tcPr>
          <w:p>
            <w:pPr>
              <w:spacing w:line="240" w:lineRule="auto"/>
              <w:ind w:firstLine="0" w:firstLineChars="0"/>
              <w:jc w:val="center"/>
              <w:rPr>
                <w:color w:val="auto"/>
                <w:sz w:val="21"/>
                <w:szCs w:val="21"/>
              </w:rPr>
            </w:pPr>
            <w:r>
              <w:rPr>
                <w:rFonts w:hint="eastAsia"/>
                <w:color w:val="auto"/>
                <w:sz w:val="21"/>
                <w:szCs w:val="21"/>
              </w:rPr>
              <w:t>31920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9" w:type="pct"/>
            <w:gridSpan w:val="2"/>
            <w:vAlign w:val="center"/>
          </w:tcPr>
          <w:p>
            <w:pPr>
              <w:spacing w:line="312" w:lineRule="exact"/>
              <w:ind w:firstLine="0" w:firstLineChars="0"/>
              <w:jc w:val="center"/>
              <w:rPr>
                <w:color w:val="auto"/>
                <w:kern w:val="0"/>
                <w:sz w:val="21"/>
                <w:szCs w:val="21"/>
              </w:rPr>
            </w:pPr>
            <w:r>
              <w:rPr>
                <w:color w:val="auto"/>
                <w:kern w:val="0"/>
                <w:sz w:val="21"/>
                <w:szCs w:val="21"/>
              </w:rPr>
              <w:t>废润滑油</w:t>
            </w:r>
          </w:p>
        </w:tc>
        <w:tc>
          <w:tcPr>
            <w:tcW w:w="1413" w:type="pct"/>
            <w:vAlign w:val="center"/>
          </w:tcPr>
          <w:p>
            <w:pPr>
              <w:spacing w:line="312" w:lineRule="exact"/>
              <w:ind w:firstLine="0" w:firstLineChars="0"/>
              <w:jc w:val="center"/>
              <w:rPr>
                <w:rFonts w:hint="eastAsia" w:eastAsia="宋体"/>
                <w:color w:val="auto"/>
                <w:kern w:val="0"/>
                <w:sz w:val="21"/>
                <w:szCs w:val="21"/>
                <w:lang w:eastAsia="zh-CN"/>
              </w:rPr>
            </w:pPr>
            <w:r>
              <w:rPr>
                <w:rFonts w:hint="eastAsia"/>
                <w:color w:val="auto"/>
                <w:sz w:val="21"/>
                <w:szCs w:val="21"/>
              </w:rPr>
              <w:t>0.</w:t>
            </w:r>
            <w:r>
              <w:rPr>
                <w:rFonts w:hint="eastAsia"/>
                <w:color w:val="auto"/>
                <w:sz w:val="21"/>
                <w:szCs w:val="21"/>
                <w:lang w:val="en-US" w:eastAsia="zh-CN"/>
              </w:rPr>
              <w:t>1</w:t>
            </w:r>
          </w:p>
        </w:tc>
        <w:tc>
          <w:tcPr>
            <w:tcW w:w="1226" w:type="pct"/>
            <w:gridSpan w:val="2"/>
            <w:vAlign w:val="center"/>
          </w:tcPr>
          <w:p>
            <w:pPr>
              <w:spacing w:line="240" w:lineRule="auto"/>
              <w:ind w:firstLine="0" w:firstLineChars="0"/>
              <w:jc w:val="center"/>
              <w:rPr>
                <w:color w:val="auto"/>
                <w:sz w:val="21"/>
                <w:szCs w:val="21"/>
              </w:rPr>
            </w:pPr>
            <w:r>
              <w:rPr>
                <w:rFonts w:hint="eastAsia"/>
                <w:color w:val="auto"/>
                <w:sz w:val="21"/>
                <w:szCs w:val="21"/>
              </w:rPr>
              <w:t>2000</w:t>
            </w:r>
          </w:p>
        </w:tc>
        <w:tc>
          <w:tcPr>
            <w:tcW w:w="1201" w:type="pct"/>
            <w:vAlign w:val="center"/>
          </w:tcPr>
          <w:p>
            <w:pPr>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 xml:space="preserve">200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9" w:type="pct"/>
            <w:gridSpan w:val="2"/>
            <w:vAlign w:val="center"/>
          </w:tcPr>
          <w:p>
            <w:pPr>
              <w:spacing w:line="312" w:lineRule="exact"/>
              <w:ind w:firstLine="0" w:firstLineChars="0"/>
              <w:jc w:val="center"/>
              <w:rPr>
                <w:color w:val="auto"/>
                <w:kern w:val="0"/>
                <w:sz w:val="21"/>
                <w:szCs w:val="21"/>
              </w:rPr>
            </w:pPr>
            <w:r>
              <w:rPr>
                <w:color w:val="auto"/>
                <w:kern w:val="0"/>
                <w:sz w:val="21"/>
                <w:szCs w:val="21"/>
              </w:rPr>
              <w:t>化验室废试剂瓶</w:t>
            </w:r>
          </w:p>
        </w:tc>
        <w:tc>
          <w:tcPr>
            <w:tcW w:w="1413" w:type="pct"/>
            <w:vAlign w:val="center"/>
          </w:tcPr>
          <w:p>
            <w:pPr>
              <w:spacing w:line="312" w:lineRule="exact"/>
              <w:ind w:firstLine="0" w:firstLineChars="0"/>
              <w:jc w:val="center"/>
              <w:rPr>
                <w:color w:val="auto"/>
                <w:kern w:val="0"/>
                <w:sz w:val="21"/>
                <w:szCs w:val="21"/>
              </w:rPr>
            </w:pPr>
            <w:r>
              <w:rPr>
                <w:rFonts w:hint="eastAsia"/>
                <w:color w:val="auto"/>
                <w:sz w:val="21"/>
                <w:szCs w:val="21"/>
              </w:rPr>
              <w:t>0.2</w:t>
            </w:r>
          </w:p>
        </w:tc>
        <w:tc>
          <w:tcPr>
            <w:tcW w:w="1226" w:type="pct"/>
            <w:gridSpan w:val="2"/>
            <w:vAlign w:val="center"/>
          </w:tcPr>
          <w:p>
            <w:pPr>
              <w:spacing w:line="240" w:lineRule="auto"/>
              <w:ind w:firstLine="0" w:firstLineChars="0"/>
              <w:jc w:val="center"/>
              <w:rPr>
                <w:color w:val="auto"/>
                <w:sz w:val="21"/>
                <w:szCs w:val="21"/>
              </w:rPr>
            </w:pPr>
            <w:r>
              <w:rPr>
                <w:rFonts w:hint="eastAsia"/>
                <w:color w:val="auto"/>
                <w:sz w:val="21"/>
                <w:szCs w:val="21"/>
              </w:rPr>
              <w:t>5000</w:t>
            </w:r>
          </w:p>
        </w:tc>
        <w:tc>
          <w:tcPr>
            <w:tcW w:w="1201" w:type="pct"/>
            <w:vAlign w:val="center"/>
          </w:tcPr>
          <w:p>
            <w:pPr>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 xml:space="preserve">1000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9" w:type="pct"/>
            <w:gridSpan w:val="2"/>
            <w:vAlign w:val="center"/>
          </w:tcPr>
          <w:p>
            <w:pPr>
              <w:spacing w:line="312" w:lineRule="exact"/>
              <w:ind w:firstLine="0" w:firstLineChars="0"/>
              <w:jc w:val="center"/>
              <w:rPr>
                <w:color w:val="auto"/>
                <w:kern w:val="0"/>
                <w:sz w:val="21"/>
                <w:szCs w:val="21"/>
              </w:rPr>
            </w:pPr>
            <w:r>
              <w:rPr>
                <w:color w:val="auto"/>
                <w:kern w:val="0"/>
                <w:sz w:val="21"/>
                <w:szCs w:val="21"/>
              </w:rPr>
              <w:t>化验室废液</w:t>
            </w:r>
          </w:p>
        </w:tc>
        <w:tc>
          <w:tcPr>
            <w:tcW w:w="1413" w:type="pct"/>
            <w:vAlign w:val="center"/>
          </w:tcPr>
          <w:p>
            <w:pPr>
              <w:spacing w:line="312" w:lineRule="exact"/>
              <w:ind w:firstLine="0" w:firstLineChars="0"/>
              <w:jc w:val="center"/>
              <w:rPr>
                <w:color w:val="auto"/>
                <w:kern w:val="0"/>
                <w:sz w:val="21"/>
                <w:szCs w:val="21"/>
              </w:rPr>
            </w:pPr>
            <w:r>
              <w:rPr>
                <w:color w:val="auto"/>
                <w:sz w:val="21"/>
                <w:szCs w:val="21"/>
              </w:rPr>
              <w:t>0.5</w:t>
            </w:r>
          </w:p>
        </w:tc>
        <w:tc>
          <w:tcPr>
            <w:tcW w:w="1226" w:type="pct"/>
            <w:gridSpan w:val="2"/>
            <w:vAlign w:val="center"/>
          </w:tcPr>
          <w:p>
            <w:pPr>
              <w:spacing w:line="240" w:lineRule="auto"/>
              <w:ind w:firstLine="0" w:firstLineChars="0"/>
              <w:jc w:val="center"/>
              <w:rPr>
                <w:color w:val="auto"/>
                <w:sz w:val="21"/>
                <w:szCs w:val="21"/>
              </w:rPr>
            </w:pPr>
            <w:r>
              <w:rPr>
                <w:rFonts w:hint="eastAsia"/>
                <w:color w:val="auto"/>
                <w:sz w:val="21"/>
                <w:szCs w:val="21"/>
              </w:rPr>
              <w:t>50000</w:t>
            </w:r>
          </w:p>
        </w:tc>
        <w:tc>
          <w:tcPr>
            <w:tcW w:w="1201" w:type="pct"/>
            <w:vAlign w:val="center"/>
          </w:tcPr>
          <w:p>
            <w:pPr>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 xml:space="preserve">25000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9" w:type="pct"/>
            <w:gridSpan w:val="2"/>
            <w:vAlign w:val="center"/>
          </w:tcPr>
          <w:p>
            <w:pPr>
              <w:spacing w:line="312" w:lineRule="exact"/>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高沸物</w:t>
            </w:r>
          </w:p>
        </w:tc>
        <w:tc>
          <w:tcPr>
            <w:tcW w:w="1413" w:type="pct"/>
            <w:vAlign w:val="center"/>
          </w:tcPr>
          <w:p>
            <w:pPr>
              <w:spacing w:line="312"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2.997</w:t>
            </w:r>
          </w:p>
        </w:tc>
        <w:tc>
          <w:tcPr>
            <w:tcW w:w="1226" w:type="pct"/>
            <w:gridSpan w:val="2"/>
            <w:vAlign w:val="center"/>
          </w:tcPr>
          <w:p>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10000</w:t>
            </w:r>
          </w:p>
        </w:tc>
        <w:tc>
          <w:tcPr>
            <w:tcW w:w="1201" w:type="pct"/>
            <w:vAlign w:val="center"/>
          </w:tcPr>
          <w:p>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29970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9" w:type="pct"/>
            <w:gridSpan w:val="2"/>
            <w:vAlign w:val="center"/>
          </w:tcPr>
          <w:p>
            <w:pPr>
              <w:spacing w:line="312" w:lineRule="exact"/>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罐底残渣</w:t>
            </w:r>
          </w:p>
        </w:tc>
        <w:tc>
          <w:tcPr>
            <w:tcW w:w="1413" w:type="pct"/>
            <w:vAlign w:val="center"/>
          </w:tcPr>
          <w:p>
            <w:pPr>
              <w:spacing w:line="312" w:lineRule="exact"/>
              <w:ind w:firstLine="0" w:firstLineChars="0"/>
              <w:jc w:val="center"/>
              <w:rPr>
                <w:rFonts w:hint="default"/>
                <w:color w:val="auto"/>
                <w:sz w:val="21"/>
                <w:szCs w:val="21"/>
                <w:lang w:val="en-US" w:eastAsia="zh-CN"/>
              </w:rPr>
            </w:pPr>
            <w:r>
              <w:rPr>
                <w:rFonts w:hint="eastAsia"/>
                <w:color w:val="auto"/>
                <w:sz w:val="21"/>
                <w:szCs w:val="21"/>
                <w:lang w:val="en-US" w:eastAsia="zh-CN"/>
              </w:rPr>
              <w:t>6.9828</w:t>
            </w:r>
          </w:p>
        </w:tc>
        <w:tc>
          <w:tcPr>
            <w:tcW w:w="1226" w:type="pct"/>
            <w:gridSpan w:val="2"/>
            <w:vAlign w:val="center"/>
          </w:tcPr>
          <w:p>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10000</w:t>
            </w:r>
          </w:p>
        </w:tc>
        <w:tc>
          <w:tcPr>
            <w:tcW w:w="1201" w:type="pct"/>
            <w:vAlign w:val="center"/>
          </w:tcPr>
          <w:p>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69828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9" w:type="pct"/>
            <w:gridSpan w:val="2"/>
            <w:vAlign w:val="center"/>
          </w:tcPr>
          <w:p>
            <w:pPr>
              <w:spacing w:line="312" w:lineRule="exact"/>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废导热油</w:t>
            </w:r>
          </w:p>
        </w:tc>
        <w:tc>
          <w:tcPr>
            <w:tcW w:w="1413" w:type="pct"/>
            <w:vAlign w:val="center"/>
          </w:tcPr>
          <w:p>
            <w:pPr>
              <w:spacing w:line="312" w:lineRule="exact"/>
              <w:ind w:firstLine="0" w:firstLineChars="0"/>
              <w:jc w:val="center"/>
              <w:rPr>
                <w:rFonts w:hint="default"/>
                <w:color w:val="auto"/>
                <w:sz w:val="21"/>
                <w:szCs w:val="21"/>
                <w:lang w:val="en-US" w:eastAsia="zh-CN"/>
              </w:rPr>
            </w:pPr>
            <w:r>
              <w:rPr>
                <w:rFonts w:hint="eastAsia"/>
                <w:color w:val="auto"/>
                <w:sz w:val="21"/>
                <w:szCs w:val="21"/>
                <w:lang w:val="en-US" w:eastAsia="zh-CN"/>
              </w:rPr>
              <w:t>3.75</w:t>
            </w:r>
          </w:p>
        </w:tc>
        <w:tc>
          <w:tcPr>
            <w:tcW w:w="1226" w:type="pct"/>
            <w:gridSpan w:val="2"/>
            <w:vAlign w:val="center"/>
          </w:tcPr>
          <w:p>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2000</w:t>
            </w:r>
          </w:p>
        </w:tc>
        <w:tc>
          <w:tcPr>
            <w:tcW w:w="1201" w:type="pct"/>
            <w:vAlign w:val="center"/>
          </w:tcPr>
          <w:p>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7500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2" w:type="pct"/>
            <w:vAlign w:val="center"/>
          </w:tcPr>
          <w:p>
            <w:pPr>
              <w:spacing w:line="240" w:lineRule="auto"/>
              <w:ind w:firstLine="0" w:firstLineChars="0"/>
              <w:jc w:val="center"/>
              <w:rPr>
                <w:color w:val="auto"/>
                <w:sz w:val="21"/>
                <w:szCs w:val="21"/>
              </w:rPr>
            </w:pPr>
            <w:r>
              <w:rPr>
                <w:color w:val="auto"/>
                <w:sz w:val="21"/>
                <w:szCs w:val="21"/>
              </w:rPr>
              <w:t>合计</w:t>
            </w:r>
          </w:p>
        </w:tc>
        <w:tc>
          <w:tcPr>
            <w:tcW w:w="1420" w:type="pct"/>
            <w:gridSpan w:val="2"/>
            <w:vAlign w:val="center"/>
          </w:tcPr>
          <w:p>
            <w:pPr>
              <w:spacing w:line="312" w:lineRule="exact"/>
              <w:ind w:firstLine="0" w:firstLineChars="0"/>
              <w:jc w:val="center"/>
              <w:rPr>
                <w:rFonts w:hint="default"/>
                <w:color w:val="auto"/>
                <w:sz w:val="21"/>
                <w:szCs w:val="21"/>
                <w:lang w:val="en-US" w:eastAsia="zh-CN"/>
              </w:rPr>
            </w:pPr>
            <w:r>
              <w:rPr>
                <w:rFonts w:hint="eastAsia"/>
                <w:color w:val="auto"/>
                <w:sz w:val="21"/>
                <w:szCs w:val="21"/>
                <w:lang w:val="en-US" w:eastAsia="zh-CN"/>
              </w:rPr>
              <w:t>23.1698</w:t>
            </w:r>
          </w:p>
        </w:tc>
        <w:tc>
          <w:tcPr>
            <w:tcW w:w="1215" w:type="pct"/>
            <w:vAlign w:val="center"/>
          </w:tcPr>
          <w:p>
            <w:pPr>
              <w:spacing w:line="312" w:lineRule="exact"/>
              <w:ind w:firstLine="0" w:firstLineChars="0"/>
              <w:jc w:val="center"/>
              <w:rPr>
                <w:rFonts w:hint="eastAsia"/>
                <w:color w:val="auto"/>
                <w:sz w:val="21"/>
                <w:szCs w:val="21"/>
                <w:lang w:val="en-US" w:eastAsia="zh-CN"/>
              </w:rPr>
            </w:pPr>
            <w:r>
              <w:rPr>
                <w:rFonts w:hint="eastAsia"/>
                <w:color w:val="auto"/>
                <w:sz w:val="21"/>
                <w:szCs w:val="21"/>
                <w:lang w:val="en-US" w:eastAsia="zh-CN"/>
              </w:rPr>
              <w:t>/</w:t>
            </w:r>
          </w:p>
        </w:tc>
        <w:tc>
          <w:tcPr>
            <w:tcW w:w="1212" w:type="pct"/>
            <w:gridSpan w:val="2"/>
            <w:vAlign w:val="center"/>
          </w:tcPr>
          <w:p>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165418</w:t>
            </w:r>
          </w:p>
        </w:tc>
      </w:tr>
    </w:tbl>
    <w:p>
      <w:pPr>
        <w:pStyle w:val="8"/>
        <w:spacing w:before="0" w:beforeLines="0" w:after="0" w:afterLines="0" w:line="360" w:lineRule="auto"/>
        <w:rPr>
          <w:color w:val="auto"/>
        </w:rPr>
      </w:pPr>
      <w:bookmarkStart w:id="398" w:name="_Toc26687"/>
      <w:bookmarkStart w:id="399" w:name="_Toc15816"/>
      <w:r>
        <w:rPr>
          <w:color w:val="auto"/>
        </w:rPr>
        <w:t>8.4 噪声控制措施分析</w:t>
      </w:r>
      <w:bookmarkEnd w:id="398"/>
      <w:bookmarkEnd w:id="399"/>
    </w:p>
    <w:p>
      <w:pPr>
        <w:ind w:firstLine="0" w:firstLineChars="0"/>
        <w:outlineLvl w:val="2"/>
        <w:rPr>
          <w:rFonts w:eastAsia="黑体"/>
          <w:b/>
          <w:color w:val="auto"/>
        </w:rPr>
      </w:pPr>
      <w:r>
        <w:rPr>
          <w:rFonts w:eastAsia="黑体"/>
          <w:b/>
          <w:color w:val="auto"/>
        </w:rPr>
        <w:t>8.4.1噪声控制措施</w:t>
      </w:r>
    </w:p>
    <w:p>
      <w:pPr>
        <w:ind w:firstLine="482" w:firstLineChars="0"/>
        <w:rPr>
          <w:color w:val="auto"/>
        </w:rPr>
      </w:pPr>
      <w:r>
        <w:rPr>
          <w:color w:val="auto"/>
        </w:rPr>
        <w:t>1、从声源降噪</w:t>
      </w:r>
    </w:p>
    <w:p>
      <w:pPr>
        <w:tabs>
          <w:tab w:val="left" w:pos="1740"/>
        </w:tabs>
        <w:ind w:firstLine="480"/>
        <w:rPr>
          <w:color w:val="auto"/>
        </w:rPr>
      </w:pPr>
      <w:r>
        <w:rPr>
          <w:color w:val="auto"/>
        </w:rPr>
        <w:t>（1）根据本项目噪声源特征，建议在设计和设备采购阶段，优先选用低噪声设备。</w:t>
      </w:r>
    </w:p>
    <w:p>
      <w:pPr>
        <w:tabs>
          <w:tab w:val="left" w:pos="1740"/>
        </w:tabs>
        <w:ind w:firstLine="480"/>
        <w:rPr>
          <w:color w:val="auto"/>
        </w:rPr>
      </w:pPr>
      <w:r>
        <w:rPr>
          <w:color w:val="auto"/>
        </w:rPr>
        <w:t>（2）改进设备结构。如对电动机的冷却风扇叶片，通过合理设计，选择最佳叶型和合理叶片数，就能降低噪声。</w:t>
      </w:r>
    </w:p>
    <w:p>
      <w:pPr>
        <w:tabs>
          <w:tab w:val="left" w:pos="1740"/>
        </w:tabs>
        <w:ind w:firstLine="480"/>
        <w:rPr>
          <w:color w:val="auto"/>
        </w:rPr>
      </w:pPr>
      <w:r>
        <w:rPr>
          <w:color w:val="auto"/>
        </w:rPr>
        <w:t>（3）提高加工精度和装配质量。如对运转部件，调制好动平衡，减少偏心度，噪声可降低10~20dB(A)左右。</w:t>
      </w:r>
    </w:p>
    <w:p>
      <w:pPr>
        <w:tabs>
          <w:tab w:val="left" w:pos="1740"/>
        </w:tabs>
        <w:ind w:firstLine="480"/>
        <w:rPr>
          <w:color w:val="auto"/>
        </w:rPr>
      </w:pPr>
      <w:r>
        <w:rPr>
          <w:color w:val="auto"/>
        </w:rPr>
        <w:t>（4）加强设备维护，确保设备处于良好的运转状态，杜绝因设备不正常运转时产生的高噪声现象。</w:t>
      </w:r>
    </w:p>
    <w:p>
      <w:pPr>
        <w:tabs>
          <w:tab w:val="left" w:pos="1740"/>
        </w:tabs>
        <w:ind w:firstLine="480"/>
        <w:rPr>
          <w:color w:val="auto"/>
        </w:rPr>
      </w:pPr>
      <w:r>
        <w:rPr>
          <w:color w:val="auto"/>
        </w:rPr>
        <w:t>2、从传播途径降噪</w:t>
      </w:r>
    </w:p>
    <w:p>
      <w:pPr>
        <w:widowControl/>
        <w:ind w:firstLine="480"/>
        <w:rPr>
          <w:color w:val="auto"/>
        </w:rPr>
      </w:pPr>
      <w:r>
        <w:rPr>
          <w:color w:val="auto"/>
        </w:rPr>
        <w:t>（1）空压机</w:t>
      </w:r>
    </w:p>
    <w:p>
      <w:pPr>
        <w:widowControl/>
        <w:ind w:firstLine="480"/>
        <w:rPr>
          <w:color w:val="auto"/>
          <w:kern w:val="0"/>
        </w:rPr>
      </w:pPr>
      <w:r>
        <w:rPr>
          <w:color w:val="auto"/>
        </w:rPr>
        <w:t>项目空压机均置于室内</w:t>
      </w:r>
      <w:r>
        <w:rPr>
          <w:color w:val="auto"/>
          <w:kern w:val="0"/>
        </w:rPr>
        <w:t>，通过厂房隔声、基础固定和加装减震垫等降噪措施，可使其噪声源强降低20dB(A)左右。</w:t>
      </w:r>
    </w:p>
    <w:p>
      <w:pPr>
        <w:widowControl/>
        <w:ind w:firstLine="480"/>
        <w:rPr>
          <w:color w:val="auto"/>
        </w:rPr>
      </w:pPr>
      <w:r>
        <w:rPr>
          <w:color w:val="auto"/>
        </w:rPr>
        <w:t>（2）泵类噪声</w:t>
      </w:r>
    </w:p>
    <w:p>
      <w:pPr>
        <w:widowControl/>
        <w:ind w:firstLine="480"/>
        <w:rPr>
          <w:color w:val="auto"/>
          <w:kern w:val="0"/>
        </w:rPr>
      </w:pPr>
      <w:r>
        <w:rPr>
          <w:color w:val="auto"/>
        </w:rPr>
        <w:t>项目所使用的各</w:t>
      </w:r>
      <w:r>
        <w:rPr>
          <w:color w:val="auto"/>
          <w:kern w:val="0"/>
        </w:rPr>
        <w:t>式泵类数量较多，噪声源强较高，通过加装减震垫和厂房隔声，可使其噪声源强降低20dB(A)左右。</w:t>
      </w:r>
    </w:p>
    <w:p>
      <w:pPr>
        <w:widowControl/>
        <w:ind w:firstLine="480"/>
        <w:rPr>
          <w:color w:val="auto"/>
        </w:rPr>
      </w:pPr>
      <w:r>
        <w:rPr>
          <w:color w:val="auto"/>
        </w:rPr>
        <w:t>（3）风机噪声</w:t>
      </w:r>
    </w:p>
    <w:p>
      <w:pPr>
        <w:widowControl/>
        <w:ind w:firstLine="480"/>
        <w:rPr>
          <w:color w:val="auto"/>
          <w:kern w:val="0"/>
        </w:rPr>
      </w:pPr>
      <w:r>
        <w:rPr>
          <w:color w:val="auto"/>
        </w:rPr>
        <w:t>通过对风机加装隔声罩、消声器，可使风机的隔声量在15</w:t>
      </w:r>
      <w:r>
        <w:rPr>
          <w:color w:val="auto"/>
          <w:kern w:val="0"/>
        </w:rPr>
        <w:t>dB(A)以上。</w:t>
      </w:r>
    </w:p>
    <w:p>
      <w:pPr>
        <w:snapToGrid w:val="0"/>
        <w:ind w:firstLine="480"/>
        <w:rPr>
          <w:color w:val="auto"/>
        </w:rPr>
      </w:pPr>
      <w:r>
        <w:rPr>
          <w:color w:val="auto"/>
        </w:rPr>
        <w:t>（4）采用“闹静分开”和合理布局的设施原则，尽量将高噪声源远离噪声敏感区域或厂界。在厂区周围建设一定高度的隔声屏障，如围墙，减少对厂区外声环境的影响，种植一定的乔木、灌木林，亦有利于减少噪声污染。</w:t>
      </w:r>
    </w:p>
    <w:p>
      <w:pPr>
        <w:tabs>
          <w:tab w:val="left" w:pos="1740"/>
        </w:tabs>
        <w:ind w:firstLine="480"/>
        <w:rPr>
          <w:color w:val="auto"/>
        </w:rPr>
      </w:pPr>
      <w:r>
        <w:rPr>
          <w:color w:val="auto"/>
        </w:rPr>
        <w:t>3、在噪声接收点进行防护</w:t>
      </w:r>
    </w:p>
    <w:p>
      <w:pPr>
        <w:tabs>
          <w:tab w:val="left" w:pos="1740"/>
        </w:tabs>
        <w:ind w:firstLine="480"/>
        <w:rPr>
          <w:color w:val="auto"/>
        </w:rPr>
      </w:pPr>
      <w:r>
        <w:rPr>
          <w:color w:val="auto"/>
        </w:rPr>
        <w:t>给工人发放耳塞、防声棉、耳罩、防声头盔等。衰减值根据不同用具效果在5~30dB(A)不等。</w:t>
      </w:r>
    </w:p>
    <w:p>
      <w:pPr>
        <w:tabs>
          <w:tab w:val="left" w:pos="1740"/>
        </w:tabs>
        <w:ind w:firstLine="480"/>
        <w:rPr>
          <w:color w:val="auto"/>
        </w:rPr>
      </w:pPr>
      <w:r>
        <w:rPr>
          <w:color w:val="auto"/>
        </w:rPr>
        <w:t>此外，做好厂房周围及厂界附近的植树绿化工作，种植高大乔木等以形成隔音绿化带，既达到了美化环境的目的，降低有害气体的污染，又能增加一道隔声屏障。</w:t>
      </w:r>
    </w:p>
    <w:p>
      <w:pPr>
        <w:tabs>
          <w:tab w:val="left" w:pos="1740"/>
        </w:tabs>
        <w:ind w:firstLine="480"/>
        <w:rPr>
          <w:color w:val="auto"/>
        </w:rPr>
      </w:pPr>
      <w:r>
        <w:rPr>
          <w:color w:val="auto"/>
        </w:rPr>
        <w:t>建设项目采取的隔声、减振等控制措施，是目前国内各类机械和动力噪声控制的通用措施。因此，通过采取上述有针对性的控制措施，该项目有效控制噪声污染的可能性较高，在技术上可行的。</w:t>
      </w:r>
    </w:p>
    <w:p>
      <w:pPr>
        <w:ind w:firstLine="0" w:firstLineChars="0"/>
        <w:outlineLvl w:val="2"/>
        <w:rPr>
          <w:rFonts w:eastAsia="黑体"/>
          <w:b/>
          <w:color w:val="auto"/>
        </w:rPr>
      </w:pPr>
      <w:r>
        <w:rPr>
          <w:rFonts w:eastAsia="黑体"/>
          <w:b/>
          <w:color w:val="auto"/>
        </w:rPr>
        <w:t>8.4.2经济技术可行性分析</w:t>
      </w:r>
    </w:p>
    <w:p>
      <w:pPr>
        <w:ind w:firstLine="464"/>
        <w:rPr>
          <w:color w:val="auto"/>
          <w:spacing w:val="-4"/>
        </w:rPr>
      </w:pPr>
      <w:r>
        <w:rPr>
          <w:color w:val="auto"/>
          <w:spacing w:val="-4"/>
        </w:rPr>
        <w:t>采用消声、减震、隔声等主要措施，是当前各类机械和运输噪声控制的通用措施，在技术上是可靠的；在同类企业中有着广泛、成功的应用，降噪效果明显。</w:t>
      </w:r>
      <w:r>
        <w:rPr>
          <w:rFonts w:hint="eastAsia"/>
          <w:color w:val="auto"/>
          <w:spacing w:val="-4"/>
        </w:rPr>
        <w:t>拟建项目</w:t>
      </w:r>
      <w:r>
        <w:rPr>
          <w:color w:val="auto"/>
          <w:spacing w:val="-4"/>
        </w:rPr>
        <w:t>噪声治理措施需投资大约1.5万元，在经济上是合理的。综上，项目采取的噪声治理措施技术可行，经济合理</w:t>
      </w:r>
      <w:r>
        <w:rPr>
          <w:rFonts w:hint="eastAsia"/>
          <w:color w:val="auto"/>
          <w:spacing w:val="-4"/>
        </w:rPr>
        <w:t>。</w:t>
      </w:r>
    </w:p>
    <w:p>
      <w:pPr>
        <w:ind w:firstLine="464"/>
        <w:rPr>
          <w:color w:val="auto"/>
          <w:spacing w:val="-4"/>
        </w:rPr>
      </w:pPr>
      <w:r>
        <w:rPr>
          <w:rFonts w:hint="eastAsia"/>
          <w:color w:val="auto"/>
          <w:spacing w:val="-4"/>
        </w:rPr>
        <w:br w:type="page"/>
      </w:r>
    </w:p>
    <w:p>
      <w:pPr>
        <w:pStyle w:val="7"/>
        <w:spacing w:before="0" w:beforeLines="0" w:after="0" w:afterLines="0"/>
        <w:rPr>
          <w:rFonts w:cs="Times New Roman"/>
          <w:color w:val="auto"/>
        </w:rPr>
      </w:pPr>
      <w:bookmarkStart w:id="400" w:name="_Toc17805"/>
      <w:bookmarkStart w:id="401" w:name="_Toc18372"/>
      <w:r>
        <w:rPr>
          <w:rFonts w:cs="Times New Roman"/>
          <w:color w:val="auto"/>
        </w:rPr>
        <w:t>9环境经济损益分析</w:t>
      </w:r>
      <w:bookmarkEnd w:id="400"/>
      <w:bookmarkEnd w:id="401"/>
    </w:p>
    <w:p>
      <w:pPr>
        <w:pStyle w:val="8"/>
        <w:spacing w:before="0" w:beforeLines="0" w:after="0" w:afterLines="0" w:line="360" w:lineRule="auto"/>
        <w:rPr>
          <w:color w:val="auto"/>
        </w:rPr>
      </w:pPr>
      <w:bookmarkStart w:id="402" w:name="_Toc4221"/>
      <w:bookmarkStart w:id="403" w:name="_Toc4535"/>
      <w:r>
        <w:rPr>
          <w:color w:val="auto"/>
        </w:rPr>
        <w:t>9.1经济效益分析</w:t>
      </w:r>
      <w:bookmarkEnd w:id="402"/>
      <w:bookmarkEnd w:id="403"/>
    </w:p>
    <w:p>
      <w:pPr>
        <w:ind w:firstLine="480"/>
        <w:rPr>
          <w:color w:val="auto"/>
          <w:kern w:val="0"/>
        </w:rPr>
      </w:pPr>
      <w:r>
        <w:rPr>
          <w:rFonts w:hint="eastAsia"/>
          <w:color w:val="auto"/>
          <w:kern w:val="0"/>
        </w:rPr>
        <w:t>拟建项目</w:t>
      </w:r>
      <w:r>
        <w:rPr>
          <w:color w:val="auto"/>
          <w:kern w:val="0"/>
        </w:rPr>
        <w:t>总投资</w:t>
      </w:r>
      <w:r>
        <w:rPr>
          <w:rFonts w:hint="eastAsia"/>
          <w:color w:val="auto"/>
          <w:kern w:val="0"/>
        </w:rPr>
        <w:t>1.0亿</w:t>
      </w:r>
      <w:r>
        <w:rPr>
          <w:color w:val="auto"/>
          <w:kern w:val="0"/>
        </w:rPr>
        <w:t>元，预计年营业收入</w:t>
      </w:r>
      <w:r>
        <w:rPr>
          <w:rFonts w:hint="eastAsia"/>
          <w:color w:val="auto"/>
          <w:kern w:val="0"/>
        </w:rPr>
        <w:t>1.2已</w:t>
      </w:r>
      <w:r>
        <w:rPr>
          <w:color w:val="auto"/>
          <w:kern w:val="0"/>
        </w:rPr>
        <w:t>元，投资回收期为2年，具有较强的盈利能力，经济效益良好。</w:t>
      </w:r>
    </w:p>
    <w:p>
      <w:pPr>
        <w:ind w:firstLine="480"/>
        <w:rPr>
          <w:color w:val="auto"/>
        </w:rPr>
      </w:pPr>
      <w:r>
        <w:rPr>
          <w:color w:val="auto"/>
        </w:rPr>
        <w:t>本项目主要技术经济指标详见表9.1-1。</w:t>
      </w:r>
    </w:p>
    <w:p>
      <w:pPr>
        <w:pStyle w:val="48"/>
        <w:spacing w:line="360" w:lineRule="auto"/>
        <w:rPr>
          <w:b/>
          <w:color w:val="auto"/>
        </w:rPr>
      </w:pPr>
      <w:r>
        <w:rPr>
          <w:b/>
          <w:color w:val="auto"/>
        </w:rPr>
        <w:t>表9.1-1项目主要经济指标表</w:t>
      </w:r>
    </w:p>
    <w:tbl>
      <w:tblPr>
        <w:tblStyle w:val="2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671"/>
        <w:gridCol w:w="2908"/>
        <w:gridCol w:w="2265"/>
        <w:gridCol w:w="1164"/>
        <w:gridCol w:w="22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blHeader/>
          <w:jc w:val="center"/>
        </w:trPr>
        <w:tc>
          <w:tcPr>
            <w:tcW w:w="363"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
                <w:color w:val="auto"/>
                <w:sz w:val="21"/>
                <w:szCs w:val="21"/>
              </w:rPr>
            </w:pPr>
            <w:r>
              <w:rPr>
                <w:b/>
                <w:color w:val="auto"/>
                <w:sz w:val="21"/>
                <w:szCs w:val="21"/>
              </w:rPr>
              <w:t>序号</w:t>
            </w:r>
          </w:p>
        </w:tc>
        <w:tc>
          <w:tcPr>
            <w:tcW w:w="1574"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
                <w:color w:val="auto"/>
                <w:sz w:val="21"/>
                <w:szCs w:val="21"/>
              </w:rPr>
            </w:pPr>
            <w:r>
              <w:rPr>
                <w:b/>
                <w:color w:val="auto"/>
                <w:sz w:val="21"/>
                <w:szCs w:val="21"/>
              </w:rPr>
              <w:t>名称</w:t>
            </w:r>
          </w:p>
        </w:tc>
        <w:tc>
          <w:tcPr>
            <w:tcW w:w="1226"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
                <w:color w:val="auto"/>
                <w:sz w:val="21"/>
                <w:szCs w:val="21"/>
              </w:rPr>
            </w:pPr>
            <w:r>
              <w:rPr>
                <w:b/>
                <w:color w:val="auto"/>
                <w:sz w:val="21"/>
                <w:szCs w:val="21"/>
              </w:rPr>
              <w:t>单位</w:t>
            </w:r>
          </w:p>
        </w:tc>
        <w:tc>
          <w:tcPr>
            <w:tcW w:w="630"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
                <w:color w:val="auto"/>
                <w:sz w:val="21"/>
                <w:szCs w:val="21"/>
              </w:rPr>
            </w:pPr>
            <w:r>
              <w:rPr>
                <w:b/>
                <w:color w:val="auto"/>
                <w:sz w:val="21"/>
                <w:szCs w:val="21"/>
              </w:rPr>
              <w:t>数量</w:t>
            </w:r>
          </w:p>
        </w:tc>
        <w:tc>
          <w:tcPr>
            <w:tcW w:w="1205"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
                <w:color w:val="auto"/>
                <w:sz w:val="21"/>
                <w:szCs w:val="21"/>
              </w:rPr>
            </w:pPr>
            <w:r>
              <w:rPr>
                <w:b/>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63"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1</w:t>
            </w:r>
          </w:p>
        </w:tc>
        <w:tc>
          <w:tcPr>
            <w:tcW w:w="1574"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项目投入总资金</w:t>
            </w:r>
          </w:p>
        </w:tc>
        <w:tc>
          <w:tcPr>
            <w:tcW w:w="1226"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万元</w:t>
            </w:r>
          </w:p>
        </w:tc>
        <w:tc>
          <w:tcPr>
            <w:tcW w:w="630"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rFonts w:hint="eastAsia"/>
                <w:bCs/>
                <w:color w:val="auto"/>
                <w:sz w:val="21"/>
                <w:szCs w:val="21"/>
              </w:rPr>
              <w:t>10000</w:t>
            </w:r>
          </w:p>
        </w:tc>
        <w:tc>
          <w:tcPr>
            <w:tcW w:w="1205"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63"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2</w:t>
            </w:r>
          </w:p>
        </w:tc>
        <w:tc>
          <w:tcPr>
            <w:tcW w:w="1574"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固定资产投资</w:t>
            </w:r>
          </w:p>
        </w:tc>
        <w:tc>
          <w:tcPr>
            <w:tcW w:w="1226"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万元</w:t>
            </w:r>
          </w:p>
        </w:tc>
        <w:tc>
          <w:tcPr>
            <w:tcW w:w="630"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rFonts w:hint="eastAsia"/>
                <w:bCs/>
                <w:color w:val="auto"/>
                <w:sz w:val="21"/>
                <w:szCs w:val="21"/>
              </w:rPr>
              <w:t>8000</w:t>
            </w:r>
          </w:p>
        </w:tc>
        <w:tc>
          <w:tcPr>
            <w:tcW w:w="1205"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63"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3</w:t>
            </w:r>
          </w:p>
        </w:tc>
        <w:tc>
          <w:tcPr>
            <w:tcW w:w="1574"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流动资金</w:t>
            </w:r>
          </w:p>
        </w:tc>
        <w:tc>
          <w:tcPr>
            <w:tcW w:w="1226"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万元</w:t>
            </w:r>
          </w:p>
        </w:tc>
        <w:tc>
          <w:tcPr>
            <w:tcW w:w="630"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rFonts w:hint="eastAsia"/>
                <w:bCs/>
                <w:color w:val="auto"/>
                <w:sz w:val="21"/>
                <w:szCs w:val="21"/>
              </w:rPr>
              <w:t>1500</w:t>
            </w:r>
          </w:p>
        </w:tc>
        <w:tc>
          <w:tcPr>
            <w:tcW w:w="1205"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63"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4</w:t>
            </w:r>
          </w:p>
        </w:tc>
        <w:tc>
          <w:tcPr>
            <w:tcW w:w="1574"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无形、递延资产投资</w:t>
            </w:r>
          </w:p>
        </w:tc>
        <w:tc>
          <w:tcPr>
            <w:tcW w:w="1226"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万元</w:t>
            </w:r>
          </w:p>
        </w:tc>
        <w:tc>
          <w:tcPr>
            <w:tcW w:w="630"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rFonts w:hint="eastAsia"/>
                <w:bCs/>
                <w:color w:val="auto"/>
                <w:sz w:val="21"/>
                <w:szCs w:val="21"/>
              </w:rPr>
              <w:t>500</w:t>
            </w:r>
          </w:p>
        </w:tc>
        <w:tc>
          <w:tcPr>
            <w:tcW w:w="1205"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63"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5</w:t>
            </w:r>
          </w:p>
        </w:tc>
        <w:tc>
          <w:tcPr>
            <w:tcW w:w="1574"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建设期利息</w:t>
            </w:r>
          </w:p>
        </w:tc>
        <w:tc>
          <w:tcPr>
            <w:tcW w:w="1226"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万元</w:t>
            </w:r>
          </w:p>
        </w:tc>
        <w:tc>
          <w:tcPr>
            <w:tcW w:w="630"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0</w:t>
            </w:r>
          </w:p>
        </w:tc>
        <w:tc>
          <w:tcPr>
            <w:tcW w:w="1205"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63"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6</w:t>
            </w:r>
          </w:p>
        </w:tc>
        <w:tc>
          <w:tcPr>
            <w:tcW w:w="1574"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资金筹措</w:t>
            </w:r>
          </w:p>
        </w:tc>
        <w:tc>
          <w:tcPr>
            <w:tcW w:w="1226"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万元</w:t>
            </w:r>
          </w:p>
        </w:tc>
        <w:tc>
          <w:tcPr>
            <w:tcW w:w="630"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rFonts w:hint="eastAsia"/>
                <w:bCs/>
                <w:color w:val="auto"/>
                <w:sz w:val="21"/>
                <w:szCs w:val="21"/>
              </w:rPr>
              <w:t>10000</w:t>
            </w:r>
          </w:p>
        </w:tc>
        <w:tc>
          <w:tcPr>
            <w:tcW w:w="1205"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63"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7</w:t>
            </w:r>
          </w:p>
        </w:tc>
        <w:tc>
          <w:tcPr>
            <w:tcW w:w="1574"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年均营业收入</w:t>
            </w:r>
          </w:p>
        </w:tc>
        <w:tc>
          <w:tcPr>
            <w:tcW w:w="1226"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万元</w:t>
            </w:r>
          </w:p>
        </w:tc>
        <w:tc>
          <w:tcPr>
            <w:tcW w:w="630"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rFonts w:hint="eastAsia"/>
                <w:bCs/>
                <w:color w:val="auto"/>
                <w:sz w:val="21"/>
                <w:szCs w:val="21"/>
              </w:rPr>
              <w:t>12000</w:t>
            </w:r>
            <w:r>
              <w:rPr>
                <w:bCs/>
                <w:color w:val="auto"/>
                <w:sz w:val="21"/>
                <w:szCs w:val="21"/>
              </w:rPr>
              <w:t xml:space="preserve"> </w:t>
            </w:r>
          </w:p>
        </w:tc>
        <w:tc>
          <w:tcPr>
            <w:tcW w:w="1205"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63"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8</w:t>
            </w:r>
          </w:p>
        </w:tc>
        <w:tc>
          <w:tcPr>
            <w:tcW w:w="1574"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年均总成本费用</w:t>
            </w:r>
          </w:p>
        </w:tc>
        <w:tc>
          <w:tcPr>
            <w:tcW w:w="1226"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万元</w:t>
            </w:r>
          </w:p>
        </w:tc>
        <w:tc>
          <w:tcPr>
            <w:tcW w:w="630"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rFonts w:hint="eastAsia"/>
                <w:bCs/>
                <w:color w:val="auto"/>
                <w:sz w:val="21"/>
                <w:szCs w:val="21"/>
              </w:rPr>
              <w:t>8945.68</w:t>
            </w:r>
            <w:r>
              <w:rPr>
                <w:bCs/>
                <w:color w:val="auto"/>
                <w:sz w:val="21"/>
                <w:szCs w:val="21"/>
              </w:rPr>
              <w:t xml:space="preserve"> </w:t>
            </w:r>
          </w:p>
        </w:tc>
        <w:tc>
          <w:tcPr>
            <w:tcW w:w="1205"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63"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9</w:t>
            </w:r>
          </w:p>
        </w:tc>
        <w:tc>
          <w:tcPr>
            <w:tcW w:w="1574"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年均经营成本</w:t>
            </w:r>
          </w:p>
        </w:tc>
        <w:tc>
          <w:tcPr>
            <w:tcW w:w="1226"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万元</w:t>
            </w:r>
          </w:p>
        </w:tc>
        <w:tc>
          <w:tcPr>
            <w:tcW w:w="630"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rFonts w:hint="eastAsia"/>
                <w:bCs/>
                <w:color w:val="auto"/>
                <w:sz w:val="21"/>
                <w:szCs w:val="21"/>
              </w:rPr>
              <w:t>8768.98</w:t>
            </w:r>
          </w:p>
        </w:tc>
        <w:tc>
          <w:tcPr>
            <w:tcW w:w="1205"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63"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10</w:t>
            </w:r>
          </w:p>
        </w:tc>
        <w:tc>
          <w:tcPr>
            <w:tcW w:w="1574"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年均增值税</w:t>
            </w:r>
          </w:p>
        </w:tc>
        <w:tc>
          <w:tcPr>
            <w:tcW w:w="1226"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万元</w:t>
            </w:r>
          </w:p>
        </w:tc>
        <w:tc>
          <w:tcPr>
            <w:tcW w:w="630"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41</w:t>
            </w:r>
            <w:r>
              <w:rPr>
                <w:rFonts w:hint="eastAsia"/>
                <w:bCs/>
                <w:color w:val="auto"/>
                <w:sz w:val="21"/>
                <w:szCs w:val="21"/>
              </w:rPr>
              <w:t>1</w:t>
            </w:r>
            <w:r>
              <w:rPr>
                <w:bCs/>
                <w:color w:val="auto"/>
                <w:sz w:val="21"/>
                <w:szCs w:val="21"/>
              </w:rPr>
              <w:t xml:space="preserve">.147 </w:t>
            </w:r>
          </w:p>
        </w:tc>
        <w:tc>
          <w:tcPr>
            <w:tcW w:w="1205"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63" w:type="pct"/>
            <w:vMerge w:val="restar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11</w:t>
            </w:r>
          </w:p>
        </w:tc>
        <w:tc>
          <w:tcPr>
            <w:tcW w:w="1574" w:type="pct"/>
            <w:vMerge w:val="restar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项目投资回收期（含建设期）</w:t>
            </w:r>
          </w:p>
        </w:tc>
        <w:tc>
          <w:tcPr>
            <w:tcW w:w="1226" w:type="pct"/>
            <w:vMerge w:val="restar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年</w:t>
            </w:r>
          </w:p>
        </w:tc>
        <w:tc>
          <w:tcPr>
            <w:tcW w:w="630"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1.8</w:t>
            </w:r>
          </w:p>
        </w:tc>
        <w:tc>
          <w:tcPr>
            <w:tcW w:w="1205"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税前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63" w:type="pct"/>
            <w:vMerge w:val="continue"/>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p>
        </w:tc>
        <w:tc>
          <w:tcPr>
            <w:tcW w:w="1574" w:type="pct"/>
            <w:vMerge w:val="continue"/>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p>
        </w:tc>
        <w:tc>
          <w:tcPr>
            <w:tcW w:w="1226" w:type="pct"/>
            <w:vMerge w:val="continue"/>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p>
        </w:tc>
        <w:tc>
          <w:tcPr>
            <w:tcW w:w="630"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1.9</w:t>
            </w:r>
          </w:p>
        </w:tc>
        <w:tc>
          <w:tcPr>
            <w:tcW w:w="1205"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税后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63" w:type="pct"/>
            <w:vMerge w:val="restar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12</w:t>
            </w:r>
          </w:p>
        </w:tc>
        <w:tc>
          <w:tcPr>
            <w:tcW w:w="1574" w:type="pct"/>
            <w:vMerge w:val="restar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项目财务净现（I=12％）</w:t>
            </w:r>
          </w:p>
        </w:tc>
        <w:tc>
          <w:tcPr>
            <w:tcW w:w="1226" w:type="pct"/>
            <w:vMerge w:val="restar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万元</w:t>
            </w:r>
          </w:p>
        </w:tc>
        <w:tc>
          <w:tcPr>
            <w:tcW w:w="630"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rFonts w:hint="eastAsia"/>
                <w:bCs/>
                <w:color w:val="auto"/>
                <w:sz w:val="21"/>
                <w:szCs w:val="21"/>
              </w:rPr>
              <w:t>4</w:t>
            </w:r>
            <w:r>
              <w:rPr>
                <w:bCs/>
                <w:color w:val="auto"/>
                <w:sz w:val="21"/>
                <w:szCs w:val="21"/>
              </w:rPr>
              <w:t xml:space="preserve">538.393 </w:t>
            </w:r>
          </w:p>
        </w:tc>
        <w:tc>
          <w:tcPr>
            <w:tcW w:w="1205"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税前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63" w:type="pct"/>
            <w:vMerge w:val="continue"/>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p>
        </w:tc>
        <w:tc>
          <w:tcPr>
            <w:tcW w:w="1574" w:type="pct"/>
            <w:vMerge w:val="continue"/>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p>
        </w:tc>
        <w:tc>
          <w:tcPr>
            <w:tcW w:w="1226" w:type="pct"/>
            <w:vMerge w:val="continue"/>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p>
        </w:tc>
        <w:tc>
          <w:tcPr>
            <w:tcW w:w="630"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rFonts w:hint="eastAsia"/>
                <w:bCs/>
                <w:color w:val="auto"/>
                <w:sz w:val="21"/>
                <w:szCs w:val="21"/>
              </w:rPr>
              <w:t>4</w:t>
            </w:r>
            <w:r>
              <w:rPr>
                <w:bCs/>
                <w:color w:val="auto"/>
                <w:sz w:val="21"/>
                <w:szCs w:val="21"/>
              </w:rPr>
              <w:t xml:space="preserve">398.736 </w:t>
            </w:r>
          </w:p>
        </w:tc>
        <w:tc>
          <w:tcPr>
            <w:tcW w:w="1205" w:type="pct"/>
            <w:tcBorders>
              <w:tl2br w:val="nil"/>
              <w:tr2bl w:val="nil"/>
            </w:tcBorders>
            <w:tcMar>
              <w:top w:w="57" w:type="dxa"/>
              <w:left w:w="85" w:type="dxa"/>
              <w:bottom w:w="57" w:type="dxa"/>
              <w:right w:w="85" w:type="dxa"/>
            </w:tcMar>
            <w:vAlign w:val="center"/>
          </w:tcPr>
          <w:p>
            <w:pPr>
              <w:adjustRightInd w:val="0"/>
              <w:snapToGrid w:val="0"/>
              <w:spacing w:line="240" w:lineRule="auto"/>
              <w:ind w:firstLine="0" w:firstLineChars="0"/>
              <w:jc w:val="center"/>
              <w:rPr>
                <w:bCs/>
                <w:color w:val="auto"/>
                <w:sz w:val="21"/>
                <w:szCs w:val="21"/>
              </w:rPr>
            </w:pPr>
            <w:r>
              <w:rPr>
                <w:bCs/>
                <w:color w:val="auto"/>
                <w:sz w:val="21"/>
                <w:szCs w:val="21"/>
              </w:rPr>
              <w:t>税后</w:t>
            </w:r>
          </w:p>
        </w:tc>
      </w:tr>
    </w:tbl>
    <w:p>
      <w:pPr>
        <w:pStyle w:val="8"/>
        <w:spacing w:before="0" w:beforeLines="0" w:after="0" w:afterLines="0" w:line="360" w:lineRule="auto"/>
        <w:rPr>
          <w:color w:val="auto"/>
        </w:rPr>
      </w:pPr>
      <w:bookmarkStart w:id="404" w:name="_Toc13962"/>
      <w:bookmarkStart w:id="405" w:name="_Toc14305"/>
      <w:r>
        <w:rPr>
          <w:color w:val="auto"/>
        </w:rPr>
        <w:t>9.2环保投资及效益分析</w:t>
      </w:r>
      <w:bookmarkEnd w:id="404"/>
      <w:bookmarkEnd w:id="405"/>
    </w:p>
    <w:p>
      <w:pPr>
        <w:pStyle w:val="9"/>
        <w:spacing w:before="0" w:beforeLines="0" w:after="0" w:afterLines="0" w:line="360" w:lineRule="auto"/>
        <w:rPr>
          <w:color w:val="auto"/>
        </w:rPr>
      </w:pPr>
      <w:r>
        <w:rPr>
          <w:color w:val="auto"/>
        </w:rPr>
        <w:t>9.2.1环保设施投资预算</w:t>
      </w:r>
    </w:p>
    <w:p>
      <w:pPr>
        <w:ind w:firstLine="480"/>
        <w:rPr>
          <w:color w:val="auto"/>
        </w:rPr>
      </w:pPr>
      <w:r>
        <w:rPr>
          <w:color w:val="auto"/>
        </w:rPr>
        <w:t>本项目直接环保投资估算见表9.2-1。</w:t>
      </w:r>
    </w:p>
    <w:p>
      <w:pPr>
        <w:pStyle w:val="48"/>
        <w:spacing w:line="360" w:lineRule="auto"/>
        <w:rPr>
          <w:b/>
          <w:color w:val="auto"/>
        </w:rPr>
      </w:pPr>
      <w:r>
        <w:rPr>
          <w:b/>
          <w:color w:val="auto"/>
        </w:rPr>
        <w:t>表9.2-1 项目环保设施及投资情况汇总表</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6"/>
        <w:gridCol w:w="1137"/>
        <w:gridCol w:w="3538"/>
        <w:gridCol w:w="1606"/>
        <w:gridCol w:w="18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pct"/>
            <w:vAlign w:val="center"/>
          </w:tcPr>
          <w:p>
            <w:pPr>
              <w:pStyle w:val="47"/>
              <w:spacing w:line="240" w:lineRule="auto"/>
              <w:rPr>
                <w:b/>
                <w:color w:val="auto"/>
                <w:szCs w:val="21"/>
              </w:rPr>
            </w:pPr>
            <w:r>
              <w:rPr>
                <w:b/>
                <w:color w:val="auto"/>
                <w:szCs w:val="21"/>
              </w:rPr>
              <w:t>序号</w:t>
            </w:r>
          </w:p>
        </w:tc>
        <w:tc>
          <w:tcPr>
            <w:tcW w:w="612" w:type="pct"/>
            <w:vAlign w:val="center"/>
          </w:tcPr>
          <w:p>
            <w:pPr>
              <w:pStyle w:val="47"/>
              <w:spacing w:line="240" w:lineRule="auto"/>
              <w:rPr>
                <w:b/>
                <w:color w:val="auto"/>
                <w:szCs w:val="21"/>
              </w:rPr>
            </w:pPr>
            <w:r>
              <w:rPr>
                <w:b/>
                <w:color w:val="auto"/>
                <w:szCs w:val="21"/>
              </w:rPr>
              <w:t>类别</w:t>
            </w:r>
          </w:p>
        </w:tc>
        <w:tc>
          <w:tcPr>
            <w:tcW w:w="1904" w:type="pct"/>
            <w:vAlign w:val="center"/>
          </w:tcPr>
          <w:p>
            <w:pPr>
              <w:pStyle w:val="47"/>
              <w:spacing w:line="240" w:lineRule="auto"/>
              <w:rPr>
                <w:b/>
                <w:color w:val="auto"/>
                <w:szCs w:val="21"/>
              </w:rPr>
            </w:pPr>
            <w:r>
              <w:rPr>
                <w:b/>
                <w:color w:val="auto"/>
                <w:szCs w:val="21"/>
              </w:rPr>
              <w:t>工艺内容</w:t>
            </w:r>
          </w:p>
        </w:tc>
        <w:tc>
          <w:tcPr>
            <w:tcW w:w="864" w:type="pct"/>
            <w:vAlign w:val="center"/>
          </w:tcPr>
          <w:p>
            <w:pPr>
              <w:pStyle w:val="47"/>
              <w:spacing w:line="240" w:lineRule="auto"/>
              <w:rPr>
                <w:b/>
                <w:color w:val="auto"/>
                <w:szCs w:val="21"/>
              </w:rPr>
            </w:pPr>
            <w:r>
              <w:rPr>
                <w:b/>
                <w:color w:val="auto"/>
                <w:szCs w:val="21"/>
              </w:rPr>
              <w:t>是否依托</w:t>
            </w:r>
          </w:p>
        </w:tc>
        <w:tc>
          <w:tcPr>
            <w:tcW w:w="985" w:type="pct"/>
            <w:vAlign w:val="center"/>
          </w:tcPr>
          <w:p>
            <w:pPr>
              <w:pStyle w:val="47"/>
              <w:spacing w:line="240" w:lineRule="auto"/>
              <w:rPr>
                <w:b/>
                <w:color w:val="auto"/>
                <w:szCs w:val="21"/>
              </w:rPr>
            </w:pPr>
            <w:r>
              <w:rPr>
                <w:b/>
                <w:color w:val="auto"/>
                <w:szCs w:val="21"/>
              </w:rPr>
              <w:t>本项目投资（万元）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pct"/>
            <w:vAlign w:val="center"/>
          </w:tcPr>
          <w:p>
            <w:pPr>
              <w:pStyle w:val="47"/>
              <w:spacing w:line="240" w:lineRule="auto"/>
              <w:rPr>
                <w:color w:val="auto"/>
                <w:szCs w:val="21"/>
              </w:rPr>
            </w:pPr>
            <w:r>
              <w:rPr>
                <w:color w:val="auto"/>
                <w:szCs w:val="21"/>
              </w:rPr>
              <w:t>1</w:t>
            </w:r>
          </w:p>
        </w:tc>
        <w:tc>
          <w:tcPr>
            <w:tcW w:w="612" w:type="pct"/>
            <w:vMerge w:val="restart"/>
            <w:vAlign w:val="center"/>
          </w:tcPr>
          <w:p>
            <w:pPr>
              <w:pStyle w:val="47"/>
              <w:spacing w:line="240" w:lineRule="auto"/>
              <w:rPr>
                <w:color w:val="auto"/>
                <w:szCs w:val="21"/>
              </w:rPr>
            </w:pPr>
            <w:r>
              <w:rPr>
                <w:color w:val="auto"/>
                <w:szCs w:val="21"/>
              </w:rPr>
              <w:t>废气</w:t>
            </w:r>
          </w:p>
        </w:tc>
        <w:tc>
          <w:tcPr>
            <w:tcW w:w="1904" w:type="pct"/>
            <w:vAlign w:val="center"/>
          </w:tcPr>
          <w:p>
            <w:pPr>
              <w:pStyle w:val="47"/>
              <w:spacing w:line="240" w:lineRule="auto"/>
              <w:rPr>
                <w:color w:val="auto"/>
                <w:szCs w:val="21"/>
              </w:rPr>
            </w:pPr>
            <w:r>
              <w:rPr>
                <w:rFonts w:hint="eastAsia"/>
                <w:color w:val="auto"/>
                <w:szCs w:val="21"/>
                <w:lang w:eastAsia="zh-CN"/>
              </w:rPr>
              <w:t>碱喷淋</w:t>
            </w:r>
            <w:r>
              <w:rPr>
                <w:rFonts w:hint="eastAsia"/>
                <w:color w:val="auto"/>
                <w:szCs w:val="21"/>
              </w:rPr>
              <w:t>+活性炭吸附</w:t>
            </w:r>
          </w:p>
        </w:tc>
        <w:tc>
          <w:tcPr>
            <w:tcW w:w="864" w:type="pct"/>
            <w:vAlign w:val="center"/>
          </w:tcPr>
          <w:p>
            <w:pPr>
              <w:pStyle w:val="47"/>
              <w:spacing w:line="240" w:lineRule="auto"/>
              <w:rPr>
                <w:color w:val="auto"/>
                <w:szCs w:val="21"/>
              </w:rPr>
            </w:pPr>
            <w:r>
              <w:rPr>
                <w:color w:val="auto"/>
                <w:szCs w:val="21"/>
              </w:rPr>
              <w:t>新增</w:t>
            </w:r>
          </w:p>
        </w:tc>
        <w:tc>
          <w:tcPr>
            <w:tcW w:w="985" w:type="pct"/>
            <w:vAlign w:val="center"/>
          </w:tcPr>
          <w:p>
            <w:pPr>
              <w:pStyle w:val="47"/>
              <w:spacing w:line="240" w:lineRule="auto"/>
              <w:rPr>
                <w:color w:val="auto"/>
                <w:szCs w:val="21"/>
              </w:rPr>
            </w:pPr>
            <w:r>
              <w:rPr>
                <w:rFonts w:hint="eastAsia"/>
                <w:color w:val="auto"/>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pct"/>
            <w:vAlign w:val="center"/>
          </w:tcPr>
          <w:p>
            <w:pPr>
              <w:pStyle w:val="47"/>
              <w:spacing w:line="240" w:lineRule="auto"/>
              <w:rPr>
                <w:color w:val="auto"/>
                <w:szCs w:val="21"/>
              </w:rPr>
            </w:pPr>
            <w:r>
              <w:rPr>
                <w:rFonts w:hint="eastAsia"/>
                <w:color w:val="auto"/>
                <w:szCs w:val="21"/>
              </w:rPr>
              <w:t>2</w:t>
            </w:r>
          </w:p>
        </w:tc>
        <w:tc>
          <w:tcPr>
            <w:tcW w:w="612" w:type="pct"/>
            <w:vMerge w:val="continue"/>
            <w:vAlign w:val="center"/>
          </w:tcPr>
          <w:p>
            <w:pPr>
              <w:pStyle w:val="47"/>
              <w:spacing w:line="240" w:lineRule="auto"/>
              <w:rPr>
                <w:color w:val="auto"/>
                <w:szCs w:val="21"/>
              </w:rPr>
            </w:pPr>
          </w:p>
        </w:tc>
        <w:tc>
          <w:tcPr>
            <w:tcW w:w="1904" w:type="pct"/>
            <w:vAlign w:val="center"/>
          </w:tcPr>
          <w:p>
            <w:pPr>
              <w:pStyle w:val="47"/>
              <w:spacing w:line="240" w:lineRule="auto"/>
              <w:rPr>
                <w:rFonts w:hint="default" w:eastAsia="宋体"/>
                <w:color w:val="auto"/>
                <w:szCs w:val="21"/>
                <w:lang w:val="en-US" w:eastAsia="zh-CN"/>
              </w:rPr>
            </w:pPr>
            <w:r>
              <w:rPr>
                <w:rFonts w:hint="eastAsia"/>
                <w:color w:val="auto"/>
                <w:szCs w:val="21"/>
              </w:rPr>
              <w:t>旋风除尘器</w:t>
            </w:r>
            <w:r>
              <w:rPr>
                <w:rFonts w:hint="eastAsia"/>
                <w:color w:val="auto"/>
                <w:szCs w:val="21"/>
                <w:lang w:val="en-US" w:eastAsia="zh-CN"/>
              </w:rPr>
              <w:t>+袋式除尘</w:t>
            </w:r>
          </w:p>
        </w:tc>
        <w:tc>
          <w:tcPr>
            <w:tcW w:w="864" w:type="pct"/>
            <w:vAlign w:val="center"/>
          </w:tcPr>
          <w:p>
            <w:pPr>
              <w:pStyle w:val="47"/>
              <w:spacing w:line="240" w:lineRule="auto"/>
              <w:rPr>
                <w:color w:val="auto"/>
                <w:szCs w:val="21"/>
              </w:rPr>
            </w:pPr>
            <w:r>
              <w:rPr>
                <w:rFonts w:hint="eastAsia"/>
                <w:color w:val="auto"/>
                <w:szCs w:val="21"/>
              </w:rPr>
              <w:t>新增</w:t>
            </w:r>
          </w:p>
        </w:tc>
        <w:tc>
          <w:tcPr>
            <w:tcW w:w="985" w:type="pct"/>
            <w:vAlign w:val="center"/>
          </w:tcPr>
          <w:p>
            <w:pPr>
              <w:pStyle w:val="47"/>
              <w:spacing w:line="240" w:lineRule="auto"/>
              <w:rPr>
                <w:color w:val="auto"/>
                <w:szCs w:val="21"/>
              </w:rPr>
            </w:pPr>
            <w:r>
              <w:rPr>
                <w:rFonts w:hint="eastAsia"/>
                <w:color w:val="auto"/>
                <w:szCs w:val="21"/>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pct"/>
            <w:vAlign w:val="center"/>
          </w:tcPr>
          <w:p>
            <w:pPr>
              <w:pStyle w:val="47"/>
              <w:spacing w:line="240" w:lineRule="auto"/>
              <w:rPr>
                <w:color w:val="auto"/>
                <w:szCs w:val="21"/>
              </w:rPr>
            </w:pPr>
            <w:r>
              <w:rPr>
                <w:rFonts w:hint="eastAsia"/>
                <w:color w:val="auto"/>
                <w:szCs w:val="21"/>
              </w:rPr>
              <w:t>3</w:t>
            </w:r>
          </w:p>
        </w:tc>
        <w:tc>
          <w:tcPr>
            <w:tcW w:w="612" w:type="pct"/>
            <w:vMerge w:val="continue"/>
            <w:vAlign w:val="center"/>
          </w:tcPr>
          <w:p>
            <w:pPr>
              <w:pStyle w:val="47"/>
              <w:spacing w:line="240" w:lineRule="auto"/>
              <w:rPr>
                <w:color w:val="auto"/>
                <w:szCs w:val="21"/>
              </w:rPr>
            </w:pPr>
          </w:p>
        </w:tc>
        <w:tc>
          <w:tcPr>
            <w:tcW w:w="1904" w:type="pct"/>
            <w:vAlign w:val="center"/>
          </w:tcPr>
          <w:p>
            <w:pPr>
              <w:pStyle w:val="47"/>
              <w:spacing w:line="240" w:lineRule="auto"/>
              <w:rPr>
                <w:color w:val="auto"/>
                <w:szCs w:val="21"/>
              </w:rPr>
            </w:pPr>
            <w:r>
              <w:rPr>
                <w:rFonts w:hint="eastAsia"/>
                <w:color w:val="auto"/>
                <w:szCs w:val="21"/>
              </w:rPr>
              <w:t>低氮燃烧器</w:t>
            </w:r>
          </w:p>
        </w:tc>
        <w:tc>
          <w:tcPr>
            <w:tcW w:w="864" w:type="pct"/>
            <w:vAlign w:val="center"/>
          </w:tcPr>
          <w:p>
            <w:pPr>
              <w:pStyle w:val="47"/>
              <w:spacing w:line="240" w:lineRule="auto"/>
              <w:rPr>
                <w:color w:val="auto"/>
                <w:szCs w:val="21"/>
              </w:rPr>
            </w:pPr>
            <w:r>
              <w:rPr>
                <w:rFonts w:hint="eastAsia"/>
                <w:color w:val="auto"/>
                <w:szCs w:val="21"/>
              </w:rPr>
              <w:t>新增</w:t>
            </w:r>
          </w:p>
        </w:tc>
        <w:tc>
          <w:tcPr>
            <w:tcW w:w="985" w:type="pct"/>
            <w:vAlign w:val="center"/>
          </w:tcPr>
          <w:p>
            <w:pPr>
              <w:pStyle w:val="47"/>
              <w:spacing w:line="240" w:lineRule="auto"/>
              <w:rPr>
                <w:color w:val="auto"/>
                <w:szCs w:val="21"/>
              </w:rPr>
            </w:pPr>
            <w:r>
              <w:rPr>
                <w:rFonts w:hint="eastAsia"/>
                <w:color w:val="auto"/>
                <w:szCs w:val="21"/>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633" w:type="pct"/>
            <w:vAlign w:val="center"/>
          </w:tcPr>
          <w:p>
            <w:pPr>
              <w:pStyle w:val="47"/>
              <w:spacing w:line="240" w:lineRule="auto"/>
              <w:rPr>
                <w:color w:val="auto"/>
                <w:szCs w:val="21"/>
              </w:rPr>
            </w:pPr>
            <w:r>
              <w:rPr>
                <w:rFonts w:hint="eastAsia"/>
                <w:color w:val="auto"/>
                <w:szCs w:val="21"/>
              </w:rPr>
              <w:t>4</w:t>
            </w:r>
          </w:p>
        </w:tc>
        <w:tc>
          <w:tcPr>
            <w:tcW w:w="612" w:type="pct"/>
            <w:vMerge w:val="restart"/>
            <w:vAlign w:val="center"/>
          </w:tcPr>
          <w:p>
            <w:pPr>
              <w:pStyle w:val="47"/>
              <w:spacing w:line="240" w:lineRule="auto"/>
              <w:rPr>
                <w:color w:val="auto"/>
                <w:szCs w:val="21"/>
              </w:rPr>
            </w:pPr>
            <w:r>
              <w:rPr>
                <w:color w:val="auto"/>
                <w:szCs w:val="21"/>
              </w:rPr>
              <w:t>废水</w:t>
            </w:r>
          </w:p>
        </w:tc>
        <w:tc>
          <w:tcPr>
            <w:tcW w:w="1904" w:type="pct"/>
            <w:vAlign w:val="center"/>
          </w:tcPr>
          <w:p>
            <w:pPr>
              <w:pStyle w:val="47"/>
              <w:spacing w:line="240" w:lineRule="auto"/>
              <w:rPr>
                <w:color w:val="auto"/>
                <w:szCs w:val="21"/>
              </w:rPr>
            </w:pPr>
            <w:r>
              <w:rPr>
                <w:color w:val="auto"/>
                <w:szCs w:val="21"/>
              </w:rPr>
              <w:t>新上处理能力</w:t>
            </w:r>
            <w:r>
              <w:rPr>
                <w:rFonts w:hint="eastAsia"/>
                <w:color w:val="auto"/>
                <w:szCs w:val="21"/>
              </w:rPr>
              <w:t>0.5</w:t>
            </w:r>
            <w:r>
              <w:rPr>
                <w:color w:val="auto"/>
                <w:szCs w:val="21"/>
              </w:rPr>
              <w:t xml:space="preserve"> m</w:t>
            </w:r>
            <w:r>
              <w:rPr>
                <w:color w:val="auto"/>
                <w:szCs w:val="21"/>
                <w:vertAlign w:val="superscript"/>
              </w:rPr>
              <w:t>3</w:t>
            </w:r>
            <w:r>
              <w:rPr>
                <w:color w:val="auto"/>
                <w:szCs w:val="21"/>
              </w:rPr>
              <w:t>/h污水处理</w:t>
            </w:r>
            <w:r>
              <w:rPr>
                <w:rFonts w:hint="eastAsia"/>
                <w:color w:val="auto"/>
                <w:szCs w:val="21"/>
              </w:rPr>
              <w:t>站</w:t>
            </w:r>
          </w:p>
        </w:tc>
        <w:tc>
          <w:tcPr>
            <w:tcW w:w="864" w:type="pct"/>
            <w:vAlign w:val="center"/>
          </w:tcPr>
          <w:p>
            <w:pPr>
              <w:pStyle w:val="47"/>
              <w:spacing w:line="240" w:lineRule="auto"/>
              <w:rPr>
                <w:color w:val="auto"/>
                <w:szCs w:val="21"/>
              </w:rPr>
            </w:pPr>
            <w:r>
              <w:rPr>
                <w:color w:val="auto"/>
                <w:szCs w:val="21"/>
              </w:rPr>
              <w:t>新增</w:t>
            </w:r>
          </w:p>
        </w:tc>
        <w:tc>
          <w:tcPr>
            <w:tcW w:w="985" w:type="pct"/>
            <w:vAlign w:val="center"/>
          </w:tcPr>
          <w:p>
            <w:pPr>
              <w:pStyle w:val="47"/>
              <w:spacing w:line="240" w:lineRule="auto"/>
              <w:rPr>
                <w:color w:val="auto"/>
                <w:szCs w:val="21"/>
              </w:rPr>
            </w:pPr>
            <w:r>
              <w:rPr>
                <w:rFonts w:hint="eastAsia"/>
                <w:color w:val="auto"/>
                <w:szCs w:val="21"/>
              </w:rPr>
              <w:t>340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9" w:hRule="atLeast"/>
        </w:trPr>
        <w:tc>
          <w:tcPr>
            <w:tcW w:w="633" w:type="pct"/>
            <w:vAlign w:val="center"/>
          </w:tcPr>
          <w:p>
            <w:pPr>
              <w:pStyle w:val="47"/>
              <w:spacing w:line="240" w:lineRule="auto"/>
              <w:rPr>
                <w:color w:val="auto"/>
                <w:szCs w:val="21"/>
              </w:rPr>
            </w:pPr>
            <w:r>
              <w:rPr>
                <w:rFonts w:hint="eastAsia"/>
                <w:color w:val="auto"/>
                <w:szCs w:val="21"/>
              </w:rPr>
              <w:t>5</w:t>
            </w:r>
          </w:p>
        </w:tc>
        <w:tc>
          <w:tcPr>
            <w:tcW w:w="612" w:type="pct"/>
            <w:vMerge w:val="continue"/>
            <w:vAlign w:val="center"/>
          </w:tcPr>
          <w:p>
            <w:pPr>
              <w:pStyle w:val="47"/>
              <w:spacing w:line="240" w:lineRule="auto"/>
              <w:rPr>
                <w:color w:val="auto"/>
                <w:szCs w:val="21"/>
              </w:rPr>
            </w:pPr>
          </w:p>
        </w:tc>
        <w:tc>
          <w:tcPr>
            <w:tcW w:w="1904" w:type="pct"/>
            <w:vAlign w:val="center"/>
          </w:tcPr>
          <w:p>
            <w:pPr>
              <w:pStyle w:val="47"/>
              <w:spacing w:line="240" w:lineRule="auto"/>
              <w:rPr>
                <w:color w:val="auto"/>
                <w:szCs w:val="21"/>
              </w:rPr>
            </w:pPr>
            <w:r>
              <w:rPr>
                <w:color w:val="auto"/>
                <w:szCs w:val="21"/>
              </w:rPr>
              <w:t>完善装置区、罐区三级防控体系</w:t>
            </w:r>
          </w:p>
        </w:tc>
        <w:tc>
          <w:tcPr>
            <w:tcW w:w="864" w:type="pct"/>
            <w:vAlign w:val="center"/>
          </w:tcPr>
          <w:p>
            <w:pPr>
              <w:pStyle w:val="47"/>
              <w:spacing w:line="240" w:lineRule="auto"/>
              <w:rPr>
                <w:color w:val="auto"/>
                <w:szCs w:val="21"/>
              </w:rPr>
            </w:pPr>
            <w:r>
              <w:rPr>
                <w:color w:val="auto"/>
                <w:szCs w:val="21"/>
              </w:rPr>
              <w:t>新增</w:t>
            </w:r>
          </w:p>
        </w:tc>
        <w:tc>
          <w:tcPr>
            <w:tcW w:w="985" w:type="pct"/>
            <w:vAlign w:val="center"/>
          </w:tcPr>
          <w:p>
            <w:pPr>
              <w:pStyle w:val="47"/>
              <w:spacing w:line="240" w:lineRule="auto"/>
              <w:rPr>
                <w:color w:val="auto"/>
                <w:szCs w:val="21"/>
              </w:rPr>
            </w:pPr>
            <w:r>
              <w:rPr>
                <w:rFonts w:hint="eastAsia"/>
                <w:color w:val="auto"/>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pct"/>
            <w:vAlign w:val="center"/>
          </w:tcPr>
          <w:p>
            <w:pPr>
              <w:pStyle w:val="47"/>
              <w:spacing w:line="240" w:lineRule="auto"/>
              <w:rPr>
                <w:color w:val="auto"/>
                <w:szCs w:val="21"/>
              </w:rPr>
            </w:pPr>
            <w:r>
              <w:rPr>
                <w:rFonts w:hint="eastAsia"/>
                <w:color w:val="auto"/>
                <w:szCs w:val="21"/>
              </w:rPr>
              <w:t>6</w:t>
            </w:r>
          </w:p>
        </w:tc>
        <w:tc>
          <w:tcPr>
            <w:tcW w:w="612" w:type="pct"/>
            <w:vMerge w:val="restart"/>
            <w:vAlign w:val="center"/>
          </w:tcPr>
          <w:p>
            <w:pPr>
              <w:pStyle w:val="47"/>
              <w:spacing w:line="240" w:lineRule="auto"/>
              <w:rPr>
                <w:color w:val="auto"/>
                <w:szCs w:val="21"/>
              </w:rPr>
            </w:pPr>
            <w:r>
              <w:rPr>
                <w:color w:val="auto"/>
                <w:szCs w:val="21"/>
              </w:rPr>
              <w:t>固废</w:t>
            </w:r>
          </w:p>
        </w:tc>
        <w:tc>
          <w:tcPr>
            <w:tcW w:w="1904" w:type="pct"/>
            <w:vAlign w:val="center"/>
          </w:tcPr>
          <w:p>
            <w:pPr>
              <w:spacing w:line="240" w:lineRule="auto"/>
              <w:ind w:firstLine="0" w:firstLineChars="0"/>
              <w:jc w:val="center"/>
              <w:rPr>
                <w:color w:val="auto"/>
                <w:sz w:val="21"/>
                <w:szCs w:val="21"/>
              </w:rPr>
            </w:pPr>
            <w:r>
              <w:rPr>
                <w:rFonts w:hint="eastAsia"/>
                <w:color w:val="auto"/>
                <w:sz w:val="21"/>
                <w:szCs w:val="21"/>
              </w:rPr>
              <w:t>一般工业固废</w:t>
            </w:r>
            <w:r>
              <w:rPr>
                <w:color w:val="auto"/>
                <w:sz w:val="21"/>
                <w:szCs w:val="21"/>
              </w:rPr>
              <w:t>暂存处</w:t>
            </w:r>
          </w:p>
        </w:tc>
        <w:tc>
          <w:tcPr>
            <w:tcW w:w="864" w:type="pct"/>
            <w:vAlign w:val="center"/>
          </w:tcPr>
          <w:p>
            <w:pPr>
              <w:pStyle w:val="47"/>
              <w:spacing w:line="240" w:lineRule="auto"/>
              <w:rPr>
                <w:color w:val="auto"/>
                <w:szCs w:val="21"/>
              </w:rPr>
            </w:pPr>
            <w:r>
              <w:rPr>
                <w:rFonts w:hint="eastAsia"/>
                <w:color w:val="auto"/>
                <w:szCs w:val="21"/>
              </w:rPr>
              <w:t>新建</w:t>
            </w:r>
          </w:p>
        </w:tc>
        <w:tc>
          <w:tcPr>
            <w:tcW w:w="985" w:type="pct"/>
            <w:vAlign w:val="center"/>
          </w:tcPr>
          <w:p>
            <w:pPr>
              <w:pStyle w:val="47"/>
              <w:spacing w:line="240" w:lineRule="auto"/>
              <w:rPr>
                <w:color w:val="auto"/>
                <w:szCs w:val="21"/>
              </w:rPr>
            </w:pPr>
            <w:r>
              <w:rPr>
                <w:rFonts w:hint="eastAsia"/>
                <w:color w:val="auto"/>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633" w:type="pct"/>
            <w:vAlign w:val="center"/>
          </w:tcPr>
          <w:p>
            <w:pPr>
              <w:pStyle w:val="47"/>
              <w:spacing w:line="240" w:lineRule="auto"/>
              <w:rPr>
                <w:color w:val="auto"/>
                <w:szCs w:val="21"/>
              </w:rPr>
            </w:pPr>
            <w:r>
              <w:rPr>
                <w:rFonts w:hint="eastAsia"/>
                <w:color w:val="auto"/>
                <w:szCs w:val="21"/>
              </w:rPr>
              <w:t>7</w:t>
            </w:r>
          </w:p>
        </w:tc>
        <w:tc>
          <w:tcPr>
            <w:tcW w:w="612" w:type="pct"/>
            <w:vMerge w:val="continue"/>
            <w:vAlign w:val="center"/>
          </w:tcPr>
          <w:p>
            <w:pPr>
              <w:pStyle w:val="47"/>
              <w:spacing w:line="240" w:lineRule="auto"/>
              <w:rPr>
                <w:color w:val="auto"/>
                <w:szCs w:val="21"/>
              </w:rPr>
            </w:pPr>
          </w:p>
        </w:tc>
        <w:tc>
          <w:tcPr>
            <w:tcW w:w="1904" w:type="pct"/>
            <w:vAlign w:val="center"/>
          </w:tcPr>
          <w:p>
            <w:pPr>
              <w:spacing w:line="240" w:lineRule="auto"/>
              <w:ind w:firstLine="0" w:firstLineChars="0"/>
              <w:jc w:val="center"/>
              <w:rPr>
                <w:color w:val="auto"/>
                <w:sz w:val="21"/>
                <w:szCs w:val="21"/>
              </w:rPr>
            </w:pPr>
            <w:r>
              <w:rPr>
                <w:color w:val="auto"/>
                <w:sz w:val="21"/>
                <w:szCs w:val="21"/>
              </w:rPr>
              <w:t>危废暂存间</w:t>
            </w:r>
          </w:p>
        </w:tc>
        <w:tc>
          <w:tcPr>
            <w:tcW w:w="864" w:type="pct"/>
            <w:vAlign w:val="center"/>
          </w:tcPr>
          <w:p>
            <w:pPr>
              <w:pStyle w:val="47"/>
              <w:spacing w:line="240" w:lineRule="auto"/>
              <w:rPr>
                <w:color w:val="auto"/>
                <w:szCs w:val="21"/>
              </w:rPr>
            </w:pPr>
            <w:r>
              <w:rPr>
                <w:color w:val="auto"/>
                <w:szCs w:val="21"/>
              </w:rPr>
              <w:t>新建</w:t>
            </w:r>
          </w:p>
        </w:tc>
        <w:tc>
          <w:tcPr>
            <w:tcW w:w="985" w:type="pct"/>
            <w:vAlign w:val="center"/>
          </w:tcPr>
          <w:p>
            <w:pPr>
              <w:pStyle w:val="47"/>
              <w:spacing w:line="240" w:lineRule="auto"/>
              <w:rPr>
                <w:color w:val="auto"/>
                <w:szCs w:val="21"/>
              </w:rPr>
            </w:pPr>
            <w:r>
              <w:rPr>
                <w:rFonts w:hint="eastAsia"/>
                <w:color w:val="auto"/>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pct"/>
            <w:vAlign w:val="center"/>
          </w:tcPr>
          <w:p>
            <w:pPr>
              <w:pStyle w:val="47"/>
              <w:spacing w:line="240" w:lineRule="auto"/>
              <w:rPr>
                <w:color w:val="auto"/>
                <w:szCs w:val="21"/>
              </w:rPr>
            </w:pPr>
            <w:r>
              <w:rPr>
                <w:rFonts w:hint="eastAsia"/>
                <w:color w:val="auto"/>
                <w:szCs w:val="21"/>
              </w:rPr>
              <w:t>8</w:t>
            </w:r>
          </w:p>
        </w:tc>
        <w:tc>
          <w:tcPr>
            <w:tcW w:w="612" w:type="pct"/>
            <w:vAlign w:val="center"/>
          </w:tcPr>
          <w:p>
            <w:pPr>
              <w:pStyle w:val="47"/>
              <w:spacing w:line="240" w:lineRule="auto"/>
              <w:rPr>
                <w:color w:val="auto"/>
                <w:szCs w:val="21"/>
              </w:rPr>
            </w:pPr>
            <w:r>
              <w:rPr>
                <w:color w:val="auto"/>
                <w:szCs w:val="21"/>
              </w:rPr>
              <w:t>风险</w:t>
            </w:r>
          </w:p>
        </w:tc>
        <w:tc>
          <w:tcPr>
            <w:tcW w:w="1904" w:type="pct"/>
            <w:vAlign w:val="center"/>
          </w:tcPr>
          <w:p>
            <w:pPr>
              <w:pStyle w:val="47"/>
              <w:spacing w:line="240" w:lineRule="auto"/>
              <w:rPr>
                <w:color w:val="auto"/>
                <w:szCs w:val="21"/>
              </w:rPr>
            </w:pPr>
            <w:r>
              <w:rPr>
                <w:color w:val="auto"/>
                <w:szCs w:val="21"/>
              </w:rPr>
              <w:t>事故水池</w:t>
            </w:r>
          </w:p>
        </w:tc>
        <w:tc>
          <w:tcPr>
            <w:tcW w:w="864" w:type="pct"/>
            <w:vAlign w:val="center"/>
          </w:tcPr>
          <w:p>
            <w:pPr>
              <w:pStyle w:val="47"/>
              <w:spacing w:line="240" w:lineRule="auto"/>
              <w:rPr>
                <w:color w:val="auto"/>
                <w:szCs w:val="21"/>
              </w:rPr>
            </w:pPr>
            <w:r>
              <w:rPr>
                <w:color w:val="auto"/>
                <w:szCs w:val="21"/>
              </w:rPr>
              <w:t>新增</w:t>
            </w:r>
          </w:p>
        </w:tc>
        <w:tc>
          <w:tcPr>
            <w:tcW w:w="985" w:type="pct"/>
            <w:vAlign w:val="center"/>
          </w:tcPr>
          <w:p>
            <w:pPr>
              <w:pStyle w:val="47"/>
              <w:spacing w:line="240" w:lineRule="auto"/>
              <w:rPr>
                <w:color w:val="auto"/>
                <w:szCs w:val="21"/>
              </w:rPr>
            </w:pPr>
            <w:r>
              <w:rPr>
                <w:rFonts w:hint="eastAsia"/>
                <w:color w:val="auto"/>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pct"/>
            <w:vAlign w:val="center"/>
          </w:tcPr>
          <w:p>
            <w:pPr>
              <w:pStyle w:val="47"/>
              <w:spacing w:line="240" w:lineRule="auto"/>
              <w:rPr>
                <w:color w:val="auto"/>
                <w:szCs w:val="21"/>
              </w:rPr>
            </w:pPr>
            <w:r>
              <w:rPr>
                <w:rFonts w:hint="eastAsia"/>
                <w:color w:val="auto"/>
                <w:szCs w:val="21"/>
              </w:rPr>
              <w:t>9</w:t>
            </w:r>
          </w:p>
        </w:tc>
        <w:tc>
          <w:tcPr>
            <w:tcW w:w="2516" w:type="pct"/>
            <w:gridSpan w:val="2"/>
            <w:vAlign w:val="center"/>
          </w:tcPr>
          <w:p>
            <w:pPr>
              <w:pStyle w:val="47"/>
              <w:spacing w:line="240" w:lineRule="auto"/>
              <w:rPr>
                <w:color w:val="auto"/>
                <w:szCs w:val="21"/>
              </w:rPr>
            </w:pPr>
            <w:r>
              <w:rPr>
                <w:color w:val="auto"/>
                <w:szCs w:val="21"/>
              </w:rPr>
              <w:t>合计</w:t>
            </w:r>
          </w:p>
        </w:tc>
        <w:tc>
          <w:tcPr>
            <w:tcW w:w="864" w:type="pct"/>
            <w:vAlign w:val="center"/>
          </w:tcPr>
          <w:p>
            <w:pPr>
              <w:pStyle w:val="47"/>
              <w:spacing w:line="240" w:lineRule="auto"/>
              <w:rPr>
                <w:color w:val="auto"/>
                <w:szCs w:val="21"/>
              </w:rPr>
            </w:pPr>
            <w:r>
              <w:rPr>
                <w:color w:val="auto"/>
                <w:szCs w:val="21"/>
              </w:rPr>
              <w:t>-</w:t>
            </w:r>
          </w:p>
        </w:tc>
        <w:tc>
          <w:tcPr>
            <w:tcW w:w="985" w:type="pct"/>
            <w:vAlign w:val="center"/>
          </w:tcPr>
          <w:p>
            <w:pPr>
              <w:pStyle w:val="47"/>
              <w:spacing w:line="240" w:lineRule="auto"/>
              <w:rPr>
                <w:color w:val="auto"/>
                <w:szCs w:val="21"/>
              </w:rPr>
            </w:pPr>
            <w:r>
              <w:rPr>
                <w:rFonts w:hint="eastAsia"/>
                <w:color w:val="auto"/>
                <w:szCs w:val="21"/>
              </w:rPr>
              <w:t>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pct"/>
            <w:vAlign w:val="center"/>
          </w:tcPr>
          <w:p>
            <w:pPr>
              <w:pStyle w:val="47"/>
              <w:spacing w:line="240" w:lineRule="auto"/>
              <w:rPr>
                <w:color w:val="auto"/>
                <w:szCs w:val="21"/>
              </w:rPr>
            </w:pPr>
            <w:r>
              <w:rPr>
                <w:rFonts w:hint="eastAsia"/>
                <w:color w:val="auto"/>
                <w:szCs w:val="21"/>
              </w:rPr>
              <w:t>10</w:t>
            </w:r>
          </w:p>
        </w:tc>
        <w:tc>
          <w:tcPr>
            <w:tcW w:w="2516" w:type="pct"/>
            <w:gridSpan w:val="2"/>
            <w:vAlign w:val="center"/>
          </w:tcPr>
          <w:p>
            <w:pPr>
              <w:pStyle w:val="47"/>
              <w:spacing w:line="240" w:lineRule="auto"/>
              <w:rPr>
                <w:color w:val="auto"/>
                <w:szCs w:val="21"/>
              </w:rPr>
            </w:pPr>
            <w:r>
              <w:rPr>
                <w:color w:val="auto"/>
                <w:szCs w:val="21"/>
              </w:rPr>
              <w:t>工程总投资</w:t>
            </w:r>
          </w:p>
        </w:tc>
        <w:tc>
          <w:tcPr>
            <w:tcW w:w="864" w:type="pct"/>
            <w:vAlign w:val="center"/>
          </w:tcPr>
          <w:p>
            <w:pPr>
              <w:pStyle w:val="47"/>
              <w:spacing w:line="240" w:lineRule="auto"/>
              <w:rPr>
                <w:color w:val="auto"/>
                <w:szCs w:val="21"/>
              </w:rPr>
            </w:pPr>
            <w:r>
              <w:rPr>
                <w:color w:val="auto"/>
                <w:szCs w:val="21"/>
              </w:rPr>
              <w:t>-</w:t>
            </w:r>
          </w:p>
        </w:tc>
        <w:tc>
          <w:tcPr>
            <w:tcW w:w="985" w:type="pct"/>
            <w:vAlign w:val="center"/>
          </w:tcPr>
          <w:p>
            <w:pPr>
              <w:pStyle w:val="47"/>
              <w:spacing w:line="240" w:lineRule="auto"/>
              <w:rPr>
                <w:color w:val="auto"/>
                <w:szCs w:val="21"/>
              </w:rPr>
            </w:pPr>
            <w:r>
              <w:rPr>
                <w:rFonts w:hint="eastAsia"/>
                <w:color w:val="auto"/>
                <w:szCs w:val="21"/>
              </w:rPr>
              <w:t>10000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pct"/>
            <w:vAlign w:val="center"/>
          </w:tcPr>
          <w:p>
            <w:pPr>
              <w:pStyle w:val="47"/>
              <w:spacing w:line="240" w:lineRule="auto"/>
              <w:rPr>
                <w:color w:val="auto"/>
                <w:szCs w:val="21"/>
              </w:rPr>
            </w:pPr>
            <w:r>
              <w:rPr>
                <w:rFonts w:hint="eastAsia"/>
                <w:color w:val="auto"/>
                <w:szCs w:val="21"/>
              </w:rPr>
              <w:t>11</w:t>
            </w:r>
          </w:p>
        </w:tc>
        <w:tc>
          <w:tcPr>
            <w:tcW w:w="2516" w:type="pct"/>
            <w:gridSpan w:val="2"/>
            <w:vAlign w:val="center"/>
          </w:tcPr>
          <w:p>
            <w:pPr>
              <w:pStyle w:val="47"/>
              <w:spacing w:line="240" w:lineRule="auto"/>
              <w:rPr>
                <w:color w:val="auto"/>
                <w:szCs w:val="21"/>
              </w:rPr>
            </w:pPr>
            <w:r>
              <w:rPr>
                <w:color w:val="auto"/>
                <w:szCs w:val="21"/>
              </w:rPr>
              <w:t>占工程总投资的比例</w:t>
            </w:r>
          </w:p>
        </w:tc>
        <w:tc>
          <w:tcPr>
            <w:tcW w:w="864" w:type="pct"/>
            <w:vAlign w:val="center"/>
          </w:tcPr>
          <w:p>
            <w:pPr>
              <w:pStyle w:val="47"/>
              <w:spacing w:line="240" w:lineRule="auto"/>
              <w:rPr>
                <w:color w:val="auto"/>
                <w:szCs w:val="21"/>
              </w:rPr>
            </w:pPr>
            <w:r>
              <w:rPr>
                <w:color w:val="auto"/>
                <w:szCs w:val="21"/>
              </w:rPr>
              <w:t>-</w:t>
            </w:r>
          </w:p>
        </w:tc>
        <w:tc>
          <w:tcPr>
            <w:tcW w:w="985" w:type="pct"/>
            <w:vAlign w:val="center"/>
          </w:tcPr>
          <w:p>
            <w:pPr>
              <w:pStyle w:val="47"/>
              <w:spacing w:line="240" w:lineRule="auto"/>
              <w:rPr>
                <w:color w:val="auto"/>
                <w:szCs w:val="21"/>
              </w:rPr>
            </w:pPr>
            <w:r>
              <w:rPr>
                <w:rFonts w:hint="eastAsia"/>
                <w:color w:val="auto"/>
                <w:szCs w:val="21"/>
              </w:rPr>
              <w:t>6.0</w:t>
            </w:r>
            <w:r>
              <w:rPr>
                <w:color w:val="auto"/>
                <w:szCs w:val="21"/>
              </w:rPr>
              <w:t>%</w:t>
            </w:r>
          </w:p>
        </w:tc>
      </w:tr>
    </w:tbl>
    <w:p>
      <w:pPr>
        <w:pStyle w:val="9"/>
        <w:spacing w:before="0" w:beforeLines="0" w:after="0" w:afterLines="0"/>
        <w:rPr>
          <w:color w:val="auto"/>
        </w:rPr>
      </w:pPr>
      <w:r>
        <w:rPr>
          <w:color w:val="auto"/>
        </w:rPr>
        <w:t>9.2.2环境效益分析</w:t>
      </w:r>
    </w:p>
    <w:p>
      <w:pPr>
        <w:pStyle w:val="2"/>
        <w:spacing w:after="0"/>
        <w:ind w:firstLine="480"/>
        <w:rPr>
          <w:color w:val="auto"/>
        </w:rPr>
      </w:pPr>
      <w:r>
        <w:rPr>
          <w:color w:val="auto"/>
        </w:rPr>
        <w:t>根据工程分析，采取各项治理措施后，本工程各污染物的排放浓度均能达到相关标准的要求，有效地削减了污染物的排放量。所以本工程的环保投资是合理的，在实现经济效益的同时，也保护了环境</w:t>
      </w:r>
      <w:r>
        <w:rPr>
          <w:rFonts w:hint="eastAsia"/>
          <w:color w:val="auto"/>
        </w:rPr>
        <w:t>。</w:t>
      </w:r>
    </w:p>
    <w:p>
      <w:pPr>
        <w:ind w:firstLine="480"/>
        <w:rPr>
          <w:color w:val="auto"/>
        </w:rPr>
      </w:pPr>
      <w:r>
        <w:rPr>
          <w:rFonts w:hint="eastAsia"/>
          <w:color w:val="auto"/>
        </w:rPr>
        <w:t>（1）废气</w:t>
      </w:r>
    </w:p>
    <w:p>
      <w:pPr>
        <w:pStyle w:val="2"/>
        <w:spacing w:after="0"/>
        <w:ind w:firstLine="480"/>
        <w:rPr>
          <w:rFonts w:hint="eastAsia" w:eastAsia="宋体"/>
          <w:color w:val="auto"/>
          <w:lang w:eastAsia="zh-CN"/>
        </w:rPr>
      </w:pPr>
      <w:r>
        <w:rPr>
          <w:rFonts w:hint="eastAsia"/>
          <w:color w:val="auto"/>
        </w:rPr>
        <w:t>拟建</w:t>
      </w:r>
      <w:r>
        <w:rPr>
          <w:color w:val="auto"/>
        </w:rPr>
        <w:t>项目</w:t>
      </w:r>
      <w:r>
        <w:rPr>
          <w:rFonts w:hint="eastAsia"/>
          <w:color w:val="auto"/>
        </w:rPr>
        <w:t>有组织</w:t>
      </w:r>
      <w:r>
        <w:rPr>
          <w:color w:val="auto"/>
        </w:rPr>
        <w:t>有机废气采用</w:t>
      </w:r>
      <w:r>
        <w:rPr>
          <w:rFonts w:hint="eastAsia"/>
          <w:color w:val="auto"/>
          <w:lang w:eastAsia="zh-CN"/>
        </w:rPr>
        <w:t>碱喷淋</w:t>
      </w:r>
      <w:r>
        <w:rPr>
          <w:rFonts w:hint="eastAsia"/>
          <w:color w:val="auto"/>
        </w:rPr>
        <w:t>+</w:t>
      </w:r>
      <w:r>
        <w:rPr>
          <w:color w:val="auto"/>
        </w:rPr>
        <w:t>活性炭吸附处理后，VOCs排放满足《挥发性有机物排放标准 第6 部分：有机化工行业》（DB 37/ 2801.6-2018）表1 有机化工企业或生产设施VOCs 排放限值要求（3.0kg/h，60mg/m</w:t>
      </w:r>
      <w:r>
        <w:rPr>
          <w:color w:val="auto"/>
          <w:vertAlign w:val="superscript"/>
        </w:rPr>
        <w:t>3</w:t>
      </w:r>
      <w:r>
        <w:rPr>
          <w:color w:val="auto"/>
        </w:rPr>
        <w:t>）</w:t>
      </w:r>
      <w:r>
        <w:rPr>
          <w:rFonts w:hint="eastAsia"/>
          <w:color w:val="auto"/>
          <w:lang w:eastAsia="zh-CN"/>
        </w:rPr>
        <w:t>。</w:t>
      </w:r>
    </w:p>
    <w:p>
      <w:pPr>
        <w:pStyle w:val="2"/>
        <w:spacing w:after="0"/>
        <w:ind w:firstLine="480"/>
        <w:rPr>
          <w:color w:val="auto"/>
        </w:rPr>
      </w:pPr>
      <w:r>
        <w:rPr>
          <w:color w:val="auto"/>
        </w:rPr>
        <w:t>厂界无组织VOCs满足《挥发性有机物排放标准 第6 部分：有机化工行业》（DB 37/ 2801.6-2018）表3厂界监控点浓度限值（2.0mg/m</w:t>
      </w:r>
      <w:r>
        <w:rPr>
          <w:color w:val="auto"/>
          <w:vertAlign w:val="superscript"/>
        </w:rPr>
        <w:t>3</w:t>
      </w:r>
      <w:r>
        <w:rPr>
          <w:color w:val="auto"/>
        </w:rPr>
        <w:t>）；无组织颗粒物厂界浓度满足《大气污染物综合排放标准》（GB16297-1996）表2中无组织排放监控浓度限值要求（颗粒物1.0mg/m</w:t>
      </w:r>
      <w:r>
        <w:rPr>
          <w:color w:val="auto"/>
          <w:vertAlign w:val="superscript"/>
        </w:rPr>
        <w:t>3</w:t>
      </w:r>
      <w:r>
        <w:rPr>
          <w:color w:val="auto"/>
        </w:rPr>
        <w:t>）。</w:t>
      </w:r>
      <w:r>
        <w:rPr>
          <w:rFonts w:hint="eastAsia"/>
          <w:color w:val="auto"/>
          <w:lang w:val="en-US" w:eastAsia="zh-CN"/>
        </w:rPr>
        <w:t>污水处理站</w:t>
      </w:r>
      <w:r>
        <w:rPr>
          <w:rFonts w:hint="eastAsia"/>
          <w:color w:val="auto"/>
        </w:rPr>
        <w:t>无组织硫化氢、氨</w:t>
      </w:r>
      <w:r>
        <w:rPr>
          <w:rFonts w:hint="eastAsia"/>
          <w:color w:val="auto"/>
          <w:lang w:eastAsia="zh-CN"/>
        </w:rPr>
        <w:t>、</w:t>
      </w:r>
      <w:r>
        <w:rPr>
          <w:rFonts w:hint="eastAsia"/>
          <w:color w:val="auto"/>
          <w:lang w:val="en-US" w:eastAsia="zh-CN"/>
        </w:rPr>
        <w:t>臭气浓度</w:t>
      </w:r>
      <w:r>
        <w:rPr>
          <w:rFonts w:hint="eastAsia"/>
          <w:color w:val="auto"/>
        </w:rPr>
        <w:t>执行《有机化工企业污水处理厂（站）挥发性有机物及恶臭污染物排放标准》（DB37/3161-2018）表2厂界监控点浓度限值</w:t>
      </w:r>
      <w:r>
        <w:rPr>
          <w:rFonts w:hint="eastAsia"/>
          <w:color w:val="auto"/>
          <w:lang w:eastAsia="zh-CN"/>
        </w:rPr>
        <w:t>（</w:t>
      </w:r>
      <w:r>
        <w:rPr>
          <w:rFonts w:hint="eastAsia"/>
          <w:color w:val="auto"/>
          <w:lang w:val="en-US" w:eastAsia="zh-CN"/>
        </w:rPr>
        <w:t>硫化氢0.03</w:t>
      </w:r>
      <w:r>
        <w:rPr>
          <w:color w:val="auto"/>
        </w:rPr>
        <w:t>mg/m</w:t>
      </w:r>
      <w:r>
        <w:rPr>
          <w:color w:val="auto"/>
          <w:vertAlign w:val="superscript"/>
        </w:rPr>
        <w:t>3</w:t>
      </w:r>
      <w:r>
        <w:rPr>
          <w:rFonts w:hint="eastAsia"/>
          <w:color w:val="auto"/>
          <w:vertAlign w:val="baseline"/>
          <w:lang w:eastAsia="zh-CN"/>
        </w:rPr>
        <w:t>、</w:t>
      </w:r>
      <w:r>
        <w:rPr>
          <w:rFonts w:hint="eastAsia"/>
          <w:color w:val="auto"/>
          <w:vertAlign w:val="baseline"/>
          <w:lang w:val="en-US" w:eastAsia="zh-CN"/>
        </w:rPr>
        <w:t>氨1.0</w:t>
      </w:r>
      <w:r>
        <w:rPr>
          <w:color w:val="auto"/>
        </w:rPr>
        <w:t>mg/m</w:t>
      </w:r>
      <w:r>
        <w:rPr>
          <w:color w:val="auto"/>
          <w:vertAlign w:val="superscript"/>
        </w:rPr>
        <w:t>3</w:t>
      </w:r>
      <w:r>
        <w:rPr>
          <w:rFonts w:hint="eastAsia"/>
          <w:color w:val="auto"/>
          <w:vertAlign w:val="baseline"/>
          <w:lang w:eastAsia="zh-CN"/>
        </w:rPr>
        <w:t>、</w:t>
      </w:r>
      <w:r>
        <w:rPr>
          <w:rFonts w:hint="eastAsia"/>
          <w:color w:val="auto"/>
          <w:vertAlign w:val="baseline"/>
          <w:lang w:val="en-US" w:eastAsia="zh-CN"/>
        </w:rPr>
        <w:t>臭气浓度20（无量纲）</w:t>
      </w:r>
      <w:r>
        <w:rPr>
          <w:rFonts w:hint="eastAsia"/>
          <w:color w:val="auto"/>
          <w:lang w:eastAsia="zh-CN"/>
        </w:rPr>
        <w:t>）。</w:t>
      </w:r>
    </w:p>
    <w:p>
      <w:pPr>
        <w:ind w:firstLine="480"/>
        <w:rPr>
          <w:color w:val="auto"/>
        </w:rPr>
      </w:pPr>
      <w:r>
        <w:rPr>
          <w:rFonts w:hint="eastAsia"/>
          <w:color w:val="auto"/>
        </w:rPr>
        <w:t>（2）废水</w:t>
      </w:r>
    </w:p>
    <w:p>
      <w:pPr>
        <w:pStyle w:val="2"/>
        <w:spacing w:after="0"/>
        <w:ind w:firstLine="480"/>
        <w:rPr>
          <w:color w:val="auto"/>
        </w:rPr>
      </w:pPr>
      <w:r>
        <w:rPr>
          <w:rFonts w:hint="eastAsia"/>
          <w:color w:val="auto"/>
          <w:lang w:val="en-US" w:eastAsia="zh-CN"/>
        </w:rPr>
        <w:t>生产</w:t>
      </w:r>
      <w:r>
        <w:rPr>
          <w:color w:val="auto"/>
        </w:rPr>
        <w:t>废水</w:t>
      </w:r>
      <w:r>
        <w:rPr>
          <w:rFonts w:hint="eastAsia"/>
          <w:color w:val="auto"/>
        </w:rPr>
        <w:t>经过污水处理站处理后</w:t>
      </w:r>
      <w:r>
        <w:rPr>
          <w:rFonts w:hint="eastAsia"/>
          <w:color w:val="auto"/>
          <w:lang w:val="en-US" w:eastAsia="zh-CN"/>
        </w:rPr>
        <w:t>与生活污水汇合后执行《污水综合排放标准》（GB8978-1996）三级标准及光大水务（淄博）有限公司水质净化三分厂纳管水质要求</w:t>
      </w:r>
      <w:r>
        <w:rPr>
          <w:color w:val="auto"/>
        </w:rPr>
        <w:t>。</w:t>
      </w:r>
    </w:p>
    <w:p>
      <w:pPr>
        <w:ind w:firstLine="480"/>
        <w:rPr>
          <w:color w:val="auto"/>
        </w:rPr>
      </w:pPr>
      <w:r>
        <w:rPr>
          <w:rFonts w:hint="eastAsia"/>
          <w:color w:val="auto"/>
        </w:rPr>
        <w:t>（3）噪声</w:t>
      </w:r>
    </w:p>
    <w:p>
      <w:pPr>
        <w:pStyle w:val="2"/>
        <w:spacing w:after="0"/>
        <w:ind w:firstLine="480"/>
        <w:rPr>
          <w:color w:val="auto"/>
        </w:rPr>
      </w:pPr>
      <w:r>
        <w:rPr>
          <w:color w:val="auto"/>
        </w:rPr>
        <w:t>本项目主要噪声源为</w:t>
      </w:r>
      <w:r>
        <w:rPr>
          <w:rFonts w:hint="eastAsia"/>
          <w:color w:val="auto"/>
        </w:rPr>
        <w:t>造粒机、振动筛</w:t>
      </w:r>
      <w:r>
        <w:rPr>
          <w:color w:val="auto"/>
        </w:rPr>
        <w:t>、风机、泵类等设备，对以上噪声源将分别采取加隔声罩、基础减振等多种措施进行降噪处理，本项目的厂界噪声均能满足《工业企业厂界环境噪声排放标准》（GB12348-2008）中的</w:t>
      </w:r>
      <w:r>
        <w:rPr>
          <w:rFonts w:hint="eastAsia"/>
          <w:color w:val="auto"/>
          <w:lang w:eastAsia="zh-CN"/>
        </w:rPr>
        <w:t>2类标准</w:t>
      </w:r>
      <w:r>
        <w:rPr>
          <w:color w:val="auto"/>
        </w:rPr>
        <w:t>要求。</w:t>
      </w:r>
    </w:p>
    <w:p>
      <w:pPr>
        <w:ind w:firstLine="480"/>
        <w:rPr>
          <w:color w:val="auto"/>
        </w:rPr>
      </w:pPr>
      <w:r>
        <w:rPr>
          <w:rFonts w:hint="eastAsia"/>
          <w:color w:val="auto"/>
        </w:rPr>
        <w:t>（4）固体废物</w:t>
      </w:r>
    </w:p>
    <w:p>
      <w:pPr>
        <w:ind w:firstLine="480"/>
        <w:rPr>
          <w:color w:val="auto"/>
        </w:rPr>
      </w:pPr>
      <w:r>
        <w:rPr>
          <w:rFonts w:hint="eastAsia"/>
          <w:color w:val="auto"/>
        </w:rPr>
        <w:t>项目固体废物包括</w:t>
      </w:r>
      <w:r>
        <w:rPr>
          <w:color w:val="auto"/>
        </w:rPr>
        <w:t>废包装袋、废包装桶、废活性炭、废润滑油、化验室废试剂瓶、化验室废液、</w:t>
      </w:r>
      <w:r>
        <w:rPr>
          <w:rFonts w:hint="eastAsia"/>
          <w:color w:val="auto"/>
          <w:lang w:val="en-US" w:eastAsia="zh-CN"/>
        </w:rPr>
        <w:t>高沸物、罐底残渣、废导热油、</w:t>
      </w:r>
      <w:r>
        <w:rPr>
          <w:rFonts w:hint="eastAsia"/>
          <w:color w:val="auto"/>
        </w:rPr>
        <w:t>不合格品、</w:t>
      </w:r>
      <w:r>
        <w:rPr>
          <w:color w:val="auto"/>
        </w:rPr>
        <w:t>污水站污泥、生活垃圾</w:t>
      </w:r>
      <w:r>
        <w:rPr>
          <w:rFonts w:hint="eastAsia"/>
          <w:color w:val="auto"/>
        </w:rPr>
        <w:t>等。</w:t>
      </w:r>
      <w:r>
        <w:rPr>
          <w:color w:val="auto"/>
        </w:rPr>
        <w:t>废包装袋、废包装桶</w:t>
      </w:r>
      <w:r>
        <w:rPr>
          <w:rFonts w:hint="eastAsia"/>
          <w:color w:val="auto"/>
        </w:rPr>
        <w:t>以及不合格品暂存于一般工业固废暂存间内，收集后统一定期外售至废品回收站；</w:t>
      </w:r>
      <w:r>
        <w:rPr>
          <w:color w:val="auto"/>
        </w:rPr>
        <w:t>废活性炭、废润滑油、化验室废试剂瓶、化验室废液、</w:t>
      </w:r>
      <w:r>
        <w:rPr>
          <w:rFonts w:hint="eastAsia"/>
          <w:color w:val="auto"/>
          <w:lang w:val="en-US" w:eastAsia="zh-CN"/>
        </w:rPr>
        <w:t>高沸物、罐底残渣、废导热油</w:t>
      </w:r>
      <w:r>
        <w:rPr>
          <w:rFonts w:hint="eastAsia"/>
          <w:color w:val="auto"/>
        </w:rPr>
        <w:t>暂存于危险废物暂存间，委托有资质单位处置；污水处理站污泥经厂区污泥脱水机脱水后暂存于一般工业固废暂存间，泥饼定期外运至有资质单位处置；生活垃圾由环卫部门定期清理。</w:t>
      </w:r>
      <w:r>
        <w:rPr>
          <w:color w:val="auto"/>
        </w:rPr>
        <w:t>固体废物全部得到妥善处理</w:t>
      </w:r>
      <w:r>
        <w:rPr>
          <w:rFonts w:hint="eastAsia"/>
          <w:color w:val="auto"/>
        </w:rPr>
        <w:t>。</w:t>
      </w:r>
    </w:p>
    <w:p>
      <w:pPr>
        <w:ind w:firstLine="480"/>
        <w:rPr>
          <w:color w:val="auto"/>
        </w:rPr>
      </w:pPr>
      <w:r>
        <w:rPr>
          <w:color w:val="auto"/>
        </w:rPr>
        <w:t>综上分析，本工程通过采用一系列技术上可行、经济上合理的环保措施，对其生产过程中产生的废气、废水、固废及设备噪声等进行综合治理，基本实现了废物和水资源的综合利用，既增加了经济效益，又减少了工程对环境造成的污染，达到了削减污染物排放量、保护环境的目的。</w:t>
      </w:r>
    </w:p>
    <w:p>
      <w:pPr>
        <w:ind w:firstLine="480"/>
        <w:rPr>
          <w:color w:val="auto"/>
        </w:rPr>
      </w:pPr>
      <w:r>
        <w:rPr>
          <w:color w:val="auto"/>
        </w:rPr>
        <w:t>由此可见，本项目环保措施实施后，减少了排污，环境效益和经济效益明显。</w:t>
      </w:r>
    </w:p>
    <w:p>
      <w:pPr>
        <w:pStyle w:val="8"/>
        <w:spacing w:before="0" w:beforeLines="0" w:after="0" w:afterLines="0"/>
        <w:rPr>
          <w:color w:val="auto"/>
        </w:rPr>
      </w:pPr>
      <w:bookmarkStart w:id="406" w:name="_Toc23626"/>
      <w:bookmarkStart w:id="407" w:name="_Toc8207"/>
      <w:r>
        <w:rPr>
          <w:color w:val="auto"/>
        </w:rPr>
        <w:t>9.3社会效益分析</w:t>
      </w:r>
      <w:bookmarkEnd w:id="406"/>
      <w:bookmarkEnd w:id="407"/>
    </w:p>
    <w:p>
      <w:pPr>
        <w:ind w:firstLine="480"/>
        <w:rPr>
          <w:color w:val="auto"/>
        </w:rPr>
      </w:pPr>
      <w:r>
        <w:rPr>
          <w:color w:val="auto"/>
        </w:rPr>
        <w:t>本工程的建设不仅具有环境效益和经济效益，而且具有较大的社会效益。</w:t>
      </w:r>
    </w:p>
    <w:p>
      <w:pPr>
        <w:ind w:firstLine="480"/>
        <w:rPr>
          <w:color w:val="auto"/>
        </w:rPr>
      </w:pPr>
      <w:r>
        <w:rPr>
          <w:color w:val="auto"/>
        </w:rPr>
        <w:t>1、本工程的建设可以为当地居民提供工作岗位，提供了更多的就业机会，缓解社会就业压力，改善当地居民的生活水平；</w:t>
      </w:r>
    </w:p>
    <w:p>
      <w:pPr>
        <w:ind w:firstLine="480"/>
        <w:rPr>
          <w:color w:val="auto"/>
        </w:rPr>
      </w:pPr>
      <w:r>
        <w:rPr>
          <w:color w:val="auto"/>
        </w:rPr>
        <w:t>2、本项目投产后，每年上缴利税，增加地方的财政收入，促进当地经济发展，有利于维护社会治安的稳定和发展。</w:t>
      </w:r>
    </w:p>
    <w:p>
      <w:pPr>
        <w:ind w:firstLine="480"/>
        <w:rPr>
          <w:color w:val="auto"/>
        </w:rPr>
      </w:pPr>
      <w:r>
        <w:rPr>
          <w:color w:val="auto"/>
        </w:rPr>
        <w:t>因此，本项目的建设具有显著的社会效益。</w:t>
      </w:r>
    </w:p>
    <w:p>
      <w:pPr>
        <w:ind w:firstLine="480"/>
        <w:rPr>
          <w:color w:val="auto"/>
        </w:rPr>
      </w:pPr>
      <w:r>
        <w:rPr>
          <w:color w:val="auto"/>
        </w:rPr>
        <w:t>综上所述，在落实各项污染防治措施，污染物达标排放的前提下，工程的运行具有较好的社会、环境和经济效益。</w:t>
      </w:r>
    </w:p>
    <w:p>
      <w:pPr>
        <w:pStyle w:val="8"/>
        <w:spacing w:before="0" w:beforeLines="0" w:after="0" w:afterLines="0"/>
        <w:rPr>
          <w:color w:val="auto"/>
          <w:kern w:val="0"/>
        </w:rPr>
      </w:pPr>
      <w:bookmarkStart w:id="408" w:name="_Toc20226"/>
      <w:bookmarkStart w:id="409" w:name="_Toc17851"/>
      <w:r>
        <w:rPr>
          <w:color w:val="auto"/>
        </w:rPr>
        <w:t>9.4小结</w:t>
      </w:r>
      <w:bookmarkEnd w:id="408"/>
      <w:bookmarkEnd w:id="409"/>
    </w:p>
    <w:p>
      <w:pPr>
        <w:pStyle w:val="14"/>
        <w:spacing w:after="0"/>
        <w:ind w:firstLine="480"/>
        <w:rPr>
          <w:color w:val="auto"/>
          <w:kern w:val="0"/>
        </w:rPr>
      </w:pPr>
      <w:r>
        <w:rPr>
          <w:color w:val="auto"/>
          <w:kern w:val="0"/>
        </w:rPr>
        <w:t>项目建设在促进社会和经济发展的同时，也会对环境造成不利影响。项目采取环保措施后，不仅可以达到预定的环境目标，对周围环境的影响降低，同时还可以创造一定的经济效益，使社会效益、环境效益和经济效益得到统一</w:t>
      </w:r>
      <w:r>
        <w:rPr>
          <w:rFonts w:hint="eastAsia"/>
          <w:color w:val="auto"/>
          <w:kern w:val="0"/>
        </w:rPr>
        <w:t>。</w:t>
      </w:r>
    </w:p>
    <w:p>
      <w:pPr>
        <w:ind w:firstLine="480"/>
        <w:rPr>
          <w:color w:val="auto"/>
          <w:kern w:val="0"/>
        </w:rPr>
      </w:pPr>
      <w:r>
        <w:rPr>
          <w:rFonts w:hint="eastAsia"/>
          <w:color w:val="auto"/>
          <w:kern w:val="0"/>
        </w:rPr>
        <w:br w:type="page"/>
      </w:r>
    </w:p>
    <w:p>
      <w:pPr>
        <w:pStyle w:val="7"/>
        <w:spacing w:before="156" w:after="156"/>
        <w:rPr>
          <w:rFonts w:cs="Times New Roman"/>
          <w:color w:val="auto"/>
        </w:rPr>
      </w:pPr>
      <w:bookmarkStart w:id="410" w:name="_Toc21015"/>
      <w:bookmarkStart w:id="411" w:name="_Toc18271"/>
      <w:r>
        <w:rPr>
          <w:rFonts w:cs="Times New Roman"/>
          <w:color w:val="auto"/>
        </w:rPr>
        <w:t>10环境管理与监测计划</w:t>
      </w:r>
      <w:bookmarkEnd w:id="410"/>
      <w:bookmarkEnd w:id="411"/>
    </w:p>
    <w:p>
      <w:pPr>
        <w:pStyle w:val="66"/>
        <w:spacing w:line="360" w:lineRule="auto"/>
        <w:ind w:firstLine="480"/>
        <w:rPr>
          <w:color w:val="auto"/>
        </w:rPr>
      </w:pPr>
      <w:r>
        <w:rPr>
          <w:color w:val="auto"/>
        </w:rPr>
        <w:t>环境管理与环境监测是企业管理中的重要环节。在企业中，建立健全的环保机构，加强环境管理工作，开展厂内环境监测、监督，并把环保工作纳入生产管理，对于减少企业污染物排放，促进资源的合理利用与回收，提高经济效益和环境效益有着重要意义。根据拟建项目生产工艺特点、排污性质，从环境保护的角度出发，建立、健全环保机构和加强环境监测管理，开展厂内监测工作，减少企业内污染物的排放。</w:t>
      </w:r>
    </w:p>
    <w:p>
      <w:pPr>
        <w:pStyle w:val="8"/>
        <w:spacing w:before="0" w:beforeLines="0" w:after="0" w:afterLines="0" w:line="360" w:lineRule="auto"/>
        <w:rPr>
          <w:color w:val="auto"/>
        </w:rPr>
      </w:pPr>
      <w:bookmarkStart w:id="412" w:name="_Toc255401413"/>
      <w:bookmarkStart w:id="413" w:name="_Toc11497"/>
      <w:bookmarkStart w:id="414" w:name="_Toc27225"/>
      <w:bookmarkStart w:id="415" w:name="_Toc30869"/>
      <w:bookmarkStart w:id="416" w:name="_Toc27930"/>
      <w:r>
        <w:rPr>
          <w:color w:val="auto"/>
        </w:rPr>
        <w:t>10.1</w:t>
      </w:r>
      <w:bookmarkEnd w:id="412"/>
      <w:r>
        <w:rPr>
          <w:color w:val="auto"/>
        </w:rPr>
        <w:t xml:space="preserve"> 环境管理</w:t>
      </w:r>
      <w:bookmarkEnd w:id="413"/>
      <w:bookmarkEnd w:id="414"/>
      <w:bookmarkEnd w:id="415"/>
      <w:bookmarkEnd w:id="416"/>
    </w:p>
    <w:p>
      <w:pPr>
        <w:pStyle w:val="9"/>
        <w:spacing w:before="0" w:beforeLines="0" w:after="0" w:afterLines="0" w:line="360" w:lineRule="auto"/>
        <w:rPr>
          <w:color w:val="auto"/>
        </w:rPr>
      </w:pPr>
      <w:bookmarkStart w:id="417" w:name="_Toc11930"/>
      <w:bookmarkStart w:id="418" w:name="_Toc364232481"/>
      <w:bookmarkStart w:id="419" w:name="_Toc350936117"/>
      <w:bookmarkStart w:id="420" w:name="_Toc21399"/>
      <w:bookmarkStart w:id="421" w:name="_Toc31896"/>
      <w:bookmarkStart w:id="422" w:name="_Toc27350"/>
      <w:bookmarkStart w:id="423" w:name="_Toc9814"/>
      <w:bookmarkStart w:id="424" w:name="_Toc358448073"/>
      <w:bookmarkStart w:id="425" w:name="_Toc351472191"/>
      <w:r>
        <w:rPr>
          <w:color w:val="auto"/>
        </w:rPr>
        <w:t>10.1.1</w:t>
      </w:r>
      <w:bookmarkEnd w:id="417"/>
      <w:bookmarkEnd w:id="418"/>
      <w:bookmarkEnd w:id="419"/>
      <w:bookmarkEnd w:id="420"/>
      <w:bookmarkEnd w:id="421"/>
      <w:bookmarkEnd w:id="422"/>
      <w:bookmarkEnd w:id="423"/>
      <w:bookmarkEnd w:id="424"/>
      <w:bookmarkEnd w:id="425"/>
      <w:r>
        <w:rPr>
          <w:color w:val="auto"/>
        </w:rPr>
        <w:t>环境监测与管理机构设置</w:t>
      </w:r>
    </w:p>
    <w:p>
      <w:pPr>
        <w:ind w:firstLine="480"/>
        <w:rPr>
          <w:color w:val="auto"/>
        </w:rPr>
      </w:pPr>
      <w:r>
        <w:rPr>
          <w:rFonts w:hint="eastAsia"/>
          <w:color w:val="auto"/>
        </w:rPr>
        <w:t>山东朗净新材料科技有限公司</w:t>
      </w:r>
      <w:r>
        <w:rPr>
          <w:color w:val="auto"/>
        </w:rPr>
        <w:t>实行总经理负责制，下设生产车间和相关职能科室，设安全环保生产管理部门（安环科），下设科长1名，工作人员2名，负责环境管理工作。环境监测委托有检测资质的单位按照监测计划定期进行。</w:t>
      </w:r>
    </w:p>
    <w:p>
      <w:pPr>
        <w:pStyle w:val="9"/>
        <w:spacing w:before="0" w:beforeLines="0" w:after="0" w:afterLines="0" w:line="360" w:lineRule="auto"/>
        <w:rPr>
          <w:color w:val="auto"/>
        </w:rPr>
      </w:pPr>
      <w:bookmarkStart w:id="426" w:name="_Toc6014"/>
      <w:bookmarkStart w:id="427" w:name="_Toc10198"/>
      <w:bookmarkStart w:id="428" w:name="_Toc351472192"/>
      <w:bookmarkStart w:id="429" w:name="_Toc364232482"/>
      <w:bookmarkStart w:id="430" w:name="_Toc6825"/>
      <w:bookmarkStart w:id="431" w:name="_Toc350936118"/>
      <w:bookmarkStart w:id="432" w:name="_Toc358448074"/>
      <w:bookmarkStart w:id="433" w:name="_Toc24797"/>
      <w:r>
        <w:rPr>
          <w:color w:val="auto"/>
        </w:rPr>
        <w:t>10.1.2</w:t>
      </w:r>
      <w:bookmarkStart w:id="434" w:name="_Toc23257"/>
      <w:bookmarkStart w:id="435" w:name="_Toc12130"/>
      <w:r>
        <w:rPr>
          <w:color w:val="auto"/>
        </w:rPr>
        <w:t xml:space="preserve"> </w:t>
      </w:r>
      <w:bookmarkEnd w:id="426"/>
      <w:bookmarkEnd w:id="427"/>
      <w:bookmarkEnd w:id="434"/>
      <w:bookmarkEnd w:id="435"/>
      <w:r>
        <w:rPr>
          <w:color w:val="auto"/>
        </w:rPr>
        <w:t>安环科主要职责</w:t>
      </w:r>
    </w:p>
    <w:p>
      <w:pPr>
        <w:ind w:firstLine="480"/>
        <w:rPr>
          <w:color w:val="auto"/>
        </w:rPr>
      </w:pPr>
      <w:r>
        <w:rPr>
          <w:color w:val="auto"/>
        </w:rPr>
        <w:t>安环科负责公司的日常环境管理工作，主要职责由以下几项内容组成：</w:t>
      </w:r>
    </w:p>
    <w:p>
      <w:pPr>
        <w:ind w:firstLine="480"/>
        <w:rPr>
          <w:color w:val="auto"/>
        </w:rPr>
      </w:pPr>
      <w:r>
        <w:rPr>
          <w:color w:val="auto"/>
        </w:rPr>
        <w:t>（1）根据公司规模、性质、特点和国家法律、法规，制定全公司环保规划和环境方针，并负责以多种形式向相关方面宣传。</w:t>
      </w:r>
    </w:p>
    <w:p>
      <w:pPr>
        <w:ind w:firstLine="480"/>
        <w:rPr>
          <w:color w:val="auto"/>
        </w:rPr>
      </w:pPr>
      <w:r>
        <w:rPr>
          <w:color w:val="auto"/>
        </w:rPr>
        <w:t>（2）负责获取、更新使用于本企业的与环境相关的法律、法规，负责把适用的法律、法规发放到相关部门。</w:t>
      </w:r>
    </w:p>
    <w:p>
      <w:pPr>
        <w:ind w:firstLine="480"/>
        <w:rPr>
          <w:color w:val="auto"/>
        </w:rPr>
      </w:pPr>
      <w:r>
        <w:rPr>
          <w:color w:val="auto"/>
        </w:rPr>
        <w:t>（3）协助各部门制定环保规划，并协调和监督各部门具体实施。</w:t>
      </w:r>
    </w:p>
    <w:p>
      <w:pPr>
        <w:ind w:firstLine="480"/>
        <w:rPr>
          <w:color w:val="auto"/>
        </w:rPr>
      </w:pPr>
      <w:r>
        <w:rPr>
          <w:color w:val="auto"/>
        </w:rPr>
        <w:t>（4）负责制定和实施公司的年度环保培训计划。</w:t>
      </w:r>
    </w:p>
    <w:p>
      <w:pPr>
        <w:ind w:firstLine="480"/>
        <w:rPr>
          <w:color w:val="auto"/>
        </w:rPr>
      </w:pPr>
      <w:r>
        <w:rPr>
          <w:color w:val="auto"/>
        </w:rPr>
        <w:t>（5）负责公司内外部的环境工作信息交流。</w:t>
      </w:r>
    </w:p>
    <w:p>
      <w:pPr>
        <w:ind w:firstLine="480"/>
        <w:rPr>
          <w:color w:val="auto"/>
        </w:rPr>
      </w:pPr>
      <w:r>
        <w:rPr>
          <w:color w:val="auto"/>
        </w:rPr>
        <w:t>（6）监督检查各部门环保设施的运行管理，尤其是了解废气净化装置、污水处理设备等的运行状况。</w:t>
      </w:r>
    </w:p>
    <w:p>
      <w:pPr>
        <w:ind w:firstLine="480"/>
        <w:rPr>
          <w:color w:val="auto"/>
        </w:rPr>
      </w:pPr>
      <w:r>
        <w:rPr>
          <w:color w:val="auto"/>
        </w:rPr>
        <w:t>（7）监督检查各生产工艺设备的运行情况。</w:t>
      </w:r>
    </w:p>
    <w:p>
      <w:pPr>
        <w:ind w:firstLine="480"/>
        <w:rPr>
          <w:color w:val="auto"/>
        </w:rPr>
      </w:pPr>
      <w:r>
        <w:rPr>
          <w:color w:val="auto"/>
        </w:rPr>
        <w:t>（8）负责对新、改、</w:t>
      </w:r>
      <w:r>
        <w:rPr>
          <w:rFonts w:hint="eastAsia"/>
          <w:color w:val="auto"/>
          <w:lang w:eastAsia="zh-CN"/>
        </w:rPr>
        <w:t>拟建项目</w:t>
      </w:r>
      <w:r>
        <w:rPr>
          <w:color w:val="auto"/>
        </w:rPr>
        <w:t>环保工程及其“三同时”执行情况进行环境监测、数据分析、验收评估。</w:t>
      </w:r>
    </w:p>
    <w:p>
      <w:pPr>
        <w:ind w:firstLine="480"/>
        <w:rPr>
          <w:color w:val="auto"/>
        </w:rPr>
      </w:pPr>
      <w:r>
        <w:rPr>
          <w:color w:val="auto"/>
        </w:rPr>
        <w:t>（9）负责应急计划的监督、检查；负责应急事故的协调处理；指导各单位对环保设施的管理；指导各单位应急与预防工作；对公司范围内重点危险区域部署监控措施。</w:t>
      </w:r>
    </w:p>
    <w:p>
      <w:pPr>
        <w:ind w:firstLine="480"/>
        <w:rPr>
          <w:color w:val="auto"/>
        </w:rPr>
      </w:pPr>
      <w:r>
        <w:rPr>
          <w:color w:val="auto"/>
        </w:rPr>
        <w:t>（10）负责公司环境监测技术数据统计管理。</w:t>
      </w:r>
    </w:p>
    <w:p>
      <w:pPr>
        <w:ind w:firstLine="480"/>
        <w:rPr>
          <w:color w:val="auto"/>
        </w:rPr>
      </w:pPr>
      <w:r>
        <w:rPr>
          <w:color w:val="auto"/>
        </w:rPr>
        <w:t>（11）负责全公司环保管理工作的监督和检查。</w:t>
      </w:r>
    </w:p>
    <w:p>
      <w:pPr>
        <w:ind w:firstLine="480"/>
        <w:rPr>
          <w:color w:val="auto"/>
        </w:rPr>
      </w:pPr>
      <w:r>
        <w:rPr>
          <w:color w:val="auto"/>
        </w:rPr>
        <w:t>（12）组织实施全公司环境年度评审工作。</w:t>
      </w:r>
    </w:p>
    <w:p>
      <w:pPr>
        <w:ind w:firstLine="480"/>
        <w:rPr>
          <w:color w:val="auto"/>
        </w:rPr>
      </w:pPr>
      <w:r>
        <w:rPr>
          <w:color w:val="auto"/>
        </w:rPr>
        <w:t>（13）负责公司的环境教育、培训、宣传，让环境意识深入职工心中。</w:t>
      </w:r>
    </w:p>
    <w:p>
      <w:pPr>
        <w:pStyle w:val="9"/>
        <w:spacing w:before="0" w:beforeLines="0" w:after="0" w:afterLines="0" w:line="360" w:lineRule="auto"/>
        <w:rPr>
          <w:color w:val="auto"/>
        </w:rPr>
      </w:pPr>
      <w:bookmarkStart w:id="436" w:name="_Toc364232487"/>
      <w:bookmarkStart w:id="437" w:name="_Toc563"/>
      <w:bookmarkStart w:id="438" w:name="_Toc351472197"/>
      <w:bookmarkStart w:id="439" w:name="_Toc24712"/>
      <w:bookmarkStart w:id="440" w:name="_Toc350936123"/>
      <w:bookmarkStart w:id="441" w:name="_Toc358448079"/>
      <w:bookmarkStart w:id="442" w:name="_Toc6589"/>
      <w:bookmarkStart w:id="443" w:name="_Toc2610"/>
      <w:r>
        <w:rPr>
          <w:color w:val="auto"/>
        </w:rPr>
        <w:t xml:space="preserve">10.1.3 </w:t>
      </w:r>
      <w:bookmarkEnd w:id="436"/>
      <w:bookmarkEnd w:id="437"/>
      <w:bookmarkEnd w:id="438"/>
      <w:bookmarkEnd w:id="439"/>
      <w:bookmarkEnd w:id="440"/>
      <w:bookmarkEnd w:id="441"/>
      <w:bookmarkEnd w:id="442"/>
      <w:bookmarkEnd w:id="443"/>
      <w:r>
        <w:rPr>
          <w:color w:val="auto"/>
        </w:rPr>
        <w:t>各车间职责和任务</w:t>
      </w:r>
    </w:p>
    <w:p>
      <w:pPr>
        <w:ind w:firstLine="480"/>
        <w:rPr>
          <w:color w:val="auto"/>
        </w:rPr>
      </w:pPr>
      <w:r>
        <w:rPr>
          <w:color w:val="auto"/>
        </w:rPr>
        <w:t>公司各车间的主要环保职责和任务为：</w:t>
      </w:r>
    </w:p>
    <w:p>
      <w:pPr>
        <w:ind w:firstLine="480"/>
        <w:rPr>
          <w:color w:val="auto"/>
        </w:rPr>
      </w:pPr>
      <w:r>
        <w:rPr>
          <w:color w:val="auto"/>
        </w:rPr>
        <w:t>（1）负责本车间环境目标和控制方案的制定。</w:t>
      </w:r>
    </w:p>
    <w:p>
      <w:pPr>
        <w:ind w:firstLine="480"/>
        <w:rPr>
          <w:color w:val="auto"/>
        </w:rPr>
      </w:pPr>
      <w:r>
        <w:rPr>
          <w:color w:val="auto"/>
        </w:rPr>
        <w:t>（2）按照公司有关制度，规定组织生产活动，全面负责本车间生产过程的环保管理工作。</w:t>
      </w:r>
    </w:p>
    <w:p>
      <w:pPr>
        <w:ind w:firstLine="480"/>
        <w:rPr>
          <w:color w:val="auto"/>
        </w:rPr>
      </w:pPr>
      <w:r>
        <w:rPr>
          <w:color w:val="auto"/>
        </w:rPr>
        <w:t>（3）负责本车间环境目标、指标及管理方案的实施。</w:t>
      </w:r>
    </w:p>
    <w:p>
      <w:pPr>
        <w:ind w:firstLine="480"/>
        <w:rPr>
          <w:color w:val="auto"/>
        </w:rPr>
      </w:pPr>
      <w:r>
        <w:rPr>
          <w:color w:val="auto"/>
        </w:rPr>
        <w:t>（4）车间本着污染预防的原则，对生产过程进行全方位的环境管理，积极组织技术革新，技术改造和节能降耗，搞好清洁生产和“三废”的综合利用，把污染降低到最低水平。</w:t>
      </w:r>
    </w:p>
    <w:p>
      <w:pPr>
        <w:pStyle w:val="9"/>
        <w:spacing w:before="0" w:beforeLines="0" w:after="0" w:afterLines="0"/>
        <w:rPr>
          <w:color w:val="auto"/>
          <w:szCs w:val="36"/>
        </w:rPr>
      </w:pPr>
      <w:bookmarkStart w:id="444" w:name="_Toc32591"/>
      <w:bookmarkStart w:id="445" w:name="_Toc13465"/>
      <w:r>
        <w:rPr>
          <w:color w:val="auto"/>
        </w:rPr>
        <w:t>10.1.4</w:t>
      </w:r>
      <w:bookmarkStart w:id="446" w:name="_Toc286233930"/>
      <w:r>
        <w:rPr>
          <w:color w:val="auto"/>
        </w:rPr>
        <w:t xml:space="preserve"> 排污口规范化管理</w:t>
      </w:r>
      <w:bookmarkEnd w:id="444"/>
      <w:bookmarkEnd w:id="445"/>
      <w:bookmarkEnd w:id="446"/>
    </w:p>
    <w:p>
      <w:pPr>
        <w:ind w:firstLine="480"/>
        <w:rPr>
          <w:color w:val="auto"/>
        </w:rPr>
      </w:pPr>
      <w:r>
        <w:rPr>
          <w:color w:val="auto"/>
        </w:rPr>
        <w:t>（1）基本原则</w:t>
      </w:r>
    </w:p>
    <w:p>
      <w:pPr>
        <w:ind w:firstLine="480"/>
        <w:rPr>
          <w:color w:val="auto"/>
        </w:rPr>
      </w:pPr>
      <w:r>
        <w:rPr>
          <w:color w:val="auto"/>
        </w:rPr>
        <w:t>①向环境排放污染物的排污口必须规范化；②排污口应便于采样与计量检测，便于日常现场监督检查。</w:t>
      </w:r>
    </w:p>
    <w:p>
      <w:pPr>
        <w:ind w:firstLine="480"/>
        <w:rPr>
          <w:color w:val="auto"/>
        </w:rPr>
      </w:pPr>
      <w:r>
        <w:rPr>
          <w:color w:val="auto"/>
        </w:rPr>
        <w:t>（2）技术要求</w:t>
      </w:r>
    </w:p>
    <w:p>
      <w:pPr>
        <w:ind w:firstLine="480"/>
        <w:rPr>
          <w:color w:val="auto"/>
        </w:rPr>
      </w:pPr>
      <w:r>
        <w:rPr>
          <w:color w:val="auto"/>
        </w:rPr>
        <w:t>①排污口的设置必须合理确定，进行规范化管理；②设置规范的、便于测量流量、流速的测速段。</w:t>
      </w:r>
    </w:p>
    <w:p>
      <w:pPr>
        <w:ind w:firstLine="480"/>
        <w:rPr>
          <w:color w:val="auto"/>
        </w:rPr>
      </w:pPr>
      <w:r>
        <w:rPr>
          <w:color w:val="auto"/>
        </w:rPr>
        <w:t>（3）立标管理</w:t>
      </w:r>
    </w:p>
    <w:p>
      <w:pPr>
        <w:ind w:firstLine="480"/>
        <w:rPr>
          <w:color w:val="auto"/>
        </w:rPr>
      </w:pPr>
      <w:r>
        <w:rPr>
          <w:color w:val="auto"/>
        </w:rPr>
        <w:t>项目按照《环境保护图形标志—排放口（源）》（GB15562.1-1995）、《环境保护图形标志—固体废物贮存(处置)场》（GB15562.2-1995）以及《山东省污水排放口环境信息公开技术规范》（DB37/T2643-2014）中有关规定执行。</w:t>
      </w:r>
    </w:p>
    <w:p>
      <w:pPr>
        <w:pStyle w:val="48"/>
        <w:spacing w:line="360" w:lineRule="auto"/>
        <w:rPr>
          <w:b/>
          <w:color w:val="auto"/>
        </w:rPr>
      </w:pPr>
      <w:r>
        <w:rPr>
          <w:b/>
          <w:color w:val="auto"/>
        </w:rPr>
        <w:t>图10.1-1  环境保护图形标志---排放口（源）</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4"/>
        <w:gridCol w:w="1863"/>
        <w:gridCol w:w="1913"/>
        <w:gridCol w:w="1702"/>
        <w:gridCol w:w="29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5" w:type="pct"/>
            <w:vAlign w:val="center"/>
          </w:tcPr>
          <w:p>
            <w:pPr>
              <w:pStyle w:val="47"/>
              <w:spacing w:line="240" w:lineRule="auto"/>
              <w:rPr>
                <w:b/>
                <w:color w:val="auto"/>
              </w:rPr>
            </w:pPr>
            <w:r>
              <w:rPr>
                <w:b/>
                <w:color w:val="auto"/>
              </w:rPr>
              <w:t>序号</w:t>
            </w:r>
          </w:p>
        </w:tc>
        <w:tc>
          <w:tcPr>
            <w:tcW w:w="1003" w:type="pct"/>
            <w:vAlign w:val="center"/>
          </w:tcPr>
          <w:p>
            <w:pPr>
              <w:pStyle w:val="47"/>
              <w:spacing w:line="240" w:lineRule="auto"/>
              <w:rPr>
                <w:b/>
                <w:color w:val="auto"/>
              </w:rPr>
            </w:pPr>
            <w:r>
              <w:rPr>
                <w:b/>
                <w:color w:val="auto"/>
              </w:rPr>
              <w:t>提示图形符号</w:t>
            </w:r>
          </w:p>
        </w:tc>
        <w:tc>
          <w:tcPr>
            <w:tcW w:w="1030" w:type="pct"/>
            <w:vAlign w:val="center"/>
          </w:tcPr>
          <w:p>
            <w:pPr>
              <w:pStyle w:val="47"/>
              <w:spacing w:line="240" w:lineRule="auto"/>
              <w:rPr>
                <w:b/>
                <w:color w:val="auto"/>
              </w:rPr>
            </w:pPr>
            <w:r>
              <w:rPr>
                <w:b/>
                <w:color w:val="auto"/>
              </w:rPr>
              <w:t>警告图形符号</w:t>
            </w:r>
          </w:p>
        </w:tc>
        <w:tc>
          <w:tcPr>
            <w:tcW w:w="916" w:type="pct"/>
            <w:vAlign w:val="center"/>
          </w:tcPr>
          <w:p>
            <w:pPr>
              <w:pStyle w:val="47"/>
              <w:spacing w:line="240" w:lineRule="auto"/>
              <w:rPr>
                <w:b/>
                <w:color w:val="auto"/>
              </w:rPr>
            </w:pPr>
            <w:r>
              <w:rPr>
                <w:b/>
                <w:color w:val="auto"/>
              </w:rPr>
              <w:t>名称</w:t>
            </w:r>
          </w:p>
        </w:tc>
        <w:tc>
          <w:tcPr>
            <w:tcW w:w="1586" w:type="pct"/>
            <w:vAlign w:val="center"/>
          </w:tcPr>
          <w:p>
            <w:pPr>
              <w:pStyle w:val="47"/>
              <w:spacing w:line="240" w:lineRule="auto"/>
              <w:rPr>
                <w:b/>
                <w:color w:val="auto"/>
              </w:rPr>
            </w:pPr>
            <w:r>
              <w:rPr>
                <w:b/>
                <w:color w:val="auto"/>
              </w:rPr>
              <w:t>功能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8" w:hRule="atLeast"/>
          <w:jc w:val="center"/>
        </w:trPr>
        <w:tc>
          <w:tcPr>
            <w:tcW w:w="465" w:type="pct"/>
            <w:vAlign w:val="center"/>
          </w:tcPr>
          <w:p>
            <w:pPr>
              <w:pStyle w:val="47"/>
              <w:spacing w:line="240" w:lineRule="auto"/>
              <w:rPr>
                <w:color w:val="auto"/>
              </w:rPr>
            </w:pPr>
            <w:r>
              <w:rPr>
                <w:color w:val="auto"/>
              </w:rPr>
              <w:t>1</w:t>
            </w:r>
          </w:p>
        </w:tc>
        <w:tc>
          <w:tcPr>
            <w:tcW w:w="1003" w:type="pct"/>
            <w:vAlign w:val="center"/>
          </w:tcPr>
          <w:p>
            <w:pPr>
              <w:pStyle w:val="47"/>
              <w:spacing w:line="240" w:lineRule="auto"/>
              <w:rPr>
                <w:color w:val="auto"/>
              </w:rPr>
            </w:pPr>
            <w:r>
              <w:rPr>
                <w:color w:val="auto"/>
              </w:rPr>
              <w:drawing>
                <wp:anchor distT="0" distB="0" distL="114300" distR="114300" simplePos="0" relativeHeight="251725824" behindDoc="0" locked="0" layoutInCell="1" allowOverlap="1">
                  <wp:simplePos x="0" y="0"/>
                  <wp:positionH relativeFrom="page">
                    <wp:posOffset>225425</wp:posOffset>
                  </wp:positionH>
                  <wp:positionV relativeFrom="page">
                    <wp:posOffset>200025</wp:posOffset>
                  </wp:positionV>
                  <wp:extent cx="640715" cy="640715"/>
                  <wp:effectExtent l="0" t="0" r="6985" b="6985"/>
                  <wp:wrapTopAndBottom/>
                  <wp:docPr id="15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9"/>
                          <pic:cNvPicPr>
                            <a:picLocks noChangeAspect="1"/>
                          </pic:cNvPicPr>
                        </pic:nvPicPr>
                        <pic:blipFill>
                          <a:blip r:embed="rId141"/>
                          <a:stretch>
                            <a:fillRect/>
                          </a:stretch>
                        </pic:blipFill>
                        <pic:spPr>
                          <a:xfrm>
                            <a:off x="0" y="0"/>
                            <a:ext cx="640715" cy="640715"/>
                          </a:xfrm>
                          <a:prstGeom prst="rect">
                            <a:avLst/>
                          </a:prstGeom>
                          <a:noFill/>
                          <a:ln>
                            <a:noFill/>
                          </a:ln>
                        </pic:spPr>
                      </pic:pic>
                    </a:graphicData>
                  </a:graphic>
                </wp:anchor>
              </w:drawing>
            </w:r>
          </w:p>
        </w:tc>
        <w:tc>
          <w:tcPr>
            <w:tcW w:w="1030" w:type="pct"/>
            <w:vAlign w:val="center"/>
          </w:tcPr>
          <w:p>
            <w:pPr>
              <w:pStyle w:val="47"/>
              <w:spacing w:line="240" w:lineRule="auto"/>
              <w:rPr>
                <w:color w:val="auto"/>
              </w:rPr>
            </w:pPr>
            <w:r>
              <w:rPr>
                <w:color w:val="auto"/>
              </w:rPr>
              <w:drawing>
                <wp:anchor distT="0" distB="0" distL="114300" distR="114300" simplePos="0" relativeHeight="251728896" behindDoc="0" locked="0" layoutInCell="1" allowOverlap="1">
                  <wp:simplePos x="0" y="0"/>
                  <wp:positionH relativeFrom="page">
                    <wp:posOffset>215265</wp:posOffset>
                  </wp:positionH>
                  <wp:positionV relativeFrom="page">
                    <wp:posOffset>205740</wp:posOffset>
                  </wp:positionV>
                  <wp:extent cx="719455" cy="636905"/>
                  <wp:effectExtent l="0" t="0" r="4445" b="10795"/>
                  <wp:wrapTopAndBottom/>
                  <wp:docPr id="16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0"/>
                          <pic:cNvPicPr>
                            <a:picLocks noChangeAspect="1"/>
                          </pic:cNvPicPr>
                        </pic:nvPicPr>
                        <pic:blipFill>
                          <a:blip r:embed="rId142"/>
                          <a:stretch>
                            <a:fillRect/>
                          </a:stretch>
                        </pic:blipFill>
                        <pic:spPr>
                          <a:xfrm>
                            <a:off x="0" y="0"/>
                            <a:ext cx="719455" cy="636905"/>
                          </a:xfrm>
                          <a:prstGeom prst="rect">
                            <a:avLst/>
                          </a:prstGeom>
                          <a:noFill/>
                          <a:ln>
                            <a:noFill/>
                          </a:ln>
                        </pic:spPr>
                      </pic:pic>
                    </a:graphicData>
                  </a:graphic>
                </wp:anchor>
              </w:drawing>
            </w:r>
          </w:p>
        </w:tc>
        <w:tc>
          <w:tcPr>
            <w:tcW w:w="916" w:type="pct"/>
            <w:vAlign w:val="center"/>
          </w:tcPr>
          <w:p>
            <w:pPr>
              <w:pStyle w:val="47"/>
              <w:spacing w:line="240" w:lineRule="auto"/>
              <w:rPr>
                <w:color w:val="auto"/>
              </w:rPr>
            </w:pPr>
            <w:r>
              <w:rPr>
                <w:color w:val="auto"/>
              </w:rPr>
              <w:t>废气排放口</w:t>
            </w:r>
          </w:p>
        </w:tc>
        <w:tc>
          <w:tcPr>
            <w:tcW w:w="1586" w:type="pct"/>
            <w:vAlign w:val="center"/>
          </w:tcPr>
          <w:p>
            <w:pPr>
              <w:pStyle w:val="47"/>
              <w:spacing w:line="240" w:lineRule="auto"/>
              <w:rPr>
                <w:color w:val="auto"/>
              </w:rPr>
            </w:pPr>
            <w:r>
              <w:rPr>
                <w:color w:val="auto"/>
              </w:rPr>
              <w:t>表示废气向大气环境排放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9" w:hRule="atLeast"/>
          <w:jc w:val="center"/>
        </w:trPr>
        <w:tc>
          <w:tcPr>
            <w:tcW w:w="465" w:type="pct"/>
            <w:vAlign w:val="center"/>
          </w:tcPr>
          <w:p>
            <w:pPr>
              <w:pStyle w:val="47"/>
              <w:spacing w:line="240" w:lineRule="auto"/>
              <w:rPr>
                <w:color w:val="auto"/>
              </w:rPr>
            </w:pPr>
            <w:r>
              <w:rPr>
                <w:color w:val="auto"/>
              </w:rPr>
              <w:t>2</w:t>
            </w:r>
          </w:p>
        </w:tc>
        <w:tc>
          <w:tcPr>
            <w:tcW w:w="1003" w:type="pct"/>
            <w:vAlign w:val="center"/>
          </w:tcPr>
          <w:p>
            <w:pPr>
              <w:pStyle w:val="47"/>
              <w:spacing w:line="240" w:lineRule="auto"/>
              <w:rPr>
                <w:color w:val="auto"/>
              </w:rPr>
            </w:pPr>
            <w:r>
              <w:rPr>
                <w:color w:val="auto"/>
              </w:rPr>
              <w:drawing>
                <wp:anchor distT="0" distB="0" distL="114300" distR="114300" simplePos="0" relativeHeight="251730944" behindDoc="0" locked="0" layoutInCell="1" allowOverlap="1">
                  <wp:simplePos x="0" y="0"/>
                  <wp:positionH relativeFrom="column">
                    <wp:posOffset>113665</wp:posOffset>
                  </wp:positionH>
                  <wp:positionV relativeFrom="paragraph">
                    <wp:posOffset>128905</wp:posOffset>
                  </wp:positionV>
                  <wp:extent cx="708660" cy="720090"/>
                  <wp:effectExtent l="0" t="0" r="15240" b="3810"/>
                  <wp:wrapNone/>
                  <wp:docPr id="16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3"/>
                          <pic:cNvPicPr>
                            <a:picLocks noChangeAspect="1"/>
                          </pic:cNvPicPr>
                        </pic:nvPicPr>
                        <pic:blipFill>
                          <a:blip r:embed="rId143"/>
                          <a:stretch>
                            <a:fillRect/>
                          </a:stretch>
                        </pic:blipFill>
                        <pic:spPr>
                          <a:xfrm>
                            <a:off x="0" y="0"/>
                            <a:ext cx="708660" cy="720090"/>
                          </a:xfrm>
                          <a:prstGeom prst="rect">
                            <a:avLst/>
                          </a:prstGeom>
                          <a:noFill/>
                          <a:ln>
                            <a:noFill/>
                          </a:ln>
                        </pic:spPr>
                      </pic:pic>
                    </a:graphicData>
                  </a:graphic>
                </wp:anchor>
              </w:drawing>
            </w:r>
          </w:p>
        </w:tc>
        <w:tc>
          <w:tcPr>
            <w:tcW w:w="1030" w:type="pct"/>
            <w:vAlign w:val="center"/>
          </w:tcPr>
          <w:p>
            <w:pPr>
              <w:pStyle w:val="47"/>
              <w:spacing w:line="240" w:lineRule="auto"/>
              <w:rPr>
                <w:color w:val="auto"/>
              </w:rPr>
            </w:pPr>
            <w:r>
              <w:rPr>
                <w:color w:val="auto"/>
              </w:rPr>
              <w:drawing>
                <wp:anchor distT="0" distB="0" distL="114300" distR="114300" simplePos="0" relativeHeight="251731968" behindDoc="0" locked="0" layoutInCell="1" allowOverlap="1">
                  <wp:simplePos x="0" y="0"/>
                  <wp:positionH relativeFrom="column">
                    <wp:posOffset>163195</wp:posOffset>
                  </wp:positionH>
                  <wp:positionV relativeFrom="paragraph">
                    <wp:posOffset>140970</wp:posOffset>
                  </wp:positionV>
                  <wp:extent cx="757555" cy="764540"/>
                  <wp:effectExtent l="0" t="0" r="4445" b="16510"/>
                  <wp:wrapNone/>
                  <wp:docPr id="16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24"/>
                          <pic:cNvPicPr>
                            <a:picLocks noChangeAspect="1"/>
                          </pic:cNvPicPr>
                        </pic:nvPicPr>
                        <pic:blipFill>
                          <a:blip r:embed="rId144"/>
                          <a:stretch>
                            <a:fillRect/>
                          </a:stretch>
                        </pic:blipFill>
                        <pic:spPr>
                          <a:xfrm>
                            <a:off x="0" y="0"/>
                            <a:ext cx="757555" cy="764540"/>
                          </a:xfrm>
                          <a:prstGeom prst="rect">
                            <a:avLst/>
                          </a:prstGeom>
                          <a:noFill/>
                          <a:ln>
                            <a:noFill/>
                          </a:ln>
                        </pic:spPr>
                      </pic:pic>
                    </a:graphicData>
                  </a:graphic>
                </wp:anchor>
              </w:drawing>
            </w:r>
          </w:p>
        </w:tc>
        <w:tc>
          <w:tcPr>
            <w:tcW w:w="916" w:type="pct"/>
            <w:vAlign w:val="center"/>
          </w:tcPr>
          <w:p>
            <w:pPr>
              <w:pStyle w:val="47"/>
              <w:spacing w:line="240" w:lineRule="auto"/>
              <w:rPr>
                <w:color w:val="auto"/>
              </w:rPr>
            </w:pPr>
            <w:r>
              <w:rPr>
                <w:color w:val="auto"/>
              </w:rPr>
              <w:t>废水排放口</w:t>
            </w:r>
          </w:p>
        </w:tc>
        <w:tc>
          <w:tcPr>
            <w:tcW w:w="1586" w:type="pct"/>
            <w:vAlign w:val="center"/>
          </w:tcPr>
          <w:p>
            <w:pPr>
              <w:pStyle w:val="47"/>
              <w:spacing w:line="240" w:lineRule="auto"/>
              <w:rPr>
                <w:color w:val="auto"/>
              </w:rPr>
            </w:pPr>
            <w:r>
              <w:rPr>
                <w:color w:val="auto"/>
              </w:rPr>
              <w:t>表示废水向水体排放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5" w:type="pct"/>
            <w:vAlign w:val="center"/>
          </w:tcPr>
          <w:p>
            <w:pPr>
              <w:pStyle w:val="47"/>
              <w:spacing w:line="240" w:lineRule="auto"/>
              <w:rPr>
                <w:color w:val="auto"/>
              </w:rPr>
            </w:pPr>
            <w:r>
              <w:rPr>
                <w:color w:val="auto"/>
              </w:rPr>
              <w:t>3</w:t>
            </w:r>
          </w:p>
        </w:tc>
        <w:tc>
          <w:tcPr>
            <w:tcW w:w="1003" w:type="pct"/>
            <w:vAlign w:val="center"/>
          </w:tcPr>
          <w:p>
            <w:pPr>
              <w:pStyle w:val="47"/>
              <w:spacing w:line="240" w:lineRule="auto"/>
              <w:rPr>
                <w:color w:val="auto"/>
              </w:rPr>
            </w:pPr>
            <w:r>
              <w:rPr>
                <w:color w:val="auto"/>
              </w:rPr>
              <w:drawing>
                <wp:anchor distT="0" distB="0" distL="114300" distR="114300" simplePos="0" relativeHeight="251723776" behindDoc="0" locked="0" layoutInCell="1" allowOverlap="1">
                  <wp:simplePos x="0" y="0"/>
                  <wp:positionH relativeFrom="page">
                    <wp:posOffset>155575</wp:posOffset>
                  </wp:positionH>
                  <wp:positionV relativeFrom="page">
                    <wp:posOffset>85090</wp:posOffset>
                  </wp:positionV>
                  <wp:extent cx="718185" cy="718185"/>
                  <wp:effectExtent l="0" t="0" r="5715" b="5715"/>
                  <wp:wrapNone/>
                  <wp:docPr id="16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7"/>
                          <pic:cNvPicPr>
                            <a:picLocks noChangeAspect="1"/>
                          </pic:cNvPicPr>
                        </pic:nvPicPr>
                        <pic:blipFill>
                          <a:blip r:embed="rId145"/>
                          <a:stretch>
                            <a:fillRect/>
                          </a:stretch>
                        </pic:blipFill>
                        <pic:spPr>
                          <a:xfrm>
                            <a:off x="0" y="0"/>
                            <a:ext cx="718185" cy="718185"/>
                          </a:xfrm>
                          <a:prstGeom prst="rect">
                            <a:avLst/>
                          </a:prstGeom>
                          <a:noFill/>
                          <a:ln>
                            <a:noFill/>
                          </a:ln>
                        </pic:spPr>
                      </pic:pic>
                    </a:graphicData>
                  </a:graphic>
                </wp:anchor>
              </w:drawing>
            </w:r>
          </w:p>
        </w:tc>
        <w:tc>
          <w:tcPr>
            <w:tcW w:w="1030" w:type="pct"/>
            <w:vAlign w:val="center"/>
          </w:tcPr>
          <w:p>
            <w:pPr>
              <w:pStyle w:val="47"/>
              <w:spacing w:line="240" w:lineRule="auto"/>
              <w:rPr>
                <w:color w:val="auto"/>
              </w:rPr>
            </w:pPr>
            <w:r>
              <w:rPr>
                <w:color w:val="auto"/>
              </w:rPr>
              <w:drawing>
                <wp:anchor distT="0" distB="0" distL="114300" distR="114300" simplePos="0" relativeHeight="251724800" behindDoc="0" locked="0" layoutInCell="1" allowOverlap="1">
                  <wp:simplePos x="0" y="0"/>
                  <wp:positionH relativeFrom="page">
                    <wp:posOffset>193675</wp:posOffset>
                  </wp:positionH>
                  <wp:positionV relativeFrom="page">
                    <wp:posOffset>93980</wp:posOffset>
                  </wp:positionV>
                  <wp:extent cx="798195" cy="706755"/>
                  <wp:effectExtent l="0" t="0" r="1905" b="17145"/>
                  <wp:wrapTopAndBottom/>
                  <wp:docPr id="16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38"/>
                          <pic:cNvPicPr>
                            <a:picLocks noChangeAspect="1"/>
                          </pic:cNvPicPr>
                        </pic:nvPicPr>
                        <pic:blipFill>
                          <a:blip r:embed="rId146"/>
                          <a:stretch>
                            <a:fillRect/>
                          </a:stretch>
                        </pic:blipFill>
                        <pic:spPr>
                          <a:xfrm>
                            <a:off x="0" y="0"/>
                            <a:ext cx="798195" cy="706755"/>
                          </a:xfrm>
                          <a:prstGeom prst="rect">
                            <a:avLst/>
                          </a:prstGeom>
                          <a:noFill/>
                          <a:ln>
                            <a:noFill/>
                          </a:ln>
                        </pic:spPr>
                      </pic:pic>
                    </a:graphicData>
                  </a:graphic>
                </wp:anchor>
              </w:drawing>
            </w:r>
          </w:p>
        </w:tc>
        <w:tc>
          <w:tcPr>
            <w:tcW w:w="916" w:type="pct"/>
            <w:vAlign w:val="center"/>
          </w:tcPr>
          <w:p>
            <w:pPr>
              <w:pStyle w:val="47"/>
              <w:spacing w:line="240" w:lineRule="auto"/>
              <w:rPr>
                <w:color w:val="auto"/>
              </w:rPr>
            </w:pPr>
            <w:r>
              <w:rPr>
                <w:color w:val="auto"/>
              </w:rPr>
              <w:t>噪声排放源</w:t>
            </w:r>
          </w:p>
        </w:tc>
        <w:tc>
          <w:tcPr>
            <w:tcW w:w="1586" w:type="pct"/>
            <w:vAlign w:val="center"/>
          </w:tcPr>
          <w:p>
            <w:pPr>
              <w:pStyle w:val="47"/>
              <w:spacing w:line="240" w:lineRule="auto"/>
              <w:rPr>
                <w:color w:val="auto"/>
              </w:rPr>
            </w:pPr>
            <w:r>
              <w:rPr>
                <w:color w:val="auto"/>
              </w:rPr>
              <w:t>表示噪声向环境中排放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5" w:type="pct"/>
            <w:vMerge w:val="restart"/>
            <w:vAlign w:val="center"/>
          </w:tcPr>
          <w:p>
            <w:pPr>
              <w:pStyle w:val="47"/>
              <w:spacing w:line="240" w:lineRule="auto"/>
              <w:rPr>
                <w:color w:val="auto"/>
              </w:rPr>
            </w:pPr>
            <w:r>
              <w:rPr>
                <w:color w:val="auto"/>
              </w:rPr>
              <w:t>4</w:t>
            </w:r>
          </w:p>
        </w:tc>
        <w:tc>
          <w:tcPr>
            <w:tcW w:w="1003" w:type="pct"/>
            <w:vAlign w:val="center"/>
          </w:tcPr>
          <w:p>
            <w:pPr>
              <w:pStyle w:val="47"/>
              <w:spacing w:line="240" w:lineRule="auto"/>
              <w:rPr>
                <w:color w:val="auto"/>
              </w:rPr>
            </w:pPr>
            <w:r>
              <w:rPr>
                <w:color w:val="auto"/>
              </w:rPr>
              <w:drawing>
                <wp:anchor distT="0" distB="0" distL="114300" distR="114300" simplePos="0" relativeHeight="251727872" behindDoc="0" locked="0" layoutInCell="1" allowOverlap="1">
                  <wp:simplePos x="0" y="0"/>
                  <wp:positionH relativeFrom="column">
                    <wp:posOffset>149225</wp:posOffset>
                  </wp:positionH>
                  <wp:positionV relativeFrom="paragraph">
                    <wp:posOffset>111760</wp:posOffset>
                  </wp:positionV>
                  <wp:extent cx="699770" cy="699770"/>
                  <wp:effectExtent l="0" t="0" r="5080" b="5080"/>
                  <wp:wrapTopAndBottom/>
                  <wp:docPr id="165"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10"/>
                          <pic:cNvPicPr>
                            <a:picLocks noChangeAspect="1"/>
                          </pic:cNvPicPr>
                        </pic:nvPicPr>
                        <pic:blipFill>
                          <a:blip r:embed="rId147"/>
                          <a:stretch>
                            <a:fillRect/>
                          </a:stretch>
                        </pic:blipFill>
                        <pic:spPr>
                          <a:xfrm>
                            <a:off x="0" y="0"/>
                            <a:ext cx="699770" cy="699770"/>
                          </a:xfrm>
                          <a:prstGeom prst="rect">
                            <a:avLst/>
                          </a:prstGeom>
                          <a:noFill/>
                          <a:ln>
                            <a:noFill/>
                          </a:ln>
                        </pic:spPr>
                      </pic:pic>
                    </a:graphicData>
                  </a:graphic>
                </wp:anchor>
              </w:drawing>
            </w:r>
          </w:p>
        </w:tc>
        <w:tc>
          <w:tcPr>
            <w:tcW w:w="1030" w:type="pct"/>
            <w:vAlign w:val="center"/>
          </w:tcPr>
          <w:p>
            <w:pPr>
              <w:pStyle w:val="47"/>
              <w:spacing w:line="240" w:lineRule="auto"/>
              <w:rPr>
                <w:color w:val="auto"/>
              </w:rPr>
            </w:pPr>
            <w:r>
              <w:rPr>
                <w:color w:val="auto"/>
              </w:rPr>
              <w:drawing>
                <wp:anchor distT="0" distB="0" distL="114300" distR="114300" simplePos="0" relativeHeight="251726848" behindDoc="0" locked="0" layoutInCell="1" allowOverlap="1">
                  <wp:simplePos x="0" y="0"/>
                  <wp:positionH relativeFrom="page">
                    <wp:posOffset>220980</wp:posOffset>
                  </wp:positionH>
                  <wp:positionV relativeFrom="page">
                    <wp:posOffset>119380</wp:posOffset>
                  </wp:positionV>
                  <wp:extent cx="787400" cy="697230"/>
                  <wp:effectExtent l="0" t="0" r="12700" b="7620"/>
                  <wp:wrapTopAndBottom/>
                  <wp:docPr id="16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42"/>
                          <pic:cNvPicPr>
                            <a:picLocks noChangeAspect="1"/>
                          </pic:cNvPicPr>
                        </pic:nvPicPr>
                        <pic:blipFill>
                          <a:blip r:embed="rId148"/>
                          <a:stretch>
                            <a:fillRect/>
                          </a:stretch>
                        </pic:blipFill>
                        <pic:spPr>
                          <a:xfrm>
                            <a:off x="0" y="0"/>
                            <a:ext cx="787400" cy="697230"/>
                          </a:xfrm>
                          <a:prstGeom prst="rect">
                            <a:avLst/>
                          </a:prstGeom>
                          <a:noFill/>
                          <a:ln>
                            <a:noFill/>
                          </a:ln>
                        </pic:spPr>
                      </pic:pic>
                    </a:graphicData>
                  </a:graphic>
                </wp:anchor>
              </w:drawing>
            </w:r>
          </w:p>
        </w:tc>
        <w:tc>
          <w:tcPr>
            <w:tcW w:w="916" w:type="pct"/>
            <w:vAlign w:val="center"/>
          </w:tcPr>
          <w:p>
            <w:pPr>
              <w:pStyle w:val="47"/>
              <w:spacing w:line="240" w:lineRule="auto"/>
              <w:rPr>
                <w:color w:val="auto"/>
              </w:rPr>
            </w:pPr>
            <w:r>
              <w:rPr>
                <w:color w:val="auto"/>
              </w:rPr>
              <w:t>一般固体废物</w:t>
            </w:r>
          </w:p>
        </w:tc>
        <w:tc>
          <w:tcPr>
            <w:tcW w:w="1586" w:type="pct"/>
            <w:vAlign w:val="center"/>
          </w:tcPr>
          <w:p>
            <w:pPr>
              <w:pStyle w:val="47"/>
              <w:spacing w:line="240" w:lineRule="auto"/>
              <w:rPr>
                <w:color w:val="auto"/>
              </w:rPr>
            </w:pPr>
            <w:r>
              <w:rPr>
                <w:rFonts w:hint="eastAsia"/>
                <w:color w:val="auto"/>
              </w:rPr>
              <w:t>一般工业固废</w:t>
            </w:r>
            <w:r>
              <w:rPr>
                <w:color w:val="auto"/>
              </w:rPr>
              <w:t>临时贮存区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55" w:hRule="atLeast"/>
          <w:jc w:val="center"/>
        </w:trPr>
        <w:tc>
          <w:tcPr>
            <w:tcW w:w="465" w:type="pct"/>
            <w:vMerge w:val="continue"/>
            <w:vAlign w:val="center"/>
          </w:tcPr>
          <w:p>
            <w:pPr>
              <w:pStyle w:val="47"/>
              <w:spacing w:line="240" w:lineRule="auto"/>
              <w:rPr>
                <w:color w:val="auto"/>
              </w:rPr>
            </w:pPr>
          </w:p>
        </w:tc>
        <w:tc>
          <w:tcPr>
            <w:tcW w:w="1003" w:type="pct"/>
            <w:vAlign w:val="center"/>
          </w:tcPr>
          <w:p>
            <w:pPr>
              <w:pStyle w:val="47"/>
              <w:spacing w:line="240" w:lineRule="auto"/>
              <w:rPr>
                <w:color w:val="auto"/>
              </w:rPr>
            </w:pPr>
            <w:r>
              <w:rPr>
                <w:color w:val="auto"/>
              </w:rPr>
              <w:t>——</w:t>
            </w:r>
          </w:p>
        </w:tc>
        <w:tc>
          <w:tcPr>
            <w:tcW w:w="1030" w:type="pct"/>
            <w:vAlign w:val="center"/>
          </w:tcPr>
          <w:p>
            <w:pPr>
              <w:pStyle w:val="47"/>
              <w:spacing w:line="240" w:lineRule="auto"/>
              <w:rPr>
                <w:color w:val="auto"/>
              </w:rPr>
            </w:pPr>
            <w:r>
              <w:rPr>
                <w:color w:val="auto"/>
              </w:rPr>
              <w:drawing>
                <wp:anchor distT="0" distB="0" distL="114300" distR="114300" simplePos="0" relativeHeight="251729920" behindDoc="0" locked="0" layoutInCell="1" allowOverlap="1">
                  <wp:simplePos x="0" y="0"/>
                  <wp:positionH relativeFrom="column">
                    <wp:posOffset>127635</wp:posOffset>
                  </wp:positionH>
                  <wp:positionV relativeFrom="paragraph">
                    <wp:posOffset>56515</wp:posOffset>
                  </wp:positionV>
                  <wp:extent cx="869315" cy="801370"/>
                  <wp:effectExtent l="0" t="0" r="6985" b="17780"/>
                  <wp:wrapNone/>
                  <wp:docPr id="167" name="图片 19" descr="点击查看源网页">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9" descr="点击查看源网页"/>
                          <pic:cNvPicPr>
                            <a:picLocks noChangeAspect="1"/>
                          </pic:cNvPicPr>
                        </pic:nvPicPr>
                        <pic:blipFill>
                          <a:blip r:embed="rId150"/>
                          <a:stretch>
                            <a:fillRect/>
                          </a:stretch>
                        </pic:blipFill>
                        <pic:spPr>
                          <a:xfrm>
                            <a:off x="0" y="0"/>
                            <a:ext cx="869315" cy="801370"/>
                          </a:xfrm>
                          <a:prstGeom prst="rect">
                            <a:avLst/>
                          </a:prstGeom>
                          <a:noFill/>
                          <a:ln>
                            <a:noFill/>
                          </a:ln>
                        </pic:spPr>
                      </pic:pic>
                    </a:graphicData>
                  </a:graphic>
                </wp:anchor>
              </w:drawing>
            </w:r>
          </w:p>
          <w:p>
            <w:pPr>
              <w:pStyle w:val="47"/>
              <w:spacing w:line="240" w:lineRule="auto"/>
              <w:rPr>
                <w:color w:val="auto"/>
              </w:rPr>
            </w:pPr>
          </w:p>
          <w:p>
            <w:pPr>
              <w:pStyle w:val="47"/>
              <w:spacing w:line="240" w:lineRule="auto"/>
              <w:rPr>
                <w:color w:val="auto"/>
              </w:rPr>
            </w:pPr>
          </w:p>
          <w:p>
            <w:pPr>
              <w:pStyle w:val="47"/>
              <w:spacing w:line="240" w:lineRule="auto"/>
              <w:rPr>
                <w:color w:val="auto"/>
              </w:rPr>
            </w:pPr>
          </w:p>
          <w:p>
            <w:pPr>
              <w:pStyle w:val="47"/>
              <w:spacing w:line="240" w:lineRule="auto"/>
              <w:rPr>
                <w:color w:val="auto"/>
              </w:rPr>
            </w:pPr>
          </w:p>
        </w:tc>
        <w:tc>
          <w:tcPr>
            <w:tcW w:w="916" w:type="pct"/>
            <w:vAlign w:val="center"/>
          </w:tcPr>
          <w:p>
            <w:pPr>
              <w:pStyle w:val="47"/>
              <w:spacing w:line="240" w:lineRule="auto"/>
              <w:rPr>
                <w:color w:val="auto"/>
              </w:rPr>
            </w:pPr>
            <w:r>
              <w:rPr>
                <w:color w:val="auto"/>
              </w:rPr>
              <w:t>危险废物</w:t>
            </w:r>
          </w:p>
        </w:tc>
        <w:tc>
          <w:tcPr>
            <w:tcW w:w="1586" w:type="pct"/>
            <w:vAlign w:val="center"/>
          </w:tcPr>
          <w:p>
            <w:pPr>
              <w:pStyle w:val="47"/>
              <w:spacing w:line="240" w:lineRule="auto"/>
              <w:rPr>
                <w:color w:val="auto"/>
              </w:rPr>
            </w:pPr>
            <w:r>
              <w:rPr>
                <w:color w:val="auto"/>
              </w:rPr>
              <w:t>危险废物临时贮存区</w:t>
            </w:r>
          </w:p>
        </w:tc>
      </w:tr>
    </w:tbl>
    <w:p>
      <w:pPr>
        <w:pStyle w:val="48"/>
        <w:rPr>
          <w:b/>
          <w:color w:val="auto"/>
        </w:rPr>
      </w:pPr>
      <w:r>
        <w:rPr>
          <w:b/>
          <w:color w:val="auto"/>
        </w:rPr>
        <w:t>表10.1-1  标志的形状及颜色说明</w:t>
      </w:r>
    </w:p>
    <w:tbl>
      <w:tblPr>
        <w:tblStyle w:val="22"/>
        <w:tblW w:w="5107"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0" w:type="dxa"/>
          <w:bottom w:w="0" w:type="dxa"/>
          <w:right w:w="0" w:type="dxa"/>
        </w:tblCellMar>
      </w:tblPr>
      <w:tblGrid>
        <w:gridCol w:w="1435"/>
        <w:gridCol w:w="2653"/>
        <w:gridCol w:w="2649"/>
        <w:gridCol w:w="2529"/>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774" w:type="pct"/>
            <w:vAlign w:val="center"/>
          </w:tcPr>
          <w:p>
            <w:pPr>
              <w:pStyle w:val="47"/>
              <w:rPr>
                <w:b/>
                <w:color w:val="auto"/>
              </w:rPr>
            </w:pPr>
            <w:r>
              <w:rPr>
                <w:b/>
                <w:color w:val="auto"/>
              </w:rPr>
              <w:t>项目</w:t>
            </w:r>
          </w:p>
        </w:tc>
        <w:tc>
          <w:tcPr>
            <w:tcW w:w="1431" w:type="pct"/>
            <w:vAlign w:val="center"/>
          </w:tcPr>
          <w:p>
            <w:pPr>
              <w:pStyle w:val="47"/>
              <w:rPr>
                <w:b/>
                <w:color w:val="auto"/>
              </w:rPr>
            </w:pPr>
            <w:r>
              <w:rPr>
                <w:b/>
                <w:color w:val="auto"/>
              </w:rPr>
              <w:t>形状</w:t>
            </w:r>
          </w:p>
        </w:tc>
        <w:tc>
          <w:tcPr>
            <w:tcW w:w="1429" w:type="pct"/>
            <w:vAlign w:val="center"/>
          </w:tcPr>
          <w:p>
            <w:pPr>
              <w:pStyle w:val="47"/>
              <w:rPr>
                <w:b/>
                <w:color w:val="auto"/>
              </w:rPr>
            </w:pPr>
            <w:r>
              <w:rPr>
                <w:b/>
                <w:color w:val="auto"/>
              </w:rPr>
              <w:t>背景颜色</w:t>
            </w:r>
          </w:p>
        </w:tc>
        <w:tc>
          <w:tcPr>
            <w:tcW w:w="1364" w:type="pct"/>
            <w:vAlign w:val="center"/>
          </w:tcPr>
          <w:p>
            <w:pPr>
              <w:pStyle w:val="47"/>
              <w:rPr>
                <w:b/>
                <w:color w:val="auto"/>
              </w:rPr>
            </w:pPr>
            <w:r>
              <w:rPr>
                <w:b/>
                <w:color w:val="auto"/>
              </w:rPr>
              <w:t>图形颜色</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774" w:type="pct"/>
            <w:vAlign w:val="center"/>
          </w:tcPr>
          <w:p>
            <w:pPr>
              <w:pStyle w:val="47"/>
              <w:rPr>
                <w:color w:val="auto"/>
              </w:rPr>
            </w:pPr>
            <w:r>
              <w:rPr>
                <w:color w:val="auto"/>
              </w:rPr>
              <w:t>警告标志</w:t>
            </w:r>
          </w:p>
        </w:tc>
        <w:tc>
          <w:tcPr>
            <w:tcW w:w="1431" w:type="pct"/>
            <w:vAlign w:val="center"/>
          </w:tcPr>
          <w:p>
            <w:pPr>
              <w:pStyle w:val="47"/>
              <w:rPr>
                <w:color w:val="auto"/>
              </w:rPr>
            </w:pPr>
            <w:r>
              <w:rPr>
                <w:color w:val="auto"/>
              </w:rPr>
              <w:t>三角形边框</w:t>
            </w:r>
          </w:p>
        </w:tc>
        <w:tc>
          <w:tcPr>
            <w:tcW w:w="1429" w:type="pct"/>
            <w:vAlign w:val="center"/>
          </w:tcPr>
          <w:p>
            <w:pPr>
              <w:pStyle w:val="47"/>
              <w:rPr>
                <w:color w:val="auto"/>
              </w:rPr>
            </w:pPr>
            <w:r>
              <w:rPr>
                <w:color w:val="auto"/>
              </w:rPr>
              <w:t>黄色</w:t>
            </w:r>
          </w:p>
        </w:tc>
        <w:tc>
          <w:tcPr>
            <w:tcW w:w="1364" w:type="pct"/>
            <w:vAlign w:val="center"/>
          </w:tcPr>
          <w:p>
            <w:pPr>
              <w:pStyle w:val="47"/>
              <w:rPr>
                <w:color w:val="auto"/>
              </w:rPr>
            </w:pPr>
            <w:r>
              <w:rPr>
                <w:color w:val="auto"/>
              </w:rPr>
              <w:t>黑色</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trHeight w:val="397" w:hRule="atLeast"/>
          <w:jc w:val="center"/>
        </w:trPr>
        <w:tc>
          <w:tcPr>
            <w:tcW w:w="774" w:type="pct"/>
            <w:vAlign w:val="center"/>
          </w:tcPr>
          <w:p>
            <w:pPr>
              <w:pStyle w:val="47"/>
              <w:rPr>
                <w:color w:val="auto"/>
              </w:rPr>
            </w:pPr>
            <w:r>
              <w:rPr>
                <w:color w:val="auto"/>
              </w:rPr>
              <w:t>提示标志</w:t>
            </w:r>
          </w:p>
        </w:tc>
        <w:tc>
          <w:tcPr>
            <w:tcW w:w="1431" w:type="pct"/>
            <w:vAlign w:val="center"/>
          </w:tcPr>
          <w:p>
            <w:pPr>
              <w:pStyle w:val="47"/>
              <w:rPr>
                <w:color w:val="auto"/>
              </w:rPr>
            </w:pPr>
            <w:r>
              <w:rPr>
                <w:color w:val="auto"/>
              </w:rPr>
              <w:t>正方形边框</w:t>
            </w:r>
          </w:p>
        </w:tc>
        <w:tc>
          <w:tcPr>
            <w:tcW w:w="1429" w:type="pct"/>
            <w:vAlign w:val="center"/>
          </w:tcPr>
          <w:p>
            <w:pPr>
              <w:pStyle w:val="47"/>
              <w:rPr>
                <w:color w:val="auto"/>
              </w:rPr>
            </w:pPr>
            <w:r>
              <w:rPr>
                <w:color w:val="auto"/>
              </w:rPr>
              <w:t>绿色</w:t>
            </w:r>
          </w:p>
        </w:tc>
        <w:tc>
          <w:tcPr>
            <w:tcW w:w="1364" w:type="pct"/>
            <w:vAlign w:val="center"/>
          </w:tcPr>
          <w:p>
            <w:pPr>
              <w:pStyle w:val="47"/>
              <w:rPr>
                <w:color w:val="auto"/>
              </w:rPr>
            </w:pPr>
            <w:r>
              <w:rPr>
                <w:color w:val="auto"/>
              </w:rPr>
              <w:t>白色</w:t>
            </w:r>
          </w:p>
        </w:tc>
      </w:tr>
      <w:bookmarkEnd w:id="428"/>
      <w:bookmarkEnd w:id="429"/>
      <w:bookmarkEnd w:id="430"/>
      <w:bookmarkEnd w:id="431"/>
      <w:bookmarkEnd w:id="432"/>
      <w:bookmarkEnd w:id="433"/>
    </w:tbl>
    <w:p>
      <w:pPr>
        <w:ind w:left="480" w:leftChars="200" w:firstLine="0" w:firstLineChars="0"/>
        <w:rPr>
          <w:color w:val="auto"/>
        </w:rPr>
      </w:pPr>
      <w:r>
        <w:rPr>
          <w:color w:val="auto"/>
        </w:rPr>
        <w:t>（4）采样断面、采样点位及采样平台的规范化建设</w:t>
      </w:r>
    </w:p>
    <w:p>
      <w:pPr>
        <w:pStyle w:val="2"/>
        <w:spacing w:after="0" w:line="360" w:lineRule="auto"/>
        <w:ind w:firstLine="480"/>
        <w:rPr>
          <w:color w:val="auto"/>
        </w:rPr>
      </w:pPr>
      <w:r>
        <w:rPr>
          <w:color w:val="auto"/>
        </w:rPr>
        <w:t>根据《固定污染源废气监测点位设置技术规范》(DB37/T 3535-2019)等要求，项目采样口位置应分别满足如下要求：</w:t>
      </w:r>
    </w:p>
    <w:p>
      <w:pPr>
        <w:pStyle w:val="2"/>
        <w:spacing w:after="0" w:line="360" w:lineRule="auto"/>
        <w:ind w:firstLine="480"/>
        <w:rPr>
          <w:color w:val="auto"/>
        </w:rPr>
      </w:pPr>
      <w:r>
        <w:rPr>
          <w:color w:val="auto"/>
        </w:rPr>
        <w:t>①对于颗粒态污染物，监测断面优先设置在垂直管段，应避开烟道弯头和断面急剧变化的部位，设置在距弯头、阀门、变径管下游方向不小于</w:t>
      </w:r>
      <w:r>
        <w:rPr>
          <w:rFonts w:hint="eastAsia"/>
          <w:color w:val="auto"/>
          <w:lang w:val="en-US" w:eastAsia="zh-CN"/>
        </w:rPr>
        <w:t>4</w:t>
      </w:r>
      <w:r>
        <w:rPr>
          <w:color w:val="auto"/>
        </w:rPr>
        <w:t>倍直径，和距上述部件上游方向不小于2倍直径处；对于气态污染物，监测断面的设置可不受上述限制。</w:t>
      </w:r>
    </w:p>
    <w:p>
      <w:pPr>
        <w:pStyle w:val="2"/>
        <w:spacing w:after="0" w:line="360" w:lineRule="auto"/>
        <w:ind w:firstLine="480"/>
        <w:rPr>
          <w:color w:val="auto"/>
        </w:rPr>
      </w:pPr>
      <w:r>
        <w:rPr>
          <w:color w:val="auto"/>
        </w:rPr>
        <w:t>②在选定的监测断面上开设监测孔，监测孔的内径应不小于90mm，不使用时应用盖板或管帽封闭，使用时应易打开；</w:t>
      </w:r>
    </w:p>
    <w:p>
      <w:pPr>
        <w:pStyle w:val="2"/>
        <w:spacing w:after="0" w:line="360" w:lineRule="auto"/>
        <w:ind w:firstLine="480"/>
        <w:rPr>
          <w:color w:val="auto"/>
        </w:rPr>
      </w:pPr>
      <w:r>
        <w:rPr>
          <w:color w:val="auto"/>
        </w:rPr>
        <w:t>③烟道直径≤1m的圆形烟道，设置一个监测孔；烟道直径大于1m不大于4m的圆形烟道，设置相互垂直的两个监测孔；</w:t>
      </w:r>
    </w:p>
    <w:p>
      <w:pPr>
        <w:pStyle w:val="2"/>
        <w:spacing w:after="0" w:line="360" w:lineRule="auto"/>
        <w:ind w:firstLine="480"/>
        <w:rPr>
          <w:color w:val="auto"/>
        </w:rPr>
      </w:pPr>
      <w:r>
        <w:rPr>
          <w:color w:val="auto"/>
        </w:rPr>
        <w:t>④监测平台应设置在监测孔的正下方1.2m～1.3m处，应永久、安全、便于监测及采样。监测平台可操作面积应≥2m</w:t>
      </w:r>
      <w:r>
        <w:rPr>
          <w:color w:val="auto"/>
          <w:vertAlign w:val="superscript"/>
        </w:rPr>
        <w:t>2</w:t>
      </w:r>
      <w:r>
        <w:rPr>
          <w:color w:val="auto"/>
        </w:rPr>
        <w:t>，单边长度应≥1.2m，且不小于监测断面直径的1/3。若监测断面有多个监测孔且水平排列，自监测平台区域应涵盖所有监测孔；若监测断面有多个监测孔且竖直排列，则应设置多层监测平台。通往监测平台的通道宽度应≥0.9m。</w:t>
      </w:r>
    </w:p>
    <w:p>
      <w:pPr>
        <w:pStyle w:val="9"/>
        <w:spacing w:before="0" w:beforeLines="0" w:after="0" w:afterLines="0" w:line="360" w:lineRule="auto"/>
        <w:rPr>
          <w:color w:val="auto"/>
        </w:rPr>
      </w:pPr>
      <w:bookmarkStart w:id="447" w:name="_Toc24314"/>
      <w:bookmarkStart w:id="448" w:name="_Toc8002"/>
      <w:bookmarkStart w:id="449" w:name="_Toc24034"/>
      <w:r>
        <w:rPr>
          <w:color w:val="auto"/>
        </w:rPr>
        <w:t>10.1.5 日常环境管理</w:t>
      </w:r>
      <w:bookmarkEnd w:id="447"/>
      <w:bookmarkEnd w:id="448"/>
      <w:bookmarkEnd w:id="449"/>
      <w:r>
        <w:rPr>
          <w:color w:val="auto"/>
        </w:rPr>
        <w:t>制度</w:t>
      </w:r>
    </w:p>
    <w:p>
      <w:pPr>
        <w:ind w:firstLine="480"/>
        <w:rPr>
          <w:color w:val="auto"/>
        </w:rPr>
      </w:pPr>
      <w:r>
        <w:rPr>
          <w:color w:val="auto"/>
        </w:rPr>
        <w:t>1、企业应建立日常环境管理制度。</w:t>
      </w:r>
    </w:p>
    <w:p>
      <w:pPr>
        <w:ind w:firstLine="480"/>
        <w:rPr>
          <w:color w:val="auto"/>
        </w:rPr>
      </w:pPr>
      <w:r>
        <w:rPr>
          <w:color w:val="auto"/>
        </w:rPr>
        <w:t>2、建立日常环境管理台帐。针对项目运行过程产生的废气、废水、噪声、固废、环境风险等方面建立规范的环境管理台账，台账内容应包括环保设施设备清单、专业操作及维护人员配备、环保设施运行及维护费用、环保设施运行记录、事故检修计划、耗材消耗、污染物排放或处置量、环保设施稳定运行保障计划等。</w:t>
      </w:r>
    </w:p>
    <w:p>
      <w:pPr>
        <w:ind w:firstLine="480"/>
        <w:rPr>
          <w:color w:val="auto"/>
        </w:rPr>
      </w:pPr>
      <w:r>
        <w:rPr>
          <w:color w:val="auto"/>
        </w:rPr>
        <w:t>3、进行各类固废台帐统计。</w:t>
      </w:r>
    </w:p>
    <w:p>
      <w:pPr>
        <w:ind w:firstLine="480"/>
        <w:rPr>
          <w:color w:val="auto"/>
        </w:rPr>
      </w:pPr>
      <w:r>
        <w:rPr>
          <w:color w:val="auto"/>
        </w:rPr>
        <w:t>4、做好各项环保设施日常运行、维护及费用记录；建立定期检查、维修和维修后验收制度，保证设备、设施完好，运转率达到考核要求。</w:t>
      </w:r>
    </w:p>
    <w:p>
      <w:pPr>
        <w:ind w:firstLine="480"/>
        <w:rPr>
          <w:color w:val="auto"/>
        </w:rPr>
      </w:pPr>
      <w:r>
        <w:rPr>
          <w:color w:val="auto"/>
        </w:rPr>
        <w:t>5、在日常生产过程应贯彻全过程清洁生产原则，定期开展清洁生产审核工作。</w:t>
      </w:r>
    </w:p>
    <w:p>
      <w:pPr>
        <w:ind w:firstLine="480"/>
        <w:rPr>
          <w:color w:val="auto"/>
        </w:rPr>
      </w:pPr>
      <w:r>
        <w:rPr>
          <w:color w:val="auto"/>
        </w:rPr>
        <w:t>6、对员工进行环保法律、法规教育和宣传，提高员工环保意识，对环保岗位进行培训考核。</w:t>
      </w:r>
    </w:p>
    <w:p>
      <w:pPr>
        <w:pStyle w:val="9"/>
        <w:spacing w:before="0" w:beforeLines="0" w:after="0" w:afterLines="0" w:line="360" w:lineRule="auto"/>
        <w:rPr>
          <w:color w:val="auto"/>
        </w:rPr>
      </w:pPr>
      <w:r>
        <w:rPr>
          <w:color w:val="auto"/>
        </w:rPr>
        <w:t>10.1.6 环境信息公开</w:t>
      </w:r>
    </w:p>
    <w:p>
      <w:pPr>
        <w:ind w:firstLine="480"/>
        <w:rPr>
          <w:color w:val="auto"/>
        </w:rPr>
      </w:pPr>
      <w:r>
        <w:rPr>
          <w:color w:val="auto"/>
        </w:rPr>
        <w:t>根据《中华人民共和国环境保护法》和环境保护部令第31号《企业事业单位环境信息公开办法》的规定，</w:t>
      </w:r>
      <w:r>
        <w:rPr>
          <w:rFonts w:hint="eastAsia"/>
          <w:color w:val="auto"/>
        </w:rPr>
        <w:t>山东朗净新材料科技有限公司</w:t>
      </w:r>
      <w:r>
        <w:rPr>
          <w:color w:val="auto"/>
        </w:rPr>
        <w:t>应当公开下列环境信息：</w:t>
      </w:r>
    </w:p>
    <w:p>
      <w:pPr>
        <w:ind w:firstLine="480"/>
        <w:rPr>
          <w:color w:val="auto"/>
        </w:rPr>
      </w:pPr>
      <w:r>
        <w:rPr>
          <w:color w:val="auto"/>
        </w:rPr>
        <w:t>（1）基础信息：包括单位名称、统一社会信用代码、法定代表人、生产地址、联系方式，以及生产经营和管理服务的主要内容、产品及规模。</w:t>
      </w:r>
    </w:p>
    <w:p>
      <w:pPr>
        <w:ind w:firstLine="480"/>
        <w:rPr>
          <w:color w:val="auto"/>
        </w:rPr>
      </w:pPr>
      <w:r>
        <w:rPr>
          <w:color w:val="auto"/>
        </w:rPr>
        <w:t>（2）排污信息：包括主要污染物及特征污染物的名称、排放方式、排放口数量和分布情况、排放浓度和总量、超标情况，以及执行的污染物排放标准、核定的排放总量。</w:t>
      </w:r>
    </w:p>
    <w:p>
      <w:pPr>
        <w:ind w:firstLine="480"/>
        <w:rPr>
          <w:color w:val="auto"/>
        </w:rPr>
      </w:pPr>
      <w:r>
        <w:rPr>
          <w:color w:val="auto"/>
        </w:rPr>
        <w:t>（3）防治污染设施的建设和运行情况。</w:t>
      </w:r>
    </w:p>
    <w:p>
      <w:pPr>
        <w:ind w:firstLine="480"/>
        <w:rPr>
          <w:color w:val="auto"/>
        </w:rPr>
      </w:pPr>
      <w:r>
        <w:rPr>
          <w:color w:val="auto"/>
        </w:rPr>
        <w:t>（4）建设项目环境影响评价及其他环境保护行政许可情况。</w:t>
      </w:r>
    </w:p>
    <w:p>
      <w:pPr>
        <w:ind w:firstLine="480"/>
        <w:rPr>
          <w:color w:val="auto"/>
        </w:rPr>
      </w:pPr>
      <w:r>
        <w:rPr>
          <w:color w:val="auto"/>
        </w:rPr>
        <w:t>（5）突发环境事件应急预案。</w:t>
      </w:r>
    </w:p>
    <w:p>
      <w:pPr>
        <w:ind w:firstLine="480"/>
        <w:rPr>
          <w:color w:val="auto"/>
        </w:rPr>
      </w:pPr>
      <w:r>
        <w:rPr>
          <w:color w:val="auto"/>
        </w:rPr>
        <w:t>（6）其他应当公开的环境信息。</w:t>
      </w:r>
    </w:p>
    <w:p>
      <w:pPr>
        <w:ind w:firstLine="480"/>
        <w:rPr>
          <w:color w:val="auto"/>
        </w:rPr>
      </w:pPr>
      <w:r>
        <w:rPr>
          <w:color w:val="auto"/>
        </w:rPr>
        <w:t>列入国家重点监控企业名单的重点排污单位还应当公开其环境自行监测方案。</w:t>
      </w:r>
    </w:p>
    <w:p>
      <w:pPr>
        <w:pStyle w:val="2"/>
        <w:spacing w:after="0" w:line="360" w:lineRule="auto"/>
        <w:ind w:firstLine="480"/>
        <w:rPr>
          <w:color w:val="auto"/>
        </w:rPr>
      </w:pPr>
      <w:r>
        <w:rPr>
          <w:color w:val="auto"/>
        </w:rPr>
        <w:t>《国家重点监控企业自行监测及信息公开办法（试行）》中规定企业应主要公开内容如下：（一）基础信息：企业名称、法人代表、所属行业、地理位置、生产周期、联系方式、委托监测机构名称等；</w:t>
      </w:r>
    </w:p>
    <w:p>
      <w:pPr>
        <w:pStyle w:val="2"/>
        <w:spacing w:after="0" w:line="360" w:lineRule="auto"/>
        <w:ind w:firstLine="480"/>
        <w:rPr>
          <w:color w:val="auto"/>
        </w:rPr>
      </w:pPr>
      <w:r>
        <w:rPr>
          <w:color w:val="auto"/>
        </w:rPr>
        <w:t>（二）自行监测方案；</w:t>
      </w:r>
    </w:p>
    <w:p>
      <w:pPr>
        <w:pStyle w:val="2"/>
        <w:spacing w:after="0" w:line="360" w:lineRule="auto"/>
        <w:ind w:firstLine="480"/>
        <w:rPr>
          <w:color w:val="auto"/>
        </w:rPr>
      </w:pPr>
      <w:r>
        <w:rPr>
          <w:color w:val="auto"/>
        </w:rPr>
        <w:t>（三）自行监测结果：全部监测点位、监测时间、污染物种类及浓度、标准限值、达标情况、超标倍数、污染物排放方式及排放去向；</w:t>
      </w:r>
    </w:p>
    <w:p>
      <w:pPr>
        <w:pStyle w:val="2"/>
        <w:spacing w:after="0" w:line="360" w:lineRule="auto"/>
        <w:ind w:firstLine="480"/>
        <w:rPr>
          <w:color w:val="auto"/>
        </w:rPr>
      </w:pPr>
      <w:r>
        <w:rPr>
          <w:color w:val="auto"/>
        </w:rPr>
        <w:t>（四）未开展自行监测的原因；</w:t>
      </w:r>
    </w:p>
    <w:p>
      <w:pPr>
        <w:pStyle w:val="2"/>
        <w:spacing w:after="0" w:line="360" w:lineRule="auto"/>
        <w:ind w:firstLine="480"/>
        <w:rPr>
          <w:color w:val="auto"/>
        </w:rPr>
      </w:pPr>
      <w:r>
        <w:rPr>
          <w:color w:val="auto"/>
        </w:rPr>
        <w:t>（五）污染源监测年度报告。</w:t>
      </w:r>
    </w:p>
    <w:p>
      <w:pPr>
        <w:ind w:firstLine="480"/>
        <w:rPr>
          <w:color w:val="auto"/>
        </w:rPr>
      </w:pPr>
      <w:r>
        <w:rPr>
          <w:rFonts w:hint="eastAsia"/>
          <w:color w:val="auto"/>
        </w:rPr>
        <w:t>山东朗净新材料科技有限公司</w:t>
      </w:r>
      <w:r>
        <w:rPr>
          <w:color w:val="auto"/>
        </w:rPr>
        <w:t>应当通过其网站、企业事业单位环境信息公开平台或者当地报刊等便于公众知晓的方式公开环境信息，同时可以采取以下一种或者几种方式予以公开：</w:t>
      </w:r>
    </w:p>
    <w:p>
      <w:pPr>
        <w:ind w:firstLine="480"/>
        <w:rPr>
          <w:color w:val="auto"/>
        </w:rPr>
      </w:pPr>
      <w:r>
        <w:rPr>
          <w:color w:val="auto"/>
        </w:rPr>
        <w:t>（1）公告或者公开发行的信息专刊；</w:t>
      </w:r>
    </w:p>
    <w:p>
      <w:pPr>
        <w:ind w:firstLine="480"/>
        <w:rPr>
          <w:color w:val="auto"/>
        </w:rPr>
      </w:pPr>
      <w:r>
        <w:rPr>
          <w:color w:val="auto"/>
        </w:rPr>
        <w:t>（2）广播、电视等新闻媒体；</w:t>
      </w:r>
    </w:p>
    <w:p>
      <w:pPr>
        <w:ind w:firstLine="480"/>
        <w:rPr>
          <w:color w:val="auto"/>
        </w:rPr>
      </w:pPr>
      <w:r>
        <w:rPr>
          <w:color w:val="auto"/>
        </w:rPr>
        <w:t>（3）信息公开服务、监督热线电话；</w:t>
      </w:r>
    </w:p>
    <w:p>
      <w:pPr>
        <w:ind w:firstLine="480"/>
        <w:rPr>
          <w:color w:val="auto"/>
        </w:rPr>
      </w:pPr>
      <w:r>
        <w:rPr>
          <w:color w:val="auto"/>
        </w:rPr>
        <w:t>（4）本单位的资料索取点、信息公开栏、信息亭、电子屏幕、电子触摸屏等场所或者设施；</w:t>
      </w:r>
    </w:p>
    <w:p>
      <w:pPr>
        <w:ind w:firstLine="480"/>
        <w:rPr>
          <w:color w:val="auto"/>
        </w:rPr>
      </w:pPr>
      <w:r>
        <w:rPr>
          <w:color w:val="auto"/>
        </w:rPr>
        <w:t>（5）其他便于公众及时、准确获得信息的方式。</w:t>
      </w:r>
    </w:p>
    <w:p>
      <w:pPr>
        <w:pStyle w:val="9"/>
        <w:spacing w:before="0" w:beforeLines="0" w:after="0" w:afterLines="0" w:line="360" w:lineRule="auto"/>
        <w:rPr>
          <w:color w:val="auto"/>
        </w:rPr>
      </w:pPr>
      <w:r>
        <w:rPr>
          <w:color w:val="auto"/>
        </w:rPr>
        <w:t>10.1.7 与排污许可证衔接</w:t>
      </w:r>
    </w:p>
    <w:p>
      <w:pPr>
        <w:pStyle w:val="2"/>
        <w:spacing w:after="0" w:line="360" w:lineRule="auto"/>
        <w:ind w:firstLine="480"/>
        <w:rPr>
          <w:color w:val="auto"/>
        </w:rPr>
      </w:pPr>
      <w:r>
        <w:rPr>
          <w:color w:val="auto"/>
        </w:rPr>
        <w:t>根据《关于做好环境影响评价制度与排污许可制衔接相关工作的通知》（环办环评[2017]84号）和《排污许可管理</w:t>
      </w:r>
      <w:r>
        <w:rPr>
          <w:rFonts w:hint="eastAsia"/>
          <w:color w:val="auto"/>
        </w:rPr>
        <w:t>条例</w:t>
      </w:r>
      <w:r>
        <w:rPr>
          <w:color w:val="auto"/>
        </w:rPr>
        <w:t>》，结合《固定污染源排污许可分类管理名录（2019年版）》（部令 第11号），企业应当在本项目投入生产或使用并产生实际排污行为之前申请排污许可证。</w:t>
      </w:r>
    </w:p>
    <w:p>
      <w:pPr>
        <w:pStyle w:val="8"/>
        <w:spacing w:before="0" w:beforeLines="0" w:after="0" w:afterLines="0" w:line="360" w:lineRule="auto"/>
        <w:rPr>
          <w:color w:val="auto"/>
        </w:rPr>
      </w:pPr>
      <w:bookmarkStart w:id="450" w:name="_Toc20936"/>
      <w:bookmarkStart w:id="451" w:name="_Toc9727"/>
      <w:bookmarkStart w:id="452" w:name="_Toc20737"/>
      <w:bookmarkStart w:id="453" w:name="_Toc20194"/>
      <w:bookmarkStart w:id="454" w:name="_Toc20207"/>
      <w:bookmarkStart w:id="455" w:name="_Toc13349"/>
      <w:r>
        <w:rPr>
          <w:color w:val="auto"/>
        </w:rPr>
        <w:t xml:space="preserve">10.2 </w:t>
      </w:r>
      <w:bookmarkEnd w:id="450"/>
      <w:bookmarkEnd w:id="451"/>
      <w:bookmarkEnd w:id="452"/>
      <w:bookmarkEnd w:id="453"/>
      <w:r>
        <w:rPr>
          <w:color w:val="auto"/>
        </w:rPr>
        <w:t>污染源排放清单及管理要求</w:t>
      </w:r>
      <w:bookmarkEnd w:id="454"/>
      <w:bookmarkEnd w:id="455"/>
    </w:p>
    <w:p>
      <w:pPr>
        <w:pStyle w:val="2"/>
        <w:spacing w:after="0"/>
        <w:ind w:firstLine="480"/>
        <w:rPr>
          <w:color w:val="auto"/>
        </w:rPr>
      </w:pPr>
      <w:r>
        <w:rPr>
          <w:rFonts w:hint="eastAsia"/>
          <w:color w:val="auto"/>
        </w:rPr>
        <w:t>拟建项目</w:t>
      </w:r>
      <w:r>
        <w:rPr>
          <w:color w:val="auto"/>
        </w:rPr>
        <w:t>环境管理台账记录要求见表10.2-</w:t>
      </w:r>
      <w:r>
        <w:rPr>
          <w:rFonts w:hint="eastAsia"/>
          <w:color w:val="auto"/>
        </w:rPr>
        <w:t>1：</w:t>
      </w:r>
    </w:p>
    <w:p>
      <w:pPr>
        <w:ind w:firstLine="480"/>
        <w:rPr>
          <w:color w:val="auto"/>
        </w:rPr>
        <w:sectPr>
          <w:headerReference r:id="rId47" w:type="default"/>
          <w:pgSz w:w="11906" w:h="16838"/>
          <w:pgMar w:top="1417" w:right="1417" w:bottom="1446" w:left="1417" w:header="851" w:footer="992" w:gutter="0"/>
          <w:pgBorders>
            <w:top w:val="none" w:sz="0" w:space="0"/>
            <w:left w:val="none" w:sz="0" w:space="0"/>
            <w:bottom w:val="none" w:sz="0" w:space="0"/>
            <w:right w:val="none" w:sz="0" w:space="0"/>
          </w:pgBorders>
          <w:cols w:space="425" w:num="1"/>
          <w:docGrid w:type="lines" w:linePitch="312" w:charSpace="0"/>
        </w:sectPr>
      </w:pPr>
    </w:p>
    <w:p>
      <w:pPr>
        <w:ind w:firstLine="0" w:firstLineChars="0"/>
        <w:jc w:val="center"/>
        <w:rPr>
          <w:rFonts w:eastAsia="黑体"/>
          <w:b w:val="0"/>
          <w:bCs/>
          <w:color w:val="auto"/>
          <w:sz w:val="21"/>
          <w:szCs w:val="21"/>
        </w:rPr>
      </w:pPr>
      <w:r>
        <w:rPr>
          <w:rFonts w:eastAsia="黑体"/>
          <w:b w:val="0"/>
          <w:bCs/>
          <w:color w:val="auto"/>
          <w:sz w:val="21"/>
          <w:szCs w:val="21"/>
        </w:rPr>
        <w:t xml:space="preserve">表10.2-1  </w:t>
      </w:r>
      <w:r>
        <w:rPr>
          <w:rFonts w:hint="eastAsia" w:eastAsia="黑体"/>
          <w:b w:val="0"/>
          <w:bCs/>
          <w:color w:val="auto"/>
          <w:sz w:val="21"/>
          <w:szCs w:val="21"/>
        </w:rPr>
        <w:t>拟建项目</w:t>
      </w:r>
      <w:r>
        <w:rPr>
          <w:rFonts w:eastAsia="黑体"/>
          <w:b w:val="0"/>
          <w:bCs/>
          <w:color w:val="auto"/>
          <w:sz w:val="21"/>
          <w:szCs w:val="21"/>
        </w:rPr>
        <w:t>污染源排放清单及管理要求一览表</w:t>
      </w:r>
    </w:p>
    <w:tbl>
      <w:tblPr>
        <w:tblStyle w:val="22"/>
        <w:tblW w:w="14218"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33"/>
        <w:gridCol w:w="2369"/>
        <w:gridCol w:w="1842"/>
        <w:gridCol w:w="1560"/>
        <w:gridCol w:w="1701"/>
        <w:gridCol w:w="2409"/>
        <w:gridCol w:w="1560"/>
        <w:gridCol w:w="1275"/>
        <w:gridCol w:w="106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3" w:type="dxa"/>
            <w:vAlign w:val="center"/>
          </w:tcPr>
          <w:p>
            <w:pPr>
              <w:spacing w:line="240" w:lineRule="auto"/>
              <w:ind w:firstLine="0" w:firstLineChars="0"/>
              <w:jc w:val="center"/>
              <w:rPr>
                <w:b/>
                <w:color w:val="auto"/>
                <w:sz w:val="21"/>
                <w:szCs w:val="21"/>
              </w:rPr>
            </w:pPr>
            <w:r>
              <w:rPr>
                <w:b/>
                <w:color w:val="auto"/>
                <w:sz w:val="21"/>
                <w:szCs w:val="21"/>
              </w:rPr>
              <w:t>类别</w:t>
            </w:r>
          </w:p>
        </w:tc>
        <w:tc>
          <w:tcPr>
            <w:tcW w:w="2369" w:type="dxa"/>
            <w:vAlign w:val="center"/>
          </w:tcPr>
          <w:p>
            <w:pPr>
              <w:spacing w:line="240" w:lineRule="auto"/>
              <w:ind w:firstLine="0" w:firstLineChars="0"/>
              <w:jc w:val="center"/>
              <w:rPr>
                <w:b/>
                <w:color w:val="auto"/>
                <w:sz w:val="21"/>
                <w:szCs w:val="21"/>
              </w:rPr>
            </w:pPr>
            <w:r>
              <w:rPr>
                <w:b/>
                <w:color w:val="auto"/>
                <w:sz w:val="21"/>
                <w:szCs w:val="21"/>
              </w:rPr>
              <w:t>产污环节</w:t>
            </w:r>
          </w:p>
        </w:tc>
        <w:tc>
          <w:tcPr>
            <w:tcW w:w="1842" w:type="dxa"/>
            <w:vAlign w:val="center"/>
          </w:tcPr>
          <w:p>
            <w:pPr>
              <w:spacing w:line="240" w:lineRule="auto"/>
              <w:ind w:firstLine="0" w:firstLineChars="0"/>
              <w:jc w:val="center"/>
              <w:rPr>
                <w:b/>
                <w:color w:val="auto"/>
                <w:sz w:val="21"/>
                <w:szCs w:val="21"/>
              </w:rPr>
            </w:pPr>
            <w:r>
              <w:rPr>
                <w:b/>
                <w:color w:val="auto"/>
                <w:sz w:val="21"/>
                <w:szCs w:val="21"/>
              </w:rPr>
              <w:t>污染因子</w:t>
            </w:r>
          </w:p>
        </w:tc>
        <w:tc>
          <w:tcPr>
            <w:tcW w:w="1560" w:type="dxa"/>
            <w:vAlign w:val="center"/>
          </w:tcPr>
          <w:p>
            <w:pPr>
              <w:spacing w:line="240" w:lineRule="auto"/>
              <w:ind w:firstLine="0" w:firstLineChars="0"/>
              <w:jc w:val="center"/>
              <w:rPr>
                <w:b/>
                <w:color w:val="auto"/>
                <w:sz w:val="21"/>
                <w:szCs w:val="21"/>
              </w:rPr>
            </w:pPr>
            <w:r>
              <w:rPr>
                <w:b/>
                <w:color w:val="auto"/>
                <w:sz w:val="21"/>
                <w:szCs w:val="21"/>
              </w:rPr>
              <w:t>环保措施</w:t>
            </w:r>
          </w:p>
        </w:tc>
        <w:tc>
          <w:tcPr>
            <w:tcW w:w="1701" w:type="dxa"/>
            <w:vAlign w:val="center"/>
          </w:tcPr>
          <w:p>
            <w:pPr>
              <w:spacing w:line="240" w:lineRule="auto"/>
              <w:ind w:firstLine="0" w:firstLineChars="0"/>
              <w:jc w:val="center"/>
              <w:rPr>
                <w:b/>
                <w:color w:val="auto"/>
                <w:sz w:val="21"/>
                <w:szCs w:val="21"/>
              </w:rPr>
            </w:pPr>
            <w:r>
              <w:rPr>
                <w:b/>
                <w:color w:val="auto"/>
                <w:sz w:val="21"/>
                <w:szCs w:val="21"/>
              </w:rPr>
              <w:t>排放浓度/速率</w:t>
            </w:r>
          </w:p>
        </w:tc>
        <w:tc>
          <w:tcPr>
            <w:tcW w:w="2409" w:type="dxa"/>
            <w:vAlign w:val="center"/>
          </w:tcPr>
          <w:p>
            <w:pPr>
              <w:spacing w:line="240" w:lineRule="auto"/>
              <w:ind w:firstLine="0" w:firstLineChars="0"/>
              <w:jc w:val="center"/>
              <w:rPr>
                <w:b/>
                <w:color w:val="auto"/>
                <w:sz w:val="21"/>
                <w:szCs w:val="21"/>
              </w:rPr>
            </w:pPr>
            <w:r>
              <w:rPr>
                <w:b/>
                <w:color w:val="auto"/>
                <w:sz w:val="21"/>
                <w:szCs w:val="21"/>
              </w:rPr>
              <w:t>执行标准</w:t>
            </w:r>
          </w:p>
        </w:tc>
        <w:tc>
          <w:tcPr>
            <w:tcW w:w="1560" w:type="dxa"/>
            <w:vAlign w:val="center"/>
          </w:tcPr>
          <w:p>
            <w:pPr>
              <w:spacing w:line="240" w:lineRule="auto"/>
              <w:ind w:firstLine="0" w:firstLineChars="0"/>
              <w:jc w:val="center"/>
              <w:rPr>
                <w:b/>
                <w:color w:val="auto"/>
                <w:sz w:val="21"/>
                <w:szCs w:val="21"/>
              </w:rPr>
            </w:pPr>
            <w:r>
              <w:rPr>
                <w:b/>
                <w:color w:val="auto"/>
                <w:sz w:val="21"/>
                <w:szCs w:val="21"/>
              </w:rPr>
              <w:t>排放量t/a</w:t>
            </w:r>
          </w:p>
        </w:tc>
        <w:tc>
          <w:tcPr>
            <w:tcW w:w="1275" w:type="dxa"/>
            <w:vAlign w:val="center"/>
          </w:tcPr>
          <w:p>
            <w:pPr>
              <w:spacing w:line="240" w:lineRule="auto"/>
              <w:ind w:firstLine="0" w:firstLineChars="0"/>
              <w:jc w:val="center"/>
              <w:rPr>
                <w:b/>
                <w:color w:val="auto"/>
                <w:sz w:val="21"/>
                <w:szCs w:val="21"/>
              </w:rPr>
            </w:pPr>
            <w:r>
              <w:rPr>
                <w:b/>
                <w:color w:val="auto"/>
                <w:sz w:val="21"/>
                <w:szCs w:val="21"/>
              </w:rPr>
              <w:t>排污口</w:t>
            </w:r>
          </w:p>
        </w:tc>
        <w:tc>
          <w:tcPr>
            <w:tcW w:w="1069" w:type="dxa"/>
            <w:vAlign w:val="center"/>
          </w:tcPr>
          <w:p>
            <w:pPr>
              <w:spacing w:line="240" w:lineRule="auto"/>
              <w:ind w:firstLine="0" w:firstLineChars="0"/>
              <w:jc w:val="center"/>
              <w:rPr>
                <w:b/>
                <w:color w:val="auto"/>
                <w:sz w:val="21"/>
                <w:szCs w:val="21"/>
              </w:rPr>
            </w:pPr>
            <w:r>
              <w:rPr>
                <w:b/>
                <w:color w:val="auto"/>
                <w:sz w:val="21"/>
                <w:szCs w:val="21"/>
              </w:rPr>
              <w:t>环境监测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3" w:type="dxa"/>
            <w:vAlign w:val="center"/>
          </w:tcPr>
          <w:p>
            <w:pPr>
              <w:spacing w:line="240" w:lineRule="auto"/>
              <w:ind w:firstLine="0" w:firstLineChars="0"/>
              <w:jc w:val="center"/>
              <w:rPr>
                <w:color w:val="auto"/>
                <w:sz w:val="21"/>
                <w:szCs w:val="21"/>
              </w:rPr>
            </w:pPr>
            <w:r>
              <w:rPr>
                <w:color w:val="auto"/>
                <w:sz w:val="21"/>
                <w:szCs w:val="21"/>
              </w:rPr>
              <w:t>废水</w:t>
            </w:r>
          </w:p>
        </w:tc>
        <w:tc>
          <w:tcPr>
            <w:tcW w:w="2369" w:type="dxa"/>
            <w:vAlign w:val="center"/>
          </w:tcPr>
          <w:p>
            <w:pPr>
              <w:spacing w:line="240" w:lineRule="auto"/>
              <w:ind w:firstLine="0" w:firstLineChars="0"/>
              <w:jc w:val="center"/>
              <w:rPr>
                <w:color w:val="auto"/>
                <w:sz w:val="21"/>
                <w:szCs w:val="21"/>
              </w:rPr>
            </w:pPr>
            <w:r>
              <w:rPr>
                <w:color w:val="auto"/>
                <w:sz w:val="21"/>
                <w:szCs w:val="21"/>
              </w:rPr>
              <w:t>生产废水</w:t>
            </w:r>
          </w:p>
        </w:tc>
        <w:tc>
          <w:tcPr>
            <w:tcW w:w="1842" w:type="dxa"/>
            <w:vAlign w:val="center"/>
          </w:tcPr>
          <w:p>
            <w:pPr>
              <w:spacing w:line="240" w:lineRule="auto"/>
              <w:ind w:firstLine="0" w:firstLineChars="0"/>
              <w:jc w:val="center"/>
              <w:rPr>
                <w:color w:val="auto"/>
                <w:sz w:val="21"/>
                <w:szCs w:val="21"/>
              </w:rPr>
            </w:pPr>
            <w:r>
              <w:rPr>
                <w:color w:val="auto"/>
                <w:sz w:val="21"/>
                <w:szCs w:val="21"/>
              </w:rPr>
              <w:t>pH、COD、</w:t>
            </w:r>
            <w:r>
              <w:rPr>
                <w:rFonts w:hint="eastAsia"/>
                <w:color w:val="auto"/>
                <w:sz w:val="21"/>
                <w:szCs w:val="21"/>
              </w:rPr>
              <w:t>氨氮、</w:t>
            </w:r>
            <w:r>
              <w:rPr>
                <w:color w:val="auto"/>
                <w:sz w:val="21"/>
                <w:szCs w:val="21"/>
              </w:rPr>
              <w:t>BOD</w:t>
            </w:r>
            <w:r>
              <w:rPr>
                <w:color w:val="auto"/>
                <w:sz w:val="21"/>
                <w:szCs w:val="21"/>
                <w:vertAlign w:val="subscript"/>
              </w:rPr>
              <w:t>5</w:t>
            </w:r>
            <w:r>
              <w:rPr>
                <w:color w:val="auto"/>
                <w:sz w:val="21"/>
                <w:szCs w:val="21"/>
              </w:rPr>
              <w:t>、SS、石油类</w:t>
            </w:r>
          </w:p>
        </w:tc>
        <w:tc>
          <w:tcPr>
            <w:tcW w:w="1560" w:type="dxa"/>
            <w:vAlign w:val="center"/>
          </w:tcPr>
          <w:p>
            <w:pPr>
              <w:spacing w:line="240" w:lineRule="auto"/>
              <w:ind w:firstLine="0" w:firstLineChars="0"/>
              <w:jc w:val="center"/>
              <w:rPr>
                <w:color w:val="auto"/>
                <w:sz w:val="21"/>
                <w:szCs w:val="21"/>
              </w:rPr>
            </w:pPr>
            <w:r>
              <w:rPr>
                <w:color w:val="auto"/>
                <w:sz w:val="21"/>
                <w:szCs w:val="21"/>
              </w:rPr>
              <w:t>循环冷却系统排水</w:t>
            </w:r>
            <w:r>
              <w:rPr>
                <w:rFonts w:hint="eastAsia"/>
                <w:color w:val="auto"/>
                <w:sz w:val="21"/>
                <w:szCs w:val="21"/>
              </w:rPr>
              <w:t>、</w:t>
            </w:r>
            <w:r>
              <w:rPr>
                <w:color w:val="auto"/>
                <w:sz w:val="21"/>
                <w:szCs w:val="21"/>
              </w:rPr>
              <w:t>化验室排水</w:t>
            </w:r>
            <w:r>
              <w:rPr>
                <w:rFonts w:hint="eastAsia"/>
                <w:color w:val="auto"/>
                <w:sz w:val="21"/>
                <w:szCs w:val="21"/>
              </w:rPr>
              <w:t>、</w:t>
            </w:r>
            <w:r>
              <w:rPr>
                <w:color w:val="auto"/>
                <w:sz w:val="21"/>
                <w:szCs w:val="21"/>
              </w:rPr>
              <w:t>喷淋塔排水</w:t>
            </w:r>
            <w:r>
              <w:rPr>
                <w:rFonts w:hint="eastAsia"/>
                <w:color w:val="auto"/>
                <w:sz w:val="21"/>
                <w:szCs w:val="21"/>
              </w:rPr>
              <w:t>、</w:t>
            </w:r>
            <w:r>
              <w:rPr>
                <w:color w:val="auto"/>
                <w:sz w:val="21"/>
                <w:szCs w:val="21"/>
              </w:rPr>
              <w:t>地面清洗废水</w:t>
            </w:r>
            <w:r>
              <w:rPr>
                <w:rFonts w:hint="eastAsia"/>
                <w:color w:val="auto"/>
                <w:sz w:val="21"/>
                <w:szCs w:val="21"/>
              </w:rPr>
              <w:t>、生产废水</w:t>
            </w:r>
            <w:r>
              <w:rPr>
                <w:color w:val="auto"/>
                <w:sz w:val="21"/>
                <w:szCs w:val="21"/>
              </w:rPr>
              <w:t>进入厂区污水处理系统</w:t>
            </w:r>
            <w:r>
              <w:rPr>
                <w:rFonts w:hint="eastAsia"/>
                <w:color w:val="auto"/>
                <w:sz w:val="21"/>
                <w:szCs w:val="21"/>
              </w:rPr>
              <w:t>处理后与生活污水一同排入光大水务（淄博）有限公司水质净化</w:t>
            </w:r>
            <w:r>
              <w:rPr>
                <w:rFonts w:hint="eastAsia"/>
                <w:color w:val="auto"/>
                <w:sz w:val="21"/>
                <w:szCs w:val="21"/>
                <w:lang w:eastAsia="zh-CN"/>
              </w:rPr>
              <w:t>三分厂</w:t>
            </w:r>
            <w:r>
              <w:rPr>
                <w:rFonts w:hint="eastAsia"/>
                <w:color w:val="auto"/>
                <w:sz w:val="21"/>
                <w:szCs w:val="21"/>
              </w:rPr>
              <w:t>深度处理</w:t>
            </w:r>
          </w:p>
        </w:tc>
        <w:tc>
          <w:tcPr>
            <w:tcW w:w="1701" w:type="dxa"/>
            <w:vAlign w:val="center"/>
          </w:tcPr>
          <w:p>
            <w:pPr>
              <w:spacing w:line="240" w:lineRule="auto"/>
              <w:ind w:firstLine="0" w:firstLineChars="0"/>
              <w:jc w:val="center"/>
              <w:rPr>
                <w:color w:val="auto"/>
                <w:sz w:val="21"/>
                <w:szCs w:val="21"/>
              </w:rPr>
            </w:pPr>
            <w:r>
              <w:rPr>
                <w:color w:val="auto"/>
                <w:sz w:val="21"/>
                <w:szCs w:val="21"/>
              </w:rPr>
              <w:t>pH6</w:t>
            </w:r>
            <w:r>
              <w:rPr>
                <w:rFonts w:hint="eastAsia"/>
                <w:color w:val="auto"/>
                <w:sz w:val="21"/>
                <w:szCs w:val="21"/>
              </w:rPr>
              <w:t>.5</w:t>
            </w:r>
            <w:r>
              <w:rPr>
                <w:color w:val="auto"/>
                <w:sz w:val="21"/>
                <w:szCs w:val="21"/>
              </w:rPr>
              <w:t>～9</w:t>
            </w:r>
            <w:r>
              <w:rPr>
                <w:rFonts w:hint="eastAsia"/>
                <w:color w:val="auto"/>
                <w:sz w:val="21"/>
                <w:szCs w:val="21"/>
              </w:rPr>
              <w:t>.5</w:t>
            </w:r>
          </w:p>
          <w:p>
            <w:pPr>
              <w:spacing w:line="240" w:lineRule="auto"/>
              <w:ind w:firstLine="0" w:firstLineChars="0"/>
              <w:jc w:val="center"/>
              <w:rPr>
                <w:color w:val="auto"/>
                <w:sz w:val="21"/>
                <w:szCs w:val="21"/>
              </w:rPr>
            </w:pPr>
            <w:r>
              <w:rPr>
                <w:color w:val="auto"/>
                <w:sz w:val="21"/>
                <w:szCs w:val="21"/>
              </w:rPr>
              <w:t>COD</w:t>
            </w:r>
            <w:r>
              <w:rPr>
                <w:rFonts w:hint="eastAsia"/>
                <w:color w:val="auto"/>
                <w:vertAlign w:val="subscript"/>
              </w:rPr>
              <w:t>cr</w:t>
            </w:r>
            <w:r>
              <w:rPr>
                <w:color w:val="auto"/>
                <w:sz w:val="21"/>
                <w:szCs w:val="21"/>
              </w:rPr>
              <w:t>≤</w:t>
            </w:r>
            <w:r>
              <w:rPr>
                <w:rFonts w:hint="eastAsia"/>
                <w:color w:val="auto"/>
                <w:sz w:val="21"/>
                <w:szCs w:val="21"/>
              </w:rPr>
              <w:t>500</w:t>
            </w:r>
            <w:r>
              <w:rPr>
                <w:color w:val="auto"/>
                <w:sz w:val="21"/>
                <w:szCs w:val="21"/>
              </w:rPr>
              <w:t>mg/L</w:t>
            </w:r>
          </w:p>
          <w:p>
            <w:pPr>
              <w:spacing w:line="240" w:lineRule="auto"/>
              <w:ind w:firstLine="0" w:firstLineChars="0"/>
              <w:jc w:val="center"/>
              <w:rPr>
                <w:color w:val="auto"/>
                <w:sz w:val="21"/>
                <w:szCs w:val="21"/>
              </w:rPr>
            </w:pPr>
            <w:r>
              <w:rPr>
                <w:color w:val="auto"/>
                <w:sz w:val="21"/>
                <w:szCs w:val="21"/>
              </w:rPr>
              <w:t>BOD</w:t>
            </w:r>
            <w:r>
              <w:rPr>
                <w:color w:val="auto"/>
                <w:sz w:val="21"/>
                <w:szCs w:val="21"/>
                <w:vertAlign w:val="subscript"/>
              </w:rPr>
              <w:t>5</w:t>
            </w:r>
            <w:r>
              <w:rPr>
                <w:color w:val="auto"/>
                <w:sz w:val="21"/>
                <w:szCs w:val="21"/>
              </w:rPr>
              <w:t>≤</w:t>
            </w:r>
            <w:r>
              <w:rPr>
                <w:rFonts w:hint="eastAsia"/>
                <w:color w:val="auto"/>
                <w:sz w:val="21"/>
                <w:szCs w:val="21"/>
              </w:rPr>
              <w:t>350</w:t>
            </w:r>
            <w:r>
              <w:rPr>
                <w:color w:val="auto"/>
                <w:sz w:val="21"/>
                <w:szCs w:val="21"/>
              </w:rPr>
              <w:t>mg/L</w:t>
            </w:r>
          </w:p>
          <w:p>
            <w:pPr>
              <w:spacing w:line="240" w:lineRule="auto"/>
              <w:ind w:firstLine="0" w:firstLineChars="0"/>
              <w:jc w:val="center"/>
              <w:rPr>
                <w:color w:val="auto"/>
                <w:sz w:val="21"/>
                <w:szCs w:val="21"/>
              </w:rPr>
            </w:pPr>
            <w:r>
              <w:rPr>
                <w:rFonts w:hint="eastAsia"/>
                <w:color w:val="auto"/>
                <w:sz w:val="21"/>
                <w:szCs w:val="21"/>
              </w:rPr>
              <w:t>氨氮</w:t>
            </w:r>
            <w:r>
              <w:rPr>
                <w:color w:val="auto"/>
                <w:sz w:val="21"/>
                <w:szCs w:val="21"/>
              </w:rPr>
              <w:t>≤</w:t>
            </w:r>
            <w:r>
              <w:rPr>
                <w:rFonts w:hint="eastAsia"/>
                <w:color w:val="auto"/>
                <w:sz w:val="21"/>
                <w:szCs w:val="21"/>
              </w:rPr>
              <w:t>45</w:t>
            </w:r>
            <w:r>
              <w:rPr>
                <w:color w:val="auto"/>
                <w:sz w:val="21"/>
                <w:szCs w:val="21"/>
              </w:rPr>
              <w:t>mg/L</w:t>
            </w:r>
          </w:p>
          <w:p>
            <w:pPr>
              <w:spacing w:line="240" w:lineRule="auto"/>
              <w:ind w:firstLine="0" w:firstLineChars="0"/>
              <w:jc w:val="center"/>
              <w:rPr>
                <w:color w:val="auto"/>
                <w:sz w:val="21"/>
                <w:szCs w:val="21"/>
              </w:rPr>
            </w:pPr>
            <w:r>
              <w:rPr>
                <w:rFonts w:hint="eastAsia"/>
                <w:color w:val="auto"/>
                <w:sz w:val="21"/>
                <w:szCs w:val="21"/>
              </w:rPr>
              <w:t>SS</w:t>
            </w:r>
            <w:r>
              <w:rPr>
                <w:color w:val="auto"/>
                <w:sz w:val="21"/>
                <w:szCs w:val="21"/>
              </w:rPr>
              <w:t>≤</w:t>
            </w:r>
            <w:r>
              <w:rPr>
                <w:rFonts w:hint="eastAsia"/>
                <w:color w:val="auto"/>
                <w:sz w:val="21"/>
                <w:szCs w:val="21"/>
              </w:rPr>
              <w:t>400</w:t>
            </w:r>
            <w:r>
              <w:rPr>
                <w:color w:val="auto"/>
                <w:sz w:val="21"/>
                <w:szCs w:val="21"/>
              </w:rPr>
              <w:t>mg/L</w:t>
            </w:r>
          </w:p>
          <w:p>
            <w:pPr>
              <w:spacing w:line="240" w:lineRule="auto"/>
              <w:ind w:firstLine="0" w:firstLineChars="0"/>
              <w:jc w:val="center"/>
              <w:rPr>
                <w:color w:val="auto"/>
                <w:sz w:val="21"/>
                <w:szCs w:val="21"/>
              </w:rPr>
            </w:pPr>
            <w:r>
              <w:rPr>
                <w:rFonts w:hint="eastAsia"/>
                <w:color w:val="auto"/>
                <w:sz w:val="21"/>
                <w:szCs w:val="21"/>
              </w:rPr>
              <w:t>总磷</w:t>
            </w:r>
            <w:r>
              <w:rPr>
                <w:color w:val="auto"/>
                <w:sz w:val="21"/>
                <w:szCs w:val="21"/>
              </w:rPr>
              <w:t>≤</w:t>
            </w:r>
            <w:r>
              <w:rPr>
                <w:rFonts w:hint="eastAsia"/>
                <w:color w:val="auto"/>
                <w:sz w:val="21"/>
                <w:szCs w:val="21"/>
              </w:rPr>
              <w:t>8</w:t>
            </w:r>
            <w:r>
              <w:rPr>
                <w:color w:val="auto"/>
                <w:sz w:val="21"/>
                <w:szCs w:val="21"/>
              </w:rPr>
              <w:t>mg/L</w:t>
            </w:r>
          </w:p>
          <w:p>
            <w:pPr>
              <w:spacing w:line="240" w:lineRule="auto"/>
              <w:ind w:firstLine="0" w:firstLineChars="0"/>
              <w:jc w:val="center"/>
              <w:rPr>
                <w:color w:val="auto"/>
                <w:sz w:val="21"/>
                <w:szCs w:val="21"/>
              </w:rPr>
            </w:pPr>
            <w:r>
              <w:rPr>
                <w:rFonts w:hint="eastAsia"/>
                <w:color w:val="auto"/>
                <w:sz w:val="21"/>
                <w:szCs w:val="21"/>
              </w:rPr>
              <w:t>石油类</w:t>
            </w:r>
            <w:r>
              <w:rPr>
                <w:color w:val="auto"/>
                <w:sz w:val="21"/>
                <w:szCs w:val="21"/>
              </w:rPr>
              <w:t>≤</w:t>
            </w:r>
            <w:r>
              <w:rPr>
                <w:rFonts w:hint="eastAsia"/>
                <w:color w:val="auto"/>
                <w:sz w:val="21"/>
                <w:szCs w:val="21"/>
              </w:rPr>
              <w:t>15</w:t>
            </w:r>
            <w:r>
              <w:rPr>
                <w:color w:val="auto"/>
                <w:sz w:val="21"/>
                <w:szCs w:val="21"/>
              </w:rPr>
              <w:t>mg/L</w:t>
            </w:r>
          </w:p>
        </w:tc>
        <w:tc>
          <w:tcPr>
            <w:tcW w:w="2409" w:type="dxa"/>
            <w:vAlign w:val="center"/>
          </w:tcPr>
          <w:p>
            <w:pPr>
              <w:spacing w:line="240" w:lineRule="auto"/>
              <w:ind w:firstLine="0" w:firstLineChars="0"/>
              <w:jc w:val="center"/>
              <w:rPr>
                <w:color w:val="auto"/>
                <w:sz w:val="21"/>
                <w:szCs w:val="21"/>
              </w:rPr>
            </w:pPr>
            <w:r>
              <w:rPr>
                <w:rFonts w:hint="eastAsia"/>
                <w:color w:val="auto"/>
                <w:sz w:val="21"/>
                <w:szCs w:val="21"/>
                <w:lang w:val="en-US" w:eastAsia="zh-CN"/>
              </w:rPr>
              <w:t>《污水综合排放标准》（GB8978-1996）三级标准及光大水务（淄博）有限公司水质净化三分厂纳管水质要求</w:t>
            </w:r>
          </w:p>
        </w:tc>
        <w:tc>
          <w:tcPr>
            <w:tcW w:w="1560" w:type="dxa"/>
            <w:vAlign w:val="center"/>
          </w:tcPr>
          <w:p>
            <w:pPr>
              <w:spacing w:line="240" w:lineRule="auto"/>
              <w:ind w:firstLine="0" w:firstLineChars="0"/>
              <w:jc w:val="center"/>
              <w:rPr>
                <w:color w:val="auto"/>
                <w:sz w:val="21"/>
                <w:szCs w:val="21"/>
              </w:rPr>
            </w:pPr>
            <w:r>
              <w:rPr>
                <w:color w:val="auto"/>
                <w:sz w:val="21"/>
                <w:szCs w:val="21"/>
              </w:rPr>
              <w:t>废水量</w:t>
            </w:r>
            <w:r>
              <w:rPr>
                <w:rFonts w:hint="eastAsia"/>
                <w:color w:val="auto"/>
                <w:sz w:val="21"/>
                <w:szCs w:val="21"/>
              </w:rPr>
              <w:t>3033.5</w:t>
            </w:r>
            <w:r>
              <w:rPr>
                <w:color w:val="auto"/>
                <w:sz w:val="21"/>
                <w:szCs w:val="21"/>
              </w:rPr>
              <w:t>m</w:t>
            </w:r>
            <w:r>
              <w:rPr>
                <w:color w:val="auto"/>
                <w:sz w:val="21"/>
                <w:szCs w:val="21"/>
                <w:vertAlign w:val="superscript"/>
              </w:rPr>
              <w:t>3</w:t>
            </w:r>
            <w:r>
              <w:rPr>
                <w:color w:val="auto"/>
                <w:sz w:val="21"/>
                <w:szCs w:val="21"/>
              </w:rPr>
              <w:t>/a，</w:t>
            </w:r>
          </w:p>
        </w:tc>
        <w:tc>
          <w:tcPr>
            <w:tcW w:w="1275" w:type="dxa"/>
            <w:vAlign w:val="center"/>
          </w:tcPr>
          <w:p>
            <w:pPr>
              <w:spacing w:line="240" w:lineRule="auto"/>
              <w:ind w:firstLine="0" w:firstLineChars="0"/>
              <w:jc w:val="center"/>
              <w:rPr>
                <w:color w:val="auto"/>
                <w:sz w:val="21"/>
                <w:szCs w:val="21"/>
              </w:rPr>
            </w:pPr>
            <w:r>
              <w:rPr>
                <w:rFonts w:hint="eastAsia"/>
                <w:color w:val="auto"/>
                <w:sz w:val="21"/>
                <w:szCs w:val="21"/>
              </w:rPr>
              <w:t>DW001</w:t>
            </w:r>
          </w:p>
        </w:tc>
        <w:tc>
          <w:tcPr>
            <w:tcW w:w="1069" w:type="dxa"/>
            <w:vAlign w:val="center"/>
          </w:tcPr>
          <w:p>
            <w:pPr>
              <w:spacing w:line="240" w:lineRule="auto"/>
              <w:ind w:firstLine="0" w:firstLineChars="0"/>
              <w:jc w:val="center"/>
              <w:rPr>
                <w:color w:val="auto"/>
                <w:sz w:val="21"/>
                <w:szCs w:val="21"/>
              </w:rPr>
            </w:pPr>
            <w:r>
              <w:rPr>
                <w:color w:val="auto"/>
                <w:sz w:val="21"/>
                <w:szCs w:val="21"/>
              </w:rPr>
              <w:t>每半年监测一次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433" w:type="dxa"/>
            <w:vMerge w:val="restart"/>
            <w:vAlign w:val="center"/>
          </w:tcPr>
          <w:p>
            <w:pPr>
              <w:spacing w:line="240" w:lineRule="auto"/>
              <w:ind w:firstLine="0" w:firstLineChars="0"/>
              <w:jc w:val="center"/>
              <w:rPr>
                <w:color w:val="auto"/>
                <w:sz w:val="21"/>
                <w:szCs w:val="21"/>
              </w:rPr>
            </w:pPr>
            <w:r>
              <w:rPr>
                <w:color w:val="auto"/>
                <w:sz w:val="21"/>
                <w:szCs w:val="21"/>
              </w:rPr>
              <w:t>废气</w:t>
            </w:r>
          </w:p>
        </w:tc>
        <w:tc>
          <w:tcPr>
            <w:tcW w:w="2369" w:type="dxa"/>
            <w:vAlign w:val="center"/>
          </w:tcPr>
          <w:p>
            <w:pPr>
              <w:spacing w:line="240" w:lineRule="auto"/>
              <w:ind w:firstLine="0" w:firstLineChars="0"/>
              <w:rPr>
                <w:color w:val="auto"/>
                <w:sz w:val="21"/>
                <w:szCs w:val="21"/>
              </w:rPr>
            </w:pPr>
            <w:r>
              <w:rPr>
                <w:rFonts w:hint="eastAsia"/>
                <w:color w:val="auto"/>
                <w:sz w:val="21"/>
                <w:szCs w:val="21"/>
              </w:rPr>
              <w:t>G1-脱水不凝气、G2-</w:t>
            </w:r>
            <w:r>
              <w:rPr>
                <w:rFonts w:hint="eastAsia"/>
                <w:color w:val="auto"/>
                <w:sz w:val="21"/>
                <w:szCs w:val="21"/>
                <w:lang w:val="en-US" w:eastAsia="zh-CN"/>
              </w:rPr>
              <w:t>低聚</w:t>
            </w:r>
            <w:r>
              <w:rPr>
                <w:rFonts w:hint="eastAsia"/>
                <w:color w:val="auto"/>
                <w:sz w:val="21"/>
                <w:szCs w:val="21"/>
              </w:rPr>
              <w:t>不凝气、G</w:t>
            </w:r>
            <w:r>
              <w:rPr>
                <w:rFonts w:hint="eastAsia"/>
                <w:color w:val="auto"/>
                <w:sz w:val="21"/>
                <w:szCs w:val="21"/>
                <w:lang w:val="en-US" w:eastAsia="zh-CN"/>
              </w:rPr>
              <w:t>4</w:t>
            </w:r>
            <w:r>
              <w:rPr>
                <w:rFonts w:hint="eastAsia"/>
                <w:color w:val="auto"/>
                <w:sz w:val="21"/>
                <w:szCs w:val="21"/>
              </w:rPr>
              <w:t>-</w:t>
            </w:r>
            <w:r>
              <w:rPr>
                <w:rFonts w:hint="eastAsia"/>
                <w:color w:val="auto"/>
                <w:sz w:val="21"/>
                <w:szCs w:val="21"/>
                <w:lang w:val="en-US" w:eastAsia="zh-CN"/>
              </w:rPr>
              <w:t>酯化</w:t>
            </w:r>
            <w:r>
              <w:rPr>
                <w:rFonts w:hint="eastAsia"/>
                <w:color w:val="auto"/>
                <w:sz w:val="21"/>
                <w:szCs w:val="21"/>
              </w:rPr>
              <w:t>不凝气、G</w:t>
            </w:r>
            <w:r>
              <w:rPr>
                <w:rFonts w:hint="eastAsia"/>
                <w:color w:val="auto"/>
                <w:sz w:val="21"/>
                <w:szCs w:val="21"/>
                <w:lang w:val="en-US" w:eastAsia="zh-CN"/>
              </w:rPr>
              <w:t>5</w:t>
            </w:r>
            <w:r>
              <w:rPr>
                <w:rFonts w:hint="eastAsia"/>
                <w:color w:val="auto"/>
                <w:sz w:val="21"/>
                <w:szCs w:val="21"/>
              </w:rPr>
              <w:t>-</w:t>
            </w:r>
            <w:r>
              <w:rPr>
                <w:rFonts w:hint="eastAsia"/>
                <w:color w:val="auto"/>
                <w:sz w:val="21"/>
                <w:szCs w:val="21"/>
                <w:lang w:val="en-US" w:eastAsia="zh-CN"/>
              </w:rPr>
              <w:t>精制</w:t>
            </w:r>
            <w:r>
              <w:rPr>
                <w:rFonts w:hint="eastAsia"/>
                <w:color w:val="auto"/>
                <w:sz w:val="21"/>
                <w:szCs w:val="21"/>
              </w:rPr>
              <w:t>不凝气、G6-脱挥废气、污水处理站废气</w:t>
            </w:r>
          </w:p>
        </w:tc>
        <w:tc>
          <w:tcPr>
            <w:tcW w:w="1842" w:type="dxa"/>
            <w:vAlign w:val="center"/>
          </w:tcPr>
          <w:p>
            <w:pPr>
              <w:pStyle w:val="2"/>
              <w:spacing w:after="0" w:line="240" w:lineRule="auto"/>
              <w:ind w:firstLine="0" w:firstLineChars="0"/>
              <w:jc w:val="center"/>
              <w:rPr>
                <w:color w:val="auto"/>
              </w:rPr>
            </w:pPr>
            <w:r>
              <w:rPr>
                <w:color w:val="auto"/>
                <w:sz w:val="21"/>
                <w:szCs w:val="21"/>
              </w:rPr>
              <w:t>VOCs</w:t>
            </w:r>
            <w:r>
              <w:rPr>
                <w:rFonts w:hint="eastAsia"/>
                <w:color w:val="auto"/>
                <w:sz w:val="21"/>
                <w:szCs w:val="21"/>
              </w:rPr>
              <w:t>、氨、硫化氢</w:t>
            </w:r>
          </w:p>
        </w:tc>
        <w:tc>
          <w:tcPr>
            <w:tcW w:w="1560" w:type="dxa"/>
            <w:vAlign w:val="center"/>
          </w:tcPr>
          <w:p>
            <w:pPr>
              <w:spacing w:line="240" w:lineRule="auto"/>
              <w:ind w:firstLine="0" w:firstLineChars="0"/>
              <w:jc w:val="center"/>
              <w:rPr>
                <w:color w:val="auto"/>
                <w:sz w:val="21"/>
                <w:szCs w:val="21"/>
              </w:rPr>
            </w:pPr>
            <w:r>
              <w:rPr>
                <w:color w:val="auto"/>
                <w:sz w:val="21"/>
                <w:szCs w:val="21"/>
              </w:rPr>
              <w:t>收集后通过废气处理装置（</w:t>
            </w:r>
            <w:r>
              <w:rPr>
                <w:rFonts w:hint="eastAsia"/>
                <w:color w:val="auto"/>
                <w:sz w:val="21"/>
                <w:szCs w:val="21"/>
                <w:lang w:eastAsia="zh-CN"/>
              </w:rPr>
              <w:t>碱喷淋</w:t>
            </w:r>
            <w:r>
              <w:rPr>
                <w:rFonts w:hint="eastAsia"/>
                <w:color w:val="auto"/>
                <w:sz w:val="21"/>
                <w:szCs w:val="21"/>
              </w:rPr>
              <w:t>+</w:t>
            </w:r>
            <w:r>
              <w:rPr>
                <w:color w:val="auto"/>
                <w:sz w:val="21"/>
                <w:szCs w:val="21"/>
              </w:rPr>
              <w:t>活性炭吸附）处理后由15m排气筒（DA00</w:t>
            </w:r>
            <w:r>
              <w:rPr>
                <w:rFonts w:hint="eastAsia"/>
                <w:color w:val="auto"/>
                <w:sz w:val="21"/>
                <w:szCs w:val="21"/>
              </w:rPr>
              <w:t>1</w:t>
            </w:r>
            <w:r>
              <w:rPr>
                <w:color w:val="auto"/>
                <w:sz w:val="21"/>
                <w:szCs w:val="21"/>
              </w:rPr>
              <w:t>）排放。</w:t>
            </w:r>
          </w:p>
        </w:tc>
        <w:tc>
          <w:tcPr>
            <w:tcW w:w="1701" w:type="dxa"/>
            <w:vAlign w:val="center"/>
          </w:tcPr>
          <w:p>
            <w:pPr>
              <w:spacing w:line="240" w:lineRule="auto"/>
              <w:ind w:firstLine="0" w:firstLineChars="0"/>
              <w:jc w:val="center"/>
              <w:rPr>
                <w:color w:val="auto"/>
                <w:sz w:val="21"/>
                <w:szCs w:val="21"/>
              </w:rPr>
            </w:pPr>
            <w:r>
              <w:rPr>
                <w:bCs/>
                <w:color w:val="auto"/>
                <w:kern w:val="0"/>
                <w:sz w:val="21"/>
                <w:szCs w:val="21"/>
              </w:rPr>
              <w:t>VOCs＜60mg/m</w:t>
            </w:r>
            <w:r>
              <w:rPr>
                <w:bCs/>
                <w:color w:val="auto"/>
                <w:kern w:val="0"/>
                <w:sz w:val="21"/>
                <w:szCs w:val="21"/>
                <w:vertAlign w:val="superscript"/>
              </w:rPr>
              <w:t>3</w:t>
            </w:r>
            <w:r>
              <w:rPr>
                <w:bCs/>
                <w:color w:val="auto"/>
                <w:kern w:val="0"/>
                <w:sz w:val="21"/>
                <w:szCs w:val="21"/>
              </w:rPr>
              <w:t>；</w:t>
            </w:r>
            <w:r>
              <w:rPr>
                <w:rFonts w:hint="eastAsia"/>
                <w:bCs/>
                <w:color w:val="auto"/>
                <w:kern w:val="0"/>
                <w:sz w:val="21"/>
                <w:szCs w:val="21"/>
              </w:rPr>
              <w:t>氨</w:t>
            </w:r>
            <w:r>
              <w:rPr>
                <w:bCs/>
                <w:color w:val="auto"/>
                <w:kern w:val="0"/>
                <w:sz w:val="21"/>
                <w:szCs w:val="21"/>
              </w:rPr>
              <w:t>＜</w:t>
            </w:r>
            <w:r>
              <w:rPr>
                <w:rFonts w:hint="eastAsia"/>
                <w:bCs/>
                <w:color w:val="auto"/>
                <w:kern w:val="0"/>
                <w:sz w:val="21"/>
                <w:szCs w:val="21"/>
              </w:rPr>
              <w:t>20</w:t>
            </w:r>
            <w:r>
              <w:rPr>
                <w:bCs/>
                <w:color w:val="auto"/>
                <w:kern w:val="0"/>
                <w:sz w:val="21"/>
                <w:szCs w:val="21"/>
              </w:rPr>
              <w:t>mg/m</w:t>
            </w:r>
            <w:r>
              <w:rPr>
                <w:bCs/>
                <w:color w:val="auto"/>
                <w:kern w:val="0"/>
                <w:sz w:val="21"/>
                <w:szCs w:val="21"/>
                <w:vertAlign w:val="superscript"/>
              </w:rPr>
              <w:t>3</w:t>
            </w:r>
            <w:r>
              <w:rPr>
                <w:rFonts w:hint="eastAsia"/>
                <w:bCs/>
                <w:color w:val="auto"/>
                <w:kern w:val="0"/>
                <w:sz w:val="21"/>
                <w:szCs w:val="21"/>
              </w:rPr>
              <w:t>；硫化氢</w:t>
            </w:r>
            <w:r>
              <w:rPr>
                <w:bCs/>
                <w:color w:val="auto"/>
                <w:kern w:val="0"/>
                <w:sz w:val="21"/>
                <w:szCs w:val="21"/>
              </w:rPr>
              <w:t>＜</w:t>
            </w:r>
            <w:r>
              <w:rPr>
                <w:rFonts w:hint="eastAsia"/>
                <w:bCs/>
                <w:color w:val="auto"/>
                <w:kern w:val="0"/>
                <w:sz w:val="21"/>
                <w:szCs w:val="21"/>
              </w:rPr>
              <w:t>3</w:t>
            </w:r>
            <w:r>
              <w:rPr>
                <w:bCs/>
                <w:color w:val="auto"/>
                <w:kern w:val="0"/>
                <w:sz w:val="21"/>
                <w:szCs w:val="21"/>
              </w:rPr>
              <w:t>mg/m</w:t>
            </w:r>
            <w:r>
              <w:rPr>
                <w:bCs/>
                <w:color w:val="auto"/>
                <w:kern w:val="0"/>
                <w:sz w:val="21"/>
                <w:szCs w:val="21"/>
                <w:vertAlign w:val="superscript"/>
              </w:rPr>
              <w:t>3</w:t>
            </w:r>
          </w:p>
        </w:tc>
        <w:tc>
          <w:tcPr>
            <w:tcW w:w="2409" w:type="dxa"/>
            <w:vAlign w:val="center"/>
          </w:tcPr>
          <w:p>
            <w:pPr>
              <w:spacing w:line="240" w:lineRule="auto"/>
              <w:ind w:firstLine="0" w:firstLineChars="0"/>
              <w:jc w:val="center"/>
              <w:rPr>
                <w:color w:val="auto"/>
                <w:sz w:val="21"/>
                <w:szCs w:val="21"/>
              </w:rPr>
            </w:pPr>
            <w:r>
              <w:rPr>
                <w:color w:val="auto"/>
                <w:sz w:val="21"/>
                <w:szCs w:val="21"/>
              </w:rPr>
              <w:t>VOCs执行《挥发性有机物排放标准第6 部分有机化工行业》（DB37/2801.6-2018）表1中Ⅱ时段标准</w:t>
            </w:r>
            <w:r>
              <w:rPr>
                <w:rFonts w:hint="eastAsia"/>
                <w:color w:val="auto"/>
                <w:sz w:val="21"/>
                <w:szCs w:val="21"/>
              </w:rPr>
              <w:t>；《有机化工企业污水处理厂（站）挥发性有机物及恶臭污染物排放标准》（DB37/3161-2018）</w:t>
            </w:r>
          </w:p>
        </w:tc>
        <w:tc>
          <w:tcPr>
            <w:tcW w:w="1560" w:type="dxa"/>
            <w:vAlign w:val="center"/>
          </w:tcPr>
          <w:p>
            <w:pPr>
              <w:spacing w:line="240" w:lineRule="auto"/>
              <w:ind w:firstLine="0" w:firstLineChars="0"/>
              <w:jc w:val="center"/>
              <w:rPr>
                <w:color w:val="auto"/>
                <w:sz w:val="21"/>
                <w:szCs w:val="21"/>
              </w:rPr>
            </w:pPr>
            <w:r>
              <w:rPr>
                <w:color w:val="auto"/>
                <w:sz w:val="21"/>
                <w:szCs w:val="21"/>
              </w:rPr>
              <w:t>VOCs</w:t>
            </w:r>
            <w:r>
              <w:rPr>
                <w:rFonts w:hint="eastAsia"/>
                <w:color w:val="auto"/>
                <w:sz w:val="21"/>
                <w:szCs w:val="21"/>
              </w:rPr>
              <w:t>1.676</w:t>
            </w:r>
            <w:r>
              <w:rPr>
                <w:color w:val="auto"/>
                <w:sz w:val="21"/>
                <w:szCs w:val="21"/>
              </w:rPr>
              <w:t>t/a；</w:t>
            </w:r>
            <w:r>
              <w:rPr>
                <w:rFonts w:hint="eastAsia"/>
                <w:color w:val="auto"/>
                <w:sz w:val="21"/>
                <w:szCs w:val="21"/>
              </w:rPr>
              <w:t>氨0.0032</w:t>
            </w:r>
            <w:r>
              <w:rPr>
                <w:color w:val="auto"/>
                <w:sz w:val="21"/>
                <w:szCs w:val="21"/>
              </w:rPr>
              <w:t>t/a</w:t>
            </w:r>
            <w:r>
              <w:rPr>
                <w:rFonts w:hint="eastAsia"/>
                <w:color w:val="auto"/>
                <w:sz w:val="21"/>
                <w:szCs w:val="21"/>
              </w:rPr>
              <w:t>；硫化氢0.00008</w:t>
            </w:r>
            <w:r>
              <w:rPr>
                <w:color w:val="auto"/>
                <w:sz w:val="21"/>
                <w:szCs w:val="21"/>
              </w:rPr>
              <w:t>t/a</w:t>
            </w:r>
          </w:p>
        </w:tc>
        <w:tc>
          <w:tcPr>
            <w:tcW w:w="1275" w:type="dxa"/>
            <w:vAlign w:val="center"/>
          </w:tcPr>
          <w:p>
            <w:pPr>
              <w:spacing w:line="240" w:lineRule="auto"/>
              <w:ind w:firstLine="0" w:firstLineChars="0"/>
              <w:jc w:val="center"/>
              <w:rPr>
                <w:color w:val="auto"/>
                <w:sz w:val="21"/>
                <w:szCs w:val="21"/>
              </w:rPr>
            </w:pPr>
            <w:r>
              <w:rPr>
                <w:color w:val="auto"/>
                <w:sz w:val="21"/>
                <w:szCs w:val="21"/>
              </w:rPr>
              <w:t>15m排气筒DA00</w:t>
            </w:r>
            <w:r>
              <w:rPr>
                <w:rFonts w:hint="eastAsia"/>
                <w:color w:val="auto"/>
                <w:sz w:val="21"/>
                <w:szCs w:val="21"/>
              </w:rPr>
              <w:t>1</w:t>
            </w:r>
          </w:p>
        </w:tc>
        <w:tc>
          <w:tcPr>
            <w:tcW w:w="1069" w:type="dxa"/>
            <w:vAlign w:val="center"/>
          </w:tcPr>
          <w:p>
            <w:pPr>
              <w:spacing w:line="240" w:lineRule="auto"/>
              <w:ind w:firstLine="0" w:firstLineChars="0"/>
              <w:jc w:val="center"/>
              <w:rPr>
                <w:color w:val="auto"/>
                <w:sz w:val="21"/>
                <w:szCs w:val="21"/>
              </w:rPr>
            </w:pPr>
            <w:r>
              <w:rPr>
                <w:color w:val="auto"/>
                <w:sz w:val="21"/>
                <w:szCs w:val="21"/>
              </w:rPr>
              <w:t>VOCs</w:t>
            </w:r>
            <w:r>
              <w:rPr>
                <w:rFonts w:hint="eastAsia"/>
                <w:color w:val="auto"/>
                <w:sz w:val="21"/>
                <w:szCs w:val="21"/>
              </w:rPr>
              <w:t>每月检测一次；氨、硫化氢</w:t>
            </w:r>
            <w:r>
              <w:rPr>
                <w:color w:val="auto"/>
                <w:sz w:val="21"/>
                <w:szCs w:val="21"/>
              </w:rPr>
              <w:t>每半年监测一次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3" w:type="dxa"/>
            <w:vMerge w:val="continue"/>
            <w:vAlign w:val="center"/>
          </w:tcPr>
          <w:p>
            <w:pPr>
              <w:spacing w:line="240" w:lineRule="auto"/>
              <w:ind w:firstLine="0" w:firstLineChars="0"/>
              <w:jc w:val="center"/>
              <w:rPr>
                <w:color w:val="auto"/>
                <w:sz w:val="21"/>
                <w:szCs w:val="21"/>
              </w:rPr>
            </w:pPr>
          </w:p>
        </w:tc>
        <w:tc>
          <w:tcPr>
            <w:tcW w:w="2369"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干燥废气</w:t>
            </w:r>
          </w:p>
        </w:tc>
        <w:tc>
          <w:tcPr>
            <w:tcW w:w="1842" w:type="dxa"/>
            <w:vAlign w:val="center"/>
          </w:tcPr>
          <w:p>
            <w:pPr>
              <w:spacing w:line="240" w:lineRule="auto"/>
              <w:ind w:firstLine="0" w:firstLineChars="0"/>
              <w:jc w:val="center"/>
              <w:rPr>
                <w:color w:val="auto"/>
                <w:sz w:val="21"/>
                <w:szCs w:val="21"/>
              </w:rPr>
            </w:pPr>
            <w:r>
              <w:rPr>
                <w:color w:val="auto"/>
                <w:sz w:val="21"/>
                <w:szCs w:val="21"/>
              </w:rPr>
              <w:t>颗粒物</w:t>
            </w:r>
          </w:p>
        </w:tc>
        <w:tc>
          <w:tcPr>
            <w:tcW w:w="1560" w:type="dxa"/>
            <w:vAlign w:val="center"/>
          </w:tcPr>
          <w:p>
            <w:pPr>
              <w:spacing w:line="240" w:lineRule="auto"/>
              <w:ind w:firstLine="0" w:firstLineChars="0"/>
              <w:jc w:val="center"/>
              <w:rPr>
                <w:rFonts w:hint="default"/>
                <w:color w:val="auto"/>
                <w:sz w:val="21"/>
                <w:szCs w:val="21"/>
                <w:lang w:val="en-US"/>
              </w:rPr>
            </w:pPr>
            <w:r>
              <w:rPr>
                <w:rFonts w:hint="eastAsia"/>
                <w:color w:val="auto"/>
                <w:sz w:val="21"/>
                <w:szCs w:val="21"/>
              </w:rPr>
              <w:t>经过干燥机自带</w:t>
            </w:r>
            <w:r>
              <w:rPr>
                <w:rFonts w:hint="eastAsia"/>
                <w:color w:val="auto"/>
                <w:sz w:val="21"/>
                <w:szCs w:val="21"/>
                <w:lang w:val="en-US" w:eastAsia="zh-CN"/>
              </w:rPr>
              <w:t>两级</w:t>
            </w:r>
            <w:r>
              <w:rPr>
                <w:rFonts w:hint="eastAsia"/>
                <w:color w:val="auto"/>
                <w:sz w:val="21"/>
                <w:szCs w:val="21"/>
              </w:rPr>
              <w:t>除尘器</w:t>
            </w:r>
            <w:r>
              <w:rPr>
                <w:rFonts w:hint="eastAsia"/>
                <w:color w:val="auto"/>
                <w:sz w:val="21"/>
                <w:szCs w:val="21"/>
                <w:lang w:eastAsia="zh-CN"/>
              </w:rPr>
              <w:t>（</w:t>
            </w:r>
            <w:r>
              <w:rPr>
                <w:rFonts w:hint="eastAsia"/>
                <w:color w:val="auto"/>
                <w:sz w:val="21"/>
                <w:szCs w:val="21"/>
                <w:lang w:val="en-US" w:eastAsia="zh-CN"/>
              </w:rPr>
              <w:t>旋风除尘器+袋式除尘器</w:t>
            </w:r>
            <w:r>
              <w:rPr>
                <w:rFonts w:hint="eastAsia"/>
                <w:color w:val="auto"/>
                <w:sz w:val="21"/>
                <w:szCs w:val="21"/>
                <w:lang w:eastAsia="zh-CN"/>
              </w:rPr>
              <w:t>）</w:t>
            </w:r>
            <w:r>
              <w:rPr>
                <w:rFonts w:hint="eastAsia"/>
                <w:color w:val="auto"/>
                <w:sz w:val="21"/>
                <w:szCs w:val="21"/>
                <w:lang w:val="en-US" w:eastAsia="zh-CN"/>
              </w:rPr>
              <w:t>处理后无组织排放</w:t>
            </w:r>
          </w:p>
        </w:tc>
        <w:tc>
          <w:tcPr>
            <w:tcW w:w="1701" w:type="dxa"/>
            <w:vAlign w:val="center"/>
          </w:tcPr>
          <w:p>
            <w:pPr>
              <w:spacing w:line="240" w:lineRule="auto"/>
              <w:ind w:firstLine="0" w:firstLineChars="0"/>
              <w:jc w:val="center"/>
              <w:rPr>
                <w:bCs/>
                <w:color w:val="auto"/>
                <w:kern w:val="0"/>
                <w:sz w:val="21"/>
                <w:szCs w:val="21"/>
              </w:rPr>
            </w:pPr>
            <w:r>
              <w:rPr>
                <w:rFonts w:hint="eastAsia"/>
                <w:bCs/>
                <w:color w:val="auto"/>
                <w:kern w:val="0"/>
                <w:sz w:val="21"/>
                <w:szCs w:val="21"/>
              </w:rPr>
              <w:t>颗粒物</w:t>
            </w:r>
            <w:r>
              <w:rPr>
                <w:bCs/>
                <w:color w:val="auto"/>
                <w:kern w:val="0"/>
                <w:sz w:val="21"/>
                <w:szCs w:val="21"/>
              </w:rPr>
              <w:t>＜</w:t>
            </w:r>
            <w:r>
              <w:rPr>
                <w:rFonts w:hint="eastAsia"/>
                <w:bCs/>
                <w:color w:val="auto"/>
                <w:kern w:val="0"/>
                <w:sz w:val="21"/>
                <w:szCs w:val="21"/>
              </w:rPr>
              <w:t>1</w:t>
            </w:r>
            <w:r>
              <w:rPr>
                <w:bCs/>
                <w:color w:val="auto"/>
                <w:kern w:val="0"/>
                <w:sz w:val="21"/>
                <w:szCs w:val="21"/>
              </w:rPr>
              <w:t>.0mg/m</w:t>
            </w:r>
            <w:r>
              <w:rPr>
                <w:bCs/>
                <w:color w:val="auto"/>
                <w:kern w:val="0"/>
                <w:sz w:val="21"/>
                <w:szCs w:val="21"/>
                <w:vertAlign w:val="superscript"/>
              </w:rPr>
              <w:t>3</w:t>
            </w:r>
          </w:p>
        </w:tc>
        <w:tc>
          <w:tcPr>
            <w:tcW w:w="2409" w:type="dxa"/>
            <w:vAlign w:val="center"/>
          </w:tcPr>
          <w:p>
            <w:pPr>
              <w:spacing w:line="240" w:lineRule="auto"/>
              <w:ind w:firstLine="0" w:firstLineChars="0"/>
              <w:jc w:val="center"/>
              <w:rPr>
                <w:color w:val="auto"/>
                <w:sz w:val="21"/>
                <w:szCs w:val="21"/>
              </w:rPr>
            </w:pPr>
            <w:r>
              <w:rPr>
                <w:color w:val="auto"/>
                <w:sz w:val="21"/>
                <w:szCs w:val="21"/>
              </w:rPr>
              <w:t>《大气污染物综合排放标准》（GB16297-1996）</w:t>
            </w:r>
          </w:p>
        </w:tc>
        <w:tc>
          <w:tcPr>
            <w:tcW w:w="1560" w:type="dxa"/>
            <w:vAlign w:val="center"/>
          </w:tcPr>
          <w:p>
            <w:pPr>
              <w:spacing w:line="240" w:lineRule="auto"/>
              <w:ind w:firstLine="0" w:firstLineChars="0"/>
              <w:jc w:val="center"/>
              <w:rPr>
                <w:color w:val="auto"/>
                <w:sz w:val="21"/>
                <w:szCs w:val="21"/>
              </w:rPr>
            </w:pPr>
            <w:r>
              <w:rPr>
                <w:color w:val="auto"/>
                <w:sz w:val="21"/>
                <w:szCs w:val="21"/>
              </w:rPr>
              <w:t>颗粒物0.</w:t>
            </w:r>
            <w:r>
              <w:rPr>
                <w:rFonts w:hint="eastAsia"/>
                <w:color w:val="auto"/>
                <w:sz w:val="21"/>
                <w:szCs w:val="21"/>
                <w:lang w:val="en-US" w:eastAsia="zh-CN"/>
              </w:rPr>
              <w:t>008</w:t>
            </w:r>
            <w:r>
              <w:rPr>
                <w:color w:val="auto"/>
                <w:sz w:val="21"/>
                <w:szCs w:val="21"/>
              </w:rPr>
              <w:t>t/a；</w:t>
            </w:r>
          </w:p>
        </w:tc>
        <w:tc>
          <w:tcPr>
            <w:tcW w:w="1275" w:type="dxa"/>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无组织</w:t>
            </w:r>
          </w:p>
        </w:tc>
        <w:tc>
          <w:tcPr>
            <w:tcW w:w="1069" w:type="dxa"/>
            <w:vAlign w:val="center"/>
          </w:tcPr>
          <w:p>
            <w:pPr>
              <w:spacing w:line="240" w:lineRule="auto"/>
              <w:ind w:firstLine="0" w:firstLineChars="0"/>
              <w:jc w:val="center"/>
              <w:rPr>
                <w:color w:val="auto"/>
                <w:sz w:val="21"/>
                <w:szCs w:val="21"/>
              </w:rPr>
            </w:pPr>
            <w:r>
              <w:rPr>
                <w:color w:val="auto"/>
                <w:sz w:val="21"/>
                <w:szCs w:val="21"/>
              </w:rPr>
              <w:t>每</w:t>
            </w:r>
            <w:r>
              <w:rPr>
                <w:rFonts w:hint="eastAsia"/>
                <w:color w:val="auto"/>
                <w:sz w:val="21"/>
                <w:szCs w:val="21"/>
                <w:lang w:val="en-US" w:eastAsia="zh-CN"/>
              </w:rPr>
              <w:t>半年</w:t>
            </w:r>
            <w:r>
              <w:rPr>
                <w:color w:val="auto"/>
                <w:sz w:val="21"/>
                <w:szCs w:val="21"/>
              </w:rPr>
              <w:t>监测一次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3" w:type="dxa"/>
            <w:vMerge w:val="continue"/>
            <w:vAlign w:val="center"/>
          </w:tcPr>
          <w:p>
            <w:pPr>
              <w:spacing w:line="240" w:lineRule="auto"/>
              <w:ind w:firstLine="0" w:firstLineChars="0"/>
              <w:jc w:val="center"/>
              <w:rPr>
                <w:color w:val="auto"/>
                <w:sz w:val="21"/>
                <w:szCs w:val="21"/>
              </w:rPr>
            </w:pPr>
          </w:p>
        </w:tc>
        <w:tc>
          <w:tcPr>
            <w:tcW w:w="2369"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锅炉房燃料燃烧废气</w:t>
            </w:r>
          </w:p>
        </w:tc>
        <w:tc>
          <w:tcPr>
            <w:tcW w:w="1842" w:type="dxa"/>
            <w:vAlign w:val="center"/>
          </w:tcPr>
          <w:p>
            <w:pPr>
              <w:spacing w:line="240" w:lineRule="auto"/>
              <w:ind w:firstLine="0" w:firstLineChars="0"/>
              <w:jc w:val="center"/>
              <w:rPr>
                <w:color w:val="auto"/>
                <w:sz w:val="21"/>
                <w:szCs w:val="21"/>
              </w:rPr>
            </w:pPr>
            <w:r>
              <w:rPr>
                <w:color w:val="auto"/>
                <w:sz w:val="21"/>
                <w:szCs w:val="21"/>
              </w:rPr>
              <w:t>颗粒物、</w:t>
            </w:r>
            <w:r>
              <w:rPr>
                <w:rFonts w:hint="eastAsia"/>
                <w:color w:val="auto"/>
                <w:sz w:val="21"/>
                <w:szCs w:val="21"/>
              </w:rPr>
              <w:t>二氧化硫、氮氧化物</w:t>
            </w:r>
          </w:p>
        </w:tc>
        <w:tc>
          <w:tcPr>
            <w:tcW w:w="1560" w:type="dxa"/>
            <w:vAlign w:val="center"/>
          </w:tcPr>
          <w:p>
            <w:pPr>
              <w:spacing w:line="240" w:lineRule="auto"/>
              <w:ind w:firstLine="0" w:firstLineChars="0"/>
              <w:jc w:val="center"/>
              <w:rPr>
                <w:color w:val="auto"/>
                <w:sz w:val="21"/>
                <w:szCs w:val="21"/>
              </w:rPr>
            </w:pPr>
            <w:r>
              <w:rPr>
                <w:color w:val="auto"/>
                <w:sz w:val="21"/>
                <w:szCs w:val="21"/>
              </w:rPr>
              <w:t>15m排气筒（DA00</w:t>
            </w:r>
            <w:r>
              <w:rPr>
                <w:rFonts w:hint="eastAsia"/>
                <w:color w:val="auto"/>
                <w:sz w:val="21"/>
                <w:szCs w:val="21"/>
                <w:lang w:val="en-US" w:eastAsia="zh-CN"/>
              </w:rPr>
              <w:t>2</w:t>
            </w:r>
            <w:r>
              <w:rPr>
                <w:color w:val="auto"/>
                <w:sz w:val="21"/>
                <w:szCs w:val="21"/>
              </w:rPr>
              <w:t>）排放</w:t>
            </w:r>
          </w:p>
        </w:tc>
        <w:tc>
          <w:tcPr>
            <w:tcW w:w="1701" w:type="dxa"/>
            <w:vAlign w:val="center"/>
          </w:tcPr>
          <w:p>
            <w:pPr>
              <w:spacing w:line="240" w:lineRule="auto"/>
              <w:ind w:firstLine="0" w:firstLineChars="0"/>
              <w:jc w:val="center"/>
              <w:rPr>
                <w:bCs/>
                <w:color w:val="auto"/>
                <w:kern w:val="0"/>
                <w:sz w:val="21"/>
                <w:szCs w:val="21"/>
              </w:rPr>
            </w:pPr>
            <w:r>
              <w:rPr>
                <w:bCs/>
                <w:color w:val="auto"/>
                <w:kern w:val="0"/>
                <w:sz w:val="21"/>
                <w:szCs w:val="21"/>
              </w:rPr>
              <w:t>颗粒物</w:t>
            </w:r>
            <w:r>
              <w:rPr>
                <w:color w:val="auto"/>
                <w:sz w:val="21"/>
                <w:szCs w:val="21"/>
              </w:rPr>
              <w:t>＜10</w:t>
            </w:r>
            <w:r>
              <w:rPr>
                <w:bCs/>
                <w:color w:val="auto"/>
                <w:kern w:val="0"/>
                <w:sz w:val="21"/>
                <w:szCs w:val="21"/>
              </w:rPr>
              <w:t>mg/m</w:t>
            </w:r>
            <w:r>
              <w:rPr>
                <w:bCs/>
                <w:color w:val="auto"/>
                <w:kern w:val="0"/>
                <w:sz w:val="21"/>
                <w:szCs w:val="21"/>
                <w:vertAlign w:val="superscript"/>
              </w:rPr>
              <w:t>3</w:t>
            </w:r>
            <w:r>
              <w:rPr>
                <w:bCs/>
                <w:color w:val="auto"/>
                <w:kern w:val="0"/>
                <w:sz w:val="21"/>
                <w:szCs w:val="21"/>
              </w:rPr>
              <w:t>；</w:t>
            </w:r>
            <w:r>
              <w:rPr>
                <w:rFonts w:hint="eastAsia"/>
                <w:bCs/>
                <w:color w:val="auto"/>
                <w:kern w:val="0"/>
                <w:sz w:val="21"/>
                <w:szCs w:val="21"/>
              </w:rPr>
              <w:t>二氧化硫</w:t>
            </w:r>
            <w:r>
              <w:rPr>
                <w:bCs/>
                <w:color w:val="auto"/>
                <w:kern w:val="0"/>
                <w:sz w:val="21"/>
                <w:szCs w:val="21"/>
              </w:rPr>
              <w:t>＜</w:t>
            </w:r>
            <w:r>
              <w:rPr>
                <w:rFonts w:hint="eastAsia"/>
                <w:bCs/>
                <w:color w:val="auto"/>
                <w:kern w:val="0"/>
                <w:sz w:val="21"/>
                <w:szCs w:val="21"/>
              </w:rPr>
              <w:t>50</w:t>
            </w:r>
            <w:r>
              <w:rPr>
                <w:bCs/>
                <w:color w:val="auto"/>
                <w:kern w:val="0"/>
                <w:sz w:val="21"/>
                <w:szCs w:val="21"/>
              </w:rPr>
              <w:t>mg/m</w:t>
            </w:r>
            <w:r>
              <w:rPr>
                <w:bCs/>
                <w:color w:val="auto"/>
                <w:kern w:val="0"/>
                <w:sz w:val="21"/>
                <w:szCs w:val="21"/>
                <w:vertAlign w:val="superscript"/>
              </w:rPr>
              <w:t>3</w:t>
            </w:r>
            <w:r>
              <w:rPr>
                <w:bCs/>
                <w:color w:val="auto"/>
                <w:kern w:val="0"/>
                <w:sz w:val="21"/>
                <w:szCs w:val="21"/>
              </w:rPr>
              <w:t>；</w:t>
            </w:r>
            <w:r>
              <w:rPr>
                <w:rFonts w:hint="eastAsia"/>
                <w:bCs/>
                <w:color w:val="auto"/>
                <w:kern w:val="0"/>
                <w:sz w:val="21"/>
                <w:szCs w:val="21"/>
              </w:rPr>
              <w:t>氮氧化物＜100</w:t>
            </w:r>
            <w:r>
              <w:rPr>
                <w:bCs/>
                <w:color w:val="auto"/>
                <w:kern w:val="0"/>
                <w:sz w:val="21"/>
                <w:szCs w:val="21"/>
              </w:rPr>
              <w:t>mg/m</w:t>
            </w:r>
            <w:r>
              <w:rPr>
                <w:bCs/>
                <w:color w:val="auto"/>
                <w:kern w:val="0"/>
                <w:sz w:val="21"/>
                <w:szCs w:val="21"/>
                <w:vertAlign w:val="superscript"/>
              </w:rPr>
              <w:t>3</w:t>
            </w:r>
          </w:p>
        </w:tc>
        <w:tc>
          <w:tcPr>
            <w:tcW w:w="2409" w:type="dxa"/>
            <w:vAlign w:val="center"/>
          </w:tcPr>
          <w:p>
            <w:pPr>
              <w:spacing w:line="240" w:lineRule="auto"/>
              <w:ind w:firstLine="0" w:firstLineChars="0"/>
              <w:jc w:val="center"/>
              <w:rPr>
                <w:color w:val="auto"/>
                <w:sz w:val="21"/>
                <w:szCs w:val="21"/>
              </w:rPr>
            </w:pPr>
            <w:r>
              <w:rPr>
                <w:color w:val="auto"/>
                <w:sz w:val="21"/>
                <w:szCs w:val="21"/>
              </w:rPr>
              <w:t>《锅炉大气污染物排放标准》（DB37/2374—2018）</w:t>
            </w:r>
          </w:p>
        </w:tc>
        <w:tc>
          <w:tcPr>
            <w:tcW w:w="1560" w:type="dxa"/>
            <w:vAlign w:val="center"/>
          </w:tcPr>
          <w:p>
            <w:pPr>
              <w:spacing w:line="240" w:lineRule="auto"/>
              <w:ind w:firstLine="0" w:firstLineChars="0"/>
              <w:jc w:val="center"/>
              <w:rPr>
                <w:color w:val="auto"/>
                <w:sz w:val="21"/>
                <w:szCs w:val="21"/>
              </w:rPr>
            </w:pPr>
            <w:r>
              <w:rPr>
                <w:color w:val="auto"/>
                <w:sz w:val="21"/>
                <w:szCs w:val="21"/>
              </w:rPr>
              <w:t>颗粒物0.0</w:t>
            </w:r>
            <w:r>
              <w:rPr>
                <w:rFonts w:hint="eastAsia"/>
                <w:color w:val="auto"/>
                <w:sz w:val="21"/>
                <w:szCs w:val="21"/>
              </w:rPr>
              <w:t>33</w:t>
            </w:r>
            <w:r>
              <w:rPr>
                <w:color w:val="auto"/>
                <w:sz w:val="21"/>
                <w:szCs w:val="21"/>
              </w:rPr>
              <w:t>t/a；</w:t>
            </w:r>
            <w:r>
              <w:rPr>
                <w:rFonts w:hint="eastAsia"/>
                <w:color w:val="auto"/>
                <w:sz w:val="21"/>
                <w:szCs w:val="21"/>
              </w:rPr>
              <w:t>二氧化硫0.064</w:t>
            </w:r>
            <w:r>
              <w:rPr>
                <w:color w:val="auto"/>
                <w:sz w:val="21"/>
                <w:szCs w:val="21"/>
              </w:rPr>
              <w:t>；</w:t>
            </w:r>
            <w:r>
              <w:rPr>
                <w:rFonts w:hint="eastAsia"/>
                <w:color w:val="auto"/>
                <w:sz w:val="21"/>
                <w:szCs w:val="21"/>
              </w:rPr>
              <w:t>氮氧化物0.3</w:t>
            </w:r>
          </w:p>
        </w:tc>
        <w:tc>
          <w:tcPr>
            <w:tcW w:w="1275" w:type="dxa"/>
            <w:vAlign w:val="center"/>
          </w:tcPr>
          <w:p>
            <w:pPr>
              <w:spacing w:line="240" w:lineRule="auto"/>
              <w:ind w:firstLine="0" w:firstLineChars="0"/>
              <w:jc w:val="center"/>
              <w:rPr>
                <w:rFonts w:hint="eastAsia" w:eastAsia="宋体"/>
                <w:color w:val="auto"/>
                <w:sz w:val="21"/>
                <w:szCs w:val="21"/>
                <w:lang w:eastAsia="zh-CN"/>
              </w:rPr>
            </w:pPr>
            <w:r>
              <w:rPr>
                <w:color w:val="auto"/>
                <w:sz w:val="21"/>
                <w:szCs w:val="21"/>
              </w:rPr>
              <w:t>15m排气筒DA00</w:t>
            </w:r>
            <w:r>
              <w:rPr>
                <w:rFonts w:hint="eastAsia"/>
                <w:color w:val="auto"/>
                <w:sz w:val="21"/>
                <w:szCs w:val="21"/>
                <w:lang w:val="en-US" w:eastAsia="zh-CN"/>
              </w:rPr>
              <w:t>2</w:t>
            </w:r>
          </w:p>
        </w:tc>
        <w:tc>
          <w:tcPr>
            <w:tcW w:w="1069" w:type="dxa"/>
            <w:vAlign w:val="center"/>
          </w:tcPr>
          <w:p>
            <w:pPr>
              <w:spacing w:line="240" w:lineRule="auto"/>
              <w:ind w:firstLine="0" w:firstLineChars="0"/>
              <w:jc w:val="center"/>
              <w:rPr>
                <w:color w:val="auto"/>
                <w:sz w:val="21"/>
                <w:szCs w:val="21"/>
              </w:rPr>
            </w:pPr>
            <w:r>
              <w:rPr>
                <w:rFonts w:hint="eastAsia"/>
                <w:color w:val="auto"/>
                <w:sz w:val="21"/>
                <w:szCs w:val="21"/>
              </w:rPr>
              <w:t>氮氧化物每月一次，</w:t>
            </w:r>
            <w:r>
              <w:rPr>
                <w:color w:val="auto"/>
                <w:sz w:val="21"/>
                <w:szCs w:val="21"/>
              </w:rPr>
              <w:t>颗粒物、二氧化硫</w:t>
            </w:r>
            <w:r>
              <w:rPr>
                <w:rFonts w:hint="eastAsia"/>
                <w:color w:val="auto"/>
                <w:sz w:val="21"/>
                <w:szCs w:val="21"/>
              </w:rPr>
              <w:t>、林格曼黑度每年一次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3" w:type="dxa"/>
            <w:vMerge w:val="continue"/>
            <w:vAlign w:val="center"/>
          </w:tcPr>
          <w:p>
            <w:pPr>
              <w:spacing w:line="240" w:lineRule="auto"/>
              <w:ind w:firstLine="0" w:firstLineChars="0"/>
              <w:jc w:val="center"/>
              <w:rPr>
                <w:color w:val="auto"/>
                <w:sz w:val="21"/>
                <w:szCs w:val="21"/>
              </w:rPr>
            </w:pPr>
          </w:p>
        </w:tc>
        <w:tc>
          <w:tcPr>
            <w:tcW w:w="2369"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装置区</w:t>
            </w:r>
          </w:p>
        </w:tc>
        <w:tc>
          <w:tcPr>
            <w:tcW w:w="1842" w:type="dxa"/>
            <w:vAlign w:val="center"/>
          </w:tcPr>
          <w:p>
            <w:pPr>
              <w:spacing w:line="240" w:lineRule="auto"/>
              <w:ind w:firstLine="0" w:firstLineChars="0"/>
              <w:jc w:val="center"/>
              <w:rPr>
                <w:color w:val="auto"/>
                <w:sz w:val="21"/>
                <w:szCs w:val="21"/>
              </w:rPr>
            </w:pPr>
            <w:r>
              <w:rPr>
                <w:color w:val="auto"/>
                <w:sz w:val="21"/>
                <w:szCs w:val="21"/>
              </w:rPr>
              <w:t>VOCs</w:t>
            </w:r>
          </w:p>
        </w:tc>
        <w:tc>
          <w:tcPr>
            <w:tcW w:w="1560" w:type="dxa"/>
            <w:vAlign w:val="center"/>
          </w:tcPr>
          <w:p>
            <w:pPr>
              <w:spacing w:line="240" w:lineRule="auto"/>
              <w:ind w:firstLine="0" w:firstLineChars="0"/>
              <w:jc w:val="center"/>
              <w:rPr>
                <w:color w:val="auto"/>
                <w:sz w:val="21"/>
                <w:szCs w:val="21"/>
              </w:rPr>
            </w:pPr>
            <w:r>
              <w:rPr>
                <w:rFonts w:hint="eastAsia"/>
                <w:color w:val="auto"/>
                <w:sz w:val="21"/>
                <w:szCs w:val="21"/>
              </w:rPr>
              <w:t>车间密闭</w:t>
            </w:r>
          </w:p>
        </w:tc>
        <w:tc>
          <w:tcPr>
            <w:tcW w:w="1701" w:type="dxa"/>
            <w:vAlign w:val="center"/>
          </w:tcPr>
          <w:p>
            <w:pPr>
              <w:spacing w:line="240" w:lineRule="auto"/>
              <w:ind w:firstLine="0" w:firstLineChars="0"/>
              <w:jc w:val="center"/>
              <w:rPr>
                <w:bCs/>
                <w:color w:val="auto"/>
                <w:kern w:val="0"/>
                <w:sz w:val="21"/>
                <w:szCs w:val="21"/>
              </w:rPr>
            </w:pPr>
            <w:r>
              <w:rPr>
                <w:bCs/>
                <w:color w:val="auto"/>
                <w:kern w:val="0"/>
                <w:sz w:val="21"/>
                <w:szCs w:val="21"/>
              </w:rPr>
              <w:t>VOCs＜2.0mg/m</w:t>
            </w:r>
            <w:r>
              <w:rPr>
                <w:bCs/>
                <w:color w:val="auto"/>
                <w:kern w:val="0"/>
                <w:sz w:val="21"/>
                <w:szCs w:val="21"/>
                <w:vertAlign w:val="superscript"/>
              </w:rPr>
              <w:t>3</w:t>
            </w:r>
            <w:r>
              <w:rPr>
                <w:bCs/>
                <w:color w:val="auto"/>
                <w:kern w:val="0"/>
                <w:sz w:val="21"/>
                <w:szCs w:val="21"/>
              </w:rPr>
              <w:t>；</w:t>
            </w:r>
          </w:p>
        </w:tc>
        <w:tc>
          <w:tcPr>
            <w:tcW w:w="2409" w:type="dxa"/>
            <w:vAlign w:val="center"/>
          </w:tcPr>
          <w:p>
            <w:pPr>
              <w:spacing w:line="240" w:lineRule="auto"/>
              <w:ind w:firstLine="0" w:firstLineChars="0"/>
              <w:jc w:val="center"/>
              <w:rPr>
                <w:color w:val="auto"/>
                <w:sz w:val="21"/>
                <w:szCs w:val="21"/>
              </w:rPr>
            </w:pPr>
            <w:r>
              <w:rPr>
                <w:color w:val="auto"/>
                <w:sz w:val="21"/>
                <w:szCs w:val="21"/>
              </w:rPr>
              <w:t>VOCs执行《挥发性有机物排放标准 第6 部分：有机化工行业》（DB 37/ 2801.6-2018）表3 厂界监控点浓度限值。</w:t>
            </w:r>
          </w:p>
        </w:tc>
        <w:tc>
          <w:tcPr>
            <w:tcW w:w="1560" w:type="dxa"/>
            <w:vAlign w:val="center"/>
          </w:tcPr>
          <w:p>
            <w:pPr>
              <w:spacing w:line="240" w:lineRule="auto"/>
              <w:ind w:firstLine="0" w:firstLineChars="0"/>
              <w:jc w:val="center"/>
              <w:rPr>
                <w:color w:val="auto"/>
                <w:sz w:val="21"/>
                <w:szCs w:val="21"/>
              </w:rPr>
            </w:pPr>
            <w:r>
              <w:rPr>
                <w:color w:val="auto"/>
                <w:sz w:val="21"/>
                <w:szCs w:val="21"/>
              </w:rPr>
              <w:t>VOCs0.</w:t>
            </w:r>
            <w:r>
              <w:rPr>
                <w:rFonts w:hint="eastAsia"/>
                <w:color w:val="auto"/>
                <w:sz w:val="21"/>
                <w:szCs w:val="21"/>
              </w:rPr>
              <w:t>14</w:t>
            </w:r>
            <w:r>
              <w:rPr>
                <w:color w:val="auto"/>
                <w:sz w:val="21"/>
                <w:szCs w:val="21"/>
              </w:rPr>
              <w:t>t/a</w:t>
            </w:r>
          </w:p>
        </w:tc>
        <w:tc>
          <w:tcPr>
            <w:tcW w:w="1275" w:type="dxa"/>
            <w:vAlign w:val="center"/>
          </w:tcPr>
          <w:p>
            <w:pPr>
              <w:spacing w:line="240" w:lineRule="auto"/>
              <w:ind w:firstLine="0" w:firstLineChars="0"/>
              <w:jc w:val="center"/>
              <w:rPr>
                <w:color w:val="auto"/>
                <w:sz w:val="21"/>
                <w:szCs w:val="21"/>
              </w:rPr>
            </w:pPr>
            <w:r>
              <w:rPr>
                <w:rFonts w:hint="eastAsia"/>
                <w:color w:val="auto"/>
                <w:sz w:val="21"/>
                <w:szCs w:val="21"/>
              </w:rPr>
              <w:t>装置区</w:t>
            </w:r>
            <w:r>
              <w:rPr>
                <w:color w:val="auto"/>
                <w:sz w:val="21"/>
                <w:szCs w:val="21"/>
              </w:rPr>
              <w:t>无组织</w:t>
            </w:r>
          </w:p>
        </w:tc>
        <w:tc>
          <w:tcPr>
            <w:tcW w:w="1069" w:type="dxa"/>
            <w:vAlign w:val="center"/>
          </w:tcPr>
          <w:p>
            <w:pPr>
              <w:spacing w:line="240" w:lineRule="auto"/>
              <w:ind w:firstLine="0" w:firstLineChars="0"/>
              <w:jc w:val="center"/>
              <w:rPr>
                <w:color w:val="auto"/>
                <w:sz w:val="21"/>
                <w:szCs w:val="21"/>
              </w:rPr>
            </w:pPr>
            <w:r>
              <w:rPr>
                <w:rFonts w:hint="eastAsia"/>
                <w:color w:val="auto"/>
                <w:sz w:val="21"/>
                <w:szCs w:val="21"/>
              </w:rPr>
              <w:t>每半年监测一次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3" w:type="dxa"/>
            <w:vMerge w:val="continue"/>
            <w:vAlign w:val="center"/>
          </w:tcPr>
          <w:p>
            <w:pPr>
              <w:spacing w:line="240" w:lineRule="auto"/>
              <w:ind w:firstLine="0" w:firstLineChars="0"/>
              <w:jc w:val="center"/>
              <w:rPr>
                <w:color w:val="auto"/>
                <w:sz w:val="21"/>
                <w:szCs w:val="21"/>
              </w:rPr>
            </w:pPr>
          </w:p>
        </w:tc>
        <w:tc>
          <w:tcPr>
            <w:tcW w:w="2369"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催化剂配置废气、投料废气</w:t>
            </w:r>
          </w:p>
        </w:tc>
        <w:tc>
          <w:tcPr>
            <w:tcW w:w="1842" w:type="dxa"/>
            <w:vAlign w:val="center"/>
          </w:tcPr>
          <w:p>
            <w:pPr>
              <w:spacing w:line="240" w:lineRule="auto"/>
              <w:ind w:firstLine="0" w:firstLineChars="0"/>
              <w:jc w:val="center"/>
              <w:rPr>
                <w:color w:val="auto"/>
                <w:sz w:val="21"/>
                <w:szCs w:val="21"/>
              </w:rPr>
            </w:pPr>
            <w:r>
              <w:rPr>
                <w:rFonts w:hint="eastAsia"/>
                <w:color w:val="auto"/>
                <w:sz w:val="21"/>
                <w:szCs w:val="21"/>
              </w:rPr>
              <w:t>颗粒物</w:t>
            </w:r>
          </w:p>
        </w:tc>
        <w:tc>
          <w:tcPr>
            <w:tcW w:w="1560" w:type="dxa"/>
            <w:vAlign w:val="center"/>
          </w:tcPr>
          <w:p>
            <w:pPr>
              <w:spacing w:line="240" w:lineRule="auto"/>
              <w:ind w:firstLine="0" w:firstLineChars="0"/>
              <w:jc w:val="center"/>
              <w:rPr>
                <w:color w:val="auto"/>
                <w:sz w:val="21"/>
                <w:szCs w:val="21"/>
              </w:rPr>
            </w:pPr>
            <w:r>
              <w:rPr>
                <w:rFonts w:hint="eastAsia"/>
                <w:color w:val="auto"/>
                <w:sz w:val="21"/>
                <w:szCs w:val="21"/>
                <w:lang w:val="en-US" w:eastAsia="zh-CN"/>
              </w:rPr>
              <w:t>装置</w:t>
            </w:r>
            <w:r>
              <w:rPr>
                <w:rFonts w:hint="eastAsia"/>
                <w:color w:val="auto"/>
                <w:sz w:val="21"/>
                <w:szCs w:val="21"/>
              </w:rPr>
              <w:t>密闭</w:t>
            </w:r>
          </w:p>
        </w:tc>
        <w:tc>
          <w:tcPr>
            <w:tcW w:w="1701" w:type="dxa"/>
            <w:vAlign w:val="center"/>
          </w:tcPr>
          <w:p>
            <w:pPr>
              <w:spacing w:line="240" w:lineRule="auto"/>
              <w:ind w:firstLine="0" w:firstLineChars="0"/>
              <w:jc w:val="center"/>
              <w:rPr>
                <w:bCs/>
                <w:color w:val="auto"/>
                <w:kern w:val="0"/>
                <w:sz w:val="21"/>
                <w:szCs w:val="21"/>
              </w:rPr>
            </w:pPr>
            <w:r>
              <w:rPr>
                <w:rFonts w:hint="eastAsia"/>
                <w:bCs/>
                <w:color w:val="auto"/>
                <w:kern w:val="0"/>
                <w:sz w:val="21"/>
                <w:szCs w:val="21"/>
              </w:rPr>
              <w:t>颗粒物</w:t>
            </w:r>
            <w:r>
              <w:rPr>
                <w:bCs/>
                <w:color w:val="auto"/>
                <w:kern w:val="0"/>
                <w:sz w:val="21"/>
                <w:szCs w:val="21"/>
              </w:rPr>
              <w:t>＜</w:t>
            </w:r>
            <w:r>
              <w:rPr>
                <w:rFonts w:hint="eastAsia"/>
                <w:bCs/>
                <w:color w:val="auto"/>
                <w:kern w:val="0"/>
                <w:sz w:val="21"/>
                <w:szCs w:val="21"/>
              </w:rPr>
              <w:t>1</w:t>
            </w:r>
            <w:r>
              <w:rPr>
                <w:bCs/>
                <w:color w:val="auto"/>
                <w:kern w:val="0"/>
                <w:sz w:val="21"/>
                <w:szCs w:val="21"/>
              </w:rPr>
              <w:t>.0mg/m</w:t>
            </w:r>
            <w:r>
              <w:rPr>
                <w:bCs/>
                <w:color w:val="auto"/>
                <w:kern w:val="0"/>
                <w:sz w:val="21"/>
                <w:szCs w:val="21"/>
                <w:vertAlign w:val="superscript"/>
              </w:rPr>
              <w:t>3</w:t>
            </w:r>
            <w:r>
              <w:rPr>
                <w:bCs/>
                <w:color w:val="auto"/>
                <w:kern w:val="0"/>
                <w:sz w:val="21"/>
                <w:szCs w:val="21"/>
              </w:rPr>
              <w:t>；</w:t>
            </w:r>
          </w:p>
        </w:tc>
        <w:tc>
          <w:tcPr>
            <w:tcW w:w="2409" w:type="dxa"/>
            <w:vAlign w:val="center"/>
          </w:tcPr>
          <w:p>
            <w:pPr>
              <w:spacing w:line="240" w:lineRule="auto"/>
              <w:ind w:firstLine="0" w:firstLineChars="0"/>
              <w:jc w:val="center"/>
              <w:rPr>
                <w:color w:val="auto"/>
                <w:sz w:val="21"/>
                <w:szCs w:val="21"/>
              </w:rPr>
            </w:pPr>
            <w:r>
              <w:rPr>
                <w:color w:val="auto"/>
                <w:sz w:val="21"/>
                <w:szCs w:val="21"/>
              </w:rPr>
              <w:t>《大气污染物综合排放标准》（GB16297-1996）</w:t>
            </w:r>
          </w:p>
        </w:tc>
        <w:tc>
          <w:tcPr>
            <w:tcW w:w="1560" w:type="dxa"/>
            <w:vAlign w:val="center"/>
          </w:tcPr>
          <w:p>
            <w:pPr>
              <w:spacing w:line="240" w:lineRule="auto"/>
              <w:ind w:firstLine="0" w:firstLineChars="0"/>
              <w:jc w:val="center"/>
              <w:rPr>
                <w:color w:val="auto"/>
                <w:sz w:val="21"/>
                <w:szCs w:val="21"/>
              </w:rPr>
            </w:pPr>
            <w:r>
              <w:rPr>
                <w:rFonts w:hint="eastAsia"/>
                <w:color w:val="auto"/>
                <w:sz w:val="21"/>
                <w:szCs w:val="21"/>
              </w:rPr>
              <w:t>颗粒物0.003</w:t>
            </w:r>
            <w:r>
              <w:rPr>
                <w:color w:val="auto"/>
                <w:sz w:val="21"/>
                <w:szCs w:val="21"/>
              </w:rPr>
              <w:t>t/a</w:t>
            </w:r>
          </w:p>
        </w:tc>
        <w:tc>
          <w:tcPr>
            <w:tcW w:w="1275" w:type="dxa"/>
            <w:vAlign w:val="center"/>
          </w:tcPr>
          <w:p>
            <w:pPr>
              <w:spacing w:line="240" w:lineRule="auto"/>
              <w:ind w:firstLine="0" w:firstLineChars="0"/>
              <w:jc w:val="center"/>
              <w:rPr>
                <w:color w:val="auto"/>
                <w:sz w:val="21"/>
                <w:szCs w:val="21"/>
              </w:rPr>
            </w:pPr>
            <w:r>
              <w:rPr>
                <w:rFonts w:hint="eastAsia"/>
                <w:color w:val="auto"/>
                <w:sz w:val="21"/>
                <w:szCs w:val="21"/>
              </w:rPr>
              <w:t>生产车间</w:t>
            </w:r>
            <w:r>
              <w:rPr>
                <w:color w:val="auto"/>
                <w:sz w:val="21"/>
                <w:szCs w:val="21"/>
              </w:rPr>
              <w:t>无组织</w:t>
            </w:r>
          </w:p>
        </w:tc>
        <w:tc>
          <w:tcPr>
            <w:tcW w:w="1069" w:type="dxa"/>
            <w:vAlign w:val="center"/>
          </w:tcPr>
          <w:p>
            <w:pPr>
              <w:spacing w:line="240" w:lineRule="auto"/>
              <w:ind w:firstLine="0" w:firstLineChars="0"/>
              <w:jc w:val="center"/>
              <w:rPr>
                <w:color w:val="auto"/>
                <w:sz w:val="21"/>
                <w:szCs w:val="21"/>
              </w:rPr>
            </w:pPr>
            <w:r>
              <w:rPr>
                <w:rFonts w:hint="eastAsia"/>
                <w:color w:val="auto"/>
                <w:sz w:val="21"/>
                <w:szCs w:val="21"/>
              </w:rPr>
              <w:t>每半年监测一次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3" w:type="dxa"/>
            <w:vMerge w:val="continue"/>
            <w:vAlign w:val="center"/>
          </w:tcPr>
          <w:p>
            <w:pPr>
              <w:spacing w:line="240" w:lineRule="auto"/>
              <w:ind w:firstLine="0" w:firstLineChars="0"/>
              <w:jc w:val="center"/>
              <w:rPr>
                <w:color w:val="auto"/>
                <w:sz w:val="21"/>
                <w:szCs w:val="21"/>
              </w:rPr>
            </w:pPr>
          </w:p>
        </w:tc>
        <w:tc>
          <w:tcPr>
            <w:tcW w:w="2369"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污水处理站未收集废气</w:t>
            </w:r>
          </w:p>
        </w:tc>
        <w:tc>
          <w:tcPr>
            <w:tcW w:w="1842" w:type="dxa"/>
            <w:vAlign w:val="center"/>
          </w:tcPr>
          <w:p>
            <w:pPr>
              <w:spacing w:line="240" w:lineRule="auto"/>
              <w:ind w:firstLine="0" w:firstLineChars="0"/>
              <w:jc w:val="center"/>
              <w:rPr>
                <w:color w:val="auto"/>
                <w:sz w:val="21"/>
                <w:szCs w:val="21"/>
              </w:rPr>
            </w:pPr>
            <w:r>
              <w:rPr>
                <w:rFonts w:hint="eastAsia"/>
                <w:color w:val="auto"/>
                <w:sz w:val="21"/>
                <w:szCs w:val="21"/>
              </w:rPr>
              <w:t>氨、硫化氢</w:t>
            </w:r>
          </w:p>
        </w:tc>
        <w:tc>
          <w:tcPr>
            <w:tcW w:w="1560" w:type="dxa"/>
            <w:vAlign w:val="center"/>
          </w:tcPr>
          <w:p>
            <w:pPr>
              <w:spacing w:line="240" w:lineRule="auto"/>
              <w:ind w:firstLine="0" w:firstLineChars="0"/>
              <w:jc w:val="center"/>
              <w:rPr>
                <w:color w:val="auto"/>
                <w:sz w:val="21"/>
                <w:szCs w:val="21"/>
              </w:rPr>
            </w:pPr>
            <w:r>
              <w:rPr>
                <w:color w:val="auto"/>
                <w:sz w:val="21"/>
                <w:szCs w:val="21"/>
              </w:rPr>
              <w:t>/</w:t>
            </w:r>
          </w:p>
        </w:tc>
        <w:tc>
          <w:tcPr>
            <w:tcW w:w="1701" w:type="dxa"/>
            <w:vAlign w:val="center"/>
          </w:tcPr>
          <w:p>
            <w:pPr>
              <w:spacing w:line="240" w:lineRule="auto"/>
              <w:ind w:firstLine="0" w:firstLineChars="0"/>
              <w:jc w:val="center"/>
              <w:rPr>
                <w:bCs/>
                <w:color w:val="auto"/>
                <w:kern w:val="0"/>
                <w:sz w:val="21"/>
                <w:szCs w:val="21"/>
              </w:rPr>
            </w:pPr>
            <w:r>
              <w:rPr>
                <w:rFonts w:hint="eastAsia"/>
                <w:bCs/>
                <w:color w:val="auto"/>
                <w:kern w:val="0"/>
                <w:sz w:val="21"/>
                <w:szCs w:val="21"/>
              </w:rPr>
              <w:t>氨</w:t>
            </w:r>
            <w:r>
              <w:rPr>
                <w:bCs/>
                <w:color w:val="auto"/>
                <w:kern w:val="0"/>
                <w:sz w:val="21"/>
                <w:szCs w:val="21"/>
              </w:rPr>
              <w:t>＜</w:t>
            </w:r>
            <w:r>
              <w:rPr>
                <w:rFonts w:hint="eastAsia"/>
                <w:bCs/>
                <w:color w:val="auto"/>
                <w:kern w:val="0"/>
                <w:sz w:val="21"/>
                <w:szCs w:val="21"/>
              </w:rPr>
              <w:t>1.0</w:t>
            </w:r>
            <w:r>
              <w:rPr>
                <w:bCs/>
                <w:color w:val="auto"/>
                <w:kern w:val="0"/>
                <w:sz w:val="21"/>
                <w:szCs w:val="21"/>
              </w:rPr>
              <w:t>mg/m</w:t>
            </w:r>
            <w:r>
              <w:rPr>
                <w:bCs/>
                <w:color w:val="auto"/>
                <w:kern w:val="0"/>
                <w:sz w:val="21"/>
                <w:szCs w:val="21"/>
                <w:vertAlign w:val="superscript"/>
              </w:rPr>
              <w:t>3</w:t>
            </w:r>
            <w:r>
              <w:rPr>
                <w:rFonts w:hint="eastAsia"/>
                <w:bCs/>
                <w:color w:val="auto"/>
                <w:kern w:val="0"/>
                <w:sz w:val="21"/>
                <w:szCs w:val="21"/>
              </w:rPr>
              <w:t>；硫化氢</w:t>
            </w:r>
            <w:r>
              <w:rPr>
                <w:bCs/>
                <w:color w:val="auto"/>
                <w:kern w:val="0"/>
                <w:sz w:val="21"/>
                <w:szCs w:val="21"/>
              </w:rPr>
              <w:t>＜</w:t>
            </w:r>
            <w:r>
              <w:rPr>
                <w:rFonts w:hint="eastAsia"/>
                <w:bCs/>
                <w:color w:val="auto"/>
                <w:kern w:val="0"/>
                <w:sz w:val="21"/>
                <w:szCs w:val="21"/>
              </w:rPr>
              <w:t>0.03</w:t>
            </w:r>
            <w:r>
              <w:rPr>
                <w:bCs/>
                <w:color w:val="auto"/>
                <w:kern w:val="0"/>
                <w:sz w:val="21"/>
                <w:szCs w:val="21"/>
              </w:rPr>
              <w:t>mg/m</w:t>
            </w:r>
            <w:r>
              <w:rPr>
                <w:bCs/>
                <w:color w:val="auto"/>
                <w:kern w:val="0"/>
                <w:sz w:val="21"/>
                <w:szCs w:val="21"/>
                <w:vertAlign w:val="superscript"/>
              </w:rPr>
              <w:t>3</w:t>
            </w:r>
          </w:p>
        </w:tc>
        <w:tc>
          <w:tcPr>
            <w:tcW w:w="2409" w:type="dxa"/>
            <w:vAlign w:val="center"/>
          </w:tcPr>
          <w:p>
            <w:pPr>
              <w:spacing w:line="240" w:lineRule="auto"/>
              <w:ind w:firstLine="0" w:firstLineChars="0"/>
              <w:jc w:val="center"/>
              <w:rPr>
                <w:color w:val="auto"/>
                <w:sz w:val="21"/>
                <w:szCs w:val="21"/>
              </w:rPr>
            </w:pPr>
            <w:r>
              <w:rPr>
                <w:rFonts w:hint="eastAsia"/>
                <w:color w:val="auto"/>
                <w:sz w:val="21"/>
                <w:szCs w:val="21"/>
              </w:rPr>
              <w:t>氨、硫化氢执行《有机化工企业污水处理厂（站）挥发性有机物及恶臭污染物排放标准》（DB37/3161-2018）</w:t>
            </w:r>
          </w:p>
        </w:tc>
        <w:tc>
          <w:tcPr>
            <w:tcW w:w="1560" w:type="dxa"/>
            <w:vAlign w:val="center"/>
          </w:tcPr>
          <w:p>
            <w:pPr>
              <w:spacing w:line="240" w:lineRule="auto"/>
              <w:ind w:firstLine="0" w:firstLineChars="0"/>
              <w:jc w:val="center"/>
              <w:rPr>
                <w:color w:val="auto"/>
                <w:sz w:val="21"/>
                <w:szCs w:val="21"/>
              </w:rPr>
            </w:pPr>
            <w:r>
              <w:rPr>
                <w:rFonts w:hint="eastAsia"/>
                <w:color w:val="auto"/>
                <w:sz w:val="21"/>
                <w:szCs w:val="21"/>
              </w:rPr>
              <w:t>氨0.021</w:t>
            </w:r>
            <w:r>
              <w:rPr>
                <w:color w:val="auto"/>
                <w:sz w:val="21"/>
                <w:szCs w:val="21"/>
              </w:rPr>
              <w:t>t/a</w:t>
            </w:r>
            <w:r>
              <w:rPr>
                <w:rFonts w:hint="eastAsia"/>
                <w:color w:val="auto"/>
                <w:sz w:val="21"/>
                <w:szCs w:val="21"/>
              </w:rPr>
              <w:t>；硫化氢0.0005</w:t>
            </w:r>
            <w:r>
              <w:rPr>
                <w:color w:val="auto"/>
                <w:sz w:val="21"/>
                <w:szCs w:val="21"/>
              </w:rPr>
              <w:t>t/a</w:t>
            </w:r>
          </w:p>
        </w:tc>
        <w:tc>
          <w:tcPr>
            <w:tcW w:w="1275" w:type="dxa"/>
            <w:vAlign w:val="center"/>
          </w:tcPr>
          <w:p>
            <w:pPr>
              <w:spacing w:line="240" w:lineRule="auto"/>
              <w:ind w:firstLine="0" w:firstLineChars="0"/>
              <w:jc w:val="center"/>
              <w:rPr>
                <w:color w:val="auto"/>
                <w:sz w:val="21"/>
                <w:szCs w:val="21"/>
              </w:rPr>
            </w:pPr>
            <w:r>
              <w:rPr>
                <w:rFonts w:hint="eastAsia"/>
                <w:color w:val="auto"/>
                <w:sz w:val="21"/>
                <w:szCs w:val="21"/>
              </w:rPr>
              <w:t>污水处理站</w:t>
            </w:r>
            <w:r>
              <w:rPr>
                <w:color w:val="auto"/>
                <w:sz w:val="21"/>
                <w:szCs w:val="21"/>
              </w:rPr>
              <w:t>无组织</w:t>
            </w:r>
          </w:p>
        </w:tc>
        <w:tc>
          <w:tcPr>
            <w:tcW w:w="1069" w:type="dxa"/>
            <w:vAlign w:val="center"/>
          </w:tcPr>
          <w:p>
            <w:pPr>
              <w:spacing w:line="240" w:lineRule="auto"/>
              <w:ind w:firstLine="0" w:firstLineChars="0"/>
              <w:jc w:val="center"/>
              <w:rPr>
                <w:color w:val="auto"/>
                <w:sz w:val="21"/>
                <w:szCs w:val="21"/>
              </w:rPr>
            </w:pPr>
            <w:r>
              <w:rPr>
                <w:rFonts w:hint="eastAsia"/>
                <w:color w:val="auto"/>
                <w:sz w:val="21"/>
                <w:szCs w:val="21"/>
              </w:rPr>
              <w:t>每半年监测一次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3" w:type="dxa"/>
            <w:vMerge w:val="restart"/>
            <w:vAlign w:val="center"/>
          </w:tcPr>
          <w:p>
            <w:pPr>
              <w:spacing w:line="240" w:lineRule="auto"/>
              <w:ind w:firstLine="0" w:firstLineChars="0"/>
              <w:jc w:val="center"/>
              <w:rPr>
                <w:color w:val="auto"/>
                <w:sz w:val="21"/>
                <w:szCs w:val="21"/>
              </w:rPr>
            </w:pPr>
            <w:r>
              <w:rPr>
                <w:color w:val="auto"/>
                <w:sz w:val="21"/>
                <w:szCs w:val="21"/>
              </w:rPr>
              <w:t>固废</w:t>
            </w:r>
          </w:p>
        </w:tc>
        <w:tc>
          <w:tcPr>
            <w:tcW w:w="2369" w:type="dxa"/>
            <w:vAlign w:val="center"/>
          </w:tcPr>
          <w:p>
            <w:pPr>
              <w:spacing w:line="240" w:lineRule="auto"/>
              <w:ind w:firstLine="0" w:firstLineChars="0"/>
              <w:jc w:val="center"/>
              <w:rPr>
                <w:color w:val="auto"/>
                <w:sz w:val="21"/>
                <w:szCs w:val="21"/>
              </w:rPr>
            </w:pPr>
            <w:r>
              <w:rPr>
                <w:color w:val="auto"/>
                <w:sz w:val="21"/>
                <w:szCs w:val="21"/>
              </w:rPr>
              <w:t>废润滑油</w:t>
            </w:r>
          </w:p>
        </w:tc>
        <w:tc>
          <w:tcPr>
            <w:tcW w:w="1842" w:type="dxa"/>
            <w:vAlign w:val="center"/>
          </w:tcPr>
          <w:p>
            <w:pPr>
              <w:spacing w:line="240" w:lineRule="auto"/>
              <w:ind w:firstLine="0" w:firstLineChars="0"/>
              <w:jc w:val="center"/>
              <w:rPr>
                <w:color w:val="auto"/>
                <w:sz w:val="21"/>
                <w:szCs w:val="21"/>
              </w:rPr>
            </w:pPr>
            <w:r>
              <w:rPr>
                <w:color w:val="auto"/>
                <w:sz w:val="21"/>
                <w:szCs w:val="21"/>
              </w:rPr>
              <w:t>矿物油</w:t>
            </w:r>
          </w:p>
        </w:tc>
        <w:tc>
          <w:tcPr>
            <w:tcW w:w="1560" w:type="dxa"/>
            <w:vMerge w:val="restart"/>
            <w:vAlign w:val="center"/>
          </w:tcPr>
          <w:p>
            <w:pPr>
              <w:spacing w:line="320" w:lineRule="exact"/>
              <w:ind w:firstLine="0" w:firstLineChars="0"/>
              <w:jc w:val="center"/>
              <w:rPr>
                <w:color w:val="auto"/>
                <w:kern w:val="0"/>
                <w:sz w:val="21"/>
                <w:szCs w:val="21"/>
              </w:rPr>
            </w:pPr>
            <w:r>
              <w:rPr>
                <w:color w:val="auto"/>
                <w:kern w:val="0"/>
                <w:sz w:val="21"/>
                <w:szCs w:val="21"/>
              </w:rPr>
              <w:t>委托有资质单位处置</w:t>
            </w:r>
          </w:p>
        </w:tc>
        <w:tc>
          <w:tcPr>
            <w:tcW w:w="4110" w:type="dxa"/>
            <w:gridSpan w:val="2"/>
            <w:vMerge w:val="restart"/>
            <w:vAlign w:val="center"/>
          </w:tcPr>
          <w:p>
            <w:pPr>
              <w:spacing w:line="240" w:lineRule="auto"/>
              <w:ind w:firstLine="0" w:firstLineChars="0"/>
              <w:jc w:val="center"/>
              <w:rPr>
                <w:color w:val="auto"/>
                <w:sz w:val="21"/>
                <w:szCs w:val="21"/>
              </w:rPr>
            </w:pPr>
            <w:r>
              <w:rPr>
                <w:color w:val="auto"/>
                <w:sz w:val="21"/>
                <w:szCs w:val="21"/>
              </w:rPr>
              <w:t>《危险废物贮存污染控制标准》（GB18597-2001）及修改单中标准（环境保护部[2013]36号）；《危险废物收集、贮存、运输技术规范》（HJ2025-2012）</w:t>
            </w:r>
          </w:p>
        </w:tc>
        <w:tc>
          <w:tcPr>
            <w:tcW w:w="1560" w:type="dxa"/>
            <w:vAlign w:val="center"/>
          </w:tcPr>
          <w:p>
            <w:pPr>
              <w:spacing w:line="240" w:lineRule="auto"/>
              <w:ind w:firstLine="0" w:firstLineChars="0"/>
              <w:jc w:val="center"/>
              <w:rPr>
                <w:color w:val="auto"/>
                <w:kern w:val="0"/>
                <w:sz w:val="21"/>
                <w:szCs w:val="21"/>
              </w:rPr>
            </w:pPr>
            <w:r>
              <w:rPr>
                <w:rFonts w:hint="eastAsia"/>
                <w:color w:val="auto"/>
                <w:sz w:val="21"/>
                <w:szCs w:val="21"/>
              </w:rPr>
              <w:t>0.05</w:t>
            </w:r>
          </w:p>
        </w:tc>
        <w:tc>
          <w:tcPr>
            <w:tcW w:w="1275" w:type="dxa"/>
            <w:vMerge w:val="restart"/>
            <w:vAlign w:val="center"/>
          </w:tcPr>
          <w:p>
            <w:pPr>
              <w:spacing w:line="240" w:lineRule="auto"/>
              <w:ind w:firstLine="0" w:firstLineChars="0"/>
              <w:jc w:val="center"/>
              <w:rPr>
                <w:color w:val="auto"/>
                <w:sz w:val="21"/>
                <w:szCs w:val="21"/>
              </w:rPr>
            </w:pPr>
            <w:r>
              <w:rPr>
                <w:color w:val="auto"/>
                <w:sz w:val="21"/>
                <w:szCs w:val="21"/>
              </w:rPr>
              <w:t>合理处置</w:t>
            </w:r>
          </w:p>
        </w:tc>
        <w:tc>
          <w:tcPr>
            <w:tcW w:w="1069" w:type="dxa"/>
            <w:vMerge w:val="restart"/>
            <w:vAlign w:val="center"/>
          </w:tcPr>
          <w:p>
            <w:pPr>
              <w:spacing w:line="240" w:lineRule="auto"/>
              <w:ind w:firstLine="0" w:firstLineChars="0"/>
              <w:jc w:val="center"/>
              <w:rPr>
                <w:color w:val="auto"/>
                <w:sz w:val="21"/>
                <w:szCs w:val="21"/>
              </w:rPr>
            </w:pPr>
            <w:r>
              <w:rPr>
                <w:color w:val="auto"/>
                <w:sz w:val="21"/>
                <w:szCs w:val="21"/>
              </w:rPr>
              <w:t>每月统计一次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3" w:type="dxa"/>
            <w:vMerge w:val="continue"/>
            <w:vAlign w:val="center"/>
          </w:tcPr>
          <w:p>
            <w:pPr>
              <w:spacing w:line="240" w:lineRule="auto"/>
              <w:ind w:firstLine="0" w:firstLineChars="0"/>
              <w:jc w:val="center"/>
              <w:rPr>
                <w:color w:val="auto"/>
                <w:sz w:val="21"/>
                <w:szCs w:val="21"/>
              </w:rPr>
            </w:pPr>
          </w:p>
        </w:tc>
        <w:tc>
          <w:tcPr>
            <w:tcW w:w="2369" w:type="dxa"/>
            <w:vAlign w:val="center"/>
          </w:tcPr>
          <w:p>
            <w:pPr>
              <w:spacing w:line="320" w:lineRule="exact"/>
              <w:ind w:firstLine="0" w:firstLineChars="0"/>
              <w:jc w:val="center"/>
              <w:rPr>
                <w:color w:val="auto"/>
                <w:kern w:val="0"/>
                <w:sz w:val="21"/>
                <w:szCs w:val="21"/>
              </w:rPr>
            </w:pPr>
            <w:r>
              <w:rPr>
                <w:color w:val="auto"/>
                <w:kern w:val="0"/>
                <w:sz w:val="21"/>
                <w:szCs w:val="21"/>
              </w:rPr>
              <w:t>化验室废试剂瓶</w:t>
            </w:r>
          </w:p>
        </w:tc>
        <w:tc>
          <w:tcPr>
            <w:tcW w:w="1842" w:type="dxa"/>
            <w:vAlign w:val="center"/>
          </w:tcPr>
          <w:p>
            <w:pPr>
              <w:spacing w:line="320" w:lineRule="exact"/>
              <w:ind w:firstLine="0" w:firstLineChars="0"/>
              <w:jc w:val="center"/>
              <w:rPr>
                <w:color w:val="auto"/>
                <w:kern w:val="0"/>
                <w:sz w:val="21"/>
                <w:szCs w:val="21"/>
              </w:rPr>
            </w:pPr>
            <w:r>
              <w:rPr>
                <w:color w:val="auto"/>
                <w:kern w:val="0"/>
                <w:sz w:val="21"/>
                <w:szCs w:val="21"/>
              </w:rPr>
              <w:t>废酸、废碱</w:t>
            </w:r>
          </w:p>
        </w:tc>
        <w:tc>
          <w:tcPr>
            <w:tcW w:w="1560" w:type="dxa"/>
            <w:vMerge w:val="continue"/>
            <w:vAlign w:val="center"/>
          </w:tcPr>
          <w:p>
            <w:pPr>
              <w:spacing w:line="320" w:lineRule="exact"/>
              <w:ind w:firstLine="420"/>
              <w:jc w:val="center"/>
              <w:rPr>
                <w:color w:val="auto"/>
                <w:kern w:val="0"/>
                <w:sz w:val="21"/>
                <w:szCs w:val="21"/>
              </w:rPr>
            </w:pPr>
          </w:p>
        </w:tc>
        <w:tc>
          <w:tcPr>
            <w:tcW w:w="4110" w:type="dxa"/>
            <w:gridSpan w:val="2"/>
            <w:vMerge w:val="continue"/>
            <w:vAlign w:val="center"/>
          </w:tcPr>
          <w:p>
            <w:pPr>
              <w:spacing w:line="240" w:lineRule="auto"/>
              <w:ind w:firstLine="0" w:firstLineChars="0"/>
              <w:jc w:val="center"/>
              <w:rPr>
                <w:color w:val="auto"/>
                <w:sz w:val="21"/>
                <w:szCs w:val="21"/>
              </w:rPr>
            </w:pPr>
          </w:p>
        </w:tc>
        <w:tc>
          <w:tcPr>
            <w:tcW w:w="1560" w:type="dxa"/>
            <w:vAlign w:val="center"/>
          </w:tcPr>
          <w:p>
            <w:pPr>
              <w:spacing w:line="240" w:lineRule="auto"/>
              <w:ind w:firstLine="0" w:firstLineChars="0"/>
              <w:jc w:val="center"/>
              <w:rPr>
                <w:color w:val="auto"/>
                <w:kern w:val="0"/>
                <w:sz w:val="21"/>
                <w:szCs w:val="21"/>
              </w:rPr>
            </w:pPr>
            <w:r>
              <w:rPr>
                <w:color w:val="auto"/>
                <w:sz w:val="21"/>
                <w:szCs w:val="21"/>
              </w:rPr>
              <w:t>0.02</w:t>
            </w:r>
          </w:p>
        </w:tc>
        <w:tc>
          <w:tcPr>
            <w:tcW w:w="1275" w:type="dxa"/>
            <w:vMerge w:val="continue"/>
            <w:vAlign w:val="center"/>
          </w:tcPr>
          <w:p>
            <w:pPr>
              <w:spacing w:line="240" w:lineRule="auto"/>
              <w:ind w:firstLine="0" w:firstLineChars="0"/>
              <w:jc w:val="center"/>
              <w:rPr>
                <w:color w:val="auto"/>
                <w:sz w:val="21"/>
                <w:szCs w:val="21"/>
              </w:rPr>
            </w:pPr>
          </w:p>
        </w:tc>
        <w:tc>
          <w:tcPr>
            <w:tcW w:w="1069" w:type="dxa"/>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3" w:type="dxa"/>
            <w:vMerge w:val="continue"/>
            <w:vAlign w:val="center"/>
          </w:tcPr>
          <w:p>
            <w:pPr>
              <w:spacing w:line="240" w:lineRule="auto"/>
              <w:ind w:firstLine="0" w:firstLineChars="0"/>
              <w:jc w:val="center"/>
              <w:rPr>
                <w:color w:val="auto"/>
                <w:sz w:val="21"/>
                <w:szCs w:val="21"/>
              </w:rPr>
            </w:pPr>
          </w:p>
        </w:tc>
        <w:tc>
          <w:tcPr>
            <w:tcW w:w="2369" w:type="dxa"/>
            <w:vAlign w:val="center"/>
          </w:tcPr>
          <w:p>
            <w:pPr>
              <w:spacing w:line="320" w:lineRule="exact"/>
              <w:ind w:firstLine="0" w:firstLineChars="0"/>
              <w:jc w:val="center"/>
              <w:rPr>
                <w:color w:val="auto"/>
                <w:kern w:val="0"/>
                <w:sz w:val="21"/>
                <w:szCs w:val="21"/>
              </w:rPr>
            </w:pPr>
            <w:r>
              <w:rPr>
                <w:color w:val="auto"/>
                <w:kern w:val="0"/>
                <w:sz w:val="21"/>
                <w:szCs w:val="21"/>
              </w:rPr>
              <w:t>化验室废液</w:t>
            </w:r>
          </w:p>
        </w:tc>
        <w:tc>
          <w:tcPr>
            <w:tcW w:w="1842" w:type="dxa"/>
            <w:vAlign w:val="center"/>
          </w:tcPr>
          <w:p>
            <w:pPr>
              <w:spacing w:line="320" w:lineRule="exact"/>
              <w:ind w:firstLine="0" w:firstLineChars="0"/>
              <w:jc w:val="center"/>
              <w:rPr>
                <w:color w:val="auto"/>
                <w:kern w:val="0"/>
                <w:sz w:val="21"/>
                <w:szCs w:val="21"/>
              </w:rPr>
            </w:pPr>
            <w:r>
              <w:rPr>
                <w:color w:val="auto"/>
                <w:kern w:val="0"/>
                <w:sz w:val="21"/>
                <w:szCs w:val="21"/>
              </w:rPr>
              <w:t>废酸、废碱</w:t>
            </w:r>
          </w:p>
        </w:tc>
        <w:tc>
          <w:tcPr>
            <w:tcW w:w="1560" w:type="dxa"/>
            <w:vMerge w:val="continue"/>
            <w:vAlign w:val="center"/>
          </w:tcPr>
          <w:p>
            <w:pPr>
              <w:spacing w:line="320" w:lineRule="exact"/>
              <w:ind w:firstLine="420"/>
              <w:jc w:val="center"/>
              <w:rPr>
                <w:color w:val="auto"/>
                <w:kern w:val="0"/>
                <w:sz w:val="21"/>
                <w:szCs w:val="21"/>
              </w:rPr>
            </w:pPr>
          </w:p>
        </w:tc>
        <w:tc>
          <w:tcPr>
            <w:tcW w:w="4110" w:type="dxa"/>
            <w:gridSpan w:val="2"/>
            <w:vMerge w:val="continue"/>
            <w:vAlign w:val="center"/>
          </w:tcPr>
          <w:p>
            <w:pPr>
              <w:spacing w:line="240" w:lineRule="auto"/>
              <w:ind w:firstLine="0" w:firstLineChars="0"/>
              <w:jc w:val="center"/>
              <w:rPr>
                <w:color w:val="auto"/>
                <w:sz w:val="21"/>
                <w:szCs w:val="21"/>
              </w:rPr>
            </w:pPr>
          </w:p>
        </w:tc>
        <w:tc>
          <w:tcPr>
            <w:tcW w:w="1560" w:type="dxa"/>
            <w:vAlign w:val="center"/>
          </w:tcPr>
          <w:p>
            <w:pPr>
              <w:spacing w:line="240" w:lineRule="auto"/>
              <w:ind w:firstLine="0" w:firstLineChars="0"/>
              <w:jc w:val="center"/>
              <w:rPr>
                <w:color w:val="auto"/>
                <w:kern w:val="0"/>
                <w:sz w:val="21"/>
                <w:szCs w:val="21"/>
              </w:rPr>
            </w:pPr>
            <w:r>
              <w:rPr>
                <w:rFonts w:hint="eastAsia"/>
                <w:color w:val="auto"/>
                <w:sz w:val="21"/>
                <w:szCs w:val="21"/>
              </w:rPr>
              <w:t>0.05</w:t>
            </w:r>
          </w:p>
        </w:tc>
        <w:tc>
          <w:tcPr>
            <w:tcW w:w="1275" w:type="dxa"/>
            <w:vMerge w:val="continue"/>
            <w:vAlign w:val="center"/>
          </w:tcPr>
          <w:p>
            <w:pPr>
              <w:spacing w:line="240" w:lineRule="auto"/>
              <w:ind w:firstLine="0" w:firstLineChars="0"/>
              <w:jc w:val="center"/>
              <w:rPr>
                <w:color w:val="auto"/>
                <w:sz w:val="21"/>
                <w:szCs w:val="21"/>
              </w:rPr>
            </w:pPr>
          </w:p>
        </w:tc>
        <w:tc>
          <w:tcPr>
            <w:tcW w:w="1069" w:type="dxa"/>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3" w:type="dxa"/>
            <w:vMerge w:val="continue"/>
            <w:vAlign w:val="center"/>
          </w:tcPr>
          <w:p>
            <w:pPr>
              <w:spacing w:line="240" w:lineRule="auto"/>
              <w:ind w:firstLine="0" w:firstLineChars="0"/>
              <w:jc w:val="center"/>
              <w:rPr>
                <w:color w:val="auto"/>
                <w:sz w:val="21"/>
                <w:szCs w:val="21"/>
              </w:rPr>
            </w:pPr>
          </w:p>
        </w:tc>
        <w:tc>
          <w:tcPr>
            <w:tcW w:w="2369" w:type="dxa"/>
            <w:vAlign w:val="center"/>
          </w:tcPr>
          <w:p>
            <w:pPr>
              <w:spacing w:line="320" w:lineRule="exact"/>
              <w:ind w:firstLine="0" w:firstLineChars="0"/>
              <w:jc w:val="center"/>
              <w:rPr>
                <w:color w:val="auto"/>
                <w:kern w:val="0"/>
                <w:sz w:val="21"/>
                <w:szCs w:val="21"/>
              </w:rPr>
            </w:pPr>
            <w:r>
              <w:rPr>
                <w:color w:val="auto"/>
                <w:kern w:val="0"/>
                <w:sz w:val="21"/>
                <w:szCs w:val="21"/>
              </w:rPr>
              <w:t>废活性炭</w:t>
            </w:r>
          </w:p>
        </w:tc>
        <w:tc>
          <w:tcPr>
            <w:tcW w:w="1842" w:type="dxa"/>
            <w:vAlign w:val="center"/>
          </w:tcPr>
          <w:p>
            <w:pPr>
              <w:spacing w:line="320" w:lineRule="exact"/>
              <w:ind w:firstLine="0" w:firstLineChars="0"/>
              <w:jc w:val="center"/>
              <w:rPr>
                <w:color w:val="auto"/>
                <w:kern w:val="0"/>
                <w:sz w:val="21"/>
                <w:szCs w:val="21"/>
              </w:rPr>
            </w:pPr>
            <w:r>
              <w:rPr>
                <w:color w:val="auto"/>
                <w:kern w:val="0"/>
                <w:sz w:val="21"/>
                <w:szCs w:val="21"/>
              </w:rPr>
              <w:t>碳、挥发性有机物</w:t>
            </w:r>
          </w:p>
        </w:tc>
        <w:tc>
          <w:tcPr>
            <w:tcW w:w="1560" w:type="dxa"/>
            <w:vMerge w:val="continue"/>
            <w:vAlign w:val="center"/>
          </w:tcPr>
          <w:p>
            <w:pPr>
              <w:spacing w:line="320" w:lineRule="exact"/>
              <w:ind w:firstLine="0" w:firstLineChars="0"/>
              <w:jc w:val="center"/>
              <w:rPr>
                <w:color w:val="auto"/>
                <w:sz w:val="21"/>
                <w:szCs w:val="21"/>
              </w:rPr>
            </w:pPr>
          </w:p>
        </w:tc>
        <w:tc>
          <w:tcPr>
            <w:tcW w:w="4110" w:type="dxa"/>
            <w:gridSpan w:val="2"/>
            <w:vMerge w:val="continue"/>
            <w:vAlign w:val="center"/>
          </w:tcPr>
          <w:p>
            <w:pPr>
              <w:spacing w:line="240" w:lineRule="auto"/>
              <w:ind w:firstLine="0" w:firstLineChars="0"/>
              <w:jc w:val="center"/>
              <w:rPr>
                <w:color w:val="auto"/>
                <w:sz w:val="21"/>
                <w:szCs w:val="21"/>
              </w:rPr>
            </w:pPr>
          </w:p>
        </w:tc>
        <w:tc>
          <w:tcPr>
            <w:tcW w:w="1560" w:type="dxa"/>
            <w:vAlign w:val="center"/>
          </w:tcPr>
          <w:p>
            <w:pPr>
              <w:spacing w:line="320" w:lineRule="exact"/>
              <w:ind w:firstLine="0" w:firstLineChars="0"/>
              <w:jc w:val="center"/>
              <w:rPr>
                <w:rFonts w:hint="eastAsia" w:eastAsia="宋体"/>
                <w:color w:val="auto"/>
                <w:kern w:val="0"/>
                <w:sz w:val="21"/>
                <w:szCs w:val="21"/>
                <w:lang w:eastAsia="zh-CN"/>
              </w:rPr>
            </w:pPr>
            <w:r>
              <w:rPr>
                <w:rFonts w:hint="eastAsia"/>
                <w:color w:val="auto"/>
                <w:kern w:val="0"/>
                <w:sz w:val="21"/>
                <w:szCs w:val="21"/>
                <w:lang w:eastAsia="zh-CN"/>
              </w:rPr>
              <w:t>8.64</w:t>
            </w:r>
          </w:p>
        </w:tc>
        <w:tc>
          <w:tcPr>
            <w:tcW w:w="1275" w:type="dxa"/>
            <w:vMerge w:val="continue"/>
            <w:vAlign w:val="center"/>
          </w:tcPr>
          <w:p>
            <w:pPr>
              <w:spacing w:line="240" w:lineRule="auto"/>
              <w:ind w:firstLine="0" w:firstLineChars="0"/>
              <w:jc w:val="center"/>
              <w:rPr>
                <w:color w:val="auto"/>
                <w:sz w:val="21"/>
                <w:szCs w:val="21"/>
              </w:rPr>
            </w:pPr>
          </w:p>
        </w:tc>
        <w:tc>
          <w:tcPr>
            <w:tcW w:w="1069" w:type="dxa"/>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3" w:type="dxa"/>
            <w:vMerge w:val="continue"/>
            <w:vAlign w:val="center"/>
          </w:tcPr>
          <w:p>
            <w:pPr>
              <w:spacing w:line="240" w:lineRule="auto"/>
              <w:ind w:firstLine="0" w:firstLineChars="0"/>
              <w:jc w:val="center"/>
              <w:rPr>
                <w:color w:val="auto"/>
                <w:sz w:val="21"/>
                <w:szCs w:val="21"/>
              </w:rPr>
            </w:pPr>
          </w:p>
        </w:tc>
        <w:tc>
          <w:tcPr>
            <w:tcW w:w="2369" w:type="dxa"/>
            <w:vAlign w:val="center"/>
          </w:tcPr>
          <w:p>
            <w:pPr>
              <w:spacing w:line="320" w:lineRule="exact"/>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高沸物</w:t>
            </w:r>
          </w:p>
        </w:tc>
        <w:tc>
          <w:tcPr>
            <w:tcW w:w="1842" w:type="dxa"/>
            <w:vAlign w:val="center"/>
          </w:tcPr>
          <w:p>
            <w:pPr>
              <w:spacing w:line="320" w:lineRule="exact"/>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催化剂</w:t>
            </w:r>
          </w:p>
        </w:tc>
        <w:tc>
          <w:tcPr>
            <w:tcW w:w="1560" w:type="dxa"/>
            <w:vMerge w:val="continue"/>
            <w:vAlign w:val="center"/>
          </w:tcPr>
          <w:p>
            <w:pPr>
              <w:spacing w:line="320" w:lineRule="exact"/>
              <w:ind w:firstLine="0" w:firstLineChars="0"/>
              <w:jc w:val="center"/>
              <w:rPr>
                <w:color w:val="auto"/>
                <w:sz w:val="21"/>
                <w:szCs w:val="21"/>
              </w:rPr>
            </w:pPr>
          </w:p>
        </w:tc>
        <w:tc>
          <w:tcPr>
            <w:tcW w:w="4110" w:type="dxa"/>
            <w:gridSpan w:val="2"/>
            <w:vMerge w:val="continue"/>
            <w:vAlign w:val="center"/>
          </w:tcPr>
          <w:p>
            <w:pPr>
              <w:spacing w:line="240" w:lineRule="auto"/>
              <w:ind w:firstLine="0" w:firstLineChars="0"/>
              <w:jc w:val="center"/>
              <w:rPr>
                <w:color w:val="auto"/>
                <w:sz w:val="21"/>
                <w:szCs w:val="21"/>
              </w:rPr>
            </w:pPr>
          </w:p>
        </w:tc>
        <w:tc>
          <w:tcPr>
            <w:tcW w:w="1560" w:type="dxa"/>
            <w:vAlign w:val="center"/>
          </w:tcPr>
          <w:p>
            <w:pPr>
              <w:spacing w:line="320" w:lineRule="exact"/>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2.997</w:t>
            </w:r>
          </w:p>
        </w:tc>
        <w:tc>
          <w:tcPr>
            <w:tcW w:w="1275" w:type="dxa"/>
            <w:vMerge w:val="continue"/>
            <w:vAlign w:val="center"/>
          </w:tcPr>
          <w:p>
            <w:pPr>
              <w:spacing w:line="240" w:lineRule="auto"/>
              <w:ind w:firstLine="0" w:firstLineChars="0"/>
              <w:jc w:val="center"/>
              <w:rPr>
                <w:color w:val="auto"/>
                <w:sz w:val="21"/>
                <w:szCs w:val="21"/>
              </w:rPr>
            </w:pPr>
          </w:p>
        </w:tc>
        <w:tc>
          <w:tcPr>
            <w:tcW w:w="1069" w:type="dxa"/>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3" w:type="dxa"/>
            <w:vMerge w:val="continue"/>
            <w:vAlign w:val="center"/>
          </w:tcPr>
          <w:p>
            <w:pPr>
              <w:spacing w:line="240" w:lineRule="auto"/>
              <w:ind w:firstLine="0" w:firstLineChars="0"/>
              <w:jc w:val="center"/>
              <w:rPr>
                <w:color w:val="auto"/>
                <w:sz w:val="21"/>
                <w:szCs w:val="21"/>
              </w:rPr>
            </w:pPr>
          </w:p>
        </w:tc>
        <w:tc>
          <w:tcPr>
            <w:tcW w:w="2369" w:type="dxa"/>
            <w:vAlign w:val="center"/>
          </w:tcPr>
          <w:p>
            <w:pPr>
              <w:spacing w:line="320" w:lineRule="exact"/>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罐底残渣</w:t>
            </w:r>
          </w:p>
        </w:tc>
        <w:tc>
          <w:tcPr>
            <w:tcW w:w="1842" w:type="dxa"/>
            <w:vAlign w:val="center"/>
          </w:tcPr>
          <w:p>
            <w:pPr>
              <w:spacing w:line="320" w:lineRule="exact"/>
              <w:ind w:firstLine="0" w:firstLineChars="0"/>
              <w:jc w:val="center"/>
              <w:rPr>
                <w:color w:val="auto"/>
                <w:kern w:val="0"/>
                <w:sz w:val="21"/>
                <w:szCs w:val="21"/>
              </w:rPr>
            </w:pPr>
            <w:r>
              <w:rPr>
                <w:rFonts w:hint="eastAsia"/>
                <w:color w:val="auto"/>
                <w:kern w:val="0"/>
                <w:sz w:val="21"/>
                <w:szCs w:val="21"/>
                <w:lang w:val="en-US" w:eastAsia="zh-CN"/>
              </w:rPr>
              <w:t>催化剂</w:t>
            </w:r>
          </w:p>
        </w:tc>
        <w:tc>
          <w:tcPr>
            <w:tcW w:w="1560" w:type="dxa"/>
            <w:vMerge w:val="continue"/>
            <w:vAlign w:val="center"/>
          </w:tcPr>
          <w:p>
            <w:pPr>
              <w:spacing w:line="320" w:lineRule="exact"/>
              <w:ind w:firstLine="0" w:firstLineChars="0"/>
              <w:jc w:val="center"/>
              <w:rPr>
                <w:color w:val="auto"/>
                <w:sz w:val="21"/>
                <w:szCs w:val="21"/>
              </w:rPr>
            </w:pPr>
          </w:p>
        </w:tc>
        <w:tc>
          <w:tcPr>
            <w:tcW w:w="4110" w:type="dxa"/>
            <w:gridSpan w:val="2"/>
            <w:vMerge w:val="continue"/>
            <w:vAlign w:val="center"/>
          </w:tcPr>
          <w:p>
            <w:pPr>
              <w:spacing w:line="240" w:lineRule="auto"/>
              <w:ind w:firstLine="0" w:firstLineChars="0"/>
              <w:jc w:val="center"/>
              <w:rPr>
                <w:color w:val="auto"/>
                <w:sz w:val="21"/>
                <w:szCs w:val="21"/>
              </w:rPr>
            </w:pPr>
          </w:p>
        </w:tc>
        <w:tc>
          <w:tcPr>
            <w:tcW w:w="1560" w:type="dxa"/>
            <w:vAlign w:val="center"/>
          </w:tcPr>
          <w:p>
            <w:pPr>
              <w:spacing w:line="320" w:lineRule="exact"/>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6.9828</w:t>
            </w:r>
          </w:p>
        </w:tc>
        <w:tc>
          <w:tcPr>
            <w:tcW w:w="1275" w:type="dxa"/>
            <w:vMerge w:val="continue"/>
            <w:vAlign w:val="center"/>
          </w:tcPr>
          <w:p>
            <w:pPr>
              <w:spacing w:line="240" w:lineRule="auto"/>
              <w:ind w:firstLine="0" w:firstLineChars="0"/>
              <w:jc w:val="center"/>
              <w:rPr>
                <w:color w:val="auto"/>
                <w:sz w:val="21"/>
                <w:szCs w:val="21"/>
              </w:rPr>
            </w:pPr>
          </w:p>
        </w:tc>
        <w:tc>
          <w:tcPr>
            <w:tcW w:w="1069" w:type="dxa"/>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3" w:type="dxa"/>
            <w:vMerge w:val="continue"/>
            <w:vAlign w:val="center"/>
          </w:tcPr>
          <w:p>
            <w:pPr>
              <w:spacing w:line="240" w:lineRule="auto"/>
              <w:ind w:firstLine="0" w:firstLineChars="0"/>
              <w:jc w:val="center"/>
              <w:rPr>
                <w:color w:val="auto"/>
                <w:sz w:val="21"/>
                <w:szCs w:val="21"/>
              </w:rPr>
            </w:pPr>
          </w:p>
        </w:tc>
        <w:tc>
          <w:tcPr>
            <w:tcW w:w="2369" w:type="dxa"/>
            <w:vAlign w:val="center"/>
          </w:tcPr>
          <w:p>
            <w:pPr>
              <w:spacing w:line="320" w:lineRule="exact"/>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废导热油</w:t>
            </w:r>
          </w:p>
        </w:tc>
        <w:tc>
          <w:tcPr>
            <w:tcW w:w="1842" w:type="dxa"/>
            <w:vAlign w:val="center"/>
          </w:tcPr>
          <w:p>
            <w:pPr>
              <w:spacing w:line="320" w:lineRule="exact"/>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导热油</w:t>
            </w:r>
          </w:p>
        </w:tc>
        <w:tc>
          <w:tcPr>
            <w:tcW w:w="1560" w:type="dxa"/>
            <w:vMerge w:val="continue"/>
            <w:vAlign w:val="center"/>
          </w:tcPr>
          <w:p>
            <w:pPr>
              <w:spacing w:line="320" w:lineRule="exact"/>
              <w:ind w:firstLine="0" w:firstLineChars="0"/>
              <w:jc w:val="center"/>
              <w:rPr>
                <w:color w:val="auto"/>
                <w:sz w:val="21"/>
                <w:szCs w:val="21"/>
              </w:rPr>
            </w:pPr>
          </w:p>
        </w:tc>
        <w:tc>
          <w:tcPr>
            <w:tcW w:w="4110" w:type="dxa"/>
            <w:gridSpan w:val="2"/>
            <w:vMerge w:val="continue"/>
            <w:vAlign w:val="center"/>
          </w:tcPr>
          <w:p>
            <w:pPr>
              <w:spacing w:line="240" w:lineRule="auto"/>
              <w:ind w:firstLine="0" w:firstLineChars="0"/>
              <w:jc w:val="center"/>
              <w:rPr>
                <w:color w:val="auto"/>
                <w:sz w:val="21"/>
                <w:szCs w:val="21"/>
              </w:rPr>
            </w:pPr>
          </w:p>
        </w:tc>
        <w:tc>
          <w:tcPr>
            <w:tcW w:w="1560" w:type="dxa"/>
            <w:vAlign w:val="center"/>
          </w:tcPr>
          <w:p>
            <w:pPr>
              <w:spacing w:line="320" w:lineRule="exact"/>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15t/4a</w:t>
            </w:r>
          </w:p>
        </w:tc>
        <w:tc>
          <w:tcPr>
            <w:tcW w:w="1275" w:type="dxa"/>
            <w:vAlign w:val="center"/>
          </w:tcPr>
          <w:p>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合理处置</w:t>
            </w:r>
          </w:p>
        </w:tc>
        <w:tc>
          <w:tcPr>
            <w:tcW w:w="1069" w:type="dxa"/>
            <w:vAlign w:val="center"/>
          </w:tcPr>
          <w:p>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每4年统计一次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3" w:type="dxa"/>
            <w:vMerge w:val="continue"/>
            <w:vAlign w:val="center"/>
          </w:tcPr>
          <w:p>
            <w:pPr>
              <w:spacing w:line="240" w:lineRule="auto"/>
              <w:ind w:firstLine="0" w:firstLineChars="0"/>
              <w:jc w:val="center"/>
              <w:rPr>
                <w:color w:val="auto"/>
                <w:sz w:val="21"/>
                <w:szCs w:val="21"/>
              </w:rPr>
            </w:pPr>
          </w:p>
        </w:tc>
        <w:tc>
          <w:tcPr>
            <w:tcW w:w="2369" w:type="dxa"/>
            <w:vAlign w:val="center"/>
          </w:tcPr>
          <w:p>
            <w:pPr>
              <w:spacing w:line="320" w:lineRule="exact"/>
              <w:ind w:firstLine="0" w:firstLineChars="0"/>
              <w:jc w:val="center"/>
              <w:rPr>
                <w:color w:val="auto"/>
                <w:kern w:val="0"/>
                <w:sz w:val="21"/>
                <w:szCs w:val="21"/>
              </w:rPr>
            </w:pPr>
            <w:r>
              <w:rPr>
                <w:color w:val="auto"/>
                <w:kern w:val="0"/>
                <w:sz w:val="21"/>
                <w:szCs w:val="21"/>
              </w:rPr>
              <w:t>废</w:t>
            </w:r>
            <w:r>
              <w:rPr>
                <w:rFonts w:hint="eastAsia"/>
                <w:color w:val="auto"/>
                <w:kern w:val="0"/>
                <w:sz w:val="21"/>
                <w:szCs w:val="21"/>
              </w:rPr>
              <w:t>包装袋</w:t>
            </w:r>
          </w:p>
        </w:tc>
        <w:tc>
          <w:tcPr>
            <w:tcW w:w="1842" w:type="dxa"/>
            <w:vAlign w:val="center"/>
          </w:tcPr>
          <w:p>
            <w:pPr>
              <w:spacing w:line="320" w:lineRule="exact"/>
              <w:ind w:firstLine="0" w:firstLineChars="0"/>
              <w:jc w:val="center"/>
              <w:rPr>
                <w:color w:val="auto"/>
                <w:kern w:val="0"/>
                <w:sz w:val="21"/>
                <w:szCs w:val="21"/>
              </w:rPr>
            </w:pPr>
            <w:r>
              <w:rPr>
                <w:color w:val="auto"/>
                <w:kern w:val="0"/>
                <w:sz w:val="21"/>
                <w:szCs w:val="21"/>
              </w:rPr>
              <w:t>化纤</w:t>
            </w:r>
          </w:p>
        </w:tc>
        <w:tc>
          <w:tcPr>
            <w:tcW w:w="1560" w:type="dxa"/>
            <w:vAlign w:val="center"/>
          </w:tcPr>
          <w:p>
            <w:pPr>
              <w:spacing w:line="240" w:lineRule="auto"/>
              <w:ind w:firstLine="0" w:firstLineChars="0"/>
              <w:jc w:val="center"/>
              <w:rPr>
                <w:color w:val="auto"/>
                <w:sz w:val="21"/>
                <w:szCs w:val="21"/>
              </w:rPr>
            </w:pPr>
            <w:r>
              <w:rPr>
                <w:rFonts w:hint="eastAsia"/>
                <w:color w:val="auto"/>
                <w:sz w:val="21"/>
                <w:szCs w:val="21"/>
              </w:rPr>
              <w:t>外售至废品回收站</w:t>
            </w:r>
          </w:p>
        </w:tc>
        <w:tc>
          <w:tcPr>
            <w:tcW w:w="4110" w:type="dxa"/>
            <w:gridSpan w:val="2"/>
            <w:vMerge w:val="restart"/>
            <w:vAlign w:val="center"/>
          </w:tcPr>
          <w:p>
            <w:pPr>
              <w:spacing w:line="240" w:lineRule="auto"/>
              <w:ind w:firstLine="0" w:firstLineChars="0"/>
              <w:jc w:val="center"/>
              <w:rPr>
                <w:color w:val="auto"/>
                <w:sz w:val="21"/>
                <w:szCs w:val="21"/>
              </w:rPr>
            </w:pPr>
            <w:r>
              <w:rPr>
                <w:rFonts w:hint="eastAsia"/>
                <w:color w:val="auto"/>
                <w:sz w:val="21"/>
                <w:szCs w:val="21"/>
              </w:rPr>
              <w:t>一般工业固废</w:t>
            </w:r>
            <w:r>
              <w:rPr>
                <w:color w:val="auto"/>
                <w:sz w:val="21"/>
                <w:szCs w:val="21"/>
              </w:rPr>
              <w:t>执行《一般工业固体废物贮存、处置场污染控制标准》（GB18599-2001）及修改单中标准（环境保护部公告2013年第36号）</w:t>
            </w:r>
          </w:p>
        </w:tc>
        <w:tc>
          <w:tcPr>
            <w:tcW w:w="1560" w:type="dxa"/>
            <w:vAlign w:val="center"/>
          </w:tcPr>
          <w:p>
            <w:pPr>
              <w:spacing w:line="240" w:lineRule="auto"/>
              <w:ind w:firstLine="0" w:firstLineChars="0"/>
              <w:jc w:val="center"/>
              <w:rPr>
                <w:color w:val="auto"/>
                <w:sz w:val="21"/>
                <w:szCs w:val="21"/>
              </w:rPr>
            </w:pPr>
            <w:r>
              <w:rPr>
                <w:rFonts w:hint="eastAsia"/>
                <w:color w:val="auto"/>
                <w:sz w:val="21"/>
                <w:szCs w:val="21"/>
              </w:rPr>
              <w:t>0.05</w:t>
            </w:r>
          </w:p>
        </w:tc>
        <w:tc>
          <w:tcPr>
            <w:tcW w:w="1275" w:type="dxa"/>
            <w:vMerge w:val="restart"/>
            <w:vAlign w:val="center"/>
          </w:tcPr>
          <w:p>
            <w:pPr>
              <w:spacing w:line="240" w:lineRule="auto"/>
              <w:ind w:firstLine="0" w:firstLineChars="0"/>
              <w:jc w:val="center"/>
              <w:rPr>
                <w:color w:val="auto"/>
                <w:sz w:val="21"/>
                <w:szCs w:val="21"/>
              </w:rPr>
            </w:pPr>
            <w:r>
              <w:rPr>
                <w:color w:val="auto"/>
                <w:sz w:val="21"/>
                <w:szCs w:val="21"/>
              </w:rPr>
              <w:t>合理处置</w:t>
            </w:r>
          </w:p>
        </w:tc>
        <w:tc>
          <w:tcPr>
            <w:tcW w:w="1069" w:type="dxa"/>
            <w:vMerge w:val="restart"/>
            <w:vAlign w:val="center"/>
          </w:tcPr>
          <w:p>
            <w:pPr>
              <w:spacing w:line="240" w:lineRule="auto"/>
              <w:ind w:firstLine="0" w:firstLineChars="0"/>
              <w:jc w:val="center"/>
              <w:rPr>
                <w:color w:val="auto"/>
                <w:sz w:val="21"/>
                <w:szCs w:val="21"/>
              </w:rPr>
            </w:pPr>
            <w:r>
              <w:rPr>
                <w:color w:val="auto"/>
                <w:sz w:val="21"/>
                <w:szCs w:val="21"/>
              </w:rPr>
              <w:t>每月统计一次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3" w:type="dxa"/>
            <w:vMerge w:val="continue"/>
            <w:vAlign w:val="center"/>
          </w:tcPr>
          <w:p>
            <w:pPr>
              <w:spacing w:line="240" w:lineRule="auto"/>
              <w:ind w:firstLine="0" w:firstLineChars="0"/>
              <w:jc w:val="center"/>
              <w:rPr>
                <w:color w:val="auto"/>
                <w:sz w:val="21"/>
                <w:szCs w:val="21"/>
              </w:rPr>
            </w:pPr>
          </w:p>
        </w:tc>
        <w:tc>
          <w:tcPr>
            <w:tcW w:w="2369" w:type="dxa"/>
            <w:vAlign w:val="center"/>
          </w:tcPr>
          <w:p>
            <w:pPr>
              <w:spacing w:line="240" w:lineRule="auto"/>
              <w:ind w:firstLine="0" w:firstLineChars="0"/>
              <w:jc w:val="center"/>
              <w:rPr>
                <w:color w:val="auto"/>
                <w:sz w:val="21"/>
                <w:szCs w:val="21"/>
              </w:rPr>
            </w:pPr>
            <w:r>
              <w:rPr>
                <w:color w:val="auto"/>
                <w:sz w:val="21"/>
                <w:szCs w:val="21"/>
              </w:rPr>
              <w:t>原料包装桶</w:t>
            </w:r>
          </w:p>
        </w:tc>
        <w:tc>
          <w:tcPr>
            <w:tcW w:w="1842" w:type="dxa"/>
            <w:vAlign w:val="center"/>
          </w:tcPr>
          <w:p>
            <w:pPr>
              <w:snapToGrid w:val="0"/>
              <w:spacing w:line="340" w:lineRule="exact"/>
              <w:ind w:firstLine="0" w:firstLineChars="0"/>
              <w:jc w:val="center"/>
              <w:rPr>
                <w:color w:val="auto"/>
                <w:sz w:val="21"/>
                <w:szCs w:val="21"/>
              </w:rPr>
            </w:pPr>
            <w:r>
              <w:rPr>
                <w:color w:val="auto"/>
                <w:sz w:val="21"/>
                <w:szCs w:val="21"/>
              </w:rPr>
              <w:t>塑料</w:t>
            </w:r>
          </w:p>
        </w:tc>
        <w:tc>
          <w:tcPr>
            <w:tcW w:w="1560" w:type="dxa"/>
            <w:vAlign w:val="center"/>
          </w:tcPr>
          <w:p>
            <w:pPr>
              <w:spacing w:line="240" w:lineRule="auto"/>
              <w:ind w:firstLine="0" w:firstLineChars="0"/>
              <w:jc w:val="center"/>
              <w:rPr>
                <w:color w:val="auto"/>
                <w:sz w:val="21"/>
                <w:szCs w:val="21"/>
              </w:rPr>
            </w:pPr>
            <w:r>
              <w:rPr>
                <w:rFonts w:hint="eastAsia"/>
                <w:color w:val="auto"/>
                <w:sz w:val="21"/>
                <w:szCs w:val="21"/>
              </w:rPr>
              <w:t>外售至废品回收站</w:t>
            </w:r>
          </w:p>
        </w:tc>
        <w:tc>
          <w:tcPr>
            <w:tcW w:w="4110" w:type="dxa"/>
            <w:gridSpan w:val="2"/>
            <w:vMerge w:val="continue"/>
            <w:vAlign w:val="center"/>
          </w:tcPr>
          <w:p>
            <w:pPr>
              <w:spacing w:line="240" w:lineRule="auto"/>
              <w:ind w:firstLine="0" w:firstLineChars="0"/>
              <w:jc w:val="center"/>
              <w:rPr>
                <w:color w:val="auto"/>
                <w:sz w:val="21"/>
                <w:szCs w:val="21"/>
              </w:rPr>
            </w:pPr>
          </w:p>
        </w:tc>
        <w:tc>
          <w:tcPr>
            <w:tcW w:w="1560" w:type="dxa"/>
            <w:vAlign w:val="center"/>
          </w:tcPr>
          <w:p>
            <w:pPr>
              <w:spacing w:line="240" w:lineRule="auto"/>
              <w:ind w:firstLine="0" w:firstLineChars="0"/>
              <w:jc w:val="center"/>
              <w:rPr>
                <w:color w:val="auto"/>
                <w:sz w:val="21"/>
                <w:szCs w:val="21"/>
              </w:rPr>
            </w:pPr>
            <w:r>
              <w:rPr>
                <w:rFonts w:hint="eastAsia"/>
                <w:color w:val="auto"/>
                <w:sz w:val="21"/>
                <w:szCs w:val="21"/>
              </w:rPr>
              <w:t>0.05</w:t>
            </w:r>
          </w:p>
        </w:tc>
        <w:tc>
          <w:tcPr>
            <w:tcW w:w="1275" w:type="dxa"/>
            <w:vMerge w:val="continue"/>
            <w:vAlign w:val="center"/>
          </w:tcPr>
          <w:p>
            <w:pPr>
              <w:spacing w:line="240" w:lineRule="auto"/>
              <w:ind w:firstLine="0" w:firstLineChars="0"/>
              <w:jc w:val="center"/>
              <w:rPr>
                <w:color w:val="auto"/>
                <w:sz w:val="21"/>
                <w:szCs w:val="21"/>
              </w:rPr>
            </w:pPr>
          </w:p>
        </w:tc>
        <w:tc>
          <w:tcPr>
            <w:tcW w:w="1069" w:type="dxa"/>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3" w:type="dxa"/>
            <w:vMerge w:val="continue"/>
            <w:vAlign w:val="center"/>
          </w:tcPr>
          <w:p>
            <w:pPr>
              <w:spacing w:line="240" w:lineRule="auto"/>
              <w:ind w:firstLine="0" w:firstLineChars="0"/>
              <w:jc w:val="center"/>
              <w:rPr>
                <w:color w:val="auto"/>
                <w:sz w:val="21"/>
                <w:szCs w:val="21"/>
              </w:rPr>
            </w:pPr>
          </w:p>
        </w:tc>
        <w:tc>
          <w:tcPr>
            <w:tcW w:w="2369" w:type="dxa"/>
            <w:vAlign w:val="center"/>
          </w:tcPr>
          <w:p>
            <w:pPr>
              <w:spacing w:line="240" w:lineRule="auto"/>
              <w:ind w:firstLine="0" w:firstLineChars="0"/>
              <w:jc w:val="center"/>
              <w:rPr>
                <w:color w:val="auto"/>
                <w:sz w:val="21"/>
                <w:szCs w:val="21"/>
              </w:rPr>
            </w:pPr>
            <w:r>
              <w:rPr>
                <w:color w:val="auto"/>
                <w:sz w:val="21"/>
                <w:szCs w:val="21"/>
              </w:rPr>
              <w:t>污水站污泥</w:t>
            </w:r>
          </w:p>
        </w:tc>
        <w:tc>
          <w:tcPr>
            <w:tcW w:w="1842" w:type="dxa"/>
            <w:vAlign w:val="center"/>
          </w:tcPr>
          <w:p>
            <w:pPr>
              <w:snapToGrid w:val="0"/>
              <w:spacing w:line="340" w:lineRule="exact"/>
              <w:ind w:firstLine="0" w:firstLineChars="0"/>
              <w:jc w:val="center"/>
              <w:rPr>
                <w:color w:val="auto"/>
                <w:sz w:val="21"/>
                <w:szCs w:val="21"/>
              </w:rPr>
            </w:pPr>
            <w:r>
              <w:rPr>
                <w:color w:val="auto"/>
                <w:sz w:val="21"/>
                <w:szCs w:val="21"/>
              </w:rPr>
              <w:t>污泥</w:t>
            </w:r>
          </w:p>
        </w:tc>
        <w:tc>
          <w:tcPr>
            <w:tcW w:w="1560" w:type="dxa"/>
            <w:vAlign w:val="center"/>
          </w:tcPr>
          <w:p>
            <w:pPr>
              <w:spacing w:line="320" w:lineRule="exact"/>
              <w:ind w:firstLine="0" w:firstLineChars="0"/>
              <w:jc w:val="center"/>
              <w:rPr>
                <w:color w:val="auto"/>
                <w:sz w:val="21"/>
                <w:szCs w:val="21"/>
              </w:rPr>
            </w:pPr>
            <w:r>
              <w:rPr>
                <w:color w:val="auto"/>
                <w:kern w:val="0"/>
                <w:sz w:val="21"/>
                <w:szCs w:val="21"/>
              </w:rPr>
              <w:t>委托有资质单位处置</w:t>
            </w:r>
          </w:p>
        </w:tc>
        <w:tc>
          <w:tcPr>
            <w:tcW w:w="4110" w:type="dxa"/>
            <w:gridSpan w:val="2"/>
            <w:vMerge w:val="continue"/>
            <w:vAlign w:val="center"/>
          </w:tcPr>
          <w:p>
            <w:pPr>
              <w:spacing w:line="240" w:lineRule="auto"/>
              <w:ind w:firstLine="0" w:firstLineChars="0"/>
              <w:jc w:val="center"/>
              <w:rPr>
                <w:color w:val="auto"/>
                <w:sz w:val="21"/>
                <w:szCs w:val="21"/>
              </w:rPr>
            </w:pPr>
          </w:p>
        </w:tc>
        <w:tc>
          <w:tcPr>
            <w:tcW w:w="1560" w:type="dxa"/>
            <w:vAlign w:val="center"/>
          </w:tcPr>
          <w:p>
            <w:pPr>
              <w:spacing w:line="240" w:lineRule="auto"/>
              <w:ind w:firstLine="0" w:firstLineChars="0"/>
              <w:jc w:val="center"/>
              <w:rPr>
                <w:color w:val="auto"/>
                <w:sz w:val="21"/>
                <w:szCs w:val="21"/>
              </w:rPr>
            </w:pPr>
            <w:r>
              <w:rPr>
                <w:rFonts w:hint="eastAsia"/>
                <w:color w:val="auto"/>
                <w:sz w:val="21"/>
                <w:szCs w:val="21"/>
                <w:lang w:eastAsia="zh-CN"/>
              </w:rPr>
              <w:t>4.32</w:t>
            </w:r>
            <w:r>
              <w:rPr>
                <w:color w:val="auto"/>
                <w:sz w:val="21"/>
                <w:szCs w:val="21"/>
              </w:rPr>
              <w:t>（含水率</w:t>
            </w:r>
            <w:r>
              <w:rPr>
                <w:rFonts w:hint="eastAsia"/>
                <w:color w:val="auto"/>
                <w:sz w:val="21"/>
                <w:szCs w:val="21"/>
              </w:rPr>
              <w:t>65</w:t>
            </w:r>
            <w:r>
              <w:rPr>
                <w:color w:val="auto"/>
                <w:sz w:val="21"/>
                <w:szCs w:val="21"/>
              </w:rPr>
              <w:t>%）</w:t>
            </w:r>
          </w:p>
        </w:tc>
        <w:tc>
          <w:tcPr>
            <w:tcW w:w="1275" w:type="dxa"/>
            <w:vMerge w:val="continue"/>
            <w:vAlign w:val="center"/>
          </w:tcPr>
          <w:p>
            <w:pPr>
              <w:spacing w:line="240" w:lineRule="auto"/>
              <w:ind w:firstLine="0" w:firstLineChars="0"/>
              <w:jc w:val="center"/>
              <w:rPr>
                <w:color w:val="auto"/>
                <w:sz w:val="21"/>
                <w:szCs w:val="21"/>
              </w:rPr>
            </w:pPr>
          </w:p>
        </w:tc>
        <w:tc>
          <w:tcPr>
            <w:tcW w:w="1069" w:type="dxa"/>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3" w:type="dxa"/>
            <w:vMerge w:val="continue"/>
            <w:vAlign w:val="center"/>
          </w:tcPr>
          <w:p>
            <w:pPr>
              <w:spacing w:line="240" w:lineRule="auto"/>
              <w:ind w:firstLine="0" w:firstLineChars="0"/>
              <w:jc w:val="center"/>
              <w:rPr>
                <w:color w:val="auto"/>
                <w:sz w:val="21"/>
                <w:szCs w:val="21"/>
              </w:rPr>
            </w:pPr>
          </w:p>
        </w:tc>
        <w:tc>
          <w:tcPr>
            <w:tcW w:w="2369" w:type="dxa"/>
            <w:vAlign w:val="center"/>
          </w:tcPr>
          <w:p>
            <w:pPr>
              <w:spacing w:line="240" w:lineRule="auto"/>
              <w:ind w:firstLine="0" w:firstLineChars="0"/>
              <w:jc w:val="center"/>
              <w:rPr>
                <w:color w:val="auto"/>
                <w:sz w:val="21"/>
                <w:szCs w:val="21"/>
              </w:rPr>
            </w:pPr>
            <w:r>
              <w:rPr>
                <w:color w:val="auto"/>
                <w:sz w:val="21"/>
                <w:szCs w:val="21"/>
              </w:rPr>
              <w:t>生活垃圾</w:t>
            </w:r>
          </w:p>
        </w:tc>
        <w:tc>
          <w:tcPr>
            <w:tcW w:w="1842" w:type="dxa"/>
            <w:vAlign w:val="center"/>
          </w:tcPr>
          <w:p>
            <w:pPr>
              <w:snapToGrid w:val="0"/>
              <w:spacing w:line="340" w:lineRule="exact"/>
              <w:ind w:firstLine="0" w:firstLineChars="0"/>
              <w:jc w:val="center"/>
              <w:rPr>
                <w:color w:val="auto"/>
                <w:sz w:val="21"/>
                <w:szCs w:val="21"/>
              </w:rPr>
            </w:pPr>
            <w:r>
              <w:rPr>
                <w:color w:val="auto"/>
                <w:sz w:val="21"/>
                <w:szCs w:val="21"/>
              </w:rPr>
              <w:t>生活垃圾</w:t>
            </w:r>
          </w:p>
        </w:tc>
        <w:tc>
          <w:tcPr>
            <w:tcW w:w="1560" w:type="dxa"/>
            <w:vAlign w:val="center"/>
          </w:tcPr>
          <w:p>
            <w:pPr>
              <w:spacing w:line="240" w:lineRule="auto"/>
              <w:ind w:firstLine="0" w:firstLineChars="0"/>
              <w:jc w:val="center"/>
              <w:rPr>
                <w:color w:val="auto"/>
                <w:sz w:val="21"/>
                <w:szCs w:val="21"/>
              </w:rPr>
            </w:pPr>
            <w:r>
              <w:rPr>
                <w:color w:val="auto"/>
                <w:sz w:val="21"/>
                <w:szCs w:val="21"/>
              </w:rPr>
              <w:t>环卫部门定期清运</w:t>
            </w:r>
          </w:p>
        </w:tc>
        <w:tc>
          <w:tcPr>
            <w:tcW w:w="4110" w:type="dxa"/>
            <w:gridSpan w:val="2"/>
            <w:vAlign w:val="center"/>
          </w:tcPr>
          <w:p>
            <w:pPr>
              <w:spacing w:line="240" w:lineRule="auto"/>
              <w:ind w:firstLine="0" w:firstLineChars="0"/>
              <w:jc w:val="center"/>
              <w:rPr>
                <w:color w:val="auto"/>
                <w:sz w:val="21"/>
                <w:szCs w:val="21"/>
              </w:rPr>
            </w:pPr>
            <w:r>
              <w:rPr>
                <w:rFonts w:hint="eastAsia"/>
                <w:color w:val="auto"/>
                <w:sz w:val="21"/>
                <w:szCs w:val="21"/>
              </w:rPr>
              <w:t>/</w:t>
            </w:r>
          </w:p>
        </w:tc>
        <w:tc>
          <w:tcPr>
            <w:tcW w:w="1560" w:type="dxa"/>
            <w:vAlign w:val="center"/>
          </w:tcPr>
          <w:p>
            <w:pPr>
              <w:spacing w:line="240" w:lineRule="auto"/>
              <w:ind w:firstLine="0" w:firstLineChars="0"/>
              <w:jc w:val="center"/>
              <w:rPr>
                <w:color w:val="auto"/>
                <w:sz w:val="21"/>
                <w:szCs w:val="21"/>
              </w:rPr>
            </w:pPr>
            <w:r>
              <w:rPr>
                <w:color w:val="auto"/>
                <w:sz w:val="21"/>
                <w:szCs w:val="21"/>
              </w:rPr>
              <w:t>4.5</w:t>
            </w:r>
          </w:p>
        </w:tc>
        <w:tc>
          <w:tcPr>
            <w:tcW w:w="1275" w:type="dxa"/>
            <w:vAlign w:val="center"/>
          </w:tcPr>
          <w:p>
            <w:pPr>
              <w:spacing w:line="240" w:lineRule="auto"/>
              <w:ind w:firstLine="0" w:firstLineChars="0"/>
              <w:jc w:val="center"/>
              <w:rPr>
                <w:color w:val="auto"/>
                <w:sz w:val="21"/>
                <w:szCs w:val="21"/>
              </w:rPr>
            </w:pPr>
            <w:r>
              <w:rPr>
                <w:color w:val="auto"/>
                <w:sz w:val="21"/>
                <w:szCs w:val="21"/>
              </w:rPr>
              <w:t>合理处置</w:t>
            </w:r>
          </w:p>
        </w:tc>
        <w:tc>
          <w:tcPr>
            <w:tcW w:w="1069" w:type="dxa"/>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3" w:type="dxa"/>
            <w:vAlign w:val="center"/>
          </w:tcPr>
          <w:p>
            <w:pPr>
              <w:spacing w:line="240" w:lineRule="auto"/>
              <w:ind w:firstLine="0" w:firstLineChars="0"/>
              <w:jc w:val="center"/>
              <w:rPr>
                <w:color w:val="auto"/>
                <w:sz w:val="21"/>
                <w:szCs w:val="21"/>
              </w:rPr>
            </w:pPr>
            <w:r>
              <w:rPr>
                <w:color w:val="auto"/>
                <w:sz w:val="21"/>
                <w:szCs w:val="21"/>
              </w:rPr>
              <w:t>噪声</w:t>
            </w:r>
          </w:p>
        </w:tc>
        <w:tc>
          <w:tcPr>
            <w:tcW w:w="2369" w:type="dxa"/>
            <w:vAlign w:val="center"/>
          </w:tcPr>
          <w:p>
            <w:pPr>
              <w:spacing w:line="240" w:lineRule="auto"/>
              <w:ind w:firstLine="0" w:firstLineChars="0"/>
              <w:jc w:val="center"/>
              <w:rPr>
                <w:color w:val="auto"/>
                <w:sz w:val="21"/>
                <w:szCs w:val="21"/>
              </w:rPr>
            </w:pPr>
            <w:r>
              <w:rPr>
                <w:rFonts w:hint="eastAsia"/>
                <w:color w:val="auto"/>
                <w:sz w:val="21"/>
                <w:szCs w:val="21"/>
              </w:rPr>
              <w:t>造粒机</w:t>
            </w:r>
            <w:r>
              <w:rPr>
                <w:color w:val="auto"/>
                <w:sz w:val="21"/>
                <w:szCs w:val="21"/>
              </w:rPr>
              <w:t>、空压机</w:t>
            </w:r>
            <w:r>
              <w:rPr>
                <w:rFonts w:hint="eastAsia"/>
                <w:color w:val="auto"/>
                <w:sz w:val="21"/>
                <w:szCs w:val="21"/>
              </w:rPr>
              <w:t>、</w:t>
            </w:r>
            <w:r>
              <w:rPr>
                <w:color w:val="auto"/>
                <w:sz w:val="21"/>
                <w:szCs w:val="21"/>
              </w:rPr>
              <w:t>风机、泵类</w:t>
            </w:r>
          </w:p>
        </w:tc>
        <w:tc>
          <w:tcPr>
            <w:tcW w:w="1842" w:type="dxa"/>
            <w:vAlign w:val="center"/>
          </w:tcPr>
          <w:p>
            <w:pPr>
              <w:spacing w:line="240" w:lineRule="auto"/>
              <w:ind w:firstLine="0" w:firstLineChars="0"/>
              <w:jc w:val="center"/>
              <w:rPr>
                <w:color w:val="auto"/>
                <w:sz w:val="21"/>
                <w:szCs w:val="21"/>
              </w:rPr>
            </w:pPr>
            <w:r>
              <w:rPr>
                <w:color w:val="auto"/>
                <w:sz w:val="21"/>
                <w:szCs w:val="21"/>
              </w:rPr>
              <w:t>L</w:t>
            </w:r>
            <w:r>
              <w:rPr>
                <w:color w:val="auto"/>
                <w:sz w:val="21"/>
                <w:szCs w:val="21"/>
                <w:vertAlign w:val="subscript"/>
              </w:rPr>
              <w:t>eq</w:t>
            </w:r>
          </w:p>
        </w:tc>
        <w:tc>
          <w:tcPr>
            <w:tcW w:w="1560" w:type="dxa"/>
            <w:vAlign w:val="center"/>
          </w:tcPr>
          <w:p>
            <w:pPr>
              <w:spacing w:line="240" w:lineRule="auto"/>
              <w:ind w:firstLine="0" w:firstLineChars="0"/>
              <w:jc w:val="center"/>
              <w:rPr>
                <w:color w:val="auto"/>
                <w:sz w:val="21"/>
                <w:szCs w:val="21"/>
              </w:rPr>
            </w:pPr>
            <w:r>
              <w:rPr>
                <w:color w:val="auto"/>
                <w:sz w:val="21"/>
                <w:szCs w:val="21"/>
              </w:rPr>
              <w:t>室内设置、消声、减震等</w:t>
            </w:r>
          </w:p>
        </w:tc>
        <w:tc>
          <w:tcPr>
            <w:tcW w:w="1701" w:type="dxa"/>
            <w:vAlign w:val="center"/>
          </w:tcPr>
          <w:p>
            <w:pPr>
              <w:spacing w:line="240" w:lineRule="auto"/>
              <w:ind w:firstLine="0" w:firstLineChars="0"/>
              <w:jc w:val="center"/>
              <w:rPr>
                <w:color w:val="auto"/>
                <w:kern w:val="0"/>
                <w:sz w:val="21"/>
                <w:szCs w:val="21"/>
              </w:rPr>
            </w:pPr>
            <w:r>
              <w:rPr>
                <w:color w:val="auto"/>
                <w:sz w:val="21"/>
                <w:szCs w:val="21"/>
              </w:rPr>
              <w:t>昼间</w:t>
            </w:r>
            <w:r>
              <w:rPr>
                <w:color w:val="auto"/>
                <w:kern w:val="0"/>
                <w:sz w:val="21"/>
                <w:szCs w:val="21"/>
              </w:rPr>
              <w:t>≤</w:t>
            </w:r>
            <w:r>
              <w:rPr>
                <w:rFonts w:hint="eastAsia"/>
                <w:color w:val="auto"/>
                <w:kern w:val="0"/>
                <w:sz w:val="21"/>
                <w:szCs w:val="21"/>
                <w:lang w:eastAsia="zh-CN"/>
              </w:rPr>
              <w:t>60</w:t>
            </w:r>
            <w:r>
              <w:rPr>
                <w:color w:val="auto"/>
                <w:kern w:val="0"/>
                <w:sz w:val="21"/>
                <w:szCs w:val="21"/>
              </w:rPr>
              <w:t>dB(A)</w:t>
            </w:r>
          </w:p>
          <w:p>
            <w:pPr>
              <w:spacing w:line="240" w:lineRule="auto"/>
              <w:ind w:firstLine="0" w:firstLineChars="0"/>
              <w:jc w:val="center"/>
              <w:rPr>
                <w:color w:val="auto"/>
                <w:sz w:val="21"/>
                <w:szCs w:val="21"/>
              </w:rPr>
            </w:pPr>
            <w:r>
              <w:rPr>
                <w:color w:val="auto"/>
                <w:sz w:val="21"/>
                <w:szCs w:val="21"/>
              </w:rPr>
              <w:t>夜间</w:t>
            </w:r>
            <w:r>
              <w:rPr>
                <w:color w:val="auto"/>
                <w:kern w:val="0"/>
                <w:sz w:val="21"/>
                <w:szCs w:val="21"/>
              </w:rPr>
              <w:t>≤</w:t>
            </w:r>
            <w:r>
              <w:rPr>
                <w:rFonts w:hint="eastAsia"/>
                <w:color w:val="auto"/>
                <w:kern w:val="0"/>
                <w:sz w:val="21"/>
                <w:szCs w:val="21"/>
                <w:lang w:val="en-US" w:eastAsia="zh-CN"/>
              </w:rPr>
              <w:t>50</w:t>
            </w:r>
            <w:r>
              <w:rPr>
                <w:color w:val="auto"/>
                <w:kern w:val="0"/>
                <w:sz w:val="21"/>
                <w:szCs w:val="21"/>
              </w:rPr>
              <w:t>dB(A)</w:t>
            </w:r>
          </w:p>
        </w:tc>
        <w:tc>
          <w:tcPr>
            <w:tcW w:w="2409" w:type="dxa"/>
            <w:vAlign w:val="center"/>
          </w:tcPr>
          <w:p>
            <w:pPr>
              <w:spacing w:line="240" w:lineRule="auto"/>
              <w:ind w:firstLine="0" w:firstLineChars="0"/>
              <w:jc w:val="center"/>
              <w:rPr>
                <w:rFonts w:hint="eastAsia" w:eastAsia="宋体"/>
                <w:color w:val="auto"/>
                <w:sz w:val="21"/>
                <w:szCs w:val="21"/>
                <w:lang w:eastAsia="zh-CN"/>
              </w:rPr>
            </w:pPr>
            <w:r>
              <w:rPr>
                <w:color w:val="auto"/>
                <w:sz w:val="21"/>
                <w:szCs w:val="21"/>
              </w:rPr>
              <w:t>《工业企业厂界环境噪声排放标准》（GB12348-2008）中的</w:t>
            </w:r>
            <w:r>
              <w:rPr>
                <w:rFonts w:hint="eastAsia"/>
                <w:color w:val="auto"/>
                <w:sz w:val="21"/>
                <w:szCs w:val="21"/>
                <w:lang w:eastAsia="zh-CN"/>
              </w:rPr>
              <w:t>2类标准</w:t>
            </w:r>
          </w:p>
        </w:tc>
        <w:tc>
          <w:tcPr>
            <w:tcW w:w="1560" w:type="dxa"/>
            <w:vAlign w:val="center"/>
          </w:tcPr>
          <w:p>
            <w:pPr>
              <w:spacing w:line="240" w:lineRule="auto"/>
              <w:ind w:firstLine="0" w:firstLineChars="0"/>
              <w:jc w:val="center"/>
              <w:rPr>
                <w:color w:val="auto"/>
                <w:sz w:val="21"/>
                <w:szCs w:val="21"/>
              </w:rPr>
            </w:pPr>
            <w:r>
              <w:rPr>
                <w:color w:val="auto"/>
                <w:sz w:val="21"/>
                <w:szCs w:val="21"/>
              </w:rPr>
              <w:t>/</w:t>
            </w:r>
          </w:p>
        </w:tc>
        <w:tc>
          <w:tcPr>
            <w:tcW w:w="1275" w:type="dxa"/>
            <w:vAlign w:val="center"/>
          </w:tcPr>
          <w:p>
            <w:pPr>
              <w:spacing w:line="240" w:lineRule="auto"/>
              <w:ind w:firstLine="0" w:firstLineChars="0"/>
              <w:jc w:val="center"/>
              <w:rPr>
                <w:color w:val="auto"/>
                <w:sz w:val="21"/>
                <w:szCs w:val="21"/>
              </w:rPr>
            </w:pPr>
            <w:r>
              <w:rPr>
                <w:color w:val="auto"/>
                <w:sz w:val="21"/>
                <w:szCs w:val="21"/>
              </w:rPr>
              <w:t>/</w:t>
            </w:r>
          </w:p>
        </w:tc>
        <w:tc>
          <w:tcPr>
            <w:tcW w:w="1069" w:type="dxa"/>
            <w:vAlign w:val="center"/>
          </w:tcPr>
          <w:p>
            <w:pPr>
              <w:spacing w:line="240" w:lineRule="auto"/>
              <w:ind w:firstLine="0" w:firstLineChars="0"/>
              <w:jc w:val="center"/>
              <w:rPr>
                <w:color w:val="auto"/>
                <w:sz w:val="21"/>
                <w:szCs w:val="21"/>
              </w:rPr>
            </w:pPr>
            <w:r>
              <w:rPr>
                <w:color w:val="auto"/>
                <w:sz w:val="21"/>
                <w:szCs w:val="21"/>
              </w:rPr>
              <w:t>每季度监测一次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3" w:type="dxa"/>
            <w:vMerge w:val="restart"/>
            <w:vAlign w:val="center"/>
          </w:tcPr>
          <w:p>
            <w:pPr>
              <w:spacing w:line="240" w:lineRule="auto"/>
              <w:ind w:firstLine="0" w:firstLineChars="0"/>
              <w:jc w:val="center"/>
              <w:rPr>
                <w:color w:val="auto"/>
                <w:sz w:val="21"/>
                <w:szCs w:val="21"/>
              </w:rPr>
            </w:pPr>
            <w:r>
              <w:rPr>
                <w:color w:val="auto"/>
                <w:sz w:val="21"/>
                <w:szCs w:val="21"/>
              </w:rPr>
              <w:t>风险</w:t>
            </w:r>
          </w:p>
        </w:tc>
        <w:tc>
          <w:tcPr>
            <w:tcW w:w="4211" w:type="dxa"/>
            <w:gridSpan w:val="2"/>
            <w:vAlign w:val="center"/>
          </w:tcPr>
          <w:p>
            <w:pPr>
              <w:spacing w:line="240" w:lineRule="auto"/>
              <w:ind w:firstLine="0" w:firstLineChars="0"/>
              <w:jc w:val="center"/>
              <w:rPr>
                <w:color w:val="auto"/>
                <w:sz w:val="21"/>
                <w:szCs w:val="21"/>
              </w:rPr>
            </w:pPr>
            <w:r>
              <w:rPr>
                <w:color w:val="auto"/>
                <w:sz w:val="21"/>
                <w:szCs w:val="21"/>
              </w:rPr>
              <w:t>泄漏</w:t>
            </w:r>
          </w:p>
        </w:tc>
        <w:tc>
          <w:tcPr>
            <w:tcW w:w="5670" w:type="dxa"/>
            <w:gridSpan w:val="3"/>
            <w:vAlign w:val="center"/>
          </w:tcPr>
          <w:p>
            <w:pPr>
              <w:spacing w:line="240" w:lineRule="auto"/>
              <w:ind w:firstLine="0" w:firstLineChars="0"/>
              <w:jc w:val="center"/>
              <w:rPr>
                <w:color w:val="auto"/>
                <w:sz w:val="21"/>
                <w:szCs w:val="21"/>
              </w:rPr>
            </w:pPr>
            <w:r>
              <w:rPr>
                <w:color w:val="auto"/>
                <w:sz w:val="21"/>
                <w:szCs w:val="21"/>
              </w:rPr>
              <w:t>制定环境风险应急预案，企业建有事故应急水池</w:t>
            </w:r>
            <w:r>
              <w:rPr>
                <w:rFonts w:hint="eastAsia"/>
                <w:color w:val="auto"/>
                <w:sz w:val="21"/>
                <w:szCs w:val="21"/>
              </w:rPr>
              <w:t>450</w:t>
            </w:r>
            <w:r>
              <w:rPr>
                <w:color w:val="auto"/>
                <w:sz w:val="21"/>
                <w:szCs w:val="21"/>
              </w:rPr>
              <w:t>m</w:t>
            </w:r>
            <w:r>
              <w:rPr>
                <w:color w:val="auto"/>
                <w:sz w:val="21"/>
                <w:szCs w:val="21"/>
                <w:vertAlign w:val="superscript"/>
              </w:rPr>
              <w:t>3</w:t>
            </w:r>
            <w:r>
              <w:rPr>
                <w:color w:val="auto"/>
                <w:sz w:val="21"/>
                <w:szCs w:val="21"/>
              </w:rPr>
              <w:t>，雨水排放口设置可切换阀门。</w:t>
            </w:r>
          </w:p>
        </w:tc>
        <w:tc>
          <w:tcPr>
            <w:tcW w:w="3904" w:type="dxa"/>
            <w:gridSpan w:val="3"/>
            <w:vMerge w:val="restart"/>
            <w:vAlign w:val="center"/>
          </w:tcPr>
          <w:p>
            <w:pPr>
              <w:spacing w:line="240" w:lineRule="auto"/>
              <w:ind w:firstLine="0" w:firstLineChars="0"/>
              <w:jc w:val="center"/>
              <w:rPr>
                <w:color w:val="auto"/>
                <w:sz w:val="21"/>
                <w:szCs w:val="21"/>
              </w:rPr>
            </w:pPr>
            <w:r>
              <w:rPr>
                <w:color w:val="auto"/>
                <w:sz w:val="21"/>
                <w:szCs w:val="21"/>
              </w:rPr>
              <w:t>全厂形成三级防控体系，确保事故状态下事故废水不泄漏到外环境。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3" w:type="dxa"/>
            <w:vMerge w:val="continue"/>
            <w:vAlign w:val="center"/>
          </w:tcPr>
          <w:p>
            <w:pPr>
              <w:spacing w:line="240" w:lineRule="auto"/>
              <w:ind w:firstLine="0" w:firstLineChars="0"/>
              <w:jc w:val="center"/>
              <w:rPr>
                <w:color w:val="auto"/>
                <w:sz w:val="21"/>
                <w:szCs w:val="21"/>
              </w:rPr>
            </w:pPr>
          </w:p>
        </w:tc>
        <w:tc>
          <w:tcPr>
            <w:tcW w:w="4211" w:type="dxa"/>
            <w:gridSpan w:val="2"/>
            <w:vAlign w:val="center"/>
          </w:tcPr>
          <w:p>
            <w:pPr>
              <w:spacing w:line="240" w:lineRule="auto"/>
              <w:ind w:firstLine="0" w:firstLineChars="0"/>
              <w:jc w:val="center"/>
              <w:rPr>
                <w:color w:val="auto"/>
                <w:sz w:val="21"/>
                <w:szCs w:val="21"/>
              </w:rPr>
            </w:pPr>
            <w:r>
              <w:rPr>
                <w:color w:val="auto"/>
                <w:sz w:val="21"/>
                <w:szCs w:val="21"/>
              </w:rPr>
              <w:t>火灾爆炸</w:t>
            </w:r>
          </w:p>
        </w:tc>
        <w:tc>
          <w:tcPr>
            <w:tcW w:w="5670" w:type="dxa"/>
            <w:gridSpan w:val="3"/>
            <w:vAlign w:val="center"/>
          </w:tcPr>
          <w:p>
            <w:pPr>
              <w:spacing w:line="240" w:lineRule="auto"/>
              <w:ind w:firstLine="0" w:firstLineChars="0"/>
              <w:jc w:val="center"/>
              <w:rPr>
                <w:color w:val="auto"/>
                <w:sz w:val="21"/>
                <w:szCs w:val="21"/>
              </w:rPr>
            </w:pPr>
            <w:r>
              <w:rPr>
                <w:color w:val="auto"/>
                <w:sz w:val="21"/>
                <w:szCs w:val="21"/>
              </w:rPr>
              <w:t>安装可燃气体探测器；设置消防冷却水系统，并配置移动式干粉、泡沫灭火器等灭火设施。</w:t>
            </w:r>
          </w:p>
        </w:tc>
        <w:tc>
          <w:tcPr>
            <w:tcW w:w="3904" w:type="dxa"/>
            <w:gridSpan w:val="3"/>
            <w:vMerge w:val="continue"/>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44" w:type="dxa"/>
            <w:gridSpan w:val="3"/>
            <w:vAlign w:val="center"/>
          </w:tcPr>
          <w:p>
            <w:pPr>
              <w:spacing w:line="240" w:lineRule="auto"/>
              <w:ind w:firstLine="0" w:firstLineChars="0"/>
              <w:jc w:val="center"/>
              <w:rPr>
                <w:color w:val="auto"/>
                <w:sz w:val="21"/>
                <w:szCs w:val="21"/>
              </w:rPr>
            </w:pPr>
            <w:r>
              <w:rPr>
                <w:color w:val="auto"/>
                <w:sz w:val="21"/>
                <w:szCs w:val="21"/>
              </w:rPr>
              <w:t>雨污分流、排污口规范化设置</w:t>
            </w:r>
          </w:p>
        </w:tc>
        <w:tc>
          <w:tcPr>
            <w:tcW w:w="5670" w:type="dxa"/>
            <w:gridSpan w:val="3"/>
            <w:vAlign w:val="center"/>
          </w:tcPr>
          <w:p>
            <w:pPr>
              <w:spacing w:line="240" w:lineRule="auto"/>
              <w:ind w:firstLine="0" w:firstLineChars="0"/>
              <w:jc w:val="center"/>
              <w:rPr>
                <w:color w:val="auto"/>
                <w:sz w:val="21"/>
                <w:szCs w:val="21"/>
              </w:rPr>
            </w:pPr>
            <w:r>
              <w:rPr>
                <w:color w:val="auto"/>
                <w:sz w:val="21"/>
                <w:szCs w:val="21"/>
              </w:rPr>
              <w:t>实行雨污分流制，厂区排水管网按清污分流管网进行建设；排污口按相关要求进行规范化设置。</w:t>
            </w:r>
          </w:p>
        </w:tc>
        <w:tc>
          <w:tcPr>
            <w:tcW w:w="3904" w:type="dxa"/>
            <w:gridSpan w:val="3"/>
            <w:vAlign w:val="center"/>
          </w:tcPr>
          <w:p>
            <w:pPr>
              <w:spacing w:line="240" w:lineRule="auto"/>
              <w:ind w:firstLine="0" w:firstLineChars="0"/>
              <w:jc w:val="center"/>
              <w:rPr>
                <w:color w:val="auto"/>
                <w:sz w:val="21"/>
                <w:szCs w:val="21"/>
              </w:rPr>
            </w:pPr>
            <w:r>
              <w:rPr>
                <w:color w:val="auto"/>
                <w:sz w:val="21"/>
                <w:szCs w:val="21"/>
              </w:rPr>
              <w:t>满足《排污口规范化整治技术要求》及《山东省污水排放口环境信息公开技术规范》（DB37/T2463-2014）的要求。</w:t>
            </w:r>
          </w:p>
        </w:tc>
      </w:tr>
    </w:tbl>
    <w:p>
      <w:pPr>
        <w:ind w:firstLine="0" w:firstLineChars="0"/>
        <w:jc w:val="center"/>
        <w:rPr>
          <w:rFonts w:hint="default" w:ascii="Times New Roman" w:hAnsi="Times New Roman" w:eastAsia="黑体" w:cs="Times New Roman"/>
          <w:b w:val="0"/>
          <w:bCs w:val="0"/>
          <w:color w:val="auto"/>
          <w:sz w:val="21"/>
          <w:szCs w:val="21"/>
        </w:rPr>
      </w:pPr>
    </w:p>
    <w:p>
      <w:pPr>
        <w:pStyle w:val="2"/>
        <w:rPr>
          <w:rFonts w:hint="default"/>
        </w:rPr>
      </w:pPr>
    </w:p>
    <w:p>
      <w:pPr>
        <w:ind w:firstLine="0" w:firstLineChars="0"/>
        <w:jc w:val="center"/>
        <w:rPr>
          <w:rFonts w:hint="default" w:ascii="Times New Roman" w:hAnsi="Times New Roman" w:eastAsia="黑体" w:cs="Times New Roman"/>
          <w:b w:val="0"/>
          <w:bCs w:val="0"/>
          <w:color w:val="auto"/>
          <w:sz w:val="21"/>
          <w:szCs w:val="21"/>
        </w:rPr>
      </w:pPr>
      <w:r>
        <w:rPr>
          <w:rFonts w:hint="default" w:ascii="Times New Roman" w:hAnsi="Times New Roman" w:eastAsia="黑体" w:cs="Times New Roman"/>
          <w:b w:val="0"/>
          <w:bCs w:val="0"/>
          <w:color w:val="auto"/>
          <w:sz w:val="21"/>
          <w:szCs w:val="21"/>
        </w:rPr>
        <w:t>表10.2-2  环境管理台账记录要求</w:t>
      </w:r>
    </w:p>
    <w:tbl>
      <w:tblPr>
        <w:tblStyle w:val="22"/>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1"/>
        <w:gridCol w:w="1030"/>
        <w:gridCol w:w="8738"/>
        <w:gridCol w:w="1961"/>
        <w:gridCol w:w="841"/>
        <w:gridCol w:w="9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2"/>
              <w:spacing w:after="0" w:line="240" w:lineRule="auto"/>
              <w:ind w:firstLine="0" w:firstLineChars="0"/>
              <w:jc w:val="center"/>
              <w:rPr>
                <w:b/>
                <w:bCs/>
                <w:color w:val="auto"/>
                <w:sz w:val="21"/>
                <w:szCs w:val="21"/>
              </w:rPr>
            </w:pPr>
            <w:r>
              <w:rPr>
                <w:b/>
                <w:bCs/>
                <w:color w:val="auto"/>
                <w:sz w:val="21"/>
                <w:szCs w:val="21"/>
              </w:rPr>
              <w:t>设施类别</w:t>
            </w:r>
          </w:p>
        </w:tc>
        <w:tc>
          <w:tcPr>
            <w:tcW w:w="0" w:type="auto"/>
            <w:vAlign w:val="center"/>
          </w:tcPr>
          <w:p>
            <w:pPr>
              <w:pStyle w:val="2"/>
              <w:spacing w:after="0" w:line="240" w:lineRule="auto"/>
              <w:ind w:firstLine="0" w:firstLineChars="0"/>
              <w:jc w:val="center"/>
              <w:rPr>
                <w:b/>
                <w:bCs/>
                <w:color w:val="auto"/>
                <w:sz w:val="21"/>
                <w:szCs w:val="21"/>
              </w:rPr>
            </w:pPr>
            <w:r>
              <w:rPr>
                <w:b/>
                <w:bCs/>
                <w:color w:val="auto"/>
                <w:sz w:val="21"/>
                <w:szCs w:val="21"/>
              </w:rPr>
              <w:t>操作参数</w:t>
            </w:r>
          </w:p>
        </w:tc>
        <w:tc>
          <w:tcPr>
            <w:tcW w:w="0" w:type="auto"/>
            <w:vAlign w:val="center"/>
          </w:tcPr>
          <w:p>
            <w:pPr>
              <w:pStyle w:val="2"/>
              <w:spacing w:after="0" w:line="240" w:lineRule="auto"/>
              <w:ind w:firstLine="0" w:firstLineChars="0"/>
              <w:jc w:val="center"/>
              <w:rPr>
                <w:b/>
                <w:bCs/>
                <w:color w:val="auto"/>
                <w:sz w:val="21"/>
                <w:szCs w:val="21"/>
              </w:rPr>
            </w:pPr>
            <w:r>
              <w:rPr>
                <w:b/>
                <w:bCs/>
                <w:color w:val="auto"/>
                <w:sz w:val="21"/>
                <w:szCs w:val="21"/>
              </w:rPr>
              <w:t>记录内容</w:t>
            </w:r>
          </w:p>
        </w:tc>
        <w:tc>
          <w:tcPr>
            <w:tcW w:w="0" w:type="auto"/>
            <w:vAlign w:val="center"/>
          </w:tcPr>
          <w:p>
            <w:pPr>
              <w:pStyle w:val="2"/>
              <w:spacing w:after="0" w:line="240" w:lineRule="auto"/>
              <w:ind w:firstLine="0" w:firstLineChars="0"/>
              <w:jc w:val="center"/>
              <w:rPr>
                <w:b/>
                <w:bCs/>
                <w:color w:val="auto"/>
                <w:sz w:val="21"/>
                <w:szCs w:val="21"/>
              </w:rPr>
            </w:pPr>
            <w:r>
              <w:rPr>
                <w:b/>
                <w:bCs/>
                <w:color w:val="auto"/>
                <w:sz w:val="21"/>
                <w:szCs w:val="21"/>
              </w:rPr>
              <w:t>记录频次</w:t>
            </w:r>
          </w:p>
        </w:tc>
        <w:tc>
          <w:tcPr>
            <w:tcW w:w="0" w:type="auto"/>
            <w:vAlign w:val="center"/>
          </w:tcPr>
          <w:p>
            <w:pPr>
              <w:pStyle w:val="2"/>
              <w:spacing w:after="0" w:line="240" w:lineRule="auto"/>
              <w:ind w:firstLine="0" w:firstLineChars="0"/>
              <w:jc w:val="center"/>
              <w:rPr>
                <w:b/>
                <w:bCs/>
                <w:color w:val="auto"/>
                <w:sz w:val="21"/>
                <w:szCs w:val="21"/>
              </w:rPr>
            </w:pPr>
            <w:r>
              <w:rPr>
                <w:b/>
                <w:bCs/>
                <w:color w:val="auto"/>
                <w:sz w:val="21"/>
                <w:szCs w:val="21"/>
              </w:rPr>
              <w:t>记录形式</w:t>
            </w:r>
          </w:p>
        </w:tc>
        <w:tc>
          <w:tcPr>
            <w:tcW w:w="0" w:type="auto"/>
            <w:vAlign w:val="center"/>
          </w:tcPr>
          <w:p>
            <w:pPr>
              <w:pStyle w:val="2"/>
              <w:spacing w:after="0" w:line="240" w:lineRule="auto"/>
              <w:ind w:firstLine="0" w:firstLineChars="0"/>
              <w:jc w:val="center"/>
              <w:rPr>
                <w:b/>
                <w:bCs/>
                <w:color w:val="auto"/>
                <w:sz w:val="21"/>
                <w:szCs w:val="21"/>
              </w:rPr>
            </w:pPr>
            <w:r>
              <w:rPr>
                <w:b/>
                <w:bCs/>
                <w:color w:val="auto"/>
                <w:sz w:val="21"/>
                <w:szCs w:val="21"/>
              </w:rPr>
              <w:t>其他信息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2"/>
              <w:spacing w:after="0" w:line="240" w:lineRule="auto"/>
              <w:ind w:firstLine="0" w:firstLineChars="0"/>
              <w:jc w:val="center"/>
              <w:rPr>
                <w:color w:val="auto"/>
                <w:sz w:val="21"/>
                <w:szCs w:val="21"/>
              </w:rPr>
            </w:pPr>
            <w:r>
              <w:rPr>
                <w:color w:val="auto"/>
                <w:sz w:val="21"/>
                <w:szCs w:val="21"/>
              </w:rPr>
              <w:t>生产设施</w:t>
            </w:r>
          </w:p>
        </w:tc>
        <w:tc>
          <w:tcPr>
            <w:tcW w:w="0" w:type="auto"/>
            <w:vAlign w:val="center"/>
          </w:tcPr>
          <w:p>
            <w:pPr>
              <w:pStyle w:val="2"/>
              <w:spacing w:after="0" w:line="240" w:lineRule="auto"/>
              <w:ind w:firstLine="0" w:firstLineChars="0"/>
              <w:jc w:val="center"/>
              <w:rPr>
                <w:color w:val="auto"/>
                <w:sz w:val="21"/>
                <w:szCs w:val="21"/>
              </w:rPr>
            </w:pPr>
            <w:r>
              <w:rPr>
                <w:color w:val="auto"/>
                <w:sz w:val="21"/>
                <w:szCs w:val="21"/>
              </w:rPr>
              <w:t>基本信息</w:t>
            </w:r>
          </w:p>
        </w:tc>
        <w:tc>
          <w:tcPr>
            <w:tcW w:w="0" w:type="auto"/>
            <w:vAlign w:val="center"/>
          </w:tcPr>
          <w:p>
            <w:pPr>
              <w:pStyle w:val="2"/>
              <w:spacing w:after="0" w:line="240" w:lineRule="auto"/>
              <w:ind w:firstLine="0" w:firstLineChars="0"/>
              <w:jc w:val="center"/>
              <w:rPr>
                <w:color w:val="auto"/>
                <w:sz w:val="21"/>
                <w:szCs w:val="21"/>
              </w:rPr>
            </w:pPr>
            <w:r>
              <w:rPr>
                <w:color w:val="auto"/>
                <w:sz w:val="21"/>
                <w:szCs w:val="21"/>
              </w:rPr>
              <w:t>生产线名称、生产设施（设备）名称、编码、设计设施参数、运行设施参数、各生产线累计生产时间、主要产品名称与产量。原辅料：记录名称、消耗量、主要成分含量，名称、时间、采购量、回收量（回收方式）、主要</w:t>
            </w:r>
          </w:p>
          <w:p>
            <w:pPr>
              <w:pStyle w:val="2"/>
              <w:spacing w:after="0" w:line="240" w:lineRule="auto"/>
              <w:ind w:firstLine="0" w:firstLineChars="0"/>
              <w:jc w:val="center"/>
              <w:rPr>
                <w:color w:val="auto"/>
                <w:sz w:val="21"/>
                <w:szCs w:val="21"/>
              </w:rPr>
            </w:pPr>
            <w:r>
              <w:rPr>
                <w:color w:val="auto"/>
                <w:sz w:val="21"/>
                <w:szCs w:val="21"/>
              </w:rPr>
              <w:t>成分含量（挥发性有机物、重金属、其他）。</w:t>
            </w:r>
          </w:p>
        </w:tc>
        <w:tc>
          <w:tcPr>
            <w:tcW w:w="0" w:type="auto"/>
            <w:vAlign w:val="center"/>
          </w:tcPr>
          <w:p>
            <w:pPr>
              <w:pStyle w:val="2"/>
              <w:spacing w:after="0" w:line="240" w:lineRule="auto"/>
              <w:ind w:firstLine="0" w:firstLineChars="0"/>
              <w:jc w:val="center"/>
              <w:rPr>
                <w:rFonts w:hint="eastAsia" w:eastAsia="宋体"/>
                <w:color w:val="auto"/>
                <w:sz w:val="21"/>
                <w:szCs w:val="21"/>
                <w:lang w:val="en-US" w:eastAsia="zh-CN"/>
              </w:rPr>
            </w:pPr>
            <w:r>
              <w:rPr>
                <w:color w:val="auto"/>
                <w:sz w:val="21"/>
                <w:szCs w:val="21"/>
              </w:rPr>
              <w:t>按生产</w:t>
            </w:r>
            <w:r>
              <w:rPr>
                <w:rFonts w:hint="eastAsia"/>
                <w:color w:val="auto"/>
                <w:sz w:val="21"/>
                <w:szCs w:val="21"/>
                <w:lang w:val="en-US" w:eastAsia="zh-CN"/>
              </w:rPr>
              <w:t>天数</w:t>
            </w:r>
          </w:p>
        </w:tc>
        <w:tc>
          <w:tcPr>
            <w:tcW w:w="0" w:type="auto"/>
            <w:vAlign w:val="center"/>
          </w:tcPr>
          <w:p>
            <w:pPr>
              <w:pStyle w:val="2"/>
              <w:spacing w:after="0" w:line="240" w:lineRule="auto"/>
              <w:ind w:firstLine="0" w:firstLineChars="0"/>
              <w:jc w:val="center"/>
              <w:rPr>
                <w:color w:val="auto"/>
                <w:sz w:val="21"/>
                <w:szCs w:val="21"/>
              </w:rPr>
            </w:pPr>
            <w:r>
              <w:rPr>
                <w:color w:val="auto"/>
                <w:sz w:val="21"/>
                <w:szCs w:val="21"/>
              </w:rPr>
              <w:t>电子台账+纸质台账</w:t>
            </w:r>
          </w:p>
        </w:tc>
        <w:tc>
          <w:tcPr>
            <w:tcW w:w="0" w:type="auto"/>
            <w:vAlign w:val="center"/>
          </w:tcPr>
          <w:p>
            <w:pPr>
              <w:pStyle w:val="2"/>
              <w:spacing w:after="0" w:line="240" w:lineRule="auto"/>
              <w:ind w:firstLine="0" w:firstLineChars="0"/>
              <w:jc w:val="center"/>
              <w:rPr>
                <w:color w:val="auto"/>
                <w:sz w:val="21"/>
                <w:szCs w:val="21"/>
              </w:rPr>
            </w:pPr>
            <w:r>
              <w:rPr>
                <w:color w:val="auto"/>
                <w:sz w:val="21"/>
                <w:szCs w:val="21"/>
              </w:rPr>
              <w:t>保存期限不得少于5年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2"/>
              <w:spacing w:after="0" w:line="240" w:lineRule="auto"/>
              <w:ind w:firstLine="0" w:firstLineChars="0"/>
              <w:jc w:val="center"/>
              <w:rPr>
                <w:color w:val="auto"/>
                <w:sz w:val="21"/>
                <w:szCs w:val="21"/>
              </w:rPr>
            </w:pPr>
            <w:r>
              <w:rPr>
                <w:color w:val="auto"/>
                <w:sz w:val="21"/>
                <w:szCs w:val="21"/>
              </w:rPr>
              <w:t>污染防治设施</w:t>
            </w:r>
          </w:p>
        </w:tc>
        <w:tc>
          <w:tcPr>
            <w:tcW w:w="0" w:type="auto"/>
            <w:vAlign w:val="center"/>
          </w:tcPr>
          <w:p>
            <w:pPr>
              <w:pStyle w:val="2"/>
              <w:spacing w:after="0" w:line="240" w:lineRule="auto"/>
              <w:ind w:firstLine="0" w:firstLineChars="0"/>
              <w:jc w:val="center"/>
              <w:rPr>
                <w:color w:val="auto"/>
                <w:sz w:val="21"/>
                <w:szCs w:val="21"/>
              </w:rPr>
            </w:pPr>
            <w:r>
              <w:rPr>
                <w:color w:val="auto"/>
                <w:sz w:val="21"/>
                <w:szCs w:val="21"/>
              </w:rPr>
              <w:t>监测记录信息</w:t>
            </w:r>
          </w:p>
        </w:tc>
        <w:tc>
          <w:tcPr>
            <w:tcW w:w="0" w:type="auto"/>
            <w:vAlign w:val="center"/>
          </w:tcPr>
          <w:p>
            <w:pPr>
              <w:pStyle w:val="2"/>
              <w:spacing w:after="0" w:line="240" w:lineRule="auto"/>
              <w:ind w:firstLine="0" w:firstLineChars="0"/>
              <w:jc w:val="center"/>
              <w:rPr>
                <w:color w:val="auto"/>
                <w:sz w:val="21"/>
                <w:szCs w:val="21"/>
              </w:rPr>
            </w:pPr>
            <w:r>
              <w:rPr>
                <w:color w:val="auto"/>
                <w:sz w:val="21"/>
                <w:szCs w:val="21"/>
              </w:rPr>
              <w:t>有组织废气和废水监测记录信息包括排放口编号、监测日期、时间、监测方法、监测频次、监测仪器及型号、采样点位、采样方法、进出口污染物监测结果等。无组织废气监测主要包括生产设施/无组织排放编号、监测日期、监测时间、控制的无组织污染物监测信息。</w:t>
            </w:r>
          </w:p>
        </w:tc>
        <w:tc>
          <w:tcPr>
            <w:tcW w:w="0" w:type="auto"/>
            <w:vAlign w:val="center"/>
          </w:tcPr>
          <w:p>
            <w:pPr>
              <w:pStyle w:val="2"/>
              <w:spacing w:after="0" w:line="240" w:lineRule="auto"/>
              <w:ind w:firstLine="0" w:firstLineChars="0"/>
              <w:jc w:val="center"/>
              <w:rPr>
                <w:color w:val="auto"/>
                <w:sz w:val="21"/>
                <w:szCs w:val="21"/>
              </w:rPr>
            </w:pPr>
            <w:r>
              <w:rPr>
                <w:color w:val="auto"/>
                <w:sz w:val="21"/>
                <w:szCs w:val="21"/>
              </w:rPr>
              <w:t>按监测频次</w:t>
            </w:r>
          </w:p>
        </w:tc>
        <w:tc>
          <w:tcPr>
            <w:tcW w:w="0" w:type="auto"/>
            <w:vAlign w:val="center"/>
          </w:tcPr>
          <w:p>
            <w:pPr>
              <w:pStyle w:val="2"/>
              <w:spacing w:after="0" w:line="240" w:lineRule="auto"/>
              <w:ind w:firstLine="0" w:firstLineChars="0"/>
              <w:jc w:val="center"/>
              <w:rPr>
                <w:color w:val="auto"/>
                <w:sz w:val="21"/>
                <w:szCs w:val="21"/>
              </w:rPr>
            </w:pPr>
            <w:r>
              <w:rPr>
                <w:color w:val="auto"/>
                <w:sz w:val="21"/>
                <w:szCs w:val="21"/>
              </w:rPr>
              <w:t>电子台账+纸质台账</w:t>
            </w:r>
          </w:p>
        </w:tc>
        <w:tc>
          <w:tcPr>
            <w:tcW w:w="0" w:type="auto"/>
            <w:vAlign w:val="center"/>
          </w:tcPr>
          <w:p>
            <w:pPr>
              <w:pStyle w:val="2"/>
              <w:spacing w:after="0" w:line="240" w:lineRule="auto"/>
              <w:ind w:firstLine="0" w:firstLineChars="0"/>
              <w:jc w:val="center"/>
              <w:rPr>
                <w:color w:val="auto"/>
                <w:sz w:val="21"/>
                <w:szCs w:val="21"/>
              </w:rPr>
            </w:pPr>
            <w:r>
              <w:rPr>
                <w:color w:val="auto"/>
                <w:sz w:val="21"/>
                <w:szCs w:val="21"/>
              </w:rPr>
              <w:t>保存期限不得少于5年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2"/>
              <w:spacing w:after="0" w:line="240" w:lineRule="auto"/>
              <w:ind w:firstLine="0" w:firstLineChars="0"/>
              <w:jc w:val="center"/>
              <w:rPr>
                <w:color w:val="auto"/>
                <w:sz w:val="21"/>
                <w:szCs w:val="21"/>
              </w:rPr>
            </w:pPr>
            <w:r>
              <w:rPr>
                <w:color w:val="auto"/>
                <w:sz w:val="21"/>
                <w:szCs w:val="21"/>
              </w:rPr>
              <w:t>污染防治设施</w:t>
            </w:r>
          </w:p>
        </w:tc>
        <w:tc>
          <w:tcPr>
            <w:tcW w:w="0" w:type="auto"/>
            <w:vAlign w:val="center"/>
          </w:tcPr>
          <w:p>
            <w:pPr>
              <w:pStyle w:val="2"/>
              <w:spacing w:after="0" w:line="240" w:lineRule="auto"/>
              <w:ind w:firstLine="0" w:firstLineChars="0"/>
              <w:jc w:val="center"/>
              <w:rPr>
                <w:color w:val="auto"/>
                <w:sz w:val="21"/>
                <w:szCs w:val="21"/>
              </w:rPr>
            </w:pPr>
            <w:r>
              <w:rPr>
                <w:color w:val="auto"/>
                <w:sz w:val="21"/>
                <w:szCs w:val="21"/>
              </w:rPr>
              <w:t>其他环境管理信息</w:t>
            </w:r>
          </w:p>
        </w:tc>
        <w:tc>
          <w:tcPr>
            <w:tcW w:w="0" w:type="auto"/>
            <w:vAlign w:val="center"/>
          </w:tcPr>
          <w:p>
            <w:pPr>
              <w:pStyle w:val="2"/>
              <w:spacing w:after="0" w:line="240" w:lineRule="auto"/>
              <w:ind w:firstLine="0" w:firstLineChars="0"/>
              <w:jc w:val="center"/>
              <w:rPr>
                <w:color w:val="auto"/>
                <w:sz w:val="21"/>
                <w:szCs w:val="21"/>
              </w:rPr>
            </w:pPr>
            <w:r>
              <w:rPr>
                <w:color w:val="auto"/>
                <w:sz w:val="21"/>
                <w:szCs w:val="21"/>
              </w:rPr>
              <w:t>采取无组织废气污染控制措施的信息记录频次原则上为每月记录1次。</w:t>
            </w:r>
          </w:p>
          <w:p>
            <w:pPr>
              <w:pStyle w:val="2"/>
              <w:spacing w:after="0" w:line="240" w:lineRule="auto"/>
              <w:ind w:firstLine="0" w:firstLineChars="0"/>
              <w:jc w:val="center"/>
              <w:rPr>
                <w:color w:val="auto"/>
                <w:sz w:val="21"/>
                <w:szCs w:val="21"/>
              </w:rPr>
            </w:pPr>
            <w:r>
              <w:rPr>
                <w:color w:val="auto"/>
                <w:sz w:val="21"/>
                <w:szCs w:val="21"/>
              </w:rPr>
              <w:t>特殊时段的台账记录频次原则上与正常生产记录频次要求一致，涉及特殊时段停产的排污单位或生产工序，该期间原则上仅对起始和结束当天进行1 次记录，地方主管部门有特殊要求的，从其规定。</w:t>
            </w:r>
          </w:p>
        </w:tc>
        <w:tc>
          <w:tcPr>
            <w:tcW w:w="0" w:type="auto"/>
            <w:vAlign w:val="center"/>
          </w:tcPr>
          <w:p>
            <w:pPr>
              <w:pStyle w:val="2"/>
              <w:spacing w:after="0" w:line="240" w:lineRule="auto"/>
              <w:ind w:firstLine="0" w:firstLineChars="0"/>
              <w:jc w:val="center"/>
              <w:rPr>
                <w:color w:val="auto"/>
                <w:sz w:val="21"/>
                <w:szCs w:val="21"/>
              </w:rPr>
            </w:pPr>
            <w:r>
              <w:rPr>
                <w:color w:val="auto"/>
                <w:sz w:val="21"/>
                <w:szCs w:val="21"/>
              </w:rPr>
              <w:t>按工况期</w:t>
            </w:r>
          </w:p>
        </w:tc>
        <w:tc>
          <w:tcPr>
            <w:tcW w:w="0" w:type="auto"/>
            <w:vAlign w:val="center"/>
          </w:tcPr>
          <w:p>
            <w:pPr>
              <w:pStyle w:val="2"/>
              <w:spacing w:after="0" w:line="240" w:lineRule="auto"/>
              <w:ind w:firstLine="0" w:firstLineChars="0"/>
              <w:jc w:val="center"/>
              <w:rPr>
                <w:color w:val="auto"/>
                <w:sz w:val="21"/>
                <w:szCs w:val="21"/>
              </w:rPr>
            </w:pPr>
            <w:r>
              <w:rPr>
                <w:color w:val="auto"/>
                <w:sz w:val="21"/>
                <w:szCs w:val="21"/>
              </w:rPr>
              <w:t>电子台账+纸质台账</w:t>
            </w:r>
          </w:p>
        </w:tc>
        <w:tc>
          <w:tcPr>
            <w:tcW w:w="0" w:type="auto"/>
            <w:vAlign w:val="center"/>
          </w:tcPr>
          <w:p>
            <w:pPr>
              <w:pStyle w:val="2"/>
              <w:spacing w:after="0" w:line="240" w:lineRule="auto"/>
              <w:ind w:firstLine="0" w:firstLineChars="0"/>
              <w:jc w:val="center"/>
              <w:rPr>
                <w:color w:val="auto"/>
                <w:sz w:val="21"/>
                <w:szCs w:val="21"/>
              </w:rPr>
            </w:pPr>
            <w:r>
              <w:rPr>
                <w:color w:val="auto"/>
                <w:sz w:val="21"/>
                <w:szCs w:val="21"/>
              </w:rPr>
              <w:t>保存期限不得少于5年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2"/>
              <w:spacing w:after="0" w:line="240" w:lineRule="auto"/>
              <w:ind w:firstLine="0" w:firstLineChars="0"/>
              <w:jc w:val="center"/>
              <w:rPr>
                <w:color w:val="auto"/>
                <w:sz w:val="21"/>
                <w:szCs w:val="21"/>
              </w:rPr>
            </w:pPr>
            <w:r>
              <w:rPr>
                <w:color w:val="auto"/>
                <w:sz w:val="21"/>
                <w:szCs w:val="21"/>
              </w:rPr>
              <w:t>污染防治设施</w:t>
            </w:r>
          </w:p>
        </w:tc>
        <w:tc>
          <w:tcPr>
            <w:tcW w:w="0" w:type="auto"/>
            <w:vAlign w:val="center"/>
          </w:tcPr>
          <w:p>
            <w:pPr>
              <w:pStyle w:val="2"/>
              <w:spacing w:after="0" w:line="240" w:lineRule="auto"/>
              <w:ind w:firstLine="0" w:firstLineChars="0"/>
              <w:jc w:val="center"/>
              <w:rPr>
                <w:color w:val="auto"/>
                <w:sz w:val="21"/>
                <w:szCs w:val="21"/>
              </w:rPr>
            </w:pPr>
            <w:r>
              <w:rPr>
                <w:color w:val="auto"/>
                <w:sz w:val="21"/>
                <w:szCs w:val="21"/>
              </w:rPr>
              <w:t>污染治理措施运行管理信息</w:t>
            </w:r>
          </w:p>
        </w:tc>
        <w:tc>
          <w:tcPr>
            <w:tcW w:w="0" w:type="auto"/>
            <w:vAlign w:val="center"/>
          </w:tcPr>
          <w:p>
            <w:pPr>
              <w:pStyle w:val="2"/>
              <w:spacing w:after="0" w:line="240" w:lineRule="auto"/>
              <w:ind w:firstLine="0" w:firstLineChars="0"/>
              <w:jc w:val="center"/>
              <w:rPr>
                <w:color w:val="auto"/>
                <w:sz w:val="21"/>
                <w:szCs w:val="21"/>
              </w:rPr>
            </w:pPr>
            <w:r>
              <w:rPr>
                <w:color w:val="auto"/>
                <w:sz w:val="21"/>
                <w:szCs w:val="21"/>
              </w:rPr>
              <w:t>有组织废气治理设施记录设施规格参数、运行时间、运行状态、污染物排放信息、废气处置设施相关耗材名称、设计消耗量、实际消耗量等。无组织废气控制措施包括记录时间、无组织排放源、采取的控制措施、措施描述等。废水治理设施记录设施名称、主要规格参数、运行时间、运行状态、污染物排放情况、耗电量、药剂情况等。</w:t>
            </w:r>
          </w:p>
        </w:tc>
        <w:tc>
          <w:tcPr>
            <w:tcW w:w="0" w:type="auto"/>
            <w:vAlign w:val="center"/>
          </w:tcPr>
          <w:p>
            <w:pPr>
              <w:pStyle w:val="2"/>
              <w:spacing w:after="0" w:line="240" w:lineRule="auto"/>
              <w:ind w:firstLine="0" w:firstLineChars="0"/>
              <w:jc w:val="center"/>
              <w:rPr>
                <w:color w:val="auto"/>
                <w:sz w:val="21"/>
                <w:szCs w:val="21"/>
              </w:rPr>
            </w:pPr>
            <w:r>
              <w:rPr>
                <w:color w:val="auto"/>
                <w:sz w:val="21"/>
                <w:szCs w:val="21"/>
              </w:rPr>
              <w:t>按污染治理设施分别记录并根据现场污染设施的配置情况及时更新</w:t>
            </w:r>
          </w:p>
        </w:tc>
        <w:tc>
          <w:tcPr>
            <w:tcW w:w="0" w:type="auto"/>
            <w:vAlign w:val="center"/>
          </w:tcPr>
          <w:p>
            <w:pPr>
              <w:pStyle w:val="2"/>
              <w:spacing w:after="0" w:line="240" w:lineRule="auto"/>
              <w:ind w:firstLine="0" w:firstLineChars="0"/>
              <w:jc w:val="center"/>
              <w:rPr>
                <w:color w:val="auto"/>
                <w:sz w:val="21"/>
                <w:szCs w:val="21"/>
              </w:rPr>
            </w:pPr>
            <w:r>
              <w:rPr>
                <w:color w:val="auto"/>
                <w:sz w:val="21"/>
                <w:szCs w:val="21"/>
              </w:rPr>
              <w:t>电子台账+纸质台账</w:t>
            </w:r>
          </w:p>
        </w:tc>
        <w:tc>
          <w:tcPr>
            <w:tcW w:w="0" w:type="auto"/>
            <w:vAlign w:val="center"/>
          </w:tcPr>
          <w:p>
            <w:pPr>
              <w:pStyle w:val="2"/>
              <w:spacing w:after="0" w:line="240" w:lineRule="auto"/>
              <w:ind w:firstLine="0" w:firstLineChars="0"/>
              <w:jc w:val="center"/>
              <w:rPr>
                <w:color w:val="auto"/>
                <w:sz w:val="21"/>
                <w:szCs w:val="21"/>
              </w:rPr>
            </w:pPr>
            <w:r>
              <w:rPr>
                <w:color w:val="auto"/>
                <w:sz w:val="21"/>
                <w:szCs w:val="21"/>
              </w:rPr>
              <w:t>保存期限不得少于5年</w:t>
            </w:r>
          </w:p>
        </w:tc>
      </w:tr>
    </w:tbl>
    <w:p>
      <w:pPr>
        <w:pStyle w:val="2"/>
        <w:ind w:firstLine="480"/>
        <w:rPr>
          <w:color w:val="auto"/>
        </w:rPr>
        <w:sectPr>
          <w:headerReference r:id="rId48" w:type="default"/>
          <w:pgSz w:w="16838" w:h="11906" w:orient="landscape"/>
          <w:pgMar w:top="1417" w:right="1417" w:bottom="1417" w:left="1446" w:header="851" w:footer="992" w:gutter="0"/>
          <w:pgBorders>
            <w:top w:val="none" w:sz="0" w:space="0"/>
            <w:left w:val="none" w:sz="0" w:space="0"/>
            <w:bottom w:val="none" w:sz="0" w:space="0"/>
            <w:right w:val="none" w:sz="0" w:space="0"/>
          </w:pgBorders>
          <w:cols w:space="425" w:num="1"/>
          <w:docGrid w:type="lines" w:linePitch="312" w:charSpace="0"/>
        </w:sectPr>
      </w:pPr>
    </w:p>
    <w:p>
      <w:pPr>
        <w:pStyle w:val="8"/>
        <w:spacing w:before="156" w:after="156" w:line="360" w:lineRule="auto"/>
        <w:rPr>
          <w:color w:val="auto"/>
        </w:rPr>
      </w:pPr>
      <w:bookmarkStart w:id="456" w:name="_Toc15533"/>
      <w:bookmarkStart w:id="457" w:name="_Toc11935"/>
      <w:bookmarkStart w:id="458" w:name="_Toc31472"/>
      <w:bookmarkStart w:id="459" w:name="_Toc21317"/>
      <w:bookmarkStart w:id="460" w:name="_Toc31450"/>
      <w:bookmarkStart w:id="461" w:name="_Toc18497"/>
      <w:r>
        <w:rPr>
          <w:color w:val="auto"/>
        </w:rPr>
        <w:t>10.3环境监测</w:t>
      </w:r>
      <w:bookmarkEnd w:id="456"/>
      <w:bookmarkEnd w:id="457"/>
      <w:bookmarkEnd w:id="458"/>
      <w:bookmarkEnd w:id="459"/>
      <w:r>
        <w:rPr>
          <w:color w:val="auto"/>
        </w:rPr>
        <w:t>计划</w:t>
      </w:r>
      <w:bookmarkEnd w:id="460"/>
      <w:bookmarkEnd w:id="461"/>
    </w:p>
    <w:p>
      <w:pPr>
        <w:ind w:firstLine="480"/>
        <w:rPr>
          <w:color w:val="auto"/>
        </w:rPr>
      </w:pPr>
      <w:r>
        <w:rPr>
          <w:rFonts w:hint="eastAsia"/>
          <w:color w:val="auto"/>
        </w:rPr>
        <w:t>拟建项目</w:t>
      </w:r>
      <w:r>
        <w:rPr>
          <w:color w:val="auto"/>
        </w:rPr>
        <w:t>监测计划主要包括污染源监测、环境质量监测和应急监测计划，委托有检测资质的单位进行监测。</w:t>
      </w:r>
    </w:p>
    <w:p>
      <w:pPr>
        <w:pStyle w:val="9"/>
        <w:spacing w:before="156" w:after="156" w:line="360" w:lineRule="auto"/>
        <w:rPr>
          <w:color w:val="auto"/>
          <w:szCs w:val="36"/>
        </w:rPr>
      </w:pPr>
      <w:bookmarkStart w:id="462" w:name="_Toc27938"/>
      <w:bookmarkStart w:id="463" w:name="_Toc11388"/>
      <w:bookmarkStart w:id="464" w:name="_Toc29168"/>
      <w:r>
        <w:rPr>
          <w:color w:val="auto"/>
        </w:rPr>
        <w:t xml:space="preserve">10.3.1 </w:t>
      </w:r>
      <w:bookmarkEnd w:id="462"/>
      <w:bookmarkEnd w:id="463"/>
      <w:bookmarkEnd w:id="464"/>
      <w:r>
        <w:rPr>
          <w:color w:val="auto"/>
        </w:rPr>
        <w:t>污染源监测</w:t>
      </w:r>
    </w:p>
    <w:p>
      <w:pPr>
        <w:ind w:firstLine="480"/>
        <w:rPr>
          <w:color w:val="auto"/>
        </w:rPr>
      </w:pPr>
      <w:r>
        <w:rPr>
          <w:color w:val="auto"/>
        </w:rPr>
        <w:t>根据《</w:t>
      </w:r>
      <w:r>
        <w:rPr>
          <w:color w:val="auto"/>
        </w:rPr>
        <w:fldChar w:fldCharType="begin"/>
      </w:r>
      <w:r>
        <w:rPr>
          <w:color w:val="auto"/>
        </w:rPr>
        <w:instrText xml:space="preserve"> HYPERLINK "https://www.baidu.com/link?url=g8KWqiB9N08IRKs8M6QbLzXN-qFpBvbVGxYSLvQu4apZrXz3iPaqW7lRpTleWbiSl4zGnHLculglcGZoGYavsdOWCD3UcHtGKG51PecTAZKAdvco7Bcmdn6E5kw5gfv4&amp;wd=&amp;eqid=867f444a000088d7000000025bff52b5" \t "https://www.baidu.com/_blank" </w:instrText>
      </w:r>
      <w:r>
        <w:rPr>
          <w:color w:val="auto"/>
        </w:rPr>
        <w:fldChar w:fldCharType="separate"/>
      </w:r>
      <w:r>
        <w:rPr>
          <w:color w:val="auto"/>
        </w:rPr>
        <w:t>排污单位自行监测技术指南</w:t>
      </w:r>
      <w:r>
        <w:rPr>
          <w:rFonts w:hint="eastAsia"/>
          <w:color w:val="auto"/>
        </w:rPr>
        <w:t xml:space="preserve"> </w:t>
      </w:r>
      <w:r>
        <w:rPr>
          <w:color w:val="auto"/>
        </w:rPr>
        <w:t>总则</w:t>
      </w:r>
      <w:r>
        <w:rPr>
          <w:color w:val="auto"/>
        </w:rPr>
        <w:fldChar w:fldCharType="end"/>
      </w:r>
      <w:r>
        <w:rPr>
          <w:color w:val="auto"/>
        </w:rPr>
        <w:t>》（HJ 819</w:t>
      </w:r>
      <w:r>
        <w:rPr>
          <w:rFonts w:hint="eastAsia"/>
          <w:color w:val="auto"/>
        </w:rPr>
        <w:t>-</w:t>
      </w:r>
      <w:r>
        <w:rPr>
          <w:color w:val="auto"/>
        </w:rPr>
        <w:t>2017）</w:t>
      </w:r>
      <w:r>
        <w:rPr>
          <w:rFonts w:hint="eastAsia"/>
          <w:color w:val="auto"/>
        </w:rPr>
        <w:t>以及《排污单位自行监测技术指南  化学纤维制造业》（HJ</w:t>
      </w:r>
      <w:r>
        <w:rPr>
          <w:rFonts w:hint="eastAsia"/>
          <w:color w:val="auto"/>
          <w:lang w:val="en-US" w:eastAsia="zh-CN"/>
        </w:rPr>
        <w:t>1139</w:t>
      </w:r>
      <w:r>
        <w:rPr>
          <w:rFonts w:hint="eastAsia"/>
          <w:color w:val="auto"/>
        </w:rPr>
        <w:t>-</w:t>
      </w:r>
      <w:r>
        <w:rPr>
          <w:rFonts w:hint="eastAsia"/>
          <w:color w:val="auto"/>
          <w:lang w:val="en-US" w:eastAsia="zh-CN"/>
        </w:rPr>
        <w:t>2020</w:t>
      </w:r>
      <w:r>
        <w:rPr>
          <w:rFonts w:hint="eastAsia"/>
          <w:color w:val="auto"/>
        </w:rPr>
        <w:t>），锅炉参照《排污单位自行监测技术指南 火力发电及锅炉》（HJ 820-2017）执行</w:t>
      </w:r>
      <w:r>
        <w:rPr>
          <w:color w:val="auto"/>
        </w:rPr>
        <w:t>，针对</w:t>
      </w:r>
      <w:r>
        <w:rPr>
          <w:rFonts w:hint="eastAsia"/>
          <w:color w:val="auto"/>
        </w:rPr>
        <w:t>拟建项目</w:t>
      </w:r>
      <w:r>
        <w:rPr>
          <w:color w:val="auto"/>
        </w:rPr>
        <w:t>污染源的污染物排放情况，其监测计划见表10.3-1。</w:t>
      </w:r>
    </w:p>
    <w:p>
      <w:pPr>
        <w:ind w:firstLine="0" w:firstLineChars="0"/>
        <w:jc w:val="center"/>
        <w:rPr>
          <w:rFonts w:eastAsia="黑体"/>
          <w:b w:val="0"/>
          <w:bCs/>
          <w:color w:val="auto"/>
          <w:sz w:val="21"/>
          <w:szCs w:val="21"/>
        </w:rPr>
      </w:pPr>
      <w:r>
        <w:rPr>
          <w:rFonts w:eastAsia="黑体"/>
          <w:b w:val="0"/>
          <w:bCs/>
          <w:color w:val="auto"/>
          <w:sz w:val="21"/>
          <w:szCs w:val="21"/>
        </w:rPr>
        <w:t xml:space="preserve">表10.3-1  </w:t>
      </w:r>
      <w:r>
        <w:rPr>
          <w:rFonts w:hint="eastAsia" w:eastAsia="黑体"/>
          <w:b w:val="0"/>
          <w:bCs/>
          <w:color w:val="auto"/>
          <w:sz w:val="21"/>
          <w:szCs w:val="21"/>
        </w:rPr>
        <w:t>拟建项目</w:t>
      </w:r>
      <w:r>
        <w:rPr>
          <w:rFonts w:eastAsia="黑体"/>
          <w:b w:val="0"/>
          <w:bCs/>
          <w:color w:val="auto"/>
          <w:sz w:val="21"/>
          <w:szCs w:val="21"/>
        </w:rPr>
        <w:t>污染源监测计划一览表</w:t>
      </w:r>
    </w:p>
    <w:tbl>
      <w:tblPr>
        <w:tblStyle w:val="22"/>
        <w:tblW w:w="917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026"/>
        <w:gridCol w:w="1292"/>
        <w:gridCol w:w="4770"/>
        <w:gridCol w:w="20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026" w:type="dxa"/>
            <w:vAlign w:val="center"/>
          </w:tcPr>
          <w:p>
            <w:pPr>
              <w:snapToGrid w:val="0"/>
              <w:spacing w:line="0" w:lineRule="atLeast"/>
              <w:ind w:firstLine="0" w:firstLineChars="0"/>
              <w:jc w:val="center"/>
              <w:rPr>
                <w:b/>
                <w:color w:val="auto"/>
                <w:sz w:val="21"/>
                <w:szCs w:val="21"/>
              </w:rPr>
            </w:pPr>
            <w:r>
              <w:rPr>
                <w:b/>
                <w:color w:val="auto"/>
                <w:sz w:val="21"/>
                <w:szCs w:val="21"/>
              </w:rPr>
              <w:t>环境要素</w:t>
            </w:r>
          </w:p>
        </w:tc>
        <w:tc>
          <w:tcPr>
            <w:tcW w:w="1292" w:type="dxa"/>
            <w:vAlign w:val="center"/>
          </w:tcPr>
          <w:p>
            <w:pPr>
              <w:snapToGrid w:val="0"/>
              <w:spacing w:line="0" w:lineRule="atLeast"/>
              <w:ind w:firstLine="0" w:firstLineChars="0"/>
              <w:jc w:val="center"/>
              <w:rPr>
                <w:b/>
                <w:color w:val="auto"/>
                <w:sz w:val="21"/>
                <w:szCs w:val="21"/>
              </w:rPr>
            </w:pPr>
            <w:r>
              <w:rPr>
                <w:b/>
                <w:color w:val="auto"/>
                <w:sz w:val="21"/>
                <w:szCs w:val="21"/>
              </w:rPr>
              <w:t>监测位置</w:t>
            </w:r>
          </w:p>
        </w:tc>
        <w:tc>
          <w:tcPr>
            <w:tcW w:w="4770" w:type="dxa"/>
            <w:vAlign w:val="center"/>
          </w:tcPr>
          <w:p>
            <w:pPr>
              <w:snapToGrid w:val="0"/>
              <w:spacing w:line="0" w:lineRule="atLeast"/>
              <w:ind w:firstLine="0" w:firstLineChars="0"/>
              <w:jc w:val="center"/>
              <w:rPr>
                <w:b/>
                <w:color w:val="auto"/>
                <w:sz w:val="21"/>
                <w:szCs w:val="21"/>
              </w:rPr>
            </w:pPr>
            <w:r>
              <w:rPr>
                <w:b/>
                <w:color w:val="auto"/>
                <w:sz w:val="21"/>
                <w:szCs w:val="21"/>
              </w:rPr>
              <w:t>监测项目</w:t>
            </w:r>
          </w:p>
        </w:tc>
        <w:tc>
          <w:tcPr>
            <w:tcW w:w="2086" w:type="dxa"/>
            <w:vAlign w:val="center"/>
          </w:tcPr>
          <w:p>
            <w:pPr>
              <w:snapToGrid w:val="0"/>
              <w:spacing w:line="0" w:lineRule="atLeast"/>
              <w:ind w:firstLine="0" w:firstLineChars="0"/>
              <w:jc w:val="center"/>
              <w:rPr>
                <w:b/>
                <w:color w:val="auto"/>
                <w:sz w:val="21"/>
                <w:szCs w:val="21"/>
              </w:rPr>
            </w:pPr>
            <w:r>
              <w:rPr>
                <w:b/>
                <w:color w:val="auto"/>
                <w:sz w:val="21"/>
                <w:szCs w:val="21"/>
              </w:rPr>
              <w:t>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026" w:type="dxa"/>
            <w:vMerge w:val="restart"/>
            <w:vAlign w:val="center"/>
          </w:tcPr>
          <w:p>
            <w:pPr>
              <w:snapToGrid w:val="0"/>
              <w:spacing w:line="0" w:lineRule="atLeast"/>
              <w:ind w:firstLine="0" w:firstLineChars="0"/>
              <w:jc w:val="center"/>
              <w:rPr>
                <w:color w:val="auto"/>
                <w:sz w:val="21"/>
                <w:szCs w:val="21"/>
              </w:rPr>
            </w:pPr>
            <w:r>
              <w:rPr>
                <w:color w:val="auto"/>
                <w:sz w:val="21"/>
                <w:szCs w:val="21"/>
              </w:rPr>
              <w:t>废气</w:t>
            </w:r>
          </w:p>
        </w:tc>
        <w:tc>
          <w:tcPr>
            <w:tcW w:w="1292" w:type="dxa"/>
            <w:vMerge w:val="restart"/>
            <w:vAlign w:val="center"/>
          </w:tcPr>
          <w:p>
            <w:pPr>
              <w:pStyle w:val="45"/>
              <w:rPr>
                <w:color w:val="auto"/>
                <w:szCs w:val="21"/>
              </w:rPr>
            </w:pPr>
            <w:r>
              <w:rPr>
                <w:rFonts w:hint="eastAsia"/>
                <w:color w:val="auto"/>
              </w:rPr>
              <w:t>排气筒DA001</w:t>
            </w:r>
          </w:p>
        </w:tc>
        <w:tc>
          <w:tcPr>
            <w:tcW w:w="4770" w:type="dxa"/>
            <w:shd w:val="clear" w:color="auto" w:fill="auto"/>
            <w:vAlign w:val="center"/>
          </w:tcPr>
          <w:p>
            <w:pPr>
              <w:pStyle w:val="45"/>
              <w:rPr>
                <w:color w:val="auto"/>
              </w:rPr>
            </w:pPr>
            <w:r>
              <w:rPr>
                <w:rFonts w:hint="eastAsia"/>
                <w:color w:val="auto"/>
              </w:rPr>
              <w:t>非甲烷总烃</w:t>
            </w:r>
          </w:p>
        </w:tc>
        <w:tc>
          <w:tcPr>
            <w:tcW w:w="2086" w:type="dxa"/>
            <w:shd w:val="clear" w:color="auto" w:fill="auto"/>
            <w:vAlign w:val="center"/>
          </w:tcPr>
          <w:p>
            <w:pPr>
              <w:pStyle w:val="45"/>
              <w:rPr>
                <w:color w:val="auto"/>
                <w:szCs w:val="21"/>
              </w:rPr>
            </w:pPr>
            <w:r>
              <w:rPr>
                <w:rFonts w:hint="eastAsia"/>
                <w:color w:val="auto"/>
              </w:rPr>
              <w:t>1次/月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026" w:type="dxa"/>
            <w:vMerge w:val="continue"/>
            <w:vAlign w:val="center"/>
          </w:tcPr>
          <w:p>
            <w:pPr>
              <w:snapToGrid w:val="0"/>
              <w:spacing w:line="0" w:lineRule="atLeast"/>
              <w:ind w:firstLine="0" w:firstLineChars="0"/>
              <w:jc w:val="center"/>
              <w:rPr>
                <w:color w:val="auto"/>
                <w:sz w:val="21"/>
                <w:szCs w:val="21"/>
              </w:rPr>
            </w:pPr>
          </w:p>
        </w:tc>
        <w:tc>
          <w:tcPr>
            <w:tcW w:w="1292" w:type="dxa"/>
            <w:vMerge w:val="continue"/>
            <w:vAlign w:val="center"/>
          </w:tcPr>
          <w:p>
            <w:pPr>
              <w:pStyle w:val="45"/>
              <w:rPr>
                <w:color w:val="auto"/>
                <w:szCs w:val="21"/>
              </w:rPr>
            </w:pPr>
          </w:p>
        </w:tc>
        <w:tc>
          <w:tcPr>
            <w:tcW w:w="4770" w:type="dxa"/>
            <w:vAlign w:val="center"/>
          </w:tcPr>
          <w:p>
            <w:pPr>
              <w:pStyle w:val="45"/>
              <w:rPr>
                <w:color w:val="auto"/>
                <w:szCs w:val="21"/>
              </w:rPr>
            </w:pPr>
            <w:r>
              <w:rPr>
                <w:rFonts w:hint="eastAsia"/>
                <w:color w:val="auto"/>
              </w:rPr>
              <w:t>硫化氢、氨</w:t>
            </w:r>
          </w:p>
        </w:tc>
        <w:tc>
          <w:tcPr>
            <w:tcW w:w="2086" w:type="dxa"/>
            <w:vAlign w:val="center"/>
          </w:tcPr>
          <w:p>
            <w:pPr>
              <w:pStyle w:val="45"/>
              <w:rPr>
                <w:color w:val="auto"/>
                <w:szCs w:val="21"/>
              </w:rPr>
            </w:pPr>
            <w:r>
              <w:rPr>
                <w:rFonts w:hint="eastAsia"/>
                <w:color w:val="auto"/>
              </w:rPr>
              <w:t>1次/半年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7" w:hRule="atLeast"/>
        </w:trPr>
        <w:tc>
          <w:tcPr>
            <w:tcW w:w="1026" w:type="dxa"/>
            <w:vMerge w:val="continue"/>
            <w:vAlign w:val="center"/>
          </w:tcPr>
          <w:p>
            <w:pPr>
              <w:snapToGrid w:val="0"/>
              <w:spacing w:line="0" w:lineRule="atLeast"/>
              <w:ind w:firstLine="0" w:firstLineChars="0"/>
              <w:jc w:val="center"/>
              <w:rPr>
                <w:color w:val="auto"/>
                <w:sz w:val="21"/>
                <w:szCs w:val="21"/>
              </w:rPr>
            </w:pPr>
          </w:p>
        </w:tc>
        <w:tc>
          <w:tcPr>
            <w:tcW w:w="1292" w:type="dxa"/>
            <w:vMerge w:val="restart"/>
            <w:vAlign w:val="center"/>
          </w:tcPr>
          <w:p>
            <w:pPr>
              <w:pStyle w:val="45"/>
              <w:rPr>
                <w:rFonts w:hint="eastAsia" w:eastAsia="宋体"/>
                <w:color w:val="auto"/>
                <w:szCs w:val="21"/>
                <w:lang w:eastAsia="zh-CN"/>
              </w:rPr>
            </w:pPr>
            <w:r>
              <w:rPr>
                <w:rFonts w:hint="eastAsia"/>
                <w:color w:val="auto"/>
              </w:rPr>
              <w:t>锅炉排气筒DA00</w:t>
            </w:r>
            <w:r>
              <w:rPr>
                <w:rFonts w:hint="eastAsia"/>
                <w:color w:val="auto"/>
                <w:lang w:val="en-US" w:eastAsia="zh-CN"/>
              </w:rPr>
              <w:t>2</w:t>
            </w:r>
          </w:p>
        </w:tc>
        <w:tc>
          <w:tcPr>
            <w:tcW w:w="4770" w:type="dxa"/>
            <w:vAlign w:val="center"/>
          </w:tcPr>
          <w:p>
            <w:pPr>
              <w:pStyle w:val="45"/>
              <w:rPr>
                <w:color w:val="auto"/>
              </w:rPr>
            </w:pPr>
            <w:r>
              <w:rPr>
                <w:color w:val="auto"/>
              </w:rPr>
              <w:t>氮氧化物</w:t>
            </w:r>
          </w:p>
        </w:tc>
        <w:tc>
          <w:tcPr>
            <w:tcW w:w="2086" w:type="dxa"/>
            <w:vAlign w:val="center"/>
          </w:tcPr>
          <w:p>
            <w:pPr>
              <w:pStyle w:val="45"/>
              <w:rPr>
                <w:color w:val="auto"/>
                <w:szCs w:val="21"/>
              </w:rPr>
            </w:pPr>
            <w:r>
              <w:rPr>
                <w:rFonts w:hint="eastAsia"/>
                <w:color w:val="auto"/>
              </w:rPr>
              <w:t>1次/月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7" w:hRule="atLeast"/>
        </w:trPr>
        <w:tc>
          <w:tcPr>
            <w:tcW w:w="1026" w:type="dxa"/>
            <w:vMerge w:val="continue"/>
            <w:vAlign w:val="center"/>
          </w:tcPr>
          <w:p>
            <w:pPr>
              <w:snapToGrid w:val="0"/>
              <w:spacing w:line="0" w:lineRule="atLeast"/>
              <w:ind w:firstLine="0" w:firstLineChars="0"/>
              <w:jc w:val="center"/>
              <w:rPr>
                <w:color w:val="auto"/>
                <w:sz w:val="21"/>
                <w:szCs w:val="21"/>
              </w:rPr>
            </w:pPr>
          </w:p>
        </w:tc>
        <w:tc>
          <w:tcPr>
            <w:tcW w:w="1292" w:type="dxa"/>
            <w:vMerge w:val="continue"/>
            <w:vAlign w:val="center"/>
          </w:tcPr>
          <w:p>
            <w:pPr>
              <w:pStyle w:val="45"/>
              <w:rPr>
                <w:color w:val="auto"/>
                <w:szCs w:val="21"/>
              </w:rPr>
            </w:pPr>
          </w:p>
        </w:tc>
        <w:tc>
          <w:tcPr>
            <w:tcW w:w="4770" w:type="dxa"/>
            <w:vAlign w:val="center"/>
          </w:tcPr>
          <w:p>
            <w:pPr>
              <w:pStyle w:val="45"/>
              <w:rPr>
                <w:color w:val="auto"/>
              </w:rPr>
            </w:pPr>
            <w:r>
              <w:rPr>
                <w:color w:val="auto"/>
              </w:rPr>
              <w:t>颗粒物、二氧化硫</w:t>
            </w:r>
            <w:r>
              <w:rPr>
                <w:rFonts w:hint="eastAsia"/>
                <w:color w:val="auto"/>
              </w:rPr>
              <w:t>、林格曼黑度</w:t>
            </w:r>
          </w:p>
        </w:tc>
        <w:tc>
          <w:tcPr>
            <w:tcW w:w="2086" w:type="dxa"/>
            <w:vAlign w:val="center"/>
          </w:tcPr>
          <w:p>
            <w:pPr>
              <w:pStyle w:val="45"/>
              <w:rPr>
                <w:color w:val="auto"/>
                <w:szCs w:val="21"/>
              </w:rPr>
            </w:pPr>
            <w:r>
              <w:rPr>
                <w:rFonts w:hint="eastAsia"/>
                <w:color w:val="auto"/>
              </w:rPr>
              <w:t>1次/年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1" w:hRule="atLeast"/>
        </w:trPr>
        <w:tc>
          <w:tcPr>
            <w:tcW w:w="1026" w:type="dxa"/>
            <w:vMerge w:val="continue"/>
            <w:vAlign w:val="center"/>
          </w:tcPr>
          <w:p>
            <w:pPr>
              <w:snapToGrid w:val="0"/>
              <w:spacing w:line="0" w:lineRule="atLeast"/>
              <w:ind w:firstLine="0" w:firstLineChars="0"/>
              <w:jc w:val="center"/>
              <w:rPr>
                <w:color w:val="auto"/>
                <w:sz w:val="21"/>
                <w:szCs w:val="21"/>
              </w:rPr>
            </w:pPr>
          </w:p>
        </w:tc>
        <w:tc>
          <w:tcPr>
            <w:tcW w:w="1292" w:type="dxa"/>
            <w:vMerge w:val="restart"/>
            <w:vAlign w:val="center"/>
          </w:tcPr>
          <w:p>
            <w:pPr>
              <w:pStyle w:val="45"/>
              <w:rPr>
                <w:color w:val="auto"/>
                <w:szCs w:val="21"/>
              </w:rPr>
            </w:pPr>
            <w:r>
              <w:rPr>
                <w:rFonts w:hint="eastAsia"/>
                <w:color w:val="auto"/>
                <w:szCs w:val="21"/>
              </w:rPr>
              <w:t>厂界</w:t>
            </w:r>
          </w:p>
        </w:tc>
        <w:tc>
          <w:tcPr>
            <w:tcW w:w="4770" w:type="dxa"/>
            <w:vAlign w:val="center"/>
          </w:tcPr>
          <w:p>
            <w:pPr>
              <w:pStyle w:val="45"/>
              <w:rPr>
                <w:color w:val="auto"/>
              </w:rPr>
            </w:pPr>
            <w:r>
              <w:rPr>
                <w:rFonts w:hint="eastAsia"/>
                <w:color w:val="auto"/>
              </w:rPr>
              <w:t>非甲烷总烃、颗粒物</w:t>
            </w:r>
          </w:p>
        </w:tc>
        <w:tc>
          <w:tcPr>
            <w:tcW w:w="2086" w:type="dxa"/>
            <w:vAlign w:val="center"/>
          </w:tcPr>
          <w:p>
            <w:pPr>
              <w:pStyle w:val="45"/>
              <w:rPr>
                <w:color w:val="auto"/>
              </w:rPr>
            </w:pPr>
            <w:r>
              <w:rPr>
                <w:rFonts w:hint="eastAsia"/>
                <w:color w:val="auto"/>
              </w:rPr>
              <w:t>1次/季度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1" w:hRule="atLeast"/>
        </w:trPr>
        <w:tc>
          <w:tcPr>
            <w:tcW w:w="1026" w:type="dxa"/>
            <w:vMerge w:val="continue"/>
            <w:vAlign w:val="center"/>
          </w:tcPr>
          <w:p>
            <w:pPr>
              <w:pStyle w:val="45"/>
              <w:rPr>
                <w:color w:val="auto"/>
              </w:rPr>
            </w:pPr>
          </w:p>
        </w:tc>
        <w:tc>
          <w:tcPr>
            <w:tcW w:w="1292" w:type="dxa"/>
            <w:vMerge w:val="continue"/>
            <w:vAlign w:val="center"/>
          </w:tcPr>
          <w:p>
            <w:pPr>
              <w:pStyle w:val="45"/>
              <w:rPr>
                <w:color w:val="auto"/>
              </w:rPr>
            </w:pPr>
          </w:p>
        </w:tc>
        <w:tc>
          <w:tcPr>
            <w:tcW w:w="4770" w:type="dxa"/>
            <w:vAlign w:val="center"/>
          </w:tcPr>
          <w:p>
            <w:pPr>
              <w:pStyle w:val="45"/>
              <w:rPr>
                <w:color w:val="auto"/>
              </w:rPr>
            </w:pPr>
            <w:r>
              <w:rPr>
                <w:rFonts w:hint="eastAsia"/>
                <w:color w:val="auto"/>
              </w:rPr>
              <w:t>氨、硫化氢</w:t>
            </w:r>
          </w:p>
        </w:tc>
        <w:tc>
          <w:tcPr>
            <w:tcW w:w="2086" w:type="dxa"/>
            <w:vAlign w:val="center"/>
          </w:tcPr>
          <w:p>
            <w:pPr>
              <w:pStyle w:val="45"/>
              <w:rPr>
                <w:color w:val="auto"/>
              </w:rPr>
            </w:pPr>
            <w:r>
              <w:rPr>
                <w:rFonts w:hint="eastAsia"/>
                <w:color w:val="auto"/>
              </w:rPr>
              <w:t>1次/半年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026" w:type="dxa"/>
            <w:vMerge w:val="restart"/>
            <w:vAlign w:val="center"/>
          </w:tcPr>
          <w:p>
            <w:pPr>
              <w:snapToGrid w:val="0"/>
              <w:spacing w:line="0" w:lineRule="atLeast"/>
              <w:ind w:firstLine="0" w:firstLineChars="0"/>
              <w:jc w:val="center"/>
              <w:rPr>
                <w:color w:val="auto"/>
                <w:sz w:val="21"/>
                <w:szCs w:val="21"/>
              </w:rPr>
            </w:pPr>
            <w:r>
              <w:rPr>
                <w:rFonts w:hint="eastAsia"/>
                <w:color w:val="auto"/>
                <w:sz w:val="21"/>
                <w:szCs w:val="21"/>
              </w:rPr>
              <w:t>废水</w:t>
            </w:r>
          </w:p>
        </w:tc>
        <w:tc>
          <w:tcPr>
            <w:tcW w:w="1292" w:type="dxa"/>
            <w:vMerge w:val="restart"/>
            <w:vAlign w:val="center"/>
          </w:tcPr>
          <w:p>
            <w:pPr>
              <w:snapToGrid w:val="0"/>
              <w:spacing w:line="0" w:lineRule="atLeast"/>
              <w:ind w:firstLine="0" w:firstLineChars="0"/>
              <w:jc w:val="center"/>
              <w:rPr>
                <w:color w:val="auto"/>
                <w:sz w:val="21"/>
                <w:szCs w:val="21"/>
              </w:rPr>
            </w:pPr>
            <w:r>
              <w:rPr>
                <w:color w:val="auto"/>
                <w:sz w:val="21"/>
                <w:szCs w:val="16"/>
              </w:rPr>
              <w:t>厂区总排放口</w:t>
            </w:r>
          </w:p>
        </w:tc>
        <w:tc>
          <w:tcPr>
            <w:tcW w:w="4770" w:type="dxa"/>
            <w:vAlign w:val="center"/>
          </w:tcPr>
          <w:p>
            <w:pPr>
              <w:spacing w:line="312" w:lineRule="exact"/>
              <w:ind w:firstLine="0" w:firstLineChars="0"/>
              <w:jc w:val="center"/>
              <w:rPr>
                <w:color w:val="auto"/>
                <w:sz w:val="21"/>
                <w:szCs w:val="21"/>
              </w:rPr>
            </w:pPr>
            <w:r>
              <w:rPr>
                <w:rFonts w:hint="eastAsia"/>
                <w:bCs/>
                <w:color w:val="auto"/>
                <w:sz w:val="21"/>
                <w:szCs w:val="21"/>
              </w:rPr>
              <w:t>流量、化学需氧量、氨氮</w:t>
            </w:r>
          </w:p>
        </w:tc>
        <w:tc>
          <w:tcPr>
            <w:tcW w:w="2086" w:type="dxa"/>
            <w:vAlign w:val="center"/>
          </w:tcPr>
          <w:p>
            <w:pPr>
              <w:snapToGrid w:val="0"/>
              <w:spacing w:line="312" w:lineRule="exact"/>
              <w:ind w:firstLine="0" w:firstLineChars="0"/>
              <w:jc w:val="center"/>
              <w:rPr>
                <w:color w:val="auto"/>
                <w:sz w:val="21"/>
                <w:szCs w:val="21"/>
              </w:rPr>
            </w:pPr>
            <w:r>
              <w:rPr>
                <w:rFonts w:hint="eastAsia"/>
                <w:bCs/>
                <w:color w:val="auto"/>
                <w:sz w:val="21"/>
                <w:szCs w:val="21"/>
              </w:rPr>
              <w:t>自动监测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026" w:type="dxa"/>
            <w:vMerge w:val="continue"/>
            <w:vAlign w:val="center"/>
          </w:tcPr>
          <w:p>
            <w:pPr>
              <w:snapToGrid w:val="0"/>
              <w:spacing w:line="0" w:lineRule="atLeast"/>
              <w:ind w:firstLine="0" w:firstLineChars="0"/>
              <w:jc w:val="center"/>
              <w:rPr>
                <w:color w:val="auto"/>
                <w:sz w:val="21"/>
                <w:szCs w:val="21"/>
              </w:rPr>
            </w:pPr>
          </w:p>
        </w:tc>
        <w:tc>
          <w:tcPr>
            <w:tcW w:w="1292" w:type="dxa"/>
            <w:vMerge w:val="continue"/>
            <w:vAlign w:val="center"/>
          </w:tcPr>
          <w:p>
            <w:pPr>
              <w:snapToGrid w:val="0"/>
              <w:spacing w:line="0" w:lineRule="atLeast"/>
              <w:ind w:firstLine="0" w:firstLineChars="0"/>
              <w:jc w:val="center"/>
              <w:rPr>
                <w:color w:val="auto"/>
                <w:sz w:val="21"/>
                <w:szCs w:val="21"/>
              </w:rPr>
            </w:pPr>
          </w:p>
        </w:tc>
        <w:tc>
          <w:tcPr>
            <w:tcW w:w="4770" w:type="dxa"/>
            <w:vAlign w:val="center"/>
          </w:tcPr>
          <w:p>
            <w:pPr>
              <w:spacing w:line="312" w:lineRule="exact"/>
              <w:ind w:firstLine="0" w:firstLineChars="0"/>
              <w:jc w:val="center"/>
              <w:rPr>
                <w:color w:val="auto"/>
                <w:sz w:val="21"/>
                <w:szCs w:val="21"/>
              </w:rPr>
            </w:pPr>
            <w:r>
              <w:rPr>
                <w:bCs/>
                <w:color w:val="auto"/>
                <w:sz w:val="21"/>
                <w:szCs w:val="21"/>
              </w:rPr>
              <w:t>pH值、总氮</w:t>
            </w:r>
            <w:r>
              <w:rPr>
                <w:rFonts w:hint="eastAsia"/>
                <w:bCs/>
                <w:color w:val="auto"/>
                <w:sz w:val="21"/>
                <w:szCs w:val="21"/>
              </w:rPr>
              <w:t>、</w:t>
            </w:r>
            <w:r>
              <w:rPr>
                <w:bCs/>
                <w:color w:val="auto"/>
                <w:sz w:val="21"/>
                <w:szCs w:val="21"/>
              </w:rPr>
              <w:t>总磷</w:t>
            </w:r>
            <w:r>
              <w:rPr>
                <w:rFonts w:hint="eastAsia"/>
                <w:bCs/>
                <w:color w:val="auto"/>
                <w:sz w:val="21"/>
                <w:szCs w:val="21"/>
              </w:rPr>
              <w:t>、</w:t>
            </w:r>
            <w:r>
              <w:rPr>
                <w:bCs/>
                <w:color w:val="auto"/>
                <w:sz w:val="21"/>
                <w:szCs w:val="21"/>
              </w:rPr>
              <w:t>五日生化需氧量、悬浮物</w:t>
            </w:r>
          </w:p>
        </w:tc>
        <w:tc>
          <w:tcPr>
            <w:tcW w:w="2086" w:type="dxa"/>
            <w:vAlign w:val="center"/>
          </w:tcPr>
          <w:p>
            <w:pPr>
              <w:snapToGrid w:val="0"/>
              <w:spacing w:line="312" w:lineRule="exact"/>
              <w:ind w:firstLine="0" w:firstLineChars="0"/>
              <w:jc w:val="center"/>
              <w:rPr>
                <w:color w:val="auto"/>
                <w:sz w:val="21"/>
                <w:szCs w:val="21"/>
              </w:rPr>
            </w:pPr>
            <w:r>
              <w:rPr>
                <w:rFonts w:hint="eastAsia"/>
                <w:bCs/>
                <w:color w:val="auto"/>
                <w:sz w:val="21"/>
                <w:szCs w:val="21"/>
              </w:rPr>
              <w:t>半年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026" w:type="dxa"/>
            <w:vAlign w:val="center"/>
          </w:tcPr>
          <w:p>
            <w:pPr>
              <w:snapToGrid w:val="0"/>
              <w:spacing w:line="0" w:lineRule="atLeast"/>
              <w:ind w:firstLine="0" w:firstLineChars="0"/>
              <w:jc w:val="center"/>
              <w:rPr>
                <w:color w:val="auto"/>
                <w:sz w:val="21"/>
                <w:szCs w:val="21"/>
              </w:rPr>
            </w:pPr>
            <w:r>
              <w:rPr>
                <w:color w:val="auto"/>
                <w:sz w:val="21"/>
                <w:szCs w:val="21"/>
              </w:rPr>
              <w:t>噪声</w:t>
            </w:r>
          </w:p>
        </w:tc>
        <w:tc>
          <w:tcPr>
            <w:tcW w:w="1292" w:type="dxa"/>
            <w:vAlign w:val="center"/>
          </w:tcPr>
          <w:p>
            <w:pPr>
              <w:snapToGrid w:val="0"/>
              <w:spacing w:line="0" w:lineRule="atLeast"/>
              <w:ind w:firstLine="0" w:firstLineChars="0"/>
              <w:jc w:val="center"/>
              <w:rPr>
                <w:color w:val="auto"/>
                <w:sz w:val="21"/>
                <w:szCs w:val="21"/>
              </w:rPr>
            </w:pPr>
            <w:r>
              <w:rPr>
                <w:color w:val="auto"/>
                <w:sz w:val="21"/>
                <w:szCs w:val="21"/>
              </w:rPr>
              <w:t>厂界外1m</w:t>
            </w:r>
          </w:p>
        </w:tc>
        <w:tc>
          <w:tcPr>
            <w:tcW w:w="4770" w:type="dxa"/>
            <w:vAlign w:val="center"/>
          </w:tcPr>
          <w:p>
            <w:pPr>
              <w:snapToGrid w:val="0"/>
              <w:spacing w:line="0" w:lineRule="atLeast"/>
              <w:ind w:firstLine="0" w:firstLineChars="0"/>
              <w:jc w:val="center"/>
              <w:rPr>
                <w:color w:val="auto"/>
                <w:sz w:val="21"/>
                <w:szCs w:val="21"/>
              </w:rPr>
            </w:pPr>
            <w:r>
              <w:rPr>
                <w:color w:val="auto"/>
                <w:sz w:val="21"/>
                <w:szCs w:val="21"/>
              </w:rPr>
              <w:t>Leq(A)</w:t>
            </w:r>
          </w:p>
        </w:tc>
        <w:tc>
          <w:tcPr>
            <w:tcW w:w="2086" w:type="dxa"/>
            <w:vAlign w:val="center"/>
          </w:tcPr>
          <w:p>
            <w:pPr>
              <w:snapToGrid w:val="0"/>
              <w:spacing w:line="0" w:lineRule="atLeast"/>
              <w:ind w:firstLine="0" w:firstLineChars="0"/>
              <w:jc w:val="center"/>
              <w:rPr>
                <w:color w:val="auto"/>
                <w:sz w:val="21"/>
                <w:szCs w:val="21"/>
              </w:rPr>
            </w:pPr>
            <w:r>
              <w:rPr>
                <w:color w:val="auto"/>
                <w:sz w:val="21"/>
                <w:szCs w:val="21"/>
              </w:rPr>
              <w:t>每季度一次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026" w:type="dxa"/>
            <w:vAlign w:val="center"/>
          </w:tcPr>
          <w:p>
            <w:pPr>
              <w:snapToGrid w:val="0"/>
              <w:spacing w:line="0" w:lineRule="atLeast"/>
              <w:ind w:firstLine="0" w:firstLineChars="0"/>
              <w:jc w:val="center"/>
              <w:rPr>
                <w:color w:val="auto"/>
                <w:sz w:val="21"/>
                <w:szCs w:val="21"/>
              </w:rPr>
            </w:pPr>
            <w:r>
              <w:rPr>
                <w:color w:val="auto"/>
                <w:sz w:val="21"/>
                <w:szCs w:val="21"/>
              </w:rPr>
              <w:t>固废</w:t>
            </w:r>
          </w:p>
        </w:tc>
        <w:tc>
          <w:tcPr>
            <w:tcW w:w="1292" w:type="dxa"/>
            <w:vAlign w:val="center"/>
          </w:tcPr>
          <w:p>
            <w:pPr>
              <w:snapToGrid w:val="0"/>
              <w:spacing w:line="0" w:lineRule="atLeast"/>
              <w:ind w:firstLine="0" w:firstLineChars="0"/>
              <w:jc w:val="center"/>
              <w:rPr>
                <w:color w:val="auto"/>
                <w:sz w:val="21"/>
                <w:szCs w:val="21"/>
              </w:rPr>
            </w:pPr>
            <w:r>
              <w:rPr>
                <w:color w:val="auto"/>
                <w:sz w:val="21"/>
                <w:szCs w:val="21"/>
              </w:rPr>
              <w:t>统计全厂</w:t>
            </w:r>
          </w:p>
          <w:p>
            <w:pPr>
              <w:snapToGrid w:val="0"/>
              <w:spacing w:line="0" w:lineRule="atLeast"/>
              <w:ind w:firstLine="0" w:firstLineChars="0"/>
              <w:jc w:val="center"/>
              <w:rPr>
                <w:color w:val="auto"/>
                <w:sz w:val="21"/>
                <w:szCs w:val="21"/>
              </w:rPr>
            </w:pPr>
            <w:r>
              <w:rPr>
                <w:color w:val="auto"/>
                <w:sz w:val="21"/>
                <w:szCs w:val="21"/>
              </w:rPr>
              <w:t>各类固废量</w:t>
            </w:r>
          </w:p>
        </w:tc>
        <w:tc>
          <w:tcPr>
            <w:tcW w:w="4770" w:type="dxa"/>
            <w:vAlign w:val="center"/>
          </w:tcPr>
          <w:p>
            <w:pPr>
              <w:snapToGrid w:val="0"/>
              <w:spacing w:line="0" w:lineRule="atLeast"/>
              <w:ind w:firstLine="0" w:firstLineChars="0"/>
              <w:jc w:val="center"/>
              <w:rPr>
                <w:color w:val="auto"/>
                <w:sz w:val="21"/>
                <w:szCs w:val="21"/>
              </w:rPr>
            </w:pPr>
            <w:r>
              <w:rPr>
                <w:color w:val="auto"/>
                <w:sz w:val="21"/>
                <w:szCs w:val="21"/>
              </w:rPr>
              <w:t>统计种类、产生量、处理方式、去向等</w:t>
            </w:r>
          </w:p>
        </w:tc>
        <w:tc>
          <w:tcPr>
            <w:tcW w:w="2086" w:type="dxa"/>
            <w:vAlign w:val="center"/>
          </w:tcPr>
          <w:p>
            <w:pPr>
              <w:snapToGrid w:val="0"/>
              <w:spacing w:line="0" w:lineRule="atLeast"/>
              <w:ind w:firstLine="0" w:firstLineChars="0"/>
              <w:jc w:val="center"/>
              <w:rPr>
                <w:color w:val="auto"/>
                <w:sz w:val="21"/>
                <w:szCs w:val="21"/>
              </w:rPr>
            </w:pPr>
            <w:r>
              <w:rPr>
                <w:color w:val="auto"/>
                <w:sz w:val="21"/>
                <w:szCs w:val="21"/>
              </w:rPr>
              <w:t>每月统计一次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9174" w:type="dxa"/>
            <w:gridSpan w:val="4"/>
            <w:vAlign w:val="center"/>
          </w:tcPr>
          <w:p>
            <w:pPr>
              <w:snapToGrid w:val="0"/>
              <w:spacing w:line="240" w:lineRule="auto"/>
              <w:ind w:firstLine="420"/>
              <w:rPr>
                <w:color w:val="auto"/>
                <w:sz w:val="21"/>
                <w:szCs w:val="21"/>
              </w:rPr>
            </w:pPr>
            <w:r>
              <w:rPr>
                <w:color w:val="auto"/>
                <w:sz w:val="21"/>
                <w:szCs w:val="21"/>
              </w:rPr>
              <w:t>设备与管线组件VOCs泄漏检测参照《挥发性有机物无组织排放控制标准》（GB 37822-2019）要求执行。</w:t>
            </w:r>
          </w:p>
        </w:tc>
      </w:tr>
    </w:tbl>
    <w:p>
      <w:pPr>
        <w:pStyle w:val="9"/>
        <w:pageBreakBefore w:val="0"/>
        <w:widowControl w:val="0"/>
        <w:kinsoku/>
        <w:wordWrap/>
        <w:overflowPunct/>
        <w:topLinePunct w:val="0"/>
        <w:autoSpaceDE/>
        <w:autoSpaceDN/>
        <w:bidi w:val="0"/>
        <w:adjustRightInd/>
        <w:snapToGrid/>
        <w:spacing w:before="0" w:beforeLines="0" w:after="0" w:afterLines="0" w:line="360" w:lineRule="auto"/>
        <w:textAlignment w:val="auto"/>
        <w:rPr>
          <w:color w:val="auto"/>
        </w:rPr>
      </w:pPr>
      <w:bookmarkStart w:id="465" w:name="_Toc31103"/>
      <w:bookmarkStart w:id="466" w:name="_Toc10352"/>
      <w:bookmarkStart w:id="467" w:name="_Toc6490"/>
      <w:bookmarkStart w:id="468" w:name="_Toc364232490"/>
      <w:r>
        <w:rPr>
          <w:color w:val="auto"/>
        </w:rPr>
        <w:t xml:space="preserve">10.3.2 </w:t>
      </w:r>
      <w:bookmarkEnd w:id="465"/>
      <w:bookmarkEnd w:id="466"/>
      <w:bookmarkEnd w:id="467"/>
      <w:r>
        <w:rPr>
          <w:color w:val="auto"/>
        </w:rPr>
        <w:t>地下水</w:t>
      </w:r>
      <w:r>
        <w:rPr>
          <w:rFonts w:hint="eastAsia"/>
          <w:color w:val="auto"/>
        </w:rPr>
        <w:t>环境</w:t>
      </w:r>
      <w:r>
        <w:rPr>
          <w:color w:val="auto"/>
        </w:rPr>
        <w:t>监测</w:t>
      </w:r>
    </w:p>
    <w:p>
      <w:pPr>
        <w:pageBreakBefore w:val="0"/>
        <w:widowControl w:val="0"/>
        <w:kinsoku/>
        <w:wordWrap/>
        <w:overflowPunct/>
        <w:topLinePunct w:val="0"/>
        <w:autoSpaceDE/>
        <w:autoSpaceDN/>
        <w:bidi w:val="0"/>
        <w:adjustRightInd/>
        <w:snapToGrid/>
        <w:ind w:firstLine="480"/>
        <w:textAlignment w:val="auto"/>
        <w:rPr>
          <w:color w:val="auto"/>
        </w:rPr>
      </w:pPr>
      <w:r>
        <w:rPr>
          <w:color w:val="auto"/>
        </w:rPr>
        <w:t>针对</w:t>
      </w:r>
      <w:r>
        <w:rPr>
          <w:rFonts w:hint="eastAsia"/>
          <w:color w:val="auto"/>
        </w:rPr>
        <w:t>拟建项目</w:t>
      </w:r>
      <w:r>
        <w:rPr>
          <w:color w:val="auto"/>
        </w:rPr>
        <w:t>污染源的污染物排放情况，其地下水监测计划见表10.3-2。</w:t>
      </w:r>
    </w:p>
    <w:p>
      <w:pPr>
        <w:pStyle w:val="48"/>
        <w:pageBreakBefore w:val="0"/>
        <w:widowControl w:val="0"/>
        <w:kinsoku/>
        <w:wordWrap/>
        <w:overflowPunct/>
        <w:topLinePunct w:val="0"/>
        <w:autoSpaceDE/>
        <w:autoSpaceDN/>
        <w:bidi w:val="0"/>
        <w:adjustRightInd/>
        <w:snapToGrid/>
        <w:spacing w:line="360" w:lineRule="auto"/>
        <w:textAlignment w:val="auto"/>
        <w:rPr>
          <w:b w:val="0"/>
          <w:bCs/>
          <w:color w:val="auto"/>
        </w:rPr>
      </w:pPr>
      <w:r>
        <w:rPr>
          <w:b w:val="0"/>
          <w:bCs/>
          <w:color w:val="auto"/>
        </w:rPr>
        <w:t>表10.3-2 厂区地下水监控点布置一览表</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1751"/>
        <w:gridCol w:w="2182"/>
        <w:gridCol w:w="981"/>
        <w:gridCol w:w="935"/>
        <w:gridCol w:w="27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0" w:type="pct"/>
            <w:vAlign w:val="center"/>
          </w:tcPr>
          <w:p>
            <w:pPr>
              <w:pStyle w:val="47"/>
              <w:rPr>
                <w:b/>
                <w:color w:val="auto"/>
              </w:rPr>
            </w:pPr>
            <w:r>
              <w:rPr>
                <w:b/>
                <w:color w:val="auto"/>
              </w:rPr>
              <w:t>孔号</w:t>
            </w:r>
          </w:p>
        </w:tc>
        <w:tc>
          <w:tcPr>
            <w:tcW w:w="942" w:type="pct"/>
            <w:vAlign w:val="center"/>
          </w:tcPr>
          <w:p>
            <w:pPr>
              <w:pStyle w:val="47"/>
              <w:rPr>
                <w:b/>
                <w:color w:val="auto"/>
              </w:rPr>
            </w:pPr>
            <w:r>
              <w:rPr>
                <w:b/>
                <w:color w:val="auto"/>
              </w:rPr>
              <w:t>监测孔位置</w:t>
            </w:r>
          </w:p>
        </w:tc>
        <w:tc>
          <w:tcPr>
            <w:tcW w:w="1174" w:type="pct"/>
            <w:vAlign w:val="center"/>
          </w:tcPr>
          <w:p>
            <w:pPr>
              <w:pStyle w:val="47"/>
              <w:rPr>
                <w:b/>
                <w:color w:val="auto"/>
              </w:rPr>
            </w:pPr>
            <w:r>
              <w:rPr>
                <w:b/>
                <w:color w:val="auto"/>
              </w:rPr>
              <w:t>监测项目</w:t>
            </w:r>
          </w:p>
        </w:tc>
        <w:tc>
          <w:tcPr>
            <w:tcW w:w="528" w:type="pct"/>
            <w:vAlign w:val="center"/>
          </w:tcPr>
          <w:p>
            <w:pPr>
              <w:pStyle w:val="47"/>
              <w:rPr>
                <w:b/>
                <w:color w:val="auto"/>
              </w:rPr>
            </w:pPr>
            <w:r>
              <w:rPr>
                <w:b/>
                <w:color w:val="auto"/>
              </w:rPr>
              <w:t>监测层位</w:t>
            </w:r>
          </w:p>
        </w:tc>
        <w:tc>
          <w:tcPr>
            <w:tcW w:w="503" w:type="pct"/>
            <w:vAlign w:val="center"/>
          </w:tcPr>
          <w:p>
            <w:pPr>
              <w:pStyle w:val="47"/>
              <w:rPr>
                <w:b/>
                <w:color w:val="auto"/>
              </w:rPr>
            </w:pPr>
            <w:r>
              <w:rPr>
                <w:b/>
                <w:color w:val="auto"/>
              </w:rPr>
              <w:t>监测</w:t>
            </w:r>
          </w:p>
          <w:p>
            <w:pPr>
              <w:pStyle w:val="47"/>
              <w:rPr>
                <w:b/>
                <w:color w:val="auto"/>
              </w:rPr>
            </w:pPr>
            <w:r>
              <w:rPr>
                <w:b/>
                <w:color w:val="auto"/>
              </w:rPr>
              <w:t>频率</w:t>
            </w:r>
          </w:p>
        </w:tc>
        <w:tc>
          <w:tcPr>
            <w:tcW w:w="1471" w:type="pct"/>
            <w:vAlign w:val="center"/>
          </w:tcPr>
          <w:p>
            <w:pPr>
              <w:pStyle w:val="47"/>
              <w:rPr>
                <w:b/>
                <w:color w:val="auto"/>
              </w:rPr>
            </w:pPr>
            <w:r>
              <w:rPr>
                <w:b/>
                <w:color w:val="auto"/>
              </w:rPr>
              <w:t>主要功能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0" w:type="pct"/>
            <w:vAlign w:val="center"/>
          </w:tcPr>
          <w:p>
            <w:pPr>
              <w:pStyle w:val="47"/>
              <w:rPr>
                <w:color w:val="auto"/>
              </w:rPr>
            </w:pPr>
            <w:r>
              <w:rPr>
                <w:color w:val="auto"/>
              </w:rPr>
              <w:t>1#</w:t>
            </w:r>
          </w:p>
        </w:tc>
        <w:tc>
          <w:tcPr>
            <w:tcW w:w="942" w:type="pct"/>
            <w:vAlign w:val="center"/>
          </w:tcPr>
          <w:p>
            <w:pPr>
              <w:pStyle w:val="47"/>
              <w:rPr>
                <w:rFonts w:hint="default" w:eastAsia="宋体"/>
                <w:color w:val="auto"/>
                <w:lang w:val="en-US" w:eastAsia="zh-CN"/>
              </w:rPr>
            </w:pPr>
            <w:r>
              <w:rPr>
                <w:rFonts w:hint="eastAsia"/>
                <w:color w:val="auto"/>
                <w:lang w:val="en-US" w:eastAsia="zh-CN"/>
              </w:rPr>
              <w:t>厂区西北角</w:t>
            </w:r>
          </w:p>
        </w:tc>
        <w:tc>
          <w:tcPr>
            <w:tcW w:w="1174" w:type="pct"/>
            <w:vAlign w:val="center"/>
          </w:tcPr>
          <w:p>
            <w:pPr>
              <w:pStyle w:val="47"/>
              <w:rPr>
                <w:color w:val="auto"/>
              </w:rPr>
            </w:pPr>
            <w:r>
              <w:rPr>
                <w:color w:val="auto"/>
              </w:rPr>
              <w:t>pH、总硬度、耗氧量（COD</w:t>
            </w:r>
            <w:r>
              <w:rPr>
                <w:color w:val="auto"/>
                <w:vertAlign w:val="subscript"/>
              </w:rPr>
              <w:t>Mn</w:t>
            </w:r>
            <w:r>
              <w:rPr>
                <w:color w:val="auto"/>
              </w:rPr>
              <w:t>）、氨氮、硫酸盐、硝酸盐氮、亚硝酸盐氮、氯化物、氟化物、总大肠菌群、阴离子表面活性剂、石油类等</w:t>
            </w:r>
          </w:p>
        </w:tc>
        <w:tc>
          <w:tcPr>
            <w:tcW w:w="528" w:type="pct"/>
            <w:vAlign w:val="center"/>
          </w:tcPr>
          <w:p>
            <w:pPr>
              <w:pStyle w:val="47"/>
              <w:rPr>
                <w:color w:val="auto"/>
              </w:rPr>
            </w:pPr>
            <w:r>
              <w:rPr>
                <w:rFonts w:hint="eastAsia"/>
                <w:color w:val="auto"/>
              </w:rPr>
              <w:t>浅层水</w:t>
            </w:r>
          </w:p>
        </w:tc>
        <w:tc>
          <w:tcPr>
            <w:tcW w:w="503" w:type="pct"/>
            <w:vAlign w:val="center"/>
          </w:tcPr>
          <w:p>
            <w:pPr>
              <w:pStyle w:val="47"/>
              <w:rPr>
                <w:color w:val="auto"/>
              </w:rPr>
            </w:pPr>
            <w:r>
              <w:rPr>
                <w:color w:val="auto"/>
              </w:rPr>
              <w:t>1次/年</w:t>
            </w:r>
          </w:p>
        </w:tc>
        <w:tc>
          <w:tcPr>
            <w:tcW w:w="1471" w:type="pct"/>
            <w:vAlign w:val="center"/>
          </w:tcPr>
          <w:p>
            <w:pPr>
              <w:pStyle w:val="47"/>
              <w:rPr>
                <w:color w:val="auto"/>
              </w:rPr>
            </w:pPr>
            <w:r>
              <w:rPr>
                <w:rFonts w:hint="eastAsia"/>
                <w:color w:val="auto"/>
              </w:rPr>
              <w:t>地下水环境影响跟踪监测点</w:t>
            </w:r>
          </w:p>
        </w:tc>
      </w:tr>
      <w:bookmarkEnd w:id="468"/>
    </w:tbl>
    <w:p>
      <w:pPr>
        <w:pStyle w:val="9"/>
        <w:spacing w:before="156" w:after="156" w:line="360" w:lineRule="auto"/>
        <w:rPr>
          <w:color w:val="auto"/>
        </w:rPr>
      </w:pPr>
      <w:bookmarkStart w:id="469" w:name="_Toc24265"/>
      <w:bookmarkStart w:id="470" w:name="_Toc9807"/>
      <w:bookmarkStart w:id="471" w:name="_Toc15479"/>
      <w:r>
        <w:rPr>
          <w:color w:val="auto"/>
        </w:rPr>
        <w:t>10.3.</w:t>
      </w:r>
      <w:r>
        <w:rPr>
          <w:rFonts w:hint="eastAsia"/>
          <w:color w:val="auto"/>
        </w:rPr>
        <w:t>3</w:t>
      </w:r>
      <w:r>
        <w:rPr>
          <w:color w:val="auto"/>
        </w:rPr>
        <w:t xml:space="preserve"> </w:t>
      </w:r>
      <w:r>
        <w:rPr>
          <w:rFonts w:hint="eastAsia"/>
          <w:color w:val="auto"/>
        </w:rPr>
        <w:t>大气环境质量</w:t>
      </w:r>
      <w:r>
        <w:rPr>
          <w:color w:val="auto"/>
        </w:rPr>
        <w:t>监测</w:t>
      </w:r>
    </w:p>
    <w:p>
      <w:pPr>
        <w:ind w:firstLine="480"/>
        <w:rPr>
          <w:color w:val="auto"/>
        </w:rPr>
      </w:pPr>
      <w:r>
        <w:rPr>
          <w:rFonts w:hint="eastAsia"/>
          <w:color w:val="auto"/>
        </w:rPr>
        <w:t>根据拟建项目</w:t>
      </w:r>
      <w:r>
        <w:rPr>
          <w:color w:val="auto"/>
        </w:rPr>
        <w:t>排污特点，制订</w:t>
      </w:r>
      <w:r>
        <w:rPr>
          <w:rFonts w:hint="eastAsia"/>
          <w:color w:val="auto"/>
        </w:rPr>
        <w:t>大气环境</w:t>
      </w:r>
      <w:r>
        <w:rPr>
          <w:color w:val="auto"/>
        </w:rPr>
        <w:t>监测</w:t>
      </w:r>
      <w:r>
        <w:rPr>
          <w:rFonts w:hint="eastAsia"/>
          <w:color w:val="auto"/>
        </w:rPr>
        <w:t>计划</w:t>
      </w:r>
      <w:r>
        <w:rPr>
          <w:color w:val="auto"/>
        </w:rPr>
        <w:t>，</w:t>
      </w:r>
      <w:r>
        <w:rPr>
          <w:rFonts w:hint="eastAsia"/>
          <w:color w:val="auto"/>
          <w:lang w:val="en-US" w:eastAsia="zh-CN"/>
        </w:rPr>
        <w:t>若后期列入重点监管名单则根据重点监管要求进行监测，</w:t>
      </w:r>
      <w:r>
        <w:rPr>
          <w:color w:val="auto"/>
        </w:rPr>
        <w:t>详细内容见下表</w:t>
      </w:r>
      <w:r>
        <w:rPr>
          <w:rFonts w:hint="eastAsia"/>
          <w:color w:val="auto"/>
        </w:rPr>
        <w:t>10.3-3</w:t>
      </w:r>
      <w:r>
        <w:rPr>
          <w:color w:val="auto"/>
        </w:rPr>
        <w:t>。</w:t>
      </w:r>
    </w:p>
    <w:p>
      <w:pPr>
        <w:pStyle w:val="48"/>
        <w:spacing w:line="360" w:lineRule="auto"/>
        <w:rPr>
          <w:b w:val="0"/>
          <w:bCs/>
          <w:color w:val="auto"/>
        </w:rPr>
      </w:pPr>
      <w:r>
        <w:rPr>
          <w:b w:val="0"/>
          <w:bCs/>
          <w:color w:val="auto"/>
        </w:rPr>
        <w:t>表</w:t>
      </w:r>
      <w:r>
        <w:rPr>
          <w:rFonts w:hint="eastAsia"/>
          <w:b w:val="0"/>
          <w:bCs/>
          <w:color w:val="auto"/>
        </w:rPr>
        <w:t>10.3-3</w:t>
      </w:r>
      <w:r>
        <w:rPr>
          <w:b w:val="0"/>
          <w:bCs/>
          <w:color w:val="auto"/>
        </w:rPr>
        <w:t xml:space="preserve">  环境质量监测计划表</w:t>
      </w:r>
    </w:p>
    <w:tbl>
      <w:tblPr>
        <w:tblStyle w:val="23"/>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07"/>
        <w:gridCol w:w="1584"/>
        <w:gridCol w:w="2682"/>
        <w:gridCol w:w="35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2" w:type="pct"/>
            <w:tcBorders>
              <w:tl2br w:val="nil"/>
              <w:tr2bl w:val="nil"/>
            </w:tcBorders>
            <w:vAlign w:val="center"/>
          </w:tcPr>
          <w:p>
            <w:pPr>
              <w:spacing w:line="312" w:lineRule="exact"/>
              <w:ind w:firstLine="0" w:firstLineChars="0"/>
              <w:jc w:val="center"/>
              <w:rPr>
                <w:b/>
                <w:bCs/>
                <w:color w:val="auto"/>
                <w:sz w:val="21"/>
                <w:szCs w:val="16"/>
              </w:rPr>
            </w:pPr>
            <w:r>
              <w:rPr>
                <w:b/>
                <w:bCs/>
                <w:color w:val="auto"/>
                <w:sz w:val="21"/>
                <w:szCs w:val="16"/>
              </w:rPr>
              <w:t>监测点位</w:t>
            </w:r>
          </w:p>
        </w:tc>
        <w:tc>
          <w:tcPr>
            <w:tcW w:w="853" w:type="pct"/>
            <w:tcBorders>
              <w:tl2br w:val="nil"/>
              <w:tr2bl w:val="nil"/>
            </w:tcBorders>
            <w:vAlign w:val="center"/>
          </w:tcPr>
          <w:p>
            <w:pPr>
              <w:spacing w:line="312" w:lineRule="exact"/>
              <w:ind w:firstLine="0" w:firstLineChars="0"/>
              <w:jc w:val="center"/>
              <w:rPr>
                <w:b/>
                <w:bCs/>
                <w:color w:val="auto"/>
                <w:sz w:val="21"/>
                <w:szCs w:val="16"/>
              </w:rPr>
            </w:pPr>
            <w:r>
              <w:rPr>
                <w:b/>
                <w:bCs/>
                <w:color w:val="auto"/>
                <w:sz w:val="21"/>
                <w:szCs w:val="16"/>
              </w:rPr>
              <w:t>监测指标</w:t>
            </w:r>
          </w:p>
        </w:tc>
        <w:tc>
          <w:tcPr>
            <w:tcW w:w="1444" w:type="pct"/>
            <w:tcBorders>
              <w:tl2br w:val="nil"/>
              <w:tr2bl w:val="nil"/>
            </w:tcBorders>
            <w:vAlign w:val="center"/>
          </w:tcPr>
          <w:p>
            <w:pPr>
              <w:spacing w:line="312" w:lineRule="exact"/>
              <w:ind w:firstLine="0" w:firstLineChars="0"/>
              <w:jc w:val="center"/>
              <w:rPr>
                <w:b/>
                <w:bCs/>
                <w:color w:val="auto"/>
                <w:sz w:val="21"/>
                <w:szCs w:val="16"/>
              </w:rPr>
            </w:pPr>
            <w:r>
              <w:rPr>
                <w:b/>
                <w:bCs/>
                <w:color w:val="auto"/>
                <w:sz w:val="21"/>
                <w:szCs w:val="16"/>
              </w:rPr>
              <w:t>监测频次</w:t>
            </w:r>
          </w:p>
        </w:tc>
        <w:tc>
          <w:tcPr>
            <w:tcW w:w="1889" w:type="pct"/>
            <w:tcBorders>
              <w:tl2br w:val="nil"/>
              <w:tr2bl w:val="nil"/>
            </w:tcBorders>
            <w:vAlign w:val="center"/>
          </w:tcPr>
          <w:p>
            <w:pPr>
              <w:spacing w:line="312" w:lineRule="exact"/>
              <w:ind w:firstLine="0" w:firstLineChars="0"/>
              <w:jc w:val="center"/>
              <w:rPr>
                <w:b/>
                <w:bCs/>
                <w:color w:val="auto"/>
                <w:sz w:val="21"/>
                <w:szCs w:val="16"/>
              </w:rPr>
            </w:pPr>
            <w:r>
              <w:rPr>
                <w:b/>
                <w:bCs/>
                <w:color w:val="auto"/>
                <w:sz w:val="21"/>
                <w:szCs w:val="16"/>
              </w:rPr>
              <w:t>执行环境质量标准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812" w:type="pct"/>
            <w:tcBorders>
              <w:tl2br w:val="nil"/>
              <w:tr2bl w:val="nil"/>
            </w:tcBorders>
            <w:vAlign w:val="center"/>
          </w:tcPr>
          <w:p>
            <w:pPr>
              <w:spacing w:line="312" w:lineRule="exact"/>
              <w:ind w:firstLine="0" w:firstLineChars="0"/>
              <w:jc w:val="center"/>
              <w:rPr>
                <w:color w:val="auto"/>
                <w:sz w:val="21"/>
                <w:szCs w:val="16"/>
              </w:rPr>
            </w:pPr>
            <w:r>
              <w:rPr>
                <w:rFonts w:hint="eastAsia"/>
                <w:color w:val="auto"/>
                <w:sz w:val="21"/>
                <w:szCs w:val="16"/>
              </w:rPr>
              <w:t>项目厂界</w:t>
            </w:r>
          </w:p>
        </w:tc>
        <w:tc>
          <w:tcPr>
            <w:tcW w:w="853" w:type="pct"/>
            <w:tcBorders>
              <w:tl2br w:val="nil"/>
              <w:tr2bl w:val="nil"/>
            </w:tcBorders>
            <w:vAlign w:val="center"/>
          </w:tcPr>
          <w:p>
            <w:pPr>
              <w:spacing w:line="312" w:lineRule="exact"/>
              <w:ind w:firstLine="0" w:firstLineChars="0"/>
              <w:jc w:val="center"/>
              <w:rPr>
                <w:color w:val="auto"/>
                <w:sz w:val="21"/>
                <w:szCs w:val="16"/>
              </w:rPr>
            </w:pPr>
            <w:r>
              <w:rPr>
                <w:rFonts w:hint="eastAsia"/>
                <w:color w:val="auto"/>
                <w:sz w:val="21"/>
                <w:szCs w:val="16"/>
              </w:rPr>
              <w:t>VOCs（</w:t>
            </w:r>
            <w:r>
              <w:rPr>
                <w:color w:val="auto"/>
                <w:sz w:val="21"/>
                <w:szCs w:val="16"/>
              </w:rPr>
              <w:t>非甲烷总烃</w:t>
            </w:r>
            <w:r>
              <w:rPr>
                <w:rFonts w:hint="eastAsia"/>
                <w:color w:val="auto"/>
                <w:sz w:val="21"/>
                <w:szCs w:val="16"/>
              </w:rPr>
              <w:t>）</w:t>
            </w:r>
          </w:p>
        </w:tc>
        <w:tc>
          <w:tcPr>
            <w:tcW w:w="1444" w:type="pct"/>
            <w:tcBorders>
              <w:tl2br w:val="nil"/>
              <w:tr2bl w:val="nil"/>
            </w:tcBorders>
            <w:vAlign w:val="center"/>
          </w:tcPr>
          <w:p>
            <w:pPr>
              <w:spacing w:line="312" w:lineRule="exact"/>
              <w:ind w:firstLine="0" w:firstLineChars="0"/>
              <w:jc w:val="center"/>
              <w:rPr>
                <w:color w:val="auto"/>
                <w:sz w:val="21"/>
                <w:szCs w:val="16"/>
              </w:rPr>
            </w:pPr>
            <w:r>
              <w:rPr>
                <w:color w:val="auto"/>
                <w:sz w:val="21"/>
                <w:szCs w:val="16"/>
              </w:rPr>
              <w:t>正常生产条件下，每年监测一次，选择污染较重的季节进行现状监测</w:t>
            </w:r>
          </w:p>
        </w:tc>
        <w:tc>
          <w:tcPr>
            <w:tcW w:w="1889" w:type="pct"/>
            <w:tcBorders>
              <w:tl2br w:val="nil"/>
              <w:tr2bl w:val="nil"/>
            </w:tcBorders>
            <w:vAlign w:val="center"/>
          </w:tcPr>
          <w:p>
            <w:pPr>
              <w:spacing w:line="312" w:lineRule="exact"/>
              <w:ind w:firstLine="0" w:firstLineChars="0"/>
              <w:jc w:val="center"/>
              <w:rPr>
                <w:color w:val="auto"/>
                <w:sz w:val="21"/>
                <w:szCs w:val="16"/>
              </w:rPr>
            </w:pPr>
            <w:r>
              <w:rPr>
                <w:color w:val="auto"/>
                <w:sz w:val="21"/>
                <w:szCs w:val="16"/>
              </w:rPr>
              <w:t>《大气污染物综合排放标准详解》</w:t>
            </w:r>
          </w:p>
        </w:tc>
      </w:tr>
    </w:tbl>
    <w:p>
      <w:pPr>
        <w:pStyle w:val="9"/>
        <w:spacing w:before="156" w:after="156" w:line="360" w:lineRule="auto"/>
        <w:rPr>
          <w:color w:val="auto"/>
        </w:rPr>
      </w:pPr>
      <w:r>
        <w:rPr>
          <w:color w:val="auto"/>
        </w:rPr>
        <w:t>10.3.</w:t>
      </w:r>
      <w:r>
        <w:rPr>
          <w:rFonts w:hint="eastAsia"/>
          <w:color w:val="auto"/>
        </w:rPr>
        <w:t>4</w:t>
      </w:r>
      <w:r>
        <w:rPr>
          <w:color w:val="auto"/>
        </w:rPr>
        <w:t xml:space="preserve"> </w:t>
      </w:r>
      <w:r>
        <w:rPr>
          <w:rFonts w:hint="eastAsia"/>
          <w:color w:val="auto"/>
        </w:rPr>
        <w:t>土壤环境质量</w:t>
      </w:r>
      <w:r>
        <w:rPr>
          <w:color w:val="auto"/>
        </w:rPr>
        <w:t>监测</w:t>
      </w:r>
    </w:p>
    <w:p>
      <w:pPr>
        <w:ind w:firstLine="480"/>
        <w:rPr>
          <w:color w:val="auto"/>
        </w:rPr>
      </w:pPr>
      <w:r>
        <w:rPr>
          <w:rFonts w:hint="eastAsia"/>
          <w:color w:val="auto"/>
        </w:rPr>
        <w:t>根据拟建项目</w:t>
      </w:r>
      <w:r>
        <w:rPr>
          <w:color w:val="auto"/>
        </w:rPr>
        <w:t>排污特点，制订</w:t>
      </w:r>
      <w:r>
        <w:rPr>
          <w:rFonts w:hint="eastAsia"/>
          <w:color w:val="auto"/>
        </w:rPr>
        <w:t>土壤环境</w:t>
      </w:r>
      <w:r>
        <w:rPr>
          <w:color w:val="auto"/>
        </w:rPr>
        <w:t>监测</w:t>
      </w:r>
      <w:r>
        <w:rPr>
          <w:rFonts w:hint="eastAsia"/>
          <w:color w:val="auto"/>
        </w:rPr>
        <w:t>计划</w:t>
      </w:r>
      <w:r>
        <w:rPr>
          <w:rFonts w:hint="eastAsia" w:cs="Times New Roman"/>
          <w:color w:val="auto"/>
          <w:highlight w:val="none"/>
          <w:lang w:val="en-US" w:eastAsia="zh-CN"/>
        </w:rPr>
        <w:t>，</w:t>
      </w:r>
      <w:r>
        <w:rPr>
          <w:color w:val="auto"/>
        </w:rPr>
        <w:t>详细内容见下表</w:t>
      </w:r>
      <w:r>
        <w:rPr>
          <w:rFonts w:hint="eastAsia"/>
          <w:color w:val="auto"/>
        </w:rPr>
        <w:t>10.3-4</w:t>
      </w:r>
      <w:r>
        <w:rPr>
          <w:rFonts w:hint="eastAsia"/>
          <w:color w:val="auto"/>
          <w:lang w:eastAsia="zh-CN"/>
        </w:rPr>
        <w:t>，</w:t>
      </w:r>
      <w:r>
        <w:rPr>
          <w:rFonts w:hint="eastAsia" w:ascii="Times New Roman" w:hAnsi="Times New Roman" w:cs="Times New Roman"/>
          <w:color w:val="auto"/>
          <w:highlight w:val="none"/>
          <w:lang w:val="en-US" w:eastAsia="zh-CN"/>
        </w:rPr>
        <w:t>若后期纳入</w:t>
      </w:r>
      <w:r>
        <w:rPr>
          <w:rFonts w:hint="default" w:ascii="Times New Roman" w:hAnsi="Times New Roman" w:cs="Times New Roman"/>
          <w:color w:val="auto"/>
          <w:highlight w:val="none"/>
        </w:rPr>
        <w:t>淄博市土壤污染重点监管单位名录</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lang w:eastAsia="zh-CN"/>
        </w:rPr>
        <w:t>应按照土壤污染重点监管单位的相关要求</w:t>
      </w:r>
      <w:r>
        <w:rPr>
          <w:rFonts w:hint="eastAsia" w:ascii="Times New Roman" w:hAnsi="Times New Roman" w:cs="Times New Roman"/>
          <w:color w:val="auto"/>
          <w:highlight w:val="none"/>
          <w:lang w:val="en-US" w:eastAsia="zh-CN"/>
        </w:rPr>
        <w:t>开展监测</w:t>
      </w:r>
      <w:r>
        <w:rPr>
          <w:color w:val="auto"/>
        </w:rPr>
        <w:t>。</w:t>
      </w:r>
    </w:p>
    <w:p>
      <w:pPr>
        <w:ind w:firstLine="0" w:firstLineChars="0"/>
        <w:jc w:val="center"/>
        <w:rPr>
          <w:rFonts w:eastAsia="黑体"/>
          <w:b w:val="0"/>
          <w:bCs/>
          <w:color w:val="auto"/>
          <w:sz w:val="21"/>
          <w:szCs w:val="21"/>
        </w:rPr>
      </w:pPr>
      <w:r>
        <w:rPr>
          <w:rFonts w:eastAsia="黑体"/>
          <w:b w:val="0"/>
          <w:bCs/>
          <w:color w:val="auto"/>
          <w:sz w:val="21"/>
          <w:szCs w:val="21"/>
        </w:rPr>
        <w:t>表</w:t>
      </w:r>
      <w:r>
        <w:rPr>
          <w:rFonts w:hint="eastAsia" w:eastAsia="黑体"/>
          <w:b w:val="0"/>
          <w:bCs/>
          <w:color w:val="auto"/>
          <w:sz w:val="21"/>
          <w:szCs w:val="21"/>
        </w:rPr>
        <w:t>10.3-4</w:t>
      </w:r>
      <w:r>
        <w:rPr>
          <w:rFonts w:eastAsia="黑体"/>
          <w:b w:val="0"/>
          <w:bCs/>
          <w:color w:val="auto"/>
          <w:sz w:val="21"/>
          <w:szCs w:val="21"/>
        </w:rPr>
        <w:t xml:space="preserve"> 本项目土壤环境跟踪监测计划</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15" w:type="dxa"/>
          <w:left w:w="15" w:type="dxa"/>
          <w:bottom w:w="15" w:type="dxa"/>
          <w:right w:w="15" w:type="dxa"/>
        </w:tblCellMar>
      </w:tblPr>
      <w:tblGrid>
        <w:gridCol w:w="3134"/>
        <w:gridCol w:w="2837"/>
        <w:gridCol w:w="31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16" w:hRule="atLeast"/>
        </w:trPr>
        <w:tc>
          <w:tcPr>
            <w:tcW w:w="1721" w:type="pct"/>
            <w:vAlign w:val="center"/>
          </w:tcPr>
          <w:p>
            <w:pPr>
              <w:pStyle w:val="47"/>
              <w:spacing w:line="240" w:lineRule="auto"/>
              <w:rPr>
                <w:b/>
                <w:color w:val="auto"/>
              </w:rPr>
            </w:pPr>
            <w:r>
              <w:rPr>
                <w:b/>
                <w:color w:val="auto"/>
              </w:rPr>
              <w:t>监测点位</w:t>
            </w:r>
          </w:p>
        </w:tc>
        <w:tc>
          <w:tcPr>
            <w:tcW w:w="1558" w:type="pct"/>
            <w:vAlign w:val="center"/>
          </w:tcPr>
          <w:p>
            <w:pPr>
              <w:pStyle w:val="47"/>
              <w:spacing w:line="240" w:lineRule="auto"/>
              <w:rPr>
                <w:b/>
                <w:color w:val="auto"/>
              </w:rPr>
            </w:pPr>
            <w:r>
              <w:rPr>
                <w:b/>
                <w:color w:val="auto"/>
              </w:rPr>
              <w:t>监测指标</w:t>
            </w:r>
          </w:p>
        </w:tc>
        <w:tc>
          <w:tcPr>
            <w:tcW w:w="1719" w:type="pct"/>
            <w:vAlign w:val="center"/>
          </w:tcPr>
          <w:p>
            <w:pPr>
              <w:pStyle w:val="47"/>
              <w:spacing w:line="240" w:lineRule="auto"/>
              <w:rPr>
                <w:b/>
                <w:color w:val="auto"/>
              </w:rPr>
            </w:pPr>
            <w:r>
              <w:rPr>
                <w:b/>
                <w:color w:val="auto"/>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16" w:hRule="atLeast"/>
        </w:trPr>
        <w:tc>
          <w:tcPr>
            <w:tcW w:w="1721" w:type="pct"/>
            <w:vAlign w:val="center"/>
          </w:tcPr>
          <w:p>
            <w:pPr>
              <w:pStyle w:val="47"/>
              <w:spacing w:line="240" w:lineRule="auto"/>
              <w:rPr>
                <w:color w:val="auto"/>
              </w:rPr>
            </w:pPr>
            <w:r>
              <w:rPr>
                <w:rFonts w:hint="eastAsia"/>
                <w:color w:val="auto"/>
              </w:rPr>
              <w:t>2</w:t>
            </w:r>
            <w:r>
              <w:rPr>
                <w:color w:val="auto"/>
              </w:rPr>
              <w:t>#监测点（见图5.5-3）</w:t>
            </w:r>
          </w:p>
        </w:tc>
        <w:tc>
          <w:tcPr>
            <w:tcW w:w="1558" w:type="pct"/>
            <w:vAlign w:val="center"/>
          </w:tcPr>
          <w:p>
            <w:pPr>
              <w:pStyle w:val="47"/>
              <w:spacing w:line="240" w:lineRule="auto"/>
              <w:rPr>
                <w:color w:val="auto"/>
              </w:rPr>
            </w:pPr>
            <w:r>
              <w:rPr>
                <w:color w:val="auto"/>
              </w:rPr>
              <w:t>pH、石油烃</w:t>
            </w:r>
            <w:r>
              <w:rPr>
                <w:rFonts w:hint="eastAsia"/>
                <w:color w:val="auto"/>
                <w:lang w:eastAsia="zh-CN"/>
              </w:rPr>
              <w:t>、</w:t>
            </w:r>
            <w:r>
              <w:rPr>
                <w:rFonts w:hint="eastAsia"/>
                <w:color w:val="auto"/>
                <w:sz w:val="21"/>
                <w:szCs w:val="21"/>
              </w:rPr>
              <w:t>钛、锌、铁</w:t>
            </w:r>
            <w:r>
              <w:rPr>
                <w:rFonts w:hint="eastAsia" w:cs="Times New Roman"/>
                <w:color w:val="auto"/>
                <w:sz w:val="21"/>
                <w:szCs w:val="16"/>
                <w:highlight w:val="none"/>
                <w:lang w:val="en-US" w:eastAsia="zh-CN"/>
              </w:rPr>
              <w:t>+常规45项</w:t>
            </w:r>
          </w:p>
        </w:tc>
        <w:tc>
          <w:tcPr>
            <w:tcW w:w="1719" w:type="pct"/>
            <w:vAlign w:val="center"/>
          </w:tcPr>
          <w:p>
            <w:pPr>
              <w:pStyle w:val="47"/>
              <w:spacing w:line="240" w:lineRule="auto"/>
              <w:rPr>
                <w:color w:val="auto"/>
              </w:rPr>
            </w:pPr>
            <w:r>
              <w:rPr>
                <w:color w:val="auto"/>
              </w:rPr>
              <w:t>每5年内开展1次监测</w:t>
            </w:r>
          </w:p>
        </w:tc>
      </w:tr>
    </w:tbl>
    <w:p>
      <w:pPr>
        <w:pStyle w:val="9"/>
        <w:spacing w:before="156" w:after="156"/>
        <w:rPr>
          <w:color w:val="auto"/>
        </w:rPr>
      </w:pPr>
      <w:r>
        <w:rPr>
          <w:color w:val="auto"/>
        </w:rPr>
        <w:t>10.3.</w:t>
      </w:r>
      <w:r>
        <w:rPr>
          <w:rFonts w:hint="eastAsia"/>
          <w:color w:val="auto"/>
        </w:rPr>
        <w:t>5</w:t>
      </w:r>
      <w:r>
        <w:rPr>
          <w:color w:val="auto"/>
        </w:rPr>
        <w:t xml:space="preserve"> </w:t>
      </w:r>
      <w:bookmarkEnd w:id="469"/>
      <w:bookmarkEnd w:id="470"/>
      <w:bookmarkEnd w:id="471"/>
      <w:r>
        <w:rPr>
          <w:color w:val="auto"/>
        </w:rPr>
        <w:t>风险应急监测</w:t>
      </w:r>
    </w:p>
    <w:p>
      <w:pPr>
        <w:ind w:firstLine="480"/>
        <w:rPr>
          <w:color w:val="auto"/>
        </w:rPr>
      </w:pPr>
      <w:bookmarkStart w:id="472" w:name="_Toc358448078"/>
      <w:bookmarkStart w:id="473" w:name="_Toc351472196"/>
      <w:bookmarkStart w:id="474" w:name="_Toc364232486"/>
      <w:bookmarkStart w:id="475" w:name="_Toc350936122"/>
      <w:r>
        <w:rPr>
          <w:rFonts w:hint="eastAsia"/>
          <w:color w:val="auto"/>
        </w:rPr>
        <w:t>拟建项目</w:t>
      </w:r>
      <w:r>
        <w:rPr>
          <w:color w:val="auto"/>
        </w:rPr>
        <w:t>风险监测方案见表10.3-</w:t>
      </w:r>
      <w:r>
        <w:rPr>
          <w:rFonts w:hint="eastAsia"/>
          <w:color w:val="auto"/>
        </w:rPr>
        <w:t>5</w:t>
      </w:r>
      <w:r>
        <w:rPr>
          <w:color w:val="auto"/>
        </w:rPr>
        <w:t>。</w:t>
      </w:r>
    </w:p>
    <w:p>
      <w:pPr>
        <w:ind w:firstLine="0" w:firstLineChars="0"/>
        <w:jc w:val="center"/>
        <w:rPr>
          <w:rFonts w:eastAsia="黑体"/>
          <w:b w:val="0"/>
          <w:bCs w:val="0"/>
          <w:color w:val="auto"/>
          <w:sz w:val="21"/>
          <w:szCs w:val="21"/>
        </w:rPr>
      </w:pPr>
      <w:r>
        <w:rPr>
          <w:rFonts w:eastAsia="黑体"/>
          <w:b w:val="0"/>
          <w:bCs w:val="0"/>
          <w:color w:val="auto"/>
          <w:sz w:val="21"/>
          <w:szCs w:val="21"/>
        </w:rPr>
        <w:t>表10.3-</w:t>
      </w:r>
      <w:r>
        <w:rPr>
          <w:rFonts w:hint="eastAsia" w:eastAsia="黑体"/>
          <w:b w:val="0"/>
          <w:bCs w:val="0"/>
          <w:color w:val="auto"/>
          <w:sz w:val="21"/>
          <w:szCs w:val="21"/>
        </w:rPr>
        <w:t>5</w:t>
      </w:r>
      <w:r>
        <w:rPr>
          <w:rFonts w:eastAsia="黑体"/>
          <w:b w:val="0"/>
          <w:bCs w:val="0"/>
          <w:color w:val="auto"/>
          <w:sz w:val="21"/>
          <w:szCs w:val="21"/>
        </w:rPr>
        <w:t xml:space="preserve">  </w:t>
      </w:r>
      <w:r>
        <w:rPr>
          <w:rFonts w:hint="eastAsia" w:eastAsia="黑体"/>
          <w:b w:val="0"/>
          <w:bCs w:val="0"/>
          <w:color w:val="auto"/>
          <w:sz w:val="21"/>
          <w:szCs w:val="21"/>
        </w:rPr>
        <w:t>拟建项目</w:t>
      </w:r>
      <w:r>
        <w:rPr>
          <w:rFonts w:eastAsia="黑体"/>
          <w:b w:val="0"/>
          <w:bCs w:val="0"/>
          <w:color w:val="auto"/>
          <w:sz w:val="21"/>
          <w:szCs w:val="21"/>
        </w:rPr>
        <w:t>风险应急监测方案</w:t>
      </w:r>
    </w:p>
    <w:tbl>
      <w:tblPr>
        <w:tblStyle w:val="22"/>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418"/>
        <w:gridCol w:w="1984"/>
        <w:gridCol w:w="2039"/>
        <w:gridCol w:w="1814"/>
        <w:gridCol w:w="18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1418" w:type="dxa"/>
            <w:vAlign w:val="center"/>
          </w:tcPr>
          <w:p>
            <w:pPr>
              <w:spacing w:line="240" w:lineRule="auto"/>
              <w:ind w:firstLine="0" w:firstLineChars="0"/>
              <w:jc w:val="center"/>
              <w:rPr>
                <w:b/>
                <w:bCs/>
                <w:color w:val="auto"/>
                <w:sz w:val="21"/>
                <w:szCs w:val="21"/>
              </w:rPr>
            </w:pPr>
            <w:r>
              <w:rPr>
                <w:b/>
                <w:bCs/>
                <w:color w:val="auto"/>
                <w:sz w:val="21"/>
                <w:szCs w:val="21"/>
              </w:rPr>
              <w:t>环境要素</w:t>
            </w:r>
          </w:p>
        </w:tc>
        <w:tc>
          <w:tcPr>
            <w:tcW w:w="1984" w:type="dxa"/>
            <w:vAlign w:val="center"/>
          </w:tcPr>
          <w:p>
            <w:pPr>
              <w:spacing w:line="240" w:lineRule="auto"/>
              <w:ind w:firstLine="0" w:firstLineChars="0"/>
              <w:jc w:val="center"/>
              <w:rPr>
                <w:b/>
                <w:bCs/>
                <w:color w:val="auto"/>
                <w:sz w:val="21"/>
                <w:szCs w:val="21"/>
              </w:rPr>
            </w:pPr>
            <w:r>
              <w:rPr>
                <w:b/>
                <w:bCs/>
                <w:color w:val="auto"/>
                <w:sz w:val="21"/>
                <w:szCs w:val="21"/>
              </w:rPr>
              <w:t>测点名称</w:t>
            </w:r>
          </w:p>
        </w:tc>
        <w:tc>
          <w:tcPr>
            <w:tcW w:w="2039" w:type="dxa"/>
            <w:vAlign w:val="center"/>
          </w:tcPr>
          <w:p>
            <w:pPr>
              <w:spacing w:line="240" w:lineRule="auto"/>
              <w:ind w:firstLine="0" w:firstLineChars="0"/>
              <w:jc w:val="center"/>
              <w:rPr>
                <w:b/>
                <w:bCs/>
                <w:color w:val="auto"/>
                <w:sz w:val="21"/>
                <w:szCs w:val="21"/>
              </w:rPr>
            </w:pPr>
            <w:r>
              <w:rPr>
                <w:b/>
                <w:bCs/>
                <w:color w:val="auto"/>
                <w:sz w:val="21"/>
                <w:szCs w:val="21"/>
              </w:rPr>
              <w:t>监测点位</w:t>
            </w:r>
          </w:p>
        </w:tc>
        <w:tc>
          <w:tcPr>
            <w:tcW w:w="1814" w:type="dxa"/>
            <w:vAlign w:val="center"/>
          </w:tcPr>
          <w:p>
            <w:pPr>
              <w:spacing w:line="240" w:lineRule="auto"/>
              <w:ind w:firstLine="0" w:firstLineChars="0"/>
              <w:jc w:val="center"/>
              <w:rPr>
                <w:b/>
                <w:bCs/>
                <w:color w:val="auto"/>
                <w:sz w:val="21"/>
                <w:szCs w:val="21"/>
              </w:rPr>
            </w:pPr>
            <w:r>
              <w:rPr>
                <w:b/>
                <w:bCs/>
                <w:color w:val="auto"/>
                <w:sz w:val="21"/>
                <w:szCs w:val="21"/>
              </w:rPr>
              <w:t>监测项目</w:t>
            </w:r>
          </w:p>
        </w:tc>
        <w:tc>
          <w:tcPr>
            <w:tcW w:w="1815" w:type="dxa"/>
            <w:vAlign w:val="center"/>
          </w:tcPr>
          <w:p>
            <w:pPr>
              <w:spacing w:line="240" w:lineRule="auto"/>
              <w:ind w:firstLine="0" w:firstLineChars="0"/>
              <w:jc w:val="center"/>
              <w:rPr>
                <w:b/>
                <w:bCs/>
                <w:color w:val="auto"/>
                <w:sz w:val="21"/>
                <w:szCs w:val="21"/>
              </w:rPr>
            </w:pPr>
            <w:r>
              <w:rPr>
                <w:b/>
                <w:bCs/>
                <w:color w:val="auto"/>
                <w:sz w:val="21"/>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1418" w:type="dxa"/>
            <w:vMerge w:val="restart"/>
            <w:vAlign w:val="center"/>
          </w:tcPr>
          <w:p>
            <w:pPr>
              <w:spacing w:line="240" w:lineRule="auto"/>
              <w:ind w:firstLine="0" w:firstLineChars="0"/>
              <w:jc w:val="center"/>
              <w:rPr>
                <w:bCs/>
                <w:color w:val="auto"/>
                <w:sz w:val="21"/>
                <w:szCs w:val="21"/>
              </w:rPr>
            </w:pPr>
            <w:r>
              <w:rPr>
                <w:bCs/>
                <w:color w:val="auto"/>
                <w:sz w:val="21"/>
                <w:szCs w:val="21"/>
              </w:rPr>
              <w:t>环境空气</w:t>
            </w:r>
          </w:p>
        </w:tc>
        <w:tc>
          <w:tcPr>
            <w:tcW w:w="1984" w:type="dxa"/>
            <w:vAlign w:val="center"/>
          </w:tcPr>
          <w:p>
            <w:pPr>
              <w:spacing w:line="240" w:lineRule="auto"/>
              <w:ind w:firstLine="0" w:firstLineChars="0"/>
              <w:jc w:val="center"/>
              <w:rPr>
                <w:bCs/>
                <w:color w:val="auto"/>
                <w:sz w:val="21"/>
                <w:szCs w:val="21"/>
              </w:rPr>
            </w:pPr>
            <w:r>
              <w:rPr>
                <w:bCs/>
                <w:color w:val="auto"/>
                <w:sz w:val="21"/>
                <w:szCs w:val="21"/>
              </w:rPr>
              <w:t>当时风向的下风向</w:t>
            </w:r>
          </w:p>
        </w:tc>
        <w:tc>
          <w:tcPr>
            <w:tcW w:w="2039" w:type="dxa"/>
            <w:vAlign w:val="center"/>
          </w:tcPr>
          <w:p>
            <w:pPr>
              <w:spacing w:line="240" w:lineRule="auto"/>
              <w:ind w:firstLine="0" w:firstLineChars="0"/>
              <w:jc w:val="center"/>
              <w:rPr>
                <w:bCs/>
                <w:color w:val="auto"/>
                <w:sz w:val="21"/>
                <w:szCs w:val="21"/>
              </w:rPr>
            </w:pPr>
            <w:r>
              <w:rPr>
                <w:bCs/>
                <w:color w:val="auto"/>
                <w:sz w:val="21"/>
                <w:szCs w:val="21"/>
              </w:rPr>
              <w:t>每隔500m布设一个监控点，共布设3个。</w:t>
            </w:r>
          </w:p>
        </w:tc>
        <w:tc>
          <w:tcPr>
            <w:tcW w:w="1814" w:type="dxa"/>
            <w:vMerge w:val="restart"/>
            <w:vAlign w:val="center"/>
          </w:tcPr>
          <w:p>
            <w:pPr>
              <w:spacing w:line="240" w:lineRule="auto"/>
              <w:ind w:firstLine="0" w:firstLineChars="0"/>
              <w:jc w:val="center"/>
              <w:rPr>
                <w:bCs/>
                <w:color w:val="auto"/>
                <w:sz w:val="21"/>
                <w:szCs w:val="21"/>
              </w:rPr>
            </w:pPr>
            <w:r>
              <w:rPr>
                <w:bCs/>
                <w:color w:val="auto"/>
                <w:sz w:val="21"/>
                <w:szCs w:val="21"/>
              </w:rPr>
              <w:t>CO等</w:t>
            </w:r>
          </w:p>
        </w:tc>
        <w:tc>
          <w:tcPr>
            <w:tcW w:w="1815" w:type="dxa"/>
            <w:vMerge w:val="restart"/>
            <w:vAlign w:val="center"/>
          </w:tcPr>
          <w:p>
            <w:pPr>
              <w:spacing w:line="240" w:lineRule="auto"/>
              <w:ind w:firstLine="0" w:firstLineChars="0"/>
              <w:jc w:val="center"/>
              <w:rPr>
                <w:bCs/>
                <w:color w:val="auto"/>
                <w:sz w:val="21"/>
                <w:szCs w:val="21"/>
              </w:rPr>
            </w:pPr>
            <w:r>
              <w:rPr>
                <w:bCs/>
                <w:color w:val="auto"/>
                <w:sz w:val="21"/>
                <w:szCs w:val="21"/>
              </w:rPr>
              <w:t>每小时一次，随事故控制减弱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1418" w:type="dxa"/>
            <w:vMerge w:val="continue"/>
            <w:vAlign w:val="center"/>
          </w:tcPr>
          <w:p>
            <w:pPr>
              <w:spacing w:line="240" w:lineRule="auto"/>
              <w:ind w:firstLine="0" w:firstLineChars="0"/>
              <w:jc w:val="center"/>
              <w:rPr>
                <w:bCs/>
                <w:color w:val="auto"/>
                <w:sz w:val="21"/>
                <w:szCs w:val="21"/>
              </w:rPr>
            </w:pPr>
          </w:p>
        </w:tc>
        <w:tc>
          <w:tcPr>
            <w:tcW w:w="1984" w:type="dxa"/>
            <w:vAlign w:val="center"/>
          </w:tcPr>
          <w:p>
            <w:pPr>
              <w:spacing w:line="240" w:lineRule="auto"/>
              <w:ind w:firstLine="0" w:firstLineChars="0"/>
              <w:jc w:val="center"/>
              <w:rPr>
                <w:bCs/>
                <w:color w:val="auto"/>
                <w:sz w:val="21"/>
                <w:szCs w:val="21"/>
              </w:rPr>
            </w:pPr>
            <w:r>
              <w:rPr>
                <w:bCs/>
                <w:color w:val="auto"/>
                <w:sz w:val="21"/>
                <w:szCs w:val="21"/>
              </w:rPr>
              <w:t>当时风向的侧风向</w:t>
            </w:r>
          </w:p>
        </w:tc>
        <w:tc>
          <w:tcPr>
            <w:tcW w:w="2039" w:type="dxa"/>
            <w:vAlign w:val="center"/>
          </w:tcPr>
          <w:p>
            <w:pPr>
              <w:spacing w:line="240" w:lineRule="auto"/>
              <w:ind w:firstLine="0" w:firstLineChars="0"/>
              <w:jc w:val="center"/>
              <w:rPr>
                <w:bCs/>
                <w:color w:val="auto"/>
                <w:sz w:val="21"/>
                <w:szCs w:val="21"/>
              </w:rPr>
            </w:pPr>
            <w:r>
              <w:rPr>
                <w:bCs/>
                <w:color w:val="auto"/>
                <w:sz w:val="21"/>
                <w:szCs w:val="21"/>
              </w:rPr>
              <w:t>两侧各布设一个监控点，共布设2个。</w:t>
            </w:r>
          </w:p>
        </w:tc>
        <w:tc>
          <w:tcPr>
            <w:tcW w:w="1814" w:type="dxa"/>
            <w:vMerge w:val="continue"/>
            <w:vAlign w:val="center"/>
          </w:tcPr>
          <w:p>
            <w:pPr>
              <w:spacing w:line="240" w:lineRule="auto"/>
              <w:ind w:firstLine="0" w:firstLineChars="0"/>
              <w:jc w:val="center"/>
              <w:rPr>
                <w:bCs/>
                <w:color w:val="auto"/>
                <w:sz w:val="21"/>
                <w:szCs w:val="21"/>
              </w:rPr>
            </w:pPr>
          </w:p>
        </w:tc>
        <w:tc>
          <w:tcPr>
            <w:tcW w:w="1815" w:type="dxa"/>
            <w:vMerge w:val="continue"/>
            <w:vAlign w:val="center"/>
          </w:tcPr>
          <w:p>
            <w:pPr>
              <w:spacing w:line="240" w:lineRule="auto"/>
              <w:ind w:firstLine="0" w:firstLineChars="0"/>
              <w:jc w:val="cente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1418" w:type="dxa"/>
            <w:vMerge w:val="continue"/>
            <w:vAlign w:val="center"/>
          </w:tcPr>
          <w:p>
            <w:pPr>
              <w:spacing w:line="240" w:lineRule="auto"/>
              <w:ind w:firstLine="0" w:firstLineChars="0"/>
              <w:jc w:val="center"/>
              <w:rPr>
                <w:bCs/>
                <w:color w:val="auto"/>
                <w:sz w:val="21"/>
                <w:szCs w:val="21"/>
              </w:rPr>
            </w:pPr>
          </w:p>
        </w:tc>
        <w:tc>
          <w:tcPr>
            <w:tcW w:w="4023" w:type="dxa"/>
            <w:gridSpan w:val="2"/>
            <w:vAlign w:val="center"/>
          </w:tcPr>
          <w:p>
            <w:pPr>
              <w:spacing w:line="240" w:lineRule="auto"/>
              <w:ind w:firstLine="0" w:firstLineChars="0"/>
              <w:jc w:val="center"/>
              <w:rPr>
                <w:bCs/>
                <w:color w:val="auto"/>
                <w:sz w:val="21"/>
                <w:szCs w:val="21"/>
              </w:rPr>
            </w:pPr>
            <w:r>
              <w:rPr>
                <w:bCs/>
                <w:color w:val="auto"/>
                <w:sz w:val="21"/>
                <w:szCs w:val="21"/>
              </w:rPr>
              <w:t>下风向最近敏感点</w:t>
            </w:r>
          </w:p>
        </w:tc>
        <w:tc>
          <w:tcPr>
            <w:tcW w:w="1814" w:type="dxa"/>
            <w:vMerge w:val="continue"/>
            <w:vAlign w:val="center"/>
          </w:tcPr>
          <w:p>
            <w:pPr>
              <w:spacing w:line="240" w:lineRule="auto"/>
              <w:ind w:firstLine="0" w:firstLineChars="0"/>
              <w:jc w:val="center"/>
              <w:rPr>
                <w:bCs/>
                <w:color w:val="auto"/>
                <w:sz w:val="21"/>
                <w:szCs w:val="21"/>
              </w:rPr>
            </w:pPr>
          </w:p>
        </w:tc>
        <w:tc>
          <w:tcPr>
            <w:tcW w:w="1815" w:type="dxa"/>
            <w:vMerge w:val="continue"/>
            <w:vAlign w:val="center"/>
          </w:tcPr>
          <w:p>
            <w:pPr>
              <w:spacing w:line="240" w:lineRule="auto"/>
              <w:ind w:firstLine="0" w:firstLineChars="0"/>
              <w:jc w:val="cente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1418" w:type="dxa"/>
            <w:vAlign w:val="center"/>
          </w:tcPr>
          <w:p>
            <w:pPr>
              <w:spacing w:line="240" w:lineRule="auto"/>
              <w:ind w:firstLine="0" w:firstLineChars="0"/>
              <w:jc w:val="center"/>
              <w:rPr>
                <w:bCs/>
                <w:color w:val="auto"/>
                <w:sz w:val="21"/>
                <w:szCs w:val="21"/>
              </w:rPr>
            </w:pPr>
            <w:r>
              <w:rPr>
                <w:bCs/>
                <w:color w:val="auto"/>
                <w:sz w:val="21"/>
                <w:szCs w:val="21"/>
              </w:rPr>
              <w:t>地表水</w:t>
            </w:r>
          </w:p>
        </w:tc>
        <w:tc>
          <w:tcPr>
            <w:tcW w:w="4023" w:type="dxa"/>
            <w:gridSpan w:val="2"/>
            <w:vAlign w:val="center"/>
          </w:tcPr>
          <w:p>
            <w:pPr>
              <w:spacing w:line="240" w:lineRule="auto"/>
              <w:ind w:firstLine="0" w:firstLineChars="0"/>
              <w:jc w:val="center"/>
              <w:rPr>
                <w:bCs/>
                <w:color w:val="auto"/>
                <w:sz w:val="21"/>
                <w:szCs w:val="21"/>
              </w:rPr>
            </w:pPr>
            <w:r>
              <w:rPr>
                <w:bCs/>
                <w:color w:val="auto"/>
                <w:sz w:val="21"/>
                <w:szCs w:val="21"/>
              </w:rPr>
              <w:t>厂区污水处理站出口</w:t>
            </w:r>
          </w:p>
        </w:tc>
        <w:tc>
          <w:tcPr>
            <w:tcW w:w="1814" w:type="dxa"/>
            <w:vAlign w:val="center"/>
          </w:tcPr>
          <w:p>
            <w:pPr>
              <w:spacing w:line="240" w:lineRule="auto"/>
              <w:ind w:firstLine="0" w:firstLineChars="0"/>
              <w:jc w:val="center"/>
              <w:rPr>
                <w:bCs/>
                <w:color w:val="auto"/>
                <w:sz w:val="21"/>
                <w:szCs w:val="21"/>
              </w:rPr>
            </w:pPr>
            <w:r>
              <w:rPr>
                <w:bCs/>
                <w:color w:val="auto"/>
                <w:sz w:val="21"/>
                <w:szCs w:val="21"/>
              </w:rPr>
              <w:t>pH、CODCr、氨氮、</w:t>
            </w:r>
            <w:r>
              <w:rPr>
                <w:rFonts w:hint="eastAsia"/>
                <w:bCs/>
                <w:color w:val="auto"/>
                <w:sz w:val="21"/>
                <w:szCs w:val="21"/>
              </w:rPr>
              <w:t>乳酸</w:t>
            </w:r>
            <w:r>
              <w:rPr>
                <w:bCs/>
                <w:color w:val="auto"/>
                <w:sz w:val="21"/>
                <w:szCs w:val="21"/>
              </w:rPr>
              <w:t>、SS、石油类等</w:t>
            </w:r>
          </w:p>
        </w:tc>
        <w:tc>
          <w:tcPr>
            <w:tcW w:w="1815" w:type="dxa"/>
            <w:vAlign w:val="center"/>
          </w:tcPr>
          <w:p>
            <w:pPr>
              <w:spacing w:line="240" w:lineRule="auto"/>
              <w:ind w:firstLine="0" w:firstLineChars="0"/>
              <w:jc w:val="center"/>
              <w:rPr>
                <w:bCs/>
                <w:color w:val="auto"/>
                <w:sz w:val="21"/>
                <w:szCs w:val="21"/>
              </w:rPr>
            </w:pPr>
            <w:r>
              <w:rPr>
                <w:bCs/>
                <w:color w:val="auto"/>
                <w:sz w:val="21"/>
                <w:szCs w:val="21"/>
              </w:rPr>
              <w:t>每小时一次，随事故控制减弱</w:t>
            </w:r>
          </w:p>
        </w:tc>
      </w:tr>
      <w:bookmarkEnd w:id="472"/>
      <w:bookmarkEnd w:id="473"/>
      <w:bookmarkEnd w:id="474"/>
      <w:bookmarkEnd w:id="475"/>
    </w:tbl>
    <w:p>
      <w:pPr>
        <w:ind w:firstLine="480"/>
        <w:rPr>
          <w:color w:val="auto"/>
        </w:rPr>
      </w:pPr>
      <w:r>
        <w:rPr>
          <w:rFonts w:hint="eastAsia"/>
          <w:color w:val="auto"/>
        </w:rPr>
        <w:br w:type="page"/>
      </w:r>
    </w:p>
    <w:p>
      <w:pPr>
        <w:pStyle w:val="7"/>
        <w:spacing w:before="0" w:beforeLines="0" w:after="0" w:afterLines="0"/>
        <w:rPr>
          <w:rFonts w:cs="Times New Roman"/>
          <w:color w:val="auto"/>
        </w:rPr>
      </w:pPr>
      <w:bookmarkStart w:id="476" w:name="_Toc1234"/>
      <w:bookmarkStart w:id="477" w:name="_Toc23141"/>
      <w:r>
        <w:rPr>
          <w:rFonts w:cs="Times New Roman"/>
          <w:color w:val="auto"/>
        </w:rPr>
        <w:t>11污染物排放总量控制分析</w:t>
      </w:r>
      <w:bookmarkEnd w:id="476"/>
      <w:bookmarkEnd w:id="477"/>
    </w:p>
    <w:p>
      <w:pPr>
        <w:pStyle w:val="8"/>
        <w:spacing w:before="0" w:beforeLines="0" w:after="0" w:afterLines="0" w:line="360" w:lineRule="auto"/>
        <w:rPr>
          <w:color w:val="auto"/>
        </w:rPr>
      </w:pPr>
      <w:bookmarkStart w:id="478" w:name="_Toc23038"/>
      <w:bookmarkStart w:id="479" w:name="_Toc12976"/>
      <w:r>
        <w:rPr>
          <w:color w:val="auto"/>
        </w:rPr>
        <w:t>11.1总量控制对象</w:t>
      </w:r>
      <w:bookmarkEnd w:id="478"/>
      <w:bookmarkEnd w:id="479"/>
    </w:p>
    <w:p>
      <w:pPr>
        <w:adjustRightInd w:val="0"/>
        <w:snapToGrid w:val="0"/>
        <w:ind w:firstLine="480"/>
        <w:rPr>
          <w:color w:val="auto"/>
        </w:rPr>
      </w:pPr>
      <w:r>
        <w:rPr>
          <w:color w:val="auto"/>
        </w:rPr>
        <w:t>根据《中华人民共和国国民经济和社会发展第十四个五年规划和2035年远景目标纲要》，“十</w:t>
      </w:r>
      <w:r>
        <w:rPr>
          <w:rFonts w:hint="eastAsia"/>
          <w:color w:val="auto"/>
        </w:rPr>
        <w:t>四</w:t>
      </w:r>
      <w:r>
        <w:rPr>
          <w:color w:val="auto"/>
        </w:rPr>
        <w:t>五”期间国家将SO</w:t>
      </w:r>
      <w:r>
        <w:rPr>
          <w:color w:val="auto"/>
          <w:vertAlign w:val="subscript"/>
        </w:rPr>
        <w:t>2</w:t>
      </w:r>
      <w:r>
        <w:rPr>
          <w:color w:val="auto"/>
        </w:rPr>
        <w:t>、NO</w:t>
      </w:r>
      <w:r>
        <w:rPr>
          <w:color w:val="auto"/>
          <w:vertAlign w:val="subscript"/>
        </w:rPr>
        <w:t>x</w:t>
      </w:r>
      <w:r>
        <w:rPr>
          <w:color w:val="auto"/>
        </w:rPr>
        <w:t>、COD、氨氮纳入总量控制指标体系，对上述四项主要污染物实施国家总量控制，统一要求，统一考核。结合地区环境情况不同，</w:t>
      </w:r>
      <w:r>
        <w:rPr>
          <w:rFonts w:hint="eastAsia"/>
          <w:color w:val="auto"/>
        </w:rPr>
        <w:t>淄博市</w:t>
      </w:r>
      <w:r>
        <w:rPr>
          <w:color w:val="auto"/>
        </w:rPr>
        <w:t>主要控制污染物为SO</w:t>
      </w:r>
      <w:r>
        <w:rPr>
          <w:color w:val="auto"/>
          <w:vertAlign w:val="subscript"/>
        </w:rPr>
        <w:t>2</w:t>
      </w:r>
      <w:r>
        <w:rPr>
          <w:color w:val="auto"/>
        </w:rPr>
        <w:t>、NO</w:t>
      </w:r>
      <w:r>
        <w:rPr>
          <w:color w:val="auto"/>
          <w:vertAlign w:val="subscript"/>
        </w:rPr>
        <w:t>x</w:t>
      </w:r>
      <w:r>
        <w:rPr>
          <w:color w:val="auto"/>
        </w:rPr>
        <w:t>、</w:t>
      </w:r>
      <w:r>
        <w:rPr>
          <w:rFonts w:hint="eastAsia"/>
          <w:color w:val="auto"/>
          <w:lang w:val="en-US" w:eastAsia="zh-CN"/>
        </w:rPr>
        <w:t>VOCs、</w:t>
      </w:r>
      <w:r>
        <w:rPr>
          <w:color w:val="auto"/>
        </w:rPr>
        <w:t>颗粒物、COD及氨氮</w:t>
      </w:r>
      <w:r>
        <w:rPr>
          <w:rFonts w:hint="eastAsia"/>
          <w:color w:val="auto"/>
          <w:lang w:val="en-US" w:eastAsia="zh-CN"/>
        </w:rPr>
        <w:t>6</w:t>
      </w:r>
      <w:r>
        <w:rPr>
          <w:color w:val="auto"/>
        </w:rPr>
        <w:t>项指标。</w:t>
      </w:r>
    </w:p>
    <w:p>
      <w:pPr>
        <w:pStyle w:val="8"/>
        <w:spacing w:before="0" w:beforeLines="0" w:after="0" w:afterLines="0" w:line="360" w:lineRule="auto"/>
        <w:rPr>
          <w:color w:val="auto"/>
        </w:rPr>
      </w:pPr>
      <w:bookmarkStart w:id="480" w:name="_Toc27908"/>
      <w:bookmarkStart w:id="481" w:name="_Toc5338"/>
      <w:r>
        <w:rPr>
          <w:color w:val="auto"/>
        </w:rPr>
        <w:t>11.</w:t>
      </w:r>
      <w:r>
        <w:rPr>
          <w:rFonts w:hint="eastAsia"/>
          <w:color w:val="auto"/>
        </w:rPr>
        <w:t>2</w:t>
      </w:r>
      <w:r>
        <w:rPr>
          <w:color w:val="auto"/>
        </w:rPr>
        <w:t xml:space="preserve">  </w:t>
      </w:r>
      <w:r>
        <w:rPr>
          <w:rFonts w:hint="eastAsia"/>
          <w:color w:val="auto"/>
        </w:rPr>
        <w:t>拟建</w:t>
      </w:r>
      <w:r>
        <w:rPr>
          <w:color w:val="auto"/>
        </w:rPr>
        <w:t>项目总量申请指标</w:t>
      </w:r>
      <w:bookmarkEnd w:id="480"/>
      <w:bookmarkEnd w:id="481"/>
    </w:p>
    <w:p>
      <w:pPr>
        <w:ind w:firstLine="480"/>
        <w:contextualSpacing/>
        <w:rPr>
          <w:color w:val="auto"/>
        </w:rPr>
      </w:pPr>
      <w:r>
        <w:rPr>
          <w:rFonts w:hint="eastAsia"/>
          <w:color w:val="auto"/>
        </w:rPr>
        <w:t>拟建</w:t>
      </w:r>
      <w:r>
        <w:rPr>
          <w:color w:val="auto"/>
        </w:rPr>
        <w:t>项目申请总量控制指标</w:t>
      </w:r>
      <w:r>
        <w:rPr>
          <w:rFonts w:hint="eastAsia"/>
          <w:color w:val="auto"/>
        </w:rPr>
        <w:t>如下：</w:t>
      </w:r>
    </w:p>
    <w:p>
      <w:pPr>
        <w:ind w:firstLine="480"/>
        <w:contextualSpacing/>
        <w:rPr>
          <w:color w:val="auto"/>
        </w:rPr>
      </w:pPr>
      <w:r>
        <w:rPr>
          <w:color w:val="auto"/>
        </w:rPr>
        <w:t>1、废气</w:t>
      </w:r>
    </w:p>
    <w:p>
      <w:pPr>
        <w:ind w:firstLine="480"/>
        <w:contextualSpacing/>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lang w:val="en-US" w:eastAsia="zh-CN"/>
        </w:rPr>
        <w:t>有组织废气：</w:t>
      </w:r>
      <w:r>
        <w:rPr>
          <w:color w:val="auto"/>
        </w:rPr>
        <w:t>本项目</w:t>
      </w:r>
      <w:r>
        <w:rPr>
          <w:rFonts w:hint="eastAsia"/>
          <w:color w:val="auto"/>
        </w:rPr>
        <w:t>有组织</w:t>
      </w:r>
      <w:r>
        <w:rPr>
          <w:color w:val="auto"/>
        </w:rPr>
        <w:t>VOCs</w:t>
      </w:r>
      <w:r>
        <w:rPr>
          <w:rFonts w:hint="eastAsia"/>
          <w:color w:val="auto"/>
        </w:rPr>
        <w:t>、</w:t>
      </w:r>
      <w:r>
        <w:rPr>
          <w:rFonts w:hint="eastAsia"/>
          <w:color w:val="auto"/>
          <w:lang w:val="en-US" w:eastAsia="zh-CN"/>
        </w:rPr>
        <w:t>颗粒物、</w:t>
      </w:r>
      <w:r>
        <w:rPr>
          <w:color w:val="auto"/>
        </w:rPr>
        <w:t>SO</w:t>
      </w:r>
      <w:r>
        <w:rPr>
          <w:color w:val="auto"/>
          <w:vertAlign w:val="subscript"/>
        </w:rPr>
        <w:t>2</w:t>
      </w:r>
      <w:r>
        <w:rPr>
          <w:color w:val="auto"/>
        </w:rPr>
        <w:t>、NO</w:t>
      </w:r>
      <w:r>
        <w:rPr>
          <w:color w:val="auto"/>
          <w:vertAlign w:val="subscript"/>
        </w:rPr>
        <w:t>x</w:t>
      </w:r>
      <w:r>
        <w:rPr>
          <w:rFonts w:hint="eastAsia"/>
          <w:color w:val="auto"/>
        </w:rPr>
        <w:t>核算</w:t>
      </w:r>
      <w:r>
        <w:rPr>
          <w:color w:val="auto"/>
        </w:rPr>
        <w:t>排放量为</w:t>
      </w:r>
      <w:r>
        <w:rPr>
          <w:rFonts w:hint="eastAsia"/>
          <w:color w:val="auto"/>
          <w:lang w:val="en-US" w:eastAsia="zh-CN"/>
        </w:rPr>
        <w:t>0.899</w:t>
      </w:r>
      <w:r>
        <w:rPr>
          <w:color w:val="auto"/>
        </w:rPr>
        <w:t>t/a</w:t>
      </w:r>
      <w:r>
        <w:rPr>
          <w:rFonts w:hint="eastAsia"/>
          <w:color w:val="auto"/>
        </w:rPr>
        <w:t>、</w:t>
      </w:r>
      <w:r>
        <w:rPr>
          <w:rFonts w:hint="eastAsia"/>
          <w:color w:val="auto"/>
          <w:lang w:val="en-US" w:eastAsia="zh-CN"/>
        </w:rPr>
        <w:t>0.16</w:t>
      </w:r>
      <w:r>
        <w:rPr>
          <w:color w:val="auto"/>
        </w:rPr>
        <w:t>t/a</w:t>
      </w:r>
      <w:r>
        <w:rPr>
          <w:rFonts w:hint="eastAsia"/>
          <w:color w:val="auto"/>
        </w:rPr>
        <w:t>、</w:t>
      </w:r>
      <w:r>
        <w:rPr>
          <w:rFonts w:hint="eastAsia"/>
          <w:color w:val="auto"/>
          <w:lang w:val="en-US" w:eastAsia="zh-CN"/>
        </w:rPr>
        <w:t>0.45</w:t>
      </w:r>
      <w:r>
        <w:rPr>
          <w:color w:val="auto"/>
        </w:rPr>
        <w:t>t/a</w:t>
      </w:r>
      <w:r>
        <w:rPr>
          <w:rFonts w:hint="eastAsia"/>
          <w:color w:val="auto"/>
        </w:rPr>
        <w:t>、</w:t>
      </w:r>
      <w:r>
        <w:rPr>
          <w:rFonts w:hint="eastAsia"/>
          <w:color w:val="auto"/>
          <w:lang w:val="en-US" w:eastAsia="zh-CN"/>
        </w:rPr>
        <w:t>1.4</w:t>
      </w:r>
      <w:r>
        <w:rPr>
          <w:color w:val="auto"/>
        </w:rPr>
        <w:t>t/a</w:t>
      </w:r>
      <w:r>
        <w:rPr>
          <w:rFonts w:hint="eastAsia"/>
          <w:color w:val="auto"/>
        </w:rPr>
        <w:t>、</w:t>
      </w:r>
      <w:r>
        <w:rPr>
          <w:color w:val="auto"/>
        </w:rPr>
        <w:t>。</w:t>
      </w:r>
    </w:p>
    <w:p>
      <w:pPr>
        <w:ind w:firstLine="480"/>
        <w:contextualSpacing/>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color w:val="auto"/>
        </w:rPr>
        <w:t>无组织废气</w:t>
      </w:r>
      <w:r>
        <w:rPr>
          <w:rFonts w:hint="eastAsia"/>
          <w:color w:val="auto"/>
          <w:lang w:eastAsia="zh-CN"/>
        </w:rPr>
        <w:t>：</w:t>
      </w:r>
      <w:r>
        <w:rPr>
          <w:color w:val="auto"/>
        </w:rPr>
        <w:t>根据工程分析，本项目颗粒物、VOCs排放量分别为0.00</w:t>
      </w:r>
      <w:r>
        <w:rPr>
          <w:rFonts w:hint="eastAsia"/>
          <w:color w:val="auto"/>
          <w:lang w:val="en-US" w:eastAsia="zh-CN"/>
        </w:rPr>
        <w:t>8</w:t>
      </w:r>
      <w:r>
        <w:rPr>
          <w:color w:val="auto"/>
        </w:rPr>
        <w:t>t/a、0.</w:t>
      </w:r>
      <w:r>
        <w:rPr>
          <w:rFonts w:hint="eastAsia"/>
          <w:color w:val="auto"/>
        </w:rPr>
        <w:t>14</w:t>
      </w:r>
      <w:r>
        <w:rPr>
          <w:color w:val="auto"/>
        </w:rPr>
        <w:t>t/a。</w:t>
      </w:r>
    </w:p>
    <w:p>
      <w:pPr>
        <w:pStyle w:val="2"/>
        <w:rPr>
          <w:rFonts w:hint="eastAsia"/>
          <w:color w:val="auto"/>
          <w:lang w:val="en-US" w:eastAsia="zh-CN"/>
        </w:rPr>
      </w:pPr>
      <w:r>
        <w:rPr>
          <w:rFonts w:hint="eastAsia"/>
          <w:color w:val="auto"/>
          <w:lang w:val="en-US" w:eastAsia="zh-CN"/>
        </w:rPr>
        <w:t>2、废水</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default"/>
          <w:color w:val="auto"/>
          <w:lang w:val="en-US" w:eastAsia="zh-CN"/>
        </w:rPr>
      </w:pPr>
      <w:r>
        <w:rPr>
          <w:rFonts w:hint="default" w:ascii="Times New Roman" w:hAnsi="Times New Roman" w:eastAsia="宋体" w:cs="Times New Roman"/>
          <w:color w:val="auto"/>
          <w:kern w:val="0"/>
          <w:sz w:val="24"/>
          <w:szCs w:val="24"/>
          <w:lang w:val="en-US" w:eastAsia="zh-CN" w:bidi="ar-SA"/>
        </w:rPr>
        <w:t>项目</w:t>
      </w:r>
      <w:r>
        <w:rPr>
          <w:rFonts w:hint="eastAsia" w:cs="Times New Roman"/>
          <w:color w:val="auto"/>
          <w:kern w:val="0"/>
          <w:sz w:val="24"/>
          <w:szCs w:val="24"/>
          <w:lang w:val="en-US" w:eastAsia="zh-CN" w:bidi="ar-SA"/>
        </w:rPr>
        <w:t>生产废水厂区污水处理站处理后与生活污水</w:t>
      </w:r>
      <w:r>
        <w:rPr>
          <w:rFonts w:hint="default" w:eastAsia="宋体" w:cs="Times New Roman"/>
          <w:color w:val="auto"/>
          <w:kern w:val="0"/>
          <w:sz w:val="24"/>
          <w:szCs w:val="24"/>
          <w:lang w:val="en-US" w:eastAsia="zh-CN" w:bidi="ar-SA"/>
        </w:rPr>
        <w:t>经污水管网排</w:t>
      </w:r>
      <w:r>
        <w:rPr>
          <w:rFonts w:hint="eastAsia" w:eastAsia="宋体" w:cs="Times New Roman"/>
          <w:color w:val="auto"/>
          <w:kern w:val="0"/>
          <w:sz w:val="24"/>
          <w:szCs w:val="24"/>
          <w:lang w:val="en-US" w:eastAsia="zh-CN" w:bidi="ar-SA"/>
        </w:rPr>
        <w:t>入光大水务（淄博）水质净化</w:t>
      </w:r>
      <w:r>
        <w:rPr>
          <w:rFonts w:hint="eastAsia" w:cs="Times New Roman"/>
          <w:color w:val="auto"/>
          <w:kern w:val="0"/>
          <w:sz w:val="24"/>
          <w:szCs w:val="24"/>
          <w:lang w:val="en-US" w:eastAsia="zh-CN" w:bidi="ar-SA"/>
        </w:rPr>
        <w:t>三分厂</w:t>
      </w:r>
      <w:r>
        <w:rPr>
          <w:rFonts w:hint="default" w:eastAsia="宋体" w:cs="Times New Roman"/>
          <w:color w:val="auto"/>
          <w:kern w:val="0"/>
          <w:sz w:val="24"/>
          <w:szCs w:val="24"/>
          <w:lang w:val="en-US" w:eastAsia="zh-CN" w:bidi="ar-SA"/>
        </w:rPr>
        <w:t>进一步处理达标后排放，</w:t>
      </w:r>
      <w:r>
        <w:rPr>
          <w:rFonts w:hint="eastAsia" w:eastAsia="宋体" w:cs="Times New Roman"/>
          <w:color w:val="auto"/>
          <w:kern w:val="0"/>
          <w:sz w:val="24"/>
          <w:szCs w:val="24"/>
          <w:lang w:val="en-US" w:eastAsia="zh-CN" w:bidi="ar-SA"/>
        </w:rPr>
        <w:t>外排环境</w:t>
      </w:r>
      <w:r>
        <w:rPr>
          <w:rFonts w:hint="default" w:eastAsia="宋体" w:cs="Times New Roman"/>
          <w:color w:val="auto"/>
          <w:kern w:val="0"/>
          <w:sz w:val="24"/>
          <w:szCs w:val="24"/>
          <w:lang w:val="en-US" w:eastAsia="zh-CN" w:bidi="ar-SA"/>
        </w:rPr>
        <w:t>COD</w:t>
      </w:r>
      <w:r>
        <w:rPr>
          <w:rFonts w:hint="eastAsia" w:eastAsia="宋体" w:cs="Times New Roman"/>
          <w:color w:val="auto"/>
          <w:kern w:val="0"/>
          <w:sz w:val="24"/>
          <w:szCs w:val="24"/>
          <w:lang w:val="en-US" w:eastAsia="zh-CN" w:bidi="ar-SA"/>
        </w:rPr>
        <w:t>、</w:t>
      </w:r>
      <w:r>
        <w:rPr>
          <w:rFonts w:hint="default" w:eastAsia="宋体" w:cs="Times New Roman"/>
          <w:color w:val="auto"/>
          <w:kern w:val="0"/>
          <w:sz w:val="24"/>
          <w:szCs w:val="24"/>
          <w:lang w:val="en-US" w:eastAsia="zh-CN" w:bidi="ar-SA"/>
        </w:rPr>
        <w:t>氨氮</w:t>
      </w:r>
      <w:r>
        <w:rPr>
          <w:rFonts w:hint="eastAsia" w:eastAsia="宋体" w:cs="Times New Roman"/>
          <w:color w:val="auto"/>
          <w:kern w:val="0"/>
          <w:sz w:val="24"/>
          <w:szCs w:val="24"/>
          <w:lang w:val="en-US" w:eastAsia="zh-CN" w:bidi="ar-SA"/>
        </w:rPr>
        <w:t>总量在光大水务（淄博）水质净化</w:t>
      </w:r>
      <w:r>
        <w:rPr>
          <w:rFonts w:hint="eastAsia" w:cs="Times New Roman"/>
          <w:color w:val="auto"/>
          <w:kern w:val="0"/>
          <w:sz w:val="24"/>
          <w:szCs w:val="24"/>
          <w:lang w:val="en-US" w:eastAsia="zh-CN" w:bidi="ar-SA"/>
        </w:rPr>
        <w:t>三分厂</w:t>
      </w:r>
      <w:r>
        <w:rPr>
          <w:rFonts w:hint="eastAsia" w:eastAsia="宋体" w:cs="Times New Roman"/>
          <w:color w:val="auto"/>
          <w:kern w:val="0"/>
          <w:sz w:val="24"/>
          <w:szCs w:val="24"/>
          <w:lang w:val="en-US" w:eastAsia="zh-CN" w:bidi="ar-SA"/>
        </w:rPr>
        <w:t>总量中调剂，</w:t>
      </w:r>
      <w:r>
        <w:rPr>
          <w:rFonts w:hint="default" w:eastAsia="宋体" w:cs="Times New Roman"/>
          <w:color w:val="auto"/>
          <w:kern w:val="0"/>
          <w:sz w:val="24"/>
          <w:szCs w:val="24"/>
          <w:lang w:val="en-US" w:eastAsia="zh-CN" w:bidi="ar-SA"/>
        </w:rPr>
        <w:t>不需要申请总量控制指标</w:t>
      </w:r>
      <w:r>
        <w:rPr>
          <w:rFonts w:hint="eastAsia" w:cs="Times New Roman"/>
          <w:color w:val="auto"/>
          <w:kern w:val="0"/>
          <w:sz w:val="24"/>
          <w:szCs w:val="24"/>
          <w:lang w:val="en-US" w:eastAsia="zh-CN" w:bidi="ar-SA"/>
        </w:rPr>
        <w:t>，外排环境总量：</w:t>
      </w:r>
      <w:r>
        <w:rPr>
          <w:rFonts w:hint="default" w:eastAsia="宋体" w:cs="Times New Roman"/>
          <w:color w:val="auto"/>
          <w:kern w:val="0"/>
          <w:sz w:val="24"/>
          <w:szCs w:val="24"/>
          <w:lang w:val="en-US" w:eastAsia="zh-CN" w:bidi="ar-SA"/>
        </w:rPr>
        <w:t>COD</w:t>
      </w:r>
      <w:r>
        <w:rPr>
          <w:rFonts w:hint="eastAsia" w:eastAsia="宋体" w:cs="Times New Roman"/>
          <w:color w:val="auto"/>
          <w:kern w:val="0"/>
          <w:sz w:val="24"/>
          <w:szCs w:val="24"/>
          <w:lang w:val="en-US" w:eastAsia="zh-CN" w:bidi="ar-SA"/>
        </w:rPr>
        <w:t>：0.206t/a、</w:t>
      </w:r>
      <w:r>
        <w:rPr>
          <w:rFonts w:hint="default" w:eastAsia="宋体" w:cs="Times New Roman"/>
          <w:color w:val="auto"/>
          <w:kern w:val="0"/>
          <w:sz w:val="24"/>
          <w:szCs w:val="24"/>
          <w:lang w:val="en-US" w:eastAsia="zh-CN" w:bidi="ar-SA"/>
        </w:rPr>
        <w:t>氨氮</w:t>
      </w:r>
      <w:r>
        <w:rPr>
          <w:rFonts w:hint="eastAsia" w:eastAsia="宋体" w:cs="Times New Roman"/>
          <w:color w:val="auto"/>
          <w:kern w:val="0"/>
          <w:sz w:val="24"/>
          <w:szCs w:val="24"/>
          <w:lang w:val="en-US" w:eastAsia="zh-CN" w:bidi="ar-SA"/>
        </w:rPr>
        <w:t>0.0138t/a</w:t>
      </w:r>
      <w:r>
        <w:rPr>
          <w:rFonts w:hint="default" w:eastAsia="宋体" w:cs="Times New Roman"/>
          <w:color w:val="auto"/>
          <w:kern w:val="0"/>
          <w:sz w:val="24"/>
          <w:szCs w:val="24"/>
          <w:lang w:val="en-US" w:eastAsia="zh-CN" w:bidi="ar-SA"/>
        </w:rPr>
        <w:t>。</w:t>
      </w:r>
      <w:r>
        <w:rPr>
          <w:rFonts w:hint="eastAsia" w:eastAsia="宋体" w:cs="Times New Roman"/>
          <w:color w:val="auto"/>
          <w:kern w:val="0"/>
          <w:sz w:val="24"/>
          <w:szCs w:val="24"/>
          <w:lang w:val="en-US" w:eastAsia="zh-CN" w:bidi="ar-SA"/>
        </w:rPr>
        <w:t>本项目需要确认内控总量，</w:t>
      </w:r>
      <w:r>
        <w:rPr>
          <w:rFonts w:hint="default" w:eastAsia="宋体" w:cs="Times New Roman"/>
          <w:color w:val="auto"/>
          <w:kern w:val="0"/>
          <w:sz w:val="24"/>
          <w:szCs w:val="24"/>
          <w:lang w:val="en-US" w:eastAsia="zh-CN" w:bidi="ar-SA"/>
        </w:rPr>
        <w:t>COD</w:t>
      </w:r>
      <w:r>
        <w:rPr>
          <w:rFonts w:hint="eastAsia" w:cs="Times New Roman"/>
          <w:color w:val="auto"/>
          <w:kern w:val="0"/>
          <w:sz w:val="24"/>
          <w:szCs w:val="24"/>
          <w:lang w:val="en-US" w:eastAsia="zh-CN" w:bidi="ar-SA"/>
        </w:rPr>
        <w:t>1.34</w:t>
      </w:r>
      <w:r>
        <w:rPr>
          <w:rFonts w:hint="eastAsia" w:eastAsia="宋体" w:cs="Times New Roman"/>
          <w:color w:val="auto"/>
          <w:kern w:val="0"/>
          <w:sz w:val="24"/>
          <w:szCs w:val="24"/>
          <w:lang w:val="en-US" w:eastAsia="zh-CN" w:bidi="ar-SA"/>
        </w:rPr>
        <w:t>t/a、</w:t>
      </w:r>
      <w:r>
        <w:rPr>
          <w:rFonts w:hint="default" w:eastAsia="宋体" w:cs="Times New Roman"/>
          <w:color w:val="auto"/>
          <w:kern w:val="0"/>
          <w:sz w:val="24"/>
          <w:szCs w:val="24"/>
          <w:lang w:val="en-US" w:eastAsia="zh-CN" w:bidi="ar-SA"/>
        </w:rPr>
        <w:t>氨氮</w:t>
      </w:r>
      <w:r>
        <w:rPr>
          <w:rFonts w:hint="eastAsia" w:eastAsia="宋体" w:cs="Times New Roman"/>
          <w:color w:val="auto"/>
          <w:kern w:val="0"/>
          <w:sz w:val="24"/>
          <w:szCs w:val="24"/>
          <w:lang w:val="en-US" w:eastAsia="zh-CN" w:bidi="ar-SA"/>
        </w:rPr>
        <w:t>0.02</w:t>
      </w:r>
      <w:r>
        <w:rPr>
          <w:rFonts w:hint="eastAsia" w:cs="Times New Roman"/>
          <w:color w:val="auto"/>
          <w:kern w:val="0"/>
          <w:sz w:val="24"/>
          <w:szCs w:val="24"/>
          <w:lang w:val="en-US" w:eastAsia="zh-CN" w:bidi="ar-SA"/>
        </w:rPr>
        <w:t>7</w:t>
      </w:r>
      <w:r>
        <w:rPr>
          <w:rFonts w:hint="eastAsia" w:eastAsia="宋体" w:cs="Times New Roman"/>
          <w:color w:val="auto"/>
          <w:kern w:val="0"/>
          <w:sz w:val="24"/>
          <w:szCs w:val="24"/>
          <w:lang w:val="en-US" w:eastAsia="zh-CN" w:bidi="ar-SA"/>
        </w:rPr>
        <w:t>t/a。</w:t>
      </w:r>
    </w:p>
    <w:p>
      <w:pPr>
        <w:ind w:firstLine="480"/>
        <w:contextualSpacing/>
        <w:rPr>
          <w:color w:val="auto"/>
        </w:rPr>
      </w:pPr>
      <w:r>
        <w:rPr>
          <w:color w:val="auto"/>
        </w:rPr>
        <w:t>3、倍量替代</w:t>
      </w:r>
    </w:p>
    <w:p>
      <w:pPr>
        <w:ind w:firstLine="480"/>
        <w:contextualSpacing/>
        <w:rPr>
          <w:color w:val="auto"/>
        </w:rPr>
      </w:pPr>
      <w:r>
        <w:rPr>
          <w:color w:val="auto"/>
        </w:rPr>
        <w:t>根据《山东省建设项目主要大气污染物排放总量替代指标核算及管理办法》（鲁环发[2019]132号）和《关于统筹使用“十四五”建设项目主要大气污染物总量指标的通知》（淄环函[2021]55号）</w:t>
      </w:r>
      <w:r>
        <w:rPr>
          <w:rFonts w:hint="eastAsia"/>
          <w:color w:val="auto"/>
        </w:rPr>
        <w:t>的</w:t>
      </w:r>
      <w:r>
        <w:rPr>
          <w:color w:val="auto"/>
        </w:rPr>
        <w:t>要求进行替代，颗粒物、SO</w:t>
      </w:r>
      <w:r>
        <w:rPr>
          <w:color w:val="auto"/>
          <w:vertAlign w:val="subscript"/>
        </w:rPr>
        <w:t>2</w:t>
      </w:r>
      <w:r>
        <w:rPr>
          <w:color w:val="auto"/>
        </w:rPr>
        <w:t>、NOx、VOCs需2倍削减替代</w:t>
      </w:r>
      <w:r>
        <w:rPr>
          <w:rFonts w:hint="eastAsia"/>
          <w:color w:val="auto"/>
        </w:rPr>
        <w:t>，本项目需确认总量</w:t>
      </w:r>
      <w:r>
        <w:rPr>
          <w:color w:val="auto"/>
        </w:rPr>
        <w:t>VOCs</w:t>
      </w:r>
      <w:r>
        <w:rPr>
          <w:rFonts w:hint="eastAsia"/>
          <w:color w:val="auto"/>
        </w:rPr>
        <w:t>、颗粒物、</w:t>
      </w:r>
      <w:r>
        <w:rPr>
          <w:color w:val="auto"/>
        </w:rPr>
        <w:t>SO</w:t>
      </w:r>
      <w:r>
        <w:rPr>
          <w:color w:val="auto"/>
          <w:vertAlign w:val="subscript"/>
        </w:rPr>
        <w:t>2</w:t>
      </w:r>
      <w:r>
        <w:rPr>
          <w:color w:val="auto"/>
        </w:rPr>
        <w:t>、NO</w:t>
      </w:r>
      <w:r>
        <w:rPr>
          <w:color w:val="auto"/>
          <w:vertAlign w:val="subscript"/>
        </w:rPr>
        <w:t>x</w:t>
      </w:r>
      <w:r>
        <w:rPr>
          <w:rFonts w:hint="eastAsia"/>
          <w:color w:val="auto"/>
        </w:rPr>
        <w:t>分别为1.</w:t>
      </w:r>
      <w:r>
        <w:rPr>
          <w:rFonts w:hint="eastAsia"/>
          <w:color w:val="auto"/>
          <w:lang w:val="en-US" w:eastAsia="zh-CN"/>
        </w:rPr>
        <w:t>051</w:t>
      </w:r>
      <w:r>
        <w:rPr>
          <w:color w:val="auto"/>
        </w:rPr>
        <w:t>t/a</w:t>
      </w:r>
      <w:r>
        <w:rPr>
          <w:rFonts w:hint="eastAsia"/>
          <w:color w:val="auto"/>
        </w:rPr>
        <w:t>、0.</w:t>
      </w:r>
      <w:r>
        <w:rPr>
          <w:rFonts w:hint="eastAsia"/>
          <w:color w:val="auto"/>
          <w:lang w:val="en-US" w:eastAsia="zh-CN"/>
        </w:rPr>
        <w:t>168</w:t>
      </w:r>
      <w:r>
        <w:rPr>
          <w:color w:val="auto"/>
        </w:rPr>
        <w:t>t/a</w:t>
      </w:r>
      <w:r>
        <w:rPr>
          <w:rFonts w:hint="eastAsia"/>
          <w:color w:val="auto"/>
        </w:rPr>
        <w:t>、0.</w:t>
      </w:r>
      <w:r>
        <w:rPr>
          <w:rFonts w:hint="eastAsia"/>
          <w:color w:val="auto"/>
          <w:lang w:val="en-US" w:eastAsia="zh-CN"/>
        </w:rPr>
        <w:t>45</w:t>
      </w:r>
      <w:r>
        <w:rPr>
          <w:color w:val="auto"/>
        </w:rPr>
        <w:t>t/a</w:t>
      </w:r>
      <w:r>
        <w:rPr>
          <w:rFonts w:hint="eastAsia"/>
          <w:color w:val="auto"/>
        </w:rPr>
        <w:t>、</w:t>
      </w:r>
      <w:r>
        <w:rPr>
          <w:rFonts w:hint="eastAsia"/>
          <w:color w:val="auto"/>
          <w:lang w:val="en-US" w:eastAsia="zh-CN"/>
        </w:rPr>
        <w:t>1.4</w:t>
      </w:r>
      <w:r>
        <w:rPr>
          <w:color w:val="auto"/>
        </w:rPr>
        <w:t>t/a</w:t>
      </w:r>
      <w:r>
        <w:rPr>
          <w:rFonts w:hint="eastAsia"/>
          <w:color w:val="auto"/>
        </w:rPr>
        <w:t>。本项目</w:t>
      </w:r>
      <w:r>
        <w:rPr>
          <w:color w:val="auto"/>
          <w:szCs w:val="24"/>
        </w:rPr>
        <w:t>VOCs</w:t>
      </w:r>
      <w:r>
        <w:rPr>
          <w:rFonts w:hint="eastAsia"/>
          <w:color w:val="auto"/>
          <w:szCs w:val="24"/>
        </w:rPr>
        <w:t>、</w:t>
      </w:r>
      <w:r>
        <w:rPr>
          <w:rFonts w:hint="eastAsia"/>
          <w:color w:val="auto"/>
        </w:rPr>
        <w:t>颗粒物、</w:t>
      </w:r>
      <w:r>
        <w:rPr>
          <w:color w:val="auto"/>
        </w:rPr>
        <w:t>SO</w:t>
      </w:r>
      <w:r>
        <w:rPr>
          <w:color w:val="auto"/>
          <w:vertAlign w:val="subscript"/>
        </w:rPr>
        <w:t>2</w:t>
      </w:r>
      <w:r>
        <w:rPr>
          <w:color w:val="auto"/>
        </w:rPr>
        <w:t>、NO</w:t>
      </w:r>
      <w:r>
        <w:rPr>
          <w:color w:val="auto"/>
          <w:vertAlign w:val="subscript"/>
        </w:rPr>
        <w:t>x</w:t>
      </w:r>
      <w:r>
        <w:rPr>
          <w:color w:val="auto"/>
          <w:szCs w:val="24"/>
        </w:rPr>
        <w:t>需2倍削减替代</w:t>
      </w:r>
      <w:r>
        <w:rPr>
          <w:rFonts w:hint="eastAsia"/>
          <w:color w:val="auto"/>
          <w:szCs w:val="24"/>
          <w:lang w:val="en-US" w:eastAsia="zh-CN"/>
        </w:rPr>
        <w:t>2.</w:t>
      </w:r>
      <w:bookmarkStart w:id="496" w:name="_GoBack"/>
      <w:bookmarkEnd w:id="496"/>
      <w:r>
        <w:rPr>
          <w:rFonts w:hint="eastAsia"/>
          <w:color w:val="auto"/>
          <w:szCs w:val="24"/>
          <w:lang w:val="en-US" w:eastAsia="zh-CN"/>
        </w:rPr>
        <w:t>102</w:t>
      </w:r>
      <w:r>
        <w:rPr>
          <w:rFonts w:hint="eastAsia"/>
          <w:color w:val="auto"/>
          <w:szCs w:val="24"/>
        </w:rPr>
        <w:t>t</w:t>
      </w:r>
      <w:r>
        <w:rPr>
          <w:color w:val="auto"/>
          <w:szCs w:val="24"/>
        </w:rPr>
        <w:t>/a</w:t>
      </w:r>
      <w:r>
        <w:rPr>
          <w:rFonts w:hint="eastAsia"/>
          <w:color w:val="auto"/>
          <w:szCs w:val="24"/>
        </w:rPr>
        <w:t>、0.</w:t>
      </w:r>
      <w:r>
        <w:rPr>
          <w:rFonts w:hint="eastAsia"/>
          <w:color w:val="auto"/>
          <w:szCs w:val="24"/>
          <w:lang w:val="en-US" w:eastAsia="zh-CN"/>
        </w:rPr>
        <w:t>336</w:t>
      </w:r>
      <w:r>
        <w:rPr>
          <w:color w:val="auto"/>
        </w:rPr>
        <w:t>t/a</w:t>
      </w:r>
      <w:r>
        <w:rPr>
          <w:rFonts w:hint="eastAsia"/>
          <w:color w:val="auto"/>
        </w:rPr>
        <w:t>、</w:t>
      </w:r>
      <w:r>
        <w:rPr>
          <w:rFonts w:hint="eastAsia"/>
          <w:color w:val="auto"/>
          <w:szCs w:val="24"/>
        </w:rPr>
        <w:t>0.</w:t>
      </w:r>
      <w:r>
        <w:rPr>
          <w:rFonts w:hint="eastAsia"/>
          <w:color w:val="auto"/>
          <w:szCs w:val="24"/>
          <w:lang w:val="en-US" w:eastAsia="zh-CN"/>
        </w:rPr>
        <w:t>9</w:t>
      </w:r>
      <w:r>
        <w:rPr>
          <w:color w:val="auto"/>
        </w:rPr>
        <w:t>t/a</w:t>
      </w:r>
      <w:r>
        <w:rPr>
          <w:rFonts w:hint="eastAsia"/>
          <w:color w:val="auto"/>
          <w:szCs w:val="24"/>
        </w:rPr>
        <w:t>、</w:t>
      </w:r>
      <w:r>
        <w:rPr>
          <w:rFonts w:hint="eastAsia"/>
          <w:color w:val="auto"/>
          <w:szCs w:val="24"/>
          <w:lang w:val="en-US" w:eastAsia="zh-CN"/>
        </w:rPr>
        <w:t>2.8</w:t>
      </w:r>
      <w:r>
        <w:rPr>
          <w:color w:val="auto"/>
        </w:rPr>
        <w:t>t/a</w:t>
      </w:r>
      <w:r>
        <w:rPr>
          <w:rFonts w:hint="eastAsia"/>
          <w:color w:val="auto"/>
        </w:rPr>
        <w:t>。</w:t>
      </w:r>
    </w:p>
    <w:p>
      <w:pPr>
        <w:ind w:firstLine="480"/>
        <w:rPr>
          <w:color w:val="auto"/>
        </w:rPr>
      </w:pPr>
      <w:r>
        <w:rPr>
          <w:color w:val="auto"/>
        </w:rPr>
        <w:t>（4）建议确认总量：VOCs</w:t>
      </w:r>
      <w:r>
        <w:rPr>
          <w:rFonts w:hint="eastAsia"/>
          <w:color w:val="auto"/>
        </w:rPr>
        <w:t>、颗粒物、</w:t>
      </w:r>
      <w:r>
        <w:rPr>
          <w:color w:val="auto"/>
        </w:rPr>
        <w:t>SO</w:t>
      </w:r>
      <w:r>
        <w:rPr>
          <w:color w:val="auto"/>
          <w:vertAlign w:val="subscript"/>
        </w:rPr>
        <w:t>2</w:t>
      </w:r>
      <w:r>
        <w:rPr>
          <w:color w:val="auto"/>
        </w:rPr>
        <w:t>、NO</w:t>
      </w:r>
      <w:r>
        <w:rPr>
          <w:color w:val="auto"/>
          <w:vertAlign w:val="subscript"/>
        </w:rPr>
        <w:t>x</w:t>
      </w:r>
      <w:r>
        <w:rPr>
          <w:rFonts w:hint="eastAsia"/>
          <w:color w:val="auto"/>
        </w:rPr>
        <w:t>分别为1.</w:t>
      </w:r>
      <w:r>
        <w:rPr>
          <w:rFonts w:hint="eastAsia"/>
          <w:color w:val="auto"/>
          <w:lang w:val="en-US" w:eastAsia="zh-CN"/>
        </w:rPr>
        <w:t>051</w:t>
      </w:r>
      <w:r>
        <w:rPr>
          <w:color w:val="auto"/>
        </w:rPr>
        <w:t>t/a</w:t>
      </w:r>
      <w:r>
        <w:rPr>
          <w:rFonts w:hint="eastAsia"/>
          <w:color w:val="auto"/>
        </w:rPr>
        <w:t>、0.</w:t>
      </w:r>
      <w:r>
        <w:rPr>
          <w:rFonts w:hint="eastAsia"/>
          <w:color w:val="auto"/>
          <w:lang w:val="en-US" w:eastAsia="zh-CN"/>
        </w:rPr>
        <w:t>168</w:t>
      </w:r>
      <w:r>
        <w:rPr>
          <w:color w:val="auto"/>
        </w:rPr>
        <w:t>t/a</w:t>
      </w:r>
      <w:r>
        <w:rPr>
          <w:rFonts w:hint="eastAsia"/>
          <w:color w:val="auto"/>
        </w:rPr>
        <w:t>、0.</w:t>
      </w:r>
      <w:r>
        <w:rPr>
          <w:rFonts w:hint="eastAsia"/>
          <w:color w:val="auto"/>
          <w:lang w:val="en-US" w:eastAsia="zh-CN"/>
        </w:rPr>
        <w:t>45</w:t>
      </w:r>
      <w:r>
        <w:rPr>
          <w:color w:val="auto"/>
        </w:rPr>
        <w:t>t/a</w:t>
      </w:r>
      <w:r>
        <w:rPr>
          <w:rFonts w:hint="eastAsia"/>
          <w:color w:val="auto"/>
        </w:rPr>
        <w:t>、</w:t>
      </w:r>
      <w:r>
        <w:rPr>
          <w:rFonts w:hint="eastAsia"/>
          <w:color w:val="auto"/>
          <w:lang w:val="en-US" w:eastAsia="zh-CN"/>
        </w:rPr>
        <w:t>1.4</w:t>
      </w:r>
      <w:r>
        <w:rPr>
          <w:color w:val="auto"/>
        </w:rPr>
        <w:t>t/a</w:t>
      </w:r>
      <w:r>
        <w:rPr>
          <w:rFonts w:hint="eastAsia"/>
          <w:color w:val="auto"/>
        </w:rPr>
        <w:t>。</w:t>
      </w:r>
    </w:p>
    <w:p>
      <w:pPr>
        <w:ind w:firstLine="480"/>
        <w:rPr>
          <w:color w:val="auto"/>
        </w:rPr>
      </w:pPr>
      <w:r>
        <w:rPr>
          <w:rFonts w:hint="eastAsia"/>
          <w:color w:val="auto"/>
        </w:rPr>
        <w:br w:type="page"/>
      </w:r>
    </w:p>
    <w:p>
      <w:pPr>
        <w:pStyle w:val="7"/>
        <w:spacing w:before="0" w:beforeLines="0" w:after="0" w:afterLines="0"/>
        <w:rPr>
          <w:rFonts w:cs="Times New Roman"/>
          <w:color w:val="auto"/>
        </w:rPr>
      </w:pPr>
      <w:bookmarkStart w:id="482" w:name="_Toc25667"/>
      <w:bookmarkStart w:id="483" w:name="_Toc6853"/>
      <w:r>
        <w:rPr>
          <w:rFonts w:cs="Times New Roman"/>
          <w:color w:val="auto"/>
        </w:rPr>
        <w:t>12项目建设合理性论证</w:t>
      </w:r>
      <w:bookmarkEnd w:id="482"/>
      <w:bookmarkEnd w:id="483"/>
    </w:p>
    <w:p>
      <w:pPr>
        <w:pStyle w:val="8"/>
        <w:spacing w:before="0" w:beforeLines="0" w:after="0" w:afterLines="0" w:line="360" w:lineRule="auto"/>
        <w:rPr>
          <w:color w:val="auto"/>
        </w:rPr>
      </w:pPr>
      <w:bookmarkStart w:id="484" w:name="_Toc29947"/>
      <w:bookmarkStart w:id="485" w:name="_Toc12098"/>
      <w:r>
        <w:rPr>
          <w:color w:val="auto"/>
        </w:rPr>
        <w:t>12.1政策符合性分析</w:t>
      </w:r>
      <w:bookmarkEnd w:id="484"/>
      <w:bookmarkEnd w:id="485"/>
    </w:p>
    <w:p>
      <w:pPr>
        <w:pStyle w:val="9"/>
        <w:spacing w:before="0" w:beforeLines="0" w:after="0" w:afterLines="0" w:line="360" w:lineRule="auto"/>
        <w:rPr>
          <w:color w:val="auto"/>
        </w:rPr>
      </w:pPr>
      <w:r>
        <w:rPr>
          <w:color w:val="auto"/>
        </w:rPr>
        <w:t>12.1.1产业政策符合性</w:t>
      </w:r>
    </w:p>
    <w:p>
      <w:pPr>
        <w:numPr>
          <w:ilvl w:val="0"/>
          <w:numId w:val="17"/>
        </w:numPr>
        <w:ind w:firstLine="480"/>
        <w:rPr>
          <w:color w:val="auto"/>
        </w:rPr>
      </w:pPr>
      <w:r>
        <w:rPr>
          <w:color w:val="auto"/>
        </w:rPr>
        <w:t>国家产业政策符合性</w:t>
      </w:r>
    </w:p>
    <w:p>
      <w:pPr>
        <w:ind w:firstLine="480"/>
        <w:rPr>
          <w:color w:val="auto"/>
        </w:rPr>
      </w:pPr>
      <w:r>
        <w:rPr>
          <w:color w:val="auto"/>
        </w:rPr>
        <w:t>拟建项目属于《产业结构调整指导目录（2019年本）》“鼓励类”第十九项“轻工”第3条“生物可降解塑料及其系列产品开发、生产与应用，农用塑料节水器材和长寿命（三年及以上）功能性农用薄膜的开发、生产”，为国家鼓励类项目</w:t>
      </w:r>
      <w:r>
        <w:rPr>
          <w:rFonts w:hint="eastAsia"/>
          <w:color w:val="auto"/>
        </w:rPr>
        <w:t>，该项目符合国家产业政策。</w:t>
      </w:r>
    </w:p>
    <w:p>
      <w:pPr>
        <w:pStyle w:val="2"/>
        <w:ind w:firstLine="480"/>
        <w:rPr>
          <w:color w:val="auto"/>
        </w:rPr>
      </w:pPr>
      <w:r>
        <w:rPr>
          <w:rFonts w:hint="eastAsia"/>
          <w:color w:val="auto"/>
        </w:rPr>
        <w:t>2022</w:t>
      </w:r>
      <w:r>
        <w:rPr>
          <w:color w:val="auto"/>
        </w:rPr>
        <w:t>年</w:t>
      </w:r>
      <w:r>
        <w:rPr>
          <w:rFonts w:hint="eastAsia"/>
          <w:color w:val="auto"/>
        </w:rPr>
        <w:t>1</w:t>
      </w:r>
      <w:r>
        <w:rPr>
          <w:color w:val="auto"/>
        </w:rPr>
        <w:t>月1</w:t>
      </w:r>
      <w:r>
        <w:rPr>
          <w:rFonts w:hint="eastAsia"/>
          <w:color w:val="auto"/>
        </w:rPr>
        <w:t>0</w:t>
      </w:r>
      <w:r>
        <w:rPr>
          <w:color w:val="auto"/>
        </w:rPr>
        <w:t>日</w:t>
      </w:r>
      <w:r>
        <w:rPr>
          <w:rFonts w:hint="eastAsia"/>
          <w:color w:val="auto"/>
        </w:rPr>
        <w:t>，拟建项目已经</w:t>
      </w:r>
      <w:r>
        <w:rPr>
          <w:color w:val="auto"/>
        </w:rPr>
        <w:t>取得山东省建设项目备案证明，项目代码为</w:t>
      </w:r>
      <w:r>
        <w:rPr>
          <w:rFonts w:hint="eastAsia"/>
          <w:color w:val="auto"/>
        </w:rPr>
        <w:t>2201-370303-89-01-892093。</w:t>
      </w:r>
    </w:p>
    <w:p>
      <w:pPr>
        <w:ind w:firstLine="480"/>
        <w:rPr>
          <w:color w:val="auto"/>
        </w:rPr>
      </w:pPr>
      <w:r>
        <w:rPr>
          <w:rFonts w:hint="eastAsia"/>
          <w:color w:val="auto"/>
        </w:rPr>
        <w:t>2、淄博市产业政策符合性</w:t>
      </w:r>
    </w:p>
    <w:p>
      <w:pPr>
        <w:pStyle w:val="2"/>
        <w:ind w:firstLine="480"/>
        <w:rPr>
          <w:color w:val="auto"/>
        </w:rPr>
      </w:pPr>
      <w:r>
        <w:rPr>
          <w:rFonts w:hint="eastAsia"/>
          <w:color w:val="auto"/>
        </w:rPr>
        <w:t>拟建</w:t>
      </w:r>
      <w:r>
        <w:rPr>
          <w:color w:val="auto"/>
        </w:rPr>
        <w:t>项目不属于《淄博市人民政府办公厅关于印发淄博市产业结构调整指导意见和指导目录的通知》（淄政办发[2011]35号）“限制发展类”和“淘汰类”，属于</w:t>
      </w:r>
      <w:r>
        <w:rPr>
          <w:rFonts w:hint="eastAsia"/>
          <w:color w:val="auto"/>
        </w:rPr>
        <w:t>鼓励类第3条战略性新兴产业中的第15项微生物、生物基材料等生物制造技术及产品”</w:t>
      </w:r>
      <w:r>
        <w:rPr>
          <w:color w:val="auto"/>
        </w:rPr>
        <w:t>，符合地方产业政策。</w:t>
      </w:r>
      <w:r>
        <w:rPr>
          <w:rFonts w:hint="eastAsia"/>
          <w:color w:val="auto"/>
          <w:szCs w:val="24"/>
          <w:lang w:val="en-US" w:eastAsia="zh-CN"/>
        </w:rPr>
        <w:t>本项目产品丙交酯属于其他生物基产品中的生物基聚酯，聚乳酸属于生物降解生物基塑料原料中的聚乳酸(PLA)，因此都属于</w:t>
      </w:r>
      <w:r>
        <w:rPr>
          <w:color w:val="auto"/>
          <w:szCs w:val="24"/>
        </w:rPr>
        <w:t>生物基材料制造</w:t>
      </w:r>
      <w:r>
        <w:rPr>
          <w:rFonts w:hint="eastAsia"/>
          <w:color w:val="auto"/>
          <w:szCs w:val="24"/>
          <w:lang w:eastAsia="zh-CN"/>
        </w:rPr>
        <w:t>。</w:t>
      </w:r>
    </w:p>
    <w:p>
      <w:pPr>
        <w:pStyle w:val="9"/>
        <w:spacing w:before="0" w:beforeLines="0" w:after="0" w:afterLines="0" w:line="360" w:lineRule="auto"/>
        <w:rPr>
          <w:color w:val="auto"/>
        </w:rPr>
      </w:pPr>
      <w:r>
        <w:rPr>
          <w:color w:val="auto"/>
        </w:rPr>
        <w:t>12.1.2环保政策符合性</w:t>
      </w:r>
    </w:p>
    <w:p>
      <w:pPr>
        <w:pStyle w:val="2"/>
        <w:spacing w:after="0" w:line="360" w:lineRule="auto"/>
        <w:ind w:firstLine="480"/>
        <w:rPr>
          <w:color w:val="auto"/>
        </w:rPr>
      </w:pPr>
      <w:r>
        <w:rPr>
          <w:rFonts w:hint="eastAsia"/>
          <w:color w:val="auto"/>
        </w:rPr>
        <w:t>1、</w:t>
      </w:r>
      <w:r>
        <w:rPr>
          <w:color w:val="auto"/>
        </w:rPr>
        <w:t>与环发[2012]98号符合性</w:t>
      </w:r>
    </w:p>
    <w:p>
      <w:pPr>
        <w:ind w:firstLine="480"/>
        <w:rPr>
          <w:color w:val="auto"/>
        </w:rPr>
      </w:pPr>
      <w:r>
        <w:rPr>
          <w:rFonts w:hint="eastAsia"/>
          <w:color w:val="auto"/>
        </w:rPr>
        <w:t>拟建项目</w:t>
      </w:r>
      <w:r>
        <w:rPr>
          <w:color w:val="auto"/>
        </w:rPr>
        <w:t>与环发[2012]98号《关于切实加强风险防范严格环境影响评价管理的通知》符合情况见表12.1-</w:t>
      </w:r>
      <w:r>
        <w:rPr>
          <w:rFonts w:hint="eastAsia"/>
          <w:color w:val="auto"/>
        </w:rPr>
        <w:t>1</w:t>
      </w:r>
      <w:r>
        <w:rPr>
          <w:color w:val="auto"/>
        </w:rPr>
        <w:t>。</w:t>
      </w:r>
    </w:p>
    <w:p>
      <w:pPr>
        <w:pStyle w:val="2"/>
        <w:spacing w:after="0" w:line="360" w:lineRule="auto"/>
        <w:ind w:firstLine="0" w:firstLineChars="0"/>
        <w:jc w:val="center"/>
        <w:rPr>
          <w:rFonts w:eastAsia="黑体"/>
          <w:b w:val="0"/>
          <w:bCs/>
          <w:color w:val="auto"/>
          <w:sz w:val="21"/>
          <w:szCs w:val="21"/>
        </w:rPr>
      </w:pPr>
      <w:r>
        <w:rPr>
          <w:rFonts w:eastAsia="黑体"/>
          <w:b w:val="0"/>
          <w:bCs/>
          <w:color w:val="auto"/>
          <w:sz w:val="21"/>
          <w:szCs w:val="21"/>
        </w:rPr>
        <w:t>表12.1-</w:t>
      </w:r>
      <w:r>
        <w:rPr>
          <w:rFonts w:hint="eastAsia" w:eastAsia="黑体"/>
          <w:b w:val="0"/>
          <w:bCs/>
          <w:color w:val="auto"/>
          <w:sz w:val="21"/>
          <w:szCs w:val="21"/>
        </w:rPr>
        <w:t>1</w:t>
      </w:r>
      <w:r>
        <w:rPr>
          <w:rFonts w:eastAsia="黑体"/>
          <w:b w:val="0"/>
          <w:bCs/>
          <w:color w:val="auto"/>
          <w:sz w:val="21"/>
          <w:szCs w:val="21"/>
        </w:rPr>
        <w:t xml:space="preserve"> </w:t>
      </w:r>
      <w:r>
        <w:rPr>
          <w:rFonts w:hint="eastAsia" w:eastAsia="黑体"/>
          <w:b w:val="0"/>
          <w:bCs/>
          <w:color w:val="auto"/>
          <w:sz w:val="21"/>
          <w:szCs w:val="21"/>
        </w:rPr>
        <w:t>拟建项目</w:t>
      </w:r>
      <w:r>
        <w:rPr>
          <w:rFonts w:eastAsia="黑体"/>
          <w:b w:val="0"/>
          <w:bCs/>
          <w:color w:val="auto"/>
          <w:sz w:val="21"/>
          <w:szCs w:val="21"/>
        </w:rPr>
        <w:t>与环发[2012]98 号文相关审批要求符合情况</w:t>
      </w:r>
    </w:p>
    <w:tbl>
      <w:tblPr>
        <w:tblStyle w:val="22"/>
        <w:tblW w:w="5117" w:type="pct"/>
        <w:tblInd w:w="-10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368"/>
        <w:gridCol w:w="3733"/>
        <w:gridCol w:w="31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1275" w:type="pct"/>
            <w:vAlign w:val="center"/>
          </w:tcPr>
          <w:p>
            <w:pPr>
              <w:spacing w:line="240" w:lineRule="auto"/>
              <w:ind w:firstLine="0" w:firstLineChars="0"/>
              <w:contextualSpacing/>
              <w:jc w:val="center"/>
              <w:rPr>
                <w:b/>
                <w:color w:val="auto"/>
                <w:sz w:val="21"/>
                <w:szCs w:val="21"/>
              </w:rPr>
            </w:pPr>
            <w:r>
              <w:rPr>
                <w:b/>
                <w:color w:val="auto"/>
                <w:sz w:val="21"/>
                <w:szCs w:val="21"/>
              </w:rPr>
              <w:t>分 类</w:t>
            </w:r>
          </w:p>
        </w:tc>
        <w:tc>
          <w:tcPr>
            <w:tcW w:w="2010" w:type="pct"/>
            <w:vAlign w:val="center"/>
          </w:tcPr>
          <w:p>
            <w:pPr>
              <w:spacing w:line="240" w:lineRule="auto"/>
              <w:ind w:firstLine="0" w:firstLineChars="0"/>
              <w:contextualSpacing/>
              <w:jc w:val="center"/>
              <w:rPr>
                <w:b/>
                <w:color w:val="auto"/>
                <w:sz w:val="21"/>
                <w:szCs w:val="21"/>
              </w:rPr>
            </w:pPr>
            <w:r>
              <w:rPr>
                <w:b/>
                <w:color w:val="auto"/>
                <w:sz w:val="21"/>
                <w:szCs w:val="21"/>
              </w:rPr>
              <w:t>环发[2012]98号</w:t>
            </w:r>
          </w:p>
        </w:tc>
        <w:tc>
          <w:tcPr>
            <w:tcW w:w="1714" w:type="pct"/>
            <w:vAlign w:val="center"/>
          </w:tcPr>
          <w:p>
            <w:pPr>
              <w:spacing w:line="240" w:lineRule="auto"/>
              <w:ind w:firstLine="0" w:firstLineChars="0"/>
              <w:contextualSpacing/>
              <w:jc w:val="center"/>
              <w:rPr>
                <w:b/>
                <w:color w:val="auto"/>
                <w:sz w:val="21"/>
                <w:szCs w:val="21"/>
              </w:rPr>
            </w:pPr>
            <w:r>
              <w:rPr>
                <w:rFonts w:hint="eastAsia"/>
                <w:b/>
                <w:color w:val="auto"/>
                <w:sz w:val="21"/>
                <w:szCs w:val="21"/>
              </w:rPr>
              <w:t>拟建项目</w:t>
            </w:r>
            <w:r>
              <w:rPr>
                <w:b/>
                <w:color w:val="auto"/>
                <w:sz w:val="21"/>
                <w:szCs w:val="21"/>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1275" w:type="pct"/>
            <w:vAlign w:val="center"/>
          </w:tcPr>
          <w:p>
            <w:pPr>
              <w:spacing w:line="240" w:lineRule="auto"/>
              <w:ind w:firstLine="0" w:firstLineChars="0"/>
              <w:contextualSpacing/>
              <w:rPr>
                <w:color w:val="auto"/>
                <w:sz w:val="21"/>
                <w:szCs w:val="21"/>
              </w:rPr>
            </w:pPr>
            <w:r>
              <w:rPr>
                <w:color w:val="auto"/>
                <w:sz w:val="21"/>
                <w:szCs w:val="21"/>
              </w:rPr>
              <w:t>进一步加大环境影响评价公众参与和政务信息公开力度，切实保障公众对环境保护的参与权、知情权和监督权</w:t>
            </w:r>
          </w:p>
        </w:tc>
        <w:tc>
          <w:tcPr>
            <w:tcW w:w="2010" w:type="pct"/>
            <w:vAlign w:val="center"/>
          </w:tcPr>
          <w:p>
            <w:pPr>
              <w:spacing w:line="240" w:lineRule="auto"/>
              <w:ind w:firstLine="0" w:firstLineChars="0"/>
              <w:contextualSpacing/>
              <w:rPr>
                <w:color w:val="auto"/>
                <w:sz w:val="21"/>
                <w:szCs w:val="21"/>
              </w:rPr>
            </w:pPr>
            <w:r>
              <w:rPr>
                <w:color w:val="auto"/>
                <w:sz w:val="21"/>
                <w:szCs w:val="21"/>
              </w:rPr>
              <w:t>对编制环境影响报告书的项目，建设单位在开展环境影响评价的过程中，应当在当地报纸、网站和相关基层组织信息公告栏中，向公众公告项目的环境影响信息。</w:t>
            </w:r>
          </w:p>
        </w:tc>
        <w:tc>
          <w:tcPr>
            <w:tcW w:w="1714" w:type="pct"/>
            <w:vAlign w:val="center"/>
          </w:tcPr>
          <w:p>
            <w:pPr>
              <w:spacing w:line="240" w:lineRule="auto"/>
              <w:ind w:firstLine="0" w:firstLineChars="0"/>
              <w:contextualSpacing/>
              <w:rPr>
                <w:color w:val="auto"/>
                <w:sz w:val="21"/>
                <w:szCs w:val="21"/>
              </w:rPr>
            </w:pPr>
            <w:r>
              <w:rPr>
                <w:rFonts w:hint="eastAsia"/>
                <w:color w:val="auto"/>
                <w:sz w:val="21"/>
                <w:szCs w:val="21"/>
              </w:rPr>
              <w:t>拟建项目</w:t>
            </w:r>
            <w:r>
              <w:rPr>
                <w:color w:val="auto"/>
                <w:sz w:val="21"/>
                <w:szCs w:val="21"/>
              </w:rPr>
              <w:t>在</w:t>
            </w:r>
            <w:r>
              <w:rPr>
                <w:rFonts w:hint="eastAsia"/>
                <w:color w:val="auto"/>
                <w:sz w:val="21"/>
                <w:szCs w:val="21"/>
              </w:rPr>
              <w:t>企业</w:t>
            </w:r>
            <w:r>
              <w:rPr>
                <w:color w:val="auto"/>
                <w:sz w:val="21"/>
                <w:szCs w:val="21"/>
              </w:rPr>
              <w:t>网站、</w:t>
            </w:r>
            <w:r>
              <w:rPr>
                <w:rFonts w:hint="eastAsia"/>
                <w:color w:val="auto"/>
                <w:sz w:val="21"/>
                <w:szCs w:val="21"/>
              </w:rPr>
              <w:t>地方</w:t>
            </w:r>
            <w:r>
              <w:rPr>
                <w:color w:val="auto"/>
                <w:sz w:val="21"/>
                <w:szCs w:val="21"/>
              </w:rPr>
              <w:t>报纸及</w:t>
            </w:r>
            <w:r>
              <w:rPr>
                <w:rFonts w:hint="eastAsia"/>
                <w:color w:val="auto"/>
                <w:sz w:val="21"/>
                <w:szCs w:val="21"/>
              </w:rPr>
              <w:t>企业周边</w:t>
            </w:r>
            <w:r>
              <w:rPr>
                <w:color w:val="auto"/>
                <w:sz w:val="21"/>
                <w:szCs w:val="21"/>
              </w:rPr>
              <w:t>村庄公示栏中进行了公示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1275" w:type="pct"/>
            <w:vMerge w:val="restart"/>
            <w:vAlign w:val="center"/>
          </w:tcPr>
          <w:p>
            <w:pPr>
              <w:spacing w:line="240" w:lineRule="auto"/>
              <w:ind w:firstLine="0" w:firstLineChars="0"/>
              <w:contextualSpacing/>
              <w:rPr>
                <w:color w:val="auto"/>
                <w:sz w:val="21"/>
                <w:szCs w:val="21"/>
              </w:rPr>
            </w:pPr>
            <w:r>
              <w:rPr>
                <w:color w:val="auto"/>
                <w:sz w:val="21"/>
                <w:szCs w:val="21"/>
              </w:rPr>
              <w:t>进一步强化环境影响评价全过程监管</w:t>
            </w:r>
          </w:p>
        </w:tc>
        <w:tc>
          <w:tcPr>
            <w:tcW w:w="2010" w:type="pct"/>
            <w:vAlign w:val="center"/>
          </w:tcPr>
          <w:p>
            <w:pPr>
              <w:spacing w:line="240" w:lineRule="auto"/>
              <w:ind w:firstLine="0" w:firstLineChars="0"/>
              <w:contextualSpacing/>
              <w:rPr>
                <w:color w:val="auto"/>
                <w:sz w:val="21"/>
                <w:szCs w:val="21"/>
              </w:rPr>
            </w:pPr>
            <w:r>
              <w:rPr>
                <w:color w:val="auto"/>
                <w:sz w:val="21"/>
                <w:szCs w:val="21"/>
              </w:rPr>
              <w:t>化工石化、有色冶炼、制浆造纸等可能引发环境风险的项目，在符合国家产业政策和清洁生产水平要求、满足污染物排放标准以及污染物排放总量控制指标的前提下，必须在依法设立、环境保护基础设施齐全经规划环评的产业园区内布设。</w:t>
            </w:r>
          </w:p>
        </w:tc>
        <w:tc>
          <w:tcPr>
            <w:tcW w:w="1714" w:type="pct"/>
            <w:vAlign w:val="center"/>
          </w:tcPr>
          <w:p>
            <w:pPr>
              <w:spacing w:line="240" w:lineRule="auto"/>
              <w:ind w:firstLine="0" w:firstLineChars="0"/>
              <w:contextualSpacing/>
              <w:rPr>
                <w:color w:val="auto"/>
                <w:sz w:val="21"/>
                <w:szCs w:val="21"/>
              </w:rPr>
            </w:pPr>
            <w:r>
              <w:rPr>
                <w:color w:val="auto"/>
                <w:sz w:val="21"/>
                <w:szCs w:val="21"/>
              </w:rPr>
              <w:t>本项目属于</w:t>
            </w:r>
            <w:r>
              <w:rPr>
                <w:rFonts w:hint="eastAsia"/>
                <w:color w:val="auto"/>
                <w:sz w:val="21"/>
                <w:szCs w:val="21"/>
              </w:rPr>
              <w:t>生物基、淀粉基新材料制造</w:t>
            </w:r>
            <w:r>
              <w:rPr>
                <w:color w:val="auto"/>
                <w:sz w:val="21"/>
                <w:szCs w:val="21"/>
              </w:rPr>
              <w:t>项目，</w:t>
            </w:r>
            <w:r>
              <w:rPr>
                <w:rFonts w:hint="eastAsia"/>
                <w:color w:val="auto"/>
                <w:sz w:val="21"/>
                <w:szCs w:val="21"/>
              </w:rPr>
              <w:t>不属于</w:t>
            </w:r>
            <w:r>
              <w:rPr>
                <w:color w:val="auto"/>
                <w:sz w:val="21"/>
                <w:szCs w:val="21"/>
              </w:rPr>
              <w:t>化工石化、有色冶炼、制浆造纸</w:t>
            </w:r>
            <w:r>
              <w:rPr>
                <w:rFonts w:hint="eastAsia"/>
                <w:color w:val="auto"/>
                <w:sz w:val="21"/>
                <w:szCs w:val="21"/>
              </w:rPr>
              <w:t>类项目，</w:t>
            </w:r>
            <w:r>
              <w:rPr>
                <w:color w:val="auto"/>
                <w:sz w:val="21"/>
                <w:szCs w:val="21"/>
              </w:rPr>
              <w:t>符合国家及地方产业政策、清洁生产要求、满足污染物排放及总量控制要求，企业位于淄博市</w:t>
            </w:r>
            <w:r>
              <w:rPr>
                <w:rFonts w:hint="eastAsia"/>
                <w:color w:val="auto"/>
                <w:sz w:val="21"/>
                <w:szCs w:val="21"/>
              </w:rPr>
              <w:t>张店区房镇镇淄博科技工业园内</w:t>
            </w: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1275" w:type="pct"/>
            <w:vMerge w:val="continue"/>
            <w:vAlign w:val="center"/>
          </w:tcPr>
          <w:p>
            <w:pPr>
              <w:spacing w:line="240" w:lineRule="auto"/>
              <w:ind w:firstLine="0" w:firstLineChars="0"/>
              <w:contextualSpacing/>
              <w:rPr>
                <w:color w:val="auto"/>
                <w:sz w:val="21"/>
                <w:szCs w:val="21"/>
              </w:rPr>
            </w:pPr>
          </w:p>
        </w:tc>
        <w:tc>
          <w:tcPr>
            <w:tcW w:w="2010" w:type="pct"/>
            <w:vAlign w:val="center"/>
          </w:tcPr>
          <w:p>
            <w:pPr>
              <w:spacing w:line="240" w:lineRule="auto"/>
              <w:ind w:firstLine="0" w:firstLineChars="0"/>
              <w:contextualSpacing/>
              <w:rPr>
                <w:color w:val="auto"/>
                <w:sz w:val="21"/>
                <w:szCs w:val="21"/>
              </w:rPr>
            </w:pPr>
            <w:r>
              <w:rPr>
                <w:color w:val="auto"/>
                <w:sz w:val="21"/>
                <w:szCs w:val="21"/>
              </w:rPr>
              <w:t>重点关注环境敏感目标保护、所涉及环境敏感区的主管部门相关意见、规划调整控制、防护距离内的居民搬迁安置方案和项目依托的公用环保设施或工程是否可行、是否存在环评违法行为</w:t>
            </w:r>
          </w:p>
        </w:tc>
        <w:tc>
          <w:tcPr>
            <w:tcW w:w="1714" w:type="pct"/>
            <w:vAlign w:val="center"/>
          </w:tcPr>
          <w:p>
            <w:pPr>
              <w:spacing w:line="240" w:lineRule="auto"/>
              <w:ind w:firstLine="0" w:firstLineChars="0"/>
              <w:contextualSpacing/>
              <w:rPr>
                <w:color w:val="auto"/>
                <w:sz w:val="21"/>
                <w:szCs w:val="21"/>
              </w:rPr>
            </w:pPr>
            <w:r>
              <w:rPr>
                <w:color w:val="auto"/>
                <w:sz w:val="21"/>
                <w:szCs w:val="21"/>
              </w:rPr>
              <w:t>本项目不需设置环境防护距离。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1275" w:type="pct"/>
            <w:vMerge w:val="continue"/>
            <w:vAlign w:val="center"/>
          </w:tcPr>
          <w:p>
            <w:pPr>
              <w:spacing w:line="240" w:lineRule="auto"/>
              <w:ind w:firstLine="0" w:firstLineChars="0"/>
              <w:contextualSpacing/>
              <w:rPr>
                <w:color w:val="auto"/>
                <w:sz w:val="21"/>
                <w:szCs w:val="21"/>
              </w:rPr>
            </w:pPr>
          </w:p>
        </w:tc>
        <w:tc>
          <w:tcPr>
            <w:tcW w:w="2010" w:type="pct"/>
            <w:vAlign w:val="center"/>
          </w:tcPr>
          <w:p>
            <w:pPr>
              <w:spacing w:line="240" w:lineRule="auto"/>
              <w:ind w:firstLine="0" w:firstLineChars="0"/>
              <w:contextualSpacing/>
              <w:rPr>
                <w:color w:val="auto"/>
                <w:sz w:val="21"/>
                <w:szCs w:val="21"/>
              </w:rPr>
            </w:pPr>
            <w:r>
              <w:rPr>
                <w:color w:val="auto"/>
                <w:sz w:val="21"/>
                <w:szCs w:val="21"/>
              </w:rPr>
              <w:t>对可能引发环境风险的项目，还要重点关注环境风险评价专章和环境风险防范措施</w:t>
            </w:r>
          </w:p>
        </w:tc>
        <w:tc>
          <w:tcPr>
            <w:tcW w:w="1714" w:type="pct"/>
            <w:vAlign w:val="center"/>
          </w:tcPr>
          <w:p>
            <w:pPr>
              <w:spacing w:line="240" w:lineRule="auto"/>
              <w:ind w:firstLine="0" w:firstLineChars="0"/>
              <w:contextualSpacing/>
              <w:rPr>
                <w:color w:val="auto"/>
                <w:sz w:val="21"/>
                <w:szCs w:val="21"/>
              </w:rPr>
            </w:pPr>
            <w:r>
              <w:rPr>
                <w:rFonts w:hint="eastAsia"/>
                <w:color w:val="auto"/>
                <w:sz w:val="21"/>
                <w:szCs w:val="21"/>
              </w:rPr>
              <w:t>报告设置</w:t>
            </w:r>
            <w:r>
              <w:rPr>
                <w:color w:val="auto"/>
                <w:sz w:val="21"/>
                <w:szCs w:val="21"/>
              </w:rPr>
              <w:t>环境风险专章</w:t>
            </w:r>
            <w:r>
              <w:rPr>
                <w:rFonts w:hint="eastAsia"/>
                <w:color w:val="auto"/>
                <w:sz w:val="21"/>
                <w:szCs w:val="21"/>
              </w:rPr>
              <w:t>，明确环境风险</w:t>
            </w:r>
            <w:r>
              <w:rPr>
                <w:color w:val="auto"/>
                <w:sz w:val="21"/>
                <w:szCs w:val="21"/>
              </w:rPr>
              <w:t>防范措施</w:t>
            </w:r>
            <w:r>
              <w:rPr>
                <w:rFonts w:hint="eastAsia"/>
                <w:color w:val="auto"/>
                <w:sz w:val="21"/>
                <w:szCs w:val="21"/>
              </w:rPr>
              <w:t>。</w:t>
            </w:r>
          </w:p>
        </w:tc>
      </w:tr>
    </w:tbl>
    <w:p>
      <w:pPr>
        <w:ind w:firstLine="480"/>
        <w:rPr>
          <w:rStyle w:val="65"/>
          <w:b w:val="0"/>
          <w:color w:val="auto"/>
        </w:rPr>
      </w:pPr>
      <w:r>
        <w:rPr>
          <w:rStyle w:val="65"/>
          <w:rFonts w:hint="eastAsia"/>
          <w:b w:val="0"/>
          <w:color w:val="auto"/>
        </w:rPr>
        <w:t>2、</w:t>
      </w:r>
      <w:r>
        <w:rPr>
          <w:rStyle w:val="65"/>
          <w:b w:val="0"/>
          <w:color w:val="auto"/>
        </w:rPr>
        <w:t>与《山东省深入打好蓝天保卫战行动计划（2021-2025年）》符合性</w:t>
      </w:r>
    </w:p>
    <w:p>
      <w:pPr>
        <w:ind w:firstLine="480"/>
        <w:rPr>
          <w:color w:val="auto"/>
        </w:rPr>
      </w:pPr>
      <w:r>
        <w:rPr>
          <w:rFonts w:hint="eastAsia"/>
          <w:color w:val="auto"/>
        </w:rPr>
        <w:t>拟建项目</w:t>
      </w:r>
      <w:r>
        <w:rPr>
          <w:color w:val="auto"/>
        </w:rPr>
        <w:t>与</w:t>
      </w:r>
      <w:r>
        <w:rPr>
          <w:rFonts w:hint="eastAsia"/>
          <w:color w:val="auto"/>
        </w:rPr>
        <w:t>《</w:t>
      </w:r>
      <w:r>
        <w:rPr>
          <w:color w:val="auto"/>
        </w:rPr>
        <w:t>山东省深入打好蓝天保卫战行动计划（2021</w:t>
      </w:r>
      <w:r>
        <w:rPr>
          <w:rFonts w:hint="eastAsia"/>
          <w:color w:val="auto"/>
        </w:rPr>
        <w:t>-</w:t>
      </w:r>
      <w:r>
        <w:rPr>
          <w:color w:val="auto"/>
        </w:rPr>
        <w:t>2025年）</w:t>
      </w:r>
      <w:r>
        <w:rPr>
          <w:rFonts w:hint="eastAsia"/>
          <w:color w:val="auto"/>
        </w:rPr>
        <w:t>》</w:t>
      </w:r>
      <w:r>
        <w:rPr>
          <w:color w:val="auto"/>
        </w:rPr>
        <w:t>符合性分析见表12.1-</w:t>
      </w:r>
      <w:r>
        <w:rPr>
          <w:rFonts w:hint="eastAsia"/>
          <w:color w:val="auto"/>
        </w:rPr>
        <w:t>2</w:t>
      </w:r>
      <w:r>
        <w:rPr>
          <w:color w:val="auto"/>
        </w:rPr>
        <w:t>。</w:t>
      </w:r>
    </w:p>
    <w:p>
      <w:pPr>
        <w:pStyle w:val="48"/>
        <w:spacing w:line="360" w:lineRule="auto"/>
        <w:rPr>
          <w:b w:val="0"/>
          <w:bCs/>
          <w:color w:val="auto"/>
        </w:rPr>
      </w:pPr>
      <w:r>
        <w:rPr>
          <w:b w:val="0"/>
          <w:bCs/>
          <w:color w:val="auto"/>
        </w:rPr>
        <w:t>表12.1-</w:t>
      </w:r>
      <w:r>
        <w:rPr>
          <w:rFonts w:hint="eastAsia"/>
          <w:b w:val="0"/>
          <w:bCs/>
          <w:color w:val="auto"/>
        </w:rPr>
        <w:t>2</w:t>
      </w:r>
      <w:r>
        <w:rPr>
          <w:b w:val="0"/>
          <w:bCs/>
          <w:color w:val="auto"/>
        </w:rPr>
        <w:t xml:space="preserve"> </w:t>
      </w:r>
      <w:r>
        <w:rPr>
          <w:rFonts w:hint="eastAsia"/>
          <w:b w:val="0"/>
          <w:bCs/>
          <w:color w:val="auto"/>
        </w:rPr>
        <w:t>拟建项目</w:t>
      </w:r>
      <w:r>
        <w:rPr>
          <w:b w:val="0"/>
          <w:bCs/>
          <w:color w:val="auto"/>
        </w:rPr>
        <w:t>与《山东省深入打好蓝天保卫战行动计划（2021-2025年）》符合性</w:t>
      </w:r>
    </w:p>
    <w:tbl>
      <w:tblPr>
        <w:tblStyle w:val="22"/>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23"/>
        <w:gridCol w:w="4122"/>
        <w:gridCol w:w="3262"/>
        <w:gridCol w:w="8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47"/>
              <w:spacing w:line="240" w:lineRule="auto"/>
              <w:rPr>
                <w:b/>
                <w:color w:val="auto"/>
              </w:rPr>
            </w:pPr>
            <w:r>
              <w:rPr>
                <w:b/>
                <w:color w:val="auto"/>
              </w:rPr>
              <w:t>序号</w:t>
            </w:r>
          </w:p>
        </w:tc>
        <w:tc>
          <w:tcPr>
            <w:tcW w:w="4122" w:type="dxa"/>
            <w:vAlign w:val="center"/>
          </w:tcPr>
          <w:p>
            <w:pPr>
              <w:pStyle w:val="47"/>
              <w:spacing w:line="240" w:lineRule="auto"/>
              <w:rPr>
                <w:b/>
                <w:color w:val="auto"/>
              </w:rPr>
            </w:pPr>
            <w:r>
              <w:rPr>
                <w:rFonts w:hint="eastAsia"/>
                <w:b/>
                <w:color w:val="auto"/>
              </w:rPr>
              <w:t>计划</w:t>
            </w:r>
            <w:r>
              <w:rPr>
                <w:b/>
                <w:color w:val="auto"/>
              </w:rPr>
              <w:t>要求</w:t>
            </w:r>
          </w:p>
        </w:tc>
        <w:tc>
          <w:tcPr>
            <w:tcW w:w="3262" w:type="dxa"/>
            <w:vAlign w:val="center"/>
          </w:tcPr>
          <w:p>
            <w:pPr>
              <w:pStyle w:val="47"/>
              <w:spacing w:line="240" w:lineRule="auto"/>
              <w:rPr>
                <w:b/>
                <w:color w:val="auto"/>
              </w:rPr>
            </w:pPr>
            <w:r>
              <w:rPr>
                <w:rFonts w:hint="eastAsia"/>
                <w:b/>
                <w:color w:val="auto"/>
              </w:rPr>
              <w:t>拟建项目</w:t>
            </w:r>
            <w:r>
              <w:rPr>
                <w:b/>
                <w:color w:val="auto"/>
              </w:rPr>
              <w:t>情况</w:t>
            </w:r>
          </w:p>
        </w:tc>
        <w:tc>
          <w:tcPr>
            <w:tcW w:w="881" w:type="dxa"/>
            <w:vAlign w:val="center"/>
          </w:tcPr>
          <w:p>
            <w:pPr>
              <w:pStyle w:val="47"/>
              <w:spacing w:line="240" w:lineRule="auto"/>
              <w:rPr>
                <w:b/>
                <w:color w:val="auto"/>
              </w:rPr>
            </w:pPr>
            <w:r>
              <w:rPr>
                <w:b/>
                <w:color w:val="auto"/>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47"/>
              <w:spacing w:line="240" w:lineRule="auto"/>
              <w:rPr>
                <w:color w:val="auto"/>
              </w:rPr>
            </w:pPr>
            <w:r>
              <w:rPr>
                <w:color w:val="auto"/>
              </w:rPr>
              <w:t>一、淘汰低效落后产能</w:t>
            </w:r>
          </w:p>
        </w:tc>
        <w:tc>
          <w:tcPr>
            <w:tcW w:w="4122" w:type="dxa"/>
            <w:vAlign w:val="center"/>
          </w:tcPr>
          <w:p>
            <w:pPr>
              <w:pStyle w:val="47"/>
              <w:spacing w:line="240" w:lineRule="auto"/>
              <w:jc w:val="both"/>
              <w:rPr>
                <w:color w:val="auto"/>
              </w:rPr>
            </w:pPr>
            <w:r>
              <w:rPr>
                <w:color w:val="auto"/>
              </w:rPr>
              <w:t>聚焦钢铁、地炼、焦化、煤电、水泥、轮胎、煤炭、化工8个重点行业，加快淘汰低效落后产能。严格执行质量、环保、能耗、安全等法规标准，按照《产业结构调整指导目录》，对“淘汰类”落后生产工艺装备和落后产品全部淘汰出清。</w:t>
            </w:r>
          </w:p>
        </w:tc>
        <w:tc>
          <w:tcPr>
            <w:tcW w:w="3262" w:type="dxa"/>
            <w:vAlign w:val="center"/>
          </w:tcPr>
          <w:p>
            <w:pPr>
              <w:pStyle w:val="47"/>
              <w:spacing w:line="240" w:lineRule="auto"/>
              <w:jc w:val="both"/>
              <w:rPr>
                <w:color w:val="auto"/>
              </w:rPr>
            </w:pPr>
            <w:r>
              <w:rPr>
                <w:color w:val="auto"/>
              </w:rPr>
              <w:t>本项目符合国家产业政策</w:t>
            </w:r>
            <w:r>
              <w:rPr>
                <w:rFonts w:hint="eastAsia"/>
                <w:color w:val="auto"/>
              </w:rPr>
              <w:t>，不属于重点行业，不属于</w:t>
            </w:r>
            <w:r>
              <w:rPr>
                <w:color w:val="auto"/>
              </w:rPr>
              <w:t>低效落后产能。</w:t>
            </w:r>
            <w:r>
              <w:rPr>
                <w:rFonts w:hint="eastAsia"/>
                <w:color w:val="auto"/>
              </w:rPr>
              <w:t>不属于</w:t>
            </w:r>
            <w:r>
              <w:rPr>
                <w:color w:val="auto"/>
              </w:rPr>
              <w:t>《产业结构调整指导目录》，</w:t>
            </w:r>
            <w:r>
              <w:rPr>
                <w:rFonts w:hint="eastAsia"/>
                <w:color w:val="auto"/>
              </w:rPr>
              <w:t>中</w:t>
            </w:r>
            <w:r>
              <w:rPr>
                <w:color w:val="auto"/>
              </w:rPr>
              <w:t>“淘汰类”落后生产工艺装备和落后产品</w:t>
            </w:r>
            <w:r>
              <w:rPr>
                <w:rFonts w:hint="eastAsia"/>
                <w:color w:val="auto"/>
              </w:rPr>
              <w:t>。</w:t>
            </w:r>
          </w:p>
        </w:tc>
        <w:tc>
          <w:tcPr>
            <w:tcW w:w="881" w:type="dxa"/>
            <w:vAlign w:val="center"/>
          </w:tcPr>
          <w:p>
            <w:pPr>
              <w:pStyle w:val="47"/>
              <w:spacing w:line="240" w:lineRule="auto"/>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47"/>
              <w:spacing w:line="240" w:lineRule="auto"/>
              <w:rPr>
                <w:color w:val="auto"/>
              </w:rPr>
            </w:pPr>
            <w:r>
              <w:rPr>
                <w:color w:val="auto"/>
              </w:rPr>
              <w:t>二、压减煤炭消费量</w:t>
            </w:r>
          </w:p>
        </w:tc>
        <w:tc>
          <w:tcPr>
            <w:tcW w:w="4122" w:type="dxa"/>
            <w:vAlign w:val="center"/>
          </w:tcPr>
          <w:p>
            <w:pPr>
              <w:pStyle w:val="47"/>
              <w:spacing w:line="240" w:lineRule="auto"/>
              <w:jc w:val="both"/>
              <w:rPr>
                <w:color w:val="auto"/>
              </w:rPr>
            </w:pPr>
            <w:r>
              <w:rPr>
                <w:color w:val="auto"/>
              </w:rPr>
              <w:t>持续压减煤炭消费总量，“十四五”期间，全省煤炭消费总量下降10%，控制在3.5亿吨左右。非化石能源消费比重提高到13%左右。制定碳达峰方案，推动钢铁、建材、有色、电力等重点行业率先达峰。</w:t>
            </w:r>
          </w:p>
        </w:tc>
        <w:tc>
          <w:tcPr>
            <w:tcW w:w="3262" w:type="dxa"/>
            <w:vAlign w:val="center"/>
          </w:tcPr>
          <w:p>
            <w:pPr>
              <w:pStyle w:val="47"/>
              <w:spacing w:line="240" w:lineRule="auto"/>
              <w:jc w:val="center"/>
              <w:rPr>
                <w:color w:val="auto"/>
              </w:rPr>
            </w:pPr>
            <w:r>
              <w:rPr>
                <w:rFonts w:hint="eastAsia"/>
                <w:color w:val="auto"/>
              </w:rPr>
              <w:t>本</w:t>
            </w:r>
            <w:r>
              <w:rPr>
                <w:color w:val="auto"/>
              </w:rPr>
              <w:t>项目不涉及</w:t>
            </w:r>
            <w:r>
              <w:rPr>
                <w:rFonts w:hint="eastAsia"/>
                <w:color w:val="auto"/>
              </w:rPr>
              <w:t>煤炭消耗</w:t>
            </w:r>
            <w:r>
              <w:rPr>
                <w:color w:val="auto"/>
              </w:rPr>
              <w:t>。</w:t>
            </w:r>
          </w:p>
        </w:tc>
        <w:tc>
          <w:tcPr>
            <w:tcW w:w="881" w:type="dxa"/>
            <w:vAlign w:val="center"/>
          </w:tcPr>
          <w:p>
            <w:pPr>
              <w:pStyle w:val="47"/>
              <w:spacing w:line="240" w:lineRule="auto"/>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47"/>
              <w:spacing w:line="240" w:lineRule="auto"/>
              <w:rPr>
                <w:color w:val="auto"/>
              </w:rPr>
            </w:pPr>
            <w:r>
              <w:rPr>
                <w:rFonts w:hint="eastAsia"/>
                <w:color w:val="auto"/>
              </w:rPr>
              <w:t>三</w:t>
            </w:r>
            <w:r>
              <w:rPr>
                <w:color w:val="auto"/>
              </w:rPr>
              <w:t>、实施VOCs全过程污染防治</w:t>
            </w:r>
          </w:p>
        </w:tc>
        <w:tc>
          <w:tcPr>
            <w:tcW w:w="4122" w:type="dxa"/>
            <w:vAlign w:val="center"/>
          </w:tcPr>
          <w:p>
            <w:pPr>
              <w:pStyle w:val="21"/>
              <w:widowControl/>
              <w:spacing w:line="312" w:lineRule="exact"/>
              <w:ind w:firstLine="0" w:firstLineChars="0"/>
              <w:jc w:val="both"/>
              <w:rPr>
                <w:color w:val="auto"/>
              </w:rPr>
            </w:pPr>
            <w:r>
              <w:rPr>
                <w:color w:val="auto"/>
                <w:sz w:val="21"/>
                <w:szCs w:val="21"/>
              </w:rPr>
              <w:t>完成现有VOCs废气收集率、治理设施同步运行率和去除率排查工作，对达不到要求的收集、治理设施进行更换或升级改造；组织开展有机废气排放系统旁路摸底排查，取消非必要的旁路，确因安全生产等原因无法取消的，应安装有效的监控装置纳入监管。</w:t>
            </w:r>
          </w:p>
        </w:tc>
        <w:tc>
          <w:tcPr>
            <w:tcW w:w="3262" w:type="dxa"/>
            <w:vAlign w:val="center"/>
          </w:tcPr>
          <w:p>
            <w:pPr>
              <w:pStyle w:val="15"/>
              <w:spacing w:line="312" w:lineRule="exact"/>
              <w:ind w:firstLine="0" w:firstLineChars="0"/>
              <w:jc w:val="center"/>
              <w:rPr>
                <w:rFonts w:ascii="Times New Roman" w:hAnsi="Times New Roman"/>
                <w:color w:val="auto"/>
              </w:rPr>
            </w:pPr>
            <w:r>
              <w:rPr>
                <w:rFonts w:ascii="Times New Roman" w:hAnsi="Times New Roman"/>
                <w:color w:val="auto"/>
                <w:spacing w:val="9"/>
                <w:sz w:val="21"/>
                <w:szCs w:val="21"/>
              </w:rPr>
              <w:t>本项目有机废气采用</w:t>
            </w:r>
            <w:r>
              <w:rPr>
                <w:rFonts w:hint="eastAsia" w:ascii="Times New Roman" w:hAnsi="Times New Roman"/>
                <w:color w:val="auto"/>
                <w:spacing w:val="9"/>
                <w:sz w:val="21"/>
                <w:szCs w:val="21"/>
                <w:lang w:eastAsia="zh-CN"/>
              </w:rPr>
              <w:t>碱喷淋</w:t>
            </w:r>
            <w:r>
              <w:rPr>
                <w:rFonts w:hint="eastAsia" w:ascii="Times New Roman" w:hAnsi="Times New Roman"/>
                <w:color w:val="auto"/>
                <w:spacing w:val="9"/>
                <w:sz w:val="21"/>
                <w:szCs w:val="21"/>
              </w:rPr>
              <w:t>+</w:t>
            </w:r>
            <w:r>
              <w:rPr>
                <w:rFonts w:ascii="Times New Roman" w:hAnsi="Times New Roman"/>
                <w:color w:val="auto"/>
                <w:spacing w:val="9"/>
                <w:sz w:val="21"/>
                <w:szCs w:val="21"/>
              </w:rPr>
              <w:t>活性炭吸附装置处理，减少了VOCs的排放。</w:t>
            </w:r>
          </w:p>
        </w:tc>
        <w:tc>
          <w:tcPr>
            <w:tcW w:w="881" w:type="dxa"/>
            <w:vAlign w:val="center"/>
          </w:tcPr>
          <w:p>
            <w:pPr>
              <w:pStyle w:val="47"/>
              <w:spacing w:line="240" w:lineRule="auto"/>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47"/>
              <w:spacing w:line="240" w:lineRule="auto"/>
              <w:rPr>
                <w:color w:val="auto"/>
              </w:rPr>
            </w:pPr>
            <w:r>
              <w:rPr>
                <w:rFonts w:hint="eastAsia"/>
                <w:color w:val="auto"/>
              </w:rPr>
              <w:t>四</w:t>
            </w:r>
            <w:r>
              <w:rPr>
                <w:color w:val="auto"/>
              </w:rPr>
              <w:t>、强化工业源NOx深度治理</w:t>
            </w:r>
          </w:p>
        </w:tc>
        <w:tc>
          <w:tcPr>
            <w:tcW w:w="4122" w:type="dxa"/>
            <w:vAlign w:val="center"/>
          </w:tcPr>
          <w:p>
            <w:pPr>
              <w:pStyle w:val="47"/>
              <w:spacing w:line="240" w:lineRule="auto"/>
              <w:jc w:val="both"/>
              <w:rPr>
                <w:color w:val="auto"/>
              </w:rPr>
            </w:pPr>
            <w:r>
              <w:rPr>
                <w:color w:val="auto"/>
              </w:rPr>
              <w:t>严格治理设施运行监管，燃煤机组、锅炉、钢铁企业污染排放稳定达到超低排放要求。</w:t>
            </w:r>
          </w:p>
        </w:tc>
        <w:tc>
          <w:tcPr>
            <w:tcW w:w="3262" w:type="dxa"/>
            <w:vAlign w:val="center"/>
          </w:tcPr>
          <w:p>
            <w:pPr>
              <w:pStyle w:val="47"/>
              <w:spacing w:line="240" w:lineRule="auto"/>
              <w:jc w:val="both"/>
              <w:rPr>
                <w:color w:val="auto"/>
              </w:rPr>
            </w:pPr>
            <w:r>
              <w:rPr>
                <w:rFonts w:hint="eastAsia"/>
                <w:color w:val="auto"/>
              </w:rPr>
              <w:t>本项目不涉及煤炭消耗；</w:t>
            </w:r>
            <w:r>
              <w:rPr>
                <w:color w:val="auto"/>
              </w:rPr>
              <w:t>本项目为</w:t>
            </w:r>
            <w:r>
              <w:rPr>
                <w:color w:val="auto"/>
                <w:szCs w:val="21"/>
              </w:rPr>
              <w:t>为</w:t>
            </w:r>
            <w:r>
              <w:rPr>
                <w:color w:val="auto"/>
              </w:rPr>
              <w:t>，排放总量符合当地总量控制要求</w:t>
            </w:r>
            <w:r>
              <w:rPr>
                <w:rFonts w:hint="eastAsia"/>
                <w:color w:val="auto"/>
              </w:rPr>
              <w:t>。</w:t>
            </w:r>
          </w:p>
        </w:tc>
        <w:tc>
          <w:tcPr>
            <w:tcW w:w="881" w:type="dxa"/>
            <w:vAlign w:val="center"/>
          </w:tcPr>
          <w:p>
            <w:pPr>
              <w:pStyle w:val="47"/>
              <w:spacing w:line="240" w:lineRule="auto"/>
              <w:rPr>
                <w:color w:val="auto"/>
              </w:rPr>
            </w:pPr>
            <w:r>
              <w:rPr>
                <w:rFonts w:hint="eastAsia"/>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47"/>
              <w:spacing w:line="240" w:lineRule="auto"/>
              <w:rPr>
                <w:color w:val="auto"/>
              </w:rPr>
            </w:pPr>
            <w:r>
              <w:rPr>
                <w:rFonts w:hint="eastAsia"/>
                <w:color w:val="auto"/>
              </w:rPr>
              <w:t>五</w:t>
            </w:r>
            <w:r>
              <w:rPr>
                <w:color w:val="auto"/>
              </w:rPr>
              <w:t>、严格扬尘污染管控</w:t>
            </w:r>
          </w:p>
        </w:tc>
        <w:tc>
          <w:tcPr>
            <w:tcW w:w="4122" w:type="dxa"/>
            <w:vAlign w:val="center"/>
          </w:tcPr>
          <w:p>
            <w:pPr>
              <w:pStyle w:val="47"/>
              <w:spacing w:line="240" w:lineRule="auto"/>
              <w:jc w:val="both"/>
              <w:rPr>
                <w:color w:val="auto"/>
              </w:rPr>
            </w:pPr>
            <w:r>
              <w:rPr>
                <w:color w:val="auto"/>
              </w:rPr>
              <w:t>加强施工扬尘精细化管控，建立并动态更新施工工地清单。全面推行绿色施工，将扬尘污染防治费用纳入工程造价，各类施工工地严格落实扬尘污染防治措施，其中建筑施工工地严格执行“六项措施”。</w:t>
            </w:r>
          </w:p>
        </w:tc>
        <w:tc>
          <w:tcPr>
            <w:tcW w:w="3262" w:type="dxa"/>
            <w:vAlign w:val="center"/>
          </w:tcPr>
          <w:p>
            <w:pPr>
              <w:pStyle w:val="47"/>
              <w:spacing w:line="240" w:lineRule="auto"/>
              <w:jc w:val="both"/>
              <w:rPr>
                <w:color w:val="auto"/>
              </w:rPr>
            </w:pPr>
            <w:r>
              <w:rPr>
                <w:rFonts w:hint="eastAsia"/>
                <w:color w:val="auto"/>
              </w:rPr>
              <w:t>本项目施工期间</w:t>
            </w:r>
            <w:r>
              <w:rPr>
                <w:color w:val="auto"/>
              </w:rPr>
              <w:t>严格执行“六项措施”</w:t>
            </w:r>
            <w:r>
              <w:rPr>
                <w:rFonts w:hint="eastAsia"/>
                <w:color w:val="auto"/>
              </w:rPr>
              <w:t>，</w:t>
            </w:r>
            <w:r>
              <w:rPr>
                <w:color w:val="auto"/>
              </w:rPr>
              <w:t>全面推行绿色施工，将扬尘污染防治费用纳入工程造价，各类施工工地严格落实扬尘污染防治措施</w:t>
            </w:r>
            <w:r>
              <w:rPr>
                <w:rFonts w:hint="eastAsia"/>
                <w:color w:val="auto"/>
              </w:rPr>
              <w:t>。</w:t>
            </w:r>
          </w:p>
        </w:tc>
        <w:tc>
          <w:tcPr>
            <w:tcW w:w="881" w:type="dxa"/>
            <w:vAlign w:val="center"/>
          </w:tcPr>
          <w:p>
            <w:pPr>
              <w:pStyle w:val="47"/>
              <w:spacing w:line="240" w:lineRule="auto"/>
              <w:rPr>
                <w:color w:val="auto"/>
              </w:rPr>
            </w:pPr>
            <w:r>
              <w:rPr>
                <w:rFonts w:hint="eastAsia"/>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3" w:type="dxa"/>
            <w:vAlign w:val="center"/>
          </w:tcPr>
          <w:p>
            <w:pPr>
              <w:pStyle w:val="21"/>
              <w:widowControl/>
              <w:spacing w:line="312" w:lineRule="exact"/>
              <w:ind w:firstLine="0" w:firstLineChars="0"/>
              <w:jc w:val="both"/>
              <w:rPr>
                <w:color w:val="auto"/>
                <w:sz w:val="21"/>
                <w:szCs w:val="21"/>
              </w:rPr>
            </w:pPr>
            <w:r>
              <w:rPr>
                <w:rFonts w:hint="eastAsia"/>
                <w:color w:val="auto"/>
                <w:sz w:val="21"/>
                <w:szCs w:val="21"/>
              </w:rPr>
              <w:t>六、</w:t>
            </w:r>
            <w:r>
              <w:rPr>
                <w:color w:val="auto"/>
                <w:sz w:val="21"/>
                <w:szCs w:val="21"/>
              </w:rPr>
              <w:t>加强大气环境监管</w:t>
            </w:r>
          </w:p>
          <w:p>
            <w:pPr>
              <w:pStyle w:val="21"/>
              <w:widowControl/>
              <w:spacing w:line="312" w:lineRule="exact"/>
              <w:ind w:firstLine="420"/>
              <w:jc w:val="center"/>
              <w:rPr>
                <w:color w:val="auto"/>
                <w:sz w:val="21"/>
                <w:szCs w:val="21"/>
              </w:rPr>
            </w:pPr>
          </w:p>
          <w:p>
            <w:pPr>
              <w:pStyle w:val="21"/>
              <w:widowControl/>
              <w:spacing w:line="312" w:lineRule="exact"/>
              <w:ind w:firstLine="480"/>
              <w:jc w:val="center"/>
              <w:rPr>
                <w:color w:val="auto"/>
              </w:rPr>
            </w:pPr>
          </w:p>
        </w:tc>
        <w:tc>
          <w:tcPr>
            <w:tcW w:w="4122" w:type="dxa"/>
            <w:vAlign w:val="center"/>
          </w:tcPr>
          <w:p>
            <w:pPr>
              <w:pStyle w:val="21"/>
              <w:widowControl/>
              <w:spacing w:line="312" w:lineRule="exact"/>
              <w:ind w:firstLine="420"/>
              <w:jc w:val="both"/>
              <w:rPr>
                <w:color w:val="auto"/>
              </w:rPr>
            </w:pPr>
            <w:r>
              <w:rPr>
                <w:color w:val="auto"/>
                <w:sz w:val="21"/>
                <w:szCs w:val="21"/>
              </w:rPr>
              <w:t>严厉打击不正常运行废气治理设施等环境违法违规行为。按照生态环境部部署，对已发排污许可证质量开展复核。建立以排污许可数据为基础的“双随机、一公开”数据库，将排污许可证与执行报告作为执法检查的重要依据。加强排污许可证后管理，开展排污许可专项执法检查，落实排污许可“一证式”管理。</w:t>
            </w:r>
          </w:p>
        </w:tc>
        <w:tc>
          <w:tcPr>
            <w:tcW w:w="3262" w:type="dxa"/>
            <w:vAlign w:val="center"/>
          </w:tcPr>
          <w:p>
            <w:pPr>
              <w:pStyle w:val="15"/>
              <w:spacing w:line="312" w:lineRule="exact"/>
              <w:ind w:firstLine="0" w:firstLineChars="0"/>
              <w:jc w:val="center"/>
              <w:rPr>
                <w:rFonts w:ascii="Times New Roman" w:hAnsi="Times New Roman"/>
                <w:color w:val="auto"/>
              </w:rPr>
            </w:pPr>
            <w:r>
              <w:rPr>
                <w:rFonts w:ascii="Times New Roman" w:hAnsi="Times New Roman"/>
                <w:color w:val="auto"/>
                <w:sz w:val="21"/>
                <w:szCs w:val="21"/>
              </w:rPr>
              <w:t>本报告要求企业</w:t>
            </w:r>
            <w:r>
              <w:rPr>
                <w:rFonts w:hint="eastAsia" w:ascii="Times New Roman" w:hAnsi="Times New Roman"/>
                <w:color w:val="auto"/>
                <w:sz w:val="21"/>
                <w:szCs w:val="21"/>
              </w:rPr>
              <w:t>及时填报排污许可登记表并做到</w:t>
            </w:r>
            <w:r>
              <w:rPr>
                <w:rFonts w:ascii="Times New Roman" w:hAnsi="Times New Roman"/>
                <w:color w:val="auto"/>
                <w:sz w:val="21"/>
                <w:szCs w:val="21"/>
              </w:rPr>
              <w:t>严格执行废气治理要求。</w:t>
            </w:r>
          </w:p>
        </w:tc>
        <w:tc>
          <w:tcPr>
            <w:tcW w:w="881" w:type="dxa"/>
            <w:vAlign w:val="center"/>
          </w:tcPr>
          <w:p>
            <w:pPr>
              <w:pStyle w:val="15"/>
              <w:spacing w:line="312" w:lineRule="exact"/>
              <w:ind w:firstLine="0" w:firstLineChars="0"/>
              <w:jc w:val="center"/>
              <w:rPr>
                <w:rFonts w:ascii="Times New Roman" w:hAnsi="Times New Roman"/>
                <w:color w:val="auto"/>
              </w:rPr>
            </w:pPr>
            <w:r>
              <w:rPr>
                <w:rFonts w:ascii="Times New Roman" w:hAnsi="Times New Roman"/>
                <w:color w:val="auto"/>
                <w:sz w:val="21"/>
                <w:szCs w:val="21"/>
              </w:rPr>
              <w:t>符合</w:t>
            </w:r>
          </w:p>
        </w:tc>
      </w:tr>
    </w:tbl>
    <w:p>
      <w:pPr>
        <w:pStyle w:val="15"/>
        <w:ind w:firstLine="0" w:firstLineChars="0"/>
        <w:rPr>
          <w:rFonts w:ascii="Times New Roman" w:hAnsi="Times New Roman"/>
          <w:b/>
          <w:bCs/>
          <w:color w:val="auto"/>
          <w:szCs w:val="24"/>
        </w:rPr>
      </w:pPr>
      <w:r>
        <w:rPr>
          <w:rFonts w:hint="eastAsia" w:ascii="Times New Roman" w:hAnsi="Times New Roman"/>
          <w:b/>
          <w:bCs/>
          <w:color w:val="auto"/>
          <w:szCs w:val="24"/>
        </w:rPr>
        <w:t>3、</w:t>
      </w:r>
      <w:r>
        <w:rPr>
          <w:rFonts w:ascii="Times New Roman" w:hAnsi="Times New Roman"/>
          <w:b/>
          <w:bCs/>
          <w:color w:val="auto"/>
          <w:szCs w:val="24"/>
        </w:rPr>
        <w:t>《山东省深入打好碧水保卫战行动计划》（2021—2025年）的符合性分析</w:t>
      </w:r>
    </w:p>
    <w:p>
      <w:pPr>
        <w:pStyle w:val="15"/>
        <w:ind w:firstLine="0" w:firstLineChars="0"/>
        <w:jc w:val="center"/>
        <w:rPr>
          <w:rFonts w:ascii="Times New Roman" w:hAnsi="Times New Roman" w:eastAsia="黑体"/>
          <w:color w:val="auto"/>
          <w:sz w:val="21"/>
          <w:szCs w:val="21"/>
        </w:rPr>
      </w:pPr>
      <w:r>
        <w:rPr>
          <w:rFonts w:ascii="Times New Roman" w:hAnsi="Times New Roman" w:eastAsia="黑体"/>
          <w:color w:val="auto"/>
          <w:sz w:val="21"/>
          <w:szCs w:val="21"/>
        </w:rPr>
        <w:t>表</w:t>
      </w:r>
      <w:r>
        <w:rPr>
          <w:rFonts w:hint="eastAsia" w:ascii="Times New Roman" w:hAnsi="Times New Roman" w:eastAsia="黑体"/>
          <w:color w:val="auto"/>
          <w:sz w:val="21"/>
          <w:szCs w:val="21"/>
        </w:rPr>
        <w:t>12.1-3</w:t>
      </w:r>
      <w:r>
        <w:rPr>
          <w:rFonts w:ascii="Times New Roman" w:hAnsi="Times New Roman" w:eastAsia="黑体"/>
          <w:color w:val="auto"/>
          <w:sz w:val="21"/>
          <w:szCs w:val="21"/>
        </w:rPr>
        <w:t xml:space="preserve"> 与《山东省深入打好碧水保卫战行动计划》（2021—2025年）的符合性分析</w:t>
      </w:r>
    </w:p>
    <w:tbl>
      <w:tblPr>
        <w:tblStyle w:val="23"/>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8"/>
        <w:gridCol w:w="4885"/>
        <w:gridCol w:w="2141"/>
        <w:gridCol w:w="12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8" w:type="pct"/>
            <w:tcBorders>
              <w:tl2br w:val="nil"/>
              <w:tr2bl w:val="nil"/>
            </w:tcBorders>
            <w:vAlign w:val="center"/>
          </w:tcPr>
          <w:p>
            <w:pPr>
              <w:pStyle w:val="15"/>
              <w:spacing w:line="312" w:lineRule="exact"/>
              <w:ind w:firstLine="0" w:firstLineChars="0"/>
              <w:jc w:val="center"/>
              <w:rPr>
                <w:rFonts w:ascii="Times New Roman" w:hAnsi="Times New Roman"/>
                <w:color w:val="auto"/>
                <w:sz w:val="21"/>
                <w:szCs w:val="21"/>
              </w:rPr>
            </w:pPr>
            <w:r>
              <w:rPr>
                <w:rFonts w:ascii="Times New Roman" w:hAnsi="Times New Roman"/>
                <w:b/>
                <w:bCs/>
                <w:color w:val="auto"/>
                <w:sz w:val="21"/>
                <w:szCs w:val="21"/>
              </w:rPr>
              <w:t>内容</w:t>
            </w:r>
          </w:p>
        </w:tc>
        <w:tc>
          <w:tcPr>
            <w:tcW w:w="2631" w:type="pct"/>
            <w:tcBorders>
              <w:tl2br w:val="nil"/>
              <w:tr2bl w:val="nil"/>
            </w:tcBorders>
            <w:vAlign w:val="center"/>
          </w:tcPr>
          <w:p>
            <w:pPr>
              <w:pStyle w:val="15"/>
              <w:spacing w:line="312" w:lineRule="exact"/>
              <w:ind w:firstLine="0" w:firstLineChars="0"/>
              <w:jc w:val="center"/>
              <w:rPr>
                <w:rFonts w:ascii="Times New Roman" w:hAnsi="Times New Roman"/>
                <w:color w:val="auto"/>
                <w:sz w:val="21"/>
                <w:szCs w:val="21"/>
              </w:rPr>
            </w:pPr>
            <w:r>
              <w:rPr>
                <w:rFonts w:ascii="Times New Roman" w:hAnsi="Times New Roman"/>
                <w:b/>
                <w:bCs/>
                <w:color w:val="auto"/>
                <w:sz w:val="21"/>
                <w:szCs w:val="21"/>
              </w:rPr>
              <w:t>具体要求</w:t>
            </w:r>
          </w:p>
        </w:tc>
        <w:tc>
          <w:tcPr>
            <w:tcW w:w="1153" w:type="pct"/>
            <w:tcBorders>
              <w:tl2br w:val="nil"/>
              <w:tr2bl w:val="nil"/>
            </w:tcBorders>
            <w:vAlign w:val="center"/>
          </w:tcPr>
          <w:p>
            <w:pPr>
              <w:pStyle w:val="15"/>
              <w:spacing w:line="312" w:lineRule="exact"/>
              <w:ind w:firstLine="0" w:firstLineChars="0"/>
              <w:jc w:val="center"/>
              <w:rPr>
                <w:rFonts w:ascii="Times New Roman" w:hAnsi="Times New Roman"/>
                <w:color w:val="auto"/>
                <w:sz w:val="21"/>
                <w:szCs w:val="21"/>
              </w:rPr>
            </w:pPr>
            <w:r>
              <w:rPr>
                <w:rFonts w:ascii="Times New Roman" w:hAnsi="Times New Roman"/>
                <w:b/>
                <w:bCs/>
                <w:color w:val="auto"/>
                <w:sz w:val="21"/>
                <w:szCs w:val="21"/>
              </w:rPr>
              <w:t>本项目情况</w:t>
            </w:r>
          </w:p>
        </w:tc>
        <w:tc>
          <w:tcPr>
            <w:tcW w:w="677" w:type="pct"/>
            <w:tcBorders>
              <w:tl2br w:val="nil"/>
              <w:tr2bl w:val="nil"/>
            </w:tcBorders>
            <w:vAlign w:val="center"/>
          </w:tcPr>
          <w:p>
            <w:pPr>
              <w:pStyle w:val="15"/>
              <w:spacing w:line="312" w:lineRule="exact"/>
              <w:ind w:firstLine="0" w:firstLineChars="0"/>
              <w:jc w:val="center"/>
              <w:rPr>
                <w:rFonts w:ascii="Times New Roman" w:hAnsi="Times New Roman"/>
                <w:color w:val="auto"/>
                <w:sz w:val="21"/>
                <w:szCs w:val="21"/>
              </w:rPr>
            </w:pPr>
            <w:r>
              <w:rPr>
                <w:rFonts w:ascii="Times New Roman" w:hAnsi="Times New Roman"/>
                <w:b/>
                <w:bCs/>
                <w:color w:val="auto"/>
                <w:sz w:val="21"/>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8" w:type="pct"/>
            <w:tcBorders>
              <w:tl2br w:val="nil"/>
              <w:tr2bl w:val="nil"/>
            </w:tcBorders>
            <w:vAlign w:val="center"/>
          </w:tcPr>
          <w:p>
            <w:pPr>
              <w:pStyle w:val="21"/>
              <w:widowControl/>
              <w:spacing w:line="312" w:lineRule="exact"/>
              <w:ind w:firstLine="0" w:firstLineChars="0"/>
              <w:jc w:val="center"/>
              <w:rPr>
                <w:color w:val="auto"/>
                <w:sz w:val="21"/>
                <w:szCs w:val="21"/>
              </w:rPr>
            </w:pPr>
            <w:r>
              <w:rPr>
                <w:color w:val="auto"/>
                <w:kern w:val="2"/>
                <w:sz w:val="21"/>
                <w:szCs w:val="21"/>
              </w:rPr>
              <w:t>精准治理工业企业污染</w:t>
            </w:r>
          </w:p>
        </w:tc>
        <w:tc>
          <w:tcPr>
            <w:tcW w:w="2631" w:type="pct"/>
            <w:tcBorders>
              <w:tl2br w:val="nil"/>
              <w:tr2bl w:val="nil"/>
            </w:tcBorders>
            <w:vAlign w:val="center"/>
          </w:tcPr>
          <w:p>
            <w:pPr>
              <w:pStyle w:val="21"/>
              <w:widowControl/>
              <w:spacing w:line="312" w:lineRule="exact"/>
              <w:ind w:firstLine="0" w:firstLineChars="0"/>
              <w:jc w:val="center"/>
              <w:rPr>
                <w:color w:val="auto"/>
                <w:sz w:val="21"/>
                <w:szCs w:val="21"/>
              </w:rPr>
            </w:pPr>
            <w:r>
              <w:rPr>
                <w:color w:val="auto"/>
                <w:sz w:val="21"/>
                <w:szCs w:val="21"/>
              </w:rPr>
              <w:t>指导工业园区对污水实施科学收集、分类处理，梯级循环利用工业废水。逐步推进园区纳管企业废水“一企一管、明管输送、实时监控，统一调度”，第一时间锁定园区集中污水处理设施超标来水源头，及时有效处理处置。大力推进生态工业园区建设，对获得国家和省级命名的生态工业园区给予政策支持。</w:t>
            </w:r>
          </w:p>
        </w:tc>
        <w:tc>
          <w:tcPr>
            <w:tcW w:w="1153" w:type="pct"/>
            <w:tcBorders>
              <w:tl2br w:val="nil"/>
              <w:tr2bl w:val="nil"/>
            </w:tcBorders>
            <w:vAlign w:val="center"/>
          </w:tcPr>
          <w:p>
            <w:pPr>
              <w:spacing w:line="312" w:lineRule="exact"/>
              <w:ind w:firstLine="0" w:firstLineChars="0"/>
              <w:rPr>
                <w:color w:val="auto"/>
                <w:sz w:val="21"/>
                <w:szCs w:val="21"/>
              </w:rPr>
            </w:pPr>
            <w:r>
              <w:rPr>
                <w:color w:val="auto"/>
                <w:kern w:val="0"/>
                <w:sz w:val="21"/>
                <w:szCs w:val="21"/>
              </w:rPr>
              <w:t>本项目位于</w:t>
            </w:r>
            <w:r>
              <w:rPr>
                <w:rFonts w:hint="eastAsia"/>
                <w:color w:val="auto"/>
                <w:kern w:val="0"/>
                <w:sz w:val="21"/>
                <w:szCs w:val="21"/>
              </w:rPr>
              <w:t>淄博科技工业园</w:t>
            </w:r>
            <w:r>
              <w:rPr>
                <w:color w:val="auto"/>
                <w:kern w:val="0"/>
                <w:sz w:val="21"/>
                <w:szCs w:val="21"/>
              </w:rPr>
              <w:t>，</w:t>
            </w:r>
            <w:r>
              <w:rPr>
                <w:rFonts w:hint="eastAsia"/>
                <w:color w:val="auto"/>
                <w:kern w:val="0"/>
                <w:sz w:val="21"/>
                <w:szCs w:val="21"/>
              </w:rPr>
              <w:t>园区配备污水管网</w:t>
            </w:r>
          </w:p>
        </w:tc>
        <w:tc>
          <w:tcPr>
            <w:tcW w:w="677" w:type="pct"/>
            <w:tcBorders>
              <w:tl2br w:val="nil"/>
              <w:tr2bl w:val="nil"/>
            </w:tcBorders>
            <w:vAlign w:val="center"/>
          </w:tcPr>
          <w:p>
            <w:pPr>
              <w:pStyle w:val="15"/>
              <w:spacing w:line="312" w:lineRule="exact"/>
              <w:ind w:firstLine="0" w:firstLineChars="0"/>
              <w:jc w:val="center"/>
              <w:rPr>
                <w:rFonts w:ascii="Times New Roman" w:hAnsi="Times New Roman"/>
                <w:color w:val="auto"/>
                <w:sz w:val="21"/>
                <w:szCs w:val="21"/>
              </w:rPr>
            </w:pPr>
            <w:r>
              <w:rPr>
                <w:rFonts w:ascii="Times New Roman" w:hAnsi="Times New Roman"/>
                <w:color w:val="auto"/>
                <w:sz w:val="21"/>
                <w:szCs w:val="21"/>
              </w:rPr>
              <w:t>符合</w:t>
            </w:r>
          </w:p>
        </w:tc>
      </w:tr>
    </w:tbl>
    <w:p>
      <w:pPr>
        <w:pStyle w:val="15"/>
        <w:ind w:firstLine="0" w:firstLineChars="0"/>
        <w:jc w:val="left"/>
        <w:rPr>
          <w:rFonts w:ascii="Times New Roman" w:hAnsi="Times New Roman"/>
          <w:b/>
          <w:bCs/>
          <w:color w:val="auto"/>
          <w:szCs w:val="24"/>
        </w:rPr>
      </w:pPr>
      <w:r>
        <w:rPr>
          <w:rFonts w:hint="eastAsia" w:ascii="Times New Roman" w:hAnsi="Times New Roman"/>
          <w:b/>
          <w:bCs/>
          <w:color w:val="auto"/>
          <w:szCs w:val="24"/>
        </w:rPr>
        <w:t>4、</w:t>
      </w:r>
      <w:r>
        <w:rPr>
          <w:rFonts w:ascii="Times New Roman" w:hAnsi="Times New Roman"/>
          <w:b/>
          <w:bCs/>
          <w:color w:val="auto"/>
          <w:szCs w:val="24"/>
        </w:rPr>
        <w:t>与《山东省深入打好净土保卫战行动计划（2021—2025年）》符合性分析</w:t>
      </w:r>
    </w:p>
    <w:p>
      <w:pPr>
        <w:pStyle w:val="15"/>
        <w:ind w:firstLine="0" w:firstLineChars="0"/>
        <w:jc w:val="center"/>
        <w:rPr>
          <w:rFonts w:ascii="Times New Roman" w:hAnsi="Times New Roman" w:eastAsia="黑体"/>
          <w:color w:val="auto"/>
          <w:sz w:val="21"/>
          <w:szCs w:val="21"/>
        </w:rPr>
      </w:pPr>
      <w:r>
        <w:rPr>
          <w:rFonts w:ascii="Times New Roman" w:hAnsi="Times New Roman" w:eastAsia="黑体"/>
          <w:color w:val="auto"/>
          <w:sz w:val="21"/>
          <w:szCs w:val="21"/>
        </w:rPr>
        <w:t>表</w:t>
      </w:r>
      <w:r>
        <w:rPr>
          <w:rFonts w:hint="eastAsia" w:ascii="Times New Roman" w:hAnsi="Times New Roman" w:eastAsia="黑体"/>
          <w:color w:val="auto"/>
          <w:sz w:val="21"/>
          <w:szCs w:val="21"/>
        </w:rPr>
        <w:t>12.1-4</w:t>
      </w:r>
      <w:r>
        <w:rPr>
          <w:rFonts w:ascii="Times New Roman" w:hAnsi="Times New Roman" w:eastAsia="黑体"/>
          <w:color w:val="auto"/>
          <w:sz w:val="21"/>
          <w:szCs w:val="21"/>
        </w:rPr>
        <w:t xml:space="preserve"> 与《山东省深入打好净土保卫战行动计划（2021—2025年）》符合性分析</w:t>
      </w:r>
    </w:p>
    <w:tbl>
      <w:tblPr>
        <w:tblStyle w:val="2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55"/>
        <w:gridCol w:w="4550"/>
        <w:gridCol w:w="2520"/>
        <w:gridCol w:w="11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8" w:type="pct"/>
            <w:tcBorders>
              <w:tl2br w:val="nil"/>
              <w:tr2bl w:val="nil"/>
            </w:tcBorders>
            <w:vAlign w:val="center"/>
          </w:tcPr>
          <w:p>
            <w:pPr>
              <w:pStyle w:val="15"/>
              <w:spacing w:line="312" w:lineRule="exact"/>
              <w:ind w:firstLine="0" w:firstLineChars="0"/>
              <w:jc w:val="center"/>
              <w:rPr>
                <w:rFonts w:ascii="Times New Roman" w:hAnsi="Times New Roman"/>
                <w:color w:val="auto"/>
                <w:sz w:val="21"/>
                <w:szCs w:val="21"/>
              </w:rPr>
            </w:pPr>
            <w:r>
              <w:rPr>
                <w:rFonts w:ascii="Times New Roman" w:hAnsi="Times New Roman"/>
                <w:b/>
                <w:bCs/>
                <w:color w:val="auto"/>
                <w:sz w:val="21"/>
                <w:szCs w:val="21"/>
              </w:rPr>
              <w:t>内容</w:t>
            </w:r>
          </w:p>
        </w:tc>
        <w:tc>
          <w:tcPr>
            <w:tcW w:w="2450" w:type="pct"/>
            <w:tcBorders>
              <w:tl2br w:val="nil"/>
              <w:tr2bl w:val="nil"/>
            </w:tcBorders>
            <w:vAlign w:val="center"/>
          </w:tcPr>
          <w:p>
            <w:pPr>
              <w:pStyle w:val="15"/>
              <w:spacing w:line="312" w:lineRule="exact"/>
              <w:ind w:firstLine="0" w:firstLineChars="0"/>
              <w:jc w:val="center"/>
              <w:rPr>
                <w:rFonts w:ascii="Times New Roman" w:hAnsi="Times New Roman"/>
                <w:color w:val="auto"/>
                <w:sz w:val="21"/>
                <w:szCs w:val="21"/>
              </w:rPr>
            </w:pPr>
            <w:r>
              <w:rPr>
                <w:rFonts w:ascii="Times New Roman" w:hAnsi="Times New Roman"/>
                <w:b/>
                <w:bCs/>
                <w:color w:val="auto"/>
                <w:sz w:val="21"/>
                <w:szCs w:val="21"/>
              </w:rPr>
              <w:t>具体要求</w:t>
            </w:r>
          </w:p>
        </w:tc>
        <w:tc>
          <w:tcPr>
            <w:tcW w:w="1357" w:type="pct"/>
            <w:tcBorders>
              <w:tl2br w:val="nil"/>
              <w:tr2bl w:val="nil"/>
            </w:tcBorders>
            <w:vAlign w:val="center"/>
          </w:tcPr>
          <w:p>
            <w:pPr>
              <w:pStyle w:val="15"/>
              <w:spacing w:line="312" w:lineRule="exact"/>
              <w:ind w:firstLine="0" w:firstLineChars="0"/>
              <w:jc w:val="center"/>
              <w:rPr>
                <w:rFonts w:ascii="Times New Roman" w:hAnsi="Times New Roman"/>
                <w:color w:val="auto"/>
                <w:sz w:val="21"/>
                <w:szCs w:val="21"/>
              </w:rPr>
            </w:pPr>
            <w:r>
              <w:rPr>
                <w:rFonts w:ascii="Times New Roman" w:hAnsi="Times New Roman"/>
                <w:b/>
                <w:bCs/>
                <w:color w:val="auto"/>
                <w:sz w:val="21"/>
                <w:szCs w:val="21"/>
              </w:rPr>
              <w:t>本项目情况</w:t>
            </w:r>
          </w:p>
        </w:tc>
        <w:tc>
          <w:tcPr>
            <w:tcW w:w="624" w:type="pct"/>
            <w:tcBorders>
              <w:tl2br w:val="nil"/>
              <w:tr2bl w:val="nil"/>
            </w:tcBorders>
            <w:vAlign w:val="center"/>
          </w:tcPr>
          <w:p>
            <w:pPr>
              <w:pStyle w:val="15"/>
              <w:spacing w:line="312" w:lineRule="exact"/>
              <w:ind w:firstLine="0" w:firstLineChars="0"/>
              <w:jc w:val="center"/>
              <w:rPr>
                <w:rFonts w:ascii="Times New Roman" w:hAnsi="Times New Roman"/>
                <w:color w:val="auto"/>
                <w:sz w:val="21"/>
                <w:szCs w:val="21"/>
              </w:rPr>
            </w:pPr>
            <w:r>
              <w:rPr>
                <w:rFonts w:ascii="Times New Roman" w:hAnsi="Times New Roman"/>
                <w:b/>
                <w:bCs/>
                <w:color w:val="auto"/>
                <w:sz w:val="21"/>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8" w:type="pct"/>
            <w:tcBorders>
              <w:tl2br w:val="nil"/>
              <w:tr2bl w:val="nil"/>
            </w:tcBorders>
            <w:vAlign w:val="center"/>
          </w:tcPr>
          <w:p>
            <w:pPr>
              <w:widowControl/>
              <w:spacing w:line="312" w:lineRule="exact"/>
              <w:ind w:firstLine="0" w:firstLineChars="0"/>
              <w:jc w:val="center"/>
              <w:rPr>
                <w:color w:val="auto"/>
                <w:sz w:val="21"/>
                <w:szCs w:val="21"/>
              </w:rPr>
            </w:pPr>
            <w:r>
              <w:rPr>
                <w:color w:val="auto"/>
                <w:kern w:val="0"/>
                <w:sz w:val="21"/>
                <w:szCs w:val="21"/>
                <w:lang w:bidi="ar"/>
              </w:rPr>
              <w:t>加强固体废物环境管理</w:t>
            </w:r>
          </w:p>
        </w:tc>
        <w:tc>
          <w:tcPr>
            <w:tcW w:w="2450" w:type="pct"/>
            <w:tcBorders>
              <w:tl2br w:val="nil"/>
              <w:tr2bl w:val="nil"/>
            </w:tcBorders>
            <w:vAlign w:val="center"/>
          </w:tcPr>
          <w:p>
            <w:pPr>
              <w:widowControl/>
              <w:spacing w:line="312" w:lineRule="exact"/>
              <w:ind w:firstLine="0" w:firstLineChars="0"/>
              <w:jc w:val="center"/>
              <w:rPr>
                <w:color w:val="auto"/>
                <w:sz w:val="21"/>
                <w:szCs w:val="21"/>
              </w:rPr>
            </w:pPr>
            <w:r>
              <w:rPr>
                <w:color w:val="auto"/>
                <w:kern w:val="0"/>
                <w:sz w:val="21"/>
                <w:szCs w:val="21"/>
                <w:lang w:bidi="ar"/>
              </w:rPr>
              <w:t>开展非正规固体废物堆存场所排查整治。构建集污水、垃圾、固废、危废、医废处理处置设施和监测监管能力于一体的环境基础设施体系，形成由城市向建制镇和乡村延伸覆盖的环境基础设施网络。到2025年，试点城市建立起“无废城市”建设综合管理制度和监管体系。深入推进生活垃圾分类，建立有害垃圾收集转运体系。严格落实《山东省城市生活垃圾分类制度实施方案》，完善垃圾分类标识体系，健全垃圾分类奖励制度。2025年年底前，各市基本建成生活垃圾分类处理系统。推进生活垃圾焚烧处理等设施建设和改造提升，优化处理工艺，增强处理能力。城市生活垃圾日清运量超过300吨地区基本实现原生生活垃圾“零填埋”。扩大农村生活垃圾分类收集试点。</w:t>
            </w:r>
          </w:p>
        </w:tc>
        <w:tc>
          <w:tcPr>
            <w:tcW w:w="1357" w:type="pct"/>
            <w:tcBorders>
              <w:tl2br w:val="nil"/>
              <w:tr2bl w:val="nil"/>
            </w:tcBorders>
            <w:vAlign w:val="center"/>
          </w:tcPr>
          <w:p>
            <w:pPr>
              <w:pStyle w:val="15"/>
              <w:spacing w:line="312" w:lineRule="exact"/>
              <w:ind w:firstLine="0" w:firstLineChars="0"/>
              <w:jc w:val="center"/>
              <w:rPr>
                <w:rFonts w:ascii="Times New Roman" w:hAnsi="Times New Roman"/>
                <w:color w:val="auto"/>
                <w:sz w:val="21"/>
                <w:szCs w:val="21"/>
              </w:rPr>
            </w:pPr>
            <w:r>
              <w:rPr>
                <w:rFonts w:ascii="Times New Roman" w:hAnsi="Times New Roman"/>
                <w:color w:val="auto"/>
                <w:sz w:val="21"/>
                <w:szCs w:val="21"/>
              </w:rPr>
              <w:t>本报告要求企业建立规范一般固体废物暂存间及危险废物暂存间</w:t>
            </w:r>
            <w:r>
              <w:rPr>
                <w:rFonts w:hint="eastAsia" w:ascii="Times New Roman" w:hAnsi="Times New Roman"/>
                <w:color w:val="auto"/>
                <w:sz w:val="21"/>
                <w:szCs w:val="21"/>
              </w:rPr>
              <w:t>，危险废物暂存间的防渗层为至少1 m 厚粘土层（渗透系数≤10</w:t>
            </w:r>
            <w:r>
              <w:rPr>
                <w:rFonts w:hint="eastAsia" w:ascii="Times New Roman" w:hAnsi="Times New Roman"/>
                <w:color w:val="auto"/>
                <w:sz w:val="21"/>
                <w:szCs w:val="21"/>
                <w:vertAlign w:val="superscript"/>
              </w:rPr>
              <w:t>－7</w:t>
            </w:r>
            <w:r>
              <w:rPr>
                <w:rFonts w:hint="eastAsia" w:ascii="Times New Roman" w:hAnsi="Times New Roman"/>
                <w:color w:val="auto"/>
                <w:sz w:val="21"/>
                <w:szCs w:val="21"/>
              </w:rPr>
              <w:t>cm/s），或2 mm 厚高密度聚乙烯，或至少2 mm 厚的其他人工材料，渗透系数≤10</w:t>
            </w:r>
            <w:r>
              <w:rPr>
                <w:rFonts w:hint="eastAsia" w:ascii="Times New Roman" w:hAnsi="Times New Roman"/>
                <w:color w:val="auto"/>
                <w:sz w:val="21"/>
                <w:szCs w:val="21"/>
                <w:vertAlign w:val="superscript"/>
              </w:rPr>
              <w:t>－10</w:t>
            </w:r>
            <w:r>
              <w:rPr>
                <w:rFonts w:hint="eastAsia" w:ascii="Times New Roman" w:hAnsi="Times New Roman"/>
                <w:color w:val="auto"/>
                <w:sz w:val="21"/>
                <w:szCs w:val="21"/>
              </w:rPr>
              <w:t xml:space="preserve"> cm/s。</w:t>
            </w:r>
            <w:r>
              <w:rPr>
                <w:rFonts w:ascii="Times New Roman" w:hAnsi="Times New Roman"/>
                <w:color w:val="auto"/>
                <w:sz w:val="21"/>
                <w:szCs w:val="21"/>
              </w:rPr>
              <w:t>，生活垃圾分类收集，收集后由环卫部门统一处理。</w:t>
            </w:r>
          </w:p>
        </w:tc>
        <w:tc>
          <w:tcPr>
            <w:tcW w:w="624" w:type="pct"/>
            <w:tcBorders>
              <w:tl2br w:val="nil"/>
              <w:tr2bl w:val="nil"/>
            </w:tcBorders>
            <w:vAlign w:val="center"/>
          </w:tcPr>
          <w:p>
            <w:pPr>
              <w:pStyle w:val="15"/>
              <w:spacing w:line="312" w:lineRule="exact"/>
              <w:ind w:firstLine="0" w:firstLineChars="0"/>
              <w:jc w:val="center"/>
              <w:rPr>
                <w:rFonts w:ascii="Times New Roman" w:hAnsi="Times New Roman"/>
                <w:color w:val="auto"/>
                <w:sz w:val="21"/>
                <w:szCs w:val="21"/>
              </w:rPr>
            </w:pPr>
            <w:r>
              <w:rPr>
                <w:rFonts w:ascii="Times New Roman" w:hAnsi="Times New Roman"/>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8" w:type="pct"/>
            <w:tcBorders>
              <w:tl2br w:val="nil"/>
              <w:tr2bl w:val="nil"/>
            </w:tcBorders>
            <w:vAlign w:val="center"/>
          </w:tcPr>
          <w:p>
            <w:pPr>
              <w:widowControl/>
              <w:spacing w:line="312" w:lineRule="exact"/>
              <w:ind w:firstLine="0" w:firstLineChars="0"/>
              <w:jc w:val="center"/>
              <w:rPr>
                <w:color w:val="auto"/>
                <w:sz w:val="21"/>
                <w:szCs w:val="21"/>
              </w:rPr>
            </w:pPr>
            <w:r>
              <w:rPr>
                <w:color w:val="auto"/>
                <w:kern w:val="0"/>
                <w:sz w:val="21"/>
                <w:szCs w:val="21"/>
                <w:lang w:bidi="ar"/>
              </w:rPr>
              <w:t>严格建设用地风险管控与修复</w:t>
            </w:r>
          </w:p>
        </w:tc>
        <w:tc>
          <w:tcPr>
            <w:tcW w:w="2450" w:type="pct"/>
            <w:tcBorders>
              <w:tl2br w:val="nil"/>
              <w:tr2bl w:val="nil"/>
            </w:tcBorders>
            <w:vAlign w:val="center"/>
          </w:tcPr>
          <w:p>
            <w:pPr>
              <w:widowControl/>
              <w:spacing w:line="312" w:lineRule="exact"/>
              <w:ind w:firstLine="0" w:firstLineChars="0"/>
              <w:jc w:val="center"/>
              <w:rPr>
                <w:color w:val="auto"/>
                <w:sz w:val="21"/>
                <w:szCs w:val="21"/>
              </w:rPr>
            </w:pPr>
            <w:r>
              <w:rPr>
                <w:color w:val="auto"/>
                <w:kern w:val="0"/>
                <w:sz w:val="21"/>
                <w:szCs w:val="21"/>
                <w:lang w:bidi="ar"/>
              </w:rPr>
              <w:t>从严管控农药、化工等行业的重度污染地块规划用途，确需开发利用的，鼓励用于拓展生态空间。严格落实建设用地风险管控和修复名录管理制度，定期更新建设用地土壤污染风险管控和修复名录。推进重点地区危险化学品生产企业搬迁腾退地块的风险管控和修复工作。土壤污染责任人或者土地使用权人全面落实污染地块风险管控措施，防止对土壤和周边环境造成新的污染。</w:t>
            </w:r>
          </w:p>
        </w:tc>
        <w:tc>
          <w:tcPr>
            <w:tcW w:w="1357" w:type="pct"/>
            <w:tcBorders>
              <w:tl2br w:val="nil"/>
              <w:tr2bl w:val="nil"/>
            </w:tcBorders>
            <w:vAlign w:val="center"/>
          </w:tcPr>
          <w:p>
            <w:pPr>
              <w:pStyle w:val="15"/>
              <w:spacing w:line="312" w:lineRule="exact"/>
              <w:ind w:firstLine="0" w:firstLineChars="0"/>
              <w:jc w:val="center"/>
              <w:rPr>
                <w:rFonts w:ascii="Times New Roman" w:hAnsi="Times New Roman"/>
                <w:color w:val="auto"/>
                <w:sz w:val="21"/>
                <w:szCs w:val="21"/>
              </w:rPr>
            </w:pPr>
            <w:r>
              <w:rPr>
                <w:rFonts w:ascii="Times New Roman" w:hAnsi="Times New Roman"/>
                <w:color w:val="auto"/>
                <w:sz w:val="21"/>
                <w:szCs w:val="21"/>
              </w:rPr>
              <w:t>本项目属于</w:t>
            </w:r>
            <w:r>
              <w:rPr>
                <w:rFonts w:hint="eastAsia" w:ascii="Times New Roman" w:hAnsi="Times New Roman"/>
                <w:color w:val="auto"/>
                <w:sz w:val="21"/>
                <w:szCs w:val="21"/>
              </w:rPr>
              <w:t>化学纤维制造业</w:t>
            </w:r>
            <w:r>
              <w:rPr>
                <w:rFonts w:ascii="Times New Roman" w:hAnsi="Times New Roman"/>
                <w:color w:val="auto"/>
                <w:sz w:val="21"/>
                <w:szCs w:val="21"/>
              </w:rPr>
              <w:t>，不属于农药、化工行业，本项目对土壤污染较小。</w:t>
            </w:r>
          </w:p>
        </w:tc>
        <w:tc>
          <w:tcPr>
            <w:tcW w:w="624" w:type="pct"/>
            <w:tcBorders>
              <w:tl2br w:val="nil"/>
              <w:tr2bl w:val="nil"/>
            </w:tcBorders>
            <w:vAlign w:val="center"/>
          </w:tcPr>
          <w:p>
            <w:pPr>
              <w:pStyle w:val="15"/>
              <w:spacing w:line="312" w:lineRule="exact"/>
              <w:ind w:firstLine="0" w:firstLineChars="0"/>
              <w:jc w:val="center"/>
              <w:rPr>
                <w:rFonts w:ascii="Times New Roman" w:hAnsi="Times New Roman"/>
                <w:color w:val="auto"/>
                <w:sz w:val="21"/>
                <w:szCs w:val="21"/>
              </w:rPr>
            </w:pPr>
            <w:r>
              <w:rPr>
                <w:rFonts w:ascii="Times New Roman" w:hAnsi="Times New Roman"/>
                <w:color w:val="auto"/>
                <w:sz w:val="21"/>
                <w:szCs w:val="21"/>
              </w:rPr>
              <w:t>符合</w:t>
            </w:r>
          </w:p>
        </w:tc>
      </w:tr>
    </w:tbl>
    <w:p>
      <w:pPr>
        <w:ind w:firstLine="480"/>
        <w:rPr>
          <w:b/>
          <w:color w:val="auto"/>
        </w:rPr>
      </w:pPr>
      <w:r>
        <w:rPr>
          <w:rStyle w:val="65"/>
          <w:rFonts w:hint="eastAsia"/>
          <w:b w:val="0"/>
          <w:color w:val="auto"/>
        </w:rPr>
        <w:t>5、</w:t>
      </w:r>
      <w:r>
        <w:rPr>
          <w:rStyle w:val="65"/>
          <w:b w:val="0"/>
          <w:color w:val="auto"/>
        </w:rPr>
        <w:t xml:space="preserve">与《水污染防治行动计划》符合性分析 </w:t>
      </w:r>
    </w:p>
    <w:p>
      <w:pPr>
        <w:ind w:firstLine="480"/>
        <w:rPr>
          <w:color w:val="auto"/>
        </w:rPr>
      </w:pPr>
      <w:r>
        <w:rPr>
          <w:rFonts w:hint="eastAsia"/>
          <w:color w:val="auto"/>
        </w:rPr>
        <w:t>拟建项目</w:t>
      </w:r>
      <w:r>
        <w:rPr>
          <w:color w:val="auto"/>
        </w:rPr>
        <w:t>与《水污染防治行动计划》符合性分析见表12.1-</w:t>
      </w:r>
      <w:r>
        <w:rPr>
          <w:rFonts w:hint="eastAsia"/>
          <w:color w:val="auto"/>
        </w:rPr>
        <w:t>5</w:t>
      </w:r>
      <w:r>
        <w:rPr>
          <w:color w:val="auto"/>
        </w:rPr>
        <w:t>。</w:t>
      </w:r>
    </w:p>
    <w:p>
      <w:pPr>
        <w:pStyle w:val="48"/>
        <w:spacing w:line="360" w:lineRule="auto"/>
        <w:rPr>
          <w:b w:val="0"/>
          <w:bCs/>
          <w:color w:val="auto"/>
        </w:rPr>
      </w:pPr>
      <w:r>
        <w:rPr>
          <w:b w:val="0"/>
          <w:bCs/>
          <w:color w:val="auto"/>
        </w:rPr>
        <w:t>表12.1-</w:t>
      </w:r>
      <w:r>
        <w:rPr>
          <w:rFonts w:hint="eastAsia"/>
          <w:b w:val="0"/>
          <w:bCs/>
          <w:color w:val="auto"/>
        </w:rPr>
        <w:t>5</w:t>
      </w:r>
      <w:r>
        <w:rPr>
          <w:b w:val="0"/>
          <w:bCs/>
          <w:color w:val="auto"/>
        </w:rPr>
        <w:t xml:space="preserve"> </w:t>
      </w:r>
      <w:r>
        <w:rPr>
          <w:rFonts w:hint="eastAsia"/>
          <w:b w:val="0"/>
          <w:bCs/>
          <w:color w:val="auto"/>
        </w:rPr>
        <w:t>拟建项目</w:t>
      </w:r>
      <w:r>
        <w:rPr>
          <w:b w:val="0"/>
          <w:bCs/>
          <w:color w:val="auto"/>
        </w:rPr>
        <w:t>与《水污染防治行动计划》符合性</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8"/>
        <w:gridCol w:w="5238"/>
        <w:gridCol w:w="2341"/>
        <w:gridCol w:w="10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pPr>
              <w:pStyle w:val="47"/>
              <w:rPr>
                <w:b/>
                <w:color w:val="auto"/>
              </w:rPr>
            </w:pPr>
            <w:r>
              <w:rPr>
                <w:b/>
                <w:color w:val="auto"/>
              </w:rPr>
              <w:t>序号</w:t>
            </w:r>
          </w:p>
        </w:tc>
        <w:tc>
          <w:tcPr>
            <w:tcW w:w="2819" w:type="pct"/>
            <w:vAlign w:val="center"/>
          </w:tcPr>
          <w:p>
            <w:pPr>
              <w:pStyle w:val="47"/>
              <w:rPr>
                <w:b/>
                <w:color w:val="auto"/>
              </w:rPr>
            </w:pPr>
            <w:r>
              <w:rPr>
                <w:b/>
                <w:color w:val="auto"/>
              </w:rPr>
              <w:t>计划要求</w:t>
            </w:r>
          </w:p>
        </w:tc>
        <w:tc>
          <w:tcPr>
            <w:tcW w:w="1260" w:type="pct"/>
            <w:vAlign w:val="center"/>
          </w:tcPr>
          <w:p>
            <w:pPr>
              <w:pStyle w:val="47"/>
              <w:rPr>
                <w:b/>
                <w:color w:val="auto"/>
              </w:rPr>
            </w:pPr>
            <w:r>
              <w:rPr>
                <w:rFonts w:hint="eastAsia"/>
                <w:b/>
                <w:color w:val="auto"/>
              </w:rPr>
              <w:t>拟建项目</w:t>
            </w:r>
            <w:r>
              <w:rPr>
                <w:b/>
                <w:color w:val="auto"/>
              </w:rPr>
              <w:t>情况</w:t>
            </w:r>
          </w:p>
        </w:tc>
        <w:tc>
          <w:tcPr>
            <w:tcW w:w="544" w:type="pct"/>
            <w:vAlign w:val="center"/>
          </w:tcPr>
          <w:p>
            <w:pPr>
              <w:pStyle w:val="47"/>
              <w:rPr>
                <w:b/>
                <w:color w:val="auto"/>
              </w:rPr>
            </w:pPr>
            <w:r>
              <w:rPr>
                <w:b/>
                <w:color w:val="auto"/>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pPr>
              <w:pStyle w:val="47"/>
              <w:rPr>
                <w:color w:val="auto"/>
              </w:rPr>
            </w:pPr>
            <w:r>
              <w:rPr>
                <w:color w:val="auto"/>
              </w:rPr>
              <w:t>一</w:t>
            </w:r>
          </w:p>
        </w:tc>
        <w:tc>
          <w:tcPr>
            <w:tcW w:w="4623" w:type="pct"/>
            <w:gridSpan w:val="3"/>
            <w:vAlign w:val="center"/>
          </w:tcPr>
          <w:p>
            <w:pPr>
              <w:pStyle w:val="47"/>
              <w:rPr>
                <w:color w:val="auto"/>
              </w:rPr>
            </w:pPr>
            <w:r>
              <w:rPr>
                <w:color w:val="auto"/>
              </w:rPr>
              <w:t>全面控制污染物排放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pPr>
              <w:pStyle w:val="47"/>
              <w:rPr>
                <w:color w:val="auto"/>
              </w:rPr>
            </w:pPr>
            <w:r>
              <w:rPr>
                <w:color w:val="auto"/>
              </w:rPr>
              <w:t>1</w:t>
            </w:r>
          </w:p>
        </w:tc>
        <w:tc>
          <w:tcPr>
            <w:tcW w:w="2819" w:type="pct"/>
            <w:vAlign w:val="center"/>
          </w:tcPr>
          <w:p>
            <w:pPr>
              <w:pStyle w:val="47"/>
              <w:spacing w:line="240" w:lineRule="auto"/>
              <w:jc w:val="both"/>
              <w:rPr>
                <w:color w:val="auto"/>
              </w:rPr>
            </w:pPr>
            <w:r>
              <w:rPr>
                <w:color w:val="auto"/>
              </w:rPr>
              <w:t>取缔“十小”企业。全面排查装备水平低、环保设施差的小型工业企业。2016年底前，按照水污染防治法律法规要求，全部取缔不符合国家产业政策的小型造纸、制革、印染、染料、炼焦、炼硫、炼砷、炼油、电镀、农药等严重污染水环境的生产项目。</w:t>
            </w:r>
          </w:p>
        </w:tc>
        <w:tc>
          <w:tcPr>
            <w:tcW w:w="1260" w:type="pct"/>
            <w:vAlign w:val="center"/>
          </w:tcPr>
          <w:p>
            <w:pPr>
              <w:pStyle w:val="47"/>
              <w:spacing w:line="240" w:lineRule="auto"/>
              <w:jc w:val="both"/>
              <w:rPr>
                <w:color w:val="auto"/>
              </w:rPr>
            </w:pPr>
            <w:r>
              <w:rPr>
                <w:color w:val="auto"/>
              </w:rPr>
              <w:t>本项目</w:t>
            </w:r>
            <w:r>
              <w:rPr>
                <w:rFonts w:hint="eastAsia"/>
                <w:color w:val="auto"/>
              </w:rPr>
              <w:t>为鼓励建设项目，</w:t>
            </w:r>
            <w:r>
              <w:rPr>
                <w:color w:val="auto"/>
              </w:rPr>
              <w:t>不在取缔行列</w:t>
            </w:r>
          </w:p>
        </w:tc>
        <w:tc>
          <w:tcPr>
            <w:tcW w:w="544" w:type="pct"/>
            <w:vAlign w:val="center"/>
          </w:tcPr>
          <w:p>
            <w:pPr>
              <w:pStyle w:val="47"/>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pPr>
              <w:pStyle w:val="47"/>
              <w:rPr>
                <w:color w:val="auto"/>
              </w:rPr>
            </w:pPr>
            <w:r>
              <w:rPr>
                <w:color w:val="auto"/>
              </w:rPr>
              <w:t>2</w:t>
            </w:r>
          </w:p>
        </w:tc>
        <w:tc>
          <w:tcPr>
            <w:tcW w:w="2819" w:type="pct"/>
            <w:vAlign w:val="center"/>
          </w:tcPr>
          <w:p>
            <w:pPr>
              <w:pStyle w:val="47"/>
              <w:spacing w:line="240" w:lineRule="auto"/>
              <w:jc w:val="both"/>
              <w:rPr>
                <w:color w:val="auto"/>
              </w:rPr>
            </w:pPr>
            <w:r>
              <w:rPr>
                <w:color w:val="auto"/>
              </w:rPr>
              <w:t>专项整治十大重点行业。制定造纸、焦化、氮肥、有色金属、印染、农副食品加工、原料药制造、制革、农药、电镀等行业专项治理方案，实施清洁化改造。新建、改建、扩建上述行业建设项目实行主要污染物排放等量或减量置换。</w:t>
            </w:r>
          </w:p>
        </w:tc>
        <w:tc>
          <w:tcPr>
            <w:tcW w:w="1260" w:type="pct"/>
            <w:vAlign w:val="center"/>
          </w:tcPr>
          <w:p>
            <w:pPr>
              <w:pStyle w:val="47"/>
              <w:spacing w:line="240" w:lineRule="auto"/>
              <w:jc w:val="both"/>
              <w:rPr>
                <w:color w:val="auto"/>
              </w:rPr>
            </w:pPr>
            <w:r>
              <w:rPr>
                <w:color w:val="auto"/>
              </w:rPr>
              <w:t>本项目不属于十大重点行业，污染物排放满足当地污染物排放总量要求。</w:t>
            </w:r>
          </w:p>
        </w:tc>
        <w:tc>
          <w:tcPr>
            <w:tcW w:w="544" w:type="pct"/>
            <w:vAlign w:val="center"/>
          </w:tcPr>
          <w:p>
            <w:pPr>
              <w:pStyle w:val="47"/>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pPr>
              <w:pStyle w:val="47"/>
              <w:rPr>
                <w:color w:val="auto"/>
              </w:rPr>
            </w:pPr>
            <w:r>
              <w:rPr>
                <w:color w:val="auto"/>
              </w:rPr>
              <w:t>3</w:t>
            </w:r>
          </w:p>
        </w:tc>
        <w:tc>
          <w:tcPr>
            <w:tcW w:w="2819" w:type="pct"/>
            <w:vAlign w:val="center"/>
          </w:tcPr>
          <w:p>
            <w:pPr>
              <w:pStyle w:val="47"/>
              <w:spacing w:line="240" w:lineRule="auto"/>
              <w:jc w:val="both"/>
              <w:rPr>
                <w:color w:val="auto"/>
              </w:rPr>
            </w:pPr>
            <w:r>
              <w:rPr>
                <w:color w:val="auto"/>
              </w:rPr>
              <w:t>集中治理工业集聚区水污染。强化经济技术开发区、高新技术产业开发区、出口加工区等工业集聚区污染治理。集聚区内工业废水必须经预处理达到集中处理要求，方可进入污水集中处理设施。新建、升级工业集聚区应同步规划、建设污水、垃圾集中处理等污染治理设施。</w:t>
            </w:r>
          </w:p>
        </w:tc>
        <w:tc>
          <w:tcPr>
            <w:tcW w:w="1260" w:type="pct"/>
            <w:vAlign w:val="center"/>
          </w:tcPr>
          <w:p>
            <w:pPr>
              <w:pStyle w:val="47"/>
              <w:spacing w:line="240" w:lineRule="auto"/>
              <w:jc w:val="both"/>
              <w:rPr>
                <w:color w:val="auto"/>
              </w:rPr>
            </w:pPr>
            <w:r>
              <w:rPr>
                <w:color w:val="auto"/>
              </w:rPr>
              <w:t>本项目</w:t>
            </w:r>
            <w:r>
              <w:rPr>
                <w:rFonts w:hint="eastAsia"/>
                <w:color w:val="auto"/>
              </w:rPr>
              <w:t>生产</w:t>
            </w:r>
            <w:r>
              <w:rPr>
                <w:color w:val="auto"/>
              </w:rPr>
              <w:t>废水经厂区污水站处理后排</w:t>
            </w:r>
            <w:r>
              <w:rPr>
                <w:rFonts w:hint="eastAsia"/>
                <w:color w:val="auto"/>
                <w:kern w:val="0"/>
                <w:szCs w:val="21"/>
              </w:rPr>
              <w:t>光大水务（淄博）有限公司水质净化</w:t>
            </w:r>
            <w:r>
              <w:rPr>
                <w:rFonts w:hint="eastAsia"/>
                <w:color w:val="auto"/>
                <w:kern w:val="0"/>
                <w:szCs w:val="21"/>
                <w:lang w:eastAsia="zh-CN"/>
              </w:rPr>
              <w:t>三分厂</w:t>
            </w:r>
            <w:r>
              <w:rPr>
                <w:color w:val="auto"/>
              </w:rPr>
              <w:t>。</w:t>
            </w:r>
          </w:p>
        </w:tc>
        <w:tc>
          <w:tcPr>
            <w:tcW w:w="544" w:type="pct"/>
            <w:vAlign w:val="center"/>
          </w:tcPr>
          <w:p>
            <w:pPr>
              <w:pStyle w:val="47"/>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pPr>
              <w:pStyle w:val="47"/>
              <w:rPr>
                <w:color w:val="auto"/>
              </w:rPr>
            </w:pPr>
            <w:r>
              <w:rPr>
                <w:color w:val="auto"/>
              </w:rPr>
              <w:t>二</w:t>
            </w:r>
          </w:p>
        </w:tc>
        <w:tc>
          <w:tcPr>
            <w:tcW w:w="4623" w:type="pct"/>
            <w:gridSpan w:val="3"/>
            <w:vAlign w:val="center"/>
          </w:tcPr>
          <w:p>
            <w:pPr>
              <w:pStyle w:val="47"/>
              <w:spacing w:line="240" w:lineRule="auto"/>
              <w:jc w:val="both"/>
              <w:rPr>
                <w:color w:val="auto"/>
              </w:rPr>
            </w:pPr>
            <w:r>
              <w:rPr>
                <w:color w:val="auto"/>
              </w:rPr>
              <w:t>推动经济结构转型升级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pPr>
              <w:pStyle w:val="47"/>
              <w:rPr>
                <w:color w:val="auto"/>
              </w:rPr>
            </w:pPr>
            <w:r>
              <w:rPr>
                <w:color w:val="auto"/>
              </w:rPr>
              <w:t>1</w:t>
            </w:r>
          </w:p>
        </w:tc>
        <w:tc>
          <w:tcPr>
            <w:tcW w:w="2819" w:type="pct"/>
            <w:vAlign w:val="center"/>
          </w:tcPr>
          <w:p>
            <w:pPr>
              <w:pStyle w:val="47"/>
              <w:spacing w:line="240" w:lineRule="auto"/>
              <w:jc w:val="both"/>
              <w:rPr>
                <w:color w:val="auto"/>
              </w:rPr>
            </w:pPr>
            <w:r>
              <w:rPr>
                <w:color w:val="auto"/>
              </w:rPr>
              <w:t>调整产业结构。依法淘汰落后产能。自2015年起，各地要依据部分工业行业淘汰落后生产工艺装备和产品指导目录、产业结构调整指导目录及相关行业污染物排放标准，结合水质改善要求及产业发展情况，制定并实施分年度的落后产能淘汰方案，报工业和信息化部、环境保护部备案。</w:t>
            </w:r>
          </w:p>
        </w:tc>
        <w:tc>
          <w:tcPr>
            <w:tcW w:w="1260" w:type="pct"/>
            <w:vAlign w:val="center"/>
          </w:tcPr>
          <w:p>
            <w:pPr>
              <w:pStyle w:val="47"/>
              <w:spacing w:line="240" w:lineRule="auto"/>
              <w:jc w:val="both"/>
              <w:rPr>
                <w:color w:val="auto"/>
              </w:rPr>
            </w:pPr>
            <w:r>
              <w:rPr>
                <w:color w:val="auto"/>
              </w:rPr>
              <w:t>本项目符合国家产业政策要求。</w:t>
            </w:r>
          </w:p>
        </w:tc>
        <w:tc>
          <w:tcPr>
            <w:tcW w:w="544" w:type="pct"/>
            <w:vAlign w:val="center"/>
          </w:tcPr>
          <w:p>
            <w:pPr>
              <w:pStyle w:val="47"/>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pPr>
              <w:pStyle w:val="47"/>
              <w:rPr>
                <w:color w:val="auto"/>
              </w:rPr>
            </w:pPr>
            <w:r>
              <w:rPr>
                <w:color w:val="auto"/>
              </w:rPr>
              <w:t>2</w:t>
            </w:r>
          </w:p>
        </w:tc>
        <w:tc>
          <w:tcPr>
            <w:tcW w:w="2819" w:type="pct"/>
            <w:vAlign w:val="center"/>
          </w:tcPr>
          <w:p>
            <w:pPr>
              <w:pStyle w:val="47"/>
              <w:spacing w:line="240" w:lineRule="auto"/>
              <w:jc w:val="both"/>
              <w:rPr>
                <w:color w:val="auto"/>
              </w:rPr>
            </w:pPr>
            <w:r>
              <w:rPr>
                <w:color w:val="auto"/>
              </w:rPr>
              <w:t>优化空间布局。重大项目原则上布局在优化开发区和重点开发区，并符合城乡规划和土地利用总体规划。鼓励发展节水高效现代农业、低耗水高新技术产业以及生态保护型旅游业，严格控制缺水地区、水污染严重地区和敏感区域高耗水、高污染行业发展，新建、改建、扩建重点行业建设项目实行主要污染物排放减量置换。七大重点流域干流沿岸，要严格控制石油加工、化学原料和化学制品制造、医药制造、化学纤维制造、有色金属冶炼、纺织印染等项目环境风险，合理布局生产装置及危险化学品仓储等设施。</w:t>
            </w:r>
          </w:p>
        </w:tc>
        <w:tc>
          <w:tcPr>
            <w:tcW w:w="1260" w:type="pct"/>
            <w:vAlign w:val="center"/>
          </w:tcPr>
          <w:p>
            <w:pPr>
              <w:pStyle w:val="47"/>
              <w:spacing w:line="240" w:lineRule="auto"/>
              <w:jc w:val="both"/>
              <w:rPr>
                <w:color w:val="auto"/>
              </w:rPr>
            </w:pPr>
            <w:r>
              <w:rPr>
                <w:color w:val="auto"/>
              </w:rPr>
              <w:t>本项目</w:t>
            </w:r>
            <w:r>
              <w:rPr>
                <w:rFonts w:hint="eastAsia"/>
                <w:color w:val="auto"/>
              </w:rPr>
              <w:t>不属于重大项目，本项目已</w:t>
            </w:r>
            <w:r>
              <w:rPr>
                <w:color w:val="auto"/>
              </w:rPr>
              <w:t>合理布局生产装置及危险化学品仓储等设施</w:t>
            </w:r>
          </w:p>
        </w:tc>
        <w:tc>
          <w:tcPr>
            <w:tcW w:w="544" w:type="pct"/>
            <w:vAlign w:val="center"/>
          </w:tcPr>
          <w:p>
            <w:pPr>
              <w:pStyle w:val="47"/>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376" w:type="pct"/>
            <w:vAlign w:val="center"/>
          </w:tcPr>
          <w:p>
            <w:pPr>
              <w:pStyle w:val="47"/>
              <w:rPr>
                <w:color w:val="auto"/>
              </w:rPr>
            </w:pPr>
            <w:r>
              <w:rPr>
                <w:color w:val="auto"/>
              </w:rPr>
              <w:t>三</w:t>
            </w:r>
          </w:p>
        </w:tc>
        <w:tc>
          <w:tcPr>
            <w:tcW w:w="4623" w:type="pct"/>
            <w:gridSpan w:val="3"/>
            <w:vAlign w:val="center"/>
          </w:tcPr>
          <w:p>
            <w:pPr>
              <w:pStyle w:val="47"/>
              <w:spacing w:line="240" w:lineRule="auto"/>
              <w:jc w:val="both"/>
              <w:rPr>
                <w:color w:val="auto"/>
              </w:rPr>
            </w:pPr>
            <w:r>
              <w:rPr>
                <w:color w:val="auto"/>
              </w:rPr>
              <w:t>着力节约保护水资源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pPr>
              <w:pStyle w:val="47"/>
              <w:rPr>
                <w:color w:val="auto"/>
              </w:rPr>
            </w:pPr>
            <w:r>
              <w:rPr>
                <w:color w:val="auto"/>
              </w:rPr>
              <w:t>1</w:t>
            </w:r>
          </w:p>
        </w:tc>
        <w:tc>
          <w:tcPr>
            <w:tcW w:w="2819" w:type="pct"/>
            <w:vAlign w:val="center"/>
          </w:tcPr>
          <w:p>
            <w:pPr>
              <w:pStyle w:val="47"/>
              <w:spacing w:line="240" w:lineRule="auto"/>
              <w:jc w:val="both"/>
              <w:rPr>
                <w:color w:val="auto"/>
              </w:rPr>
            </w:pPr>
            <w:r>
              <w:rPr>
                <w:color w:val="auto"/>
              </w:rPr>
              <w:t>控制用水总量。新建、改建、</w:t>
            </w:r>
            <w:r>
              <w:rPr>
                <w:rFonts w:hint="eastAsia"/>
                <w:color w:val="auto"/>
                <w:lang w:eastAsia="zh-CN"/>
              </w:rPr>
              <w:t>拟建项目</w:t>
            </w:r>
            <w:r>
              <w:rPr>
                <w:color w:val="auto"/>
              </w:rPr>
              <w:t>用水要达到行业先进水平，节水设施应与主体工程同时设计、同时施工、同时投运。</w:t>
            </w:r>
          </w:p>
        </w:tc>
        <w:tc>
          <w:tcPr>
            <w:tcW w:w="1260" w:type="pct"/>
            <w:vAlign w:val="center"/>
          </w:tcPr>
          <w:p>
            <w:pPr>
              <w:pStyle w:val="47"/>
              <w:spacing w:line="240" w:lineRule="auto"/>
              <w:jc w:val="both"/>
              <w:rPr>
                <w:color w:val="auto"/>
              </w:rPr>
            </w:pPr>
            <w:r>
              <w:rPr>
                <w:color w:val="auto"/>
              </w:rPr>
              <w:t>本项目采取</w:t>
            </w:r>
            <w:r>
              <w:rPr>
                <w:color w:val="auto"/>
                <w:kern w:val="0"/>
                <w:szCs w:val="21"/>
              </w:rPr>
              <w:t>循环冷却系统排水、化验室排水、</w:t>
            </w:r>
            <w:r>
              <w:rPr>
                <w:rFonts w:hint="eastAsia"/>
                <w:color w:val="auto"/>
                <w:kern w:val="0"/>
                <w:szCs w:val="21"/>
              </w:rPr>
              <w:t>喷淋塔废水</w:t>
            </w:r>
            <w:r>
              <w:rPr>
                <w:color w:val="auto"/>
                <w:kern w:val="0"/>
                <w:szCs w:val="21"/>
              </w:rPr>
              <w:t>、地面清洗废水</w:t>
            </w:r>
            <w:r>
              <w:rPr>
                <w:rFonts w:hint="eastAsia"/>
                <w:color w:val="auto"/>
                <w:kern w:val="0"/>
                <w:szCs w:val="21"/>
              </w:rPr>
              <w:t>和生产废水厂区污水处理站</w:t>
            </w:r>
            <w:r>
              <w:rPr>
                <w:color w:val="auto"/>
                <w:kern w:val="0"/>
                <w:szCs w:val="21"/>
              </w:rPr>
              <w:t>处理后，</w:t>
            </w:r>
            <w:r>
              <w:rPr>
                <w:rFonts w:hint="eastAsia"/>
                <w:color w:val="auto"/>
                <w:kern w:val="0"/>
                <w:szCs w:val="21"/>
              </w:rPr>
              <w:t>回</w:t>
            </w:r>
            <w:r>
              <w:rPr>
                <w:color w:val="auto"/>
                <w:kern w:val="0"/>
                <w:szCs w:val="21"/>
              </w:rPr>
              <w:t>用于车间地面清洗，厂区绿化、道路洒水降尘</w:t>
            </w:r>
            <w:r>
              <w:rPr>
                <w:rFonts w:hint="eastAsia"/>
                <w:color w:val="auto"/>
                <w:kern w:val="0"/>
                <w:szCs w:val="21"/>
              </w:rPr>
              <w:t>的</w:t>
            </w:r>
            <w:r>
              <w:rPr>
                <w:color w:val="auto"/>
              </w:rPr>
              <w:t>节水措施，耗水量较小；项目节水设施实行“三同时”。</w:t>
            </w:r>
          </w:p>
        </w:tc>
        <w:tc>
          <w:tcPr>
            <w:tcW w:w="544" w:type="pct"/>
            <w:vAlign w:val="center"/>
          </w:tcPr>
          <w:p>
            <w:pPr>
              <w:pStyle w:val="47"/>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5" w:hRule="atLeast"/>
        </w:trPr>
        <w:tc>
          <w:tcPr>
            <w:tcW w:w="376" w:type="pct"/>
            <w:vAlign w:val="center"/>
          </w:tcPr>
          <w:p>
            <w:pPr>
              <w:pStyle w:val="47"/>
              <w:rPr>
                <w:color w:val="auto"/>
              </w:rPr>
            </w:pPr>
            <w:r>
              <w:rPr>
                <w:color w:val="auto"/>
              </w:rPr>
              <w:t>2</w:t>
            </w:r>
          </w:p>
        </w:tc>
        <w:tc>
          <w:tcPr>
            <w:tcW w:w="2819" w:type="pct"/>
            <w:vAlign w:val="center"/>
          </w:tcPr>
          <w:p>
            <w:pPr>
              <w:pStyle w:val="47"/>
              <w:spacing w:line="240" w:lineRule="auto"/>
              <w:jc w:val="both"/>
              <w:rPr>
                <w:color w:val="auto"/>
              </w:rPr>
            </w:pPr>
            <w:r>
              <w:rPr>
                <w:color w:val="auto"/>
              </w:rPr>
              <w:t>提高用水效率。抓好工业节水</w:t>
            </w:r>
          </w:p>
        </w:tc>
        <w:tc>
          <w:tcPr>
            <w:tcW w:w="1260" w:type="pct"/>
            <w:vAlign w:val="center"/>
          </w:tcPr>
          <w:p>
            <w:pPr>
              <w:pStyle w:val="47"/>
              <w:spacing w:line="240" w:lineRule="auto"/>
              <w:jc w:val="both"/>
              <w:rPr>
                <w:color w:val="auto"/>
              </w:rPr>
            </w:pPr>
            <w:r>
              <w:rPr>
                <w:color w:val="auto"/>
              </w:rPr>
              <w:t>本项目采取</w:t>
            </w:r>
            <w:r>
              <w:rPr>
                <w:color w:val="auto"/>
                <w:kern w:val="0"/>
                <w:szCs w:val="21"/>
              </w:rPr>
              <w:t>循环冷却系统排水、化验室排水、</w:t>
            </w:r>
            <w:r>
              <w:rPr>
                <w:rFonts w:hint="eastAsia"/>
                <w:color w:val="auto"/>
                <w:kern w:val="0"/>
                <w:szCs w:val="21"/>
              </w:rPr>
              <w:t>喷淋塔废水</w:t>
            </w:r>
            <w:r>
              <w:rPr>
                <w:color w:val="auto"/>
                <w:kern w:val="0"/>
                <w:szCs w:val="21"/>
              </w:rPr>
              <w:t>、地面清洗废水</w:t>
            </w:r>
            <w:r>
              <w:rPr>
                <w:rFonts w:hint="eastAsia"/>
                <w:color w:val="auto"/>
                <w:kern w:val="0"/>
                <w:szCs w:val="21"/>
              </w:rPr>
              <w:t>和生产废水厂区污水处理站</w:t>
            </w:r>
            <w:r>
              <w:rPr>
                <w:color w:val="auto"/>
                <w:kern w:val="0"/>
                <w:szCs w:val="21"/>
              </w:rPr>
              <w:t>处理后，</w:t>
            </w:r>
            <w:r>
              <w:rPr>
                <w:rFonts w:hint="eastAsia"/>
                <w:color w:val="auto"/>
                <w:kern w:val="0"/>
                <w:szCs w:val="21"/>
              </w:rPr>
              <w:t>回</w:t>
            </w:r>
            <w:r>
              <w:rPr>
                <w:color w:val="auto"/>
                <w:kern w:val="0"/>
                <w:szCs w:val="21"/>
              </w:rPr>
              <w:t>用于车间地面清洗，厂区绿化、道路洒水降尘</w:t>
            </w:r>
            <w:r>
              <w:rPr>
                <w:rFonts w:hint="eastAsia"/>
                <w:color w:val="auto"/>
                <w:kern w:val="0"/>
                <w:szCs w:val="21"/>
              </w:rPr>
              <w:t>的</w:t>
            </w:r>
            <w:r>
              <w:rPr>
                <w:color w:val="auto"/>
              </w:rPr>
              <w:t>节水措施，提高工业用水效率。</w:t>
            </w:r>
          </w:p>
        </w:tc>
        <w:tc>
          <w:tcPr>
            <w:tcW w:w="544" w:type="pct"/>
            <w:vAlign w:val="center"/>
          </w:tcPr>
          <w:p>
            <w:pPr>
              <w:pStyle w:val="47"/>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pPr>
              <w:pStyle w:val="47"/>
              <w:rPr>
                <w:color w:val="auto"/>
              </w:rPr>
            </w:pPr>
            <w:r>
              <w:rPr>
                <w:color w:val="auto"/>
              </w:rPr>
              <w:t>五</w:t>
            </w:r>
          </w:p>
        </w:tc>
        <w:tc>
          <w:tcPr>
            <w:tcW w:w="4623" w:type="pct"/>
            <w:gridSpan w:val="3"/>
            <w:vAlign w:val="center"/>
          </w:tcPr>
          <w:p>
            <w:pPr>
              <w:pStyle w:val="47"/>
              <w:spacing w:line="240" w:lineRule="auto"/>
              <w:jc w:val="both"/>
              <w:rPr>
                <w:color w:val="auto"/>
              </w:rPr>
            </w:pPr>
            <w:r>
              <w:rPr>
                <w:color w:val="auto"/>
              </w:rPr>
              <w:t>切实加强水环境管理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pPr>
              <w:pStyle w:val="47"/>
              <w:rPr>
                <w:color w:val="auto"/>
              </w:rPr>
            </w:pPr>
            <w:r>
              <w:rPr>
                <w:color w:val="auto"/>
              </w:rPr>
              <w:t>1</w:t>
            </w:r>
          </w:p>
        </w:tc>
        <w:tc>
          <w:tcPr>
            <w:tcW w:w="2819" w:type="pct"/>
            <w:vAlign w:val="center"/>
          </w:tcPr>
          <w:p>
            <w:pPr>
              <w:pStyle w:val="47"/>
              <w:spacing w:line="240" w:lineRule="auto"/>
              <w:jc w:val="both"/>
              <w:rPr>
                <w:color w:val="auto"/>
              </w:rPr>
            </w:pPr>
            <w:r>
              <w:rPr>
                <w:color w:val="auto"/>
              </w:rPr>
              <w:t>严格环境风险控制。防范环境风险。定期评估沿江河湖库工业企业、工业集聚区环境和健康风险，落实防控措施。</w:t>
            </w:r>
          </w:p>
        </w:tc>
        <w:tc>
          <w:tcPr>
            <w:tcW w:w="1260" w:type="pct"/>
            <w:vAlign w:val="center"/>
          </w:tcPr>
          <w:p>
            <w:pPr>
              <w:pStyle w:val="47"/>
              <w:spacing w:line="240" w:lineRule="auto"/>
              <w:jc w:val="both"/>
              <w:rPr>
                <w:color w:val="auto"/>
              </w:rPr>
            </w:pPr>
            <w:r>
              <w:rPr>
                <w:color w:val="auto"/>
              </w:rPr>
              <w:t>项目在制定完善的环境风险应急预案和采取环境风险防范措施后，能够有效防范生产中潜在的环境风险。</w:t>
            </w:r>
          </w:p>
        </w:tc>
        <w:tc>
          <w:tcPr>
            <w:tcW w:w="544" w:type="pct"/>
            <w:vAlign w:val="center"/>
          </w:tcPr>
          <w:p>
            <w:pPr>
              <w:pStyle w:val="47"/>
              <w:rPr>
                <w:color w:val="auto"/>
              </w:rPr>
            </w:pPr>
            <w:r>
              <w:rPr>
                <w:color w:val="auto"/>
              </w:rPr>
              <w:t>符合</w:t>
            </w:r>
          </w:p>
        </w:tc>
      </w:tr>
    </w:tbl>
    <w:p>
      <w:pPr>
        <w:pStyle w:val="48"/>
        <w:spacing w:line="360" w:lineRule="auto"/>
        <w:jc w:val="both"/>
        <w:rPr>
          <w:rFonts w:eastAsia="宋体"/>
          <w:color w:val="auto"/>
          <w:sz w:val="24"/>
        </w:rPr>
      </w:pPr>
      <w:r>
        <w:rPr>
          <w:rFonts w:hint="eastAsia" w:eastAsia="宋体"/>
          <w:color w:val="auto"/>
          <w:sz w:val="24"/>
        </w:rPr>
        <w:t>6、</w:t>
      </w:r>
      <w:r>
        <w:rPr>
          <w:rFonts w:eastAsia="宋体"/>
          <w:color w:val="auto"/>
          <w:sz w:val="24"/>
        </w:rPr>
        <w:t>与《土壤污染防治行动计划》符合性</w:t>
      </w:r>
    </w:p>
    <w:p>
      <w:pPr>
        <w:pStyle w:val="48"/>
        <w:spacing w:line="360" w:lineRule="auto"/>
        <w:ind w:firstLine="520" w:firstLineChars="200"/>
        <w:jc w:val="both"/>
        <w:rPr>
          <w:rFonts w:eastAsia="宋体"/>
          <w:color w:val="auto"/>
          <w:sz w:val="24"/>
        </w:rPr>
      </w:pPr>
      <w:r>
        <w:rPr>
          <w:rFonts w:hint="eastAsia" w:eastAsia="宋体"/>
          <w:color w:val="auto"/>
          <w:sz w:val="24"/>
        </w:rPr>
        <w:t>拟建项目</w:t>
      </w:r>
      <w:r>
        <w:rPr>
          <w:rFonts w:eastAsia="宋体"/>
          <w:color w:val="auto"/>
          <w:sz w:val="24"/>
        </w:rPr>
        <w:t>与《土壤污染防治行动计划》符合性分析见表12.1-</w:t>
      </w:r>
      <w:r>
        <w:rPr>
          <w:rFonts w:hint="eastAsia" w:eastAsia="宋体"/>
          <w:color w:val="auto"/>
          <w:sz w:val="24"/>
        </w:rPr>
        <w:t>6</w:t>
      </w:r>
      <w:r>
        <w:rPr>
          <w:rFonts w:eastAsia="宋体"/>
          <w:color w:val="auto"/>
          <w:sz w:val="24"/>
        </w:rPr>
        <w:t>。</w:t>
      </w:r>
    </w:p>
    <w:p>
      <w:pPr>
        <w:pStyle w:val="48"/>
        <w:spacing w:line="360" w:lineRule="auto"/>
        <w:rPr>
          <w:b w:val="0"/>
          <w:bCs/>
          <w:color w:val="auto"/>
        </w:rPr>
      </w:pPr>
      <w:r>
        <w:rPr>
          <w:b w:val="0"/>
          <w:bCs/>
          <w:color w:val="auto"/>
        </w:rPr>
        <w:t>表12.1-</w:t>
      </w:r>
      <w:r>
        <w:rPr>
          <w:rFonts w:hint="eastAsia"/>
          <w:b w:val="0"/>
          <w:bCs/>
          <w:color w:val="auto"/>
        </w:rPr>
        <w:t>6</w:t>
      </w:r>
      <w:r>
        <w:rPr>
          <w:b w:val="0"/>
          <w:bCs/>
          <w:color w:val="auto"/>
        </w:rPr>
        <w:t xml:space="preserve"> </w:t>
      </w:r>
      <w:r>
        <w:rPr>
          <w:rFonts w:hint="eastAsia"/>
          <w:b w:val="0"/>
          <w:bCs/>
          <w:color w:val="auto"/>
        </w:rPr>
        <w:t>拟建项目</w:t>
      </w:r>
      <w:r>
        <w:rPr>
          <w:b w:val="0"/>
          <w:bCs/>
          <w:color w:val="auto"/>
        </w:rPr>
        <w:t>与《土壤污染防治行动计划》》符合性</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1"/>
        <w:gridCol w:w="4686"/>
        <w:gridCol w:w="2341"/>
        <w:gridCol w:w="10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8" w:type="pct"/>
            <w:vAlign w:val="center"/>
          </w:tcPr>
          <w:p>
            <w:pPr>
              <w:pStyle w:val="47"/>
              <w:spacing w:line="240" w:lineRule="auto"/>
              <w:rPr>
                <w:b/>
                <w:color w:val="auto"/>
              </w:rPr>
            </w:pPr>
            <w:r>
              <w:rPr>
                <w:b/>
                <w:color w:val="auto"/>
              </w:rPr>
              <w:t>序号</w:t>
            </w:r>
          </w:p>
        </w:tc>
        <w:tc>
          <w:tcPr>
            <w:tcW w:w="2522" w:type="pct"/>
            <w:vAlign w:val="center"/>
          </w:tcPr>
          <w:p>
            <w:pPr>
              <w:pStyle w:val="47"/>
              <w:spacing w:line="240" w:lineRule="auto"/>
              <w:rPr>
                <w:b/>
                <w:color w:val="auto"/>
              </w:rPr>
            </w:pPr>
            <w:r>
              <w:rPr>
                <w:b/>
                <w:color w:val="auto"/>
              </w:rPr>
              <w:t>计划要求</w:t>
            </w:r>
          </w:p>
        </w:tc>
        <w:tc>
          <w:tcPr>
            <w:tcW w:w="1260" w:type="pct"/>
            <w:vAlign w:val="center"/>
          </w:tcPr>
          <w:p>
            <w:pPr>
              <w:pStyle w:val="47"/>
              <w:spacing w:line="240" w:lineRule="auto"/>
              <w:rPr>
                <w:b/>
                <w:color w:val="auto"/>
              </w:rPr>
            </w:pPr>
            <w:r>
              <w:rPr>
                <w:rFonts w:hint="eastAsia"/>
                <w:b/>
                <w:color w:val="auto"/>
              </w:rPr>
              <w:t>拟建项目</w:t>
            </w:r>
            <w:r>
              <w:rPr>
                <w:b/>
                <w:color w:val="auto"/>
              </w:rPr>
              <w:t>情况</w:t>
            </w:r>
          </w:p>
        </w:tc>
        <w:tc>
          <w:tcPr>
            <w:tcW w:w="549" w:type="pct"/>
            <w:vAlign w:val="center"/>
          </w:tcPr>
          <w:p>
            <w:pPr>
              <w:pStyle w:val="47"/>
              <w:spacing w:line="240" w:lineRule="auto"/>
              <w:rPr>
                <w:b/>
                <w:color w:val="auto"/>
              </w:rPr>
            </w:pPr>
            <w:r>
              <w:rPr>
                <w:b/>
                <w:color w:val="auto"/>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8" w:type="pct"/>
            <w:vAlign w:val="center"/>
          </w:tcPr>
          <w:p>
            <w:pPr>
              <w:pStyle w:val="47"/>
              <w:spacing w:line="240" w:lineRule="auto"/>
              <w:rPr>
                <w:rFonts w:hint="eastAsia" w:eastAsia="宋体"/>
                <w:color w:val="auto"/>
                <w:lang w:eastAsia="zh-CN"/>
              </w:rPr>
            </w:pPr>
            <w:r>
              <w:rPr>
                <w:rFonts w:hint="eastAsia"/>
                <w:color w:val="auto"/>
                <w:lang w:val="en-US" w:eastAsia="zh-CN"/>
              </w:rPr>
              <w:t>一</w:t>
            </w:r>
          </w:p>
        </w:tc>
        <w:tc>
          <w:tcPr>
            <w:tcW w:w="4331" w:type="pct"/>
            <w:gridSpan w:val="3"/>
            <w:vAlign w:val="center"/>
          </w:tcPr>
          <w:p>
            <w:pPr>
              <w:pStyle w:val="47"/>
              <w:spacing w:line="240" w:lineRule="auto"/>
              <w:rPr>
                <w:color w:val="auto"/>
              </w:rPr>
            </w:pPr>
            <w:r>
              <w:rPr>
                <w:color w:val="auto"/>
              </w:rPr>
              <w:t>实施农用地分类管理，保障农业生产环境安全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8" w:type="pct"/>
            <w:vAlign w:val="center"/>
          </w:tcPr>
          <w:p>
            <w:pPr>
              <w:pStyle w:val="47"/>
              <w:spacing w:line="240" w:lineRule="auto"/>
              <w:rPr>
                <w:color w:val="auto"/>
              </w:rPr>
            </w:pPr>
            <w:r>
              <w:rPr>
                <w:color w:val="auto"/>
              </w:rPr>
              <w:t>（八）</w:t>
            </w:r>
          </w:p>
        </w:tc>
        <w:tc>
          <w:tcPr>
            <w:tcW w:w="2522" w:type="pct"/>
            <w:vAlign w:val="center"/>
          </w:tcPr>
          <w:p>
            <w:pPr>
              <w:pStyle w:val="47"/>
              <w:spacing w:line="240" w:lineRule="auto"/>
              <w:jc w:val="both"/>
              <w:rPr>
                <w:color w:val="auto"/>
              </w:rPr>
            </w:pPr>
            <w:r>
              <w:rPr>
                <w:color w:val="auto"/>
              </w:rPr>
              <w:t>切实加大保护力度。防控企业污染。严格控制在优先保护类耕地集中区域新建有色金属冶炼、石油加工、化工、焦化、电镀、制革等行业企业，现有相关行业企业要采用新技术、新工艺，加快提标升级改造步伐。</w:t>
            </w:r>
          </w:p>
        </w:tc>
        <w:tc>
          <w:tcPr>
            <w:tcW w:w="1260" w:type="pct"/>
            <w:vAlign w:val="center"/>
          </w:tcPr>
          <w:p>
            <w:pPr>
              <w:pStyle w:val="47"/>
              <w:spacing w:line="240" w:lineRule="auto"/>
              <w:jc w:val="both"/>
              <w:rPr>
                <w:color w:val="auto"/>
              </w:rPr>
            </w:pPr>
            <w:r>
              <w:rPr>
                <w:color w:val="auto"/>
              </w:rPr>
              <w:t>本项目不在优先保护类耕地集中区。</w:t>
            </w:r>
          </w:p>
        </w:tc>
        <w:tc>
          <w:tcPr>
            <w:tcW w:w="549" w:type="pct"/>
            <w:vAlign w:val="center"/>
          </w:tcPr>
          <w:p>
            <w:pPr>
              <w:pStyle w:val="47"/>
              <w:spacing w:line="240" w:lineRule="auto"/>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8" w:type="pct"/>
            <w:vAlign w:val="center"/>
          </w:tcPr>
          <w:p>
            <w:pPr>
              <w:pStyle w:val="47"/>
              <w:spacing w:line="240" w:lineRule="auto"/>
              <w:rPr>
                <w:color w:val="auto"/>
              </w:rPr>
            </w:pPr>
            <w:r>
              <w:rPr>
                <w:color w:val="auto"/>
              </w:rPr>
              <w:t>四</w:t>
            </w:r>
          </w:p>
        </w:tc>
        <w:tc>
          <w:tcPr>
            <w:tcW w:w="4331" w:type="pct"/>
            <w:gridSpan w:val="3"/>
            <w:vAlign w:val="center"/>
          </w:tcPr>
          <w:p>
            <w:pPr>
              <w:pStyle w:val="47"/>
              <w:spacing w:line="240" w:lineRule="auto"/>
              <w:jc w:val="both"/>
              <w:rPr>
                <w:color w:val="auto"/>
              </w:rPr>
            </w:pPr>
            <w:r>
              <w:rPr>
                <w:color w:val="auto"/>
              </w:rPr>
              <w:t>实施建设用地准入管理，防范人居环境风险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8" w:type="pct"/>
            <w:vAlign w:val="center"/>
          </w:tcPr>
          <w:p>
            <w:pPr>
              <w:pStyle w:val="47"/>
              <w:spacing w:line="240" w:lineRule="auto"/>
              <w:rPr>
                <w:color w:val="auto"/>
              </w:rPr>
            </w:pPr>
            <w:r>
              <w:rPr>
                <w:color w:val="auto"/>
              </w:rPr>
              <w:t>（十四）</w:t>
            </w:r>
          </w:p>
        </w:tc>
        <w:tc>
          <w:tcPr>
            <w:tcW w:w="2522" w:type="pct"/>
            <w:vAlign w:val="center"/>
          </w:tcPr>
          <w:p>
            <w:pPr>
              <w:pStyle w:val="47"/>
              <w:spacing w:line="240" w:lineRule="auto"/>
              <w:jc w:val="both"/>
              <w:rPr>
                <w:color w:val="auto"/>
              </w:rPr>
            </w:pPr>
            <w:r>
              <w:rPr>
                <w:color w:val="auto"/>
              </w:rPr>
              <w:t>严格用地准入。将建设用地土壤环境管理要求纳入城市规划和供地管理，土地开发利用必须符合土壤环境质量要求。地方各级国土资源、城乡规划等部门在编制土地利用总体规划、城市总体规划、控制性详细规划等相关规划时，应充分考虑污染地块的环境风险，合理确定土地用途</w:t>
            </w:r>
          </w:p>
        </w:tc>
        <w:tc>
          <w:tcPr>
            <w:tcW w:w="1260" w:type="pct"/>
            <w:vAlign w:val="center"/>
          </w:tcPr>
          <w:p>
            <w:pPr>
              <w:pStyle w:val="47"/>
              <w:spacing w:line="240" w:lineRule="auto"/>
              <w:jc w:val="both"/>
              <w:rPr>
                <w:color w:val="auto"/>
              </w:rPr>
            </w:pPr>
            <w:r>
              <w:rPr>
                <w:color w:val="auto"/>
              </w:rPr>
              <w:t>本项目</w:t>
            </w:r>
            <w:r>
              <w:rPr>
                <w:rFonts w:hint="eastAsia"/>
                <w:color w:val="auto"/>
              </w:rPr>
              <w:t>租赁淄博自然空间建材有限公司闲置院落</w:t>
            </w:r>
            <w:r>
              <w:rPr>
                <w:color w:val="auto"/>
              </w:rPr>
              <w:t>，不新增用地。本项目用地属于工业用地，符合</w:t>
            </w:r>
            <w:r>
              <w:rPr>
                <w:rFonts w:hint="eastAsia"/>
                <w:color w:val="auto"/>
              </w:rPr>
              <w:t>张店区</w:t>
            </w:r>
            <w:r>
              <w:rPr>
                <w:color w:val="auto"/>
              </w:rPr>
              <w:t>土地利用规划。</w:t>
            </w:r>
          </w:p>
        </w:tc>
        <w:tc>
          <w:tcPr>
            <w:tcW w:w="549" w:type="pct"/>
            <w:vAlign w:val="center"/>
          </w:tcPr>
          <w:p>
            <w:pPr>
              <w:pStyle w:val="47"/>
              <w:spacing w:line="240" w:lineRule="auto"/>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8" w:type="pct"/>
            <w:vAlign w:val="center"/>
          </w:tcPr>
          <w:p>
            <w:pPr>
              <w:pStyle w:val="47"/>
              <w:spacing w:line="240" w:lineRule="auto"/>
              <w:rPr>
                <w:color w:val="auto"/>
              </w:rPr>
            </w:pPr>
            <w:r>
              <w:rPr>
                <w:color w:val="auto"/>
              </w:rPr>
              <w:t>（十六）</w:t>
            </w:r>
          </w:p>
        </w:tc>
        <w:tc>
          <w:tcPr>
            <w:tcW w:w="2522" w:type="pct"/>
            <w:vAlign w:val="center"/>
          </w:tcPr>
          <w:p>
            <w:pPr>
              <w:pStyle w:val="47"/>
              <w:spacing w:line="240" w:lineRule="auto"/>
              <w:jc w:val="both"/>
              <w:rPr>
                <w:color w:val="auto"/>
              </w:rPr>
            </w:pPr>
            <w:r>
              <w:rPr>
                <w:color w:val="auto"/>
              </w:rPr>
              <w:t>防范建设用地新增污染。排放重点污染物的建设项目，在开展环境影响评价时，要增加对土壤环境影响的评价内容，并提出防范土壤污染的具体措施；需要建设的土壤污染防治设施，要与主体工程同时设计、同时施工、同时投产使用；有关环境保护部门要做好有关措施落实情况的监督管理工作。自2017年起，有关地方人民政府要与重点行业企业签订土壤污染防治责任书，明确相关措施和责任，责任书向社会公开</w:t>
            </w:r>
          </w:p>
        </w:tc>
        <w:tc>
          <w:tcPr>
            <w:tcW w:w="1260" w:type="pct"/>
            <w:vAlign w:val="center"/>
          </w:tcPr>
          <w:p>
            <w:pPr>
              <w:pStyle w:val="47"/>
              <w:spacing w:line="240" w:lineRule="auto"/>
              <w:jc w:val="both"/>
              <w:rPr>
                <w:color w:val="auto"/>
              </w:rPr>
            </w:pPr>
            <w:r>
              <w:rPr>
                <w:color w:val="auto"/>
              </w:rPr>
              <w:t>本项目无重点污染物排放；环境影响报告书设置土壤环境影响评价章节。</w:t>
            </w:r>
          </w:p>
        </w:tc>
        <w:tc>
          <w:tcPr>
            <w:tcW w:w="549" w:type="pct"/>
            <w:vAlign w:val="center"/>
          </w:tcPr>
          <w:p>
            <w:pPr>
              <w:pStyle w:val="47"/>
              <w:spacing w:line="240" w:lineRule="auto"/>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8" w:type="pct"/>
            <w:vAlign w:val="center"/>
          </w:tcPr>
          <w:p>
            <w:pPr>
              <w:pStyle w:val="47"/>
              <w:spacing w:line="240" w:lineRule="auto"/>
              <w:rPr>
                <w:color w:val="auto"/>
              </w:rPr>
            </w:pPr>
            <w:r>
              <w:rPr>
                <w:color w:val="auto"/>
              </w:rPr>
              <w:t>六</w:t>
            </w:r>
          </w:p>
        </w:tc>
        <w:tc>
          <w:tcPr>
            <w:tcW w:w="4331" w:type="pct"/>
            <w:gridSpan w:val="3"/>
            <w:vAlign w:val="center"/>
          </w:tcPr>
          <w:p>
            <w:pPr>
              <w:pStyle w:val="47"/>
              <w:spacing w:line="240" w:lineRule="auto"/>
              <w:jc w:val="both"/>
              <w:rPr>
                <w:color w:val="auto"/>
              </w:rPr>
            </w:pPr>
            <w:r>
              <w:rPr>
                <w:color w:val="auto"/>
              </w:rPr>
              <w:t>加强污染源监管，做好土壤污染预防工作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8" w:type="pct"/>
            <w:vAlign w:val="center"/>
          </w:tcPr>
          <w:p>
            <w:pPr>
              <w:pStyle w:val="47"/>
              <w:spacing w:line="240" w:lineRule="auto"/>
              <w:rPr>
                <w:color w:val="auto"/>
              </w:rPr>
            </w:pPr>
            <w:r>
              <w:rPr>
                <w:color w:val="auto"/>
              </w:rPr>
              <w:t>（十八）</w:t>
            </w:r>
          </w:p>
        </w:tc>
        <w:tc>
          <w:tcPr>
            <w:tcW w:w="2522" w:type="pct"/>
            <w:vAlign w:val="center"/>
          </w:tcPr>
          <w:p>
            <w:pPr>
              <w:pStyle w:val="47"/>
              <w:spacing w:line="240" w:lineRule="auto"/>
              <w:jc w:val="both"/>
              <w:rPr>
                <w:color w:val="auto"/>
              </w:rPr>
            </w:pPr>
            <w:r>
              <w:rPr>
                <w:color w:val="auto"/>
              </w:rPr>
              <w:t>严控工矿污染。加强日常环境监管。各地要根据工矿企业分布和污染排放情况，确定土壤环境重点监管企业名单，实行动态更新，并向社会公布。列入名单的企业每年要自行对其用地进行土壤环境监测，结果向社会公开。有关环境保护部门要定期对重点监管企业和工业园区周边开展监测，数据及时上传全国土壤环境信息化管理平台，结果作为环境执法和风险预警的重要依据。</w:t>
            </w:r>
          </w:p>
        </w:tc>
        <w:tc>
          <w:tcPr>
            <w:tcW w:w="1260" w:type="pct"/>
            <w:vAlign w:val="center"/>
          </w:tcPr>
          <w:p>
            <w:pPr>
              <w:pStyle w:val="47"/>
              <w:spacing w:line="240" w:lineRule="auto"/>
              <w:jc w:val="both"/>
              <w:rPr>
                <w:color w:val="auto"/>
              </w:rPr>
            </w:pPr>
            <w:r>
              <w:rPr>
                <w:color w:val="auto"/>
              </w:rPr>
              <w:t>本项目</w:t>
            </w:r>
            <w:r>
              <w:rPr>
                <w:rFonts w:hint="eastAsia"/>
                <w:color w:val="auto"/>
              </w:rPr>
              <w:t>不</w:t>
            </w:r>
            <w:r>
              <w:rPr>
                <w:color w:val="auto"/>
              </w:rPr>
              <w:t>属于土壤环境重点监管企业</w:t>
            </w:r>
            <w:r>
              <w:rPr>
                <w:rFonts w:hint="eastAsia"/>
                <w:color w:val="auto"/>
              </w:rPr>
              <w:t>。</w:t>
            </w:r>
          </w:p>
        </w:tc>
        <w:tc>
          <w:tcPr>
            <w:tcW w:w="549" w:type="pct"/>
            <w:vAlign w:val="center"/>
          </w:tcPr>
          <w:p>
            <w:pPr>
              <w:pStyle w:val="47"/>
              <w:spacing w:line="240" w:lineRule="auto"/>
              <w:rPr>
                <w:color w:val="auto"/>
              </w:rPr>
            </w:pPr>
            <w:r>
              <w:rPr>
                <w:color w:val="auto"/>
              </w:rPr>
              <w:t>符合</w:t>
            </w:r>
          </w:p>
        </w:tc>
      </w:tr>
    </w:tbl>
    <w:p>
      <w:pPr>
        <w:ind w:firstLine="480"/>
        <w:rPr>
          <w:color w:val="auto"/>
        </w:rPr>
      </w:pPr>
      <w:r>
        <w:rPr>
          <w:rFonts w:hint="eastAsia"/>
          <w:color w:val="auto"/>
        </w:rPr>
        <w:t>7、</w:t>
      </w:r>
      <w:r>
        <w:rPr>
          <w:color w:val="auto"/>
        </w:rPr>
        <w:t>与《关于以改善环境质量为核心加强环境影响评价管理的通知》符合性</w:t>
      </w:r>
    </w:p>
    <w:p>
      <w:pPr>
        <w:ind w:firstLine="480"/>
        <w:rPr>
          <w:color w:val="auto"/>
        </w:rPr>
      </w:pPr>
      <w:r>
        <w:rPr>
          <w:rFonts w:hint="eastAsia"/>
          <w:color w:val="auto"/>
        </w:rPr>
        <w:t>拟建项目</w:t>
      </w:r>
      <w:r>
        <w:rPr>
          <w:color w:val="auto"/>
        </w:rPr>
        <w:t>与《关于以改善环境质量为核心加强环境影响评价管理的通知》（环环评[2016]150号）符合性分析见表12.1-</w:t>
      </w:r>
      <w:r>
        <w:rPr>
          <w:rFonts w:hint="eastAsia"/>
          <w:color w:val="auto"/>
        </w:rPr>
        <w:t>7</w:t>
      </w:r>
      <w:r>
        <w:rPr>
          <w:color w:val="auto"/>
        </w:rPr>
        <w:t>。</w:t>
      </w:r>
    </w:p>
    <w:p>
      <w:pPr>
        <w:pStyle w:val="48"/>
        <w:spacing w:line="360" w:lineRule="auto"/>
        <w:rPr>
          <w:b w:val="0"/>
          <w:bCs/>
          <w:color w:val="auto"/>
        </w:rPr>
      </w:pPr>
      <w:r>
        <w:rPr>
          <w:b w:val="0"/>
          <w:bCs/>
          <w:color w:val="auto"/>
        </w:rPr>
        <w:t>表12.1-</w:t>
      </w:r>
      <w:r>
        <w:rPr>
          <w:rFonts w:hint="eastAsia"/>
          <w:b w:val="0"/>
          <w:bCs/>
          <w:color w:val="auto"/>
        </w:rPr>
        <w:t>7</w:t>
      </w:r>
      <w:r>
        <w:rPr>
          <w:b w:val="0"/>
          <w:bCs/>
          <w:color w:val="auto"/>
        </w:rPr>
        <w:t xml:space="preserve">  </w:t>
      </w:r>
      <w:r>
        <w:rPr>
          <w:rFonts w:hint="eastAsia"/>
          <w:b w:val="0"/>
          <w:bCs/>
          <w:color w:val="auto"/>
        </w:rPr>
        <w:t>拟建项目</w:t>
      </w:r>
      <w:r>
        <w:rPr>
          <w:b w:val="0"/>
          <w:bCs/>
          <w:color w:val="auto"/>
        </w:rPr>
        <w:t>与环环评[2016]150号文件符合性</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47"/>
        <w:gridCol w:w="2997"/>
        <w:gridCol w:w="16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01" w:type="pct"/>
            <w:vAlign w:val="center"/>
          </w:tcPr>
          <w:p>
            <w:pPr>
              <w:pStyle w:val="47"/>
              <w:rPr>
                <w:b/>
                <w:color w:val="auto"/>
              </w:rPr>
            </w:pPr>
            <w:r>
              <w:rPr>
                <w:b/>
                <w:color w:val="auto"/>
              </w:rPr>
              <w:t>文件要求</w:t>
            </w:r>
          </w:p>
        </w:tc>
        <w:tc>
          <w:tcPr>
            <w:tcW w:w="1613" w:type="pct"/>
            <w:vAlign w:val="center"/>
          </w:tcPr>
          <w:p>
            <w:pPr>
              <w:pStyle w:val="47"/>
              <w:rPr>
                <w:b/>
                <w:color w:val="auto"/>
              </w:rPr>
            </w:pPr>
            <w:r>
              <w:rPr>
                <w:b/>
                <w:color w:val="auto"/>
              </w:rPr>
              <w:t>项目情况</w:t>
            </w:r>
          </w:p>
        </w:tc>
        <w:tc>
          <w:tcPr>
            <w:tcW w:w="885" w:type="pct"/>
            <w:vAlign w:val="center"/>
          </w:tcPr>
          <w:p>
            <w:pPr>
              <w:pStyle w:val="47"/>
              <w:rPr>
                <w:b/>
                <w:color w:val="auto"/>
              </w:rPr>
            </w:pPr>
            <w:r>
              <w:rPr>
                <w:b/>
                <w:color w:val="auto"/>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01" w:type="pct"/>
            <w:vAlign w:val="center"/>
          </w:tcPr>
          <w:p>
            <w:pPr>
              <w:pStyle w:val="47"/>
              <w:spacing w:line="240" w:lineRule="auto"/>
              <w:jc w:val="both"/>
              <w:rPr>
                <w:color w:val="auto"/>
              </w:rPr>
            </w:pPr>
            <w:r>
              <w:rPr>
                <w:color w:val="auto"/>
              </w:rPr>
              <w:t>（一）生态保护红线是生态空间范围内具有特殊重要生态功能必须实行强制性严格保护的区域。相关规划环评应将生态空间管控作为重要内容，规划区域涉及生态保护红线的，在规划环评结论和审查意见中应落实生态保护红线的管理要求，提出相应对策措施。在生态保护红线范围内，严控各类开发建设活动，依法不予审批新建工业项目和矿产开发项目的环评文件。</w:t>
            </w:r>
          </w:p>
        </w:tc>
        <w:tc>
          <w:tcPr>
            <w:tcW w:w="1613" w:type="pct"/>
            <w:vAlign w:val="center"/>
          </w:tcPr>
          <w:p>
            <w:pPr>
              <w:pStyle w:val="47"/>
              <w:spacing w:line="240" w:lineRule="auto"/>
              <w:jc w:val="both"/>
              <w:rPr>
                <w:rFonts w:hint="eastAsia" w:eastAsia="宋体"/>
                <w:color w:val="auto"/>
                <w:lang w:eastAsia="zh-CN"/>
              </w:rPr>
            </w:pPr>
            <w:r>
              <w:rPr>
                <w:color w:val="auto"/>
              </w:rPr>
              <w:t>项目不位于生态保护红线范围内</w:t>
            </w:r>
            <w:r>
              <w:rPr>
                <w:rFonts w:hint="eastAsia"/>
                <w:color w:val="auto"/>
                <w:lang w:eastAsia="zh-CN"/>
              </w:rPr>
              <w:t>，</w:t>
            </w:r>
            <w:r>
              <w:rPr>
                <w:rFonts w:hint="eastAsia"/>
                <w:color w:val="auto"/>
                <w:szCs w:val="24"/>
              </w:rPr>
              <w:t>与本项目最近的生态红线区域为</w:t>
            </w:r>
            <w:r>
              <w:rPr>
                <w:color w:val="auto"/>
              </w:rPr>
              <w:t>四宝山以西生物多样性维护生态保护红线区</w:t>
            </w:r>
            <w:r>
              <w:rPr>
                <w:rFonts w:hint="eastAsia"/>
                <w:color w:val="auto"/>
              </w:rPr>
              <w:t>（SD-03-B4-03），位于本项目东南侧8600m处，本项目不在山东省生态保护红线范围内。</w:t>
            </w:r>
          </w:p>
        </w:tc>
        <w:tc>
          <w:tcPr>
            <w:tcW w:w="885" w:type="pct"/>
            <w:vAlign w:val="center"/>
          </w:tcPr>
          <w:p>
            <w:pPr>
              <w:pStyle w:val="47"/>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01" w:type="pct"/>
            <w:vAlign w:val="center"/>
          </w:tcPr>
          <w:p>
            <w:pPr>
              <w:pStyle w:val="47"/>
              <w:spacing w:line="240" w:lineRule="auto"/>
              <w:jc w:val="both"/>
              <w:rPr>
                <w:color w:val="auto"/>
              </w:rPr>
            </w:pPr>
            <w:r>
              <w:rPr>
                <w:color w:val="auto"/>
              </w:rPr>
              <w:t>（二）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tc>
        <w:tc>
          <w:tcPr>
            <w:tcW w:w="1613" w:type="pct"/>
            <w:vAlign w:val="center"/>
          </w:tcPr>
          <w:p>
            <w:pPr>
              <w:pStyle w:val="47"/>
              <w:spacing w:line="240" w:lineRule="auto"/>
              <w:jc w:val="both"/>
              <w:rPr>
                <w:color w:val="auto"/>
              </w:rPr>
            </w:pPr>
            <w:r>
              <w:rPr>
                <w:color w:val="auto"/>
              </w:rPr>
              <w:t>环评分析预测了项目建设对环境质量的影响，强化污染防治措施和污染物排放控制要求</w:t>
            </w:r>
            <w:r>
              <w:rPr>
                <w:rFonts w:hint="eastAsia"/>
                <w:color w:val="auto"/>
              </w:rPr>
              <w:t>，不会突破环境质量底线。</w:t>
            </w:r>
          </w:p>
        </w:tc>
        <w:tc>
          <w:tcPr>
            <w:tcW w:w="885" w:type="pct"/>
            <w:vAlign w:val="center"/>
          </w:tcPr>
          <w:p>
            <w:pPr>
              <w:pStyle w:val="47"/>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01" w:type="pct"/>
            <w:vAlign w:val="center"/>
          </w:tcPr>
          <w:p>
            <w:pPr>
              <w:pStyle w:val="47"/>
              <w:spacing w:line="240" w:lineRule="auto"/>
              <w:jc w:val="both"/>
              <w:rPr>
                <w:color w:val="auto"/>
              </w:rPr>
            </w:pPr>
            <w:r>
              <w:rPr>
                <w:color w:val="auto"/>
              </w:rPr>
              <w:t>（三）资源是环境的载体，资源利用上线是各地区能源、水、土地等资源消耗不得突破的“天花板”。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tc>
        <w:tc>
          <w:tcPr>
            <w:tcW w:w="1613" w:type="pct"/>
            <w:vAlign w:val="center"/>
          </w:tcPr>
          <w:p>
            <w:pPr>
              <w:snapToGrid w:val="0"/>
              <w:spacing w:line="312" w:lineRule="exact"/>
              <w:ind w:firstLine="0" w:firstLineChars="0"/>
              <w:rPr>
                <w:color w:val="auto"/>
              </w:rPr>
            </w:pPr>
            <w:r>
              <w:rPr>
                <w:color w:val="auto"/>
                <w:sz w:val="21"/>
              </w:rPr>
              <w:t>本项目所用资源主要为水、电。项目资源利用量相对于区域资源利用总量较少，符合资源利用上线的要求。</w:t>
            </w:r>
          </w:p>
        </w:tc>
        <w:tc>
          <w:tcPr>
            <w:tcW w:w="885" w:type="pct"/>
            <w:vAlign w:val="center"/>
          </w:tcPr>
          <w:p>
            <w:pPr>
              <w:pStyle w:val="47"/>
              <w:rPr>
                <w:rFonts w:hint="eastAsia" w:eastAsia="宋体"/>
                <w:color w:val="auto"/>
                <w:lang w:eastAsia="zh-CN"/>
              </w:rPr>
            </w:pPr>
            <w:r>
              <w:rPr>
                <w:rFonts w:hint="eastAsia"/>
                <w:color w:val="auto"/>
                <w:lang w:val="en-US" w:eastAsia="zh-CN"/>
              </w:rPr>
              <w:t>符合</w:t>
            </w:r>
          </w:p>
        </w:tc>
      </w:tr>
    </w:tbl>
    <w:p>
      <w:pPr>
        <w:ind w:firstLine="480"/>
        <w:rPr>
          <w:color w:val="auto"/>
        </w:rPr>
      </w:pPr>
      <w:r>
        <w:rPr>
          <w:rFonts w:hint="eastAsia"/>
          <w:color w:val="auto"/>
        </w:rPr>
        <w:t>8、</w:t>
      </w:r>
      <w:r>
        <w:rPr>
          <w:color w:val="auto"/>
        </w:rPr>
        <w:t>与《山东省新一轮“四减四增”三年行动方案（2021</w:t>
      </w:r>
      <w:r>
        <w:rPr>
          <w:rFonts w:hint="eastAsia"/>
          <w:color w:val="auto"/>
        </w:rPr>
        <w:t>-</w:t>
      </w:r>
      <w:r>
        <w:rPr>
          <w:color w:val="auto"/>
        </w:rPr>
        <w:t>2023年）》符合性</w:t>
      </w:r>
    </w:p>
    <w:p>
      <w:pPr>
        <w:ind w:firstLine="480"/>
        <w:rPr>
          <w:color w:val="auto"/>
        </w:rPr>
      </w:pPr>
      <w:r>
        <w:rPr>
          <w:rFonts w:hint="eastAsia"/>
          <w:color w:val="auto"/>
        </w:rPr>
        <w:t>拟建项目</w:t>
      </w:r>
      <w:r>
        <w:rPr>
          <w:color w:val="auto"/>
        </w:rPr>
        <w:t>与《山东省新一轮“四减四增”三年行动方案（2021-2023年）》符合性分析见表12.1-</w:t>
      </w:r>
      <w:r>
        <w:rPr>
          <w:rFonts w:hint="eastAsia"/>
          <w:color w:val="auto"/>
        </w:rPr>
        <w:t>8</w:t>
      </w:r>
      <w:r>
        <w:rPr>
          <w:color w:val="auto"/>
        </w:rPr>
        <w:t>。</w:t>
      </w:r>
    </w:p>
    <w:p>
      <w:pPr>
        <w:pStyle w:val="48"/>
        <w:spacing w:line="360" w:lineRule="auto"/>
        <w:rPr>
          <w:b w:val="0"/>
          <w:bCs/>
          <w:color w:val="auto"/>
        </w:rPr>
      </w:pPr>
      <w:r>
        <w:rPr>
          <w:b w:val="0"/>
          <w:bCs/>
          <w:color w:val="auto"/>
        </w:rPr>
        <w:t>表12.1-</w:t>
      </w:r>
      <w:r>
        <w:rPr>
          <w:rFonts w:hint="eastAsia"/>
          <w:b w:val="0"/>
          <w:bCs/>
          <w:color w:val="auto"/>
        </w:rPr>
        <w:t>8</w:t>
      </w:r>
      <w:r>
        <w:rPr>
          <w:b w:val="0"/>
          <w:bCs/>
          <w:color w:val="auto"/>
        </w:rPr>
        <w:t xml:space="preserve"> </w:t>
      </w:r>
      <w:r>
        <w:rPr>
          <w:rFonts w:hint="eastAsia"/>
          <w:b w:val="0"/>
          <w:bCs/>
          <w:color w:val="auto"/>
        </w:rPr>
        <w:t>拟建项目</w:t>
      </w:r>
      <w:r>
        <w:rPr>
          <w:b w:val="0"/>
          <w:bCs/>
          <w:color w:val="auto"/>
        </w:rPr>
        <w:t>与《山东省新一轮“四减四增”三年行动方案（2021-2023年）》符合性</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7"/>
        <w:gridCol w:w="1702"/>
        <w:gridCol w:w="3548"/>
        <w:gridCol w:w="1957"/>
        <w:gridCol w:w="11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31" w:type="pct"/>
            <w:gridSpan w:val="2"/>
            <w:vAlign w:val="center"/>
          </w:tcPr>
          <w:p>
            <w:pPr>
              <w:pStyle w:val="47"/>
              <w:spacing w:line="240" w:lineRule="auto"/>
              <w:rPr>
                <w:b/>
                <w:color w:val="auto"/>
                <w:szCs w:val="21"/>
              </w:rPr>
            </w:pPr>
            <w:r>
              <w:rPr>
                <w:b/>
                <w:color w:val="auto"/>
                <w:szCs w:val="21"/>
              </w:rPr>
              <w:t>分类</w:t>
            </w:r>
          </w:p>
        </w:tc>
        <w:tc>
          <w:tcPr>
            <w:tcW w:w="1909" w:type="pct"/>
            <w:vAlign w:val="center"/>
          </w:tcPr>
          <w:p>
            <w:pPr>
              <w:pStyle w:val="47"/>
              <w:spacing w:line="240" w:lineRule="auto"/>
              <w:rPr>
                <w:b/>
                <w:color w:val="auto"/>
                <w:szCs w:val="21"/>
              </w:rPr>
            </w:pPr>
            <w:r>
              <w:rPr>
                <w:b/>
                <w:color w:val="auto"/>
                <w:szCs w:val="21"/>
              </w:rPr>
              <w:t>方案要求</w:t>
            </w:r>
          </w:p>
        </w:tc>
        <w:tc>
          <w:tcPr>
            <w:tcW w:w="1053" w:type="pct"/>
            <w:vAlign w:val="center"/>
          </w:tcPr>
          <w:p>
            <w:pPr>
              <w:pStyle w:val="47"/>
              <w:spacing w:line="240" w:lineRule="auto"/>
              <w:rPr>
                <w:b/>
                <w:color w:val="auto"/>
                <w:szCs w:val="21"/>
              </w:rPr>
            </w:pPr>
            <w:r>
              <w:rPr>
                <w:b/>
                <w:color w:val="auto"/>
                <w:szCs w:val="21"/>
              </w:rPr>
              <w:t>项目情况</w:t>
            </w:r>
          </w:p>
        </w:tc>
        <w:tc>
          <w:tcPr>
            <w:tcW w:w="605" w:type="pct"/>
            <w:vAlign w:val="center"/>
          </w:tcPr>
          <w:p>
            <w:pPr>
              <w:pStyle w:val="47"/>
              <w:spacing w:line="240" w:lineRule="auto"/>
              <w:rPr>
                <w:b/>
                <w:color w:val="auto"/>
                <w:szCs w:val="21"/>
              </w:rPr>
            </w:pPr>
            <w:r>
              <w:rPr>
                <w:b/>
                <w:color w:val="auto"/>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15" w:type="pct"/>
            <w:vMerge w:val="restart"/>
            <w:vAlign w:val="center"/>
          </w:tcPr>
          <w:p>
            <w:pPr>
              <w:pStyle w:val="47"/>
              <w:spacing w:line="240" w:lineRule="auto"/>
              <w:rPr>
                <w:color w:val="auto"/>
                <w:szCs w:val="21"/>
              </w:rPr>
            </w:pPr>
            <w:r>
              <w:rPr>
                <w:color w:val="auto"/>
                <w:szCs w:val="21"/>
              </w:rPr>
              <w:t>二、调整产业结构</w:t>
            </w:r>
          </w:p>
        </w:tc>
        <w:tc>
          <w:tcPr>
            <w:tcW w:w="916" w:type="pct"/>
            <w:vMerge w:val="restart"/>
            <w:vAlign w:val="center"/>
          </w:tcPr>
          <w:p>
            <w:pPr>
              <w:pStyle w:val="47"/>
              <w:spacing w:line="240" w:lineRule="auto"/>
              <w:rPr>
                <w:color w:val="auto"/>
                <w:szCs w:val="21"/>
              </w:rPr>
            </w:pPr>
            <w:r>
              <w:rPr>
                <w:color w:val="auto"/>
                <w:szCs w:val="21"/>
              </w:rPr>
              <w:t>（三）淘汰低效落后产能</w:t>
            </w:r>
          </w:p>
        </w:tc>
        <w:tc>
          <w:tcPr>
            <w:tcW w:w="1909" w:type="pct"/>
            <w:vAlign w:val="center"/>
          </w:tcPr>
          <w:p>
            <w:pPr>
              <w:pStyle w:val="47"/>
              <w:spacing w:line="240" w:lineRule="auto"/>
              <w:jc w:val="both"/>
              <w:rPr>
                <w:color w:val="auto"/>
                <w:szCs w:val="21"/>
              </w:rPr>
            </w:pPr>
            <w:r>
              <w:rPr>
                <w:color w:val="auto"/>
                <w:szCs w:val="21"/>
              </w:rPr>
              <w:t>依据安全、环保、技术、能耗、效益标准，以钢铁、地炼、焦化、煤电、水泥、轮胎、煤炭、化工等行业为重点，分类组织实施转移、压减、整合、关停任务，加快淘汰低效落后产能。</w:t>
            </w:r>
          </w:p>
        </w:tc>
        <w:tc>
          <w:tcPr>
            <w:tcW w:w="1053" w:type="pct"/>
            <w:vAlign w:val="center"/>
          </w:tcPr>
          <w:p>
            <w:pPr>
              <w:pStyle w:val="47"/>
              <w:spacing w:line="240" w:lineRule="auto"/>
              <w:jc w:val="both"/>
              <w:rPr>
                <w:rFonts w:hint="default" w:eastAsia="宋体"/>
                <w:color w:val="auto"/>
                <w:szCs w:val="21"/>
                <w:lang w:val="en-US" w:eastAsia="zh-CN"/>
              </w:rPr>
            </w:pPr>
            <w:r>
              <w:rPr>
                <w:rFonts w:hint="eastAsia"/>
                <w:color w:val="auto"/>
                <w:szCs w:val="21"/>
              </w:rPr>
              <w:t>本项目为化学纤维制造业，</w:t>
            </w:r>
            <w:r>
              <w:rPr>
                <w:color w:val="auto"/>
                <w:szCs w:val="21"/>
              </w:rPr>
              <w:t>不属于所列行业</w:t>
            </w:r>
            <w:r>
              <w:rPr>
                <w:rFonts w:hint="eastAsia"/>
                <w:color w:val="auto"/>
                <w:szCs w:val="21"/>
                <w:lang w:eastAsia="zh-CN"/>
              </w:rPr>
              <w:t>，</w:t>
            </w:r>
            <w:r>
              <w:rPr>
                <w:rFonts w:hint="eastAsia"/>
                <w:color w:val="auto"/>
                <w:szCs w:val="21"/>
                <w:lang w:val="en-US" w:eastAsia="zh-CN"/>
              </w:rPr>
              <w:t>且不属于低效落后产能</w:t>
            </w:r>
          </w:p>
        </w:tc>
        <w:tc>
          <w:tcPr>
            <w:tcW w:w="605" w:type="pct"/>
            <w:vAlign w:val="center"/>
          </w:tcPr>
          <w:p>
            <w:pPr>
              <w:pStyle w:val="47"/>
              <w:spacing w:line="240" w:lineRule="auto"/>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15" w:type="pct"/>
            <w:vMerge w:val="continue"/>
            <w:vAlign w:val="center"/>
          </w:tcPr>
          <w:p>
            <w:pPr>
              <w:pStyle w:val="47"/>
              <w:spacing w:line="240" w:lineRule="auto"/>
              <w:rPr>
                <w:color w:val="auto"/>
                <w:szCs w:val="21"/>
              </w:rPr>
            </w:pPr>
          </w:p>
        </w:tc>
        <w:tc>
          <w:tcPr>
            <w:tcW w:w="916" w:type="pct"/>
            <w:vMerge w:val="continue"/>
            <w:vAlign w:val="center"/>
          </w:tcPr>
          <w:p>
            <w:pPr>
              <w:pStyle w:val="47"/>
              <w:spacing w:line="240" w:lineRule="auto"/>
              <w:rPr>
                <w:color w:val="auto"/>
                <w:szCs w:val="21"/>
              </w:rPr>
            </w:pPr>
          </w:p>
        </w:tc>
        <w:tc>
          <w:tcPr>
            <w:tcW w:w="1909" w:type="pct"/>
            <w:vAlign w:val="center"/>
          </w:tcPr>
          <w:p>
            <w:pPr>
              <w:pStyle w:val="47"/>
              <w:spacing w:line="240" w:lineRule="auto"/>
              <w:jc w:val="both"/>
              <w:rPr>
                <w:color w:val="auto"/>
                <w:szCs w:val="21"/>
              </w:rPr>
            </w:pPr>
            <w:r>
              <w:rPr>
                <w:color w:val="auto"/>
                <w:szCs w:val="21"/>
              </w:rPr>
              <w:t>实施“散乱污”企业动态清零，按照“发现一起、处置一起”的原则，实施分类整治。各市要制定实施方案，重点围绕再生橡胶、废旧塑料再生、砖瓦、石灰、石膏等行业，对生产工艺装备进行筛查，按照有关法律法规和程序要求，推动低效落后产能退出。</w:t>
            </w:r>
          </w:p>
        </w:tc>
        <w:tc>
          <w:tcPr>
            <w:tcW w:w="1053" w:type="pct"/>
            <w:vAlign w:val="center"/>
          </w:tcPr>
          <w:p>
            <w:pPr>
              <w:pStyle w:val="47"/>
              <w:spacing w:line="240" w:lineRule="auto"/>
              <w:jc w:val="both"/>
              <w:rPr>
                <w:color w:val="auto"/>
                <w:szCs w:val="21"/>
              </w:rPr>
            </w:pPr>
            <w:r>
              <w:rPr>
                <w:rFonts w:hint="eastAsia"/>
                <w:color w:val="auto"/>
                <w:szCs w:val="21"/>
              </w:rPr>
              <w:t>本项目生产工艺</w:t>
            </w:r>
            <w:r>
              <w:rPr>
                <w:color w:val="auto"/>
                <w:szCs w:val="21"/>
              </w:rPr>
              <w:t>不属于淘汰工艺</w:t>
            </w:r>
            <w:r>
              <w:rPr>
                <w:rFonts w:hint="eastAsia"/>
                <w:color w:val="auto"/>
                <w:szCs w:val="21"/>
              </w:rPr>
              <w:t>，不属于</w:t>
            </w:r>
            <w:r>
              <w:rPr>
                <w:color w:val="auto"/>
                <w:szCs w:val="21"/>
              </w:rPr>
              <w:t>“散乱污”企业</w:t>
            </w:r>
          </w:p>
        </w:tc>
        <w:tc>
          <w:tcPr>
            <w:tcW w:w="605" w:type="pct"/>
            <w:vAlign w:val="center"/>
          </w:tcPr>
          <w:p>
            <w:pPr>
              <w:pStyle w:val="47"/>
              <w:spacing w:line="240" w:lineRule="auto"/>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15" w:type="pct"/>
            <w:vMerge w:val="continue"/>
            <w:vAlign w:val="center"/>
          </w:tcPr>
          <w:p>
            <w:pPr>
              <w:pStyle w:val="47"/>
              <w:spacing w:line="240" w:lineRule="auto"/>
              <w:rPr>
                <w:color w:val="auto"/>
                <w:szCs w:val="21"/>
              </w:rPr>
            </w:pPr>
          </w:p>
        </w:tc>
        <w:tc>
          <w:tcPr>
            <w:tcW w:w="916" w:type="pct"/>
            <w:vAlign w:val="center"/>
          </w:tcPr>
          <w:p>
            <w:pPr>
              <w:pStyle w:val="47"/>
              <w:spacing w:line="240" w:lineRule="auto"/>
              <w:rPr>
                <w:color w:val="auto"/>
                <w:szCs w:val="21"/>
              </w:rPr>
            </w:pPr>
            <w:r>
              <w:rPr>
                <w:color w:val="auto"/>
                <w:szCs w:val="21"/>
              </w:rPr>
              <w:t>（四）严控重点行业新增产能</w:t>
            </w:r>
          </w:p>
        </w:tc>
        <w:tc>
          <w:tcPr>
            <w:tcW w:w="1909" w:type="pct"/>
            <w:vAlign w:val="center"/>
          </w:tcPr>
          <w:p>
            <w:pPr>
              <w:pStyle w:val="47"/>
              <w:spacing w:line="240" w:lineRule="auto"/>
              <w:jc w:val="both"/>
              <w:rPr>
                <w:color w:val="auto"/>
                <w:szCs w:val="21"/>
              </w:rPr>
            </w:pPr>
            <w:r>
              <w:rPr>
                <w:color w:val="auto"/>
                <w:szCs w:val="21"/>
              </w:rPr>
              <w:t>重大项目建设，必须首先满足环境质量“只能更好，不能变坏”的底线，严格落实污染物排放“减量替代是原则，等量替代是例外”的总量控制刚性要求。按照国家相关产业政策，深入实施“四上四压”，坚持“上新压旧”“上大压小”“上高压低”“上整压散”。对钢铁、地炼、焦化、煤电、电解铝、水泥、轮胎、平板玻璃等重点行业实施产能总量控制，严格执行产能置换要求，确保产能总量只减不增。严格执行国家煤化工、铁合金等行业产能控制或产能置换办法。“两高”项目建设做到产能减量、能耗减量、煤炭减量、碳排放减量和常规污染物减量等“五个减量”，新建项目要按照规定实施减量替代，不符合要求的高耗能、高排放项目要坚决拿下来。</w:t>
            </w:r>
          </w:p>
        </w:tc>
        <w:tc>
          <w:tcPr>
            <w:tcW w:w="1053" w:type="pct"/>
            <w:vAlign w:val="center"/>
          </w:tcPr>
          <w:p>
            <w:pPr>
              <w:pStyle w:val="47"/>
              <w:spacing w:line="240" w:lineRule="auto"/>
              <w:jc w:val="both"/>
              <w:rPr>
                <w:color w:val="auto"/>
                <w:szCs w:val="21"/>
              </w:rPr>
            </w:pPr>
            <w:r>
              <w:rPr>
                <w:rFonts w:hint="eastAsia"/>
                <w:color w:val="auto"/>
                <w:szCs w:val="21"/>
              </w:rPr>
              <w:t>本项目为化学纤维制造业，</w:t>
            </w:r>
            <w:r>
              <w:rPr>
                <w:color w:val="auto"/>
                <w:szCs w:val="21"/>
              </w:rPr>
              <w:t>不属于所列</w:t>
            </w:r>
            <w:r>
              <w:rPr>
                <w:rFonts w:hint="eastAsia"/>
                <w:color w:val="auto"/>
                <w:szCs w:val="21"/>
              </w:rPr>
              <w:t>重点</w:t>
            </w:r>
            <w:r>
              <w:rPr>
                <w:color w:val="auto"/>
                <w:szCs w:val="21"/>
              </w:rPr>
              <w:t>行业</w:t>
            </w:r>
            <w:r>
              <w:rPr>
                <w:rFonts w:hint="eastAsia"/>
                <w:color w:val="auto"/>
                <w:szCs w:val="21"/>
              </w:rPr>
              <w:t>，也不属于“两高”项目</w:t>
            </w:r>
          </w:p>
        </w:tc>
        <w:tc>
          <w:tcPr>
            <w:tcW w:w="605" w:type="pct"/>
            <w:vAlign w:val="center"/>
          </w:tcPr>
          <w:p>
            <w:pPr>
              <w:pStyle w:val="47"/>
              <w:spacing w:line="240" w:lineRule="auto"/>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15" w:type="pct"/>
            <w:vMerge w:val="continue"/>
            <w:vAlign w:val="center"/>
          </w:tcPr>
          <w:p>
            <w:pPr>
              <w:pStyle w:val="47"/>
              <w:spacing w:line="240" w:lineRule="auto"/>
              <w:rPr>
                <w:color w:val="auto"/>
                <w:szCs w:val="21"/>
              </w:rPr>
            </w:pPr>
          </w:p>
        </w:tc>
        <w:tc>
          <w:tcPr>
            <w:tcW w:w="916" w:type="pct"/>
            <w:vAlign w:val="center"/>
          </w:tcPr>
          <w:p>
            <w:pPr>
              <w:pStyle w:val="47"/>
              <w:spacing w:line="240" w:lineRule="auto"/>
              <w:rPr>
                <w:color w:val="auto"/>
                <w:szCs w:val="21"/>
              </w:rPr>
            </w:pPr>
            <w:r>
              <w:rPr>
                <w:color w:val="auto"/>
                <w:szCs w:val="21"/>
              </w:rPr>
              <w:t>（五）推动绿色循环低碳改造</w:t>
            </w:r>
          </w:p>
        </w:tc>
        <w:tc>
          <w:tcPr>
            <w:tcW w:w="1909" w:type="pct"/>
            <w:vAlign w:val="center"/>
          </w:tcPr>
          <w:p>
            <w:pPr>
              <w:pStyle w:val="47"/>
              <w:spacing w:line="240" w:lineRule="auto"/>
              <w:jc w:val="both"/>
              <w:rPr>
                <w:color w:val="auto"/>
                <w:szCs w:val="21"/>
              </w:rPr>
            </w:pPr>
            <w:r>
              <w:rPr>
                <w:color w:val="auto"/>
                <w:szCs w:val="21"/>
              </w:rPr>
              <w:t>对人口密集、资源开发强度大、污染物排放强度高的区域实施重点管控，推进产业布局优化、转型升级。将“三线一单”作为综合决策的前提条件，加强在政策制定、环境准入、园区管理、执法监管等方面的应用，作为区域资源开发、产业布局和结构调整、城镇建设、重大项目选址和审批的重要依据。</w:t>
            </w:r>
          </w:p>
        </w:tc>
        <w:tc>
          <w:tcPr>
            <w:tcW w:w="1053" w:type="pct"/>
            <w:vAlign w:val="center"/>
          </w:tcPr>
          <w:p>
            <w:pPr>
              <w:pStyle w:val="47"/>
              <w:spacing w:line="240" w:lineRule="auto"/>
              <w:jc w:val="both"/>
              <w:rPr>
                <w:color w:val="auto"/>
                <w:szCs w:val="21"/>
              </w:rPr>
            </w:pPr>
            <w:r>
              <w:rPr>
                <w:rFonts w:hint="eastAsia"/>
                <w:color w:val="auto"/>
                <w:szCs w:val="21"/>
              </w:rPr>
              <w:t>本项目不属于“两高”项目，项目位于淄博科技工业园，符合园区产业布局，满足</w:t>
            </w:r>
            <w:r>
              <w:rPr>
                <w:color w:val="auto"/>
                <w:szCs w:val="21"/>
              </w:rPr>
              <w:t>“三线一单”</w:t>
            </w:r>
            <w:r>
              <w:rPr>
                <w:rFonts w:hint="eastAsia"/>
                <w:color w:val="auto"/>
                <w:szCs w:val="21"/>
              </w:rPr>
              <w:t>要求</w:t>
            </w:r>
          </w:p>
        </w:tc>
        <w:tc>
          <w:tcPr>
            <w:tcW w:w="605" w:type="pct"/>
            <w:vAlign w:val="center"/>
          </w:tcPr>
          <w:p>
            <w:pPr>
              <w:pStyle w:val="47"/>
              <w:spacing w:line="240" w:lineRule="auto"/>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515" w:type="pct"/>
            <w:vMerge w:val="restart"/>
            <w:vAlign w:val="center"/>
          </w:tcPr>
          <w:p>
            <w:pPr>
              <w:pStyle w:val="2"/>
              <w:spacing w:line="240" w:lineRule="auto"/>
              <w:ind w:firstLine="0" w:firstLineChars="0"/>
              <w:jc w:val="center"/>
              <w:rPr>
                <w:color w:val="auto"/>
                <w:sz w:val="21"/>
                <w:szCs w:val="21"/>
              </w:rPr>
            </w:pPr>
            <w:r>
              <w:rPr>
                <w:color w:val="auto"/>
                <w:sz w:val="21"/>
                <w:szCs w:val="21"/>
              </w:rPr>
              <w:t>三、深入调整能源结构</w:t>
            </w:r>
          </w:p>
        </w:tc>
        <w:tc>
          <w:tcPr>
            <w:tcW w:w="916" w:type="pct"/>
            <w:vAlign w:val="center"/>
          </w:tcPr>
          <w:p>
            <w:pPr>
              <w:pStyle w:val="47"/>
              <w:spacing w:line="240" w:lineRule="auto"/>
              <w:rPr>
                <w:color w:val="auto"/>
                <w:szCs w:val="21"/>
              </w:rPr>
            </w:pPr>
            <w:r>
              <w:rPr>
                <w:color w:val="auto"/>
                <w:szCs w:val="21"/>
              </w:rPr>
              <w:t>（七）严控化石能源消费</w:t>
            </w:r>
          </w:p>
        </w:tc>
        <w:tc>
          <w:tcPr>
            <w:tcW w:w="1909" w:type="pct"/>
            <w:vAlign w:val="center"/>
          </w:tcPr>
          <w:p>
            <w:pPr>
              <w:pStyle w:val="47"/>
              <w:spacing w:line="240" w:lineRule="auto"/>
              <w:jc w:val="both"/>
              <w:rPr>
                <w:color w:val="auto"/>
                <w:szCs w:val="21"/>
              </w:rPr>
            </w:pPr>
            <w:r>
              <w:rPr>
                <w:color w:val="auto"/>
                <w:szCs w:val="21"/>
              </w:rPr>
              <w:t>严控能源消费总量，在满足全社会能源需求的前提下，持续推进煤炭消费压减，增加清洁能源供给，加大清洁能源替代力度，进一步控制化石能源消费，逐步实现新增能源需求主要由清洁能源供给。</w:t>
            </w:r>
          </w:p>
        </w:tc>
        <w:tc>
          <w:tcPr>
            <w:tcW w:w="1053" w:type="pct"/>
            <w:vAlign w:val="center"/>
          </w:tcPr>
          <w:p>
            <w:pPr>
              <w:pStyle w:val="47"/>
              <w:spacing w:line="240" w:lineRule="auto"/>
              <w:jc w:val="both"/>
              <w:rPr>
                <w:color w:val="auto"/>
                <w:szCs w:val="21"/>
              </w:rPr>
            </w:pPr>
            <w:r>
              <w:rPr>
                <w:rFonts w:hint="eastAsia"/>
                <w:color w:val="auto"/>
                <w:szCs w:val="21"/>
              </w:rPr>
              <w:t>本</w:t>
            </w:r>
            <w:r>
              <w:rPr>
                <w:color w:val="auto"/>
                <w:szCs w:val="21"/>
              </w:rPr>
              <w:t>项目使用清洁能源天然气</w:t>
            </w:r>
            <w:r>
              <w:rPr>
                <w:rFonts w:hint="eastAsia"/>
                <w:color w:val="auto"/>
                <w:szCs w:val="21"/>
              </w:rPr>
              <w:t>，不消耗煤炭</w:t>
            </w:r>
          </w:p>
        </w:tc>
        <w:tc>
          <w:tcPr>
            <w:tcW w:w="605" w:type="pct"/>
            <w:vAlign w:val="center"/>
          </w:tcPr>
          <w:p>
            <w:pPr>
              <w:pStyle w:val="47"/>
              <w:spacing w:line="240" w:lineRule="auto"/>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515" w:type="pct"/>
            <w:vMerge w:val="continue"/>
            <w:vAlign w:val="center"/>
          </w:tcPr>
          <w:p>
            <w:pPr>
              <w:pStyle w:val="2"/>
              <w:spacing w:line="240" w:lineRule="auto"/>
              <w:ind w:firstLine="0" w:firstLineChars="0"/>
              <w:jc w:val="center"/>
              <w:rPr>
                <w:color w:val="auto"/>
                <w:sz w:val="21"/>
                <w:szCs w:val="21"/>
              </w:rPr>
            </w:pPr>
          </w:p>
        </w:tc>
        <w:tc>
          <w:tcPr>
            <w:tcW w:w="916" w:type="pct"/>
            <w:vAlign w:val="center"/>
          </w:tcPr>
          <w:p>
            <w:pPr>
              <w:pStyle w:val="47"/>
              <w:spacing w:line="240" w:lineRule="auto"/>
              <w:rPr>
                <w:color w:val="auto"/>
                <w:szCs w:val="21"/>
              </w:rPr>
            </w:pPr>
            <w:r>
              <w:rPr>
                <w:color w:val="auto"/>
                <w:szCs w:val="21"/>
              </w:rPr>
              <w:t>（八）持续压减煤炭使用</w:t>
            </w:r>
          </w:p>
        </w:tc>
        <w:tc>
          <w:tcPr>
            <w:tcW w:w="1909" w:type="pct"/>
            <w:vAlign w:val="center"/>
          </w:tcPr>
          <w:p>
            <w:pPr>
              <w:pStyle w:val="47"/>
              <w:spacing w:line="240" w:lineRule="auto"/>
              <w:jc w:val="both"/>
              <w:rPr>
                <w:color w:val="auto"/>
                <w:szCs w:val="21"/>
              </w:rPr>
            </w:pPr>
            <w:r>
              <w:rPr>
                <w:color w:val="auto"/>
                <w:szCs w:val="21"/>
              </w:rPr>
              <w:t>持续淘汰落后燃煤机组，在确保电力、热力接续稳定供应的前提下，大力推进单机容量30万千瓦以下煤电机组关停整合，严格按照减容量“上大压小”政策规划建设清洁高效煤电机组。</w:t>
            </w:r>
          </w:p>
        </w:tc>
        <w:tc>
          <w:tcPr>
            <w:tcW w:w="1053" w:type="pct"/>
            <w:vAlign w:val="center"/>
          </w:tcPr>
          <w:p>
            <w:pPr>
              <w:pStyle w:val="47"/>
              <w:spacing w:line="240" w:lineRule="auto"/>
              <w:jc w:val="both"/>
              <w:rPr>
                <w:color w:val="auto"/>
                <w:szCs w:val="21"/>
              </w:rPr>
            </w:pPr>
            <w:r>
              <w:rPr>
                <w:rFonts w:hint="eastAsia"/>
                <w:color w:val="auto"/>
                <w:szCs w:val="21"/>
              </w:rPr>
              <w:t>本</w:t>
            </w:r>
            <w:r>
              <w:rPr>
                <w:color w:val="auto"/>
                <w:szCs w:val="21"/>
              </w:rPr>
              <w:t>项目使用清洁能源天然气</w:t>
            </w:r>
            <w:r>
              <w:rPr>
                <w:rFonts w:hint="eastAsia"/>
                <w:color w:val="auto"/>
                <w:szCs w:val="21"/>
              </w:rPr>
              <w:t>，不涉及燃煤锅炉</w:t>
            </w:r>
          </w:p>
        </w:tc>
        <w:tc>
          <w:tcPr>
            <w:tcW w:w="605" w:type="pct"/>
            <w:vAlign w:val="center"/>
          </w:tcPr>
          <w:p>
            <w:pPr>
              <w:pStyle w:val="47"/>
              <w:spacing w:line="240" w:lineRule="auto"/>
              <w:rPr>
                <w:color w:val="auto"/>
                <w:szCs w:val="21"/>
              </w:rPr>
            </w:pPr>
            <w:r>
              <w:rPr>
                <w:rFonts w:hint="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515" w:type="pct"/>
            <w:vAlign w:val="center"/>
          </w:tcPr>
          <w:p>
            <w:pPr>
              <w:pStyle w:val="2"/>
              <w:spacing w:line="240" w:lineRule="auto"/>
              <w:ind w:firstLine="0" w:firstLineChars="0"/>
              <w:jc w:val="center"/>
              <w:rPr>
                <w:color w:val="auto"/>
                <w:sz w:val="21"/>
                <w:szCs w:val="21"/>
              </w:rPr>
            </w:pPr>
            <w:r>
              <w:rPr>
                <w:color w:val="auto"/>
                <w:sz w:val="21"/>
                <w:szCs w:val="21"/>
              </w:rPr>
              <w:t>四、深入调整运输结构</w:t>
            </w:r>
          </w:p>
        </w:tc>
        <w:tc>
          <w:tcPr>
            <w:tcW w:w="916" w:type="pct"/>
            <w:vAlign w:val="center"/>
          </w:tcPr>
          <w:p>
            <w:pPr>
              <w:pStyle w:val="47"/>
              <w:spacing w:line="240" w:lineRule="auto"/>
              <w:rPr>
                <w:color w:val="auto"/>
                <w:szCs w:val="21"/>
              </w:rPr>
            </w:pPr>
            <w:r>
              <w:rPr>
                <w:color w:val="auto"/>
                <w:szCs w:val="21"/>
              </w:rPr>
              <w:t>（十一）提升综合运输效能</w:t>
            </w:r>
          </w:p>
        </w:tc>
        <w:tc>
          <w:tcPr>
            <w:tcW w:w="1909" w:type="pct"/>
            <w:vAlign w:val="center"/>
          </w:tcPr>
          <w:p>
            <w:pPr>
              <w:pStyle w:val="47"/>
              <w:spacing w:line="240" w:lineRule="auto"/>
              <w:jc w:val="both"/>
              <w:rPr>
                <w:color w:val="auto"/>
                <w:szCs w:val="21"/>
              </w:rPr>
            </w:pPr>
            <w:r>
              <w:rPr>
                <w:color w:val="auto"/>
                <w:szCs w:val="21"/>
              </w:rPr>
              <w:t>支持煤炭、钢铁、电解铝、电力、焦化、水泥、砂石等大宗货物年运输量150万吨以上的大型工矿企业以及大型物流园区新（改、扩）建铁路专用线。新建涉大宗货物年运输量150万吨以上的项目要配套建设铁路专用线，确保铁路专用线与主体工程同步投运。</w:t>
            </w:r>
          </w:p>
        </w:tc>
        <w:tc>
          <w:tcPr>
            <w:tcW w:w="1053" w:type="pct"/>
            <w:vAlign w:val="center"/>
          </w:tcPr>
          <w:p>
            <w:pPr>
              <w:pStyle w:val="47"/>
              <w:spacing w:line="240" w:lineRule="auto"/>
              <w:jc w:val="both"/>
              <w:rPr>
                <w:color w:val="auto"/>
                <w:szCs w:val="21"/>
              </w:rPr>
            </w:pPr>
            <w:r>
              <w:rPr>
                <w:rFonts w:hint="eastAsia"/>
                <w:color w:val="auto"/>
                <w:szCs w:val="21"/>
              </w:rPr>
              <w:t>本项目不涉及大宗货物运输，涉及的区域主要为淄博市及其周边地市</w:t>
            </w:r>
          </w:p>
        </w:tc>
        <w:tc>
          <w:tcPr>
            <w:tcW w:w="605" w:type="pct"/>
            <w:vAlign w:val="center"/>
          </w:tcPr>
          <w:p>
            <w:pPr>
              <w:pStyle w:val="47"/>
              <w:spacing w:line="240" w:lineRule="auto"/>
              <w:rPr>
                <w:color w:val="auto"/>
                <w:szCs w:val="21"/>
              </w:rPr>
            </w:pPr>
            <w:r>
              <w:rPr>
                <w:rFonts w:hint="eastAsia"/>
                <w:color w:val="auto"/>
                <w:szCs w:val="21"/>
              </w:rPr>
              <w:t>符合</w:t>
            </w:r>
          </w:p>
        </w:tc>
      </w:tr>
    </w:tbl>
    <w:p>
      <w:pPr>
        <w:pStyle w:val="2"/>
        <w:spacing w:after="0" w:line="360" w:lineRule="auto"/>
        <w:ind w:firstLine="480"/>
        <w:rPr>
          <w:color w:val="auto"/>
        </w:rPr>
      </w:pPr>
      <w:r>
        <w:rPr>
          <w:rFonts w:hint="eastAsia"/>
          <w:color w:val="auto"/>
        </w:rPr>
        <w:t>9、</w:t>
      </w:r>
      <w:r>
        <w:rPr>
          <w:color w:val="auto"/>
        </w:rPr>
        <w:t>“三线一单”符合性分析</w:t>
      </w:r>
    </w:p>
    <w:p>
      <w:pPr>
        <w:ind w:firstLine="480"/>
        <w:rPr>
          <w:b/>
          <w:color w:val="auto"/>
        </w:rPr>
      </w:pPr>
      <w:r>
        <w:rPr>
          <w:rFonts w:hint="eastAsia"/>
          <w:color w:val="auto"/>
        </w:rPr>
        <w:t>拟建项目</w:t>
      </w:r>
      <w:r>
        <w:rPr>
          <w:color w:val="auto"/>
        </w:rPr>
        <w:t>与区域“三线一单”控制要求符合情况分析见下表。</w:t>
      </w:r>
    </w:p>
    <w:p>
      <w:pPr>
        <w:pStyle w:val="48"/>
        <w:spacing w:line="360" w:lineRule="auto"/>
        <w:rPr>
          <w:b w:val="0"/>
          <w:bCs/>
          <w:color w:val="auto"/>
        </w:rPr>
      </w:pPr>
      <w:r>
        <w:rPr>
          <w:b w:val="0"/>
          <w:bCs/>
          <w:color w:val="auto"/>
        </w:rPr>
        <w:t>表12.1-</w:t>
      </w:r>
      <w:r>
        <w:rPr>
          <w:rFonts w:hint="eastAsia"/>
          <w:b w:val="0"/>
          <w:bCs/>
          <w:color w:val="auto"/>
        </w:rPr>
        <w:t>9</w:t>
      </w:r>
      <w:r>
        <w:rPr>
          <w:b w:val="0"/>
          <w:bCs/>
          <w:color w:val="auto"/>
        </w:rPr>
        <w:t xml:space="preserve"> 与区域“三线一单”控制要求符合情况分析</w:t>
      </w:r>
    </w:p>
    <w:tbl>
      <w:tblPr>
        <w:tblStyle w:val="22"/>
        <w:tblW w:w="506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9"/>
        <w:gridCol w:w="1737"/>
        <w:gridCol w:w="1776"/>
        <w:gridCol w:w="4167"/>
        <w:gridCol w:w="9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Align w:val="center"/>
          </w:tcPr>
          <w:p>
            <w:pPr>
              <w:pStyle w:val="47"/>
              <w:rPr>
                <w:b/>
                <w:color w:val="auto"/>
              </w:rPr>
            </w:pPr>
            <w:r>
              <w:rPr>
                <w:b/>
                <w:color w:val="auto"/>
              </w:rPr>
              <w:t>分类</w:t>
            </w:r>
          </w:p>
        </w:tc>
        <w:tc>
          <w:tcPr>
            <w:tcW w:w="1865" w:type="pct"/>
            <w:gridSpan w:val="2"/>
            <w:vAlign w:val="center"/>
          </w:tcPr>
          <w:p>
            <w:pPr>
              <w:pStyle w:val="47"/>
              <w:rPr>
                <w:b/>
                <w:color w:val="auto"/>
              </w:rPr>
            </w:pPr>
            <w:r>
              <w:rPr>
                <w:b/>
                <w:color w:val="auto"/>
              </w:rPr>
              <w:t>主要要求</w:t>
            </w:r>
          </w:p>
        </w:tc>
        <w:tc>
          <w:tcPr>
            <w:tcW w:w="2212" w:type="pct"/>
            <w:vAlign w:val="center"/>
          </w:tcPr>
          <w:p>
            <w:pPr>
              <w:pStyle w:val="47"/>
              <w:rPr>
                <w:b/>
                <w:color w:val="auto"/>
              </w:rPr>
            </w:pPr>
            <w:r>
              <w:rPr>
                <w:b/>
                <w:color w:val="auto"/>
              </w:rPr>
              <w:t>项目情况</w:t>
            </w:r>
          </w:p>
        </w:tc>
        <w:tc>
          <w:tcPr>
            <w:tcW w:w="492" w:type="pct"/>
            <w:vAlign w:val="center"/>
          </w:tcPr>
          <w:p>
            <w:pPr>
              <w:pStyle w:val="47"/>
              <w:rPr>
                <w:b/>
                <w:color w:val="auto"/>
              </w:rPr>
            </w:pPr>
            <w:r>
              <w:rPr>
                <w:b/>
                <w:color w:val="auto"/>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0" w:type="pct"/>
            <w:vAlign w:val="center"/>
          </w:tcPr>
          <w:p>
            <w:pPr>
              <w:pStyle w:val="47"/>
              <w:rPr>
                <w:color w:val="auto"/>
              </w:rPr>
            </w:pPr>
            <w:r>
              <w:rPr>
                <w:color w:val="auto"/>
              </w:rPr>
              <w:t>生态保护红线</w:t>
            </w:r>
          </w:p>
        </w:tc>
        <w:tc>
          <w:tcPr>
            <w:tcW w:w="1865" w:type="pct"/>
            <w:gridSpan w:val="2"/>
            <w:vAlign w:val="center"/>
          </w:tcPr>
          <w:p>
            <w:pPr>
              <w:pStyle w:val="47"/>
              <w:rPr>
                <w:color w:val="auto"/>
              </w:rPr>
            </w:pPr>
            <w:r>
              <w:rPr>
                <w:color w:val="auto"/>
              </w:rPr>
              <w:t>除受自然条件限制、确实无法避让的铁路、公路、航道、防洪、管道、干渠、通讯、输变电等重要基础设施项目外，在生态保护红线范围内，严控各类开发建设活动，依法不予审批新建工业项目和矿产开发项目的环评文件</w:t>
            </w:r>
          </w:p>
        </w:tc>
        <w:tc>
          <w:tcPr>
            <w:tcW w:w="2212" w:type="pct"/>
            <w:vAlign w:val="center"/>
          </w:tcPr>
          <w:p>
            <w:pPr>
              <w:pStyle w:val="47"/>
              <w:rPr>
                <w:color w:val="auto"/>
              </w:rPr>
            </w:pPr>
            <w:r>
              <w:rPr>
                <w:color w:val="auto"/>
              </w:rPr>
              <w:t>根据《山东省生态保护红线规划》，项目不在</w:t>
            </w:r>
            <w:r>
              <w:rPr>
                <w:rFonts w:hint="eastAsia"/>
                <w:color w:val="auto"/>
              </w:rPr>
              <w:t>淄博市</w:t>
            </w:r>
            <w:r>
              <w:rPr>
                <w:color w:val="auto"/>
              </w:rPr>
              <w:t>省级生态保护红线范围内。见图12.1-1</w:t>
            </w:r>
          </w:p>
        </w:tc>
        <w:tc>
          <w:tcPr>
            <w:tcW w:w="492" w:type="pct"/>
            <w:vAlign w:val="center"/>
          </w:tcPr>
          <w:p>
            <w:pPr>
              <w:pStyle w:val="47"/>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restart"/>
            <w:vAlign w:val="center"/>
          </w:tcPr>
          <w:p>
            <w:pPr>
              <w:pStyle w:val="47"/>
              <w:rPr>
                <w:color w:val="auto"/>
              </w:rPr>
            </w:pPr>
            <w:r>
              <w:rPr>
                <w:color w:val="auto"/>
              </w:rPr>
              <w:t>环境质量底线</w:t>
            </w:r>
          </w:p>
        </w:tc>
        <w:tc>
          <w:tcPr>
            <w:tcW w:w="922" w:type="pct"/>
            <w:vMerge w:val="restart"/>
            <w:vAlign w:val="center"/>
          </w:tcPr>
          <w:p>
            <w:pPr>
              <w:pStyle w:val="47"/>
              <w:rPr>
                <w:color w:val="auto"/>
              </w:rPr>
            </w:pPr>
            <w:r>
              <w:rPr>
                <w:color w:val="auto"/>
              </w:rPr>
              <w:t>项目环评应对照区域环境质量目标，深入分析预测项目建设对环境质量的影响，强化污染防治措施和污染物排放控制要求</w:t>
            </w:r>
          </w:p>
        </w:tc>
        <w:tc>
          <w:tcPr>
            <w:tcW w:w="942" w:type="pct"/>
            <w:vMerge w:val="restart"/>
            <w:vAlign w:val="center"/>
          </w:tcPr>
          <w:p>
            <w:pPr>
              <w:pStyle w:val="47"/>
              <w:rPr>
                <w:color w:val="auto"/>
              </w:rPr>
            </w:pPr>
            <w:r>
              <w:rPr>
                <w:color w:val="auto"/>
              </w:rPr>
              <w:t>地表水环境质量</w:t>
            </w:r>
          </w:p>
        </w:tc>
        <w:tc>
          <w:tcPr>
            <w:tcW w:w="2212" w:type="pct"/>
            <w:vAlign w:val="center"/>
          </w:tcPr>
          <w:p>
            <w:pPr>
              <w:pStyle w:val="47"/>
              <w:rPr>
                <w:color w:val="auto"/>
              </w:rPr>
            </w:pPr>
            <w:r>
              <w:rPr>
                <w:color w:val="auto"/>
              </w:rPr>
              <w:t>地表水环境质量现状：</w:t>
            </w:r>
            <w:r>
              <w:rPr>
                <w:rFonts w:hint="eastAsia"/>
                <w:color w:val="auto"/>
              </w:rPr>
              <w:t>猪龙河</w:t>
            </w:r>
            <w:r>
              <w:rPr>
                <w:color w:val="auto"/>
              </w:rPr>
              <w:t>断面CODcr</w:t>
            </w:r>
            <w:r>
              <w:rPr>
                <w:rFonts w:hint="eastAsia"/>
                <w:color w:val="auto"/>
              </w:rPr>
              <w:t>、氨氮</w:t>
            </w:r>
            <w:r>
              <w:rPr>
                <w:color w:val="auto"/>
              </w:rPr>
              <w:t>满足《地表水环境质量标准》(GB3838-2002)中Ⅴ类标准要求</w:t>
            </w:r>
          </w:p>
        </w:tc>
        <w:tc>
          <w:tcPr>
            <w:tcW w:w="492" w:type="pct"/>
            <w:vMerge w:val="restart"/>
            <w:vAlign w:val="center"/>
          </w:tcPr>
          <w:p>
            <w:pPr>
              <w:pStyle w:val="47"/>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vAlign w:val="center"/>
          </w:tcPr>
          <w:p>
            <w:pPr>
              <w:pStyle w:val="47"/>
              <w:rPr>
                <w:color w:val="auto"/>
              </w:rPr>
            </w:pPr>
          </w:p>
        </w:tc>
        <w:tc>
          <w:tcPr>
            <w:tcW w:w="922" w:type="pct"/>
            <w:vMerge w:val="continue"/>
            <w:vAlign w:val="center"/>
          </w:tcPr>
          <w:p>
            <w:pPr>
              <w:pStyle w:val="47"/>
              <w:rPr>
                <w:color w:val="auto"/>
              </w:rPr>
            </w:pPr>
          </w:p>
        </w:tc>
        <w:tc>
          <w:tcPr>
            <w:tcW w:w="942" w:type="pct"/>
            <w:vMerge w:val="continue"/>
            <w:vAlign w:val="center"/>
          </w:tcPr>
          <w:p>
            <w:pPr>
              <w:pStyle w:val="47"/>
              <w:rPr>
                <w:color w:val="auto"/>
              </w:rPr>
            </w:pPr>
          </w:p>
        </w:tc>
        <w:tc>
          <w:tcPr>
            <w:tcW w:w="2212" w:type="pct"/>
            <w:vAlign w:val="center"/>
          </w:tcPr>
          <w:p>
            <w:pPr>
              <w:pStyle w:val="47"/>
              <w:rPr>
                <w:color w:val="auto"/>
              </w:rPr>
            </w:pPr>
            <w:r>
              <w:rPr>
                <w:color w:val="auto"/>
              </w:rPr>
              <w:t>预测与评价结果：废水经厂内污水站处理达标后</w:t>
            </w:r>
            <w:r>
              <w:rPr>
                <w:rFonts w:hint="eastAsia"/>
                <w:color w:val="auto"/>
              </w:rPr>
              <w:t>排光大水务（淄博）有限公司水质净化</w:t>
            </w:r>
            <w:r>
              <w:rPr>
                <w:rFonts w:hint="eastAsia"/>
                <w:color w:val="auto"/>
                <w:lang w:eastAsia="zh-CN"/>
              </w:rPr>
              <w:t>三分厂</w:t>
            </w:r>
            <w:r>
              <w:rPr>
                <w:color w:val="auto"/>
              </w:rPr>
              <w:t>，不</w:t>
            </w:r>
            <w:r>
              <w:rPr>
                <w:rFonts w:hint="eastAsia"/>
                <w:color w:val="auto"/>
              </w:rPr>
              <w:t>直</w:t>
            </w:r>
            <w:r>
              <w:rPr>
                <w:color w:val="auto"/>
              </w:rPr>
              <w:t>排</w:t>
            </w:r>
          </w:p>
        </w:tc>
        <w:tc>
          <w:tcPr>
            <w:tcW w:w="492" w:type="pct"/>
            <w:vMerge w:val="continue"/>
            <w:vAlign w:val="center"/>
          </w:tcPr>
          <w:p>
            <w:pPr>
              <w:pStyle w:val="47"/>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vAlign w:val="center"/>
          </w:tcPr>
          <w:p>
            <w:pPr>
              <w:pStyle w:val="47"/>
              <w:rPr>
                <w:color w:val="auto"/>
              </w:rPr>
            </w:pPr>
          </w:p>
        </w:tc>
        <w:tc>
          <w:tcPr>
            <w:tcW w:w="922" w:type="pct"/>
            <w:vMerge w:val="continue"/>
            <w:vAlign w:val="center"/>
          </w:tcPr>
          <w:p>
            <w:pPr>
              <w:pStyle w:val="47"/>
              <w:rPr>
                <w:color w:val="auto"/>
              </w:rPr>
            </w:pPr>
          </w:p>
        </w:tc>
        <w:tc>
          <w:tcPr>
            <w:tcW w:w="942" w:type="pct"/>
            <w:vMerge w:val="continue"/>
            <w:vAlign w:val="center"/>
          </w:tcPr>
          <w:p>
            <w:pPr>
              <w:pStyle w:val="47"/>
              <w:rPr>
                <w:color w:val="auto"/>
              </w:rPr>
            </w:pPr>
          </w:p>
        </w:tc>
        <w:tc>
          <w:tcPr>
            <w:tcW w:w="2212" w:type="pct"/>
            <w:vAlign w:val="center"/>
          </w:tcPr>
          <w:p>
            <w:pPr>
              <w:pStyle w:val="47"/>
              <w:rPr>
                <w:color w:val="auto"/>
              </w:rPr>
            </w:pPr>
            <w:r>
              <w:rPr>
                <w:color w:val="auto"/>
              </w:rPr>
              <w:t>结论：废水经厂内污水站处理达标后</w:t>
            </w:r>
            <w:r>
              <w:rPr>
                <w:rFonts w:hint="eastAsia"/>
                <w:color w:val="auto"/>
              </w:rPr>
              <w:t>排光大水务（淄博）有限公司水质净化</w:t>
            </w:r>
            <w:r>
              <w:rPr>
                <w:rFonts w:hint="eastAsia"/>
                <w:color w:val="auto"/>
                <w:lang w:eastAsia="zh-CN"/>
              </w:rPr>
              <w:t>三分厂</w:t>
            </w:r>
            <w:r>
              <w:rPr>
                <w:color w:val="auto"/>
              </w:rPr>
              <w:t>，不</w:t>
            </w:r>
            <w:r>
              <w:rPr>
                <w:rFonts w:hint="eastAsia"/>
                <w:color w:val="auto"/>
              </w:rPr>
              <w:t>直</w:t>
            </w:r>
            <w:r>
              <w:rPr>
                <w:color w:val="auto"/>
              </w:rPr>
              <w:t>排，对周围地表水环境影响较小</w:t>
            </w:r>
          </w:p>
        </w:tc>
        <w:tc>
          <w:tcPr>
            <w:tcW w:w="492" w:type="pct"/>
            <w:vMerge w:val="continue"/>
            <w:vAlign w:val="center"/>
          </w:tcPr>
          <w:p>
            <w:pPr>
              <w:pStyle w:val="47"/>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vAlign w:val="center"/>
          </w:tcPr>
          <w:p>
            <w:pPr>
              <w:pStyle w:val="47"/>
              <w:rPr>
                <w:color w:val="auto"/>
              </w:rPr>
            </w:pPr>
          </w:p>
        </w:tc>
        <w:tc>
          <w:tcPr>
            <w:tcW w:w="922" w:type="pct"/>
            <w:vMerge w:val="continue"/>
            <w:vAlign w:val="center"/>
          </w:tcPr>
          <w:p>
            <w:pPr>
              <w:pStyle w:val="47"/>
              <w:rPr>
                <w:color w:val="auto"/>
              </w:rPr>
            </w:pPr>
          </w:p>
        </w:tc>
        <w:tc>
          <w:tcPr>
            <w:tcW w:w="942" w:type="pct"/>
            <w:vMerge w:val="restart"/>
            <w:vAlign w:val="center"/>
          </w:tcPr>
          <w:p>
            <w:pPr>
              <w:pStyle w:val="47"/>
              <w:rPr>
                <w:color w:val="auto"/>
              </w:rPr>
            </w:pPr>
            <w:r>
              <w:rPr>
                <w:color w:val="auto"/>
              </w:rPr>
              <w:t>地下水环境质量</w:t>
            </w:r>
          </w:p>
        </w:tc>
        <w:tc>
          <w:tcPr>
            <w:tcW w:w="2212" w:type="pct"/>
            <w:vAlign w:val="center"/>
          </w:tcPr>
          <w:p>
            <w:pPr>
              <w:pStyle w:val="47"/>
              <w:rPr>
                <w:color w:val="auto"/>
              </w:rPr>
            </w:pPr>
            <w:r>
              <w:rPr>
                <w:color w:val="auto"/>
              </w:rPr>
              <w:t>地下水环境质量现状：区域地下水总体不能满足《地下水质量标准》(GB/T14848-2017)Ⅲ类标准要求</w:t>
            </w:r>
          </w:p>
        </w:tc>
        <w:tc>
          <w:tcPr>
            <w:tcW w:w="492" w:type="pct"/>
            <w:vMerge w:val="restart"/>
            <w:vAlign w:val="center"/>
          </w:tcPr>
          <w:p>
            <w:pPr>
              <w:pStyle w:val="47"/>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vAlign w:val="center"/>
          </w:tcPr>
          <w:p>
            <w:pPr>
              <w:pStyle w:val="47"/>
              <w:rPr>
                <w:color w:val="auto"/>
              </w:rPr>
            </w:pPr>
          </w:p>
        </w:tc>
        <w:tc>
          <w:tcPr>
            <w:tcW w:w="922" w:type="pct"/>
            <w:vMerge w:val="continue"/>
            <w:vAlign w:val="center"/>
          </w:tcPr>
          <w:p>
            <w:pPr>
              <w:pStyle w:val="47"/>
              <w:rPr>
                <w:color w:val="auto"/>
              </w:rPr>
            </w:pPr>
          </w:p>
        </w:tc>
        <w:tc>
          <w:tcPr>
            <w:tcW w:w="942" w:type="pct"/>
            <w:vMerge w:val="continue"/>
            <w:vAlign w:val="center"/>
          </w:tcPr>
          <w:p>
            <w:pPr>
              <w:pStyle w:val="47"/>
              <w:rPr>
                <w:color w:val="auto"/>
              </w:rPr>
            </w:pPr>
          </w:p>
        </w:tc>
        <w:tc>
          <w:tcPr>
            <w:tcW w:w="2212" w:type="pct"/>
            <w:vAlign w:val="center"/>
          </w:tcPr>
          <w:p>
            <w:pPr>
              <w:pStyle w:val="47"/>
              <w:rPr>
                <w:color w:val="auto"/>
              </w:rPr>
            </w:pPr>
            <w:r>
              <w:rPr>
                <w:color w:val="auto"/>
              </w:rPr>
              <w:t>预测与评价结果：项目在严格防渗、严防监管的条件下，对地下水环境影响较小，可满足当地地下水环境质量标准的要求，当地的地下水水质仍保留原有的利用价值</w:t>
            </w:r>
          </w:p>
        </w:tc>
        <w:tc>
          <w:tcPr>
            <w:tcW w:w="492" w:type="pct"/>
            <w:vMerge w:val="continue"/>
            <w:vAlign w:val="center"/>
          </w:tcPr>
          <w:p>
            <w:pPr>
              <w:pStyle w:val="47"/>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vAlign w:val="center"/>
          </w:tcPr>
          <w:p>
            <w:pPr>
              <w:pStyle w:val="47"/>
              <w:rPr>
                <w:color w:val="auto"/>
              </w:rPr>
            </w:pPr>
          </w:p>
        </w:tc>
        <w:tc>
          <w:tcPr>
            <w:tcW w:w="922" w:type="pct"/>
            <w:vMerge w:val="continue"/>
            <w:vAlign w:val="center"/>
          </w:tcPr>
          <w:p>
            <w:pPr>
              <w:pStyle w:val="47"/>
              <w:rPr>
                <w:color w:val="auto"/>
              </w:rPr>
            </w:pPr>
          </w:p>
        </w:tc>
        <w:tc>
          <w:tcPr>
            <w:tcW w:w="942" w:type="pct"/>
            <w:vMerge w:val="continue"/>
            <w:vAlign w:val="center"/>
          </w:tcPr>
          <w:p>
            <w:pPr>
              <w:pStyle w:val="47"/>
              <w:rPr>
                <w:color w:val="auto"/>
              </w:rPr>
            </w:pPr>
          </w:p>
        </w:tc>
        <w:tc>
          <w:tcPr>
            <w:tcW w:w="2212" w:type="pct"/>
            <w:vAlign w:val="center"/>
          </w:tcPr>
          <w:p>
            <w:pPr>
              <w:pStyle w:val="47"/>
              <w:rPr>
                <w:color w:val="auto"/>
              </w:rPr>
            </w:pPr>
            <w:r>
              <w:rPr>
                <w:color w:val="auto"/>
              </w:rPr>
              <w:t>结论：项目厂区严格落实各项防渗措施，对地下水的影响较小，地下水水质仍保留原有的利用价值</w:t>
            </w:r>
          </w:p>
        </w:tc>
        <w:tc>
          <w:tcPr>
            <w:tcW w:w="492" w:type="pct"/>
            <w:vMerge w:val="continue"/>
            <w:vAlign w:val="center"/>
          </w:tcPr>
          <w:p>
            <w:pPr>
              <w:pStyle w:val="47"/>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vAlign w:val="center"/>
          </w:tcPr>
          <w:p>
            <w:pPr>
              <w:pStyle w:val="47"/>
              <w:rPr>
                <w:color w:val="auto"/>
              </w:rPr>
            </w:pPr>
          </w:p>
        </w:tc>
        <w:tc>
          <w:tcPr>
            <w:tcW w:w="922" w:type="pct"/>
            <w:vMerge w:val="continue"/>
            <w:vAlign w:val="center"/>
          </w:tcPr>
          <w:p>
            <w:pPr>
              <w:pStyle w:val="47"/>
              <w:rPr>
                <w:color w:val="auto"/>
              </w:rPr>
            </w:pPr>
          </w:p>
        </w:tc>
        <w:tc>
          <w:tcPr>
            <w:tcW w:w="942" w:type="pct"/>
            <w:vMerge w:val="restart"/>
            <w:vAlign w:val="center"/>
          </w:tcPr>
          <w:p>
            <w:pPr>
              <w:pStyle w:val="47"/>
              <w:rPr>
                <w:color w:val="auto"/>
              </w:rPr>
            </w:pPr>
            <w:r>
              <w:rPr>
                <w:color w:val="auto"/>
              </w:rPr>
              <w:t>环境空气质量</w:t>
            </w:r>
          </w:p>
        </w:tc>
        <w:tc>
          <w:tcPr>
            <w:tcW w:w="2212" w:type="pct"/>
            <w:vAlign w:val="center"/>
          </w:tcPr>
          <w:p>
            <w:pPr>
              <w:pStyle w:val="47"/>
              <w:rPr>
                <w:color w:val="auto"/>
              </w:rPr>
            </w:pPr>
            <w:r>
              <w:rPr>
                <w:color w:val="auto"/>
              </w:rPr>
              <w:t>环境空气质量现状：</w:t>
            </w:r>
            <w:r>
              <w:rPr>
                <w:rFonts w:hint="eastAsia"/>
                <w:color w:val="auto"/>
              </w:rPr>
              <w:t>淄博市2021</w:t>
            </w:r>
            <w:r>
              <w:rPr>
                <w:color w:val="auto"/>
              </w:rPr>
              <w:t>年PM</w:t>
            </w:r>
            <w:r>
              <w:rPr>
                <w:color w:val="auto"/>
                <w:vertAlign w:val="subscript"/>
              </w:rPr>
              <w:t>2.5</w:t>
            </w:r>
            <w:r>
              <w:rPr>
                <w:color w:val="auto"/>
              </w:rPr>
              <w:t>、PM</w:t>
            </w:r>
            <w:r>
              <w:rPr>
                <w:color w:val="auto"/>
                <w:vertAlign w:val="subscript"/>
              </w:rPr>
              <w:t>10</w:t>
            </w:r>
            <w:r>
              <w:rPr>
                <w:color w:val="auto"/>
              </w:rPr>
              <w:t>的年均浓度不能满足《环境空气质量标准》（GB3095-2012）二级标准要求</w:t>
            </w:r>
          </w:p>
        </w:tc>
        <w:tc>
          <w:tcPr>
            <w:tcW w:w="492" w:type="pct"/>
            <w:vMerge w:val="restart"/>
            <w:vAlign w:val="center"/>
          </w:tcPr>
          <w:p>
            <w:pPr>
              <w:pStyle w:val="47"/>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vAlign w:val="center"/>
          </w:tcPr>
          <w:p>
            <w:pPr>
              <w:pStyle w:val="47"/>
              <w:rPr>
                <w:color w:val="auto"/>
              </w:rPr>
            </w:pPr>
          </w:p>
        </w:tc>
        <w:tc>
          <w:tcPr>
            <w:tcW w:w="922" w:type="pct"/>
            <w:vMerge w:val="continue"/>
            <w:vAlign w:val="center"/>
          </w:tcPr>
          <w:p>
            <w:pPr>
              <w:pStyle w:val="47"/>
              <w:rPr>
                <w:color w:val="auto"/>
              </w:rPr>
            </w:pPr>
          </w:p>
        </w:tc>
        <w:tc>
          <w:tcPr>
            <w:tcW w:w="942" w:type="pct"/>
            <w:vMerge w:val="continue"/>
            <w:vAlign w:val="center"/>
          </w:tcPr>
          <w:p>
            <w:pPr>
              <w:pStyle w:val="47"/>
              <w:rPr>
                <w:color w:val="auto"/>
              </w:rPr>
            </w:pPr>
          </w:p>
        </w:tc>
        <w:tc>
          <w:tcPr>
            <w:tcW w:w="2212" w:type="pct"/>
            <w:vAlign w:val="center"/>
          </w:tcPr>
          <w:p>
            <w:pPr>
              <w:pStyle w:val="47"/>
              <w:rPr>
                <w:color w:val="auto"/>
              </w:rPr>
            </w:pPr>
            <w:r>
              <w:rPr>
                <w:color w:val="auto"/>
              </w:rPr>
              <w:t>预测与评介结果：项目排放的大气污染物对周围环境影响较小</w:t>
            </w:r>
          </w:p>
        </w:tc>
        <w:tc>
          <w:tcPr>
            <w:tcW w:w="492" w:type="pct"/>
            <w:vMerge w:val="continue"/>
            <w:vAlign w:val="center"/>
          </w:tcPr>
          <w:p>
            <w:pPr>
              <w:pStyle w:val="47"/>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vAlign w:val="center"/>
          </w:tcPr>
          <w:p>
            <w:pPr>
              <w:pStyle w:val="47"/>
              <w:rPr>
                <w:color w:val="auto"/>
              </w:rPr>
            </w:pPr>
          </w:p>
        </w:tc>
        <w:tc>
          <w:tcPr>
            <w:tcW w:w="922" w:type="pct"/>
            <w:vMerge w:val="continue"/>
            <w:vAlign w:val="center"/>
          </w:tcPr>
          <w:p>
            <w:pPr>
              <w:pStyle w:val="47"/>
              <w:rPr>
                <w:color w:val="auto"/>
              </w:rPr>
            </w:pPr>
          </w:p>
        </w:tc>
        <w:tc>
          <w:tcPr>
            <w:tcW w:w="942" w:type="pct"/>
            <w:vMerge w:val="continue"/>
            <w:vAlign w:val="center"/>
          </w:tcPr>
          <w:p>
            <w:pPr>
              <w:pStyle w:val="47"/>
              <w:rPr>
                <w:color w:val="auto"/>
              </w:rPr>
            </w:pPr>
          </w:p>
        </w:tc>
        <w:tc>
          <w:tcPr>
            <w:tcW w:w="2212" w:type="pct"/>
            <w:vAlign w:val="center"/>
          </w:tcPr>
          <w:p>
            <w:pPr>
              <w:pStyle w:val="47"/>
              <w:rPr>
                <w:color w:val="auto"/>
              </w:rPr>
            </w:pPr>
            <w:r>
              <w:rPr>
                <w:color w:val="auto"/>
              </w:rPr>
              <w:t>结论：项目生产过程中产生的废气经处理后，能够实现达标排放，对周围环境空气影响较小，有利于环境空气质量改善</w:t>
            </w:r>
          </w:p>
        </w:tc>
        <w:tc>
          <w:tcPr>
            <w:tcW w:w="492" w:type="pct"/>
            <w:vMerge w:val="continue"/>
            <w:vAlign w:val="center"/>
          </w:tcPr>
          <w:p>
            <w:pPr>
              <w:pStyle w:val="47"/>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vAlign w:val="center"/>
          </w:tcPr>
          <w:p>
            <w:pPr>
              <w:pStyle w:val="47"/>
              <w:rPr>
                <w:color w:val="auto"/>
              </w:rPr>
            </w:pPr>
          </w:p>
        </w:tc>
        <w:tc>
          <w:tcPr>
            <w:tcW w:w="922" w:type="pct"/>
            <w:vMerge w:val="continue"/>
            <w:vAlign w:val="center"/>
          </w:tcPr>
          <w:p>
            <w:pPr>
              <w:pStyle w:val="47"/>
              <w:rPr>
                <w:color w:val="auto"/>
              </w:rPr>
            </w:pPr>
          </w:p>
        </w:tc>
        <w:tc>
          <w:tcPr>
            <w:tcW w:w="942" w:type="pct"/>
            <w:vMerge w:val="restart"/>
            <w:vAlign w:val="center"/>
          </w:tcPr>
          <w:p>
            <w:pPr>
              <w:pStyle w:val="47"/>
              <w:rPr>
                <w:color w:val="auto"/>
              </w:rPr>
            </w:pPr>
            <w:r>
              <w:rPr>
                <w:color w:val="auto"/>
              </w:rPr>
              <w:t>声环境质量</w:t>
            </w:r>
          </w:p>
        </w:tc>
        <w:tc>
          <w:tcPr>
            <w:tcW w:w="2212" w:type="pct"/>
            <w:vAlign w:val="center"/>
          </w:tcPr>
          <w:p>
            <w:pPr>
              <w:pStyle w:val="47"/>
              <w:rPr>
                <w:rFonts w:hint="default" w:eastAsia="宋体"/>
                <w:color w:val="auto"/>
                <w:lang w:val="en-US" w:eastAsia="zh-CN"/>
              </w:rPr>
            </w:pPr>
            <w:r>
              <w:rPr>
                <w:color w:val="auto"/>
              </w:rPr>
              <w:t>声环境质量现状：厂区厂界昼、夜间噪声均能满足《声环境质量标准》（GB3096-2008）中</w:t>
            </w:r>
            <w:r>
              <w:rPr>
                <w:rFonts w:hint="eastAsia"/>
                <w:color w:val="auto"/>
                <w:lang w:eastAsia="zh-CN"/>
              </w:rPr>
              <w:t>2类标准，</w:t>
            </w:r>
            <w:r>
              <w:rPr>
                <w:rFonts w:hint="eastAsia"/>
                <w:color w:val="auto"/>
                <w:lang w:val="en-US" w:eastAsia="zh-CN"/>
              </w:rPr>
              <w:t>西北方向180m处的谢营村满足</w:t>
            </w:r>
            <w:r>
              <w:rPr>
                <w:color w:val="auto"/>
              </w:rPr>
              <w:t>《声环境质量标准》（GB3096-2008）中</w:t>
            </w:r>
            <w:r>
              <w:rPr>
                <w:rFonts w:hint="eastAsia"/>
                <w:color w:val="auto"/>
                <w:lang w:val="en-US" w:eastAsia="zh-CN"/>
              </w:rPr>
              <w:t>2</w:t>
            </w:r>
            <w:r>
              <w:rPr>
                <w:color w:val="auto"/>
              </w:rPr>
              <w:t>类标准</w:t>
            </w:r>
          </w:p>
        </w:tc>
        <w:tc>
          <w:tcPr>
            <w:tcW w:w="492" w:type="pct"/>
            <w:vMerge w:val="restart"/>
            <w:vAlign w:val="center"/>
          </w:tcPr>
          <w:p>
            <w:pPr>
              <w:pStyle w:val="47"/>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vAlign w:val="center"/>
          </w:tcPr>
          <w:p>
            <w:pPr>
              <w:pStyle w:val="47"/>
              <w:rPr>
                <w:color w:val="auto"/>
              </w:rPr>
            </w:pPr>
          </w:p>
        </w:tc>
        <w:tc>
          <w:tcPr>
            <w:tcW w:w="922" w:type="pct"/>
            <w:vMerge w:val="continue"/>
            <w:vAlign w:val="center"/>
          </w:tcPr>
          <w:p>
            <w:pPr>
              <w:pStyle w:val="47"/>
              <w:rPr>
                <w:color w:val="auto"/>
              </w:rPr>
            </w:pPr>
          </w:p>
        </w:tc>
        <w:tc>
          <w:tcPr>
            <w:tcW w:w="942" w:type="pct"/>
            <w:vMerge w:val="continue"/>
            <w:vAlign w:val="center"/>
          </w:tcPr>
          <w:p>
            <w:pPr>
              <w:pStyle w:val="47"/>
              <w:rPr>
                <w:color w:val="auto"/>
              </w:rPr>
            </w:pPr>
          </w:p>
        </w:tc>
        <w:tc>
          <w:tcPr>
            <w:tcW w:w="2212" w:type="pct"/>
            <w:vAlign w:val="center"/>
          </w:tcPr>
          <w:p>
            <w:pPr>
              <w:pStyle w:val="47"/>
              <w:rPr>
                <w:color w:val="auto"/>
              </w:rPr>
            </w:pPr>
            <w:r>
              <w:rPr>
                <w:color w:val="auto"/>
              </w:rPr>
              <w:t>预测与</w:t>
            </w:r>
            <w:r>
              <w:rPr>
                <w:rFonts w:hint="eastAsia"/>
                <w:color w:val="auto"/>
                <w:lang w:val="en-US" w:eastAsia="zh-CN"/>
              </w:rPr>
              <w:t>评价</w:t>
            </w:r>
            <w:r>
              <w:rPr>
                <w:color w:val="auto"/>
              </w:rPr>
              <w:t>结果：项目建成后厂界噪声能够满足《工业企业厂界环境噪声排放标准》</w:t>
            </w:r>
          </w:p>
          <w:p>
            <w:pPr>
              <w:pStyle w:val="47"/>
              <w:rPr>
                <w:rFonts w:hint="eastAsia" w:eastAsia="宋体"/>
                <w:color w:val="auto"/>
                <w:lang w:eastAsia="zh-CN"/>
              </w:rPr>
            </w:pPr>
            <w:r>
              <w:rPr>
                <w:color w:val="auto"/>
              </w:rPr>
              <w:t>（GB12348-2008）</w:t>
            </w:r>
            <w:r>
              <w:rPr>
                <w:rFonts w:hint="eastAsia"/>
                <w:color w:val="auto"/>
                <w:lang w:eastAsia="zh-CN"/>
              </w:rPr>
              <w:t>2类标准；</w:t>
            </w:r>
            <w:r>
              <w:rPr>
                <w:rFonts w:hint="eastAsia"/>
                <w:color w:val="auto"/>
                <w:lang w:val="en-US" w:eastAsia="zh-CN"/>
              </w:rPr>
              <w:t>西北方向180m处的谢营村能够满足</w:t>
            </w:r>
            <w:r>
              <w:rPr>
                <w:color w:val="auto"/>
              </w:rPr>
              <w:t>《声环境质量标准》（GB3096-2008）中</w:t>
            </w:r>
            <w:r>
              <w:rPr>
                <w:rFonts w:hint="eastAsia"/>
                <w:color w:val="auto"/>
                <w:lang w:val="en-US" w:eastAsia="zh-CN"/>
              </w:rPr>
              <w:t>2</w:t>
            </w:r>
            <w:r>
              <w:rPr>
                <w:color w:val="auto"/>
              </w:rPr>
              <w:t>类标准</w:t>
            </w:r>
          </w:p>
        </w:tc>
        <w:tc>
          <w:tcPr>
            <w:tcW w:w="492" w:type="pct"/>
            <w:vMerge w:val="continue"/>
            <w:vAlign w:val="center"/>
          </w:tcPr>
          <w:p>
            <w:pPr>
              <w:pStyle w:val="47"/>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vAlign w:val="center"/>
          </w:tcPr>
          <w:p>
            <w:pPr>
              <w:pStyle w:val="47"/>
              <w:rPr>
                <w:color w:val="auto"/>
              </w:rPr>
            </w:pPr>
          </w:p>
        </w:tc>
        <w:tc>
          <w:tcPr>
            <w:tcW w:w="922" w:type="pct"/>
            <w:vMerge w:val="continue"/>
            <w:vAlign w:val="center"/>
          </w:tcPr>
          <w:p>
            <w:pPr>
              <w:pStyle w:val="47"/>
              <w:rPr>
                <w:color w:val="auto"/>
              </w:rPr>
            </w:pPr>
          </w:p>
        </w:tc>
        <w:tc>
          <w:tcPr>
            <w:tcW w:w="942" w:type="pct"/>
            <w:vMerge w:val="continue"/>
            <w:vAlign w:val="center"/>
          </w:tcPr>
          <w:p>
            <w:pPr>
              <w:pStyle w:val="47"/>
              <w:rPr>
                <w:color w:val="auto"/>
              </w:rPr>
            </w:pPr>
          </w:p>
        </w:tc>
        <w:tc>
          <w:tcPr>
            <w:tcW w:w="2212" w:type="pct"/>
            <w:vAlign w:val="center"/>
          </w:tcPr>
          <w:p>
            <w:pPr>
              <w:pStyle w:val="47"/>
              <w:rPr>
                <w:color w:val="auto"/>
              </w:rPr>
            </w:pPr>
            <w:r>
              <w:rPr>
                <w:color w:val="auto"/>
              </w:rPr>
              <w:t>结论：项目噪声对环境影响较小。</w:t>
            </w:r>
          </w:p>
        </w:tc>
        <w:tc>
          <w:tcPr>
            <w:tcW w:w="492" w:type="pct"/>
            <w:vMerge w:val="continue"/>
            <w:vAlign w:val="center"/>
          </w:tcPr>
          <w:p>
            <w:pPr>
              <w:pStyle w:val="47"/>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vAlign w:val="center"/>
          </w:tcPr>
          <w:p>
            <w:pPr>
              <w:pStyle w:val="47"/>
              <w:rPr>
                <w:color w:val="auto"/>
              </w:rPr>
            </w:pPr>
          </w:p>
        </w:tc>
        <w:tc>
          <w:tcPr>
            <w:tcW w:w="922" w:type="pct"/>
            <w:vMerge w:val="continue"/>
            <w:vAlign w:val="center"/>
          </w:tcPr>
          <w:p>
            <w:pPr>
              <w:pStyle w:val="47"/>
              <w:rPr>
                <w:color w:val="auto"/>
              </w:rPr>
            </w:pPr>
          </w:p>
        </w:tc>
        <w:tc>
          <w:tcPr>
            <w:tcW w:w="942" w:type="pct"/>
            <w:vMerge w:val="restart"/>
            <w:vAlign w:val="center"/>
          </w:tcPr>
          <w:p>
            <w:pPr>
              <w:pStyle w:val="47"/>
              <w:rPr>
                <w:color w:val="auto"/>
              </w:rPr>
            </w:pPr>
            <w:r>
              <w:rPr>
                <w:color w:val="auto"/>
              </w:rPr>
              <w:t>土壤环境质量</w:t>
            </w:r>
          </w:p>
        </w:tc>
        <w:tc>
          <w:tcPr>
            <w:tcW w:w="2212" w:type="pct"/>
            <w:vAlign w:val="center"/>
          </w:tcPr>
          <w:p>
            <w:pPr>
              <w:pStyle w:val="47"/>
              <w:rPr>
                <w:color w:val="auto"/>
              </w:rPr>
            </w:pPr>
            <w:r>
              <w:rPr>
                <w:color w:val="auto"/>
              </w:rPr>
              <w:t>土壤环境质量现状：满足《土壤环境质量建设用地土壤污染风险管控标准》（GB36600-2018）筛选值第二类用地标准要求</w:t>
            </w:r>
          </w:p>
        </w:tc>
        <w:tc>
          <w:tcPr>
            <w:tcW w:w="492" w:type="pct"/>
            <w:vMerge w:val="restart"/>
            <w:vAlign w:val="center"/>
          </w:tcPr>
          <w:p>
            <w:pPr>
              <w:pStyle w:val="47"/>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vAlign w:val="center"/>
          </w:tcPr>
          <w:p>
            <w:pPr>
              <w:pStyle w:val="47"/>
              <w:rPr>
                <w:color w:val="auto"/>
              </w:rPr>
            </w:pPr>
          </w:p>
        </w:tc>
        <w:tc>
          <w:tcPr>
            <w:tcW w:w="922" w:type="pct"/>
            <w:vMerge w:val="continue"/>
            <w:vAlign w:val="center"/>
          </w:tcPr>
          <w:p>
            <w:pPr>
              <w:pStyle w:val="47"/>
              <w:rPr>
                <w:color w:val="auto"/>
              </w:rPr>
            </w:pPr>
          </w:p>
        </w:tc>
        <w:tc>
          <w:tcPr>
            <w:tcW w:w="942" w:type="pct"/>
            <w:vMerge w:val="continue"/>
            <w:vAlign w:val="center"/>
          </w:tcPr>
          <w:p>
            <w:pPr>
              <w:pStyle w:val="47"/>
              <w:rPr>
                <w:color w:val="auto"/>
              </w:rPr>
            </w:pPr>
          </w:p>
        </w:tc>
        <w:tc>
          <w:tcPr>
            <w:tcW w:w="2212" w:type="pct"/>
            <w:vAlign w:val="center"/>
          </w:tcPr>
          <w:p>
            <w:pPr>
              <w:pStyle w:val="47"/>
              <w:rPr>
                <w:color w:val="auto"/>
              </w:rPr>
            </w:pPr>
            <w:r>
              <w:rPr>
                <w:color w:val="auto"/>
              </w:rPr>
              <w:t>预测与评价结果：通过类比</w:t>
            </w:r>
            <w:r>
              <w:rPr>
                <w:rFonts w:hint="eastAsia"/>
                <w:color w:val="auto"/>
              </w:rPr>
              <w:t>类似企业</w:t>
            </w:r>
            <w:r>
              <w:rPr>
                <w:color w:val="auto"/>
              </w:rPr>
              <w:t>对区域土壤环境质量的影响情况，项目对厂区内表层土壤环境影响较小</w:t>
            </w:r>
          </w:p>
        </w:tc>
        <w:tc>
          <w:tcPr>
            <w:tcW w:w="492" w:type="pct"/>
            <w:vMerge w:val="continue"/>
            <w:vAlign w:val="center"/>
          </w:tcPr>
          <w:p>
            <w:pPr>
              <w:pStyle w:val="47"/>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vAlign w:val="center"/>
          </w:tcPr>
          <w:p>
            <w:pPr>
              <w:pStyle w:val="47"/>
              <w:rPr>
                <w:color w:val="auto"/>
              </w:rPr>
            </w:pPr>
          </w:p>
        </w:tc>
        <w:tc>
          <w:tcPr>
            <w:tcW w:w="922" w:type="pct"/>
            <w:vMerge w:val="continue"/>
            <w:vAlign w:val="center"/>
          </w:tcPr>
          <w:p>
            <w:pPr>
              <w:pStyle w:val="47"/>
              <w:rPr>
                <w:color w:val="auto"/>
              </w:rPr>
            </w:pPr>
          </w:p>
        </w:tc>
        <w:tc>
          <w:tcPr>
            <w:tcW w:w="942" w:type="pct"/>
            <w:vMerge w:val="continue"/>
            <w:vAlign w:val="center"/>
          </w:tcPr>
          <w:p>
            <w:pPr>
              <w:pStyle w:val="47"/>
              <w:rPr>
                <w:color w:val="auto"/>
              </w:rPr>
            </w:pPr>
          </w:p>
        </w:tc>
        <w:tc>
          <w:tcPr>
            <w:tcW w:w="2212" w:type="pct"/>
            <w:vAlign w:val="center"/>
          </w:tcPr>
          <w:p>
            <w:pPr>
              <w:pStyle w:val="47"/>
              <w:rPr>
                <w:color w:val="auto"/>
              </w:rPr>
            </w:pPr>
            <w:r>
              <w:rPr>
                <w:color w:val="auto"/>
              </w:rPr>
              <w:t>结论：</w:t>
            </w:r>
            <w:r>
              <w:rPr>
                <w:rFonts w:hint="eastAsia"/>
                <w:color w:val="auto"/>
              </w:rPr>
              <w:t>拟建项目</w:t>
            </w:r>
            <w:r>
              <w:rPr>
                <w:color w:val="auto"/>
              </w:rPr>
              <w:t>不会对土壤环境质量产生明显的影响，项目建设对土壤的环境影响可以接受。</w:t>
            </w:r>
          </w:p>
        </w:tc>
        <w:tc>
          <w:tcPr>
            <w:tcW w:w="492" w:type="pct"/>
            <w:vMerge w:val="continue"/>
            <w:vAlign w:val="center"/>
          </w:tcPr>
          <w:p>
            <w:pPr>
              <w:pStyle w:val="47"/>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trPr>
        <w:tc>
          <w:tcPr>
            <w:tcW w:w="430" w:type="pct"/>
            <w:vAlign w:val="center"/>
          </w:tcPr>
          <w:p>
            <w:pPr>
              <w:pStyle w:val="47"/>
              <w:rPr>
                <w:color w:val="auto"/>
              </w:rPr>
            </w:pPr>
            <w:r>
              <w:rPr>
                <w:color w:val="auto"/>
              </w:rPr>
              <w:t>资源利用上线</w:t>
            </w:r>
          </w:p>
        </w:tc>
        <w:tc>
          <w:tcPr>
            <w:tcW w:w="1865" w:type="pct"/>
            <w:gridSpan w:val="2"/>
            <w:vAlign w:val="center"/>
          </w:tcPr>
          <w:p>
            <w:pPr>
              <w:pStyle w:val="47"/>
              <w:rPr>
                <w:color w:val="auto"/>
              </w:rPr>
            </w:pPr>
            <w:r>
              <w:rPr>
                <w:color w:val="auto"/>
              </w:rPr>
              <w:t>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tc>
        <w:tc>
          <w:tcPr>
            <w:tcW w:w="2212" w:type="pct"/>
            <w:vAlign w:val="center"/>
          </w:tcPr>
          <w:p>
            <w:pPr>
              <w:pStyle w:val="47"/>
              <w:rPr>
                <w:color w:val="auto"/>
              </w:rPr>
            </w:pPr>
            <w:r>
              <w:rPr>
                <w:color w:val="auto"/>
              </w:rPr>
              <w:t>项目所用资源为水、电，项目资源利用量相对于区域资源利用总量较少</w:t>
            </w:r>
          </w:p>
        </w:tc>
        <w:tc>
          <w:tcPr>
            <w:tcW w:w="492" w:type="pct"/>
            <w:vAlign w:val="center"/>
          </w:tcPr>
          <w:p>
            <w:pPr>
              <w:pStyle w:val="47"/>
              <w:rPr>
                <w:color w:val="auto"/>
              </w:rPr>
            </w:pPr>
            <w:r>
              <w:rPr>
                <w:color w:val="auto"/>
              </w:rPr>
              <w:t>符合</w:t>
            </w:r>
          </w:p>
        </w:tc>
      </w:tr>
    </w:tbl>
    <w:p>
      <w:pPr>
        <w:pStyle w:val="2"/>
        <w:ind w:firstLine="480"/>
        <w:rPr>
          <w:color w:val="auto"/>
        </w:rPr>
      </w:pPr>
      <w:r>
        <w:rPr>
          <w:rFonts w:hint="eastAsia"/>
          <w:color w:val="auto"/>
        </w:rPr>
        <w:t>10、</w:t>
      </w:r>
      <w:r>
        <w:rPr>
          <w:color w:val="auto"/>
        </w:rPr>
        <w:t>本项目与《淄博市生态环境委员会办公室关于印发《淄博市“三线一单”生态环境准入清单》的通知 》（淄环委办[2021]24号）</w:t>
      </w:r>
      <w:r>
        <w:rPr>
          <w:rFonts w:hint="eastAsia"/>
          <w:color w:val="auto"/>
        </w:rPr>
        <w:t>符合性分析</w:t>
      </w:r>
    </w:p>
    <w:p>
      <w:pPr>
        <w:snapToGrid w:val="0"/>
        <w:ind w:firstLine="480"/>
        <w:rPr>
          <w:color w:val="auto"/>
          <w:szCs w:val="24"/>
        </w:rPr>
      </w:pPr>
      <w:r>
        <w:rPr>
          <w:color w:val="auto"/>
          <w:szCs w:val="24"/>
        </w:rPr>
        <w:t>本项目位于</w:t>
      </w:r>
      <w:r>
        <w:rPr>
          <w:rFonts w:hint="eastAsia"/>
          <w:color w:val="auto"/>
          <w:szCs w:val="24"/>
        </w:rPr>
        <w:t>山东省淄博市张店区房镇镇淄博科技工业园兴园路19号</w:t>
      </w:r>
      <w:r>
        <w:rPr>
          <w:color w:val="auto"/>
          <w:szCs w:val="24"/>
        </w:rPr>
        <w:t>。本项目与《淄博市生态环境委员会办公室关于印发《淄博市“三线一单”生态环境准入清单》的通知 》（淄环委办[2021]24号）</w:t>
      </w:r>
      <w:r>
        <w:rPr>
          <w:rFonts w:hint="eastAsia"/>
          <w:color w:val="auto"/>
          <w:szCs w:val="24"/>
        </w:rPr>
        <w:t>中张店区房镇镇准入清单</w:t>
      </w:r>
      <w:r>
        <w:rPr>
          <w:color w:val="auto"/>
          <w:szCs w:val="24"/>
        </w:rPr>
        <w:t>符合性分析见</w:t>
      </w:r>
      <w:r>
        <w:rPr>
          <w:rFonts w:hint="eastAsia"/>
          <w:color w:val="auto"/>
          <w:szCs w:val="24"/>
        </w:rPr>
        <w:t>下表</w:t>
      </w:r>
      <w:r>
        <w:rPr>
          <w:color w:val="auto"/>
          <w:szCs w:val="24"/>
        </w:rPr>
        <w:t>。</w:t>
      </w:r>
    </w:p>
    <w:p>
      <w:pPr>
        <w:pStyle w:val="2"/>
        <w:spacing w:after="0"/>
        <w:ind w:firstLine="0" w:firstLineChars="0"/>
        <w:jc w:val="center"/>
        <w:rPr>
          <w:rFonts w:eastAsia="黑体"/>
          <w:color w:val="auto"/>
          <w:sz w:val="21"/>
          <w:szCs w:val="21"/>
        </w:rPr>
      </w:pPr>
      <w:r>
        <w:rPr>
          <w:rFonts w:eastAsia="黑体"/>
          <w:color w:val="auto"/>
          <w:sz w:val="21"/>
          <w:szCs w:val="21"/>
        </w:rPr>
        <w:t>表</w:t>
      </w:r>
      <w:r>
        <w:rPr>
          <w:rFonts w:hint="eastAsia" w:eastAsia="黑体"/>
          <w:color w:val="auto"/>
          <w:sz w:val="21"/>
          <w:szCs w:val="21"/>
        </w:rPr>
        <w:t>12.1-10</w:t>
      </w:r>
      <w:r>
        <w:rPr>
          <w:rFonts w:eastAsia="黑体"/>
          <w:color w:val="auto"/>
          <w:sz w:val="21"/>
          <w:szCs w:val="21"/>
        </w:rPr>
        <w:t xml:space="preserve"> 本项目与淄政字〔2021〕49号符合性分析</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17"/>
        <w:gridCol w:w="4158"/>
        <w:gridCol w:w="4037"/>
        <w:gridCol w:w="4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2" w:type="pct"/>
            <w:tcBorders>
              <w:tl2br w:val="nil"/>
              <w:tr2bl w:val="nil"/>
            </w:tcBorders>
            <w:vAlign w:val="center"/>
          </w:tcPr>
          <w:p>
            <w:pPr>
              <w:spacing w:line="312" w:lineRule="exact"/>
              <w:ind w:firstLine="0" w:firstLineChars="0"/>
              <w:jc w:val="center"/>
              <w:rPr>
                <w:b/>
                <w:bCs/>
                <w:color w:val="auto"/>
                <w:sz w:val="21"/>
                <w:szCs w:val="21"/>
                <w:shd w:val="clear" w:color="auto" w:fill="FFFFFF"/>
              </w:rPr>
            </w:pPr>
            <w:r>
              <w:rPr>
                <w:rFonts w:hint="eastAsia"/>
                <w:b/>
                <w:bCs/>
                <w:color w:val="auto"/>
                <w:sz w:val="21"/>
                <w:szCs w:val="21"/>
                <w:shd w:val="clear" w:color="auto" w:fill="FFFFFF"/>
              </w:rPr>
              <w:t>项目</w:t>
            </w:r>
          </w:p>
        </w:tc>
        <w:tc>
          <w:tcPr>
            <w:tcW w:w="2238" w:type="pct"/>
            <w:tcBorders>
              <w:tl2br w:val="nil"/>
              <w:tr2bl w:val="nil"/>
            </w:tcBorders>
            <w:vAlign w:val="center"/>
          </w:tcPr>
          <w:p>
            <w:pPr>
              <w:spacing w:line="312" w:lineRule="exact"/>
              <w:ind w:firstLine="0" w:firstLineChars="0"/>
              <w:jc w:val="center"/>
              <w:rPr>
                <w:b/>
                <w:bCs/>
                <w:color w:val="auto"/>
                <w:sz w:val="21"/>
                <w:szCs w:val="21"/>
                <w:shd w:val="clear" w:color="auto" w:fill="FFFFFF"/>
              </w:rPr>
            </w:pPr>
            <w:r>
              <w:rPr>
                <w:rFonts w:hint="eastAsia"/>
                <w:b/>
                <w:bCs/>
                <w:color w:val="auto"/>
                <w:sz w:val="21"/>
                <w:szCs w:val="21"/>
                <w:shd w:val="clear" w:color="auto" w:fill="FFFFFF"/>
              </w:rPr>
              <w:t>文件要求</w:t>
            </w:r>
          </w:p>
        </w:tc>
        <w:tc>
          <w:tcPr>
            <w:tcW w:w="2173" w:type="pct"/>
            <w:tcBorders>
              <w:tl2br w:val="nil"/>
              <w:tr2bl w:val="nil"/>
            </w:tcBorders>
            <w:vAlign w:val="center"/>
          </w:tcPr>
          <w:p>
            <w:pPr>
              <w:spacing w:line="312" w:lineRule="exact"/>
              <w:ind w:firstLine="0" w:firstLineChars="0"/>
              <w:jc w:val="center"/>
              <w:rPr>
                <w:b/>
                <w:bCs/>
                <w:color w:val="auto"/>
                <w:sz w:val="21"/>
                <w:szCs w:val="21"/>
                <w:shd w:val="clear" w:color="auto" w:fill="FFFFFF"/>
              </w:rPr>
            </w:pPr>
            <w:r>
              <w:rPr>
                <w:rFonts w:hint="eastAsia"/>
                <w:b/>
                <w:bCs/>
                <w:color w:val="auto"/>
                <w:sz w:val="21"/>
                <w:szCs w:val="21"/>
                <w:shd w:val="clear" w:color="auto" w:fill="FFFFFF"/>
              </w:rPr>
              <w:t>本项目情况</w:t>
            </w:r>
          </w:p>
        </w:tc>
        <w:tc>
          <w:tcPr>
            <w:tcW w:w="256" w:type="pct"/>
            <w:tcBorders>
              <w:tl2br w:val="nil"/>
              <w:tr2bl w:val="nil"/>
            </w:tcBorders>
            <w:vAlign w:val="center"/>
          </w:tcPr>
          <w:p>
            <w:pPr>
              <w:spacing w:line="312" w:lineRule="exact"/>
              <w:ind w:firstLine="0" w:firstLineChars="0"/>
              <w:jc w:val="center"/>
              <w:rPr>
                <w:b/>
                <w:bCs/>
                <w:color w:val="auto"/>
                <w:sz w:val="21"/>
                <w:szCs w:val="21"/>
                <w:shd w:val="clear" w:color="auto" w:fill="FFFFFF"/>
              </w:rPr>
            </w:pPr>
            <w:r>
              <w:rPr>
                <w:rFonts w:hint="eastAsia"/>
                <w:b/>
                <w:bCs/>
                <w:color w:val="auto"/>
                <w:sz w:val="21"/>
                <w:szCs w:val="21"/>
                <w:shd w:val="clear" w:color="auto" w:fill="FFFFFF"/>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2"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shd w:val="clear" w:color="auto" w:fill="FFFFFF"/>
              </w:rPr>
              <w:t>空间布局管控要求</w:t>
            </w:r>
          </w:p>
        </w:tc>
        <w:tc>
          <w:tcPr>
            <w:tcW w:w="2238"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shd w:val="clear" w:color="auto" w:fill="FFFFFF"/>
              </w:rPr>
              <w:t>优化完善区域产业布局，合理布局各类工业项目。坚决淘汰落后产能，聚焦“高耗能、高污染、高排放、高风险”低效落后产能，进一步健全并严格落实环保、安全、技术、能耗、效益标准，分类组织实施转移、压减、整合、关停任务。坚决改造提升传统产业，聚焦“四强”产业，实施产业攀登计划，加快传统产业绿色化升级改造，形成高端引领、链条完整、生态完善、效益显著的产业发展格局。在满足产业准入、总量控制、排放标准等管理制度要求的前提下，实行工业项目进工业园区或聚集区，集约高效发展。从严审批“两高”建设项目，严格落实产能、煤炭、能耗等置换要求；加快推进“散乱污”企业搬迁入园或关闭退出。</w:t>
            </w:r>
          </w:p>
        </w:tc>
        <w:tc>
          <w:tcPr>
            <w:tcW w:w="2173" w:type="pct"/>
            <w:tcBorders>
              <w:tl2br w:val="nil"/>
              <w:tr2bl w:val="nil"/>
            </w:tcBorders>
            <w:vAlign w:val="center"/>
          </w:tcPr>
          <w:p>
            <w:pPr>
              <w:spacing w:line="312" w:lineRule="exact"/>
              <w:ind w:firstLine="0" w:firstLineChars="0"/>
              <w:jc w:val="center"/>
              <w:rPr>
                <w:color w:val="auto"/>
                <w:sz w:val="21"/>
                <w:szCs w:val="21"/>
              </w:rPr>
            </w:pPr>
            <w:r>
              <w:rPr>
                <w:rFonts w:hint="eastAsia"/>
                <w:color w:val="auto"/>
                <w:sz w:val="21"/>
                <w:szCs w:val="21"/>
                <w:shd w:val="clear" w:color="auto" w:fill="FFFFFF"/>
              </w:rPr>
              <w:t>本项目属于</w:t>
            </w:r>
            <w:r>
              <w:rPr>
                <w:color w:val="auto"/>
                <w:sz w:val="21"/>
                <w:szCs w:val="21"/>
                <w:shd w:val="clear" w:color="auto" w:fill="FFFFFF"/>
              </w:rPr>
              <w:t>C</w:t>
            </w:r>
            <w:r>
              <w:rPr>
                <w:rFonts w:hint="eastAsia"/>
                <w:color w:val="auto"/>
                <w:sz w:val="21"/>
                <w:szCs w:val="21"/>
                <w:shd w:val="clear" w:color="auto" w:fill="FFFFFF"/>
              </w:rPr>
              <w:t>2832生物基、淀粉基新材料制造，不属于落后产能，不属于</w:t>
            </w:r>
            <w:r>
              <w:rPr>
                <w:color w:val="auto"/>
                <w:sz w:val="21"/>
                <w:szCs w:val="21"/>
                <w:shd w:val="clear" w:color="auto" w:fill="FFFFFF"/>
              </w:rPr>
              <w:t>“高耗能、高污染、高排放、高风险”</w:t>
            </w:r>
            <w:r>
              <w:rPr>
                <w:rFonts w:hint="eastAsia"/>
                <w:color w:val="auto"/>
                <w:sz w:val="21"/>
                <w:szCs w:val="21"/>
                <w:shd w:val="clear" w:color="auto" w:fill="FFFFFF"/>
              </w:rPr>
              <w:t>项目。本项目属于新材料制造不属于传统产业。本项目位于淄博科技工业园，满足园区准入条件，</w:t>
            </w:r>
            <w:r>
              <w:rPr>
                <w:color w:val="auto"/>
                <w:sz w:val="21"/>
                <w:szCs w:val="21"/>
                <w:shd w:val="clear" w:color="auto" w:fill="FFFFFF"/>
              </w:rPr>
              <w:t>满足产业准入、总量控制、排放标准等管理制度要求</w:t>
            </w:r>
            <w:r>
              <w:rPr>
                <w:rFonts w:hint="eastAsia"/>
                <w:color w:val="auto"/>
                <w:sz w:val="21"/>
                <w:szCs w:val="21"/>
                <w:shd w:val="clear" w:color="auto" w:fill="FFFFFF"/>
              </w:rPr>
              <w:t>。本项目不属于“两高项目”，不属于</w:t>
            </w:r>
            <w:r>
              <w:rPr>
                <w:color w:val="auto"/>
                <w:sz w:val="21"/>
                <w:szCs w:val="21"/>
                <w:shd w:val="clear" w:color="auto" w:fill="FFFFFF"/>
              </w:rPr>
              <w:t>“散乱污”企业</w:t>
            </w:r>
          </w:p>
        </w:tc>
        <w:tc>
          <w:tcPr>
            <w:tcW w:w="256" w:type="pct"/>
            <w:tcBorders>
              <w:tl2br w:val="nil"/>
              <w:tr2bl w:val="nil"/>
            </w:tcBorders>
            <w:vAlign w:val="center"/>
          </w:tcPr>
          <w:p>
            <w:pPr>
              <w:spacing w:line="312" w:lineRule="exact"/>
              <w:ind w:firstLine="0" w:firstLineChars="0"/>
              <w:jc w:val="center"/>
              <w:rPr>
                <w:color w:val="auto"/>
                <w:sz w:val="21"/>
                <w:szCs w:val="21"/>
                <w:shd w:val="clear" w:color="auto" w:fill="FFFFFF"/>
              </w:rPr>
            </w:pPr>
            <w:r>
              <w:rPr>
                <w:rFonts w:hint="eastAsia"/>
                <w:color w:val="auto"/>
                <w:sz w:val="21"/>
                <w:szCs w:val="21"/>
                <w:shd w:val="clear" w:color="auto" w:fill="FFFFFF"/>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2" w:type="pct"/>
            <w:tcBorders>
              <w:tl2br w:val="nil"/>
              <w:tr2bl w:val="nil"/>
            </w:tcBorders>
            <w:vAlign w:val="center"/>
          </w:tcPr>
          <w:p>
            <w:pPr>
              <w:spacing w:line="312" w:lineRule="exact"/>
              <w:ind w:firstLine="0" w:firstLineChars="0"/>
              <w:jc w:val="center"/>
              <w:rPr>
                <w:color w:val="auto"/>
                <w:sz w:val="21"/>
                <w:szCs w:val="21"/>
                <w:shd w:val="clear" w:color="auto" w:fill="FFFFFF"/>
              </w:rPr>
            </w:pPr>
            <w:r>
              <w:rPr>
                <w:color w:val="auto"/>
                <w:sz w:val="21"/>
                <w:szCs w:val="21"/>
                <w:shd w:val="clear" w:color="auto" w:fill="FFFFFF"/>
              </w:rPr>
              <w:t>污染物排放管控要求</w:t>
            </w:r>
          </w:p>
        </w:tc>
        <w:tc>
          <w:tcPr>
            <w:tcW w:w="2238" w:type="pct"/>
            <w:tcBorders>
              <w:tl2br w:val="nil"/>
              <w:tr2bl w:val="nil"/>
            </w:tcBorders>
            <w:vAlign w:val="center"/>
          </w:tcPr>
          <w:p>
            <w:pPr>
              <w:spacing w:line="312" w:lineRule="exact"/>
              <w:ind w:firstLine="0" w:firstLineChars="0"/>
              <w:jc w:val="center"/>
              <w:rPr>
                <w:color w:val="auto"/>
                <w:sz w:val="21"/>
                <w:szCs w:val="21"/>
                <w:shd w:val="clear" w:color="auto" w:fill="FFFFFF"/>
              </w:rPr>
            </w:pPr>
            <w:r>
              <w:rPr>
                <w:color w:val="auto"/>
                <w:sz w:val="21"/>
                <w:szCs w:val="21"/>
                <w:shd w:val="clear" w:color="auto" w:fill="FFFFFF"/>
              </w:rPr>
              <w:t>落实污染物总量控制制度，根据区域环境质量改善目标，削减污染物排放总量。严格执行国家及省相关排放标准，新建工业项目污染物排放水平达到同行业国内先进水平，对主要污染物排放指标实施总量等量或倍量置换。加快污水收集处理设施建设与提质增效，逐步完善城乡污水管网，实施雨污分流改造。加强挥发性有机物、臭气异味防治和餐饮油烟治理，严格施工扬尘监管。</w:t>
            </w:r>
          </w:p>
        </w:tc>
        <w:tc>
          <w:tcPr>
            <w:tcW w:w="2173" w:type="pct"/>
            <w:tcBorders>
              <w:tl2br w:val="nil"/>
              <w:tr2bl w:val="nil"/>
            </w:tcBorders>
            <w:vAlign w:val="center"/>
          </w:tcPr>
          <w:p>
            <w:pPr>
              <w:spacing w:line="312" w:lineRule="exact"/>
              <w:ind w:firstLine="0" w:firstLineChars="0"/>
              <w:rPr>
                <w:color w:val="auto"/>
                <w:sz w:val="21"/>
                <w:szCs w:val="21"/>
              </w:rPr>
            </w:pPr>
            <w:r>
              <w:rPr>
                <w:rFonts w:hint="eastAsia"/>
                <w:color w:val="auto"/>
                <w:sz w:val="21"/>
                <w:szCs w:val="21"/>
              </w:rPr>
              <w:t>本项目为新建项目，严格执行</w:t>
            </w:r>
            <w:r>
              <w:rPr>
                <w:color w:val="auto"/>
                <w:sz w:val="21"/>
                <w:szCs w:val="21"/>
                <w:shd w:val="clear" w:color="auto" w:fill="FFFFFF"/>
              </w:rPr>
              <w:t>污染物总量控制制度</w:t>
            </w:r>
            <w:r>
              <w:rPr>
                <w:rFonts w:hint="eastAsia"/>
                <w:color w:val="auto"/>
                <w:sz w:val="21"/>
                <w:szCs w:val="21"/>
                <w:shd w:val="clear" w:color="auto" w:fill="FFFFFF"/>
              </w:rPr>
              <w:t>，实行倍量替代，</w:t>
            </w:r>
            <w:r>
              <w:rPr>
                <w:color w:val="auto"/>
                <w:sz w:val="21"/>
                <w:szCs w:val="21"/>
                <w:shd w:val="clear" w:color="auto" w:fill="FFFFFF"/>
              </w:rPr>
              <w:t>严格执行国家及省相关排放标准</w:t>
            </w:r>
            <w:r>
              <w:rPr>
                <w:rFonts w:hint="eastAsia"/>
                <w:color w:val="auto"/>
                <w:sz w:val="21"/>
                <w:szCs w:val="21"/>
                <w:shd w:val="clear" w:color="auto" w:fill="FFFFFF"/>
              </w:rPr>
              <w:t>。本项目位于淄博科技工业园，园区配备污水管网，本项目实行雨污分流。有机废气采用</w:t>
            </w:r>
            <w:r>
              <w:rPr>
                <w:rFonts w:hint="eastAsia"/>
                <w:color w:val="auto"/>
                <w:sz w:val="21"/>
                <w:szCs w:val="21"/>
                <w:shd w:val="clear" w:color="auto" w:fill="FFFFFF"/>
                <w:lang w:eastAsia="zh-CN"/>
              </w:rPr>
              <w:t>碱喷淋</w:t>
            </w:r>
            <w:r>
              <w:rPr>
                <w:rFonts w:hint="eastAsia"/>
                <w:color w:val="auto"/>
                <w:sz w:val="21"/>
                <w:szCs w:val="21"/>
                <w:shd w:val="clear" w:color="auto" w:fill="FFFFFF"/>
              </w:rPr>
              <w:t>+活性炭吸附装置处理，颗粒物采用</w:t>
            </w:r>
            <w:r>
              <w:rPr>
                <w:rFonts w:hint="eastAsia"/>
                <w:color w:val="auto"/>
                <w:sz w:val="21"/>
                <w:szCs w:val="21"/>
                <w:shd w:val="clear" w:color="auto" w:fill="FFFFFF"/>
                <w:lang w:val="en-US" w:eastAsia="zh-CN"/>
              </w:rPr>
              <w:t>两级除尘（</w:t>
            </w:r>
            <w:r>
              <w:rPr>
                <w:rFonts w:hint="eastAsia"/>
                <w:color w:val="auto"/>
                <w:sz w:val="21"/>
                <w:szCs w:val="21"/>
                <w:shd w:val="clear" w:color="auto" w:fill="FFFFFF"/>
              </w:rPr>
              <w:t>旋风除尘器</w:t>
            </w:r>
            <w:r>
              <w:rPr>
                <w:rFonts w:hint="eastAsia"/>
                <w:color w:val="auto"/>
                <w:sz w:val="21"/>
                <w:szCs w:val="21"/>
                <w:shd w:val="clear" w:color="auto" w:fill="FFFFFF"/>
                <w:lang w:val="en-US" w:eastAsia="zh-CN"/>
              </w:rPr>
              <w:t>+袋式除尘器</w:t>
            </w:r>
            <w:r>
              <w:rPr>
                <w:rFonts w:hint="eastAsia"/>
                <w:color w:val="auto"/>
                <w:sz w:val="21"/>
                <w:szCs w:val="21"/>
                <w:shd w:val="clear" w:color="auto" w:fill="FFFFFF"/>
                <w:lang w:eastAsia="zh-CN"/>
              </w:rPr>
              <w:t>）</w:t>
            </w:r>
            <w:r>
              <w:rPr>
                <w:rFonts w:hint="eastAsia"/>
                <w:color w:val="auto"/>
                <w:sz w:val="21"/>
                <w:szCs w:val="21"/>
                <w:shd w:val="clear" w:color="auto" w:fill="FFFFFF"/>
              </w:rPr>
              <w:t>处理。</w:t>
            </w:r>
          </w:p>
        </w:tc>
        <w:tc>
          <w:tcPr>
            <w:tcW w:w="256" w:type="pct"/>
            <w:tcBorders>
              <w:tl2br w:val="nil"/>
              <w:tr2bl w:val="nil"/>
            </w:tcBorders>
            <w:vAlign w:val="center"/>
          </w:tcPr>
          <w:p>
            <w:pPr>
              <w:spacing w:line="312" w:lineRule="exact"/>
              <w:ind w:firstLine="0" w:firstLineChars="0"/>
              <w:rPr>
                <w:color w:val="auto"/>
                <w:sz w:val="21"/>
                <w:szCs w:val="21"/>
              </w:rPr>
            </w:pPr>
            <w:r>
              <w:rPr>
                <w:rFonts w:hint="eastAsia"/>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2" w:type="pct"/>
            <w:tcBorders>
              <w:tl2br w:val="nil"/>
              <w:tr2bl w:val="nil"/>
            </w:tcBorders>
            <w:vAlign w:val="center"/>
          </w:tcPr>
          <w:p>
            <w:pPr>
              <w:spacing w:line="312" w:lineRule="exact"/>
              <w:ind w:firstLine="0" w:firstLineChars="0"/>
              <w:jc w:val="center"/>
              <w:rPr>
                <w:color w:val="auto"/>
                <w:sz w:val="21"/>
                <w:szCs w:val="21"/>
                <w:shd w:val="clear" w:color="auto" w:fill="FFFFFF"/>
              </w:rPr>
            </w:pPr>
            <w:r>
              <w:rPr>
                <w:color w:val="auto"/>
                <w:sz w:val="21"/>
                <w:szCs w:val="21"/>
                <w:shd w:val="clear" w:color="auto" w:fill="FFFFFF"/>
              </w:rPr>
              <w:t>环境风险防控要求</w:t>
            </w:r>
          </w:p>
        </w:tc>
        <w:tc>
          <w:tcPr>
            <w:tcW w:w="2238" w:type="pct"/>
            <w:tcBorders>
              <w:tl2br w:val="nil"/>
              <w:tr2bl w:val="nil"/>
            </w:tcBorders>
            <w:vAlign w:val="center"/>
          </w:tcPr>
          <w:p>
            <w:pPr>
              <w:spacing w:line="312" w:lineRule="exact"/>
              <w:ind w:firstLine="0" w:firstLineChars="0"/>
              <w:jc w:val="center"/>
              <w:rPr>
                <w:color w:val="auto"/>
                <w:sz w:val="21"/>
                <w:szCs w:val="21"/>
                <w:shd w:val="clear" w:color="auto" w:fill="FFFFFF"/>
              </w:rPr>
            </w:pPr>
            <w:r>
              <w:rPr>
                <w:color w:val="auto"/>
                <w:sz w:val="21"/>
                <w:szCs w:val="21"/>
                <w:shd w:val="clear" w:color="auto" w:fill="FFFFFF"/>
              </w:rPr>
              <w:t>加强风险防控体系建设，强化工业园区和聚集区内企业环境风险防范设施建设和正常运行监管，加强重点环境风险监控企业应急预案制定，建立企业隐患排查整治常态化监管机制。</w:t>
            </w:r>
          </w:p>
        </w:tc>
        <w:tc>
          <w:tcPr>
            <w:tcW w:w="2173" w:type="pct"/>
            <w:tcBorders>
              <w:tl2br w:val="nil"/>
              <w:tr2bl w:val="nil"/>
            </w:tcBorders>
            <w:vAlign w:val="center"/>
          </w:tcPr>
          <w:p>
            <w:pPr>
              <w:spacing w:line="312" w:lineRule="exact"/>
              <w:ind w:firstLine="0" w:firstLineChars="0"/>
              <w:rPr>
                <w:color w:val="auto"/>
                <w:sz w:val="21"/>
                <w:szCs w:val="21"/>
              </w:rPr>
            </w:pPr>
            <w:r>
              <w:rPr>
                <w:rFonts w:hint="eastAsia"/>
                <w:color w:val="auto"/>
                <w:sz w:val="21"/>
                <w:szCs w:val="21"/>
              </w:rPr>
              <w:t>本报告要求企业及时制定</w:t>
            </w:r>
            <w:r>
              <w:rPr>
                <w:color w:val="auto"/>
                <w:sz w:val="21"/>
                <w:szCs w:val="21"/>
                <w:shd w:val="clear" w:color="auto" w:fill="FFFFFF"/>
              </w:rPr>
              <w:t>应急预案</w:t>
            </w:r>
            <w:r>
              <w:rPr>
                <w:rFonts w:hint="eastAsia"/>
                <w:color w:val="auto"/>
                <w:sz w:val="21"/>
                <w:szCs w:val="21"/>
                <w:shd w:val="clear" w:color="auto" w:fill="FFFFFF"/>
              </w:rPr>
              <w:t>，严格遵守园区各项要求</w:t>
            </w:r>
          </w:p>
        </w:tc>
        <w:tc>
          <w:tcPr>
            <w:tcW w:w="256" w:type="pct"/>
            <w:tcBorders>
              <w:tl2br w:val="nil"/>
              <w:tr2bl w:val="nil"/>
            </w:tcBorders>
            <w:vAlign w:val="center"/>
          </w:tcPr>
          <w:p>
            <w:pPr>
              <w:spacing w:line="312" w:lineRule="exact"/>
              <w:ind w:firstLine="0" w:firstLineChars="0"/>
              <w:rPr>
                <w:color w:val="auto"/>
                <w:sz w:val="21"/>
                <w:szCs w:val="21"/>
              </w:rPr>
            </w:pPr>
            <w:r>
              <w:rPr>
                <w:rFonts w:hint="eastAsia"/>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2" w:type="pct"/>
            <w:tcBorders>
              <w:tl2br w:val="nil"/>
              <w:tr2bl w:val="nil"/>
            </w:tcBorders>
            <w:vAlign w:val="center"/>
          </w:tcPr>
          <w:p>
            <w:pPr>
              <w:spacing w:line="312" w:lineRule="exact"/>
              <w:ind w:firstLine="0" w:firstLineChars="0"/>
              <w:jc w:val="center"/>
              <w:rPr>
                <w:color w:val="auto"/>
                <w:sz w:val="21"/>
                <w:szCs w:val="21"/>
                <w:shd w:val="clear" w:color="auto" w:fill="FFFFFF"/>
              </w:rPr>
            </w:pPr>
            <w:r>
              <w:rPr>
                <w:color w:val="auto"/>
                <w:sz w:val="21"/>
                <w:szCs w:val="21"/>
                <w:shd w:val="clear" w:color="auto" w:fill="FFFFFF"/>
              </w:rPr>
              <w:t>能源资源利用要求</w:t>
            </w:r>
          </w:p>
        </w:tc>
        <w:tc>
          <w:tcPr>
            <w:tcW w:w="2238" w:type="pct"/>
            <w:tcBorders>
              <w:tl2br w:val="nil"/>
              <w:tr2bl w:val="nil"/>
            </w:tcBorders>
            <w:vAlign w:val="center"/>
          </w:tcPr>
          <w:p>
            <w:pPr>
              <w:spacing w:line="312" w:lineRule="exact"/>
              <w:ind w:firstLine="0" w:firstLineChars="0"/>
              <w:jc w:val="center"/>
              <w:rPr>
                <w:color w:val="auto"/>
                <w:sz w:val="21"/>
                <w:szCs w:val="21"/>
                <w:shd w:val="clear" w:color="auto" w:fill="FFFFFF"/>
              </w:rPr>
            </w:pPr>
            <w:r>
              <w:rPr>
                <w:color w:val="auto"/>
                <w:sz w:val="21"/>
                <w:szCs w:val="21"/>
                <w:shd w:val="clear" w:color="auto" w:fill="FFFFFF"/>
              </w:rPr>
              <w:t>推进工业园区和聚集区生态化改造，强化企业清洁生产改造，推进节水型企业、节水型工业园区建设，落实煤炭消费减量替代要求，鼓励使用清洁能源，提高资源能源利用效率。禁燃区内禁止新、改、扩建燃用高污染燃料的项目和设施，已建成的应依法限期改用天然气、电或者其他清洁能源。推广使用清洁能源车。因地制宜推进冬季清洁取暖。</w:t>
            </w:r>
          </w:p>
        </w:tc>
        <w:tc>
          <w:tcPr>
            <w:tcW w:w="2173" w:type="pct"/>
            <w:tcBorders>
              <w:tl2br w:val="nil"/>
              <w:tr2bl w:val="nil"/>
            </w:tcBorders>
            <w:vAlign w:val="center"/>
          </w:tcPr>
          <w:p>
            <w:pPr>
              <w:spacing w:line="312" w:lineRule="exact"/>
              <w:ind w:firstLine="0" w:firstLineChars="0"/>
              <w:rPr>
                <w:color w:val="auto"/>
                <w:sz w:val="21"/>
                <w:szCs w:val="21"/>
              </w:rPr>
            </w:pPr>
            <w:r>
              <w:rPr>
                <w:rFonts w:hint="eastAsia"/>
                <w:color w:val="auto"/>
                <w:sz w:val="21"/>
                <w:szCs w:val="21"/>
              </w:rPr>
              <w:t>本项目不使用煤炭作为能源，使用电力、天然气作为能源，冬季采取空气能热泵和太阳能发电供暖</w:t>
            </w:r>
          </w:p>
        </w:tc>
        <w:tc>
          <w:tcPr>
            <w:tcW w:w="256" w:type="pct"/>
            <w:tcBorders>
              <w:tl2br w:val="nil"/>
              <w:tr2bl w:val="nil"/>
            </w:tcBorders>
            <w:vAlign w:val="center"/>
          </w:tcPr>
          <w:p>
            <w:pPr>
              <w:spacing w:line="312" w:lineRule="exact"/>
              <w:ind w:firstLine="0" w:firstLineChars="0"/>
              <w:rPr>
                <w:color w:val="auto"/>
                <w:sz w:val="21"/>
                <w:szCs w:val="21"/>
              </w:rPr>
            </w:pPr>
            <w:r>
              <w:rPr>
                <w:rFonts w:hint="eastAsia"/>
                <w:color w:val="auto"/>
                <w:sz w:val="21"/>
                <w:szCs w:val="21"/>
              </w:rPr>
              <w:t>符合</w:t>
            </w:r>
          </w:p>
        </w:tc>
      </w:tr>
    </w:tbl>
    <w:p>
      <w:pPr>
        <w:pStyle w:val="2"/>
        <w:spacing w:line="240" w:lineRule="auto"/>
        <w:ind w:firstLine="0" w:firstLineChars="0"/>
        <w:jc w:val="center"/>
        <w:rPr>
          <w:color w:val="auto"/>
        </w:rPr>
      </w:pPr>
      <w:r>
        <w:rPr>
          <w:color w:val="auto"/>
        </w:rPr>
        <mc:AlternateContent>
          <mc:Choice Requires="wps">
            <w:drawing>
              <wp:anchor distT="0" distB="0" distL="114300" distR="114300" simplePos="0" relativeHeight="251734016" behindDoc="0" locked="0" layoutInCell="1" allowOverlap="1">
                <wp:simplePos x="0" y="0"/>
                <wp:positionH relativeFrom="column">
                  <wp:posOffset>1693545</wp:posOffset>
                </wp:positionH>
                <wp:positionV relativeFrom="paragraph">
                  <wp:posOffset>2035175</wp:posOffset>
                </wp:positionV>
                <wp:extent cx="824865" cy="309880"/>
                <wp:effectExtent l="6350" t="6350" r="6985" b="274320"/>
                <wp:wrapNone/>
                <wp:docPr id="170" name="矩形标注 170"/>
                <wp:cNvGraphicFramePr/>
                <a:graphic xmlns:a="http://schemas.openxmlformats.org/drawingml/2006/main">
                  <a:graphicData uri="http://schemas.microsoft.com/office/word/2010/wordprocessingShape">
                    <wps:wsp>
                      <wps:cNvSpPr/>
                      <wps:spPr>
                        <a:xfrm flipH="1">
                          <a:off x="0" y="0"/>
                          <a:ext cx="824865" cy="309880"/>
                        </a:xfrm>
                        <a:prstGeom prst="wedgeRectCallout">
                          <a:avLst>
                            <a:gd name="adj1" fmla="val -29368"/>
                            <a:gd name="adj2" fmla="val 132172"/>
                          </a:avLst>
                        </a:prstGeom>
                        <a:solidFill>
                          <a:srgbClr val="FFFFFF"/>
                        </a:solidFill>
                        <a:ln w="12700" cap="flat" cmpd="sng" algn="ctr">
                          <a:solidFill>
                            <a:srgbClr val="000000"/>
                          </a:solidFill>
                          <a:prstDash val="solid"/>
                          <a:miter lim="800000"/>
                        </a:ln>
                        <a:effectLst/>
                      </wps:spPr>
                      <wps:txbx>
                        <w:txbxContent>
                          <w:p>
                            <w:pPr>
                              <w:spacing w:line="240" w:lineRule="auto"/>
                              <w:ind w:firstLine="0" w:firstLineChars="0"/>
                              <w:jc w:val="left"/>
                              <w:rPr>
                                <w:sz w:val="18"/>
                                <w:szCs w:val="18"/>
                              </w:rPr>
                            </w:pPr>
                            <w:r>
                              <w:rPr>
                                <w:rFonts w:hint="eastAsia"/>
                                <w:sz w:val="18"/>
                                <w:szCs w:val="18"/>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flip:x;margin-left:133.35pt;margin-top:160.25pt;height:24.4pt;width:64.95pt;z-index:251734016;v-text-anchor:middle;mso-width-relative:page;mso-height-relative:page;" fillcolor="#FFFFFF" filled="t" stroked="t" coordsize="21600,21600" o:gfxdata="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CoP8Rb2QAAAAsBAAAPAAAAAAAAAAEA&#10;IAAAACIAAABkcnMvZG93bnJldi54bWxQSwECFAAUAAAACACHTuJAoyoN+bkCAAB/BQAADgAAAAAA&#10;AAABACAAAAAoAQAAZHJzL2Uyb0RvYy54bWxQSwUGAAAAAAYABgBZAQAAUwYAAAAA&#10;" adj="4457,39349">
                <v:fill on="t" focussize="0,0"/>
                <v:stroke weight="1pt" color="#000000" miterlimit="8" joinstyle="miter"/>
                <v:imagedata o:title=""/>
                <o:lock v:ext="edit" aspectratio="f"/>
                <v:textbox>
                  <w:txbxContent>
                    <w:p>
                      <w:pPr>
                        <w:spacing w:line="240" w:lineRule="auto"/>
                        <w:ind w:firstLine="0" w:firstLineChars="0"/>
                        <w:jc w:val="left"/>
                        <w:rPr>
                          <w:sz w:val="18"/>
                          <w:szCs w:val="18"/>
                        </w:rPr>
                      </w:pPr>
                      <w:r>
                        <w:rPr>
                          <w:rFonts w:hint="eastAsia"/>
                          <w:sz w:val="18"/>
                          <w:szCs w:val="18"/>
                        </w:rPr>
                        <w:t>本项目位置</w:t>
                      </w:r>
                    </w:p>
                  </w:txbxContent>
                </v:textbox>
              </v:shape>
            </w:pict>
          </mc:Fallback>
        </mc:AlternateContent>
      </w:r>
      <w:r>
        <w:rPr>
          <w:color w:val="auto"/>
        </w:rPr>
        <mc:AlternateContent>
          <mc:Choice Requires="wps">
            <w:drawing>
              <wp:anchor distT="0" distB="0" distL="114300" distR="114300" simplePos="0" relativeHeight="251732992" behindDoc="0" locked="0" layoutInCell="1" allowOverlap="1">
                <wp:simplePos x="0" y="0"/>
                <wp:positionH relativeFrom="column">
                  <wp:posOffset>2279015</wp:posOffset>
                </wp:positionH>
                <wp:positionV relativeFrom="paragraph">
                  <wp:posOffset>2522220</wp:posOffset>
                </wp:positionV>
                <wp:extent cx="123190" cy="121285"/>
                <wp:effectExtent l="12700" t="13970" r="16510" b="17145"/>
                <wp:wrapNone/>
                <wp:docPr id="169" name="五角星 169"/>
                <wp:cNvGraphicFramePr/>
                <a:graphic xmlns:a="http://schemas.openxmlformats.org/drawingml/2006/main">
                  <a:graphicData uri="http://schemas.microsoft.com/office/word/2010/wordprocessingShape">
                    <wps:wsp>
                      <wps:cNvSpPr/>
                      <wps:spPr>
                        <a:xfrm>
                          <a:off x="0" y="0"/>
                          <a:ext cx="123190" cy="121285"/>
                        </a:xfrm>
                        <a:prstGeom prst="star5">
                          <a:avLst>
                            <a:gd name="adj" fmla="val 25848"/>
                            <a:gd name="hf" fmla="val 105146"/>
                            <a:gd name="vf" fmla="val 110557"/>
                          </a:avLst>
                        </a:prstGeom>
                        <a:solidFill>
                          <a:srgbClr val="C0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79.45pt;margin-top:198.6pt;height:9.55pt;width:9.7pt;z-index:251732992;v-text-anchor:middle;mso-width-relative:page;mso-height-relative:page;" fillcolor="#C00000" filled="t" stroked="t" coordsize="123190,121285" o:gfxdata="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EFvIxHbAAAACwEAAA8AAAAAAAAAAQAgAAAAIgAAAGRycy9kb3ducmV2&#10;LnhtbFBLAQIUABQAAAAIAIdO4kD5InLxpAIAAHsFAAAOAAAAAAAAAAEAIAAAACoBAABkcnMvZTJv&#10;RG9jLnhtbFBLBQYAAAAABgAGAFkBAABABgAAAAA=&#10;" path="m0,46326l41915,39004,61595,0,81274,39004,123189,46326,93437,77754,99662,121284,61595,101703,23527,121284,29752,77754xe">
                <v:path o:connectlocs="61595,0;0,46326;23527,121284;99662,121284;123189,46326" o:connectangles="247,164,82,82,0"/>
                <v:fill on="t" focussize="0,0"/>
                <v:stroke weight="1pt" color="#C00000" miterlimit="8" joinstyle="miter"/>
                <v:imagedata o:title=""/>
                <o:lock v:ext="edit" aspectratio="f"/>
              </v:shape>
            </w:pict>
          </mc:Fallback>
        </mc:AlternateContent>
      </w:r>
      <w:r>
        <w:rPr>
          <w:rFonts w:hint="eastAsia" w:ascii="宋体" w:hAnsi="宋体" w:cs="宋体"/>
          <w:color w:val="auto"/>
          <w:szCs w:val="21"/>
        </w:rPr>
        <w:drawing>
          <wp:inline distT="0" distB="0" distL="114300" distR="114300">
            <wp:extent cx="5438140" cy="7560310"/>
            <wp:effectExtent l="19050" t="19050" r="29210" b="21590"/>
            <wp:docPr id="1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
                    <pic:cNvPicPr>
                      <a:picLocks noChangeAspect="1"/>
                    </pic:cNvPicPr>
                  </pic:nvPicPr>
                  <pic:blipFill>
                    <a:blip r:embed="rId151"/>
                    <a:srcRect l="891" t="5795" r="784" b="504"/>
                    <a:stretch>
                      <a:fillRect/>
                    </a:stretch>
                  </pic:blipFill>
                  <pic:spPr>
                    <a:xfrm>
                      <a:off x="0" y="0"/>
                      <a:ext cx="5438140" cy="7560310"/>
                    </a:xfrm>
                    <a:prstGeom prst="rect">
                      <a:avLst/>
                    </a:prstGeom>
                    <a:noFill/>
                    <a:ln w="19050" cap="flat" cmpd="thickThin">
                      <a:solidFill>
                        <a:schemeClr val="tx1"/>
                      </a:solidFill>
                      <a:prstDash val="solid"/>
                      <a:miter/>
                      <a:headEnd type="none" w="med" len="med"/>
                      <a:tailEnd type="none" w="med" len="med"/>
                    </a:ln>
                  </pic:spPr>
                </pic:pic>
              </a:graphicData>
            </a:graphic>
          </wp:inline>
        </w:drawing>
      </w:r>
    </w:p>
    <w:p>
      <w:pPr>
        <w:ind w:firstLine="0" w:firstLineChars="0"/>
        <w:jc w:val="center"/>
        <w:rPr>
          <w:rFonts w:eastAsia="黑体"/>
          <w:color w:val="auto"/>
          <w:sz w:val="21"/>
          <w:szCs w:val="21"/>
        </w:rPr>
      </w:pPr>
      <w:r>
        <w:rPr>
          <w:rFonts w:eastAsia="黑体"/>
          <w:color w:val="auto"/>
          <w:sz w:val="21"/>
          <w:szCs w:val="21"/>
        </w:rPr>
        <w:t>图12.1-1 淄博市省级生态保护红线</w:t>
      </w:r>
    </w:p>
    <w:p>
      <w:pPr>
        <w:pStyle w:val="2"/>
        <w:ind w:firstLine="480"/>
        <w:rPr>
          <w:color w:val="auto"/>
        </w:rPr>
      </w:pPr>
    </w:p>
    <w:p>
      <w:pPr>
        <w:ind w:firstLine="480"/>
        <w:rPr>
          <w:color w:val="auto"/>
        </w:rPr>
      </w:pPr>
    </w:p>
    <w:p>
      <w:pPr>
        <w:pStyle w:val="2"/>
        <w:jc w:val="center"/>
        <w:rPr>
          <w:rFonts w:eastAsia="黑体"/>
          <w:color w:val="auto"/>
          <w:sz w:val="21"/>
          <w:szCs w:val="21"/>
        </w:rPr>
      </w:pPr>
      <w:r>
        <w:rPr>
          <w:rFonts w:eastAsia="黑体"/>
          <w:color w:val="auto"/>
          <w:sz w:val="21"/>
          <w:szCs w:val="21"/>
        </w:rPr>
        <mc:AlternateContent>
          <mc:Choice Requires="wps">
            <w:drawing>
              <wp:anchor distT="0" distB="0" distL="114300" distR="114300" simplePos="0" relativeHeight="251737088" behindDoc="0" locked="0" layoutInCell="1" allowOverlap="1">
                <wp:simplePos x="0" y="0"/>
                <wp:positionH relativeFrom="column">
                  <wp:posOffset>2300605</wp:posOffset>
                </wp:positionH>
                <wp:positionV relativeFrom="paragraph">
                  <wp:posOffset>2052320</wp:posOffset>
                </wp:positionV>
                <wp:extent cx="824865" cy="309880"/>
                <wp:effectExtent l="6350" t="6350" r="6985" b="274320"/>
                <wp:wrapNone/>
                <wp:docPr id="173" name="矩形标注 173"/>
                <wp:cNvGraphicFramePr/>
                <a:graphic xmlns:a="http://schemas.openxmlformats.org/drawingml/2006/main">
                  <a:graphicData uri="http://schemas.microsoft.com/office/word/2010/wordprocessingShape">
                    <wps:wsp>
                      <wps:cNvSpPr/>
                      <wps:spPr>
                        <a:xfrm flipH="1">
                          <a:off x="0" y="0"/>
                          <a:ext cx="824865" cy="309880"/>
                        </a:xfrm>
                        <a:prstGeom prst="wedgeRectCallout">
                          <a:avLst>
                            <a:gd name="adj1" fmla="val -29368"/>
                            <a:gd name="adj2" fmla="val 132172"/>
                          </a:avLst>
                        </a:prstGeom>
                        <a:solidFill>
                          <a:srgbClr val="FFFFFF"/>
                        </a:solidFill>
                        <a:ln w="12700" cap="flat" cmpd="sng" algn="ctr">
                          <a:solidFill>
                            <a:srgbClr val="000000"/>
                          </a:solidFill>
                          <a:prstDash val="solid"/>
                          <a:miter lim="800000"/>
                        </a:ln>
                        <a:effectLst/>
                      </wps:spPr>
                      <wps:txbx>
                        <w:txbxContent>
                          <w:p>
                            <w:pPr>
                              <w:spacing w:line="240" w:lineRule="auto"/>
                              <w:ind w:firstLine="0" w:firstLineChars="0"/>
                              <w:jc w:val="left"/>
                              <w:rPr>
                                <w:sz w:val="18"/>
                                <w:szCs w:val="18"/>
                              </w:rPr>
                            </w:pPr>
                            <w:r>
                              <w:rPr>
                                <w:rFonts w:hint="eastAsia"/>
                                <w:sz w:val="18"/>
                                <w:szCs w:val="18"/>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flip:x;margin-left:181.15pt;margin-top:161.6pt;height:24.4pt;width:64.95pt;z-index:251737088;v-text-anchor:middle;mso-width-relative:page;mso-height-relative:page;" fillcolor="#FFFFFF" filled="t" stroked="t" coordsize="21600,21600" o:gfxdata="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AGqHSA2AAAAAsBAAAPAAAAAAAAAAEA&#10;IAAAACIAAABkcnMvZG93bnJldi54bWxQSwECFAAUAAAACACHTuJArjc00LoCAAB/BQAADgAAAAAA&#10;AAABACAAAAAnAQAAZHJzL2Uyb0RvYy54bWxQSwUGAAAAAAYABgBZAQAAUwYAAAAA&#10;" adj="4457,39349">
                <v:fill on="t" focussize="0,0"/>
                <v:stroke weight="1pt" color="#000000" miterlimit="8" joinstyle="miter"/>
                <v:imagedata o:title=""/>
                <o:lock v:ext="edit" aspectratio="f"/>
                <v:textbox>
                  <w:txbxContent>
                    <w:p>
                      <w:pPr>
                        <w:spacing w:line="240" w:lineRule="auto"/>
                        <w:ind w:firstLine="0" w:firstLineChars="0"/>
                        <w:jc w:val="left"/>
                        <w:rPr>
                          <w:sz w:val="18"/>
                          <w:szCs w:val="18"/>
                        </w:rPr>
                      </w:pPr>
                      <w:r>
                        <w:rPr>
                          <w:rFonts w:hint="eastAsia"/>
                          <w:sz w:val="18"/>
                          <w:szCs w:val="18"/>
                        </w:rPr>
                        <w:t>本项目位置</w:t>
                      </w:r>
                    </w:p>
                  </w:txbxContent>
                </v:textbox>
              </v:shape>
            </w:pict>
          </mc:Fallback>
        </mc:AlternateContent>
      </w:r>
      <w:r>
        <w:rPr>
          <w:rFonts w:eastAsia="黑体"/>
          <w:color w:val="auto"/>
          <w:sz w:val="21"/>
          <w:szCs w:val="21"/>
        </w:rPr>
        <mc:AlternateContent>
          <mc:Choice Requires="wps">
            <w:drawing>
              <wp:anchor distT="0" distB="0" distL="114300" distR="114300" simplePos="0" relativeHeight="251736064" behindDoc="0" locked="0" layoutInCell="1" allowOverlap="1">
                <wp:simplePos x="0" y="0"/>
                <wp:positionH relativeFrom="column">
                  <wp:posOffset>2910205</wp:posOffset>
                </wp:positionH>
                <wp:positionV relativeFrom="paragraph">
                  <wp:posOffset>2578100</wp:posOffset>
                </wp:positionV>
                <wp:extent cx="123190" cy="121285"/>
                <wp:effectExtent l="17780" t="19685" r="30480" b="30480"/>
                <wp:wrapNone/>
                <wp:docPr id="172" name="五角星 172"/>
                <wp:cNvGraphicFramePr/>
                <a:graphic xmlns:a="http://schemas.openxmlformats.org/drawingml/2006/main">
                  <a:graphicData uri="http://schemas.microsoft.com/office/word/2010/wordprocessingShape">
                    <wps:wsp>
                      <wps:cNvSpPr/>
                      <wps:spPr>
                        <a:xfrm>
                          <a:off x="0" y="0"/>
                          <a:ext cx="123190" cy="121285"/>
                        </a:xfrm>
                        <a:prstGeom prst="star5">
                          <a:avLst>
                            <a:gd name="adj" fmla="val 20165"/>
                            <a:gd name="hf" fmla="val 105146"/>
                            <a:gd name="vf" fmla="val 110557"/>
                          </a:avLst>
                        </a:prstGeom>
                        <a:solidFill>
                          <a:srgbClr val="C0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29.15pt;margin-top:203pt;height:9.55pt;width:9.7pt;z-index:251736064;v-text-anchor:middle;mso-width-relative:page;mso-height-relative:page;" fillcolor="#C00000" filled="t" stroked="t" coordsize="123190,121285" o:gfxdata="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OpY25TZAAAACwEAAA8AAAAAAAAAAQAgAAAAIgAAAGRycy9kb3ducmV2&#10;LnhtbFBLAQIUABQAAAAIAIdO4kAEbnujpgIAAHsFAAAOAAAAAAAAAAEAIAAAACgBAABkcnMvZTJv&#10;RG9jLnhtbFBLBQYAAAAABgAGAFkBAABABgAAAAA=&#10;" path="m0,46326l46242,45169,61595,0,76947,45169,123189,46326,86436,75400,99662,121284,61595,94083,23527,121284,36753,75400xe">
                <v:path o:connectlocs="61595,0;0,46326;23527,121284;99662,121284;123189,46326" o:connectangles="247,164,82,82,0"/>
                <v:fill on="t" focussize="0,0"/>
                <v:stroke weight="1pt" color="#C00000" miterlimit="8" joinstyle="miter"/>
                <v:imagedata o:title=""/>
                <o:lock v:ext="edit" aspectratio="f"/>
              </v:shape>
            </w:pict>
          </mc:Fallback>
        </mc:AlternateContent>
      </w:r>
      <w:r>
        <w:rPr>
          <w:rFonts w:eastAsia="黑体"/>
          <w:color w:val="auto"/>
          <w:sz w:val="21"/>
          <w:szCs w:val="21"/>
        </w:rPr>
        <w:drawing>
          <wp:anchor distT="0" distB="0" distL="114300" distR="114300" simplePos="0" relativeHeight="251735040" behindDoc="0" locked="0" layoutInCell="1" allowOverlap="1">
            <wp:simplePos x="0" y="0"/>
            <wp:positionH relativeFrom="column">
              <wp:posOffset>-913765</wp:posOffset>
            </wp:positionH>
            <wp:positionV relativeFrom="paragraph">
              <wp:posOffset>1127125</wp:posOffset>
            </wp:positionV>
            <wp:extent cx="7560310" cy="5448935"/>
            <wp:effectExtent l="19050" t="19050" r="37465" b="21590"/>
            <wp:wrapSquare wrapText="bothSides"/>
            <wp:docPr id="171" name="图片 171" descr="868748786470694fd09dd352e4e6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868748786470694fd09dd352e4e6779"/>
                    <pic:cNvPicPr>
                      <a:picLocks noChangeAspect="1"/>
                    </pic:cNvPicPr>
                  </pic:nvPicPr>
                  <pic:blipFill>
                    <a:blip r:embed="rId152"/>
                    <a:stretch>
                      <a:fillRect/>
                    </a:stretch>
                  </pic:blipFill>
                  <pic:spPr>
                    <a:xfrm rot="16200000" flipH="1" flipV="1">
                      <a:off x="0" y="0"/>
                      <a:ext cx="7560310" cy="5448935"/>
                    </a:xfrm>
                    <a:prstGeom prst="rect">
                      <a:avLst/>
                    </a:prstGeom>
                    <a:noFill/>
                    <a:ln w="19050" cap="flat" cmpd="thickThin">
                      <a:solidFill>
                        <a:schemeClr val="tx1"/>
                      </a:solidFill>
                      <a:prstDash val="solid"/>
                      <a:miter/>
                      <a:headEnd type="none" w="med" len="med"/>
                      <a:tailEnd type="none" w="med" len="med"/>
                    </a:ln>
                  </pic:spPr>
                </pic:pic>
              </a:graphicData>
            </a:graphic>
          </wp:anchor>
        </w:drawing>
      </w:r>
      <w:r>
        <w:rPr>
          <w:rFonts w:eastAsia="黑体"/>
          <w:color w:val="auto"/>
          <w:sz w:val="21"/>
          <w:szCs w:val="21"/>
        </w:rPr>
        <w:t>图12.1-2-淄博市环境管控单元位置图</w:t>
      </w:r>
    </w:p>
    <w:p>
      <w:pPr>
        <w:ind w:firstLine="480"/>
        <w:rPr>
          <w:color w:val="auto"/>
        </w:rPr>
      </w:pPr>
    </w:p>
    <w:p>
      <w:pPr>
        <w:ind w:firstLine="480"/>
        <w:rPr>
          <w:color w:val="auto"/>
        </w:rPr>
      </w:pPr>
      <w:r>
        <w:rPr>
          <w:color w:val="auto"/>
        </w:rPr>
        <w:t>1</w:t>
      </w:r>
      <w:r>
        <w:rPr>
          <w:rFonts w:hint="eastAsia"/>
          <w:color w:val="auto"/>
        </w:rPr>
        <w:t>1</w:t>
      </w:r>
      <w:r>
        <w:rPr>
          <w:color w:val="auto"/>
        </w:rPr>
        <w:t>、与《重点行业挥发性有机物综合治理方案》的符合性分析</w:t>
      </w:r>
    </w:p>
    <w:p>
      <w:pPr>
        <w:ind w:firstLine="480"/>
        <w:rPr>
          <w:color w:val="auto"/>
        </w:rPr>
      </w:pPr>
      <w:r>
        <w:rPr>
          <w:color w:val="auto"/>
        </w:rPr>
        <w:t>项目与《重点行业挥发性有机物综合治理方案》（环大气[2019]53号）符合性分析见表12.1-1</w:t>
      </w:r>
      <w:r>
        <w:rPr>
          <w:rFonts w:hint="eastAsia"/>
          <w:color w:val="auto"/>
        </w:rPr>
        <w:t>1</w:t>
      </w:r>
      <w:r>
        <w:rPr>
          <w:color w:val="auto"/>
        </w:rPr>
        <w:t>。</w:t>
      </w:r>
    </w:p>
    <w:p>
      <w:pPr>
        <w:ind w:firstLine="0" w:firstLineChars="0"/>
        <w:jc w:val="center"/>
        <w:rPr>
          <w:rFonts w:hint="default" w:ascii="Times New Roman" w:hAnsi="Times New Roman" w:eastAsia="黑体" w:cs="Times New Roman"/>
          <w:b w:val="0"/>
          <w:bCs w:val="0"/>
          <w:color w:val="auto"/>
          <w:sz w:val="21"/>
          <w:szCs w:val="21"/>
        </w:rPr>
      </w:pPr>
      <w:r>
        <w:rPr>
          <w:rFonts w:hint="default" w:ascii="Times New Roman" w:hAnsi="Times New Roman" w:eastAsia="黑体" w:cs="Times New Roman"/>
          <w:b w:val="0"/>
          <w:bCs w:val="0"/>
          <w:color w:val="auto"/>
          <w:sz w:val="21"/>
          <w:szCs w:val="21"/>
        </w:rPr>
        <w:t>表12.1-11 与《重点行业挥发性有机物综合治理方案》符合性分析</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53"/>
        <w:gridCol w:w="3477"/>
        <w:gridCol w:w="2494"/>
        <w:gridCol w:w="13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1" w:type="pct"/>
            <w:vAlign w:val="center"/>
          </w:tcPr>
          <w:p>
            <w:pPr>
              <w:pStyle w:val="47"/>
              <w:spacing w:line="240" w:lineRule="auto"/>
              <w:rPr>
                <w:b/>
                <w:color w:val="auto"/>
              </w:rPr>
            </w:pPr>
            <w:r>
              <w:rPr>
                <w:b/>
                <w:color w:val="auto"/>
              </w:rPr>
              <w:t>分类</w:t>
            </w:r>
          </w:p>
        </w:tc>
        <w:tc>
          <w:tcPr>
            <w:tcW w:w="1871" w:type="pct"/>
            <w:vAlign w:val="center"/>
          </w:tcPr>
          <w:p>
            <w:pPr>
              <w:pStyle w:val="47"/>
              <w:spacing w:line="240" w:lineRule="auto"/>
              <w:rPr>
                <w:b/>
                <w:color w:val="auto"/>
              </w:rPr>
            </w:pPr>
            <w:r>
              <w:rPr>
                <w:b/>
                <w:color w:val="auto"/>
              </w:rPr>
              <w:t>文件要求</w:t>
            </w:r>
          </w:p>
        </w:tc>
        <w:tc>
          <w:tcPr>
            <w:tcW w:w="1342" w:type="pct"/>
            <w:vAlign w:val="center"/>
          </w:tcPr>
          <w:p>
            <w:pPr>
              <w:pStyle w:val="47"/>
              <w:spacing w:line="240" w:lineRule="auto"/>
              <w:rPr>
                <w:b/>
                <w:color w:val="auto"/>
              </w:rPr>
            </w:pPr>
            <w:r>
              <w:rPr>
                <w:b/>
                <w:color w:val="auto"/>
              </w:rPr>
              <w:t>项目情况</w:t>
            </w:r>
          </w:p>
        </w:tc>
        <w:tc>
          <w:tcPr>
            <w:tcW w:w="734" w:type="pct"/>
            <w:vAlign w:val="center"/>
          </w:tcPr>
          <w:p>
            <w:pPr>
              <w:pStyle w:val="47"/>
              <w:spacing w:line="240" w:lineRule="auto"/>
              <w:rPr>
                <w:b/>
                <w:color w:val="auto"/>
              </w:rPr>
            </w:pPr>
            <w:r>
              <w:rPr>
                <w:b/>
                <w:color w:val="auto"/>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1" w:type="pct"/>
            <w:vAlign w:val="center"/>
          </w:tcPr>
          <w:p>
            <w:pPr>
              <w:pStyle w:val="47"/>
              <w:spacing w:line="240" w:lineRule="auto"/>
              <w:rPr>
                <w:color w:val="auto"/>
              </w:rPr>
            </w:pPr>
            <w:r>
              <w:rPr>
                <w:color w:val="auto"/>
              </w:rPr>
              <w:t>全面加强无组织排放控制</w:t>
            </w:r>
          </w:p>
        </w:tc>
        <w:tc>
          <w:tcPr>
            <w:tcW w:w="1871" w:type="pct"/>
            <w:vAlign w:val="center"/>
          </w:tcPr>
          <w:p>
            <w:pPr>
              <w:pStyle w:val="47"/>
              <w:spacing w:line="240" w:lineRule="auto"/>
              <w:jc w:val="both"/>
              <w:rPr>
                <w:color w:val="auto"/>
              </w:rPr>
            </w:pPr>
            <w:r>
              <w:rPr>
                <w:color w:val="auto"/>
              </w:rPr>
              <w:t>重点对含VOCs物料（包括含VOCs 原辅材料、含VOCs产品、含VOCs 废料以及有机聚合物材料等）储存、转移和输送、设备与管线组件泄漏、敞开液面逸散以及工艺过程等五类排放源实施管控，通过采取设备与场所密闭、工艺改进、废气有效收集等措施，削减VOCs无组织排放</w:t>
            </w:r>
          </w:p>
        </w:tc>
        <w:tc>
          <w:tcPr>
            <w:tcW w:w="1342" w:type="pct"/>
            <w:vAlign w:val="center"/>
          </w:tcPr>
          <w:p>
            <w:pPr>
              <w:pStyle w:val="47"/>
              <w:spacing w:line="240" w:lineRule="auto"/>
              <w:jc w:val="both"/>
              <w:rPr>
                <w:color w:val="auto"/>
              </w:rPr>
            </w:pPr>
            <w:r>
              <w:rPr>
                <w:rFonts w:hint="eastAsia"/>
                <w:color w:val="auto"/>
              </w:rPr>
              <w:t>拟建项目</w:t>
            </w:r>
            <w:r>
              <w:rPr>
                <w:color w:val="auto"/>
              </w:rPr>
              <w:t>VOCs原料采用罐装，采用管道输送，反应工艺废气均收集入废气处理系统；对生产过程加强控制，削减VOCs无组织排放</w:t>
            </w:r>
          </w:p>
        </w:tc>
        <w:tc>
          <w:tcPr>
            <w:tcW w:w="734" w:type="pct"/>
            <w:vAlign w:val="center"/>
          </w:tcPr>
          <w:p>
            <w:pPr>
              <w:pStyle w:val="47"/>
              <w:spacing w:line="240" w:lineRule="auto"/>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1" w:type="pct"/>
            <w:vAlign w:val="center"/>
          </w:tcPr>
          <w:p>
            <w:pPr>
              <w:pStyle w:val="47"/>
              <w:spacing w:line="240" w:lineRule="auto"/>
              <w:rPr>
                <w:color w:val="auto"/>
              </w:rPr>
            </w:pPr>
            <w:r>
              <w:rPr>
                <w:color w:val="auto"/>
              </w:rPr>
              <w:t>加强设备与场所密闭管理</w:t>
            </w:r>
          </w:p>
        </w:tc>
        <w:tc>
          <w:tcPr>
            <w:tcW w:w="1871" w:type="pct"/>
            <w:vAlign w:val="center"/>
          </w:tcPr>
          <w:p>
            <w:pPr>
              <w:pStyle w:val="47"/>
              <w:spacing w:line="240" w:lineRule="auto"/>
              <w:jc w:val="both"/>
              <w:rPr>
                <w:color w:val="auto"/>
              </w:rPr>
            </w:pPr>
            <w:r>
              <w:rPr>
                <w:color w:val="auto"/>
              </w:rPr>
              <w:t>含VOCs物料应储存于密闭容器、包装袋，高效密封储罐，封闭式储库、料仓等。含VOCs物料转移和输送，应采用密闭管道或密闭容器、罐车等。高VOCs含量废水（废水液面上方100毫米处VOCs检测浓度超过200ppm，其中，重点区域超过100ppm，以碳计）的集输、储存和处理过程，应加盖密闭。含VOCs物料生产和使用过程，应采取有效收集措施或在密闭空间中操作</w:t>
            </w:r>
          </w:p>
        </w:tc>
        <w:tc>
          <w:tcPr>
            <w:tcW w:w="1342" w:type="pct"/>
            <w:vAlign w:val="center"/>
          </w:tcPr>
          <w:p>
            <w:pPr>
              <w:pStyle w:val="47"/>
              <w:spacing w:line="240" w:lineRule="auto"/>
              <w:jc w:val="both"/>
              <w:rPr>
                <w:color w:val="auto"/>
              </w:rPr>
            </w:pPr>
            <w:r>
              <w:rPr>
                <w:rFonts w:hint="eastAsia"/>
                <w:color w:val="auto"/>
              </w:rPr>
              <w:t>拟建项目</w:t>
            </w:r>
            <w:r>
              <w:rPr>
                <w:color w:val="auto"/>
              </w:rPr>
              <w:t>含VOCs</w:t>
            </w:r>
            <w:r>
              <w:rPr>
                <w:rFonts w:hint="eastAsia"/>
                <w:color w:val="auto"/>
              </w:rPr>
              <w:t>的</w:t>
            </w:r>
            <w:r>
              <w:rPr>
                <w:color w:val="auto"/>
              </w:rPr>
              <w:t>物料均储存于密闭储罐内，生产全过程配备废气收集处理系统；生产和使用过程均密闭</w:t>
            </w:r>
          </w:p>
        </w:tc>
        <w:tc>
          <w:tcPr>
            <w:tcW w:w="734" w:type="pct"/>
            <w:vAlign w:val="center"/>
          </w:tcPr>
          <w:p>
            <w:pPr>
              <w:pStyle w:val="47"/>
              <w:spacing w:line="240" w:lineRule="auto"/>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1" w:type="pct"/>
            <w:vAlign w:val="center"/>
          </w:tcPr>
          <w:p>
            <w:pPr>
              <w:pStyle w:val="47"/>
              <w:spacing w:line="240" w:lineRule="auto"/>
              <w:rPr>
                <w:color w:val="auto"/>
              </w:rPr>
            </w:pPr>
            <w:r>
              <w:rPr>
                <w:color w:val="auto"/>
              </w:rPr>
              <w:t>推进使用先进生产工艺</w:t>
            </w:r>
          </w:p>
        </w:tc>
        <w:tc>
          <w:tcPr>
            <w:tcW w:w="1871" w:type="pct"/>
            <w:vAlign w:val="center"/>
          </w:tcPr>
          <w:p>
            <w:pPr>
              <w:pStyle w:val="47"/>
              <w:spacing w:line="240" w:lineRule="auto"/>
              <w:jc w:val="both"/>
              <w:rPr>
                <w:color w:val="auto"/>
              </w:rPr>
            </w:pPr>
            <w:r>
              <w:rPr>
                <w:color w:val="auto"/>
              </w:rPr>
              <w:t>通过采用全密闭、连续化、自动化等生产技术，以及高效工艺与设备等，减少工艺过程无组织排放。挥发性有机液体装载优先采用底部装载方式。石化、化工行业重点推进使用低（无）泄漏的泵、压缩机、过滤机、离心机、干燥设备等，推广采用油品在线调和技术、密闭式循环水冷却系统等</w:t>
            </w:r>
          </w:p>
        </w:tc>
        <w:tc>
          <w:tcPr>
            <w:tcW w:w="1342" w:type="pct"/>
            <w:vAlign w:val="center"/>
          </w:tcPr>
          <w:p>
            <w:pPr>
              <w:pStyle w:val="47"/>
              <w:spacing w:line="240" w:lineRule="auto"/>
              <w:jc w:val="both"/>
              <w:rPr>
                <w:color w:val="auto"/>
              </w:rPr>
            </w:pPr>
            <w:r>
              <w:rPr>
                <w:rFonts w:hint="eastAsia"/>
                <w:color w:val="auto"/>
              </w:rPr>
              <w:t>拟建项目</w:t>
            </w:r>
            <w:r>
              <w:rPr>
                <w:color w:val="auto"/>
              </w:rPr>
              <w:t>反应过程在密闭反应</w:t>
            </w:r>
            <w:r>
              <w:rPr>
                <w:rFonts w:hint="eastAsia"/>
                <w:color w:val="auto"/>
              </w:rPr>
              <w:t>塔</w:t>
            </w:r>
            <w:r>
              <w:rPr>
                <w:color w:val="auto"/>
              </w:rPr>
              <w:t>内进行，有机液体装载采用底部装载方式</w:t>
            </w:r>
          </w:p>
        </w:tc>
        <w:tc>
          <w:tcPr>
            <w:tcW w:w="734" w:type="pct"/>
            <w:vAlign w:val="center"/>
          </w:tcPr>
          <w:p>
            <w:pPr>
              <w:pStyle w:val="47"/>
              <w:spacing w:line="240" w:lineRule="auto"/>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1" w:type="pct"/>
            <w:vAlign w:val="center"/>
          </w:tcPr>
          <w:p>
            <w:pPr>
              <w:pStyle w:val="47"/>
              <w:spacing w:line="240" w:lineRule="auto"/>
              <w:rPr>
                <w:color w:val="auto"/>
              </w:rPr>
            </w:pPr>
            <w:r>
              <w:rPr>
                <w:color w:val="auto"/>
              </w:rPr>
              <w:t>加强设备与管线组件泄漏控制</w:t>
            </w:r>
          </w:p>
        </w:tc>
        <w:tc>
          <w:tcPr>
            <w:tcW w:w="1871" w:type="pct"/>
            <w:vAlign w:val="center"/>
          </w:tcPr>
          <w:p>
            <w:pPr>
              <w:pStyle w:val="47"/>
              <w:spacing w:line="240" w:lineRule="auto"/>
              <w:jc w:val="both"/>
              <w:rPr>
                <w:color w:val="auto"/>
              </w:rPr>
            </w:pPr>
            <w:r>
              <w:rPr>
                <w:color w:val="auto"/>
              </w:rPr>
              <w:t>企业中载有气态、液态VOCs物料的设备与管线组件，密封点数量大于等于2000个的，应按要求开展LDAR 工作。石化企业按行业排放标准规定执行</w:t>
            </w:r>
          </w:p>
        </w:tc>
        <w:tc>
          <w:tcPr>
            <w:tcW w:w="1342" w:type="pct"/>
            <w:vAlign w:val="center"/>
          </w:tcPr>
          <w:p>
            <w:pPr>
              <w:pStyle w:val="47"/>
              <w:spacing w:line="240" w:lineRule="auto"/>
              <w:jc w:val="both"/>
              <w:rPr>
                <w:color w:val="auto"/>
              </w:rPr>
            </w:pPr>
            <w:r>
              <w:rPr>
                <w:color w:val="auto"/>
              </w:rPr>
              <w:t>设备与管线组件，密封点数量小于2000个，建议企业定期开展LDAR工作</w:t>
            </w:r>
          </w:p>
        </w:tc>
        <w:tc>
          <w:tcPr>
            <w:tcW w:w="734" w:type="pct"/>
            <w:vAlign w:val="center"/>
          </w:tcPr>
          <w:p>
            <w:pPr>
              <w:pStyle w:val="47"/>
              <w:spacing w:line="240" w:lineRule="auto"/>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1" w:type="pct"/>
            <w:vAlign w:val="center"/>
          </w:tcPr>
          <w:p>
            <w:pPr>
              <w:pStyle w:val="47"/>
              <w:spacing w:line="240" w:lineRule="auto"/>
              <w:rPr>
                <w:color w:val="auto"/>
              </w:rPr>
            </w:pPr>
            <w:r>
              <w:rPr>
                <w:color w:val="auto"/>
              </w:rPr>
              <w:t>推进建设适宜高效的治污设施</w:t>
            </w:r>
          </w:p>
        </w:tc>
        <w:tc>
          <w:tcPr>
            <w:tcW w:w="1871" w:type="pct"/>
            <w:vAlign w:val="center"/>
          </w:tcPr>
          <w:p>
            <w:pPr>
              <w:pStyle w:val="47"/>
              <w:spacing w:line="240" w:lineRule="auto"/>
              <w:jc w:val="both"/>
              <w:rPr>
                <w:color w:val="auto"/>
              </w:rPr>
            </w:pPr>
            <w:r>
              <w:rPr>
                <w:color w:val="auto"/>
              </w:rPr>
              <w:t>企业新建治污设施或对现有治污设施实施改造，应依据排放废气的浓度、组分、风量，温度、湿度、压力，以及生产工况等，合理选择治理技术。鼓励企业采用多种技术的组合工艺，提高VOCs治理效率。低浓度、大风量废气，宜采用沸石转轮吸附、活性炭吸附、减风增浓等浓缩技术，提高VOCs浓度后净化处理；高浓</w:t>
            </w:r>
          </w:p>
          <w:p>
            <w:pPr>
              <w:pStyle w:val="47"/>
              <w:spacing w:line="240" w:lineRule="auto"/>
              <w:jc w:val="both"/>
              <w:rPr>
                <w:color w:val="auto"/>
              </w:rPr>
            </w:pPr>
            <w:r>
              <w:rPr>
                <w:color w:val="auto"/>
              </w:rPr>
              <w:t>度废气，优先进行溶剂回收，难以回收的，宜采用高温焚烧、催化燃烧等技术。油气（溶剂）回收宜采用冷凝+吸附、吸附+吸收、膜分离+吸附等技术。低温等离子、光催化、光氧化技术主要适用于恶臭异味等治理；生物法主要适用于低浓度VOCs废气治理和恶臭异味治理。非水溶性的VOCs废气禁止采用水或水溶液喷淋吸收处理。采用一次性活性炭吸附技术的，应定期更换活性炭，废旧活性炭应再生或处理处置。有条件的工业园区和产业集群等，推广集中喷涂、溶剂集中回收、活性炭集中再生等，加强资源共享，提高VOCs治理效率</w:t>
            </w:r>
          </w:p>
        </w:tc>
        <w:tc>
          <w:tcPr>
            <w:tcW w:w="1342" w:type="pct"/>
            <w:vAlign w:val="center"/>
          </w:tcPr>
          <w:p>
            <w:pPr>
              <w:pStyle w:val="47"/>
              <w:spacing w:line="240" w:lineRule="auto"/>
              <w:jc w:val="both"/>
              <w:rPr>
                <w:color w:val="auto"/>
              </w:rPr>
            </w:pPr>
            <w:r>
              <w:rPr>
                <w:rFonts w:hint="eastAsia"/>
                <w:color w:val="auto"/>
              </w:rPr>
              <w:t>拟建项目</w:t>
            </w:r>
            <w:r>
              <w:rPr>
                <w:color w:val="auto"/>
              </w:rPr>
              <w:t>有机废气经</w:t>
            </w:r>
            <w:r>
              <w:rPr>
                <w:rFonts w:hint="eastAsia"/>
                <w:color w:val="auto"/>
                <w:lang w:eastAsia="zh-CN"/>
              </w:rPr>
              <w:t>碱喷淋</w:t>
            </w:r>
            <w:r>
              <w:rPr>
                <w:rFonts w:hint="eastAsia"/>
                <w:color w:val="auto"/>
              </w:rPr>
              <w:t>+</w:t>
            </w:r>
            <w:r>
              <w:rPr>
                <w:color w:val="auto"/>
              </w:rPr>
              <w:t>活性炭吸附后排放，采用一次性活性炭吸附技术，定期更换活性炭，废活性炭作为危险废物委托处置</w:t>
            </w:r>
          </w:p>
        </w:tc>
        <w:tc>
          <w:tcPr>
            <w:tcW w:w="734" w:type="pct"/>
            <w:vAlign w:val="center"/>
          </w:tcPr>
          <w:p>
            <w:pPr>
              <w:pStyle w:val="47"/>
              <w:spacing w:line="240" w:lineRule="auto"/>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1" w:type="pct"/>
            <w:vAlign w:val="center"/>
          </w:tcPr>
          <w:p>
            <w:pPr>
              <w:pStyle w:val="47"/>
              <w:spacing w:line="240" w:lineRule="auto"/>
              <w:rPr>
                <w:color w:val="auto"/>
              </w:rPr>
            </w:pPr>
            <w:r>
              <w:rPr>
                <w:color w:val="auto"/>
              </w:rPr>
              <w:t>规范工程设计</w:t>
            </w:r>
          </w:p>
        </w:tc>
        <w:tc>
          <w:tcPr>
            <w:tcW w:w="1871" w:type="pct"/>
            <w:vAlign w:val="center"/>
          </w:tcPr>
          <w:p>
            <w:pPr>
              <w:pStyle w:val="47"/>
              <w:spacing w:line="240" w:lineRule="auto"/>
              <w:jc w:val="both"/>
              <w:rPr>
                <w:color w:val="auto"/>
              </w:rPr>
            </w:pPr>
            <w:r>
              <w:rPr>
                <w:color w:val="auto"/>
              </w:rPr>
              <w:t>采用吸附处理工艺的，应满足《吸附法工业有机废气治理工程技术规范》要求。采用催化燃烧工艺的，应满足《催化燃烧法工业有机废气治理工程技术规范》要求。采用蓄热燃烧等其他处理工艺的，应按相关技术规范要求设计</w:t>
            </w:r>
          </w:p>
        </w:tc>
        <w:tc>
          <w:tcPr>
            <w:tcW w:w="1342" w:type="pct"/>
            <w:vAlign w:val="center"/>
          </w:tcPr>
          <w:p>
            <w:pPr>
              <w:pStyle w:val="47"/>
              <w:spacing w:line="240" w:lineRule="auto"/>
              <w:jc w:val="both"/>
              <w:rPr>
                <w:color w:val="auto"/>
              </w:rPr>
            </w:pPr>
            <w:r>
              <w:rPr>
                <w:rFonts w:hint="eastAsia"/>
                <w:color w:val="auto"/>
              </w:rPr>
              <w:t>拟建项目</w:t>
            </w:r>
            <w:r>
              <w:rPr>
                <w:color w:val="auto"/>
              </w:rPr>
              <w:t>有机废气采用</w:t>
            </w:r>
            <w:r>
              <w:rPr>
                <w:rFonts w:hint="eastAsia"/>
                <w:color w:val="auto"/>
                <w:lang w:eastAsia="zh-CN"/>
              </w:rPr>
              <w:t>碱喷淋</w:t>
            </w:r>
            <w:r>
              <w:rPr>
                <w:rFonts w:hint="eastAsia"/>
                <w:color w:val="auto"/>
              </w:rPr>
              <w:t>+</w:t>
            </w:r>
            <w:r>
              <w:rPr>
                <w:color w:val="auto"/>
              </w:rPr>
              <w:t>活性炭吸附处理，满足《吸附法工业有机废气治理工程技术规范》要求</w:t>
            </w:r>
          </w:p>
        </w:tc>
        <w:tc>
          <w:tcPr>
            <w:tcW w:w="734" w:type="pct"/>
            <w:vAlign w:val="center"/>
          </w:tcPr>
          <w:p>
            <w:pPr>
              <w:pStyle w:val="47"/>
              <w:spacing w:line="240" w:lineRule="auto"/>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1" w:type="pct"/>
            <w:vAlign w:val="center"/>
          </w:tcPr>
          <w:p>
            <w:pPr>
              <w:pStyle w:val="47"/>
              <w:spacing w:line="240" w:lineRule="auto"/>
              <w:rPr>
                <w:color w:val="auto"/>
              </w:rPr>
            </w:pPr>
            <w:r>
              <w:rPr>
                <w:color w:val="auto"/>
              </w:rPr>
              <w:t>实行重点排放源排放浓度与去除效率双重控制</w:t>
            </w:r>
          </w:p>
        </w:tc>
        <w:tc>
          <w:tcPr>
            <w:tcW w:w="1871" w:type="pct"/>
            <w:vAlign w:val="center"/>
          </w:tcPr>
          <w:p>
            <w:pPr>
              <w:pStyle w:val="47"/>
              <w:spacing w:line="240" w:lineRule="auto"/>
              <w:jc w:val="both"/>
              <w:rPr>
                <w:color w:val="auto"/>
              </w:rPr>
            </w:pPr>
            <w:r>
              <w:rPr>
                <w:color w:val="auto"/>
              </w:rPr>
              <w:t>车间或生产设施收集排放的废气，VOCs初始排放速率大于等于3千克/小时、重点区域大于等于2千克/小时的，应加大控制力度，除确保排放浓度稳定达标外，还应实行去除效率控制，去除效率不低于80%；采用的原辅材料符合国家有关低VOCs 含量产品规定的除外，有行业排放标准的按其相关规定执行</w:t>
            </w:r>
          </w:p>
        </w:tc>
        <w:tc>
          <w:tcPr>
            <w:tcW w:w="1342" w:type="pct"/>
            <w:vAlign w:val="center"/>
          </w:tcPr>
          <w:p>
            <w:pPr>
              <w:pStyle w:val="47"/>
              <w:spacing w:line="240" w:lineRule="auto"/>
              <w:jc w:val="both"/>
              <w:rPr>
                <w:color w:val="auto"/>
              </w:rPr>
            </w:pPr>
            <w:r>
              <w:rPr>
                <w:rFonts w:hint="eastAsia"/>
                <w:color w:val="auto"/>
              </w:rPr>
              <w:t>拟建项目</w:t>
            </w:r>
            <w:r>
              <w:rPr>
                <w:color w:val="auto"/>
              </w:rPr>
              <w:t>有机废气处理效率≥80%，满足浓度与去除效率双重要求</w:t>
            </w:r>
          </w:p>
        </w:tc>
        <w:tc>
          <w:tcPr>
            <w:tcW w:w="734" w:type="pct"/>
            <w:vAlign w:val="center"/>
          </w:tcPr>
          <w:p>
            <w:pPr>
              <w:pStyle w:val="47"/>
              <w:spacing w:line="240" w:lineRule="auto"/>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1" w:type="pct"/>
            <w:vAlign w:val="center"/>
          </w:tcPr>
          <w:p>
            <w:pPr>
              <w:pStyle w:val="47"/>
              <w:spacing w:line="240" w:lineRule="auto"/>
              <w:rPr>
                <w:color w:val="auto"/>
              </w:rPr>
            </w:pPr>
            <w:r>
              <w:rPr>
                <w:color w:val="auto"/>
              </w:rPr>
              <w:t>加强企业运行管理</w:t>
            </w:r>
          </w:p>
        </w:tc>
        <w:tc>
          <w:tcPr>
            <w:tcW w:w="1871" w:type="pct"/>
            <w:vAlign w:val="center"/>
          </w:tcPr>
          <w:p>
            <w:pPr>
              <w:pStyle w:val="47"/>
              <w:spacing w:line="240" w:lineRule="auto"/>
              <w:jc w:val="both"/>
              <w:rPr>
                <w:color w:val="auto"/>
              </w:rPr>
            </w:pPr>
            <w:r>
              <w:rPr>
                <w:color w:val="auto"/>
              </w:rPr>
              <w:t>企业应系统梳理VOCs排放主要环节和工序，包括启停机、检维修作业等，制定具体操作规程，落实到具体责任人。健全内部考核制度。加强人员能力培训和技术交流。建立管理台账，记录企业生产和治污设施运行的关键参数，在线监控参数要确保能够实时调取，相关台账记录至少保存三年</w:t>
            </w:r>
          </w:p>
        </w:tc>
        <w:tc>
          <w:tcPr>
            <w:tcW w:w="1342" w:type="pct"/>
            <w:vAlign w:val="center"/>
          </w:tcPr>
          <w:p>
            <w:pPr>
              <w:pStyle w:val="47"/>
              <w:spacing w:line="240" w:lineRule="auto"/>
              <w:jc w:val="both"/>
              <w:rPr>
                <w:color w:val="auto"/>
              </w:rPr>
            </w:pPr>
            <w:r>
              <w:rPr>
                <w:color w:val="auto"/>
              </w:rPr>
              <w:t>企业启停机、检维修作业等，已制定具体操作规程，并建立了管理台账，在线监控参数可实时调取，相关记录应至少保存3年</w:t>
            </w:r>
          </w:p>
        </w:tc>
        <w:tc>
          <w:tcPr>
            <w:tcW w:w="734" w:type="pct"/>
            <w:vAlign w:val="center"/>
          </w:tcPr>
          <w:p>
            <w:pPr>
              <w:pStyle w:val="47"/>
              <w:spacing w:line="240" w:lineRule="auto"/>
              <w:rPr>
                <w:color w:val="auto"/>
              </w:rPr>
            </w:pPr>
            <w:r>
              <w:rPr>
                <w:color w:val="auto"/>
              </w:rPr>
              <w:t>符合</w:t>
            </w:r>
          </w:p>
        </w:tc>
      </w:tr>
    </w:tbl>
    <w:p>
      <w:pPr>
        <w:ind w:firstLine="480"/>
        <w:rPr>
          <w:color w:val="auto"/>
        </w:rPr>
      </w:pPr>
      <w:r>
        <w:rPr>
          <w:rFonts w:hint="eastAsia"/>
          <w:color w:val="auto"/>
        </w:rPr>
        <w:t>1</w:t>
      </w:r>
      <w:r>
        <w:rPr>
          <w:rFonts w:hint="eastAsia"/>
          <w:color w:val="auto"/>
          <w:lang w:val="en-US" w:eastAsia="zh-CN"/>
        </w:rPr>
        <w:t>2</w:t>
      </w:r>
      <w:r>
        <w:rPr>
          <w:color w:val="auto"/>
        </w:rPr>
        <w:t>、与《关于印发山东省涉挥发性有机物企业分行业治理指导意见的通知》符合性分析</w:t>
      </w:r>
    </w:p>
    <w:p>
      <w:pPr>
        <w:pStyle w:val="2"/>
        <w:keepNext w:val="0"/>
        <w:keepLines w:val="0"/>
        <w:pageBreakBefore w:val="0"/>
        <w:widowControl w:val="0"/>
        <w:kinsoku/>
        <w:wordWrap/>
        <w:overflowPunct/>
        <w:topLinePunct w:val="0"/>
        <w:autoSpaceDE/>
        <w:autoSpaceDN/>
        <w:bidi w:val="0"/>
        <w:adjustRightInd/>
        <w:snapToGrid/>
        <w:spacing w:after="0" w:line="440" w:lineRule="exact"/>
        <w:ind w:firstLine="480"/>
        <w:textAlignment w:val="auto"/>
        <w:rPr>
          <w:color w:val="auto"/>
        </w:rPr>
      </w:pPr>
      <w:r>
        <w:rPr>
          <w:color w:val="auto"/>
        </w:rPr>
        <w:t>山东省生态环境厅2019年12月13日发布了《关于印发山东省涉挥发性有机物企业分行业治理指导意见的通知》（鲁环发〔2019〕146号），</w:t>
      </w:r>
      <w:r>
        <w:rPr>
          <w:rFonts w:hint="eastAsia"/>
          <w:color w:val="auto"/>
        </w:rPr>
        <w:t>拟建项目</w:t>
      </w:r>
      <w:r>
        <w:rPr>
          <w:color w:val="auto"/>
        </w:rPr>
        <w:t>与鲁环发〔2019〕146号文符合情况见表12.1-1</w:t>
      </w:r>
      <w:r>
        <w:rPr>
          <w:rFonts w:hint="eastAsia"/>
          <w:color w:val="auto"/>
        </w:rPr>
        <w:t>3</w:t>
      </w:r>
      <w:r>
        <w:rPr>
          <w:color w:val="auto"/>
        </w:rPr>
        <w:t>。</w:t>
      </w:r>
    </w:p>
    <w:p>
      <w:pPr>
        <w:pStyle w:val="48"/>
        <w:keepNext w:val="0"/>
        <w:keepLines w:val="0"/>
        <w:pageBreakBefore w:val="0"/>
        <w:widowControl w:val="0"/>
        <w:kinsoku/>
        <w:wordWrap/>
        <w:overflowPunct/>
        <w:topLinePunct w:val="0"/>
        <w:autoSpaceDE/>
        <w:autoSpaceDN/>
        <w:bidi w:val="0"/>
        <w:adjustRightInd/>
        <w:snapToGrid/>
        <w:spacing w:line="440" w:lineRule="exact"/>
        <w:textAlignment w:val="auto"/>
        <w:rPr>
          <w:b w:val="0"/>
          <w:bCs/>
          <w:color w:val="auto"/>
        </w:rPr>
      </w:pPr>
      <w:r>
        <w:rPr>
          <w:b w:val="0"/>
          <w:bCs/>
          <w:color w:val="auto"/>
        </w:rPr>
        <w:t>表12.1-1</w:t>
      </w:r>
      <w:r>
        <w:rPr>
          <w:rFonts w:hint="eastAsia"/>
          <w:b w:val="0"/>
          <w:bCs/>
          <w:color w:val="auto"/>
        </w:rPr>
        <w:t>3</w:t>
      </w:r>
      <w:r>
        <w:rPr>
          <w:b w:val="0"/>
          <w:bCs/>
          <w:color w:val="auto"/>
        </w:rPr>
        <w:t xml:space="preserve">  </w:t>
      </w:r>
      <w:r>
        <w:rPr>
          <w:rFonts w:hint="eastAsia"/>
          <w:b w:val="0"/>
          <w:bCs/>
          <w:color w:val="auto"/>
        </w:rPr>
        <w:t>拟建项目</w:t>
      </w:r>
      <w:r>
        <w:rPr>
          <w:b w:val="0"/>
          <w:bCs/>
          <w:color w:val="auto"/>
        </w:rPr>
        <w:t>与鲁环发〔2019〕146号文符合性</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53"/>
        <w:gridCol w:w="3477"/>
        <w:gridCol w:w="2494"/>
        <w:gridCol w:w="13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1" w:type="pct"/>
            <w:vAlign w:val="center"/>
          </w:tcPr>
          <w:p>
            <w:pPr>
              <w:pStyle w:val="47"/>
              <w:spacing w:line="240" w:lineRule="auto"/>
              <w:rPr>
                <w:b/>
                <w:color w:val="auto"/>
              </w:rPr>
            </w:pPr>
            <w:r>
              <w:rPr>
                <w:b/>
                <w:color w:val="auto"/>
              </w:rPr>
              <w:t>分类</w:t>
            </w:r>
          </w:p>
        </w:tc>
        <w:tc>
          <w:tcPr>
            <w:tcW w:w="1871" w:type="pct"/>
            <w:vAlign w:val="center"/>
          </w:tcPr>
          <w:p>
            <w:pPr>
              <w:pStyle w:val="47"/>
              <w:spacing w:line="240" w:lineRule="auto"/>
              <w:rPr>
                <w:b/>
                <w:color w:val="auto"/>
              </w:rPr>
            </w:pPr>
            <w:r>
              <w:rPr>
                <w:b/>
                <w:color w:val="auto"/>
              </w:rPr>
              <w:t>文件要求</w:t>
            </w:r>
          </w:p>
        </w:tc>
        <w:tc>
          <w:tcPr>
            <w:tcW w:w="1342" w:type="pct"/>
            <w:vAlign w:val="center"/>
          </w:tcPr>
          <w:p>
            <w:pPr>
              <w:pStyle w:val="47"/>
              <w:spacing w:line="240" w:lineRule="auto"/>
              <w:rPr>
                <w:b/>
                <w:color w:val="auto"/>
              </w:rPr>
            </w:pPr>
            <w:r>
              <w:rPr>
                <w:b/>
                <w:color w:val="auto"/>
              </w:rPr>
              <w:t>项目情况</w:t>
            </w:r>
          </w:p>
        </w:tc>
        <w:tc>
          <w:tcPr>
            <w:tcW w:w="734" w:type="pct"/>
            <w:vAlign w:val="center"/>
          </w:tcPr>
          <w:p>
            <w:pPr>
              <w:pStyle w:val="47"/>
              <w:spacing w:line="240" w:lineRule="auto"/>
              <w:rPr>
                <w:b/>
                <w:color w:val="auto"/>
              </w:rPr>
            </w:pPr>
            <w:r>
              <w:rPr>
                <w:b/>
                <w:color w:val="auto"/>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1" w:type="pct"/>
            <w:vMerge w:val="restart"/>
            <w:vAlign w:val="center"/>
          </w:tcPr>
          <w:p>
            <w:pPr>
              <w:pStyle w:val="47"/>
              <w:spacing w:line="240" w:lineRule="auto"/>
              <w:rPr>
                <w:color w:val="auto"/>
              </w:rPr>
            </w:pPr>
            <w:r>
              <w:rPr>
                <w:color w:val="auto"/>
              </w:rPr>
              <w:t>加强过程控制</w:t>
            </w:r>
          </w:p>
        </w:tc>
        <w:tc>
          <w:tcPr>
            <w:tcW w:w="1871" w:type="pct"/>
            <w:vAlign w:val="center"/>
          </w:tcPr>
          <w:p>
            <w:pPr>
              <w:pStyle w:val="47"/>
              <w:spacing w:line="240" w:lineRule="auto"/>
              <w:jc w:val="both"/>
              <w:rPr>
                <w:color w:val="auto"/>
              </w:rPr>
            </w:pPr>
            <w:r>
              <w:rPr>
                <w:color w:val="auto"/>
              </w:rPr>
              <w:t>加强无组织排放控制。重点对含VOCs物料（包括含VOCs原辅材料、含VOCs产品、含VOCs废料以及有机聚合物材料等）储存、转移和输送、设备与管线组件泄漏、敞开液面逸散、工艺过程等五类排放源实施管控，通过采取设备与场所密闭、工艺改进、废气有效收集等措施，削减VOCs无组织排放</w:t>
            </w:r>
          </w:p>
        </w:tc>
        <w:tc>
          <w:tcPr>
            <w:tcW w:w="1342" w:type="pct"/>
            <w:vAlign w:val="center"/>
          </w:tcPr>
          <w:p>
            <w:pPr>
              <w:pStyle w:val="47"/>
              <w:spacing w:line="240" w:lineRule="auto"/>
              <w:jc w:val="both"/>
              <w:rPr>
                <w:color w:val="auto"/>
              </w:rPr>
            </w:pPr>
            <w:r>
              <w:rPr>
                <w:color w:val="auto"/>
              </w:rPr>
              <w:t>项目</w:t>
            </w:r>
            <w:r>
              <w:rPr>
                <w:rFonts w:hint="eastAsia"/>
                <w:color w:val="auto"/>
              </w:rPr>
              <w:t>含</w:t>
            </w:r>
            <w:r>
              <w:rPr>
                <w:color w:val="auto"/>
              </w:rPr>
              <w:t>VOCs原辅料及产品采用</w:t>
            </w:r>
            <w:r>
              <w:rPr>
                <w:rFonts w:hint="eastAsia"/>
                <w:color w:val="auto"/>
                <w:lang w:val="en-US" w:eastAsia="zh-CN"/>
              </w:rPr>
              <w:t>储</w:t>
            </w:r>
            <w:r>
              <w:rPr>
                <w:color w:val="auto"/>
              </w:rPr>
              <w:t>罐</w:t>
            </w:r>
            <w:r>
              <w:rPr>
                <w:rFonts w:hint="eastAsia"/>
                <w:color w:val="auto"/>
                <w:lang w:val="en-US" w:eastAsia="zh-CN"/>
              </w:rPr>
              <w:t>存储</w:t>
            </w:r>
            <w:r>
              <w:rPr>
                <w:color w:val="auto"/>
              </w:rPr>
              <w:t>；含VOCs物料在转移、输送、工艺过程均采取有效收集，无敞开液面，全面削减VOCs无组织排放</w:t>
            </w:r>
          </w:p>
        </w:tc>
        <w:tc>
          <w:tcPr>
            <w:tcW w:w="734" w:type="pct"/>
            <w:vAlign w:val="center"/>
          </w:tcPr>
          <w:p>
            <w:pPr>
              <w:pStyle w:val="47"/>
              <w:spacing w:line="240" w:lineRule="auto"/>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1" w:type="pct"/>
            <w:vMerge w:val="continue"/>
            <w:vAlign w:val="center"/>
          </w:tcPr>
          <w:p>
            <w:pPr>
              <w:pStyle w:val="47"/>
              <w:spacing w:line="240" w:lineRule="auto"/>
              <w:rPr>
                <w:color w:val="auto"/>
              </w:rPr>
            </w:pPr>
          </w:p>
        </w:tc>
        <w:tc>
          <w:tcPr>
            <w:tcW w:w="1871" w:type="pct"/>
            <w:vAlign w:val="center"/>
          </w:tcPr>
          <w:p>
            <w:pPr>
              <w:pStyle w:val="47"/>
              <w:spacing w:line="240" w:lineRule="auto"/>
              <w:jc w:val="both"/>
              <w:rPr>
                <w:color w:val="auto"/>
              </w:rPr>
            </w:pPr>
            <w:r>
              <w:rPr>
                <w:color w:val="auto"/>
              </w:rPr>
              <w:t>加强设备与场所密闭管理。含VOCs物料应储存于密闭容器、包装袋，高效密封储罐，封闭式储库、料仓等。含VOCs物料转移和输送，应采用密闭管道或密闭容器、罐车等。高VOCs含量废水（废水液面上方100</w:t>
            </w:r>
          </w:p>
          <w:p>
            <w:pPr>
              <w:pStyle w:val="47"/>
              <w:spacing w:line="240" w:lineRule="auto"/>
              <w:jc w:val="both"/>
              <w:rPr>
                <w:color w:val="auto"/>
              </w:rPr>
            </w:pPr>
            <w:r>
              <w:rPr>
                <w:color w:val="auto"/>
              </w:rPr>
              <w:t>毫米处VOCs检测浓度超过200ppm，其中重点区域超过100ppm，以碳计）的收集运输、储存和处理过程，应加盖密闭。含VOCs物料生产和使用过程，应采取有效收集措施或在密闭空间中操作</w:t>
            </w:r>
          </w:p>
        </w:tc>
        <w:tc>
          <w:tcPr>
            <w:tcW w:w="1342" w:type="pct"/>
            <w:vAlign w:val="center"/>
          </w:tcPr>
          <w:p>
            <w:pPr>
              <w:pStyle w:val="47"/>
              <w:spacing w:line="240" w:lineRule="auto"/>
              <w:jc w:val="both"/>
              <w:rPr>
                <w:color w:val="auto"/>
              </w:rPr>
            </w:pPr>
            <w:r>
              <w:rPr>
                <w:color w:val="auto"/>
              </w:rPr>
              <w:t>含VOCs物料储存于储罐中，物料转移采用密闭管道或密闭容器，含VOCs物料生产和使用过程，采取有效收集措施</w:t>
            </w:r>
          </w:p>
        </w:tc>
        <w:tc>
          <w:tcPr>
            <w:tcW w:w="734" w:type="pct"/>
            <w:vAlign w:val="center"/>
          </w:tcPr>
          <w:p>
            <w:pPr>
              <w:pStyle w:val="47"/>
              <w:spacing w:line="240" w:lineRule="auto"/>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1" w:type="pct"/>
            <w:vMerge w:val="continue"/>
            <w:vAlign w:val="center"/>
          </w:tcPr>
          <w:p>
            <w:pPr>
              <w:pStyle w:val="47"/>
              <w:spacing w:line="240" w:lineRule="auto"/>
              <w:rPr>
                <w:color w:val="auto"/>
              </w:rPr>
            </w:pPr>
          </w:p>
        </w:tc>
        <w:tc>
          <w:tcPr>
            <w:tcW w:w="1871" w:type="pct"/>
            <w:vAlign w:val="center"/>
          </w:tcPr>
          <w:p>
            <w:pPr>
              <w:pStyle w:val="47"/>
              <w:spacing w:line="240" w:lineRule="auto"/>
              <w:jc w:val="both"/>
              <w:rPr>
                <w:color w:val="auto"/>
              </w:rPr>
            </w:pPr>
            <w:r>
              <w:rPr>
                <w:color w:val="auto"/>
              </w:rPr>
              <w:t>推进使用先进生产工艺。通过采用全密闭、连续化、自动化等生产技术，以及高效工艺与设备等，减少工艺过程无组织排放。挥发性有机液体装载优先采用底部装载方式</w:t>
            </w:r>
          </w:p>
        </w:tc>
        <w:tc>
          <w:tcPr>
            <w:tcW w:w="1342" w:type="pct"/>
            <w:vAlign w:val="center"/>
          </w:tcPr>
          <w:p>
            <w:pPr>
              <w:pStyle w:val="47"/>
              <w:spacing w:line="240" w:lineRule="auto"/>
              <w:jc w:val="both"/>
              <w:rPr>
                <w:color w:val="auto"/>
              </w:rPr>
            </w:pPr>
            <w:r>
              <w:rPr>
                <w:color w:val="auto"/>
              </w:rPr>
              <w:t>项目采用的工艺较为先进，生产过程全密闭，减少工艺过程无组织排放，项目原料、产品均采用罐装，产品装载采用底部装载方式</w:t>
            </w:r>
          </w:p>
        </w:tc>
        <w:tc>
          <w:tcPr>
            <w:tcW w:w="734" w:type="pct"/>
            <w:vAlign w:val="center"/>
          </w:tcPr>
          <w:p>
            <w:pPr>
              <w:pStyle w:val="47"/>
              <w:spacing w:line="240" w:lineRule="auto"/>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1" w:type="pct"/>
            <w:vMerge w:val="continue"/>
            <w:vAlign w:val="center"/>
          </w:tcPr>
          <w:p>
            <w:pPr>
              <w:pStyle w:val="47"/>
              <w:spacing w:line="240" w:lineRule="auto"/>
              <w:rPr>
                <w:color w:val="auto"/>
              </w:rPr>
            </w:pPr>
          </w:p>
        </w:tc>
        <w:tc>
          <w:tcPr>
            <w:tcW w:w="1871" w:type="pct"/>
            <w:vAlign w:val="center"/>
          </w:tcPr>
          <w:p>
            <w:pPr>
              <w:pStyle w:val="47"/>
              <w:spacing w:line="240" w:lineRule="auto"/>
              <w:jc w:val="both"/>
              <w:rPr>
                <w:color w:val="auto"/>
              </w:rPr>
            </w:pPr>
            <w:r>
              <w:rPr>
                <w:color w:val="auto"/>
              </w:rPr>
              <w:t>遵循“应收尽收、分质收集”的原则，科学设计废气收集系统，将无组织排放转变为有组织排放进行控制。采用全密闭措施的，除行业有特殊要求外，应保持微负压状态，并根据相关规范合理设置配风量。采用局部集气罩的，距集气罩开口面最远处的VOCs无组织排放位置，控制风速应不低于0.3米/秒，有行业要求的按照相关规定执行；集气罩的设计、安装应符合《机械安全局部排气通风系统安全要求》（GB/T35077），通风管路设计应符合《通风管道技术规程》（JGJ/T141）等相关规范要求，VOCs废气管路不得与其他废气管路合并</w:t>
            </w:r>
          </w:p>
        </w:tc>
        <w:tc>
          <w:tcPr>
            <w:tcW w:w="1342" w:type="pct"/>
            <w:vAlign w:val="center"/>
          </w:tcPr>
          <w:p>
            <w:pPr>
              <w:pStyle w:val="47"/>
              <w:spacing w:line="240" w:lineRule="auto"/>
              <w:jc w:val="both"/>
              <w:rPr>
                <w:rFonts w:hint="default" w:eastAsia="宋体"/>
                <w:color w:val="auto"/>
                <w:lang w:val="en-US" w:eastAsia="zh-CN"/>
              </w:rPr>
            </w:pPr>
            <w:r>
              <w:rPr>
                <w:color w:val="auto"/>
              </w:rPr>
              <w:t>生产系统全密闭，系统保持微负压，项目有机废气处理系统不设集气罩</w:t>
            </w:r>
            <w:r>
              <w:rPr>
                <w:rFonts w:hint="eastAsia"/>
                <w:color w:val="auto"/>
                <w:lang w:eastAsia="zh-CN"/>
              </w:rPr>
              <w:t>，</w:t>
            </w:r>
            <w:r>
              <w:rPr>
                <w:rFonts w:hint="eastAsia"/>
                <w:color w:val="auto"/>
                <w:lang w:val="en-US" w:eastAsia="zh-CN"/>
              </w:rPr>
              <w:t>全部为管道密闭收集</w:t>
            </w:r>
          </w:p>
        </w:tc>
        <w:tc>
          <w:tcPr>
            <w:tcW w:w="734" w:type="pct"/>
            <w:vAlign w:val="center"/>
          </w:tcPr>
          <w:p>
            <w:pPr>
              <w:pStyle w:val="47"/>
              <w:spacing w:line="240" w:lineRule="auto"/>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1" w:type="pct"/>
            <w:vMerge w:val="continue"/>
            <w:vAlign w:val="center"/>
          </w:tcPr>
          <w:p>
            <w:pPr>
              <w:pStyle w:val="47"/>
              <w:spacing w:line="240" w:lineRule="auto"/>
              <w:rPr>
                <w:color w:val="auto"/>
              </w:rPr>
            </w:pPr>
          </w:p>
        </w:tc>
        <w:tc>
          <w:tcPr>
            <w:tcW w:w="1871" w:type="pct"/>
            <w:vAlign w:val="center"/>
          </w:tcPr>
          <w:p>
            <w:pPr>
              <w:pStyle w:val="47"/>
              <w:spacing w:line="240" w:lineRule="auto"/>
              <w:jc w:val="both"/>
              <w:rPr>
                <w:color w:val="auto"/>
              </w:rPr>
            </w:pPr>
            <w:r>
              <w:rPr>
                <w:color w:val="auto"/>
              </w:rPr>
              <w:t>推进建设适宜高效的治污设施。企业新建治污设施或对现有治污设施实施改造，应依据排放废气的浓度、组分、风量，温度、湿度、压力，以及生产工况等，合理选择治理技术。鼓励企业采用多种技术的组合工艺，提高VOCs治理效率</w:t>
            </w:r>
          </w:p>
        </w:tc>
        <w:tc>
          <w:tcPr>
            <w:tcW w:w="1342" w:type="pct"/>
            <w:vAlign w:val="center"/>
          </w:tcPr>
          <w:p>
            <w:pPr>
              <w:pStyle w:val="47"/>
              <w:spacing w:line="240" w:lineRule="auto"/>
              <w:jc w:val="both"/>
              <w:rPr>
                <w:color w:val="auto"/>
              </w:rPr>
            </w:pPr>
            <w:r>
              <w:rPr>
                <w:color w:val="auto"/>
              </w:rPr>
              <w:t>项目采用</w:t>
            </w:r>
            <w:r>
              <w:rPr>
                <w:rFonts w:hint="eastAsia"/>
                <w:color w:val="auto"/>
                <w:lang w:eastAsia="zh-CN"/>
              </w:rPr>
              <w:t>碱喷淋</w:t>
            </w:r>
            <w:r>
              <w:rPr>
                <w:rFonts w:hint="eastAsia"/>
                <w:color w:val="auto"/>
              </w:rPr>
              <w:t>+</w:t>
            </w:r>
            <w:r>
              <w:rPr>
                <w:color w:val="auto"/>
              </w:rPr>
              <w:t>活性炭吸附，多种技术组合，VOCs治理效率较高</w:t>
            </w:r>
          </w:p>
        </w:tc>
        <w:tc>
          <w:tcPr>
            <w:tcW w:w="734" w:type="pct"/>
            <w:vAlign w:val="center"/>
          </w:tcPr>
          <w:p>
            <w:pPr>
              <w:pStyle w:val="47"/>
              <w:spacing w:line="240" w:lineRule="auto"/>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1" w:type="pct"/>
            <w:vMerge w:val="continue"/>
            <w:vAlign w:val="center"/>
          </w:tcPr>
          <w:p>
            <w:pPr>
              <w:pStyle w:val="47"/>
              <w:spacing w:line="240" w:lineRule="auto"/>
              <w:rPr>
                <w:color w:val="auto"/>
              </w:rPr>
            </w:pPr>
          </w:p>
        </w:tc>
        <w:tc>
          <w:tcPr>
            <w:tcW w:w="1871" w:type="pct"/>
            <w:vAlign w:val="center"/>
          </w:tcPr>
          <w:p>
            <w:pPr>
              <w:pStyle w:val="47"/>
              <w:spacing w:line="240" w:lineRule="auto"/>
              <w:jc w:val="both"/>
              <w:rPr>
                <w:color w:val="auto"/>
              </w:rPr>
            </w:pPr>
            <w:r>
              <w:rPr>
                <w:color w:val="auto"/>
              </w:rPr>
              <w:t>治污设施的设计与安装应充分考虑安全性、经济性及适用性。具有黏连性、积聚自燃性、高沸点、与碳发生化学反应的有机废气，不宜采用活性炭吸附、光催化氧化</w:t>
            </w:r>
            <w:r>
              <w:rPr>
                <w:color w:val="auto"/>
                <w:vertAlign w:val="superscript"/>
              </w:rPr>
              <w:t>②</w:t>
            </w:r>
            <w:r>
              <w:rPr>
                <w:color w:val="auto"/>
              </w:rPr>
              <w:t>、低温等离子</w:t>
            </w:r>
            <w:r>
              <w:rPr>
                <w:color w:val="auto"/>
                <w:vertAlign w:val="superscript"/>
              </w:rPr>
              <w:t>③</w:t>
            </w:r>
            <w:r>
              <w:rPr>
                <w:color w:val="auto"/>
              </w:rPr>
              <w:t>等治污设施。含有酸性物质的有机废气，应充分考虑对治污设施的腐蚀等影响因素。含有颗粒物的废气，为保障VOCs治污设施运行的稳定性，宜进行预处理降低颗粒物浓度。含卤素的有机废气，在使用直接燃烧、蓄热式燃烧等处理工艺时，宜采用急冷等方式减少二噁英</w:t>
            </w:r>
            <w:r>
              <w:rPr>
                <w:color w:val="auto"/>
                <w:vertAlign w:val="superscript"/>
              </w:rPr>
              <w:t>④</w:t>
            </w:r>
            <w:r>
              <w:rPr>
                <w:color w:val="auto"/>
              </w:rPr>
              <w:t>的产生。使用臭氧发生器等基于臭氧发生原理的治污设施，应采取有效措施降低臭氧逸散对周边环境的影响。采用吸附处理工艺的，应满足《吸附法工业有机废气治理工程技术规范》（HJ2026）要求。采用催化燃烧工艺的，应满足《催化燃烧法工业有机废气治理工程技术规范》（HJ 2027）要求。采用蓄热燃烧等工艺的，应按相关技术规范要求设计</w:t>
            </w:r>
          </w:p>
        </w:tc>
        <w:tc>
          <w:tcPr>
            <w:tcW w:w="1342" w:type="pct"/>
            <w:vAlign w:val="center"/>
          </w:tcPr>
          <w:p>
            <w:pPr>
              <w:pStyle w:val="47"/>
              <w:spacing w:line="240" w:lineRule="auto"/>
              <w:jc w:val="both"/>
              <w:rPr>
                <w:color w:val="auto"/>
              </w:rPr>
            </w:pPr>
            <w:r>
              <w:rPr>
                <w:color w:val="auto"/>
              </w:rPr>
              <w:t>项目涉及的污染物不具有黏连性、积聚自燃性、高沸点，不与碳发生化反应；项目采用吸附处理工艺，满足《吸附法工业有机废气治理工程技术规范》（HJ2026）要求</w:t>
            </w:r>
          </w:p>
        </w:tc>
        <w:tc>
          <w:tcPr>
            <w:tcW w:w="734" w:type="pct"/>
            <w:vAlign w:val="center"/>
          </w:tcPr>
          <w:p>
            <w:pPr>
              <w:pStyle w:val="47"/>
              <w:spacing w:line="240" w:lineRule="auto"/>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1" w:type="pct"/>
            <w:vAlign w:val="center"/>
          </w:tcPr>
          <w:p>
            <w:pPr>
              <w:pStyle w:val="47"/>
              <w:spacing w:line="240" w:lineRule="auto"/>
              <w:rPr>
                <w:color w:val="auto"/>
              </w:rPr>
            </w:pPr>
            <w:r>
              <w:rPr>
                <w:color w:val="auto"/>
              </w:rPr>
              <w:t>加强末端管控</w:t>
            </w:r>
          </w:p>
        </w:tc>
        <w:tc>
          <w:tcPr>
            <w:tcW w:w="1871" w:type="pct"/>
            <w:vAlign w:val="center"/>
          </w:tcPr>
          <w:p>
            <w:pPr>
              <w:pStyle w:val="47"/>
              <w:spacing w:line="240" w:lineRule="auto"/>
              <w:jc w:val="both"/>
              <w:rPr>
                <w:color w:val="auto"/>
              </w:rPr>
            </w:pPr>
            <w:r>
              <w:rPr>
                <w:color w:val="auto"/>
              </w:rPr>
              <w:t>实行重点排放源排放浓度与去除效率双重控制。车间或生产设施收集排放的废气，VOCs初始排放速率大于等于3千克/小时、重点区域大于等于2千克/小时的，应加大控制力度，除确保排放浓度稳定达标外，还应实行去除效率控制，VOCs去除率应不低于80%。有行业排放标准的按其相关规定执行</w:t>
            </w:r>
          </w:p>
        </w:tc>
        <w:tc>
          <w:tcPr>
            <w:tcW w:w="1342" w:type="pct"/>
            <w:vAlign w:val="center"/>
          </w:tcPr>
          <w:p>
            <w:pPr>
              <w:pStyle w:val="47"/>
              <w:spacing w:line="240" w:lineRule="auto"/>
              <w:jc w:val="both"/>
              <w:rPr>
                <w:color w:val="auto"/>
              </w:rPr>
            </w:pPr>
            <w:r>
              <w:rPr>
                <w:color w:val="auto"/>
              </w:rPr>
              <w:t>VOCs去除效率≥80%，排放浓度满足相应排放标准</w:t>
            </w:r>
          </w:p>
        </w:tc>
        <w:tc>
          <w:tcPr>
            <w:tcW w:w="734" w:type="pct"/>
            <w:vAlign w:val="center"/>
          </w:tcPr>
          <w:p>
            <w:pPr>
              <w:pStyle w:val="47"/>
              <w:spacing w:line="240" w:lineRule="auto"/>
              <w:rPr>
                <w:color w:val="auto"/>
              </w:rPr>
            </w:pPr>
            <w:r>
              <w:rPr>
                <w:color w:val="auto"/>
              </w:rPr>
              <w:t>符合</w:t>
            </w:r>
          </w:p>
        </w:tc>
      </w:tr>
    </w:tbl>
    <w:p>
      <w:pPr>
        <w:ind w:firstLine="480"/>
        <w:rPr>
          <w:color w:val="auto"/>
        </w:rPr>
      </w:pPr>
      <w:r>
        <w:rPr>
          <w:color w:val="auto"/>
        </w:rPr>
        <w:t>1</w:t>
      </w:r>
      <w:r>
        <w:rPr>
          <w:rFonts w:hint="eastAsia"/>
          <w:color w:val="auto"/>
        </w:rPr>
        <w:t>4</w:t>
      </w:r>
      <w:r>
        <w:rPr>
          <w:color w:val="auto"/>
        </w:rPr>
        <w:t>、与《山东省生态环境厅关于印发山东省工业企业无组织排放分行业管控指导意见的通知》符合性</w:t>
      </w:r>
    </w:p>
    <w:p>
      <w:pPr>
        <w:pStyle w:val="2"/>
        <w:spacing w:after="0" w:line="360" w:lineRule="auto"/>
        <w:ind w:firstLine="480"/>
        <w:rPr>
          <w:color w:val="auto"/>
        </w:rPr>
      </w:pPr>
      <w:r>
        <w:rPr>
          <w:color w:val="auto"/>
        </w:rPr>
        <w:t>山东省生态环境厅2020年6月30日发布了《山东省生态环境厅关于印发山东省工业企业无组织排放分行业管控指导意见的通知》（鲁环发〔2020〕30 号），项目与鲁环发〔2020〕30号文符合情况见表12.1-1</w:t>
      </w:r>
      <w:r>
        <w:rPr>
          <w:rFonts w:hint="eastAsia"/>
          <w:color w:val="auto"/>
        </w:rPr>
        <w:t>4</w:t>
      </w:r>
      <w:r>
        <w:rPr>
          <w:color w:val="auto"/>
        </w:rPr>
        <w:t>。</w:t>
      </w:r>
    </w:p>
    <w:p>
      <w:pPr>
        <w:pStyle w:val="48"/>
        <w:spacing w:line="360" w:lineRule="auto"/>
        <w:rPr>
          <w:b w:val="0"/>
          <w:bCs/>
          <w:color w:val="auto"/>
        </w:rPr>
      </w:pPr>
      <w:r>
        <w:rPr>
          <w:b w:val="0"/>
          <w:bCs/>
          <w:color w:val="auto"/>
        </w:rPr>
        <w:t>表12.1-1</w:t>
      </w:r>
      <w:r>
        <w:rPr>
          <w:rFonts w:hint="eastAsia"/>
          <w:b w:val="0"/>
          <w:bCs/>
          <w:color w:val="auto"/>
        </w:rPr>
        <w:t>4</w:t>
      </w:r>
      <w:r>
        <w:rPr>
          <w:b w:val="0"/>
          <w:bCs/>
          <w:color w:val="auto"/>
        </w:rPr>
        <w:t xml:space="preserve"> </w:t>
      </w:r>
      <w:r>
        <w:rPr>
          <w:rFonts w:hint="eastAsia"/>
          <w:b w:val="0"/>
          <w:bCs/>
          <w:color w:val="auto"/>
        </w:rPr>
        <w:t>拟建项目</w:t>
      </w:r>
      <w:r>
        <w:rPr>
          <w:b w:val="0"/>
          <w:bCs/>
          <w:color w:val="auto"/>
        </w:rPr>
        <w:t>与鲁环发〔2020〕30号文符合性</w:t>
      </w:r>
    </w:p>
    <w:tbl>
      <w:tblPr>
        <w:tblStyle w:val="22"/>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66"/>
        <w:gridCol w:w="2740"/>
        <w:gridCol w:w="15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75" w:type="pct"/>
            <w:vAlign w:val="center"/>
          </w:tcPr>
          <w:p>
            <w:pPr>
              <w:pStyle w:val="47"/>
              <w:spacing w:line="240" w:lineRule="auto"/>
              <w:rPr>
                <w:b/>
                <w:color w:val="auto"/>
                <w:szCs w:val="21"/>
              </w:rPr>
            </w:pPr>
            <w:r>
              <w:rPr>
                <w:b/>
                <w:color w:val="auto"/>
                <w:szCs w:val="21"/>
              </w:rPr>
              <w:t>文件要求</w:t>
            </w:r>
          </w:p>
        </w:tc>
        <w:tc>
          <w:tcPr>
            <w:tcW w:w="1476" w:type="pct"/>
            <w:vAlign w:val="center"/>
          </w:tcPr>
          <w:p>
            <w:pPr>
              <w:pStyle w:val="47"/>
              <w:spacing w:line="240" w:lineRule="auto"/>
              <w:rPr>
                <w:b/>
                <w:color w:val="auto"/>
                <w:szCs w:val="21"/>
              </w:rPr>
            </w:pPr>
            <w:r>
              <w:rPr>
                <w:b/>
                <w:color w:val="auto"/>
                <w:szCs w:val="21"/>
              </w:rPr>
              <w:t>项目相关</w:t>
            </w:r>
          </w:p>
        </w:tc>
        <w:tc>
          <w:tcPr>
            <w:tcW w:w="848" w:type="pct"/>
            <w:vAlign w:val="center"/>
          </w:tcPr>
          <w:p>
            <w:pPr>
              <w:pStyle w:val="47"/>
              <w:spacing w:line="240" w:lineRule="auto"/>
              <w:rPr>
                <w:b/>
                <w:color w:val="auto"/>
                <w:szCs w:val="21"/>
              </w:rPr>
            </w:pPr>
            <w:r>
              <w:rPr>
                <w:b/>
                <w:color w:val="auto"/>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75" w:type="pct"/>
            <w:vAlign w:val="center"/>
          </w:tcPr>
          <w:p>
            <w:pPr>
              <w:pStyle w:val="47"/>
              <w:spacing w:line="240" w:lineRule="auto"/>
              <w:jc w:val="both"/>
              <w:rPr>
                <w:color w:val="auto"/>
                <w:szCs w:val="21"/>
              </w:rPr>
            </w:pPr>
            <w:r>
              <w:rPr>
                <w:color w:val="auto"/>
                <w:szCs w:val="21"/>
              </w:rPr>
              <w:t>加强物料运输、装卸环节管控。煤粉、粉煤灰、石灰、除尘灰、脱硫灰、原料药等粉状物料采用管状带式输送机、气力输送、真空罐车、密闭车厢等密闭方式运输；砂石、矿石、煤、铁精矿、脱硫石膏等块状、粒状或粘湿物料采用皮带通廊、封闭车厢等封闭方式运输或苫盖严密，防止沿途抛洒和飞扬。料场或厂区出入口配备车辆清洗装置或采取其他控制措施，确保出场车辆清洁、运输不起尘。厂区道路硬化，平整无破损、无积尘，厂区无裸露空地，闲置裸露空地及时绿</w:t>
            </w:r>
          </w:p>
          <w:p>
            <w:pPr>
              <w:pStyle w:val="47"/>
              <w:spacing w:line="240" w:lineRule="auto"/>
              <w:jc w:val="both"/>
              <w:rPr>
                <w:color w:val="auto"/>
                <w:szCs w:val="21"/>
              </w:rPr>
            </w:pPr>
            <w:r>
              <w:rPr>
                <w:color w:val="auto"/>
                <w:szCs w:val="21"/>
              </w:rPr>
              <w:t>化或硬化，厂区道路定期洒水清扫。块状、粒状或粘湿物料直接卸落至储存料场，装卸过程配备有效抑尘、集尘除尘设施，粉状物料装卸口配备密封防尘装置且不得直接卸落到地面。挥发性有机液体装车采用顶部浸没式或底部装载，严禁喷溅，运输相关产品的车辆具备油气回收接口</w:t>
            </w:r>
          </w:p>
        </w:tc>
        <w:tc>
          <w:tcPr>
            <w:tcW w:w="1476" w:type="pct"/>
            <w:vAlign w:val="center"/>
          </w:tcPr>
          <w:p>
            <w:pPr>
              <w:pStyle w:val="47"/>
              <w:spacing w:line="240" w:lineRule="auto"/>
              <w:jc w:val="both"/>
              <w:rPr>
                <w:color w:val="auto"/>
                <w:szCs w:val="21"/>
              </w:rPr>
            </w:pPr>
            <w:r>
              <w:rPr>
                <w:color w:val="auto"/>
                <w:szCs w:val="21"/>
              </w:rPr>
              <w:t>厂区道路定期洒水清扫，</w:t>
            </w:r>
            <w:r>
              <w:rPr>
                <w:rFonts w:hint="eastAsia"/>
                <w:color w:val="auto"/>
                <w:szCs w:val="21"/>
              </w:rPr>
              <w:t>拟建项目原料涉及</w:t>
            </w:r>
            <w:r>
              <w:rPr>
                <w:color w:val="auto"/>
                <w:szCs w:val="21"/>
              </w:rPr>
              <w:t>粉状物料</w:t>
            </w:r>
            <w:r>
              <w:rPr>
                <w:rFonts w:hint="eastAsia"/>
                <w:color w:val="auto"/>
                <w:szCs w:val="21"/>
              </w:rPr>
              <w:t>，粉状物料使用密闭桶装</w:t>
            </w:r>
            <w:r>
              <w:rPr>
                <w:color w:val="auto"/>
                <w:szCs w:val="21"/>
              </w:rPr>
              <w:t>，</w:t>
            </w:r>
            <w:r>
              <w:rPr>
                <w:rFonts w:hint="eastAsia"/>
                <w:color w:val="auto"/>
                <w:szCs w:val="21"/>
              </w:rPr>
              <w:t>聚乳酸产品为颗粒状，</w:t>
            </w:r>
            <w:r>
              <w:rPr>
                <w:color w:val="auto"/>
                <w:szCs w:val="21"/>
              </w:rPr>
              <w:t>为袋式包装。</w:t>
            </w:r>
          </w:p>
        </w:tc>
        <w:tc>
          <w:tcPr>
            <w:tcW w:w="848" w:type="pct"/>
            <w:vAlign w:val="center"/>
          </w:tcPr>
          <w:p>
            <w:pPr>
              <w:pStyle w:val="47"/>
              <w:spacing w:line="240" w:lineRule="auto"/>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75" w:type="pct"/>
            <w:vAlign w:val="center"/>
          </w:tcPr>
          <w:p>
            <w:pPr>
              <w:pStyle w:val="47"/>
              <w:spacing w:line="240" w:lineRule="auto"/>
              <w:jc w:val="both"/>
              <w:rPr>
                <w:color w:val="auto"/>
                <w:szCs w:val="21"/>
              </w:rPr>
            </w:pPr>
            <w:r>
              <w:rPr>
                <w:color w:val="auto"/>
                <w:szCs w:val="21"/>
              </w:rPr>
              <w:t>加强物料储存、输送环节管控。煤粉、粉煤灰、石灰、除尘灰、脱硫灰、原料药等粉状物料采用料仓、储罐、容器、包装袋等方式密闭储存，料仓、储罐配置高效除尘设施；采用管状带式输送机、气力输送、真空罐车、密闭车辆等方式输送。砂石、矿石、煤、铁精矿、脱硫石膏等块状、粒状或粘湿物料采用密闭料仓、封闭料棚或建设防风抑尘网等方式进行规范储存，封闭料棚和露天料场内设有喷淋装置，喷淋范围覆盖整个料堆。所储存物料对含水率有严格要求或遇水发生变化的，在料场内安装有效集尘除尘设施。封闭料棚进出口安装封闭性良好且便于开关的卷帘门、推拉门或自动感应门等，无车辆通过时将门关闭。防风抑尘网高度高于料场堆存高度，并对堆存物料进行严密苫盖。块状、粒状或粘湿物料上料口设置在封闭料棚内，采用管状带式输送机、皮带通廊、封闭车辆等方式输送。物料上料、输送、转接、出料和扒渣等过程中的产尘点采取有效抑尘、集尘除尘措施。含挥发性有机物（VOCs）物料储存于密闭容器、包装袋，高效密</w:t>
            </w:r>
          </w:p>
          <w:p>
            <w:pPr>
              <w:pStyle w:val="47"/>
              <w:spacing w:line="240" w:lineRule="auto"/>
              <w:jc w:val="both"/>
              <w:rPr>
                <w:color w:val="auto"/>
                <w:szCs w:val="21"/>
              </w:rPr>
            </w:pPr>
            <w:r>
              <w:rPr>
                <w:color w:val="auto"/>
                <w:szCs w:val="21"/>
              </w:rPr>
              <w:t>封储罐，封闭式储库、料仓等；封闭式储库、料仓设置VOCs有效收集治理设施。含VOCs物料输送，采用密闭管道或密闭容器、罐车等</w:t>
            </w:r>
          </w:p>
        </w:tc>
        <w:tc>
          <w:tcPr>
            <w:tcW w:w="1476" w:type="pct"/>
            <w:vAlign w:val="center"/>
          </w:tcPr>
          <w:p>
            <w:pPr>
              <w:pStyle w:val="47"/>
              <w:spacing w:line="240" w:lineRule="auto"/>
              <w:jc w:val="both"/>
              <w:rPr>
                <w:color w:val="auto"/>
                <w:szCs w:val="21"/>
              </w:rPr>
            </w:pPr>
            <w:r>
              <w:rPr>
                <w:rFonts w:hint="eastAsia"/>
                <w:color w:val="auto"/>
                <w:szCs w:val="21"/>
              </w:rPr>
              <w:t>拟建项目</w:t>
            </w:r>
            <w:r>
              <w:rPr>
                <w:color w:val="auto"/>
                <w:szCs w:val="21"/>
              </w:rPr>
              <w:t>原料</w:t>
            </w:r>
            <w:r>
              <w:rPr>
                <w:rFonts w:hint="eastAsia"/>
                <w:color w:val="auto"/>
                <w:szCs w:val="21"/>
              </w:rPr>
              <w:t>乳酸</w:t>
            </w:r>
            <w:r>
              <w:rPr>
                <w:color w:val="auto"/>
                <w:szCs w:val="21"/>
              </w:rPr>
              <w:t>采用密闭储罐暂存；含挥发性有机物（VOCs）物料储存于密闭容器、高效密封储罐；含VOCs物料输送，采用密闭管道输送</w:t>
            </w:r>
          </w:p>
        </w:tc>
        <w:tc>
          <w:tcPr>
            <w:tcW w:w="848" w:type="pct"/>
            <w:vAlign w:val="center"/>
          </w:tcPr>
          <w:p>
            <w:pPr>
              <w:pStyle w:val="47"/>
              <w:spacing w:line="240" w:lineRule="auto"/>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75" w:type="pct"/>
            <w:vAlign w:val="center"/>
          </w:tcPr>
          <w:p>
            <w:pPr>
              <w:pStyle w:val="47"/>
              <w:spacing w:line="240" w:lineRule="auto"/>
              <w:jc w:val="both"/>
              <w:rPr>
                <w:color w:val="auto"/>
                <w:szCs w:val="21"/>
              </w:rPr>
            </w:pPr>
            <w:r>
              <w:rPr>
                <w:color w:val="auto"/>
                <w:szCs w:val="21"/>
              </w:rPr>
              <w:t>加强生产环节管控。通过提高工艺自动化和设备密闭化水平，减少生产过程中的无组织排放。生产过程中的产尘点和VOCs产生点密闭、封闭或采取有效收集处理措施。生产设备和废气收集处理设施同步运行，废气收集处理设施发生故障或检修时，停止运行对应的生产设备，待检修完毕后投入使用。生产设备不能停止或不能及时停止运行的，设置废气应急处理设施或采取其他替代措施。生产车间地面及生产设备表面保持清洁，除电子、电气原件外，不得采用压缩空气吹扫等易产生扬尘的清理措施。厂内污水收集、输送、处理，污泥产生、暂存、处置，危险废物暂存等产生VOCs或恶臭气体的区域加罩或加盖封闭并进行收集处理。涉VOCs化（试）验室实验平台设置负压集气系统，对化（试）验室中产生的废气进行集中收集治理</w:t>
            </w:r>
          </w:p>
        </w:tc>
        <w:tc>
          <w:tcPr>
            <w:tcW w:w="1476" w:type="pct"/>
            <w:vAlign w:val="center"/>
          </w:tcPr>
          <w:p>
            <w:pPr>
              <w:pStyle w:val="47"/>
              <w:spacing w:line="240" w:lineRule="auto"/>
              <w:jc w:val="both"/>
              <w:rPr>
                <w:color w:val="auto"/>
                <w:szCs w:val="21"/>
              </w:rPr>
            </w:pPr>
            <w:r>
              <w:rPr>
                <w:color w:val="auto"/>
                <w:szCs w:val="21"/>
              </w:rPr>
              <w:t>通过提高工艺自动化和设备密闭化水平，减少生产过程中的无组织排放，VOCs产生点密闭收集处理；生产设备和废气收集处理设施同步运行，废气收集处理设施发生故障或检修时，停止运行对应的生产设备，待检修完毕后投入使用。</w:t>
            </w:r>
          </w:p>
        </w:tc>
        <w:tc>
          <w:tcPr>
            <w:tcW w:w="848" w:type="pct"/>
            <w:vAlign w:val="center"/>
          </w:tcPr>
          <w:p>
            <w:pPr>
              <w:pStyle w:val="47"/>
              <w:spacing w:line="240" w:lineRule="auto"/>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75" w:type="pct"/>
            <w:vAlign w:val="center"/>
          </w:tcPr>
          <w:p>
            <w:pPr>
              <w:pStyle w:val="47"/>
              <w:spacing w:line="240" w:lineRule="auto"/>
              <w:jc w:val="both"/>
              <w:rPr>
                <w:color w:val="auto"/>
                <w:szCs w:val="21"/>
              </w:rPr>
            </w:pPr>
            <w:r>
              <w:rPr>
                <w:color w:val="auto"/>
                <w:szCs w:val="21"/>
              </w:rPr>
              <w:t>加强精细化管控。针对各无组织排放环节，制定“一厂一策”深度治理方案。制定无组织排放治理设施操作规程，并建立管理台账，记录操作人员操作内容、运行、维护、检修和含VOCs物料使用回收等情况，记录保存期限不得少于三年。鼓励安装视频、空气微站等监控设施和综合监控信息平台，用于企业日常自我监督，逐步实现无组织排放向精细化和可量化管理方式转变</w:t>
            </w:r>
          </w:p>
        </w:tc>
        <w:tc>
          <w:tcPr>
            <w:tcW w:w="1476" w:type="pct"/>
            <w:vAlign w:val="center"/>
          </w:tcPr>
          <w:p>
            <w:pPr>
              <w:pStyle w:val="47"/>
              <w:spacing w:line="240" w:lineRule="auto"/>
              <w:jc w:val="both"/>
              <w:rPr>
                <w:color w:val="auto"/>
                <w:szCs w:val="21"/>
              </w:rPr>
            </w:pPr>
            <w:r>
              <w:rPr>
                <w:color w:val="auto"/>
                <w:szCs w:val="21"/>
              </w:rPr>
              <w:t>针对各无组织排放环节，制定“一厂一策”深度治理方案。制定无组织排放治理设施操作规程，并建立管理台账，记录操作人员操作内容、运行、维护、检修和含VOCs物料使用回收等情况，记录保存期限不得少于三年。</w:t>
            </w:r>
          </w:p>
        </w:tc>
        <w:tc>
          <w:tcPr>
            <w:tcW w:w="848" w:type="pct"/>
            <w:vAlign w:val="center"/>
          </w:tcPr>
          <w:p>
            <w:pPr>
              <w:pStyle w:val="47"/>
              <w:spacing w:line="240" w:lineRule="auto"/>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75" w:type="pct"/>
            <w:vAlign w:val="center"/>
          </w:tcPr>
          <w:p>
            <w:pPr>
              <w:pStyle w:val="47"/>
              <w:spacing w:line="240" w:lineRule="auto"/>
              <w:jc w:val="both"/>
              <w:rPr>
                <w:color w:val="auto"/>
                <w:szCs w:val="21"/>
              </w:rPr>
            </w:pPr>
            <w:r>
              <w:rPr>
                <w:color w:val="auto"/>
                <w:szCs w:val="21"/>
              </w:rPr>
              <w:t>粉状、块状物料密闭或封闭储存。挥发性有机液体储存、装卸环节参考（七）石化行业。挥发性有机液体原料、中间产品、成品等转料优先利用高位差或采用无泄漏物料泵，避免采用真空转料，因工艺需要必须采用真空设备或采用氮气、压缩空气等方式输送液体物料的，真空尾气、输送排气有效收集至废气治理设施。排放VOCs的蒸馏、分离、提取、精制、干燥等生产环节在密闭设备中进行，非密闭设备在密闭空间内操作或进行局部气体收集，并配备废气净化处理装置；常压带温反应釜上配备冷凝或深冷回流装置，减少反应过程中挥发性有机物料的损耗，不凝性废气有效收集至废气治理设施。反应釜放空尾气、带压反应泄压排放废气及其他置换气有效收集至废气治理设施。涉VOCs和产尘固体产品包装配备有效集气处理设施。企业中载有气态、液态VOCs物料的设备与管线组件密封点大于等于2000个的，按要求开展泄漏检测与修复（LDAR）工作</w:t>
            </w:r>
          </w:p>
        </w:tc>
        <w:tc>
          <w:tcPr>
            <w:tcW w:w="1476" w:type="pct"/>
            <w:vAlign w:val="center"/>
          </w:tcPr>
          <w:p>
            <w:pPr>
              <w:pStyle w:val="47"/>
              <w:spacing w:line="240" w:lineRule="auto"/>
              <w:jc w:val="both"/>
              <w:rPr>
                <w:color w:val="auto"/>
                <w:szCs w:val="21"/>
              </w:rPr>
            </w:pPr>
            <w:r>
              <w:rPr>
                <w:rFonts w:hint="eastAsia"/>
                <w:color w:val="auto"/>
                <w:szCs w:val="21"/>
              </w:rPr>
              <w:t>粉状物料采用密闭桶装储存</w:t>
            </w:r>
            <w:r>
              <w:rPr>
                <w:color w:val="auto"/>
                <w:szCs w:val="21"/>
              </w:rPr>
              <w:t>；</w:t>
            </w:r>
            <w:r>
              <w:rPr>
                <w:rFonts w:hint="eastAsia"/>
                <w:color w:val="auto"/>
                <w:szCs w:val="21"/>
              </w:rPr>
              <w:t>乳酸采用</w:t>
            </w:r>
            <w:r>
              <w:rPr>
                <w:color w:val="auto"/>
                <w:szCs w:val="21"/>
              </w:rPr>
              <w:t>无泄漏物料泵</w:t>
            </w:r>
            <w:r>
              <w:rPr>
                <w:rFonts w:hint="eastAsia"/>
                <w:color w:val="auto"/>
                <w:szCs w:val="21"/>
              </w:rPr>
              <w:t>转料；</w:t>
            </w:r>
            <w:r>
              <w:rPr>
                <w:color w:val="auto"/>
                <w:szCs w:val="21"/>
              </w:rPr>
              <w:t>生产过程产生废气进入废气处理系统处理，反应釜采用带压反应，废气均进行了有效收集处理</w:t>
            </w:r>
          </w:p>
        </w:tc>
        <w:tc>
          <w:tcPr>
            <w:tcW w:w="848" w:type="pct"/>
            <w:vAlign w:val="center"/>
          </w:tcPr>
          <w:p>
            <w:pPr>
              <w:pStyle w:val="47"/>
              <w:spacing w:line="240" w:lineRule="auto"/>
              <w:rPr>
                <w:color w:val="auto"/>
                <w:szCs w:val="21"/>
              </w:rPr>
            </w:pPr>
            <w:r>
              <w:rPr>
                <w:color w:val="auto"/>
                <w:szCs w:val="21"/>
              </w:rPr>
              <w:t>符合</w:t>
            </w:r>
          </w:p>
        </w:tc>
      </w:tr>
    </w:tbl>
    <w:p>
      <w:pPr>
        <w:ind w:firstLine="0" w:firstLineChars="0"/>
        <w:rPr>
          <w:b w:val="0"/>
          <w:bCs w:val="0"/>
          <w:color w:val="auto"/>
          <w:szCs w:val="24"/>
        </w:rPr>
      </w:pPr>
      <w:r>
        <w:rPr>
          <w:rFonts w:hint="eastAsia"/>
          <w:b w:val="0"/>
          <w:bCs w:val="0"/>
          <w:color w:val="auto"/>
          <w:szCs w:val="24"/>
        </w:rPr>
        <w:t>15</w:t>
      </w:r>
      <w:r>
        <w:rPr>
          <w:b w:val="0"/>
          <w:bCs w:val="0"/>
          <w:color w:val="auto"/>
          <w:szCs w:val="24"/>
        </w:rPr>
        <w:t>、本项目与《关于做好环境影响评价制度与排污许可制衔接相关工作的通知》（环办环评〔</w:t>
      </w:r>
      <w:r>
        <w:rPr>
          <w:rFonts w:hint="eastAsia"/>
          <w:b w:val="0"/>
          <w:bCs w:val="0"/>
          <w:color w:val="auto"/>
          <w:szCs w:val="24"/>
        </w:rPr>
        <w:t>2021</w:t>
      </w:r>
      <w:r>
        <w:rPr>
          <w:b w:val="0"/>
          <w:bCs w:val="0"/>
          <w:color w:val="auto"/>
          <w:szCs w:val="24"/>
        </w:rPr>
        <w:t>〕84号》符合性分析见表</w:t>
      </w:r>
      <w:r>
        <w:rPr>
          <w:rFonts w:hint="eastAsia"/>
          <w:b w:val="0"/>
          <w:bCs w:val="0"/>
          <w:color w:val="auto"/>
          <w:szCs w:val="24"/>
        </w:rPr>
        <w:t>12.1-15</w:t>
      </w:r>
      <w:r>
        <w:rPr>
          <w:b w:val="0"/>
          <w:bCs w:val="0"/>
          <w:color w:val="auto"/>
          <w:szCs w:val="24"/>
        </w:rPr>
        <w:t>。</w:t>
      </w:r>
    </w:p>
    <w:p>
      <w:pPr>
        <w:pStyle w:val="52"/>
        <w:tabs>
          <w:tab w:val="left" w:pos="1827"/>
          <w:tab w:val="center" w:pos="4044"/>
        </w:tabs>
        <w:ind w:firstLine="0" w:firstLineChars="0"/>
        <w:jc w:val="center"/>
        <w:rPr>
          <w:color w:val="auto"/>
        </w:rPr>
      </w:pPr>
      <w:r>
        <w:rPr>
          <w:rFonts w:eastAsia="黑体"/>
          <w:color w:val="auto"/>
          <w:sz w:val="21"/>
          <w:szCs w:val="21"/>
        </w:rPr>
        <w:t>表</w:t>
      </w:r>
      <w:r>
        <w:rPr>
          <w:rFonts w:hint="eastAsia" w:eastAsia="黑体"/>
          <w:color w:val="auto"/>
          <w:sz w:val="21"/>
          <w:szCs w:val="21"/>
        </w:rPr>
        <w:t>12.1-15</w:t>
      </w:r>
      <w:r>
        <w:rPr>
          <w:rFonts w:eastAsia="黑体"/>
          <w:color w:val="auto"/>
          <w:sz w:val="21"/>
          <w:szCs w:val="21"/>
        </w:rPr>
        <w:t xml:space="preserve"> 与环办环评〔2021〕84号文件符合性分析</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429"/>
        <w:gridCol w:w="3472"/>
        <w:gridCol w:w="11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2440" w:type="pct"/>
            <w:vAlign w:val="center"/>
          </w:tcPr>
          <w:p>
            <w:pPr>
              <w:autoSpaceDE w:val="0"/>
              <w:spacing w:line="312" w:lineRule="exact"/>
              <w:ind w:firstLine="0" w:firstLineChars="0"/>
              <w:contextualSpacing/>
              <w:jc w:val="center"/>
              <w:rPr>
                <w:color w:val="auto"/>
                <w:sz w:val="21"/>
                <w:szCs w:val="21"/>
              </w:rPr>
            </w:pPr>
            <w:r>
              <w:rPr>
                <w:color w:val="auto"/>
                <w:sz w:val="21"/>
                <w:szCs w:val="21"/>
              </w:rPr>
              <w:t>文件要求</w:t>
            </w:r>
          </w:p>
        </w:tc>
        <w:tc>
          <w:tcPr>
            <w:tcW w:w="1913" w:type="pct"/>
            <w:vAlign w:val="center"/>
          </w:tcPr>
          <w:p>
            <w:pPr>
              <w:autoSpaceDE w:val="0"/>
              <w:spacing w:line="312" w:lineRule="exact"/>
              <w:ind w:firstLine="0" w:firstLineChars="0"/>
              <w:contextualSpacing/>
              <w:jc w:val="center"/>
              <w:rPr>
                <w:color w:val="auto"/>
                <w:sz w:val="21"/>
                <w:szCs w:val="21"/>
              </w:rPr>
            </w:pPr>
            <w:r>
              <w:rPr>
                <w:color w:val="auto"/>
                <w:sz w:val="21"/>
                <w:szCs w:val="21"/>
              </w:rPr>
              <w:t>项目情况</w:t>
            </w:r>
          </w:p>
        </w:tc>
        <w:tc>
          <w:tcPr>
            <w:tcW w:w="645" w:type="pct"/>
            <w:vAlign w:val="center"/>
          </w:tcPr>
          <w:p>
            <w:pPr>
              <w:autoSpaceDE w:val="0"/>
              <w:spacing w:line="312" w:lineRule="exact"/>
              <w:ind w:firstLine="0" w:firstLineChars="0"/>
              <w:contextualSpacing/>
              <w:jc w:val="center"/>
              <w:rPr>
                <w:color w:val="auto"/>
                <w:sz w:val="21"/>
                <w:szCs w:val="21"/>
              </w:rPr>
            </w:pPr>
            <w:r>
              <w:rPr>
                <w:color w:val="auto"/>
                <w:sz w:val="21"/>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2440" w:type="pct"/>
            <w:vAlign w:val="center"/>
          </w:tcPr>
          <w:p>
            <w:pPr>
              <w:autoSpaceDE w:val="0"/>
              <w:spacing w:line="312" w:lineRule="exact"/>
              <w:ind w:firstLine="0" w:firstLineChars="0"/>
              <w:contextualSpacing/>
              <w:jc w:val="center"/>
              <w:rPr>
                <w:color w:val="auto"/>
                <w:sz w:val="21"/>
                <w:szCs w:val="21"/>
              </w:rPr>
            </w:pPr>
            <w:r>
              <w:rPr>
                <w:color w:val="auto"/>
                <w:sz w:val="21"/>
                <w:szCs w:val="21"/>
              </w:rPr>
              <w:t>二、做好《建设项目环境影响评价分类管理名录》和《固定污染源排污许可分类管理名录》的衔接，按照建设项目对环境的影响程度、污染物产生量和排放量，实行统一分类管理。纳入排污许可管理的建设项目，可能造成重大环境影响、应当编制环境影响报告书的，原则上实行排污许可重点管理；可能造成轻度环境影响、应当编制环境影响报告表的，原则上实行排污许可简化管理。</w:t>
            </w:r>
          </w:p>
        </w:tc>
        <w:tc>
          <w:tcPr>
            <w:tcW w:w="1913" w:type="pct"/>
            <w:vAlign w:val="center"/>
          </w:tcPr>
          <w:p>
            <w:pPr>
              <w:autoSpaceDE w:val="0"/>
              <w:spacing w:line="312" w:lineRule="exact"/>
              <w:ind w:firstLine="0" w:firstLineChars="0"/>
              <w:contextualSpacing/>
              <w:jc w:val="center"/>
              <w:rPr>
                <w:color w:val="auto"/>
                <w:sz w:val="21"/>
                <w:szCs w:val="21"/>
              </w:rPr>
            </w:pPr>
            <w:r>
              <w:rPr>
                <w:color w:val="auto"/>
                <w:sz w:val="21"/>
                <w:szCs w:val="21"/>
              </w:rPr>
              <w:t>根据《固定污染源排污许可分类管理名录》，本项目为登记管理的行业，实行登记管理。</w:t>
            </w:r>
          </w:p>
        </w:tc>
        <w:tc>
          <w:tcPr>
            <w:tcW w:w="645" w:type="pct"/>
            <w:vAlign w:val="center"/>
          </w:tcPr>
          <w:p>
            <w:pPr>
              <w:autoSpaceDE w:val="0"/>
              <w:spacing w:line="312" w:lineRule="exact"/>
              <w:ind w:firstLine="0" w:firstLineChars="0"/>
              <w:contextualSpacing/>
              <w:jc w:val="center"/>
              <w:rPr>
                <w:color w:val="auto"/>
                <w:sz w:val="21"/>
                <w:szCs w:val="21"/>
              </w:rPr>
            </w:pPr>
            <w:r>
              <w:rPr>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2440" w:type="pct"/>
            <w:vAlign w:val="center"/>
          </w:tcPr>
          <w:p>
            <w:pPr>
              <w:autoSpaceDE w:val="0"/>
              <w:spacing w:line="312" w:lineRule="exact"/>
              <w:ind w:firstLine="0" w:firstLineChars="0"/>
              <w:contextualSpacing/>
              <w:jc w:val="center"/>
              <w:rPr>
                <w:color w:val="auto"/>
                <w:sz w:val="21"/>
                <w:szCs w:val="21"/>
              </w:rPr>
            </w:pPr>
            <w:r>
              <w:rPr>
                <w:color w:val="auto"/>
                <w:sz w:val="21"/>
                <w:szCs w:val="21"/>
              </w:rPr>
              <w:t>三、环境影响评价审批部门要做好建设项目环境影响报告书（表）的审查，结合排污许可证申请与核发技术规范，核定建设项目的产排污环节、污染物种类及污染防治设施和措施等基本信息；依据国家或地方污染物排放标准、环境质量标准和总量控制要求等管理规定，按照污染源源强核算技术指南、环境影响评价要素导则等技术文件，严格核定排放口数量、位置以及每个排放口的污染物种类、允许排放浓度和允许排放量、排放方式、排放去向、自行监测计划等与污染物排放相关的主要内容。</w:t>
            </w:r>
          </w:p>
        </w:tc>
        <w:tc>
          <w:tcPr>
            <w:tcW w:w="1913" w:type="pct"/>
            <w:vAlign w:val="center"/>
          </w:tcPr>
          <w:p>
            <w:pPr>
              <w:autoSpaceDE w:val="0"/>
              <w:spacing w:line="312" w:lineRule="exact"/>
              <w:ind w:firstLine="0" w:firstLineChars="0"/>
              <w:contextualSpacing/>
              <w:jc w:val="center"/>
              <w:rPr>
                <w:color w:val="auto"/>
                <w:sz w:val="21"/>
                <w:szCs w:val="21"/>
              </w:rPr>
            </w:pPr>
            <w:r>
              <w:rPr>
                <w:color w:val="auto"/>
                <w:sz w:val="21"/>
                <w:szCs w:val="21"/>
              </w:rPr>
              <w:t>本项目不涉及工业废水，</w:t>
            </w:r>
            <w:r>
              <w:rPr>
                <w:rFonts w:hint="eastAsia"/>
                <w:color w:val="auto"/>
                <w:sz w:val="21"/>
                <w:szCs w:val="21"/>
              </w:rPr>
              <w:t>淄博科技工业园</w:t>
            </w:r>
            <w:r>
              <w:rPr>
                <w:color w:val="auto"/>
                <w:sz w:val="21"/>
                <w:szCs w:val="21"/>
              </w:rPr>
              <w:t>已覆盖污水管网，生活污水进入园区化粪池，由环卫部门定期清挖，废气中VOCs经</w:t>
            </w:r>
            <w:r>
              <w:rPr>
                <w:rFonts w:hint="eastAsia"/>
                <w:color w:val="auto"/>
                <w:sz w:val="21"/>
                <w:szCs w:val="21"/>
                <w:lang w:eastAsia="zh-CN"/>
              </w:rPr>
              <w:t>碱喷淋</w:t>
            </w:r>
            <w:r>
              <w:rPr>
                <w:rFonts w:hint="eastAsia"/>
                <w:color w:val="auto"/>
                <w:sz w:val="21"/>
                <w:szCs w:val="21"/>
              </w:rPr>
              <w:t>+</w:t>
            </w:r>
            <w:r>
              <w:rPr>
                <w:color w:val="auto"/>
                <w:sz w:val="21"/>
                <w:szCs w:val="21"/>
              </w:rPr>
              <w:t>活性炭吸附后经15m排气筒排放，</w:t>
            </w:r>
            <w:r>
              <w:rPr>
                <w:rFonts w:hint="eastAsia"/>
                <w:color w:val="auto"/>
                <w:sz w:val="21"/>
                <w:szCs w:val="21"/>
              </w:rPr>
              <w:t>颗粒物经旋风除尘器</w:t>
            </w:r>
            <w:r>
              <w:rPr>
                <w:rFonts w:hint="eastAsia"/>
                <w:color w:val="auto"/>
                <w:sz w:val="21"/>
                <w:szCs w:val="21"/>
                <w:lang w:val="en-US" w:eastAsia="zh-CN"/>
              </w:rPr>
              <w:t>+袋式除尘器</w:t>
            </w:r>
            <w:r>
              <w:rPr>
                <w:rFonts w:hint="eastAsia"/>
                <w:color w:val="auto"/>
                <w:sz w:val="21"/>
                <w:szCs w:val="21"/>
              </w:rPr>
              <w:t>除尘后</w:t>
            </w:r>
            <w:r>
              <w:rPr>
                <w:rFonts w:hint="eastAsia"/>
                <w:color w:val="auto"/>
                <w:sz w:val="21"/>
                <w:szCs w:val="21"/>
                <w:lang w:val="en-US" w:eastAsia="zh-CN"/>
              </w:rPr>
              <w:t>无组织</w:t>
            </w:r>
            <w:r>
              <w:rPr>
                <w:color w:val="auto"/>
                <w:sz w:val="21"/>
                <w:szCs w:val="21"/>
              </w:rPr>
              <w:t>排放</w:t>
            </w:r>
            <w:r>
              <w:rPr>
                <w:rFonts w:hint="eastAsia"/>
                <w:color w:val="auto"/>
                <w:sz w:val="21"/>
                <w:szCs w:val="21"/>
              </w:rPr>
              <w:t>，</w:t>
            </w:r>
            <w:r>
              <w:rPr>
                <w:color w:val="auto"/>
                <w:sz w:val="21"/>
                <w:szCs w:val="21"/>
              </w:rPr>
              <w:t>经处理后可以达标排放，噪声源经过基础减振、厂区隔声等措施后厂界噪声满足《工业企业厂界环境噪声排放标准》（GB12348-2008）</w:t>
            </w:r>
            <w:r>
              <w:rPr>
                <w:rFonts w:hint="eastAsia"/>
                <w:color w:val="auto"/>
                <w:sz w:val="21"/>
                <w:szCs w:val="21"/>
                <w:lang w:eastAsia="zh-CN"/>
              </w:rPr>
              <w:t>2类标准</w:t>
            </w:r>
            <w:r>
              <w:rPr>
                <w:color w:val="auto"/>
                <w:sz w:val="21"/>
                <w:szCs w:val="21"/>
              </w:rPr>
              <w:t>，</w:t>
            </w:r>
            <w:r>
              <w:rPr>
                <w:rFonts w:hint="eastAsia"/>
                <w:color w:val="auto"/>
                <w:sz w:val="21"/>
                <w:szCs w:val="21"/>
              </w:rPr>
              <w:t>一般工业固废</w:t>
            </w:r>
            <w:r>
              <w:rPr>
                <w:color w:val="auto"/>
                <w:sz w:val="21"/>
                <w:szCs w:val="21"/>
              </w:rPr>
              <w:t>设</w:t>
            </w:r>
            <w:r>
              <w:rPr>
                <w:rFonts w:hint="eastAsia"/>
                <w:color w:val="auto"/>
                <w:sz w:val="21"/>
                <w:szCs w:val="21"/>
              </w:rPr>
              <w:t>一般工业固废</w:t>
            </w:r>
            <w:r>
              <w:rPr>
                <w:color w:val="auto"/>
                <w:sz w:val="21"/>
                <w:szCs w:val="21"/>
              </w:rPr>
              <w:t xml:space="preserve">暂存间，危险废物按照要求设置危险废物暂存间，固废均妥善处置，本报告已按照《排污单位自行监测技术指南 总则》（HJ819-2021）和《排污许可证申请与核发技术规范 </w:t>
            </w:r>
            <w:r>
              <w:rPr>
                <w:rFonts w:hint="eastAsia"/>
                <w:color w:val="auto"/>
                <w:sz w:val="21"/>
                <w:szCs w:val="21"/>
              </w:rPr>
              <w:t>化学纤维制造业</w:t>
            </w:r>
            <w:r>
              <w:rPr>
                <w:color w:val="auto"/>
                <w:sz w:val="21"/>
                <w:szCs w:val="21"/>
              </w:rPr>
              <w:t>》（HJ</w:t>
            </w:r>
            <w:r>
              <w:rPr>
                <w:rFonts w:hint="eastAsia"/>
                <w:color w:val="auto"/>
                <w:sz w:val="21"/>
                <w:szCs w:val="21"/>
              </w:rPr>
              <w:t>1102-2020</w:t>
            </w:r>
            <w:r>
              <w:rPr>
                <w:color w:val="auto"/>
                <w:sz w:val="21"/>
                <w:szCs w:val="21"/>
              </w:rPr>
              <w:t>）制定自行监测计划。</w:t>
            </w:r>
          </w:p>
        </w:tc>
        <w:tc>
          <w:tcPr>
            <w:tcW w:w="645" w:type="pct"/>
            <w:vAlign w:val="center"/>
          </w:tcPr>
          <w:p>
            <w:pPr>
              <w:autoSpaceDE w:val="0"/>
              <w:spacing w:line="312" w:lineRule="exact"/>
              <w:ind w:firstLine="0" w:firstLineChars="0"/>
              <w:contextualSpacing/>
              <w:jc w:val="center"/>
              <w:rPr>
                <w:color w:val="auto"/>
                <w:sz w:val="21"/>
                <w:szCs w:val="21"/>
              </w:rPr>
            </w:pPr>
            <w:r>
              <w:rPr>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2440" w:type="pct"/>
            <w:vAlign w:val="center"/>
          </w:tcPr>
          <w:p>
            <w:pPr>
              <w:autoSpaceDE w:val="0"/>
              <w:spacing w:line="312" w:lineRule="exact"/>
              <w:ind w:firstLine="0" w:firstLineChars="0"/>
              <w:contextualSpacing/>
              <w:jc w:val="center"/>
              <w:rPr>
                <w:color w:val="auto"/>
                <w:sz w:val="21"/>
                <w:szCs w:val="21"/>
              </w:rPr>
            </w:pPr>
            <w:r>
              <w:rPr>
                <w:color w:val="auto"/>
                <w:sz w:val="21"/>
                <w:szCs w:val="21"/>
              </w:rPr>
              <w:t>六、建设项目发生实际排污行为之前，排污单位应当按照国家环境保护相关法律法规以及排污许可证申请与核发技术规范要求申请排污许可证，不得无证排污或不按证排污。环境影响报告书（表）2015年1月1日（含）后获得批准的建设项目，其环境影响报告书（表）以及审批文件中与污染物排放相关的主要内容应当纳入排污许可证。建设项目无证排污或不按证排污的，建设单位不得出具该项目验收合格的意见，验收报告中与污染物排放相关的主要内容应当纳入该项目验收完成当年排污许可证执行年报。排污许可证执行报告、台账记录以及自行监测执行情况等应作为开展建设项目环境影响后评价的重要依据。</w:t>
            </w:r>
          </w:p>
        </w:tc>
        <w:tc>
          <w:tcPr>
            <w:tcW w:w="1913" w:type="pct"/>
            <w:vAlign w:val="center"/>
          </w:tcPr>
          <w:p>
            <w:pPr>
              <w:autoSpaceDE w:val="0"/>
              <w:spacing w:line="312" w:lineRule="exact"/>
              <w:ind w:firstLine="0" w:firstLineChars="0"/>
              <w:contextualSpacing/>
              <w:jc w:val="center"/>
              <w:rPr>
                <w:color w:val="auto"/>
                <w:sz w:val="21"/>
                <w:szCs w:val="21"/>
              </w:rPr>
            </w:pPr>
            <w:r>
              <w:rPr>
                <w:color w:val="auto"/>
                <w:sz w:val="21"/>
                <w:szCs w:val="21"/>
              </w:rPr>
              <w:t>报告中要求建设项目发生实际排污行为之前，应当按照国家环境保护相关法律法规以及排污许可证申请与核发技术规范要求进行填报排污登记表</w:t>
            </w:r>
          </w:p>
        </w:tc>
        <w:tc>
          <w:tcPr>
            <w:tcW w:w="645" w:type="pct"/>
            <w:vAlign w:val="center"/>
          </w:tcPr>
          <w:p>
            <w:pPr>
              <w:autoSpaceDE w:val="0"/>
              <w:spacing w:line="312" w:lineRule="exact"/>
              <w:ind w:firstLine="0" w:firstLineChars="0"/>
              <w:contextualSpacing/>
              <w:jc w:val="center"/>
              <w:rPr>
                <w:color w:val="auto"/>
                <w:sz w:val="21"/>
                <w:szCs w:val="21"/>
              </w:rPr>
            </w:pPr>
            <w:r>
              <w:rPr>
                <w:color w:val="auto"/>
                <w:sz w:val="21"/>
                <w:szCs w:val="21"/>
              </w:rPr>
              <w:t>符合</w:t>
            </w:r>
          </w:p>
        </w:tc>
      </w:tr>
    </w:tbl>
    <w:p>
      <w:pPr>
        <w:ind w:firstLine="0" w:firstLineChars="0"/>
        <w:rPr>
          <w:b/>
          <w:bCs/>
          <w:color w:val="auto"/>
        </w:rPr>
      </w:pPr>
      <w:r>
        <w:rPr>
          <w:rFonts w:hint="eastAsia"/>
          <w:b/>
          <w:bCs/>
          <w:color w:val="auto"/>
        </w:rPr>
        <w:t>16</w:t>
      </w:r>
      <w:r>
        <w:rPr>
          <w:b/>
          <w:bCs/>
          <w:color w:val="auto"/>
        </w:rPr>
        <w:t>、本项目与《关于加强“两高”项目管理的通知》（鲁政办字〔2021〕57号）符合性分析见下表</w:t>
      </w:r>
      <w:r>
        <w:rPr>
          <w:rFonts w:hint="eastAsia"/>
          <w:b/>
          <w:bCs/>
          <w:color w:val="auto"/>
        </w:rPr>
        <w:t>12.1-16</w:t>
      </w:r>
      <w:r>
        <w:rPr>
          <w:b/>
          <w:bCs/>
          <w:color w:val="auto"/>
        </w:rPr>
        <w:t>。</w:t>
      </w:r>
    </w:p>
    <w:p>
      <w:pPr>
        <w:ind w:firstLine="420"/>
        <w:jc w:val="center"/>
        <w:rPr>
          <w:rFonts w:eastAsia="黑体"/>
          <w:bCs/>
          <w:color w:val="auto"/>
          <w:sz w:val="21"/>
          <w:szCs w:val="21"/>
        </w:rPr>
      </w:pPr>
      <w:r>
        <w:rPr>
          <w:rFonts w:eastAsia="黑体"/>
          <w:bCs/>
          <w:color w:val="auto"/>
          <w:sz w:val="21"/>
          <w:szCs w:val="21"/>
        </w:rPr>
        <w:t>表</w:t>
      </w:r>
      <w:r>
        <w:rPr>
          <w:rFonts w:hint="eastAsia" w:eastAsia="黑体"/>
          <w:bCs/>
          <w:color w:val="auto"/>
          <w:sz w:val="21"/>
          <w:szCs w:val="21"/>
        </w:rPr>
        <w:t>12.1-16</w:t>
      </w:r>
      <w:r>
        <w:rPr>
          <w:rFonts w:eastAsia="黑体"/>
          <w:bCs/>
          <w:color w:val="auto"/>
          <w:sz w:val="21"/>
          <w:szCs w:val="21"/>
        </w:rPr>
        <w:t xml:space="preserve"> 与鲁政办字〔2021〕57号文件符合性分析</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897"/>
        <w:gridCol w:w="2760"/>
        <w:gridCol w:w="14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2699" w:type="pct"/>
            <w:vAlign w:val="center"/>
          </w:tcPr>
          <w:p>
            <w:pPr>
              <w:autoSpaceDE w:val="0"/>
              <w:spacing w:line="312" w:lineRule="exact"/>
              <w:ind w:firstLine="0" w:firstLineChars="0"/>
              <w:contextualSpacing/>
              <w:jc w:val="center"/>
              <w:rPr>
                <w:b/>
                <w:color w:val="auto"/>
                <w:sz w:val="21"/>
                <w:szCs w:val="21"/>
              </w:rPr>
            </w:pPr>
            <w:r>
              <w:rPr>
                <w:b/>
                <w:color w:val="auto"/>
                <w:sz w:val="21"/>
                <w:szCs w:val="21"/>
              </w:rPr>
              <w:t>文件要求</w:t>
            </w:r>
          </w:p>
        </w:tc>
        <w:tc>
          <w:tcPr>
            <w:tcW w:w="1521" w:type="pct"/>
            <w:vAlign w:val="center"/>
          </w:tcPr>
          <w:p>
            <w:pPr>
              <w:autoSpaceDE w:val="0"/>
              <w:spacing w:line="312" w:lineRule="exact"/>
              <w:ind w:firstLine="0" w:firstLineChars="0"/>
              <w:contextualSpacing/>
              <w:jc w:val="center"/>
              <w:rPr>
                <w:b/>
                <w:color w:val="auto"/>
                <w:sz w:val="21"/>
                <w:szCs w:val="21"/>
              </w:rPr>
            </w:pPr>
            <w:r>
              <w:rPr>
                <w:b/>
                <w:color w:val="auto"/>
                <w:sz w:val="21"/>
                <w:szCs w:val="21"/>
              </w:rPr>
              <w:t>项目情况</w:t>
            </w:r>
          </w:p>
        </w:tc>
        <w:tc>
          <w:tcPr>
            <w:tcW w:w="780" w:type="pct"/>
            <w:vAlign w:val="center"/>
          </w:tcPr>
          <w:p>
            <w:pPr>
              <w:autoSpaceDE w:val="0"/>
              <w:spacing w:line="312" w:lineRule="exact"/>
              <w:ind w:firstLine="0" w:firstLineChars="0"/>
              <w:contextualSpacing/>
              <w:jc w:val="center"/>
              <w:rPr>
                <w:b/>
                <w:color w:val="auto"/>
                <w:sz w:val="21"/>
                <w:szCs w:val="21"/>
              </w:rPr>
            </w:pPr>
            <w:r>
              <w:rPr>
                <w:b/>
                <w:color w:val="auto"/>
                <w:sz w:val="21"/>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2699" w:type="pct"/>
            <w:vAlign w:val="center"/>
          </w:tcPr>
          <w:p>
            <w:pPr>
              <w:autoSpaceDE w:val="0"/>
              <w:spacing w:line="312" w:lineRule="exact"/>
              <w:ind w:firstLine="0" w:firstLineChars="0"/>
              <w:contextualSpacing/>
              <w:jc w:val="center"/>
              <w:rPr>
                <w:color w:val="auto"/>
                <w:sz w:val="21"/>
                <w:szCs w:val="21"/>
              </w:rPr>
            </w:pPr>
            <w:r>
              <w:rPr>
                <w:color w:val="auto"/>
                <w:sz w:val="21"/>
                <w:szCs w:val="21"/>
              </w:rPr>
              <w:t>一、明确“两高”行业和项目范围。本通知所指“两高”行业，主要包括国家统计局国民经济和社会发展统计公报中明确的石油、煤炭及其他燃料加工业，化学原料和化学制品制造业，非金属矿物制品业，黑色金属冶炼和压延加工业，有色金属冶炼和压延加工业，电力、热力生产和供应业等“六大高耗能行业”。“两高”项目，是指“六大高耗能行业”中的钢铁、铁合金、电解铝、水泥、石灰、建筑陶瓷、平板玻璃、煤电、炼化、焦化、甲醇、氮肥、醋酸、氯碱、电石、沥青防水材料等16个高耗能高排放环节投资项目。</w:t>
            </w:r>
          </w:p>
        </w:tc>
        <w:tc>
          <w:tcPr>
            <w:tcW w:w="1521" w:type="pct"/>
            <w:vAlign w:val="center"/>
          </w:tcPr>
          <w:p>
            <w:pPr>
              <w:autoSpaceDE w:val="0"/>
              <w:spacing w:line="312" w:lineRule="exact"/>
              <w:ind w:firstLine="0" w:firstLineChars="0"/>
              <w:contextualSpacing/>
              <w:jc w:val="center"/>
              <w:rPr>
                <w:color w:val="auto"/>
                <w:sz w:val="21"/>
                <w:szCs w:val="21"/>
              </w:rPr>
            </w:pPr>
            <w:r>
              <w:rPr>
                <w:color w:val="auto"/>
                <w:sz w:val="21"/>
                <w:szCs w:val="21"/>
              </w:rPr>
              <w:t>本项目为</w:t>
            </w:r>
            <w:r>
              <w:rPr>
                <w:rFonts w:hint="eastAsia"/>
                <w:color w:val="auto"/>
                <w:sz w:val="21"/>
                <w:szCs w:val="21"/>
              </w:rPr>
              <w:t>化学纤维制造业</w:t>
            </w:r>
            <w:r>
              <w:rPr>
                <w:color w:val="auto"/>
                <w:sz w:val="21"/>
                <w:szCs w:val="21"/>
              </w:rPr>
              <w:t>，不属于“两高”行业，也不属于“两高”项目。</w:t>
            </w:r>
          </w:p>
        </w:tc>
        <w:tc>
          <w:tcPr>
            <w:tcW w:w="780" w:type="pct"/>
            <w:vAlign w:val="center"/>
          </w:tcPr>
          <w:p>
            <w:pPr>
              <w:autoSpaceDE w:val="0"/>
              <w:spacing w:line="312" w:lineRule="exact"/>
              <w:ind w:firstLine="0" w:firstLineChars="0"/>
              <w:contextualSpacing/>
              <w:jc w:val="center"/>
              <w:rPr>
                <w:color w:val="auto"/>
                <w:sz w:val="21"/>
                <w:szCs w:val="21"/>
              </w:rPr>
            </w:pPr>
            <w:r>
              <w:rPr>
                <w:color w:val="auto"/>
                <w:sz w:val="21"/>
                <w:szCs w:val="21"/>
              </w:rPr>
              <w:t>符合</w:t>
            </w:r>
          </w:p>
        </w:tc>
      </w:tr>
    </w:tbl>
    <w:p>
      <w:pPr>
        <w:pStyle w:val="2"/>
        <w:spacing w:after="0"/>
        <w:ind w:firstLine="0" w:firstLineChars="0"/>
        <w:rPr>
          <w:color w:val="auto"/>
        </w:rPr>
      </w:pPr>
      <w:r>
        <w:rPr>
          <w:rFonts w:hint="eastAsia"/>
          <w:b/>
          <w:bCs/>
          <w:color w:val="auto"/>
        </w:rPr>
        <w:t>17</w:t>
      </w:r>
      <w:r>
        <w:rPr>
          <w:b/>
          <w:bCs/>
          <w:color w:val="auto"/>
        </w:rPr>
        <w:t>、本项目与《关于严格项目审批工作坚决防止新上“散乱污”项目的通知》（鲁环字〔2021〕58号）符合性分析见下表。</w:t>
      </w:r>
    </w:p>
    <w:p>
      <w:pPr>
        <w:ind w:firstLine="420"/>
        <w:jc w:val="center"/>
        <w:rPr>
          <w:rFonts w:eastAsia="黑体"/>
          <w:bCs/>
          <w:color w:val="auto"/>
          <w:sz w:val="21"/>
          <w:szCs w:val="21"/>
        </w:rPr>
      </w:pPr>
      <w:r>
        <w:rPr>
          <w:rFonts w:eastAsia="黑体"/>
          <w:bCs/>
          <w:color w:val="auto"/>
          <w:sz w:val="21"/>
          <w:szCs w:val="21"/>
        </w:rPr>
        <w:t>表</w:t>
      </w:r>
      <w:r>
        <w:rPr>
          <w:rFonts w:hint="eastAsia" w:eastAsia="黑体"/>
          <w:bCs/>
          <w:color w:val="auto"/>
          <w:sz w:val="21"/>
          <w:szCs w:val="21"/>
        </w:rPr>
        <w:t>12.1-17</w:t>
      </w:r>
      <w:r>
        <w:rPr>
          <w:rFonts w:eastAsia="黑体"/>
          <w:bCs/>
          <w:color w:val="auto"/>
          <w:sz w:val="21"/>
          <w:szCs w:val="21"/>
        </w:rPr>
        <w:t xml:space="preserve"> 与鲁环字〔2021〕58号文件符合性分析</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642"/>
        <w:gridCol w:w="3588"/>
        <w:gridCol w:w="8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41" w:hRule="atLeast"/>
        </w:trPr>
        <w:tc>
          <w:tcPr>
            <w:tcW w:w="2558" w:type="pct"/>
            <w:vAlign w:val="center"/>
          </w:tcPr>
          <w:p>
            <w:pPr>
              <w:autoSpaceDE w:val="0"/>
              <w:spacing w:line="312" w:lineRule="exact"/>
              <w:ind w:firstLine="0" w:firstLineChars="0"/>
              <w:contextualSpacing/>
              <w:jc w:val="center"/>
              <w:rPr>
                <w:b/>
                <w:color w:val="auto"/>
                <w:sz w:val="21"/>
                <w:szCs w:val="21"/>
              </w:rPr>
            </w:pPr>
            <w:r>
              <w:rPr>
                <w:b/>
                <w:color w:val="auto"/>
                <w:sz w:val="21"/>
                <w:szCs w:val="21"/>
              </w:rPr>
              <w:t>文件要求</w:t>
            </w:r>
          </w:p>
        </w:tc>
        <w:tc>
          <w:tcPr>
            <w:tcW w:w="1977" w:type="pct"/>
            <w:vAlign w:val="center"/>
          </w:tcPr>
          <w:p>
            <w:pPr>
              <w:autoSpaceDE w:val="0"/>
              <w:spacing w:line="312" w:lineRule="exact"/>
              <w:ind w:firstLine="0" w:firstLineChars="0"/>
              <w:contextualSpacing/>
              <w:jc w:val="center"/>
              <w:rPr>
                <w:b/>
                <w:color w:val="auto"/>
                <w:sz w:val="21"/>
                <w:szCs w:val="21"/>
              </w:rPr>
            </w:pPr>
            <w:r>
              <w:rPr>
                <w:b/>
                <w:color w:val="auto"/>
                <w:sz w:val="21"/>
                <w:szCs w:val="21"/>
              </w:rPr>
              <w:t>项目情况</w:t>
            </w:r>
          </w:p>
        </w:tc>
        <w:tc>
          <w:tcPr>
            <w:tcW w:w="464" w:type="pct"/>
            <w:vAlign w:val="center"/>
          </w:tcPr>
          <w:p>
            <w:pPr>
              <w:autoSpaceDE w:val="0"/>
              <w:spacing w:line="312" w:lineRule="exact"/>
              <w:ind w:firstLine="0" w:firstLineChars="0"/>
              <w:contextualSpacing/>
              <w:jc w:val="center"/>
              <w:rPr>
                <w:b/>
                <w:color w:val="auto"/>
                <w:sz w:val="21"/>
                <w:szCs w:val="21"/>
              </w:rPr>
            </w:pPr>
            <w:r>
              <w:rPr>
                <w:b/>
                <w:color w:val="auto"/>
                <w:sz w:val="21"/>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438" w:hRule="atLeast"/>
        </w:trPr>
        <w:tc>
          <w:tcPr>
            <w:tcW w:w="2558" w:type="pct"/>
            <w:vAlign w:val="center"/>
          </w:tcPr>
          <w:p>
            <w:pPr>
              <w:autoSpaceDE w:val="0"/>
              <w:spacing w:line="312" w:lineRule="exact"/>
              <w:ind w:firstLine="0" w:firstLineChars="0"/>
              <w:contextualSpacing/>
              <w:jc w:val="center"/>
              <w:rPr>
                <w:color w:val="auto"/>
                <w:sz w:val="21"/>
                <w:szCs w:val="21"/>
              </w:rPr>
            </w:pPr>
            <w:r>
              <w:rPr>
                <w:color w:val="auto"/>
                <w:sz w:val="21"/>
                <w:szCs w:val="21"/>
              </w:rPr>
              <w:t>一、认真贯彻执行产业政策。新上项目必须符合国家产业政策要求，禁止采用国家公布的淘汰工艺和落后设备，不得引进耗能高、污染大、生产粗放、不符合国家产业政策的项目。</w:t>
            </w:r>
          </w:p>
        </w:tc>
        <w:tc>
          <w:tcPr>
            <w:tcW w:w="1977" w:type="pct"/>
            <w:vAlign w:val="center"/>
          </w:tcPr>
          <w:p>
            <w:pPr>
              <w:spacing w:line="312" w:lineRule="exact"/>
              <w:ind w:firstLine="0" w:firstLineChars="0"/>
              <w:rPr>
                <w:color w:val="auto"/>
                <w:sz w:val="21"/>
                <w:szCs w:val="21"/>
              </w:rPr>
            </w:pPr>
            <w:r>
              <w:rPr>
                <w:color w:val="auto"/>
                <w:sz w:val="21"/>
                <w:szCs w:val="21"/>
              </w:rPr>
              <w:t>本项目符合国家产业政策，已在张店区行政审批局备案，备案号：2201-370303-89-01-892093所用设备不属于《高耗能落后机电设备（产品）淘汰目录（第一~四批）》之列。</w:t>
            </w:r>
          </w:p>
        </w:tc>
        <w:tc>
          <w:tcPr>
            <w:tcW w:w="464" w:type="pct"/>
            <w:vAlign w:val="center"/>
          </w:tcPr>
          <w:p>
            <w:pPr>
              <w:autoSpaceDE w:val="0"/>
              <w:spacing w:line="312" w:lineRule="exact"/>
              <w:ind w:firstLine="0" w:firstLineChars="0"/>
              <w:contextualSpacing/>
              <w:jc w:val="center"/>
              <w:rPr>
                <w:color w:val="auto"/>
                <w:sz w:val="21"/>
                <w:szCs w:val="21"/>
              </w:rPr>
            </w:pPr>
            <w:r>
              <w:rPr>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624" w:hRule="atLeast"/>
        </w:trPr>
        <w:tc>
          <w:tcPr>
            <w:tcW w:w="2558" w:type="pct"/>
            <w:vAlign w:val="center"/>
          </w:tcPr>
          <w:p>
            <w:pPr>
              <w:autoSpaceDE w:val="0"/>
              <w:spacing w:line="312" w:lineRule="exact"/>
              <w:ind w:firstLine="0" w:firstLineChars="0"/>
              <w:contextualSpacing/>
              <w:jc w:val="center"/>
              <w:rPr>
                <w:color w:val="auto"/>
                <w:sz w:val="21"/>
                <w:szCs w:val="21"/>
              </w:rPr>
            </w:pPr>
            <w:r>
              <w:rPr>
                <w:color w:val="auto"/>
                <w:sz w:val="21"/>
                <w:szCs w:val="21"/>
              </w:rPr>
              <w:t>二、强化规划刚性约束。新上项目必须符合国土空间规划、产业发展规划等要求，积极引导产业园区外的“散乱污”整治搬迁改造企业进入产业园区或工业集聚区，并鼓励租赁标准厂区，按照“布局集中、用地集约、产业集聚、空间优化”的原则，高标准制定产业发展规划，明确主导产业、布局和产业发展方向，引导企业规范化、规模化、集约化发展。</w:t>
            </w:r>
          </w:p>
        </w:tc>
        <w:tc>
          <w:tcPr>
            <w:tcW w:w="1977" w:type="pct"/>
            <w:vAlign w:val="center"/>
          </w:tcPr>
          <w:p>
            <w:pPr>
              <w:autoSpaceDE w:val="0"/>
              <w:spacing w:line="312" w:lineRule="exact"/>
              <w:ind w:firstLine="0" w:firstLineChars="0"/>
              <w:contextualSpacing/>
              <w:jc w:val="center"/>
              <w:rPr>
                <w:color w:val="auto"/>
                <w:sz w:val="21"/>
                <w:szCs w:val="21"/>
              </w:rPr>
            </w:pPr>
            <w:r>
              <w:rPr>
                <w:color w:val="auto"/>
                <w:sz w:val="21"/>
                <w:szCs w:val="21"/>
              </w:rPr>
              <w:t>本项目建设符合国土空间规划、产业发展规划，位于山东省淄博市</w:t>
            </w:r>
            <w:r>
              <w:rPr>
                <w:rFonts w:hint="eastAsia"/>
                <w:color w:val="auto"/>
                <w:sz w:val="21"/>
                <w:szCs w:val="21"/>
              </w:rPr>
              <w:t>张店区房镇镇淄博科技工业园兴园路19号</w:t>
            </w:r>
            <w:r>
              <w:rPr>
                <w:color w:val="auto"/>
                <w:sz w:val="21"/>
                <w:szCs w:val="21"/>
              </w:rPr>
              <w:t>。</w:t>
            </w:r>
          </w:p>
        </w:tc>
        <w:tc>
          <w:tcPr>
            <w:tcW w:w="464" w:type="pct"/>
            <w:vAlign w:val="center"/>
          </w:tcPr>
          <w:p>
            <w:pPr>
              <w:autoSpaceDE w:val="0"/>
              <w:spacing w:line="312" w:lineRule="exact"/>
              <w:ind w:firstLine="0" w:firstLineChars="0"/>
              <w:contextualSpacing/>
              <w:jc w:val="center"/>
              <w:rPr>
                <w:color w:val="auto"/>
                <w:sz w:val="21"/>
                <w:szCs w:val="21"/>
              </w:rPr>
            </w:pPr>
            <w:r>
              <w:rPr>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58" w:hRule="atLeast"/>
        </w:trPr>
        <w:tc>
          <w:tcPr>
            <w:tcW w:w="2558" w:type="pct"/>
            <w:vAlign w:val="center"/>
          </w:tcPr>
          <w:p>
            <w:pPr>
              <w:pStyle w:val="47"/>
              <w:jc w:val="both"/>
              <w:rPr>
                <w:color w:val="auto"/>
                <w:szCs w:val="21"/>
              </w:rPr>
            </w:pPr>
            <w:r>
              <w:rPr>
                <w:color w:val="auto"/>
                <w:szCs w:val="21"/>
              </w:rPr>
              <w:t>三、科学把好项目选址关。新建有污染物排放的工业项目，除在安全生产等方面有特殊要求的以外，应当进入工业园区或工业集聚区。各市要本着节约利用土地的原则，充分考虑项目周边环境、资金投入、推进速度等关键要素，合理选址，科学布局，切实做到符合用地政策，确保规划建设的项目有利于长远发展。</w:t>
            </w:r>
          </w:p>
        </w:tc>
        <w:tc>
          <w:tcPr>
            <w:tcW w:w="1977" w:type="pct"/>
            <w:vAlign w:val="center"/>
          </w:tcPr>
          <w:p>
            <w:pPr>
              <w:pStyle w:val="47"/>
              <w:rPr>
                <w:color w:val="auto"/>
                <w:szCs w:val="21"/>
              </w:rPr>
            </w:pPr>
            <w:r>
              <w:rPr>
                <w:color w:val="auto"/>
                <w:szCs w:val="21"/>
              </w:rPr>
              <w:t>本项目位于山东省淄博市</w:t>
            </w:r>
            <w:r>
              <w:rPr>
                <w:rFonts w:hint="eastAsia"/>
                <w:color w:val="auto"/>
                <w:szCs w:val="21"/>
              </w:rPr>
              <w:t>张店区房镇镇淄博科技工业园兴园路19号</w:t>
            </w:r>
            <w:r>
              <w:rPr>
                <w:color w:val="auto"/>
                <w:szCs w:val="21"/>
              </w:rPr>
              <w:t>，选址合理，符合用地政策。</w:t>
            </w:r>
          </w:p>
        </w:tc>
        <w:tc>
          <w:tcPr>
            <w:tcW w:w="464" w:type="pct"/>
            <w:vAlign w:val="center"/>
          </w:tcPr>
          <w:p>
            <w:pPr>
              <w:autoSpaceDE w:val="0"/>
              <w:spacing w:line="312" w:lineRule="exact"/>
              <w:ind w:firstLine="0" w:firstLineChars="0"/>
              <w:contextualSpacing/>
              <w:jc w:val="center"/>
              <w:rPr>
                <w:color w:val="auto"/>
                <w:sz w:val="21"/>
                <w:szCs w:val="21"/>
              </w:rPr>
            </w:pPr>
            <w:r>
              <w:rPr>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453" w:hRule="atLeast"/>
        </w:trPr>
        <w:tc>
          <w:tcPr>
            <w:tcW w:w="2558" w:type="pct"/>
            <w:vAlign w:val="center"/>
          </w:tcPr>
          <w:p>
            <w:pPr>
              <w:autoSpaceDE w:val="0"/>
              <w:spacing w:line="312" w:lineRule="exact"/>
              <w:ind w:firstLine="0" w:firstLineChars="0"/>
              <w:contextualSpacing/>
              <w:jc w:val="center"/>
              <w:rPr>
                <w:color w:val="auto"/>
                <w:sz w:val="21"/>
                <w:szCs w:val="21"/>
              </w:rPr>
            </w:pPr>
            <w:r>
              <w:rPr>
                <w:color w:val="auto"/>
                <w:sz w:val="21"/>
                <w:szCs w:val="21"/>
              </w:rPr>
              <w:t>四、严把项目环评审批关。新上项目必须严格执行环评审批“三挂钩”机制和“五个不批”要求，落实“三线一单”生态环境分区管控要求。强化替代约束，涉及主要污染物排放的，必须落实区域污染物排放替代，确保增产减污；涉及煤炭消耗的，必须落实煤炭消费减量替代，否则各级环评审批部门一律不予审批通过。</w:t>
            </w:r>
          </w:p>
        </w:tc>
        <w:tc>
          <w:tcPr>
            <w:tcW w:w="1977" w:type="pct"/>
            <w:vAlign w:val="center"/>
          </w:tcPr>
          <w:p>
            <w:pPr>
              <w:autoSpaceDE w:val="0"/>
              <w:spacing w:line="312" w:lineRule="exact"/>
              <w:ind w:firstLine="0" w:firstLineChars="0"/>
              <w:contextualSpacing/>
              <w:jc w:val="center"/>
              <w:rPr>
                <w:color w:val="auto"/>
                <w:sz w:val="21"/>
                <w:szCs w:val="21"/>
              </w:rPr>
            </w:pPr>
            <w:r>
              <w:rPr>
                <w:color w:val="auto"/>
                <w:sz w:val="21"/>
                <w:szCs w:val="21"/>
              </w:rPr>
              <w:t>本项目建设严格执行环评审批“三挂钩”机制和“五个不批”要求，落实“三线一单”生态环境分区管控要求，本项目VOCs</w:t>
            </w:r>
            <w:r>
              <w:rPr>
                <w:rFonts w:hint="eastAsia"/>
                <w:color w:val="auto"/>
                <w:sz w:val="21"/>
                <w:szCs w:val="21"/>
              </w:rPr>
              <w:t>、颗粒物、二氧化硫、氮氧化物</w:t>
            </w:r>
            <w:r>
              <w:rPr>
                <w:color w:val="auto"/>
                <w:sz w:val="21"/>
                <w:szCs w:val="21"/>
              </w:rPr>
              <w:t>实行倍量替代，不涉及煤炭消耗。</w:t>
            </w:r>
          </w:p>
        </w:tc>
        <w:tc>
          <w:tcPr>
            <w:tcW w:w="464" w:type="pct"/>
            <w:vAlign w:val="center"/>
          </w:tcPr>
          <w:p>
            <w:pPr>
              <w:autoSpaceDE w:val="0"/>
              <w:spacing w:line="312" w:lineRule="exact"/>
              <w:ind w:firstLine="0" w:firstLineChars="0"/>
              <w:contextualSpacing/>
              <w:jc w:val="center"/>
              <w:rPr>
                <w:color w:val="auto"/>
                <w:sz w:val="21"/>
                <w:szCs w:val="21"/>
              </w:rPr>
            </w:pPr>
            <w:r>
              <w:rPr>
                <w:color w:val="auto"/>
                <w:sz w:val="21"/>
                <w:szCs w:val="21"/>
              </w:rPr>
              <w:t>符合</w:t>
            </w:r>
          </w:p>
        </w:tc>
      </w:tr>
    </w:tbl>
    <w:p>
      <w:pPr>
        <w:ind w:firstLine="482"/>
        <w:rPr>
          <w:b/>
          <w:bCs/>
          <w:color w:val="auto"/>
        </w:rPr>
      </w:pPr>
      <w:r>
        <w:rPr>
          <w:rFonts w:hint="eastAsia"/>
          <w:b/>
          <w:bCs/>
          <w:color w:val="auto"/>
        </w:rPr>
        <w:t>18</w:t>
      </w:r>
      <w:r>
        <w:rPr>
          <w:b/>
          <w:bCs/>
          <w:color w:val="auto"/>
        </w:rPr>
        <w:t>、本项目与《关于进一步加强建设项目固体废物环境管理的通知》（鲁环办函[2016]141号）》符合性分析见</w:t>
      </w:r>
      <w:r>
        <w:rPr>
          <w:rFonts w:hint="eastAsia"/>
          <w:b/>
          <w:bCs/>
          <w:color w:val="auto"/>
        </w:rPr>
        <w:t>下表</w:t>
      </w:r>
      <w:r>
        <w:rPr>
          <w:b/>
          <w:bCs/>
          <w:color w:val="auto"/>
        </w:rPr>
        <w:t>。</w:t>
      </w:r>
    </w:p>
    <w:p>
      <w:pPr>
        <w:ind w:firstLine="420"/>
        <w:jc w:val="center"/>
        <w:rPr>
          <w:rFonts w:eastAsia="黑体"/>
          <w:bCs/>
          <w:color w:val="auto"/>
          <w:sz w:val="21"/>
          <w:szCs w:val="21"/>
        </w:rPr>
      </w:pPr>
      <w:r>
        <w:rPr>
          <w:rFonts w:eastAsia="黑体"/>
          <w:bCs/>
          <w:color w:val="auto"/>
          <w:sz w:val="21"/>
          <w:szCs w:val="21"/>
        </w:rPr>
        <w:t>表</w:t>
      </w:r>
      <w:r>
        <w:rPr>
          <w:rFonts w:hint="eastAsia" w:eastAsia="黑体"/>
          <w:bCs/>
          <w:color w:val="auto"/>
          <w:sz w:val="21"/>
          <w:szCs w:val="21"/>
        </w:rPr>
        <w:t>12.1-18</w:t>
      </w:r>
      <w:r>
        <w:rPr>
          <w:rFonts w:eastAsia="黑体"/>
          <w:bCs/>
          <w:color w:val="auto"/>
          <w:sz w:val="21"/>
          <w:szCs w:val="21"/>
        </w:rPr>
        <w:t xml:space="preserve"> 与鲁环办函[2016]141号文件符合性分析</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47"/>
        <w:gridCol w:w="4884"/>
        <w:gridCol w:w="1950"/>
        <w:gridCol w:w="16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tcBorders>
              <w:tl2br w:val="nil"/>
              <w:tr2bl w:val="nil"/>
            </w:tcBorders>
            <w:vAlign w:val="center"/>
          </w:tcPr>
          <w:p>
            <w:pPr>
              <w:spacing w:line="312" w:lineRule="exact"/>
              <w:ind w:firstLine="0" w:firstLineChars="0"/>
              <w:jc w:val="center"/>
              <w:rPr>
                <w:b/>
                <w:color w:val="auto"/>
                <w:sz w:val="21"/>
                <w:szCs w:val="21"/>
              </w:rPr>
            </w:pPr>
            <w:r>
              <w:rPr>
                <w:b/>
                <w:color w:val="auto"/>
                <w:sz w:val="21"/>
                <w:szCs w:val="21"/>
              </w:rPr>
              <w:t>序号</w:t>
            </w:r>
          </w:p>
        </w:tc>
        <w:tc>
          <w:tcPr>
            <w:tcW w:w="2630" w:type="pct"/>
            <w:tcBorders>
              <w:tl2br w:val="nil"/>
              <w:tr2bl w:val="nil"/>
            </w:tcBorders>
            <w:vAlign w:val="center"/>
          </w:tcPr>
          <w:p>
            <w:pPr>
              <w:spacing w:line="312" w:lineRule="exact"/>
              <w:ind w:firstLine="0" w:firstLineChars="0"/>
              <w:jc w:val="center"/>
              <w:rPr>
                <w:b/>
                <w:color w:val="auto"/>
                <w:sz w:val="21"/>
                <w:szCs w:val="21"/>
              </w:rPr>
            </w:pPr>
            <w:r>
              <w:rPr>
                <w:b/>
                <w:color w:val="auto"/>
                <w:sz w:val="21"/>
                <w:szCs w:val="21"/>
              </w:rPr>
              <w:t>文件要求</w:t>
            </w:r>
          </w:p>
        </w:tc>
        <w:tc>
          <w:tcPr>
            <w:tcW w:w="1050" w:type="pct"/>
            <w:tcBorders>
              <w:tl2br w:val="nil"/>
              <w:tr2bl w:val="nil"/>
            </w:tcBorders>
            <w:vAlign w:val="center"/>
          </w:tcPr>
          <w:p>
            <w:pPr>
              <w:spacing w:line="312" w:lineRule="exact"/>
              <w:ind w:firstLine="0" w:firstLineChars="0"/>
              <w:jc w:val="center"/>
              <w:rPr>
                <w:rFonts w:hint="eastAsia" w:eastAsia="宋体"/>
                <w:b/>
                <w:color w:val="auto"/>
                <w:sz w:val="21"/>
                <w:szCs w:val="21"/>
                <w:lang w:val="en-US" w:eastAsia="zh-CN"/>
              </w:rPr>
            </w:pPr>
            <w:r>
              <w:rPr>
                <w:b/>
                <w:color w:val="auto"/>
                <w:sz w:val="21"/>
                <w:szCs w:val="21"/>
              </w:rPr>
              <w:t>项目</w:t>
            </w:r>
            <w:r>
              <w:rPr>
                <w:rFonts w:hint="eastAsia"/>
                <w:b/>
                <w:color w:val="auto"/>
                <w:sz w:val="21"/>
                <w:szCs w:val="21"/>
                <w:lang w:val="en-US" w:eastAsia="zh-CN"/>
              </w:rPr>
              <w:t>情况</w:t>
            </w:r>
          </w:p>
        </w:tc>
        <w:tc>
          <w:tcPr>
            <w:tcW w:w="863" w:type="pct"/>
            <w:tcBorders>
              <w:tl2br w:val="nil"/>
              <w:tr2bl w:val="nil"/>
            </w:tcBorders>
            <w:vAlign w:val="center"/>
          </w:tcPr>
          <w:p>
            <w:pPr>
              <w:spacing w:line="312" w:lineRule="exact"/>
              <w:ind w:firstLine="0" w:firstLineChars="0"/>
              <w:jc w:val="center"/>
              <w:rPr>
                <w:b/>
                <w:color w:val="auto"/>
                <w:sz w:val="21"/>
                <w:szCs w:val="21"/>
              </w:rPr>
            </w:pPr>
            <w:r>
              <w:rPr>
                <w:b/>
                <w:color w:val="auto"/>
                <w:sz w:val="21"/>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1</w:t>
            </w:r>
          </w:p>
        </w:tc>
        <w:tc>
          <w:tcPr>
            <w:tcW w:w="2630"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环境影响评价机构在编制建设项目环境影响评价文件时，要依据原辅料、工艺设计和物料平衡，深入分析固体废物的产生环节、种类、性质及危害特性，科学预测产生量，评价其综合利用和无害化处置方式的环境影响，并提出相应的对策措施：一要结合建设项目的工艺过程，梳理说明各类固体废物(固态、半固态及高浓度液体)的产生环节、主要成分和理化特性；二要根据《固体废物鉴别导则(试行)》(国家环保总局公告2006年11号)的规定，对建设项目产生的各类副产物是否属于固体废物进行判断，属于固体废物的，应依据《国家危险废物名录》(以下简称《名录》)判断其是否属于危险废物，凡列入《名录》的，属于危险废物，不需再进行危险特性鉴别；未列入《名录》、但疑似危险废物的，应根据产生环节和主要成分进行分析，对可能含有危险组分的，应明确在项目试生产阶段，对其作危险特性鉴别要求，并提出鉴别指标选取的建议方案；三要对分析结果进行汇总，以列表形式说明建设项目产生的固体废物的名称、类别、属性和数量等情况。在评价建设项目固体废物的环境影响时，要逐项评价建设项目业主单位提出的固体废物利用处置方案是否符合环保要求，并对其可行性进行论证。环评机构要根据建设项目固体废物工程分析和环境影响预测结果，提出废物分类收集、安全贮存、综合利用和无害化处置的合理建议，按照《环境影响评价技术导则》的有关要求，编写环境影响报告固体废物污染防治章节。</w:t>
            </w:r>
          </w:p>
        </w:tc>
        <w:tc>
          <w:tcPr>
            <w:tcW w:w="1050"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本环评编制期间，根据原辅料、工艺流程，深入分析了固体废物的产生环节、种类、性质及危害特性，根据项目实际运行情况统计了相应固废产生量，并核实了相应处置措施的可行性，报告表中提出了废物分类收集、安全贮存、综合利用和无害化处置的合理建议。</w:t>
            </w:r>
          </w:p>
        </w:tc>
        <w:tc>
          <w:tcPr>
            <w:tcW w:w="863" w:type="pct"/>
            <w:tcBorders>
              <w:tl2br w:val="nil"/>
              <w:tr2bl w:val="nil"/>
            </w:tcBorders>
            <w:vAlign w:val="center"/>
          </w:tcPr>
          <w:p>
            <w:pPr>
              <w:spacing w:line="312" w:lineRule="exact"/>
              <w:ind w:firstLine="0" w:firstLineChars="0"/>
              <w:jc w:val="center"/>
              <w:rPr>
                <w:rFonts w:hint="eastAsia" w:eastAsia="宋体"/>
                <w:color w:val="auto"/>
                <w:sz w:val="21"/>
                <w:szCs w:val="21"/>
                <w:lang w:val="en-US" w:eastAsia="zh-CN"/>
              </w:rPr>
            </w:pPr>
            <w:r>
              <w:rPr>
                <w:rFonts w:hint="eastAsia"/>
                <w:color w:val="auto"/>
                <w:sz w:val="21"/>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3</w:t>
            </w:r>
          </w:p>
        </w:tc>
        <w:tc>
          <w:tcPr>
            <w:tcW w:w="2630"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核实配套工程落实情况：建有固体废物或危险废物贮存设施的，分别按一般工业固体废物和危险废物贮存有关技术标准检查，重点检查贮存设施的标志标识、防渗、污水导排、包装容器和分类存放等内容。建有固体废物填埋、焚烧等处置设施的，要对试生产期间设施的运行和污染物排放情况分析和监测。</w:t>
            </w:r>
          </w:p>
        </w:tc>
        <w:tc>
          <w:tcPr>
            <w:tcW w:w="1050"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报告</w:t>
            </w:r>
            <w:r>
              <w:rPr>
                <w:rFonts w:hint="eastAsia"/>
                <w:color w:val="auto"/>
                <w:sz w:val="21"/>
                <w:szCs w:val="21"/>
              </w:rPr>
              <w:t>书</w:t>
            </w:r>
            <w:r>
              <w:rPr>
                <w:color w:val="auto"/>
                <w:sz w:val="21"/>
                <w:szCs w:val="21"/>
              </w:rPr>
              <w:t>中已要求企业按相关要求建设</w:t>
            </w:r>
            <w:r>
              <w:rPr>
                <w:rFonts w:hint="eastAsia"/>
                <w:color w:val="auto"/>
                <w:sz w:val="21"/>
                <w:szCs w:val="21"/>
              </w:rPr>
              <w:t>一般工业固废</w:t>
            </w:r>
            <w:r>
              <w:rPr>
                <w:color w:val="auto"/>
                <w:sz w:val="21"/>
                <w:szCs w:val="21"/>
              </w:rPr>
              <w:t>暂存间及危险废物暂存间等</w:t>
            </w:r>
          </w:p>
        </w:tc>
        <w:tc>
          <w:tcPr>
            <w:tcW w:w="863" w:type="pct"/>
            <w:tcBorders>
              <w:tl2br w:val="nil"/>
              <w:tr2bl w:val="nil"/>
            </w:tcBorders>
            <w:vAlign w:val="center"/>
          </w:tcPr>
          <w:p>
            <w:pPr>
              <w:spacing w:line="312" w:lineRule="exact"/>
              <w:ind w:firstLine="0" w:firstLineChars="0"/>
              <w:jc w:val="center"/>
              <w:rPr>
                <w:color w:val="auto"/>
                <w:sz w:val="21"/>
                <w:szCs w:val="21"/>
              </w:rPr>
            </w:pPr>
            <w:r>
              <w:rPr>
                <w:rFonts w:hint="eastAsia"/>
                <w:color w:val="auto"/>
                <w:sz w:val="21"/>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4</w:t>
            </w:r>
          </w:p>
        </w:tc>
        <w:tc>
          <w:tcPr>
            <w:tcW w:w="2630"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检查固体废物利用处置方案和管理制度落实情况：应与环评报告提出的利用处置方案、污染事故应急预案和相关管理制度等进行对比，特别是对固体废物综合利用和无害化处置的情况要跟踪落实。利用处置工艺或接受单位发生变更的，要说明原因。属危险废物委托利用处置的，要核实接受单位资质情况，检查委托利用处置等协议合同，并说明试生产期间转移联单执行情况。</w:t>
            </w:r>
          </w:p>
        </w:tc>
        <w:tc>
          <w:tcPr>
            <w:tcW w:w="1050"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报告</w:t>
            </w:r>
            <w:r>
              <w:rPr>
                <w:rFonts w:hint="eastAsia"/>
                <w:color w:val="auto"/>
                <w:sz w:val="21"/>
                <w:szCs w:val="21"/>
              </w:rPr>
              <w:t>书</w:t>
            </w:r>
            <w:r>
              <w:rPr>
                <w:color w:val="auto"/>
                <w:sz w:val="21"/>
                <w:szCs w:val="21"/>
              </w:rPr>
              <w:t>要求企业落实废物利用处置方案和管理制度，要求企业与有相关资质的危废处置单位签订危废转移、处置合同。</w:t>
            </w:r>
          </w:p>
        </w:tc>
        <w:tc>
          <w:tcPr>
            <w:tcW w:w="863" w:type="pct"/>
            <w:tcBorders>
              <w:tl2br w:val="nil"/>
              <w:tr2bl w:val="nil"/>
            </w:tcBorders>
            <w:vAlign w:val="center"/>
          </w:tcPr>
          <w:p>
            <w:pPr>
              <w:spacing w:line="312" w:lineRule="exact"/>
              <w:ind w:firstLine="0" w:firstLineChars="0"/>
              <w:jc w:val="center"/>
              <w:rPr>
                <w:color w:val="auto"/>
                <w:sz w:val="21"/>
                <w:szCs w:val="21"/>
              </w:rPr>
            </w:pPr>
            <w:r>
              <w:rPr>
                <w:rFonts w:hint="eastAsia"/>
                <w:color w:val="auto"/>
                <w:sz w:val="21"/>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5</w:t>
            </w:r>
          </w:p>
        </w:tc>
        <w:tc>
          <w:tcPr>
            <w:tcW w:w="2630"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建设项目的业主或负有管理责任的单位(以下统称“产生者”)对其产生的固体废物，应承担污染防治主体责任。在建设项目正式投入生产前，产生者应当如实提供建设项目的生产工艺、设备和原辅材料种类、性质和数量，分析可能产生固体废物的环节、数量和性质以及固体废物贮存、处置的方法和途径，供有关评价或验收监测机构参考。产生者应按国家有关法规要求，妥善利用处置产生的固体废物。属委托利用处置危险废物的，在委托前，产生者应对被委托方的处置资格、能力等进行调查核实，在此基础上，产生者应与被委托方签订书面委托协议，明确拟交与危险废物的种类、性质、数量、交付方式、运输和利用处置要求与标准等事项。处置时，产生者应主动了解、核实处置情况，保证委托协议得到实施，确保危险废物得到妥善、安全和无害化利用或处置。</w:t>
            </w:r>
          </w:p>
        </w:tc>
        <w:tc>
          <w:tcPr>
            <w:tcW w:w="1050" w:type="pct"/>
            <w:tcBorders>
              <w:tl2br w:val="nil"/>
              <w:tr2bl w:val="nil"/>
            </w:tcBorders>
            <w:vAlign w:val="center"/>
          </w:tcPr>
          <w:p>
            <w:pPr>
              <w:spacing w:line="312" w:lineRule="exact"/>
              <w:ind w:firstLine="0" w:firstLineChars="0"/>
              <w:jc w:val="center"/>
              <w:rPr>
                <w:color w:val="auto"/>
                <w:sz w:val="21"/>
                <w:szCs w:val="21"/>
              </w:rPr>
            </w:pPr>
            <w:r>
              <w:rPr>
                <w:color w:val="auto"/>
                <w:sz w:val="21"/>
                <w:szCs w:val="21"/>
              </w:rPr>
              <w:t>企业在正式投入生产前，将严格执行以上规定，承担污染防治主体责任。</w:t>
            </w:r>
          </w:p>
        </w:tc>
        <w:tc>
          <w:tcPr>
            <w:tcW w:w="863" w:type="pct"/>
            <w:tcBorders>
              <w:tl2br w:val="nil"/>
              <w:tr2bl w:val="nil"/>
            </w:tcBorders>
            <w:vAlign w:val="center"/>
          </w:tcPr>
          <w:p>
            <w:pPr>
              <w:spacing w:line="312" w:lineRule="exact"/>
              <w:ind w:firstLine="0" w:firstLineChars="0"/>
              <w:jc w:val="center"/>
              <w:rPr>
                <w:color w:val="auto"/>
                <w:sz w:val="21"/>
                <w:szCs w:val="21"/>
              </w:rPr>
            </w:pPr>
            <w:r>
              <w:rPr>
                <w:rFonts w:hint="eastAsia"/>
                <w:color w:val="auto"/>
                <w:sz w:val="21"/>
                <w:szCs w:val="21"/>
                <w:lang w:val="en-US" w:eastAsia="zh-CN"/>
              </w:rPr>
              <w:t>符合</w:t>
            </w:r>
          </w:p>
        </w:tc>
      </w:tr>
    </w:tbl>
    <w:p>
      <w:pPr>
        <w:ind w:firstLine="480"/>
        <w:rPr>
          <w:rFonts w:eastAsia="黑体"/>
          <w:bCs/>
          <w:color w:val="auto"/>
          <w:szCs w:val="21"/>
        </w:rPr>
      </w:pPr>
      <w:r>
        <w:rPr>
          <w:rFonts w:hint="eastAsia"/>
          <w:color w:val="auto"/>
        </w:rPr>
        <w:t>19、</w:t>
      </w:r>
      <w:r>
        <w:rPr>
          <w:color w:val="auto"/>
        </w:rPr>
        <w:t>本项目与《关于印发&lt;全市工业企业大气污染治理品质提升实施方案&gt;的通知》（淄环委办〔2022〕10号）符合性分析见表</w:t>
      </w:r>
      <w:r>
        <w:rPr>
          <w:rFonts w:hint="eastAsia"/>
          <w:color w:val="auto"/>
        </w:rPr>
        <w:t>12.1-19</w:t>
      </w:r>
      <w:r>
        <w:rPr>
          <w:color w:val="auto"/>
        </w:rPr>
        <w:t>。</w:t>
      </w:r>
    </w:p>
    <w:p>
      <w:pPr>
        <w:pStyle w:val="52"/>
        <w:tabs>
          <w:tab w:val="left" w:pos="1827"/>
          <w:tab w:val="center" w:pos="4044"/>
        </w:tabs>
        <w:ind w:firstLine="0" w:firstLineChars="0"/>
        <w:jc w:val="center"/>
        <w:rPr>
          <w:rFonts w:eastAsia="黑体"/>
          <w:color w:val="auto"/>
          <w:sz w:val="21"/>
          <w:szCs w:val="21"/>
        </w:rPr>
      </w:pPr>
      <w:r>
        <w:rPr>
          <w:rFonts w:eastAsia="黑体"/>
          <w:color w:val="auto"/>
          <w:sz w:val="21"/>
          <w:szCs w:val="21"/>
        </w:rPr>
        <w:t>表</w:t>
      </w:r>
      <w:r>
        <w:rPr>
          <w:rFonts w:hint="eastAsia" w:eastAsia="黑体"/>
          <w:color w:val="auto"/>
          <w:sz w:val="21"/>
          <w:szCs w:val="21"/>
        </w:rPr>
        <w:t xml:space="preserve">12.1-19 </w:t>
      </w:r>
      <w:r>
        <w:rPr>
          <w:rFonts w:eastAsia="黑体"/>
          <w:color w:val="auto"/>
          <w:sz w:val="21"/>
          <w:szCs w:val="21"/>
        </w:rPr>
        <w:t>与淄环委办〔2022〕10号符合性分析</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5084"/>
        <w:gridCol w:w="3229"/>
        <w:gridCol w:w="7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2801" w:type="pct"/>
            <w:vAlign w:val="center"/>
          </w:tcPr>
          <w:p>
            <w:pPr>
              <w:autoSpaceDE w:val="0"/>
              <w:spacing w:line="312" w:lineRule="exact"/>
              <w:ind w:firstLine="0" w:firstLineChars="0"/>
              <w:contextualSpacing/>
              <w:jc w:val="center"/>
              <w:rPr>
                <w:b/>
                <w:color w:val="auto"/>
                <w:sz w:val="21"/>
                <w:szCs w:val="21"/>
              </w:rPr>
            </w:pPr>
            <w:r>
              <w:rPr>
                <w:b/>
                <w:color w:val="auto"/>
                <w:sz w:val="21"/>
                <w:szCs w:val="21"/>
              </w:rPr>
              <w:t>文件要求</w:t>
            </w:r>
          </w:p>
        </w:tc>
        <w:tc>
          <w:tcPr>
            <w:tcW w:w="1779" w:type="pct"/>
            <w:vAlign w:val="center"/>
          </w:tcPr>
          <w:p>
            <w:pPr>
              <w:autoSpaceDE w:val="0"/>
              <w:spacing w:line="312" w:lineRule="exact"/>
              <w:ind w:firstLine="0" w:firstLineChars="0"/>
              <w:contextualSpacing/>
              <w:jc w:val="center"/>
              <w:rPr>
                <w:b/>
                <w:color w:val="auto"/>
                <w:sz w:val="21"/>
                <w:szCs w:val="21"/>
              </w:rPr>
            </w:pPr>
            <w:r>
              <w:rPr>
                <w:b/>
                <w:color w:val="auto"/>
                <w:sz w:val="21"/>
                <w:szCs w:val="21"/>
              </w:rPr>
              <w:t>项目情况</w:t>
            </w:r>
          </w:p>
        </w:tc>
        <w:tc>
          <w:tcPr>
            <w:tcW w:w="418" w:type="pct"/>
            <w:vAlign w:val="center"/>
          </w:tcPr>
          <w:p>
            <w:pPr>
              <w:autoSpaceDE w:val="0"/>
              <w:spacing w:line="312" w:lineRule="exact"/>
              <w:ind w:firstLine="0" w:firstLineChars="0"/>
              <w:contextualSpacing/>
              <w:jc w:val="center"/>
              <w:rPr>
                <w:b/>
                <w:color w:val="auto"/>
                <w:sz w:val="21"/>
                <w:szCs w:val="21"/>
              </w:rPr>
            </w:pPr>
            <w:r>
              <w:rPr>
                <w:b/>
                <w:color w:val="auto"/>
                <w:sz w:val="21"/>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2801" w:type="pct"/>
            <w:vAlign w:val="center"/>
          </w:tcPr>
          <w:p>
            <w:pPr>
              <w:autoSpaceDE w:val="0"/>
              <w:spacing w:line="312" w:lineRule="exact"/>
              <w:ind w:firstLine="0" w:firstLineChars="0"/>
              <w:contextualSpacing/>
              <w:jc w:val="center"/>
              <w:rPr>
                <w:color w:val="auto"/>
                <w:sz w:val="21"/>
                <w:szCs w:val="21"/>
              </w:rPr>
            </w:pPr>
            <w:r>
              <w:rPr>
                <w:color w:val="auto"/>
                <w:sz w:val="21"/>
                <w:szCs w:val="21"/>
              </w:rPr>
              <w:t>强化无组织排放收集，优先采用密闭设备、在密闭空间中操作或采用全密闭集气罩收集方式；对于采用局部集气罩的，距集气罩开口面最远处的VOCs无组织排放位置，控制风速不低于0.3m/s</w:t>
            </w:r>
          </w:p>
        </w:tc>
        <w:tc>
          <w:tcPr>
            <w:tcW w:w="1779" w:type="pct"/>
            <w:vAlign w:val="center"/>
          </w:tcPr>
          <w:p>
            <w:pPr>
              <w:pStyle w:val="49"/>
              <w:spacing w:line="312" w:lineRule="exact"/>
              <w:rPr>
                <w:color w:val="auto"/>
                <w:szCs w:val="21"/>
              </w:rPr>
            </w:pPr>
            <w:r>
              <w:rPr>
                <w:color w:val="auto"/>
                <w:szCs w:val="21"/>
              </w:rPr>
              <w:t>本项目</w:t>
            </w:r>
            <w:r>
              <w:rPr>
                <w:rFonts w:hint="eastAsia"/>
                <w:color w:val="auto"/>
                <w:szCs w:val="21"/>
              </w:rPr>
              <w:t>生产过程位于密闭设备中</w:t>
            </w:r>
            <w:r>
              <w:rPr>
                <w:color w:val="auto"/>
                <w:szCs w:val="21"/>
              </w:rPr>
              <w:t>，</w:t>
            </w:r>
            <w:r>
              <w:rPr>
                <w:rFonts w:hint="eastAsia"/>
                <w:color w:val="auto"/>
                <w:szCs w:val="21"/>
              </w:rPr>
              <w:t>生产过程车间全密闭保持车间微负压，</w:t>
            </w:r>
            <w:r>
              <w:rPr>
                <w:color w:val="auto"/>
                <w:szCs w:val="21"/>
              </w:rPr>
              <w:t>大大减少VOCs无组织排放</w:t>
            </w:r>
          </w:p>
        </w:tc>
        <w:tc>
          <w:tcPr>
            <w:tcW w:w="418" w:type="pct"/>
            <w:vAlign w:val="center"/>
          </w:tcPr>
          <w:p>
            <w:pPr>
              <w:autoSpaceDE w:val="0"/>
              <w:spacing w:line="312" w:lineRule="exact"/>
              <w:ind w:firstLine="0" w:firstLineChars="0"/>
              <w:contextualSpacing/>
              <w:jc w:val="center"/>
              <w:rPr>
                <w:color w:val="auto"/>
                <w:sz w:val="21"/>
                <w:szCs w:val="21"/>
              </w:rPr>
            </w:pPr>
            <w:r>
              <w:rPr>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2801" w:type="pct"/>
            <w:vAlign w:val="center"/>
          </w:tcPr>
          <w:p>
            <w:pPr>
              <w:widowControl/>
              <w:spacing w:line="312" w:lineRule="exact"/>
              <w:ind w:firstLine="0" w:firstLineChars="0"/>
              <w:jc w:val="center"/>
              <w:rPr>
                <w:color w:val="auto"/>
                <w:sz w:val="21"/>
                <w:szCs w:val="21"/>
              </w:rPr>
            </w:pPr>
            <w:r>
              <w:rPr>
                <w:color w:val="auto"/>
                <w:sz w:val="21"/>
                <w:szCs w:val="21"/>
              </w:rPr>
              <w:t>采用活性床（含活性炭吸附法）处理有机废气时，进入吸附装置的废气温度宜低于40℃；采用颗粒状吸附剂时气流速度宜低于0.6m/s，采用纤维状吸附剂时气流速度宜低于0.15m/s，采用蜂窝状吸附剂时气流速度宜低于1.2m/s。采用吸附工艺的企业，应聘请有资质的单位进行“设计评估”，评估发现问题要依规整改，确保吸附剂量足、活性强、更换及时。</w:t>
            </w:r>
          </w:p>
        </w:tc>
        <w:tc>
          <w:tcPr>
            <w:tcW w:w="1779" w:type="pct"/>
            <w:vAlign w:val="center"/>
          </w:tcPr>
          <w:p>
            <w:pPr>
              <w:autoSpaceDE w:val="0"/>
              <w:spacing w:line="312" w:lineRule="exact"/>
              <w:ind w:firstLine="0" w:firstLineChars="0"/>
              <w:contextualSpacing/>
              <w:jc w:val="center"/>
              <w:rPr>
                <w:rFonts w:hint="eastAsia" w:eastAsia="宋体"/>
                <w:color w:val="auto"/>
                <w:sz w:val="21"/>
                <w:szCs w:val="21"/>
                <w:lang w:eastAsia="zh-CN"/>
              </w:rPr>
            </w:pPr>
            <w:r>
              <w:rPr>
                <w:color w:val="auto"/>
                <w:sz w:val="21"/>
                <w:szCs w:val="21"/>
              </w:rPr>
              <w:t>本项目有机废气采用</w:t>
            </w:r>
            <w:r>
              <w:rPr>
                <w:rFonts w:hint="eastAsia"/>
                <w:color w:val="auto"/>
                <w:sz w:val="21"/>
                <w:szCs w:val="21"/>
                <w:lang w:eastAsia="zh-CN"/>
              </w:rPr>
              <w:t>碱喷淋</w:t>
            </w:r>
            <w:r>
              <w:rPr>
                <w:rFonts w:hint="eastAsia"/>
                <w:color w:val="auto"/>
                <w:sz w:val="21"/>
                <w:szCs w:val="21"/>
              </w:rPr>
              <w:t>+</w:t>
            </w:r>
            <w:r>
              <w:rPr>
                <w:color w:val="auto"/>
                <w:sz w:val="21"/>
                <w:szCs w:val="21"/>
              </w:rPr>
              <w:t>活性炭吸附进行处理，进入吸附装置的废气温度低于40℃</w:t>
            </w:r>
            <w:r>
              <w:rPr>
                <w:rFonts w:hint="eastAsia"/>
                <w:color w:val="auto"/>
                <w:sz w:val="21"/>
                <w:szCs w:val="21"/>
                <w:lang w:eastAsia="zh-CN"/>
              </w:rPr>
              <w:t>；</w:t>
            </w:r>
            <w:r>
              <w:rPr>
                <w:color w:val="auto"/>
                <w:sz w:val="21"/>
                <w:szCs w:val="21"/>
              </w:rPr>
              <w:t>采用蜂窝状吸附剂</w:t>
            </w:r>
            <w:r>
              <w:rPr>
                <w:rFonts w:hint="eastAsia"/>
                <w:color w:val="auto"/>
                <w:sz w:val="21"/>
                <w:szCs w:val="21"/>
                <w:lang w:eastAsia="zh-CN"/>
              </w:rPr>
              <w:t>，</w:t>
            </w:r>
            <w:r>
              <w:rPr>
                <w:color w:val="auto"/>
                <w:sz w:val="21"/>
                <w:szCs w:val="21"/>
              </w:rPr>
              <w:t>气流速度低于1.2m/s。</w:t>
            </w:r>
            <w:r>
              <w:rPr>
                <w:rFonts w:hint="eastAsia"/>
                <w:color w:val="auto"/>
                <w:sz w:val="21"/>
                <w:szCs w:val="21"/>
                <w:lang w:val="en-US" w:eastAsia="zh-CN"/>
              </w:rPr>
              <w:t>企业</w:t>
            </w:r>
            <w:r>
              <w:rPr>
                <w:color w:val="auto"/>
                <w:sz w:val="21"/>
                <w:szCs w:val="21"/>
              </w:rPr>
              <w:t>聘请有资质的单位进行“设计评估”，评估发现问题依规整改，确保吸附剂量足、活性强、更换及时</w:t>
            </w:r>
          </w:p>
        </w:tc>
        <w:tc>
          <w:tcPr>
            <w:tcW w:w="418" w:type="pct"/>
            <w:vAlign w:val="center"/>
          </w:tcPr>
          <w:p>
            <w:pPr>
              <w:autoSpaceDE w:val="0"/>
              <w:spacing w:line="312" w:lineRule="exact"/>
              <w:ind w:firstLine="0" w:firstLineChars="0"/>
              <w:contextualSpacing/>
              <w:jc w:val="center"/>
              <w:rPr>
                <w:color w:val="auto"/>
                <w:sz w:val="21"/>
                <w:szCs w:val="21"/>
              </w:rPr>
            </w:pPr>
            <w:r>
              <w:rPr>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2801" w:type="pct"/>
            <w:vAlign w:val="center"/>
          </w:tcPr>
          <w:p>
            <w:pPr>
              <w:autoSpaceDE w:val="0"/>
              <w:spacing w:line="312" w:lineRule="exact"/>
              <w:ind w:firstLine="0" w:firstLineChars="0"/>
              <w:contextualSpacing/>
              <w:jc w:val="center"/>
              <w:rPr>
                <w:color w:val="auto"/>
                <w:sz w:val="21"/>
                <w:szCs w:val="21"/>
              </w:rPr>
            </w:pPr>
            <w:r>
              <w:rPr>
                <w:color w:val="auto"/>
                <w:sz w:val="21"/>
                <w:szCs w:val="21"/>
              </w:rPr>
              <w:t>各类物料破碎、粉磨以及产品烘干、冷却、混料、包装等过程中产生的粉尘，要设置布袋除尘器或其他粉尘收集处理设施进行有效收集处理。其中，要根据企业生产情况和布袋除器压差变化情况，合理确定反吹时间间隔与频次。</w:t>
            </w:r>
          </w:p>
        </w:tc>
        <w:tc>
          <w:tcPr>
            <w:tcW w:w="1779" w:type="pct"/>
            <w:vAlign w:val="center"/>
          </w:tcPr>
          <w:p>
            <w:pPr>
              <w:autoSpaceDE w:val="0"/>
              <w:spacing w:line="312" w:lineRule="exact"/>
              <w:ind w:firstLine="0" w:firstLineChars="0"/>
              <w:contextualSpacing/>
              <w:jc w:val="center"/>
              <w:rPr>
                <w:color w:val="auto"/>
                <w:sz w:val="21"/>
                <w:szCs w:val="21"/>
              </w:rPr>
            </w:pPr>
            <w:r>
              <w:rPr>
                <w:color w:val="auto"/>
                <w:sz w:val="21"/>
                <w:szCs w:val="21"/>
              </w:rPr>
              <w:t>本项目在</w:t>
            </w:r>
            <w:r>
              <w:rPr>
                <w:rFonts w:hint="eastAsia"/>
                <w:color w:val="auto"/>
                <w:sz w:val="21"/>
                <w:szCs w:val="21"/>
              </w:rPr>
              <w:t>干燥过程中</w:t>
            </w:r>
            <w:r>
              <w:rPr>
                <w:color w:val="auto"/>
                <w:sz w:val="21"/>
                <w:szCs w:val="21"/>
              </w:rPr>
              <w:t>会产生颗粒物，采用</w:t>
            </w:r>
            <w:r>
              <w:rPr>
                <w:rFonts w:hint="eastAsia"/>
                <w:color w:val="auto"/>
                <w:sz w:val="21"/>
                <w:szCs w:val="21"/>
              </w:rPr>
              <w:t>干燥机自带</w:t>
            </w:r>
            <w:r>
              <w:rPr>
                <w:rFonts w:hint="eastAsia"/>
                <w:color w:val="auto"/>
                <w:sz w:val="21"/>
                <w:szCs w:val="21"/>
                <w:lang w:val="en-US" w:eastAsia="zh-CN"/>
              </w:rPr>
              <w:t>两级除尘（</w:t>
            </w:r>
            <w:r>
              <w:rPr>
                <w:rFonts w:hint="eastAsia"/>
                <w:color w:val="auto"/>
                <w:sz w:val="21"/>
                <w:szCs w:val="21"/>
              </w:rPr>
              <w:t>旋风除尘</w:t>
            </w:r>
            <w:r>
              <w:rPr>
                <w:rFonts w:hint="eastAsia"/>
                <w:color w:val="auto"/>
                <w:sz w:val="21"/>
                <w:szCs w:val="21"/>
                <w:lang w:val="en-US" w:eastAsia="zh-CN"/>
              </w:rPr>
              <w:t>+袋式除尘）</w:t>
            </w:r>
            <w:r>
              <w:rPr>
                <w:color w:val="auto"/>
                <w:sz w:val="21"/>
                <w:szCs w:val="21"/>
              </w:rPr>
              <w:t>的废气治理措施，处理效率为</w:t>
            </w:r>
            <w:r>
              <w:rPr>
                <w:rFonts w:hint="eastAsia"/>
                <w:color w:val="auto"/>
                <w:sz w:val="21"/>
                <w:szCs w:val="21"/>
                <w:lang w:val="en-US" w:eastAsia="zh-CN"/>
              </w:rPr>
              <w:t>99</w:t>
            </w:r>
            <w:r>
              <w:rPr>
                <w:color w:val="auto"/>
                <w:sz w:val="21"/>
                <w:szCs w:val="21"/>
              </w:rPr>
              <w:t>%</w:t>
            </w:r>
          </w:p>
        </w:tc>
        <w:tc>
          <w:tcPr>
            <w:tcW w:w="418" w:type="pct"/>
            <w:vAlign w:val="center"/>
          </w:tcPr>
          <w:p>
            <w:pPr>
              <w:autoSpaceDE w:val="0"/>
              <w:spacing w:line="312" w:lineRule="exact"/>
              <w:ind w:firstLine="0" w:firstLineChars="0"/>
              <w:contextualSpacing/>
              <w:jc w:val="center"/>
              <w:rPr>
                <w:color w:val="auto"/>
                <w:sz w:val="21"/>
                <w:szCs w:val="21"/>
              </w:rPr>
            </w:pPr>
            <w:r>
              <w:rPr>
                <w:color w:val="auto"/>
                <w:sz w:val="21"/>
                <w:szCs w:val="21"/>
              </w:rPr>
              <w:t>符合</w:t>
            </w:r>
          </w:p>
        </w:tc>
      </w:tr>
    </w:tbl>
    <w:p>
      <w:pPr>
        <w:ind w:firstLine="480"/>
        <w:rPr>
          <w:rFonts w:eastAsia="黑体"/>
          <w:color w:val="auto"/>
          <w:szCs w:val="21"/>
        </w:rPr>
      </w:pPr>
      <w:r>
        <w:rPr>
          <w:rFonts w:hint="eastAsia"/>
          <w:color w:val="auto"/>
        </w:rPr>
        <w:t>20、</w:t>
      </w:r>
      <w:r>
        <w:rPr>
          <w:color w:val="auto"/>
        </w:rPr>
        <w:t>本项目与《关于印发&lt;淄博市2022年工业企业扬尘污染深度治理方案&gt;的通知》（淄环发〔2022〕27号）符合性分析见表</w:t>
      </w:r>
      <w:r>
        <w:rPr>
          <w:rFonts w:hint="eastAsia"/>
          <w:color w:val="auto"/>
        </w:rPr>
        <w:t>12.1-20</w:t>
      </w:r>
      <w:r>
        <w:rPr>
          <w:color w:val="auto"/>
        </w:rPr>
        <w:t>。</w:t>
      </w:r>
    </w:p>
    <w:p>
      <w:pPr>
        <w:pStyle w:val="52"/>
        <w:tabs>
          <w:tab w:val="left" w:pos="1827"/>
          <w:tab w:val="center" w:pos="4044"/>
        </w:tabs>
        <w:ind w:firstLine="0" w:firstLineChars="0"/>
        <w:jc w:val="center"/>
        <w:rPr>
          <w:rFonts w:eastAsia="黑体"/>
          <w:color w:val="auto"/>
          <w:sz w:val="21"/>
          <w:szCs w:val="21"/>
        </w:rPr>
      </w:pPr>
      <w:r>
        <w:rPr>
          <w:rFonts w:eastAsia="黑体"/>
          <w:color w:val="auto"/>
          <w:sz w:val="21"/>
          <w:szCs w:val="21"/>
        </w:rPr>
        <w:t>表</w:t>
      </w:r>
      <w:r>
        <w:rPr>
          <w:rFonts w:hint="eastAsia" w:eastAsia="黑体"/>
          <w:color w:val="auto"/>
          <w:sz w:val="21"/>
          <w:szCs w:val="21"/>
        </w:rPr>
        <w:t xml:space="preserve">12.1-20 </w:t>
      </w:r>
      <w:r>
        <w:rPr>
          <w:rFonts w:eastAsia="黑体"/>
          <w:color w:val="auto"/>
          <w:sz w:val="21"/>
          <w:szCs w:val="21"/>
        </w:rPr>
        <w:t>与淄环发〔2022〕27号符合性分析</w:t>
      </w:r>
    </w:p>
    <w:tbl>
      <w:tblPr>
        <w:tblStyle w:val="2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927"/>
        <w:gridCol w:w="5129"/>
        <w:gridCol w:w="2282"/>
        <w:gridCol w:w="8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6" w:type="pct"/>
            <w:tcMar>
              <w:top w:w="0" w:type="dxa"/>
              <w:left w:w="45" w:type="dxa"/>
              <w:bottom w:w="0" w:type="dxa"/>
              <w:right w:w="45" w:type="dxa"/>
            </w:tcMar>
            <w:vAlign w:val="center"/>
          </w:tcPr>
          <w:p>
            <w:pPr>
              <w:spacing w:line="312" w:lineRule="exact"/>
              <w:ind w:firstLine="0" w:firstLineChars="0"/>
              <w:jc w:val="center"/>
              <w:rPr>
                <w:b/>
                <w:bCs/>
                <w:color w:val="auto"/>
                <w:sz w:val="21"/>
                <w:szCs w:val="21"/>
              </w:rPr>
            </w:pPr>
            <w:r>
              <w:rPr>
                <w:b/>
                <w:bCs/>
                <w:color w:val="auto"/>
                <w:sz w:val="21"/>
                <w:szCs w:val="21"/>
              </w:rPr>
              <w:t>文件要求</w:t>
            </w:r>
          </w:p>
        </w:tc>
        <w:tc>
          <w:tcPr>
            <w:tcW w:w="2800" w:type="pct"/>
            <w:tcMar>
              <w:top w:w="0" w:type="dxa"/>
              <w:left w:w="45" w:type="dxa"/>
              <w:bottom w:w="0" w:type="dxa"/>
              <w:right w:w="45" w:type="dxa"/>
            </w:tcMar>
            <w:vAlign w:val="center"/>
          </w:tcPr>
          <w:p>
            <w:pPr>
              <w:spacing w:line="312" w:lineRule="exact"/>
              <w:ind w:firstLine="0" w:firstLineChars="0"/>
              <w:jc w:val="center"/>
              <w:rPr>
                <w:b/>
                <w:bCs/>
                <w:color w:val="auto"/>
                <w:sz w:val="21"/>
                <w:szCs w:val="21"/>
              </w:rPr>
            </w:pPr>
            <w:r>
              <w:rPr>
                <w:b/>
                <w:bCs/>
                <w:color w:val="auto"/>
                <w:sz w:val="21"/>
                <w:szCs w:val="21"/>
              </w:rPr>
              <w:t>具体规定</w:t>
            </w:r>
          </w:p>
        </w:tc>
        <w:tc>
          <w:tcPr>
            <w:tcW w:w="1246" w:type="pct"/>
            <w:tcMar>
              <w:top w:w="0" w:type="dxa"/>
              <w:left w:w="45" w:type="dxa"/>
              <w:bottom w:w="0" w:type="dxa"/>
              <w:right w:w="45" w:type="dxa"/>
            </w:tcMar>
            <w:vAlign w:val="center"/>
          </w:tcPr>
          <w:p>
            <w:pPr>
              <w:spacing w:line="312" w:lineRule="exact"/>
              <w:ind w:firstLine="0" w:firstLineChars="0"/>
              <w:jc w:val="center"/>
              <w:rPr>
                <w:b/>
                <w:bCs/>
                <w:color w:val="auto"/>
                <w:sz w:val="21"/>
                <w:szCs w:val="21"/>
              </w:rPr>
            </w:pPr>
            <w:r>
              <w:rPr>
                <w:b/>
                <w:bCs/>
                <w:color w:val="auto"/>
                <w:sz w:val="21"/>
                <w:szCs w:val="21"/>
              </w:rPr>
              <w:t>本项目情况</w:t>
            </w:r>
          </w:p>
        </w:tc>
        <w:tc>
          <w:tcPr>
            <w:tcW w:w="447" w:type="pct"/>
            <w:tcMar>
              <w:top w:w="0" w:type="dxa"/>
              <w:left w:w="45" w:type="dxa"/>
              <w:bottom w:w="0" w:type="dxa"/>
              <w:right w:w="45" w:type="dxa"/>
            </w:tcMar>
            <w:vAlign w:val="center"/>
          </w:tcPr>
          <w:p>
            <w:pPr>
              <w:spacing w:line="312" w:lineRule="exact"/>
              <w:ind w:firstLine="0" w:firstLineChars="0"/>
              <w:jc w:val="center"/>
              <w:rPr>
                <w:b/>
                <w:bCs/>
                <w:color w:val="auto"/>
                <w:sz w:val="21"/>
                <w:szCs w:val="21"/>
              </w:rPr>
            </w:pPr>
            <w:r>
              <w:rPr>
                <w:b/>
                <w:bCs/>
                <w:color w:val="auto"/>
                <w:sz w:val="21"/>
                <w:szCs w:val="21"/>
              </w:rPr>
              <w:t>符合</w:t>
            </w:r>
          </w:p>
          <w:p>
            <w:pPr>
              <w:spacing w:line="312" w:lineRule="exact"/>
              <w:ind w:firstLine="0" w:firstLineChars="0"/>
              <w:jc w:val="center"/>
              <w:rPr>
                <w:b/>
                <w:bCs/>
                <w:color w:val="auto"/>
                <w:sz w:val="21"/>
                <w:szCs w:val="21"/>
              </w:rPr>
            </w:pPr>
            <w:r>
              <w:rPr>
                <w:b/>
                <w:bCs/>
                <w:color w:val="auto"/>
                <w:sz w:val="21"/>
                <w:szCs w:val="21"/>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6" w:type="pct"/>
            <w:vMerge w:val="restar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 xml:space="preserve">(一)强化治污设施管理，抓有组织管控 </w:t>
            </w:r>
          </w:p>
        </w:tc>
        <w:tc>
          <w:tcPr>
            <w:tcW w:w="2800" w:type="pc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加大源头管控，以先进可靠技术为依托，开展生产工艺、装各的改造提升，提高生产装置、收集设施和治理设施的自动化水平；在保证安全生产的前提下，尽可能采取空间密闭吸收改造，提高收集率和处理率，实现生产过程颗粒物排放的有效降低。</w:t>
            </w:r>
          </w:p>
        </w:tc>
        <w:tc>
          <w:tcPr>
            <w:tcW w:w="1246" w:type="pct"/>
            <w:tcMar>
              <w:top w:w="0" w:type="dxa"/>
              <w:left w:w="45" w:type="dxa"/>
              <w:bottom w:w="0" w:type="dxa"/>
              <w:right w:w="45" w:type="dxa"/>
            </w:tcMar>
            <w:vAlign w:val="center"/>
          </w:tcPr>
          <w:p>
            <w:pPr>
              <w:pStyle w:val="69"/>
              <w:spacing w:line="312" w:lineRule="exact"/>
              <w:ind w:firstLine="0" w:firstLineChars="0"/>
              <w:jc w:val="center"/>
              <w:rPr>
                <w:rFonts w:ascii="Times New Roman" w:hAnsi="Times New Roman" w:cs="Times New Roman"/>
                <w:color w:val="auto"/>
                <w:sz w:val="21"/>
                <w:szCs w:val="21"/>
                <w:lang w:val="en-US"/>
              </w:rPr>
            </w:pPr>
            <w:r>
              <w:rPr>
                <w:rFonts w:ascii="Times New Roman" w:hAnsi="Times New Roman" w:cs="Times New Roman"/>
                <w:color w:val="auto"/>
                <w:sz w:val="21"/>
                <w:szCs w:val="21"/>
                <w:lang w:val="en-US" w:bidi="ar-SA"/>
              </w:rPr>
              <w:t>本项目在</w:t>
            </w:r>
            <w:r>
              <w:rPr>
                <w:rFonts w:hint="eastAsia" w:ascii="Times New Roman" w:hAnsi="Times New Roman" w:cs="Times New Roman"/>
                <w:color w:val="auto"/>
                <w:sz w:val="21"/>
                <w:szCs w:val="21"/>
                <w:lang w:val="en-US" w:bidi="ar-SA"/>
              </w:rPr>
              <w:t>干燥</w:t>
            </w:r>
            <w:r>
              <w:rPr>
                <w:rFonts w:ascii="Times New Roman" w:hAnsi="Times New Roman" w:cs="Times New Roman"/>
                <w:color w:val="auto"/>
                <w:sz w:val="21"/>
                <w:szCs w:val="21"/>
                <w:lang w:val="en-US" w:bidi="ar-SA"/>
              </w:rPr>
              <w:t>过程中会产生颗粒物，</w:t>
            </w:r>
            <w:r>
              <w:rPr>
                <w:rFonts w:ascii="Times New Roman" w:hAnsi="Times New Roman" w:cs="Times New Roman"/>
                <w:color w:val="auto"/>
                <w:sz w:val="21"/>
                <w:szCs w:val="21"/>
                <w:lang w:val="en-US"/>
              </w:rPr>
              <w:t>采用</w:t>
            </w:r>
            <w:r>
              <w:rPr>
                <w:rFonts w:hint="eastAsia" w:ascii="Times New Roman" w:hAnsi="Times New Roman" w:cs="Times New Roman"/>
                <w:color w:val="auto"/>
                <w:sz w:val="21"/>
                <w:szCs w:val="21"/>
                <w:lang w:val="en-US"/>
              </w:rPr>
              <w:t>干燥机自带旋风除尘器除尘</w:t>
            </w:r>
            <w:r>
              <w:rPr>
                <w:rFonts w:hint="eastAsia" w:ascii="Times New Roman" w:hAnsi="Times New Roman" w:cs="Times New Roman"/>
                <w:color w:val="auto"/>
                <w:sz w:val="21"/>
                <w:szCs w:val="21"/>
                <w:lang w:val="en-US" w:eastAsia="zh-CN"/>
              </w:rPr>
              <w:t>+袋式除尘器</w:t>
            </w:r>
            <w:r>
              <w:rPr>
                <w:rFonts w:ascii="Times New Roman" w:hAnsi="Times New Roman" w:cs="Times New Roman"/>
                <w:color w:val="auto"/>
                <w:sz w:val="21"/>
                <w:szCs w:val="21"/>
                <w:lang w:val="en-US"/>
              </w:rPr>
              <w:t>废气治理措施，处理效率为</w:t>
            </w:r>
            <w:r>
              <w:rPr>
                <w:rFonts w:hint="eastAsia" w:ascii="Times New Roman" w:hAnsi="Times New Roman" w:cs="Times New Roman"/>
                <w:color w:val="auto"/>
                <w:sz w:val="21"/>
                <w:szCs w:val="21"/>
                <w:lang w:val="en-US" w:eastAsia="zh-CN"/>
              </w:rPr>
              <w:t>99</w:t>
            </w:r>
            <w:r>
              <w:rPr>
                <w:rFonts w:ascii="Times New Roman" w:hAnsi="Times New Roman" w:cs="Times New Roman"/>
                <w:color w:val="auto"/>
                <w:sz w:val="21"/>
                <w:szCs w:val="21"/>
                <w:lang w:val="en-US"/>
              </w:rPr>
              <w:t>%，大大</w:t>
            </w:r>
            <w:r>
              <w:rPr>
                <w:rFonts w:ascii="Times New Roman" w:hAnsi="Times New Roman" w:cs="Times New Roman"/>
                <w:color w:val="auto"/>
                <w:sz w:val="21"/>
                <w:szCs w:val="21"/>
                <w:lang w:val="en-US" w:bidi="ar-SA"/>
              </w:rPr>
              <w:t>减少生产过程中颗粒物的排放</w:t>
            </w:r>
          </w:p>
        </w:tc>
        <w:tc>
          <w:tcPr>
            <w:tcW w:w="447" w:type="pc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6" w:type="pct"/>
            <w:vMerge w:val="continue"/>
            <w:tcMar>
              <w:top w:w="0" w:type="dxa"/>
              <w:left w:w="45" w:type="dxa"/>
              <w:bottom w:w="0" w:type="dxa"/>
              <w:right w:w="45" w:type="dxa"/>
            </w:tcMar>
            <w:vAlign w:val="center"/>
          </w:tcPr>
          <w:p>
            <w:pPr>
              <w:spacing w:line="312" w:lineRule="exact"/>
              <w:ind w:firstLine="0" w:firstLineChars="0"/>
              <w:jc w:val="center"/>
              <w:rPr>
                <w:color w:val="auto"/>
                <w:sz w:val="21"/>
                <w:szCs w:val="21"/>
              </w:rPr>
            </w:pPr>
          </w:p>
        </w:tc>
        <w:tc>
          <w:tcPr>
            <w:tcW w:w="2800" w:type="pc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深化运行管理，坚决杜绝未启用治污设施的情况下进行生产，企业重点治污设施应一开一各冗余设置，严格按照操作规程使用，保证规范化稳定运行。未冗余设置的须严格执行治污设施同启同停原则。</w:t>
            </w:r>
          </w:p>
        </w:tc>
        <w:tc>
          <w:tcPr>
            <w:tcW w:w="1246" w:type="pct"/>
            <w:tcMar>
              <w:top w:w="0" w:type="dxa"/>
              <w:left w:w="45" w:type="dxa"/>
              <w:bottom w:w="0" w:type="dxa"/>
              <w:right w:w="45" w:type="dxa"/>
            </w:tcMar>
            <w:vAlign w:val="center"/>
          </w:tcPr>
          <w:p>
            <w:pPr>
              <w:pStyle w:val="69"/>
              <w:spacing w:line="312" w:lineRule="exact"/>
              <w:ind w:firstLine="0" w:firstLineChars="0"/>
              <w:jc w:val="center"/>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企业加强对岗位人员进行技术培训，提高精细化管控水平；严格按照操作规程使用</w:t>
            </w:r>
          </w:p>
        </w:tc>
        <w:tc>
          <w:tcPr>
            <w:tcW w:w="447" w:type="pc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6" w:type="pct"/>
            <w:vMerge w:val="continue"/>
            <w:tcMar>
              <w:top w:w="0" w:type="dxa"/>
              <w:left w:w="45" w:type="dxa"/>
              <w:bottom w:w="0" w:type="dxa"/>
              <w:right w:w="45" w:type="dxa"/>
            </w:tcMar>
            <w:vAlign w:val="center"/>
          </w:tcPr>
          <w:p>
            <w:pPr>
              <w:spacing w:line="312" w:lineRule="exact"/>
              <w:ind w:firstLine="0" w:firstLineChars="0"/>
              <w:jc w:val="center"/>
              <w:rPr>
                <w:color w:val="auto"/>
                <w:sz w:val="21"/>
                <w:szCs w:val="21"/>
              </w:rPr>
            </w:pPr>
          </w:p>
        </w:tc>
        <w:tc>
          <w:tcPr>
            <w:tcW w:w="2800" w:type="pc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强化收集处理，大力开展高效除尘技术改造，做到应收尽收；及时更换布袋等除尘部件，提高除尘设施收集处理效率。</w:t>
            </w:r>
          </w:p>
        </w:tc>
        <w:tc>
          <w:tcPr>
            <w:tcW w:w="1246" w:type="pct"/>
            <w:tcMar>
              <w:top w:w="0" w:type="dxa"/>
              <w:left w:w="45" w:type="dxa"/>
              <w:bottom w:w="0" w:type="dxa"/>
              <w:right w:w="45" w:type="dxa"/>
            </w:tcMar>
            <w:vAlign w:val="center"/>
          </w:tcPr>
          <w:p>
            <w:pPr>
              <w:pStyle w:val="69"/>
              <w:spacing w:line="312" w:lineRule="exact"/>
              <w:ind w:firstLine="0" w:firstLineChars="0"/>
              <w:jc w:val="center"/>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本项目干燥过程中颗粒物收集率为100%，干燥机自带旋风除尘器</w:t>
            </w:r>
            <w:r>
              <w:rPr>
                <w:rFonts w:hint="eastAsia" w:ascii="Times New Roman" w:hAnsi="Times New Roman" w:cs="Times New Roman"/>
                <w:color w:val="auto"/>
                <w:sz w:val="21"/>
                <w:szCs w:val="21"/>
                <w:lang w:val="en-US" w:eastAsia="zh-CN"/>
              </w:rPr>
              <w:t>及袋式除尘器</w:t>
            </w:r>
            <w:r>
              <w:rPr>
                <w:rFonts w:hint="eastAsia" w:ascii="Times New Roman" w:hAnsi="Times New Roman" w:cs="Times New Roman"/>
                <w:color w:val="auto"/>
                <w:sz w:val="21"/>
                <w:szCs w:val="21"/>
                <w:lang w:val="en-US"/>
              </w:rPr>
              <w:t>除尘部件定期更换</w:t>
            </w:r>
          </w:p>
        </w:tc>
        <w:tc>
          <w:tcPr>
            <w:tcW w:w="447" w:type="pc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6" w:type="pct"/>
            <w:vMerge w:val="restar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(二)强化过程收集治理，抓无组织管控</w:t>
            </w:r>
          </w:p>
        </w:tc>
        <w:tc>
          <w:tcPr>
            <w:tcW w:w="2800" w:type="pc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做好运输环节管控。粉状、粒状、块状等物料应采用气流输送、真空罐车、封闭车厢等方式运输，严防沿途撒漏。厂区道路应硬化、平整无破损，制定完善和落实道路洒扫保洁制度，确保不起尘。厂区物料运输出入口应设置车辆冲洗平台，确保出厂车辆车身清洁，不带泥、不带尘上路。</w:t>
            </w:r>
          </w:p>
        </w:tc>
        <w:tc>
          <w:tcPr>
            <w:tcW w:w="1246" w:type="pct"/>
            <w:tcMar>
              <w:top w:w="0" w:type="dxa"/>
              <w:left w:w="45" w:type="dxa"/>
              <w:bottom w:w="0" w:type="dxa"/>
              <w:right w:w="45" w:type="dxa"/>
            </w:tcMar>
            <w:vAlign w:val="center"/>
          </w:tcPr>
          <w:p>
            <w:pPr>
              <w:pStyle w:val="69"/>
              <w:spacing w:line="312" w:lineRule="exact"/>
              <w:ind w:firstLine="0" w:firstLineChars="0"/>
              <w:jc w:val="center"/>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本项目粉状、粒状</w:t>
            </w:r>
            <w:r>
              <w:rPr>
                <w:rFonts w:hint="eastAsia" w:ascii="Times New Roman" w:hAnsi="Times New Roman" w:cs="Times New Roman"/>
                <w:color w:val="auto"/>
                <w:sz w:val="21"/>
                <w:szCs w:val="21"/>
                <w:lang w:val="en-US"/>
              </w:rPr>
              <w:t>物料密闭包装采用</w:t>
            </w:r>
            <w:r>
              <w:rPr>
                <w:rFonts w:ascii="Times New Roman" w:hAnsi="Times New Roman" w:cs="Times New Roman"/>
                <w:color w:val="auto"/>
                <w:sz w:val="21"/>
                <w:szCs w:val="21"/>
                <w:lang w:val="en-US"/>
              </w:rPr>
              <w:t>封闭车厢方式运输</w:t>
            </w:r>
            <w:r>
              <w:rPr>
                <w:rFonts w:hint="eastAsia" w:ascii="Times New Roman" w:hAnsi="Times New Roman" w:cs="Times New Roman"/>
                <w:color w:val="auto"/>
                <w:sz w:val="21"/>
                <w:szCs w:val="21"/>
                <w:lang w:val="en-US"/>
              </w:rPr>
              <w:t>，</w:t>
            </w:r>
            <w:r>
              <w:rPr>
                <w:rFonts w:ascii="Times New Roman" w:hAnsi="Times New Roman" w:cs="Times New Roman"/>
                <w:color w:val="auto"/>
                <w:sz w:val="21"/>
                <w:szCs w:val="21"/>
                <w:lang w:val="en-US"/>
              </w:rPr>
              <w:t>厂区道路硬化、平整无破损</w:t>
            </w:r>
          </w:p>
        </w:tc>
        <w:tc>
          <w:tcPr>
            <w:tcW w:w="447" w:type="pc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6" w:type="pct"/>
            <w:vMerge w:val="continue"/>
            <w:tcMar>
              <w:top w:w="0" w:type="dxa"/>
              <w:left w:w="45" w:type="dxa"/>
              <w:bottom w:w="0" w:type="dxa"/>
              <w:right w:w="45" w:type="dxa"/>
            </w:tcMar>
            <w:vAlign w:val="center"/>
          </w:tcPr>
          <w:p>
            <w:pPr>
              <w:spacing w:line="312" w:lineRule="exact"/>
              <w:ind w:firstLine="0" w:firstLineChars="0"/>
              <w:jc w:val="center"/>
              <w:rPr>
                <w:color w:val="auto"/>
                <w:sz w:val="21"/>
                <w:szCs w:val="21"/>
              </w:rPr>
            </w:pPr>
          </w:p>
        </w:tc>
        <w:tc>
          <w:tcPr>
            <w:tcW w:w="2800" w:type="pc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做好装卸环节管控。粒状、块状等物料禁止随意露天装卸，应直接卸落至料仓内，装卸过程应配各高效抑尘、集尘设施。</w:t>
            </w:r>
          </w:p>
        </w:tc>
        <w:tc>
          <w:tcPr>
            <w:tcW w:w="1246" w:type="pct"/>
            <w:tcMar>
              <w:top w:w="0" w:type="dxa"/>
              <w:left w:w="45" w:type="dxa"/>
              <w:bottom w:w="0" w:type="dxa"/>
              <w:right w:w="45" w:type="dxa"/>
            </w:tcMar>
            <w:vAlign w:val="center"/>
          </w:tcPr>
          <w:p>
            <w:pPr>
              <w:pStyle w:val="69"/>
              <w:spacing w:line="312" w:lineRule="exact"/>
              <w:ind w:firstLine="0" w:firstLineChars="0"/>
              <w:jc w:val="center"/>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本项目原辅材料暂存于生产车间内的原料区，无露天装卸</w:t>
            </w:r>
          </w:p>
        </w:tc>
        <w:tc>
          <w:tcPr>
            <w:tcW w:w="447" w:type="pc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6" w:type="pct"/>
            <w:vMerge w:val="continue"/>
            <w:tcMar>
              <w:top w:w="0" w:type="dxa"/>
              <w:left w:w="45" w:type="dxa"/>
              <w:bottom w:w="0" w:type="dxa"/>
              <w:right w:w="45" w:type="dxa"/>
            </w:tcMar>
            <w:vAlign w:val="center"/>
          </w:tcPr>
          <w:p>
            <w:pPr>
              <w:spacing w:line="312" w:lineRule="exact"/>
              <w:ind w:firstLine="0" w:firstLineChars="0"/>
              <w:jc w:val="center"/>
              <w:rPr>
                <w:color w:val="auto"/>
                <w:sz w:val="21"/>
                <w:szCs w:val="21"/>
              </w:rPr>
            </w:pPr>
          </w:p>
        </w:tc>
        <w:tc>
          <w:tcPr>
            <w:tcW w:w="2800" w:type="pc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是做好储存环节管控。鼓励企业采用封闭料仓、储罐等全封闭措施规范存储物料，是 否采取料场全封闭措施将作为重污染天气应急绩效分级评审条件。料仓内应设有覆盖整个料堆的喷淋装置，含水率有要求的物料可以采用干雾抑尘等有效除尘设施。料仓应安装自动感应门等封闭性良好、智能化高的密闭门，厂区内不得露天堆放各类物料、渣土等</w:t>
            </w:r>
          </w:p>
        </w:tc>
        <w:tc>
          <w:tcPr>
            <w:tcW w:w="1246" w:type="pct"/>
            <w:tcMar>
              <w:top w:w="0" w:type="dxa"/>
              <w:left w:w="45" w:type="dxa"/>
              <w:bottom w:w="0" w:type="dxa"/>
              <w:right w:w="45" w:type="dxa"/>
            </w:tcMar>
            <w:vAlign w:val="center"/>
          </w:tcPr>
          <w:p>
            <w:pPr>
              <w:pStyle w:val="69"/>
              <w:spacing w:line="312" w:lineRule="exact"/>
              <w:ind w:firstLine="0" w:firstLineChars="0"/>
              <w:jc w:val="center"/>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本项目原辅材料暂存于生产车间内的原料区，</w:t>
            </w:r>
            <w:r>
              <w:rPr>
                <w:rFonts w:hint="eastAsia" w:ascii="Times New Roman" w:hAnsi="Times New Roman" w:cs="Times New Roman"/>
                <w:color w:val="auto"/>
                <w:sz w:val="21"/>
                <w:szCs w:val="21"/>
                <w:lang w:val="en-US"/>
              </w:rPr>
              <w:t>乳酸储罐位于车间内部</w:t>
            </w:r>
            <w:r>
              <w:rPr>
                <w:rFonts w:ascii="Times New Roman" w:hAnsi="Times New Roman" w:cs="Times New Roman"/>
                <w:color w:val="auto"/>
                <w:sz w:val="21"/>
                <w:szCs w:val="21"/>
                <w:lang w:val="en-US"/>
              </w:rPr>
              <w:t>无露天堆放</w:t>
            </w:r>
          </w:p>
        </w:tc>
        <w:tc>
          <w:tcPr>
            <w:tcW w:w="447" w:type="pc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符合</w:t>
            </w:r>
          </w:p>
        </w:tc>
      </w:tr>
    </w:tbl>
    <w:p>
      <w:pPr>
        <w:ind w:firstLine="480"/>
        <w:rPr>
          <w:rFonts w:eastAsia="黑体"/>
          <w:color w:val="auto"/>
          <w:szCs w:val="21"/>
        </w:rPr>
      </w:pPr>
      <w:r>
        <w:rPr>
          <w:rFonts w:hint="eastAsia"/>
          <w:color w:val="auto"/>
        </w:rPr>
        <w:t>21、</w:t>
      </w:r>
      <w:r>
        <w:rPr>
          <w:color w:val="auto"/>
        </w:rPr>
        <w:t>本项目与《关于印发&lt;淄博市新一轮“四减四增”三年行动方案&gt;的通知》（淄环委〔2022〕1号）符合性分析见表</w:t>
      </w:r>
      <w:r>
        <w:rPr>
          <w:rFonts w:hint="eastAsia"/>
          <w:color w:val="auto"/>
        </w:rPr>
        <w:t>12.1-21</w:t>
      </w:r>
      <w:r>
        <w:rPr>
          <w:color w:val="auto"/>
        </w:rPr>
        <w:t>。</w:t>
      </w:r>
    </w:p>
    <w:p>
      <w:pPr>
        <w:pStyle w:val="52"/>
        <w:tabs>
          <w:tab w:val="left" w:pos="1827"/>
          <w:tab w:val="center" w:pos="4044"/>
        </w:tabs>
        <w:ind w:firstLine="0" w:firstLineChars="0"/>
        <w:jc w:val="center"/>
        <w:rPr>
          <w:rFonts w:eastAsia="黑体"/>
          <w:color w:val="auto"/>
          <w:sz w:val="21"/>
          <w:szCs w:val="21"/>
        </w:rPr>
      </w:pPr>
      <w:r>
        <w:rPr>
          <w:rFonts w:eastAsia="黑体"/>
          <w:color w:val="auto"/>
          <w:sz w:val="21"/>
          <w:szCs w:val="21"/>
        </w:rPr>
        <w:t>表</w:t>
      </w:r>
      <w:r>
        <w:rPr>
          <w:rFonts w:hint="eastAsia" w:eastAsia="黑体"/>
          <w:color w:val="auto"/>
          <w:sz w:val="21"/>
          <w:szCs w:val="21"/>
        </w:rPr>
        <w:t xml:space="preserve">12.1-21 </w:t>
      </w:r>
      <w:r>
        <w:rPr>
          <w:rFonts w:eastAsia="黑体"/>
          <w:color w:val="auto"/>
          <w:sz w:val="21"/>
          <w:szCs w:val="21"/>
        </w:rPr>
        <w:t>与淄环委〔2022〕1号符合性分析</w:t>
      </w:r>
    </w:p>
    <w:tbl>
      <w:tblPr>
        <w:tblStyle w:val="2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971"/>
        <w:gridCol w:w="5255"/>
        <w:gridCol w:w="2127"/>
        <w:gridCol w:w="8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0" w:type="pct"/>
            <w:tcMar>
              <w:top w:w="0" w:type="dxa"/>
              <w:left w:w="45" w:type="dxa"/>
              <w:bottom w:w="0" w:type="dxa"/>
              <w:right w:w="45" w:type="dxa"/>
            </w:tcMar>
            <w:vAlign w:val="center"/>
          </w:tcPr>
          <w:p>
            <w:pPr>
              <w:spacing w:line="312" w:lineRule="exact"/>
              <w:ind w:firstLine="0" w:firstLineChars="0"/>
              <w:jc w:val="center"/>
              <w:rPr>
                <w:b/>
                <w:bCs/>
                <w:color w:val="auto"/>
                <w:sz w:val="21"/>
                <w:szCs w:val="21"/>
              </w:rPr>
            </w:pPr>
            <w:r>
              <w:rPr>
                <w:b/>
                <w:bCs/>
                <w:color w:val="auto"/>
                <w:sz w:val="21"/>
                <w:szCs w:val="21"/>
              </w:rPr>
              <w:t>文件要求</w:t>
            </w:r>
          </w:p>
        </w:tc>
        <w:tc>
          <w:tcPr>
            <w:tcW w:w="2869" w:type="pct"/>
            <w:tcMar>
              <w:top w:w="0" w:type="dxa"/>
              <w:left w:w="45" w:type="dxa"/>
              <w:bottom w:w="0" w:type="dxa"/>
              <w:right w:w="45" w:type="dxa"/>
            </w:tcMar>
            <w:vAlign w:val="center"/>
          </w:tcPr>
          <w:p>
            <w:pPr>
              <w:spacing w:line="312" w:lineRule="exact"/>
              <w:ind w:firstLine="0" w:firstLineChars="0"/>
              <w:jc w:val="center"/>
              <w:rPr>
                <w:b/>
                <w:bCs/>
                <w:color w:val="auto"/>
                <w:sz w:val="21"/>
                <w:szCs w:val="21"/>
              </w:rPr>
            </w:pPr>
            <w:r>
              <w:rPr>
                <w:b/>
                <w:bCs/>
                <w:color w:val="auto"/>
                <w:sz w:val="21"/>
                <w:szCs w:val="21"/>
              </w:rPr>
              <w:t>具体规定</w:t>
            </w:r>
          </w:p>
        </w:tc>
        <w:tc>
          <w:tcPr>
            <w:tcW w:w="1161" w:type="pct"/>
            <w:tcMar>
              <w:top w:w="0" w:type="dxa"/>
              <w:left w:w="45" w:type="dxa"/>
              <w:bottom w:w="0" w:type="dxa"/>
              <w:right w:w="45" w:type="dxa"/>
            </w:tcMar>
            <w:vAlign w:val="center"/>
          </w:tcPr>
          <w:p>
            <w:pPr>
              <w:spacing w:line="312" w:lineRule="exact"/>
              <w:ind w:firstLine="0" w:firstLineChars="0"/>
              <w:jc w:val="center"/>
              <w:rPr>
                <w:b/>
                <w:bCs/>
                <w:color w:val="auto"/>
                <w:sz w:val="21"/>
                <w:szCs w:val="21"/>
              </w:rPr>
            </w:pPr>
            <w:r>
              <w:rPr>
                <w:b/>
                <w:bCs/>
                <w:color w:val="auto"/>
                <w:sz w:val="21"/>
                <w:szCs w:val="21"/>
              </w:rPr>
              <w:t>本项目情况</w:t>
            </w:r>
          </w:p>
        </w:tc>
        <w:tc>
          <w:tcPr>
            <w:tcW w:w="439" w:type="pct"/>
            <w:tcMar>
              <w:top w:w="0" w:type="dxa"/>
              <w:left w:w="45" w:type="dxa"/>
              <w:bottom w:w="0" w:type="dxa"/>
              <w:right w:w="45" w:type="dxa"/>
            </w:tcMar>
            <w:vAlign w:val="center"/>
          </w:tcPr>
          <w:p>
            <w:pPr>
              <w:spacing w:line="312" w:lineRule="exact"/>
              <w:ind w:firstLine="0" w:firstLineChars="0"/>
              <w:jc w:val="center"/>
              <w:rPr>
                <w:b/>
                <w:bCs/>
                <w:color w:val="auto"/>
                <w:sz w:val="21"/>
                <w:szCs w:val="21"/>
              </w:rPr>
            </w:pPr>
            <w:r>
              <w:rPr>
                <w:b/>
                <w:bCs/>
                <w:color w:val="auto"/>
                <w:sz w:val="21"/>
                <w:szCs w:val="21"/>
              </w:rPr>
              <w:t>符合</w:t>
            </w:r>
          </w:p>
          <w:p>
            <w:pPr>
              <w:spacing w:line="312" w:lineRule="exact"/>
              <w:ind w:firstLine="0" w:firstLineChars="0"/>
              <w:jc w:val="center"/>
              <w:rPr>
                <w:b/>
                <w:bCs/>
                <w:color w:val="auto"/>
                <w:sz w:val="21"/>
                <w:szCs w:val="21"/>
              </w:rPr>
            </w:pPr>
            <w:r>
              <w:rPr>
                <w:b/>
                <w:bCs/>
                <w:color w:val="auto"/>
                <w:sz w:val="21"/>
                <w:szCs w:val="21"/>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0" w:type="pct"/>
            <w:vMerge w:val="restar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（一）深入调整产业结构</w:t>
            </w:r>
          </w:p>
        </w:tc>
        <w:tc>
          <w:tcPr>
            <w:tcW w:w="2869" w:type="pc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依据安全、环保、技术、能耗、效益标准，以钢铁、煤电、水泥、轮胎、煤炭、化工等行业为重点，分类组织实施转移、压减、整合、关停任务，加快淘汰低效落后产能。</w:t>
            </w:r>
          </w:p>
        </w:tc>
        <w:tc>
          <w:tcPr>
            <w:tcW w:w="1161" w:type="pct"/>
            <w:tcMar>
              <w:top w:w="0" w:type="dxa"/>
              <w:left w:w="45" w:type="dxa"/>
              <w:bottom w:w="0" w:type="dxa"/>
              <w:right w:w="45" w:type="dxa"/>
            </w:tcMar>
            <w:vAlign w:val="center"/>
          </w:tcPr>
          <w:p>
            <w:pPr>
              <w:pStyle w:val="49"/>
              <w:spacing w:line="312" w:lineRule="exact"/>
              <w:rPr>
                <w:color w:val="auto"/>
                <w:szCs w:val="21"/>
              </w:rPr>
            </w:pPr>
            <w:r>
              <w:rPr>
                <w:color w:val="auto"/>
                <w:szCs w:val="21"/>
              </w:rPr>
              <w:t>本项目工艺、设备不涉及《产业结构调整指导目录》（2019年本）中淘汰、限制类，属于国家</w:t>
            </w:r>
            <w:r>
              <w:rPr>
                <w:rFonts w:hint="eastAsia"/>
                <w:color w:val="auto"/>
                <w:szCs w:val="21"/>
              </w:rPr>
              <w:t>鼓励类</w:t>
            </w:r>
            <w:r>
              <w:rPr>
                <w:color w:val="auto"/>
                <w:szCs w:val="21"/>
              </w:rPr>
              <w:t>项目</w:t>
            </w:r>
          </w:p>
        </w:tc>
        <w:tc>
          <w:tcPr>
            <w:tcW w:w="439" w:type="pc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0" w:type="pct"/>
            <w:vMerge w:val="continue"/>
            <w:tcMar>
              <w:top w:w="0" w:type="dxa"/>
              <w:left w:w="45" w:type="dxa"/>
              <w:bottom w:w="0" w:type="dxa"/>
              <w:right w:w="45" w:type="dxa"/>
            </w:tcMar>
            <w:vAlign w:val="center"/>
          </w:tcPr>
          <w:p>
            <w:pPr>
              <w:spacing w:line="312" w:lineRule="exact"/>
              <w:ind w:firstLine="0" w:firstLineChars="0"/>
              <w:jc w:val="center"/>
              <w:rPr>
                <w:color w:val="auto"/>
                <w:sz w:val="21"/>
                <w:szCs w:val="21"/>
              </w:rPr>
            </w:pPr>
          </w:p>
        </w:tc>
        <w:tc>
          <w:tcPr>
            <w:tcW w:w="2869" w:type="pc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严控重点行业新增产能。重大项目建设，必须首先满足环境质量“只能更好，不能变坏”的底线，严格落实污染物排放“减量替代是原则，等量替代是例外”的总量控制刚性要求。按照国家相关产业政策，深入实施“四上四压”，坚持“上新压旧”“上大压小”“上高压低”“上整压散”。“两高”项目建设做到产能减量、能耗减量、煤炭减量、碳排放减量和常规污染物减量等“五个减量”，新建项目要按照规定实施减量替代，对有关建设项目环评从严把关。</w:t>
            </w:r>
          </w:p>
        </w:tc>
        <w:tc>
          <w:tcPr>
            <w:tcW w:w="1161" w:type="pct"/>
            <w:tcMar>
              <w:top w:w="0" w:type="dxa"/>
              <w:left w:w="45" w:type="dxa"/>
              <w:bottom w:w="0" w:type="dxa"/>
              <w:right w:w="45" w:type="dxa"/>
            </w:tcMar>
            <w:vAlign w:val="center"/>
          </w:tcPr>
          <w:p>
            <w:pPr>
              <w:pStyle w:val="49"/>
              <w:spacing w:line="312" w:lineRule="exact"/>
              <w:rPr>
                <w:color w:val="auto"/>
                <w:szCs w:val="21"/>
              </w:rPr>
            </w:pPr>
            <w:r>
              <w:rPr>
                <w:color w:val="auto"/>
                <w:szCs w:val="21"/>
              </w:rPr>
              <w:t>本项目为</w:t>
            </w:r>
            <w:r>
              <w:rPr>
                <w:rFonts w:hint="eastAsia"/>
                <w:color w:val="auto"/>
                <w:szCs w:val="21"/>
              </w:rPr>
              <w:t>化学纤维制造业</w:t>
            </w:r>
            <w:r>
              <w:rPr>
                <w:color w:val="auto"/>
                <w:szCs w:val="21"/>
              </w:rPr>
              <w:t>，不属于重点行业。且本项目严格执行污染物倍量替代的要求。</w:t>
            </w:r>
          </w:p>
        </w:tc>
        <w:tc>
          <w:tcPr>
            <w:tcW w:w="439" w:type="pc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0" w:type="pct"/>
            <w:vMerge w:val="continue"/>
            <w:tcMar>
              <w:top w:w="0" w:type="dxa"/>
              <w:left w:w="45" w:type="dxa"/>
              <w:bottom w:w="0" w:type="dxa"/>
              <w:right w:w="45" w:type="dxa"/>
            </w:tcMar>
            <w:vAlign w:val="center"/>
          </w:tcPr>
          <w:p>
            <w:pPr>
              <w:spacing w:line="312" w:lineRule="exact"/>
              <w:ind w:firstLine="0" w:firstLineChars="0"/>
              <w:jc w:val="center"/>
              <w:rPr>
                <w:color w:val="auto"/>
                <w:sz w:val="21"/>
                <w:szCs w:val="21"/>
              </w:rPr>
            </w:pPr>
          </w:p>
        </w:tc>
        <w:tc>
          <w:tcPr>
            <w:tcW w:w="2869" w:type="pc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推动绿色循环低碳改造。将“三线一单”成果作为综合决策的前提条件，加强在政策制定、环境准入、园区管理、执法监管等方面的应用，作为区域资源开发、产业布局和结构调整、城镇建设、重大项目选址和审批的重要依据。</w:t>
            </w:r>
          </w:p>
        </w:tc>
        <w:tc>
          <w:tcPr>
            <w:tcW w:w="1161" w:type="pct"/>
            <w:tcMar>
              <w:top w:w="0" w:type="dxa"/>
              <w:left w:w="45" w:type="dxa"/>
              <w:bottom w:w="0" w:type="dxa"/>
              <w:right w:w="45" w:type="dxa"/>
            </w:tcMar>
            <w:vAlign w:val="center"/>
          </w:tcPr>
          <w:p>
            <w:pPr>
              <w:pStyle w:val="49"/>
              <w:spacing w:line="312" w:lineRule="exact"/>
              <w:rPr>
                <w:color w:val="auto"/>
                <w:szCs w:val="21"/>
              </w:rPr>
            </w:pPr>
            <w:r>
              <w:rPr>
                <w:color w:val="auto"/>
                <w:szCs w:val="21"/>
              </w:rPr>
              <w:t>本项目满足“三线一单”要求，符合</w:t>
            </w:r>
            <w:r>
              <w:rPr>
                <w:rFonts w:hint="eastAsia"/>
                <w:color w:val="auto"/>
                <w:szCs w:val="21"/>
              </w:rPr>
              <w:t>淄博科技工业园</w:t>
            </w:r>
            <w:r>
              <w:rPr>
                <w:color w:val="auto"/>
                <w:szCs w:val="21"/>
              </w:rPr>
              <w:t>的产业发展规划</w:t>
            </w:r>
          </w:p>
        </w:tc>
        <w:tc>
          <w:tcPr>
            <w:tcW w:w="439" w:type="pc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0" w:type="pct"/>
            <w:vMerge w:val="continue"/>
            <w:tcMar>
              <w:top w:w="0" w:type="dxa"/>
              <w:left w:w="45" w:type="dxa"/>
              <w:bottom w:w="0" w:type="dxa"/>
              <w:right w:w="45" w:type="dxa"/>
            </w:tcMar>
            <w:vAlign w:val="center"/>
          </w:tcPr>
          <w:p>
            <w:pPr>
              <w:spacing w:line="312" w:lineRule="exact"/>
              <w:ind w:firstLine="0" w:firstLineChars="0"/>
              <w:jc w:val="center"/>
              <w:rPr>
                <w:color w:val="auto"/>
                <w:sz w:val="21"/>
                <w:szCs w:val="21"/>
              </w:rPr>
            </w:pPr>
          </w:p>
        </w:tc>
        <w:tc>
          <w:tcPr>
            <w:tcW w:w="2869" w:type="pc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改造提升传统动能。推动生产、使用低（无）VOCs含量的工业涂料、油墨、胶粘剂、清洗剂等产品，从源头减少VOCs排放。到2023年，建立5个原辅材料替代样板项目，高VOCs原辅材料源头替代比例达到9%。</w:t>
            </w:r>
          </w:p>
        </w:tc>
        <w:tc>
          <w:tcPr>
            <w:tcW w:w="1161" w:type="pct"/>
            <w:tcMar>
              <w:top w:w="0" w:type="dxa"/>
              <w:left w:w="45" w:type="dxa"/>
              <w:bottom w:w="0" w:type="dxa"/>
              <w:right w:w="45" w:type="dxa"/>
            </w:tcMar>
            <w:vAlign w:val="center"/>
          </w:tcPr>
          <w:p>
            <w:pPr>
              <w:pStyle w:val="69"/>
              <w:spacing w:line="312" w:lineRule="exact"/>
              <w:ind w:firstLine="0" w:firstLineChars="0"/>
              <w:jc w:val="center"/>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本项目</w:t>
            </w:r>
            <w:r>
              <w:rPr>
                <w:rFonts w:ascii="Times New Roman" w:hAnsi="Times New Roman" w:cs="Times New Roman"/>
                <w:color w:val="auto"/>
                <w:sz w:val="21"/>
                <w:szCs w:val="21"/>
              </w:rPr>
              <w:t>含VOCs物料</w:t>
            </w:r>
            <w:r>
              <w:rPr>
                <w:rFonts w:ascii="Times New Roman" w:hAnsi="Times New Roman" w:cs="Times New Roman"/>
                <w:color w:val="auto"/>
                <w:sz w:val="21"/>
                <w:szCs w:val="21"/>
                <w:lang w:val="en-US"/>
              </w:rPr>
              <w:t>为</w:t>
            </w:r>
            <w:r>
              <w:rPr>
                <w:rFonts w:hint="eastAsia" w:ascii="Times New Roman" w:hAnsi="Times New Roman" w:cs="Times New Roman"/>
                <w:color w:val="auto"/>
                <w:sz w:val="21"/>
                <w:szCs w:val="21"/>
                <w:lang w:val="en-US"/>
              </w:rPr>
              <w:t>乳酸属于低</w:t>
            </w:r>
            <w:r>
              <w:rPr>
                <w:rFonts w:ascii="Times New Roman" w:hAnsi="Times New Roman" w:cs="Times New Roman"/>
                <w:color w:val="auto"/>
                <w:sz w:val="21"/>
                <w:szCs w:val="21"/>
              </w:rPr>
              <w:t>VOCs含量</w:t>
            </w:r>
            <w:r>
              <w:rPr>
                <w:rFonts w:hint="eastAsia" w:ascii="Times New Roman" w:hAnsi="Times New Roman" w:cs="Times New Roman"/>
                <w:color w:val="auto"/>
                <w:sz w:val="21"/>
                <w:szCs w:val="21"/>
              </w:rPr>
              <w:t>，本项目不使用</w:t>
            </w:r>
            <w:r>
              <w:rPr>
                <w:rFonts w:ascii="Times New Roman" w:hAnsi="Times New Roman" w:cs="Times New Roman"/>
                <w:color w:val="auto"/>
                <w:sz w:val="21"/>
                <w:szCs w:val="21"/>
              </w:rPr>
              <w:t>工业涂料、油墨、胶粘剂、清洗剂等产品</w:t>
            </w:r>
            <w:r>
              <w:rPr>
                <w:rFonts w:ascii="Times New Roman" w:hAnsi="Times New Roman" w:cs="Times New Roman"/>
                <w:color w:val="auto"/>
                <w:sz w:val="21"/>
                <w:szCs w:val="21"/>
                <w:lang w:val="en-US"/>
              </w:rPr>
              <w:t>。</w:t>
            </w:r>
          </w:p>
        </w:tc>
        <w:tc>
          <w:tcPr>
            <w:tcW w:w="439" w:type="pc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0" w:type="pct"/>
            <w:vMerge w:val="continue"/>
            <w:tcMar>
              <w:top w:w="0" w:type="dxa"/>
              <w:left w:w="45" w:type="dxa"/>
              <w:bottom w:w="0" w:type="dxa"/>
              <w:right w:w="45" w:type="dxa"/>
            </w:tcMar>
            <w:vAlign w:val="center"/>
          </w:tcPr>
          <w:p>
            <w:pPr>
              <w:spacing w:line="312" w:lineRule="exact"/>
              <w:ind w:firstLine="0" w:firstLineChars="0"/>
              <w:jc w:val="center"/>
              <w:rPr>
                <w:color w:val="auto"/>
                <w:sz w:val="21"/>
                <w:szCs w:val="21"/>
              </w:rPr>
            </w:pPr>
          </w:p>
        </w:tc>
        <w:tc>
          <w:tcPr>
            <w:tcW w:w="2869" w:type="pc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提升园区集约发展水平。提高化工等行业园区集聚水平，实施建材、化工、铸造、家具等产业集群提升改造，提高集约化、绿色化发展水平。到2023年，化工园区（含化工重点监控点）内化工生产企业营业收入占全行业比重达到75%。围绕炼化一体化、新材料、精细化工等产业高质量发展，聚焦产业链重点产品和关键环节，依托链主或龙头骨干企业，强化产业链优势，加快补齐补强短板，推动化工园区优化提升。</w:t>
            </w:r>
          </w:p>
        </w:tc>
        <w:tc>
          <w:tcPr>
            <w:tcW w:w="1161" w:type="pct"/>
            <w:tcMar>
              <w:top w:w="0" w:type="dxa"/>
              <w:left w:w="45" w:type="dxa"/>
              <w:bottom w:w="0" w:type="dxa"/>
              <w:right w:w="45" w:type="dxa"/>
            </w:tcMar>
            <w:vAlign w:val="center"/>
          </w:tcPr>
          <w:p>
            <w:pPr>
              <w:pStyle w:val="69"/>
              <w:spacing w:line="312" w:lineRule="exact"/>
              <w:ind w:firstLine="0" w:firstLineChars="0"/>
              <w:jc w:val="center"/>
              <w:rPr>
                <w:rFonts w:ascii="Times New Roman" w:hAnsi="Times New Roman" w:cs="Times New Roman"/>
                <w:color w:val="auto"/>
                <w:sz w:val="21"/>
                <w:szCs w:val="21"/>
                <w:lang w:val="en-US"/>
              </w:rPr>
            </w:pPr>
            <w:r>
              <w:rPr>
                <w:rFonts w:ascii="Times New Roman" w:hAnsi="Times New Roman" w:cs="Times New Roman"/>
                <w:color w:val="auto"/>
                <w:sz w:val="21"/>
                <w:szCs w:val="21"/>
              </w:rPr>
              <w:t>本项目位于</w:t>
            </w:r>
            <w:r>
              <w:rPr>
                <w:rFonts w:hint="eastAsia" w:ascii="Times New Roman" w:hAnsi="Times New Roman" w:cs="Times New Roman"/>
                <w:color w:val="auto"/>
                <w:sz w:val="21"/>
                <w:szCs w:val="21"/>
                <w:lang w:val="en-US"/>
              </w:rPr>
              <w:t>淄博科技工业园</w:t>
            </w:r>
            <w:r>
              <w:rPr>
                <w:rFonts w:ascii="Times New Roman" w:hAnsi="Times New Roman" w:cs="Times New Roman"/>
                <w:color w:val="auto"/>
                <w:sz w:val="21"/>
                <w:szCs w:val="21"/>
                <w:lang w:val="en-US"/>
              </w:rPr>
              <w:t>，本项目为</w:t>
            </w:r>
            <w:r>
              <w:rPr>
                <w:rFonts w:hint="eastAsia" w:ascii="Times New Roman" w:hAnsi="Times New Roman" w:cs="Times New Roman"/>
                <w:color w:val="auto"/>
                <w:sz w:val="21"/>
                <w:szCs w:val="21"/>
                <w:lang w:val="en-US"/>
              </w:rPr>
              <w:t>生物基、淀粉基新材料制造项目</w:t>
            </w:r>
            <w:r>
              <w:rPr>
                <w:rFonts w:ascii="Times New Roman" w:hAnsi="Times New Roman" w:cs="Times New Roman"/>
                <w:color w:val="auto"/>
                <w:sz w:val="21"/>
                <w:szCs w:val="21"/>
                <w:lang w:val="en-US"/>
              </w:rPr>
              <w:t>，</w:t>
            </w:r>
            <w:r>
              <w:rPr>
                <w:rFonts w:hint="eastAsia" w:ascii="Times New Roman" w:hAnsi="Times New Roman" w:cs="Times New Roman"/>
                <w:color w:val="auto"/>
                <w:sz w:val="21"/>
                <w:szCs w:val="21"/>
                <w:lang w:val="en-US"/>
              </w:rPr>
              <w:t>属于新材料类，</w:t>
            </w:r>
            <w:r>
              <w:rPr>
                <w:rFonts w:ascii="Times New Roman" w:hAnsi="Times New Roman" w:cs="Times New Roman"/>
                <w:color w:val="auto"/>
                <w:sz w:val="21"/>
                <w:szCs w:val="21"/>
                <w:lang w:val="en-US"/>
              </w:rPr>
              <w:t>符合</w:t>
            </w:r>
            <w:r>
              <w:rPr>
                <w:rFonts w:hint="eastAsia" w:ascii="Times New Roman" w:hAnsi="Times New Roman" w:cs="Times New Roman"/>
                <w:color w:val="auto"/>
                <w:sz w:val="21"/>
                <w:szCs w:val="21"/>
                <w:lang w:val="en-US"/>
              </w:rPr>
              <w:t>淄博科技工业园</w:t>
            </w:r>
            <w:r>
              <w:rPr>
                <w:rFonts w:ascii="Times New Roman" w:hAnsi="Times New Roman" w:cs="Times New Roman"/>
                <w:color w:val="auto"/>
                <w:sz w:val="21"/>
                <w:szCs w:val="21"/>
                <w:lang w:val="en-US"/>
              </w:rPr>
              <w:t>的产业定位及发展方向。</w:t>
            </w:r>
          </w:p>
        </w:tc>
        <w:tc>
          <w:tcPr>
            <w:tcW w:w="439" w:type="pct"/>
            <w:tcMar>
              <w:top w:w="0" w:type="dxa"/>
              <w:left w:w="45" w:type="dxa"/>
              <w:bottom w:w="0" w:type="dxa"/>
              <w:right w:w="45" w:type="dxa"/>
            </w:tcMar>
            <w:vAlign w:val="center"/>
          </w:tcPr>
          <w:p>
            <w:pPr>
              <w:spacing w:line="312" w:lineRule="exact"/>
              <w:ind w:firstLine="0" w:firstLineChars="0"/>
              <w:jc w:val="center"/>
              <w:rPr>
                <w:color w:val="auto"/>
                <w:sz w:val="21"/>
                <w:szCs w:val="21"/>
              </w:rPr>
            </w:pPr>
            <w:r>
              <w:rPr>
                <w:color w:val="auto"/>
                <w:sz w:val="21"/>
                <w:szCs w:val="21"/>
              </w:rPr>
              <w:t>符合</w:t>
            </w:r>
          </w:p>
        </w:tc>
      </w:tr>
    </w:tbl>
    <w:p>
      <w:pPr>
        <w:pStyle w:val="70"/>
        <w:spacing w:line="440" w:lineRule="exact"/>
        <w:ind w:firstLine="0" w:firstLineChars="0"/>
        <w:rPr>
          <w:rFonts w:hint="default"/>
          <w:color w:val="auto"/>
        </w:rPr>
      </w:pPr>
      <w:r>
        <w:rPr>
          <w:color w:val="auto"/>
        </w:rPr>
        <w:t>22、</w:t>
      </w:r>
      <w:r>
        <w:rPr>
          <w:rFonts w:hint="default"/>
          <w:color w:val="auto"/>
        </w:rPr>
        <w:t>本项目与《关于印发&lt;2022年度淄博市挥发性有机物治理和臭氧污染管控方案&gt;的通知》（淄环委办[2022]12号）符合性分析</w:t>
      </w:r>
    </w:p>
    <w:p>
      <w:pPr>
        <w:pStyle w:val="57"/>
        <w:rPr>
          <w:color w:val="auto"/>
        </w:rPr>
      </w:pPr>
      <w:r>
        <w:rPr>
          <w:color w:val="auto"/>
        </w:rPr>
        <w:t>表</w:t>
      </w:r>
      <w:r>
        <w:rPr>
          <w:rFonts w:hint="eastAsia"/>
          <w:color w:val="auto"/>
        </w:rPr>
        <w:t xml:space="preserve">12.1-22 </w:t>
      </w:r>
      <w:r>
        <w:rPr>
          <w:color w:val="auto"/>
        </w:rPr>
        <w:t>与淄环委办[2022]12号符合性分析</w:t>
      </w:r>
    </w:p>
    <w:tbl>
      <w:tblPr>
        <w:tblStyle w:val="23"/>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898"/>
        <w:gridCol w:w="2196"/>
        <w:gridCol w:w="11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177" w:type="pct"/>
            <w:tcBorders>
              <w:tl2br w:val="nil"/>
              <w:tr2bl w:val="nil"/>
            </w:tcBorders>
            <w:vAlign w:val="center"/>
          </w:tcPr>
          <w:p>
            <w:pPr>
              <w:pStyle w:val="49"/>
              <w:overflowPunct/>
              <w:adjustRightInd/>
              <w:snapToGrid/>
              <w:spacing w:line="312" w:lineRule="exact"/>
              <w:jc w:val="center"/>
              <w:textAlignment w:val="auto"/>
              <w:rPr>
                <w:b/>
                <w:bCs/>
                <w:color w:val="auto"/>
              </w:rPr>
            </w:pPr>
            <w:r>
              <w:rPr>
                <w:b/>
                <w:bCs/>
                <w:color w:val="auto"/>
              </w:rPr>
              <w:t>文件要求</w:t>
            </w:r>
          </w:p>
        </w:tc>
        <w:tc>
          <w:tcPr>
            <w:tcW w:w="1183" w:type="pct"/>
            <w:tcBorders>
              <w:tl2br w:val="nil"/>
              <w:tr2bl w:val="nil"/>
            </w:tcBorders>
            <w:vAlign w:val="center"/>
          </w:tcPr>
          <w:p>
            <w:pPr>
              <w:pStyle w:val="49"/>
              <w:overflowPunct/>
              <w:adjustRightInd/>
              <w:snapToGrid/>
              <w:spacing w:line="312" w:lineRule="exact"/>
              <w:jc w:val="center"/>
              <w:textAlignment w:val="auto"/>
              <w:rPr>
                <w:b/>
                <w:bCs/>
                <w:color w:val="auto"/>
              </w:rPr>
            </w:pPr>
            <w:r>
              <w:rPr>
                <w:b/>
                <w:bCs/>
                <w:color w:val="auto"/>
              </w:rPr>
              <w:t>本项目情况</w:t>
            </w:r>
          </w:p>
        </w:tc>
        <w:tc>
          <w:tcPr>
            <w:tcW w:w="639" w:type="pct"/>
            <w:tcBorders>
              <w:tl2br w:val="nil"/>
              <w:tr2bl w:val="nil"/>
            </w:tcBorders>
            <w:vAlign w:val="center"/>
          </w:tcPr>
          <w:p>
            <w:pPr>
              <w:pStyle w:val="49"/>
              <w:overflowPunct/>
              <w:adjustRightInd/>
              <w:snapToGrid/>
              <w:spacing w:line="312" w:lineRule="exact"/>
              <w:jc w:val="center"/>
              <w:textAlignment w:val="auto"/>
              <w:rPr>
                <w:b/>
                <w:bCs/>
                <w:color w:val="auto"/>
              </w:rPr>
            </w:pPr>
            <w:r>
              <w:rPr>
                <w:b/>
                <w:bCs/>
                <w:color w:val="auto"/>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77" w:type="pct"/>
            <w:tcBorders>
              <w:tl2br w:val="nil"/>
              <w:tr2bl w:val="nil"/>
            </w:tcBorders>
            <w:vAlign w:val="center"/>
          </w:tcPr>
          <w:p>
            <w:pPr>
              <w:pStyle w:val="49"/>
              <w:overflowPunct/>
              <w:adjustRightInd/>
              <w:snapToGrid/>
              <w:spacing w:line="312" w:lineRule="exact"/>
              <w:jc w:val="center"/>
              <w:textAlignment w:val="auto"/>
              <w:rPr>
                <w:color w:val="auto"/>
              </w:rPr>
            </w:pPr>
            <w:r>
              <w:rPr>
                <w:color w:val="auto"/>
              </w:rPr>
              <w:t>6、提升综合治理效率。推进使用先进生产工艺，通过采用全密闭、连续化、自动化等生产技术，以及高效工艺设备等，减少工艺过程无组织排放。按照“适宜高效”和“降风增浓”原则，优先对车间内涉挥发性有机物的设备、工序进行密闭，或进行局部废气收集。加强生产车间密闭管理，在符合安全生产、职业卫生等要求前提下，采用自动感应门、密闭性好的塑钢门窗等，在非必要时保持关闭。高浓度挥发性有机物废气不宜直接与大风量、低浓度挥发性有机物废气混合。按照适宜高效的原则提高治理设施去除率，高浓度挥发性有机物废气（＞30000 mg/m3），宜采用吸收、冷凝、吸附、膜分离等组合技术回收处理，不能达标时再辅以其他技术实现达标排放；中高浓度废气（3000 mg/m3—30000 mg/m3），有回收价值时宜采用吸收技术回收处理，无回收价值时宜采用燃烧技术。中低浓度挥发性有机物废气（＜3000 mg/m3），宜采用生物技术、燃烧技术、吸附浓缩－燃烧技术等。鼓励使用液氮的企业，统筹考虑液氮气化和挥发性有机物废气冷凝的热交换，实现废气治理和节能相结合。严禁大风量、高浓度有机废气的有机化工、医药制药、石油化工等行业企业使用UV光解、低温等离子、光氧催化等低效治污设施。其他行业在保证异味治理的前提下，原则上全面淘汰以上低效治污设施。杜绝仅采用水或水溶液洗涤吸收方式处理含非水溶性组分的挥发性有机物废气。挥发性有机物废气不得与含颗粒物等其他污染物的废气混合。</w:t>
            </w:r>
          </w:p>
        </w:tc>
        <w:tc>
          <w:tcPr>
            <w:tcW w:w="1183" w:type="pct"/>
            <w:tcBorders>
              <w:tl2br w:val="nil"/>
              <w:tr2bl w:val="nil"/>
            </w:tcBorders>
            <w:vAlign w:val="center"/>
          </w:tcPr>
          <w:p>
            <w:pPr>
              <w:pStyle w:val="49"/>
              <w:overflowPunct/>
              <w:adjustRightInd/>
              <w:snapToGrid/>
              <w:spacing w:line="312" w:lineRule="exact"/>
              <w:jc w:val="center"/>
              <w:textAlignment w:val="auto"/>
              <w:rPr>
                <w:color w:val="auto"/>
              </w:rPr>
            </w:pPr>
            <w:r>
              <w:rPr>
                <w:color w:val="auto"/>
                <w:szCs w:val="21"/>
              </w:rPr>
              <w:t>本项目</w:t>
            </w:r>
            <w:r>
              <w:rPr>
                <w:rFonts w:hint="eastAsia"/>
                <w:color w:val="auto"/>
                <w:szCs w:val="21"/>
              </w:rPr>
              <w:t>生产过程位于密闭设备中</w:t>
            </w:r>
            <w:r>
              <w:rPr>
                <w:color w:val="auto"/>
                <w:szCs w:val="21"/>
              </w:rPr>
              <w:t>，</w:t>
            </w:r>
            <w:r>
              <w:rPr>
                <w:rFonts w:hint="eastAsia"/>
                <w:color w:val="auto"/>
                <w:szCs w:val="21"/>
              </w:rPr>
              <w:t>生产过程车间全密闭保持车间微负压，</w:t>
            </w:r>
            <w:r>
              <w:rPr>
                <w:color w:val="auto"/>
              </w:rPr>
              <w:t>并采取</w:t>
            </w:r>
            <w:r>
              <w:rPr>
                <w:rFonts w:hint="eastAsia"/>
                <w:color w:val="auto"/>
                <w:lang w:eastAsia="zh-CN"/>
              </w:rPr>
              <w:t>碱喷淋</w:t>
            </w:r>
            <w:r>
              <w:rPr>
                <w:rFonts w:hint="eastAsia"/>
                <w:color w:val="auto"/>
              </w:rPr>
              <w:t>+</w:t>
            </w:r>
            <w:r>
              <w:rPr>
                <w:color w:val="auto"/>
              </w:rPr>
              <w:t>活性炭吸附装置进行治理，处理效率为</w:t>
            </w:r>
            <w:r>
              <w:rPr>
                <w:rFonts w:hint="eastAsia"/>
                <w:color w:val="auto"/>
              </w:rPr>
              <w:t>80</w:t>
            </w:r>
            <w:r>
              <w:rPr>
                <w:color w:val="auto"/>
              </w:rPr>
              <w:t>%</w:t>
            </w:r>
          </w:p>
        </w:tc>
        <w:tc>
          <w:tcPr>
            <w:tcW w:w="639" w:type="pct"/>
            <w:tcBorders>
              <w:tl2br w:val="nil"/>
              <w:tr2bl w:val="nil"/>
            </w:tcBorders>
            <w:vAlign w:val="center"/>
          </w:tcPr>
          <w:p>
            <w:pPr>
              <w:pStyle w:val="49"/>
              <w:overflowPunct/>
              <w:adjustRightInd/>
              <w:snapToGrid/>
              <w:spacing w:line="312" w:lineRule="exact"/>
              <w:jc w:val="center"/>
              <w:textAlignment w:val="auto"/>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77" w:type="pct"/>
            <w:tcBorders>
              <w:tl2br w:val="nil"/>
              <w:tr2bl w:val="nil"/>
            </w:tcBorders>
            <w:vAlign w:val="center"/>
          </w:tcPr>
          <w:p>
            <w:pPr>
              <w:pStyle w:val="49"/>
              <w:overflowPunct/>
              <w:adjustRightInd/>
              <w:snapToGrid/>
              <w:spacing w:line="312" w:lineRule="exact"/>
              <w:jc w:val="center"/>
              <w:textAlignment w:val="auto"/>
              <w:rPr>
                <w:color w:val="auto"/>
              </w:rPr>
            </w:pPr>
            <w:r>
              <w:rPr>
                <w:color w:val="auto"/>
              </w:rPr>
              <w:t>8.提高精细化管控水平。加强治理设施运行管理，按照治理设施的工艺设计和污染物排放标准，制定治理设施运行规范或操作规程，并明确异常情况的处理方案。对新建或改建的治理设施，企业应组织相关岗位人员进行培训，培训内容和考核结果要存档。企业应建立台账，记录废气治理设施的主要运行和维护信息，包括但不限于运行时间、废气处理量、操作温度、停留时间、吸附剂再生/更换周期和更换量、催化剂更换周期和更换量、吸收液pH值等关键参数。台账保存期限不少于五年，法律法规或标准另有规定的除外。企业应及时清洗更换吸附剂、吸收剂、催化剂、蓄热体、过滤棉等治理设施耗材，确保治理设施能够稳定高效运行。使用活性炭等吸附工艺的企业，应选择符合相关产品质量标准的吸附剂，并提供产品质量证明材料，在运行过程中应足额充填、及时更换，并确保废气在吸附装置中有足够的停留时间。</w:t>
            </w:r>
          </w:p>
        </w:tc>
        <w:tc>
          <w:tcPr>
            <w:tcW w:w="1183" w:type="pct"/>
            <w:tcBorders>
              <w:tl2br w:val="nil"/>
              <w:tr2bl w:val="nil"/>
            </w:tcBorders>
            <w:vAlign w:val="center"/>
          </w:tcPr>
          <w:p>
            <w:pPr>
              <w:pStyle w:val="49"/>
              <w:overflowPunct/>
              <w:adjustRightInd/>
              <w:snapToGrid/>
              <w:spacing w:line="312" w:lineRule="exact"/>
              <w:jc w:val="center"/>
              <w:textAlignment w:val="auto"/>
              <w:rPr>
                <w:color w:val="auto"/>
              </w:rPr>
            </w:pPr>
            <w:r>
              <w:rPr>
                <w:color w:val="auto"/>
              </w:rPr>
              <w:t>企业加强对岗位人员进行技术培训，提高精细化管控水平；并按照相关规定建立台账，并保存期限不少于五年。</w:t>
            </w:r>
          </w:p>
          <w:p>
            <w:pPr>
              <w:pStyle w:val="49"/>
              <w:overflowPunct/>
              <w:adjustRightInd/>
              <w:snapToGrid/>
              <w:spacing w:line="312" w:lineRule="exact"/>
              <w:jc w:val="center"/>
              <w:textAlignment w:val="auto"/>
              <w:rPr>
                <w:color w:val="auto"/>
              </w:rPr>
            </w:pPr>
            <w:r>
              <w:rPr>
                <w:color w:val="auto"/>
              </w:rPr>
              <w:t>本项目有机废气采用</w:t>
            </w:r>
            <w:r>
              <w:rPr>
                <w:rFonts w:hint="eastAsia"/>
                <w:color w:val="auto"/>
                <w:lang w:eastAsia="zh-CN"/>
              </w:rPr>
              <w:t>碱喷淋</w:t>
            </w:r>
            <w:r>
              <w:rPr>
                <w:rFonts w:hint="eastAsia"/>
                <w:color w:val="auto"/>
              </w:rPr>
              <w:t>+</w:t>
            </w:r>
            <w:r>
              <w:rPr>
                <w:color w:val="auto"/>
              </w:rPr>
              <w:t>活性炭吸附装置进行处理，活性炭装填量为</w:t>
            </w:r>
            <w:r>
              <w:rPr>
                <w:rFonts w:hint="eastAsia"/>
                <w:color w:val="auto"/>
              </w:rPr>
              <w:t>3.8</w:t>
            </w:r>
            <w:r>
              <w:rPr>
                <w:color w:val="auto"/>
              </w:rPr>
              <w:t>t，一年更换</w:t>
            </w:r>
            <w:r>
              <w:rPr>
                <w:rFonts w:hint="eastAsia"/>
                <w:color w:val="auto"/>
              </w:rPr>
              <w:t>两</w:t>
            </w:r>
            <w:r>
              <w:rPr>
                <w:color w:val="auto"/>
              </w:rPr>
              <w:t>次，并选择碘值不低于800毫克/克的活性炭，确保对有机废气处理效率达到</w:t>
            </w:r>
            <w:r>
              <w:rPr>
                <w:rFonts w:hint="eastAsia"/>
                <w:color w:val="auto"/>
              </w:rPr>
              <w:t>80</w:t>
            </w:r>
            <w:r>
              <w:rPr>
                <w:color w:val="auto"/>
              </w:rPr>
              <w:t>%</w:t>
            </w:r>
          </w:p>
        </w:tc>
        <w:tc>
          <w:tcPr>
            <w:tcW w:w="639" w:type="pct"/>
            <w:tcBorders>
              <w:tl2br w:val="nil"/>
              <w:tr2bl w:val="nil"/>
            </w:tcBorders>
            <w:vAlign w:val="center"/>
          </w:tcPr>
          <w:p>
            <w:pPr>
              <w:pStyle w:val="49"/>
              <w:overflowPunct/>
              <w:adjustRightInd/>
              <w:snapToGrid/>
              <w:spacing w:line="312" w:lineRule="exact"/>
              <w:jc w:val="center"/>
              <w:textAlignment w:val="auto"/>
              <w:rPr>
                <w:color w:val="auto"/>
              </w:rPr>
            </w:pPr>
            <w:r>
              <w:rPr>
                <w:color w:val="auto"/>
              </w:rPr>
              <w:t>符合</w:t>
            </w:r>
          </w:p>
        </w:tc>
      </w:tr>
    </w:tbl>
    <w:p>
      <w:pPr>
        <w:ind w:firstLine="480"/>
        <w:rPr>
          <w:color w:val="auto"/>
        </w:rPr>
      </w:pPr>
    </w:p>
    <w:p>
      <w:pPr>
        <w:rPr>
          <w:color w:val="auto"/>
        </w:rPr>
      </w:pPr>
      <w:r>
        <w:rPr>
          <w:color w:val="auto"/>
        </w:rPr>
        <w:br w:type="page"/>
      </w:r>
    </w:p>
    <w:p>
      <w:pPr>
        <w:pStyle w:val="8"/>
        <w:keepNext/>
        <w:keepLines/>
        <w:pageBreakBefore w:val="0"/>
        <w:widowControl w:val="0"/>
        <w:kinsoku/>
        <w:wordWrap/>
        <w:overflowPunct/>
        <w:topLinePunct w:val="0"/>
        <w:autoSpaceDE/>
        <w:autoSpaceDN/>
        <w:bidi w:val="0"/>
        <w:adjustRightInd/>
        <w:snapToGrid/>
        <w:spacing w:before="0" w:beforeLines="0" w:after="0" w:afterLines="0" w:line="360" w:lineRule="auto"/>
        <w:textAlignment w:val="auto"/>
        <w:rPr>
          <w:color w:val="auto"/>
        </w:rPr>
      </w:pPr>
      <w:bookmarkStart w:id="486" w:name="_Toc7371"/>
      <w:bookmarkStart w:id="487" w:name="_Toc14084"/>
      <w:r>
        <w:rPr>
          <w:color w:val="auto"/>
        </w:rPr>
        <w:t>12.2 项目选址的合理性分析</w:t>
      </w:r>
      <w:bookmarkEnd w:id="486"/>
      <w:bookmarkEnd w:id="487"/>
    </w:p>
    <w:p>
      <w:pPr>
        <w:pStyle w:val="9"/>
        <w:keepNext/>
        <w:keepLines/>
        <w:pageBreakBefore w:val="0"/>
        <w:widowControl w:val="0"/>
        <w:kinsoku/>
        <w:wordWrap/>
        <w:overflowPunct/>
        <w:topLinePunct w:val="0"/>
        <w:autoSpaceDE/>
        <w:autoSpaceDN/>
        <w:bidi w:val="0"/>
        <w:adjustRightInd/>
        <w:snapToGrid/>
        <w:spacing w:before="0" w:beforeLines="0" w:after="0" w:afterLines="0" w:line="360" w:lineRule="auto"/>
        <w:textAlignment w:val="auto"/>
        <w:rPr>
          <w:color w:val="auto"/>
        </w:rPr>
      </w:pPr>
      <w:r>
        <w:rPr>
          <w:color w:val="auto"/>
        </w:rPr>
        <w:t>12.2.1土地利用规划符合性</w:t>
      </w:r>
    </w:p>
    <w:p>
      <w:pPr>
        <w:pageBreakBefore w:val="0"/>
        <w:widowControl w:val="0"/>
        <w:kinsoku/>
        <w:wordWrap/>
        <w:overflowPunct/>
        <w:topLinePunct w:val="0"/>
        <w:autoSpaceDE/>
        <w:autoSpaceDN/>
        <w:bidi w:val="0"/>
        <w:spacing w:line="440" w:lineRule="exact"/>
        <w:ind w:firstLine="480"/>
        <w:textAlignment w:val="auto"/>
        <w:rPr>
          <w:color w:val="auto"/>
        </w:rPr>
      </w:pPr>
      <w:r>
        <w:rPr>
          <w:rFonts w:hint="eastAsia"/>
          <w:color w:val="auto"/>
        </w:rPr>
        <w:t>拟建项目</w:t>
      </w:r>
      <w:r>
        <w:rPr>
          <w:color w:val="auto"/>
        </w:rPr>
        <w:t>位于</w:t>
      </w:r>
      <w:r>
        <w:rPr>
          <w:rFonts w:hint="eastAsia"/>
          <w:color w:val="auto"/>
        </w:rPr>
        <w:t>淄博市</w:t>
      </w:r>
      <w:r>
        <w:rPr>
          <w:rFonts w:hint="eastAsia"/>
          <w:color w:val="auto"/>
          <w:szCs w:val="24"/>
        </w:rPr>
        <w:t>张店区房镇镇淄博科技工业园兴园路19号，</w:t>
      </w:r>
      <w:r>
        <w:rPr>
          <w:color w:val="auto"/>
        </w:rPr>
        <w:t>根据《淄博市城市总体规划》（2011-2020），项目用地类型为工业用地，拟建项目为为C</w:t>
      </w:r>
      <w:r>
        <w:rPr>
          <w:rFonts w:hint="eastAsia"/>
          <w:color w:val="auto"/>
        </w:rPr>
        <w:t>2832生物基、淀粉基新材料制造项目</w:t>
      </w:r>
      <w:r>
        <w:rPr>
          <w:color w:val="auto"/>
        </w:rPr>
        <w:t>，属于淄博科技工业园产业定位中的</w:t>
      </w:r>
      <w:r>
        <w:rPr>
          <w:rFonts w:hint="eastAsia"/>
          <w:color w:val="auto"/>
        </w:rPr>
        <w:t>新材料类</w:t>
      </w:r>
      <w:r>
        <w:rPr>
          <w:color w:val="auto"/>
        </w:rPr>
        <w:t>，符合淄博科技工业园产业发展定位要求。因此，项目建设符合《淄博市城市总体规划》（2011-2020）和淄博科技工业园规划要求。</w:t>
      </w:r>
    </w:p>
    <w:p>
      <w:pPr>
        <w:pStyle w:val="9"/>
        <w:pageBreakBefore w:val="0"/>
        <w:widowControl w:val="0"/>
        <w:kinsoku/>
        <w:wordWrap/>
        <w:overflowPunct/>
        <w:topLinePunct w:val="0"/>
        <w:autoSpaceDE/>
        <w:autoSpaceDN/>
        <w:bidi w:val="0"/>
        <w:spacing w:before="0" w:beforeLines="0" w:after="0" w:afterLines="0" w:line="440" w:lineRule="exact"/>
        <w:textAlignment w:val="auto"/>
        <w:rPr>
          <w:color w:val="auto"/>
        </w:rPr>
      </w:pPr>
      <w:r>
        <w:rPr>
          <w:color w:val="auto"/>
        </w:rPr>
        <w:t>1</w:t>
      </w:r>
      <w:r>
        <w:rPr>
          <w:rFonts w:hint="eastAsia"/>
          <w:color w:val="auto"/>
        </w:rPr>
        <w:t>2</w:t>
      </w:r>
      <w:r>
        <w:rPr>
          <w:color w:val="auto"/>
        </w:rPr>
        <w:t>.</w:t>
      </w:r>
      <w:r>
        <w:rPr>
          <w:rFonts w:hint="eastAsia"/>
          <w:color w:val="auto"/>
        </w:rPr>
        <w:t>2</w:t>
      </w:r>
      <w:r>
        <w:rPr>
          <w:color w:val="auto"/>
        </w:rPr>
        <w:t>.</w:t>
      </w:r>
      <w:r>
        <w:rPr>
          <w:rFonts w:hint="eastAsia"/>
          <w:color w:val="auto"/>
        </w:rPr>
        <w:t>2 与</w:t>
      </w:r>
      <w:r>
        <w:rPr>
          <w:color w:val="auto"/>
        </w:rPr>
        <w:t>《淄博科技工业园环境影响跟踪评价报告书》评价结论及其审查意见（淄环审【2018】34 号符合性</w:t>
      </w:r>
      <w:r>
        <w:rPr>
          <w:rFonts w:hint="eastAsia"/>
          <w:color w:val="auto"/>
        </w:rPr>
        <w:t>分析</w:t>
      </w:r>
    </w:p>
    <w:p>
      <w:pPr>
        <w:pageBreakBefore w:val="0"/>
        <w:widowControl w:val="0"/>
        <w:kinsoku/>
        <w:wordWrap/>
        <w:overflowPunct/>
        <w:topLinePunct w:val="0"/>
        <w:autoSpaceDE/>
        <w:autoSpaceDN/>
        <w:bidi w:val="0"/>
        <w:adjustRightInd w:val="0"/>
        <w:snapToGrid w:val="0"/>
        <w:spacing w:line="440" w:lineRule="exact"/>
        <w:ind w:firstLine="482"/>
        <w:textAlignment w:val="auto"/>
        <w:rPr>
          <w:b/>
          <w:bCs/>
          <w:color w:val="auto"/>
          <w:szCs w:val="24"/>
        </w:rPr>
      </w:pPr>
      <w:r>
        <w:rPr>
          <w:b/>
          <w:bCs/>
          <w:color w:val="auto"/>
          <w:szCs w:val="24"/>
        </w:rPr>
        <w:t>1、与《淄博科技工业园环境影响跟踪评价报告书》评价结论</w:t>
      </w:r>
      <w:r>
        <w:rPr>
          <w:rFonts w:hint="eastAsia"/>
          <w:b/>
          <w:bCs/>
          <w:color w:val="auto"/>
          <w:szCs w:val="24"/>
        </w:rPr>
        <w:t>与建议</w:t>
      </w:r>
      <w:r>
        <w:rPr>
          <w:b/>
          <w:bCs/>
          <w:color w:val="auto"/>
          <w:szCs w:val="24"/>
        </w:rPr>
        <w:t>符合性分析</w:t>
      </w:r>
    </w:p>
    <w:p>
      <w:pPr>
        <w:pageBreakBefore w:val="0"/>
        <w:widowControl w:val="0"/>
        <w:kinsoku/>
        <w:wordWrap/>
        <w:overflowPunct/>
        <w:topLinePunct w:val="0"/>
        <w:autoSpaceDE/>
        <w:autoSpaceDN/>
        <w:bidi w:val="0"/>
        <w:spacing w:line="440" w:lineRule="exact"/>
        <w:ind w:firstLine="420"/>
        <w:textAlignment w:val="auto"/>
        <w:rPr>
          <w:rFonts w:eastAsia="黑体"/>
          <w:color w:val="auto"/>
          <w:sz w:val="21"/>
          <w:szCs w:val="21"/>
        </w:rPr>
      </w:pPr>
      <w:r>
        <w:rPr>
          <w:rFonts w:eastAsia="黑体"/>
          <w:color w:val="auto"/>
          <w:sz w:val="21"/>
          <w:szCs w:val="21"/>
        </w:rPr>
        <w:t>表1</w:t>
      </w:r>
      <w:r>
        <w:rPr>
          <w:rFonts w:hint="eastAsia" w:eastAsia="黑体"/>
          <w:color w:val="auto"/>
          <w:sz w:val="21"/>
          <w:szCs w:val="21"/>
        </w:rPr>
        <w:t>2</w:t>
      </w:r>
      <w:r>
        <w:rPr>
          <w:rFonts w:eastAsia="黑体"/>
          <w:color w:val="auto"/>
          <w:sz w:val="21"/>
          <w:szCs w:val="21"/>
        </w:rPr>
        <w:t>.</w:t>
      </w:r>
      <w:r>
        <w:rPr>
          <w:rFonts w:hint="eastAsia" w:eastAsia="黑体"/>
          <w:color w:val="auto"/>
          <w:sz w:val="21"/>
          <w:szCs w:val="21"/>
        </w:rPr>
        <w:t>2</w:t>
      </w:r>
      <w:r>
        <w:rPr>
          <w:rFonts w:eastAsia="黑体"/>
          <w:color w:val="auto"/>
          <w:sz w:val="21"/>
          <w:szCs w:val="21"/>
        </w:rPr>
        <w:t>-1 与《淄博科技工业园环境影响跟踪评价报告书》评价结论</w:t>
      </w:r>
      <w:r>
        <w:rPr>
          <w:rFonts w:hint="eastAsia" w:eastAsia="黑体"/>
          <w:color w:val="auto"/>
          <w:sz w:val="21"/>
          <w:szCs w:val="21"/>
        </w:rPr>
        <w:t>建议</w:t>
      </w:r>
      <w:r>
        <w:rPr>
          <w:rFonts w:eastAsia="黑体"/>
          <w:color w:val="auto"/>
          <w:sz w:val="21"/>
          <w:szCs w:val="21"/>
        </w:rPr>
        <w:t>符合性分析一览表</w:t>
      </w:r>
    </w:p>
    <w:tbl>
      <w:tblPr>
        <w:tblStyle w:val="2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014"/>
        <w:gridCol w:w="2900"/>
        <w:gridCol w:w="13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4" w:type="dxa"/>
            <w:tcBorders>
              <w:tl2br w:val="nil"/>
              <w:tr2bl w:val="nil"/>
            </w:tcBorders>
            <w:vAlign w:val="center"/>
          </w:tcPr>
          <w:p>
            <w:pPr>
              <w:pStyle w:val="70"/>
              <w:adjustRightInd w:val="0"/>
              <w:snapToGrid w:val="0"/>
              <w:spacing w:line="312" w:lineRule="exact"/>
              <w:ind w:firstLine="0" w:firstLineChars="0"/>
              <w:jc w:val="center"/>
              <w:rPr>
                <w:rFonts w:hint="default"/>
                <w:b/>
                <w:bCs/>
                <w:color w:val="auto"/>
                <w:sz w:val="21"/>
                <w:szCs w:val="21"/>
              </w:rPr>
            </w:pPr>
            <w:r>
              <w:rPr>
                <w:rFonts w:hint="default"/>
                <w:b/>
                <w:bCs/>
                <w:color w:val="auto"/>
                <w:sz w:val="21"/>
                <w:szCs w:val="21"/>
              </w:rPr>
              <w:t>结论</w:t>
            </w:r>
            <w:r>
              <w:rPr>
                <w:b/>
                <w:bCs/>
                <w:color w:val="auto"/>
                <w:sz w:val="21"/>
                <w:szCs w:val="21"/>
              </w:rPr>
              <w:t>与建议</w:t>
            </w:r>
          </w:p>
        </w:tc>
        <w:tc>
          <w:tcPr>
            <w:tcW w:w="2900" w:type="dxa"/>
            <w:tcBorders>
              <w:tl2br w:val="nil"/>
              <w:tr2bl w:val="nil"/>
            </w:tcBorders>
            <w:vAlign w:val="center"/>
          </w:tcPr>
          <w:p>
            <w:pPr>
              <w:pStyle w:val="70"/>
              <w:adjustRightInd w:val="0"/>
              <w:snapToGrid w:val="0"/>
              <w:spacing w:line="312" w:lineRule="exact"/>
              <w:ind w:firstLine="0" w:firstLineChars="0"/>
              <w:jc w:val="center"/>
              <w:rPr>
                <w:rFonts w:hint="default"/>
                <w:b/>
                <w:bCs/>
                <w:color w:val="auto"/>
                <w:sz w:val="21"/>
                <w:szCs w:val="21"/>
              </w:rPr>
            </w:pPr>
            <w:r>
              <w:rPr>
                <w:rFonts w:hint="default"/>
                <w:b/>
                <w:bCs/>
                <w:color w:val="auto"/>
                <w:sz w:val="21"/>
                <w:szCs w:val="21"/>
              </w:rPr>
              <w:t>本项目情况</w:t>
            </w:r>
          </w:p>
        </w:tc>
        <w:tc>
          <w:tcPr>
            <w:tcW w:w="1374" w:type="dxa"/>
            <w:tcBorders>
              <w:tl2br w:val="nil"/>
              <w:tr2bl w:val="nil"/>
            </w:tcBorders>
            <w:vAlign w:val="center"/>
          </w:tcPr>
          <w:p>
            <w:pPr>
              <w:pStyle w:val="70"/>
              <w:adjustRightInd w:val="0"/>
              <w:snapToGrid w:val="0"/>
              <w:spacing w:line="312" w:lineRule="exact"/>
              <w:ind w:firstLine="0" w:firstLineChars="0"/>
              <w:jc w:val="center"/>
              <w:rPr>
                <w:rFonts w:hint="default"/>
                <w:b/>
                <w:bCs/>
                <w:color w:val="auto"/>
                <w:sz w:val="21"/>
                <w:szCs w:val="21"/>
              </w:rPr>
            </w:pPr>
            <w:r>
              <w:rPr>
                <w:rFonts w:hint="default"/>
                <w:b/>
                <w:bCs/>
                <w:color w:val="auto"/>
                <w:sz w:val="21"/>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4" w:type="dxa"/>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1.工业园优化产业结构，针对工业园目前形成的机械电子行业为主，生物制药、新材料加工、外向型出口加工等行业的产业链较短且行业上、下游产品关联度较小的特点，应加大补链项目招商力度，引进生物制药、新材料加工等行业的龙头企业，注重高新技术产业的引进。</w:t>
            </w:r>
          </w:p>
          <w:p>
            <w:pPr>
              <w:pStyle w:val="2"/>
              <w:spacing w:after="0" w:line="312" w:lineRule="exact"/>
              <w:ind w:firstLine="0" w:firstLineChars="0"/>
              <w:jc w:val="center"/>
              <w:rPr>
                <w:color w:val="auto"/>
                <w:sz w:val="21"/>
                <w:szCs w:val="21"/>
              </w:rPr>
            </w:pPr>
            <w:r>
              <w:rPr>
                <w:color w:val="auto"/>
                <w:sz w:val="21"/>
                <w:szCs w:val="21"/>
              </w:rPr>
              <w:t>2.对不符合产业定位的现有企业在确保污染物达标排放基础上企业保持现状产能，禁止扩建、改建。</w:t>
            </w:r>
          </w:p>
        </w:tc>
        <w:tc>
          <w:tcPr>
            <w:tcW w:w="2900" w:type="dxa"/>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本项目为</w:t>
            </w:r>
            <w:r>
              <w:rPr>
                <w:rFonts w:hint="eastAsia"/>
                <w:color w:val="auto"/>
                <w:sz w:val="21"/>
                <w:szCs w:val="21"/>
              </w:rPr>
              <w:t>生物基、淀粉基新材料制造项目</w:t>
            </w:r>
            <w:r>
              <w:rPr>
                <w:color w:val="auto"/>
                <w:sz w:val="21"/>
                <w:szCs w:val="21"/>
              </w:rPr>
              <w:t>，</w:t>
            </w:r>
            <w:r>
              <w:rPr>
                <w:rFonts w:hint="eastAsia"/>
                <w:color w:val="auto"/>
                <w:sz w:val="21"/>
                <w:szCs w:val="21"/>
              </w:rPr>
              <w:t>属于新材料类，</w:t>
            </w:r>
            <w:r>
              <w:rPr>
                <w:color w:val="auto"/>
                <w:sz w:val="21"/>
                <w:szCs w:val="21"/>
              </w:rPr>
              <w:t>符合</w:t>
            </w:r>
            <w:r>
              <w:rPr>
                <w:rFonts w:hint="eastAsia"/>
                <w:color w:val="auto"/>
                <w:sz w:val="21"/>
                <w:szCs w:val="21"/>
              </w:rPr>
              <w:t>淄博科技工业园</w:t>
            </w:r>
            <w:r>
              <w:rPr>
                <w:color w:val="auto"/>
                <w:sz w:val="21"/>
                <w:szCs w:val="21"/>
              </w:rPr>
              <w:t>的产业定位及发展方向</w:t>
            </w:r>
          </w:p>
        </w:tc>
        <w:tc>
          <w:tcPr>
            <w:tcW w:w="1374" w:type="dxa"/>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5014" w:type="dxa"/>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1.</w:t>
            </w:r>
            <w:r>
              <w:rPr>
                <w:color w:val="auto"/>
                <w:sz w:val="21"/>
                <w:szCs w:val="21"/>
              </w:rPr>
              <w:t>园区现入园行业较多，部分行业不符合原环评中的准入</w:t>
            </w:r>
            <w:r>
              <w:rPr>
                <w:rFonts w:hint="eastAsia"/>
                <w:color w:val="auto"/>
                <w:sz w:val="21"/>
                <w:szCs w:val="21"/>
              </w:rPr>
              <w:t>要</w:t>
            </w:r>
            <w:r>
              <w:rPr>
                <w:color w:val="auto"/>
                <w:sz w:val="21"/>
                <w:szCs w:val="21"/>
              </w:rPr>
              <w:t>求。原规划环评中的主导产业为机械电子、生物制药、新材料外向型出口加工，但其中生物制药、新材料、外向型出口加二中未具体划分行业类别，园区现入园行业类别较多，工业园现有的非金属矿物制品业、印刷和记录媒介复制业、塑料制品业、纺织、服装服饰业、家具制造业、食品制造业均不符合原环评中的准入行业范围。</w:t>
            </w:r>
          </w:p>
          <w:p>
            <w:pPr>
              <w:pStyle w:val="2"/>
              <w:spacing w:after="0" w:line="312" w:lineRule="exact"/>
              <w:ind w:firstLine="0" w:firstLineChars="0"/>
              <w:jc w:val="center"/>
              <w:rPr>
                <w:color w:val="auto"/>
                <w:sz w:val="21"/>
                <w:szCs w:val="21"/>
              </w:rPr>
            </w:pPr>
            <w:r>
              <w:rPr>
                <w:rFonts w:hint="eastAsia"/>
                <w:color w:val="auto"/>
                <w:sz w:val="21"/>
                <w:szCs w:val="21"/>
              </w:rPr>
              <w:t>2.</w:t>
            </w:r>
            <w:r>
              <w:rPr>
                <w:color w:val="auto"/>
                <w:sz w:val="21"/>
                <w:szCs w:val="21"/>
              </w:rPr>
              <w:t>园区空间上亦不存在明显的产业集中分布区，不同产业混在一起。</w:t>
            </w:r>
          </w:p>
        </w:tc>
        <w:tc>
          <w:tcPr>
            <w:tcW w:w="2900" w:type="dxa"/>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本项目为</w:t>
            </w:r>
            <w:r>
              <w:rPr>
                <w:rFonts w:hint="eastAsia"/>
                <w:color w:val="auto"/>
                <w:sz w:val="21"/>
                <w:szCs w:val="21"/>
              </w:rPr>
              <w:t>生物基、淀粉基新材料制造项目</w:t>
            </w:r>
            <w:r>
              <w:rPr>
                <w:color w:val="auto"/>
                <w:sz w:val="21"/>
                <w:szCs w:val="21"/>
              </w:rPr>
              <w:t>，</w:t>
            </w:r>
            <w:r>
              <w:rPr>
                <w:rFonts w:hint="eastAsia"/>
                <w:color w:val="auto"/>
                <w:sz w:val="21"/>
                <w:szCs w:val="21"/>
              </w:rPr>
              <w:t>属于新材料类，</w:t>
            </w:r>
            <w:r>
              <w:rPr>
                <w:color w:val="auto"/>
                <w:sz w:val="21"/>
                <w:szCs w:val="21"/>
              </w:rPr>
              <w:t>符合</w:t>
            </w:r>
            <w:r>
              <w:rPr>
                <w:rFonts w:hint="eastAsia"/>
                <w:color w:val="auto"/>
                <w:sz w:val="21"/>
                <w:szCs w:val="21"/>
              </w:rPr>
              <w:t>淄博科技工业园</w:t>
            </w:r>
            <w:r>
              <w:rPr>
                <w:color w:val="auto"/>
                <w:sz w:val="21"/>
                <w:szCs w:val="21"/>
              </w:rPr>
              <w:t>的</w:t>
            </w:r>
            <w:r>
              <w:rPr>
                <w:rFonts w:hint="eastAsia"/>
                <w:color w:val="auto"/>
                <w:sz w:val="21"/>
                <w:szCs w:val="21"/>
              </w:rPr>
              <w:t>准入要求</w:t>
            </w:r>
          </w:p>
        </w:tc>
        <w:tc>
          <w:tcPr>
            <w:tcW w:w="1374" w:type="dxa"/>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4" w:type="dxa"/>
            <w:tcBorders>
              <w:tl2br w:val="nil"/>
              <w:tr2bl w:val="nil"/>
            </w:tcBorders>
            <w:vAlign w:val="center"/>
          </w:tcPr>
          <w:p>
            <w:pPr>
              <w:pStyle w:val="2"/>
              <w:spacing w:after="0" w:line="312" w:lineRule="exact"/>
              <w:ind w:firstLine="0" w:firstLineChars="0"/>
              <w:rPr>
                <w:color w:val="auto"/>
                <w:sz w:val="21"/>
                <w:szCs w:val="21"/>
              </w:rPr>
            </w:pPr>
            <w:r>
              <w:rPr>
                <w:rFonts w:hint="eastAsia"/>
                <w:color w:val="auto"/>
                <w:sz w:val="21"/>
                <w:szCs w:val="21"/>
              </w:rPr>
              <w:t>园区内部分建设用地为《淄博市城市总体规划(2011-2020年）》中未规划的建设用地，严禁开发利用。大力推行工业企业土地集约利用程度综合激励措施，加快推进土地利用方式和管理方式的转变。建议用地类型划分中一区主要为仓储物流用地和二类工业用地，二区主要为一类工业用地和居住用地，三区主要为二类工业用地，四区为居住用地、一类工业用地和二类工业用地。工业园内居民区1km内，基本农田1.5km内设为一类工业用地，企业与村庄之间设置绿化保护带。</w:t>
            </w:r>
          </w:p>
        </w:tc>
        <w:tc>
          <w:tcPr>
            <w:tcW w:w="2900" w:type="dxa"/>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本项目属于《淄博市城市总体规划(2011-2020年）》中规划的建设用地</w:t>
            </w:r>
          </w:p>
        </w:tc>
        <w:tc>
          <w:tcPr>
            <w:tcW w:w="1374" w:type="dxa"/>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4" w:type="dxa"/>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进一步控制排放苯系物等特征污染物项目的引进，并加强对现有排放苯系物等特征污染物企业的升级改造工作，提高喷漆原料的清洁性井加强污染控制措施，严控排放VOCs的企业进驻。</w:t>
            </w:r>
          </w:p>
        </w:tc>
        <w:tc>
          <w:tcPr>
            <w:tcW w:w="2900" w:type="dxa"/>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本项目不涉及苯系物的排放，不涉及喷漆</w:t>
            </w:r>
          </w:p>
        </w:tc>
        <w:tc>
          <w:tcPr>
            <w:tcW w:w="1374" w:type="dxa"/>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4" w:type="dxa"/>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各企业按照环评要求进一步落实废水与废气处理设施。对污染防治和风险防范措施建设不到位的企业，进行先期停产治理或责令关闭。对现有污染物排放大户进行产业升级，优化生产工艺及污控措施，削减污染物排放量。同时工业园应适当控制含特征污染物项目的引进，提高准入门槛。</w:t>
            </w:r>
          </w:p>
        </w:tc>
        <w:tc>
          <w:tcPr>
            <w:tcW w:w="2900" w:type="dxa"/>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本环评报告要求企业严格落实各污染物处理措施</w:t>
            </w:r>
          </w:p>
        </w:tc>
        <w:tc>
          <w:tcPr>
            <w:tcW w:w="1374" w:type="dxa"/>
            <w:tcBorders>
              <w:tl2br w:val="nil"/>
              <w:tr2bl w:val="nil"/>
            </w:tcBorders>
            <w:vAlign w:val="center"/>
          </w:tcPr>
          <w:p>
            <w:pPr>
              <w:pStyle w:val="2"/>
              <w:spacing w:after="0" w:line="312" w:lineRule="exact"/>
              <w:ind w:firstLine="0" w:firstLineChars="0"/>
              <w:jc w:val="center"/>
              <w:rPr>
                <w:color w:val="auto"/>
                <w:sz w:val="21"/>
                <w:szCs w:val="21"/>
              </w:rPr>
            </w:pPr>
            <w:r>
              <w:rPr>
                <w:rFonts w:hint="eastAsia"/>
                <w:color w:val="auto"/>
                <w:sz w:val="21"/>
                <w:szCs w:val="21"/>
              </w:rPr>
              <w:t>符合</w:t>
            </w:r>
          </w:p>
        </w:tc>
      </w:tr>
    </w:tbl>
    <w:p>
      <w:pPr>
        <w:keepNext w:val="0"/>
        <w:keepLines w:val="0"/>
        <w:pageBreakBefore w:val="0"/>
        <w:widowControl w:val="0"/>
        <w:kinsoku/>
        <w:wordWrap/>
        <w:overflowPunct/>
        <w:topLinePunct w:val="0"/>
        <w:autoSpaceDE/>
        <w:autoSpaceDN/>
        <w:bidi w:val="0"/>
        <w:adjustRightInd w:val="0"/>
        <w:snapToGrid w:val="0"/>
        <w:ind w:firstLine="482"/>
        <w:textAlignment w:val="auto"/>
        <w:rPr>
          <w:b/>
          <w:bCs/>
          <w:color w:val="auto"/>
          <w:szCs w:val="24"/>
        </w:rPr>
      </w:pPr>
      <w:r>
        <w:rPr>
          <w:rFonts w:hint="eastAsia"/>
          <w:b/>
          <w:bCs/>
          <w:color w:val="auto"/>
          <w:szCs w:val="24"/>
        </w:rPr>
        <w:t>2</w:t>
      </w:r>
      <w:r>
        <w:rPr>
          <w:b/>
          <w:bCs/>
          <w:color w:val="auto"/>
          <w:szCs w:val="24"/>
        </w:rPr>
        <w:t>、与《淄博科技工业园环境影响跟踪评价报告书》</w:t>
      </w:r>
      <w:r>
        <w:rPr>
          <w:rFonts w:hint="eastAsia"/>
          <w:b/>
          <w:bCs/>
          <w:color w:val="auto"/>
          <w:szCs w:val="24"/>
        </w:rPr>
        <w:t>审查意见（淄环审【2018】34号）</w:t>
      </w:r>
      <w:r>
        <w:rPr>
          <w:b/>
          <w:bCs/>
          <w:color w:val="auto"/>
          <w:szCs w:val="24"/>
        </w:rPr>
        <w:t>符合性分析</w:t>
      </w:r>
    </w:p>
    <w:p>
      <w:pPr>
        <w:keepNext w:val="0"/>
        <w:keepLines w:val="0"/>
        <w:pageBreakBefore w:val="0"/>
        <w:widowControl w:val="0"/>
        <w:kinsoku/>
        <w:wordWrap/>
        <w:overflowPunct/>
        <w:topLinePunct w:val="0"/>
        <w:autoSpaceDE/>
        <w:autoSpaceDN/>
        <w:bidi w:val="0"/>
        <w:ind w:firstLine="0" w:firstLineChars="0"/>
        <w:jc w:val="center"/>
        <w:textAlignment w:val="auto"/>
        <w:rPr>
          <w:rFonts w:eastAsia="黑体"/>
          <w:color w:val="auto"/>
          <w:sz w:val="21"/>
          <w:szCs w:val="21"/>
        </w:rPr>
      </w:pPr>
      <w:r>
        <w:rPr>
          <w:rFonts w:eastAsia="黑体"/>
          <w:color w:val="auto"/>
          <w:sz w:val="21"/>
          <w:szCs w:val="21"/>
        </w:rPr>
        <w:t>表1</w:t>
      </w:r>
      <w:r>
        <w:rPr>
          <w:rFonts w:hint="eastAsia" w:eastAsia="黑体"/>
          <w:color w:val="auto"/>
          <w:sz w:val="21"/>
          <w:szCs w:val="21"/>
        </w:rPr>
        <w:t>2</w:t>
      </w:r>
      <w:r>
        <w:rPr>
          <w:rFonts w:eastAsia="黑体"/>
          <w:color w:val="auto"/>
          <w:sz w:val="21"/>
          <w:szCs w:val="21"/>
        </w:rPr>
        <w:t>.</w:t>
      </w:r>
      <w:r>
        <w:rPr>
          <w:rFonts w:hint="eastAsia" w:eastAsia="黑体"/>
          <w:color w:val="auto"/>
          <w:sz w:val="21"/>
          <w:szCs w:val="21"/>
        </w:rPr>
        <w:t>2</w:t>
      </w:r>
      <w:r>
        <w:rPr>
          <w:rFonts w:eastAsia="黑体"/>
          <w:color w:val="auto"/>
          <w:sz w:val="21"/>
          <w:szCs w:val="21"/>
        </w:rPr>
        <w:t>-</w:t>
      </w:r>
      <w:r>
        <w:rPr>
          <w:rFonts w:hint="eastAsia" w:eastAsia="黑体"/>
          <w:color w:val="auto"/>
          <w:sz w:val="21"/>
          <w:szCs w:val="21"/>
        </w:rPr>
        <w:t>2</w:t>
      </w:r>
      <w:r>
        <w:rPr>
          <w:rFonts w:eastAsia="黑体"/>
          <w:color w:val="auto"/>
          <w:sz w:val="21"/>
          <w:szCs w:val="21"/>
        </w:rPr>
        <w:t xml:space="preserve"> 与</w:t>
      </w:r>
      <w:r>
        <w:rPr>
          <w:rFonts w:hint="eastAsia" w:eastAsia="黑体"/>
          <w:color w:val="auto"/>
          <w:sz w:val="21"/>
          <w:szCs w:val="21"/>
        </w:rPr>
        <w:t>淄环审【2018】34号</w:t>
      </w:r>
      <w:r>
        <w:rPr>
          <w:rFonts w:eastAsia="黑体"/>
          <w:color w:val="auto"/>
          <w:sz w:val="21"/>
          <w:szCs w:val="21"/>
        </w:rPr>
        <w:t>符合性分析一览表</w:t>
      </w:r>
    </w:p>
    <w:tbl>
      <w:tblPr>
        <w:tblStyle w:val="23"/>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89"/>
        <w:gridCol w:w="4394"/>
        <w:gridCol w:w="2337"/>
        <w:gridCol w:w="13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583" w:type="dxa"/>
            <w:gridSpan w:val="2"/>
            <w:tcBorders>
              <w:tl2br w:val="nil"/>
              <w:tr2bl w:val="nil"/>
            </w:tcBorders>
            <w:vAlign w:val="center"/>
          </w:tcPr>
          <w:p>
            <w:pPr>
              <w:pStyle w:val="70"/>
              <w:adjustRightInd w:val="0"/>
              <w:snapToGrid w:val="0"/>
              <w:spacing w:line="312" w:lineRule="exact"/>
              <w:ind w:firstLine="0" w:firstLineChars="0"/>
              <w:jc w:val="center"/>
              <w:rPr>
                <w:rFonts w:hint="default"/>
                <w:color w:val="auto"/>
                <w:sz w:val="21"/>
                <w:szCs w:val="21"/>
              </w:rPr>
            </w:pPr>
            <w:r>
              <w:rPr>
                <w:rFonts w:hint="default"/>
                <w:b/>
                <w:bCs/>
                <w:color w:val="auto"/>
                <w:sz w:val="21"/>
                <w:szCs w:val="21"/>
              </w:rPr>
              <w:t>审查意见</w:t>
            </w:r>
          </w:p>
        </w:tc>
        <w:tc>
          <w:tcPr>
            <w:tcW w:w="2337" w:type="dxa"/>
            <w:tcBorders>
              <w:tl2br w:val="nil"/>
              <w:tr2bl w:val="nil"/>
            </w:tcBorders>
            <w:vAlign w:val="center"/>
          </w:tcPr>
          <w:p>
            <w:pPr>
              <w:pStyle w:val="70"/>
              <w:adjustRightInd w:val="0"/>
              <w:snapToGrid w:val="0"/>
              <w:spacing w:line="312" w:lineRule="exact"/>
              <w:ind w:firstLine="0" w:firstLineChars="0"/>
              <w:jc w:val="center"/>
              <w:rPr>
                <w:rFonts w:hint="default"/>
                <w:color w:val="auto"/>
                <w:sz w:val="21"/>
                <w:szCs w:val="21"/>
              </w:rPr>
            </w:pPr>
            <w:r>
              <w:rPr>
                <w:rFonts w:hint="default"/>
                <w:b/>
                <w:bCs/>
                <w:color w:val="auto"/>
                <w:sz w:val="21"/>
                <w:szCs w:val="21"/>
              </w:rPr>
              <w:t>本项目情况</w:t>
            </w:r>
          </w:p>
        </w:tc>
        <w:tc>
          <w:tcPr>
            <w:tcW w:w="1368" w:type="dxa"/>
            <w:tcBorders>
              <w:tl2br w:val="nil"/>
              <w:tr2bl w:val="nil"/>
            </w:tcBorders>
            <w:vAlign w:val="center"/>
          </w:tcPr>
          <w:p>
            <w:pPr>
              <w:pStyle w:val="70"/>
              <w:adjustRightInd w:val="0"/>
              <w:snapToGrid w:val="0"/>
              <w:spacing w:line="312" w:lineRule="exact"/>
              <w:ind w:firstLine="0" w:firstLineChars="0"/>
              <w:jc w:val="center"/>
              <w:rPr>
                <w:rFonts w:hint="default"/>
                <w:color w:val="auto"/>
                <w:sz w:val="21"/>
                <w:szCs w:val="21"/>
              </w:rPr>
            </w:pPr>
            <w:r>
              <w:rPr>
                <w:rFonts w:hint="default"/>
                <w:b/>
                <w:bCs/>
                <w:color w:val="auto"/>
                <w:sz w:val="21"/>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9" w:type="dxa"/>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评价范围</w:t>
            </w:r>
          </w:p>
        </w:tc>
        <w:tc>
          <w:tcPr>
            <w:tcW w:w="4394" w:type="dxa"/>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淄博科技工业园位于淄博市张店城区西北部，规划范围为济青高速路以北、张田路西侧，东邻高新区、西临桓台县周家镇、北依桓台县、高新区、南靠济青高速公路。东西长约3公里，南北宽约2.4公里，规划面积7.35平方公里，其中规划建设用地6.599平方公里。</w:t>
            </w:r>
          </w:p>
        </w:tc>
        <w:tc>
          <w:tcPr>
            <w:tcW w:w="2337" w:type="dxa"/>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本项目位于淄博市张店区房镇镇淄博科技工业园兴园路19号</w:t>
            </w:r>
          </w:p>
        </w:tc>
        <w:tc>
          <w:tcPr>
            <w:tcW w:w="1368" w:type="dxa"/>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9" w:type="dxa"/>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产业定位</w:t>
            </w:r>
          </w:p>
        </w:tc>
        <w:tc>
          <w:tcPr>
            <w:tcW w:w="4394" w:type="dxa"/>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园区产业发展定位主要为机械电子、生物制药、新材料、外向型出品加工为主的高新技术产业。</w:t>
            </w:r>
          </w:p>
        </w:tc>
        <w:tc>
          <w:tcPr>
            <w:tcW w:w="2337" w:type="dxa"/>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本项目为生物基、淀粉基新材料制造项目，属于新材料类，符合淄博科技工业园的产业定位</w:t>
            </w:r>
          </w:p>
        </w:tc>
        <w:tc>
          <w:tcPr>
            <w:tcW w:w="1368" w:type="dxa"/>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9" w:type="dxa"/>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环境可行性</w:t>
            </w:r>
          </w:p>
        </w:tc>
        <w:tc>
          <w:tcPr>
            <w:tcW w:w="4394" w:type="dxa"/>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淄博科技工业园规划建设用地部分不符合《淄博市城市总体规划(2011-2020)年-张店城区用地规划图》规划建设用地范围，严禁对此部分开发利用。根据现状，园区产业布局较为混乱、工业园区管理水平有待提高、入园企业清洁生产率不高，环境风险防范与应急预案尚未建立。根据原环评中总量控制指标，现状SO</w:t>
            </w:r>
            <w:r>
              <w:rPr>
                <w:color w:val="auto"/>
                <w:sz w:val="21"/>
                <w:szCs w:val="21"/>
                <w:vertAlign w:val="subscript"/>
              </w:rPr>
              <w:t>2</w:t>
            </w:r>
            <w:r>
              <w:rPr>
                <w:color w:val="auto"/>
                <w:sz w:val="21"/>
                <w:szCs w:val="21"/>
              </w:rPr>
              <w:t>、 烟尘、COD、氨氮均有剩余容量。园区在贯彻循环经济理念，进一步合理引进生产企业，落实节能减排任务，进一步完善淄博科技工业园基础设施建设，落实生态建设要求，强化环境管理体制和环境风险防范措施，加快落实工业热源，保障污水处理等基础设施的基础上，从环境影响角度分析，其开发建设方可行。</w:t>
            </w:r>
          </w:p>
        </w:tc>
        <w:tc>
          <w:tcPr>
            <w:tcW w:w="2337" w:type="dxa"/>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本项目本项目位于淄博市张店区房镇镇淄博科技工业园兴园路19号，符合《淄博市城市总体规划(2011-2020)年-张店城区用地规划图》规划建设用地范围，本项目挥发性有机物、SO</w:t>
            </w:r>
            <w:r>
              <w:rPr>
                <w:color w:val="auto"/>
                <w:sz w:val="21"/>
                <w:szCs w:val="21"/>
                <w:vertAlign w:val="subscript"/>
              </w:rPr>
              <w:t>2</w:t>
            </w:r>
            <w:r>
              <w:rPr>
                <w:color w:val="auto"/>
                <w:sz w:val="21"/>
                <w:szCs w:val="21"/>
              </w:rPr>
              <w:t>、颗粒物、氮氧化物、COD、氨氮均执行总量控制及倍量替代</w:t>
            </w:r>
          </w:p>
        </w:tc>
        <w:tc>
          <w:tcPr>
            <w:tcW w:w="1368" w:type="dxa"/>
            <w:tcBorders>
              <w:tl2br w:val="nil"/>
              <w:tr2bl w:val="nil"/>
            </w:tcBorders>
            <w:vAlign w:val="center"/>
          </w:tcPr>
          <w:p>
            <w:pPr>
              <w:pStyle w:val="2"/>
              <w:spacing w:after="0" w:line="312" w:lineRule="exact"/>
              <w:ind w:firstLine="0" w:firstLineChars="0"/>
              <w:jc w:val="center"/>
              <w:rPr>
                <w:color w:val="auto"/>
                <w:sz w:val="21"/>
                <w:szCs w:val="21"/>
              </w:rPr>
            </w:pPr>
            <w:r>
              <w:rPr>
                <w:color w:val="auto"/>
                <w:sz w:val="21"/>
                <w:szCs w:val="21"/>
              </w:rPr>
              <w:t>符合</w:t>
            </w:r>
          </w:p>
        </w:tc>
      </w:tr>
    </w:tbl>
    <w:p>
      <w:pPr>
        <w:pStyle w:val="9"/>
        <w:spacing w:before="156" w:after="156" w:line="360" w:lineRule="auto"/>
        <w:rPr>
          <w:color w:val="auto"/>
        </w:rPr>
        <w:sectPr>
          <w:headerReference r:id="rId49" w:type="default"/>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pPr>
        <w:spacing w:line="240" w:lineRule="auto"/>
        <w:ind w:left="0" w:leftChars="0" w:firstLine="0" w:firstLineChars="0"/>
        <w:jc w:val="center"/>
        <w:rPr>
          <w:color w:val="auto"/>
          <w:sz w:val="21"/>
        </w:rPr>
      </w:pPr>
      <w:r>
        <w:rPr>
          <w:color w:val="auto"/>
          <w:sz w:val="24"/>
        </w:rPr>
        <mc:AlternateContent>
          <mc:Choice Requires="wps">
            <w:drawing>
              <wp:anchor distT="0" distB="0" distL="114300" distR="114300" simplePos="0" relativeHeight="251799552" behindDoc="0" locked="0" layoutInCell="1" allowOverlap="1">
                <wp:simplePos x="0" y="0"/>
                <wp:positionH relativeFrom="column">
                  <wp:posOffset>5518150</wp:posOffset>
                </wp:positionH>
                <wp:positionV relativeFrom="paragraph">
                  <wp:posOffset>3703320</wp:posOffset>
                </wp:positionV>
                <wp:extent cx="904875" cy="372110"/>
                <wp:effectExtent l="6350" t="6350" r="22225" b="193040"/>
                <wp:wrapNone/>
                <wp:docPr id="202" name="矩形标注 202"/>
                <wp:cNvGraphicFramePr/>
                <a:graphic xmlns:a="http://schemas.openxmlformats.org/drawingml/2006/main">
                  <a:graphicData uri="http://schemas.microsoft.com/office/word/2010/wordprocessingShape">
                    <wps:wsp>
                      <wps:cNvSpPr/>
                      <wps:spPr>
                        <a:xfrm>
                          <a:off x="0" y="0"/>
                          <a:ext cx="904875" cy="372110"/>
                        </a:xfrm>
                        <a:prstGeom prst="wedgeRectCallout">
                          <a:avLst>
                            <a:gd name="adj1" fmla="val -39445"/>
                            <a:gd name="adj2" fmla="val 95261"/>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left="0" w:leftChars="0" w:firstLine="0" w:firstLineChars="0"/>
                              <w:jc w:val="both"/>
                              <w:rPr>
                                <w:rFonts w:hint="default" w:eastAsia="宋体"/>
                                <w:color w:val="FF0000"/>
                                <w:lang w:val="en-US" w:eastAsia="zh-CN"/>
                              </w:rPr>
                            </w:pPr>
                            <w:r>
                              <w:rPr>
                                <w:rFonts w:hint="eastAsia"/>
                                <w:color w:val="FF0000"/>
                                <w:sz w:val="21"/>
                                <w:szCs w:val="21"/>
                                <w:lang w:val="en-US" w:eastAsia="zh-CN"/>
                              </w:rPr>
                              <w:t>本项目</w:t>
                            </w:r>
                            <w:r>
                              <w:rPr>
                                <w:rFonts w:hint="eastAsia" w:ascii="Times New Roman" w:hAnsi="Times New Roman" w:eastAsia="宋体" w:cs="Times New Roman"/>
                                <w:color w:val="FF0000"/>
                                <w:sz w:val="21"/>
                                <w:szCs w:val="21"/>
                                <w:lang w:val="en-US" w:eastAsia="zh-CN"/>
                              </w:rPr>
                              <w:t>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34.5pt;margin-top:291.6pt;height:29.3pt;width:71.25pt;z-index:251799552;v-text-anchor:middle;mso-width-relative:page;mso-height-relative:page;" filled="f" stroked="t" coordsize="21600,21600" o:gfxdata="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L19Wh2QAAAAwBAAAPAAAAAAAAAAEAIAAAACIAAABkcnMv&#10;ZG93bnJldi54bWxQSwECFAAUAAAACACHTuJAwooAPq0CAAA9BQAADgAAAAAAAAABACAAAAAoAQAA&#10;ZHJzL2Uyb0RvYy54bWxQSwUGAAAAAAYABgBZAQAARwYAAAAA&#10;" adj="2280,31376">
                <v:fill on="f" focussize="0,0"/>
                <v:stroke weight="1pt" color="#0070C0 [3204]" miterlimit="8" joinstyle="miter"/>
                <v:imagedata o:title=""/>
                <o:lock v:ext="edit" aspectratio="f"/>
                <v:textbox>
                  <w:txbxContent>
                    <w:p>
                      <w:pPr>
                        <w:ind w:left="0" w:leftChars="0" w:firstLine="0" w:firstLineChars="0"/>
                        <w:jc w:val="both"/>
                        <w:rPr>
                          <w:rFonts w:hint="default" w:eastAsia="宋体"/>
                          <w:color w:val="FF0000"/>
                          <w:lang w:val="en-US" w:eastAsia="zh-CN"/>
                        </w:rPr>
                      </w:pPr>
                      <w:r>
                        <w:rPr>
                          <w:rFonts w:hint="eastAsia"/>
                          <w:color w:val="FF0000"/>
                          <w:sz w:val="21"/>
                          <w:szCs w:val="21"/>
                          <w:lang w:val="en-US" w:eastAsia="zh-CN"/>
                        </w:rPr>
                        <w:t>本项目</w:t>
                      </w:r>
                      <w:r>
                        <w:rPr>
                          <w:rFonts w:hint="eastAsia" w:ascii="Times New Roman" w:hAnsi="Times New Roman" w:eastAsia="宋体" w:cs="Times New Roman"/>
                          <w:color w:val="FF0000"/>
                          <w:sz w:val="21"/>
                          <w:szCs w:val="21"/>
                          <w:lang w:val="en-US" w:eastAsia="zh-CN"/>
                        </w:rPr>
                        <w:t>位置</w:t>
                      </w:r>
                    </w:p>
                  </w:txbxContent>
                </v:textbox>
              </v:shape>
            </w:pict>
          </mc:Fallback>
        </mc:AlternateContent>
      </w:r>
      <w:r>
        <w:rPr>
          <w:color w:val="auto"/>
          <w:sz w:val="24"/>
        </w:rPr>
        <mc:AlternateContent>
          <mc:Choice Requires="wps">
            <w:drawing>
              <wp:anchor distT="0" distB="0" distL="114300" distR="114300" simplePos="0" relativeHeight="251798528" behindDoc="0" locked="0" layoutInCell="1" allowOverlap="1">
                <wp:simplePos x="0" y="0"/>
                <wp:positionH relativeFrom="column">
                  <wp:posOffset>5518785</wp:posOffset>
                </wp:positionH>
                <wp:positionV relativeFrom="paragraph">
                  <wp:posOffset>4257675</wp:posOffset>
                </wp:positionV>
                <wp:extent cx="127000" cy="87630"/>
                <wp:effectExtent l="11430" t="7620" r="13970" b="19050"/>
                <wp:wrapNone/>
                <wp:docPr id="201" name="流程图: 决策 201"/>
                <wp:cNvGraphicFramePr/>
                <a:graphic xmlns:a="http://schemas.openxmlformats.org/drawingml/2006/main">
                  <a:graphicData uri="http://schemas.microsoft.com/office/word/2010/wordprocessingShape">
                    <wps:wsp>
                      <wps:cNvSpPr/>
                      <wps:spPr>
                        <a:xfrm>
                          <a:off x="0" y="0"/>
                          <a:ext cx="127000" cy="87630"/>
                        </a:xfrm>
                        <a:prstGeom prst="flowChartDecision">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10" type="#_x0000_t110" style="position:absolute;left:0pt;margin-left:434.55pt;margin-top:335.25pt;height:6.9pt;width:10pt;z-index:251798528;v-text-anchor:middle;mso-width-relative:page;mso-height-relative:page;" filled="f" stroked="t" coordsize="21600,21600" o:gfxdata="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ooxfF9cAAAALAQAADwAAAAAAAAABACAAAAAi&#10;AAAAZHJzL2Rvd25yZXYueG1sUEsBAhQAFAAAAAgAh07iQPCFQ5p9AgAA5QQAAA4AAAAAAAAAAQAg&#10;AAAAJgEAAGRycy9lMm9Eb2MueG1sUEsFBgAAAAAGAAYAWQEAABUGAAAAAA==&#10;">
                <v:fill on="f" focussize="0,0"/>
                <v:stroke weight="1pt" color="#FF0000 [3204]" miterlimit="8" joinstyle="miter"/>
                <v:imagedata o:title=""/>
                <o:lock v:ext="edit" aspectratio="f"/>
              </v:shape>
            </w:pict>
          </mc:Fallback>
        </mc:AlternateContent>
      </w:r>
      <w:r>
        <w:rPr>
          <w:color w:val="auto"/>
          <w:sz w:val="21"/>
        </w:rPr>
        <w:drawing>
          <wp:inline distT="0" distB="0" distL="114300" distR="114300">
            <wp:extent cx="7289800" cy="5099050"/>
            <wp:effectExtent l="0" t="0" r="6350" b="6350"/>
            <wp:docPr id="198" name="图片 6" descr="土地利用原图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6" descr="土地利用原图12"/>
                    <pic:cNvPicPr>
                      <a:picLocks noChangeAspect="1"/>
                    </pic:cNvPicPr>
                  </pic:nvPicPr>
                  <pic:blipFill>
                    <a:blip r:embed="rId153"/>
                    <a:stretch>
                      <a:fillRect/>
                    </a:stretch>
                  </pic:blipFill>
                  <pic:spPr>
                    <a:xfrm>
                      <a:off x="0" y="0"/>
                      <a:ext cx="7289800" cy="5099050"/>
                    </a:xfrm>
                    <a:prstGeom prst="rect">
                      <a:avLst/>
                    </a:prstGeom>
                    <a:noFill/>
                    <a:ln>
                      <a:noFill/>
                    </a:ln>
                  </pic:spPr>
                </pic:pic>
              </a:graphicData>
            </a:graphic>
          </wp:inline>
        </w:drawing>
      </w:r>
    </w:p>
    <w:p>
      <w:pPr>
        <w:spacing w:line="240" w:lineRule="auto"/>
        <w:ind w:left="0" w:leftChars="0" w:firstLine="0" w:firstLineChars="0"/>
        <w:jc w:val="center"/>
        <w:rPr>
          <w:rFonts w:hint="default"/>
          <w:color w:val="auto"/>
          <w:sz w:val="21"/>
          <w:lang w:val="en-US"/>
        </w:rPr>
      </w:pPr>
      <w:r>
        <w:rPr>
          <w:rFonts w:hint="default" w:ascii="Times New Roman" w:hAnsi="Times New Roman" w:eastAsia="黑体" w:cs="Times New Roman"/>
          <w:color w:val="auto"/>
          <w:sz w:val="21"/>
          <w:szCs w:val="21"/>
          <w:lang w:val="en-US" w:eastAsia="zh-CN"/>
        </w:rPr>
        <w:t>图12.2-1 淄博科技工业园</w:t>
      </w:r>
      <w:r>
        <w:rPr>
          <w:rFonts w:hint="eastAsia" w:ascii="Times New Roman" w:hAnsi="Times New Roman" w:eastAsia="黑体" w:cs="Times New Roman"/>
          <w:color w:val="auto"/>
          <w:sz w:val="21"/>
          <w:szCs w:val="21"/>
          <w:lang w:val="en-US" w:eastAsia="zh-CN"/>
        </w:rPr>
        <w:t>规划总体布局图</w:t>
      </w:r>
    </w:p>
    <w:p>
      <w:pPr>
        <w:spacing w:line="240" w:lineRule="auto"/>
        <w:ind w:left="0" w:leftChars="0" w:firstLine="0" w:firstLineChars="0"/>
        <w:jc w:val="center"/>
        <w:rPr>
          <w:color w:val="auto"/>
        </w:rPr>
      </w:pPr>
      <w:r>
        <w:rPr>
          <w:color w:val="auto"/>
          <w:sz w:val="24"/>
        </w:rPr>
        <mc:AlternateContent>
          <mc:Choice Requires="wps">
            <w:drawing>
              <wp:anchor distT="0" distB="0" distL="114300" distR="114300" simplePos="0" relativeHeight="251797504" behindDoc="0" locked="0" layoutInCell="1" allowOverlap="1">
                <wp:simplePos x="0" y="0"/>
                <wp:positionH relativeFrom="column">
                  <wp:posOffset>4812030</wp:posOffset>
                </wp:positionH>
                <wp:positionV relativeFrom="paragraph">
                  <wp:posOffset>3362325</wp:posOffset>
                </wp:positionV>
                <wp:extent cx="904875" cy="372110"/>
                <wp:effectExtent l="6350" t="6350" r="22225" b="193040"/>
                <wp:wrapNone/>
                <wp:docPr id="193" name="矩形标注 193"/>
                <wp:cNvGraphicFramePr/>
                <a:graphic xmlns:a="http://schemas.openxmlformats.org/drawingml/2006/main">
                  <a:graphicData uri="http://schemas.microsoft.com/office/word/2010/wordprocessingShape">
                    <wps:wsp>
                      <wps:cNvSpPr/>
                      <wps:spPr>
                        <a:xfrm>
                          <a:off x="5711825" y="4245610"/>
                          <a:ext cx="904875" cy="372110"/>
                        </a:xfrm>
                        <a:prstGeom prst="wedgeRectCallout">
                          <a:avLst>
                            <a:gd name="adj1" fmla="val -39445"/>
                            <a:gd name="adj2" fmla="val 95261"/>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left="0" w:leftChars="0" w:firstLine="0" w:firstLineChars="0"/>
                              <w:jc w:val="both"/>
                              <w:rPr>
                                <w:rFonts w:hint="default" w:eastAsia="宋体"/>
                                <w:color w:val="FF0000"/>
                                <w:lang w:val="en-US" w:eastAsia="zh-CN"/>
                              </w:rPr>
                            </w:pPr>
                            <w:r>
                              <w:rPr>
                                <w:rFonts w:hint="eastAsia"/>
                                <w:color w:val="FF0000"/>
                                <w:sz w:val="21"/>
                                <w:szCs w:val="21"/>
                                <w:lang w:val="en-US" w:eastAsia="zh-CN"/>
                              </w:rPr>
                              <w:t>本项目</w:t>
                            </w:r>
                            <w:r>
                              <w:rPr>
                                <w:rFonts w:hint="eastAsia" w:ascii="Times New Roman" w:hAnsi="Times New Roman" w:eastAsia="宋体" w:cs="Times New Roman"/>
                                <w:color w:val="FF0000"/>
                                <w:sz w:val="21"/>
                                <w:szCs w:val="21"/>
                                <w:lang w:val="en-US" w:eastAsia="zh-CN"/>
                              </w:rPr>
                              <w:t>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78.9pt;margin-top:264.75pt;height:29.3pt;width:71.25pt;z-index:251797504;v-text-anchor:middle;mso-width-relative:page;mso-height-relative:page;" filled="f" stroked="t" coordsize="21600,21600" o:gfxdata="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BCLEnzYAAAACwEAAA8AAAAAAAAAAQAg&#10;AAAAIgAAAGRycy9kb3ducmV2LnhtbFBLAQIUABQAAAAIAIdO4kAb5rsJuQIAAEkFAAAOAAAAAAAA&#10;AAEAIAAAACcBAABkcnMvZTJvRG9jLnhtbFBLBQYAAAAABgAGAFkBAABSBgAAAAA=&#10;" adj="2280,31376">
                <v:fill on="f" focussize="0,0"/>
                <v:stroke weight="1pt" color="#0070C0 [3204]" miterlimit="8" joinstyle="miter"/>
                <v:imagedata o:title=""/>
                <o:lock v:ext="edit" aspectratio="f"/>
                <v:textbox>
                  <w:txbxContent>
                    <w:p>
                      <w:pPr>
                        <w:ind w:left="0" w:leftChars="0" w:firstLine="0" w:firstLineChars="0"/>
                        <w:jc w:val="both"/>
                        <w:rPr>
                          <w:rFonts w:hint="default" w:eastAsia="宋体"/>
                          <w:color w:val="FF0000"/>
                          <w:lang w:val="en-US" w:eastAsia="zh-CN"/>
                        </w:rPr>
                      </w:pPr>
                      <w:r>
                        <w:rPr>
                          <w:rFonts w:hint="eastAsia"/>
                          <w:color w:val="FF0000"/>
                          <w:sz w:val="21"/>
                          <w:szCs w:val="21"/>
                          <w:lang w:val="en-US" w:eastAsia="zh-CN"/>
                        </w:rPr>
                        <w:t>本项目</w:t>
                      </w:r>
                      <w:r>
                        <w:rPr>
                          <w:rFonts w:hint="eastAsia" w:ascii="Times New Roman" w:hAnsi="Times New Roman" w:eastAsia="宋体" w:cs="Times New Roman"/>
                          <w:color w:val="FF0000"/>
                          <w:sz w:val="21"/>
                          <w:szCs w:val="21"/>
                          <w:lang w:val="en-US" w:eastAsia="zh-CN"/>
                        </w:rPr>
                        <w:t>位置</w:t>
                      </w:r>
                    </w:p>
                  </w:txbxContent>
                </v:textbox>
              </v:shape>
            </w:pict>
          </mc:Fallback>
        </mc:AlternateContent>
      </w:r>
      <w:r>
        <w:rPr>
          <w:color w:val="auto"/>
          <w:sz w:val="24"/>
        </w:rPr>
        <mc:AlternateContent>
          <mc:Choice Requires="wps">
            <w:drawing>
              <wp:anchor distT="0" distB="0" distL="114300" distR="114300" simplePos="0" relativeHeight="251796480" behindDoc="0" locked="0" layoutInCell="1" allowOverlap="1">
                <wp:simplePos x="0" y="0"/>
                <wp:positionH relativeFrom="column">
                  <wp:posOffset>4796155</wp:posOffset>
                </wp:positionH>
                <wp:positionV relativeFrom="paragraph">
                  <wp:posOffset>3931920</wp:posOffset>
                </wp:positionV>
                <wp:extent cx="127000" cy="87630"/>
                <wp:effectExtent l="11430" t="7620" r="13970" b="19050"/>
                <wp:wrapNone/>
                <wp:docPr id="151" name="流程图: 决策 151"/>
                <wp:cNvGraphicFramePr/>
                <a:graphic xmlns:a="http://schemas.openxmlformats.org/drawingml/2006/main">
                  <a:graphicData uri="http://schemas.microsoft.com/office/word/2010/wordprocessingShape">
                    <wps:wsp>
                      <wps:cNvSpPr/>
                      <wps:spPr>
                        <a:xfrm>
                          <a:off x="5695950" y="4831715"/>
                          <a:ext cx="127000" cy="87630"/>
                        </a:xfrm>
                        <a:prstGeom prst="flowChartDecision">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10" type="#_x0000_t110" style="position:absolute;left:0pt;margin-left:377.65pt;margin-top:309.6pt;height:6.9pt;width:10pt;z-index:251796480;v-text-anchor:middle;mso-width-relative:page;mso-height-relative:page;" filled="f" stroked="t" coordsize="21600,21600" o:gfxdata="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GkkvQ2AAA&#10;AAsBAAAPAAAAAAAAAAEAIAAAACIAAABkcnMvZG93bnJldi54bWxQSwECFAAUAAAACACHTuJAnk/d&#10;2ZACAADxBAAADgAAAAAAAAABACAAAAAnAQAAZHJzL2Uyb0RvYy54bWxQSwUGAAAAAAYABgBZAQAA&#10;KQYAAAAA&#10;">
                <v:fill on="f" focussize="0,0"/>
                <v:stroke weight="1pt" color="#FF0000 [3204]" miterlimit="8" joinstyle="miter"/>
                <v:imagedata o:title=""/>
                <o:lock v:ext="edit" aspectratio="f"/>
              </v:shape>
            </w:pict>
          </mc:Fallback>
        </mc:AlternateContent>
      </w:r>
      <w:r>
        <w:rPr>
          <w:color w:val="auto"/>
        </w:rPr>
        <w:drawing>
          <wp:inline distT="0" distB="0" distL="114300" distR="114300">
            <wp:extent cx="7653020" cy="5023485"/>
            <wp:effectExtent l="0" t="0" r="5080" b="5715"/>
            <wp:docPr id="1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4"/>
                    <pic:cNvPicPr>
                      <a:picLocks noChangeAspect="1"/>
                    </pic:cNvPicPr>
                  </pic:nvPicPr>
                  <pic:blipFill>
                    <a:blip r:embed="rId154"/>
                    <a:stretch>
                      <a:fillRect/>
                    </a:stretch>
                  </pic:blipFill>
                  <pic:spPr>
                    <a:xfrm>
                      <a:off x="0" y="0"/>
                      <a:ext cx="7653020" cy="50234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黑体" w:cs="Times New Roman"/>
          <w:color w:val="auto"/>
          <w:sz w:val="21"/>
          <w:szCs w:val="21"/>
          <w:lang w:val="en-US" w:eastAsia="zh-CN"/>
        </w:rPr>
        <w:sectPr>
          <w:pgSz w:w="16838" w:h="11906" w:orient="landscape"/>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黑体" w:cs="Times New Roman"/>
          <w:color w:val="auto"/>
          <w:sz w:val="21"/>
          <w:szCs w:val="21"/>
          <w:lang w:val="en-US" w:eastAsia="zh-CN"/>
        </w:rPr>
        <w:t>图12.2-</w:t>
      </w:r>
      <w:r>
        <w:rPr>
          <w:rFonts w:hint="eastAsia" w:ascii="Times New Roman" w:hAnsi="Times New Roman" w:eastAsia="黑体" w:cs="Times New Roman"/>
          <w:color w:val="auto"/>
          <w:sz w:val="21"/>
          <w:szCs w:val="21"/>
          <w:lang w:val="en-US" w:eastAsia="zh-CN"/>
        </w:rPr>
        <w:t>2</w:t>
      </w:r>
      <w:r>
        <w:rPr>
          <w:rFonts w:hint="default" w:ascii="Times New Roman" w:hAnsi="Times New Roman" w:eastAsia="黑体" w:cs="Times New Roman"/>
          <w:color w:val="auto"/>
          <w:sz w:val="21"/>
          <w:szCs w:val="21"/>
          <w:lang w:val="en-US" w:eastAsia="zh-CN"/>
        </w:rPr>
        <w:t xml:space="preserve"> 淄博科技工业园空间管制图</w:t>
      </w:r>
    </w:p>
    <w:p>
      <w:pPr>
        <w:pStyle w:val="9"/>
        <w:spacing w:before="156" w:after="156" w:line="360" w:lineRule="auto"/>
        <w:rPr>
          <w:rFonts w:hint="eastAsia" w:eastAsia="黑体"/>
          <w:color w:val="auto"/>
          <w:lang w:val="en-US" w:eastAsia="zh-CN"/>
        </w:rPr>
      </w:pPr>
      <w:r>
        <w:rPr>
          <w:color w:val="auto"/>
        </w:rPr>
        <w:t>12.2.</w:t>
      </w:r>
      <w:r>
        <w:rPr>
          <w:rFonts w:hint="eastAsia"/>
          <w:color w:val="auto"/>
          <w:lang w:val="en-US" w:eastAsia="zh-CN"/>
        </w:rPr>
        <w:t>3</w:t>
      </w:r>
      <w:r>
        <w:rPr>
          <w:color w:val="auto"/>
        </w:rPr>
        <w:t xml:space="preserve"> 环境功能区划</w:t>
      </w:r>
      <w:r>
        <w:rPr>
          <w:rFonts w:hint="eastAsia"/>
          <w:color w:val="auto"/>
          <w:lang w:val="en-US" w:eastAsia="zh-CN"/>
        </w:rPr>
        <w:t>符合性</w:t>
      </w:r>
    </w:p>
    <w:p>
      <w:pPr>
        <w:ind w:firstLine="480"/>
        <w:rPr>
          <w:color w:val="auto"/>
        </w:rPr>
      </w:pPr>
      <w:r>
        <w:rPr>
          <w:color w:val="auto"/>
        </w:rPr>
        <w:t>1、对环境空气的影响</w:t>
      </w:r>
    </w:p>
    <w:p>
      <w:pPr>
        <w:ind w:firstLine="480"/>
        <w:rPr>
          <w:color w:val="auto"/>
        </w:rPr>
      </w:pPr>
      <w:r>
        <w:rPr>
          <w:rFonts w:hint="eastAsia"/>
          <w:color w:val="auto"/>
        </w:rPr>
        <w:t>拟建项目实施后严格执行本报告所列废气处理设施，污染物可达标排放，严格执行总量控制及倍量替代，不会影响区域环境质量整体改善的趋势</w:t>
      </w:r>
      <w:r>
        <w:rPr>
          <w:color w:val="auto"/>
        </w:rPr>
        <w:t>。</w:t>
      </w:r>
    </w:p>
    <w:p>
      <w:pPr>
        <w:ind w:firstLineChars="0"/>
        <w:rPr>
          <w:color w:val="auto"/>
        </w:rPr>
      </w:pPr>
      <w:r>
        <w:rPr>
          <w:color w:val="auto"/>
        </w:rPr>
        <w:t>2、对地表水环境影响</w:t>
      </w:r>
    </w:p>
    <w:p>
      <w:pPr>
        <w:ind w:firstLine="480"/>
        <w:rPr>
          <w:color w:val="auto"/>
        </w:rPr>
      </w:pPr>
      <w:r>
        <w:rPr>
          <w:rFonts w:hint="eastAsia"/>
          <w:color w:val="auto"/>
          <w:lang w:val="en-US" w:eastAsia="zh-CN"/>
        </w:rPr>
        <w:t>生产</w:t>
      </w:r>
      <w:r>
        <w:rPr>
          <w:color w:val="auto"/>
        </w:rPr>
        <w:t>废水</w:t>
      </w:r>
      <w:r>
        <w:rPr>
          <w:rFonts w:hint="eastAsia"/>
          <w:color w:val="auto"/>
        </w:rPr>
        <w:t>经过污水处理站处理后</w:t>
      </w:r>
      <w:r>
        <w:rPr>
          <w:rFonts w:hint="eastAsia"/>
          <w:color w:val="auto"/>
          <w:lang w:val="en-US" w:eastAsia="zh-CN"/>
        </w:rPr>
        <w:t>与生活污水汇合后执行《污水综合排放标准》（GB8978-1996）三级标准及光大水务（淄博）有限公司水质净化三分厂纳管水质要求，后</w:t>
      </w:r>
      <w:r>
        <w:rPr>
          <w:rFonts w:hint="eastAsia"/>
          <w:color w:val="auto"/>
        </w:rPr>
        <w:t>排入</w:t>
      </w:r>
      <w:r>
        <w:rPr>
          <w:rFonts w:hint="eastAsia"/>
          <w:color w:val="auto"/>
          <w:szCs w:val="24"/>
        </w:rPr>
        <w:t>光大水务（淄博）有限公司水质净化</w:t>
      </w:r>
      <w:r>
        <w:rPr>
          <w:rFonts w:hint="eastAsia"/>
          <w:color w:val="auto"/>
          <w:szCs w:val="24"/>
          <w:lang w:eastAsia="zh-CN"/>
        </w:rPr>
        <w:t>三分厂</w:t>
      </w:r>
      <w:r>
        <w:rPr>
          <w:rFonts w:hint="eastAsia"/>
          <w:color w:val="auto"/>
          <w:szCs w:val="24"/>
        </w:rPr>
        <w:t>处理后排入猪龙河，不直排，</w:t>
      </w:r>
      <w:r>
        <w:rPr>
          <w:color w:val="auto"/>
        </w:rPr>
        <w:t>对周围地表水环境影响较小。</w:t>
      </w:r>
    </w:p>
    <w:p>
      <w:pPr>
        <w:ind w:firstLine="480"/>
        <w:rPr>
          <w:color w:val="auto"/>
        </w:rPr>
      </w:pPr>
      <w:r>
        <w:rPr>
          <w:color w:val="auto"/>
        </w:rPr>
        <w:t>3、对地下水环境影响</w:t>
      </w:r>
    </w:p>
    <w:p>
      <w:pPr>
        <w:pStyle w:val="2"/>
        <w:spacing w:after="0" w:line="360" w:lineRule="auto"/>
        <w:ind w:firstLine="480"/>
        <w:rPr>
          <w:color w:val="auto"/>
        </w:rPr>
      </w:pPr>
      <w:r>
        <w:rPr>
          <w:color w:val="auto"/>
        </w:rPr>
        <w:t>根据预测结果，非正常工况下污水池产生瞬时泄漏，污染物运移距离较短，对地下水环境的影响较小；当污水池产生持续泄漏，若未及时发现，污染物会顺地下水径流方向持续向北扩散，污染范围随时间不断扩大，对区域内地下水环境质量影响较大。如提前做好防渗，泄漏发现及时，采取控制源头、包气带修复、抽取地下水等措施后，评价因子的超标范围可有效控制，并达到《地下水质量标准》（GB/T 14848-2017）要求。</w:t>
      </w:r>
    </w:p>
    <w:p>
      <w:pPr>
        <w:pStyle w:val="2"/>
        <w:spacing w:after="0" w:line="360" w:lineRule="auto"/>
        <w:ind w:firstLine="480"/>
        <w:rPr>
          <w:color w:val="auto"/>
        </w:rPr>
      </w:pPr>
      <w:r>
        <w:rPr>
          <w:color w:val="auto"/>
        </w:rPr>
        <w:t>在严格落实防渗措施的条件下，本项目对地下水环境影响风险较小，综合考虑地区水文地质条件、地下水保护目标等因素，该项目的建设对地下水环境影响较小，并且建立完善的地下水监测系统后，本项目运行对地下水污染的风险可控。</w:t>
      </w:r>
    </w:p>
    <w:p>
      <w:pPr>
        <w:ind w:firstLine="480"/>
        <w:rPr>
          <w:color w:val="auto"/>
        </w:rPr>
      </w:pPr>
      <w:r>
        <w:rPr>
          <w:color w:val="auto"/>
        </w:rPr>
        <w:t>4、对声环境的影响</w:t>
      </w:r>
    </w:p>
    <w:p>
      <w:pPr>
        <w:pStyle w:val="2"/>
        <w:spacing w:after="0" w:line="360" w:lineRule="auto"/>
        <w:ind w:firstLine="480"/>
        <w:rPr>
          <w:color w:val="auto"/>
        </w:rPr>
      </w:pPr>
      <w:r>
        <w:rPr>
          <w:color w:val="auto"/>
        </w:rPr>
        <w:t>本项目建成后，各噪声源经采取一系列降噪措施，正常工况条件下，</w:t>
      </w:r>
      <w:r>
        <w:rPr>
          <w:rFonts w:hint="eastAsia"/>
          <w:color w:val="auto"/>
        </w:rPr>
        <w:t>东、</w:t>
      </w:r>
      <w:r>
        <w:rPr>
          <w:color w:val="auto"/>
        </w:rPr>
        <w:t>南、西、北厂界昼、夜间噪声均能满足《工业企业厂界环境噪声排放标准》（GB12348-2008）中的</w:t>
      </w:r>
      <w:r>
        <w:rPr>
          <w:rFonts w:hint="eastAsia"/>
          <w:color w:val="auto"/>
          <w:lang w:eastAsia="zh-CN"/>
        </w:rPr>
        <w:t>2类标准</w:t>
      </w:r>
      <w:r>
        <w:rPr>
          <w:color w:val="auto"/>
        </w:rPr>
        <w:t>要求，</w:t>
      </w:r>
      <w:r>
        <w:rPr>
          <w:rFonts w:hint="eastAsia"/>
          <w:color w:val="auto"/>
        </w:rPr>
        <w:t>西北方向180m处的声环境敏感目标解营村</w:t>
      </w:r>
      <w:r>
        <w:rPr>
          <w:color w:val="auto"/>
        </w:rPr>
        <w:t>昼、夜间噪声均能满足《</w:t>
      </w:r>
      <w:r>
        <w:rPr>
          <w:rFonts w:hint="eastAsia"/>
          <w:color w:val="auto"/>
        </w:rPr>
        <w:t>声环境质量标准</w:t>
      </w:r>
      <w:r>
        <w:rPr>
          <w:color w:val="auto"/>
        </w:rPr>
        <w:t>》（GB</w:t>
      </w:r>
      <w:r>
        <w:rPr>
          <w:rFonts w:hint="eastAsia"/>
          <w:color w:val="auto"/>
        </w:rPr>
        <w:t>3096-2008</w:t>
      </w:r>
      <w:r>
        <w:rPr>
          <w:color w:val="auto"/>
        </w:rPr>
        <w:t>）中的</w:t>
      </w:r>
      <w:r>
        <w:rPr>
          <w:rFonts w:hint="eastAsia"/>
          <w:color w:val="auto"/>
        </w:rPr>
        <w:t>2</w:t>
      </w:r>
      <w:r>
        <w:rPr>
          <w:color w:val="auto"/>
        </w:rPr>
        <w:t>类标准要求。本项目的建设对周围声环境影响较小。</w:t>
      </w:r>
    </w:p>
    <w:p>
      <w:pPr>
        <w:pStyle w:val="2"/>
        <w:spacing w:after="0" w:line="360" w:lineRule="auto"/>
        <w:ind w:firstLine="480"/>
        <w:rPr>
          <w:color w:val="auto"/>
        </w:rPr>
      </w:pPr>
      <w:r>
        <w:rPr>
          <w:color w:val="auto"/>
        </w:rPr>
        <w:t>综上，本项目的建设不会改变区域环境功能。</w:t>
      </w:r>
    </w:p>
    <w:p>
      <w:pPr>
        <w:pStyle w:val="9"/>
        <w:spacing w:before="156" w:after="156" w:line="360" w:lineRule="auto"/>
        <w:rPr>
          <w:color w:val="auto"/>
        </w:rPr>
      </w:pPr>
      <w:r>
        <w:rPr>
          <w:color w:val="auto"/>
        </w:rPr>
        <w:t>12.2.</w:t>
      </w:r>
      <w:r>
        <w:rPr>
          <w:rFonts w:hint="eastAsia"/>
          <w:color w:val="auto"/>
          <w:lang w:val="en-US" w:eastAsia="zh-CN"/>
        </w:rPr>
        <w:t>4</w:t>
      </w:r>
      <w:r>
        <w:rPr>
          <w:color w:val="auto"/>
        </w:rPr>
        <w:t>公众支持</w:t>
      </w:r>
    </w:p>
    <w:p>
      <w:pPr>
        <w:ind w:firstLine="480"/>
        <w:rPr>
          <w:color w:val="auto"/>
        </w:rPr>
      </w:pPr>
      <w:r>
        <w:rPr>
          <w:color w:val="auto"/>
        </w:rPr>
        <w:t>本次环评期间建设单位按照《环境影响评价公众参与办法》进行了公众参与，广泛征求公众对项目建设的意见，征求意见期间未受到反对意见，说明公众认可项目采取的环境保护措施，认为项目实施后对周围环境的影响较小，公众支持项目建设。</w:t>
      </w:r>
    </w:p>
    <w:p>
      <w:pPr>
        <w:pStyle w:val="8"/>
        <w:spacing w:before="156" w:after="156" w:line="360" w:lineRule="auto"/>
        <w:rPr>
          <w:color w:val="auto"/>
        </w:rPr>
      </w:pPr>
      <w:bookmarkStart w:id="488" w:name="_Toc24491"/>
      <w:bookmarkStart w:id="489" w:name="_Toc26666"/>
      <w:r>
        <w:rPr>
          <w:color w:val="auto"/>
        </w:rPr>
        <w:t>12.3小结</w:t>
      </w:r>
      <w:bookmarkEnd w:id="488"/>
      <w:bookmarkEnd w:id="489"/>
    </w:p>
    <w:p>
      <w:pPr>
        <w:ind w:firstLine="480"/>
        <w:rPr>
          <w:color w:val="auto"/>
        </w:rPr>
      </w:pPr>
      <w:r>
        <w:rPr>
          <w:color w:val="auto"/>
        </w:rPr>
        <w:t>综上所述，项目符合国家产业政策和相关环保政策要求，符合</w:t>
      </w:r>
      <w:r>
        <w:rPr>
          <w:rFonts w:hint="eastAsia"/>
          <w:color w:val="auto"/>
        </w:rPr>
        <w:t>《淄博市城市总体规划(2011-2020年）》</w:t>
      </w:r>
      <w:r>
        <w:rPr>
          <w:color w:val="auto"/>
        </w:rPr>
        <w:t>土地利用规划。厂区建有配套的给水、排水、供热等基础设施；项目配套各项环保措施可行，不影响当地的环境功能区划。在严格执行报告书中的污染防治措施后，从环境角度，项目建设合理可行。</w:t>
      </w:r>
    </w:p>
    <w:p>
      <w:pPr>
        <w:pStyle w:val="2"/>
        <w:ind w:firstLine="480"/>
        <w:rPr>
          <w:color w:val="auto"/>
        </w:rPr>
      </w:pPr>
    </w:p>
    <w:p>
      <w:pPr>
        <w:ind w:firstLine="480"/>
        <w:rPr>
          <w:color w:val="auto"/>
        </w:rPr>
      </w:pPr>
    </w:p>
    <w:p>
      <w:pPr>
        <w:ind w:firstLine="480"/>
        <w:rPr>
          <w:color w:val="auto"/>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pPr>
        <w:pStyle w:val="7"/>
        <w:spacing w:before="0" w:beforeLines="0" w:after="0" w:afterLines="0"/>
        <w:rPr>
          <w:rFonts w:cs="Times New Roman"/>
          <w:color w:val="auto"/>
        </w:rPr>
      </w:pPr>
      <w:bookmarkStart w:id="490" w:name="_Toc13153"/>
      <w:bookmarkStart w:id="491" w:name="_Toc18862"/>
      <w:r>
        <w:rPr>
          <w:rFonts w:cs="Times New Roman"/>
          <w:color w:val="auto"/>
        </w:rPr>
        <w:t>1</w:t>
      </w:r>
      <w:r>
        <w:rPr>
          <w:rFonts w:hint="eastAsia" w:cs="Times New Roman"/>
          <w:color w:val="auto"/>
          <w:lang w:val="en-US"/>
        </w:rPr>
        <w:t>3</w:t>
      </w:r>
      <w:r>
        <w:rPr>
          <w:rFonts w:cs="Times New Roman"/>
          <w:color w:val="auto"/>
        </w:rPr>
        <w:t>评价结论及建议</w:t>
      </w:r>
      <w:bookmarkEnd w:id="490"/>
      <w:bookmarkEnd w:id="491"/>
    </w:p>
    <w:p>
      <w:pPr>
        <w:pStyle w:val="8"/>
        <w:spacing w:before="0" w:beforeLines="0" w:after="0" w:afterLines="0" w:line="360" w:lineRule="auto"/>
        <w:rPr>
          <w:color w:val="auto"/>
        </w:rPr>
      </w:pPr>
      <w:bookmarkStart w:id="492" w:name="_Toc28337"/>
      <w:bookmarkStart w:id="493" w:name="_Toc19958"/>
      <w:r>
        <w:rPr>
          <w:color w:val="auto"/>
        </w:rPr>
        <w:t>1</w:t>
      </w:r>
      <w:r>
        <w:rPr>
          <w:rFonts w:hint="eastAsia"/>
          <w:color w:val="auto"/>
        </w:rPr>
        <w:t>3</w:t>
      </w:r>
      <w:r>
        <w:rPr>
          <w:color w:val="auto"/>
        </w:rPr>
        <w:t>.1评价结论</w:t>
      </w:r>
      <w:bookmarkEnd w:id="492"/>
      <w:bookmarkEnd w:id="493"/>
    </w:p>
    <w:p>
      <w:pPr>
        <w:pStyle w:val="9"/>
        <w:spacing w:before="156" w:after="156" w:line="360" w:lineRule="auto"/>
        <w:rPr>
          <w:color w:val="auto"/>
        </w:rPr>
      </w:pPr>
      <w:r>
        <w:rPr>
          <w:color w:val="auto"/>
        </w:rPr>
        <w:t>13.1.1项目基本情况</w:t>
      </w:r>
    </w:p>
    <w:p>
      <w:pPr>
        <w:ind w:firstLine="480"/>
        <w:rPr>
          <w:color w:val="auto"/>
          <w:szCs w:val="24"/>
        </w:rPr>
      </w:pPr>
      <w:r>
        <w:rPr>
          <w:color w:val="auto"/>
          <w:szCs w:val="24"/>
        </w:rPr>
        <w:t>山东朗净新材料科技有限公司成立于2020年11月</w:t>
      </w:r>
      <w:r>
        <w:rPr>
          <w:rFonts w:hint="eastAsia"/>
          <w:color w:val="auto"/>
          <w:szCs w:val="24"/>
        </w:rPr>
        <w:t>，由北京朗净汇明生物科技有限公司投资成立，法人代表陈清文。</w:t>
      </w:r>
      <w:r>
        <w:rPr>
          <w:color w:val="auto"/>
          <w:szCs w:val="24"/>
        </w:rPr>
        <w:t>厂区占地面积为</w:t>
      </w:r>
      <w:r>
        <w:rPr>
          <w:rFonts w:hint="eastAsia"/>
          <w:color w:val="auto"/>
          <w:szCs w:val="24"/>
        </w:rPr>
        <w:t>13443</w:t>
      </w:r>
      <w:r>
        <w:rPr>
          <w:color w:val="auto"/>
          <w:szCs w:val="24"/>
        </w:rPr>
        <w:t>m</w:t>
      </w:r>
      <w:r>
        <w:rPr>
          <w:color w:val="auto"/>
          <w:szCs w:val="24"/>
          <w:vertAlign w:val="superscript"/>
        </w:rPr>
        <w:t>2</w:t>
      </w:r>
      <w:r>
        <w:rPr>
          <w:color w:val="auto"/>
          <w:szCs w:val="24"/>
        </w:rPr>
        <w:t>，位于</w:t>
      </w:r>
      <w:r>
        <w:rPr>
          <w:rFonts w:hint="eastAsia"/>
          <w:color w:val="auto"/>
          <w:szCs w:val="24"/>
        </w:rPr>
        <w:t>山东省</w:t>
      </w:r>
      <w:r>
        <w:rPr>
          <w:color w:val="auto"/>
          <w:szCs w:val="24"/>
        </w:rPr>
        <w:t>淄博市</w:t>
      </w:r>
      <w:r>
        <w:rPr>
          <w:rFonts w:hint="eastAsia"/>
          <w:color w:val="auto"/>
          <w:szCs w:val="24"/>
        </w:rPr>
        <w:t>张店区房镇镇淄博科技工业园兴园路19号</w:t>
      </w:r>
      <w:r>
        <w:rPr>
          <w:color w:val="auto"/>
          <w:szCs w:val="24"/>
        </w:rPr>
        <w:t>（中心地理坐标：E118.</w:t>
      </w:r>
      <w:r>
        <w:rPr>
          <w:rFonts w:hint="eastAsia"/>
          <w:color w:val="auto"/>
          <w:szCs w:val="24"/>
        </w:rPr>
        <w:t>002306°</w:t>
      </w:r>
      <w:r>
        <w:rPr>
          <w:color w:val="auto"/>
          <w:szCs w:val="24"/>
        </w:rPr>
        <w:t>，N36.</w:t>
      </w:r>
      <w:r>
        <w:rPr>
          <w:rFonts w:hint="eastAsia"/>
          <w:color w:val="auto"/>
          <w:szCs w:val="24"/>
        </w:rPr>
        <w:t>859949°</w:t>
      </w:r>
      <w:r>
        <w:rPr>
          <w:color w:val="auto"/>
          <w:szCs w:val="24"/>
        </w:rPr>
        <w:t>）。</w:t>
      </w:r>
    </w:p>
    <w:p>
      <w:pPr>
        <w:pStyle w:val="2"/>
        <w:spacing w:after="0"/>
        <w:ind w:firstLine="480"/>
        <w:rPr>
          <w:color w:val="auto"/>
        </w:rPr>
      </w:pPr>
      <w:r>
        <w:rPr>
          <w:color w:val="auto"/>
        </w:rPr>
        <w:t>山东朗净新材料科技有限公司拟投资10000万元建设年产1200吨丙交酯和1000吨聚乳酸新材料示范线项目，该项目已取得山东省建设项目备案证明（项目代码：2201-370303-89-01-892093）。项目主要建设</w:t>
      </w:r>
      <w:r>
        <w:rPr>
          <w:rFonts w:hint="eastAsia"/>
          <w:color w:val="auto"/>
        </w:rPr>
        <w:t>一条</w:t>
      </w:r>
      <w:r>
        <w:rPr>
          <w:color w:val="auto"/>
        </w:rPr>
        <w:t>1200吨/年丙交酯及1000吨/年聚乳酸新材料生产线，以L-乳酸为原料，采用脱水、</w:t>
      </w:r>
      <w:r>
        <w:rPr>
          <w:rFonts w:hint="eastAsia"/>
          <w:color w:val="auto"/>
        </w:rPr>
        <w:t>酯化</w:t>
      </w:r>
      <w:r>
        <w:rPr>
          <w:color w:val="auto"/>
        </w:rPr>
        <w:t>工艺生产丙交酯；生产的丙交酯一部分作为产品销售，一部分再经</w:t>
      </w:r>
      <w:r>
        <w:rPr>
          <w:rFonts w:hint="eastAsia"/>
          <w:color w:val="auto"/>
        </w:rPr>
        <w:t>聚合</w:t>
      </w:r>
      <w:r>
        <w:rPr>
          <w:color w:val="auto"/>
        </w:rPr>
        <w:t>工序后生产聚乳酸</w:t>
      </w:r>
      <w:r>
        <w:rPr>
          <w:rFonts w:hint="eastAsia"/>
          <w:color w:val="auto"/>
        </w:rPr>
        <w:t>。</w:t>
      </w:r>
    </w:p>
    <w:p>
      <w:pPr>
        <w:pStyle w:val="9"/>
        <w:spacing w:before="156" w:after="156" w:line="360" w:lineRule="auto"/>
        <w:rPr>
          <w:color w:val="auto"/>
        </w:rPr>
      </w:pPr>
      <w:r>
        <w:rPr>
          <w:color w:val="auto"/>
        </w:rPr>
        <w:t>13.1.2政策及规划符合性</w:t>
      </w:r>
    </w:p>
    <w:p>
      <w:pPr>
        <w:pStyle w:val="10"/>
        <w:spacing w:line="360" w:lineRule="auto"/>
        <w:rPr>
          <w:color w:val="auto"/>
        </w:rPr>
      </w:pPr>
      <w:r>
        <w:rPr>
          <w:color w:val="auto"/>
        </w:rPr>
        <w:t>13.1.2.1产业政策符合性</w:t>
      </w:r>
    </w:p>
    <w:p>
      <w:pPr>
        <w:pStyle w:val="21"/>
        <w:widowControl/>
        <w:shd w:val="clear" w:color="auto" w:fill="FFFFFF"/>
        <w:spacing w:line="440" w:lineRule="atLeast"/>
        <w:ind w:firstLine="480"/>
        <w:jc w:val="both"/>
        <w:rPr>
          <w:color w:val="auto"/>
        </w:rPr>
      </w:pPr>
      <w:r>
        <w:rPr>
          <w:color w:val="auto"/>
        </w:rPr>
        <w:t>拟建项目属于《产业结构调整指导目录（2019年本）》“鼓励类”第十九项“轻工”第3条“生物可降解塑料及其系列产品开发、生产与应用，农用塑料节水器材和长寿命（三年及以上）功能性农用薄膜的开发、生产”，为国家鼓励类项目。</w:t>
      </w:r>
      <w:r>
        <w:rPr>
          <w:rFonts w:hint="eastAsia"/>
          <w:color w:val="auto"/>
        </w:rPr>
        <w:t>拟建</w:t>
      </w:r>
      <w:r>
        <w:rPr>
          <w:color w:val="auto"/>
        </w:rPr>
        <w:t>项目不属于《淄博市人民政府办公厅关于印发淄博市产业结构调整指导意见和指导目录的通知》（淄政办发[2011]35号）“限制发展类”和“淘汰类”，属于</w:t>
      </w:r>
      <w:r>
        <w:rPr>
          <w:rFonts w:hint="eastAsia"/>
          <w:color w:val="auto"/>
        </w:rPr>
        <w:t>鼓励类第3条战略性新兴产业中的第15项微生物、生物基材料等生物制造技术及产品”</w:t>
      </w:r>
      <w:r>
        <w:rPr>
          <w:color w:val="auto"/>
        </w:rPr>
        <w:t>，符合地方产业政策。</w:t>
      </w:r>
      <w:r>
        <w:rPr>
          <w:rFonts w:hint="eastAsia"/>
          <w:color w:val="auto"/>
        </w:rPr>
        <w:t>拟建</w:t>
      </w:r>
      <w:r>
        <w:rPr>
          <w:color w:val="auto"/>
        </w:rPr>
        <w:t>项目于202</w:t>
      </w:r>
      <w:r>
        <w:rPr>
          <w:rFonts w:hint="eastAsia"/>
          <w:color w:val="auto"/>
        </w:rPr>
        <w:t>2</w:t>
      </w:r>
      <w:r>
        <w:rPr>
          <w:color w:val="auto"/>
        </w:rPr>
        <w:t>年</w:t>
      </w:r>
      <w:r>
        <w:rPr>
          <w:rFonts w:hint="eastAsia"/>
          <w:color w:val="auto"/>
        </w:rPr>
        <w:t>1</w:t>
      </w:r>
      <w:r>
        <w:rPr>
          <w:color w:val="auto"/>
        </w:rPr>
        <w:t>月1</w:t>
      </w:r>
      <w:r>
        <w:rPr>
          <w:rFonts w:hint="eastAsia"/>
          <w:color w:val="auto"/>
        </w:rPr>
        <w:t>0</w:t>
      </w:r>
      <w:r>
        <w:rPr>
          <w:color w:val="auto"/>
        </w:rPr>
        <w:t>日取得山东省建设项目备案证明，项目代码为</w:t>
      </w:r>
      <w:r>
        <w:rPr>
          <w:rFonts w:hint="eastAsia"/>
          <w:color w:val="auto"/>
        </w:rPr>
        <w:t>2201-370303-89-01-892093</w:t>
      </w:r>
      <w:r>
        <w:rPr>
          <w:color w:val="auto"/>
        </w:rPr>
        <w:t>。</w:t>
      </w:r>
    </w:p>
    <w:p>
      <w:pPr>
        <w:pStyle w:val="10"/>
        <w:spacing w:line="360" w:lineRule="auto"/>
        <w:rPr>
          <w:color w:val="auto"/>
        </w:rPr>
      </w:pPr>
      <w:r>
        <w:rPr>
          <w:color w:val="auto"/>
        </w:rPr>
        <w:t>13.1.2.2规划符合性</w:t>
      </w:r>
    </w:p>
    <w:p>
      <w:pPr>
        <w:pStyle w:val="21"/>
        <w:widowControl/>
        <w:shd w:val="clear" w:color="auto" w:fill="FFFFFF"/>
        <w:spacing w:line="440" w:lineRule="atLeast"/>
        <w:ind w:firstLine="480"/>
        <w:rPr>
          <w:color w:val="auto"/>
        </w:rPr>
      </w:pPr>
      <w:r>
        <w:rPr>
          <w:color w:val="auto"/>
        </w:rPr>
        <w:t>拟建项目</w:t>
      </w:r>
      <w:r>
        <w:rPr>
          <w:color w:val="auto"/>
          <w:szCs w:val="24"/>
        </w:rPr>
        <w:t>位于</w:t>
      </w:r>
      <w:r>
        <w:rPr>
          <w:rFonts w:hint="eastAsia"/>
          <w:color w:val="auto"/>
          <w:szCs w:val="24"/>
        </w:rPr>
        <w:t>淄博科技工业园</w:t>
      </w:r>
      <w:r>
        <w:rPr>
          <w:color w:val="auto"/>
          <w:szCs w:val="24"/>
        </w:rPr>
        <w:t>，符合</w:t>
      </w:r>
      <w:r>
        <w:rPr>
          <w:color w:val="auto"/>
        </w:rPr>
        <w:t>《山东省生态保护红线规划》（2016-2020年）、《淄博市城市总体规划》（2011-2020）、张店区总体规划和淄博科技工业园规划</w:t>
      </w:r>
      <w:r>
        <w:rPr>
          <w:color w:val="auto"/>
          <w:szCs w:val="24"/>
        </w:rPr>
        <w:t>等相关规划要求。项目用地为工业用地，符合</w:t>
      </w:r>
      <w:r>
        <w:rPr>
          <w:rFonts w:hint="eastAsia"/>
          <w:color w:val="auto"/>
          <w:szCs w:val="24"/>
        </w:rPr>
        <w:t>淄博科技工业园</w:t>
      </w:r>
      <w:r>
        <w:rPr>
          <w:color w:val="auto"/>
          <w:szCs w:val="24"/>
        </w:rPr>
        <w:t>土地利用现状。</w:t>
      </w:r>
    </w:p>
    <w:p>
      <w:pPr>
        <w:pStyle w:val="10"/>
        <w:spacing w:line="360" w:lineRule="auto"/>
        <w:rPr>
          <w:color w:val="auto"/>
        </w:rPr>
      </w:pPr>
      <w:r>
        <w:rPr>
          <w:color w:val="auto"/>
        </w:rPr>
        <w:t>13.1.2.3</w:t>
      </w:r>
      <w:r>
        <w:rPr>
          <w:rFonts w:hint="eastAsia"/>
          <w:color w:val="auto"/>
        </w:rPr>
        <w:t>淄博科技工业园</w:t>
      </w:r>
      <w:r>
        <w:rPr>
          <w:color w:val="auto"/>
        </w:rPr>
        <w:t>准入条件、报告书的审核意见符合性</w:t>
      </w:r>
    </w:p>
    <w:p>
      <w:pPr>
        <w:pStyle w:val="2"/>
        <w:spacing w:after="0" w:line="360" w:lineRule="auto"/>
        <w:ind w:firstLine="480"/>
        <w:rPr>
          <w:color w:val="auto"/>
        </w:rPr>
      </w:pPr>
      <w:r>
        <w:rPr>
          <w:color w:val="auto"/>
        </w:rPr>
        <w:t>本项目为</w:t>
      </w:r>
      <w:r>
        <w:rPr>
          <w:rFonts w:hint="eastAsia"/>
          <w:color w:val="auto"/>
        </w:rPr>
        <w:t>生物基、淀粉基新材料制造</w:t>
      </w:r>
      <w:r>
        <w:rPr>
          <w:color w:val="auto"/>
        </w:rPr>
        <w:t>，属于</w:t>
      </w:r>
      <w:r>
        <w:rPr>
          <w:rFonts w:hint="eastAsia"/>
          <w:color w:val="auto"/>
        </w:rPr>
        <w:t>准许</w:t>
      </w:r>
      <w:r>
        <w:rPr>
          <w:color w:val="auto"/>
        </w:rPr>
        <w:t>进入行业，符合</w:t>
      </w:r>
      <w:r>
        <w:rPr>
          <w:rFonts w:hint="eastAsia"/>
          <w:color w:val="auto"/>
        </w:rPr>
        <w:t>淄博科技工业园</w:t>
      </w:r>
      <w:r>
        <w:rPr>
          <w:color w:val="auto"/>
        </w:rPr>
        <w:t>准入条件。符合</w:t>
      </w:r>
      <w:r>
        <w:rPr>
          <w:rFonts w:hint="eastAsia"/>
          <w:color w:val="auto"/>
        </w:rPr>
        <w:t>淄博科技工业园</w:t>
      </w:r>
      <w:r>
        <w:rPr>
          <w:color w:val="auto"/>
        </w:rPr>
        <w:t>审查意见的要求。</w:t>
      </w:r>
    </w:p>
    <w:p>
      <w:pPr>
        <w:pStyle w:val="10"/>
        <w:spacing w:line="360" w:lineRule="auto"/>
        <w:rPr>
          <w:color w:val="auto"/>
        </w:rPr>
      </w:pPr>
      <w:r>
        <w:rPr>
          <w:color w:val="auto"/>
        </w:rPr>
        <w:t>13.1.2.4选址合理性</w:t>
      </w:r>
    </w:p>
    <w:p>
      <w:pPr>
        <w:adjustRightInd w:val="0"/>
        <w:snapToGrid w:val="0"/>
        <w:ind w:firstLine="480"/>
        <w:jc w:val="left"/>
        <w:rPr>
          <w:color w:val="auto"/>
          <w:szCs w:val="24"/>
        </w:rPr>
      </w:pPr>
      <w:r>
        <w:rPr>
          <w:color w:val="auto"/>
          <w:szCs w:val="24"/>
        </w:rPr>
        <w:t>与城市规划符合性：本项目位于</w:t>
      </w:r>
      <w:r>
        <w:rPr>
          <w:rFonts w:hint="eastAsia"/>
          <w:color w:val="auto"/>
          <w:szCs w:val="24"/>
        </w:rPr>
        <w:t>淄博科技工业园</w:t>
      </w:r>
      <w:r>
        <w:rPr>
          <w:color w:val="auto"/>
          <w:szCs w:val="24"/>
        </w:rPr>
        <w:t>内，根据《淄博市城市总体规划》（2011-2020年），本项目用地类型为工业用地，项目所在位置及项目性质符合城市总体规划的要求。</w:t>
      </w:r>
    </w:p>
    <w:p>
      <w:pPr>
        <w:pStyle w:val="2"/>
        <w:spacing w:after="0"/>
        <w:ind w:firstLine="480"/>
        <w:jc w:val="left"/>
        <w:rPr>
          <w:color w:val="auto"/>
        </w:rPr>
      </w:pPr>
      <w:r>
        <w:rPr>
          <w:color w:val="auto"/>
        </w:rPr>
        <w:t>与</w:t>
      </w:r>
      <w:r>
        <w:rPr>
          <w:rFonts w:hint="eastAsia"/>
          <w:color w:val="auto"/>
        </w:rPr>
        <w:t>淄博科技工业园</w:t>
      </w:r>
      <w:r>
        <w:rPr>
          <w:color w:val="auto"/>
        </w:rPr>
        <w:t>规划的符合性：园区产业发展定位主要为园区产业发展定位主要为机械电子、生物制药、新材料、外向型出品加工为主的高新技术产业。本项目用地为工业用地，符合园区用地规划要求</w:t>
      </w:r>
      <w:r>
        <w:rPr>
          <w:rFonts w:hint="eastAsia"/>
          <w:color w:val="auto"/>
        </w:rPr>
        <w:t>，</w:t>
      </w:r>
      <w:r>
        <w:rPr>
          <w:color w:val="auto"/>
        </w:rPr>
        <w:t>本项目为生物基、淀粉基新材料制造项目，属于新材料类，符合淄博科技工业园的产业定位。</w:t>
      </w:r>
    </w:p>
    <w:p>
      <w:pPr>
        <w:adjustRightInd w:val="0"/>
        <w:snapToGrid w:val="0"/>
        <w:ind w:firstLine="480"/>
        <w:rPr>
          <w:bCs/>
          <w:color w:val="auto"/>
          <w:szCs w:val="24"/>
        </w:rPr>
      </w:pPr>
      <w:r>
        <w:rPr>
          <w:bCs/>
          <w:color w:val="auto"/>
          <w:szCs w:val="24"/>
        </w:rPr>
        <w:t>根据《淄博市“三线一单”生态环境分区管控方案》（淄政字[2021]49号），本项目位于重点管控单元，项目建设符合其空间布局约束、污染物排放管控、环境风险防控以及资源开发效率要求。</w:t>
      </w:r>
    </w:p>
    <w:p>
      <w:pPr>
        <w:ind w:firstLine="480"/>
        <w:rPr>
          <w:color w:val="auto"/>
        </w:rPr>
      </w:pPr>
      <w:r>
        <w:rPr>
          <w:bCs/>
          <w:color w:val="auto"/>
          <w:szCs w:val="24"/>
        </w:rPr>
        <w:t>根据《山东省生态红线保护规划（2016-2020年）》，项目不在生态红线保护区范围内。</w:t>
      </w:r>
    </w:p>
    <w:p>
      <w:pPr>
        <w:ind w:firstLine="480"/>
        <w:rPr>
          <w:color w:val="auto"/>
        </w:rPr>
      </w:pPr>
      <w:r>
        <w:rPr>
          <w:color w:val="auto"/>
        </w:rPr>
        <w:t>从城市发展规划符合性、区域发展产业规划符合性、水源保护规划符合性、“三线一单”符合性、环境防护距离、环境功能区划、投资等角度综合分析该项目的选址合理性，符合相关政策要求。</w:t>
      </w:r>
    </w:p>
    <w:p>
      <w:pPr>
        <w:pStyle w:val="9"/>
        <w:spacing w:before="156" w:after="156" w:line="360" w:lineRule="auto"/>
        <w:rPr>
          <w:color w:val="auto"/>
        </w:rPr>
      </w:pPr>
      <w:r>
        <w:rPr>
          <w:color w:val="auto"/>
        </w:rPr>
        <w:t>13.1.3环境质量现状</w:t>
      </w:r>
    </w:p>
    <w:p>
      <w:pPr>
        <w:pStyle w:val="10"/>
        <w:spacing w:line="360" w:lineRule="auto"/>
        <w:rPr>
          <w:color w:val="auto"/>
        </w:rPr>
      </w:pPr>
      <w:r>
        <w:rPr>
          <w:color w:val="auto"/>
        </w:rPr>
        <w:t>13.1.3.1环境空气质量</w:t>
      </w:r>
    </w:p>
    <w:p>
      <w:pPr>
        <w:ind w:firstLine="480"/>
        <w:rPr>
          <w:color w:val="auto"/>
        </w:rPr>
      </w:pPr>
      <w:r>
        <w:rPr>
          <w:color w:val="auto"/>
          <w:szCs w:val="24"/>
        </w:rPr>
        <w:t>根据淄博市生态环境局20</w:t>
      </w:r>
      <w:r>
        <w:rPr>
          <w:rFonts w:hint="eastAsia"/>
          <w:color w:val="auto"/>
          <w:szCs w:val="24"/>
        </w:rPr>
        <w:t>22</w:t>
      </w:r>
      <w:r>
        <w:rPr>
          <w:color w:val="auto"/>
          <w:szCs w:val="24"/>
        </w:rPr>
        <w:t>年1月2</w:t>
      </w:r>
      <w:r>
        <w:rPr>
          <w:rFonts w:hint="eastAsia"/>
          <w:color w:val="auto"/>
          <w:szCs w:val="24"/>
        </w:rPr>
        <w:t>4</w:t>
      </w:r>
      <w:r>
        <w:rPr>
          <w:color w:val="auto"/>
          <w:szCs w:val="24"/>
        </w:rPr>
        <w:t>日公布的《生态淄博建设工作简报》（20</w:t>
      </w:r>
      <w:r>
        <w:rPr>
          <w:rFonts w:hint="eastAsia"/>
          <w:color w:val="auto"/>
          <w:szCs w:val="24"/>
        </w:rPr>
        <w:t>22</w:t>
      </w:r>
      <w:r>
        <w:rPr>
          <w:color w:val="auto"/>
          <w:szCs w:val="24"/>
        </w:rPr>
        <w:t>年第1期），202</w:t>
      </w:r>
      <w:r>
        <w:rPr>
          <w:rFonts w:hint="eastAsia"/>
          <w:color w:val="auto"/>
          <w:szCs w:val="24"/>
        </w:rPr>
        <w:t>1</w:t>
      </w:r>
      <w:r>
        <w:rPr>
          <w:color w:val="auto"/>
          <w:szCs w:val="24"/>
        </w:rPr>
        <w:t>年度，</w:t>
      </w:r>
      <w:r>
        <w:rPr>
          <w:rFonts w:hint="eastAsia"/>
          <w:color w:val="auto"/>
          <w:szCs w:val="24"/>
        </w:rPr>
        <w:t>张店区</w:t>
      </w:r>
      <w:r>
        <w:rPr>
          <w:color w:val="auto"/>
          <w:szCs w:val="24"/>
        </w:rPr>
        <w:t>范围内环境空气中污染物SO</w:t>
      </w:r>
      <w:r>
        <w:rPr>
          <w:color w:val="auto"/>
          <w:szCs w:val="24"/>
          <w:vertAlign w:val="subscript"/>
        </w:rPr>
        <w:t>2</w:t>
      </w:r>
      <w:r>
        <w:rPr>
          <w:color w:val="auto"/>
          <w:szCs w:val="24"/>
        </w:rPr>
        <w:t>（</w:t>
      </w:r>
      <w:r>
        <w:rPr>
          <w:rFonts w:hint="eastAsia"/>
          <w:color w:val="auto"/>
          <w:szCs w:val="24"/>
        </w:rPr>
        <w:t>15</w:t>
      </w:r>
      <w:r>
        <w:rPr>
          <w:color w:val="auto"/>
          <w:szCs w:val="24"/>
        </w:rPr>
        <w:t>μg/m</w:t>
      </w:r>
      <w:r>
        <w:rPr>
          <w:color w:val="auto"/>
          <w:szCs w:val="24"/>
          <w:vertAlign w:val="superscript"/>
        </w:rPr>
        <w:t>3</w:t>
      </w:r>
      <w:r>
        <w:rPr>
          <w:color w:val="auto"/>
          <w:szCs w:val="24"/>
        </w:rPr>
        <w:t>）、NO</w:t>
      </w:r>
      <w:r>
        <w:rPr>
          <w:color w:val="auto"/>
          <w:szCs w:val="24"/>
          <w:vertAlign w:val="subscript"/>
        </w:rPr>
        <w:t>2</w:t>
      </w:r>
      <w:r>
        <w:rPr>
          <w:color w:val="auto"/>
          <w:szCs w:val="24"/>
        </w:rPr>
        <w:t>（</w:t>
      </w:r>
      <w:r>
        <w:rPr>
          <w:rFonts w:hint="eastAsia"/>
          <w:color w:val="auto"/>
          <w:szCs w:val="24"/>
        </w:rPr>
        <w:t>39</w:t>
      </w:r>
      <w:r>
        <w:rPr>
          <w:color w:val="auto"/>
          <w:szCs w:val="24"/>
        </w:rPr>
        <w:t>μg/m</w:t>
      </w:r>
      <w:r>
        <w:rPr>
          <w:color w:val="auto"/>
          <w:szCs w:val="24"/>
          <w:vertAlign w:val="superscript"/>
        </w:rPr>
        <w:t>3</w:t>
      </w:r>
      <w:r>
        <w:rPr>
          <w:color w:val="auto"/>
          <w:szCs w:val="24"/>
        </w:rPr>
        <w:t>）等年均浓度符合《环境空气质量标准》（GB3095-2012）二级标准及修改单的要求（SO</w:t>
      </w:r>
      <w:r>
        <w:rPr>
          <w:color w:val="auto"/>
          <w:szCs w:val="24"/>
          <w:vertAlign w:val="subscript"/>
        </w:rPr>
        <w:t>2</w:t>
      </w:r>
      <w:r>
        <w:rPr>
          <w:color w:val="auto"/>
          <w:szCs w:val="24"/>
        </w:rPr>
        <w:t>（60μg/m</w:t>
      </w:r>
      <w:r>
        <w:rPr>
          <w:color w:val="auto"/>
          <w:szCs w:val="24"/>
          <w:vertAlign w:val="superscript"/>
        </w:rPr>
        <w:t>3</w:t>
      </w:r>
      <w:r>
        <w:rPr>
          <w:color w:val="auto"/>
          <w:szCs w:val="24"/>
        </w:rPr>
        <w:t>）、NO</w:t>
      </w:r>
      <w:r>
        <w:rPr>
          <w:color w:val="auto"/>
          <w:szCs w:val="24"/>
          <w:vertAlign w:val="subscript"/>
        </w:rPr>
        <w:t>2</w:t>
      </w:r>
      <w:r>
        <w:rPr>
          <w:color w:val="auto"/>
          <w:szCs w:val="24"/>
        </w:rPr>
        <w:t>（40μg/m</w:t>
      </w:r>
      <w:r>
        <w:rPr>
          <w:color w:val="auto"/>
          <w:szCs w:val="24"/>
          <w:vertAlign w:val="superscript"/>
        </w:rPr>
        <w:t>3</w:t>
      </w:r>
      <w:r>
        <w:rPr>
          <w:color w:val="auto"/>
          <w:szCs w:val="24"/>
        </w:rPr>
        <w:t>）），CO（</w:t>
      </w:r>
      <w:r>
        <w:rPr>
          <w:rFonts w:hint="eastAsia"/>
          <w:color w:val="auto"/>
          <w:szCs w:val="24"/>
        </w:rPr>
        <w:t>1600</w:t>
      </w:r>
      <w:r>
        <w:rPr>
          <w:color w:val="auto"/>
          <w:szCs w:val="24"/>
        </w:rPr>
        <w:t>μg/m</w:t>
      </w:r>
      <w:r>
        <w:rPr>
          <w:color w:val="auto"/>
          <w:szCs w:val="24"/>
          <w:vertAlign w:val="superscript"/>
        </w:rPr>
        <w:t>3</w:t>
      </w:r>
      <w:r>
        <w:rPr>
          <w:color w:val="auto"/>
          <w:szCs w:val="24"/>
        </w:rPr>
        <w:t>）日均浓度符合《环境空气质量标准》（GB3095-2012）二级标准及修改单的要求（CO（4000μg/m</w:t>
      </w:r>
      <w:r>
        <w:rPr>
          <w:color w:val="auto"/>
          <w:szCs w:val="24"/>
          <w:vertAlign w:val="superscript"/>
        </w:rPr>
        <w:t>3</w:t>
      </w:r>
      <w:r>
        <w:rPr>
          <w:color w:val="auto"/>
          <w:szCs w:val="24"/>
        </w:rPr>
        <w:t>）），PM10（</w:t>
      </w:r>
      <w:r>
        <w:rPr>
          <w:rFonts w:hint="eastAsia"/>
          <w:color w:val="auto"/>
          <w:szCs w:val="24"/>
        </w:rPr>
        <w:t>85</w:t>
      </w:r>
      <w:r>
        <w:rPr>
          <w:color w:val="auto"/>
          <w:szCs w:val="24"/>
        </w:rPr>
        <w:t>μg/m</w:t>
      </w:r>
      <w:r>
        <w:rPr>
          <w:color w:val="auto"/>
          <w:szCs w:val="24"/>
          <w:vertAlign w:val="superscript"/>
        </w:rPr>
        <w:t>3</w:t>
      </w:r>
      <w:r>
        <w:rPr>
          <w:color w:val="auto"/>
          <w:szCs w:val="24"/>
        </w:rPr>
        <w:t>）、PM2.5（</w:t>
      </w:r>
      <w:r>
        <w:rPr>
          <w:rFonts w:hint="eastAsia"/>
          <w:color w:val="auto"/>
          <w:szCs w:val="24"/>
        </w:rPr>
        <w:t>46</w:t>
      </w:r>
      <w:r>
        <w:rPr>
          <w:color w:val="auto"/>
          <w:szCs w:val="24"/>
        </w:rPr>
        <w:t>μg/m</w:t>
      </w:r>
      <w:r>
        <w:rPr>
          <w:color w:val="auto"/>
          <w:szCs w:val="24"/>
          <w:vertAlign w:val="superscript"/>
        </w:rPr>
        <w:t>3</w:t>
      </w:r>
      <w:r>
        <w:rPr>
          <w:color w:val="auto"/>
          <w:szCs w:val="24"/>
        </w:rPr>
        <w:t>）等年均浓度不符合《环境空气质量标准》（GB3095-2012）二级标准及修改单的要求（PM10（70μg/m</w:t>
      </w:r>
      <w:r>
        <w:rPr>
          <w:color w:val="auto"/>
          <w:szCs w:val="24"/>
          <w:vertAlign w:val="superscript"/>
        </w:rPr>
        <w:t>3</w:t>
      </w:r>
      <w:r>
        <w:rPr>
          <w:color w:val="auto"/>
          <w:szCs w:val="24"/>
        </w:rPr>
        <w:t>）、PM2.5（</w:t>
      </w:r>
      <w:r>
        <w:rPr>
          <w:rFonts w:hint="eastAsia"/>
          <w:color w:val="auto"/>
          <w:szCs w:val="24"/>
        </w:rPr>
        <w:t>35</w:t>
      </w:r>
      <w:r>
        <w:rPr>
          <w:color w:val="auto"/>
          <w:szCs w:val="24"/>
        </w:rPr>
        <w:t>μg/m</w:t>
      </w:r>
      <w:r>
        <w:rPr>
          <w:color w:val="auto"/>
          <w:szCs w:val="24"/>
          <w:vertAlign w:val="superscript"/>
        </w:rPr>
        <w:t>3</w:t>
      </w:r>
      <w:r>
        <w:rPr>
          <w:color w:val="auto"/>
          <w:szCs w:val="24"/>
        </w:rPr>
        <w:t>）），O</w:t>
      </w:r>
      <w:r>
        <w:rPr>
          <w:color w:val="auto"/>
          <w:szCs w:val="24"/>
          <w:vertAlign w:val="subscript"/>
        </w:rPr>
        <w:t>3</w:t>
      </w:r>
      <w:r>
        <w:rPr>
          <w:color w:val="auto"/>
          <w:szCs w:val="24"/>
        </w:rPr>
        <w:t>（</w:t>
      </w:r>
      <w:r>
        <w:rPr>
          <w:rFonts w:hint="eastAsia"/>
          <w:color w:val="auto"/>
          <w:szCs w:val="24"/>
        </w:rPr>
        <w:t>183</w:t>
      </w:r>
      <w:r>
        <w:rPr>
          <w:color w:val="auto"/>
          <w:szCs w:val="24"/>
        </w:rPr>
        <w:t>μg/m</w:t>
      </w:r>
      <w:r>
        <w:rPr>
          <w:color w:val="auto"/>
          <w:szCs w:val="24"/>
          <w:vertAlign w:val="superscript"/>
        </w:rPr>
        <w:t>3</w:t>
      </w:r>
      <w:r>
        <w:rPr>
          <w:color w:val="auto"/>
          <w:szCs w:val="24"/>
        </w:rPr>
        <w:t>）日最大8小时平均值不符合《环境空气质量标准》（GB3095-2012）二级标准及修改单的要求（O</w:t>
      </w:r>
      <w:r>
        <w:rPr>
          <w:color w:val="auto"/>
          <w:szCs w:val="24"/>
          <w:vertAlign w:val="subscript"/>
        </w:rPr>
        <w:t>3</w:t>
      </w:r>
      <w:r>
        <w:rPr>
          <w:color w:val="auto"/>
          <w:szCs w:val="24"/>
        </w:rPr>
        <w:t>（160μg/m</w:t>
      </w:r>
      <w:r>
        <w:rPr>
          <w:color w:val="auto"/>
          <w:szCs w:val="24"/>
          <w:vertAlign w:val="superscript"/>
        </w:rPr>
        <w:t>3</w:t>
      </w:r>
      <w:r>
        <w:rPr>
          <w:color w:val="auto"/>
          <w:szCs w:val="24"/>
        </w:rPr>
        <w:t>））</w:t>
      </w:r>
      <w:r>
        <w:rPr>
          <w:rFonts w:hint="eastAsia"/>
          <w:color w:val="auto"/>
          <w:szCs w:val="24"/>
        </w:rPr>
        <w:t>。</w:t>
      </w:r>
    </w:p>
    <w:p>
      <w:pPr>
        <w:ind w:firstLine="480"/>
        <w:rPr>
          <w:color w:val="auto"/>
        </w:rPr>
      </w:pPr>
      <w:r>
        <w:rPr>
          <w:color w:val="auto"/>
        </w:rPr>
        <w:t>《环境空气质量评价技术规范（试行）》（HJ663-2013）规定：“污染物年评价达标是指该污染物年平均浓度（CO和O</w:t>
      </w:r>
      <w:r>
        <w:rPr>
          <w:color w:val="auto"/>
          <w:vertAlign w:val="subscript"/>
        </w:rPr>
        <w:t>3</w:t>
      </w:r>
      <w:r>
        <w:rPr>
          <w:color w:val="auto"/>
        </w:rPr>
        <w:t>除外）和特定的百分位数浓度同时达标”。</w:t>
      </w:r>
      <w:r>
        <w:rPr>
          <w:rFonts w:hint="eastAsia"/>
          <w:color w:val="auto"/>
        </w:rPr>
        <w:t>张店区</w:t>
      </w:r>
      <w:r>
        <w:rPr>
          <w:color w:val="auto"/>
        </w:rPr>
        <w:t>20</w:t>
      </w:r>
      <w:r>
        <w:rPr>
          <w:rFonts w:hint="eastAsia"/>
          <w:color w:val="auto"/>
        </w:rPr>
        <w:t>21</w:t>
      </w:r>
      <w:r>
        <w:rPr>
          <w:color w:val="auto"/>
        </w:rPr>
        <w:t>年PM</w:t>
      </w:r>
      <w:r>
        <w:rPr>
          <w:color w:val="auto"/>
          <w:vertAlign w:val="subscript"/>
        </w:rPr>
        <w:t>2.5</w:t>
      </w:r>
      <w:r>
        <w:rPr>
          <w:color w:val="auto"/>
        </w:rPr>
        <w:t>、PM</w:t>
      </w:r>
      <w:r>
        <w:rPr>
          <w:color w:val="auto"/>
          <w:vertAlign w:val="subscript"/>
        </w:rPr>
        <w:t>10</w:t>
      </w:r>
      <w:r>
        <w:rPr>
          <w:color w:val="auto"/>
        </w:rPr>
        <w:t>的年均浓度不能满足《环境空气质量标准》（GB3095-2012）二级标准要求，年评价不达标，项目所在处于不达标区。</w:t>
      </w:r>
    </w:p>
    <w:p>
      <w:pPr>
        <w:pStyle w:val="10"/>
        <w:spacing w:line="360" w:lineRule="auto"/>
        <w:rPr>
          <w:color w:val="auto"/>
        </w:rPr>
      </w:pPr>
      <w:r>
        <w:rPr>
          <w:color w:val="auto"/>
        </w:rPr>
        <w:t>13.1.3.2地表水</w:t>
      </w:r>
    </w:p>
    <w:p>
      <w:pPr>
        <w:pStyle w:val="2"/>
        <w:spacing w:after="0"/>
        <w:ind w:firstLine="480"/>
        <w:rPr>
          <w:color w:val="auto"/>
        </w:rPr>
      </w:pPr>
      <w:r>
        <w:rPr>
          <w:color w:val="auto"/>
        </w:rPr>
        <w:t>本项目</w:t>
      </w:r>
      <w:r>
        <w:rPr>
          <w:rFonts w:hint="eastAsia"/>
          <w:color w:val="auto"/>
        </w:rPr>
        <w:t>污水最终进入光大水务淄博有限公司水质净化</w:t>
      </w:r>
      <w:r>
        <w:rPr>
          <w:rFonts w:hint="eastAsia"/>
          <w:color w:val="auto"/>
          <w:lang w:eastAsia="zh-CN"/>
        </w:rPr>
        <w:t>三分厂</w:t>
      </w:r>
      <w:r>
        <w:rPr>
          <w:rFonts w:hint="eastAsia"/>
          <w:color w:val="auto"/>
        </w:rPr>
        <w:t>进行处理后，尾水进入最终汇入猪龙河。</w:t>
      </w:r>
      <w:r>
        <w:rPr>
          <w:color w:val="auto"/>
        </w:rPr>
        <w:t>根据淄博市生态环境局202</w:t>
      </w:r>
      <w:r>
        <w:rPr>
          <w:rFonts w:hint="eastAsia"/>
          <w:color w:val="auto"/>
        </w:rPr>
        <w:t>2</w:t>
      </w:r>
      <w:r>
        <w:rPr>
          <w:color w:val="auto"/>
        </w:rPr>
        <w:t>年1月2</w:t>
      </w:r>
      <w:r>
        <w:rPr>
          <w:rFonts w:hint="eastAsia"/>
          <w:color w:val="auto"/>
        </w:rPr>
        <w:t>4</w:t>
      </w:r>
      <w:r>
        <w:rPr>
          <w:color w:val="auto"/>
        </w:rPr>
        <w:t>日公布的《生态淄博建设工作简报》（202</w:t>
      </w:r>
      <w:r>
        <w:rPr>
          <w:rFonts w:hint="eastAsia"/>
          <w:color w:val="auto"/>
        </w:rPr>
        <w:t>2</w:t>
      </w:r>
      <w:r>
        <w:rPr>
          <w:color w:val="auto"/>
        </w:rPr>
        <w:t>年第1期），202</w:t>
      </w:r>
      <w:r>
        <w:rPr>
          <w:rFonts w:hint="eastAsia"/>
          <w:color w:val="auto"/>
        </w:rPr>
        <w:t>1</w:t>
      </w:r>
      <w:r>
        <w:rPr>
          <w:color w:val="auto"/>
        </w:rPr>
        <w:t>年度，</w:t>
      </w:r>
      <w:r>
        <w:rPr>
          <w:rFonts w:hint="eastAsia"/>
          <w:color w:val="auto"/>
        </w:rPr>
        <w:t>猪龙河</w:t>
      </w:r>
      <w:r>
        <w:rPr>
          <w:color w:val="auto"/>
        </w:rPr>
        <w:t>水质能够满足《地表水环境质量标准》（GB3838-2002）Ⅳ类标准。</w:t>
      </w:r>
    </w:p>
    <w:p>
      <w:pPr>
        <w:pStyle w:val="10"/>
        <w:spacing w:line="360" w:lineRule="auto"/>
        <w:rPr>
          <w:color w:val="auto"/>
        </w:rPr>
      </w:pPr>
      <w:r>
        <w:rPr>
          <w:color w:val="auto"/>
        </w:rPr>
        <w:t>13.1.3.3地下水</w:t>
      </w:r>
    </w:p>
    <w:p>
      <w:pPr>
        <w:ind w:firstLine="480"/>
        <w:rPr>
          <w:color w:val="auto"/>
        </w:rPr>
      </w:pPr>
      <w:r>
        <w:rPr>
          <w:color w:val="auto"/>
        </w:rPr>
        <w:t>根据本次评价，监测数据分析，评价区</w:t>
      </w:r>
      <w:r>
        <w:rPr>
          <w:color w:val="auto"/>
          <w:kern w:val="0"/>
        </w:rPr>
        <w:t>域地下水</w:t>
      </w:r>
      <w:r>
        <w:rPr>
          <w:rFonts w:hint="eastAsia"/>
          <w:color w:val="auto"/>
          <w:kern w:val="0"/>
          <w:lang w:val="en-US" w:eastAsia="zh-CN"/>
        </w:rPr>
        <w:t>6</w:t>
      </w:r>
      <w:r>
        <w:rPr>
          <w:color w:val="auto"/>
          <w:kern w:val="0"/>
        </w:rPr>
        <w:t>个监测点的监测因子中，部分监测因子不能满足</w:t>
      </w:r>
      <w:r>
        <w:rPr>
          <w:rFonts w:hint="eastAsia"/>
          <w:color w:val="auto"/>
          <w:kern w:val="0"/>
        </w:rPr>
        <w:t>《</w:t>
      </w:r>
      <w:r>
        <w:rPr>
          <w:color w:val="auto"/>
          <w:kern w:val="0"/>
        </w:rPr>
        <w:t>地下水质量标准》(GB/T14848-2017)Ⅲ类标准要求</w:t>
      </w:r>
      <w:r>
        <w:rPr>
          <w:color w:val="auto"/>
        </w:rPr>
        <w:t>。本区总硬度、溶解性总固体超标主要与区域水文地质条件有关，地下水中挥发性酚类、氟化物、铁、锰、氯化物、硫酸盐超标与区域整体环境质量有关系，可能受到生产、生活污染。</w:t>
      </w:r>
    </w:p>
    <w:p>
      <w:pPr>
        <w:pStyle w:val="10"/>
        <w:spacing w:line="360" w:lineRule="auto"/>
        <w:rPr>
          <w:color w:val="auto"/>
        </w:rPr>
      </w:pPr>
      <w:r>
        <w:rPr>
          <w:color w:val="auto"/>
        </w:rPr>
        <w:t>13.1.3.4声环境</w:t>
      </w:r>
    </w:p>
    <w:p>
      <w:pPr>
        <w:pStyle w:val="2"/>
        <w:ind w:firstLine="480"/>
        <w:rPr>
          <w:b/>
          <w:bCs/>
          <w:color w:val="auto"/>
        </w:rPr>
      </w:pPr>
      <w:r>
        <w:rPr>
          <w:color w:val="auto"/>
        </w:rPr>
        <w:t>根据本次监测报告，</w:t>
      </w:r>
      <w:r>
        <w:rPr>
          <w:rFonts w:hint="eastAsia"/>
          <w:color w:val="auto"/>
        </w:rPr>
        <w:t>东、</w:t>
      </w:r>
      <w:r>
        <w:rPr>
          <w:color w:val="auto"/>
        </w:rPr>
        <w:t>北、南、西厂界昼、夜间噪声均能满足《声环境质量标准》（GB3096-2008）中</w:t>
      </w:r>
      <w:r>
        <w:rPr>
          <w:rFonts w:hint="eastAsia"/>
          <w:color w:val="auto"/>
          <w:lang w:eastAsia="zh-CN"/>
        </w:rPr>
        <w:t>2类标准</w:t>
      </w:r>
      <w:r>
        <w:rPr>
          <w:color w:val="auto"/>
        </w:rPr>
        <w:t>。</w:t>
      </w:r>
    </w:p>
    <w:p>
      <w:pPr>
        <w:pStyle w:val="10"/>
        <w:spacing w:line="360" w:lineRule="auto"/>
        <w:rPr>
          <w:color w:val="auto"/>
        </w:rPr>
      </w:pPr>
      <w:r>
        <w:rPr>
          <w:color w:val="auto"/>
        </w:rPr>
        <w:t>13.1.3.5土壤环境</w:t>
      </w:r>
    </w:p>
    <w:p>
      <w:pPr>
        <w:ind w:firstLine="480"/>
        <w:rPr>
          <w:color w:val="auto"/>
        </w:rPr>
      </w:pPr>
      <w:r>
        <w:rPr>
          <w:color w:val="auto"/>
        </w:rPr>
        <w:t>根据监测结果可知，厂区内土壤中污染物均满足《土壤环境质量建设用地土壤污染风险管控标准》（GB36600-2018）筛选值第二类用地标准要求。</w:t>
      </w:r>
    </w:p>
    <w:p>
      <w:pPr>
        <w:pStyle w:val="9"/>
        <w:spacing w:before="156" w:after="156" w:line="360" w:lineRule="auto"/>
        <w:rPr>
          <w:color w:val="auto"/>
        </w:rPr>
      </w:pPr>
      <w:r>
        <w:rPr>
          <w:color w:val="auto"/>
        </w:rPr>
        <w:t>13.1.4污染控制及排放情况</w:t>
      </w:r>
    </w:p>
    <w:p>
      <w:pPr>
        <w:pStyle w:val="10"/>
        <w:spacing w:line="360" w:lineRule="auto"/>
        <w:rPr>
          <w:color w:val="auto"/>
        </w:rPr>
      </w:pPr>
      <w:r>
        <w:rPr>
          <w:color w:val="auto"/>
        </w:rPr>
        <w:t>13.1.4.1废气污染防治措施</w:t>
      </w:r>
    </w:p>
    <w:p>
      <w:pPr>
        <w:spacing w:line="360" w:lineRule="auto"/>
        <w:ind w:firstLine="480"/>
        <w:rPr>
          <w:color w:val="auto"/>
        </w:rPr>
      </w:pPr>
      <w:r>
        <w:rPr>
          <w:color w:val="auto"/>
        </w:rPr>
        <w:t>1、有组织废气</w:t>
      </w:r>
    </w:p>
    <w:p>
      <w:pPr>
        <w:ind w:firstLine="480"/>
        <w:rPr>
          <w:color w:val="auto"/>
        </w:rPr>
      </w:pPr>
      <w:r>
        <w:rPr>
          <w:rFonts w:hint="eastAsia"/>
          <w:color w:val="auto"/>
        </w:rPr>
        <w:t>本项目有组织废气包括生产过程中产生的G1-脱水不凝气、G</w:t>
      </w:r>
      <w:r>
        <w:rPr>
          <w:rFonts w:hint="eastAsia"/>
          <w:color w:val="auto"/>
          <w:lang w:val="en-US" w:eastAsia="zh-CN"/>
        </w:rPr>
        <w:t>2</w:t>
      </w:r>
      <w:r>
        <w:rPr>
          <w:rFonts w:hint="eastAsia"/>
          <w:color w:val="auto"/>
        </w:rPr>
        <w:t>-</w:t>
      </w:r>
      <w:r>
        <w:rPr>
          <w:rFonts w:hint="eastAsia"/>
          <w:color w:val="auto"/>
          <w:lang w:val="en-US" w:eastAsia="zh-CN"/>
        </w:rPr>
        <w:t>低聚</w:t>
      </w:r>
      <w:r>
        <w:rPr>
          <w:rFonts w:hint="eastAsia"/>
          <w:color w:val="auto"/>
        </w:rPr>
        <w:t>不凝气、G4-酯化不凝气、G5-精制不凝气、G6-脱挥废气</w:t>
      </w:r>
      <w:r>
        <w:rPr>
          <w:rFonts w:hint="eastAsia"/>
          <w:color w:val="auto"/>
          <w:lang w:val="en-US" w:eastAsia="zh-CN"/>
        </w:rPr>
        <w:t>以及污水处理站废气</w:t>
      </w:r>
      <w:r>
        <w:rPr>
          <w:rFonts w:hint="eastAsia"/>
          <w:color w:val="auto"/>
        </w:rPr>
        <w:t>，经收集后通过废气处理装置（</w:t>
      </w:r>
      <w:r>
        <w:rPr>
          <w:rFonts w:hint="eastAsia"/>
          <w:color w:val="auto"/>
          <w:lang w:eastAsia="zh-CN"/>
        </w:rPr>
        <w:t>碱喷淋</w:t>
      </w:r>
      <w:r>
        <w:rPr>
          <w:rFonts w:hint="eastAsia"/>
          <w:color w:val="auto"/>
        </w:rPr>
        <w:t>+活性炭吸附）处理后</w:t>
      </w:r>
      <w:r>
        <w:rPr>
          <w:color w:val="auto"/>
        </w:rPr>
        <w:t>由15m排气筒（DA00</w:t>
      </w:r>
      <w:r>
        <w:rPr>
          <w:rFonts w:hint="eastAsia"/>
          <w:color w:val="auto"/>
        </w:rPr>
        <w:t>1</w:t>
      </w:r>
      <w:r>
        <w:rPr>
          <w:color w:val="auto"/>
        </w:rPr>
        <w:t>）排放，VOCs排放满足《挥发性有机物排放标准 第6 部分：有机化工行业》（DB 37/ 2801.6-2018）表1 有机化工企业或生产设施VOCs 排放限值要求（3.0kg/h，60mg/m</w:t>
      </w:r>
      <w:r>
        <w:rPr>
          <w:color w:val="auto"/>
          <w:vertAlign w:val="superscript"/>
        </w:rPr>
        <w:t>3</w:t>
      </w:r>
      <w:r>
        <w:rPr>
          <w:color w:val="auto"/>
        </w:rPr>
        <w:t>）</w:t>
      </w:r>
      <w:r>
        <w:rPr>
          <w:rFonts w:hint="eastAsia"/>
          <w:color w:val="auto"/>
          <w:lang w:eastAsia="zh-CN"/>
        </w:rPr>
        <w:t>，</w:t>
      </w:r>
      <w:r>
        <w:rPr>
          <w:rFonts w:hint="eastAsia"/>
          <w:color w:val="auto"/>
        </w:rPr>
        <w:t>硫化氢、氨</w:t>
      </w:r>
      <w:r>
        <w:rPr>
          <w:rFonts w:hint="eastAsia"/>
          <w:color w:val="auto"/>
          <w:lang w:eastAsia="zh-CN"/>
        </w:rPr>
        <w:t>、</w:t>
      </w:r>
      <w:r>
        <w:rPr>
          <w:rFonts w:hint="eastAsia"/>
          <w:color w:val="auto"/>
          <w:lang w:val="en-US" w:eastAsia="zh-CN"/>
        </w:rPr>
        <w:t>臭气浓度</w:t>
      </w:r>
      <w:r>
        <w:rPr>
          <w:rFonts w:hint="eastAsia"/>
          <w:color w:val="auto"/>
        </w:rPr>
        <w:t>执行《有机化工企业污水处理厂（站）挥发性有机物及恶臭污染物排放标准》（DB37/3161-2018）表1挥发性有机物和恶臭污染物排放限值</w:t>
      </w:r>
      <w:r>
        <w:rPr>
          <w:color w:val="auto"/>
        </w:rPr>
        <w:t>；</w:t>
      </w:r>
      <w:r>
        <w:rPr>
          <w:rFonts w:hint="eastAsia"/>
          <w:color w:val="auto"/>
        </w:rPr>
        <w:t>锅炉燃烧产生的颗粒物、二氧化硫、氮氧化物满足《</w:t>
      </w:r>
      <w:r>
        <w:rPr>
          <w:color w:val="auto"/>
        </w:rPr>
        <w:t>锅炉大气污染物排放标准》（DB37/2374—2018）表2新建锅炉大气污染物排放浓度限值中重点控制区排放限值</w:t>
      </w:r>
      <w:r>
        <w:rPr>
          <w:rFonts w:hint="eastAsia"/>
          <w:color w:val="auto"/>
        </w:rPr>
        <w:t>。</w:t>
      </w:r>
    </w:p>
    <w:p>
      <w:pPr>
        <w:ind w:firstLine="480"/>
        <w:rPr>
          <w:color w:val="auto"/>
        </w:rPr>
      </w:pPr>
      <w:r>
        <w:rPr>
          <w:rFonts w:hint="eastAsia"/>
          <w:color w:val="auto"/>
          <w:lang w:val="en-US" w:eastAsia="zh-CN"/>
        </w:rPr>
        <w:t>2、</w:t>
      </w:r>
      <w:r>
        <w:rPr>
          <w:rFonts w:hint="eastAsia"/>
          <w:color w:val="auto"/>
        </w:rPr>
        <w:t>无组织废气</w:t>
      </w:r>
    </w:p>
    <w:p>
      <w:pPr>
        <w:ind w:firstLine="480"/>
        <w:rPr>
          <w:color w:val="auto"/>
        </w:rPr>
      </w:pPr>
      <w:r>
        <w:rPr>
          <w:rFonts w:hint="eastAsia"/>
          <w:color w:val="auto"/>
          <w:lang w:val="en-US" w:eastAsia="zh-CN"/>
        </w:rPr>
        <w:t>本项目生产过程中的无组织废气包括催化剂A投料及配置过程中产生的颗粒物G3通过密闭操作等措施降低无组织颗粒物的产生、干燥废气G7经过干燥机自带两级除尘器（旋风除尘器+袋式除尘器）处理后无组织排放；</w:t>
      </w:r>
      <w:r>
        <w:rPr>
          <w:rFonts w:hint="eastAsia"/>
          <w:color w:val="auto"/>
        </w:rPr>
        <w:t>乳酸原料</w:t>
      </w:r>
      <w:r>
        <w:rPr>
          <w:color w:val="auto"/>
        </w:rPr>
        <w:t>采用密闭集输</w:t>
      </w:r>
      <w:r>
        <w:rPr>
          <w:rFonts w:hint="eastAsia"/>
          <w:color w:val="auto"/>
        </w:rPr>
        <w:t>送</w:t>
      </w:r>
      <w:r>
        <w:rPr>
          <w:color w:val="auto"/>
        </w:rPr>
        <w:t>、装卸采用顶部浸没式或底部装卸及气液平衡鹤管，定期进行泄漏检测与修复等措施后，项目厂界无组织VOCs满足《挥发性有机物排放标准 第6 部分：有机化工行业》（DB 37/ 2801.6-2018）表3厂界监控点浓度限值（2.0mg/m</w:t>
      </w:r>
      <w:r>
        <w:rPr>
          <w:color w:val="auto"/>
          <w:vertAlign w:val="superscript"/>
        </w:rPr>
        <w:t>3</w:t>
      </w:r>
      <w:r>
        <w:rPr>
          <w:color w:val="auto"/>
        </w:rPr>
        <w:t>）；无组织颗粒物厂界浓度满足《大气污染物综合排放标准》（GB16297-1996）表2中无组织排放监控浓度限值要求（颗粒物1.0mg/m</w:t>
      </w:r>
      <w:r>
        <w:rPr>
          <w:color w:val="auto"/>
          <w:vertAlign w:val="superscript"/>
        </w:rPr>
        <w:t>3</w:t>
      </w:r>
      <w:r>
        <w:rPr>
          <w:color w:val="auto"/>
        </w:rPr>
        <w:t>）。正常生产情况下，厂区内VOCs无组织排放浓度能够满足《挥发性有机物无组织排放控制标准》（GB 37822-2019）表A1厂区内VOCs无组织排放限值要求（VOCs小时平均浓度</w:t>
      </w:r>
      <w:r>
        <w:rPr>
          <w:rFonts w:hint="eastAsia"/>
          <w:color w:val="auto"/>
        </w:rPr>
        <w:t>10</w:t>
      </w:r>
      <w:r>
        <w:rPr>
          <w:color w:val="auto"/>
        </w:rPr>
        <w:t>mg/m</w:t>
      </w:r>
      <w:r>
        <w:rPr>
          <w:color w:val="auto"/>
          <w:vertAlign w:val="superscript"/>
        </w:rPr>
        <w:t>3</w:t>
      </w:r>
      <w:r>
        <w:rPr>
          <w:color w:val="auto"/>
        </w:rPr>
        <w:t>、一次浓度值</w:t>
      </w:r>
      <w:r>
        <w:rPr>
          <w:rFonts w:hint="eastAsia"/>
          <w:color w:val="auto"/>
        </w:rPr>
        <w:t>3</w:t>
      </w:r>
      <w:r>
        <w:rPr>
          <w:color w:val="auto"/>
        </w:rPr>
        <w:t>0mg/m</w:t>
      </w:r>
      <w:r>
        <w:rPr>
          <w:color w:val="auto"/>
          <w:vertAlign w:val="superscript"/>
        </w:rPr>
        <w:t>3</w:t>
      </w:r>
      <w:r>
        <w:rPr>
          <w:color w:val="auto"/>
        </w:rPr>
        <w:t>）。</w:t>
      </w:r>
      <w:r>
        <w:rPr>
          <w:rFonts w:hint="eastAsia"/>
          <w:color w:val="auto"/>
          <w:lang w:val="en-US" w:eastAsia="zh-CN"/>
        </w:rPr>
        <w:t>污水处理站</w:t>
      </w:r>
      <w:r>
        <w:rPr>
          <w:rFonts w:hint="eastAsia"/>
          <w:color w:val="auto"/>
        </w:rPr>
        <w:t>无组织硫化氢、氨</w:t>
      </w:r>
      <w:r>
        <w:rPr>
          <w:rFonts w:hint="eastAsia"/>
          <w:color w:val="auto"/>
          <w:lang w:eastAsia="zh-CN"/>
        </w:rPr>
        <w:t>、</w:t>
      </w:r>
      <w:r>
        <w:rPr>
          <w:rFonts w:hint="eastAsia"/>
          <w:color w:val="auto"/>
          <w:lang w:val="en-US" w:eastAsia="zh-CN"/>
        </w:rPr>
        <w:t>臭气浓度</w:t>
      </w:r>
      <w:r>
        <w:rPr>
          <w:rFonts w:hint="eastAsia"/>
          <w:color w:val="auto"/>
        </w:rPr>
        <w:t>执行《有机化工企业污水处理厂（站）挥发性有机物及恶臭污染物排放标准》（DB37/3161-2018）表2厂界监控点浓度限值</w:t>
      </w:r>
      <w:r>
        <w:rPr>
          <w:rFonts w:hint="eastAsia"/>
          <w:color w:val="auto"/>
          <w:lang w:eastAsia="zh-CN"/>
        </w:rPr>
        <w:t>（</w:t>
      </w:r>
      <w:r>
        <w:rPr>
          <w:rFonts w:hint="eastAsia"/>
          <w:color w:val="auto"/>
          <w:lang w:val="en-US" w:eastAsia="zh-CN"/>
        </w:rPr>
        <w:t>硫化氢0.03</w:t>
      </w:r>
      <w:r>
        <w:rPr>
          <w:color w:val="auto"/>
        </w:rPr>
        <w:t>mg/m</w:t>
      </w:r>
      <w:r>
        <w:rPr>
          <w:color w:val="auto"/>
          <w:vertAlign w:val="superscript"/>
        </w:rPr>
        <w:t>3</w:t>
      </w:r>
      <w:r>
        <w:rPr>
          <w:rFonts w:hint="eastAsia"/>
          <w:color w:val="auto"/>
          <w:vertAlign w:val="baseline"/>
          <w:lang w:eastAsia="zh-CN"/>
        </w:rPr>
        <w:t>、</w:t>
      </w:r>
      <w:r>
        <w:rPr>
          <w:rFonts w:hint="eastAsia"/>
          <w:color w:val="auto"/>
          <w:vertAlign w:val="baseline"/>
          <w:lang w:val="en-US" w:eastAsia="zh-CN"/>
        </w:rPr>
        <w:t>氨1.0</w:t>
      </w:r>
      <w:r>
        <w:rPr>
          <w:color w:val="auto"/>
        </w:rPr>
        <w:t>mg/m</w:t>
      </w:r>
      <w:r>
        <w:rPr>
          <w:color w:val="auto"/>
          <w:vertAlign w:val="superscript"/>
        </w:rPr>
        <w:t>3</w:t>
      </w:r>
      <w:r>
        <w:rPr>
          <w:rFonts w:hint="eastAsia"/>
          <w:color w:val="auto"/>
          <w:vertAlign w:val="baseline"/>
          <w:lang w:eastAsia="zh-CN"/>
        </w:rPr>
        <w:t>、</w:t>
      </w:r>
      <w:r>
        <w:rPr>
          <w:rFonts w:hint="eastAsia"/>
          <w:color w:val="auto"/>
          <w:vertAlign w:val="baseline"/>
          <w:lang w:val="en-US" w:eastAsia="zh-CN"/>
        </w:rPr>
        <w:t>臭气浓度20（无量纲）</w:t>
      </w:r>
      <w:r>
        <w:rPr>
          <w:rFonts w:hint="eastAsia"/>
          <w:color w:val="auto"/>
          <w:lang w:eastAsia="zh-CN"/>
        </w:rPr>
        <w:t>）。</w:t>
      </w:r>
    </w:p>
    <w:p>
      <w:pPr>
        <w:pStyle w:val="10"/>
        <w:spacing w:line="360" w:lineRule="auto"/>
        <w:rPr>
          <w:color w:val="auto"/>
        </w:rPr>
      </w:pPr>
      <w:r>
        <w:rPr>
          <w:color w:val="auto"/>
        </w:rPr>
        <w:t>13.1.4.2废水污染防治措施</w:t>
      </w:r>
    </w:p>
    <w:p>
      <w:pPr>
        <w:adjustRightInd w:val="0"/>
        <w:snapToGrid w:val="0"/>
        <w:ind w:firstLine="480"/>
        <w:rPr>
          <w:color w:val="auto"/>
        </w:rPr>
      </w:pPr>
      <w:r>
        <w:rPr>
          <w:rFonts w:hint="eastAsia"/>
          <w:color w:val="auto"/>
          <w:szCs w:val="24"/>
        </w:rPr>
        <w:t>本项目废水主要为</w:t>
      </w:r>
      <w:r>
        <w:rPr>
          <w:color w:val="auto"/>
        </w:rPr>
        <w:t>循环冷却系统排水、化验室排水、</w:t>
      </w:r>
      <w:r>
        <w:rPr>
          <w:rFonts w:hint="eastAsia"/>
          <w:color w:val="auto"/>
        </w:rPr>
        <w:t>喷淋塔废水</w:t>
      </w:r>
      <w:r>
        <w:rPr>
          <w:color w:val="auto"/>
        </w:rPr>
        <w:t>、地面清洗废水、生活废水</w:t>
      </w:r>
      <w:r>
        <w:rPr>
          <w:rFonts w:hint="eastAsia"/>
          <w:color w:val="auto"/>
        </w:rPr>
        <w:t>和生产废水</w:t>
      </w:r>
      <w:r>
        <w:rPr>
          <w:color w:val="auto"/>
        </w:rPr>
        <w:t>。</w:t>
      </w:r>
      <w:r>
        <w:rPr>
          <w:rFonts w:hint="eastAsia"/>
          <w:color w:val="auto"/>
        </w:rPr>
        <w:t>生活污水直接排入市政污水管网由光大水务（淄博）有限公司水质净化</w:t>
      </w:r>
      <w:r>
        <w:rPr>
          <w:rFonts w:hint="eastAsia"/>
          <w:color w:val="auto"/>
          <w:lang w:eastAsia="zh-CN"/>
        </w:rPr>
        <w:t>三分厂</w:t>
      </w:r>
      <w:r>
        <w:rPr>
          <w:rFonts w:hint="eastAsia"/>
          <w:color w:val="auto"/>
        </w:rPr>
        <w:t>处</w:t>
      </w:r>
      <w:r>
        <w:rPr>
          <w:rFonts w:hint="eastAsia" w:ascii="Times New Roman" w:hAnsi="Times New Roman" w:eastAsia="宋体" w:cs="Times New Roman"/>
          <w:color w:val="auto"/>
        </w:rPr>
        <w:t>理，其余废水经厂区污水处理站处理后水质达到</w:t>
      </w:r>
      <w:r>
        <w:rPr>
          <w:rFonts w:hint="eastAsia" w:cs="Times New Roman"/>
          <w:color w:val="auto"/>
          <w:lang w:val="en-US" w:eastAsia="zh-CN"/>
        </w:rPr>
        <w:t>《污水综合排放标准》（GB8978-1996）三级标准</w:t>
      </w:r>
      <w:r>
        <w:rPr>
          <w:rFonts w:hint="eastAsia" w:ascii="Times New Roman" w:hAnsi="Times New Roman" w:eastAsia="宋体" w:cs="Times New Roman"/>
          <w:color w:val="auto"/>
          <w:lang w:val="en-US" w:eastAsia="zh-CN"/>
        </w:rPr>
        <w:t>及光大水务（淄博）有限公司水质净化</w:t>
      </w:r>
      <w:r>
        <w:rPr>
          <w:rFonts w:hint="eastAsia" w:cs="Times New Roman"/>
          <w:color w:val="auto"/>
          <w:lang w:val="en-US" w:eastAsia="zh-CN"/>
        </w:rPr>
        <w:t>三分厂</w:t>
      </w:r>
      <w:r>
        <w:rPr>
          <w:rFonts w:hint="eastAsia" w:ascii="Times New Roman" w:hAnsi="Times New Roman" w:eastAsia="宋体" w:cs="Times New Roman"/>
          <w:color w:val="auto"/>
          <w:lang w:val="en-US" w:eastAsia="zh-CN"/>
        </w:rPr>
        <w:t>纳管水质要求后</w:t>
      </w:r>
      <w:r>
        <w:rPr>
          <w:rFonts w:hint="eastAsia" w:ascii="Times New Roman" w:hAnsi="Times New Roman" w:eastAsia="宋体" w:cs="Times New Roman"/>
          <w:color w:val="auto"/>
        </w:rPr>
        <w:t>，</w:t>
      </w:r>
      <w:r>
        <w:rPr>
          <w:rFonts w:hint="eastAsia"/>
          <w:color w:val="auto"/>
        </w:rPr>
        <w:t>与生活污水排入光大水务（淄博）有限公司水质净化</w:t>
      </w:r>
      <w:r>
        <w:rPr>
          <w:rFonts w:hint="eastAsia"/>
          <w:color w:val="auto"/>
          <w:lang w:eastAsia="zh-CN"/>
        </w:rPr>
        <w:t>三分厂</w:t>
      </w:r>
      <w:r>
        <w:rPr>
          <w:rFonts w:hint="eastAsia"/>
          <w:color w:val="auto"/>
        </w:rPr>
        <w:t>处理</w:t>
      </w:r>
      <w:r>
        <w:rPr>
          <w:color w:val="auto"/>
        </w:rPr>
        <w:t>。</w:t>
      </w:r>
      <w:r>
        <w:rPr>
          <w:rFonts w:hint="eastAsia"/>
          <w:color w:val="auto"/>
        </w:rPr>
        <w:t>不直接排入环境，对周围地表水水质影响较小</w:t>
      </w:r>
      <w:r>
        <w:rPr>
          <w:color w:val="auto"/>
        </w:rPr>
        <w:t>。</w:t>
      </w:r>
    </w:p>
    <w:p>
      <w:pPr>
        <w:pStyle w:val="10"/>
        <w:spacing w:line="360" w:lineRule="auto"/>
        <w:rPr>
          <w:color w:val="auto"/>
        </w:rPr>
      </w:pPr>
      <w:r>
        <w:rPr>
          <w:color w:val="auto"/>
        </w:rPr>
        <w:t>13.1.4.3噪声防治措施</w:t>
      </w:r>
    </w:p>
    <w:p>
      <w:pPr>
        <w:ind w:firstLine="480"/>
        <w:rPr>
          <w:color w:val="auto"/>
        </w:rPr>
      </w:pPr>
      <w:r>
        <w:rPr>
          <w:color w:val="auto"/>
        </w:rPr>
        <w:t>本项目主要噪声源为</w:t>
      </w:r>
      <w:r>
        <w:rPr>
          <w:rFonts w:hint="eastAsia"/>
          <w:color w:val="auto"/>
        </w:rPr>
        <w:t>造粒机、</w:t>
      </w:r>
      <w:r>
        <w:rPr>
          <w:rFonts w:hint="eastAsia"/>
          <w:color w:val="auto"/>
          <w:lang w:val="en-US" w:eastAsia="zh-CN"/>
        </w:rPr>
        <w:t>干燥机</w:t>
      </w:r>
      <w:r>
        <w:rPr>
          <w:rFonts w:hint="eastAsia"/>
          <w:color w:val="auto"/>
        </w:rPr>
        <w:t>、</w:t>
      </w:r>
      <w:r>
        <w:rPr>
          <w:color w:val="auto"/>
        </w:rPr>
        <w:t>风机、泵类等设备，对以上噪声源将分别采取密闭车间、加隔声罩、基础减振等多种措施进行降噪处理，对各厂界的贡献值较小。本项目的东</w:t>
      </w:r>
      <w:r>
        <w:rPr>
          <w:rFonts w:hint="eastAsia"/>
          <w:color w:val="auto"/>
        </w:rPr>
        <w:t>、</w:t>
      </w:r>
      <w:r>
        <w:rPr>
          <w:color w:val="auto"/>
        </w:rPr>
        <w:t>南、西、北厂界昼、夜间噪声均能满足《工业企业厂界环境噪声排放标准》（GB12348-2008）中的</w:t>
      </w:r>
      <w:r>
        <w:rPr>
          <w:rFonts w:hint="eastAsia"/>
          <w:color w:val="auto"/>
          <w:lang w:eastAsia="zh-CN"/>
        </w:rPr>
        <w:t>2类标准</w:t>
      </w:r>
      <w:r>
        <w:rPr>
          <w:color w:val="auto"/>
        </w:rPr>
        <w:t>要求。</w:t>
      </w:r>
    </w:p>
    <w:p>
      <w:pPr>
        <w:pStyle w:val="10"/>
        <w:spacing w:line="360" w:lineRule="auto"/>
        <w:rPr>
          <w:color w:val="auto"/>
        </w:rPr>
      </w:pPr>
      <w:r>
        <w:rPr>
          <w:color w:val="auto"/>
        </w:rPr>
        <w:t>13.1.4.4固废防治措施</w:t>
      </w:r>
    </w:p>
    <w:p>
      <w:pPr>
        <w:widowControl/>
        <w:adjustRightInd w:val="0"/>
        <w:ind w:firstLine="480"/>
        <w:jc w:val="left"/>
        <w:rPr>
          <w:color w:val="auto"/>
        </w:rPr>
      </w:pPr>
      <w:r>
        <w:rPr>
          <w:rFonts w:hint="eastAsia"/>
          <w:color w:val="auto"/>
        </w:rPr>
        <w:t>本项目主要固废包括</w:t>
      </w:r>
      <w:r>
        <w:rPr>
          <w:color w:val="auto"/>
        </w:rPr>
        <w:t>废包装袋、废包装桶、污水站污泥、</w:t>
      </w:r>
      <w:r>
        <w:rPr>
          <w:rFonts w:hint="eastAsia"/>
          <w:color w:val="auto"/>
          <w:lang w:val="en-US" w:eastAsia="zh-CN"/>
        </w:rPr>
        <w:t>高沸物、罐底残渣、</w:t>
      </w:r>
      <w:r>
        <w:rPr>
          <w:color w:val="auto"/>
        </w:rPr>
        <w:t>废活性炭、废润滑油、化验室废试剂瓶、化验室废液、</w:t>
      </w:r>
      <w:r>
        <w:rPr>
          <w:rFonts w:hint="eastAsia"/>
          <w:color w:val="auto"/>
          <w:lang w:val="en-US" w:eastAsia="zh-CN"/>
        </w:rPr>
        <w:t>废导热油、</w:t>
      </w:r>
      <w:r>
        <w:rPr>
          <w:color w:val="auto"/>
        </w:rPr>
        <w:t>生活垃圾等</w:t>
      </w:r>
      <w:r>
        <w:rPr>
          <w:rFonts w:hint="eastAsia"/>
          <w:color w:val="auto"/>
        </w:rPr>
        <w:t>。</w:t>
      </w:r>
    </w:p>
    <w:p>
      <w:pPr>
        <w:pStyle w:val="2"/>
        <w:spacing w:after="0"/>
        <w:ind w:firstLine="480"/>
        <w:rPr>
          <w:color w:val="auto"/>
        </w:rPr>
      </w:pPr>
      <w:r>
        <w:rPr>
          <w:rFonts w:hint="eastAsia"/>
          <w:color w:val="auto"/>
        </w:rPr>
        <w:t>一般工业固废主要是</w:t>
      </w:r>
      <w:r>
        <w:rPr>
          <w:color w:val="auto"/>
        </w:rPr>
        <w:t>废包装袋、废包装桶</w:t>
      </w:r>
      <w:r>
        <w:rPr>
          <w:rFonts w:hint="eastAsia"/>
          <w:color w:val="auto"/>
        </w:rPr>
        <w:t>、</w:t>
      </w:r>
      <w:r>
        <w:rPr>
          <w:color w:val="auto"/>
        </w:rPr>
        <w:t>污水</w:t>
      </w:r>
      <w:r>
        <w:rPr>
          <w:rFonts w:hint="eastAsia"/>
          <w:color w:val="auto"/>
        </w:rPr>
        <w:t>处理</w:t>
      </w:r>
      <w:r>
        <w:rPr>
          <w:color w:val="auto"/>
        </w:rPr>
        <w:t>站污泥</w:t>
      </w:r>
      <w:r>
        <w:rPr>
          <w:rFonts w:hint="eastAsia"/>
          <w:color w:val="auto"/>
        </w:rPr>
        <w:t>，</w:t>
      </w:r>
      <w:r>
        <w:rPr>
          <w:color w:val="auto"/>
        </w:rPr>
        <w:t>废包装袋、废包装桶</w:t>
      </w:r>
      <w:r>
        <w:rPr>
          <w:rFonts w:hint="eastAsia"/>
          <w:color w:val="auto"/>
        </w:rPr>
        <w:t>收集后定期外售，</w:t>
      </w:r>
      <w:r>
        <w:rPr>
          <w:color w:val="auto"/>
        </w:rPr>
        <w:t>污水</w:t>
      </w:r>
      <w:r>
        <w:rPr>
          <w:rFonts w:hint="eastAsia"/>
          <w:color w:val="auto"/>
        </w:rPr>
        <w:t>处理</w:t>
      </w:r>
      <w:r>
        <w:rPr>
          <w:color w:val="auto"/>
        </w:rPr>
        <w:t>站污泥</w:t>
      </w:r>
      <w:r>
        <w:rPr>
          <w:rFonts w:hint="eastAsia"/>
          <w:color w:val="auto"/>
        </w:rPr>
        <w:t>泥饼定期外运至有资质单位处置。</w:t>
      </w:r>
    </w:p>
    <w:p>
      <w:pPr>
        <w:ind w:firstLine="480"/>
        <w:rPr>
          <w:color w:val="auto"/>
        </w:rPr>
      </w:pPr>
      <w:r>
        <w:rPr>
          <w:rFonts w:hint="eastAsia"/>
          <w:color w:val="auto"/>
        </w:rPr>
        <w:t>危险废物主要是</w:t>
      </w:r>
      <w:r>
        <w:rPr>
          <w:rFonts w:hint="eastAsia"/>
          <w:color w:val="auto"/>
          <w:lang w:val="en-US" w:eastAsia="zh-CN"/>
        </w:rPr>
        <w:t>高沸物、罐底残渣、</w:t>
      </w:r>
      <w:r>
        <w:rPr>
          <w:color w:val="auto"/>
        </w:rPr>
        <w:t>废活性炭、废润滑油、化验室废试剂瓶、化验室废液</w:t>
      </w:r>
      <w:r>
        <w:rPr>
          <w:rFonts w:hint="eastAsia"/>
          <w:color w:val="auto"/>
          <w:lang w:eastAsia="zh-CN"/>
        </w:rPr>
        <w:t>、</w:t>
      </w:r>
      <w:r>
        <w:rPr>
          <w:rFonts w:hint="eastAsia"/>
          <w:color w:val="auto"/>
          <w:lang w:val="en-US" w:eastAsia="zh-CN"/>
        </w:rPr>
        <w:t>废导热油</w:t>
      </w:r>
      <w:r>
        <w:rPr>
          <w:rFonts w:hint="eastAsia"/>
          <w:color w:val="auto"/>
        </w:rPr>
        <w:t>，</w:t>
      </w:r>
      <w:r>
        <w:rPr>
          <w:color w:val="auto"/>
        </w:rPr>
        <w:t>废润滑油</w:t>
      </w:r>
      <w:r>
        <w:rPr>
          <w:rFonts w:hint="eastAsia"/>
          <w:color w:val="auto"/>
          <w:lang w:eastAsia="zh-CN"/>
        </w:rPr>
        <w:t>、</w:t>
      </w:r>
      <w:r>
        <w:rPr>
          <w:rFonts w:hint="eastAsia"/>
          <w:color w:val="auto"/>
          <w:lang w:val="en-US" w:eastAsia="zh-CN"/>
        </w:rPr>
        <w:t>废导热油</w:t>
      </w:r>
      <w:r>
        <w:rPr>
          <w:color w:val="auto"/>
        </w:rPr>
        <w:t>定期更换后收集至包装桶，由叉车转运至危废暂存间；化验室废液装桶后与废试剂瓶转运至危废暂存间；废活性炭更换后收集到</w:t>
      </w:r>
      <w:r>
        <w:rPr>
          <w:rFonts w:hint="eastAsia"/>
          <w:color w:val="auto"/>
        </w:rPr>
        <w:t>包装桶内</w:t>
      </w:r>
      <w:r>
        <w:rPr>
          <w:color w:val="auto"/>
        </w:rPr>
        <w:t>，由叉车转运至危废暂存间；所产危废均委托有资质单位处置。</w:t>
      </w:r>
    </w:p>
    <w:p>
      <w:pPr>
        <w:pStyle w:val="2"/>
        <w:spacing w:after="0"/>
        <w:ind w:firstLine="480"/>
        <w:rPr>
          <w:color w:val="auto"/>
        </w:rPr>
      </w:pPr>
      <w:r>
        <w:rPr>
          <w:rFonts w:hint="eastAsia"/>
          <w:color w:val="auto"/>
        </w:rPr>
        <w:t>生活垃圾由环卫部门定期清运。</w:t>
      </w:r>
    </w:p>
    <w:p>
      <w:pPr>
        <w:pStyle w:val="9"/>
        <w:spacing w:before="156" w:after="156" w:line="360" w:lineRule="auto"/>
        <w:rPr>
          <w:color w:val="auto"/>
        </w:rPr>
      </w:pPr>
      <w:r>
        <w:rPr>
          <w:color w:val="auto"/>
        </w:rPr>
        <w:t>13.1.5环境影响情况</w:t>
      </w:r>
    </w:p>
    <w:p>
      <w:pPr>
        <w:pStyle w:val="10"/>
        <w:spacing w:line="360" w:lineRule="auto"/>
        <w:rPr>
          <w:color w:val="auto"/>
        </w:rPr>
      </w:pPr>
      <w:r>
        <w:rPr>
          <w:color w:val="auto"/>
        </w:rPr>
        <w:t>13.1.5.1环境空气影响</w:t>
      </w:r>
    </w:p>
    <w:p>
      <w:pPr>
        <w:ind w:firstLine="480"/>
        <w:rPr>
          <w:color w:val="auto"/>
        </w:rPr>
      </w:pPr>
      <w:r>
        <w:rPr>
          <w:rFonts w:hint="eastAsia"/>
          <w:color w:val="auto"/>
        </w:rPr>
        <w:t>拟建项目实施后严格执行本报告所列废气处理设施，污染物可达标排放，严格执行总量控制及倍量替代，不会影响区域环境质量整体改善的趋势。</w:t>
      </w:r>
      <w:r>
        <w:rPr>
          <w:color w:val="auto"/>
        </w:rPr>
        <w:t>项目无需设置大气环境防护距离。</w:t>
      </w:r>
    </w:p>
    <w:p>
      <w:pPr>
        <w:pStyle w:val="10"/>
        <w:spacing w:line="360" w:lineRule="auto"/>
        <w:rPr>
          <w:color w:val="auto"/>
        </w:rPr>
      </w:pPr>
      <w:r>
        <w:rPr>
          <w:color w:val="auto"/>
        </w:rPr>
        <w:t>13.1.5.2水环境影响</w:t>
      </w:r>
    </w:p>
    <w:p>
      <w:pPr>
        <w:pStyle w:val="2"/>
        <w:spacing w:after="0" w:line="360" w:lineRule="auto"/>
        <w:ind w:firstLine="480"/>
        <w:rPr>
          <w:color w:val="auto"/>
        </w:rPr>
      </w:pPr>
      <w:r>
        <w:rPr>
          <w:color w:val="auto"/>
        </w:rPr>
        <w:t>地表水：</w:t>
      </w:r>
      <w:r>
        <w:rPr>
          <w:rFonts w:hint="eastAsia"/>
          <w:color w:val="auto"/>
        </w:rPr>
        <w:t>生活污水直接排入市政污水管网由光大水务（淄博）有限公司水质净化</w:t>
      </w:r>
      <w:r>
        <w:rPr>
          <w:rFonts w:hint="eastAsia"/>
          <w:color w:val="auto"/>
          <w:lang w:eastAsia="zh-CN"/>
        </w:rPr>
        <w:t>三分厂</w:t>
      </w:r>
      <w:r>
        <w:rPr>
          <w:rFonts w:hint="eastAsia"/>
          <w:color w:val="auto"/>
        </w:rPr>
        <w:t>处理，其余</w:t>
      </w:r>
      <w:r>
        <w:rPr>
          <w:color w:val="auto"/>
        </w:rPr>
        <w:t>废水经</w:t>
      </w:r>
      <w:r>
        <w:rPr>
          <w:rFonts w:hint="eastAsia"/>
          <w:color w:val="auto"/>
        </w:rPr>
        <w:t>厂区污水处理站</w:t>
      </w:r>
      <w:r>
        <w:rPr>
          <w:color w:val="auto"/>
        </w:rPr>
        <w:t>处理后水质达到</w:t>
      </w:r>
      <w:r>
        <w:rPr>
          <w:rFonts w:hint="eastAsia"/>
          <w:color w:val="auto"/>
          <w:lang w:val="en-US" w:eastAsia="zh-CN"/>
        </w:rPr>
        <w:t>《污水综合排放标准》（GB8978-1996）三级标准及光大水务（淄博）有限公司水质净化三分厂纳管水质要求后</w:t>
      </w:r>
      <w:r>
        <w:rPr>
          <w:color w:val="auto"/>
        </w:rPr>
        <w:t>，</w:t>
      </w:r>
      <w:r>
        <w:rPr>
          <w:rFonts w:hint="eastAsia"/>
          <w:color w:val="auto"/>
        </w:rPr>
        <w:t>与生活污水排入光大水务（淄博）有限公司水质净化</w:t>
      </w:r>
      <w:r>
        <w:rPr>
          <w:rFonts w:hint="eastAsia"/>
          <w:color w:val="auto"/>
          <w:lang w:eastAsia="zh-CN"/>
        </w:rPr>
        <w:t>三分厂</w:t>
      </w:r>
      <w:r>
        <w:rPr>
          <w:rFonts w:hint="eastAsia"/>
          <w:color w:val="auto"/>
        </w:rPr>
        <w:t>处理</w:t>
      </w:r>
      <w:r>
        <w:rPr>
          <w:color w:val="auto"/>
        </w:rPr>
        <w:t>。</w:t>
      </w:r>
      <w:r>
        <w:rPr>
          <w:rFonts w:hint="eastAsia"/>
          <w:color w:val="auto"/>
        </w:rPr>
        <w:t>不直接排入环境，对周围地表水水质影响较小</w:t>
      </w:r>
      <w:r>
        <w:rPr>
          <w:color w:val="auto"/>
        </w:rPr>
        <w:t>。</w:t>
      </w:r>
    </w:p>
    <w:p>
      <w:pPr>
        <w:pStyle w:val="2"/>
        <w:spacing w:after="0" w:line="360" w:lineRule="auto"/>
        <w:ind w:firstLine="480"/>
        <w:rPr>
          <w:color w:val="auto"/>
        </w:rPr>
      </w:pPr>
      <w:r>
        <w:rPr>
          <w:color w:val="auto"/>
        </w:rPr>
        <w:t>地下水：在严格落实防渗措施的条件下，项目的建设运行对地下水环境影响风险较小，综合考虑区域水文地质条件、地下水保护目标等因素，从水文地质角度分析，该项目的建设对地下水环境影响较小。</w:t>
      </w:r>
    </w:p>
    <w:p>
      <w:pPr>
        <w:pStyle w:val="10"/>
        <w:spacing w:line="360" w:lineRule="auto"/>
        <w:rPr>
          <w:color w:val="auto"/>
        </w:rPr>
      </w:pPr>
      <w:r>
        <w:rPr>
          <w:color w:val="auto"/>
        </w:rPr>
        <w:t>13.1.5.3噪声环境影响</w:t>
      </w:r>
    </w:p>
    <w:p>
      <w:pPr>
        <w:pStyle w:val="2"/>
        <w:spacing w:after="0" w:line="360" w:lineRule="auto"/>
        <w:ind w:firstLine="480"/>
        <w:rPr>
          <w:color w:val="auto"/>
        </w:rPr>
      </w:pPr>
      <w:r>
        <w:rPr>
          <w:color w:val="auto"/>
        </w:rPr>
        <w:t>在采取减震、隔声、消声等相关防治措施后，本项目的</w:t>
      </w:r>
      <w:r>
        <w:rPr>
          <w:rFonts w:hint="eastAsia"/>
          <w:color w:val="auto"/>
        </w:rPr>
        <w:t>东、</w:t>
      </w:r>
      <w:r>
        <w:rPr>
          <w:color w:val="auto"/>
        </w:rPr>
        <w:t>南、西、北厂界昼、夜间噪声均能满足《工业企业厂界环境噪声排放标准》（GB12348-2008）中的</w:t>
      </w:r>
      <w:r>
        <w:rPr>
          <w:rFonts w:hint="eastAsia"/>
          <w:color w:val="auto"/>
          <w:lang w:eastAsia="zh-CN"/>
        </w:rPr>
        <w:t>2类标准</w:t>
      </w:r>
      <w:r>
        <w:rPr>
          <w:color w:val="auto"/>
        </w:rPr>
        <w:t>要求，</w:t>
      </w:r>
      <w:r>
        <w:rPr>
          <w:rFonts w:hint="eastAsia"/>
          <w:color w:val="auto"/>
        </w:rPr>
        <w:t>西北方向180m处的声环境敏感目标解营村</w:t>
      </w:r>
      <w:r>
        <w:rPr>
          <w:color w:val="auto"/>
        </w:rPr>
        <w:t>昼、夜间噪声均能满足《</w:t>
      </w:r>
      <w:r>
        <w:rPr>
          <w:rFonts w:hint="eastAsia"/>
          <w:color w:val="auto"/>
        </w:rPr>
        <w:t>声环境质量标准</w:t>
      </w:r>
      <w:r>
        <w:rPr>
          <w:color w:val="auto"/>
        </w:rPr>
        <w:t>》（GB</w:t>
      </w:r>
      <w:r>
        <w:rPr>
          <w:rFonts w:hint="eastAsia"/>
          <w:color w:val="auto"/>
        </w:rPr>
        <w:t>3096-2008</w:t>
      </w:r>
      <w:r>
        <w:rPr>
          <w:color w:val="auto"/>
        </w:rPr>
        <w:t>）中的</w:t>
      </w:r>
      <w:r>
        <w:rPr>
          <w:rFonts w:hint="eastAsia"/>
          <w:color w:val="auto"/>
        </w:rPr>
        <w:t>2</w:t>
      </w:r>
      <w:r>
        <w:rPr>
          <w:color w:val="auto"/>
        </w:rPr>
        <w:t>类标准要求。本项目的建设对周围声环境影响较小。</w:t>
      </w:r>
    </w:p>
    <w:p>
      <w:pPr>
        <w:pStyle w:val="10"/>
        <w:spacing w:line="360" w:lineRule="auto"/>
        <w:rPr>
          <w:color w:val="auto"/>
        </w:rPr>
      </w:pPr>
      <w:r>
        <w:rPr>
          <w:color w:val="auto"/>
        </w:rPr>
        <w:t>13.1.5.4环境风险评价</w:t>
      </w:r>
    </w:p>
    <w:p>
      <w:pPr>
        <w:pStyle w:val="2"/>
        <w:pageBreakBefore w:val="0"/>
        <w:widowControl w:val="0"/>
        <w:kinsoku/>
        <w:wordWrap/>
        <w:overflowPunct/>
        <w:topLinePunct w:val="0"/>
        <w:autoSpaceDE/>
        <w:autoSpaceDN/>
        <w:bidi w:val="0"/>
        <w:adjustRightInd/>
        <w:snapToGrid/>
        <w:spacing w:after="0" w:line="360" w:lineRule="auto"/>
        <w:ind w:firstLine="480"/>
        <w:textAlignment w:val="auto"/>
        <w:rPr>
          <w:color w:val="auto"/>
        </w:rPr>
      </w:pPr>
      <w:r>
        <w:rPr>
          <w:color w:val="auto"/>
        </w:rPr>
        <w:t>项目环境风险水平较低，主要风险事故为</w:t>
      </w:r>
      <w:r>
        <w:rPr>
          <w:rFonts w:hint="eastAsia"/>
          <w:color w:val="auto"/>
        </w:rPr>
        <w:t>导热油</w:t>
      </w:r>
      <w:r>
        <w:rPr>
          <w:color w:val="auto"/>
        </w:rPr>
        <w:t>储罐泄漏，遇明火发生火灾事故。厂区严格按照《建筑设计防火规范》进行安全环保设计，可有效防范环境风险。针对事故废水，全厂设置了三级防控体系，确保事故状态下事故废水不外排。项目采取的风险防范措施可靠，工程风险能够得到有效控制。</w:t>
      </w:r>
    </w:p>
    <w:p>
      <w:pPr>
        <w:pStyle w:val="9"/>
        <w:pageBreakBefore w:val="0"/>
        <w:widowControl w:val="0"/>
        <w:kinsoku/>
        <w:wordWrap/>
        <w:overflowPunct/>
        <w:topLinePunct w:val="0"/>
        <w:autoSpaceDE/>
        <w:autoSpaceDN/>
        <w:bidi w:val="0"/>
        <w:adjustRightInd/>
        <w:snapToGrid/>
        <w:spacing w:before="0" w:beforeLines="0" w:after="0" w:afterLines="0" w:line="360" w:lineRule="auto"/>
        <w:textAlignment w:val="auto"/>
        <w:rPr>
          <w:color w:val="auto"/>
        </w:rPr>
      </w:pPr>
      <w:r>
        <w:rPr>
          <w:color w:val="auto"/>
        </w:rPr>
        <w:t>13.1.6污染物总量控制</w:t>
      </w:r>
    </w:p>
    <w:p>
      <w:pPr>
        <w:pageBreakBefore w:val="0"/>
        <w:widowControl w:val="0"/>
        <w:kinsoku/>
        <w:wordWrap/>
        <w:overflowPunct/>
        <w:topLinePunct w:val="0"/>
        <w:autoSpaceDE/>
        <w:autoSpaceDN/>
        <w:bidi w:val="0"/>
        <w:adjustRightInd/>
        <w:snapToGrid/>
        <w:ind w:firstLine="480"/>
        <w:contextualSpacing/>
        <w:textAlignment w:val="auto"/>
        <w:rPr>
          <w:color w:val="auto"/>
        </w:rPr>
      </w:pPr>
      <w:r>
        <w:rPr>
          <w:color w:val="auto"/>
        </w:rPr>
        <w:t>1、有组织废气</w:t>
      </w:r>
    </w:p>
    <w:p>
      <w:pPr>
        <w:pageBreakBefore w:val="0"/>
        <w:widowControl w:val="0"/>
        <w:kinsoku/>
        <w:wordWrap/>
        <w:overflowPunct/>
        <w:topLinePunct w:val="0"/>
        <w:autoSpaceDE/>
        <w:autoSpaceDN/>
        <w:bidi w:val="0"/>
        <w:adjustRightInd/>
        <w:snapToGrid/>
        <w:ind w:firstLine="480"/>
        <w:contextualSpacing/>
        <w:textAlignment w:val="auto"/>
        <w:rPr>
          <w:color w:val="auto"/>
        </w:rPr>
      </w:pPr>
      <w:r>
        <w:rPr>
          <w:color w:val="auto"/>
        </w:rPr>
        <w:t>本项目</w:t>
      </w:r>
      <w:r>
        <w:rPr>
          <w:rFonts w:hint="eastAsia"/>
          <w:color w:val="auto"/>
        </w:rPr>
        <w:t>有组织</w:t>
      </w:r>
      <w:r>
        <w:rPr>
          <w:color w:val="auto"/>
        </w:rPr>
        <w:t>VOCs</w:t>
      </w:r>
      <w:r>
        <w:rPr>
          <w:rFonts w:hint="eastAsia"/>
          <w:color w:val="auto"/>
        </w:rPr>
        <w:t>、</w:t>
      </w:r>
      <w:r>
        <w:rPr>
          <w:color w:val="auto"/>
        </w:rPr>
        <w:t>SO</w:t>
      </w:r>
      <w:r>
        <w:rPr>
          <w:color w:val="auto"/>
          <w:vertAlign w:val="subscript"/>
        </w:rPr>
        <w:t>2</w:t>
      </w:r>
      <w:r>
        <w:rPr>
          <w:color w:val="auto"/>
        </w:rPr>
        <w:t>、NO</w:t>
      </w:r>
      <w:r>
        <w:rPr>
          <w:color w:val="auto"/>
          <w:vertAlign w:val="subscript"/>
        </w:rPr>
        <w:t>x</w:t>
      </w:r>
      <w:r>
        <w:rPr>
          <w:rFonts w:hint="eastAsia"/>
          <w:color w:val="auto"/>
        </w:rPr>
        <w:t>核算</w:t>
      </w:r>
      <w:r>
        <w:rPr>
          <w:color w:val="auto"/>
        </w:rPr>
        <w:t>排放量为</w:t>
      </w:r>
      <w:r>
        <w:rPr>
          <w:rFonts w:hint="eastAsia"/>
          <w:color w:val="auto"/>
          <w:lang w:val="en-US" w:eastAsia="zh-CN"/>
        </w:rPr>
        <w:t>0.899</w:t>
      </w:r>
      <w:r>
        <w:rPr>
          <w:color w:val="auto"/>
        </w:rPr>
        <w:t>t/a</w:t>
      </w:r>
      <w:r>
        <w:rPr>
          <w:rFonts w:hint="eastAsia"/>
          <w:color w:val="auto"/>
        </w:rPr>
        <w:t>、0.064</w:t>
      </w:r>
      <w:r>
        <w:rPr>
          <w:color w:val="auto"/>
        </w:rPr>
        <w:t>t/a</w:t>
      </w:r>
      <w:r>
        <w:rPr>
          <w:rFonts w:hint="eastAsia"/>
          <w:color w:val="auto"/>
        </w:rPr>
        <w:t>、0.3</w:t>
      </w:r>
      <w:r>
        <w:rPr>
          <w:color w:val="auto"/>
        </w:rPr>
        <w:t>t/a。</w:t>
      </w:r>
    </w:p>
    <w:p>
      <w:pPr>
        <w:pageBreakBefore w:val="0"/>
        <w:widowControl w:val="0"/>
        <w:kinsoku/>
        <w:wordWrap/>
        <w:overflowPunct/>
        <w:topLinePunct w:val="0"/>
        <w:autoSpaceDE/>
        <w:autoSpaceDN/>
        <w:bidi w:val="0"/>
        <w:adjustRightInd/>
        <w:snapToGrid/>
        <w:ind w:firstLine="480"/>
        <w:contextualSpacing/>
        <w:textAlignment w:val="auto"/>
        <w:rPr>
          <w:color w:val="auto"/>
        </w:rPr>
      </w:pPr>
      <w:r>
        <w:rPr>
          <w:color w:val="auto"/>
        </w:rPr>
        <w:t>2、无组织废气</w:t>
      </w:r>
    </w:p>
    <w:p>
      <w:pPr>
        <w:pageBreakBefore w:val="0"/>
        <w:widowControl w:val="0"/>
        <w:kinsoku/>
        <w:wordWrap/>
        <w:overflowPunct/>
        <w:topLinePunct w:val="0"/>
        <w:autoSpaceDE/>
        <w:autoSpaceDN/>
        <w:bidi w:val="0"/>
        <w:adjustRightInd/>
        <w:snapToGrid/>
        <w:ind w:firstLine="480"/>
        <w:contextualSpacing/>
        <w:textAlignment w:val="auto"/>
        <w:rPr>
          <w:color w:val="auto"/>
        </w:rPr>
      </w:pPr>
      <w:r>
        <w:rPr>
          <w:color w:val="auto"/>
        </w:rPr>
        <w:t>根据工程分析，本项目颗粒物、VOCs排放量分别为0.00</w:t>
      </w:r>
      <w:r>
        <w:rPr>
          <w:rFonts w:hint="eastAsia"/>
          <w:color w:val="auto"/>
          <w:lang w:val="en-US" w:eastAsia="zh-CN"/>
        </w:rPr>
        <w:t>8</w:t>
      </w:r>
      <w:r>
        <w:rPr>
          <w:color w:val="auto"/>
        </w:rPr>
        <w:t>t/a、0.</w:t>
      </w:r>
      <w:r>
        <w:rPr>
          <w:rFonts w:hint="eastAsia"/>
          <w:color w:val="auto"/>
          <w:lang w:val="en-US" w:eastAsia="zh-CN"/>
        </w:rPr>
        <w:t>152</w:t>
      </w:r>
      <w:r>
        <w:rPr>
          <w:color w:val="auto"/>
        </w:rPr>
        <w:t>t/a。</w:t>
      </w:r>
    </w:p>
    <w:p>
      <w:pPr>
        <w:ind w:firstLine="480"/>
        <w:contextualSpacing/>
        <w:rPr>
          <w:color w:val="auto"/>
        </w:rPr>
      </w:pPr>
      <w:r>
        <w:rPr>
          <w:color w:val="auto"/>
        </w:rPr>
        <w:t>根据《山东省建设项目主要大气污染物排放总量替代指标核算及管理办法》（鲁环发[2019]132号）和《关于统筹使用“十四五”建设项目主要大气污染物总量指标的通知》（淄环函[2021]55号）</w:t>
      </w:r>
      <w:r>
        <w:rPr>
          <w:rFonts w:hint="eastAsia"/>
          <w:color w:val="auto"/>
        </w:rPr>
        <w:t>的</w:t>
      </w:r>
      <w:r>
        <w:rPr>
          <w:color w:val="auto"/>
        </w:rPr>
        <w:t>要求进行替代，颗粒物、SO</w:t>
      </w:r>
      <w:r>
        <w:rPr>
          <w:color w:val="auto"/>
          <w:vertAlign w:val="subscript"/>
        </w:rPr>
        <w:t>2</w:t>
      </w:r>
      <w:r>
        <w:rPr>
          <w:color w:val="auto"/>
        </w:rPr>
        <w:t>、NOx、VOCs需2倍削减替代</w:t>
      </w:r>
      <w:r>
        <w:rPr>
          <w:rFonts w:hint="eastAsia"/>
          <w:color w:val="auto"/>
        </w:rPr>
        <w:t>，本项目需确认总量</w:t>
      </w:r>
      <w:r>
        <w:rPr>
          <w:color w:val="auto"/>
        </w:rPr>
        <w:t>VOCs</w:t>
      </w:r>
      <w:r>
        <w:rPr>
          <w:rFonts w:hint="eastAsia"/>
          <w:color w:val="auto"/>
        </w:rPr>
        <w:t>、颗粒物、</w:t>
      </w:r>
      <w:r>
        <w:rPr>
          <w:color w:val="auto"/>
        </w:rPr>
        <w:t>SO</w:t>
      </w:r>
      <w:r>
        <w:rPr>
          <w:color w:val="auto"/>
          <w:vertAlign w:val="subscript"/>
        </w:rPr>
        <w:t>2</w:t>
      </w:r>
      <w:r>
        <w:rPr>
          <w:color w:val="auto"/>
        </w:rPr>
        <w:t>、NO</w:t>
      </w:r>
      <w:r>
        <w:rPr>
          <w:color w:val="auto"/>
          <w:vertAlign w:val="subscript"/>
        </w:rPr>
        <w:t>x</w:t>
      </w:r>
      <w:r>
        <w:rPr>
          <w:rFonts w:hint="eastAsia"/>
          <w:color w:val="auto"/>
        </w:rPr>
        <w:t>分别为</w:t>
      </w:r>
      <w:r>
        <w:rPr>
          <w:rFonts w:hint="eastAsia"/>
          <w:color w:val="auto"/>
          <w:lang w:val="en-US" w:eastAsia="zh-CN"/>
        </w:rPr>
        <w:t>1.051</w:t>
      </w:r>
      <w:r>
        <w:rPr>
          <w:color w:val="auto"/>
        </w:rPr>
        <w:t>t/a</w:t>
      </w:r>
      <w:r>
        <w:rPr>
          <w:rFonts w:hint="eastAsia"/>
          <w:color w:val="auto"/>
        </w:rPr>
        <w:t>、0.</w:t>
      </w:r>
      <w:r>
        <w:rPr>
          <w:rFonts w:hint="eastAsia"/>
          <w:color w:val="auto"/>
          <w:lang w:val="en-US" w:eastAsia="zh-CN"/>
        </w:rPr>
        <w:t>008</w:t>
      </w:r>
      <w:r>
        <w:rPr>
          <w:color w:val="auto"/>
        </w:rPr>
        <w:t>t/a</w:t>
      </w:r>
      <w:r>
        <w:rPr>
          <w:rFonts w:hint="eastAsia"/>
          <w:color w:val="auto"/>
        </w:rPr>
        <w:t>、0.064</w:t>
      </w:r>
      <w:r>
        <w:rPr>
          <w:color w:val="auto"/>
        </w:rPr>
        <w:t>t/a</w:t>
      </w:r>
      <w:r>
        <w:rPr>
          <w:rFonts w:hint="eastAsia"/>
          <w:color w:val="auto"/>
        </w:rPr>
        <w:t>、0.3</w:t>
      </w:r>
      <w:r>
        <w:rPr>
          <w:color w:val="auto"/>
        </w:rPr>
        <w:t>t/a</w:t>
      </w:r>
      <w:r>
        <w:rPr>
          <w:rFonts w:hint="eastAsia"/>
          <w:color w:val="auto"/>
        </w:rPr>
        <w:t>。本项目</w:t>
      </w:r>
      <w:r>
        <w:rPr>
          <w:color w:val="auto"/>
          <w:szCs w:val="24"/>
        </w:rPr>
        <w:t>VOCs</w:t>
      </w:r>
      <w:r>
        <w:rPr>
          <w:rFonts w:hint="eastAsia"/>
          <w:color w:val="auto"/>
          <w:szCs w:val="24"/>
        </w:rPr>
        <w:t>、</w:t>
      </w:r>
      <w:r>
        <w:rPr>
          <w:rFonts w:hint="eastAsia"/>
          <w:color w:val="auto"/>
        </w:rPr>
        <w:t>颗粒物、</w:t>
      </w:r>
      <w:r>
        <w:rPr>
          <w:color w:val="auto"/>
        </w:rPr>
        <w:t>SO</w:t>
      </w:r>
      <w:r>
        <w:rPr>
          <w:color w:val="auto"/>
          <w:vertAlign w:val="subscript"/>
        </w:rPr>
        <w:t>2</w:t>
      </w:r>
      <w:r>
        <w:rPr>
          <w:color w:val="auto"/>
        </w:rPr>
        <w:t>、NO</w:t>
      </w:r>
      <w:r>
        <w:rPr>
          <w:color w:val="auto"/>
          <w:vertAlign w:val="subscript"/>
        </w:rPr>
        <w:t>x</w:t>
      </w:r>
      <w:r>
        <w:rPr>
          <w:color w:val="auto"/>
          <w:szCs w:val="24"/>
        </w:rPr>
        <w:t>需2倍削减替代</w:t>
      </w:r>
      <w:r>
        <w:rPr>
          <w:rFonts w:hint="eastAsia"/>
          <w:color w:val="auto"/>
          <w:szCs w:val="24"/>
          <w:lang w:val="en-US" w:eastAsia="zh-CN"/>
        </w:rPr>
        <w:t>2.102</w:t>
      </w:r>
      <w:r>
        <w:rPr>
          <w:rFonts w:hint="eastAsia"/>
          <w:color w:val="auto"/>
          <w:szCs w:val="24"/>
        </w:rPr>
        <w:t>t</w:t>
      </w:r>
      <w:r>
        <w:rPr>
          <w:color w:val="auto"/>
          <w:szCs w:val="24"/>
        </w:rPr>
        <w:t>/a</w:t>
      </w:r>
      <w:r>
        <w:rPr>
          <w:rFonts w:hint="eastAsia"/>
          <w:color w:val="auto"/>
          <w:szCs w:val="24"/>
        </w:rPr>
        <w:t>、0.</w:t>
      </w:r>
      <w:r>
        <w:rPr>
          <w:rFonts w:hint="eastAsia"/>
          <w:color w:val="auto"/>
          <w:szCs w:val="24"/>
          <w:lang w:val="en-US" w:eastAsia="zh-CN"/>
        </w:rPr>
        <w:t>016</w:t>
      </w:r>
      <w:r>
        <w:rPr>
          <w:color w:val="auto"/>
        </w:rPr>
        <w:t>t/a</w:t>
      </w:r>
      <w:r>
        <w:rPr>
          <w:rFonts w:hint="eastAsia"/>
          <w:color w:val="auto"/>
        </w:rPr>
        <w:t>、</w:t>
      </w:r>
      <w:r>
        <w:rPr>
          <w:rFonts w:hint="eastAsia"/>
          <w:color w:val="auto"/>
          <w:szCs w:val="24"/>
        </w:rPr>
        <w:t>0.128</w:t>
      </w:r>
      <w:r>
        <w:rPr>
          <w:color w:val="auto"/>
        </w:rPr>
        <w:t>t/a</w:t>
      </w:r>
      <w:r>
        <w:rPr>
          <w:rFonts w:hint="eastAsia"/>
          <w:color w:val="auto"/>
          <w:szCs w:val="24"/>
        </w:rPr>
        <w:t>、0.6</w:t>
      </w:r>
      <w:r>
        <w:rPr>
          <w:color w:val="auto"/>
        </w:rPr>
        <w:t>t/a</w:t>
      </w:r>
      <w:r>
        <w:rPr>
          <w:rFonts w:hint="eastAsia"/>
          <w:color w:val="auto"/>
        </w:rPr>
        <w:t>。</w:t>
      </w:r>
    </w:p>
    <w:p>
      <w:pPr>
        <w:pStyle w:val="9"/>
        <w:pageBreakBefore w:val="0"/>
        <w:widowControl w:val="0"/>
        <w:kinsoku/>
        <w:wordWrap/>
        <w:overflowPunct/>
        <w:topLinePunct w:val="0"/>
        <w:bidi w:val="0"/>
        <w:snapToGrid/>
        <w:spacing w:before="0" w:beforeLines="0" w:after="0" w:afterLines="0" w:line="360" w:lineRule="auto"/>
        <w:textAlignment w:val="auto"/>
        <w:rPr>
          <w:color w:val="auto"/>
        </w:rPr>
      </w:pPr>
      <w:r>
        <w:rPr>
          <w:color w:val="auto"/>
        </w:rPr>
        <w:t>13.1.7公众参与</w:t>
      </w:r>
    </w:p>
    <w:p>
      <w:pPr>
        <w:pageBreakBefore w:val="0"/>
        <w:widowControl w:val="0"/>
        <w:kinsoku/>
        <w:wordWrap/>
        <w:overflowPunct/>
        <w:topLinePunct w:val="0"/>
        <w:bidi w:val="0"/>
        <w:snapToGrid/>
        <w:ind w:firstLine="480"/>
        <w:textAlignment w:val="auto"/>
        <w:rPr>
          <w:color w:val="auto"/>
        </w:rPr>
      </w:pPr>
      <w:r>
        <w:rPr>
          <w:color w:val="auto"/>
        </w:rPr>
        <w:t>本次环评期间建设单位按照《环境影响评价公众参与办法》进行了公众参与，广泛征求公众对项目建设的意见。建设单位在20</w:t>
      </w:r>
      <w:r>
        <w:rPr>
          <w:rFonts w:hint="eastAsia"/>
          <w:color w:val="auto"/>
        </w:rPr>
        <w:t>22</w:t>
      </w:r>
      <w:r>
        <w:rPr>
          <w:color w:val="auto"/>
        </w:rPr>
        <w:t>年</w:t>
      </w:r>
      <w:r>
        <w:rPr>
          <w:rFonts w:hint="eastAsia"/>
          <w:color w:val="auto"/>
        </w:rPr>
        <w:t>3</w:t>
      </w:r>
      <w:r>
        <w:rPr>
          <w:color w:val="auto"/>
        </w:rPr>
        <w:t>月</w:t>
      </w:r>
      <w:r>
        <w:rPr>
          <w:rFonts w:hint="eastAsia"/>
          <w:color w:val="auto"/>
        </w:rPr>
        <w:t>29</w:t>
      </w:r>
      <w:r>
        <w:rPr>
          <w:color w:val="auto"/>
        </w:rPr>
        <w:t>日通过网络发布了第一次公众参与公告。在报告书基本内容编制完成以后，又于20</w:t>
      </w:r>
      <w:r>
        <w:rPr>
          <w:rFonts w:hint="eastAsia"/>
          <w:color w:val="auto"/>
        </w:rPr>
        <w:t>22</w:t>
      </w:r>
      <w:r>
        <w:rPr>
          <w:color w:val="auto"/>
        </w:rPr>
        <w:t>年</w:t>
      </w:r>
      <w:r>
        <w:rPr>
          <w:rFonts w:hint="eastAsia"/>
          <w:color w:val="auto"/>
        </w:rPr>
        <w:t>7</w:t>
      </w:r>
      <w:r>
        <w:rPr>
          <w:color w:val="auto"/>
        </w:rPr>
        <w:t>月</w:t>
      </w:r>
      <w:r>
        <w:rPr>
          <w:rFonts w:hint="eastAsia"/>
          <w:color w:val="auto"/>
        </w:rPr>
        <w:t>2</w:t>
      </w:r>
      <w:r>
        <w:rPr>
          <w:rFonts w:hint="eastAsia"/>
          <w:color w:val="auto"/>
          <w:lang w:val="en-US" w:eastAsia="zh-CN"/>
        </w:rPr>
        <w:t>9</w:t>
      </w:r>
      <w:r>
        <w:rPr>
          <w:color w:val="auto"/>
        </w:rPr>
        <w:t>日通过网络、报纸、张贴公告的方式同时进行第二次公众参与公示。两次公示期间，均未收到公众的电话、邮件、书面信件或其他任何关于本项目的环境保护方面的反馈意见。本项目公众参与程序符合《环境影响评价公众参与办法》的规定，公众参与说明内容和格式符合要求。</w:t>
      </w:r>
    </w:p>
    <w:p>
      <w:pPr>
        <w:pStyle w:val="9"/>
        <w:pageBreakBefore w:val="0"/>
        <w:widowControl w:val="0"/>
        <w:kinsoku/>
        <w:wordWrap/>
        <w:overflowPunct/>
        <w:topLinePunct w:val="0"/>
        <w:bidi w:val="0"/>
        <w:snapToGrid/>
        <w:spacing w:before="0" w:beforeLines="0" w:after="0" w:afterLines="0" w:line="360" w:lineRule="auto"/>
        <w:textAlignment w:val="auto"/>
        <w:rPr>
          <w:color w:val="auto"/>
        </w:rPr>
      </w:pPr>
      <w:r>
        <w:rPr>
          <w:color w:val="auto"/>
        </w:rPr>
        <w:t>13.1.8结论</w:t>
      </w:r>
    </w:p>
    <w:p>
      <w:pPr>
        <w:pageBreakBefore w:val="0"/>
        <w:widowControl w:val="0"/>
        <w:kinsoku/>
        <w:wordWrap/>
        <w:overflowPunct/>
        <w:topLinePunct w:val="0"/>
        <w:autoSpaceDE w:val="0"/>
        <w:autoSpaceDN w:val="0"/>
        <w:bidi w:val="0"/>
        <w:adjustRightInd w:val="0"/>
        <w:snapToGrid/>
        <w:ind w:firstLine="480"/>
        <w:textAlignment w:val="auto"/>
        <w:rPr>
          <w:color w:val="auto"/>
          <w:kern w:val="0"/>
        </w:rPr>
      </w:pPr>
      <w:r>
        <w:rPr>
          <w:color w:val="auto"/>
          <w:kern w:val="0"/>
        </w:rPr>
        <w:t>综上所述，山东朗净新材料科技有限公司</w:t>
      </w:r>
      <w:r>
        <w:rPr>
          <w:color w:val="auto"/>
          <w:szCs w:val="24"/>
        </w:rPr>
        <w:t>年产1200吨丙交酯和1000吨聚乳酸新材料示范线项目</w:t>
      </w:r>
      <w:r>
        <w:rPr>
          <w:color w:val="auto"/>
          <w:kern w:val="0"/>
        </w:rPr>
        <w:t>符合国家产业政策要求，符合相关规划和政策要求，属于“零增地”技术改造项目。拟建项目实施后清洁生产水平较高，污染物排放总量符合总量控制要求，工程风险能够有效控制，公众支持本项目建设，项目实施后可实现全厂污染物减排，对区域环境具有改善效应。从环保角度分析，在充分落实报告提出的各项污染防治措施后，项目建设是可行的。</w:t>
      </w:r>
    </w:p>
    <w:p>
      <w:pPr>
        <w:pStyle w:val="8"/>
        <w:spacing w:before="0" w:beforeLines="0" w:after="0" w:afterLines="0" w:line="360" w:lineRule="auto"/>
        <w:rPr>
          <w:color w:val="auto"/>
        </w:rPr>
      </w:pPr>
      <w:bookmarkStart w:id="494" w:name="_Toc9657"/>
      <w:bookmarkStart w:id="495" w:name="_Toc257"/>
      <w:r>
        <w:rPr>
          <w:color w:val="auto"/>
        </w:rPr>
        <w:t>1</w:t>
      </w:r>
      <w:r>
        <w:rPr>
          <w:rFonts w:hint="eastAsia"/>
          <w:color w:val="auto"/>
        </w:rPr>
        <w:t>3</w:t>
      </w:r>
      <w:r>
        <w:rPr>
          <w:color w:val="auto"/>
        </w:rPr>
        <w:t>.2措施与建议</w:t>
      </w:r>
      <w:bookmarkEnd w:id="494"/>
      <w:bookmarkEnd w:id="495"/>
    </w:p>
    <w:p>
      <w:pPr>
        <w:pStyle w:val="9"/>
        <w:spacing w:before="0" w:beforeLines="0" w:after="0" w:afterLines="0" w:line="360" w:lineRule="auto"/>
        <w:rPr>
          <w:color w:val="auto"/>
        </w:rPr>
      </w:pPr>
      <w:r>
        <w:rPr>
          <w:rFonts w:hint="eastAsia"/>
          <w:color w:val="auto"/>
        </w:rPr>
        <w:t>13</w:t>
      </w:r>
      <w:r>
        <w:rPr>
          <w:color w:val="auto"/>
        </w:rPr>
        <w:t>.2.1措施</w:t>
      </w:r>
    </w:p>
    <w:p>
      <w:pPr>
        <w:numPr>
          <w:ilvl w:val="0"/>
          <w:numId w:val="18"/>
        </w:numPr>
        <w:ind w:firstLine="480"/>
        <w:rPr>
          <w:color w:val="auto"/>
        </w:rPr>
      </w:pPr>
      <w:r>
        <w:rPr>
          <w:color w:val="auto"/>
        </w:rPr>
        <w:t>项目建设必须严格执行环保设施与主体工程同时设计、同时施工、同时投产使用的“三同时”制度，工程竣工后按规定完成环保验收，验收合格后主体工程方可投入正式运行。</w:t>
      </w:r>
    </w:p>
    <w:p>
      <w:pPr>
        <w:pStyle w:val="2"/>
        <w:numPr>
          <w:ilvl w:val="0"/>
          <w:numId w:val="18"/>
        </w:numPr>
        <w:spacing w:after="0"/>
        <w:ind w:firstLine="480"/>
        <w:rPr>
          <w:color w:val="auto"/>
        </w:rPr>
      </w:pPr>
      <w:r>
        <w:rPr>
          <w:color w:val="auto"/>
        </w:rPr>
        <w:t>落实废气治理措施，确保达标排放。</w:t>
      </w:r>
    </w:p>
    <w:p>
      <w:pPr>
        <w:ind w:firstLine="480"/>
        <w:rPr>
          <w:color w:val="auto"/>
        </w:rPr>
      </w:pPr>
      <w:r>
        <w:rPr>
          <w:color w:val="auto"/>
        </w:rPr>
        <w:t>3、</w:t>
      </w:r>
      <w:r>
        <w:rPr>
          <w:rFonts w:hint="eastAsia"/>
          <w:color w:val="auto"/>
        </w:rPr>
        <w:t>生活污水与污水处理站出水一同排入市政管网由</w:t>
      </w:r>
      <w:r>
        <w:rPr>
          <w:rFonts w:hint="eastAsia"/>
          <w:color w:val="auto"/>
          <w:szCs w:val="24"/>
        </w:rPr>
        <w:t>光大水务（淄博）有限公司水质净化</w:t>
      </w:r>
      <w:r>
        <w:rPr>
          <w:rFonts w:hint="eastAsia"/>
          <w:color w:val="auto"/>
          <w:szCs w:val="24"/>
          <w:lang w:eastAsia="zh-CN"/>
        </w:rPr>
        <w:t>三分厂</w:t>
      </w:r>
      <w:r>
        <w:rPr>
          <w:rFonts w:hint="eastAsia"/>
          <w:color w:val="auto"/>
          <w:szCs w:val="24"/>
        </w:rPr>
        <w:t>处理后排入猪龙河</w:t>
      </w:r>
      <w:r>
        <w:rPr>
          <w:color w:val="auto"/>
        </w:rPr>
        <w:t>。</w:t>
      </w:r>
    </w:p>
    <w:p>
      <w:pPr>
        <w:ind w:firstLine="480"/>
        <w:rPr>
          <w:color w:val="auto"/>
        </w:rPr>
      </w:pPr>
      <w:r>
        <w:rPr>
          <w:color w:val="auto"/>
        </w:rPr>
        <w:t>4、对项目各种固体废物分类收集后妥善处理和处置。</w:t>
      </w:r>
    </w:p>
    <w:p>
      <w:pPr>
        <w:pStyle w:val="2"/>
        <w:spacing w:after="0"/>
        <w:ind w:firstLine="480"/>
        <w:rPr>
          <w:color w:val="auto"/>
        </w:rPr>
      </w:pPr>
      <w:r>
        <w:rPr>
          <w:color w:val="auto"/>
        </w:rPr>
        <w:t>5、优先选用低噪声设备，对高噪声设备采取隔声、消音、减振等措施，确保厂界噪声满足《工业企业厂界环境噪声排放标准》（GB12348-2008）</w:t>
      </w:r>
      <w:r>
        <w:rPr>
          <w:rFonts w:hint="eastAsia"/>
          <w:color w:val="auto"/>
          <w:lang w:eastAsia="zh-CN"/>
        </w:rPr>
        <w:t>2类标准</w:t>
      </w:r>
      <w:r>
        <w:rPr>
          <w:color w:val="auto"/>
        </w:rPr>
        <w:t>。</w:t>
      </w:r>
    </w:p>
    <w:p>
      <w:pPr>
        <w:ind w:firstLine="480"/>
        <w:rPr>
          <w:color w:val="auto"/>
        </w:rPr>
      </w:pPr>
      <w:r>
        <w:rPr>
          <w:color w:val="auto"/>
        </w:rPr>
        <w:t>6、对罐区、事故水池、废水收集管网等设施采取严格的防渗措施，防止污染地下水和土壤。</w:t>
      </w:r>
    </w:p>
    <w:p>
      <w:pPr>
        <w:ind w:firstLine="480"/>
        <w:rPr>
          <w:color w:val="auto"/>
        </w:rPr>
      </w:pPr>
      <w:r>
        <w:rPr>
          <w:color w:val="auto"/>
        </w:rPr>
        <w:t>7、严格落实报告书中提出的各项环境风险防范措施及应急预案，将事故风险环境影响降到最低水平。</w:t>
      </w:r>
    </w:p>
    <w:p>
      <w:pPr>
        <w:pStyle w:val="9"/>
        <w:spacing w:before="0" w:beforeLines="0" w:after="0" w:afterLines="0" w:line="360" w:lineRule="auto"/>
        <w:rPr>
          <w:color w:val="auto"/>
        </w:rPr>
      </w:pPr>
      <w:r>
        <w:rPr>
          <w:rFonts w:hint="eastAsia"/>
          <w:color w:val="auto"/>
        </w:rPr>
        <w:t>13</w:t>
      </w:r>
      <w:r>
        <w:rPr>
          <w:color w:val="auto"/>
        </w:rPr>
        <w:t>.2.2建议</w:t>
      </w:r>
    </w:p>
    <w:p>
      <w:pPr>
        <w:ind w:firstLine="480"/>
        <w:rPr>
          <w:color w:val="auto"/>
        </w:rPr>
      </w:pPr>
      <w:r>
        <w:rPr>
          <w:color w:val="auto"/>
        </w:rPr>
        <w:t>1、根据地方环保部门通知要求，按时完成排污许可证申领工作；</w:t>
      </w:r>
    </w:p>
    <w:p>
      <w:pPr>
        <w:ind w:firstLine="480"/>
        <w:rPr>
          <w:color w:val="auto"/>
        </w:rPr>
      </w:pPr>
      <w:r>
        <w:rPr>
          <w:color w:val="auto"/>
        </w:rPr>
        <w:t>2、加强对环保设施的管理运行，定期检查运行情况，保证污染物稳定达标排放。</w:t>
      </w:r>
    </w:p>
    <w:p>
      <w:pPr>
        <w:ind w:firstLine="480"/>
        <w:rPr>
          <w:color w:val="auto"/>
        </w:rPr>
      </w:pPr>
      <w:r>
        <w:rPr>
          <w:color w:val="auto"/>
        </w:rPr>
        <w:t>3、制定清洁生产管理办法，定期开展清洁生产审核，进一步提高节能、减排的水平。</w:t>
      </w:r>
    </w:p>
    <w:p>
      <w:pPr>
        <w:pStyle w:val="2"/>
        <w:ind w:firstLine="480"/>
        <w:rPr>
          <w:color w:val="auto"/>
        </w:rPr>
      </w:pPr>
    </w:p>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仿宋_GB2312">
    <w:panose1 w:val="02010609030101010101"/>
    <w:charset w:val="86"/>
    <w:family w:val="auto"/>
    <w:pitch w:val="default"/>
    <w:sig w:usb0="00000001" w:usb1="080E0000" w:usb2="00000000" w:usb3="00000000" w:csb0="00040000" w:csb1="00000000"/>
  </w:font>
  <w:font w:name="Cambria Math">
    <w:panose1 w:val="02040503050406030204"/>
    <w:charset w:val="00"/>
    <w:family w:val="roman"/>
    <w:pitch w:val="default"/>
    <w:sig w:usb0="E00006FF" w:usb1="420024FF" w:usb2="02000000" w:usb3="00000000" w:csb0="2000019F" w:csb1="00000000"/>
  </w:font>
  <w:font w:name="CIDFont">
    <w:altName w:val="AMGDT"/>
    <w:panose1 w:val="00000000000000000000"/>
    <w:charset w:val="00"/>
    <w:family w:val="auto"/>
    <w:pitch w:val="default"/>
    <w:sig w:usb0="00000000" w:usb1="00000000" w:usb2="00000000" w:usb3="00000000" w:csb0="00000000" w:csb1="00000000"/>
  </w:font>
  <w:font w:name="AMGDT">
    <w:panose1 w:val="02000400000000000000"/>
    <w:charset w:val="00"/>
    <w:family w:val="auto"/>
    <w:pitch w:val="default"/>
    <w:sig w:usb0="80000003" w:usb1="10000000" w:usb2="00000000" w:usb3="00000000" w:csb0="00000001" w:csb1="00000000"/>
  </w:font>
  <w:font w:name="等线">
    <w:panose1 w:val="02010600030101010101"/>
    <w:charset w:val="86"/>
    <w:family w:val="auto"/>
    <w:pitch w:val="default"/>
    <w:sig w:usb0="A00002BF" w:usb1="38CF7CFA" w:usb2="00000016" w:usb3="00000000" w:csb0="0004000F"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roman"/>
    <w:pitch w:val="default"/>
    <w:sig w:usb0="00000000" w:usb1="00000000" w:usb2="00000000" w:usb3="00000000" w:csb0="80000000" w:csb1="00000000"/>
  </w:font>
  <w:font w:name="TimesNewRomanPSMT">
    <w:altName w:val="MS Gothic"/>
    <w:panose1 w:val="00000000000000000000"/>
    <w:charset w:val="80"/>
    <w:family w:val="auto"/>
    <w:pitch w:val="default"/>
    <w:sig w:usb0="00000000" w:usb1="00000000" w:usb2="00000000" w:usb3="00000000" w:csb0="00020000" w:csb1="00000000"/>
  </w:font>
  <w:font w:name="MS Gothic">
    <w:panose1 w:val="020B0609070205080204"/>
    <w:charset w:val="80"/>
    <w:family w:val="auto"/>
    <w:pitch w:val="default"/>
    <w:sig w:usb0="E00002FF" w:usb1="6AC7FDFB" w:usb2="08000012" w:usb3="00000000" w:csb0="4002009F" w:csb1="DFD7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jc w:val="center"/>
    </w:pPr>
    <w:r>
      <mc:AlternateContent>
        <mc:Choice Requires="wps">
          <w:drawing>
            <wp:anchor distT="0" distB="0" distL="114300" distR="114300" simplePos="0" relativeHeight="251705344" behindDoc="0" locked="0" layoutInCell="1" allowOverlap="1">
              <wp:simplePos x="0" y="0"/>
              <wp:positionH relativeFrom="margin">
                <wp:align>center</wp:align>
              </wp:positionH>
              <wp:positionV relativeFrom="paragraph">
                <wp:posOffset>0</wp:posOffset>
              </wp:positionV>
              <wp:extent cx="1828800" cy="1828800"/>
              <wp:effectExtent l="0" t="0" r="0" b="0"/>
              <wp:wrapNone/>
              <wp:docPr id="337" name="文本框 2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7"/>
                            <w:ind w:firstLine="420"/>
                            <w:rPr>
                              <w:sz w:val="21"/>
                              <w:szCs w:val="21"/>
                            </w:rPr>
                          </w:pPr>
                          <w:r>
                            <w:rPr>
                              <w:rFonts w:hint="eastAsia"/>
                              <w:sz w:val="21"/>
                              <w:szCs w:val="21"/>
                            </w:rPr>
                            <w:fldChar w:fldCharType="begin"/>
                          </w:r>
                          <w:r>
                            <w:rPr>
                              <w:rFonts w:hint="eastAsia"/>
                              <w:sz w:val="21"/>
                              <w:szCs w:val="21"/>
                            </w:rPr>
                            <w:instrText xml:space="preserve"> PAGE  \* MERGEFORMAT </w:instrText>
                          </w:r>
                          <w:r>
                            <w:rPr>
                              <w:rFonts w:hint="eastAsia"/>
                              <w:sz w:val="21"/>
                              <w:szCs w:val="21"/>
                            </w:rPr>
                            <w:fldChar w:fldCharType="separate"/>
                          </w:r>
                          <w:r>
                            <w:rPr>
                              <w:sz w:val="21"/>
                              <w:szCs w:val="21"/>
                            </w:rPr>
                            <w:t>2</w:t>
                          </w:r>
                          <w:r>
                            <w:rPr>
                              <w:rFonts w:hint="eastAsia"/>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234" o:spid="_x0000_s1026" o:spt="202" type="#_x0000_t202" style="position:absolute;left:0pt;margin-top:0pt;height:144pt;width:144pt;mso-position-horizontal:center;mso-position-horizontal-relative:margin;mso-wrap-style:none;z-index:2517053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s0lY7tAAAAAFAQAADwAAAAAAAAABACAAAAAiAAAAZHJzL2Rvd25yZXYueG1sUEsB&#10;AhQAFAAAAAgAh07iQJlmmzw2AgAAZwQAAA4AAAAAAAAAAQAgAAAAHwEAAGRycy9lMm9Eb2MueG1s&#10;UEsFBgAAAAAGAAYAWQEAAMcFAAAAAA==&#10;">
              <v:fill on="f" focussize="0,0"/>
              <v:stroke on="f" weight="0.5pt"/>
              <v:imagedata o:title=""/>
              <o:lock v:ext="edit" aspectratio="f"/>
              <v:textbox inset="0mm,0mm,0mm,0mm" style="mso-fit-shape-to-text:t;">
                <w:txbxContent>
                  <w:p>
                    <w:pPr>
                      <w:pStyle w:val="17"/>
                      <w:ind w:firstLine="420"/>
                      <w:rPr>
                        <w:sz w:val="21"/>
                        <w:szCs w:val="21"/>
                      </w:rPr>
                    </w:pPr>
                    <w:r>
                      <w:rPr>
                        <w:rFonts w:hint="eastAsia"/>
                        <w:sz w:val="21"/>
                        <w:szCs w:val="21"/>
                      </w:rPr>
                      <w:fldChar w:fldCharType="begin"/>
                    </w:r>
                    <w:r>
                      <w:rPr>
                        <w:rFonts w:hint="eastAsia"/>
                        <w:sz w:val="21"/>
                        <w:szCs w:val="21"/>
                      </w:rPr>
                      <w:instrText xml:space="preserve"> PAGE  \* MERGEFORMAT </w:instrText>
                    </w:r>
                    <w:r>
                      <w:rPr>
                        <w:rFonts w:hint="eastAsia"/>
                        <w:sz w:val="21"/>
                        <w:szCs w:val="21"/>
                      </w:rPr>
                      <w:fldChar w:fldCharType="separate"/>
                    </w:r>
                    <w:r>
                      <w:rPr>
                        <w:sz w:val="21"/>
                        <w:szCs w:val="21"/>
                      </w:rPr>
                      <w:t>2</w:t>
                    </w:r>
                    <w:r>
                      <w:rPr>
                        <w:rFonts w:hint="eastAsia"/>
                        <w:sz w:val="21"/>
                        <w:szCs w:val="21"/>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jc w:val="center"/>
    </w:pPr>
    <w:r>
      <mc:AlternateContent>
        <mc:Choice Requires="wps">
          <w:drawing>
            <wp:anchor distT="0" distB="0" distL="114300" distR="114300" simplePos="0" relativeHeight="251706368" behindDoc="0" locked="0" layoutInCell="1" allowOverlap="1">
              <wp:simplePos x="0" y="0"/>
              <wp:positionH relativeFrom="margin">
                <wp:align>center</wp:align>
              </wp:positionH>
              <wp:positionV relativeFrom="paragraph">
                <wp:posOffset>0</wp:posOffset>
              </wp:positionV>
              <wp:extent cx="1828800" cy="1828800"/>
              <wp:effectExtent l="0" t="0" r="0" b="0"/>
              <wp:wrapNone/>
              <wp:docPr id="59" name="文本框 2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7"/>
                            <w:ind w:firstLine="420"/>
                            <w:rPr>
                              <w:sz w:val="21"/>
                              <w:szCs w:val="21"/>
                            </w:rPr>
                          </w:pPr>
                          <w:r>
                            <w:rPr>
                              <w:rFonts w:hint="eastAsia"/>
                              <w:sz w:val="21"/>
                              <w:szCs w:val="21"/>
                            </w:rPr>
                            <w:fldChar w:fldCharType="begin"/>
                          </w:r>
                          <w:r>
                            <w:rPr>
                              <w:rFonts w:hint="eastAsia"/>
                              <w:sz w:val="21"/>
                              <w:szCs w:val="21"/>
                            </w:rPr>
                            <w:instrText xml:space="preserve"> PAGE  \* MERGEFORMAT </w:instrText>
                          </w:r>
                          <w:r>
                            <w:rPr>
                              <w:rFonts w:hint="eastAsia"/>
                              <w:sz w:val="21"/>
                              <w:szCs w:val="21"/>
                            </w:rPr>
                            <w:fldChar w:fldCharType="separate"/>
                          </w:r>
                          <w:r>
                            <w:rPr>
                              <w:sz w:val="21"/>
                              <w:szCs w:val="21"/>
                            </w:rPr>
                            <w:t>27</w:t>
                          </w:r>
                          <w:r>
                            <w:rPr>
                              <w:rFonts w:hint="eastAsia"/>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234" o:spid="_x0000_s1026" o:spt="202" type="#_x0000_t202" style="position:absolute;left:0pt;margin-top:0pt;height:144pt;width:144pt;mso-position-horizontal:center;mso-position-horizontal-relative:margin;mso-wrap-style:none;z-index:2517063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RaUrIzUCAABmBAAADgAAAAAAAAABACAAAAAfAQAAZHJzL2Uyb0RvYy54bWxQ&#10;SwUGAAAAAAYABgBZAQAAxgUAAAAA&#10;">
              <v:fill on="f" focussize="0,0"/>
              <v:stroke on="f" weight="0.5pt"/>
              <v:imagedata o:title=""/>
              <o:lock v:ext="edit" aspectratio="f"/>
              <v:textbox inset="0mm,0mm,0mm,0mm" style="mso-fit-shape-to-text:t;">
                <w:txbxContent>
                  <w:p>
                    <w:pPr>
                      <w:pStyle w:val="17"/>
                      <w:ind w:firstLine="420"/>
                      <w:rPr>
                        <w:sz w:val="21"/>
                        <w:szCs w:val="21"/>
                      </w:rPr>
                    </w:pPr>
                    <w:r>
                      <w:rPr>
                        <w:rFonts w:hint="eastAsia"/>
                        <w:sz w:val="21"/>
                        <w:szCs w:val="21"/>
                      </w:rPr>
                      <w:fldChar w:fldCharType="begin"/>
                    </w:r>
                    <w:r>
                      <w:rPr>
                        <w:rFonts w:hint="eastAsia"/>
                        <w:sz w:val="21"/>
                        <w:szCs w:val="21"/>
                      </w:rPr>
                      <w:instrText xml:space="preserve"> PAGE  \* MERGEFORMAT </w:instrText>
                    </w:r>
                    <w:r>
                      <w:rPr>
                        <w:rFonts w:hint="eastAsia"/>
                        <w:sz w:val="21"/>
                        <w:szCs w:val="21"/>
                      </w:rPr>
                      <w:fldChar w:fldCharType="separate"/>
                    </w:r>
                    <w:r>
                      <w:rPr>
                        <w:sz w:val="21"/>
                        <w:szCs w:val="21"/>
                      </w:rPr>
                      <w:t>27</w:t>
                    </w:r>
                    <w:r>
                      <w:rPr>
                        <w:rFonts w:hint="eastAsia"/>
                        <w:sz w:val="21"/>
                        <w:szCs w:val="21"/>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jc w:val="center"/>
    </w:pPr>
    <w:r>
      <mc:AlternateContent>
        <mc:Choice Requires="wps">
          <w:drawing>
            <wp:anchor distT="0" distB="0" distL="114300" distR="114300" simplePos="0" relativeHeight="25175142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4" name="文本框 2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7"/>
                            <w:ind w:firstLine="420"/>
                            <w:rPr>
                              <w:sz w:val="21"/>
                              <w:szCs w:val="21"/>
                            </w:rPr>
                          </w:pPr>
                          <w:r>
                            <w:rPr>
                              <w:rFonts w:hint="eastAsia"/>
                              <w:sz w:val="21"/>
                              <w:szCs w:val="21"/>
                            </w:rPr>
                            <w:fldChar w:fldCharType="begin"/>
                          </w:r>
                          <w:r>
                            <w:rPr>
                              <w:rFonts w:hint="eastAsia"/>
                              <w:sz w:val="21"/>
                              <w:szCs w:val="21"/>
                            </w:rPr>
                            <w:instrText xml:space="preserve"> PAGE  \* MERGEFORMAT </w:instrText>
                          </w:r>
                          <w:r>
                            <w:rPr>
                              <w:rFonts w:hint="eastAsia"/>
                              <w:sz w:val="21"/>
                              <w:szCs w:val="21"/>
                            </w:rPr>
                            <w:fldChar w:fldCharType="separate"/>
                          </w:r>
                          <w:r>
                            <w:rPr>
                              <w:sz w:val="21"/>
                              <w:szCs w:val="21"/>
                            </w:rPr>
                            <w:t>27</w:t>
                          </w:r>
                          <w:r>
                            <w:rPr>
                              <w:rFonts w:hint="eastAsia"/>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234" o:spid="_x0000_s1026" o:spt="202" type="#_x0000_t202" style="position:absolute;left:0pt;margin-top:0pt;height:144pt;width:144pt;mso-position-horizontal:center;mso-position-horizontal-relative:margin;mso-wrap-style:none;z-index:2517514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WRewjjUCAABnBAAADgAAAAAAAAABACAAAAAfAQAAZHJzL2Uyb0RvYy54bWxQ&#10;SwUGAAAAAAYABgBZAQAAxgUAAAAA&#10;">
              <v:fill on="f" focussize="0,0"/>
              <v:stroke on="f" weight="0.5pt"/>
              <v:imagedata o:title=""/>
              <o:lock v:ext="edit" aspectratio="f"/>
              <v:textbox inset="0mm,0mm,0mm,0mm" style="mso-fit-shape-to-text:t;">
                <w:txbxContent>
                  <w:p>
                    <w:pPr>
                      <w:pStyle w:val="17"/>
                      <w:ind w:firstLine="420"/>
                      <w:rPr>
                        <w:sz w:val="21"/>
                        <w:szCs w:val="21"/>
                      </w:rPr>
                    </w:pPr>
                    <w:r>
                      <w:rPr>
                        <w:rFonts w:hint="eastAsia"/>
                        <w:sz w:val="21"/>
                        <w:szCs w:val="21"/>
                      </w:rPr>
                      <w:fldChar w:fldCharType="begin"/>
                    </w:r>
                    <w:r>
                      <w:rPr>
                        <w:rFonts w:hint="eastAsia"/>
                        <w:sz w:val="21"/>
                        <w:szCs w:val="21"/>
                      </w:rPr>
                      <w:instrText xml:space="preserve"> PAGE  \* MERGEFORMAT </w:instrText>
                    </w:r>
                    <w:r>
                      <w:rPr>
                        <w:rFonts w:hint="eastAsia"/>
                        <w:sz w:val="21"/>
                        <w:szCs w:val="21"/>
                      </w:rPr>
                      <w:fldChar w:fldCharType="separate"/>
                    </w:r>
                    <w:r>
                      <w:rPr>
                        <w:sz w:val="21"/>
                        <w:szCs w:val="21"/>
                      </w:rPr>
                      <w:t>27</w:t>
                    </w:r>
                    <w:r>
                      <w:rPr>
                        <w:rFonts w:hint="eastAsia"/>
                        <w:sz w:val="21"/>
                        <w:szCs w:val="21"/>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jc w:val="center"/>
    </w:pPr>
    <w:r>
      <mc:AlternateContent>
        <mc:Choice Requires="wps">
          <w:drawing>
            <wp:anchor distT="0" distB="0" distL="114300" distR="114300" simplePos="0" relativeHeight="251822080" behindDoc="0" locked="0" layoutInCell="1" allowOverlap="1">
              <wp:simplePos x="0" y="0"/>
              <wp:positionH relativeFrom="margin">
                <wp:align>center</wp:align>
              </wp:positionH>
              <wp:positionV relativeFrom="paragraph">
                <wp:posOffset>0</wp:posOffset>
              </wp:positionV>
              <wp:extent cx="1828800" cy="1828800"/>
              <wp:effectExtent l="0" t="0" r="0" b="0"/>
              <wp:wrapNone/>
              <wp:docPr id="255" name="文本框 2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7"/>
                            <w:ind w:firstLine="360"/>
                            <w:jc w:val="center"/>
                          </w:pPr>
                          <w:r>
                            <w:fldChar w:fldCharType="begin"/>
                          </w:r>
                          <w:r>
                            <w:instrText xml:space="preserve">PAGE   \* MERGEFORMAT</w:instrText>
                          </w:r>
                          <w:r>
                            <w:fldChar w:fldCharType="separate"/>
                          </w:r>
                          <w:r>
                            <w:rPr>
                              <w:lang w:val="zh-CN"/>
                            </w:rPr>
                            <w:t>238</w:t>
                          </w:r>
                          <w:r>
                            <w:rPr>
                              <w:lang w:val="zh-C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220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ISO0pNAIAAGcEAAAOAAAAAAAAAAEAIAAAAB8BAABkcnMvZTJvRG9jLnhtbFBL&#10;BQYAAAAABgAGAFkBAADFBQAAAAA=&#10;">
              <v:fill on="f" focussize="0,0"/>
              <v:stroke on="f" weight="0.5pt"/>
              <v:imagedata o:title=""/>
              <o:lock v:ext="edit" aspectratio="f"/>
              <v:textbox inset="0mm,0mm,0mm,0mm" style="mso-fit-shape-to-text:t;">
                <w:txbxContent>
                  <w:p>
                    <w:pPr>
                      <w:pStyle w:val="17"/>
                      <w:ind w:firstLine="360"/>
                      <w:jc w:val="center"/>
                    </w:pPr>
                    <w:r>
                      <w:fldChar w:fldCharType="begin"/>
                    </w:r>
                    <w:r>
                      <w:instrText xml:space="preserve">PAGE   \* MERGEFORMAT</w:instrText>
                    </w:r>
                    <w:r>
                      <w:fldChar w:fldCharType="separate"/>
                    </w:r>
                    <w:r>
                      <w:rPr>
                        <w:lang w:val="zh-CN"/>
                      </w:rPr>
                      <w:t>238</w:t>
                    </w:r>
                    <w:r>
                      <w:rPr>
                        <w:lang w:val="zh-CN"/>
                      </w:rPr>
                      <w:fldChar w:fldCharType="end"/>
                    </w:r>
                  </w:p>
                </w:txbxContent>
              </v:textbox>
            </v:shape>
          </w:pict>
        </mc:Fallback>
      </mc:AlternateContent>
    </w:r>
  </w:p>
  <w:p>
    <w:pPr>
      <w:pStyle w:val="17"/>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ind w:firstLine="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rPr>
        <w:szCs w:val="18"/>
      </w:rPr>
    </w:pPr>
    <w:r>
      <w:rPr>
        <w:rFonts w:hint="eastAsia"/>
        <w:szCs w:val="18"/>
      </w:rPr>
      <w:t xml:space="preserve">山东朗净新材料科技有限公司                           </w:t>
    </w:r>
    <w:r>
      <w:rPr>
        <w:rFonts w:hint="eastAsia"/>
      </w:rPr>
      <w:t>年产1200吨丙交酯和1000吨聚乳酸新材料示范线项目</w:t>
    </w:r>
    <w:r>
      <w:rPr>
        <w:rFonts w:hint="eastAsia"/>
        <w:szCs w:val="18"/>
      </w:rPr>
      <w:t xml:space="preserve">                                                                                        </w:t>
    </w:r>
  </w:p>
  <w:p>
    <w:pPr>
      <w:pStyle w:val="4"/>
      <w:ind w:firstLine="360"/>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rPr>
        <w:szCs w:val="18"/>
      </w:rPr>
    </w:pPr>
    <w:r>
      <w:rPr>
        <w:rFonts w:hint="eastAsia"/>
        <w:szCs w:val="18"/>
      </w:rPr>
      <w:t xml:space="preserve">山东朗净新材料科技有限公司                                                                                  </w:t>
    </w:r>
    <w:r>
      <w:rPr>
        <w:rFonts w:hint="eastAsia"/>
      </w:rPr>
      <w:t>年产1200吨丙交酯和1000吨聚乳酸新材料示范线项目</w:t>
    </w:r>
    <w:r>
      <w:rPr>
        <w:rFonts w:hint="eastAsia"/>
        <w:szCs w:val="18"/>
      </w:rPr>
      <w:t xml:space="preserve">                                                                                        </w:t>
    </w:r>
  </w:p>
  <w:p>
    <w:pPr>
      <w:pStyle w:val="4"/>
      <w:ind w:firstLine="360"/>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rPr>
        <w:szCs w:val="18"/>
      </w:rPr>
    </w:pPr>
    <w:r>
      <w:rPr>
        <w:rFonts w:hint="eastAsia"/>
        <w:szCs w:val="18"/>
      </w:rPr>
      <w:t xml:space="preserve">山东朗净新材料科技有限公司                           </w:t>
    </w:r>
    <w:r>
      <w:rPr>
        <w:rFonts w:hint="eastAsia"/>
      </w:rPr>
      <w:t>年产1200吨丙交酯和1000吨聚乳酸新材料示范线项目</w:t>
    </w:r>
    <w:r>
      <w:rPr>
        <w:rFonts w:hint="eastAsia"/>
        <w:szCs w:val="18"/>
      </w:rPr>
      <w:t xml:space="preserve">                                                                                        </w:t>
    </w:r>
  </w:p>
  <w:p>
    <w:pPr>
      <w:pStyle w:val="4"/>
      <w:ind w:firstLine="360"/>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rPr>
        <w:szCs w:val="18"/>
      </w:rPr>
    </w:pPr>
    <w:r>
      <w:rPr>
        <w:rFonts w:hint="eastAsia"/>
        <w:szCs w:val="18"/>
      </w:rPr>
      <w:t xml:space="preserve">山东朗净新材料科技有限公司                                                                                 </w:t>
    </w:r>
    <w:r>
      <w:rPr>
        <w:rFonts w:hint="eastAsia"/>
      </w:rPr>
      <w:t>年产1200吨丙交酯和1000吨聚乳酸新材料示范线项目</w:t>
    </w:r>
    <w:r>
      <w:rPr>
        <w:rFonts w:hint="eastAsia"/>
        <w:szCs w:val="18"/>
      </w:rPr>
      <w:t xml:space="preserve">                                                                                        </w:t>
    </w:r>
  </w:p>
  <w:p>
    <w:pPr>
      <w:pStyle w:val="4"/>
      <w:ind w:firstLine="360"/>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rPr>
        <w:szCs w:val="18"/>
      </w:rPr>
    </w:pPr>
    <w:r>
      <w:rPr>
        <w:rFonts w:hint="eastAsia"/>
        <w:szCs w:val="18"/>
      </w:rPr>
      <w:t xml:space="preserve">山东朗净新材料科技有限公司                           </w:t>
    </w:r>
    <w:r>
      <w:rPr>
        <w:rFonts w:hint="eastAsia"/>
      </w:rPr>
      <w:t>年产1200吨丙交酯和1000吨聚乳酸新材料示范线项目</w:t>
    </w:r>
    <w:r>
      <w:rPr>
        <w:rFonts w:hint="eastAsia"/>
        <w:szCs w:val="18"/>
      </w:rPr>
      <w:t xml:space="preserve">                                                                                                                                                                 </w:t>
    </w:r>
  </w:p>
  <w:p>
    <w:pPr>
      <w:pStyle w:val="4"/>
      <w:ind w:firstLine="360"/>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rPr>
        <w:szCs w:val="18"/>
      </w:rPr>
    </w:pPr>
    <w:r>
      <w:rPr>
        <w:rFonts w:hint="eastAsia"/>
        <w:szCs w:val="18"/>
      </w:rPr>
      <w:t xml:space="preserve">山东朗净新材料科技有限公司                           </w:t>
    </w:r>
    <w:r>
      <w:rPr>
        <w:rFonts w:hint="eastAsia"/>
      </w:rPr>
      <w:t>年产1200吨丙交酯和1000吨聚乳酸新材料示范线项目</w:t>
    </w:r>
    <w:r>
      <w:rPr>
        <w:rFonts w:hint="eastAsia"/>
        <w:szCs w:val="18"/>
      </w:rPr>
      <w:t xml:space="preserve">                                                                                                                                                                                                                                                </w:t>
    </w:r>
  </w:p>
  <w:p>
    <w:pPr>
      <w:pStyle w:val="4"/>
      <w:ind w:firstLine="360"/>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rPr>
        <w:szCs w:val="18"/>
      </w:rPr>
    </w:pPr>
    <w:r>
      <w:rPr>
        <w:rFonts w:hint="eastAsia"/>
        <w:szCs w:val="18"/>
      </w:rPr>
      <w:t xml:space="preserve">山东朗净新材料科技有限公司                           </w:t>
    </w:r>
    <w:r>
      <w:rPr>
        <w:rFonts w:hint="eastAsia"/>
      </w:rPr>
      <w:t>年产1200吨丙交酯和1000吨聚乳酸新材料示范线项目</w:t>
    </w:r>
    <w:r>
      <w:rPr>
        <w:rFonts w:hint="eastAsia"/>
        <w:szCs w:val="18"/>
      </w:rPr>
      <w:t xml:space="preserve">                                                                                                                                                                                                                                                                                                                           </w:t>
    </w:r>
  </w:p>
  <w:p>
    <w:pPr>
      <w:pStyle w:val="4"/>
      <w:ind w:firstLine="360"/>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rPr>
        <w:szCs w:val="18"/>
      </w:rPr>
    </w:pPr>
    <w:r>
      <w:rPr>
        <w:rFonts w:hint="eastAsia"/>
        <w:szCs w:val="18"/>
      </w:rPr>
      <w:t xml:space="preserve">山东朗净新材料科技有限公司                                                                                  </w:t>
    </w:r>
    <w:r>
      <w:rPr>
        <w:rFonts w:hint="eastAsia"/>
      </w:rPr>
      <w:t>年产1200吨丙交酯和1000吨聚乳酸新材料示范线项目</w:t>
    </w:r>
    <w:r>
      <w:rPr>
        <w:rFonts w:hint="eastAsia"/>
        <w:szCs w:val="18"/>
      </w:rPr>
      <w:t xml:space="preserve">                                                                                                                                                                                                                                                                                                                                                                                   </w:t>
    </w:r>
  </w:p>
  <w:p>
    <w:pPr>
      <w:pStyle w:val="4"/>
      <w:ind w:firstLine="360"/>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rPr>
        <w:szCs w:val="18"/>
      </w:rPr>
    </w:pPr>
    <w:r>
      <w:rPr>
        <w:rFonts w:hint="eastAsia"/>
        <w:szCs w:val="18"/>
      </w:rPr>
      <w:t xml:space="preserve">山东朗净新材料科技有限公司                           </w:t>
    </w:r>
    <w:r>
      <w:rPr>
        <w:rFonts w:hint="eastAsia"/>
      </w:rPr>
      <w:t>年产1200吨丙交酯和1000吨聚乳酸新材料示范线项目</w:t>
    </w:r>
    <w:r>
      <w:rPr>
        <w:rFonts w:hint="eastAsia"/>
        <w:szCs w:val="18"/>
      </w:rPr>
      <w:t xml:space="preserve">                                                                                                                                                                                                                                                                                                                                                                                   </w:t>
    </w:r>
  </w:p>
  <w:p>
    <w:pPr>
      <w:pStyle w:val="4"/>
      <w:ind w:firstLine="360"/>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rPr>
        <w:szCs w:val="18"/>
      </w:rPr>
    </w:pPr>
    <w:r>
      <w:rPr>
        <w:rFonts w:hint="eastAsia"/>
        <w:szCs w:val="18"/>
      </w:rPr>
      <w:t xml:space="preserve">山东朗净新材料科技有限公司                                                                                  </w:t>
    </w:r>
    <w:r>
      <w:rPr>
        <w:rFonts w:hint="eastAsia"/>
      </w:rPr>
      <w:t>年产1200吨丙交酯和1000吨聚乳酸新材料示范线项目</w:t>
    </w:r>
    <w:r>
      <w:rPr>
        <w:rFonts w:hint="eastAsia"/>
        <w:szCs w:val="18"/>
      </w:rPr>
      <w:t xml:space="preserve">                                                                                                                                                                                                                                                                                                                                                                                                            </w:t>
    </w:r>
  </w:p>
  <w:p>
    <w:pPr>
      <w:pStyle w:val="4"/>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ind w:firstLine="360"/>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rPr>
        <w:szCs w:val="18"/>
      </w:rPr>
    </w:pPr>
    <w:r>
      <w:rPr>
        <w:rFonts w:hint="eastAsia"/>
        <w:szCs w:val="18"/>
      </w:rPr>
      <w:t xml:space="preserve">山东朗净新材料科技有限公司                           </w:t>
    </w:r>
    <w:r>
      <w:rPr>
        <w:rFonts w:hint="eastAsia"/>
      </w:rPr>
      <w:t>年产1200吨丙交酯和1000吨聚乳酸新材料示范线项目</w:t>
    </w:r>
    <w:r>
      <w:rPr>
        <w:rFonts w:hint="eastAsia"/>
        <w:szCs w:val="18"/>
      </w:rPr>
      <w:t xml:space="preserve">                                                                                                                                                                                                                                                                                                                                                                                                                                           </w:t>
    </w:r>
  </w:p>
  <w:p>
    <w:pPr>
      <w:pStyle w:val="4"/>
      <w:ind w:firstLine="360"/>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rPr>
        <w:szCs w:val="18"/>
      </w:rPr>
    </w:pPr>
    <w:r>
      <w:rPr>
        <w:rFonts w:hint="eastAsia"/>
        <w:szCs w:val="18"/>
      </w:rPr>
      <w:t xml:space="preserve">山东朗净新材料科技有限公司                                                                                  </w:t>
    </w:r>
    <w:r>
      <w:rPr>
        <w:rFonts w:hint="eastAsia"/>
      </w:rPr>
      <w:t>年产1200吨丙交酯和1000吨聚乳酸新材料示范线项目</w:t>
    </w:r>
    <w:r>
      <w:rPr>
        <w:rFonts w:hint="eastAsia"/>
        <w:szCs w:val="18"/>
      </w:rPr>
      <w:t xml:space="preserve">                                                                                                                                                                                                                                                                                                                                                                                                                                           </w:t>
    </w:r>
  </w:p>
  <w:p>
    <w:pPr>
      <w:pStyle w:val="4"/>
      <w:ind w:firstLine="360"/>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rPr>
        <w:szCs w:val="18"/>
      </w:rPr>
    </w:pPr>
    <w:r>
      <w:rPr>
        <w:rFonts w:hint="eastAsia"/>
        <w:szCs w:val="18"/>
      </w:rPr>
      <w:t xml:space="preserve">山东朗净新材料科技有限公司                           </w:t>
    </w:r>
    <w:r>
      <w:rPr>
        <w:rFonts w:hint="eastAsia"/>
      </w:rPr>
      <w:t>年产1200吨丙交酯和1000吨聚乳酸新材料示范线项目</w:t>
    </w:r>
    <w:r>
      <w:rPr>
        <w:rFonts w:hint="eastAsia"/>
        <w:szCs w:val="18"/>
      </w:rPr>
      <w:t xml:space="preserve">                                                                                                                                                                                                                                                                                                                                                                                                                                                                                                       </w:t>
    </w:r>
  </w:p>
  <w:p>
    <w:pPr>
      <w:pStyle w:val="4"/>
      <w:ind w:firstLine="360"/>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rPr>
        <w:szCs w:val="18"/>
      </w:rPr>
    </w:pPr>
    <w:r>
      <w:rPr>
        <w:rFonts w:hint="eastAsia"/>
        <w:szCs w:val="18"/>
      </w:rPr>
      <w:t xml:space="preserve">山东朗净新材料科技有限公司                                                                                 </w:t>
    </w:r>
    <w:r>
      <w:rPr>
        <w:rFonts w:hint="eastAsia"/>
      </w:rPr>
      <w:t>年产1200吨丙交酯和1000吨聚乳酸新材料示范线项目</w:t>
    </w:r>
    <w:r>
      <w:rPr>
        <w:rFonts w:hint="eastAsia"/>
        <w:szCs w:val="18"/>
      </w:rPr>
      <w:t xml:space="preserve">                                                                                                                                                                                                                                                                                                                                                                                                                                                                                                       </w:t>
    </w:r>
  </w:p>
  <w:p>
    <w:pPr>
      <w:pStyle w:val="4"/>
      <w:ind w:firstLine="360"/>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rPr>
        <w:szCs w:val="18"/>
      </w:rPr>
    </w:pPr>
    <w:r>
      <w:rPr>
        <w:rFonts w:hint="eastAsia"/>
        <w:szCs w:val="18"/>
      </w:rPr>
      <w:t xml:space="preserve">山东朗净新材料科技有限公司                       </w:t>
    </w:r>
    <w:r>
      <w:rPr>
        <w:rFonts w:hint="eastAsia"/>
      </w:rPr>
      <w:t>年产1200吨丙交酯和1000吨聚乳酸新材料示范线项目</w:t>
    </w:r>
    <w:r>
      <w:rPr>
        <w:rFonts w:hint="eastAsia"/>
        <w:szCs w:val="18"/>
      </w:rPr>
      <w:t xml:space="preserve">                                                                                                                                                                                                                                                                                                                                                                                                                                                                                                                                                                            </w:t>
    </w:r>
  </w:p>
  <w:p>
    <w:pPr>
      <w:pStyle w:val="4"/>
      <w:ind w:firstLine="360"/>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rPr>
        <w:szCs w:val="18"/>
      </w:rPr>
    </w:pPr>
    <w:r>
      <w:rPr>
        <w:rFonts w:hint="eastAsia"/>
        <w:szCs w:val="18"/>
      </w:rPr>
      <w:t xml:space="preserve">山东朗净新材料科技有限公司                                                                                 </w:t>
    </w:r>
    <w:r>
      <w:rPr>
        <w:rFonts w:hint="eastAsia"/>
      </w:rPr>
      <w:t>年产1200吨丙交酯和1000吨聚乳酸新材料示范线项目</w:t>
    </w:r>
    <w:r>
      <w:rPr>
        <w:rFonts w:hint="eastAsia"/>
        <w:szCs w:val="18"/>
      </w:rPr>
      <w:t xml:space="preserve">                                                                                                                                                                                                                                                                                                                                                                                                                                                                                                                                                                            </w:t>
    </w:r>
  </w:p>
  <w:p>
    <w:pPr>
      <w:pStyle w:val="4"/>
      <w:ind w:firstLine="360"/>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rPr>
        <w:szCs w:val="18"/>
      </w:rPr>
    </w:pPr>
    <w:r>
      <w:rPr>
        <w:rFonts w:hint="eastAsia"/>
        <w:szCs w:val="18"/>
      </w:rPr>
      <w:t xml:space="preserve">山东朗净新材料科技有限公司                   年产1200吨丙交酯和1000吨聚乳酸新材料示范线项目                                                                                                                                                                                                                                                                                                                                                                                                                                                                                                                                                                                                                                                </w:t>
    </w:r>
  </w:p>
  <w:p>
    <w:pPr>
      <w:pStyle w:val="4"/>
      <w:ind w:firstLine="360"/>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rPr>
        <w:szCs w:val="18"/>
      </w:rPr>
    </w:pPr>
    <w:r>
      <w:rPr>
        <w:rFonts w:hint="eastAsia"/>
        <w:szCs w:val="18"/>
      </w:rPr>
      <w:t xml:space="preserve">山东朗净新材料科技有限公司                                                                        年产1200吨丙交酯和1000吨聚乳酸新材料示范线项目                                                                                                                                                                                                                                                                                                                                                                                                                                                                                                                                                                                                                                                </w:t>
    </w:r>
  </w:p>
  <w:p>
    <w:pPr>
      <w:pStyle w:val="4"/>
      <w:ind w:firstLine="360"/>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left="1800" w:hanging="1800" w:hangingChars="1000"/>
      <w:jc w:val="left"/>
      <w:rPr>
        <w:szCs w:val="18"/>
      </w:rPr>
    </w:pPr>
    <w:r>
      <w:rPr>
        <w:rFonts w:hint="eastAsia"/>
        <w:szCs w:val="18"/>
      </w:rPr>
      <w:t xml:space="preserve">山东朗净新材料科技有限公司                   年产1200吨丙交酯和1000吨聚乳酸新材料示范线项目                                                                                                                                                                                                                                                                                                                                                                                                                                                                                                                                                                                                                                                </w:t>
    </w:r>
  </w:p>
  <w:p>
    <w:pPr>
      <w:pStyle w:val="4"/>
      <w:ind w:firstLine="360"/>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pPr>
    <w:r>
      <w:rPr>
        <w:rFonts w:hint="eastAsia"/>
      </w:rPr>
      <w:t>山东朗净新材料科技有限公司                          年产1200吨丙交酯和1000吨聚乳酸新材料示范线项目</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ind w:firstLine="360"/>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pPr>
    <w:r>
      <w:rPr>
        <w:rFonts w:hint="eastAsia"/>
      </w:rPr>
      <w:t>山东朗净新材料科技有限公司                                                                                 年产1200吨丙交酯和1000吨聚乳酸新材料示范线项目</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pPr>
    <w:r>
      <w:rPr>
        <w:rFonts w:hint="eastAsia"/>
      </w:rPr>
      <w:t>山东朗净新材料科技有限公司                        年产1200吨丙交酯和1000吨聚乳酸新材料示范线项目</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pPr>
    <w:r>
      <w:rPr>
        <w:rFonts w:hint="eastAsia"/>
      </w:rPr>
      <w:t>山东朗净新材料科技有限公司                                                                                  年产1200吨丙交酯和1000吨聚乳酸新材料示范线项目</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pPr>
    <w:r>
      <w:rPr>
        <w:rFonts w:hint="eastAsia"/>
      </w:rPr>
      <w:t xml:space="preserve">山东朗净新材料科技有限公司                           年产1200吨丙交酯和1000吨聚乳酸新材料示范线项目                                                                          </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pPr>
    <w:r>
      <w:rPr>
        <w:rFonts w:hint="eastAsia"/>
      </w:rPr>
      <w:t xml:space="preserve">山东朗净新材料科技有限公司                                                                                  年产1200吨丙交酯和1000吨聚乳酸新材料示范线项目                                                                          </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pPr>
    <w:r>
      <w:rPr>
        <w:rFonts w:hint="eastAsia"/>
      </w:rPr>
      <w:t xml:space="preserve">山东朗净新材料科技有限公司                           年产1200吨丙交酯和1000吨聚乳酸新材料示范线项目                                                                                                                                                 </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pPr>
    <w:r>
      <w:rPr>
        <w:rFonts w:hint="eastAsia"/>
      </w:rPr>
      <w:t xml:space="preserve">山东朗净新材料科技有限公司                                                                                 年产1200吨丙交酯和1000吨聚乳酸新材料示范线项目                                                                                                                                                 </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pPr>
    <w:r>
      <w:rPr>
        <w:rFonts w:hint="eastAsia"/>
      </w:rPr>
      <w:t xml:space="preserve">山东朗净新材料科技有限公司                           年产1200吨丙交酯和1000吨聚乳酸新材料示范线项目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rPr>
        <w:szCs w:val="18"/>
      </w:rPr>
    </w:pPr>
    <w:r>
      <w:rPr>
        <w:rFonts w:hint="eastAsia"/>
        <w:szCs w:val="18"/>
      </w:rPr>
      <w:t xml:space="preserve">山东朗净新材料科技有限公司                          </w:t>
    </w:r>
    <w:r>
      <w:rPr>
        <w:rFonts w:hint="eastAsia"/>
      </w:rPr>
      <w:t xml:space="preserve"> 年产1200吨丙交酯和1000吨聚乳酸新材料示范线项目</w:t>
    </w:r>
    <w:r>
      <w:rPr>
        <w:rFonts w:hint="eastAsia"/>
        <w:szCs w:val="18"/>
      </w:rPr>
      <w:t xml:space="preserve">                           </w:t>
    </w:r>
  </w:p>
  <w:p>
    <w:pPr>
      <w:pStyle w:val="4"/>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rPr>
        <w:szCs w:val="18"/>
      </w:rPr>
    </w:pPr>
    <w:r>
      <w:rPr>
        <w:rFonts w:hint="eastAsia"/>
        <w:szCs w:val="18"/>
      </w:rPr>
      <w:t xml:space="preserve">山东朗净新材料科技有限公司                                                                                  </w:t>
    </w:r>
    <w:r>
      <w:rPr>
        <w:rFonts w:hint="eastAsia"/>
      </w:rPr>
      <w:t>年产1200吨丙交酯和1000吨聚乳酸新材料示范线项目</w:t>
    </w:r>
    <w:r>
      <w:rPr>
        <w:rFonts w:hint="eastAsia"/>
        <w:szCs w:val="18"/>
      </w:rPr>
      <w:t xml:space="preserve">                           </w:t>
    </w:r>
  </w:p>
  <w:p>
    <w:pPr>
      <w:pStyle w:val="4"/>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firstLine="0" w:firstLineChars="0"/>
      <w:rPr>
        <w:szCs w:val="18"/>
      </w:rPr>
    </w:pPr>
    <w:r>
      <w:rPr>
        <w:rFonts w:hint="eastAsia"/>
        <w:szCs w:val="18"/>
      </w:rPr>
      <w:t xml:space="preserve">山东朗净新材料科技有限公司                           </w:t>
    </w:r>
    <w:r>
      <w:rPr>
        <w:rFonts w:hint="eastAsia"/>
      </w:rPr>
      <w:t>年产1200吨丙交酯和1000吨聚乳酸新材料示范线项目</w:t>
    </w:r>
    <w:r>
      <w:rPr>
        <w:rFonts w:hint="eastAsia"/>
        <w:szCs w:val="18"/>
      </w:rPr>
      <w:t xml:space="preserve">                                                                                                                                                                     </w:t>
    </w:r>
  </w:p>
  <w:p>
    <w:pPr>
      <w:pStyle w:val="4"/>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left="1080" w:hanging="1080" w:hangingChars="600"/>
      <w:rPr>
        <w:szCs w:val="18"/>
      </w:rPr>
    </w:pPr>
    <w:r>
      <w:rPr>
        <w:rFonts w:hint="eastAsia"/>
        <w:szCs w:val="18"/>
      </w:rPr>
      <w:t xml:space="preserve">山东朗净新材料科技有限公司                           </w:t>
    </w:r>
    <w:r>
      <w:rPr>
        <w:rFonts w:hint="eastAsia"/>
      </w:rPr>
      <w:t>年产1200吨丙交酯和1000吨聚乳酸新材料示范线项目</w:t>
    </w:r>
    <w:r>
      <w:rPr>
        <w:rFonts w:hint="eastAsia"/>
        <w:szCs w:val="18"/>
      </w:rPr>
      <w:t xml:space="preserve">                                                                                                                                                                  </w:t>
    </w:r>
  </w:p>
  <w:p>
    <w:pPr>
      <w:pStyle w:val="4"/>
      <w:ind w:firstLine="36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left="1080" w:hanging="1080" w:hangingChars="600"/>
      <w:rPr>
        <w:szCs w:val="18"/>
      </w:rPr>
    </w:pPr>
    <w:r>
      <w:rPr>
        <w:rFonts w:hint="eastAsia"/>
        <w:szCs w:val="18"/>
      </w:rPr>
      <w:t xml:space="preserve">山东朗净新材料科技有限公司                                                                          </w:t>
    </w:r>
    <w:r>
      <w:rPr>
        <w:rFonts w:hint="eastAsia"/>
      </w:rPr>
      <w:t>年产1200吨丙交酯和1000吨聚乳酸新材料示范线项目</w:t>
    </w:r>
    <w:r>
      <w:rPr>
        <w:rFonts w:hint="eastAsia"/>
        <w:szCs w:val="18"/>
      </w:rPr>
      <w:t xml:space="preserve">                                                                                        </w:t>
    </w:r>
  </w:p>
  <w:p>
    <w:pPr>
      <w:pStyle w:val="4"/>
      <w:ind w:firstLine="36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thinThickSmallGap" w:color="auto" w:sz="12" w:space="1"/>
      </w:pBdr>
      <w:ind w:left="1080" w:hanging="1080" w:hangingChars="600"/>
      <w:rPr>
        <w:szCs w:val="18"/>
      </w:rPr>
    </w:pPr>
    <w:r>
      <w:rPr>
        <w:rFonts w:hint="eastAsia"/>
        <w:szCs w:val="18"/>
      </w:rPr>
      <w:t xml:space="preserve">山东朗净新材料科技有限公司                                                                                 </w:t>
    </w:r>
    <w:r>
      <w:rPr>
        <w:rFonts w:hint="eastAsia"/>
      </w:rPr>
      <w:t>年产1200吨丙交酯和1000吨聚乳酸新材料示范线项目</w:t>
    </w:r>
    <w:r>
      <w:rPr>
        <w:rFonts w:hint="eastAsia"/>
        <w:szCs w:val="18"/>
      </w:rPr>
      <w:t xml:space="preserve">                                                                                        </w:t>
    </w:r>
  </w:p>
  <w:p>
    <w:pPr>
      <w:pStyle w:val="4"/>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7F4E06"/>
    <w:multiLevelType w:val="singleLevel"/>
    <w:tmpl w:val="837F4E06"/>
    <w:lvl w:ilvl="0" w:tentative="0">
      <w:start w:val="1"/>
      <w:numFmt w:val="decimal"/>
      <w:suff w:val="nothing"/>
      <w:lvlText w:val="（%1）"/>
      <w:lvlJc w:val="left"/>
    </w:lvl>
  </w:abstractNum>
  <w:abstractNum w:abstractNumId="1">
    <w:nsid w:val="87B630F1"/>
    <w:multiLevelType w:val="singleLevel"/>
    <w:tmpl w:val="87B630F1"/>
    <w:lvl w:ilvl="0" w:tentative="0">
      <w:start w:val="2"/>
      <w:numFmt w:val="decimal"/>
      <w:suff w:val="nothing"/>
      <w:lvlText w:val="%1、"/>
      <w:lvlJc w:val="left"/>
    </w:lvl>
  </w:abstractNum>
  <w:abstractNum w:abstractNumId="2">
    <w:nsid w:val="8B6C67AE"/>
    <w:multiLevelType w:val="singleLevel"/>
    <w:tmpl w:val="8B6C67AE"/>
    <w:lvl w:ilvl="0" w:tentative="0">
      <w:start w:val="1"/>
      <w:numFmt w:val="decimal"/>
      <w:pStyle w:val="72"/>
      <w:suff w:val="space"/>
      <w:lvlText w:val="表8-%1"/>
      <w:lvlJc w:val="left"/>
      <w:pPr>
        <w:tabs>
          <w:tab w:val="left" w:pos="0"/>
        </w:tabs>
        <w:ind w:left="0" w:firstLine="0"/>
      </w:pPr>
      <w:rPr>
        <w:rFonts w:hint="default" w:ascii="Times New Roman" w:hAnsi="Times New Roman" w:eastAsia="黑体" w:cs="宋体"/>
        <w:sz w:val="21"/>
      </w:rPr>
    </w:lvl>
  </w:abstractNum>
  <w:abstractNum w:abstractNumId="3">
    <w:nsid w:val="8FA2C08B"/>
    <w:multiLevelType w:val="singleLevel"/>
    <w:tmpl w:val="8FA2C08B"/>
    <w:lvl w:ilvl="0" w:tentative="0">
      <w:start w:val="1"/>
      <w:numFmt w:val="decimal"/>
      <w:suff w:val="nothing"/>
      <w:lvlText w:val="%1、"/>
      <w:lvlJc w:val="left"/>
    </w:lvl>
  </w:abstractNum>
  <w:abstractNum w:abstractNumId="4">
    <w:nsid w:val="A1269512"/>
    <w:multiLevelType w:val="singleLevel"/>
    <w:tmpl w:val="A1269512"/>
    <w:lvl w:ilvl="0" w:tentative="0">
      <w:start w:val="1"/>
      <w:numFmt w:val="decimal"/>
      <w:suff w:val="nothing"/>
      <w:lvlText w:val="%1、"/>
      <w:lvlJc w:val="left"/>
    </w:lvl>
  </w:abstractNum>
  <w:abstractNum w:abstractNumId="5">
    <w:nsid w:val="A22B8F41"/>
    <w:multiLevelType w:val="singleLevel"/>
    <w:tmpl w:val="A22B8F41"/>
    <w:lvl w:ilvl="0" w:tentative="0">
      <w:start w:val="1"/>
      <w:numFmt w:val="decimal"/>
      <w:suff w:val="nothing"/>
      <w:lvlText w:val="（%1）"/>
      <w:lvlJc w:val="left"/>
    </w:lvl>
  </w:abstractNum>
  <w:abstractNum w:abstractNumId="6">
    <w:nsid w:val="B24317A2"/>
    <w:multiLevelType w:val="singleLevel"/>
    <w:tmpl w:val="B24317A2"/>
    <w:lvl w:ilvl="0" w:tentative="0">
      <w:start w:val="1"/>
      <w:numFmt w:val="decimal"/>
      <w:suff w:val="nothing"/>
      <w:lvlText w:val="%1、"/>
      <w:lvlJc w:val="left"/>
      <w:pPr>
        <w:ind w:left="240"/>
      </w:pPr>
    </w:lvl>
  </w:abstractNum>
  <w:abstractNum w:abstractNumId="7">
    <w:nsid w:val="BF75DDAE"/>
    <w:multiLevelType w:val="singleLevel"/>
    <w:tmpl w:val="BF75DDAE"/>
    <w:lvl w:ilvl="0" w:tentative="0">
      <w:start w:val="1"/>
      <w:numFmt w:val="decimal"/>
      <w:suff w:val="nothing"/>
      <w:lvlText w:val="%1、"/>
      <w:lvlJc w:val="left"/>
      <w:pPr>
        <w:ind w:left="420" w:firstLine="0"/>
      </w:pPr>
    </w:lvl>
  </w:abstractNum>
  <w:abstractNum w:abstractNumId="8">
    <w:nsid w:val="D8662066"/>
    <w:multiLevelType w:val="singleLevel"/>
    <w:tmpl w:val="D8662066"/>
    <w:lvl w:ilvl="0" w:tentative="0">
      <w:start w:val="1"/>
      <w:numFmt w:val="decimal"/>
      <w:suff w:val="nothing"/>
      <w:lvlText w:val="%1、"/>
      <w:lvlJc w:val="left"/>
    </w:lvl>
  </w:abstractNum>
  <w:abstractNum w:abstractNumId="9">
    <w:nsid w:val="DA66CD3E"/>
    <w:multiLevelType w:val="singleLevel"/>
    <w:tmpl w:val="DA66CD3E"/>
    <w:lvl w:ilvl="0" w:tentative="0">
      <w:start w:val="1"/>
      <w:numFmt w:val="decimal"/>
      <w:suff w:val="nothing"/>
      <w:lvlText w:val="%1、"/>
      <w:lvlJc w:val="left"/>
    </w:lvl>
  </w:abstractNum>
  <w:abstractNum w:abstractNumId="10">
    <w:nsid w:val="E1CC1B55"/>
    <w:multiLevelType w:val="singleLevel"/>
    <w:tmpl w:val="E1CC1B55"/>
    <w:lvl w:ilvl="0" w:tentative="0">
      <w:start w:val="1"/>
      <w:numFmt w:val="decimal"/>
      <w:suff w:val="nothing"/>
      <w:lvlText w:val="%1、"/>
      <w:lvlJc w:val="left"/>
    </w:lvl>
  </w:abstractNum>
  <w:abstractNum w:abstractNumId="11">
    <w:nsid w:val="EF61FC9D"/>
    <w:multiLevelType w:val="singleLevel"/>
    <w:tmpl w:val="EF61FC9D"/>
    <w:lvl w:ilvl="0" w:tentative="0">
      <w:start w:val="1"/>
      <w:numFmt w:val="decimal"/>
      <w:suff w:val="nothing"/>
      <w:lvlText w:val="%1、"/>
      <w:lvlJc w:val="left"/>
      <w:pPr>
        <w:ind w:left="480" w:firstLine="0"/>
      </w:pPr>
    </w:lvl>
  </w:abstractNum>
  <w:abstractNum w:abstractNumId="12">
    <w:nsid w:val="1F503EAC"/>
    <w:multiLevelType w:val="singleLevel"/>
    <w:tmpl w:val="1F503EAC"/>
    <w:lvl w:ilvl="0" w:tentative="0">
      <w:start w:val="1"/>
      <w:numFmt w:val="decimal"/>
      <w:suff w:val="nothing"/>
      <w:lvlText w:val="%1、"/>
      <w:lvlJc w:val="left"/>
    </w:lvl>
  </w:abstractNum>
  <w:abstractNum w:abstractNumId="13">
    <w:nsid w:val="2A888455"/>
    <w:multiLevelType w:val="singleLevel"/>
    <w:tmpl w:val="2A888455"/>
    <w:lvl w:ilvl="0" w:tentative="0">
      <w:start w:val="1"/>
      <w:numFmt w:val="decimal"/>
      <w:suff w:val="nothing"/>
      <w:lvlText w:val="（%1）"/>
      <w:lvlJc w:val="left"/>
    </w:lvl>
  </w:abstractNum>
  <w:abstractNum w:abstractNumId="14">
    <w:nsid w:val="3E067F8F"/>
    <w:multiLevelType w:val="singleLevel"/>
    <w:tmpl w:val="3E067F8F"/>
    <w:lvl w:ilvl="0" w:tentative="0">
      <w:start w:val="1"/>
      <w:numFmt w:val="decimal"/>
      <w:suff w:val="nothing"/>
      <w:lvlText w:val="%1、"/>
      <w:lvlJc w:val="left"/>
    </w:lvl>
  </w:abstractNum>
  <w:abstractNum w:abstractNumId="15">
    <w:nsid w:val="4488735E"/>
    <w:multiLevelType w:val="singleLevel"/>
    <w:tmpl w:val="4488735E"/>
    <w:lvl w:ilvl="0" w:tentative="0">
      <w:start w:val="1"/>
      <w:numFmt w:val="decimal"/>
      <w:lvlText w:val="%1."/>
      <w:lvlJc w:val="left"/>
      <w:pPr>
        <w:ind w:left="665" w:hanging="425"/>
      </w:pPr>
      <w:rPr>
        <w:rFonts w:hint="default"/>
      </w:rPr>
    </w:lvl>
  </w:abstractNum>
  <w:abstractNum w:abstractNumId="16">
    <w:nsid w:val="5493E036"/>
    <w:multiLevelType w:val="singleLevel"/>
    <w:tmpl w:val="5493E036"/>
    <w:lvl w:ilvl="0" w:tentative="0">
      <w:start w:val="1"/>
      <w:numFmt w:val="decimal"/>
      <w:suff w:val="nothing"/>
      <w:lvlText w:val="（%1）"/>
      <w:lvlJc w:val="left"/>
      <w:pPr>
        <w:ind w:left="238"/>
      </w:pPr>
    </w:lvl>
  </w:abstractNum>
  <w:abstractNum w:abstractNumId="17">
    <w:nsid w:val="7797A933"/>
    <w:multiLevelType w:val="singleLevel"/>
    <w:tmpl w:val="7797A933"/>
    <w:lvl w:ilvl="0" w:tentative="0">
      <w:start w:val="1"/>
      <w:numFmt w:val="decimal"/>
      <w:suff w:val="nothing"/>
      <w:lvlText w:val="（%1）"/>
      <w:lvlJc w:val="left"/>
    </w:lvl>
  </w:abstractNum>
  <w:num w:numId="1">
    <w:abstractNumId w:val="2"/>
  </w:num>
  <w:num w:numId="2">
    <w:abstractNumId w:val="1"/>
  </w:num>
  <w:num w:numId="3">
    <w:abstractNumId w:val="8"/>
  </w:num>
  <w:num w:numId="4">
    <w:abstractNumId w:val="6"/>
  </w:num>
  <w:num w:numId="5">
    <w:abstractNumId w:val="11"/>
  </w:num>
  <w:num w:numId="6">
    <w:abstractNumId w:val="7"/>
  </w:num>
  <w:num w:numId="7">
    <w:abstractNumId w:val="13"/>
  </w:num>
  <w:num w:numId="8">
    <w:abstractNumId w:val="16"/>
  </w:num>
  <w:num w:numId="9">
    <w:abstractNumId w:val="3"/>
  </w:num>
  <w:num w:numId="10">
    <w:abstractNumId w:val="14"/>
  </w:num>
  <w:num w:numId="11">
    <w:abstractNumId w:val="15"/>
  </w:num>
  <w:num w:numId="12">
    <w:abstractNumId w:val="0"/>
  </w:num>
  <w:num w:numId="13">
    <w:abstractNumId w:val="17"/>
  </w:num>
  <w:num w:numId="14">
    <w:abstractNumId w:val="10"/>
  </w:num>
  <w:num w:numId="15">
    <w:abstractNumId w:val="12"/>
  </w:num>
  <w:num w:numId="16">
    <w:abstractNumId w:val="5"/>
  </w:num>
  <w:num w:numId="17">
    <w:abstractNumId w:val="4"/>
  </w:num>
  <w:num w:numId="1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YwYzdkOWNiMTcxMDA0YjVkMjQxYzE3MGMwYjZhMGEifQ=="/>
  </w:docVars>
  <w:rsids>
    <w:rsidRoot w:val="004D7458"/>
    <w:rsid w:val="004A45C2"/>
    <w:rsid w:val="004D7458"/>
    <w:rsid w:val="00610597"/>
    <w:rsid w:val="00742F80"/>
    <w:rsid w:val="00780AA2"/>
    <w:rsid w:val="00987AC0"/>
    <w:rsid w:val="00BB703D"/>
    <w:rsid w:val="00C02137"/>
    <w:rsid w:val="00E8101A"/>
    <w:rsid w:val="01672133"/>
    <w:rsid w:val="01F83A02"/>
    <w:rsid w:val="02BE24DF"/>
    <w:rsid w:val="03C9736E"/>
    <w:rsid w:val="048760F2"/>
    <w:rsid w:val="04F27605"/>
    <w:rsid w:val="053010C1"/>
    <w:rsid w:val="05AE51FC"/>
    <w:rsid w:val="062646E7"/>
    <w:rsid w:val="076E250F"/>
    <w:rsid w:val="089263B7"/>
    <w:rsid w:val="08AB3D71"/>
    <w:rsid w:val="08D761B3"/>
    <w:rsid w:val="08FB3F73"/>
    <w:rsid w:val="096E142C"/>
    <w:rsid w:val="097E0B0E"/>
    <w:rsid w:val="0A2C761C"/>
    <w:rsid w:val="0AA3526A"/>
    <w:rsid w:val="0AE2189E"/>
    <w:rsid w:val="0C654F6B"/>
    <w:rsid w:val="0D0A5D6F"/>
    <w:rsid w:val="0DB84462"/>
    <w:rsid w:val="0E500027"/>
    <w:rsid w:val="0E603443"/>
    <w:rsid w:val="0E831792"/>
    <w:rsid w:val="0EEB3D21"/>
    <w:rsid w:val="0FB36C50"/>
    <w:rsid w:val="0FDC2BAA"/>
    <w:rsid w:val="100E5F22"/>
    <w:rsid w:val="111D6C38"/>
    <w:rsid w:val="118F7194"/>
    <w:rsid w:val="11BB73DB"/>
    <w:rsid w:val="12036F20"/>
    <w:rsid w:val="13C413E1"/>
    <w:rsid w:val="14602674"/>
    <w:rsid w:val="14970A92"/>
    <w:rsid w:val="14DF3311"/>
    <w:rsid w:val="14E44FAC"/>
    <w:rsid w:val="154B1823"/>
    <w:rsid w:val="15FB74A6"/>
    <w:rsid w:val="162D1B6F"/>
    <w:rsid w:val="165A3541"/>
    <w:rsid w:val="17383334"/>
    <w:rsid w:val="17460434"/>
    <w:rsid w:val="174A68A3"/>
    <w:rsid w:val="17FD338C"/>
    <w:rsid w:val="196B228A"/>
    <w:rsid w:val="19D87BF0"/>
    <w:rsid w:val="1ACD1E93"/>
    <w:rsid w:val="1BA62EAA"/>
    <w:rsid w:val="1C2A71AE"/>
    <w:rsid w:val="1CCD7CB4"/>
    <w:rsid w:val="1D5476C4"/>
    <w:rsid w:val="1D721F1F"/>
    <w:rsid w:val="1EB92A37"/>
    <w:rsid w:val="236064A1"/>
    <w:rsid w:val="23E747C7"/>
    <w:rsid w:val="24E83152"/>
    <w:rsid w:val="25CA0F76"/>
    <w:rsid w:val="274A1531"/>
    <w:rsid w:val="297A4F88"/>
    <w:rsid w:val="2B3C4EE4"/>
    <w:rsid w:val="2B71749E"/>
    <w:rsid w:val="2C392477"/>
    <w:rsid w:val="2D537DB4"/>
    <w:rsid w:val="2E204105"/>
    <w:rsid w:val="2F2027BF"/>
    <w:rsid w:val="2FBA74E2"/>
    <w:rsid w:val="3032115F"/>
    <w:rsid w:val="304A1C86"/>
    <w:rsid w:val="30527B69"/>
    <w:rsid w:val="31F80F28"/>
    <w:rsid w:val="324A59EF"/>
    <w:rsid w:val="32624393"/>
    <w:rsid w:val="328C43A3"/>
    <w:rsid w:val="32D166DE"/>
    <w:rsid w:val="32D40600"/>
    <w:rsid w:val="335053D9"/>
    <w:rsid w:val="343A562F"/>
    <w:rsid w:val="34A35D81"/>
    <w:rsid w:val="35DC33AF"/>
    <w:rsid w:val="36252EF1"/>
    <w:rsid w:val="369037A3"/>
    <w:rsid w:val="376B0DD8"/>
    <w:rsid w:val="37B014FC"/>
    <w:rsid w:val="38A95920"/>
    <w:rsid w:val="38DF1071"/>
    <w:rsid w:val="3A71620A"/>
    <w:rsid w:val="3CDC0549"/>
    <w:rsid w:val="3D973FF9"/>
    <w:rsid w:val="3DF47F6E"/>
    <w:rsid w:val="3E211B23"/>
    <w:rsid w:val="3F6C234D"/>
    <w:rsid w:val="3FED5DC1"/>
    <w:rsid w:val="40292A87"/>
    <w:rsid w:val="40506675"/>
    <w:rsid w:val="40F5069D"/>
    <w:rsid w:val="437E1E93"/>
    <w:rsid w:val="43DE4D71"/>
    <w:rsid w:val="44264228"/>
    <w:rsid w:val="45447892"/>
    <w:rsid w:val="46591758"/>
    <w:rsid w:val="474C1DDB"/>
    <w:rsid w:val="477147AD"/>
    <w:rsid w:val="49FB423D"/>
    <w:rsid w:val="4AE06733"/>
    <w:rsid w:val="4C5733BA"/>
    <w:rsid w:val="4D5C5174"/>
    <w:rsid w:val="4F181B87"/>
    <w:rsid w:val="4FB5411A"/>
    <w:rsid w:val="50ED3B6D"/>
    <w:rsid w:val="510D2EFA"/>
    <w:rsid w:val="51223DD8"/>
    <w:rsid w:val="524D5BD0"/>
    <w:rsid w:val="531A02F3"/>
    <w:rsid w:val="53AB3F37"/>
    <w:rsid w:val="55D36066"/>
    <w:rsid w:val="563E2FDD"/>
    <w:rsid w:val="56CB2DC3"/>
    <w:rsid w:val="56F87D3A"/>
    <w:rsid w:val="57D9401A"/>
    <w:rsid w:val="59AD23A8"/>
    <w:rsid w:val="5A474325"/>
    <w:rsid w:val="5ACB2C6A"/>
    <w:rsid w:val="5D0B575C"/>
    <w:rsid w:val="5DED1C97"/>
    <w:rsid w:val="60FB0E2B"/>
    <w:rsid w:val="610E3E3A"/>
    <w:rsid w:val="61344C0C"/>
    <w:rsid w:val="613A1049"/>
    <w:rsid w:val="619863EB"/>
    <w:rsid w:val="6453526B"/>
    <w:rsid w:val="650A227B"/>
    <w:rsid w:val="658B0FE2"/>
    <w:rsid w:val="684B319B"/>
    <w:rsid w:val="68CC709E"/>
    <w:rsid w:val="69D92D3C"/>
    <w:rsid w:val="69EC2738"/>
    <w:rsid w:val="6A320F79"/>
    <w:rsid w:val="6A4B107F"/>
    <w:rsid w:val="6A8F4802"/>
    <w:rsid w:val="6C155B91"/>
    <w:rsid w:val="6E8172B1"/>
    <w:rsid w:val="6F336B20"/>
    <w:rsid w:val="6F8A29F7"/>
    <w:rsid w:val="70514863"/>
    <w:rsid w:val="70912956"/>
    <w:rsid w:val="70AE374F"/>
    <w:rsid w:val="723202E7"/>
    <w:rsid w:val="72921271"/>
    <w:rsid w:val="757270B2"/>
    <w:rsid w:val="75CD7D5F"/>
    <w:rsid w:val="76F96A6D"/>
    <w:rsid w:val="79950B43"/>
    <w:rsid w:val="79E601E1"/>
    <w:rsid w:val="7AD71C46"/>
    <w:rsid w:val="7B04041F"/>
    <w:rsid w:val="7C3A2161"/>
    <w:rsid w:val="7CFA1BB1"/>
    <w:rsid w:val="7D0F62A4"/>
    <w:rsid w:val="7D863DF1"/>
    <w:rsid w:val="7E336B68"/>
    <w:rsid w:val="7EDA30C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qFormat="1"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440" w:lineRule="exact"/>
      <w:ind w:firstLine="640" w:firstLineChars="200"/>
      <w:jc w:val="both"/>
    </w:pPr>
    <w:rPr>
      <w:rFonts w:ascii="Times New Roman" w:hAnsi="Times New Roman" w:eastAsia="宋体" w:cs="Times New Roman"/>
      <w:kern w:val="2"/>
      <w:sz w:val="24"/>
      <w:lang w:val="en-US" w:eastAsia="zh-CN" w:bidi="ar-SA"/>
    </w:rPr>
  </w:style>
  <w:style w:type="paragraph" w:styleId="7">
    <w:name w:val="heading 1"/>
    <w:basedOn w:val="1"/>
    <w:next w:val="1"/>
    <w:qFormat/>
    <w:uiPriority w:val="0"/>
    <w:pPr>
      <w:keepNext/>
      <w:keepLines/>
      <w:spacing w:before="50" w:beforeLines="50" w:after="50" w:afterLines="50" w:line="360" w:lineRule="auto"/>
      <w:ind w:firstLine="0" w:firstLineChars="0"/>
      <w:jc w:val="center"/>
      <w:outlineLvl w:val="0"/>
    </w:pPr>
    <w:rPr>
      <w:rFonts w:eastAsia="黑体" w:cs="仿宋"/>
      <w:kern w:val="44"/>
      <w:sz w:val="32"/>
      <w:szCs w:val="22"/>
      <w:lang w:val="zh-CN" w:bidi="zh-CN"/>
    </w:rPr>
  </w:style>
  <w:style w:type="paragraph" w:styleId="8">
    <w:name w:val="heading 2"/>
    <w:basedOn w:val="1"/>
    <w:next w:val="1"/>
    <w:link w:val="78"/>
    <w:unhideWhenUsed/>
    <w:qFormat/>
    <w:uiPriority w:val="0"/>
    <w:pPr>
      <w:keepNext/>
      <w:keepLines/>
      <w:spacing w:before="50" w:beforeLines="50" w:after="50" w:afterLines="50"/>
      <w:ind w:firstLine="0" w:firstLineChars="0"/>
      <w:jc w:val="left"/>
      <w:outlineLvl w:val="1"/>
    </w:pPr>
    <w:rPr>
      <w:rFonts w:eastAsia="黑体"/>
      <w:sz w:val="28"/>
    </w:rPr>
  </w:style>
  <w:style w:type="paragraph" w:styleId="9">
    <w:name w:val="heading 3"/>
    <w:basedOn w:val="1"/>
    <w:next w:val="1"/>
    <w:link w:val="53"/>
    <w:unhideWhenUsed/>
    <w:qFormat/>
    <w:uiPriority w:val="0"/>
    <w:pPr>
      <w:keepNext/>
      <w:keepLines/>
      <w:spacing w:before="50" w:beforeLines="50" w:after="50" w:afterLines="50"/>
      <w:ind w:firstLine="0" w:firstLineChars="0"/>
      <w:outlineLvl w:val="2"/>
    </w:pPr>
    <w:rPr>
      <w:rFonts w:eastAsia="黑体"/>
    </w:rPr>
  </w:style>
  <w:style w:type="paragraph" w:styleId="10">
    <w:name w:val="heading 4"/>
    <w:basedOn w:val="1"/>
    <w:next w:val="1"/>
    <w:link w:val="65"/>
    <w:qFormat/>
    <w:uiPriority w:val="0"/>
    <w:pPr>
      <w:keepNext/>
      <w:keepLines/>
      <w:ind w:firstLine="0" w:firstLineChars="0"/>
      <w:jc w:val="left"/>
      <w:outlineLvl w:val="3"/>
    </w:pPr>
    <w:rPr>
      <w:b/>
    </w:rPr>
  </w:style>
  <w:style w:type="character" w:default="1" w:styleId="24">
    <w:name w:val="Default Paragraph Font"/>
    <w:semiHidden/>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qFormat/>
    <w:uiPriority w:val="0"/>
    <w:pPr>
      <w:ind w:left="0" w:leftChars="0" w:firstLine="420"/>
    </w:pPr>
    <w:rPr>
      <w:szCs w:val="24"/>
    </w:rPr>
  </w:style>
  <w:style w:type="paragraph" w:styleId="3">
    <w:name w:val="Body Text Indent"/>
    <w:basedOn w:val="1"/>
    <w:next w:val="4"/>
    <w:qFormat/>
    <w:uiPriority w:val="0"/>
    <w:pPr>
      <w:spacing w:after="120"/>
      <w:ind w:left="420" w:leftChars="200"/>
    </w:pPr>
  </w:style>
  <w:style w:type="paragraph" w:styleId="4">
    <w:name w:val="header"/>
    <w:basedOn w:val="1"/>
    <w:next w:val="5"/>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customStyle="1" w:styleId="5">
    <w:name w:val="样式5"/>
    <w:basedOn w:val="6"/>
    <w:next w:val="1"/>
    <w:qFormat/>
    <w:uiPriority w:val="0"/>
    <w:pPr>
      <w:snapToGrid w:val="0"/>
      <w:spacing w:beforeLines="20" w:afterLines="20" w:line="480" w:lineRule="exact"/>
      <w:ind w:firstLine="523" w:firstLineChars="218"/>
    </w:pPr>
    <w:rPr>
      <w:i/>
      <w:iCs/>
    </w:rPr>
  </w:style>
  <w:style w:type="paragraph" w:customStyle="1" w:styleId="6">
    <w:name w:val="正文1"/>
    <w:basedOn w:val="1"/>
    <w:next w:val="1"/>
    <w:qFormat/>
    <w:uiPriority w:val="0"/>
    <w:pPr>
      <w:ind w:firstLine="200"/>
    </w:pPr>
    <w:rPr>
      <w:rFonts w:hint="eastAsia" w:ascii="仿宋_GB2312" w:eastAsia="仿宋_GB2312"/>
    </w:rPr>
  </w:style>
  <w:style w:type="paragraph" w:styleId="11">
    <w:name w:val="Normal Indent"/>
    <w:basedOn w:val="1"/>
    <w:next w:val="12"/>
    <w:qFormat/>
    <w:uiPriority w:val="0"/>
    <w:pPr>
      <w:ind w:firstLine="420"/>
    </w:pPr>
  </w:style>
  <w:style w:type="paragraph" w:styleId="12">
    <w:name w:val="footnote text"/>
    <w:basedOn w:val="1"/>
    <w:qFormat/>
    <w:uiPriority w:val="0"/>
    <w:pPr>
      <w:snapToGrid w:val="0"/>
      <w:jc w:val="left"/>
    </w:pPr>
    <w:rPr>
      <w:sz w:val="18"/>
      <w:szCs w:val="18"/>
    </w:rPr>
  </w:style>
  <w:style w:type="paragraph" w:styleId="13">
    <w:name w:val="annotation text"/>
    <w:basedOn w:val="1"/>
    <w:qFormat/>
    <w:uiPriority w:val="0"/>
    <w:pPr>
      <w:jc w:val="left"/>
    </w:pPr>
  </w:style>
  <w:style w:type="paragraph" w:styleId="14">
    <w:name w:val="Body Text"/>
    <w:basedOn w:val="1"/>
    <w:next w:val="1"/>
    <w:qFormat/>
    <w:uiPriority w:val="0"/>
    <w:pPr>
      <w:spacing w:after="120"/>
    </w:pPr>
  </w:style>
  <w:style w:type="paragraph" w:styleId="15">
    <w:name w:val="Plain Text"/>
    <w:basedOn w:val="1"/>
    <w:qFormat/>
    <w:uiPriority w:val="0"/>
    <w:rPr>
      <w:rFonts w:ascii="宋体" w:hAnsi="Courier New"/>
    </w:rPr>
  </w:style>
  <w:style w:type="paragraph" w:styleId="16">
    <w:name w:val="Body Text Indent 2"/>
    <w:basedOn w:val="1"/>
    <w:qFormat/>
    <w:uiPriority w:val="0"/>
    <w:pPr>
      <w:spacing w:after="120" w:line="480" w:lineRule="auto"/>
      <w:ind w:left="420" w:leftChars="200"/>
    </w:pPr>
    <w:rPr>
      <w:szCs w:val="24"/>
    </w:rPr>
  </w:style>
  <w:style w:type="paragraph" w:styleId="17">
    <w:name w:val="footer"/>
    <w:basedOn w:val="1"/>
    <w:qFormat/>
    <w:uiPriority w:val="0"/>
    <w:pPr>
      <w:tabs>
        <w:tab w:val="center" w:pos="4153"/>
        <w:tab w:val="right" w:pos="8306"/>
      </w:tabs>
      <w:snapToGrid w:val="0"/>
      <w:jc w:val="left"/>
    </w:pPr>
    <w:rPr>
      <w:sz w:val="18"/>
      <w:szCs w:val="18"/>
    </w:rPr>
  </w:style>
  <w:style w:type="paragraph" w:styleId="18">
    <w:name w:val="toc 1"/>
    <w:basedOn w:val="1"/>
    <w:next w:val="1"/>
    <w:qFormat/>
    <w:uiPriority w:val="39"/>
  </w:style>
  <w:style w:type="paragraph" w:styleId="19">
    <w:name w:val="List"/>
    <w:basedOn w:val="1"/>
    <w:qFormat/>
    <w:uiPriority w:val="0"/>
    <w:pPr>
      <w:ind w:left="200" w:hanging="200" w:hangingChars="200"/>
    </w:pPr>
  </w:style>
  <w:style w:type="paragraph" w:styleId="20">
    <w:name w:val="toc 2"/>
    <w:basedOn w:val="1"/>
    <w:next w:val="1"/>
    <w:qFormat/>
    <w:uiPriority w:val="39"/>
    <w:pPr>
      <w:ind w:left="420" w:leftChars="200"/>
    </w:pPr>
  </w:style>
  <w:style w:type="paragraph" w:styleId="21">
    <w:name w:val="Normal (Web)"/>
    <w:basedOn w:val="1"/>
    <w:qFormat/>
    <w:uiPriority w:val="0"/>
    <w:pPr>
      <w:jc w:val="left"/>
    </w:pPr>
    <w:rPr>
      <w:kern w:val="0"/>
    </w:rPr>
  </w:style>
  <w:style w:type="table" w:styleId="23">
    <w:name w:val="Table Grid"/>
    <w:basedOn w:val="2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5">
    <w:name w:val="Strong"/>
    <w:basedOn w:val="24"/>
    <w:qFormat/>
    <w:uiPriority w:val="0"/>
    <w:rPr>
      <w:b/>
      <w:bCs/>
    </w:rPr>
  </w:style>
  <w:style w:type="character" w:styleId="26">
    <w:name w:val="FollowedHyperlink"/>
    <w:basedOn w:val="24"/>
    <w:qFormat/>
    <w:uiPriority w:val="0"/>
    <w:rPr>
      <w:color w:val="800080"/>
      <w:u w:val="none"/>
    </w:rPr>
  </w:style>
  <w:style w:type="character" w:styleId="27">
    <w:name w:val="Emphasis"/>
    <w:basedOn w:val="24"/>
    <w:qFormat/>
    <w:uiPriority w:val="0"/>
    <w:rPr>
      <w:b/>
      <w:bCs/>
    </w:rPr>
  </w:style>
  <w:style w:type="character" w:styleId="28">
    <w:name w:val="HTML Definition"/>
    <w:basedOn w:val="24"/>
    <w:qFormat/>
    <w:uiPriority w:val="0"/>
  </w:style>
  <w:style w:type="character" w:styleId="29">
    <w:name w:val="HTML Variable"/>
    <w:basedOn w:val="24"/>
    <w:qFormat/>
    <w:uiPriority w:val="0"/>
  </w:style>
  <w:style w:type="character" w:styleId="30">
    <w:name w:val="Hyperlink"/>
    <w:basedOn w:val="24"/>
    <w:qFormat/>
    <w:uiPriority w:val="99"/>
    <w:rPr>
      <w:color w:val="0000FF"/>
      <w:u w:val="none"/>
    </w:rPr>
  </w:style>
  <w:style w:type="character" w:styleId="31">
    <w:name w:val="HTML Code"/>
    <w:basedOn w:val="24"/>
    <w:qFormat/>
    <w:uiPriority w:val="0"/>
    <w:rPr>
      <w:rFonts w:ascii="Courier New" w:hAnsi="Courier New"/>
      <w:sz w:val="20"/>
    </w:rPr>
  </w:style>
  <w:style w:type="character" w:styleId="32">
    <w:name w:val="HTML Cite"/>
    <w:basedOn w:val="24"/>
    <w:qFormat/>
    <w:uiPriority w:val="0"/>
  </w:style>
  <w:style w:type="character" w:styleId="33">
    <w:name w:val="HTML Keyboard"/>
    <w:basedOn w:val="24"/>
    <w:qFormat/>
    <w:uiPriority w:val="0"/>
    <w:rPr>
      <w:rFonts w:ascii="Courier New" w:hAnsi="Courier New"/>
      <w:sz w:val="20"/>
    </w:rPr>
  </w:style>
  <w:style w:type="character" w:styleId="34">
    <w:name w:val="HTML Sample"/>
    <w:basedOn w:val="24"/>
    <w:qFormat/>
    <w:uiPriority w:val="0"/>
    <w:rPr>
      <w:rFonts w:ascii="Courier New" w:hAnsi="Courier New"/>
    </w:rPr>
  </w:style>
  <w:style w:type="paragraph" w:customStyle="1" w:styleId="35">
    <w:name w:val="样式 正文文本缩进 + 行距: 1.5 倍行距"/>
    <w:basedOn w:val="36"/>
    <w:next w:val="4"/>
    <w:qFormat/>
    <w:uiPriority w:val="0"/>
    <w:pPr>
      <w:spacing w:line="360" w:lineRule="auto"/>
      <w:ind w:left="90" w:leftChars="32" w:firstLine="560"/>
    </w:pPr>
    <w:rPr>
      <w:rFonts w:cs="宋体"/>
    </w:rPr>
  </w:style>
  <w:style w:type="paragraph" w:customStyle="1" w:styleId="36">
    <w:name w:val="正文文本缩进1"/>
    <w:basedOn w:val="1"/>
    <w:next w:val="35"/>
    <w:qFormat/>
    <w:uiPriority w:val="0"/>
    <w:pPr>
      <w:spacing w:after="120"/>
      <w:ind w:left="420"/>
    </w:pPr>
    <w:rPr>
      <w:szCs w:val="21"/>
    </w:rPr>
  </w:style>
  <w:style w:type="paragraph" w:customStyle="1" w:styleId="37">
    <w:name w:val="Body Text Indent"/>
    <w:basedOn w:val="1"/>
    <w:next w:val="35"/>
    <w:qFormat/>
    <w:uiPriority w:val="0"/>
    <w:pPr>
      <w:spacing w:line="480" w:lineRule="exact"/>
      <w:ind w:firstLine="480" w:firstLineChars="200"/>
    </w:pPr>
    <w:rPr>
      <w:rFonts w:ascii="宋体" w:hAnsi="宋体" w:eastAsia="Times New Roman"/>
      <w:sz w:val="24"/>
    </w:rPr>
  </w:style>
  <w:style w:type="paragraph" w:customStyle="1" w:styleId="38">
    <w:name w:val="正文文本缩进11"/>
    <w:basedOn w:val="1"/>
    <w:next w:val="35"/>
    <w:qFormat/>
    <w:uiPriority w:val="0"/>
    <w:pPr>
      <w:spacing w:after="120"/>
      <w:ind w:left="420"/>
    </w:pPr>
    <w:rPr>
      <w:szCs w:val="21"/>
    </w:rPr>
  </w:style>
  <w:style w:type="character" w:customStyle="1" w:styleId="39">
    <w:name w:val="hover9"/>
    <w:basedOn w:val="24"/>
    <w:qFormat/>
    <w:uiPriority w:val="0"/>
    <w:rPr>
      <w:color w:val="245399"/>
    </w:rPr>
  </w:style>
  <w:style w:type="character" w:customStyle="1" w:styleId="40">
    <w:name w:val="hover10"/>
    <w:basedOn w:val="24"/>
    <w:qFormat/>
    <w:uiPriority w:val="0"/>
    <w:rPr>
      <w:color w:val="FFFFFF"/>
    </w:rPr>
  </w:style>
  <w:style w:type="character" w:customStyle="1" w:styleId="41">
    <w:name w:val="hover11"/>
    <w:basedOn w:val="24"/>
    <w:qFormat/>
    <w:uiPriority w:val="0"/>
    <w:rPr>
      <w:color w:val="245399"/>
    </w:rPr>
  </w:style>
  <w:style w:type="paragraph" w:customStyle="1" w:styleId="42">
    <w:name w:val="正文标题"/>
    <w:basedOn w:val="1"/>
    <w:qFormat/>
    <w:uiPriority w:val="0"/>
    <w:pPr>
      <w:spacing w:line="480" w:lineRule="auto"/>
      <w:ind w:firstLine="472" w:firstLineChars="196"/>
    </w:pPr>
    <w:rPr>
      <w:b/>
    </w:rPr>
  </w:style>
  <w:style w:type="paragraph" w:customStyle="1" w:styleId="43">
    <w:name w:val="表头"/>
    <w:basedOn w:val="1"/>
    <w:next w:val="44"/>
    <w:qFormat/>
    <w:uiPriority w:val="0"/>
    <w:pPr>
      <w:ind w:firstLine="0" w:firstLineChars="0"/>
      <w:jc w:val="center"/>
    </w:pPr>
    <w:rPr>
      <w:rFonts w:eastAsia="黑体"/>
      <w:kern w:val="0"/>
      <w:sz w:val="21"/>
      <w:szCs w:val="21"/>
    </w:rPr>
  </w:style>
  <w:style w:type="paragraph" w:customStyle="1" w:styleId="44">
    <w:name w:val="表内式样"/>
    <w:basedOn w:val="45"/>
    <w:qFormat/>
    <w:uiPriority w:val="0"/>
    <w:pPr>
      <w:widowControl w:val="0"/>
      <w:spacing w:line="400" w:lineRule="exact"/>
      <w:ind w:left="-4" w:leftChars="-2" w:right="-105" w:rightChars="-50"/>
      <w:jc w:val="center"/>
    </w:pPr>
    <w:rPr>
      <w:rFonts w:ascii="Times New Roman" w:hAnsi="Times New Roman" w:eastAsia="宋体" w:cs="Times New Roman"/>
      <w:kern w:val="2"/>
      <w:sz w:val="24"/>
      <w:szCs w:val="24"/>
      <w:lang w:val="en-US" w:eastAsia="zh-CN" w:bidi="ar-SA"/>
    </w:rPr>
  </w:style>
  <w:style w:type="paragraph" w:customStyle="1" w:styleId="45">
    <w:name w:val="表格内容"/>
    <w:basedOn w:val="11"/>
    <w:next w:val="1"/>
    <w:link w:val="50"/>
    <w:qFormat/>
    <w:uiPriority w:val="0"/>
    <w:pPr>
      <w:overflowPunct w:val="0"/>
      <w:adjustRightInd w:val="0"/>
      <w:snapToGrid w:val="0"/>
      <w:spacing w:line="312" w:lineRule="exact"/>
      <w:ind w:firstLine="0" w:firstLineChars="0"/>
      <w:jc w:val="center"/>
      <w:textAlignment w:val="baseline"/>
    </w:pPr>
    <w:rPr>
      <w:sz w:val="21"/>
    </w:rPr>
  </w:style>
  <w:style w:type="paragraph" w:customStyle="1" w:styleId="46">
    <w:name w:val="表内文字"/>
    <w:basedOn w:val="1"/>
    <w:qFormat/>
    <w:uiPriority w:val="0"/>
    <w:pPr>
      <w:spacing w:line="312" w:lineRule="exact"/>
      <w:ind w:firstLine="0" w:firstLineChars="0"/>
      <w:jc w:val="center"/>
    </w:pPr>
    <w:rPr>
      <w:sz w:val="21"/>
      <w:szCs w:val="24"/>
    </w:rPr>
  </w:style>
  <w:style w:type="paragraph" w:customStyle="1" w:styleId="47">
    <w:name w:val="表内容"/>
    <w:basedOn w:val="1"/>
    <w:next w:val="1"/>
    <w:qFormat/>
    <w:uiPriority w:val="0"/>
    <w:pPr>
      <w:spacing w:line="312" w:lineRule="exact"/>
      <w:ind w:firstLine="0" w:firstLineChars="0"/>
      <w:jc w:val="center"/>
    </w:pPr>
    <w:rPr>
      <w:sz w:val="21"/>
    </w:rPr>
  </w:style>
  <w:style w:type="paragraph" w:customStyle="1" w:styleId="48">
    <w:name w:val="表名"/>
    <w:basedOn w:val="49"/>
    <w:qFormat/>
    <w:uiPriority w:val="0"/>
    <w:pPr>
      <w:tabs>
        <w:tab w:val="left" w:pos="377"/>
      </w:tabs>
      <w:ind w:firstLine="0" w:firstLineChars="0"/>
      <w:jc w:val="center"/>
    </w:pPr>
    <w:rPr>
      <w:rFonts w:eastAsia="黑体"/>
      <w:snapToGrid w:val="0"/>
      <w:spacing w:val="10"/>
      <w:kern w:val="0"/>
      <w:sz w:val="21"/>
    </w:rPr>
  </w:style>
  <w:style w:type="paragraph" w:customStyle="1" w:styleId="49">
    <w:name w:val="表格内容2"/>
    <w:basedOn w:val="45"/>
    <w:qFormat/>
    <w:uiPriority w:val="0"/>
    <w:pPr>
      <w:spacing w:line="240" w:lineRule="auto"/>
    </w:pPr>
  </w:style>
  <w:style w:type="character" w:customStyle="1" w:styleId="50">
    <w:name w:val="表格内容 Char"/>
    <w:link w:val="45"/>
    <w:qFormat/>
    <w:uiPriority w:val="0"/>
    <w:rPr>
      <w:rFonts w:ascii="Times New Roman" w:hAnsi="Times New Roman" w:eastAsia="宋体"/>
      <w:sz w:val="21"/>
    </w:rPr>
  </w:style>
  <w:style w:type="paragraph" w:customStyle="1" w:styleId="51">
    <w:name w:val="茂名 正文"/>
    <w:basedOn w:val="1"/>
    <w:qFormat/>
    <w:uiPriority w:val="0"/>
    <w:pPr>
      <w:widowControl/>
      <w:topLinePunct/>
      <w:spacing w:line="480" w:lineRule="exact"/>
      <w:ind w:firstLine="539" w:firstLineChars="0"/>
    </w:pPr>
    <w:rPr>
      <w:rFonts w:ascii="Arial" w:hAnsi="Arial" w:cs="Arial"/>
      <w:kern w:val="0"/>
    </w:rPr>
  </w:style>
  <w:style w:type="paragraph" w:styleId="52">
    <w:name w:val="List Paragraph"/>
    <w:basedOn w:val="1"/>
    <w:qFormat/>
    <w:uiPriority w:val="34"/>
    <w:pPr>
      <w:ind w:firstLine="420"/>
    </w:pPr>
  </w:style>
  <w:style w:type="character" w:customStyle="1" w:styleId="53">
    <w:name w:val="标题 3 Char"/>
    <w:link w:val="9"/>
    <w:qFormat/>
    <w:uiPriority w:val="0"/>
    <w:rPr>
      <w:rFonts w:ascii="Times New Roman" w:hAnsi="Times New Roman" w:eastAsia="黑体"/>
    </w:rPr>
  </w:style>
  <w:style w:type="character" w:customStyle="1" w:styleId="54">
    <w:name w:val="标题 2 Char"/>
    <w:link w:val="8"/>
    <w:qFormat/>
    <w:uiPriority w:val="0"/>
    <w:rPr>
      <w:rFonts w:ascii="Times New Roman" w:hAnsi="Times New Roman" w:eastAsia="黑体"/>
      <w:sz w:val="28"/>
    </w:rPr>
  </w:style>
  <w:style w:type="paragraph" w:customStyle="1" w:styleId="55">
    <w:name w:val="兴武正文"/>
    <w:basedOn w:val="1"/>
    <w:qFormat/>
    <w:uiPriority w:val="0"/>
    <w:pPr>
      <w:spacing w:line="480" w:lineRule="exact"/>
      <w:ind w:firstLine="200"/>
    </w:pPr>
    <w:rPr>
      <w:rFonts w:cs="宋体"/>
    </w:rPr>
  </w:style>
  <w:style w:type="paragraph" w:customStyle="1" w:styleId="56">
    <w:name w:val="Default"/>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paragraph" w:customStyle="1" w:styleId="57">
    <w:name w:val="表格标题"/>
    <w:basedOn w:val="1"/>
    <w:next w:val="1"/>
    <w:qFormat/>
    <w:uiPriority w:val="0"/>
    <w:pPr>
      <w:ind w:firstLine="0" w:firstLineChars="0"/>
      <w:jc w:val="center"/>
    </w:pPr>
    <w:rPr>
      <w:rFonts w:eastAsia="黑体"/>
      <w:sz w:val="21"/>
      <w:szCs w:val="24"/>
    </w:rPr>
  </w:style>
  <w:style w:type="paragraph" w:customStyle="1" w:styleId="58">
    <w:name w:val="表名图名"/>
    <w:basedOn w:val="1"/>
    <w:next w:val="49"/>
    <w:qFormat/>
    <w:uiPriority w:val="0"/>
    <w:pPr>
      <w:ind w:firstLine="0" w:firstLineChars="0"/>
      <w:jc w:val="center"/>
    </w:pPr>
    <w:rPr>
      <w:rFonts w:eastAsia="黑体"/>
      <w:b/>
      <w:sz w:val="21"/>
    </w:rPr>
  </w:style>
  <w:style w:type="paragraph" w:customStyle="1" w:styleId="59">
    <w:name w:val="表格内文字"/>
    <w:basedOn w:val="1"/>
    <w:qFormat/>
    <w:uiPriority w:val="0"/>
    <w:pPr>
      <w:tabs>
        <w:tab w:val="left" w:pos="0"/>
      </w:tabs>
      <w:adjustRightInd w:val="0"/>
      <w:snapToGrid w:val="0"/>
      <w:spacing w:line="240" w:lineRule="auto"/>
      <w:ind w:firstLine="0" w:firstLineChars="0"/>
      <w:jc w:val="center"/>
    </w:pPr>
    <w:rPr>
      <w:rFonts w:ascii="宋体" w:hAnsi="宋体"/>
      <w:sz w:val="21"/>
      <w:szCs w:val="21"/>
    </w:rPr>
  </w:style>
  <w:style w:type="character" w:customStyle="1" w:styleId="60">
    <w:name w:val="font71"/>
    <w:basedOn w:val="24"/>
    <w:qFormat/>
    <w:uiPriority w:val="0"/>
    <w:rPr>
      <w:rFonts w:hint="eastAsia" w:ascii="宋体" w:hAnsi="宋体" w:eastAsia="宋体" w:cs="宋体"/>
      <w:color w:val="000000"/>
      <w:sz w:val="21"/>
      <w:szCs w:val="21"/>
      <w:u w:val="none"/>
      <w:vertAlign w:val="subscript"/>
    </w:rPr>
  </w:style>
  <w:style w:type="character" w:customStyle="1" w:styleId="61">
    <w:name w:val="font31"/>
    <w:basedOn w:val="24"/>
    <w:qFormat/>
    <w:uiPriority w:val="0"/>
    <w:rPr>
      <w:rFonts w:hint="eastAsia" w:ascii="宋体" w:hAnsi="宋体" w:eastAsia="宋体" w:cs="宋体"/>
      <w:color w:val="000000"/>
      <w:sz w:val="21"/>
      <w:szCs w:val="21"/>
      <w:u w:val="none"/>
    </w:rPr>
  </w:style>
  <w:style w:type="character" w:customStyle="1" w:styleId="62">
    <w:name w:val="font61"/>
    <w:basedOn w:val="24"/>
    <w:qFormat/>
    <w:uiPriority w:val="0"/>
    <w:rPr>
      <w:rFonts w:hint="default" w:ascii="Times New Roman" w:hAnsi="Times New Roman" w:cs="Times New Roman"/>
      <w:color w:val="000000"/>
      <w:sz w:val="22"/>
      <w:szCs w:val="22"/>
      <w:u w:val="none"/>
    </w:rPr>
  </w:style>
  <w:style w:type="table" w:customStyle="1" w:styleId="63">
    <w:name w:val="Table Normal"/>
    <w:unhideWhenUsed/>
    <w:qFormat/>
    <w:uiPriority w:val="0"/>
    <w:tblPr>
      <w:tblCellMar>
        <w:top w:w="0" w:type="dxa"/>
        <w:left w:w="0" w:type="dxa"/>
        <w:bottom w:w="0" w:type="dxa"/>
        <w:right w:w="0" w:type="dxa"/>
      </w:tblCellMar>
    </w:tblPr>
  </w:style>
  <w:style w:type="paragraph" w:customStyle="1" w:styleId="64">
    <w:name w:val="图名"/>
    <w:basedOn w:val="1"/>
    <w:qFormat/>
    <w:uiPriority w:val="0"/>
    <w:pPr>
      <w:jc w:val="center"/>
    </w:pPr>
    <w:rPr>
      <w:rFonts w:eastAsia="黑体"/>
      <w:sz w:val="21"/>
    </w:rPr>
  </w:style>
  <w:style w:type="character" w:customStyle="1" w:styleId="65">
    <w:name w:val="标题 4 Char"/>
    <w:link w:val="10"/>
    <w:qFormat/>
    <w:uiPriority w:val="0"/>
    <w:rPr>
      <w:rFonts w:ascii="Times New Roman" w:hAnsi="Times New Roman"/>
      <w:b/>
    </w:rPr>
  </w:style>
  <w:style w:type="paragraph" w:customStyle="1" w:styleId="66">
    <w:name w:val="样式 正文 行距: 固定值 25 磅"/>
    <w:basedOn w:val="1"/>
    <w:qFormat/>
    <w:uiPriority w:val="0"/>
    <w:pPr>
      <w:adjustRightInd w:val="0"/>
      <w:spacing w:line="500" w:lineRule="exact"/>
      <w:ind w:firstLine="200"/>
    </w:pPr>
  </w:style>
  <w:style w:type="paragraph" w:customStyle="1" w:styleId="67">
    <w:name w:val="WPSOffice手动目录 1"/>
    <w:qFormat/>
    <w:uiPriority w:val="0"/>
    <w:rPr>
      <w:rFonts w:ascii="Times New Roman" w:hAnsi="Times New Roman" w:eastAsia="宋体" w:cs="Times New Roman"/>
      <w:lang w:val="en-US" w:eastAsia="zh-CN" w:bidi="ar-SA"/>
    </w:rPr>
  </w:style>
  <w:style w:type="paragraph" w:customStyle="1" w:styleId="68">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69">
    <w:name w:val="Table Paragraph"/>
    <w:basedOn w:val="1"/>
    <w:qFormat/>
    <w:uiPriority w:val="1"/>
    <w:rPr>
      <w:rFonts w:ascii="宋体" w:hAnsi="宋体" w:cs="宋体"/>
      <w:lang w:val="zh-CN" w:bidi="zh-CN"/>
    </w:rPr>
  </w:style>
  <w:style w:type="paragraph" w:customStyle="1" w:styleId="70">
    <w:name w:val="报告表-4"/>
    <w:basedOn w:val="6"/>
    <w:qFormat/>
    <w:uiPriority w:val="0"/>
    <w:pPr>
      <w:spacing w:line="360" w:lineRule="auto"/>
      <w:ind w:firstLine="720"/>
    </w:pPr>
    <w:rPr>
      <w:rFonts w:ascii="Times New Roman" w:eastAsia="宋体"/>
      <w:iCs/>
    </w:rPr>
  </w:style>
  <w:style w:type="paragraph" w:customStyle="1" w:styleId="71">
    <w:name w:val="正文01"/>
    <w:basedOn w:val="1"/>
    <w:qFormat/>
    <w:uiPriority w:val="0"/>
    <w:pPr>
      <w:spacing w:before="60" w:line="460" w:lineRule="exact"/>
      <w:ind w:firstLine="200" w:firstLineChars="200"/>
    </w:pPr>
    <w:rPr>
      <w:rFonts w:ascii="Times New Roman" w:hAnsi="Times New Roman" w:eastAsia="宋体" w:cs="Times New Roman"/>
      <w:bCs/>
      <w:sz w:val="24"/>
      <w:szCs w:val="24"/>
    </w:rPr>
  </w:style>
  <w:style w:type="paragraph" w:customStyle="1" w:styleId="72">
    <w:name w:val="8表头"/>
    <w:basedOn w:val="1"/>
    <w:qFormat/>
    <w:uiPriority w:val="0"/>
    <w:pPr>
      <w:numPr>
        <w:ilvl w:val="0"/>
        <w:numId w:val="1"/>
      </w:numPr>
      <w:jc w:val="center"/>
    </w:pPr>
    <w:rPr>
      <w:rFonts w:eastAsia="黑体"/>
      <w:sz w:val="21"/>
    </w:rPr>
  </w:style>
  <w:style w:type="paragraph" w:customStyle="1" w:styleId="73">
    <w:name w:val="表格"/>
    <w:basedOn w:val="19"/>
    <w:next w:val="1"/>
    <w:qFormat/>
    <w:uiPriority w:val="0"/>
    <w:pPr>
      <w:jc w:val="center"/>
    </w:pPr>
  </w:style>
  <w:style w:type="paragraph" w:customStyle="1" w:styleId="74">
    <w:name w:val="AAA表头-"/>
    <w:basedOn w:val="43"/>
    <w:qFormat/>
    <w:uiPriority w:val="0"/>
    <w:pPr>
      <w:spacing w:before="0" w:beforeLines="0" w:line="440" w:lineRule="exact"/>
      <w:ind w:firstLine="0" w:firstLineChars="0"/>
    </w:pPr>
    <w:rPr>
      <w:rFonts w:eastAsia="黑体"/>
      <w:color w:val="FF0000"/>
      <w:kern w:val="0"/>
      <w:sz w:val="21"/>
      <w:szCs w:val="21"/>
    </w:rPr>
  </w:style>
  <w:style w:type="paragraph" w:customStyle="1" w:styleId="75">
    <w:name w:val="AAA表格"/>
    <w:basedOn w:val="1"/>
    <w:qFormat/>
    <w:uiPriority w:val="0"/>
    <w:pPr>
      <w:spacing w:line="312" w:lineRule="exact"/>
      <w:ind w:firstLine="0" w:firstLineChars="0"/>
      <w:jc w:val="center"/>
    </w:pPr>
    <w:rPr>
      <w:rFonts w:ascii="Times New Roman" w:hAnsi="Times New Roman"/>
      <w:sz w:val="21"/>
      <w:szCs w:val="18"/>
    </w:rPr>
  </w:style>
  <w:style w:type="character" w:customStyle="1" w:styleId="76">
    <w:name w:val="font21"/>
    <w:basedOn w:val="24"/>
    <w:qFormat/>
    <w:uiPriority w:val="0"/>
    <w:rPr>
      <w:rFonts w:hint="eastAsia" w:ascii="宋体" w:hAnsi="宋体" w:eastAsia="宋体" w:cs="宋体"/>
      <w:color w:val="000000"/>
      <w:sz w:val="21"/>
      <w:szCs w:val="21"/>
      <w:u w:val="none"/>
    </w:rPr>
  </w:style>
  <w:style w:type="character" w:customStyle="1" w:styleId="77">
    <w:name w:val="font11"/>
    <w:basedOn w:val="24"/>
    <w:qFormat/>
    <w:uiPriority w:val="0"/>
    <w:rPr>
      <w:rFonts w:hint="default" w:ascii="Times New Roman" w:hAnsi="Times New Roman" w:cs="Times New Roman"/>
      <w:color w:val="000000"/>
      <w:sz w:val="21"/>
      <w:szCs w:val="21"/>
      <w:u w:val="none"/>
    </w:rPr>
  </w:style>
  <w:style w:type="character" w:customStyle="1" w:styleId="78">
    <w:name w:val="标题 2 字符"/>
    <w:link w:val="8"/>
    <w:qFormat/>
    <w:uiPriority w:val="0"/>
    <w:rPr>
      <w:rFonts w:ascii="Times New Roman" w:hAnsi="Times New Roman" w:eastAsia="黑体"/>
      <w:sz w:val="28"/>
    </w:rPr>
  </w:style>
</w:styles>
</file>

<file path=word/_rels/document.xml.rels><?xml version="1.0" encoding="UTF-8" standalone="yes"?>
<Relationships xmlns="http://schemas.openxmlformats.org/package/2006/relationships"><Relationship Id="rId99" Type="http://schemas.openxmlformats.org/officeDocument/2006/relationships/image" Target="media/image38.png"/><Relationship Id="rId98" Type="http://schemas.openxmlformats.org/officeDocument/2006/relationships/image" Target="media/image37.png"/><Relationship Id="rId97" Type="http://schemas.openxmlformats.org/officeDocument/2006/relationships/image" Target="media/image36.png"/><Relationship Id="rId96" Type="http://schemas.openxmlformats.org/officeDocument/2006/relationships/image" Target="media/image35.png"/><Relationship Id="rId95" Type="http://schemas.openxmlformats.org/officeDocument/2006/relationships/image" Target="media/image34.png"/><Relationship Id="rId94" Type="http://schemas.openxmlformats.org/officeDocument/2006/relationships/image" Target="media/image33.png"/><Relationship Id="rId93" Type="http://schemas.openxmlformats.org/officeDocument/2006/relationships/image" Target="media/image32.wmf"/><Relationship Id="rId92" Type="http://schemas.openxmlformats.org/officeDocument/2006/relationships/oleObject" Target="embeddings/oleObject11.bin"/><Relationship Id="rId91" Type="http://schemas.openxmlformats.org/officeDocument/2006/relationships/image" Target="media/image31.wmf"/><Relationship Id="rId90" Type="http://schemas.openxmlformats.org/officeDocument/2006/relationships/oleObject" Target="embeddings/oleObject10.bin"/><Relationship Id="rId9" Type="http://schemas.openxmlformats.org/officeDocument/2006/relationships/footer" Target="footer2.xml"/><Relationship Id="rId89" Type="http://schemas.openxmlformats.org/officeDocument/2006/relationships/image" Target="media/image30.wmf"/><Relationship Id="rId88" Type="http://schemas.openxmlformats.org/officeDocument/2006/relationships/oleObject" Target="embeddings/oleObject9.bin"/><Relationship Id="rId87" Type="http://schemas.openxmlformats.org/officeDocument/2006/relationships/image" Target="media/image29.wmf"/><Relationship Id="rId86" Type="http://schemas.openxmlformats.org/officeDocument/2006/relationships/oleObject" Target="embeddings/oleObject8.bin"/><Relationship Id="rId85" Type="http://schemas.openxmlformats.org/officeDocument/2006/relationships/image" Target="media/image28.wmf"/><Relationship Id="rId84" Type="http://schemas.openxmlformats.org/officeDocument/2006/relationships/oleObject" Target="embeddings/oleObject7.bin"/><Relationship Id="rId83" Type="http://schemas.openxmlformats.org/officeDocument/2006/relationships/oleObject" Target="embeddings/oleObject6.bin"/><Relationship Id="rId82" Type="http://schemas.openxmlformats.org/officeDocument/2006/relationships/image" Target="media/image27.wmf"/><Relationship Id="rId81" Type="http://schemas.openxmlformats.org/officeDocument/2006/relationships/oleObject" Target="embeddings/oleObject5.bin"/><Relationship Id="rId80" Type="http://schemas.openxmlformats.org/officeDocument/2006/relationships/image" Target="media/image26.wmf"/><Relationship Id="rId8" Type="http://schemas.openxmlformats.org/officeDocument/2006/relationships/footer" Target="footer1.xml"/><Relationship Id="rId79" Type="http://schemas.openxmlformats.org/officeDocument/2006/relationships/oleObject" Target="embeddings/oleObject4.bin"/><Relationship Id="rId78" Type="http://schemas.openxmlformats.org/officeDocument/2006/relationships/image" Target="media/image25.wmf"/><Relationship Id="rId77" Type="http://schemas.openxmlformats.org/officeDocument/2006/relationships/oleObject" Target="embeddings/oleObject3.bin"/><Relationship Id="rId76" Type="http://schemas.openxmlformats.org/officeDocument/2006/relationships/image" Target="media/image24.wmf"/><Relationship Id="rId75" Type="http://schemas.openxmlformats.org/officeDocument/2006/relationships/oleObject" Target="embeddings/oleObject2.bin"/><Relationship Id="rId74" Type="http://schemas.openxmlformats.org/officeDocument/2006/relationships/image" Target="media/image23.wmf"/><Relationship Id="rId73" Type="http://schemas.openxmlformats.org/officeDocument/2006/relationships/oleObject" Target="embeddings/oleObject1.bin"/><Relationship Id="rId72" Type="http://schemas.openxmlformats.org/officeDocument/2006/relationships/image" Target="media/image22.png"/><Relationship Id="rId71" Type="http://schemas.openxmlformats.org/officeDocument/2006/relationships/image" Target="media/image21.png"/><Relationship Id="rId70" Type="http://schemas.openxmlformats.org/officeDocument/2006/relationships/image" Target="media/image20.png"/><Relationship Id="rId7" Type="http://schemas.openxmlformats.org/officeDocument/2006/relationships/header" Target="header3.xml"/><Relationship Id="rId69" Type="http://schemas.openxmlformats.org/officeDocument/2006/relationships/image" Target="media/image19.wmf"/><Relationship Id="rId68" Type="http://schemas.openxmlformats.org/officeDocument/2006/relationships/image" Target="media/image18.png"/><Relationship Id="rId67" Type="http://schemas.openxmlformats.org/officeDocument/2006/relationships/image" Target="media/image17.png"/><Relationship Id="rId66" Type="http://schemas.openxmlformats.org/officeDocument/2006/relationships/image" Target="media/image16.png"/><Relationship Id="rId65" Type="http://schemas.openxmlformats.org/officeDocument/2006/relationships/image" Target="media/image15.png"/><Relationship Id="rId64" Type="http://schemas.openxmlformats.org/officeDocument/2006/relationships/image" Target="media/image14.png"/><Relationship Id="rId63" Type="http://schemas.openxmlformats.org/officeDocument/2006/relationships/image" Target="media/image13.png"/><Relationship Id="rId62" Type="http://schemas.openxmlformats.org/officeDocument/2006/relationships/image" Target="media/image12.png"/><Relationship Id="rId61" Type="http://schemas.openxmlformats.org/officeDocument/2006/relationships/image" Target="media/image11.png"/><Relationship Id="rId60" Type="http://schemas.openxmlformats.org/officeDocument/2006/relationships/image" Target="media/image10.png"/><Relationship Id="rId6" Type="http://schemas.openxmlformats.org/officeDocument/2006/relationships/header" Target="header2.xml"/><Relationship Id="rId59" Type="http://schemas.openxmlformats.org/officeDocument/2006/relationships/image" Target="media/image9.png"/><Relationship Id="rId58" Type="http://schemas.openxmlformats.org/officeDocument/2006/relationships/image" Target="media/image8.jpeg"/><Relationship Id="rId57" Type="http://schemas.openxmlformats.org/officeDocument/2006/relationships/image" Target="media/image7.png"/><Relationship Id="rId56" Type="http://schemas.openxmlformats.org/officeDocument/2006/relationships/image" Target="media/image6.png"/><Relationship Id="rId55" Type="http://schemas.openxmlformats.org/officeDocument/2006/relationships/image" Target="media/image5.png"/><Relationship Id="rId54" Type="http://schemas.openxmlformats.org/officeDocument/2006/relationships/image" Target="media/image4.jpeg"/><Relationship Id="rId53" Type="http://schemas.openxmlformats.org/officeDocument/2006/relationships/image" Target="media/image3.tiff"/><Relationship Id="rId52" Type="http://schemas.openxmlformats.org/officeDocument/2006/relationships/image" Target="media/image2.png"/><Relationship Id="rId51" Type="http://schemas.openxmlformats.org/officeDocument/2006/relationships/image" Target="media/image1.emf"/><Relationship Id="rId50" Type="http://schemas.openxmlformats.org/officeDocument/2006/relationships/theme" Target="theme/theme1.xml"/><Relationship Id="rId5" Type="http://schemas.openxmlformats.org/officeDocument/2006/relationships/header" Target="header1.xml"/><Relationship Id="rId49" Type="http://schemas.openxmlformats.org/officeDocument/2006/relationships/header" Target="header37.xml"/><Relationship Id="rId48" Type="http://schemas.openxmlformats.org/officeDocument/2006/relationships/header" Target="header36.xml"/><Relationship Id="rId47" Type="http://schemas.openxmlformats.org/officeDocument/2006/relationships/header" Target="header35.xml"/><Relationship Id="rId46" Type="http://schemas.openxmlformats.org/officeDocument/2006/relationships/header" Target="header34.xml"/><Relationship Id="rId45" Type="http://schemas.openxmlformats.org/officeDocument/2006/relationships/header" Target="header33.xml"/><Relationship Id="rId44" Type="http://schemas.openxmlformats.org/officeDocument/2006/relationships/header" Target="header32.xml"/><Relationship Id="rId43" Type="http://schemas.openxmlformats.org/officeDocument/2006/relationships/header" Target="header31.xml"/><Relationship Id="rId42" Type="http://schemas.openxmlformats.org/officeDocument/2006/relationships/header" Target="header30.xml"/><Relationship Id="rId41" Type="http://schemas.openxmlformats.org/officeDocument/2006/relationships/header" Target="header29.xml"/><Relationship Id="rId40" Type="http://schemas.openxmlformats.org/officeDocument/2006/relationships/header" Target="header28.xml"/><Relationship Id="rId4" Type="http://schemas.openxmlformats.org/officeDocument/2006/relationships/endnotes" Target="endnotes.xml"/><Relationship Id="rId39" Type="http://schemas.openxmlformats.org/officeDocument/2006/relationships/footer" Target="footer8.xml"/><Relationship Id="rId38" Type="http://schemas.openxmlformats.org/officeDocument/2006/relationships/header" Target="header27.xml"/><Relationship Id="rId37" Type="http://schemas.openxmlformats.org/officeDocument/2006/relationships/header" Target="header26.xml"/><Relationship Id="rId36" Type="http://schemas.openxmlformats.org/officeDocument/2006/relationships/header" Target="header25.xml"/><Relationship Id="rId35" Type="http://schemas.openxmlformats.org/officeDocument/2006/relationships/header" Target="header24.xml"/><Relationship Id="rId34" Type="http://schemas.openxmlformats.org/officeDocument/2006/relationships/header" Target="header23.xml"/><Relationship Id="rId33" Type="http://schemas.openxmlformats.org/officeDocument/2006/relationships/header" Target="header22.xml"/><Relationship Id="rId32" Type="http://schemas.openxmlformats.org/officeDocument/2006/relationships/header" Target="header21.xml"/><Relationship Id="rId31" Type="http://schemas.openxmlformats.org/officeDocument/2006/relationships/header" Target="header20.xml"/><Relationship Id="rId30" Type="http://schemas.openxmlformats.org/officeDocument/2006/relationships/header" Target="header19.xml"/><Relationship Id="rId3" Type="http://schemas.openxmlformats.org/officeDocument/2006/relationships/footnotes" Target="footnotes.xml"/><Relationship Id="rId29" Type="http://schemas.openxmlformats.org/officeDocument/2006/relationships/header" Target="header18.xml"/><Relationship Id="rId28" Type="http://schemas.openxmlformats.org/officeDocument/2006/relationships/header" Target="header17.xml"/><Relationship Id="rId27" Type="http://schemas.openxmlformats.org/officeDocument/2006/relationships/header" Target="header16.xml"/><Relationship Id="rId26" Type="http://schemas.openxmlformats.org/officeDocument/2006/relationships/header" Target="header15.xml"/><Relationship Id="rId25" Type="http://schemas.openxmlformats.org/officeDocument/2006/relationships/header" Target="header14.xml"/><Relationship Id="rId24" Type="http://schemas.openxmlformats.org/officeDocument/2006/relationships/header" Target="header13.xml"/><Relationship Id="rId23" Type="http://schemas.openxmlformats.org/officeDocument/2006/relationships/header" Target="header12.xml"/><Relationship Id="rId22" Type="http://schemas.openxmlformats.org/officeDocument/2006/relationships/header" Target="header11.xml"/><Relationship Id="rId21" Type="http://schemas.openxmlformats.org/officeDocument/2006/relationships/header" Target="header10.xml"/><Relationship Id="rId20" Type="http://schemas.openxmlformats.org/officeDocument/2006/relationships/header" Target="header9.xml"/><Relationship Id="rId2" Type="http://schemas.openxmlformats.org/officeDocument/2006/relationships/settings" Target="settings.xml"/><Relationship Id="rId19" Type="http://schemas.openxmlformats.org/officeDocument/2006/relationships/header" Target="header8.xml"/><Relationship Id="rId18" Type="http://schemas.openxmlformats.org/officeDocument/2006/relationships/header" Target="header7.xml"/><Relationship Id="rId17" Type="http://schemas.openxmlformats.org/officeDocument/2006/relationships/header" Target="header6.xml"/><Relationship Id="rId16" Type="http://schemas.openxmlformats.org/officeDocument/2006/relationships/header" Target="header5.xml"/><Relationship Id="rId158" Type="http://schemas.openxmlformats.org/officeDocument/2006/relationships/fontTable" Target="fontTable.xml"/><Relationship Id="rId157" Type="http://schemas.openxmlformats.org/officeDocument/2006/relationships/customXml" Target="../customXml/item2.xml"/><Relationship Id="rId156" Type="http://schemas.openxmlformats.org/officeDocument/2006/relationships/numbering" Target="numbering.xml"/><Relationship Id="rId155" Type="http://schemas.openxmlformats.org/officeDocument/2006/relationships/customXml" Target="../customXml/item1.xml"/><Relationship Id="rId154" Type="http://schemas.openxmlformats.org/officeDocument/2006/relationships/image" Target="media/image88.png"/><Relationship Id="rId153" Type="http://schemas.openxmlformats.org/officeDocument/2006/relationships/image" Target="media/image87.jpeg"/><Relationship Id="rId152" Type="http://schemas.openxmlformats.org/officeDocument/2006/relationships/image" Target="media/image86.png"/><Relationship Id="rId151" Type="http://schemas.openxmlformats.org/officeDocument/2006/relationships/image" Target="media/image85.png"/><Relationship Id="rId150" Type="http://schemas.openxmlformats.org/officeDocument/2006/relationships/image" Target="media/image84.jpeg"/><Relationship Id="rId15" Type="http://schemas.openxmlformats.org/officeDocument/2006/relationships/footer" Target="footer7.xml"/><Relationship Id="rId149" Type="http://schemas.openxmlformats.org/officeDocument/2006/relationships/hyperlink" Target="http://pic.sogou.com/javascript:void(0)" TargetMode="External"/><Relationship Id="rId148" Type="http://schemas.openxmlformats.org/officeDocument/2006/relationships/image" Target="media/image83.jpeg"/><Relationship Id="rId147" Type="http://schemas.openxmlformats.org/officeDocument/2006/relationships/image" Target="media/image82.jpeg"/><Relationship Id="rId146" Type="http://schemas.openxmlformats.org/officeDocument/2006/relationships/image" Target="media/image81.jpeg"/><Relationship Id="rId145" Type="http://schemas.openxmlformats.org/officeDocument/2006/relationships/image" Target="media/image80.jpeg"/><Relationship Id="rId144" Type="http://schemas.openxmlformats.org/officeDocument/2006/relationships/image" Target="media/image79.png"/><Relationship Id="rId143" Type="http://schemas.openxmlformats.org/officeDocument/2006/relationships/image" Target="media/image78.png"/><Relationship Id="rId142" Type="http://schemas.openxmlformats.org/officeDocument/2006/relationships/image" Target="media/image77.jpeg"/><Relationship Id="rId141" Type="http://schemas.openxmlformats.org/officeDocument/2006/relationships/image" Target="media/image76.jpeg"/><Relationship Id="rId140" Type="http://schemas.openxmlformats.org/officeDocument/2006/relationships/image" Target="media/image75.png"/><Relationship Id="rId14" Type="http://schemas.openxmlformats.org/officeDocument/2006/relationships/footer" Target="footer6.xml"/><Relationship Id="rId139" Type="http://schemas.openxmlformats.org/officeDocument/2006/relationships/image" Target="media/image74.wmf"/><Relationship Id="rId138" Type="http://schemas.openxmlformats.org/officeDocument/2006/relationships/oleObject" Target="embeddings/oleObject15.bin"/><Relationship Id="rId137" Type="http://schemas.openxmlformats.org/officeDocument/2006/relationships/image" Target="media/image73.tiff"/><Relationship Id="rId136" Type="http://schemas.openxmlformats.org/officeDocument/2006/relationships/image" Target="media/image72.emf"/><Relationship Id="rId135" Type="http://schemas.openxmlformats.org/officeDocument/2006/relationships/oleObject" Target="embeddings/oleObject14.bin"/><Relationship Id="rId134" Type="http://schemas.openxmlformats.org/officeDocument/2006/relationships/image" Target="media/image71.png"/><Relationship Id="rId133" Type="http://schemas.openxmlformats.org/officeDocument/2006/relationships/image" Target="media/image70.wmf"/><Relationship Id="rId132" Type="http://schemas.openxmlformats.org/officeDocument/2006/relationships/image" Target="media/image69.emf"/><Relationship Id="rId131" Type="http://schemas.openxmlformats.org/officeDocument/2006/relationships/image" Target="media/image68.png"/><Relationship Id="rId130" Type="http://schemas.openxmlformats.org/officeDocument/2006/relationships/image" Target="media/image67.png"/><Relationship Id="rId13" Type="http://schemas.openxmlformats.org/officeDocument/2006/relationships/footer" Target="footer5.xml"/><Relationship Id="rId129" Type="http://schemas.openxmlformats.org/officeDocument/2006/relationships/image" Target="media/image66.wmf"/><Relationship Id="rId128" Type="http://schemas.openxmlformats.org/officeDocument/2006/relationships/oleObject" Target="embeddings/oleObject13.bin"/><Relationship Id="rId127" Type="http://schemas.openxmlformats.org/officeDocument/2006/relationships/image" Target="media/image65.png"/><Relationship Id="rId126" Type="http://schemas.openxmlformats.org/officeDocument/2006/relationships/image" Target="media/image64.png"/><Relationship Id="rId125" Type="http://schemas.openxmlformats.org/officeDocument/2006/relationships/image" Target="media/image63.png"/><Relationship Id="rId124" Type="http://schemas.openxmlformats.org/officeDocument/2006/relationships/image" Target="media/image62.png"/><Relationship Id="rId123" Type="http://schemas.openxmlformats.org/officeDocument/2006/relationships/image" Target="media/image61.png"/><Relationship Id="rId122" Type="http://schemas.openxmlformats.org/officeDocument/2006/relationships/image" Target="media/image60.png"/><Relationship Id="rId121" Type="http://schemas.openxmlformats.org/officeDocument/2006/relationships/image" Target="media/image59.png"/><Relationship Id="rId120" Type="http://schemas.openxmlformats.org/officeDocument/2006/relationships/image" Target="media/image58.png"/><Relationship Id="rId12" Type="http://schemas.openxmlformats.org/officeDocument/2006/relationships/header" Target="header4.xml"/><Relationship Id="rId119" Type="http://schemas.openxmlformats.org/officeDocument/2006/relationships/image" Target="media/image57.wmf"/><Relationship Id="rId118" Type="http://schemas.openxmlformats.org/officeDocument/2006/relationships/image" Target="media/image56.wmf"/><Relationship Id="rId117" Type="http://schemas.openxmlformats.org/officeDocument/2006/relationships/image" Target="media/image55.wmf"/><Relationship Id="rId116" Type="http://schemas.openxmlformats.org/officeDocument/2006/relationships/image" Target="media/image54.wmf"/><Relationship Id="rId115" Type="http://schemas.openxmlformats.org/officeDocument/2006/relationships/image" Target="media/image53.wmf"/><Relationship Id="rId114" Type="http://schemas.openxmlformats.org/officeDocument/2006/relationships/image" Target="media/image52.png"/><Relationship Id="rId113" Type="http://schemas.openxmlformats.org/officeDocument/2006/relationships/image" Target="media/image51.png"/><Relationship Id="rId112" Type="http://schemas.openxmlformats.org/officeDocument/2006/relationships/image" Target="media/image50.png"/><Relationship Id="rId111" Type="http://schemas.openxmlformats.org/officeDocument/2006/relationships/image" Target="media/image49.png"/><Relationship Id="rId110" Type="http://schemas.openxmlformats.org/officeDocument/2006/relationships/image" Target="media/image48.png"/><Relationship Id="rId11" Type="http://schemas.openxmlformats.org/officeDocument/2006/relationships/footer" Target="footer4.xml"/><Relationship Id="rId109" Type="http://schemas.openxmlformats.org/officeDocument/2006/relationships/image" Target="media/image47.png"/><Relationship Id="rId108" Type="http://schemas.openxmlformats.org/officeDocument/2006/relationships/image" Target="media/image46.png"/><Relationship Id="rId107" Type="http://schemas.openxmlformats.org/officeDocument/2006/relationships/image" Target="media/image45.png"/><Relationship Id="rId106" Type="http://schemas.openxmlformats.org/officeDocument/2006/relationships/image" Target="media/image44.png"/><Relationship Id="rId105" Type="http://schemas.openxmlformats.org/officeDocument/2006/relationships/image" Target="media/image43.png"/><Relationship Id="rId104" Type="http://schemas.openxmlformats.org/officeDocument/2006/relationships/image" Target="media/image42.png"/><Relationship Id="rId103" Type="http://schemas.openxmlformats.org/officeDocument/2006/relationships/image" Target="media/image41.wmf"/><Relationship Id="rId102" Type="http://schemas.openxmlformats.org/officeDocument/2006/relationships/oleObject" Target="embeddings/oleObject12.bin"/><Relationship Id="rId101" Type="http://schemas.openxmlformats.org/officeDocument/2006/relationships/image" Target="media/image40.png"/><Relationship Id="rId100" Type="http://schemas.openxmlformats.org/officeDocument/2006/relationships/image" Target="media/image39.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8"/>
    <customShpInfo spid="_x0000_s1029"/>
    <customShpInfo spid="_x0000_s1027"/>
  </customShpExts>
  <extobjs>
    <extobj name="ECB019B1-382A-4266-B25C-5B523AA43C14-1">
      <extobjdata type="ECB019B1-382A-4266-B25C-5B523AA43C14" data="ewoJIkZpbGVJZCIgOiAiNzkwMTU4Njc2OTgiLAoJIkdyb3VwSWQiIDogIjc5NTg5Njg5MSIsCgkiSW1hZ2UiIDogImlWQk9SdzBLR2dvQUFBQU5TVWhFVWdBQUE5QUFBQVBlQ0FZQUFBRGtwUEtZQUFBQUNYQklXWE1BQUFzVEFBQUxFd0VBbXB3WUFBQWdBRWxFUVZSNG5PemRlWHhVMWYzLzhYY2dJV3dDWWdCbEM0aWdGQVF0b2xoc2dhSy9JaUtJb0VVRitWSmxFZFNJWWhVdDd2RDFTMXNNYWxrdGlDQmxYMFZvUlFIWlFSWkZCQlRLRGxtUUFObElKcG5QNzQ4azF3d3pTU1prbTRUWDgvRzRqK1NjYzVkelorWW05ek5udVJJ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VFPMzAvd0ZCUkxXaWJLQzB6d0FBQUFCSlJVNUVya0pnZ2c9PSIsCgkiVGhlbWUiIDogIiIsCgkiVHlwZSIgOiAiZmxvdyIsCgkiVmVyc2lvbiIgOiAiIgp9Cg=="/>
    </extobj>
    <extobj name="ECB019B1-382A-4266-B25C-5B523AA43C14-2">
      <extobjdata type="ECB019B1-382A-4266-B25C-5B523AA43C14" data="ewoJIkZpbGVJZCIgOiAiMTM3NjQxMTY1OTU0IiwKCSJHcm91cElkIiA6ICI3OTU4OTY4OTEiLAoJIkltYWdlIiA6ICJpVkJPUncwS0dnb0FBQUFOU1VoRVVnQUFBdlVBQUFJMkNBWUFBQURRUG5lWEFBQUFDWEJJV1hNQUFBc1RBQUFMRXdFQW1wd1lBQUFnQUVsRVFWUjRuT3pkZVh3VVJlTC8vM2ZQNUNBSk53Z0I1Vm9Tb3BJSU13RVBsRU5jRjBYWTlSWVFkU1dLWHdTRVZWQS9nb29IcnRkeUxFUVJWNWRGOFNjZ0NDNElxRWprRUpGTndpRVNOSUFvWjhBUVNNZzlVNzgvUW5vWk1pRUJBOGtzcitmandZTjBkWFYxelRDYWQ5ZFVWMHN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"/>
    </extobj>
    <extobj name="ECB019B1-382A-4266-B25C-5B523AA43C14-3">
      <extobjdata type="ECB019B1-382A-4266-B25C-5B523AA43C14" data="ewoJIkZpbGVJZCIgOiAiMTM3NjQxMTY1OTU0IiwKCSJHcm91cElkIiA6ICI3OTU4OTY4OTEiLAoJIkltYWdlIiA6ICJpVkJPUncwS0dnb0FBQUFOU1VoRVVnQUFBOGNBQUFNM0NBWUFBQUFRblNKREFBQUFDWEJJV1hNQUFBc1RBQUFMRXdFQW1wd1lBQUFnQUVsRVFWUjRuT3pkZDNoVVZmN0g4YytkSklRT0NaMElRUVVSQ0lZTVZWR0NLQzVWQVF2aUQ2eGd3OEtLaUNzV0ZHSHRhMEdDQ3J1b0lFMFVGQkZaa0NDOUJBZ0JKRWlNRWlBVWdTU0U5Sm56K3lObU5zTk1HaElEenZ2MVBIbTRjKzQ1NTM3dlpDYk1kODQ5NTBv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ejVqL0Q4VHJLMlRGTWtqVkFBQUFBRWxGVGtTdVFtQ0MiLAoJIlRoZW1lIiA6ICIiLAoJIlR5cGUiIDogImZsb3ciLAoJIlZlcnNpb24iIDogIiIKfQo="/>
    </extobj>
  </extobj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AD859D3-D454-46C3-AC43-E38E0945ACD3}">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325</Pages>
  <Words>171052</Words>
  <Characters>212558</Characters>
  <Lines>1718</Lines>
  <Paragraphs>483</Paragraphs>
  <TotalTime>0</TotalTime>
  <ScaleCrop>false</ScaleCrop>
  <LinksUpToDate>false</LinksUpToDate>
  <CharactersWithSpaces>215248</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2022-03-25T01:00:00Z</dcterms:created>
  <dc:creator>Administrator</dc:creator>
  <cp:lastModifiedBy>韩一帆</cp:lastModifiedBy>
  <cp:lastPrinted>2022-08-19T06:55:00Z</cp:lastPrinted>
  <dcterms:modified xsi:type="dcterms:W3CDTF">2022-12-01T07:48:56Z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9EDCD6B5E3584063A260E4C153EE567D</vt:lpwstr>
  </property>
</Properties>
</file>